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C27B81" w14:textId="77777777" w:rsidR="0075245C" w:rsidRPr="00251D43" w:rsidRDefault="0075245C" w:rsidP="00271AFE">
      <w:pPr>
        <w:snapToGrid w:val="0"/>
        <w:spacing w:beforeLines="100" w:before="360" w:afterLines="50" w:after="180" w:line="560" w:lineRule="exact"/>
        <w:ind w:rightChars="-198" w:right="-475"/>
        <w:jc w:val="both"/>
        <w:rPr>
          <w:rFonts w:ascii="標楷體" w:eastAsia="標楷體" w:hAnsi="標楷體"/>
          <w:b/>
          <w:color w:val="000000"/>
          <w:sz w:val="40"/>
          <w:szCs w:val="40"/>
          <w:shd w:val="clear" w:color="auto" w:fill="FFFFFF"/>
        </w:rPr>
      </w:pPr>
      <w:bookmarkStart w:id="0" w:name="_Toc163381670"/>
      <w:bookmarkStart w:id="1" w:name="_Toc163899070"/>
      <w:bookmarkStart w:id="2" w:name="_Toc167872431"/>
      <w:bookmarkStart w:id="3" w:name="_Toc169687160"/>
      <w:bookmarkStart w:id="4" w:name="_Toc510167613"/>
      <w:bookmarkStart w:id="5" w:name="_Toc1401017"/>
      <w:bookmarkStart w:id="6" w:name="_Toc42531544"/>
      <w:r w:rsidRPr="00251D43">
        <w:rPr>
          <w:rFonts w:ascii="標楷體" w:eastAsia="標楷體" w:hAnsi="標楷體"/>
          <w:b/>
          <w:color w:val="000000"/>
          <w:sz w:val="40"/>
          <w:szCs w:val="40"/>
          <w:shd w:val="clear" w:color="auto" w:fill="FFFFFF"/>
        </w:rPr>
        <w:t>立法院第</w:t>
      </w:r>
      <w:r w:rsidRPr="00251D43">
        <w:rPr>
          <w:rFonts w:ascii="標楷體" w:eastAsia="標楷體" w:hAnsi="標楷體" w:hint="eastAsia"/>
          <w:b/>
          <w:color w:val="000000"/>
          <w:sz w:val="40"/>
          <w:szCs w:val="40"/>
          <w:shd w:val="clear" w:color="auto" w:fill="FFFFFF"/>
        </w:rPr>
        <w:t>10</w:t>
      </w:r>
      <w:r w:rsidRPr="00251D43">
        <w:rPr>
          <w:rFonts w:ascii="標楷體" w:eastAsia="標楷體" w:hAnsi="標楷體"/>
          <w:b/>
          <w:color w:val="000000"/>
          <w:sz w:val="40"/>
          <w:szCs w:val="40"/>
          <w:shd w:val="clear" w:color="auto" w:fill="FFFFFF"/>
        </w:rPr>
        <w:t>屆第</w:t>
      </w:r>
      <w:r w:rsidRPr="00251D43">
        <w:rPr>
          <w:rFonts w:ascii="標楷體" w:eastAsia="標楷體" w:hAnsi="標楷體" w:hint="eastAsia"/>
          <w:b/>
          <w:color w:val="000000"/>
          <w:sz w:val="40"/>
          <w:szCs w:val="40"/>
          <w:shd w:val="clear" w:color="auto" w:fill="FFFFFF"/>
        </w:rPr>
        <w:t>6</w:t>
      </w:r>
      <w:r w:rsidRPr="00251D43">
        <w:rPr>
          <w:rFonts w:ascii="標楷體" w:eastAsia="標楷體" w:hAnsi="標楷體"/>
          <w:b/>
          <w:color w:val="000000"/>
          <w:sz w:val="40"/>
          <w:szCs w:val="40"/>
          <w:shd w:val="clear" w:color="auto" w:fill="FFFFFF"/>
        </w:rPr>
        <w:t>會期司法及法制委員會會務報告</w:t>
      </w:r>
    </w:p>
    <w:p w14:paraId="7908CD84" w14:textId="77777777" w:rsidR="0075245C" w:rsidRPr="00251D43" w:rsidRDefault="0075245C" w:rsidP="00C0271E">
      <w:pPr>
        <w:spacing w:beforeLines="50" w:before="180" w:line="480" w:lineRule="exact"/>
        <w:ind w:leftChars="-59" w:left="-142" w:firstLineChars="202" w:firstLine="646"/>
        <w:jc w:val="center"/>
        <w:rPr>
          <w:rFonts w:ascii="標楷體" w:eastAsia="標楷體" w:hAnsi="標楷體"/>
          <w:color w:val="000000"/>
          <w:sz w:val="32"/>
          <w:szCs w:val="32"/>
          <w:shd w:val="clear" w:color="auto" w:fill="FFFFFF"/>
        </w:rPr>
      </w:pPr>
      <w:r w:rsidRPr="00251D43">
        <w:rPr>
          <w:rFonts w:ascii="標楷體" w:eastAsia="標楷體" w:hAnsi="標楷體"/>
          <w:color w:val="000000"/>
          <w:sz w:val="32"/>
          <w:szCs w:val="32"/>
          <w:shd w:val="clear" w:color="auto" w:fill="FFFFFF"/>
        </w:rPr>
        <w:t>（</w:t>
      </w:r>
      <w:r w:rsidRPr="00251D43">
        <w:rPr>
          <w:rFonts w:ascii="標楷體" w:eastAsia="標楷體" w:hAnsi="標楷體" w:hint="eastAsia"/>
          <w:color w:val="000000"/>
          <w:sz w:val="32"/>
          <w:szCs w:val="32"/>
          <w:shd w:val="clear" w:color="auto" w:fill="FFFFFF"/>
        </w:rPr>
        <w:t>本會期：</w:t>
      </w:r>
      <w:r w:rsidRPr="00251D43">
        <w:rPr>
          <w:rFonts w:ascii="標楷體" w:eastAsia="標楷體" w:hAnsi="標楷體"/>
          <w:color w:val="000000"/>
          <w:sz w:val="32"/>
          <w:szCs w:val="32"/>
          <w:shd w:val="clear" w:color="auto" w:fill="FFFFFF"/>
        </w:rPr>
        <w:t>1</w:t>
      </w:r>
      <w:bookmarkStart w:id="7" w:name="_GoBack"/>
      <w:bookmarkEnd w:id="7"/>
      <w:r w:rsidRPr="00251D43">
        <w:rPr>
          <w:rFonts w:ascii="標楷體" w:eastAsia="標楷體" w:hAnsi="標楷體"/>
          <w:color w:val="000000"/>
          <w:sz w:val="32"/>
          <w:szCs w:val="32"/>
          <w:shd w:val="clear" w:color="auto" w:fill="FFFFFF"/>
        </w:rPr>
        <w:t>1</w:t>
      </w:r>
      <w:r w:rsidRPr="00251D43">
        <w:rPr>
          <w:rFonts w:ascii="標楷體" w:eastAsia="標楷體" w:hAnsi="標楷體" w:hint="eastAsia"/>
          <w:color w:val="000000"/>
          <w:sz w:val="32"/>
          <w:szCs w:val="32"/>
          <w:shd w:val="clear" w:color="auto" w:fill="FFFFFF"/>
        </w:rPr>
        <w:t>1</w:t>
      </w:r>
      <w:r w:rsidRPr="00251D43">
        <w:rPr>
          <w:rFonts w:ascii="標楷體" w:eastAsia="標楷體" w:hAnsi="標楷體"/>
          <w:color w:val="000000"/>
          <w:sz w:val="32"/>
          <w:szCs w:val="32"/>
          <w:shd w:val="clear" w:color="auto" w:fill="FFFFFF"/>
        </w:rPr>
        <w:t>年</w:t>
      </w:r>
      <w:r w:rsidRPr="00251D43">
        <w:rPr>
          <w:rFonts w:ascii="標楷體" w:eastAsia="標楷體" w:hAnsi="標楷體" w:hint="eastAsia"/>
          <w:color w:val="000000"/>
          <w:sz w:val="32"/>
          <w:szCs w:val="32"/>
          <w:shd w:val="clear" w:color="auto" w:fill="FFFFFF"/>
        </w:rPr>
        <w:t>9</w:t>
      </w:r>
      <w:r w:rsidRPr="00251D43">
        <w:rPr>
          <w:rFonts w:ascii="標楷體" w:eastAsia="標楷體" w:hAnsi="標楷體"/>
          <w:color w:val="000000"/>
          <w:sz w:val="32"/>
          <w:szCs w:val="32"/>
        </w:rPr>
        <w:t>月</w:t>
      </w:r>
      <w:r w:rsidRPr="00251D43">
        <w:rPr>
          <w:rFonts w:ascii="標楷體" w:eastAsia="標楷體" w:hAnsi="標楷體" w:hint="eastAsia"/>
          <w:color w:val="000000"/>
          <w:sz w:val="32"/>
          <w:szCs w:val="32"/>
        </w:rPr>
        <w:t>23日</w:t>
      </w:r>
      <w:r w:rsidRPr="00251D43">
        <w:rPr>
          <w:rFonts w:ascii="標楷體" w:eastAsia="標楷體" w:hAnsi="標楷體"/>
          <w:color w:val="000000"/>
          <w:sz w:val="32"/>
          <w:szCs w:val="32"/>
        </w:rPr>
        <w:t>至112年</w:t>
      </w:r>
      <w:r w:rsidRPr="00251D43">
        <w:rPr>
          <w:rFonts w:ascii="標楷體" w:eastAsia="標楷體" w:hAnsi="標楷體" w:hint="eastAsia"/>
          <w:color w:val="000000"/>
          <w:sz w:val="32"/>
          <w:szCs w:val="32"/>
        </w:rPr>
        <w:t>1月19日</w:t>
      </w:r>
      <w:r w:rsidRPr="00251D43">
        <w:rPr>
          <w:rFonts w:ascii="標楷體" w:eastAsia="標楷體" w:hAnsi="標楷體" w:hint="eastAsia"/>
          <w:color w:val="000000"/>
          <w:sz w:val="32"/>
          <w:szCs w:val="32"/>
          <w:shd w:val="clear" w:color="auto" w:fill="FFFFFF"/>
        </w:rPr>
        <w:t>)</w:t>
      </w:r>
    </w:p>
    <w:p w14:paraId="61C12FFF" w14:textId="77777777" w:rsidR="0075245C" w:rsidRPr="0075245C" w:rsidRDefault="0075245C" w:rsidP="0075245C">
      <w:pPr>
        <w:pStyle w:val="38"/>
        <w:ind w:leftChars="120" w:left="288" w:firstLineChars="0" w:firstLine="0"/>
        <w:rPr>
          <w:color w:val="000000"/>
          <w:spacing w:val="-14"/>
        </w:rPr>
      </w:pPr>
      <w:r w:rsidRPr="00F54FA5">
        <w:rPr>
          <w:color w:val="000000"/>
          <w:spacing w:val="320"/>
          <w:kern w:val="0"/>
          <w:sz w:val="32"/>
          <w:szCs w:val="32"/>
          <w:shd w:val="clear" w:color="auto" w:fill="FFFFFF"/>
          <w:fitText w:val="1280" w:id="-935145216"/>
        </w:rPr>
        <w:t>目</w:t>
      </w:r>
      <w:r w:rsidRPr="00F54FA5">
        <w:rPr>
          <w:color w:val="000000"/>
          <w:spacing w:val="0"/>
          <w:kern w:val="0"/>
          <w:sz w:val="32"/>
          <w:szCs w:val="32"/>
          <w:shd w:val="clear" w:color="auto" w:fill="FFFFFF"/>
          <w:fitText w:val="1280" w:id="-935145216"/>
        </w:rPr>
        <w:t>次</w:t>
      </w:r>
      <w:r w:rsidRPr="0075245C">
        <w:rPr>
          <w:b/>
          <w:color w:val="000000"/>
          <w:spacing w:val="0"/>
        </w:rPr>
        <w:fldChar w:fldCharType="begin"/>
      </w:r>
      <w:r w:rsidRPr="0075245C">
        <w:rPr>
          <w:b/>
          <w:color w:val="000000"/>
          <w:spacing w:val="0"/>
        </w:rPr>
        <w:instrText xml:space="preserve"> TOC \o "1-4" \h \z \u </w:instrText>
      </w:r>
      <w:r w:rsidRPr="0075245C">
        <w:rPr>
          <w:b/>
          <w:color w:val="000000"/>
          <w:spacing w:val="0"/>
        </w:rPr>
        <w:fldChar w:fldCharType="separate"/>
      </w:r>
    </w:p>
    <w:p w14:paraId="0D518B0A"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50" w:right="-360"/>
        <w:jc w:val="distribute"/>
        <w:rPr>
          <w:rFonts w:ascii="Calibri" w:hAnsi="Calibri"/>
          <w:noProof/>
          <w:color w:val="000000"/>
          <w:szCs w:val="22"/>
        </w:rPr>
      </w:pPr>
      <w:hyperlink w:anchor="_Toc96350479" w:history="1">
        <w:r w:rsidRPr="0007178D">
          <w:rPr>
            <w:rFonts w:ascii="標楷體" w:eastAsia="標楷體" w:hAnsi="標楷體" w:hint="eastAsia"/>
            <w:b/>
            <w:noProof/>
            <w:color w:val="000000"/>
            <w:sz w:val="28"/>
            <w:szCs w:val="28"/>
          </w:rPr>
          <w:t>壹、</w:t>
        </w:r>
        <w:r w:rsidRPr="0007178D">
          <w:rPr>
            <w:rFonts w:ascii="標楷體" w:eastAsia="標楷體" w:hAnsi="標楷體"/>
            <w:b/>
            <w:noProof/>
            <w:color w:val="000000"/>
            <w:sz w:val="28"/>
            <w:szCs w:val="28"/>
          </w:rPr>
          <w:t>組織及業務簡介</w:t>
        </w:r>
      </w:hyperlink>
      <w:r w:rsidRPr="0007178D">
        <w:rPr>
          <w:rFonts w:ascii="標楷體" w:eastAsia="標楷體" w:hAnsi="標楷體" w:hint="eastAsia"/>
          <w:noProof/>
          <w:color w:val="000000"/>
          <w:sz w:val="28"/>
          <w:szCs w:val="28"/>
        </w:rPr>
        <w:t>…</w:t>
      </w:r>
      <w:r w:rsidRPr="0007178D">
        <w:rPr>
          <w:rFonts w:ascii="標楷體" w:eastAsia="標楷體" w:hAnsi="標楷體" w:hint="eastAsia"/>
          <w:noProof/>
          <w:color w:val="000000"/>
          <w:spacing w:val="-4"/>
          <w:sz w:val="28"/>
          <w:szCs w:val="28"/>
        </w:rPr>
        <w:t>……………………………………………………</w:t>
      </w:r>
      <w:r w:rsidRPr="0007178D">
        <w:rPr>
          <w:rFonts w:ascii="標楷體" w:eastAsia="標楷體" w:hAnsi="標楷體" w:hint="eastAsia"/>
          <w:noProof/>
          <w:color w:val="000000"/>
          <w:sz w:val="28"/>
          <w:szCs w:val="28"/>
        </w:rPr>
        <w:t>…1</w:t>
      </w:r>
    </w:p>
    <w:p w14:paraId="0C4FAC7E"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472" w:history="1">
        <w:r w:rsidRPr="0007178D">
          <w:rPr>
            <w:rFonts w:ascii="標楷體" w:eastAsia="標楷體" w:hAnsi="標楷體" w:hint="eastAsia"/>
            <w:bCs/>
            <w:iCs/>
            <w:noProof/>
            <w:color w:val="000000"/>
            <w:sz w:val="28"/>
            <w:szCs w:val="28"/>
          </w:rPr>
          <w:t>一、組織</w:t>
        </w:r>
      </w:hyperlink>
      <w:r w:rsidRPr="0007178D">
        <w:rPr>
          <w:rFonts w:ascii="標楷體" w:eastAsia="標楷體" w:hAnsi="標楷體" w:hint="eastAsia"/>
          <w:bCs/>
          <w:iCs/>
          <w:noProof/>
          <w:color w:val="000000"/>
          <w:spacing w:val="-2"/>
          <w:sz w:val="28"/>
          <w:szCs w:val="28"/>
        </w:rPr>
        <w:t>……</w:t>
      </w:r>
      <w:r w:rsidRPr="0007178D">
        <w:rPr>
          <w:rFonts w:ascii="標楷體" w:eastAsia="標楷體" w:hAnsi="標楷體" w:hint="eastAsia"/>
          <w:bCs/>
          <w:iCs/>
          <w:noProof/>
          <w:color w:val="000000"/>
          <w:spacing w:val="-4"/>
          <w:sz w:val="28"/>
          <w:szCs w:val="28"/>
        </w:rPr>
        <w:t>……………………………………………………………</w:t>
      </w:r>
      <w:r w:rsidRPr="0007178D">
        <w:rPr>
          <w:rFonts w:ascii="標楷體" w:eastAsia="標楷體" w:hAnsi="標楷體" w:hint="eastAsia"/>
          <w:bCs/>
          <w:iCs/>
          <w:noProof/>
          <w:color w:val="000000"/>
          <w:spacing w:val="-2"/>
          <w:sz w:val="28"/>
          <w:szCs w:val="28"/>
        </w:rPr>
        <w:t>……</w:t>
      </w:r>
      <w:r w:rsidRPr="0007178D">
        <w:rPr>
          <w:rFonts w:ascii="標楷體" w:eastAsia="標楷體" w:hAnsi="標楷體" w:hint="eastAsia"/>
          <w:bCs/>
          <w:iCs/>
          <w:noProof/>
          <w:color w:val="000000"/>
          <w:sz w:val="28"/>
          <w:szCs w:val="28"/>
        </w:rPr>
        <w:t>…1</w:t>
      </w:r>
    </w:p>
    <w:p w14:paraId="6799178B"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473" w:history="1">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一</w:t>
        </w:r>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本會期本會委員</w:t>
        </w:r>
      </w:hyperlink>
      <w:r w:rsidRPr="0007178D">
        <w:rPr>
          <w:rFonts w:ascii="標楷體" w:eastAsia="標楷體" w:hAnsi="標楷體" w:hint="eastAsia"/>
          <w:bCs/>
          <w:noProof/>
          <w:color w:val="000000"/>
          <w:spacing w:val="-10"/>
          <w:sz w:val="28"/>
          <w:szCs w:val="28"/>
        </w:rPr>
        <w:t>…………………………</w:t>
      </w:r>
      <w:r w:rsidRPr="0007178D">
        <w:rPr>
          <w:rFonts w:ascii="標楷體" w:eastAsia="標楷體" w:hAnsi="標楷體" w:hint="eastAsia"/>
          <w:bCs/>
          <w:noProof/>
          <w:color w:val="000000"/>
          <w:sz w:val="28"/>
          <w:szCs w:val="28"/>
        </w:rPr>
        <w:t>……………………………1</w:t>
      </w:r>
    </w:p>
    <w:p w14:paraId="77290B0E"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474" w:history="1">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二</w:t>
        </w:r>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本會期本會召集委員</w:t>
        </w:r>
      </w:hyperlink>
      <w:r w:rsidRPr="0007178D">
        <w:rPr>
          <w:rFonts w:ascii="標楷體" w:eastAsia="標楷體" w:hAnsi="標楷體" w:hint="eastAsia"/>
          <w:bCs/>
          <w:noProof/>
          <w:color w:val="000000"/>
          <w:sz w:val="28"/>
          <w:szCs w:val="28"/>
        </w:rPr>
        <w:t>…………………………………………………1</w:t>
      </w:r>
    </w:p>
    <w:p w14:paraId="7C9A16F0"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475" w:history="1">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三</w:t>
        </w:r>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本會期擔任紀律</w:t>
        </w:r>
        <w:r w:rsidRPr="0007178D">
          <w:rPr>
            <w:rFonts w:ascii="標楷體" w:eastAsia="標楷體" w:hAnsi="標楷體" w:hint="eastAsia"/>
            <w:bCs/>
            <w:noProof/>
            <w:color w:val="000000"/>
            <w:spacing w:val="-10"/>
            <w:sz w:val="28"/>
            <w:szCs w:val="28"/>
          </w:rPr>
          <w:t>委員會</w:t>
        </w:r>
        <w:r w:rsidRPr="0007178D">
          <w:rPr>
            <w:rFonts w:ascii="標楷體" w:eastAsia="標楷體" w:hAnsi="標楷體" w:hint="eastAsia"/>
            <w:bCs/>
            <w:noProof/>
            <w:color w:val="000000"/>
            <w:sz w:val="28"/>
            <w:szCs w:val="28"/>
          </w:rPr>
          <w:t>召集委員</w:t>
        </w:r>
      </w:hyperlink>
      <w:r w:rsidRPr="0007178D">
        <w:rPr>
          <w:rFonts w:ascii="標楷體" w:eastAsia="標楷體" w:hAnsi="標楷體" w:hint="eastAsia"/>
          <w:bCs/>
          <w:noProof/>
          <w:color w:val="000000"/>
          <w:sz w:val="28"/>
          <w:szCs w:val="28"/>
        </w:rPr>
        <w:t>……………………………………1</w:t>
      </w:r>
    </w:p>
    <w:p w14:paraId="3E6EE2F5"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color w:val="000000"/>
          <w:szCs w:val="22"/>
        </w:rPr>
      </w:pPr>
      <w:hyperlink w:anchor="_Toc96350476" w:history="1">
        <w:r w:rsidRPr="0007178D">
          <w:rPr>
            <w:rFonts w:ascii="標楷體" w:eastAsia="標楷體" w:hAnsi="標楷體" w:hint="eastAsia"/>
            <w:bCs/>
            <w:iCs/>
            <w:noProof/>
            <w:color w:val="000000"/>
            <w:sz w:val="28"/>
            <w:szCs w:val="28"/>
          </w:rPr>
          <w:t>二、業務簡介</w:t>
        </w:r>
      </w:hyperlink>
      <w:r w:rsidRPr="0007178D">
        <w:rPr>
          <w:rFonts w:ascii="標楷體" w:eastAsia="標楷體" w:hAnsi="標楷體" w:hint="eastAsia"/>
          <w:bCs/>
          <w:iCs/>
          <w:noProof/>
          <w:color w:val="000000"/>
          <w:sz w:val="28"/>
          <w:szCs w:val="28"/>
        </w:rPr>
        <w:t>…………………………………………………………………1</w:t>
      </w:r>
    </w:p>
    <w:p w14:paraId="3F05AEE4"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477" w:history="1">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一</w:t>
        </w:r>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依據</w:t>
        </w:r>
      </w:hyperlink>
      <w:r w:rsidRPr="0007178D">
        <w:rPr>
          <w:rFonts w:ascii="標楷體" w:eastAsia="標楷體" w:hAnsi="標楷體" w:hint="eastAsia"/>
          <w:bCs/>
          <w:noProof/>
          <w:color w:val="000000"/>
          <w:sz w:val="28"/>
          <w:szCs w:val="28"/>
        </w:rPr>
        <w:t>……………</w:t>
      </w:r>
      <w:r w:rsidRPr="0007178D">
        <w:rPr>
          <w:rFonts w:ascii="標楷體" w:eastAsia="標楷體" w:hAnsi="標楷體" w:hint="eastAsia"/>
          <w:bCs/>
          <w:noProof/>
          <w:color w:val="000000"/>
          <w:spacing w:val="-10"/>
          <w:sz w:val="28"/>
          <w:szCs w:val="28"/>
        </w:rPr>
        <w:t>…</w:t>
      </w:r>
      <w:r w:rsidRPr="0007178D">
        <w:rPr>
          <w:rFonts w:ascii="標楷體" w:eastAsia="標楷體" w:hAnsi="標楷體" w:hint="eastAsia"/>
          <w:bCs/>
          <w:noProof/>
          <w:color w:val="000000"/>
          <w:sz w:val="28"/>
          <w:szCs w:val="28"/>
        </w:rPr>
        <w:t>…………………………</w:t>
      </w:r>
      <w:r w:rsidRPr="0007178D">
        <w:rPr>
          <w:rFonts w:ascii="標楷體" w:eastAsia="標楷體" w:hAnsi="標楷體" w:hint="eastAsia"/>
          <w:bCs/>
          <w:noProof/>
          <w:color w:val="000000"/>
          <w:spacing w:val="-10"/>
          <w:sz w:val="28"/>
          <w:szCs w:val="28"/>
        </w:rPr>
        <w:t>……</w:t>
      </w:r>
      <w:r w:rsidRPr="0007178D">
        <w:rPr>
          <w:rFonts w:ascii="標楷體" w:eastAsia="標楷體" w:hAnsi="標楷體" w:hint="eastAsia"/>
          <w:bCs/>
          <w:noProof/>
          <w:color w:val="000000"/>
          <w:sz w:val="28"/>
          <w:szCs w:val="28"/>
        </w:rPr>
        <w:t>……………………1</w:t>
      </w:r>
    </w:p>
    <w:p w14:paraId="58132B28"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478" w:history="1">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二</w:t>
        </w:r>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職掌</w:t>
        </w:r>
      </w:hyperlink>
      <w:r w:rsidRPr="0007178D">
        <w:rPr>
          <w:rFonts w:ascii="標楷體" w:eastAsia="標楷體" w:hAnsi="標楷體" w:hint="eastAsia"/>
          <w:bCs/>
          <w:noProof/>
          <w:color w:val="000000"/>
          <w:sz w:val="28"/>
          <w:szCs w:val="28"/>
        </w:rPr>
        <w:t>………………</w:t>
      </w:r>
      <w:r w:rsidRPr="0007178D">
        <w:rPr>
          <w:rFonts w:ascii="標楷體" w:eastAsia="標楷體" w:hAnsi="標楷體" w:hint="eastAsia"/>
          <w:bCs/>
          <w:noProof/>
          <w:color w:val="000000"/>
          <w:spacing w:val="-10"/>
          <w:sz w:val="28"/>
          <w:szCs w:val="28"/>
        </w:rPr>
        <w:t>………</w:t>
      </w:r>
      <w:r w:rsidRPr="0007178D">
        <w:rPr>
          <w:rFonts w:ascii="標楷體" w:eastAsia="標楷體" w:hAnsi="標楷體" w:hint="eastAsia"/>
          <w:bCs/>
          <w:noProof/>
          <w:color w:val="000000"/>
          <w:sz w:val="28"/>
          <w:szCs w:val="28"/>
        </w:rPr>
        <w:t>……………………………………………1</w:t>
      </w:r>
    </w:p>
    <w:p w14:paraId="726B7E90"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Calibri" w:hAnsi="Calibri"/>
          <w:noProof/>
          <w:color w:val="000000"/>
          <w:szCs w:val="22"/>
        </w:rPr>
      </w:pPr>
      <w:hyperlink w:anchor="_Toc96350479" w:history="1">
        <w:r w:rsidRPr="0007178D">
          <w:rPr>
            <w:rFonts w:ascii="標楷體" w:eastAsia="標楷體" w:hAnsi="標楷體" w:hint="eastAsia"/>
            <w:b/>
            <w:noProof/>
            <w:color w:val="000000"/>
            <w:sz w:val="28"/>
            <w:szCs w:val="28"/>
          </w:rPr>
          <w:t>貳、本會期會務概況</w:t>
        </w:r>
      </w:hyperlink>
      <w:r w:rsidRPr="0007178D">
        <w:rPr>
          <w:rFonts w:ascii="標楷體" w:eastAsia="標楷體" w:hAnsi="標楷體" w:hint="eastAsia"/>
          <w:noProof/>
          <w:color w:val="000000"/>
          <w:sz w:val="28"/>
          <w:szCs w:val="28"/>
        </w:rPr>
        <w:t>……………………………………………………………3</w:t>
      </w:r>
    </w:p>
    <w:p w14:paraId="20E33CC5"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480" w:history="1">
        <w:r w:rsidRPr="0007178D">
          <w:rPr>
            <w:rFonts w:ascii="標楷體" w:eastAsia="標楷體" w:hAnsi="標楷體" w:hint="eastAsia"/>
            <w:bCs/>
            <w:iCs/>
            <w:noProof/>
            <w:color w:val="000000"/>
            <w:sz w:val="28"/>
            <w:szCs w:val="28"/>
          </w:rPr>
          <w:t>一、會務概況一覽表</w:t>
        </w:r>
      </w:hyperlink>
      <w:r w:rsidRPr="0007178D">
        <w:rPr>
          <w:rFonts w:ascii="標楷體" w:eastAsia="標楷體" w:hAnsi="標楷體" w:hint="eastAsia"/>
          <w:bCs/>
          <w:iCs/>
          <w:noProof/>
          <w:color w:val="000000"/>
          <w:sz w:val="28"/>
          <w:szCs w:val="28"/>
        </w:rPr>
        <w:t>…………………………………………………………3</w:t>
      </w:r>
    </w:p>
    <w:p w14:paraId="489F1EF8"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color w:val="000000"/>
          <w:szCs w:val="22"/>
        </w:rPr>
      </w:pPr>
      <w:hyperlink w:anchor="_Toc96350481" w:history="1">
        <w:r w:rsidRPr="0007178D">
          <w:rPr>
            <w:rFonts w:ascii="標楷體" w:eastAsia="標楷體" w:hAnsi="標楷體" w:hint="eastAsia"/>
            <w:bCs/>
            <w:iCs/>
            <w:noProof/>
            <w:color w:val="000000"/>
            <w:sz w:val="28"/>
            <w:szCs w:val="28"/>
          </w:rPr>
          <w:t>二、公聽會</w:t>
        </w:r>
      </w:hyperlink>
      <w:r w:rsidRPr="0007178D">
        <w:rPr>
          <w:rFonts w:ascii="標楷體" w:eastAsia="標楷體" w:hAnsi="標楷體" w:hint="eastAsia"/>
          <w:bCs/>
          <w:iCs/>
          <w:noProof/>
          <w:color w:val="000000"/>
          <w:sz w:val="28"/>
          <w:szCs w:val="28"/>
        </w:rPr>
        <w:t>…………………………………………………………………22</w:t>
      </w:r>
    </w:p>
    <w:p w14:paraId="1B73DBEC"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color w:val="000000"/>
          <w:szCs w:val="22"/>
        </w:rPr>
      </w:pPr>
      <w:hyperlink w:anchor="_Toc96350482" w:history="1">
        <w:r w:rsidRPr="0007178D">
          <w:rPr>
            <w:rFonts w:ascii="標楷體" w:eastAsia="標楷體" w:hAnsi="標楷體" w:hint="eastAsia"/>
            <w:bCs/>
            <w:iCs/>
            <w:noProof/>
            <w:color w:val="000000"/>
            <w:sz w:val="28"/>
            <w:szCs w:val="28"/>
          </w:rPr>
          <w:t>三、考察活動</w:t>
        </w:r>
      </w:hyperlink>
      <w:r w:rsidRPr="0007178D">
        <w:rPr>
          <w:rFonts w:ascii="標楷體" w:eastAsia="標楷體" w:hAnsi="標楷體" w:hint="eastAsia"/>
          <w:bCs/>
          <w:iCs/>
          <w:noProof/>
          <w:color w:val="000000"/>
          <w:sz w:val="28"/>
          <w:szCs w:val="28"/>
        </w:rPr>
        <w:t>………………………………………………………………24</w:t>
      </w:r>
    </w:p>
    <w:p w14:paraId="46C8BFAE"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483" w:history="1">
        <w:r w:rsidRPr="0007178D">
          <w:rPr>
            <w:rFonts w:ascii="標楷體" w:eastAsia="標楷體" w:hAnsi="標楷體" w:hint="eastAsia"/>
            <w:bCs/>
            <w:iCs/>
            <w:noProof/>
            <w:color w:val="000000"/>
            <w:sz w:val="28"/>
            <w:szCs w:val="28"/>
          </w:rPr>
          <w:t>四、本會期本會各項議案審竣統計表</w:t>
        </w:r>
      </w:hyperlink>
      <w:r w:rsidRPr="0007178D">
        <w:rPr>
          <w:rFonts w:ascii="標楷體" w:eastAsia="標楷體" w:hAnsi="標楷體" w:hint="eastAsia"/>
          <w:bCs/>
          <w:iCs/>
          <w:noProof/>
          <w:color w:val="000000"/>
          <w:sz w:val="28"/>
          <w:szCs w:val="28"/>
        </w:rPr>
        <w:t>……………………………………26</w:t>
      </w:r>
    </w:p>
    <w:p w14:paraId="1E6E52F9"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484" w:history="1">
        <w:r w:rsidRPr="0007178D">
          <w:rPr>
            <w:rFonts w:ascii="標楷體" w:eastAsia="標楷體" w:hAnsi="標楷體" w:hint="eastAsia"/>
            <w:bCs/>
            <w:iCs/>
            <w:noProof/>
            <w:color w:val="000000"/>
            <w:sz w:val="28"/>
            <w:szCs w:val="28"/>
          </w:rPr>
          <w:t>五、各會期院會通過各項議案統計表</w:t>
        </w:r>
      </w:hyperlink>
      <w:r w:rsidRPr="0007178D">
        <w:rPr>
          <w:rFonts w:ascii="標楷體" w:eastAsia="標楷體" w:hAnsi="標楷體" w:hint="eastAsia"/>
          <w:bCs/>
          <w:iCs/>
          <w:noProof/>
          <w:color w:val="000000"/>
          <w:sz w:val="28"/>
          <w:szCs w:val="28"/>
        </w:rPr>
        <w:t>……………………………………27</w:t>
      </w:r>
    </w:p>
    <w:p w14:paraId="0971EF5B"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Calibri" w:hAnsi="Calibri"/>
          <w:noProof/>
          <w:color w:val="000000"/>
          <w:szCs w:val="22"/>
        </w:rPr>
      </w:pPr>
      <w:hyperlink w:anchor="_Toc96350485" w:history="1">
        <w:r w:rsidRPr="0007178D">
          <w:rPr>
            <w:rFonts w:ascii="標楷體" w:eastAsia="標楷體" w:hAnsi="標楷體" w:hint="eastAsia"/>
            <w:b/>
            <w:noProof/>
            <w:color w:val="000000"/>
            <w:sz w:val="28"/>
            <w:szCs w:val="28"/>
          </w:rPr>
          <w:t>參、</w:t>
        </w:r>
        <w:r w:rsidRPr="0007178D">
          <w:rPr>
            <w:rFonts w:ascii="標楷體" w:eastAsia="標楷體" w:hAnsi="標楷體" w:hint="eastAsia"/>
            <w:b/>
            <w:noProof/>
            <w:color w:val="000000"/>
            <w:sz w:val="28"/>
            <w:szCs w:val="28"/>
            <w:shd w:val="clear" w:color="auto" w:fill="FFFFFF"/>
          </w:rPr>
          <w:t>本會期審查</w:t>
        </w:r>
        <w:r w:rsidRPr="0007178D">
          <w:rPr>
            <w:rFonts w:ascii="標楷體" w:eastAsia="標楷體" w:hAnsi="標楷體"/>
            <w:b/>
            <w:noProof/>
            <w:color w:val="000000"/>
            <w:sz w:val="28"/>
            <w:szCs w:val="28"/>
            <w:shd w:val="clear" w:color="auto" w:fill="FFFFFF"/>
          </w:rPr>
          <w:t>(</w:t>
        </w:r>
        <w:r w:rsidRPr="0007178D">
          <w:rPr>
            <w:rFonts w:ascii="標楷體" w:eastAsia="標楷體" w:hAnsi="標楷體" w:hint="eastAsia"/>
            <w:b/>
            <w:noProof/>
            <w:color w:val="000000"/>
            <w:sz w:val="28"/>
            <w:szCs w:val="28"/>
            <w:shd w:val="clear" w:color="auto" w:fill="FFFFFF"/>
          </w:rPr>
          <w:t>處理</w:t>
        </w:r>
        <w:r w:rsidRPr="0007178D">
          <w:rPr>
            <w:rFonts w:ascii="標楷體" w:eastAsia="標楷體" w:hAnsi="標楷體"/>
            <w:b/>
            <w:noProof/>
            <w:color w:val="000000"/>
            <w:sz w:val="28"/>
            <w:szCs w:val="28"/>
            <w:shd w:val="clear" w:color="auto" w:fill="FFFFFF"/>
          </w:rPr>
          <w:t>)</w:t>
        </w:r>
        <w:r w:rsidRPr="0007178D">
          <w:rPr>
            <w:rFonts w:ascii="標楷體" w:eastAsia="標楷體" w:hAnsi="標楷體" w:hint="eastAsia"/>
            <w:b/>
            <w:noProof/>
            <w:color w:val="000000"/>
            <w:sz w:val="28"/>
            <w:szCs w:val="28"/>
            <w:shd w:val="clear" w:color="auto" w:fill="FFFFFF"/>
          </w:rPr>
          <w:t>完竣議案163案</w:t>
        </w:r>
      </w:hyperlink>
      <w:r w:rsidRPr="0007178D">
        <w:rPr>
          <w:rFonts w:ascii="標楷體" w:eastAsia="標楷體" w:hAnsi="標楷體" w:hint="eastAsia"/>
          <w:noProof/>
          <w:color w:val="000000"/>
          <w:sz w:val="28"/>
          <w:szCs w:val="28"/>
        </w:rPr>
        <w:t>……………………………………28</w:t>
      </w:r>
    </w:p>
    <w:p w14:paraId="72F821D0"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486" w:history="1">
        <w:r w:rsidRPr="0007178D">
          <w:rPr>
            <w:rFonts w:ascii="標楷體" w:eastAsia="標楷體" w:hAnsi="標楷體" w:hint="eastAsia"/>
            <w:bCs/>
            <w:iCs/>
            <w:noProof/>
            <w:color w:val="000000"/>
            <w:sz w:val="28"/>
            <w:szCs w:val="28"/>
          </w:rPr>
          <w:t>［壹］法律案50案</w:t>
        </w:r>
      </w:hyperlink>
      <w:r w:rsidRPr="0007178D">
        <w:rPr>
          <w:rFonts w:ascii="標楷體" w:eastAsia="標楷體" w:hAnsi="標楷體" w:hint="eastAsia"/>
          <w:bCs/>
          <w:iCs/>
          <w:noProof/>
          <w:color w:val="000000"/>
          <w:sz w:val="28"/>
          <w:szCs w:val="28"/>
        </w:rPr>
        <w:t>…………………………………………………………28</w:t>
      </w:r>
    </w:p>
    <w:p w14:paraId="34362BC3" w14:textId="77777777" w:rsidR="0007178D" w:rsidRPr="0007178D" w:rsidRDefault="0007178D" w:rsidP="0007178D">
      <w:pPr>
        <w:tabs>
          <w:tab w:val="left" w:pos="851"/>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pacing w:val="-10"/>
          <w:sz w:val="28"/>
          <w:szCs w:val="28"/>
        </w:rPr>
      </w:pPr>
      <w:r w:rsidRPr="0007178D">
        <w:rPr>
          <w:rFonts w:ascii="標楷體" w:eastAsia="標楷體" w:hAnsi="標楷體" w:hint="eastAsia"/>
          <w:bCs/>
          <w:noProof/>
          <w:color w:val="000000"/>
          <w:spacing w:val="-10"/>
          <w:sz w:val="28"/>
          <w:szCs w:val="28"/>
        </w:rPr>
        <w:t>一</w:t>
      </w:r>
      <w:hyperlink w:anchor="_Toc96350490" w:history="1">
        <w:r w:rsidRPr="0007178D">
          <w:rPr>
            <w:rFonts w:ascii="標楷體" w:eastAsia="標楷體" w:hAnsi="標楷體" w:hint="eastAsia"/>
            <w:bCs/>
            <w:noProof/>
            <w:color w:val="000000"/>
            <w:sz w:val="28"/>
            <w:szCs w:val="28"/>
          </w:rPr>
          <w:t>、組織法26案</w:t>
        </w:r>
      </w:hyperlink>
      <w:r w:rsidRPr="0007178D">
        <w:rPr>
          <w:rFonts w:ascii="標楷體" w:eastAsia="標楷體" w:hAnsi="標楷體" w:hint="eastAsia"/>
          <w:bCs/>
          <w:noProof/>
          <w:color w:val="000000"/>
          <w:sz w:val="28"/>
          <w:szCs w:val="28"/>
        </w:rPr>
        <w:t>………………………………………………………28</w:t>
      </w:r>
    </w:p>
    <w:p w14:paraId="1D39B3C8"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r w:rsidRPr="0007178D">
        <w:rPr>
          <w:rFonts w:ascii="標楷體" w:eastAsia="標楷體" w:hAnsi="標楷體" w:hint="eastAsia"/>
          <w:bCs/>
          <w:noProof/>
          <w:color w:val="000000"/>
          <w:spacing w:val="-10"/>
          <w:sz w:val="28"/>
          <w:szCs w:val="28"/>
        </w:rPr>
        <w:t>(</w:t>
      </w:r>
      <w:hyperlink w:anchor="_Toc96350491" w:history="1">
        <w:r w:rsidRPr="0007178D">
          <w:rPr>
            <w:rFonts w:ascii="標楷體" w:eastAsia="標楷體" w:hAnsi="標楷體" w:hint="eastAsia"/>
            <w:bCs/>
            <w:noProof/>
            <w:color w:val="000000"/>
            <w:sz w:val="28"/>
            <w:szCs w:val="28"/>
          </w:rPr>
          <w:t>一)</w:t>
        </w:r>
        <w:r w:rsidRPr="0007178D">
          <w:rPr>
            <w:rFonts w:ascii="標楷體" w:eastAsia="標楷體" w:hAnsi="標楷體" w:hint="eastAsia"/>
            <w:bCs/>
            <w:noProof/>
            <w:color w:val="000000"/>
            <w:spacing w:val="-10"/>
            <w:sz w:val="28"/>
            <w:szCs w:val="28"/>
          </w:rPr>
          <w:t>經院會</w:t>
        </w:r>
        <w:r w:rsidRPr="0007178D">
          <w:rPr>
            <w:rFonts w:ascii="標楷體" w:eastAsia="標楷體" w:hAnsi="標楷體" w:hint="eastAsia"/>
            <w:bCs/>
            <w:noProof/>
            <w:color w:val="000000"/>
            <w:sz w:val="28"/>
            <w:szCs w:val="28"/>
          </w:rPr>
          <w:t>通過之議案18案</w:t>
        </w:r>
      </w:hyperlink>
      <w:r w:rsidRPr="0007178D">
        <w:rPr>
          <w:rFonts w:ascii="標楷體" w:eastAsia="標楷體" w:hAnsi="標楷體" w:hint="eastAsia"/>
          <w:bCs/>
          <w:noProof/>
          <w:color w:val="000000"/>
          <w:sz w:val="28"/>
          <w:szCs w:val="28"/>
        </w:rPr>
        <w:t>………………………………………28</w:t>
      </w:r>
    </w:p>
    <w:p w14:paraId="49B2AE43"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標楷體" w:eastAsia="標楷體" w:hAnsi="標楷體"/>
          <w:bCs/>
          <w:noProof/>
          <w:color w:val="000000"/>
          <w:spacing w:val="-10"/>
          <w:sz w:val="28"/>
          <w:szCs w:val="28"/>
        </w:rPr>
      </w:pPr>
      <w:r w:rsidRPr="0007178D">
        <w:rPr>
          <w:rFonts w:ascii="標楷體" w:eastAsia="標楷體" w:hAnsi="標楷體" w:hint="eastAsia"/>
          <w:bCs/>
          <w:noProof/>
          <w:color w:val="000000"/>
          <w:spacing w:val="-10"/>
          <w:sz w:val="28"/>
          <w:szCs w:val="28"/>
        </w:rPr>
        <w:t>(</w:t>
      </w:r>
      <w:hyperlink w:anchor="_Toc96350492" w:history="1">
        <w:r w:rsidRPr="0007178D">
          <w:rPr>
            <w:rFonts w:ascii="標楷體" w:eastAsia="標楷體" w:hAnsi="標楷體" w:hint="eastAsia"/>
            <w:bCs/>
            <w:noProof/>
            <w:color w:val="000000"/>
            <w:sz w:val="28"/>
            <w:szCs w:val="28"/>
          </w:rPr>
          <w:t>二)待院會審議之議案8案</w:t>
        </w:r>
      </w:hyperlink>
      <w:r w:rsidRPr="0007178D">
        <w:rPr>
          <w:rFonts w:ascii="標楷體" w:eastAsia="標楷體" w:hAnsi="標楷體" w:hint="eastAsia"/>
          <w:bCs/>
          <w:noProof/>
          <w:color w:val="000000"/>
          <w:sz w:val="28"/>
          <w:szCs w:val="28"/>
        </w:rPr>
        <w:t>………………………………………31</w:t>
      </w:r>
    </w:p>
    <w:p w14:paraId="66D4196D"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490" w:history="1">
        <w:r w:rsidRPr="0007178D">
          <w:rPr>
            <w:rFonts w:ascii="標楷體" w:eastAsia="標楷體" w:hAnsi="標楷體" w:hint="eastAsia"/>
            <w:bCs/>
            <w:noProof/>
            <w:color w:val="000000"/>
            <w:sz w:val="28"/>
            <w:szCs w:val="28"/>
          </w:rPr>
          <w:t>二、作用法24案</w:t>
        </w:r>
      </w:hyperlink>
      <w:r w:rsidRPr="0007178D">
        <w:rPr>
          <w:rFonts w:ascii="標楷體" w:eastAsia="標楷體" w:hAnsi="標楷體" w:hint="eastAsia"/>
          <w:bCs/>
          <w:noProof/>
          <w:color w:val="000000"/>
          <w:sz w:val="28"/>
          <w:szCs w:val="28"/>
        </w:rPr>
        <w:t>…………………………………………………………32</w:t>
      </w:r>
    </w:p>
    <w:p w14:paraId="5480A66F"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r w:rsidRPr="0007178D">
        <w:rPr>
          <w:rFonts w:ascii="標楷體" w:eastAsia="標楷體" w:hAnsi="標楷體" w:hint="eastAsia"/>
          <w:bCs/>
          <w:noProof/>
          <w:color w:val="000000"/>
          <w:spacing w:val="-10"/>
          <w:sz w:val="28"/>
          <w:szCs w:val="28"/>
        </w:rPr>
        <w:lastRenderedPageBreak/>
        <w:t>(</w:t>
      </w:r>
      <w:hyperlink w:anchor="_Toc96350491" w:history="1">
        <w:r w:rsidRPr="0007178D">
          <w:rPr>
            <w:rFonts w:ascii="標楷體" w:eastAsia="標楷體" w:hAnsi="標楷體" w:hint="eastAsia"/>
            <w:bCs/>
            <w:noProof/>
            <w:color w:val="000000"/>
            <w:sz w:val="28"/>
            <w:szCs w:val="28"/>
          </w:rPr>
          <w:t>一)經</w:t>
        </w:r>
        <w:r w:rsidRPr="0007178D">
          <w:rPr>
            <w:rFonts w:ascii="標楷體" w:eastAsia="標楷體" w:hAnsi="標楷體" w:hint="eastAsia"/>
            <w:bCs/>
            <w:noProof/>
            <w:color w:val="000000"/>
            <w:spacing w:val="-10"/>
            <w:sz w:val="28"/>
            <w:szCs w:val="28"/>
          </w:rPr>
          <w:t>院會</w:t>
        </w:r>
        <w:r w:rsidRPr="0007178D">
          <w:rPr>
            <w:rFonts w:ascii="標楷體" w:eastAsia="標楷體" w:hAnsi="標楷體" w:hint="eastAsia"/>
            <w:bCs/>
            <w:noProof/>
            <w:color w:val="000000"/>
            <w:sz w:val="28"/>
            <w:szCs w:val="28"/>
          </w:rPr>
          <w:t>通過之議案15案</w:t>
        </w:r>
      </w:hyperlink>
      <w:r w:rsidRPr="0007178D">
        <w:rPr>
          <w:rFonts w:ascii="標楷體" w:eastAsia="標楷體" w:hAnsi="標楷體" w:hint="eastAsia"/>
          <w:bCs/>
          <w:noProof/>
          <w:color w:val="000000"/>
          <w:sz w:val="28"/>
          <w:szCs w:val="28"/>
        </w:rPr>
        <w:t>………………………………………32</w:t>
      </w:r>
    </w:p>
    <w:p w14:paraId="4172E357"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標楷體" w:eastAsia="標楷體" w:hAnsi="標楷體"/>
          <w:bCs/>
          <w:noProof/>
          <w:color w:val="000000"/>
          <w:spacing w:val="-10"/>
          <w:sz w:val="28"/>
          <w:szCs w:val="28"/>
        </w:rPr>
      </w:pPr>
      <w:r w:rsidRPr="0007178D">
        <w:rPr>
          <w:rFonts w:ascii="標楷體" w:eastAsia="標楷體" w:hAnsi="標楷體" w:hint="eastAsia"/>
          <w:bCs/>
          <w:noProof/>
          <w:color w:val="000000"/>
          <w:spacing w:val="-10"/>
          <w:sz w:val="28"/>
          <w:szCs w:val="28"/>
        </w:rPr>
        <w:t>(</w:t>
      </w:r>
      <w:hyperlink w:anchor="_Toc96350492" w:history="1">
        <w:r w:rsidRPr="0007178D">
          <w:rPr>
            <w:rFonts w:ascii="標楷體" w:eastAsia="標楷體" w:hAnsi="標楷體" w:hint="eastAsia"/>
            <w:bCs/>
            <w:noProof/>
            <w:color w:val="000000"/>
            <w:sz w:val="28"/>
            <w:szCs w:val="28"/>
          </w:rPr>
          <w:t>二)</w:t>
        </w:r>
        <w:r w:rsidRPr="0007178D">
          <w:rPr>
            <w:rFonts w:ascii="標楷體" w:eastAsia="標楷體" w:hAnsi="標楷體" w:hint="eastAsia"/>
            <w:bCs/>
            <w:noProof/>
            <w:color w:val="000000"/>
            <w:spacing w:val="-10"/>
            <w:sz w:val="28"/>
            <w:szCs w:val="28"/>
          </w:rPr>
          <w:t>待院會</w:t>
        </w:r>
        <w:r w:rsidRPr="0007178D">
          <w:rPr>
            <w:rFonts w:ascii="標楷體" w:eastAsia="標楷體" w:hAnsi="標楷體" w:hint="eastAsia"/>
            <w:bCs/>
            <w:noProof/>
            <w:color w:val="000000"/>
            <w:sz w:val="28"/>
            <w:szCs w:val="28"/>
          </w:rPr>
          <w:t>審議之議案9案</w:t>
        </w:r>
      </w:hyperlink>
      <w:r w:rsidRPr="0007178D">
        <w:rPr>
          <w:rFonts w:ascii="標楷體" w:eastAsia="標楷體" w:hAnsi="標楷體" w:hint="eastAsia"/>
          <w:bCs/>
          <w:noProof/>
          <w:color w:val="000000"/>
          <w:sz w:val="28"/>
          <w:szCs w:val="28"/>
        </w:rPr>
        <w:t>………………………………………34</w:t>
      </w:r>
    </w:p>
    <w:p w14:paraId="6F884A7B"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493" w:history="1">
        <w:r w:rsidRPr="0007178D">
          <w:rPr>
            <w:rFonts w:ascii="標楷體" w:eastAsia="標楷體" w:hAnsi="標楷體" w:hint="eastAsia"/>
            <w:bCs/>
            <w:iCs/>
            <w:noProof/>
            <w:color w:val="000000"/>
            <w:sz w:val="28"/>
            <w:szCs w:val="28"/>
          </w:rPr>
          <w:t>［貳］預（決）算案78案</w:t>
        </w:r>
      </w:hyperlink>
      <w:r w:rsidRPr="0007178D">
        <w:rPr>
          <w:rFonts w:ascii="標楷體" w:eastAsia="標楷體" w:hAnsi="標楷體" w:hint="eastAsia"/>
          <w:bCs/>
          <w:iCs/>
          <w:noProof/>
          <w:color w:val="000000"/>
          <w:sz w:val="28"/>
          <w:szCs w:val="28"/>
        </w:rPr>
        <w:t>…………………………………………………35</w:t>
      </w:r>
    </w:p>
    <w:p w14:paraId="5A9E54A2"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pacing w:val="-10"/>
          <w:sz w:val="28"/>
          <w:szCs w:val="28"/>
        </w:rPr>
      </w:pPr>
      <w:hyperlink w:anchor="_Toc96350494" w:history="1">
        <w:r w:rsidRPr="0007178D">
          <w:rPr>
            <w:rFonts w:ascii="標楷體" w:eastAsia="標楷體" w:hAnsi="標楷體" w:hint="eastAsia"/>
            <w:bCs/>
            <w:noProof/>
            <w:color w:val="000000"/>
            <w:sz w:val="28"/>
            <w:szCs w:val="28"/>
          </w:rPr>
          <w:t>一、</w:t>
        </w:r>
      </w:hyperlink>
      <w:r w:rsidRPr="0007178D">
        <w:rPr>
          <w:rFonts w:ascii="標楷體" w:eastAsia="標楷體" w:hAnsi="標楷體"/>
          <w:bCs/>
          <w:noProof/>
          <w:color w:val="000000"/>
          <w:spacing w:val="-10"/>
          <w:sz w:val="28"/>
          <w:szCs w:val="28"/>
        </w:rPr>
        <w:t>總預算案</w:t>
      </w:r>
      <w:r w:rsidRPr="0007178D">
        <w:rPr>
          <w:rFonts w:ascii="標楷體" w:eastAsia="標楷體" w:hAnsi="標楷體" w:hint="eastAsia"/>
          <w:bCs/>
          <w:noProof/>
          <w:color w:val="000000"/>
          <w:spacing w:val="-10"/>
          <w:sz w:val="28"/>
          <w:szCs w:val="28"/>
        </w:rPr>
        <w:t>2</w:t>
      </w:r>
      <w:r w:rsidRPr="0007178D">
        <w:rPr>
          <w:rFonts w:ascii="標楷體" w:eastAsia="標楷體" w:hAnsi="標楷體"/>
          <w:bCs/>
          <w:noProof/>
          <w:color w:val="000000"/>
          <w:spacing w:val="-10"/>
          <w:sz w:val="28"/>
          <w:szCs w:val="28"/>
        </w:rPr>
        <w:t>案</w:t>
      </w:r>
      <w:r w:rsidRPr="0007178D">
        <w:rPr>
          <w:rFonts w:ascii="標楷體" w:eastAsia="標楷體" w:hAnsi="標楷體" w:hint="eastAsia"/>
          <w:bCs/>
          <w:noProof/>
          <w:color w:val="000000"/>
          <w:sz w:val="28"/>
          <w:szCs w:val="28"/>
        </w:rPr>
        <w:t>………………………………………………………35</w:t>
      </w:r>
    </w:p>
    <w:p w14:paraId="07219FC0"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標楷體" w:eastAsia="標楷體" w:hAnsi="標楷體"/>
          <w:bCs/>
          <w:noProof/>
          <w:color w:val="000000"/>
          <w:spacing w:val="-10"/>
          <w:sz w:val="28"/>
          <w:szCs w:val="28"/>
        </w:rPr>
      </w:pPr>
      <w:hyperlink w:anchor="_Toc96350498" w:history="1">
        <w:r w:rsidRPr="0007178D">
          <w:rPr>
            <w:rFonts w:ascii="標楷體" w:eastAsia="標楷體" w:hAnsi="標楷體"/>
            <w:bCs/>
            <w:noProof/>
            <w:color w:val="000000"/>
            <w:sz w:val="28"/>
            <w:szCs w:val="28"/>
          </w:rPr>
          <w:t>(</w:t>
        </w:r>
        <w:r w:rsidRPr="0007178D">
          <w:rPr>
            <w:rFonts w:ascii="標楷體" w:eastAsia="標楷體" w:hAnsi="標楷體" w:hint="eastAsia"/>
            <w:bCs/>
            <w:noProof/>
            <w:color w:val="000000"/>
            <w:sz w:val="28"/>
            <w:szCs w:val="28"/>
          </w:rPr>
          <w:t>一)</w:t>
        </w:r>
        <w:r w:rsidRPr="0007178D">
          <w:rPr>
            <w:rFonts w:ascii="標楷體" w:eastAsia="標楷體" w:hAnsi="標楷體" w:hint="eastAsia"/>
            <w:bCs/>
            <w:noProof/>
            <w:color w:val="000000"/>
            <w:spacing w:val="-10"/>
            <w:sz w:val="28"/>
            <w:szCs w:val="28"/>
          </w:rPr>
          <w:t>經院會通過</w:t>
        </w:r>
        <w:r w:rsidRPr="0007178D">
          <w:rPr>
            <w:rFonts w:ascii="標楷體" w:eastAsia="標楷體" w:hAnsi="標楷體" w:hint="eastAsia"/>
            <w:bCs/>
            <w:noProof/>
            <w:color w:val="000000"/>
            <w:sz w:val="28"/>
            <w:szCs w:val="28"/>
          </w:rPr>
          <w:t>之</w:t>
        </w:r>
        <w:r w:rsidRPr="0007178D">
          <w:rPr>
            <w:rFonts w:ascii="標楷體" w:eastAsia="標楷體" w:hAnsi="標楷體" w:hint="eastAsia"/>
            <w:bCs/>
            <w:noProof/>
            <w:color w:val="000000"/>
            <w:spacing w:val="-10"/>
            <w:sz w:val="28"/>
            <w:szCs w:val="28"/>
          </w:rPr>
          <w:t>議案</w:t>
        </w:r>
        <w:r w:rsidRPr="0007178D">
          <w:rPr>
            <w:rFonts w:ascii="標楷體" w:eastAsia="標楷體" w:hAnsi="標楷體" w:hint="eastAsia"/>
            <w:bCs/>
            <w:noProof/>
            <w:color w:val="000000"/>
            <w:sz w:val="28"/>
            <w:szCs w:val="28"/>
          </w:rPr>
          <w:t>1案</w:t>
        </w:r>
      </w:hyperlink>
      <w:r w:rsidRPr="0007178D">
        <w:rPr>
          <w:rFonts w:ascii="標楷體" w:eastAsia="標楷體" w:hAnsi="標楷體" w:hint="eastAsia"/>
          <w:bCs/>
          <w:noProof/>
          <w:color w:val="000000"/>
          <w:sz w:val="28"/>
          <w:szCs w:val="28"/>
        </w:rPr>
        <w:t>………………………………………35</w:t>
      </w:r>
    </w:p>
    <w:p w14:paraId="2FFA3482"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標楷體" w:eastAsia="標楷體" w:hAnsi="標楷體"/>
          <w:bCs/>
          <w:noProof/>
          <w:color w:val="000000"/>
          <w:spacing w:val="-10"/>
          <w:sz w:val="28"/>
          <w:szCs w:val="28"/>
        </w:rPr>
      </w:pPr>
      <w:r w:rsidRPr="0007178D">
        <w:rPr>
          <w:rFonts w:ascii="標楷體" w:eastAsia="標楷體" w:hAnsi="標楷體" w:hint="eastAsia"/>
          <w:bCs/>
          <w:noProof/>
          <w:color w:val="000000"/>
          <w:spacing w:val="-10"/>
          <w:sz w:val="28"/>
          <w:szCs w:val="28"/>
        </w:rPr>
        <w:t>(</w:t>
      </w:r>
      <w:hyperlink w:anchor="_Toc96350492" w:history="1">
        <w:r w:rsidRPr="0007178D">
          <w:rPr>
            <w:rFonts w:ascii="標楷體" w:eastAsia="標楷體" w:hAnsi="標楷體" w:hint="eastAsia"/>
            <w:bCs/>
            <w:noProof/>
            <w:color w:val="000000"/>
            <w:sz w:val="28"/>
            <w:szCs w:val="28"/>
          </w:rPr>
          <w:t>二)</w:t>
        </w:r>
        <w:r w:rsidRPr="0007178D">
          <w:rPr>
            <w:rFonts w:ascii="標楷體" w:eastAsia="標楷體" w:hAnsi="標楷體" w:hint="eastAsia"/>
            <w:bCs/>
            <w:noProof/>
            <w:color w:val="000000"/>
            <w:spacing w:val="-10"/>
            <w:sz w:val="28"/>
            <w:szCs w:val="28"/>
          </w:rPr>
          <w:t>待院會</w:t>
        </w:r>
        <w:r w:rsidRPr="0007178D">
          <w:rPr>
            <w:rFonts w:ascii="標楷體" w:eastAsia="標楷體" w:hAnsi="標楷體" w:hint="eastAsia"/>
            <w:bCs/>
            <w:noProof/>
            <w:color w:val="000000"/>
            <w:sz w:val="28"/>
            <w:szCs w:val="28"/>
          </w:rPr>
          <w:t>審議之議案1案</w:t>
        </w:r>
      </w:hyperlink>
      <w:r w:rsidRPr="0007178D">
        <w:rPr>
          <w:rFonts w:ascii="標楷體" w:eastAsia="標楷體" w:hAnsi="標楷體" w:hint="eastAsia"/>
          <w:bCs/>
          <w:noProof/>
          <w:color w:val="000000"/>
          <w:sz w:val="28"/>
          <w:szCs w:val="28"/>
        </w:rPr>
        <w:t>………………………………………37</w:t>
      </w:r>
    </w:p>
    <w:p w14:paraId="2CBD3C10" w14:textId="77777777" w:rsidR="0007178D" w:rsidRPr="0007178D" w:rsidRDefault="0007178D" w:rsidP="0007178D">
      <w:pPr>
        <w:tabs>
          <w:tab w:val="left" w:pos="709"/>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r w:rsidRPr="0007178D">
        <w:rPr>
          <w:rFonts w:ascii="標楷體" w:eastAsia="標楷體" w:hAnsi="標楷體" w:hint="eastAsia"/>
          <w:bCs/>
          <w:noProof/>
          <w:color w:val="000000"/>
          <w:spacing w:val="-10"/>
          <w:sz w:val="28"/>
          <w:szCs w:val="28"/>
        </w:rPr>
        <w:t>二、</w:t>
      </w:r>
      <w:hyperlink w:anchor="_Toc96350497" w:history="1">
        <w:r w:rsidRPr="0007178D">
          <w:rPr>
            <w:rFonts w:ascii="標楷體" w:eastAsia="標楷體" w:hAnsi="標楷體" w:hint="eastAsia"/>
            <w:bCs/>
            <w:noProof/>
            <w:color w:val="000000"/>
            <w:sz w:val="28"/>
            <w:szCs w:val="28"/>
          </w:rPr>
          <w:t>財團法人4案</w:t>
        </w:r>
      </w:hyperlink>
      <w:r w:rsidRPr="0007178D">
        <w:rPr>
          <w:rFonts w:ascii="標楷體" w:eastAsia="標楷體" w:hAnsi="標楷體" w:hint="eastAsia"/>
          <w:bCs/>
          <w:noProof/>
          <w:color w:val="000000"/>
          <w:sz w:val="28"/>
          <w:szCs w:val="28"/>
        </w:rPr>
        <w:t>……………………………………………………37</w:t>
      </w:r>
    </w:p>
    <w:p w14:paraId="72B60DAC"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r w:rsidRPr="0007178D">
        <w:rPr>
          <w:rFonts w:ascii="標楷體" w:eastAsia="標楷體" w:hAnsi="標楷體" w:hint="eastAsia"/>
          <w:bCs/>
          <w:noProof/>
          <w:color w:val="000000"/>
          <w:spacing w:val="-10"/>
          <w:sz w:val="28"/>
          <w:szCs w:val="28"/>
        </w:rPr>
        <w:t>(</w:t>
      </w:r>
      <w:hyperlink w:anchor="_Toc96350498" w:history="1">
        <w:r w:rsidRPr="0007178D">
          <w:rPr>
            <w:rFonts w:ascii="標楷體" w:eastAsia="標楷體" w:hAnsi="標楷體" w:hint="eastAsia"/>
            <w:bCs/>
            <w:noProof/>
            <w:color w:val="000000"/>
            <w:sz w:val="28"/>
            <w:szCs w:val="28"/>
          </w:rPr>
          <w:t>一)</w:t>
        </w:r>
        <w:r w:rsidRPr="0007178D">
          <w:rPr>
            <w:rFonts w:ascii="標楷體" w:eastAsia="標楷體" w:hAnsi="標楷體" w:hint="eastAsia"/>
            <w:bCs/>
            <w:noProof/>
            <w:color w:val="000000"/>
            <w:spacing w:val="-10"/>
            <w:sz w:val="28"/>
            <w:szCs w:val="28"/>
          </w:rPr>
          <w:t>經院會</w:t>
        </w:r>
        <w:r w:rsidRPr="0007178D">
          <w:rPr>
            <w:rFonts w:ascii="標楷體" w:eastAsia="標楷體" w:hAnsi="標楷體" w:hint="eastAsia"/>
            <w:bCs/>
            <w:noProof/>
            <w:color w:val="000000"/>
            <w:sz w:val="28"/>
            <w:szCs w:val="28"/>
          </w:rPr>
          <w:t>通過之議案4案</w:t>
        </w:r>
      </w:hyperlink>
      <w:r w:rsidRPr="0007178D">
        <w:rPr>
          <w:rFonts w:ascii="標楷體" w:eastAsia="標楷體" w:hAnsi="標楷體" w:hint="eastAsia"/>
          <w:bCs/>
          <w:noProof/>
          <w:color w:val="000000"/>
          <w:sz w:val="28"/>
          <w:szCs w:val="28"/>
        </w:rPr>
        <w:t>………………………………………37</w:t>
      </w:r>
    </w:p>
    <w:p w14:paraId="4D3773D9"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pacing w:val="-10"/>
          <w:sz w:val="28"/>
          <w:szCs w:val="28"/>
        </w:rPr>
      </w:pPr>
      <w:r w:rsidRPr="0007178D">
        <w:rPr>
          <w:rFonts w:ascii="標楷體" w:eastAsia="標楷體" w:hAnsi="標楷體" w:hint="eastAsia"/>
          <w:bCs/>
          <w:noProof/>
          <w:color w:val="000000"/>
          <w:spacing w:val="-10"/>
          <w:sz w:val="28"/>
          <w:szCs w:val="28"/>
        </w:rPr>
        <w:t>三</w:t>
      </w:r>
      <w:hyperlink w:anchor="_Toc96350499" w:history="1">
        <w:r w:rsidRPr="0007178D">
          <w:rPr>
            <w:rFonts w:ascii="標楷體" w:eastAsia="標楷體" w:hAnsi="標楷體" w:hint="eastAsia"/>
            <w:bCs/>
            <w:noProof/>
            <w:color w:val="000000"/>
            <w:sz w:val="28"/>
            <w:szCs w:val="28"/>
          </w:rPr>
          <w:t>、預算凍結案72案</w:t>
        </w:r>
      </w:hyperlink>
      <w:r w:rsidRPr="0007178D">
        <w:rPr>
          <w:rFonts w:ascii="標楷體" w:eastAsia="標楷體" w:hAnsi="標楷體" w:hint="eastAsia"/>
          <w:bCs/>
          <w:noProof/>
          <w:color w:val="000000"/>
          <w:sz w:val="28"/>
          <w:szCs w:val="28"/>
        </w:rPr>
        <w:t>…………………………………………………38</w:t>
      </w:r>
    </w:p>
    <w:p w14:paraId="6364291E"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3" w:history="1">
        <w:r w:rsidRPr="0007178D">
          <w:rPr>
            <w:rFonts w:ascii="標楷體" w:eastAsia="標楷體" w:hAnsi="標楷體" w:hint="eastAsia"/>
            <w:bCs/>
            <w:noProof/>
            <w:color w:val="000000"/>
            <w:spacing w:val="-10"/>
            <w:sz w:val="28"/>
            <w:szCs w:val="28"/>
          </w:rPr>
          <w:t>(一)總統府（含國家安全會議、國史館）5案</w:t>
        </w:r>
      </w:hyperlink>
      <w:r w:rsidRPr="0007178D">
        <w:rPr>
          <w:rFonts w:ascii="標楷體" w:eastAsia="標楷體" w:hAnsi="標楷體" w:hint="eastAsia"/>
          <w:bCs/>
          <w:noProof/>
          <w:color w:val="000000"/>
          <w:spacing w:val="-10"/>
          <w:sz w:val="28"/>
          <w:szCs w:val="28"/>
        </w:rPr>
        <w:t>…………………………38</w:t>
      </w:r>
    </w:p>
    <w:p w14:paraId="148A4336"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4" w:history="1">
        <w:r w:rsidRPr="0007178D">
          <w:rPr>
            <w:rFonts w:ascii="標楷體" w:eastAsia="標楷體" w:hAnsi="標楷體" w:hint="eastAsia"/>
            <w:bCs/>
            <w:noProof/>
            <w:color w:val="000000"/>
            <w:spacing w:val="-10"/>
            <w:sz w:val="28"/>
            <w:szCs w:val="28"/>
          </w:rPr>
          <w:t>(二)行政院6案</w:t>
        </w:r>
      </w:hyperlink>
      <w:r w:rsidRPr="0007178D">
        <w:rPr>
          <w:rFonts w:ascii="標楷體" w:eastAsia="標楷體" w:hAnsi="標楷體" w:hint="eastAsia"/>
          <w:bCs/>
          <w:noProof/>
          <w:color w:val="000000"/>
          <w:spacing w:val="-10"/>
          <w:sz w:val="28"/>
          <w:szCs w:val="28"/>
        </w:rPr>
        <w:t>…………………………………………………………39</w:t>
      </w:r>
    </w:p>
    <w:p w14:paraId="174123E5"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5" w:history="1">
        <w:r w:rsidRPr="0007178D">
          <w:rPr>
            <w:rFonts w:ascii="標楷體" w:eastAsia="標楷體" w:hAnsi="標楷體" w:hint="eastAsia"/>
            <w:bCs/>
            <w:noProof/>
            <w:color w:val="000000"/>
            <w:spacing w:val="-10"/>
            <w:sz w:val="28"/>
            <w:szCs w:val="28"/>
          </w:rPr>
          <w:t>(三)立法院32案</w:t>
        </w:r>
      </w:hyperlink>
      <w:r w:rsidRPr="0007178D">
        <w:rPr>
          <w:rFonts w:ascii="標楷體" w:eastAsia="標楷體" w:hAnsi="標楷體" w:hint="eastAsia"/>
          <w:bCs/>
          <w:noProof/>
          <w:color w:val="000000"/>
          <w:spacing w:val="-10"/>
          <w:sz w:val="28"/>
          <w:szCs w:val="28"/>
        </w:rPr>
        <w:t>…………………………………………………………40</w:t>
      </w:r>
    </w:p>
    <w:p w14:paraId="390AC14A"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7" w:history="1">
        <w:r w:rsidRPr="0007178D">
          <w:rPr>
            <w:rFonts w:ascii="標楷體" w:eastAsia="標楷體" w:hAnsi="標楷體" w:hint="eastAsia"/>
            <w:bCs/>
            <w:noProof/>
            <w:color w:val="000000"/>
            <w:spacing w:val="-10"/>
            <w:sz w:val="28"/>
            <w:szCs w:val="28"/>
          </w:rPr>
          <w:t>(四)考試院21案</w:t>
        </w:r>
      </w:hyperlink>
      <w:r w:rsidRPr="0007178D">
        <w:rPr>
          <w:rFonts w:ascii="標楷體" w:eastAsia="標楷體" w:hAnsi="標楷體" w:hint="eastAsia"/>
          <w:bCs/>
          <w:noProof/>
          <w:color w:val="000000"/>
          <w:spacing w:val="-10"/>
          <w:sz w:val="28"/>
          <w:szCs w:val="28"/>
        </w:rPr>
        <w:t>…………………………………………………………45</w:t>
      </w:r>
    </w:p>
    <w:p w14:paraId="6CA5F717"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8" w:history="1">
        <w:r w:rsidRPr="0007178D">
          <w:rPr>
            <w:rFonts w:ascii="標楷體" w:eastAsia="標楷體" w:hAnsi="標楷體" w:hint="eastAsia"/>
            <w:bCs/>
            <w:noProof/>
            <w:color w:val="000000"/>
            <w:spacing w:val="-10"/>
            <w:sz w:val="28"/>
            <w:szCs w:val="28"/>
          </w:rPr>
          <w:t>(五)監察院8案</w:t>
        </w:r>
      </w:hyperlink>
      <w:r w:rsidRPr="0007178D">
        <w:rPr>
          <w:rFonts w:ascii="標楷體" w:eastAsia="標楷體" w:hAnsi="標楷體" w:hint="eastAsia"/>
          <w:bCs/>
          <w:noProof/>
          <w:color w:val="000000"/>
          <w:spacing w:val="-10"/>
          <w:sz w:val="28"/>
          <w:szCs w:val="28"/>
        </w:rPr>
        <w:t>…………………………………………………………49</w:t>
      </w:r>
    </w:p>
    <w:p w14:paraId="36052AF0"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標楷體" w:eastAsia="標楷體" w:hAnsi="標楷體"/>
          <w:bCs/>
          <w:iCs/>
          <w:noProof/>
          <w:color w:val="000000"/>
          <w:sz w:val="28"/>
          <w:szCs w:val="28"/>
        </w:rPr>
      </w:pPr>
      <w:hyperlink w:anchor="_Toc96350502" w:history="1">
        <w:r w:rsidRPr="0007178D">
          <w:rPr>
            <w:rFonts w:ascii="標楷體" w:eastAsia="標楷體" w:hAnsi="標楷體" w:hint="eastAsia"/>
            <w:bCs/>
            <w:iCs/>
            <w:noProof/>
            <w:color w:val="000000"/>
            <w:sz w:val="28"/>
            <w:szCs w:val="28"/>
          </w:rPr>
          <w:t>［參］行政命令案35案</w:t>
        </w:r>
      </w:hyperlink>
      <w:r w:rsidRPr="0007178D">
        <w:rPr>
          <w:rFonts w:ascii="標楷體" w:eastAsia="標楷體" w:hAnsi="標楷體" w:hint="eastAsia"/>
          <w:bCs/>
          <w:iCs/>
          <w:noProof/>
          <w:color w:val="000000"/>
          <w:sz w:val="28"/>
          <w:szCs w:val="28"/>
        </w:rPr>
        <w:t>……………………………………………………50</w:t>
      </w:r>
    </w:p>
    <w:p w14:paraId="7F4CFD25"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標楷體" w:eastAsia="標楷體" w:hAnsi="標楷體"/>
          <w:noProof/>
          <w:color w:val="000000"/>
          <w:sz w:val="28"/>
          <w:szCs w:val="28"/>
        </w:rPr>
      </w:pPr>
      <w:hyperlink w:anchor="_Toc96350503" w:history="1">
        <w:r w:rsidRPr="0007178D">
          <w:rPr>
            <w:rFonts w:ascii="標楷體" w:eastAsia="標楷體" w:hAnsi="標楷體" w:hint="eastAsia"/>
            <w:b/>
            <w:noProof/>
            <w:color w:val="000000"/>
            <w:sz w:val="28"/>
            <w:szCs w:val="28"/>
          </w:rPr>
          <w:t>肆、本會期院會通過之議案</w:t>
        </w:r>
        <w:r w:rsidRPr="0007178D">
          <w:rPr>
            <w:rFonts w:ascii="標楷體" w:eastAsia="標楷體" w:hAnsi="標楷體"/>
            <w:b/>
            <w:noProof/>
            <w:color w:val="000000"/>
            <w:sz w:val="28"/>
            <w:szCs w:val="28"/>
          </w:rPr>
          <w:t>(</w:t>
        </w:r>
        <w:r w:rsidRPr="0007178D">
          <w:rPr>
            <w:rFonts w:ascii="標楷體" w:eastAsia="標楷體" w:hAnsi="標楷體" w:hint="eastAsia"/>
            <w:b/>
            <w:noProof/>
            <w:color w:val="000000"/>
            <w:sz w:val="28"/>
            <w:szCs w:val="28"/>
          </w:rPr>
          <w:t>含逕付二讀案</w:t>
        </w:r>
        <w:r w:rsidRPr="0007178D">
          <w:rPr>
            <w:rFonts w:ascii="標楷體" w:eastAsia="標楷體" w:hAnsi="標楷體"/>
            <w:b/>
            <w:noProof/>
            <w:color w:val="000000"/>
            <w:sz w:val="28"/>
            <w:szCs w:val="28"/>
          </w:rPr>
          <w:t>)</w:t>
        </w:r>
        <w:r w:rsidRPr="0007178D">
          <w:rPr>
            <w:rFonts w:ascii="標楷體" w:eastAsia="標楷體" w:hAnsi="標楷體" w:hint="eastAsia"/>
            <w:b/>
            <w:noProof/>
            <w:color w:val="000000"/>
            <w:sz w:val="28"/>
            <w:szCs w:val="28"/>
          </w:rPr>
          <w:t>262案</w:t>
        </w:r>
      </w:hyperlink>
      <w:r w:rsidRPr="0007178D">
        <w:rPr>
          <w:rFonts w:ascii="標楷體" w:eastAsia="標楷體" w:hAnsi="標楷體" w:hint="eastAsia"/>
          <w:noProof/>
          <w:color w:val="000000"/>
          <w:sz w:val="28"/>
          <w:szCs w:val="28"/>
        </w:rPr>
        <w:t>…………………………54</w:t>
      </w:r>
    </w:p>
    <w:p w14:paraId="47986AFA"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04" w:history="1">
        <w:r w:rsidRPr="0007178D">
          <w:rPr>
            <w:rFonts w:ascii="標楷體" w:eastAsia="標楷體" w:hAnsi="標楷體" w:hint="eastAsia"/>
            <w:bCs/>
            <w:iCs/>
            <w:noProof/>
            <w:color w:val="000000"/>
            <w:sz w:val="28"/>
            <w:szCs w:val="28"/>
          </w:rPr>
          <w:t>［壹］法律案112案（並咨請總統公布）</w:t>
        </w:r>
      </w:hyperlink>
      <w:r w:rsidRPr="0007178D">
        <w:rPr>
          <w:rFonts w:ascii="標楷體" w:eastAsia="標楷體" w:hAnsi="標楷體" w:hint="eastAsia"/>
          <w:bCs/>
          <w:iCs/>
          <w:noProof/>
          <w:color w:val="000000"/>
          <w:sz w:val="28"/>
          <w:szCs w:val="28"/>
        </w:rPr>
        <w:t>…………………………………54</w:t>
      </w:r>
    </w:p>
    <w:p w14:paraId="3D4CE04C"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05" w:history="1">
        <w:r w:rsidRPr="0007178D">
          <w:rPr>
            <w:rFonts w:ascii="標楷體" w:eastAsia="標楷體" w:hAnsi="標楷體" w:hint="eastAsia"/>
            <w:bCs/>
            <w:noProof/>
            <w:color w:val="000000"/>
            <w:sz w:val="28"/>
            <w:szCs w:val="28"/>
          </w:rPr>
          <w:t>一、組織法22案</w:t>
        </w:r>
      </w:hyperlink>
      <w:r w:rsidRPr="0007178D">
        <w:rPr>
          <w:rFonts w:ascii="標楷體" w:eastAsia="標楷體" w:hAnsi="標楷體" w:hint="eastAsia"/>
          <w:bCs/>
          <w:noProof/>
          <w:color w:val="000000"/>
          <w:sz w:val="28"/>
          <w:szCs w:val="28"/>
        </w:rPr>
        <w:t>…………………………………………………………54</w:t>
      </w:r>
    </w:p>
    <w:p w14:paraId="49459787"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06" w:history="1">
        <w:r w:rsidRPr="0007178D">
          <w:rPr>
            <w:rFonts w:ascii="標楷體" w:eastAsia="標楷體" w:hAnsi="標楷體" w:hint="eastAsia"/>
            <w:bCs/>
            <w:noProof/>
            <w:color w:val="000000"/>
            <w:sz w:val="28"/>
            <w:szCs w:val="28"/>
          </w:rPr>
          <w:t>二、作用法90案</w:t>
        </w:r>
      </w:hyperlink>
      <w:r w:rsidRPr="0007178D">
        <w:rPr>
          <w:rFonts w:ascii="標楷體" w:eastAsia="標楷體" w:hAnsi="標楷體" w:hint="eastAsia"/>
          <w:bCs/>
          <w:noProof/>
          <w:color w:val="000000"/>
          <w:sz w:val="28"/>
          <w:szCs w:val="28"/>
        </w:rPr>
        <w:t>…………………………………………………………57</w:t>
      </w:r>
    </w:p>
    <w:p w14:paraId="0DD300AB"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標楷體" w:eastAsia="標楷體" w:hAnsi="標楷體"/>
          <w:bCs/>
          <w:iCs/>
          <w:noProof/>
          <w:sz w:val="28"/>
          <w:szCs w:val="28"/>
        </w:rPr>
      </w:pPr>
      <w:hyperlink w:anchor="_Toc96350507" w:history="1">
        <w:r w:rsidRPr="0007178D">
          <w:rPr>
            <w:rFonts w:ascii="標楷體" w:eastAsia="標楷體" w:hAnsi="標楷體" w:hint="eastAsia"/>
            <w:bCs/>
            <w:iCs/>
            <w:noProof/>
            <w:color w:val="000000"/>
            <w:sz w:val="28"/>
            <w:szCs w:val="28"/>
          </w:rPr>
          <w:t>［貳］預</w:t>
        </w:r>
        <w:r w:rsidRPr="0007178D">
          <w:rPr>
            <w:rFonts w:ascii="標楷體" w:eastAsia="標楷體" w:hAnsi="標楷體"/>
            <w:bCs/>
            <w:iCs/>
            <w:noProof/>
            <w:color w:val="000000"/>
            <w:sz w:val="28"/>
            <w:szCs w:val="28"/>
          </w:rPr>
          <w:t>(</w:t>
        </w:r>
        <w:r w:rsidRPr="0007178D">
          <w:rPr>
            <w:rFonts w:ascii="標楷體" w:eastAsia="標楷體" w:hAnsi="標楷體" w:hint="eastAsia"/>
            <w:bCs/>
            <w:iCs/>
            <w:noProof/>
            <w:color w:val="000000"/>
            <w:sz w:val="28"/>
            <w:szCs w:val="28"/>
          </w:rPr>
          <w:t>決</w:t>
        </w:r>
        <w:r w:rsidRPr="0007178D">
          <w:rPr>
            <w:rFonts w:ascii="標楷體" w:eastAsia="標楷體" w:hAnsi="標楷體"/>
            <w:bCs/>
            <w:iCs/>
            <w:noProof/>
            <w:color w:val="000000"/>
            <w:sz w:val="28"/>
            <w:szCs w:val="28"/>
          </w:rPr>
          <w:t>)</w:t>
        </w:r>
        <w:r w:rsidRPr="0007178D">
          <w:rPr>
            <w:rFonts w:ascii="標楷體" w:eastAsia="標楷體" w:hAnsi="標楷體" w:hint="eastAsia"/>
            <w:bCs/>
            <w:iCs/>
            <w:noProof/>
            <w:color w:val="000000"/>
            <w:sz w:val="28"/>
            <w:szCs w:val="28"/>
          </w:rPr>
          <w:t>算案115案</w:t>
        </w:r>
      </w:hyperlink>
      <w:r w:rsidRPr="0007178D">
        <w:rPr>
          <w:rFonts w:ascii="標楷體" w:eastAsia="標楷體" w:hAnsi="標楷體" w:hint="eastAsia"/>
          <w:bCs/>
          <w:iCs/>
          <w:noProof/>
          <w:color w:val="000000"/>
          <w:sz w:val="28"/>
          <w:szCs w:val="28"/>
        </w:rPr>
        <w:t>……………………………………………………72</w:t>
      </w:r>
    </w:p>
    <w:p w14:paraId="72CD65CD"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z w:val="28"/>
          <w:szCs w:val="28"/>
        </w:rPr>
      </w:pPr>
      <w:hyperlink w:anchor="_Toc96350494" w:history="1">
        <w:r w:rsidRPr="0007178D">
          <w:rPr>
            <w:rFonts w:ascii="標楷體" w:eastAsia="標楷體" w:hAnsi="標楷體" w:hint="eastAsia"/>
            <w:bCs/>
            <w:noProof/>
            <w:color w:val="000000"/>
            <w:sz w:val="28"/>
            <w:szCs w:val="28"/>
          </w:rPr>
          <w:t>一、</w:t>
        </w:r>
      </w:hyperlink>
      <w:r w:rsidRPr="0007178D">
        <w:rPr>
          <w:rFonts w:ascii="標楷體" w:eastAsia="標楷體" w:hAnsi="標楷體"/>
          <w:bCs/>
          <w:noProof/>
          <w:color w:val="000000"/>
          <w:spacing w:val="-10"/>
          <w:sz w:val="28"/>
          <w:szCs w:val="28"/>
        </w:rPr>
        <w:t>總預算案</w:t>
      </w:r>
      <w:r w:rsidRPr="0007178D">
        <w:rPr>
          <w:rFonts w:ascii="標楷體" w:eastAsia="標楷體" w:hAnsi="標楷體" w:hint="eastAsia"/>
          <w:bCs/>
          <w:noProof/>
          <w:color w:val="000000"/>
          <w:spacing w:val="-10"/>
          <w:sz w:val="28"/>
          <w:szCs w:val="28"/>
        </w:rPr>
        <w:t>2</w:t>
      </w:r>
      <w:r w:rsidRPr="0007178D">
        <w:rPr>
          <w:rFonts w:ascii="標楷體" w:eastAsia="標楷體" w:hAnsi="標楷體"/>
          <w:bCs/>
          <w:noProof/>
          <w:color w:val="000000"/>
          <w:spacing w:val="-10"/>
          <w:sz w:val="28"/>
          <w:szCs w:val="28"/>
        </w:rPr>
        <w:t>案</w:t>
      </w:r>
      <w:r w:rsidRPr="0007178D">
        <w:rPr>
          <w:rFonts w:ascii="標楷體" w:eastAsia="標楷體" w:hAnsi="標楷體" w:hint="eastAsia"/>
          <w:bCs/>
          <w:noProof/>
          <w:color w:val="000000"/>
          <w:sz w:val="28"/>
          <w:szCs w:val="28"/>
        </w:rPr>
        <w:t>………………………………………………………72</w:t>
      </w:r>
    </w:p>
    <w:p w14:paraId="4CC766D4"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pacing w:val="-10"/>
          <w:sz w:val="28"/>
          <w:szCs w:val="28"/>
        </w:rPr>
      </w:pPr>
      <w:r w:rsidRPr="0007178D">
        <w:rPr>
          <w:rFonts w:ascii="標楷體" w:eastAsia="標楷體" w:hAnsi="標楷體" w:hint="eastAsia"/>
          <w:bCs/>
          <w:noProof/>
          <w:color w:val="000000"/>
          <w:sz w:val="28"/>
          <w:szCs w:val="28"/>
        </w:rPr>
        <w:t>二、</w:t>
      </w:r>
      <w:hyperlink w:anchor="_Toc96350508" w:history="1">
        <w:r w:rsidRPr="0007178D">
          <w:rPr>
            <w:rFonts w:ascii="標楷體" w:eastAsia="標楷體" w:hAnsi="標楷體" w:hint="eastAsia"/>
            <w:bCs/>
            <w:noProof/>
            <w:color w:val="000000"/>
            <w:sz w:val="28"/>
            <w:szCs w:val="28"/>
          </w:rPr>
          <w:t>財團法人4案</w:t>
        </w:r>
      </w:hyperlink>
      <w:r w:rsidRPr="0007178D">
        <w:rPr>
          <w:rFonts w:ascii="標楷體" w:eastAsia="標楷體" w:hAnsi="標楷體" w:hint="eastAsia"/>
          <w:bCs/>
          <w:noProof/>
          <w:color w:val="000000"/>
          <w:sz w:val="28"/>
          <w:szCs w:val="28"/>
        </w:rPr>
        <w:t>………………………………………………………74</w:t>
      </w:r>
    </w:p>
    <w:p w14:paraId="18C0A883"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pacing w:val="-10"/>
          <w:sz w:val="28"/>
          <w:szCs w:val="28"/>
        </w:rPr>
      </w:pPr>
      <w:r w:rsidRPr="0007178D">
        <w:rPr>
          <w:rFonts w:ascii="標楷體" w:eastAsia="標楷體" w:hAnsi="標楷體" w:hint="eastAsia"/>
          <w:bCs/>
          <w:noProof/>
          <w:color w:val="000000"/>
          <w:spacing w:val="-10"/>
          <w:sz w:val="28"/>
          <w:szCs w:val="28"/>
        </w:rPr>
        <w:t>三</w:t>
      </w:r>
      <w:hyperlink w:anchor="_Toc96350499" w:history="1">
        <w:r w:rsidRPr="0007178D">
          <w:rPr>
            <w:rFonts w:ascii="標楷體" w:eastAsia="標楷體" w:hAnsi="標楷體" w:hint="eastAsia"/>
            <w:bCs/>
            <w:noProof/>
            <w:color w:val="000000"/>
            <w:sz w:val="28"/>
            <w:szCs w:val="28"/>
          </w:rPr>
          <w:t>、預算凍結案109案</w:t>
        </w:r>
      </w:hyperlink>
      <w:r w:rsidRPr="0007178D">
        <w:rPr>
          <w:rFonts w:ascii="標楷體" w:eastAsia="標楷體" w:hAnsi="標楷體" w:hint="eastAsia"/>
          <w:bCs/>
          <w:noProof/>
          <w:color w:val="000000"/>
          <w:sz w:val="28"/>
          <w:szCs w:val="28"/>
        </w:rPr>
        <w:t>…………………………………………………75</w:t>
      </w:r>
    </w:p>
    <w:p w14:paraId="320D66BC"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3" w:history="1">
        <w:r w:rsidRPr="0007178D">
          <w:rPr>
            <w:rFonts w:ascii="標楷體" w:eastAsia="標楷體" w:hAnsi="標楷體" w:hint="eastAsia"/>
            <w:bCs/>
            <w:noProof/>
            <w:color w:val="000000"/>
            <w:spacing w:val="-10"/>
            <w:sz w:val="28"/>
            <w:szCs w:val="28"/>
          </w:rPr>
          <w:t>(一)總統府（含國家安全會議、國史館）5案</w:t>
        </w:r>
      </w:hyperlink>
      <w:r w:rsidRPr="0007178D">
        <w:rPr>
          <w:rFonts w:ascii="標楷體" w:eastAsia="標楷體" w:hAnsi="標楷體" w:hint="eastAsia"/>
          <w:bCs/>
          <w:noProof/>
          <w:color w:val="000000"/>
          <w:spacing w:val="-10"/>
          <w:sz w:val="28"/>
          <w:szCs w:val="28"/>
        </w:rPr>
        <w:t>………………………75</w:t>
      </w:r>
    </w:p>
    <w:p w14:paraId="472AF62A"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4" w:history="1">
        <w:r w:rsidRPr="0007178D">
          <w:rPr>
            <w:rFonts w:ascii="標楷體" w:eastAsia="標楷體" w:hAnsi="標楷體" w:hint="eastAsia"/>
            <w:bCs/>
            <w:noProof/>
            <w:color w:val="000000"/>
            <w:spacing w:val="-10"/>
            <w:sz w:val="28"/>
            <w:szCs w:val="28"/>
          </w:rPr>
          <w:t>(二)行政院26案</w:t>
        </w:r>
      </w:hyperlink>
      <w:r w:rsidRPr="0007178D">
        <w:rPr>
          <w:rFonts w:ascii="標楷體" w:eastAsia="標楷體" w:hAnsi="標楷體" w:hint="eastAsia"/>
          <w:bCs/>
          <w:noProof/>
          <w:color w:val="000000"/>
          <w:spacing w:val="-10"/>
          <w:sz w:val="28"/>
          <w:szCs w:val="28"/>
        </w:rPr>
        <w:t>…………………………………………………………76</w:t>
      </w:r>
    </w:p>
    <w:p w14:paraId="122950AD"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5" w:history="1">
        <w:r w:rsidRPr="0007178D">
          <w:rPr>
            <w:rFonts w:ascii="標楷體" w:eastAsia="標楷體" w:hAnsi="標楷體" w:hint="eastAsia"/>
            <w:bCs/>
            <w:noProof/>
            <w:color w:val="000000"/>
            <w:spacing w:val="-10"/>
            <w:sz w:val="28"/>
            <w:szCs w:val="28"/>
          </w:rPr>
          <w:t>(三)立法院32案</w:t>
        </w:r>
      </w:hyperlink>
      <w:r w:rsidRPr="0007178D">
        <w:rPr>
          <w:rFonts w:ascii="標楷體" w:eastAsia="標楷體" w:hAnsi="標楷體" w:hint="eastAsia"/>
          <w:bCs/>
          <w:noProof/>
          <w:color w:val="000000"/>
          <w:spacing w:val="-10"/>
          <w:sz w:val="28"/>
          <w:szCs w:val="28"/>
        </w:rPr>
        <w:t>…………………………………………………………80</w:t>
      </w:r>
    </w:p>
    <w:p w14:paraId="10CA3CD0"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6" w:history="1">
        <w:r w:rsidRPr="0007178D">
          <w:rPr>
            <w:rFonts w:ascii="標楷體" w:eastAsia="標楷體" w:hAnsi="標楷體" w:hint="eastAsia"/>
            <w:bCs/>
            <w:noProof/>
            <w:color w:val="000000"/>
            <w:spacing w:val="-10"/>
            <w:sz w:val="28"/>
            <w:szCs w:val="28"/>
          </w:rPr>
          <w:t>(四)</w:t>
        </w:r>
        <w:r w:rsidRPr="0007178D">
          <w:rPr>
            <w:rFonts w:ascii="標楷體" w:eastAsia="標楷體" w:hAnsi="標楷體" w:hint="eastAsia"/>
            <w:bCs/>
            <w:noProof/>
            <w:color w:val="000000"/>
            <w:sz w:val="28"/>
            <w:szCs w:val="28"/>
          </w:rPr>
          <w:t>司法院</w:t>
        </w:r>
        <w:r w:rsidRPr="0007178D">
          <w:rPr>
            <w:rFonts w:ascii="標楷體" w:eastAsia="標楷體" w:hAnsi="標楷體" w:hint="eastAsia"/>
            <w:bCs/>
            <w:noProof/>
            <w:color w:val="000000"/>
            <w:spacing w:val="-10"/>
            <w:sz w:val="28"/>
            <w:szCs w:val="28"/>
          </w:rPr>
          <w:t>17案</w:t>
        </w:r>
      </w:hyperlink>
      <w:r w:rsidRPr="0007178D">
        <w:rPr>
          <w:rFonts w:ascii="標楷體" w:eastAsia="標楷體" w:hAnsi="標楷體" w:hint="eastAsia"/>
          <w:bCs/>
          <w:noProof/>
          <w:color w:val="000000"/>
          <w:spacing w:val="-10"/>
          <w:sz w:val="28"/>
          <w:szCs w:val="28"/>
        </w:rPr>
        <w:t>…………………………………………………………84</w:t>
      </w:r>
    </w:p>
    <w:p w14:paraId="398BC4F7"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7" w:history="1">
        <w:r w:rsidRPr="0007178D">
          <w:rPr>
            <w:rFonts w:ascii="標楷體" w:eastAsia="標楷體" w:hAnsi="標楷體" w:hint="eastAsia"/>
            <w:bCs/>
            <w:noProof/>
            <w:color w:val="000000"/>
            <w:spacing w:val="-10"/>
            <w:sz w:val="28"/>
            <w:szCs w:val="28"/>
          </w:rPr>
          <w:t>(五)考試</w:t>
        </w:r>
        <w:r w:rsidRPr="0007178D">
          <w:rPr>
            <w:rFonts w:ascii="標楷體" w:eastAsia="標楷體" w:hAnsi="標楷體" w:hint="eastAsia"/>
            <w:bCs/>
            <w:noProof/>
            <w:color w:val="000000"/>
            <w:sz w:val="28"/>
            <w:szCs w:val="28"/>
          </w:rPr>
          <w:t>院</w:t>
        </w:r>
        <w:r w:rsidRPr="0007178D">
          <w:rPr>
            <w:rFonts w:ascii="標楷體" w:eastAsia="標楷體" w:hAnsi="標楷體" w:hint="eastAsia"/>
            <w:bCs/>
            <w:noProof/>
            <w:color w:val="000000"/>
            <w:spacing w:val="-10"/>
            <w:sz w:val="28"/>
            <w:szCs w:val="28"/>
          </w:rPr>
          <w:t>21案</w:t>
        </w:r>
      </w:hyperlink>
      <w:r w:rsidRPr="0007178D">
        <w:rPr>
          <w:rFonts w:ascii="標楷體" w:eastAsia="標楷體" w:hAnsi="標楷體" w:hint="eastAsia"/>
          <w:bCs/>
          <w:noProof/>
          <w:color w:val="000000"/>
          <w:spacing w:val="-10"/>
          <w:sz w:val="28"/>
          <w:szCs w:val="28"/>
        </w:rPr>
        <w:t>…………………………………………………………86</w:t>
      </w:r>
    </w:p>
    <w:p w14:paraId="4210038F"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8" w:history="1">
        <w:r w:rsidRPr="0007178D">
          <w:rPr>
            <w:rFonts w:ascii="標楷體" w:eastAsia="標楷體" w:hAnsi="標楷體" w:hint="eastAsia"/>
            <w:bCs/>
            <w:noProof/>
            <w:color w:val="000000"/>
            <w:spacing w:val="-10"/>
            <w:sz w:val="28"/>
            <w:szCs w:val="28"/>
          </w:rPr>
          <w:t>(六)監察院8案</w:t>
        </w:r>
      </w:hyperlink>
      <w:r w:rsidRPr="0007178D">
        <w:rPr>
          <w:rFonts w:ascii="標楷體" w:eastAsia="標楷體" w:hAnsi="標楷體" w:hint="eastAsia"/>
          <w:bCs/>
          <w:noProof/>
          <w:color w:val="000000"/>
          <w:spacing w:val="-10"/>
          <w:sz w:val="28"/>
          <w:szCs w:val="28"/>
        </w:rPr>
        <w:t>…………………………………………………………90</w:t>
      </w:r>
    </w:p>
    <w:p w14:paraId="7B6557E4"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標楷體" w:eastAsia="標楷體" w:hAnsi="標楷體"/>
          <w:bCs/>
          <w:iCs/>
          <w:noProof/>
          <w:color w:val="000000"/>
          <w:sz w:val="28"/>
          <w:szCs w:val="28"/>
        </w:rPr>
      </w:pPr>
      <w:hyperlink w:anchor="_Toc96350502" w:history="1">
        <w:r w:rsidRPr="0007178D">
          <w:rPr>
            <w:rFonts w:ascii="標楷體" w:eastAsia="標楷體" w:hAnsi="標楷體" w:hint="eastAsia"/>
            <w:bCs/>
            <w:iCs/>
            <w:noProof/>
            <w:color w:val="000000"/>
            <w:sz w:val="28"/>
            <w:szCs w:val="28"/>
          </w:rPr>
          <w:t>［參］行政命令案35案</w:t>
        </w:r>
      </w:hyperlink>
      <w:r w:rsidRPr="0007178D">
        <w:rPr>
          <w:rFonts w:ascii="標楷體" w:eastAsia="標楷體" w:hAnsi="標楷體" w:hint="eastAsia"/>
          <w:bCs/>
          <w:iCs/>
          <w:noProof/>
          <w:color w:val="000000"/>
          <w:sz w:val="28"/>
          <w:szCs w:val="28"/>
        </w:rPr>
        <w:t>……………………………………………………92</w:t>
      </w:r>
    </w:p>
    <w:p w14:paraId="79E9C8F3"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Calibri" w:hAnsi="Calibri"/>
          <w:noProof/>
          <w:color w:val="000000"/>
          <w:szCs w:val="22"/>
        </w:rPr>
      </w:pPr>
      <w:hyperlink w:anchor="_Toc96350513" w:history="1">
        <w:r w:rsidRPr="0007178D">
          <w:rPr>
            <w:rFonts w:ascii="標楷體" w:eastAsia="標楷體" w:hAnsi="標楷體" w:hint="eastAsia"/>
            <w:b/>
            <w:noProof/>
            <w:color w:val="000000"/>
            <w:sz w:val="28"/>
            <w:szCs w:val="28"/>
          </w:rPr>
          <w:t>伍、尚待院會審議之議案53案</w:t>
        </w:r>
      </w:hyperlink>
      <w:r w:rsidRPr="0007178D">
        <w:rPr>
          <w:rFonts w:ascii="標楷體" w:eastAsia="標楷體" w:hAnsi="標楷體" w:hint="eastAsia"/>
          <w:noProof/>
          <w:color w:val="000000"/>
          <w:sz w:val="28"/>
          <w:szCs w:val="28"/>
        </w:rPr>
        <w:t>………………………………………………96</w:t>
      </w:r>
    </w:p>
    <w:p w14:paraId="18CF0D89"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標楷體" w:eastAsia="標楷體" w:hAnsi="標楷體"/>
          <w:bCs/>
          <w:iCs/>
          <w:noProof/>
          <w:sz w:val="28"/>
          <w:szCs w:val="28"/>
        </w:rPr>
      </w:pPr>
      <w:hyperlink w:anchor="_Toc96350514" w:history="1">
        <w:r w:rsidRPr="0007178D">
          <w:rPr>
            <w:rFonts w:ascii="標楷體" w:eastAsia="標楷體" w:hAnsi="標楷體" w:hint="eastAsia"/>
            <w:bCs/>
            <w:iCs/>
            <w:noProof/>
            <w:color w:val="000000"/>
            <w:sz w:val="28"/>
            <w:szCs w:val="28"/>
          </w:rPr>
          <w:t>［壹］法律案49案</w:t>
        </w:r>
      </w:hyperlink>
      <w:r w:rsidRPr="0007178D">
        <w:rPr>
          <w:rFonts w:ascii="標楷體" w:eastAsia="標楷體" w:hAnsi="標楷體" w:hint="eastAsia"/>
          <w:bCs/>
          <w:iCs/>
          <w:noProof/>
          <w:color w:val="000000"/>
          <w:sz w:val="28"/>
          <w:szCs w:val="28"/>
        </w:rPr>
        <w:t>…………………………………………………………96</w:t>
      </w:r>
    </w:p>
    <w:p w14:paraId="5A4712F7"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05" w:history="1">
        <w:r w:rsidRPr="0007178D">
          <w:rPr>
            <w:rFonts w:ascii="標楷體" w:eastAsia="標楷體" w:hAnsi="標楷體" w:hint="eastAsia"/>
            <w:bCs/>
            <w:noProof/>
            <w:color w:val="000000"/>
            <w:sz w:val="28"/>
            <w:szCs w:val="28"/>
          </w:rPr>
          <w:t>一、組織法8案</w:t>
        </w:r>
      </w:hyperlink>
      <w:r w:rsidRPr="0007178D">
        <w:rPr>
          <w:rFonts w:ascii="標楷體" w:eastAsia="標楷體" w:hAnsi="標楷體" w:hint="eastAsia"/>
          <w:bCs/>
          <w:noProof/>
          <w:color w:val="000000"/>
          <w:sz w:val="28"/>
          <w:szCs w:val="28"/>
        </w:rPr>
        <w:t>…………………………………………………………96</w:t>
      </w:r>
    </w:p>
    <w:p w14:paraId="73AF7188"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15" w:history="1">
        <w:r w:rsidRPr="0007178D">
          <w:rPr>
            <w:rFonts w:ascii="標楷體" w:eastAsia="標楷體" w:hAnsi="標楷體" w:hint="eastAsia"/>
            <w:bCs/>
            <w:noProof/>
            <w:color w:val="000000"/>
            <w:sz w:val="28"/>
            <w:szCs w:val="28"/>
          </w:rPr>
          <w:t>二、</w:t>
        </w:r>
      </w:hyperlink>
      <w:hyperlink w:anchor="_Toc96350516" w:history="1">
        <w:r w:rsidRPr="0007178D">
          <w:rPr>
            <w:rFonts w:ascii="標楷體" w:eastAsia="標楷體" w:hAnsi="標楷體" w:hint="eastAsia"/>
            <w:bCs/>
            <w:noProof/>
            <w:color w:val="000000"/>
            <w:sz w:val="28"/>
            <w:szCs w:val="28"/>
          </w:rPr>
          <w:t>作用法41案</w:t>
        </w:r>
      </w:hyperlink>
      <w:r w:rsidRPr="0007178D">
        <w:rPr>
          <w:rFonts w:ascii="標楷體" w:eastAsia="標楷體" w:hAnsi="標楷體" w:hint="eastAsia"/>
          <w:bCs/>
          <w:noProof/>
          <w:color w:val="000000"/>
          <w:sz w:val="28"/>
          <w:szCs w:val="28"/>
        </w:rPr>
        <w:t>…………………………………………………………97</w:t>
      </w:r>
    </w:p>
    <w:p w14:paraId="2CA36C83"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17" w:history="1">
        <w:r w:rsidRPr="0007178D">
          <w:rPr>
            <w:rFonts w:ascii="標楷體" w:eastAsia="標楷體" w:hAnsi="標楷體" w:hint="eastAsia"/>
            <w:bCs/>
            <w:iCs/>
            <w:noProof/>
            <w:color w:val="000000"/>
            <w:sz w:val="28"/>
            <w:szCs w:val="28"/>
          </w:rPr>
          <w:t>［貳］預（決）算案4案</w:t>
        </w:r>
      </w:hyperlink>
      <w:r w:rsidRPr="0007178D">
        <w:rPr>
          <w:rFonts w:ascii="標楷體" w:eastAsia="標楷體" w:hAnsi="標楷體" w:hint="eastAsia"/>
          <w:bCs/>
          <w:iCs/>
          <w:noProof/>
          <w:color w:val="000000"/>
          <w:sz w:val="28"/>
          <w:szCs w:val="28"/>
        </w:rPr>
        <w:t>……………………………………………………101</w:t>
      </w:r>
    </w:p>
    <w:p w14:paraId="1486AC0B"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18" w:history="1">
        <w:r w:rsidRPr="0007178D">
          <w:rPr>
            <w:rFonts w:ascii="標楷體" w:eastAsia="標楷體" w:hAnsi="標楷體" w:hint="eastAsia"/>
            <w:bCs/>
            <w:noProof/>
            <w:color w:val="000000"/>
            <w:sz w:val="28"/>
            <w:szCs w:val="28"/>
          </w:rPr>
          <w:t>一、總預算案</w:t>
        </w:r>
        <w:r w:rsidRPr="0007178D">
          <w:rPr>
            <w:rFonts w:ascii="標楷體" w:eastAsia="標楷體" w:hAnsi="標楷體"/>
            <w:bCs/>
            <w:noProof/>
            <w:color w:val="000000"/>
            <w:sz w:val="28"/>
            <w:szCs w:val="28"/>
          </w:rPr>
          <w:t>1</w:t>
        </w:r>
        <w:r w:rsidRPr="0007178D">
          <w:rPr>
            <w:rFonts w:ascii="標楷體" w:eastAsia="標楷體" w:hAnsi="標楷體" w:hint="eastAsia"/>
            <w:bCs/>
            <w:noProof/>
            <w:color w:val="000000"/>
            <w:sz w:val="28"/>
            <w:szCs w:val="28"/>
          </w:rPr>
          <w:t>案</w:t>
        </w:r>
      </w:hyperlink>
      <w:r w:rsidRPr="0007178D">
        <w:rPr>
          <w:rFonts w:ascii="標楷體" w:eastAsia="標楷體" w:hAnsi="標楷體" w:hint="eastAsia"/>
          <w:bCs/>
          <w:noProof/>
          <w:color w:val="000000"/>
          <w:sz w:val="28"/>
          <w:szCs w:val="28"/>
        </w:rPr>
        <w:t>………………………………………………………101</w:t>
      </w:r>
    </w:p>
    <w:p w14:paraId="0D82DC4B"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pacing w:val="-10"/>
          <w:sz w:val="28"/>
          <w:szCs w:val="28"/>
        </w:rPr>
      </w:pPr>
      <w:hyperlink w:anchor="_Toc96350519" w:history="1">
        <w:r w:rsidRPr="0007178D">
          <w:rPr>
            <w:rFonts w:ascii="標楷體" w:eastAsia="標楷體" w:hAnsi="標楷體" w:hint="eastAsia"/>
            <w:bCs/>
            <w:noProof/>
            <w:color w:val="000000"/>
            <w:sz w:val="28"/>
            <w:szCs w:val="28"/>
          </w:rPr>
          <w:t>二、財團法人3案</w:t>
        </w:r>
      </w:hyperlink>
      <w:r w:rsidRPr="0007178D">
        <w:rPr>
          <w:rFonts w:ascii="標楷體" w:eastAsia="標楷體" w:hAnsi="標楷體" w:hint="eastAsia"/>
          <w:bCs/>
          <w:noProof/>
          <w:color w:val="000000"/>
          <w:sz w:val="28"/>
          <w:szCs w:val="28"/>
        </w:rPr>
        <w:t>………………………………………………………102</w:t>
      </w:r>
    </w:p>
    <w:p w14:paraId="7049E8DC"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Calibri" w:hAnsi="Calibri"/>
          <w:noProof/>
          <w:color w:val="000000"/>
          <w:szCs w:val="22"/>
        </w:rPr>
      </w:pPr>
      <w:hyperlink w:anchor="_Toc96350520" w:history="1">
        <w:r w:rsidRPr="0007178D">
          <w:rPr>
            <w:rFonts w:ascii="標楷體" w:eastAsia="標楷體" w:hAnsi="標楷體" w:hint="eastAsia"/>
            <w:b/>
            <w:noProof/>
            <w:color w:val="000000"/>
            <w:sz w:val="28"/>
            <w:szCs w:val="28"/>
          </w:rPr>
          <w:t>陸、本會待（繼續）審查之議案1236案</w:t>
        </w:r>
      </w:hyperlink>
      <w:r w:rsidRPr="0007178D">
        <w:rPr>
          <w:rFonts w:ascii="標楷體" w:eastAsia="標楷體" w:hAnsi="標楷體" w:hint="eastAsia"/>
          <w:noProof/>
          <w:color w:val="000000"/>
          <w:sz w:val="28"/>
          <w:szCs w:val="28"/>
        </w:rPr>
        <w:t>……………………………………103</w:t>
      </w:r>
    </w:p>
    <w:p w14:paraId="5E7721ED"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21" w:history="1">
        <w:r w:rsidRPr="0007178D">
          <w:rPr>
            <w:rFonts w:ascii="標楷體" w:eastAsia="標楷體" w:hAnsi="標楷體" w:hint="eastAsia"/>
            <w:bCs/>
            <w:iCs/>
            <w:noProof/>
            <w:color w:val="000000"/>
            <w:sz w:val="28"/>
            <w:szCs w:val="28"/>
          </w:rPr>
          <w:t>〔壹〕法律案927案</w:t>
        </w:r>
      </w:hyperlink>
      <w:r w:rsidRPr="0007178D">
        <w:rPr>
          <w:rFonts w:ascii="標楷體" w:eastAsia="標楷體" w:hAnsi="標楷體" w:hint="eastAsia"/>
          <w:bCs/>
          <w:iCs/>
          <w:noProof/>
          <w:color w:val="000000"/>
          <w:sz w:val="28"/>
          <w:szCs w:val="28"/>
        </w:rPr>
        <w:t>………………………………………………………103</w:t>
      </w:r>
    </w:p>
    <w:p w14:paraId="1B5D716B"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22" w:history="1">
        <w:r w:rsidRPr="0007178D">
          <w:rPr>
            <w:rFonts w:ascii="標楷體" w:eastAsia="標楷體" w:hAnsi="標楷體" w:hint="eastAsia"/>
            <w:bCs/>
            <w:noProof/>
            <w:color w:val="000000"/>
            <w:sz w:val="28"/>
            <w:szCs w:val="28"/>
          </w:rPr>
          <w:t>一、組織法</w:t>
        </w:r>
        <w:r w:rsidRPr="0007178D">
          <w:rPr>
            <w:rFonts w:ascii="標楷體" w:eastAsia="標楷體" w:hAnsi="標楷體" w:hint="eastAsia"/>
            <w:bCs/>
            <w:noProof/>
            <w:color w:val="000000"/>
            <w:spacing w:val="-10"/>
            <w:sz w:val="28"/>
            <w:szCs w:val="28"/>
          </w:rPr>
          <w:t>275</w:t>
        </w:r>
        <w:r w:rsidRPr="0007178D">
          <w:rPr>
            <w:rFonts w:ascii="標楷體" w:eastAsia="標楷體" w:hAnsi="標楷體" w:hint="eastAsia"/>
            <w:bCs/>
            <w:noProof/>
            <w:color w:val="000000"/>
            <w:sz w:val="28"/>
            <w:szCs w:val="28"/>
          </w:rPr>
          <w:t>案</w:t>
        </w:r>
      </w:hyperlink>
      <w:r w:rsidRPr="0007178D">
        <w:rPr>
          <w:rFonts w:ascii="標楷體" w:eastAsia="標楷體" w:hAnsi="標楷體" w:hint="eastAsia"/>
          <w:bCs/>
          <w:noProof/>
          <w:color w:val="000000"/>
          <w:sz w:val="28"/>
          <w:szCs w:val="28"/>
        </w:rPr>
        <w:t>………………………………………………………103</w:t>
      </w:r>
    </w:p>
    <w:p w14:paraId="6AD4D40F"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3" w:history="1">
        <w:r w:rsidRPr="0007178D">
          <w:rPr>
            <w:rFonts w:ascii="標楷體" w:eastAsia="標楷體" w:hAnsi="標楷體" w:hint="eastAsia"/>
            <w:bCs/>
            <w:noProof/>
            <w:color w:val="000000"/>
            <w:spacing w:val="-10"/>
            <w:sz w:val="28"/>
            <w:szCs w:val="28"/>
          </w:rPr>
          <w:t>(一)總統府（含國家安全會議）6案</w:t>
        </w:r>
      </w:hyperlink>
      <w:r w:rsidRPr="0007178D">
        <w:rPr>
          <w:rFonts w:ascii="標楷體" w:eastAsia="標楷體" w:hAnsi="標楷體" w:hint="eastAsia"/>
          <w:bCs/>
          <w:noProof/>
          <w:color w:val="000000"/>
          <w:spacing w:val="-10"/>
          <w:sz w:val="28"/>
          <w:szCs w:val="28"/>
        </w:rPr>
        <w:t>…………………………………103</w:t>
      </w:r>
    </w:p>
    <w:p w14:paraId="01D83A84"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4" w:history="1">
        <w:r w:rsidRPr="0007178D">
          <w:rPr>
            <w:rFonts w:ascii="標楷體" w:eastAsia="標楷體" w:hAnsi="標楷體" w:hint="eastAsia"/>
            <w:bCs/>
            <w:noProof/>
            <w:color w:val="000000"/>
            <w:spacing w:val="-10"/>
            <w:sz w:val="28"/>
            <w:szCs w:val="28"/>
          </w:rPr>
          <w:t>(二)行政院246案</w:t>
        </w:r>
      </w:hyperlink>
      <w:r w:rsidRPr="0007178D">
        <w:rPr>
          <w:rFonts w:ascii="標楷體" w:eastAsia="標楷體" w:hAnsi="標楷體" w:hint="eastAsia"/>
          <w:bCs/>
          <w:noProof/>
          <w:color w:val="000000"/>
          <w:spacing w:val="-10"/>
          <w:sz w:val="28"/>
          <w:szCs w:val="28"/>
        </w:rPr>
        <w:t>………………………………………………………104</w:t>
      </w:r>
    </w:p>
    <w:p w14:paraId="5F497F31"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5" w:history="1">
        <w:r w:rsidRPr="0007178D">
          <w:rPr>
            <w:rFonts w:ascii="標楷體" w:eastAsia="標楷體" w:hAnsi="標楷體" w:hint="eastAsia"/>
            <w:bCs/>
            <w:noProof/>
            <w:color w:val="000000"/>
            <w:spacing w:val="-10"/>
            <w:sz w:val="28"/>
            <w:szCs w:val="28"/>
          </w:rPr>
          <w:t>(三)立法院</w:t>
        </w:r>
        <w:r w:rsidRPr="0007178D">
          <w:rPr>
            <w:rFonts w:ascii="標楷體" w:eastAsia="標楷體" w:hAnsi="標楷體"/>
            <w:bCs/>
            <w:noProof/>
            <w:color w:val="000000"/>
            <w:spacing w:val="-10"/>
            <w:sz w:val="28"/>
            <w:szCs w:val="28"/>
          </w:rPr>
          <w:t>9</w:t>
        </w:r>
        <w:r w:rsidRPr="0007178D">
          <w:rPr>
            <w:rFonts w:ascii="標楷體" w:eastAsia="標楷體" w:hAnsi="標楷體" w:hint="eastAsia"/>
            <w:bCs/>
            <w:noProof/>
            <w:color w:val="000000"/>
            <w:spacing w:val="-10"/>
            <w:sz w:val="28"/>
            <w:szCs w:val="28"/>
          </w:rPr>
          <w:t>案</w:t>
        </w:r>
      </w:hyperlink>
      <w:r w:rsidRPr="0007178D">
        <w:rPr>
          <w:rFonts w:ascii="標楷體" w:eastAsia="標楷體" w:hAnsi="標楷體" w:hint="eastAsia"/>
          <w:bCs/>
          <w:noProof/>
          <w:color w:val="000000"/>
          <w:spacing w:val="-10"/>
          <w:sz w:val="28"/>
          <w:szCs w:val="28"/>
        </w:rPr>
        <w:t>…………………………………………………………142</w:t>
      </w:r>
    </w:p>
    <w:p w14:paraId="21A15F36"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6" w:history="1">
        <w:r w:rsidRPr="0007178D">
          <w:rPr>
            <w:rFonts w:ascii="標楷體" w:eastAsia="標楷體" w:hAnsi="標楷體" w:hint="eastAsia"/>
            <w:bCs/>
            <w:noProof/>
            <w:color w:val="000000"/>
            <w:spacing w:val="-10"/>
            <w:sz w:val="28"/>
            <w:szCs w:val="28"/>
          </w:rPr>
          <w:t>(四)</w:t>
        </w:r>
        <w:r w:rsidRPr="0007178D">
          <w:rPr>
            <w:rFonts w:ascii="標楷體" w:eastAsia="標楷體" w:hAnsi="標楷體" w:hint="eastAsia"/>
            <w:bCs/>
            <w:noProof/>
            <w:color w:val="000000"/>
            <w:sz w:val="28"/>
            <w:szCs w:val="28"/>
          </w:rPr>
          <w:t>司法</w:t>
        </w:r>
        <w:r w:rsidRPr="0007178D">
          <w:rPr>
            <w:rFonts w:ascii="標楷體" w:eastAsia="標楷體" w:hAnsi="標楷體" w:hint="eastAsia"/>
            <w:bCs/>
            <w:noProof/>
            <w:color w:val="000000"/>
            <w:spacing w:val="-10"/>
            <w:sz w:val="28"/>
            <w:szCs w:val="28"/>
          </w:rPr>
          <w:t>院6案</w:t>
        </w:r>
      </w:hyperlink>
      <w:r w:rsidRPr="0007178D">
        <w:rPr>
          <w:rFonts w:ascii="標楷體" w:eastAsia="標楷體" w:hAnsi="標楷體" w:hint="eastAsia"/>
          <w:bCs/>
          <w:noProof/>
          <w:color w:val="000000"/>
          <w:spacing w:val="-10"/>
          <w:sz w:val="28"/>
          <w:szCs w:val="28"/>
        </w:rPr>
        <w:t>…………………………………………………………144</w:t>
      </w:r>
    </w:p>
    <w:p w14:paraId="46CE4E05"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7" w:history="1">
        <w:r w:rsidRPr="0007178D">
          <w:rPr>
            <w:rFonts w:ascii="標楷體" w:eastAsia="標楷體" w:hAnsi="標楷體" w:hint="eastAsia"/>
            <w:bCs/>
            <w:noProof/>
            <w:color w:val="000000"/>
            <w:spacing w:val="-10"/>
            <w:sz w:val="28"/>
            <w:szCs w:val="28"/>
          </w:rPr>
          <w:t>(五)考試</w:t>
        </w:r>
        <w:r w:rsidRPr="0007178D">
          <w:rPr>
            <w:rFonts w:ascii="標楷體" w:eastAsia="標楷體" w:hAnsi="標楷體" w:hint="eastAsia"/>
            <w:bCs/>
            <w:noProof/>
            <w:color w:val="000000"/>
            <w:sz w:val="28"/>
            <w:szCs w:val="28"/>
          </w:rPr>
          <w:t>院</w:t>
        </w:r>
        <w:r w:rsidRPr="0007178D">
          <w:rPr>
            <w:rFonts w:ascii="標楷體" w:eastAsia="標楷體" w:hAnsi="標楷體" w:hint="eastAsia"/>
            <w:bCs/>
            <w:noProof/>
            <w:color w:val="000000"/>
            <w:spacing w:val="-10"/>
            <w:sz w:val="28"/>
            <w:szCs w:val="28"/>
          </w:rPr>
          <w:t>3案</w:t>
        </w:r>
      </w:hyperlink>
      <w:r w:rsidRPr="0007178D">
        <w:rPr>
          <w:rFonts w:ascii="標楷體" w:eastAsia="標楷體" w:hAnsi="標楷體" w:hint="eastAsia"/>
          <w:bCs/>
          <w:noProof/>
          <w:color w:val="000000"/>
          <w:spacing w:val="-10"/>
          <w:sz w:val="28"/>
          <w:szCs w:val="28"/>
        </w:rPr>
        <w:t>…………………………………………………………145</w:t>
      </w:r>
    </w:p>
    <w:p w14:paraId="7393E084"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8" w:history="1">
        <w:r w:rsidRPr="0007178D">
          <w:rPr>
            <w:rFonts w:ascii="標楷體" w:eastAsia="標楷體" w:hAnsi="標楷體" w:hint="eastAsia"/>
            <w:bCs/>
            <w:noProof/>
            <w:color w:val="000000"/>
            <w:spacing w:val="-10"/>
            <w:sz w:val="28"/>
            <w:szCs w:val="28"/>
          </w:rPr>
          <w:t>(六)監察院1案</w:t>
        </w:r>
      </w:hyperlink>
      <w:r w:rsidRPr="0007178D">
        <w:rPr>
          <w:rFonts w:ascii="標楷體" w:eastAsia="標楷體" w:hAnsi="標楷體" w:hint="eastAsia"/>
          <w:bCs/>
          <w:noProof/>
          <w:color w:val="000000"/>
          <w:spacing w:val="-10"/>
          <w:sz w:val="28"/>
          <w:szCs w:val="28"/>
        </w:rPr>
        <w:t>…………………………………………………………146</w:t>
      </w:r>
    </w:p>
    <w:p w14:paraId="0B192BD5"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29" w:history="1">
        <w:r w:rsidRPr="0007178D">
          <w:rPr>
            <w:rFonts w:ascii="標楷體" w:eastAsia="標楷體" w:hAnsi="標楷體" w:hint="eastAsia"/>
            <w:bCs/>
            <w:noProof/>
            <w:color w:val="000000"/>
            <w:spacing w:val="-10"/>
            <w:sz w:val="28"/>
            <w:szCs w:val="28"/>
          </w:rPr>
          <w:t>(七)其他（包含交付多個委員會聯席審查）4案</w:t>
        </w:r>
      </w:hyperlink>
      <w:r w:rsidRPr="0007178D">
        <w:rPr>
          <w:rFonts w:ascii="標楷體" w:eastAsia="標楷體" w:hAnsi="標楷體" w:hint="eastAsia"/>
          <w:bCs/>
          <w:noProof/>
          <w:color w:val="000000"/>
          <w:spacing w:val="-10"/>
          <w:sz w:val="28"/>
          <w:szCs w:val="28"/>
        </w:rPr>
        <w:t>……………………147</w:t>
      </w:r>
    </w:p>
    <w:p w14:paraId="5FB331DD"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30" w:history="1">
        <w:r w:rsidRPr="0007178D">
          <w:rPr>
            <w:rFonts w:ascii="標楷體" w:eastAsia="標楷體" w:hAnsi="標楷體" w:hint="eastAsia"/>
            <w:bCs/>
            <w:noProof/>
            <w:color w:val="000000"/>
            <w:sz w:val="28"/>
            <w:szCs w:val="28"/>
          </w:rPr>
          <w:t>二、作用法652案</w:t>
        </w:r>
      </w:hyperlink>
      <w:r w:rsidRPr="0007178D">
        <w:rPr>
          <w:rFonts w:ascii="標楷體" w:eastAsia="標楷體" w:hAnsi="標楷體" w:hint="eastAsia"/>
          <w:bCs/>
          <w:noProof/>
          <w:color w:val="000000"/>
          <w:sz w:val="28"/>
          <w:szCs w:val="28"/>
        </w:rPr>
        <w:t>………………………………………………………148</w:t>
      </w:r>
    </w:p>
    <w:p w14:paraId="788CE0EB"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31" w:history="1">
        <w:r w:rsidRPr="0007178D">
          <w:rPr>
            <w:rFonts w:ascii="標楷體" w:eastAsia="標楷體" w:hAnsi="標楷體" w:hint="eastAsia"/>
            <w:bCs/>
            <w:noProof/>
            <w:color w:val="000000"/>
            <w:spacing w:val="-10"/>
            <w:sz w:val="28"/>
            <w:szCs w:val="28"/>
          </w:rPr>
          <w:t>(一)總統府（含國家安全會議）</w:t>
        </w:r>
        <w:r w:rsidRPr="0007178D">
          <w:rPr>
            <w:rFonts w:ascii="標楷體" w:eastAsia="標楷體" w:hAnsi="標楷體"/>
            <w:bCs/>
            <w:noProof/>
            <w:color w:val="000000"/>
            <w:spacing w:val="-10"/>
            <w:sz w:val="28"/>
            <w:szCs w:val="28"/>
          </w:rPr>
          <w:t>1</w:t>
        </w:r>
        <w:r w:rsidRPr="0007178D">
          <w:rPr>
            <w:rFonts w:ascii="標楷體" w:eastAsia="標楷體" w:hAnsi="標楷體" w:hint="eastAsia"/>
            <w:bCs/>
            <w:noProof/>
            <w:color w:val="000000"/>
            <w:spacing w:val="-10"/>
            <w:sz w:val="28"/>
            <w:szCs w:val="28"/>
          </w:rPr>
          <w:t>5案</w:t>
        </w:r>
      </w:hyperlink>
      <w:r w:rsidRPr="0007178D">
        <w:rPr>
          <w:rFonts w:ascii="標楷體" w:eastAsia="標楷體" w:hAnsi="標楷體" w:hint="eastAsia"/>
          <w:bCs/>
          <w:noProof/>
          <w:color w:val="000000"/>
          <w:spacing w:val="-10"/>
          <w:sz w:val="28"/>
          <w:szCs w:val="28"/>
        </w:rPr>
        <w:t>…………………………………148</w:t>
      </w:r>
    </w:p>
    <w:p w14:paraId="4F9D9E51"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32" w:history="1">
        <w:r w:rsidRPr="0007178D">
          <w:rPr>
            <w:rFonts w:ascii="標楷體" w:eastAsia="標楷體" w:hAnsi="標楷體" w:hint="eastAsia"/>
            <w:bCs/>
            <w:noProof/>
            <w:color w:val="000000"/>
            <w:spacing w:val="-10"/>
            <w:sz w:val="28"/>
            <w:szCs w:val="28"/>
          </w:rPr>
          <w:t>(二)行政院403案</w:t>
        </w:r>
      </w:hyperlink>
      <w:r w:rsidRPr="0007178D">
        <w:rPr>
          <w:rFonts w:ascii="標楷體" w:eastAsia="標楷體" w:hAnsi="標楷體" w:hint="eastAsia"/>
          <w:bCs/>
          <w:noProof/>
          <w:color w:val="000000"/>
          <w:spacing w:val="-10"/>
          <w:sz w:val="28"/>
          <w:szCs w:val="28"/>
        </w:rPr>
        <w:t>………………………………………………………150</w:t>
      </w:r>
    </w:p>
    <w:p w14:paraId="63B13A32"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33" w:history="1">
        <w:r w:rsidRPr="0007178D">
          <w:rPr>
            <w:rFonts w:ascii="標楷體" w:eastAsia="標楷體" w:hAnsi="標楷體" w:hint="eastAsia"/>
            <w:bCs/>
            <w:noProof/>
            <w:color w:val="000000"/>
            <w:spacing w:val="-10"/>
            <w:sz w:val="28"/>
            <w:szCs w:val="28"/>
          </w:rPr>
          <w:t>(三)立法院</w:t>
        </w:r>
        <w:r w:rsidRPr="0007178D">
          <w:rPr>
            <w:rFonts w:ascii="標楷體" w:eastAsia="標楷體" w:hAnsi="標楷體"/>
            <w:bCs/>
            <w:noProof/>
            <w:color w:val="000000"/>
            <w:spacing w:val="-10"/>
            <w:sz w:val="28"/>
            <w:szCs w:val="28"/>
          </w:rPr>
          <w:t>3</w:t>
        </w:r>
        <w:r w:rsidRPr="0007178D">
          <w:rPr>
            <w:rFonts w:ascii="標楷體" w:eastAsia="標楷體" w:hAnsi="標楷體" w:hint="eastAsia"/>
            <w:bCs/>
            <w:noProof/>
            <w:color w:val="000000"/>
            <w:spacing w:val="-10"/>
            <w:sz w:val="28"/>
            <w:szCs w:val="28"/>
          </w:rPr>
          <w:t>3案</w:t>
        </w:r>
      </w:hyperlink>
      <w:r w:rsidRPr="0007178D">
        <w:rPr>
          <w:rFonts w:ascii="標楷體" w:eastAsia="標楷體" w:hAnsi="標楷體" w:hint="eastAsia"/>
          <w:bCs/>
          <w:noProof/>
          <w:color w:val="000000"/>
          <w:spacing w:val="-10"/>
          <w:sz w:val="28"/>
          <w:szCs w:val="28"/>
        </w:rPr>
        <w:t>………………………………………………………232</w:t>
      </w:r>
    </w:p>
    <w:p w14:paraId="211F00BE"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34" w:history="1">
        <w:r w:rsidRPr="0007178D">
          <w:rPr>
            <w:rFonts w:ascii="標楷體" w:eastAsia="標楷體" w:hAnsi="標楷體" w:hint="eastAsia"/>
            <w:bCs/>
            <w:noProof/>
            <w:color w:val="000000"/>
            <w:spacing w:val="-10"/>
            <w:sz w:val="28"/>
            <w:szCs w:val="28"/>
          </w:rPr>
          <w:t>(四)</w:t>
        </w:r>
        <w:r w:rsidRPr="0007178D">
          <w:rPr>
            <w:rFonts w:ascii="標楷體" w:eastAsia="標楷體" w:hAnsi="標楷體" w:hint="eastAsia"/>
            <w:bCs/>
            <w:noProof/>
            <w:color w:val="000000"/>
            <w:sz w:val="28"/>
            <w:szCs w:val="28"/>
          </w:rPr>
          <w:t>司法院</w:t>
        </w:r>
        <w:r w:rsidRPr="0007178D">
          <w:rPr>
            <w:rFonts w:ascii="標楷體" w:eastAsia="標楷體" w:hAnsi="標楷體" w:hint="eastAsia"/>
            <w:bCs/>
            <w:noProof/>
            <w:color w:val="000000"/>
            <w:spacing w:val="-10"/>
            <w:sz w:val="28"/>
            <w:szCs w:val="28"/>
          </w:rPr>
          <w:t>143案</w:t>
        </w:r>
      </w:hyperlink>
      <w:r w:rsidRPr="0007178D">
        <w:rPr>
          <w:rFonts w:ascii="標楷體" w:eastAsia="標楷體" w:hAnsi="標楷體" w:hint="eastAsia"/>
          <w:bCs/>
          <w:noProof/>
          <w:color w:val="000000"/>
          <w:spacing w:val="-10"/>
          <w:sz w:val="28"/>
          <w:szCs w:val="28"/>
        </w:rPr>
        <w:t>………………………………………………………242</w:t>
      </w:r>
    </w:p>
    <w:p w14:paraId="3D6C38F1"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35" w:history="1">
        <w:r w:rsidRPr="0007178D">
          <w:rPr>
            <w:rFonts w:ascii="標楷體" w:eastAsia="標楷體" w:hAnsi="標楷體" w:hint="eastAsia"/>
            <w:bCs/>
            <w:noProof/>
            <w:color w:val="000000"/>
            <w:spacing w:val="-10"/>
            <w:sz w:val="28"/>
            <w:szCs w:val="28"/>
          </w:rPr>
          <w:t>(五)考試</w:t>
        </w:r>
        <w:r w:rsidRPr="0007178D">
          <w:rPr>
            <w:rFonts w:ascii="標楷體" w:eastAsia="標楷體" w:hAnsi="標楷體" w:hint="eastAsia"/>
            <w:bCs/>
            <w:noProof/>
            <w:color w:val="000000"/>
            <w:sz w:val="28"/>
            <w:szCs w:val="28"/>
          </w:rPr>
          <w:t>院</w:t>
        </w:r>
        <w:r w:rsidRPr="0007178D">
          <w:rPr>
            <w:rFonts w:ascii="標楷體" w:eastAsia="標楷體" w:hAnsi="標楷體" w:hint="eastAsia"/>
            <w:bCs/>
            <w:noProof/>
            <w:color w:val="000000"/>
            <w:spacing w:val="-10"/>
            <w:sz w:val="28"/>
            <w:szCs w:val="28"/>
          </w:rPr>
          <w:t>50案</w:t>
        </w:r>
      </w:hyperlink>
      <w:r w:rsidRPr="0007178D">
        <w:rPr>
          <w:rFonts w:ascii="標楷體" w:eastAsia="標楷體" w:hAnsi="標楷體" w:hint="eastAsia"/>
          <w:bCs/>
          <w:noProof/>
          <w:color w:val="000000"/>
          <w:spacing w:val="-10"/>
          <w:sz w:val="28"/>
          <w:szCs w:val="28"/>
        </w:rPr>
        <w:t>………………………………………………………278</w:t>
      </w:r>
    </w:p>
    <w:p w14:paraId="7BD13DB4"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36" w:history="1">
        <w:r w:rsidRPr="0007178D">
          <w:rPr>
            <w:rFonts w:ascii="標楷體" w:eastAsia="標楷體" w:hAnsi="標楷體" w:hint="eastAsia"/>
            <w:bCs/>
            <w:noProof/>
            <w:color w:val="000000"/>
            <w:spacing w:val="-10"/>
            <w:sz w:val="28"/>
            <w:szCs w:val="28"/>
          </w:rPr>
          <w:t>(六)監察院4案</w:t>
        </w:r>
      </w:hyperlink>
      <w:r w:rsidRPr="0007178D">
        <w:rPr>
          <w:rFonts w:ascii="標楷體" w:eastAsia="標楷體" w:hAnsi="標楷體" w:hint="eastAsia"/>
          <w:bCs/>
          <w:noProof/>
          <w:color w:val="000000"/>
          <w:spacing w:val="-10"/>
          <w:sz w:val="28"/>
          <w:szCs w:val="28"/>
        </w:rPr>
        <w:t>…………………………………………………………288</w:t>
      </w:r>
    </w:p>
    <w:p w14:paraId="25391F86"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37" w:history="1">
        <w:r w:rsidRPr="0007178D">
          <w:rPr>
            <w:rFonts w:ascii="標楷體" w:eastAsia="標楷體" w:hAnsi="標楷體" w:hint="eastAsia"/>
            <w:bCs/>
            <w:noProof/>
            <w:color w:val="000000"/>
            <w:spacing w:val="-10"/>
            <w:sz w:val="28"/>
            <w:szCs w:val="28"/>
          </w:rPr>
          <w:t>(七)其他（包含交付多個委員會聯席審查）4案</w:t>
        </w:r>
      </w:hyperlink>
      <w:r w:rsidRPr="0007178D">
        <w:rPr>
          <w:rFonts w:ascii="標楷體" w:eastAsia="標楷體" w:hAnsi="標楷體" w:hint="eastAsia"/>
          <w:bCs/>
          <w:noProof/>
          <w:color w:val="000000"/>
          <w:spacing w:val="-10"/>
          <w:sz w:val="28"/>
          <w:szCs w:val="28"/>
        </w:rPr>
        <w:t>………………………289</w:t>
      </w:r>
    </w:p>
    <w:p w14:paraId="1B7B1832"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38" w:history="1">
        <w:r w:rsidRPr="0007178D">
          <w:rPr>
            <w:rFonts w:ascii="標楷體" w:eastAsia="標楷體" w:hAnsi="標楷體" w:hint="eastAsia"/>
            <w:bCs/>
            <w:iCs/>
            <w:noProof/>
            <w:color w:val="000000"/>
            <w:sz w:val="28"/>
            <w:szCs w:val="28"/>
          </w:rPr>
          <w:t>〔貳〕預（決）算案202案</w:t>
        </w:r>
      </w:hyperlink>
      <w:r w:rsidRPr="0007178D">
        <w:rPr>
          <w:rFonts w:ascii="標楷體" w:eastAsia="標楷體" w:hAnsi="標楷體" w:hint="eastAsia"/>
          <w:bCs/>
          <w:iCs/>
          <w:noProof/>
          <w:color w:val="000000"/>
          <w:sz w:val="28"/>
          <w:szCs w:val="28"/>
        </w:rPr>
        <w:t>…………………………………………………291</w:t>
      </w:r>
    </w:p>
    <w:p w14:paraId="5C5BF8B3"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39" w:history="1">
        <w:r w:rsidRPr="0007178D">
          <w:rPr>
            <w:rFonts w:ascii="標楷體" w:eastAsia="標楷體" w:hAnsi="標楷體" w:hint="eastAsia"/>
            <w:bCs/>
            <w:noProof/>
            <w:color w:val="000000"/>
            <w:sz w:val="28"/>
            <w:szCs w:val="28"/>
          </w:rPr>
          <w:t>一、財團法人3案</w:t>
        </w:r>
      </w:hyperlink>
      <w:r w:rsidRPr="0007178D">
        <w:rPr>
          <w:rFonts w:ascii="標楷體" w:eastAsia="標楷體" w:hAnsi="標楷體" w:hint="eastAsia"/>
          <w:bCs/>
          <w:noProof/>
          <w:color w:val="000000"/>
          <w:sz w:val="28"/>
          <w:szCs w:val="28"/>
        </w:rPr>
        <w:t>………………………………………………………291</w:t>
      </w:r>
    </w:p>
    <w:p w14:paraId="4F60D041"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標楷體" w:eastAsia="標楷體" w:hAnsi="標楷體"/>
          <w:bCs/>
          <w:noProof/>
          <w:color w:val="000000"/>
          <w:spacing w:val="-10"/>
          <w:sz w:val="28"/>
          <w:szCs w:val="28"/>
        </w:rPr>
      </w:pPr>
      <w:hyperlink w:anchor="_Toc96350540" w:history="1">
        <w:r w:rsidRPr="0007178D">
          <w:rPr>
            <w:rFonts w:ascii="標楷體" w:eastAsia="標楷體" w:hAnsi="標楷體" w:hint="eastAsia"/>
            <w:bCs/>
            <w:noProof/>
            <w:color w:val="000000"/>
            <w:sz w:val="28"/>
            <w:szCs w:val="28"/>
          </w:rPr>
          <w:t>二、預算凍結案14案</w:t>
        </w:r>
      </w:hyperlink>
      <w:r w:rsidRPr="0007178D">
        <w:rPr>
          <w:rFonts w:ascii="標楷體" w:eastAsia="標楷體" w:hAnsi="標楷體" w:hint="eastAsia"/>
          <w:bCs/>
          <w:noProof/>
          <w:color w:val="000000"/>
          <w:sz w:val="28"/>
          <w:szCs w:val="28"/>
        </w:rPr>
        <w:t>…………………………………………………291</w:t>
      </w:r>
    </w:p>
    <w:p w14:paraId="502236A9"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41" w:history="1">
        <w:r w:rsidRPr="0007178D">
          <w:rPr>
            <w:rFonts w:ascii="標楷體" w:eastAsia="標楷體" w:hAnsi="標楷體" w:hint="eastAsia"/>
            <w:bCs/>
            <w:noProof/>
            <w:color w:val="000000"/>
            <w:spacing w:val="-10"/>
            <w:sz w:val="28"/>
            <w:szCs w:val="28"/>
          </w:rPr>
          <w:t>(一)行政院3案</w:t>
        </w:r>
      </w:hyperlink>
      <w:r w:rsidRPr="0007178D">
        <w:rPr>
          <w:rFonts w:ascii="標楷體" w:eastAsia="標楷體" w:hAnsi="標楷體" w:hint="eastAsia"/>
          <w:bCs/>
          <w:noProof/>
          <w:color w:val="000000"/>
          <w:spacing w:val="-10"/>
          <w:sz w:val="28"/>
          <w:szCs w:val="28"/>
        </w:rPr>
        <w:t>…………………………………………………………291</w:t>
      </w:r>
    </w:p>
    <w:p w14:paraId="4B97E48F"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41" w:history="1">
        <w:r w:rsidRPr="0007178D">
          <w:rPr>
            <w:rFonts w:ascii="標楷體" w:eastAsia="標楷體" w:hAnsi="標楷體" w:hint="eastAsia"/>
            <w:bCs/>
            <w:noProof/>
            <w:color w:val="000000"/>
            <w:spacing w:val="-10"/>
            <w:sz w:val="28"/>
            <w:szCs w:val="28"/>
          </w:rPr>
          <w:t>(二)立法院</w:t>
        </w:r>
        <w:r w:rsidRPr="0007178D">
          <w:rPr>
            <w:rFonts w:ascii="標楷體" w:eastAsia="標楷體" w:hAnsi="標楷體"/>
            <w:bCs/>
            <w:noProof/>
            <w:color w:val="000000"/>
            <w:spacing w:val="-10"/>
            <w:sz w:val="28"/>
            <w:szCs w:val="28"/>
          </w:rPr>
          <w:t>2</w:t>
        </w:r>
        <w:r w:rsidRPr="0007178D">
          <w:rPr>
            <w:rFonts w:ascii="標楷體" w:eastAsia="標楷體" w:hAnsi="標楷體" w:hint="eastAsia"/>
            <w:bCs/>
            <w:noProof/>
            <w:color w:val="000000"/>
            <w:spacing w:val="-10"/>
            <w:sz w:val="28"/>
            <w:szCs w:val="28"/>
          </w:rPr>
          <w:t>案</w:t>
        </w:r>
      </w:hyperlink>
      <w:r w:rsidRPr="0007178D">
        <w:rPr>
          <w:rFonts w:ascii="標楷體" w:eastAsia="標楷體" w:hAnsi="標楷體" w:hint="eastAsia"/>
          <w:bCs/>
          <w:noProof/>
          <w:color w:val="000000"/>
          <w:spacing w:val="-10"/>
          <w:sz w:val="28"/>
          <w:szCs w:val="28"/>
        </w:rPr>
        <w:t>…………………………………………………………292</w:t>
      </w:r>
    </w:p>
    <w:p w14:paraId="1D2822C2"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300" w:left="720" w:rightChars="-150" w:right="-360"/>
        <w:jc w:val="distribute"/>
        <w:rPr>
          <w:rFonts w:ascii="Calibri" w:hAnsi="Calibri"/>
          <w:bCs/>
          <w:noProof/>
          <w:color w:val="000000"/>
          <w:spacing w:val="-10"/>
          <w:szCs w:val="22"/>
        </w:rPr>
      </w:pPr>
      <w:hyperlink w:anchor="_Toc96350541" w:history="1">
        <w:r w:rsidRPr="0007178D">
          <w:rPr>
            <w:rFonts w:ascii="標楷體" w:eastAsia="標楷體" w:hAnsi="標楷體" w:hint="eastAsia"/>
            <w:bCs/>
            <w:noProof/>
            <w:color w:val="000000"/>
            <w:spacing w:val="-10"/>
            <w:sz w:val="28"/>
            <w:szCs w:val="28"/>
          </w:rPr>
          <w:t>(三)考試院9案</w:t>
        </w:r>
      </w:hyperlink>
      <w:r w:rsidRPr="0007178D">
        <w:rPr>
          <w:rFonts w:ascii="標楷體" w:eastAsia="標楷體" w:hAnsi="標楷體" w:hint="eastAsia"/>
          <w:bCs/>
          <w:noProof/>
          <w:color w:val="000000"/>
          <w:spacing w:val="-10"/>
          <w:sz w:val="28"/>
          <w:szCs w:val="28"/>
        </w:rPr>
        <w:t>…………………………………………………………292</w:t>
      </w:r>
    </w:p>
    <w:p w14:paraId="27CA3A07"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42" w:history="1">
        <w:r w:rsidRPr="0007178D">
          <w:rPr>
            <w:rFonts w:ascii="標楷體" w:eastAsia="標楷體" w:hAnsi="標楷體" w:hint="eastAsia"/>
            <w:bCs/>
            <w:noProof/>
            <w:color w:val="000000"/>
            <w:sz w:val="28"/>
            <w:szCs w:val="28"/>
          </w:rPr>
          <w:t>三、其他</w:t>
        </w:r>
        <w:r w:rsidRPr="0007178D">
          <w:rPr>
            <w:rFonts w:ascii="標楷體" w:eastAsia="標楷體" w:hAnsi="標楷體"/>
            <w:bCs/>
            <w:noProof/>
            <w:color w:val="000000"/>
            <w:sz w:val="28"/>
            <w:szCs w:val="28"/>
          </w:rPr>
          <w:t>1</w:t>
        </w:r>
        <w:r w:rsidRPr="0007178D">
          <w:rPr>
            <w:rFonts w:ascii="標楷體" w:eastAsia="標楷體" w:hAnsi="標楷體" w:hint="eastAsia"/>
            <w:bCs/>
            <w:noProof/>
            <w:color w:val="000000"/>
            <w:sz w:val="28"/>
            <w:szCs w:val="28"/>
          </w:rPr>
          <w:t>85案</w:t>
        </w:r>
      </w:hyperlink>
      <w:r w:rsidRPr="0007178D">
        <w:rPr>
          <w:rFonts w:ascii="標楷體" w:eastAsia="標楷體" w:hAnsi="標楷體" w:hint="eastAsia"/>
          <w:bCs/>
          <w:noProof/>
          <w:color w:val="000000"/>
          <w:sz w:val="28"/>
          <w:szCs w:val="28"/>
        </w:rPr>
        <w:t>…………………………………</w:t>
      </w:r>
      <w:r w:rsidRPr="0007178D">
        <w:rPr>
          <w:rFonts w:ascii="標楷體" w:eastAsia="標楷體" w:hAnsi="標楷體" w:hint="eastAsia"/>
          <w:bCs/>
          <w:noProof/>
          <w:color w:val="000000"/>
          <w:spacing w:val="-10"/>
          <w:sz w:val="28"/>
          <w:szCs w:val="28"/>
        </w:rPr>
        <w:t>………</w:t>
      </w:r>
      <w:r w:rsidRPr="0007178D">
        <w:rPr>
          <w:rFonts w:ascii="標楷體" w:eastAsia="標楷體" w:hAnsi="標楷體" w:hint="eastAsia"/>
          <w:bCs/>
          <w:noProof/>
          <w:color w:val="000000"/>
          <w:sz w:val="28"/>
          <w:szCs w:val="28"/>
        </w:rPr>
        <w:t>………………294</w:t>
      </w:r>
    </w:p>
    <w:p w14:paraId="1420F84F"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43" w:history="1">
        <w:r w:rsidRPr="0007178D">
          <w:rPr>
            <w:rFonts w:ascii="標楷體" w:eastAsia="標楷體" w:hAnsi="標楷體" w:hint="eastAsia"/>
            <w:bCs/>
            <w:iCs/>
            <w:noProof/>
            <w:color w:val="000000"/>
            <w:sz w:val="28"/>
            <w:szCs w:val="28"/>
          </w:rPr>
          <w:t>〔參〕行政命令案30案</w:t>
        </w:r>
      </w:hyperlink>
      <w:r w:rsidRPr="0007178D">
        <w:rPr>
          <w:rFonts w:ascii="標楷體" w:eastAsia="標楷體" w:hAnsi="標楷體" w:hint="eastAsia"/>
          <w:bCs/>
          <w:iCs/>
          <w:noProof/>
          <w:color w:val="000000"/>
          <w:sz w:val="28"/>
          <w:szCs w:val="28"/>
        </w:rPr>
        <w:t>……………………………………………………316</w:t>
      </w:r>
    </w:p>
    <w:p w14:paraId="4FE2B967"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44" w:history="1">
        <w:r w:rsidRPr="0007178D">
          <w:rPr>
            <w:rFonts w:ascii="標楷體" w:eastAsia="標楷體" w:hAnsi="標楷體" w:hint="eastAsia"/>
            <w:bCs/>
            <w:iCs/>
            <w:noProof/>
            <w:color w:val="000000"/>
            <w:sz w:val="28"/>
            <w:szCs w:val="28"/>
          </w:rPr>
          <w:t>〔肆〕立法院內規5案</w:t>
        </w:r>
      </w:hyperlink>
      <w:r w:rsidRPr="0007178D">
        <w:rPr>
          <w:rFonts w:ascii="標楷體" w:eastAsia="標楷體" w:hAnsi="標楷體" w:hint="eastAsia"/>
          <w:bCs/>
          <w:iCs/>
          <w:noProof/>
          <w:color w:val="000000"/>
          <w:sz w:val="28"/>
          <w:szCs w:val="28"/>
        </w:rPr>
        <w:t>……………………………………………………319</w:t>
      </w:r>
    </w:p>
    <w:p w14:paraId="47EF81EE"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45" w:history="1">
        <w:r w:rsidRPr="0007178D">
          <w:rPr>
            <w:rFonts w:ascii="標楷體" w:eastAsia="標楷體" w:hAnsi="標楷體" w:hint="eastAsia"/>
            <w:bCs/>
            <w:iCs/>
            <w:noProof/>
            <w:color w:val="000000"/>
            <w:sz w:val="28"/>
            <w:szCs w:val="28"/>
          </w:rPr>
          <w:t>〔伍〕其他議案17案</w:t>
        </w:r>
      </w:hyperlink>
      <w:r w:rsidRPr="0007178D">
        <w:rPr>
          <w:rFonts w:ascii="標楷體" w:eastAsia="標楷體" w:hAnsi="標楷體" w:hint="eastAsia"/>
          <w:bCs/>
          <w:iCs/>
          <w:noProof/>
          <w:color w:val="000000"/>
          <w:sz w:val="28"/>
          <w:szCs w:val="28"/>
        </w:rPr>
        <w:t>………………………………………………………320</w:t>
      </w:r>
    </w:p>
    <w:p w14:paraId="4A585550"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46" w:history="1">
        <w:r w:rsidRPr="0007178D">
          <w:rPr>
            <w:rFonts w:ascii="標楷體" w:eastAsia="標楷體" w:hAnsi="標楷體" w:hint="eastAsia"/>
            <w:bCs/>
            <w:iCs/>
            <w:noProof/>
            <w:color w:val="000000"/>
            <w:sz w:val="28"/>
            <w:szCs w:val="28"/>
          </w:rPr>
          <w:t>〔陸〕人民請願案5</w:t>
        </w:r>
        <w:r w:rsidRPr="0007178D">
          <w:rPr>
            <w:rFonts w:ascii="標楷體" w:eastAsia="標楷體" w:hAnsi="標楷體"/>
            <w:bCs/>
            <w:iCs/>
            <w:noProof/>
            <w:color w:val="000000"/>
            <w:sz w:val="28"/>
            <w:szCs w:val="28"/>
          </w:rPr>
          <w:t>5</w:t>
        </w:r>
        <w:r w:rsidRPr="0007178D">
          <w:rPr>
            <w:rFonts w:ascii="標楷體" w:eastAsia="標楷體" w:hAnsi="標楷體" w:hint="eastAsia"/>
            <w:bCs/>
            <w:iCs/>
            <w:noProof/>
            <w:color w:val="000000"/>
            <w:sz w:val="28"/>
            <w:szCs w:val="28"/>
          </w:rPr>
          <w:t>案</w:t>
        </w:r>
      </w:hyperlink>
      <w:r w:rsidRPr="0007178D">
        <w:rPr>
          <w:rFonts w:ascii="標楷體" w:eastAsia="標楷體" w:hAnsi="標楷體" w:hint="eastAsia"/>
          <w:bCs/>
          <w:iCs/>
          <w:noProof/>
          <w:color w:val="000000"/>
          <w:sz w:val="28"/>
          <w:szCs w:val="28"/>
        </w:rPr>
        <w:t>……………………………………………………322</w:t>
      </w:r>
    </w:p>
    <w:p w14:paraId="39CDAD56"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Calibri" w:hAnsi="Calibri"/>
          <w:noProof/>
          <w:color w:val="000000"/>
          <w:szCs w:val="22"/>
        </w:rPr>
      </w:pPr>
      <w:hyperlink w:anchor="_Toc96350547" w:history="1">
        <w:r w:rsidRPr="0007178D">
          <w:rPr>
            <w:rFonts w:ascii="標楷體" w:eastAsia="標楷體" w:hAnsi="標楷體" w:hint="eastAsia"/>
            <w:b/>
            <w:noProof/>
            <w:color w:val="000000"/>
            <w:sz w:val="28"/>
            <w:szCs w:val="28"/>
          </w:rPr>
          <w:t>柒、院會逕付二讀之議案25案</w:t>
        </w:r>
      </w:hyperlink>
      <w:r w:rsidRPr="0007178D">
        <w:rPr>
          <w:rFonts w:ascii="標楷體" w:eastAsia="標楷體" w:hAnsi="標楷體" w:hint="eastAsia"/>
          <w:noProof/>
          <w:color w:val="000000"/>
          <w:sz w:val="28"/>
          <w:szCs w:val="28"/>
        </w:rPr>
        <w:t>………………………………………………331</w:t>
      </w:r>
    </w:p>
    <w:p w14:paraId="227F9CD4"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48" w:history="1">
        <w:r w:rsidRPr="0007178D">
          <w:rPr>
            <w:rFonts w:ascii="標楷體" w:eastAsia="標楷體" w:hAnsi="標楷體" w:hint="eastAsia"/>
            <w:bCs/>
            <w:iCs/>
            <w:noProof/>
            <w:color w:val="000000"/>
            <w:sz w:val="28"/>
            <w:szCs w:val="28"/>
          </w:rPr>
          <w:t>［壹］法律案25案</w:t>
        </w:r>
      </w:hyperlink>
      <w:r w:rsidRPr="0007178D">
        <w:rPr>
          <w:rFonts w:ascii="標楷體" w:eastAsia="標楷體" w:hAnsi="標楷體" w:hint="eastAsia"/>
          <w:bCs/>
          <w:iCs/>
          <w:noProof/>
          <w:color w:val="000000"/>
          <w:sz w:val="28"/>
          <w:szCs w:val="28"/>
        </w:rPr>
        <w:t>…………………………………………………………331</w:t>
      </w:r>
    </w:p>
    <w:p w14:paraId="14B029AA"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49" w:history="1">
        <w:r w:rsidRPr="0007178D">
          <w:rPr>
            <w:rFonts w:ascii="標楷體" w:eastAsia="標楷體" w:hAnsi="標楷體" w:hint="eastAsia"/>
            <w:bCs/>
            <w:noProof/>
            <w:color w:val="000000"/>
            <w:sz w:val="28"/>
            <w:szCs w:val="28"/>
          </w:rPr>
          <w:t>一、組織法4案</w:t>
        </w:r>
      </w:hyperlink>
      <w:r w:rsidRPr="0007178D">
        <w:rPr>
          <w:rFonts w:ascii="標楷體" w:eastAsia="標楷體" w:hAnsi="標楷體" w:hint="eastAsia"/>
          <w:bCs/>
          <w:noProof/>
          <w:color w:val="000000"/>
          <w:sz w:val="28"/>
          <w:szCs w:val="28"/>
        </w:rPr>
        <w:t>…………………………………………………………331</w:t>
      </w:r>
    </w:p>
    <w:p w14:paraId="453B1E86"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50" w:history="1">
        <w:r w:rsidRPr="0007178D">
          <w:rPr>
            <w:rFonts w:ascii="標楷體" w:eastAsia="標楷體" w:hAnsi="標楷體" w:hint="eastAsia"/>
            <w:bCs/>
            <w:noProof/>
            <w:color w:val="000000"/>
            <w:spacing w:val="34"/>
            <w:sz w:val="28"/>
            <w:szCs w:val="28"/>
          </w:rPr>
          <w:t>二、</w:t>
        </w:r>
        <w:r w:rsidRPr="0007178D">
          <w:rPr>
            <w:rFonts w:ascii="標楷體" w:eastAsia="標楷體" w:hAnsi="標楷體" w:hint="eastAsia"/>
            <w:bCs/>
            <w:noProof/>
            <w:color w:val="000000"/>
            <w:sz w:val="28"/>
            <w:szCs w:val="28"/>
          </w:rPr>
          <w:t>作用法21案</w:t>
        </w:r>
      </w:hyperlink>
      <w:r w:rsidRPr="0007178D">
        <w:rPr>
          <w:rFonts w:ascii="標楷體" w:eastAsia="標楷體" w:hAnsi="標楷體" w:hint="eastAsia"/>
          <w:bCs/>
          <w:noProof/>
          <w:color w:val="000000"/>
          <w:sz w:val="28"/>
          <w:szCs w:val="28"/>
        </w:rPr>
        <w:t>…………………………………………………………331</w:t>
      </w:r>
    </w:p>
    <w:p w14:paraId="080EC443"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Calibri" w:hAnsi="Calibri"/>
          <w:noProof/>
          <w:color w:val="000000"/>
          <w:szCs w:val="22"/>
        </w:rPr>
      </w:pPr>
      <w:hyperlink w:anchor="_Toc96350551" w:history="1">
        <w:r w:rsidRPr="0007178D">
          <w:rPr>
            <w:rFonts w:ascii="標楷體" w:eastAsia="標楷體" w:hAnsi="標楷體" w:hint="eastAsia"/>
            <w:b/>
            <w:noProof/>
            <w:color w:val="000000"/>
            <w:sz w:val="28"/>
            <w:szCs w:val="28"/>
          </w:rPr>
          <w:t>捌、院會撤回或同意改交其他委員會議案11案</w:t>
        </w:r>
      </w:hyperlink>
      <w:r w:rsidRPr="0007178D">
        <w:rPr>
          <w:rFonts w:ascii="標楷體" w:eastAsia="標楷體" w:hAnsi="標楷體" w:hint="eastAsia"/>
          <w:noProof/>
          <w:color w:val="000000"/>
          <w:sz w:val="28"/>
          <w:szCs w:val="28"/>
        </w:rPr>
        <w:t>……………………………336</w:t>
      </w:r>
    </w:p>
    <w:p w14:paraId="398C000D"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52" w:history="1">
        <w:r w:rsidRPr="0007178D">
          <w:rPr>
            <w:rFonts w:ascii="標楷體" w:eastAsia="標楷體" w:hAnsi="標楷體" w:hint="eastAsia"/>
            <w:bCs/>
            <w:iCs/>
            <w:noProof/>
            <w:color w:val="000000"/>
            <w:sz w:val="28"/>
            <w:szCs w:val="28"/>
          </w:rPr>
          <w:t>［壹］院會撤回議案11案</w:t>
        </w:r>
      </w:hyperlink>
      <w:r w:rsidRPr="0007178D">
        <w:rPr>
          <w:rFonts w:ascii="標楷體" w:eastAsia="標楷體" w:hAnsi="標楷體" w:hint="eastAsia"/>
          <w:bCs/>
          <w:iCs/>
          <w:noProof/>
          <w:color w:val="000000"/>
          <w:sz w:val="28"/>
          <w:szCs w:val="28"/>
        </w:rPr>
        <w:t>…………………………………………………336</w:t>
      </w:r>
    </w:p>
    <w:p w14:paraId="4AEAD806"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szCs w:val="22"/>
        </w:rPr>
      </w:pPr>
      <w:hyperlink w:anchor="_Toc96350553" w:history="1">
        <w:r w:rsidRPr="0007178D">
          <w:rPr>
            <w:rFonts w:ascii="標楷體" w:eastAsia="標楷體" w:hAnsi="標楷體" w:hint="eastAsia"/>
            <w:bCs/>
            <w:iCs/>
            <w:noProof/>
            <w:color w:val="000000"/>
            <w:sz w:val="28"/>
            <w:szCs w:val="28"/>
          </w:rPr>
          <w:t>［貳］院會同意改交其他委員會議案</w:t>
        </w:r>
        <w:r w:rsidRPr="0007178D">
          <w:rPr>
            <w:rFonts w:ascii="標楷體" w:eastAsia="標楷體" w:hAnsi="標楷體"/>
            <w:bCs/>
            <w:iCs/>
            <w:noProof/>
            <w:color w:val="000000"/>
            <w:sz w:val="28"/>
            <w:szCs w:val="28"/>
          </w:rPr>
          <w:t>0</w:t>
        </w:r>
        <w:r w:rsidRPr="0007178D">
          <w:rPr>
            <w:rFonts w:ascii="標楷體" w:eastAsia="標楷體" w:hAnsi="標楷體" w:hint="eastAsia"/>
            <w:bCs/>
            <w:iCs/>
            <w:noProof/>
            <w:color w:val="000000"/>
            <w:sz w:val="28"/>
            <w:szCs w:val="28"/>
          </w:rPr>
          <w:t>案</w:t>
        </w:r>
      </w:hyperlink>
      <w:r w:rsidRPr="0007178D">
        <w:rPr>
          <w:rFonts w:ascii="標楷體" w:eastAsia="標楷體" w:hAnsi="標楷體" w:hint="eastAsia"/>
          <w:bCs/>
          <w:iCs/>
          <w:noProof/>
          <w:color w:val="000000"/>
          <w:sz w:val="28"/>
          <w:szCs w:val="28"/>
        </w:rPr>
        <w:t>………………………………339</w:t>
      </w:r>
    </w:p>
    <w:p w14:paraId="2E6E4E33"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08" w:left="-259" w:rightChars="-139" w:right="-334"/>
        <w:jc w:val="distribute"/>
        <w:rPr>
          <w:rFonts w:ascii="Calibri" w:hAnsi="Calibri"/>
          <w:noProof/>
          <w:color w:val="000000"/>
          <w:szCs w:val="22"/>
        </w:rPr>
      </w:pPr>
      <w:hyperlink w:anchor="_Toc96350554" w:history="1">
        <w:r w:rsidRPr="0007178D">
          <w:rPr>
            <w:rFonts w:ascii="標楷體" w:eastAsia="標楷體" w:hAnsi="標楷體" w:hint="eastAsia"/>
            <w:b/>
            <w:bCs/>
            <w:noProof/>
            <w:color w:val="000000"/>
            <w:kern w:val="52"/>
            <w:sz w:val="28"/>
            <w:szCs w:val="28"/>
          </w:rPr>
          <w:t>附錄</w:t>
        </w:r>
        <w:r w:rsidRPr="0007178D">
          <w:rPr>
            <w:rFonts w:ascii="標楷體" w:eastAsia="標楷體" w:hAnsi="標楷體" w:hint="eastAsia"/>
            <w:b/>
            <w:noProof/>
            <w:color w:val="000000"/>
            <w:sz w:val="28"/>
            <w:szCs w:val="28"/>
          </w:rPr>
          <w:t>［壹］本會期歷次會議議事錄</w:t>
        </w:r>
      </w:hyperlink>
      <w:r w:rsidRPr="0007178D">
        <w:rPr>
          <w:rFonts w:ascii="標楷體" w:eastAsia="標楷體" w:hAnsi="標楷體" w:hint="eastAsia"/>
          <w:noProof/>
          <w:color w:val="000000"/>
          <w:sz w:val="28"/>
          <w:szCs w:val="28"/>
        </w:rPr>
        <w:t>…………………………………………340</w:t>
      </w:r>
    </w:p>
    <w:p w14:paraId="58BAC335" w14:textId="77777777" w:rsidR="0007178D" w:rsidRPr="0007178D" w:rsidRDefault="0007178D" w:rsidP="0007178D">
      <w:pPr>
        <w:tabs>
          <w:tab w:val="right" w:leader="middleDot" w:pos="8789"/>
        </w:tabs>
        <w:adjustRightInd w:val="0"/>
        <w:snapToGrid w:val="0"/>
        <w:spacing w:beforeLines="20" w:before="72" w:afterLines="20" w:after="72" w:line="500" w:lineRule="exact"/>
        <w:ind w:left="280" w:rightChars="-150" w:right="-360" w:hangingChars="100" w:hanging="280"/>
        <w:jc w:val="distribute"/>
        <w:rPr>
          <w:rFonts w:ascii="Calibri" w:hAnsi="Calibri"/>
          <w:bCs/>
          <w:iCs/>
          <w:noProof/>
          <w:color w:val="000000"/>
          <w:szCs w:val="22"/>
        </w:rPr>
      </w:pPr>
      <w:hyperlink w:anchor="_Toc96350555" w:history="1">
        <w:r w:rsidRPr="0007178D">
          <w:rPr>
            <w:rFonts w:ascii="標楷體" w:eastAsia="標楷體" w:hAnsi="標楷體" w:hint="eastAsia"/>
            <w:b/>
            <w:bCs/>
            <w:iCs/>
            <w:noProof/>
            <w:color w:val="000000"/>
            <w:sz w:val="28"/>
            <w:szCs w:val="28"/>
          </w:rPr>
          <w:t>一、召集委員會議議事錄</w:t>
        </w:r>
      </w:hyperlink>
      <w:r w:rsidRPr="0007178D">
        <w:rPr>
          <w:rFonts w:ascii="標楷體" w:eastAsia="標楷體" w:hAnsi="標楷體" w:hint="eastAsia"/>
          <w:bCs/>
          <w:iCs/>
          <w:noProof/>
          <w:color w:val="000000"/>
          <w:sz w:val="28"/>
          <w:szCs w:val="28"/>
        </w:rPr>
        <w:t>…………………………………………………340</w:t>
      </w:r>
    </w:p>
    <w:p w14:paraId="45E4420E" w14:textId="77777777" w:rsidR="0007178D" w:rsidRPr="0007178D" w:rsidRDefault="0007178D" w:rsidP="0007178D">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56" w:history="1">
        <w:r w:rsidRPr="0007178D">
          <w:rPr>
            <w:rFonts w:ascii="標楷體" w:eastAsia="標楷體" w:hAnsi="標楷體" w:hint="eastAsia"/>
            <w:bCs/>
            <w:noProof/>
            <w:color w:val="000000"/>
            <w:sz w:val="28"/>
            <w:szCs w:val="28"/>
          </w:rPr>
          <w:t>立</w:t>
        </w:r>
        <w:r w:rsidRPr="0007178D">
          <w:rPr>
            <w:rFonts w:ascii="標楷體" w:eastAsia="標楷體" w:hAnsi="標楷體" w:hint="eastAsia"/>
            <w:bCs/>
            <w:noProof/>
            <w:color w:val="000000"/>
            <w:spacing w:val="-8"/>
            <w:sz w:val="28"/>
            <w:szCs w:val="28"/>
          </w:rPr>
          <w:t>法院第</w:t>
        </w:r>
        <w:r w:rsidRPr="0007178D">
          <w:rPr>
            <w:rFonts w:ascii="標楷體" w:eastAsia="標楷體" w:hAnsi="標楷體"/>
            <w:bCs/>
            <w:noProof/>
            <w:color w:val="000000"/>
            <w:spacing w:val="-8"/>
            <w:sz w:val="28"/>
            <w:szCs w:val="28"/>
          </w:rPr>
          <w:t>10</w:t>
        </w:r>
        <w:r w:rsidRPr="0007178D">
          <w:rPr>
            <w:rFonts w:ascii="標楷體" w:eastAsia="標楷體" w:hAnsi="標楷體" w:hint="eastAsia"/>
            <w:bCs/>
            <w:noProof/>
            <w:color w:val="000000"/>
            <w:spacing w:val="-8"/>
            <w:sz w:val="28"/>
            <w:szCs w:val="28"/>
          </w:rPr>
          <w:t>屆第6會期司法及法制委員會第</w:t>
        </w:r>
        <w:r w:rsidRPr="0007178D">
          <w:rPr>
            <w:rFonts w:ascii="標楷體" w:eastAsia="標楷體" w:hAnsi="標楷體"/>
            <w:bCs/>
            <w:noProof/>
            <w:color w:val="000000"/>
            <w:spacing w:val="-8"/>
            <w:sz w:val="28"/>
            <w:szCs w:val="28"/>
          </w:rPr>
          <w:t>1</w:t>
        </w:r>
        <w:r w:rsidRPr="0007178D">
          <w:rPr>
            <w:rFonts w:ascii="標楷體" w:eastAsia="標楷體" w:hAnsi="標楷體" w:hint="eastAsia"/>
            <w:bCs/>
            <w:noProof/>
            <w:color w:val="000000"/>
            <w:spacing w:val="-8"/>
            <w:sz w:val="28"/>
            <w:szCs w:val="28"/>
          </w:rPr>
          <w:t>次召集委員會議議事</w:t>
        </w:r>
        <w:r w:rsidRPr="0007178D">
          <w:rPr>
            <w:rFonts w:ascii="標楷體" w:eastAsia="標楷體" w:hAnsi="標楷體" w:hint="eastAsia"/>
            <w:bCs/>
            <w:noProof/>
            <w:color w:val="000000"/>
            <w:sz w:val="28"/>
            <w:szCs w:val="28"/>
          </w:rPr>
          <w:t>錄</w:t>
        </w:r>
      </w:hyperlink>
      <w:r w:rsidRPr="0007178D">
        <w:rPr>
          <w:rFonts w:ascii="標楷體" w:eastAsia="標楷體" w:hAnsi="標楷體" w:hint="eastAsia"/>
          <w:bCs/>
          <w:noProof/>
          <w:color w:val="000000"/>
          <w:spacing w:val="-10"/>
          <w:sz w:val="28"/>
          <w:szCs w:val="28"/>
        </w:rPr>
        <w:t>…340</w:t>
      </w:r>
    </w:p>
    <w:p w14:paraId="476534DA" w14:textId="77777777" w:rsidR="0075245C" w:rsidRPr="0075245C" w:rsidRDefault="0075245C" w:rsidP="0075245C">
      <w:pPr>
        <w:pStyle w:val="38"/>
        <w:ind w:leftChars="120" w:left="288" w:firstLineChars="0" w:firstLine="0"/>
        <w:rPr>
          <w:color w:val="000000"/>
          <w:spacing w:val="-14"/>
        </w:rPr>
      </w:pPr>
      <w:hyperlink w:anchor="_Toc96350557" w:history="1">
        <w:r w:rsidRPr="0075245C">
          <w:rPr>
            <w:rFonts w:hint="eastAsia"/>
            <w:color w:val="000000"/>
            <w:spacing w:val="-14"/>
          </w:rPr>
          <w:t>二、本會全體委員會議議事錄</w:t>
        </w:r>
      </w:hyperlink>
      <w:r w:rsidRPr="0075245C">
        <w:rPr>
          <w:rFonts w:hint="eastAsia"/>
          <w:color w:val="000000"/>
          <w:spacing w:val="-14"/>
        </w:rPr>
        <w:t>……………………………………………346</w:t>
      </w:r>
    </w:p>
    <w:p w14:paraId="10A95AA7" w14:textId="77777777" w:rsidR="0075245C" w:rsidRPr="0075245C" w:rsidRDefault="0075245C" w:rsidP="0075245C">
      <w:pPr>
        <w:pStyle w:val="38"/>
        <w:ind w:leftChars="120" w:left="288" w:firstLineChars="0" w:firstLine="0"/>
        <w:rPr>
          <w:color w:val="000000"/>
          <w:spacing w:val="-14"/>
        </w:rPr>
      </w:pPr>
      <w:hyperlink w:anchor="_Toc96350558"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w:t>
        </w:r>
        <w:r w:rsidRPr="0075245C">
          <w:rPr>
            <w:rFonts w:hint="eastAsia"/>
            <w:color w:val="000000"/>
            <w:spacing w:val="-14"/>
          </w:rPr>
          <w:t>次全體委員會議議事錄</w:t>
        </w:r>
      </w:hyperlink>
      <w:r w:rsidRPr="0075245C">
        <w:rPr>
          <w:rFonts w:hint="eastAsia"/>
          <w:color w:val="000000"/>
          <w:spacing w:val="-14"/>
        </w:rPr>
        <w:t>…346</w:t>
      </w:r>
    </w:p>
    <w:p w14:paraId="4C0768C6" w14:textId="77777777" w:rsidR="0075245C" w:rsidRPr="0075245C" w:rsidRDefault="0075245C" w:rsidP="0075245C">
      <w:pPr>
        <w:pStyle w:val="38"/>
        <w:ind w:leftChars="120" w:left="288" w:firstLineChars="0" w:firstLine="0"/>
        <w:rPr>
          <w:color w:val="000000"/>
          <w:spacing w:val="-14"/>
        </w:rPr>
      </w:pPr>
      <w:hyperlink w:anchor="_Toc96350559"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2</w:t>
        </w:r>
        <w:r w:rsidRPr="0075245C">
          <w:rPr>
            <w:rFonts w:hint="eastAsia"/>
            <w:color w:val="000000"/>
            <w:spacing w:val="-14"/>
          </w:rPr>
          <w:t>次全體委員會議議事錄</w:t>
        </w:r>
      </w:hyperlink>
      <w:r w:rsidRPr="0075245C">
        <w:rPr>
          <w:rFonts w:hint="eastAsia"/>
          <w:color w:val="000000"/>
          <w:spacing w:val="-14"/>
        </w:rPr>
        <w:t>…347</w:t>
      </w:r>
    </w:p>
    <w:p w14:paraId="534B3EEF" w14:textId="77777777" w:rsidR="0075245C" w:rsidRPr="0075245C" w:rsidRDefault="0075245C" w:rsidP="0075245C">
      <w:pPr>
        <w:pStyle w:val="38"/>
        <w:ind w:leftChars="120" w:left="288" w:firstLineChars="0" w:firstLine="0"/>
        <w:rPr>
          <w:color w:val="000000"/>
          <w:spacing w:val="-14"/>
        </w:rPr>
      </w:pPr>
      <w:hyperlink w:anchor="_Toc96350560"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3</w:t>
        </w:r>
        <w:r w:rsidRPr="0075245C">
          <w:rPr>
            <w:rFonts w:hint="eastAsia"/>
            <w:color w:val="000000"/>
            <w:spacing w:val="-14"/>
          </w:rPr>
          <w:t>次全體委員會議議事錄</w:t>
        </w:r>
      </w:hyperlink>
      <w:r w:rsidRPr="0075245C">
        <w:rPr>
          <w:rFonts w:hint="eastAsia"/>
          <w:color w:val="000000"/>
          <w:spacing w:val="-14"/>
        </w:rPr>
        <w:t>…349</w:t>
      </w:r>
    </w:p>
    <w:p w14:paraId="08BA29D9" w14:textId="77777777" w:rsidR="0075245C" w:rsidRPr="0075245C" w:rsidRDefault="0075245C" w:rsidP="0075245C">
      <w:pPr>
        <w:pStyle w:val="38"/>
        <w:ind w:leftChars="120" w:left="288" w:firstLineChars="0" w:firstLine="0"/>
        <w:rPr>
          <w:color w:val="000000"/>
          <w:spacing w:val="-14"/>
        </w:rPr>
      </w:pPr>
      <w:hyperlink w:anchor="_Toc96350561"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4</w:t>
        </w:r>
        <w:r w:rsidRPr="0075245C">
          <w:rPr>
            <w:rFonts w:hint="eastAsia"/>
            <w:color w:val="000000"/>
            <w:spacing w:val="-14"/>
          </w:rPr>
          <w:t>次全體委員會議議事錄</w:t>
        </w:r>
      </w:hyperlink>
      <w:r w:rsidRPr="0075245C">
        <w:rPr>
          <w:rFonts w:hint="eastAsia"/>
          <w:color w:val="000000"/>
          <w:spacing w:val="-14"/>
        </w:rPr>
        <w:t>…350</w:t>
      </w:r>
    </w:p>
    <w:p w14:paraId="68E42732" w14:textId="77777777" w:rsidR="0075245C" w:rsidRPr="0075245C" w:rsidRDefault="0075245C" w:rsidP="0075245C">
      <w:pPr>
        <w:pStyle w:val="38"/>
        <w:ind w:leftChars="120" w:left="288" w:firstLineChars="0" w:firstLine="0"/>
        <w:rPr>
          <w:color w:val="000000"/>
          <w:spacing w:val="-14"/>
        </w:rPr>
      </w:pPr>
      <w:hyperlink w:anchor="_Toc96350562"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5</w:t>
        </w:r>
        <w:r w:rsidRPr="0075245C">
          <w:rPr>
            <w:rFonts w:hint="eastAsia"/>
            <w:color w:val="000000"/>
            <w:spacing w:val="-14"/>
          </w:rPr>
          <w:t>次全體委員會議議事錄</w:t>
        </w:r>
      </w:hyperlink>
      <w:r w:rsidRPr="0075245C">
        <w:rPr>
          <w:rFonts w:hint="eastAsia"/>
          <w:color w:val="000000"/>
          <w:spacing w:val="-14"/>
        </w:rPr>
        <w:t>…352</w:t>
      </w:r>
    </w:p>
    <w:p w14:paraId="13C0A04E" w14:textId="77777777" w:rsidR="0075245C" w:rsidRPr="0075245C" w:rsidRDefault="0075245C" w:rsidP="0075245C">
      <w:pPr>
        <w:pStyle w:val="38"/>
        <w:ind w:leftChars="120" w:left="288" w:firstLineChars="0" w:firstLine="0"/>
        <w:rPr>
          <w:color w:val="000000"/>
          <w:spacing w:val="-14"/>
        </w:rPr>
      </w:pPr>
      <w:hyperlink w:anchor="_Toc96350563"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6</w:t>
        </w:r>
        <w:r w:rsidRPr="0075245C">
          <w:rPr>
            <w:rFonts w:hint="eastAsia"/>
            <w:color w:val="000000"/>
            <w:spacing w:val="-14"/>
          </w:rPr>
          <w:t>次全體委員會議議事錄</w:t>
        </w:r>
      </w:hyperlink>
      <w:r w:rsidRPr="0075245C">
        <w:rPr>
          <w:rFonts w:hint="eastAsia"/>
          <w:color w:val="000000"/>
          <w:spacing w:val="-14"/>
        </w:rPr>
        <w:t>…357</w:t>
      </w:r>
    </w:p>
    <w:p w14:paraId="5FD27C78" w14:textId="77777777" w:rsidR="0075245C" w:rsidRPr="0075245C" w:rsidRDefault="0075245C" w:rsidP="0075245C">
      <w:pPr>
        <w:pStyle w:val="38"/>
        <w:ind w:leftChars="120" w:left="288" w:firstLineChars="0" w:firstLine="0"/>
        <w:rPr>
          <w:color w:val="000000"/>
          <w:spacing w:val="-14"/>
        </w:rPr>
      </w:pPr>
      <w:hyperlink w:anchor="_Toc96350564"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7</w:t>
        </w:r>
        <w:r w:rsidRPr="0075245C">
          <w:rPr>
            <w:rFonts w:hint="eastAsia"/>
            <w:color w:val="000000"/>
            <w:spacing w:val="-14"/>
          </w:rPr>
          <w:t>次全體委員會議議事錄</w:t>
        </w:r>
      </w:hyperlink>
      <w:r w:rsidRPr="0075245C">
        <w:rPr>
          <w:rFonts w:hint="eastAsia"/>
          <w:color w:val="000000"/>
          <w:spacing w:val="-14"/>
        </w:rPr>
        <w:t>…359</w:t>
      </w:r>
    </w:p>
    <w:p w14:paraId="28FDE0E9" w14:textId="77777777" w:rsidR="0075245C" w:rsidRPr="0075245C" w:rsidRDefault="0075245C" w:rsidP="0075245C">
      <w:pPr>
        <w:pStyle w:val="38"/>
        <w:ind w:leftChars="120" w:left="288" w:firstLineChars="0" w:firstLine="0"/>
        <w:rPr>
          <w:color w:val="000000"/>
          <w:spacing w:val="-14"/>
        </w:rPr>
      </w:pPr>
      <w:hyperlink w:anchor="_Toc96350565"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8</w:t>
        </w:r>
        <w:r w:rsidRPr="0075245C">
          <w:rPr>
            <w:rFonts w:hint="eastAsia"/>
            <w:color w:val="000000"/>
            <w:spacing w:val="-14"/>
          </w:rPr>
          <w:t>次全體委員會議議事錄</w:t>
        </w:r>
      </w:hyperlink>
      <w:r w:rsidRPr="0075245C">
        <w:rPr>
          <w:rFonts w:hint="eastAsia"/>
          <w:color w:val="000000"/>
          <w:spacing w:val="-14"/>
        </w:rPr>
        <w:t>…362</w:t>
      </w:r>
    </w:p>
    <w:p w14:paraId="2EAA11E7" w14:textId="77777777" w:rsidR="0075245C" w:rsidRPr="0075245C" w:rsidRDefault="0075245C" w:rsidP="0075245C">
      <w:pPr>
        <w:pStyle w:val="38"/>
        <w:ind w:leftChars="120" w:left="288" w:firstLineChars="0" w:firstLine="0"/>
        <w:rPr>
          <w:color w:val="000000"/>
          <w:spacing w:val="-14"/>
        </w:rPr>
      </w:pPr>
      <w:hyperlink w:anchor="_Toc96350566"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9</w:t>
        </w:r>
        <w:r w:rsidRPr="0075245C">
          <w:rPr>
            <w:rFonts w:hint="eastAsia"/>
            <w:color w:val="000000"/>
            <w:spacing w:val="-14"/>
          </w:rPr>
          <w:t>次全體委員會議議事錄</w:t>
        </w:r>
      </w:hyperlink>
      <w:r w:rsidRPr="0075245C">
        <w:rPr>
          <w:rFonts w:hint="eastAsia"/>
          <w:color w:val="000000"/>
          <w:spacing w:val="-14"/>
        </w:rPr>
        <w:t>…366</w:t>
      </w:r>
    </w:p>
    <w:p w14:paraId="4D7D9ACB" w14:textId="77777777" w:rsidR="0075245C" w:rsidRPr="0075245C" w:rsidRDefault="0075245C" w:rsidP="0075245C">
      <w:pPr>
        <w:pStyle w:val="38"/>
        <w:ind w:leftChars="120" w:left="288" w:firstLineChars="0" w:firstLine="0"/>
        <w:rPr>
          <w:color w:val="000000"/>
          <w:spacing w:val="-14"/>
        </w:rPr>
      </w:pPr>
      <w:hyperlink w:anchor="_Toc96350567"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10</w:t>
        </w:r>
        <w:r w:rsidRPr="0075245C">
          <w:rPr>
            <w:rFonts w:hint="eastAsia"/>
            <w:color w:val="000000"/>
            <w:spacing w:val="-14"/>
          </w:rPr>
          <w:t>次全體委員會議議事錄</w:t>
        </w:r>
      </w:hyperlink>
      <w:r w:rsidRPr="0075245C">
        <w:rPr>
          <w:rFonts w:hint="eastAsia"/>
          <w:color w:val="000000"/>
          <w:spacing w:val="-14"/>
        </w:rPr>
        <w:t>…368</w:t>
      </w:r>
    </w:p>
    <w:p w14:paraId="66A82959" w14:textId="77777777" w:rsidR="0075245C" w:rsidRPr="0075245C" w:rsidRDefault="0075245C" w:rsidP="0075245C">
      <w:pPr>
        <w:pStyle w:val="38"/>
        <w:ind w:leftChars="120" w:left="288" w:firstLineChars="0" w:firstLine="0"/>
        <w:rPr>
          <w:color w:val="000000"/>
          <w:spacing w:val="-14"/>
        </w:rPr>
      </w:pPr>
      <w:hyperlink w:anchor="_Toc96350568"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11</w:t>
        </w:r>
        <w:r w:rsidRPr="0075245C">
          <w:rPr>
            <w:rFonts w:hint="eastAsia"/>
            <w:color w:val="000000"/>
            <w:spacing w:val="-14"/>
          </w:rPr>
          <w:t>次全體委員會議議事錄</w:t>
        </w:r>
      </w:hyperlink>
      <w:r w:rsidRPr="0075245C">
        <w:rPr>
          <w:rFonts w:hint="eastAsia"/>
          <w:color w:val="000000"/>
          <w:spacing w:val="-14"/>
        </w:rPr>
        <w:t>…370</w:t>
      </w:r>
    </w:p>
    <w:p w14:paraId="5C471FBC" w14:textId="77777777" w:rsidR="0075245C" w:rsidRPr="0075245C" w:rsidRDefault="0075245C" w:rsidP="0075245C">
      <w:pPr>
        <w:pStyle w:val="38"/>
        <w:ind w:leftChars="120" w:left="288" w:firstLineChars="0" w:firstLine="0"/>
        <w:rPr>
          <w:color w:val="000000"/>
          <w:spacing w:val="-14"/>
        </w:rPr>
      </w:pPr>
      <w:hyperlink w:anchor="_Toc96350569"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屆第5會期司法及法制委員會第</w:t>
        </w:r>
        <w:r w:rsidRPr="0075245C">
          <w:rPr>
            <w:color w:val="000000"/>
            <w:spacing w:val="-14"/>
          </w:rPr>
          <w:t>12</w:t>
        </w:r>
        <w:r w:rsidRPr="0075245C">
          <w:rPr>
            <w:rFonts w:hint="eastAsia"/>
            <w:color w:val="000000"/>
            <w:spacing w:val="-14"/>
          </w:rPr>
          <w:t>次全體委員會議議事錄</w:t>
        </w:r>
      </w:hyperlink>
      <w:r w:rsidRPr="0075245C">
        <w:rPr>
          <w:rFonts w:hint="eastAsia"/>
          <w:color w:val="000000"/>
          <w:spacing w:val="-14"/>
        </w:rPr>
        <w:t>…389</w:t>
      </w:r>
    </w:p>
    <w:p w14:paraId="2F99586C" w14:textId="77777777" w:rsidR="0075245C" w:rsidRPr="0075245C" w:rsidRDefault="0075245C" w:rsidP="0075245C">
      <w:pPr>
        <w:pStyle w:val="38"/>
        <w:ind w:leftChars="120" w:left="288" w:firstLineChars="0" w:firstLine="0"/>
        <w:rPr>
          <w:color w:val="000000"/>
          <w:spacing w:val="-14"/>
        </w:rPr>
      </w:pPr>
      <w:hyperlink w:anchor="_Toc96350570"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13</w:t>
        </w:r>
        <w:r w:rsidRPr="0075245C">
          <w:rPr>
            <w:rFonts w:hint="eastAsia"/>
            <w:color w:val="000000"/>
            <w:spacing w:val="-14"/>
          </w:rPr>
          <w:t>次全體委員會議議事錄</w:t>
        </w:r>
      </w:hyperlink>
      <w:r w:rsidRPr="0075245C">
        <w:rPr>
          <w:rFonts w:hint="eastAsia"/>
          <w:color w:val="000000"/>
          <w:spacing w:val="-14"/>
        </w:rPr>
        <w:t>…391</w:t>
      </w:r>
    </w:p>
    <w:p w14:paraId="28E1FB02" w14:textId="77777777" w:rsidR="0075245C" w:rsidRPr="0075245C" w:rsidRDefault="0075245C" w:rsidP="0075245C">
      <w:pPr>
        <w:pStyle w:val="38"/>
        <w:ind w:leftChars="120" w:left="288" w:firstLineChars="0" w:firstLine="0"/>
        <w:rPr>
          <w:color w:val="000000"/>
          <w:spacing w:val="-14"/>
        </w:rPr>
      </w:pPr>
      <w:hyperlink w:anchor="_Toc96350571"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14</w:t>
        </w:r>
        <w:r w:rsidRPr="0075245C">
          <w:rPr>
            <w:rFonts w:hint="eastAsia"/>
            <w:color w:val="000000"/>
            <w:spacing w:val="-14"/>
          </w:rPr>
          <w:t>次全體委員會議議事錄</w:t>
        </w:r>
      </w:hyperlink>
      <w:r w:rsidRPr="0075245C">
        <w:rPr>
          <w:rFonts w:hint="eastAsia"/>
          <w:color w:val="000000"/>
          <w:spacing w:val="-14"/>
        </w:rPr>
        <w:t>…393</w:t>
      </w:r>
    </w:p>
    <w:p w14:paraId="0067320E" w14:textId="77777777" w:rsidR="0075245C" w:rsidRPr="0075245C" w:rsidRDefault="0075245C" w:rsidP="0075245C">
      <w:pPr>
        <w:pStyle w:val="38"/>
        <w:ind w:leftChars="120" w:left="288" w:firstLineChars="0" w:firstLine="0"/>
        <w:rPr>
          <w:color w:val="000000"/>
          <w:spacing w:val="-14"/>
        </w:rPr>
      </w:pPr>
      <w:hyperlink w:anchor="_Toc96350572"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15</w:t>
        </w:r>
        <w:r w:rsidRPr="0075245C">
          <w:rPr>
            <w:rFonts w:hint="eastAsia"/>
            <w:color w:val="000000"/>
            <w:spacing w:val="-14"/>
          </w:rPr>
          <w:t>次全體委員會議議事錄</w:t>
        </w:r>
      </w:hyperlink>
      <w:r w:rsidRPr="0075245C">
        <w:rPr>
          <w:rFonts w:hint="eastAsia"/>
          <w:color w:val="000000"/>
          <w:spacing w:val="-14"/>
        </w:rPr>
        <w:t>…396</w:t>
      </w:r>
    </w:p>
    <w:p w14:paraId="11F7EAA7" w14:textId="77777777" w:rsidR="0075245C" w:rsidRPr="0075245C" w:rsidRDefault="0075245C" w:rsidP="0075245C">
      <w:pPr>
        <w:pStyle w:val="38"/>
        <w:ind w:leftChars="120" w:left="288" w:firstLineChars="0" w:firstLine="0"/>
        <w:rPr>
          <w:color w:val="000000"/>
          <w:spacing w:val="-14"/>
        </w:rPr>
      </w:pPr>
      <w:hyperlink w:anchor="_Toc96350573"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16</w:t>
        </w:r>
        <w:r w:rsidRPr="0075245C">
          <w:rPr>
            <w:rFonts w:hint="eastAsia"/>
            <w:color w:val="000000"/>
            <w:spacing w:val="-14"/>
          </w:rPr>
          <w:t>次全體委員會議議事錄</w:t>
        </w:r>
      </w:hyperlink>
      <w:r w:rsidRPr="0075245C">
        <w:rPr>
          <w:rFonts w:hint="eastAsia"/>
          <w:color w:val="000000"/>
          <w:spacing w:val="-14"/>
        </w:rPr>
        <w:t>…399</w:t>
      </w:r>
    </w:p>
    <w:p w14:paraId="6EF1B88C" w14:textId="77777777" w:rsidR="0075245C" w:rsidRPr="0075245C" w:rsidRDefault="0075245C" w:rsidP="0075245C">
      <w:pPr>
        <w:pStyle w:val="38"/>
        <w:ind w:leftChars="120" w:left="288" w:firstLineChars="0" w:firstLine="0"/>
        <w:rPr>
          <w:color w:val="000000"/>
          <w:spacing w:val="-14"/>
        </w:rPr>
      </w:pPr>
      <w:hyperlink w:anchor="_Toc96350574"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17</w:t>
        </w:r>
        <w:r w:rsidRPr="0075245C">
          <w:rPr>
            <w:rFonts w:hint="eastAsia"/>
            <w:color w:val="000000"/>
            <w:spacing w:val="-14"/>
          </w:rPr>
          <w:t>次全體委員會議議事錄</w:t>
        </w:r>
      </w:hyperlink>
      <w:r w:rsidRPr="0075245C">
        <w:rPr>
          <w:rFonts w:hint="eastAsia"/>
          <w:color w:val="000000"/>
          <w:spacing w:val="-14"/>
        </w:rPr>
        <w:t>…401</w:t>
      </w:r>
    </w:p>
    <w:p w14:paraId="4A41BDB0" w14:textId="77777777" w:rsidR="0075245C" w:rsidRPr="0075245C" w:rsidRDefault="0075245C" w:rsidP="0075245C">
      <w:pPr>
        <w:pStyle w:val="38"/>
        <w:ind w:leftChars="120" w:left="288" w:firstLineChars="0" w:firstLine="0"/>
        <w:rPr>
          <w:color w:val="000000"/>
          <w:spacing w:val="-14"/>
        </w:rPr>
      </w:pPr>
      <w:hyperlink w:anchor="_Toc96350575"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18</w:t>
        </w:r>
        <w:r w:rsidRPr="0075245C">
          <w:rPr>
            <w:rFonts w:hint="eastAsia"/>
            <w:color w:val="000000"/>
            <w:spacing w:val="-14"/>
          </w:rPr>
          <w:t>次全體委員會議議事錄</w:t>
        </w:r>
      </w:hyperlink>
      <w:r w:rsidRPr="0075245C">
        <w:rPr>
          <w:rFonts w:hint="eastAsia"/>
          <w:color w:val="000000"/>
          <w:spacing w:val="-14"/>
        </w:rPr>
        <w:t>…412</w:t>
      </w:r>
    </w:p>
    <w:p w14:paraId="5716EB51" w14:textId="77777777" w:rsidR="0075245C" w:rsidRPr="0075245C" w:rsidRDefault="0075245C" w:rsidP="0075245C">
      <w:pPr>
        <w:pStyle w:val="38"/>
        <w:ind w:leftChars="120" w:left="288" w:firstLineChars="0" w:firstLine="0"/>
        <w:rPr>
          <w:color w:val="000000"/>
          <w:spacing w:val="-14"/>
        </w:rPr>
      </w:pPr>
      <w:hyperlink w:anchor="_Toc96350576"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19</w:t>
        </w:r>
        <w:r w:rsidRPr="0075245C">
          <w:rPr>
            <w:rFonts w:hint="eastAsia"/>
            <w:color w:val="000000"/>
            <w:spacing w:val="-14"/>
          </w:rPr>
          <w:t>次全體委員會議議事錄</w:t>
        </w:r>
      </w:hyperlink>
      <w:r w:rsidRPr="0075245C">
        <w:rPr>
          <w:rFonts w:hint="eastAsia"/>
          <w:color w:val="000000"/>
          <w:spacing w:val="-14"/>
        </w:rPr>
        <w:t>…413</w:t>
      </w:r>
    </w:p>
    <w:p w14:paraId="254E6F39" w14:textId="77777777" w:rsidR="0075245C" w:rsidRPr="0075245C" w:rsidRDefault="0075245C" w:rsidP="0075245C">
      <w:pPr>
        <w:pStyle w:val="38"/>
        <w:ind w:leftChars="120" w:left="288" w:firstLineChars="0" w:firstLine="0"/>
        <w:rPr>
          <w:color w:val="000000"/>
          <w:spacing w:val="-14"/>
        </w:rPr>
      </w:pPr>
      <w:hyperlink w:anchor="_Toc96350577"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20</w:t>
        </w:r>
        <w:r w:rsidRPr="0075245C">
          <w:rPr>
            <w:rFonts w:hint="eastAsia"/>
            <w:color w:val="000000"/>
            <w:spacing w:val="-14"/>
          </w:rPr>
          <w:t>次全體委員會議議事錄</w:t>
        </w:r>
      </w:hyperlink>
      <w:r w:rsidRPr="0075245C">
        <w:rPr>
          <w:rFonts w:hint="eastAsia"/>
          <w:color w:val="000000"/>
          <w:spacing w:val="-14"/>
        </w:rPr>
        <w:t>…415</w:t>
      </w:r>
    </w:p>
    <w:p w14:paraId="4D0DADA8" w14:textId="77777777" w:rsidR="0075245C" w:rsidRPr="0075245C" w:rsidRDefault="0075245C" w:rsidP="0075245C">
      <w:pPr>
        <w:pStyle w:val="38"/>
        <w:ind w:leftChars="120" w:left="288" w:firstLineChars="0" w:firstLine="0"/>
        <w:rPr>
          <w:color w:val="000000"/>
          <w:spacing w:val="-14"/>
        </w:rPr>
      </w:pPr>
      <w:hyperlink w:anchor="_Toc96350578"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21</w:t>
        </w:r>
        <w:r w:rsidRPr="0075245C">
          <w:rPr>
            <w:rFonts w:hint="eastAsia"/>
            <w:color w:val="000000"/>
            <w:spacing w:val="-14"/>
          </w:rPr>
          <w:t>次全體委員會議議事錄</w:t>
        </w:r>
      </w:hyperlink>
      <w:r w:rsidRPr="0075245C">
        <w:rPr>
          <w:rFonts w:hint="eastAsia"/>
          <w:color w:val="000000"/>
          <w:spacing w:val="-14"/>
        </w:rPr>
        <w:t>…416</w:t>
      </w:r>
    </w:p>
    <w:p w14:paraId="20CBD89B" w14:textId="77777777" w:rsidR="0075245C" w:rsidRPr="0075245C" w:rsidRDefault="0075245C" w:rsidP="0075245C">
      <w:pPr>
        <w:pStyle w:val="38"/>
        <w:ind w:leftChars="120" w:left="288" w:firstLineChars="0" w:firstLine="0"/>
        <w:rPr>
          <w:color w:val="000000"/>
          <w:spacing w:val="-14"/>
        </w:rPr>
      </w:pPr>
      <w:hyperlink w:anchor="_Toc96350579"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22</w:t>
        </w:r>
        <w:r w:rsidRPr="0075245C">
          <w:rPr>
            <w:rFonts w:hint="eastAsia"/>
            <w:color w:val="000000"/>
            <w:spacing w:val="-14"/>
          </w:rPr>
          <w:t>次全體委員會議議事錄</w:t>
        </w:r>
      </w:hyperlink>
      <w:r w:rsidRPr="0075245C">
        <w:rPr>
          <w:rFonts w:hint="eastAsia"/>
          <w:color w:val="000000"/>
          <w:spacing w:val="-14"/>
        </w:rPr>
        <w:t>…418</w:t>
      </w:r>
    </w:p>
    <w:p w14:paraId="47416C3A" w14:textId="77777777" w:rsidR="0075245C" w:rsidRPr="0075245C" w:rsidRDefault="0075245C" w:rsidP="0075245C">
      <w:pPr>
        <w:pStyle w:val="38"/>
        <w:ind w:leftChars="120" w:left="288" w:firstLineChars="0" w:firstLine="0"/>
        <w:rPr>
          <w:color w:val="000000"/>
          <w:spacing w:val="-14"/>
        </w:rPr>
      </w:pPr>
      <w:hyperlink w:anchor="_Toc96350577"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2</w:t>
        </w:r>
        <w:r w:rsidRPr="0075245C">
          <w:rPr>
            <w:rFonts w:hint="eastAsia"/>
            <w:color w:val="000000"/>
            <w:spacing w:val="-14"/>
          </w:rPr>
          <w:t>3次全體委員會議議事錄</w:t>
        </w:r>
      </w:hyperlink>
      <w:r w:rsidRPr="0075245C">
        <w:rPr>
          <w:rFonts w:hint="eastAsia"/>
          <w:color w:val="000000"/>
          <w:spacing w:val="-14"/>
        </w:rPr>
        <w:t>…427</w:t>
      </w:r>
    </w:p>
    <w:p w14:paraId="33E1D692" w14:textId="77777777" w:rsidR="0075245C" w:rsidRPr="0075245C" w:rsidRDefault="0075245C" w:rsidP="0075245C">
      <w:pPr>
        <w:pStyle w:val="38"/>
        <w:ind w:leftChars="120" w:left="288" w:firstLineChars="0" w:firstLine="0"/>
        <w:rPr>
          <w:color w:val="000000"/>
          <w:spacing w:val="-14"/>
        </w:rPr>
      </w:pPr>
      <w:hyperlink w:anchor="_Toc96350578"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2</w:t>
        </w:r>
        <w:r w:rsidRPr="0075245C">
          <w:rPr>
            <w:rFonts w:hint="eastAsia"/>
            <w:color w:val="000000"/>
            <w:spacing w:val="-14"/>
          </w:rPr>
          <w:t>4次全體委員會議議事錄</w:t>
        </w:r>
      </w:hyperlink>
      <w:r w:rsidRPr="0075245C">
        <w:rPr>
          <w:rFonts w:hint="eastAsia"/>
          <w:color w:val="000000"/>
          <w:spacing w:val="-14"/>
        </w:rPr>
        <w:t>…464</w:t>
      </w:r>
    </w:p>
    <w:p w14:paraId="79F16F49" w14:textId="77777777" w:rsidR="0075245C" w:rsidRPr="0075245C" w:rsidRDefault="0075245C" w:rsidP="0075245C">
      <w:pPr>
        <w:pStyle w:val="38"/>
        <w:ind w:leftChars="120" w:left="288" w:firstLineChars="0" w:firstLine="0"/>
        <w:rPr>
          <w:spacing w:val="-14"/>
        </w:rPr>
      </w:pPr>
      <w:hyperlink w:anchor="_Toc96350579"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屆第6會期司法及法制委員會第</w:t>
        </w:r>
        <w:r w:rsidRPr="0075245C">
          <w:rPr>
            <w:color w:val="000000"/>
            <w:spacing w:val="-14"/>
          </w:rPr>
          <w:t>2</w:t>
        </w:r>
        <w:r w:rsidRPr="0075245C">
          <w:rPr>
            <w:rFonts w:hint="eastAsia"/>
            <w:color w:val="000000"/>
            <w:spacing w:val="-14"/>
          </w:rPr>
          <w:t>5次全體委員會議議事錄</w:t>
        </w:r>
      </w:hyperlink>
      <w:r w:rsidRPr="0075245C">
        <w:rPr>
          <w:rFonts w:hint="eastAsia"/>
          <w:spacing w:val="-14"/>
        </w:rPr>
        <w:t>…475</w:t>
      </w:r>
    </w:p>
    <w:p w14:paraId="3E4731F7" w14:textId="77777777" w:rsidR="0075245C" w:rsidRPr="0075245C" w:rsidRDefault="0075245C" w:rsidP="0075245C">
      <w:pPr>
        <w:pStyle w:val="38"/>
        <w:ind w:leftChars="120" w:left="288" w:firstLineChars="0" w:firstLine="0"/>
        <w:rPr>
          <w:color w:val="000000"/>
          <w:spacing w:val="-14"/>
        </w:rPr>
      </w:pPr>
      <w:hyperlink w:anchor="_Toc96350577" w:history="1">
        <w:r w:rsidRPr="0075245C">
          <w:rPr>
            <w:rFonts w:hint="eastAsia"/>
            <w:spacing w:val="-14"/>
          </w:rPr>
          <w:t>立法院第</w:t>
        </w:r>
        <w:r w:rsidRPr="0075245C">
          <w:rPr>
            <w:spacing w:val="-14"/>
          </w:rPr>
          <w:t>10</w:t>
        </w:r>
        <w:r w:rsidRPr="0075245C">
          <w:rPr>
            <w:rFonts w:hint="eastAsia"/>
            <w:spacing w:val="-14"/>
          </w:rPr>
          <w:t>屆第6會期司法及法制委員會第</w:t>
        </w:r>
        <w:r w:rsidRPr="0075245C">
          <w:rPr>
            <w:spacing w:val="-14"/>
          </w:rPr>
          <w:t>2</w:t>
        </w:r>
        <w:r w:rsidRPr="0075245C">
          <w:rPr>
            <w:rFonts w:hint="eastAsia"/>
            <w:spacing w:val="-14"/>
          </w:rPr>
          <w:t>6次全體委員會議議事錄</w:t>
        </w:r>
      </w:hyperlink>
      <w:r w:rsidRPr="0075245C">
        <w:rPr>
          <w:rFonts w:hint="eastAsia"/>
          <w:spacing w:val="-14"/>
        </w:rPr>
        <w:t>…509</w:t>
      </w:r>
    </w:p>
    <w:p w14:paraId="4C54A087" w14:textId="77777777" w:rsidR="0075245C" w:rsidRPr="0075245C" w:rsidRDefault="0075245C" w:rsidP="0075245C">
      <w:pPr>
        <w:pStyle w:val="38"/>
        <w:ind w:leftChars="120" w:left="288" w:firstLineChars="0" w:firstLine="0"/>
        <w:rPr>
          <w:color w:val="000000"/>
          <w:spacing w:val="-14"/>
        </w:rPr>
      </w:pPr>
      <w:hyperlink w:anchor="_Toc96350578" w:history="1">
        <w:r w:rsidRPr="0075245C">
          <w:rPr>
            <w:rFonts w:hint="eastAsia"/>
            <w:spacing w:val="-14"/>
          </w:rPr>
          <w:t>立法院第</w:t>
        </w:r>
        <w:r w:rsidRPr="0075245C">
          <w:rPr>
            <w:spacing w:val="-14"/>
          </w:rPr>
          <w:t>10</w:t>
        </w:r>
        <w:r w:rsidRPr="0075245C">
          <w:rPr>
            <w:rFonts w:hint="eastAsia"/>
            <w:spacing w:val="-14"/>
          </w:rPr>
          <w:t>屆第6會期司法及法制委員會第</w:t>
        </w:r>
        <w:r w:rsidRPr="0075245C">
          <w:rPr>
            <w:spacing w:val="-14"/>
          </w:rPr>
          <w:t>2</w:t>
        </w:r>
        <w:r w:rsidRPr="0075245C">
          <w:rPr>
            <w:rFonts w:hint="eastAsia"/>
            <w:spacing w:val="-14"/>
          </w:rPr>
          <w:t>7次全體委員會議議事錄</w:t>
        </w:r>
      </w:hyperlink>
      <w:r w:rsidRPr="0075245C">
        <w:rPr>
          <w:rFonts w:hint="eastAsia"/>
          <w:spacing w:val="-14"/>
        </w:rPr>
        <w:t>…513</w:t>
      </w:r>
    </w:p>
    <w:p w14:paraId="659F460A" w14:textId="77777777" w:rsidR="0075245C" w:rsidRPr="0075245C" w:rsidRDefault="0075245C" w:rsidP="0075245C">
      <w:pPr>
        <w:pStyle w:val="38"/>
        <w:ind w:leftChars="120" w:left="288" w:firstLineChars="0" w:firstLine="0"/>
        <w:rPr>
          <w:spacing w:val="-14"/>
        </w:rPr>
      </w:pPr>
      <w:hyperlink w:anchor="_Toc96350579" w:history="1">
        <w:r w:rsidRPr="0075245C">
          <w:rPr>
            <w:rFonts w:hint="eastAsia"/>
            <w:spacing w:val="-14"/>
          </w:rPr>
          <w:t>立法院第</w:t>
        </w:r>
        <w:r w:rsidRPr="0075245C">
          <w:rPr>
            <w:spacing w:val="-14"/>
          </w:rPr>
          <w:t>10</w:t>
        </w:r>
        <w:r w:rsidRPr="0075245C">
          <w:rPr>
            <w:rFonts w:hint="eastAsia"/>
            <w:spacing w:val="-14"/>
          </w:rPr>
          <w:t>屆第6會期司法及法制委員會第</w:t>
        </w:r>
        <w:r w:rsidRPr="0075245C">
          <w:rPr>
            <w:spacing w:val="-14"/>
          </w:rPr>
          <w:t>2</w:t>
        </w:r>
        <w:r w:rsidRPr="0075245C">
          <w:rPr>
            <w:rFonts w:hint="eastAsia"/>
            <w:spacing w:val="-14"/>
          </w:rPr>
          <w:t>8次全體委員會議議事錄</w:t>
        </w:r>
      </w:hyperlink>
      <w:r w:rsidRPr="0075245C">
        <w:rPr>
          <w:rFonts w:hint="eastAsia"/>
          <w:spacing w:val="-14"/>
        </w:rPr>
        <w:t>…527</w:t>
      </w:r>
    </w:p>
    <w:p w14:paraId="2A4ED629" w14:textId="77777777" w:rsidR="0075245C" w:rsidRPr="0075245C" w:rsidRDefault="0075245C" w:rsidP="0075245C">
      <w:pPr>
        <w:pStyle w:val="38"/>
        <w:ind w:leftChars="120" w:left="288" w:firstLineChars="0" w:firstLine="0"/>
        <w:rPr>
          <w:color w:val="000000"/>
          <w:spacing w:val="-14"/>
        </w:rPr>
      </w:pPr>
      <w:hyperlink w:anchor="_Toc96350577" w:history="1">
        <w:r w:rsidRPr="0075245C">
          <w:rPr>
            <w:rFonts w:hint="eastAsia"/>
            <w:spacing w:val="-14"/>
          </w:rPr>
          <w:t>立法院第</w:t>
        </w:r>
        <w:r w:rsidRPr="0075245C">
          <w:rPr>
            <w:spacing w:val="-14"/>
          </w:rPr>
          <w:t>10</w:t>
        </w:r>
        <w:r w:rsidRPr="0075245C">
          <w:rPr>
            <w:rFonts w:hint="eastAsia"/>
            <w:spacing w:val="-14"/>
          </w:rPr>
          <w:t>屆第6會期司法及法制委員會第</w:t>
        </w:r>
        <w:r w:rsidRPr="0075245C">
          <w:rPr>
            <w:spacing w:val="-14"/>
          </w:rPr>
          <w:t>2</w:t>
        </w:r>
        <w:r w:rsidRPr="0075245C">
          <w:rPr>
            <w:rFonts w:hint="eastAsia"/>
            <w:spacing w:val="-14"/>
          </w:rPr>
          <w:t>9次全體委員會議議事錄</w:t>
        </w:r>
      </w:hyperlink>
      <w:r w:rsidRPr="0075245C">
        <w:rPr>
          <w:rFonts w:hint="eastAsia"/>
          <w:spacing w:val="-14"/>
        </w:rPr>
        <w:t>…528</w:t>
      </w:r>
    </w:p>
    <w:p w14:paraId="2D7AA548" w14:textId="77777777" w:rsidR="0075245C" w:rsidRPr="0075245C" w:rsidRDefault="0075245C" w:rsidP="0075245C">
      <w:pPr>
        <w:pStyle w:val="38"/>
        <w:ind w:leftChars="120" w:left="288" w:firstLineChars="0" w:firstLine="0"/>
        <w:rPr>
          <w:color w:val="000000"/>
          <w:spacing w:val="-14"/>
        </w:rPr>
      </w:pPr>
      <w:hyperlink w:anchor="_Toc96350578" w:history="1">
        <w:r w:rsidRPr="0075245C">
          <w:rPr>
            <w:rFonts w:hint="eastAsia"/>
            <w:spacing w:val="-14"/>
          </w:rPr>
          <w:t>立法院第</w:t>
        </w:r>
        <w:r w:rsidRPr="0075245C">
          <w:rPr>
            <w:spacing w:val="-14"/>
          </w:rPr>
          <w:t>10</w:t>
        </w:r>
        <w:r w:rsidRPr="0075245C">
          <w:rPr>
            <w:rFonts w:hint="eastAsia"/>
            <w:spacing w:val="-14"/>
          </w:rPr>
          <w:t>屆第6會期司法及法制委員會第30次全體委員會議議事錄</w:t>
        </w:r>
      </w:hyperlink>
      <w:r w:rsidRPr="0075245C">
        <w:rPr>
          <w:rFonts w:hint="eastAsia"/>
          <w:spacing w:val="-14"/>
        </w:rPr>
        <w:t>…530</w:t>
      </w:r>
    </w:p>
    <w:p w14:paraId="55239272" w14:textId="77777777" w:rsidR="0075245C" w:rsidRPr="0075245C" w:rsidRDefault="0075245C" w:rsidP="0075245C">
      <w:pPr>
        <w:pStyle w:val="38"/>
        <w:ind w:leftChars="120" w:left="288" w:firstLineChars="0" w:firstLine="0"/>
        <w:rPr>
          <w:color w:val="000000"/>
          <w:spacing w:val="-14"/>
        </w:rPr>
      </w:pPr>
      <w:hyperlink w:anchor="_Toc96350584" w:history="1">
        <w:r w:rsidRPr="0075245C">
          <w:rPr>
            <w:rFonts w:hint="eastAsia"/>
            <w:spacing w:val="-14"/>
          </w:rPr>
          <w:t>三、本會聯席委員會議議事錄</w:t>
        </w:r>
      </w:hyperlink>
      <w:r w:rsidRPr="0075245C">
        <w:rPr>
          <w:rFonts w:hint="eastAsia"/>
          <w:spacing w:val="-14"/>
        </w:rPr>
        <w:t>……………………………………………533</w:t>
      </w:r>
    </w:p>
    <w:p w14:paraId="50B610B4" w14:textId="77777777" w:rsidR="0075245C" w:rsidRPr="0075245C" w:rsidRDefault="0075245C" w:rsidP="0075245C">
      <w:pPr>
        <w:pStyle w:val="38"/>
        <w:ind w:leftChars="120" w:left="288" w:firstLineChars="0" w:firstLine="0"/>
        <w:rPr>
          <w:color w:val="000000"/>
          <w:spacing w:val="-14"/>
        </w:rPr>
      </w:pPr>
      <w:hyperlink w:anchor="_Toc96350586" w:history="1">
        <w:r w:rsidRPr="0075245C">
          <w:rPr>
            <w:rFonts w:hint="eastAsia"/>
            <w:color w:val="000000"/>
            <w:spacing w:val="-14"/>
          </w:rPr>
          <w:t>立法院第</w:t>
        </w:r>
        <w:r w:rsidRPr="0075245C">
          <w:rPr>
            <w:color w:val="000000"/>
            <w:spacing w:val="-14"/>
          </w:rPr>
          <w:t>10</w:t>
        </w:r>
        <w:r w:rsidRPr="0075245C">
          <w:rPr>
            <w:rFonts w:hint="eastAsia"/>
            <w:color w:val="000000"/>
            <w:spacing w:val="-14"/>
          </w:rPr>
          <w:t>屆第6會期司法及法制、經濟委員會第1次聯席會議議事錄</w:t>
        </w:r>
      </w:hyperlink>
      <w:r w:rsidRPr="0075245C">
        <w:rPr>
          <w:rFonts w:hint="eastAsia"/>
          <w:spacing w:val="-14"/>
        </w:rPr>
        <w:t>…533</w:t>
      </w:r>
    </w:p>
    <w:p w14:paraId="603CB7DB" w14:textId="77777777" w:rsidR="006209B8" w:rsidRPr="006209B8" w:rsidRDefault="006209B8" w:rsidP="006209B8">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85" w:history="1">
        <w:r w:rsidRPr="006209B8">
          <w:rPr>
            <w:rFonts w:ascii="標楷體" w:eastAsia="標楷體" w:hAnsi="標楷體" w:hint="eastAsia"/>
            <w:bCs/>
            <w:noProof/>
            <w:color w:val="000000"/>
            <w:spacing w:val="-22"/>
            <w:sz w:val="28"/>
            <w:szCs w:val="28"/>
          </w:rPr>
          <w:t>立法院第</w:t>
        </w:r>
        <w:r w:rsidRPr="006209B8">
          <w:rPr>
            <w:rFonts w:ascii="標楷體" w:eastAsia="標楷體" w:hAnsi="標楷體"/>
            <w:bCs/>
            <w:noProof/>
            <w:color w:val="000000"/>
            <w:spacing w:val="-22"/>
            <w:sz w:val="28"/>
            <w:szCs w:val="28"/>
          </w:rPr>
          <w:t>10</w:t>
        </w:r>
        <w:r w:rsidRPr="006209B8">
          <w:rPr>
            <w:rFonts w:ascii="標楷體" w:eastAsia="標楷體" w:hAnsi="標楷體" w:hint="eastAsia"/>
            <w:bCs/>
            <w:noProof/>
            <w:color w:val="000000"/>
            <w:spacing w:val="-22"/>
            <w:sz w:val="28"/>
            <w:szCs w:val="28"/>
          </w:rPr>
          <w:t>屆第6會期司法及法制、教育及文化委員會第</w:t>
        </w:r>
        <w:r w:rsidRPr="006209B8">
          <w:rPr>
            <w:rFonts w:ascii="標楷體" w:eastAsia="標楷體" w:hAnsi="標楷體"/>
            <w:bCs/>
            <w:noProof/>
            <w:color w:val="000000"/>
            <w:spacing w:val="-22"/>
            <w:sz w:val="28"/>
            <w:szCs w:val="28"/>
          </w:rPr>
          <w:t>1</w:t>
        </w:r>
        <w:r w:rsidRPr="006209B8">
          <w:rPr>
            <w:rFonts w:ascii="標楷體" w:eastAsia="標楷體" w:hAnsi="標楷體" w:hint="eastAsia"/>
            <w:bCs/>
            <w:noProof/>
            <w:color w:val="000000"/>
            <w:spacing w:val="-22"/>
            <w:sz w:val="28"/>
            <w:szCs w:val="28"/>
          </w:rPr>
          <w:t>次聯席會議</w:t>
        </w:r>
        <w:r w:rsidRPr="006209B8">
          <w:rPr>
            <w:rFonts w:ascii="標楷體" w:eastAsia="標楷體" w:hAnsi="標楷體" w:hint="eastAsia"/>
            <w:bCs/>
            <w:noProof/>
            <w:color w:val="000000"/>
            <w:spacing w:val="-22"/>
            <w:sz w:val="28"/>
            <w:szCs w:val="28"/>
          </w:rPr>
          <w:t>議事</w:t>
        </w:r>
        <w:r w:rsidRPr="006209B8">
          <w:rPr>
            <w:rFonts w:ascii="標楷體" w:eastAsia="標楷體" w:hAnsi="標楷體" w:hint="eastAsia"/>
            <w:bCs/>
            <w:noProof/>
            <w:color w:val="000000"/>
            <w:spacing w:val="-10"/>
            <w:sz w:val="28"/>
            <w:szCs w:val="28"/>
          </w:rPr>
          <w:t>錄</w:t>
        </w:r>
      </w:hyperlink>
      <w:r w:rsidRPr="006209B8">
        <w:rPr>
          <w:rFonts w:ascii="標楷體" w:eastAsia="標楷體" w:hAnsi="標楷體" w:hint="eastAsia"/>
          <w:bCs/>
          <w:noProof/>
          <w:color w:val="000000"/>
          <w:spacing w:val="-10"/>
          <w:sz w:val="28"/>
          <w:szCs w:val="28"/>
        </w:rPr>
        <w:t>…535</w:t>
      </w:r>
    </w:p>
    <w:p w14:paraId="1E50B5B0" w14:textId="77777777" w:rsidR="0075245C" w:rsidRPr="00747D21" w:rsidRDefault="0075245C" w:rsidP="0075245C">
      <w:pPr>
        <w:pStyle w:val="38"/>
        <w:ind w:leftChars="120" w:left="288" w:firstLineChars="0" w:firstLine="0"/>
      </w:pPr>
      <w:r w:rsidRPr="0075245C">
        <w:rPr>
          <w:rFonts w:hint="eastAsia"/>
          <w:color w:val="000000"/>
          <w:spacing w:val="-14"/>
        </w:rPr>
        <w:t>立法院第10屆第6會期司法及法制、經濟委員會第2次聯席會議議事錄</w:t>
      </w:r>
      <w:r w:rsidRPr="0075245C">
        <w:rPr>
          <w:rFonts w:hint="eastAsia"/>
          <w:spacing w:val="-14"/>
        </w:rPr>
        <w:t>…5</w:t>
      </w:r>
      <w:r>
        <w:rPr>
          <w:rStyle w:val="af1"/>
          <w:rFonts w:hint="eastAsia"/>
          <w:color w:val="000000"/>
          <w:u w:val="none"/>
        </w:rPr>
        <w:t>37</w:t>
      </w:r>
    </w:p>
    <w:p w14:paraId="2E01470C" w14:textId="77777777" w:rsidR="006209B8" w:rsidRPr="006209B8" w:rsidRDefault="006209B8" w:rsidP="006209B8">
      <w:pPr>
        <w:tabs>
          <w:tab w:val="right" w:leader="middleDot" w:pos="8789"/>
        </w:tabs>
        <w:adjustRightInd w:val="0"/>
        <w:snapToGrid w:val="0"/>
        <w:spacing w:beforeLines="20" w:before="72" w:afterLines="20" w:after="72" w:line="500" w:lineRule="exact"/>
        <w:ind w:leftChars="120" w:left="288" w:rightChars="-150" w:right="-360"/>
        <w:jc w:val="distribute"/>
        <w:rPr>
          <w:rFonts w:ascii="Calibri" w:hAnsi="Calibri"/>
          <w:bCs/>
          <w:noProof/>
          <w:color w:val="000000"/>
          <w:spacing w:val="-10"/>
          <w:szCs w:val="22"/>
        </w:rPr>
      </w:pPr>
      <w:hyperlink w:anchor="_Toc96350588" w:history="1">
        <w:r w:rsidRPr="006209B8">
          <w:rPr>
            <w:rFonts w:ascii="標楷體" w:eastAsia="標楷體" w:hAnsi="標楷體" w:hint="eastAsia"/>
            <w:bCs/>
            <w:noProof/>
            <w:color w:val="000000"/>
            <w:spacing w:val="-10"/>
            <w:sz w:val="28"/>
            <w:szCs w:val="28"/>
          </w:rPr>
          <w:t>立</w:t>
        </w:r>
        <w:r w:rsidRPr="006209B8">
          <w:rPr>
            <w:rFonts w:ascii="標楷體" w:eastAsia="標楷體" w:hAnsi="標楷體" w:hint="eastAsia"/>
            <w:bCs/>
            <w:noProof/>
            <w:color w:val="000000"/>
            <w:spacing w:val="-12"/>
            <w:sz w:val="28"/>
            <w:szCs w:val="28"/>
          </w:rPr>
          <w:t>法院第</w:t>
        </w:r>
        <w:r w:rsidRPr="006209B8">
          <w:rPr>
            <w:rFonts w:ascii="標楷體" w:eastAsia="標楷體" w:hAnsi="標楷體"/>
            <w:bCs/>
            <w:noProof/>
            <w:color w:val="000000"/>
            <w:spacing w:val="-12"/>
            <w:sz w:val="28"/>
            <w:szCs w:val="28"/>
          </w:rPr>
          <w:t>10</w:t>
        </w:r>
        <w:r w:rsidRPr="006209B8">
          <w:rPr>
            <w:rFonts w:ascii="標楷體" w:eastAsia="標楷體" w:hAnsi="標楷體" w:hint="eastAsia"/>
            <w:bCs/>
            <w:noProof/>
            <w:color w:val="000000"/>
            <w:spacing w:val="-12"/>
            <w:sz w:val="28"/>
            <w:szCs w:val="28"/>
          </w:rPr>
          <w:t>屆第6會期司法及法制、經濟委員會第3次聯席會議議事錄</w:t>
        </w:r>
      </w:hyperlink>
      <w:r w:rsidRPr="006209B8">
        <w:rPr>
          <w:rFonts w:ascii="標楷體" w:eastAsia="標楷體" w:hAnsi="標楷體" w:hint="eastAsia"/>
          <w:bCs/>
          <w:noProof/>
          <w:color w:val="000000"/>
          <w:spacing w:val="-10"/>
          <w:sz w:val="28"/>
          <w:szCs w:val="28"/>
        </w:rPr>
        <w:t>…538</w:t>
      </w:r>
    </w:p>
    <w:p w14:paraId="163F0C6C" w14:textId="1F312C65" w:rsidR="0075245C" w:rsidRDefault="0075245C" w:rsidP="0075245C">
      <w:pPr>
        <w:pStyle w:val="14"/>
        <w:spacing w:before="72" w:after="72"/>
        <w:ind w:leftChars="-108" w:left="-259"/>
        <w:jc w:val="distribute"/>
        <w:rPr>
          <w:rStyle w:val="af1"/>
          <w:color w:val="000000"/>
          <w:u w:val="none"/>
        </w:rPr>
      </w:pPr>
      <w:hyperlink w:anchor="_Toc96350591" w:history="1">
        <w:r w:rsidRPr="00747D21">
          <w:rPr>
            <w:rStyle w:val="af1"/>
            <w:rFonts w:hint="eastAsia"/>
            <w:bCs/>
            <w:color w:val="000000"/>
            <w:kern w:val="52"/>
          </w:rPr>
          <w:t>附錄［貳］本會期考察</w:t>
        </w:r>
        <w:r w:rsidRPr="00747D21">
          <w:rPr>
            <w:rStyle w:val="af1"/>
            <w:bCs/>
            <w:color w:val="000000"/>
            <w:kern w:val="52"/>
          </w:rPr>
          <w:t>(</w:t>
        </w:r>
        <w:r w:rsidRPr="00747D21">
          <w:rPr>
            <w:rStyle w:val="af1"/>
            <w:rFonts w:hint="eastAsia"/>
            <w:bCs/>
            <w:color w:val="000000"/>
            <w:kern w:val="52"/>
          </w:rPr>
          <w:t>參訪</w:t>
        </w:r>
        <w:r w:rsidRPr="00747D21">
          <w:rPr>
            <w:rStyle w:val="af1"/>
            <w:bCs/>
            <w:color w:val="000000"/>
            <w:kern w:val="52"/>
          </w:rPr>
          <w:t>)</w:t>
        </w:r>
        <w:r w:rsidRPr="00747D21">
          <w:rPr>
            <w:rStyle w:val="af1"/>
            <w:rFonts w:hint="eastAsia"/>
            <w:bCs/>
            <w:color w:val="000000"/>
            <w:kern w:val="52"/>
          </w:rPr>
          <w:t>活動紀錄</w:t>
        </w:r>
      </w:hyperlink>
      <w:r w:rsidRPr="00692533">
        <w:rPr>
          <w:rStyle w:val="af1"/>
          <w:rFonts w:hint="eastAsia"/>
          <w:b w:val="0"/>
          <w:color w:val="000000"/>
          <w:u w:val="none"/>
        </w:rPr>
        <w:t>……………………………………542</w:t>
      </w:r>
    </w:p>
    <w:p w14:paraId="0B20B0D8" w14:textId="507EB3B9" w:rsidR="00C82C27" w:rsidRDefault="0075245C" w:rsidP="0075245C">
      <w:pPr>
        <w:pStyle w:val="12"/>
        <w:snapToGrid w:val="0"/>
        <w:spacing w:beforeLines="100" w:before="360" w:afterLines="50" w:after="180" w:line="460" w:lineRule="exact"/>
        <w:ind w:left="188" w:hangingChars="67" w:hanging="188"/>
        <w:jc w:val="center"/>
        <w:rPr>
          <w:color w:val="000000" w:themeColor="text1"/>
        </w:rPr>
        <w:sectPr w:rsidR="00C82C27" w:rsidSect="003334B2">
          <w:footerReference w:type="default" r:id="rId9"/>
          <w:pgSz w:w="11906" w:h="16838" w:code="9"/>
          <w:pgMar w:top="993" w:right="1701" w:bottom="1134" w:left="1701" w:header="851" w:footer="992" w:gutter="0"/>
          <w:pgNumType w:start="1"/>
          <w:cols w:space="425"/>
          <w:docGrid w:type="lines" w:linePitch="360"/>
        </w:sectPr>
      </w:pPr>
      <w:r w:rsidRPr="00251D43">
        <w:rPr>
          <w:b w:val="0"/>
          <w:noProof/>
          <w:color w:val="000000"/>
          <w:szCs w:val="28"/>
        </w:rPr>
        <w:fldChar w:fldCharType="end"/>
      </w:r>
      <w:r w:rsidR="001D5813" w:rsidRPr="006B4440">
        <w:rPr>
          <w:color w:val="000000" w:themeColor="text1"/>
        </w:rPr>
        <w:t xml:space="preserve"> </w:t>
      </w:r>
    </w:p>
    <w:p w14:paraId="39D349E2" w14:textId="77777777" w:rsidR="00C82C27" w:rsidRPr="00773EAC" w:rsidRDefault="00C82C27" w:rsidP="00C82C27">
      <w:pPr>
        <w:keepNext/>
        <w:snapToGrid w:val="0"/>
        <w:spacing w:beforeLines="100" w:before="360" w:afterLines="50" w:after="180" w:line="500" w:lineRule="exact"/>
        <w:jc w:val="both"/>
        <w:outlineLvl w:val="0"/>
        <w:rPr>
          <w:rFonts w:ascii="標楷體" w:eastAsia="標楷體" w:hAnsi="標楷體"/>
          <w:b/>
          <w:bCs/>
          <w:color w:val="000000" w:themeColor="text1"/>
          <w:kern w:val="52"/>
          <w:sz w:val="28"/>
          <w:szCs w:val="28"/>
        </w:rPr>
      </w:pPr>
      <w:bookmarkStart w:id="8" w:name="_Toc96350471"/>
      <w:bookmarkStart w:id="9" w:name="_Toc163381674"/>
      <w:bookmarkStart w:id="10" w:name="_Toc163899074"/>
      <w:bookmarkStart w:id="11" w:name="_Toc167872435"/>
      <w:bookmarkStart w:id="12" w:name="_Toc169687164"/>
      <w:bookmarkStart w:id="13" w:name="_Toc510167618"/>
      <w:bookmarkStart w:id="14" w:name="_Toc1401022"/>
      <w:bookmarkStart w:id="15" w:name="_Toc42531676"/>
      <w:bookmarkStart w:id="16" w:name="_Toc96350479"/>
      <w:bookmarkStart w:id="17" w:name="_Toc163381675"/>
      <w:bookmarkStart w:id="18" w:name="_Toc163899075"/>
      <w:bookmarkStart w:id="19" w:name="_Toc167872436"/>
      <w:bookmarkStart w:id="20" w:name="_Toc169687165"/>
      <w:r w:rsidRPr="00773EAC">
        <w:rPr>
          <w:rFonts w:ascii="標楷體" w:eastAsia="標楷體" w:hAnsi="標楷體"/>
          <w:b/>
          <w:bCs/>
          <w:color w:val="000000" w:themeColor="text1"/>
          <w:kern w:val="52"/>
          <w:sz w:val="28"/>
          <w:szCs w:val="28"/>
        </w:rPr>
        <w:lastRenderedPageBreak/>
        <w:t>壹、組織及業務簡介</w:t>
      </w:r>
      <w:bookmarkEnd w:id="8"/>
    </w:p>
    <w:p w14:paraId="79C644E1" w14:textId="77777777" w:rsidR="00C82C27" w:rsidRPr="00773EAC" w:rsidRDefault="00C82C27" w:rsidP="00C82C27">
      <w:pPr>
        <w:keepNext/>
        <w:spacing w:line="500" w:lineRule="exact"/>
        <w:ind w:leftChars="119" w:left="600" w:hangingChars="112" w:hanging="314"/>
        <w:jc w:val="both"/>
        <w:outlineLvl w:val="1"/>
        <w:rPr>
          <w:rFonts w:ascii="標楷體" w:eastAsia="標楷體" w:hAnsi="標楷體"/>
          <w:b/>
          <w:bCs/>
          <w:color w:val="000000" w:themeColor="text1"/>
          <w:sz w:val="28"/>
          <w:szCs w:val="28"/>
        </w:rPr>
      </w:pPr>
      <w:bookmarkStart w:id="21" w:name="_一、本會期本會委員名單"/>
      <w:bookmarkStart w:id="22" w:name="_Toc42531545"/>
      <w:bookmarkStart w:id="23" w:name="_Toc96350472"/>
      <w:bookmarkStart w:id="24" w:name="_Toc163381671"/>
      <w:bookmarkStart w:id="25" w:name="_Toc163899071"/>
      <w:bookmarkStart w:id="26" w:name="_Toc167872432"/>
      <w:bookmarkStart w:id="27" w:name="_Toc169687161"/>
      <w:bookmarkStart w:id="28" w:name="_Toc510167614"/>
      <w:bookmarkStart w:id="29" w:name="_Toc1401018"/>
      <w:bookmarkEnd w:id="21"/>
      <w:r w:rsidRPr="00773EAC">
        <w:rPr>
          <w:rFonts w:ascii="標楷體" w:eastAsia="標楷體" w:hAnsi="標楷體"/>
          <w:b/>
          <w:bCs/>
          <w:color w:val="000000" w:themeColor="text1"/>
          <w:sz w:val="28"/>
          <w:szCs w:val="28"/>
        </w:rPr>
        <w:t>一、</w:t>
      </w:r>
      <w:r w:rsidRPr="00773EAC">
        <w:rPr>
          <w:rFonts w:ascii="標楷體" w:eastAsia="標楷體" w:hAnsi="標楷體" w:hint="eastAsia"/>
          <w:b/>
          <w:bCs/>
          <w:color w:val="000000" w:themeColor="text1"/>
          <w:sz w:val="28"/>
          <w:szCs w:val="28"/>
        </w:rPr>
        <w:t>組織</w:t>
      </w:r>
      <w:bookmarkEnd w:id="22"/>
      <w:bookmarkEnd w:id="23"/>
    </w:p>
    <w:p w14:paraId="464D6D84" w14:textId="77777777" w:rsidR="00C82C27" w:rsidRPr="00773EAC" w:rsidRDefault="00C82C27" w:rsidP="00C82C27">
      <w:pPr>
        <w:keepNext/>
        <w:spacing w:line="500" w:lineRule="exact"/>
        <w:ind w:leftChars="178" w:left="1191" w:hangingChars="273" w:hanging="764"/>
        <w:jc w:val="both"/>
        <w:outlineLvl w:val="2"/>
        <w:rPr>
          <w:rFonts w:ascii="標楷體" w:eastAsia="標楷體" w:hAnsi="標楷體"/>
          <w:bCs/>
          <w:color w:val="000000" w:themeColor="text1"/>
          <w:sz w:val="28"/>
          <w:szCs w:val="28"/>
        </w:rPr>
      </w:pPr>
      <w:bookmarkStart w:id="30" w:name="_Toc42531546"/>
      <w:bookmarkStart w:id="31" w:name="_Toc96350473"/>
      <w:r w:rsidRPr="00773EAC">
        <w:rPr>
          <w:rFonts w:ascii="標楷體" w:eastAsia="標楷體" w:hAnsi="標楷體" w:hint="eastAsia"/>
          <w:bCs/>
          <w:color w:val="000000" w:themeColor="text1"/>
          <w:sz w:val="28"/>
          <w:szCs w:val="28"/>
        </w:rPr>
        <w:t>(一)</w:t>
      </w:r>
      <w:r w:rsidRPr="00773EAC">
        <w:rPr>
          <w:rFonts w:ascii="標楷體" w:eastAsia="標楷體" w:hAnsi="標楷體"/>
          <w:bCs/>
          <w:color w:val="000000" w:themeColor="text1"/>
          <w:sz w:val="28"/>
          <w:szCs w:val="28"/>
        </w:rPr>
        <w:t>本會期本會委員</w:t>
      </w:r>
      <w:bookmarkEnd w:id="24"/>
      <w:bookmarkEnd w:id="25"/>
      <w:bookmarkEnd w:id="26"/>
      <w:bookmarkEnd w:id="27"/>
      <w:bookmarkEnd w:id="28"/>
      <w:bookmarkEnd w:id="29"/>
      <w:bookmarkEnd w:id="30"/>
      <w:bookmarkEnd w:id="31"/>
    </w:p>
    <w:p w14:paraId="3CE43AF3" w14:textId="0BA4DF6F" w:rsidR="00784F46" w:rsidRPr="00E45876" w:rsidRDefault="00C82C27" w:rsidP="00B32B9E">
      <w:pPr>
        <w:snapToGrid w:val="0"/>
        <w:spacing w:line="500" w:lineRule="exact"/>
        <w:ind w:leftChars="414" w:left="1134" w:rightChars="-59" w:right="-142" w:hangingChars="50" w:hanging="140"/>
        <w:jc w:val="both"/>
        <w:rPr>
          <w:rFonts w:ascii="標楷體" w:eastAsia="標楷體" w:hAnsi="標楷體"/>
          <w:color w:val="000000" w:themeColor="text1"/>
          <w:spacing w:val="-30"/>
          <w:sz w:val="28"/>
          <w:szCs w:val="28"/>
        </w:rPr>
      </w:pPr>
      <w:r w:rsidRPr="00773EAC">
        <w:rPr>
          <w:rFonts w:ascii="標楷體" w:eastAsia="標楷體" w:hAnsi="標楷體" w:hint="eastAsia"/>
          <w:color w:val="000000" w:themeColor="text1"/>
          <w:sz w:val="28"/>
          <w:szCs w:val="28"/>
        </w:rPr>
        <w:t>柯建銘、鄭運鵬、陳歐珀、黃世杰、周春米</w:t>
      </w:r>
      <w:r w:rsidR="00784F46" w:rsidRPr="00E45876">
        <w:rPr>
          <w:rFonts w:ascii="標楷體" w:eastAsia="標楷體" w:hAnsi="標楷體" w:hint="eastAsia"/>
          <w:color w:val="000000" w:themeColor="text1"/>
          <w:spacing w:val="-30"/>
          <w:sz w:val="28"/>
          <w:szCs w:val="28"/>
        </w:rPr>
        <w:t>（111年12月2</w:t>
      </w:r>
      <w:r w:rsidR="00784F46" w:rsidRPr="00E45876">
        <w:rPr>
          <w:rFonts w:ascii="標楷體" w:eastAsia="標楷體" w:hAnsi="標楷體"/>
          <w:color w:val="000000" w:themeColor="text1"/>
          <w:spacing w:val="-30"/>
          <w:sz w:val="28"/>
          <w:szCs w:val="28"/>
        </w:rPr>
        <w:t>5</w:t>
      </w:r>
      <w:r w:rsidR="00784F46" w:rsidRPr="00E45876">
        <w:rPr>
          <w:rFonts w:ascii="標楷體" w:eastAsia="標楷體" w:hAnsi="標楷體" w:hint="eastAsia"/>
          <w:color w:val="000000" w:themeColor="text1"/>
          <w:spacing w:val="-30"/>
          <w:sz w:val="28"/>
          <w:szCs w:val="28"/>
        </w:rPr>
        <w:t>日</w:t>
      </w:r>
      <w:r w:rsidR="00E45876" w:rsidRPr="00E45876">
        <w:rPr>
          <w:rFonts w:ascii="標楷體" w:eastAsia="標楷體" w:hAnsi="標楷體" w:hint="eastAsia"/>
          <w:color w:val="000000" w:themeColor="text1"/>
          <w:spacing w:val="-30"/>
          <w:sz w:val="28"/>
          <w:szCs w:val="28"/>
        </w:rPr>
        <w:t>辭</w:t>
      </w:r>
      <w:r w:rsidR="00784F46" w:rsidRPr="00E45876">
        <w:rPr>
          <w:rFonts w:ascii="標楷體" w:eastAsia="標楷體" w:hAnsi="標楷體" w:hint="eastAsia"/>
          <w:color w:val="000000" w:themeColor="text1"/>
          <w:spacing w:val="-30"/>
          <w:sz w:val="28"/>
          <w:szCs w:val="28"/>
        </w:rPr>
        <w:t>職）</w:t>
      </w:r>
    </w:p>
    <w:p w14:paraId="494940A6" w14:textId="77777777" w:rsidR="00DE0741" w:rsidRDefault="00C82C27" w:rsidP="00B32B9E">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江永昌、劉建國</w:t>
      </w:r>
      <w:r w:rsidR="00E45876">
        <w:rPr>
          <w:rFonts w:ascii="標楷體" w:eastAsia="標楷體" w:hAnsi="標楷體" w:hint="eastAsia"/>
          <w:color w:val="000000" w:themeColor="text1"/>
          <w:sz w:val="28"/>
          <w:szCs w:val="28"/>
        </w:rPr>
        <w:t>、</w:t>
      </w:r>
      <w:r w:rsidRPr="00773EAC">
        <w:rPr>
          <w:rFonts w:ascii="標楷體" w:eastAsia="標楷體" w:hAnsi="標楷體" w:hint="eastAsia"/>
          <w:color w:val="000000" w:themeColor="text1"/>
          <w:sz w:val="28"/>
          <w:szCs w:val="28"/>
        </w:rPr>
        <w:t>游錫堃、蔡其昌、曾銘宗、陳玉珍、</w:t>
      </w:r>
      <w:r w:rsidR="008016BA">
        <w:rPr>
          <w:rFonts w:ascii="標楷體" w:eastAsia="標楷體" w:hAnsi="標楷體" w:hint="eastAsia"/>
          <w:color w:val="000000" w:themeColor="text1"/>
          <w:sz w:val="28"/>
          <w:szCs w:val="28"/>
        </w:rPr>
        <w:t>游</w:t>
      </w:r>
      <w:r w:rsidRPr="00773EAC">
        <w:rPr>
          <w:rFonts w:ascii="標楷體" w:eastAsia="標楷體" w:hAnsi="標楷體" w:hint="eastAsia"/>
          <w:color w:val="000000" w:themeColor="text1"/>
          <w:sz w:val="28"/>
          <w:szCs w:val="28"/>
        </w:rPr>
        <w:t>毓蘭</w:t>
      </w:r>
    </w:p>
    <w:p w14:paraId="3AEA3391" w14:textId="29396EF9" w:rsidR="00C82C27" w:rsidRPr="00773EAC" w:rsidRDefault="00C82C27" w:rsidP="00B32B9E">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陳以信、林思銘</w:t>
      </w:r>
      <w:r w:rsidR="00DE0741">
        <w:rPr>
          <w:rFonts w:ascii="標楷體" w:eastAsia="標楷體" w:hAnsi="標楷體" w:hint="eastAsia"/>
          <w:color w:val="000000" w:themeColor="text1"/>
          <w:sz w:val="28"/>
          <w:szCs w:val="28"/>
        </w:rPr>
        <w:t>、</w:t>
      </w:r>
      <w:r w:rsidRPr="00B32B9E">
        <w:rPr>
          <w:rFonts w:ascii="標楷體" w:eastAsia="標楷體" w:hAnsi="標楷體" w:hint="eastAsia"/>
          <w:color w:val="000000" w:themeColor="text1"/>
          <w:sz w:val="28"/>
          <w:szCs w:val="28"/>
        </w:rPr>
        <w:t>陳靜敏</w:t>
      </w:r>
      <w:r w:rsidR="00A45509" w:rsidRPr="00E45876">
        <w:rPr>
          <w:rFonts w:ascii="標楷體" w:eastAsia="標楷體" w:hAnsi="標楷體" w:hint="eastAsia"/>
          <w:color w:val="000000" w:themeColor="text1"/>
          <w:spacing w:val="-30"/>
          <w:sz w:val="28"/>
          <w:szCs w:val="28"/>
        </w:rPr>
        <w:t>（111年12月2</w:t>
      </w:r>
      <w:r w:rsidR="005B5567" w:rsidRPr="00E45876">
        <w:rPr>
          <w:rFonts w:ascii="標楷體" w:eastAsia="標楷體" w:hAnsi="標楷體"/>
          <w:color w:val="000000" w:themeColor="text1"/>
          <w:spacing w:val="-30"/>
          <w:sz w:val="28"/>
          <w:szCs w:val="28"/>
        </w:rPr>
        <w:t>8</w:t>
      </w:r>
      <w:r w:rsidR="00A45509" w:rsidRPr="00E45876">
        <w:rPr>
          <w:rFonts w:ascii="標楷體" w:eastAsia="標楷體" w:hAnsi="標楷體" w:hint="eastAsia"/>
          <w:color w:val="000000" w:themeColor="text1"/>
          <w:spacing w:val="-30"/>
          <w:sz w:val="28"/>
          <w:szCs w:val="28"/>
        </w:rPr>
        <w:t>日</w:t>
      </w:r>
      <w:r w:rsidR="005B5567" w:rsidRPr="00E45876">
        <w:rPr>
          <w:rFonts w:ascii="標楷體" w:eastAsia="標楷體" w:hAnsi="標楷體" w:hint="eastAsia"/>
          <w:color w:val="000000" w:themeColor="text1"/>
          <w:spacing w:val="-30"/>
          <w:sz w:val="28"/>
          <w:szCs w:val="28"/>
        </w:rPr>
        <w:t>到職</w:t>
      </w:r>
      <w:r w:rsidR="00A45509" w:rsidRPr="00E45876">
        <w:rPr>
          <w:rFonts w:ascii="標楷體" w:eastAsia="標楷體" w:hAnsi="標楷體" w:hint="eastAsia"/>
          <w:color w:val="000000" w:themeColor="text1"/>
          <w:spacing w:val="-30"/>
          <w:sz w:val="28"/>
          <w:szCs w:val="28"/>
        </w:rPr>
        <w:t>）</w:t>
      </w:r>
    </w:p>
    <w:p w14:paraId="45C91047" w14:textId="77777777" w:rsidR="00C82C27" w:rsidRPr="00773EAC" w:rsidRDefault="00C82C27" w:rsidP="00C82C27">
      <w:pPr>
        <w:keepNext/>
        <w:spacing w:line="500" w:lineRule="exact"/>
        <w:ind w:leftChars="178" w:left="1191" w:hangingChars="273" w:hanging="764"/>
        <w:jc w:val="both"/>
        <w:outlineLvl w:val="2"/>
        <w:rPr>
          <w:rFonts w:ascii="標楷體" w:eastAsia="標楷體" w:hAnsi="標楷體"/>
          <w:color w:val="000000" w:themeColor="text1"/>
          <w:sz w:val="28"/>
          <w:szCs w:val="28"/>
        </w:rPr>
      </w:pPr>
      <w:bookmarkStart w:id="32" w:name="_二、本會期本會召集委員名單"/>
      <w:bookmarkStart w:id="33" w:name="_Toc163381672"/>
      <w:bookmarkStart w:id="34" w:name="_Toc163899072"/>
      <w:bookmarkStart w:id="35" w:name="_Toc167872433"/>
      <w:bookmarkStart w:id="36" w:name="_Toc169687162"/>
      <w:bookmarkStart w:id="37" w:name="_Toc510167615"/>
      <w:bookmarkStart w:id="38" w:name="_Toc1401019"/>
      <w:bookmarkStart w:id="39" w:name="_Toc42531547"/>
      <w:bookmarkStart w:id="40" w:name="_Toc96350474"/>
      <w:bookmarkEnd w:id="32"/>
      <w:r w:rsidRPr="00773EAC">
        <w:rPr>
          <w:rFonts w:ascii="標楷體" w:eastAsia="標楷體" w:hAnsi="標楷體" w:hint="eastAsia"/>
          <w:color w:val="000000" w:themeColor="text1"/>
          <w:sz w:val="28"/>
          <w:szCs w:val="28"/>
        </w:rPr>
        <w:t>(</w:t>
      </w:r>
      <w:r w:rsidRPr="00773EAC">
        <w:rPr>
          <w:rFonts w:ascii="標楷體" w:eastAsia="標楷體" w:hAnsi="標楷體"/>
          <w:color w:val="000000" w:themeColor="text1"/>
          <w:sz w:val="28"/>
          <w:szCs w:val="28"/>
        </w:rPr>
        <w:t>二</w:t>
      </w:r>
      <w:r w:rsidRPr="00773EAC">
        <w:rPr>
          <w:rFonts w:ascii="標楷體" w:eastAsia="標楷體" w:hAnsi="標楷體" w:hint="eastAsia"/>
          <w:color w:val="000000" w:themeColor="text1"/>
          <w:sz w:val="28"/>
          <w:szCs w:val="28"/>
        </w:rPr>
        <w:t>)</w:t>
      </w:r>
      <w:r w:rsidRPr="00773EAC">
        <w:rPr>
          <w:rFonts w:ascii="標楷體" w:eastAsia="標楷體" w:hAnsi="標楷體"/>
          <w:color w:val="000000" w:themeColor="text1"/>
          <w:sz w:val="28"/>
          <w:szCs w:val="28"/>
        </w:rPr>
        <w:t>本會期本會召集委員</w:t>
      </w:r>
      <w:bookmarkEnd w:id="33"/>
      <w:bookmarkEnd w:id="34"/>
      <w:bookmarkEnd w:id="35"/>
      <w:bookmarkEnd w:id="36"/>
      <w:bookmarkEnd w:id="37"/>
      <w:bookmarkEnd w:id="38"/>
      <w:bookmarkEnd w:id="39"/>
      <w:bookmarkEnd w:id="40"/>
    </w:p>
    <w:p w14:paraId="4D823C06" w14:textId="77777777" w:rsidR="00C82C27" w:rsidRPr="00773EAC" w:rsidRDefault="00C82C27" w:rsidP="00C82C27">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陳歐珀、林思銘</w:t>
      </w:r>
    </w:p>
    <w:p w14:paraId="18458FEB" w14:textId="77777777" w:rsidR="00C82C27" w:rsidRPr="00773EAC" w:rsidRDefault="00C82C27" w:rsidP="00C82C27">
      <w:pPr>
        <w:keepNext/>
        <w:spacing w:line="500" w:lineRule="exact"/>
        <w:ind w:leftChars="178" w:left="1191" w:hangingChars="273" w:hanging="764"/>
        <w:jc w:val="both"/>
        <w:outlineLvl w:val="2"/>
        <w:rPr>
          <w:rFonts w:ascii="標楷體" w:eastAsia="標楷體" w:hAnsi="標楷體"/>
          <w:color w:val="000000" w:themeColor="text1"/>
          <w:sz w:val="28"/>
          <w:szCs w:val="28"/>
        </w:rPr>
      </w:pPr>
      <w:bookmarkStart w:id="41" w:name="_三、本會期本會參加程序委員會委員名單"/>
      <w:bookmarkStart w:id="42" w:name="_Toc163381673"/>
      <w:bookmarkStart w:id="43" w:name="_Toc163899073"/>
      <w:bookmarkStart w:id="44" w:name="_Toc167872434"/>
      <w:bookmarkStart w:id="45" w:name="_Toc169687163"/>
      <w:bookmarkStart w:id="46" w:name="_Toc510167616"/>
      <w:bookmarkStart w:id="47" w:name="_Toc1401020"/>
      <w:bookmarkStart w:id="48" w:name="_Toc42531548"/>
      <w:bookmarkStart w:id="49" w:name="_Toc96350475"/>
      <w:bookmarkEnd w:id="41"/>
      <w:r w:rsidRPr="00773EAC">
        <w:rPr>
          <w:rFonts w:ascii="標楷體" w:eastAsia="標楷體" w:hAnsi="標楷體" w:hint="eastAsia"/>
          <w:color w:val="000000" w:themeColor="text1"/>
          <w:sz w:val="28"/>
          <w:szCs w:val="28"/>
        </w:rPr>
        <w:t>(</w:t>
      </w:r>
      <w:r w:rsidRPr="00773EAC">
        <w:rPr>
          <w:rFonts w:ascii="標楷體" w:eastAsia="標楷體" w:hAnsi="標楷體"/>
          <w:color w:val="000000" w:themeColor="text1"/>
          <w:sz w:val="28"/>
          <w:szCs w:val="28"/>
        </w:rPr>
        <w:t>三</w:t>
      </w:r>
      <w:r w:rsidRPr="00773EAC">
        <w:rPr>
          <w:rFonts w:ascii="標楷體" w:eastAsia="標楷體" w:hAnsi="標楷體" w:hint="eastAsia"/>
          <w:color w:val="000000" w:themeColor="text1"/>
          <w:sz w:val="28"/>
          <w:szCs w:val="28"/>
        </w:rPr>
        <w:t>)本會期擔任紀律委員會召集委員</w:t>
      </w:r>
      <w:bookmarkEnd w:id="42"/>
      <w:bookmarkEnd w:id="43"/>
      <w:bookmarkEnd w:id="44"/>
      <w:bookmarkEnd w:id="45"/>
      <w:bookmarkEnd w:id="46"/>
      <w:bookmarkEnd w:id="47"/>
      <w:bookmarkEnd w:id="48"/>
      <w:bookmarkEnd w:id="49"/>
    </w:p>
    <w:p w14:paraId="3FAEE6C3" w14:textId="57E92095" w:rsidR="00C82C27" w:rsidRPr="00B32B9E" w:rsidRDefault="008016BA" w:rsidP="00B32B9E">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林思銘</w:t>
      </w:r>
    </w:p>
    <w:p w14:paraId="33D7B01D" w14:textId="77777777" w:rsidR="00C82C27" w:rsidRPr="00773EAC" w:rsidRDefault="00C82C27" w:rsidP="00C82C27">
      <w:pPr>
        <w:keepNext/>
        <w:spacing w:line="500" w:lineRule="exact"/>
        <w:ind w:leftChars="119" w:left="600" w:hangingChars="112" w:hanging="314"/>
        <w:jc w:val="both"/>
        <w:outlineLvl w:val="1"/>
        <w:rPr>
          <w:rFonts w:ascii="標楷體" w:eastAsia="標楷體" w:hAnsi="標楷體"/>
          <w:b/>
          <w:bCs/>
          <w:color w:val="000000" w:themeColor="text1"/>
          <w:sz w:val="28"/>
          <w:szCs w:val="28"/>
        </w:rPr>
      </w:pPr>
      <w:bookmarkStart w:id="50" w:name="_四、本會業務簡介"/>
      <w:bookmarkStart w:id="51" w:name="_Toc510167617"/>
      <w:bookmarkStart w:id="52" w:name="_Toc1401021"/>
      <w:bookmarkStart w:id="53" w:name="_Toc42531549"/>
      <w:bookmarkStart w:id="54" w:name="_Toc96350476"/>
      <w:bookmarkEnd w:id="50"/>
      <w:r w:rsidRPr="00773EAC">
        <w:rPr>
          <w:rFonts w:ascii="標楷體" w:eastAsia="標楷體" w:hAnsi="標楷體" w:hint="eastAsia"/>
          <w:b/>
          <w:bCs/>
          <w:color w:val="000000" w:themeColor="text1"/>
          <w:sz w:val="28"/>
          <w:szCs w:val="28"/>
        </w:rPr>
        <w:t>二</w:t>
      </w:r>
      <w:r w:rsidRPr="00773EAC">
        <w:rPr>
          <w:rFonts w:ascii="標楷體" w:eastAsia="標楷體" w:hAnsi="標楷體"/>
          <w:b/>
          <w:bCs/>
          <w:color w:val="000000" w:themeColor="text1"/>
          <w:sz w:val="28"/>
          <w:szCs w:val="28"/>
        </w:rPr>
        <w:t>、業務簡介</w:t>
      </w:r>
      <w:bookmarkEnd w:id="51"/>
      <w:bookmarkEnd w:id="52"/>
      <w:bookmarkEnd w:id="53"/>
      <w:bookmarkEnd w:id="54"/>
    </w:p>
    <w:p w14:paraId="748C2A3D" w14:textId="77777777" w:rsidR="00C82C27" w:rsidRPr="00773EAC" w:rsidRDefault="00C82C27" w:rsidP="00C82C27">
      <w:pPr>
        <w:keepNext/>
        <w:spacing w:line="500" w:lineRule="exact"/>
        <w:ind w:leftChars="178" w:left="1191" w:hangingChars="273" w:hanging="764"/>
        <w:jc w:val="both"/>
        <w:outlineLvl w:val="2"/>
        <w:rPr>
          <w:rFonts w:ascii="標楷體" w:eastAsia="標楷體" w:hAnsi="標楷體"/>
          <w:bCs/>
          <w:color w:val="000000" w:themeColor="text1"/>
          <w:sz w:val="28"/>
          <w:szCs w:val="28"/>
        </w:rPr>
      </w:pPr>
      <w:bookmarkStart w:id="55" w:name="_Toc96350477"/>
      <w:r w:rsidRPr="00773EAC">
        <w:rPr>
          <w:rFonts w:ascii="標楷體" w:eastAsia="標楷體" w:hAnsi="標楷體" w:hint="eastAsia"/>
          <w:bCs/>
          <w:color w:val="000000" w:themeColor="text1"/>
          <w:sz w:val="28"/>
          <w:szCs w:val="28"/>
        </w:rPr>
        <w:t>(一)依據</w:t>
      </w:r>
      <w:bookmarkEnd w:id="55"/>
    </w:p>
    <w:p w14:paraId="403D60F8" w14:textId="77777777" w:rsidR="00C82C27" w:rsidRPr="00773EAC" w:rsidRDefault="00C82C27" w:rsidP="00C82C27">
      <w:pPr>
        <w:autoSpaceDN w:val="0"/>
        <w:spacing w:line="460" w:lineRule="exact"/>
        <w:ind w:leftChars="298" w:left="995" w:hangingChars="100" w:hanging="280"/>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1.依立法院各委員會組織法第2條規定，各委員會審查本院會議交付審查之議案及人民請願書，</w:t>
      </w:r>
      <w:r w:rsidRPr="00773EAC">
        <w:rPr>
          <w:rFonts w:ascii="標楷體" w:eastAsia="標楷體" w:hAnsi="標楷體"/>
          <w:bCs/>
          <w:color w:val="000000" w:themeColor="text1"/>
          <w:kern w:val="3"/>
          <w:sz w:val="28"/>
          <w:szCs w:val="28"/>
        </w:rPr>
        <w:t>並得於每會期開始時，邀請相關部會</w:t>
      </w:r>
      <w:r w:rsidRPr="00773EAC">
        <w:rPr>
          <w:rFonts w:ascii="標楷體" w:eastAsia="標楷體" w:hAnsi="標楷體" w:hint="eastAsia"/>
          <w:bCs/>
          <w:color w:val="000000" w:themeColor="text1"/>
          <w:kern w:val="3"/>
          <w:sz w:val="28"/>
          <w:szCs w:val="28"/>
        </w:rPr>
        <w:t>作</w:t>
      </w:r>
      <w:r w:rsidRPr="00773EAC">
        <w:rPr>
          <w:rFonts w:ascii="標楷體" w:eastAsia="標楷體" w:hAnsi="標楷體"/>
          <w:bCs/>
          <w:color w:val="000000" w:themeColor="text1"/>
          <w:kern w:val="3"/>
          <w:sz w:val="28"/>
          <w:szCs w:val="28"/>
        </w:rPr>
        <w:t>業務報告，並備質詢。</w:t>
      </w:r>
    </w:p>
    <w:p w14:paraId="0DBDD8D9" w14:textId="77777777" w:rsidR="00C82C27" w:rsidRPr="00773EAC" w:rsidRDefault="00C82C27" w:rsidP="00C82C27">
      <w:pPr>
        <w:autoSpaceDN w:val="0"/>
        <w:spacing w:line="460" w:lineRule="exact"/>
        <w:ind w:leftChars="298" w:left="995" w:hangingChars="100" w:hanging="280"/>
        <w:jc w:val="both"/>
        <w:rPr>
          <w:rFonts w:ascii="標楷體" w:eastAsia="標楷體" w:hAnsi="標楷體"/>
          <w:bCs/>
          <w:color w:val="000000" w:themeColor="text1"/>
          <w:kern w:val="3"/>
          <w:sz w:val="28"/>
          <w:szCs w:val="28"/>
        </w:rPr>
      </w:pPr>
      <w:r w:rsidRPr="00773EAC">
        <w:rPr>
          <w:rFonts w:ascii="標楷體" w:eastAsia="標楷體" w:hAnsi="標楷體" w:hint="eastAsia"/>
          <w:bCs/>
          <w:color w:val="000000" w:themeColor="text1"/>
          <w:kern w:val="3"/>
          <w:sz w:val="28"/>
          <w:szCs w:val="28"/>
        </w:rPr>
        <w:t>2.依</w:t>
      </w:r>
      <w:r w:rsidRPr="00773EAC">
        <w:rPr>
          <w:rFonts w:ascii="標楷體" w:eastAsia="標楷體" w:hAnsi="標楷體" w:hint="eastAsia"/>
          <w:color w:val="000000" w:themeColor="text1"/>
          <w:sz w:val="28"/>
          <w:szCs w:val="28"/>
        </w:rPr>
        <w:t>立法院</w:t>
      </w:r>
      <w:r w:rsidRPr="00773EAC">
        <w:rPr>
          <w:rFonts w:ascii="標楷體" w:eastAsia="標楷體" w:hAnsi="標楷體" w:hint="eastAsia"/>
          <w:bCs/>
          <w:color w:val="000000" w:themeColor="text1"/>
          <w:kern w:val="3"/>
          <w:sz w:val="28"/>
          <w:szCs w:val="28"/>
        </w:rPr>
        <w:t>職權行使法第45條規定，經委員會之決議得設調閱</w:t>
      </w:r>
      <w:r w:rsidRPr="00773EAC">
        <w:rPr>
          <w:rFonts w:ascii="標楷體" w:eastAsia="標楷體" w:hAnsi="標楷體" w:hint="eastAsia"/>
          <w:color w:val="000000" w:themeColor="text1"/>
          <w:sz w:val="28"/>
          <w:szCs w:val="28"/>
        </w:rPr>
        <w:t>專案小組</w:t>
      </w:r>
      <w:r w:rsidRPr="00773EAC">
        <w:rPr>
          <w:rFonts w:ascii="標楷體" w:eastAsia="標楷體" w:hAnsi="標楷體" w:hint="eastAsia"/>
          <w:bCs/>
          <w:color w:val="000000" w:themeColor="text1"/>
          <w:kern w:val="3"/>
          <w:sz w:val="28"/>
          <w:szCs w:val="28"/>
        </w:rPr>
        <w:t>，就特定議案涉及事項進行文件調閱之處理。</w:t>
      </w:r>
    </w:p>
    <w:p w14:paraId="4734ACA3" w14:textId="77777777" w:rsidR="00C82C27" w:rsidRPr="00773EAC" w:rsidRDefault="00C82C27" w:rsidP="00C82C27">
      <w:pPr>
        <w:autoSpaceDN w:val="0"/>
        <w:spacing w:line="460" w:lineRule="exact"/>
        <w:ind w:leftChars="298" w:left="995" w:hangingChars="100" w:hanging="280"/>
        <w:jc w:val="both"/>
        <w:rPr>
          <w:rFonts w:ascii="標楷體" w:eastAsia="標楷體" w:hAnsi="標楷體"/>
          <w:bCs/>
          <w:color w:val="000000" w:themeColor="text1"/>
          <w:kern w:val="3"/>
          <w:sz w:val="28"/>
          <w:szCs w:val="28"/>
        </w:rPr>
      </w:pPr>
      <w:r w:rsidRPr="00773EAC">
        <w:rPr>
          <w:rFonts w:ascii="標楷體" w:eastAsia="標楷體" w:hAnsi="標楷體" w:hint="eastAsia"/>
          <w:bCs/>
          <w:color w:val="000000" w:themeColor="text1"/>
          <w:kern w:val="3"/>
          <w:sz w:val="28"/>
          <w:szCs w:val="28"/>
        </w:rPr>
        <w:t>3.依</w:t>
      </w:r>
      <w:r w:rsidRPr="00773EAC">
        <w:rPr>
          <w:rFonts w:ascii="標楷體" w:eastAsia="標楷體" w:hAnsi="標楷體" w:hint="eastAsia"/>
          <w:color w:val="000000" w:themeColor="text1"/>
          <w:sz w:val="28"/>
          <w:szCs w:val="28"/>
        </w:rPr>
        <w:t>立法院</w:t>
      </w:r>
      <w:r w:rsidRPr="00773EAC">
        <w:rPr>
          <w:rFonts w:ascii="標楷體" w:eastAsia="標楷體" w:hAnsi="標楷體" w:hint="eastAsia"/>
          <w:bCs/>
          <w:color w:val="000000" w:themeColor="text1"/>
          <w:kern w:val="3"/>
          <w:sz w:val="28"/>
          <w:szCs w:val="28"/>
        </w:rPr>
        <w:t>職權行使法第54條規定，為審查院會交付之議案得舉行公聽會。</w:t>
      </w:r>
    </w:p>
    <w:p w14:paraId="4ACFBEB5" w14:textId="77777777" w:rsidR="00C82C27" w:rsidRPr="00773EAC" w:rsidRDefault="00C82C27" w:rsidP="00C82C27">
      <w:pPr>
        <w:autoSpaceDN w:val="0"/>
        <w:spacing w:line="460" w:lineRule="exact"/>
        <w:ind w:leftChars="298" w:left="995" w:hangingChars="100" w:hanging="280"/>
        <w:jc w:val="both"/>
        <w:rPr>
          <w:rFonts w:ascii="標楷體" w:eastAsia="標楷體" w:hAnsi="標楷體"/>
          <w:bCs/>
          <w:color w:val="000000" w:themeColor="text1"/>
          <w:kern w:val="3"/>
          <w:sz w:val="28"/>
          <w:szCs w:val="28"/>
        </w:rPr>
      </w:pPr>
      <w:r w:rsidRPr="00773EAC">
        <w:rPr>
          <w:rFonts w:ascii="標楷體" w:eastAsia="標楷體" w:hAnsi="標楷體" w:hint="eastAsia"/>
          <w:bCs/>
          <w:color w:val="000000" w:themeColor="text1"/>
          <w:kern w:val="3"/>
          <w:sz w:val="28"/>
          <w:szCs w:val="28"/>
        </w:rPr>
        <w:t>4.另依慣例，委員會得辦理考察活動等事宜</w:t>
      </w:r>
      <w:r w:rsidRPr="00773EAC">
        <w:rPr>
          <w:rFonts w:ascii="標楷體" w:eastAsia="標楷體" w:hAnsi="標楷體"/>
          <w:bCs/>
          <w:color w:val="000000" w:themeColor="text1"/>
          <w:kern w:val="3"/>
          <w:sz w:val="28"/>
          <w:szCs w:val="28"/>
        </w:rPr>
        <w:t>。</w:t>
      </w:r>
    </w:p>
    <w:p w14:paraId="1ED40943" w14:textId="77777777" w:rsidR="00C82C27" w:rsidRPr="00773EAC" w:rsidRDefault="00C82C27" w:rsidP="00C82C27">
      <w:pPr>
        <w:keepNext/>
        <w:spacing w:line="500" w:lineRule="exact"/>
        <w:ind w:leftChars="178" w:left="1191" w:hangingChars="273" w:hanging="764"/>
        <w:jc w:val="both"/>
        <w:outlineLvl w:val="2"/>
        <w:rPr>
          <w:rFonts w:ascii="標楷體" w:eastAsia="標楷體" w:hAnsi="標楷體"/>
          <w:bCs/>
          <w:color w:val="000000" w:themeColor="text1"/>
          <w:sz w:val="28"/>
          <w:szCs w:val="28"/>
        </w:rPr>
      </w:pPr>
      <w:bookmarkStart w:id="56" w:name="_Toc96350478"/>
      <w:r w:rsidRPr="00773EAC">
        <w:rPr>
          <w:rFonts w:ascii="標楷體" w:eastAsia="標楷體" w:hAnsi="標楷體" w:hint="eastAsia"/>
          <w:bCs/>
          <w:color w:val="000000" w:themeColor="text1"/>
          <w:sz w:val="28"/>
          <w:szCs w:val="28"/>
        </w:rPr>
        <w:t>(二)職掌</w:t>
      </w:r>
      <w:bookmarkEnd w:id="56"/>
    </w:p>
    <w:p w14:paraId="47740B35" w14:textId="77777777" w:rsidR="00C82C27" w:rsidRPr="00773EAC" w:rsidRDefault="00C82C27" w:rsidP="00C82C27">
      <w:pPr>
        <w:autoSpaceDN w:val="0"/>
        <w:spacing w:line="460" w:lineRule="exact"/>
        <w:ind w:leftChars="298" w:left="995" w:hangingChars="100" w:hanging="280"/>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1.審查</w:t>
      </w:r>
      <w:r w:rsidRPr="00773EAC">
        <w:rPr>
          <w:rFonts w:ascii="標楷體" w:eastAsia="標楷體" w:hAnsi="標楷體"/>
          <w:color w:val="000000" w:themeColor="text1"/>
          <w:sz w:val="28"/>
          <w:szCs w:val="28"/>
        </w:rPr>
        <w:t xml:space="preserve">本院會議交付審查之議案及人民請願書 </w:t>
      </w:r>
    </w:p>
    <w:p w14:paraId="49DECF1D" w14:textId="77777777" w:rsidR="00C82C27" w:rsidRPr="00773EAC" w:rsidRDefault="00C82C27" w:rsidP="00C82C27">
      <w:pPr>
        <w:snapToGrid w:val="0"/>
        <w:spacing w:line="490" w:lineRule="exact"/>
        <w:ind w:leftChars="414" w:left="994" w:firstLine="569"/>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依立法院各委員會組織法第2條前段規定，各委員會審查本院會議交付審查之議案及人民請願書。另立法院程序委員會組織規程第5條第1項第7款規定：「司法及法制委員會：審查民事、刑事、行政訴訟、懲戒、大赦、機關組織、研考與有關法務部、行政院研究發展考核委員會、行政院人事行政局掌理事項及其他不屬於各委員會審查之議案；國營事業機構組織之議案應視其性質由有關委員會主持。」（按：行政院人事行</w:t>
      </w:r>
      <w:r w:rsidRPr="00773EAC">
        <w:rPr>
          <w:rFonts w:ascii="標楷體" w:eastAsia="標楷體" w:hAnsi="標楷體" w:hint="eastAsia"/>
          <w:color w:val="000000" w:themeColor="text1"/>
          <w:sz w:val="28"/>
          <w:szCs w:val="28"/>
        </w:rPr>
        <w:lastRenderedPageBreak/>
        <w:t>政局於101年2月6日配合行政院組織改造，調整為「行政院人事行政總處」、行政院研究發展考核委員會於103年1月22日配合行政院組織改造，與有關機關合併調整為「國家發展委員會」）；有關院會交付本會審查之議案審查情形，本會除定期編製議案審查一覽表公布於本會網站外，每會期並編製「會務報告」，以供參考</w:t>
      </w:r>
      <w:r w:rsidRPr="00773EAC">
        <w:rPr>
          <w:rFonts w:ascii="標楷體" w:eastAsia="標楷體" w:hAnsi="標楷體"/>
          <w:color w:val="000000" w:themeColor="text1"/>
          <w:sz w:val="28"/>
          <w:szCs w:val="28"/>
        </w:rPr>
        <w:t>。</w:t>
      </w:r>
    </w:p>
    <w:p w14:paraId="03BC63BB" w14:textId="77777777" w:rsidR="00C82C27" w:rsidRPr="00773EAC" w:rsidRDefault="00C82C27" w:rsidP="00C82C27">
      <w:pPr>
        <w:autoSpaceDN w:val="0"/>
        <w:spacing w:line="460" w:lineRule="exact"/>
        <w:ind w:leftChars="298" w:left="995" w:hangingChars="100" w:hanging="280"/>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2.</w:t>
      </w:r>
      <w:r w:rsidRPr="00773EAC">
        <w:rPr>
          <w:rFonts w:ascii="標楷體" w:eastAsia="標楷體" w:hAnsi="標楷體"/>
          <w:color w:val="000000" w:themeColor="text1"/>
          <w:sz w:val="28"/>
          <w:szCs w:val="28"/>
        </w:rPr>
        <w:t>得邀請相關部會作業務報告並備質詢及列席說明立法計畫</w:t>
      </w:r>
    </w:p>
    <w:p w14:paraId="6D4AA864" w14:textId="77777777" w:rsidR="00C82C27" w:rsidRPr="00773EAC" w:rsidRDefault="00C82C27" w:rsidP="00C82C27">
      <w:pPr>
        <w:snapToGrid w:val="0"/>
        <w:spacing w:line="490" w:lineRule="exact"/>
        <w:ind w:leftChars="414" w:left="994" w:firstLine="569"/>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依立法院各委員會組織法第2條後段規定，各委員會並得於每會期開始時，邀請相關部會作業務報告，並備質詢。另依同法第6條之1規定，各委員會召集委員，應於每會期共同邀請各該委員會委員擬定該會期之立法計畫。必要時，得邀請相關院、部、會人員列席說明。因此，就業務報告及為擬定本會立法計畫，本會每會期均由召集委員排定會議邀請受本會業務監督之院、部機關首長到會報告並備詢，與邀請該院、部人員列席說明立法計畫</w:t>
      </w:r>
      <w:r w:rsidRPr="00773EAC">
        <w:rPr>
          <w:rFonts w:ascii="標楷體" w:eastAsia="標楷體" w:hAnsi="標楷體"/>
          <w:color w:val="000000" w:themeColor="text1"/>
          <w:sz w:val="28"/>
          <w:szCs w:val="28"/>
        </w:rPr>
        <w:t>。</w:t>
      </w:r>
    </w:p>
    <w:p w14:paraId="642AEBA7" w14:textId="77777777" w:rsidR="00C82C27" w:rsidRPr="00773EAC" w:rsidRDefault="00C82C27" w:rsidP="00C82C27">
      <w:pPr>
        <w:autoSpaceDN w:val="0"/>
        <w:spacing w:line="460" w:lineRule="exact"/>
        <w:ind w:leftChars="298" w:left="995" w:hangingChars="100" w:hanging="280"/>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3.</w:t>
      </w:r>
      <w:r w:rsidRPr="00773EAC">
        <w:rPr>
          <w:rFonts w:ascii="標楷體" w:eastAsia="標楷體" w:hAnsi="標楷體"/>
          <w:color w:val="000000" w:themeColor="text1"/>
          <w:sz w:val="28"/>
          <w:szCs w:val="28"/>
        </w:rPr>
        <w:t>審查</w:t>
      </w:r>
      <w:r w:rsidRPr="00773EAC">
        <w:rPr>
          <w:rFonts w:ascii="標楷體" w:eastAsia="標楷體" w:hAnsi="標楷體"/>
          <w:color w:val="000000" w:themeColor="text1"/>
          <w:spacing w:val="-2"/>
          <w:sz w:val="28"/>
          <w:szCs w:val="28"/>
        </w:rPr>
        <w:t>總預算</w:t>
      </w:r>
      <w:r w:rsidRPr="00773EAC">
        <w:rPr>
          <w:rFonts w:ascii="標楷體" w:eastAsia="標楷體" w:hAnsi="標楷體"/>
          <w:color w:val="000000" w:themeColor="text1"/>
          <w:sz w:val="28"/>
          <w:szCs w:val="28"/>
        </w:rPr>
        <w:t>、決算案</w:t>
      </w:r>
    </w:p>
    <w:p w14:paraId="5D9F5216" w14:textId="5087900E" w:rsidR="00C82C27" w:rsidRPr="00773EAC" w:rsidRDefault="00C82C27" w:rsidP="00C82C27">
      <w:pPr>
        <w:snapToGrid w:val="0"/>
        <w:spacing w:line="490" w:lineRule="exact"/>
        <w:ind w:leftChars="414" w:left="994" w:firstLine="569"/>
        <w:jc w:val="both"/>
        <w:rPr>
          <w:rFonts w:ascii="標楷體" w:eastAsia="標楷體" w:hAnsi="標楷體"/>
          <w:color w:val="000000" w:themeColor="text1"/>
          <w:sz w:val="28"/>
          <w:szCs w:val="28"/>
        </w:rPr>
      </w:pPr>
      <w:r w:rsidRPr="00773EAC">
        <w:rPr>
          <w:rFonts w:ascii="標楷體" w:eastAsia="標楷體" w:hAnsi="標楷體" w:hint="eastAsia"/>
          <w:color w:val="000000" w:themeColor="text1"/>
          <w:sz w:val="28"/>
          <w:szCs w:val="28"/>
        </w:rPr>
        <w:t>依中央政府總預算案審查程序第3條第1項第7款劃歸本會審查之機關計有總統府主管（總統府、國家安全會議、國史館及國史館臺灣文獻館）、行政院人事行政總處主管（行政院人事行政總處、公務人力發展學院）、立法院、司法院及所屬、考試院主管（考試院、考選部、銓敘部、公務人員保障暨培訓委員會、國家文官學</w:t>
      </w:r>
      <w:r w:rsidRPr="00773EAC">
        <w:rPr>
          <w:rFonts w:ascii="標楷體" w:eastAsia="標楷體" w:hAnsi="標楷體" w:hint="eastAsia"/>
          <w:color w:val="000000" w:themeColor="text1"/>
          <w:sz w:val="28"/>
          <w:szCs w:val="28"/>
          <w:shd w:val="clear" w:color="auto" w:fill="FFFFFF"/>
        </w:rPr>
        <w:t>院及所屬、</w:t>
      </w:r>
      <w:r w:rsidRPr="00773EAC">
        <w:rPr>
          <w:rFonts w:ascii="標楷體" w:eastAsia="標楷體" w:hAnsi="標楷體" w:hint="eastAsia"/>
          <w:color w:val="000000" w:themeColor="text1"/>
          <w:sz w:val="28"/>
          <w:szCs w:val="28"/>
        </w:rPr>
        <w:t>公務人員退休撫卹基金監理委員會、公務人員退休撫卹基金管理委員會）、監察院、法務部及所屬。前述各機關之特種基金及其捐助基金累計超過百分之五十之財團法人預、決算書</w:t>
      </w:r>
      <w:r w:rsidRPr="00773EAC">
        <w:rPr>
          <w:rFonts w:ascii="標楷體" w:eastAsia="標楷體" w:hAnsi="標楷體"/>
          <w:color w:val="000000" w:themeColor="text1"/>
          <w:sz w:val="28"/>
          <w:szCs w:val="28"/>
        </w:rPr>
        <w:t>。</w:t>
      </w:r>
    </w:p>
    <w:p w14:paraId="441D0FD3" w14:textId="77777777" w:rsidR="00C82C27" w:rsidRPr="00773EAC" w:rsidRDefault="00C82C27" w:rsidP="00C82C27">
      <w:pPr>
        <w:widowControl/>
        <w:jc w:val="both"/>
        <w:rPr>
          <w:rFonts w:ascii="標楷體" w:eastAsia="標楷體" w:hAnsi="標楷體"/>
          <w:color w:val="000000" w:themeColor="text1"/>
          <w:sz w:val="28"/>
          <w:szCs w:val="28"/>
        </w:rPr>
      </w:pPr>
      <w:r w:rsidRPr="00773EAC">
        <w:rPr>
          <w:rFonts w:ascii="標楷體" w:eastAsia="標楷體" w:hAnsi="標楷體"/>
          <w:color w:val="000000" w:themeColor="text1"/>
          <w:sz w:val="28"/>
          <w:szCs w:val="28"/>
        </w:rPr>
        <w:br w:type="page"/>
      </w:r>
    </w:p>
    <w:p w14:paraId="29F4F8D5" w14:textId="77777777" w:rsidR="00C82C27" w:rsidRPr="00F23280" w:rsidRDefault="00C82C27" w:rsidP="00C82C27">
      <w:pPr>
        <w:keepNext/>
        <w:snapToGrid w:val="0"/>
        <w:spacing w:beforeLines="100" w:before="360" w:afterLines="50" w:after="180" w:line="520" w:lineRule="exact"/>
        <w:ind w:leftChars="-177" w:left="1" w:hangingChars="152" w:hanging="426"/>
        <w:jc w:val="both"/>
        <w:outlineLvl w:val="0"/>
        <w:rPr>
          <w:rFonts w:ascii="標楷體" w:eastAsia="標楷體" w:hAnsi="標楷體"/>
          <w:b/>
          <w:color w:val="000000" w:themeColor="text1"/>
          <w:kern w:val="52"/>
          <w:sz w:val="28"/>
          <w:szCs w:val="28"/>
        </w:rPr>
      </w:pPr>
      <w:r w:rsidRPr="00F23280">
        <w:rPr>
          <w:rFonts w:ascii="標楷體" w:eastAsia="標楷體" w:hAnsi="標楷體"/>
          <w:b/>
          <w:color w:val="000000" w:themeColor="text1"/>
          <w:kern w:val="52"/>
          <w:sz w:val="28"/>
          <w:szCs w:val="28"/>
        </w:rPr>
        <w:lastRenderedPageBreak/>
        <w:t>貳、本會期會務概況</w:t>
      </w:r>
      <w:bookmarkEnd w:id="9"/>
      <w:bookmarkEnd w:id="10"/>
      <w:bookmarkEnd w:id="11"/>
      <w:bookmarkEnd w:id="12"/>
      <w:bookmarkEnd w:id="13"/>
      <w:bookmarkEnd w:id="14"/>
      <w:bookmarkEnd w:id="15"/>
      <w:bookmarkEnd w:id="16"/>
    </w:p>
    <w:p w14:paraId="35FABB6D" w14:textId="77777777" w:rsidR="00C82C27" w:rsidRPr="00F23280" w:rsidRDefault="00C82C27" w:rsidP="00C82C27">
      <w:pPr>
        <w:keepNext/>
        <w:snapToGrid w:val="0"/>
        <w:spacing w:afterLines="50" w:after="180" w:line="520" w:lineRule="exact"/>
        <w:ind w:left="420" w:hangingChars="150" w:hanging="420"/>
        <w:jc w:val="both"/>
        <w:outlineLvl w:val="1"/>
        <w:rPr>
          <w:rFonts w:ascii="標楷體" w:eastAsia="標楷體" w:hAnsi="標楷體"/>
          <w:b/>
          <w:bCs/>
          <w:color w:val="000000" w:themeColor="text1"/>
          <w:sz w:val="28"/>
          <w:szCs w:val="28"/>
        </w:rPr>
      </w:pPr>
      <w:bookmarkStart w:id="57" w:name="_Toc96350480"/>
      <w:r w:rsidRPr="00F23280">
        <w:rPr>
          <w:rFonts w:ascii="標楷體" w:eastAsia="標楷體" w:hAnsi="標楷體" w:hint="eastAsia"/>
          <w:b/>
          <w:iCs/>
          <w:color w:val="000000" w:themeColor="text1"/>
          <w:sz w:val="28"/>
          <w:szCs w:val="28"/>
        </w:rPr>
        <w:t>一、</w:t>
      </w:r>
      <w:r w:rsidRPr="00F23280">
        <w:rPr>
          <w:rFonts w:ascii="標楷體" w:eastAsia="標楷體" w:hAnsi="標楷體"/>
          <w:b/>
          <w:iCs/>
          <w:color w:val="000000" w:themeColor="text1"/>
          <w:sz w:val="28"/>
          <w:szCs w:val="28"/>
        </w:rPr>
        <w:t>會</w:t>
      </w:r>
      <w:r w:rsidRPr="00F23280">
        <w:rPr>
          <w:rFonts w:ascii="標楷體" w:eastAsia="標楷體" w:hAnsi="標楷體" w:hint="eastAsia"/>
          <w:b/>
          <w:iCs/>
          <w:color w:val="000000" w:themeColor="text1"/>
          <w:sz w:val="28"/>
          <w:szCs w:val="28"/>
        </w:rPr>
        <w:t>務</w:t>
      </w:r>
      <w:r w:rsidRPr="00F23280">
        <w:rPr>
          <w:rFonts w:ascii="標楷體" w:eastAsia="標楷體" w:hAnsi="標楷體"/>
          <w:b/>
          <w:iCs/>
          <w:color w:val="000000" w:themeColor="text1"/>
          <w:sz w:val="28"/>
          <w:szCs w:val="28"/>
        </w:rPr>
        <w:t>概況</w:t>
      </w:r>
      <w:r w:rsidRPr="00F23280">
        <w:rPr>
          <w:rFonts w:ascii="標楷體" w:eastAsia="標楷體" w:hAnsi="標楷體" w:hint="eastAsia"/>
          <w:b/>
          <w:iCs/>
          <w:color w:val="000000" w:themeColor="text1"/>
          <w:sz w:val="28"/>
          <w:szCs w:val="28"/>
        </w:rPr>
        <w:t>一覽</w:t>
      </w:r>
      <w:r w:rsidRPr="00F23280">
        <w:rPr>
          <w:rFonts w:ascii="標楷體" w:eastAsia="標楷體" w:hAnsi="標楷體"/>
          <w:b/>
          <w:iCs/>
          <w:color w:val="000000" w:themeColor="text1"/>
          <w:sz w:val="28"/>
          <w:szCs w:val="28"/>
        </w:rPr>
        <w:t>表</w:t>
      </w:r>
      <w:bookmarkEnd w:id="57"/>
    </w:p>
    <w:p w14:paraId="6EF51957" w14:textId="77777777" w:rsidR="00C82C27" w:rsidRPr="00F23280" w:rsidRDefault="00C82C27" w:rsidP="00C82C27">
      <w:pPr>
        <w:spacing w:beforeLines="50" w:before="180" w:afterLines="50" w:after="180" w:line="560" w:lineRule="exact"/>
        <w:ind w:leftChars="-177" w:left="1" w:rightChars="-112" w:right="-269" w:hangingChars="152" w:hanging="426"/>
        <w:jc w:val="center"/>
        <w:rPr>
          <w:rFonts w:ascii="標楷體" w:eastAsia="標楷體" w:hAnsi="標楷體"/>
          <w:b/>
          <w:color w:val="000000" w:themeColor="text1"/>
          <w:sz w:val="28"/>
          <w:szCs w:val="28"/>
        </w:rPr>
      </w:pPr>
      <w:r w:rsidRPr="00F23280">
        <w:rPr>
          <w:rFonts w:ascii="標楷體" w:eastAsia="標楷體" w:hAnsi="標楷體"/>
          <w:b/>
          <w:color w:val="000000" w:themeColor="text1"/>
          <w:sz w:val="28"/>
          <w:szCs w:val="28"/>
        </w:rPr>
        <w:t>第</w:t>
      </w:r>
      <w:r w:rsidRPr="00F23280">
        <w:rPr>
          <w:rFonts w:ascii="標楷體" w:eastAsia="標楷體" w:hAnsi="標楷體" w:hint="eastAsia"/>
          <w:b/>
          <w:color w:val="000000" w:themeColor="text1"/>
          <w:sz w:val="28"/>
          <w:szCs w:val="28"/>
        </w:rPr>
        <w:t>10</w:t>
      </w:r>
      <w:r w:rsidRPr="00F23280">
        <w:rPr>
          <w:rFonts w:ascii="標楷體" w:eastAsia="標楷體" w:hAnsi="標楷體"/>
          <w:b/>
          <w:color w:val="000000" w:themeColor="text1"/>
          <w:sz w:val="28"/>
          <w:szCs w:val="28"/>
        </w:rPr>
        <w:t>屆第</w:t>
      </w:r>
      <w:r w:rsidRPr="00F23280">
        <w:rPr>
          <w:rFonts w:ascii="標楷體" w:eastAsia="標楷體" w:hAnsi="標楷體" w:hint="eastAsia"/>
          <w:b/>
          <w:color w:val="000000" w:themeColor="text1"/>
          <w:sz w:val="28"/>
          <w:szCs w:val="28"/>
        </w:rPr>
        <w:t>6</w:t>
      </w:r>
      <w:r w:rsidRPr="00F23280">
        <w:rPr>
          <w:rFonts w:ascii="標楷體" w:eastAsia="標楷體" w:hAnsi="標楷體"/>
          <w:b/>
          <w:color w:val="000000" w:themeColor="text1"/>
          <w:sz w:val="28"/>
          <w:szCs w:val="28"/>
        </w:rPr>
        <w:t>會期司法及法制委員會會議概況表</w:t>
      </w:r>
    </w:p>
    <w:tbl>
      <w:tblPr>
        <w:tblW w:w="5362" w:type="pct"/>
        <w:tblInd w:w="-401"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311"/>
        <w:gridCol w:w="1537"/>
        <w:gridCol w:w="2332"/>
        <w:gridCol w:w="2033"/>
        <w:gridCol w:w="2138"/>
      </w:tblGrid>
      <w:tr w:rsidR="00C82C27" w14:paraId="125AE275" w14:textId="77777777" w:rsidTr="00E55097">
        <w:trPr>
          <w:trHeight w:val="680"/>
          <w:tblHeader/>
        </w:trPr>
        <w:tc>
          <w:tcPr>
            <w:tcW w:w="701" w:type="pct"/>
            <w:tcBorders>
              <w:top w:val="single" w:sz="18" w:space="0" w:color="auto"/>
              <w:bottom w:val="single" w:sz="4" w:space="0" w:color="auto"/>
            </w:tcBorders>
            <w:shd w:val="clear" w:color="auto" w:fill="D9D9D9"/>
            <w:vAlign w:val="center"/>
            <w:hideMark/>
          </w:tcPr>
          <w:p w14:paraId="4BDA0927" w14:textId="77777777" w:rsidR="00C82C27" w:rsidRDefault="00C82C27" w:rsidP="00D50937">
            <w:pPr>
              <w:spacing w:line="300" w:lineRule="exact"/>
              <w:ind w:rightChars="-29" w:right="-70"/>
              <w:rPr>
                <w:rFonts w:ascii="標楷體" w:eastAsia="標楷體" w:hAnsi="標楷體"/>
                <w:b/>
                <w:kern w:val="0"/>
              </w:rPr>
            </w:pPr>
            <w:r>
              <w:rPr>
                <w:rFonts w:ascii="標楷體" w:eastAsia="標楷體" w:hAnsi="標楷體" w:hint="eastAsia"/>
                <w:b/>
                <w:kern w:val="0"/>
              </w:rPr>
              <w:t>會議名稱</w:t>
            </w:r>
          </w:p>
        </w:tc>
        <w:tc>
          <w:tcPr>
            <w:tcW w:w="822" w:type="pct"/>
            <w:tcBorders>
              <w:top w:val="single" w:sz="18" w:space="0" w:color="auto"/>
              <w:bottom w:val="single" w:sz="4" w:space="0" w:color="auto"/>
            </w:tcBorders>
            <w:shd w:val="clear" w:color="auto" w:fill="D9D9D9"/>
            <w:vAlign w:val="center"/>
            <w:hideMark/>
          </w:tcPr>
          <w:p w14:paraId="069E0266" w14:textId="77777777" w:rsidR="00C82C27" w:rsidRDefault="00C82C27" w:rsidP="00C82C27">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47" w:type="pct"/>
            <w:tcBorders>
              <w:top w:val="single" w:sz="18" w:space="0" w:color="auto"/>
              <w:bottom w:val="single" w:sz="4" w:space="0" w:color="auto"/>
            </w:tcBorders>
            <w:shd w:val="clear" w:color="auto" w:fill="D9D9D9"/>
            <w:vAlign w:val="center"/>
            <w:hideMark/>
          </w:tcPr>
          <w:p w14:paraId="76CEC5BD" w14:textId="77777777" w:rsidR="00C82C27" w:rsidRDefault="00C82C27" w:rsidP="00C82C27">
            <w:pPr>
              <w:spacing w:line="300" w:lineRule="exact"/>
              <w:jc w:val="center"/>
              <w:rPr>
                <w:rFonts w:ascii="標楷體" w:eastAsia="標楷體" w:hAnsi="標楷體"/>
                <w:b/>
                <w:kern w:val="0"/>
              </w:rPr>
            </w:pPr>
            <w:r w:rsidRPr="007726DF">
              <w:rPr>
                <w:rFonts w:ascii="標楷體" w:eastAsia="標楷體" w:hAnsi="標楷體" w:hint="eastAsia"/>
                <w:b/>
                <w:spacing w:val="120"/>
                <w:kern w:val="0"/>
                <w:fitText w:val="1820" w:id="-1586339581"/>
              </w:rPr>
              <w:t>會議內</w:t>
            </w:r>
            <w:r w:rsidRPr="007726DF">
              <w:rPr>
                <w:rFonts w:ascii="標楷體" w:eastAsia="標楷體" w:hAnsi="標楷體" w:hint="eastAsia"/>
                <w:b/>
                <w:spacing w:val="37"/>
                <w:kern w:val="0"/>
                <w:fitText w:val="1820" w:id="-1586339581"/>
              </w:rPr>
              <w:t>容</w:t>
            </w:r>
          </w:p>
        </w:tc>
        <w:tc>
          <w:tcPr>
            <w:tcW w:w="1087" w:type="pct"/>
            <w:tcBorders>
              <w:top w:val="single" w:sz="18" w:space="0" w:color="auto"/>
              <w:bottom w:val="single" w:sz="4" w:space="0" w:color="auto"/>
            </w:tcBorders>
            <w:shd w:val="clear" w:color="auto" w:fill="D9D9D9"/>
            <w:vAlign w:val="center"/>
            <w:hideMark/>
          </w:tcPr>
          <w:p w14:paraId="7584D6D2" w14:textId="77777777" w:rsidR="00C82C27" w:rsidRDefault="00C82C27" w:rsidP="00C82C27">
            <w:pPr>
              <w:spacing w:line="300" w:lineRule="exact"/>
              <w:jc w:val="center"/>
              <w:rPr>
                <w:rFonts w:ascii="標楷體" w:eastAsia="標楷體" w:hAnsi="標楷體"/>
                <w:b/>
                <w:kern w:val="0"/>
              </w:rPr>
            </w:pPr>
            <w:r>
              <w:rPr>
                <w:rFonts w:ascii="標楷體" w:eastAsia="標楷體" w:hAnsi="標楷體" w:hint="eastAsia"/>
                <w:b/>
                <w:kern w:val="0"/>
              </w:rPr>
              <w:t>主席</w:t>
            </w:r>
          </w:p>
          <w:p w14:paraId="04323D8A" w14:textId="77777777" w:rsidR="00C82C27" w:rsidRDefault="00C82C27" w:rsidP="00C82C27">
            <w:pPr>
              <w:spacing w:line="300" w:lineRule="exact"/>
              <w:jc w:val="center"/>
              <w:rPr>
                <w:rFonts w:ascii="標楷體" w:eastAsia="標楷體" w:hAnsi="標楷體"/>
                <w:b/>
                <w:kern w:val="0"/>
              </w:rPr>
            </w:pPr>
            <w:r>
              <w:rPr>
                <w:rFonts w:ascii="標楷體" w:eastAsia="標楷體" w:hAnsi="標楷體" w:hint="eastAsia"/>
                <w:b/>
                <w:kern w:val="0"/>
              </w:rPr>
              <w:t>邀請列席機關、</w:t>
            </w:r>
          </w:p>
          <w:p w14:paraId="166F855E" w14:textId="77777777" w:rsidR="00C82C27" w:rsidRDefault="00C82C27" w:rsidP="00C82C27">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43" w:type="pct"/>
            <w:tcBorders>
              <w:top w:val="single" w:sz="18" w:space="0" w:color="auto"/>
              <w:bottom w:val="single" w:sz="4" w:space="0" w:color="auto"/>
            </w:tcBorders>
            <w:shd w:val="clear" w:color="auto" w:fill="D9D9D9"/>
            <w:vAlign w:val="center"/>
            <w:hideMark/>
          </w:tcPr>
          <w:p w14:paraId="4F5C1D65" w14:textId="77777777" w:rsidR="00C82C27" w:rsidRDefault="00C82C27" w:rsidP="00C82C27">
            <w:pPr>
              <w:spacing w:line="300" w:lineRule="exact"/>
              <w:jc w:val="center"/>
              <w:rPr>
                <w:rFonts w:ascii="標楷體" w:eastAsia="標楷體" w:hAnsi="標楷體"/>
                <w:b/>
                <w:kern w:val="0"/>
              </w:rPr>
            </w:pPr>
            <w:r>
              <w:rPr>
                <w:rFonts w:ascii="標楷體" w:eastAsia="標楷體" w:hAnsi="標楷體" w:hint="eastAsia"/>
                <w:b/>
                <w:kern w:val="0"/>
              </w:rPr>
              <w:t>會議結果</w:t>
            </w:r>
          </w:p>
          <w:p w14:paraId="1BE09904" w14:textId="77777777" w:rsidR="00C82C27" w:rsidRDefault="00C82C27" w:rsidP="00C82C27">
            <w:pPr>
              <w:spacing w:line="300" w:lineRule="exact"/>
              <w:jc w:val="center"/>
              <w:rPr>
                <w:rFonts w:ascii="標楷體" w:eastAsia="標楷體" w:hAnsi="標楷體"/>
                <w:b/>
                <w:kern w:val="0"/>
              </w:rPr>
            </w:pPr>
            <w:r w:rsidRPr="00BA2116">
              <w:rPr>
                <w:rFonts w:ascii="標楷體" w:eastAsia="標楷體" w:hAnsi="標楷體" w:hint="eastAsia"/>
                <w:b/>
                <w:color w:val="000000" w:themeColor="text1"/>
                <w:kern w:val="0"/>
              </w:rPr>
              <w:t>(公報卷期)</w:t>
            </w:r>
          </w:p>
        </w:tc>
      </w:tr>
      <w:tr w:rsidR="00C82C27" w:rsidRPr="00995BA1" w14:paraId="098AE265" w14:textId="77777777" w:rsidTr="00E55097">
        <w:tc>
          <w:tcPr>
            <w:tcW w:w="701" w:type="pct"/>
            <w:tcBorders>
              <w:top w:val="single" w:sz="4" w:space="0" w:color="auto"/>
            </w:tcBorders>
            <w:hideMark/>
          </w:tcPr>
          <w:p w14:paraId="43AE583A"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22" w:type="pct"/>
            <w:tcBorders>
              <w:top w:val="single" w:sz="4" w:space="0" w:color="auto"/>
            </w:tcBorders>
            <w:hideMark/>
          </w:tcPr>
          <w:p w14:paraId="127B8BFB" w14:textId="77777777" w:rsidR="00C82C27" w:rsidRPr="0093787F"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9</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28日（星期三</w:t>
            </w:r>
            <w:r w:rsidRPr="0093787F">
              <w:rPr>
                <w:rFonts w:ascii="標楷體" w:eastAsia="標楷體" w:hAnsi="標楷體" w:hint="eastAsia"/>
                <w:color w:val="000000"/>
                <w:spacing w:val="-20"/>
                <w:kern w:val="0"/>
              </w:rPr>
              <w:t>）</w:t>
            </w:r>
          </w:p>
        </w:tc>
        <w:tc>
          <w:tcPr>
            <w:tcW w:w="1247" w:type="pct"/>
            <w:tcBorders>
              <w:top w:val="single" w:sz="4" w:space="0" w:color="auto"/>
            </w:tcBorders>
            <w:hideMark/>
          </w:tcPr>
          <w:p w14:paraId="28B5C6AB" w14:textId="77777777" w:rsidR="00C82C27" w:rsidRPr="0093787F" w:rsidRDefault="00C82C27" w:rsidP="00C82C27">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087" w:type="pct"/>
            <w:tcBorders>
              <w:top w:val="single" w:sz="4" w:space="0" w:color="auto"/>
            </w:tcBorders>
            <w:hideMark/>
          </w:tcPr>
          <w:p w14:paraId="60936795" w14:textId="77777777" w:rsidR="00C82C27" w:rsidRPr="0093787F"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推舉曾</w:t>
            </w:r>
            <w:r w:rsidRPr="0093787F">
              <w:rPr>
                <w:rFonts w:ascii="標楷體" w:eastAsia="標楷體" w:hAnsi="標楷體" w:hint="eastAsia"/>
                <w:color w:val="000000"/>
                <w:kern w:val="0"/>
              </w:rPr>
              <w:t>委員</w:t>
            </w:r>
            <w:r>
              <w:rPr>
                <w:rFonts w:ascii="標楷體" w:eastAsia="標楷體" w:hAnsi="標楷體" w:hint="eastAsia"/>
                <w:color w:val="000000"/>
                <w:kern w:val="0"/>
              </w:rPr>
              <w:t>銘宗</w:t>
            </w:r>
            <w:r w:rsidRPr="0093787F">
              <w:rPr>
                <w:rFonts w:ascii="標楷體" w:eastAsia="標楷體" w:hAnsi="標楷體" w:hint="eastAsia"/>
                <w:color w:val="000000"/>
                <w:kern w:val="0"/>
              </w:rPr>
              <w:t>擔任主席。</w:t>
            </w:r>
          </w:p>
        </w:tc>
        <w:tc>
          <w:tcPr>
            <w:tcW w:w="1143" w:type="pct"/>
            <w:tcBorders>
              <w:top w:val="single" w:sz="4" w:space="0" w:color="auto"/>
            </w:tcBorders>
            <w:hideMark/>
          </w:tcPr>
          <w:p w14:paraId="11F9BAB0"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由本會委員推選出陳</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r w:rsidRPr="0093787F">
              <w:rPr>
                <w:rFonts w:ascii="標楷體" w:eastAsia="標楷體" w:hAnsi="標楷體"/>
                <w:color w:val="000000"/>
                <w:kern w:val="0"/>
              </w:rPr>
              <w:t>及</w:t>
            </w:r>
            <w:r>
              <w:rPr>
                <w:rFonts w:ascii="標楷體" w:eastAsia="標楷體" w:hAnsi="標楷體"/>
                <w:color w:val="000000"/>
                <w:kern w:val="0"/>
              </w:rPr>
              <w:t>林</w:t>
            </w:r>
            <w:r w:rsidRPr="0093787F">
              <w:rPr>
                <w:rFonts w:ascii="標楷體" w:eastAsia="標楷體" w:hAnsi="標楷體"/>
                <w:color w:val="000000"/>
                <w:kern w:val="0"/>
              </w:rPr>
              <w:t>委員</w:t>
            </w:r>
            <w:r>
              <w:rPr>
                <w:rFonts w:ascii="標楷體" w:eastAsia="標楷體" w:hAnsi="標楷體"/>
                <w:color w:val="000000"/>
                <w:kern w:val="0"/>
              </w:rPr>
              <w:t>思銘</w:t>
            </w:r>
            <w:r w:rsidRPr="0093787F">
              <w:rPr>
                <w:rFonts w:ascii="標楷體" w:eastAsia="標楷體" w:hAnsi="標楷體" w:hint="eastAsia"/>
                <w:color w:val="000000"/>
                <w:kern w:val="0"/>
              </w:rPr>
              <w:t>為本會期本會召集委員。</w:t>
            </w:r>
          </w:p>
          <w:p w14:paraId="347BB992" w14:textId="77777777" w:rsidR="00C82C27" w:rsidRPr="0093787F"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87</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58</w:t>
            </w:r>
            <w:r w:rsidRPr="00BA2116">
              <w:rPr>
                <w:rFonts w:ascii="標楷體" w:eastAsia="標楷體" w:hAnsi="標楷體" w:hint="eastAsia"/>
                <w:color w:val="000000" w:themeColor="text1"/>
                <w:kern w:val="0"/>
              </w:rPr>
              <w:t>）</w:t>
            </w:r>
          </w:p>
        </w:tc>
      </w:tr>
      <w:tr w:rsidR="00C82C27" w:rsidRPr="00995BA1" w14:paraId="38492C01" w14:textId="77777777" w:rsidTr="00E55097">
        <w:tc>
          <w:tcPr>
            <w:tcW w:w="701" w:type="pct"/>
            <w:hideMark/>
          </w:tcPr>
          <w:p w14:paraId="301BF3B1"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22" w:type="pct"/>
            <w:hideMark/>
          </w:tcPr>
          <w:p w14:paraId="3B608D37" w14:textId="77777777" w:rsidR="00C82C27" w:rsidRPr="0093787F"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9</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28日（星期三</w:t>
            </w:r>
            <w:r w:rsidRPr="0093787F">
              <w:rPr>
                <w:rFonts w:ascii="標楷體" w:eastAsia="標楷體" w:hAnsi="標楷體" w:hint="eastAsia"/>
                <w:color w:val="000000"/>
                <w:spacing w:val="-20"/>
                <w:kern w:val="0"/>
              </w:rPr>
              <w:t>）</w:t>
            </w:r>
          </w:p>
        </w:tc>
        <w:tc>
          <w:tcPr>
            <w:tcW w:w="1247" w:type="pct"/>
            <w:hideMark/>
          </w:tcPr>
          <w:p w14:paraId="02164E80"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087" w:type="pct"/>
            <w:hideMark/>
          </w:tcPr>
          <w:p w14:paraId="2CCE3DF9" w14:textId="77777777" w:rsidR="00C82C27" w:rsidRPr="0093787F"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7F2C3925" w14:textId="77777777" w:rsidR="00C82C27" w:rsidRPr="0093787F"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tc>
        <w:tc>
          <w:tcPr>
            <w:tcW w:w="1143" w:type="pct"/>
          </w:tcPr>
          <w:p w14:paraId="5E99406B" w14:textId="77777777" w:rsidR="00C82C27" w:rsidRPr="008C0150" w:rsidRDefault="00C82C27" w:rsidP="00C82C27">
            <w:pPr>
              <w:spacing w:line="300" w:lineRule="exact"/>
              <w:jc w:val="both"/>
              <w:rPr>
                <w:rFonts w:ascii="標楷體" w:eastAsia="標楷體" w:hAnsi="標楷體"/>
                <w:color w:val="000000"/>
                <w:kern w:val="0"/>
              </w:rPr>
            </w:pPr>
          </w:p>
        </w:tc>
      </w:tr>
      <w:tr w:rsidR="00C82C27" w:rsidRPr="00995BA1" w14:paraId="07D202E7" w14:textId="77777777" w:rsidTr="00E55097">
        <w:tc>
          <w:tcPr>
            <w:tcW w:w="701" w:type="pct"/>
          </w:tcPr>
          <w:p w14:paraId="6A29E1C0"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22" w:type="pct"/>
          </w:tcPr>
          <w:p w14:paraId="63C67636" w14:textId="77777777" w:rsidR="00C82C27" w:rsidRPr="0093787F"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9</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29日（星期四</w:t>
            </w:r>
            <w:r w:rsidRPr="0093787F">
              <w:rPr>
                <w:rFonts w:ascii="標楷體" w:eastAsia="標楷體" w:hAnsi="標楷體" w:hint="eastAsia"/>
                <w:color w:val="000000"/>
                <w:spacing w:val="-20"/>
                <w:kern w:val="0"/>
              </w:rPr>
              <w:t>）</w:t>
            </w:r>
          </w:p>
        </w:tc>
        <w:tc>
          <w:tcPr>
            <w:tcW w:w="1247" w:type="pct"/>
          </w:tcPr>
          <w:p w14:paraId="4FB1F24C" w14:textId="77777777" w:rsidR="00C82C27" w:rsidRPr="0093787F" w:rsidRDefault="00C82C27" w:rsidP="00C82C27">
            <w:pPr>
              <w:spacing w:line="300" w:lineRule="exact"/>
              <w:jc w:val="both"/>
              <w:rPr>
                <w:rFonts w:ascii="標楷體" w:eastAsia="標楷體" w:hAnsi="標楷體"/>
                <w:color w:val="000000"/>
                <w:kern w:val="0"/>
              </w:rPr>
            </w:pPr>
            <w:r w:rsidRPr="00607A42">
              <w:rPr>
                <w:rFonts w:ascii="標楷體" w:eastAsia="標楷體" w:hAnsi="標楷體" w:hint="eastAsia"/>
                <w:color w:val="000000"/>
                <w:kern w:val="0"/>
              </w:rPr>
              <w:t>邀請司法院秘書長、法務部部長、法務部矯正署署長、法務部調查局局長、內政部部長、內政部警政署署長、海洋委員會海巡署署長率所屬相關單位列席就「面對槍聲四起及員警因犯罪案件犧牲，臺灣司法如何全面因應及防範」進行專題報告，並備質詢。</w:t>
            </w:r>
          </w:p>
        </w:tc>
        <w:tc>
          <w:tcPr>
            <w:tcW w:w="1087" w:type="pct"/>
          </w:tcPr>
          <w:p w14:paraId="78A93109"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14:paraId="0DCB27E6" w14:textId="77777777" w:rsidR="00C82C27" w:rsidRDefault="00C82C27" w:rsidP="00C82C27">
            <w:pPr>
              <w:spacing w:line="300" w:lineRule="exact"/>
              <w:jc w:val="both"/>
              <w:rPr>
                <w:rFonts w:ascii="標楷體" w:eastAsia="標楷體" w:hAnsi="標楷體"/>
                <w:color w:val="000000"/>
                <w:kern w:val="0"/>
              </w:rPr>
            </w:pPr>
          </w:p>
          <w:p w14:paraId="45C65F52" w14:textId="77777777" w:rsidR="00C82C27" w:rsidRDefault="00C82C27" w:rsidP="00C82C27">
            <w:pPr>
              <w:spacing w:line="300" w:lineRule="exact"/>
              <w:jc w:val="both"/>
              <w:rPr>
                <w:rFonts w:ascii="標楷體" w:eastAsia="標楷體" w:hAnsi="標楷體"/>
                <w:color w:val="000000"/>
                <w:kern w:val="0"/>
              </w:rPr>
            </w:pPr>
            <w:r w:rsidRPr="00607A42">
              <w:rPr>
                <w:rFonts w:ascii="標楷體" w:eastAsia="標楷體" w:hAnsi="標楷體" w:hint="eastAsia"/>
                <w:color w:val="000000"/>
                <w:kern w:val="0"/>
              </w:rPr>
              <w:t>司法院秘書長、法務部部長、法務部矯正署署長、法務部調查局局長、內政部部長、內政部警政署署長、海洋委員會海巡署署長</w:t>
            </w:r>
          </w:p>
        </w:tc>
        <w:tc>
          <w:tcPr>
            <w:tcW w:w="1143" w:type="pct"/>
          </w:tcPr>
          <w:p w14:paraId="6643B28A" w14:textId="77777777" w:rsidR="00C82C27" w:rsidRDefault="00C82C27" w:rsidP="00C82C27">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p w14:paraId="4E254B99" w14:textId="77777777" w:rsidR="00C82C27" w:rsidRPr="008C0150"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87</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58</w:t>
            </w:r>
            <w:r w:rsidRPr="00BA2116">
              <w:rPr>
                <w:rFonts w:ascii="標楷體" w:eastAsia="標楷體" w:hAnsi="標楷體" w:hint="eastAsia"/>
                <w:color w:val="000000" w:themeColor="text1"/>
                <w:kern w:val="0"/>
              </w:rPr>
              <w:t>）</w:t>
            </w:r>
          </w:p>
        </w:tc>
      </w:tr>
      <w:tr w:rsidR="00C82C27" w:rsidRPr="00995BA1" w14:paraId="45115D45" w14:textId="77777777" w:rsidTr="00E55097">
        <w:tc>
          <w:tcPr>
            <w:tcW w:w="701" w:type="pct"/>
          </w:tcPr>
          <w:p w14:paraId="1EC614FD"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22" w:type="pct"/>
          </w:tcPr>
          <w:p w14:paraId="301FE2D0"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3日（星期一</w:t>
            </w:r>
            <w:r w:rsidRPr="0093787F">
              <w:rPr>
                <w:rFonts w:ascii="標楷體" w:eastAsia="標楷體" w:hAnsi="標楷體" w:hint="eastAsia"/>
                <w:color w:val="000000"/>
                <w:spacing w:val="-20"/>
                <w:kern w:val="0"/>
              </w:rPr>
              <w:t>）</w:t>
            </w:r>
          </w:p>
        </w:tc>
        <w:tc>
          <w:tcPr>
            <w:tcW w:w="1247" w:type="pct"/>
          </w:tcPr>
          <w:p w14:paraId="524D022E" w14:textId="77777777" w:rsidR="00C82C27" w:rsidRPr="00607A42" w:rsidRDefault="00C82C27" w:rsidP="00C82C27">
            <w:pPr>
              <w:spacing w:line="300" w:lineRule="exact"/>
              <w:jc w:val="both"/>
              <w:rPr>
                <w:rFonts w:ascii="標楷體" w:eastAsia="標楷體" w:hAnsi="標楷體"/>
                <w:color w:val="000000"/>
                <w:kern w:val="0"/>
              </w:rPr>
            </w:pPr>
            <w:r w:rsidRPr="00D11776">
              <w:rPr>
                <w:rFonts w:ascii="標楷體" w:eastAsia="標楷體" w:hAnsi="標楷體" w:hint="eastAsia"/>
                <w:color w:val="000000"/>
                <w:kern w:val="0"/>
              </w:rPr>
              <w:t>邀請司法院副秘書長、法務部部長、法務部調查局局長、法務部廉政署署長、內政部警政署列席就「貪瀆與賄選案件之犯行認定及各縣市查察辦理情形」進行專題報告，並備質詢</w:t>
            </w:r>
          </w:p>
        </w:tc>
        <w:tc>
          <w:tcPr>
            <w:tcW w:w="1087" w:type="pct"/>
          </w:tcPr>
          <w:p w14:paraId="6F597686" w14:textId="77777777" w:rsidR="00C82C27" w:rsidRPr="0093787F"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5624EE63" w14:textId="77777777" w:rsidR="00C82C27" w:rsidRDefault="00C82C27" w:rsidP="00C82C27">
            <w:pPr>
              <w:spacing w:line="300" w:lineRule="exact"/>
              <w:jc w:val="both"/>
              <w:rPr>
                <w:rFonts w:ascii="標楷體" w:eastAsia="標楷體" w:hAnsi="標楷體"/>
                <w:color w:val="000000"/>
                <w:kern w:val="0"/>
              </w:rPr>
            </w:pPr>
          </w:p>
          <w:p w14:paraId="61DA219B" w14:textId="77777777" w:rsidR="00C82C27" w:rsidRDefault="00C82C27" w:rsidP="00C82C27">
            <w:pPr>
              <w:spacing w:line="300" w:lineRule="exact"/>
              <w:jc w:val="both"/>
              <w:rPr>
                <w:rFonts w:ascii="標楷體" w:eastAsia="標楷體" w:hAnsi="標楷體"/>
                <w:color w:val="000000"/>
                <w:kern w:val="0"/>
              </w:rPr>
            </w:pPr>
            <w:r w:rsidRPr="008116F8">
              <w:rPr>
                <w:rFonts w:ascii="標楷體" w:eastAsia="標楷體" w:hAnsi="標楷體" w:hint="eastAsia"/>
                <w:color w:val="000000"/>
                <w:kern w:val="0"/>
              </w:rPr>
              <w:t>司法院副秘書長、法務部部長、法務部調查局局長、法務部廉政署署長、內政部警政署</w:t>
            </w:r>
          </w:p>
        </w:tc>
        <w:tc>
          <w:tcPr>
            <w:tcW w:w="1143" w:type="pct"/>
          </w:tcPr>
          <w:p w14:paraId="084828C1" w14:textId="77777777" w:rsidR="00C82C27" w:rsidRDefault="00C82C27" w:rsidP="00C82C27">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p w14:paraId="535027BD" w14:textId="77777777" w:rsidR="00C82C27" w:rsidRPr="00A77DAE"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88</w:t>
            </w:r>
            <w:r w:rsidRPr="00BA2116">
              <w:rPr>
                <w:rFonts w:ascii="標楷體" w:eastAsia="標楷體" w:hAnsi="標楷體" w:hint="eastAsia"/>
                <w:color w:val="000000" w:themeColor="text1"/>
                <w:kern w:val="0"/>
              </w:rPr>
              <w:t>期</w:t>
            </w:r>
            <w:r>
              <w:rPr>
                <w:rFonts w:ascii="標楷體" w:eastAsia="標楷體" w:hAnsi="標楷體" w:hint="eastAsia"/>
                <w:color w:val="000000" w:themeColor="text1"/>
                <w:kern w:val="0"/>
              </w:rPr>
              <w:t>5059</w:t>
            </w:r>
            <w:r w:rsidRPr="00BA2116">
              <w:rPr>
                <w:rFonts w:ascii="標楷體" w:eastAsia="標楷體" w:hAnsi="標楷體" w:hint="eastAsia"/>
                <w:color w:val="000000" w:themeColor="text1"/>
                <w:kern w:val="0"/>
              </w:rPr>
              <w:t>）</w:t>
            </w:r>
          </w:p>
        </w:tc>
      </w:tr>
      <w:tr w:rsidR="00C82C27" w:rsidRPr="00995BA1" w14:paraId="5F296EA7" w14:textId="77777777" w:rsidTr="00E55097">
        <w:tc>
          <w:tcPr>
            <w:tcW w:w="701" w:type="pct"/>
          </w:tcPr>
          <w:p w14:paraId="4633F137" w14:textId="77777777" w:rsidR="00C82C27" w:rsidRPr="0093787F" w:rsidRDefault="00C82C27" w:rsidP="00C82C27">
            <w:pPr>
              <w:spacing w:line="300" w:lineRule="exact"/>
              <w:jc w:val="both"/>
              <w:rPr>
                <w:rFonts w:ascii="標楷體" w:eastAsia="標楷體" w:hAnsi="標楷體"/>
                <w:color w:val="000000"/>
                <w:kern w:val="0"/>
              </w:rPr>
            </w:pPr>
            <w:r w:rsidRPr="001F59B0">
              <w:rPr>
                <w:rFonts w:ascii="標楷體" w:eastAsia="標楷體" w:hAnsi="標楷體" w:hint="eastAsia"/>
                <w:color w:val="000000"/>
                <w:kern w:val="0"/>
              </w:rPr>
              <w:t>司法及法制、經濟委員會第1</w:t>
            </w:r>
            <w:r w:rsidRPr="001F59B0">
              <w:rPr>
                <w:rFonts w:ascii="標楷體" w:eastAsia="標楷體" w:hAnsi="標楷體" w:hint="eastAsia"/>
                <w:color w:val="000000"/>
                <w:kern w:val="0"/>
              </w:rPr>
              <w:lastRenderedPageBreak/>
              <w:t>次聯席會議</w:t>
            </w:r>
          </w:p>
        </w:tc>
        <w:tc>
          <w:tcPr>
            <w:tcW w:w="822" w:type="pct"/>
          </w:tcPr>
          <w:p w14:paraId="51B999F4"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5日（星期三</w:t>
            </w:r>
            <w:r w:rsidRPr="0093787F">
              <w:rPr>
                <w:rFonts w:ascii="標楷體" w:eastAsia="標楷體" w:hAnsi="標楷體" w:hint="eastAsia"/>
                <w:color w:val="000000"/>
                <w:spacing w:val="-20"/>
                <w:kern w:val="0"/>
              </w:rPr>
              <w:t>）</w:t>
            </w:r>
          </w:p>
        </w:tc>
        <w:tc>
          <w:tcPr>
            <w:tcW w:w="1247" w:type="pct"/>
          </w:tcPr>
          <w:p w14:paraId="585410B6" w14:textId="77777777" w:rsidR="00C82C27" w:rsidRPr="00D11776" w:rsidRDefault="00C82C27" w:rsidP="00C82C27">
            <w:pPr>
              <w:spacing w:line="300" w:lineRule="exact"/>
              <w:jc w:val="both"/>
              <w:rPr>
                <w:rFonts w:ascii="標楷體" w:eastAsia="標楷體" w:hAnsi="標楷體"/>
                <w:color w:val="000000"/>
                <w:kern w:val="0"/>
              </w:rPr>
            </w:pPr>
            <w:r w:rsidRPr="001F59B0">
              <w:rPr>
                <w:rFonts w:ascii="標楷體" w:eastAsia="標楷體" w:hAnsi="標楷體" w:hint="eastAsia"/>
                <w:color w:val="000000"/>
                <w:kern w:val="0"/>
              </w:rPr>
              <w:t>併案審查（一）行政院函請審議、（二）委員蔡易餘等17</w:t>
            </w:r>
            <w:r w:rsidRPr="001F59B0">
              <w:rPr>
                <w:rFonts w:ascii="標楷體" w:eastAsia="標楷體" w:hAnsi="標楷體" w:hint="eastAsia"/>
                <w:color w:val="000000"/>
                <w:kern w:val="0"/>
              </w:rPr>
              <w:lastRenderedPageBreak/>
              <w:t>人、（三）委員何志偉等18人、（四）委員吳思瑤等21人、（五）委員黃國書等17人、（六）委員陳亭妃等18人、（七）台灣民眾黨黨團分別擬具「雙語國家發展中心設置條例草案」及（八）委員蔡易餘等17人擬具「雙語政策發展中心設置條例草案」案。</w:t>
            </w:r>
          </w:p>
        </w:tc>
        <w:tc>
          <w:tcPr>
            <w:tcW w:w="1087" w:type="pct"/>
          </w:tcPr>
          <w:p w14:paraId="2C12059D"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4A6E164D" w14:textId="77777777" w:rsidR="00C82C27" w:rsidRDefault="00C82C27" w:rsidP="00C82C27">
            <w:pPr>
              <w:spacing w:line="300" w:lineRule="exact"/>
              <w:jc w:val="both"/>
              <w:rPr>
                <w:rFonts w:ascii="標楷體" w:eastAsia="標楷體" w:hAnsi="標楷體"/>
                <w:color w:val="000000"/>
                <w:kern w:val="0"/>
              </w:rPr>
            </w:pPr>
          </w:p>
          <w:p w14:paraId="7C5A5FA3" w14:textId="77777777" w:rsidR="00C82C27" w:rsidRDefault="00C82C27" w:rsidP="00C82C27">
            <w:pPr>
              <w:spacing w:line="300" w:lineRule="exact"/>
              <w:jc w:val="both"/>
              <w:rPr>
                <w:rFonts w:ascii="標楷體" w:eastAsia="標楷體" w:hAnsi="標楷體"/>
                <w:color w:val="000000"/>
                <w:kern w:val="0"/>
              </w:rPr>
            </w:pPr>
            <w:r w:rsidRPr="001F59B0">
              <w:rPr>
                <w:rFonts w:ascii="標楷體" w:eastAsia="標楷體" w:hAnsi="標楷體" w:hint="eastAsia"/>
                <w:color w:val="000000"/>
                <w:kern w:val="0"/>
              </w:rPr>
              <w:t>國家發展委員會</w:t>
            </w:r>
            <w:r w:rsidRPr="001F59B0">
              <w:rPr>
                <w:rFonts w:ascii="標楷體" w:eastAsia="標楷體" w:hAnsi="標楷體" w:hint="eastAsia"/>
                <w:color w:val="000000"/>
                <w:kern w:val="0"/>
              </w:rPr>
              <w:lastRenderedPageBreak/>
              <w:t>主任委員、教育部次長、行政院人事行政總處副人事長、行政院、外交部、法務部、財政部、銓敘部、行政院公共工程委員會、行政院主計總處</w:t>
            </w:r>
          </w:p>
        </w:tc>
        <w:tc>
          <w:tcPr>
            <w:tcW w:w="1143" w:type="pct"/>
          </w:tcPr>
          <w:p w14:paraId="3213DDFC"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lastRenderedPageBreak/>
              <w:t>報告及詢答完畢，另定期繼續審查。</w:t>
            </w:r>
          </w:p>
          <w:p w14:paraId="3F37EA6F" w14:textId="77777777" w:rsidR="00C82C27" w:rsidRPr="00A77DAE"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89</w:t>
            </w:r>
            <w:r w:rsidRPr="00BA2116">
              <w:rPr>
                <w:rFonts w:ascii="標楷體" w:eastAsia="標楷體" w:hAnsi="標楷體" w:hint="eastAsia"/>
                <w:color w:val="000000" w:themeColor="text1"/>
                <w:kern w:val="0"/>
              </w:rPr>
              <w:t>期</w:t>
            </w:r>
            <w:r>
              <w:rPr>
                <w:rFonts w:ascii="標楷體" w:eastAsia="標楷體" w:hAnsi="標楷體" w:hint="eastAsia"/>
                <w:color w:val="000000" w:themeColor="text1"/>
                <w:kern w:val="0"/>
              </w:rPr>
              <w:lastRenderedPageBreak/>
              <w:t>5060</w:t>
            </w:r>
            <w:r w:rsidRPr="00BA2116">
              <w:rPr>
                <w:rFonts w:ascii="標楷體" w:eastAsia="標楷體" w:hAnsi="標楷體" w:hint="eastAsia"/>
                <w:color w:val="000000" w:themeColor="text1"/>
                <w:kern w:val="0"/>
              </w:rPr>
              <w:t>）</w:t>
            </w:r>
          </w:p>
        </w:tc>
      </w:tr>
      <w:tr w:rsidR="00C82C27" w:rsidRPr="00995BA1" w14:paraId="7743CBAD" w14:textId="77777777" w:rsidTr="00E55097">
        <w:tc>
          <w:tcPr>
            <w:tcW w:w="701" w:type="pct"/>
          </w:tcPr>
          <w:p w14:paraId="5386DDB3" w14:textId="77777777" w:rsidR="00C82C27" w:rsidRPr="001F59B0"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22" w:type="pct"/>
          </w:tcPr>
          <w:p w14:paraId="77F3FE7B"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6日（星期四</w:t>
            </w:r>
            <w:r w:rsidRPr="0093787F">
              <w:rPr>
                <w:rFonts w:ascii="標楷體" w:eastAsia="標楷體" w:hAnsi="標楷體" w:hint="eastAsia"/>
                <w:color w:val="000000"/>
                <w:spacing w:val="-20"/>
                <w:kern w:val="0"/>
              </w:rPr>
              <w:t>）</w:t>
            </w:r>
          </w:p>
        </w:tc>
        <w:tc>
          <w:tcPr>
            <w:tcW w:w="1247" w:type="pct"/>
          </w:tcPr>
          <w:p w14:paraId="6676A872" w14:textId="77777777" w:rsidR="00C82C27" w:rsidRPr="001F59B0" w:rsidRDefault="00C82C27" w:rsidP="00C82C27">
            <w:pPr>
              <w:spacing w:line="300" w:lineRule="exact"/>
              <w:jc w:val="both"/>
              <w:rPr>
                <w:rFonts w:ascii="標楷體" w:eastAsia="標楷體" w:hAnsi="標楷體"/>
                <w:color w:val="000000"/>
                <w:kern w:val="0"/>
              </w:rPr>
            </w:pPr>
            <w:r w:rsidRPr="008E7D76">
              <w:rPr>
                <w:rFonts w:ascii="標楷體" w:eastAsia="標楷體" w:hAnsi="標楷體" w:hint="eastAsia"/>
                <w:color w:val="000000"/>
                <w:kern w:val="0"/>
              </w:rPr>
              <w:t>併案審查（一）行政院函請審議「外役監條例部分條文修正草案」、（二）委員林岱樺等16人擬具「外役監條例部分條文修正草案」、（三）委員洪孟楷等18人擬具「外役監條例第一條、第四條及第十八條條文修正草案」、（四）委員高嘉瑜等17人擬具「外役監條例第四條條文修正草案」、（五）委員廖婉汝等19人擬具「外役監條例第四條及第二十一條條文修正草案」、（六）國民黨黨團擬具「外役監條例第四條條文修正草案」、（七）委員林思銘等16人擬具「外役監條例第四條條文修正草案」、（八）台灣民眾黨黨團擬具「外役監條例第四條及第二十一條條文修正草案」及</w:t>
            </w:r>
            <w:r w:rsidRPr="008E7D76">
              <w:rPr>
                <w:rFonts w:ascii="標楷體" w:eastAsia="標楷體" w:hAnsi="標楷體" w:hint="eastAsia"/>
                <w:color w:val="000000"/>
                <w:kern w:val="0"/>
              </w:rPr>
              <w:lastRenderedPageBreak/>
              <w:t>（九）時代力量黨團擬具「外役監條例部分條文修正草案」案。</w:t>
            </w:r>
          </w:p>
        </w:tc>
        <w:tc>
          <w:tcPr>
            <w:tcW w:w="1087" w:type="pct"/>
          </w:tcPr>
          <w:p w14:paraId="71290FAD"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4F4B6020" w14:textId="77777777" w:rsidR="00C82C27" w:rsidRDefault="00C82C27" w:rsidP="00C82C27">
            <w:pPr>
              <w:spacing w:line="300" w:lineRule="exact"/>
              <w:jc w:val="both"/>
              <w:rPr>
                <w:rFonts w:ascii="標楷體" w:eastAsia="標楷體" w:hAnsi="標楷體"/>
                <w:color w:val="000000"/>
                <w:kern w:val="0"/>
              </w:rPr>
            </w:pPr>
          </w:p>
          <w:p w14:paraId="19B38445" w14:textId="77777777" w:rsidR="00C82C27" w:rsidRDefault="00C82C27" w:rsidP="00C82C27">
            <w:pPr>
              <w:spacing w:line="300" w:lineRule="exact"/>
              <w:jc w:val="both"/>
              <w:rPr>
                <w:rFonts w:ascii="標楷體" w:eastAsia="標楷體" w:hAnsi="標楷體"/>
                <w:color w:val="000000"/>
                <w:kern w:val="0"/>
              </w:rPr>
            </w:pPr>
            <w:r w:rsidRPr="008E7D76">
              <w:rPr>
                <w:rFonts w:ascii="標楷體" w:eastAsia="標楷體" w:hAnsi="標楷體" w:hint="eastAsia"/>
                <w:color w:val="000000"/>
                <w:kern w:val="0"/>
              </w:rPr>
              <w:t>法務部部長、法務部矯正署署長、司法院、衛生福利部、國防部、勞動部、教育部、內政部警政署</w:t>
            </w:r>
          </w:p>
        </w:tc>
        <w:tc>
          <w:tcPr>
            <w:tcW w:w="1143" w:type="pct"/>
          </w:tcPr>
          <w:p w14:paraId="16E5F9F9"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報告及詢答完畢，另定期繼續審查。</w:t>
            </w:r>
          </w:p>
          <w:p w14:paraId="0FB3940F"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91</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62</w:t>
            </w:r>
            <w:r w:rsidRPr="00BA2116">
              <w:rPr>
                <w:rFonts w:ascii="標楷體" w:eastAsia="標楷體" w:hAnsi="標楷體" w:hint="eastAsia"/>
                <w:color w:val="000000" w:themeColor="text1"/>
                <w:kern w:val="0"/>
              </w:rPr>
              <w:t>）</w:t>
            </w:r>
          </w:p>
        </w:tc>
      </w:tr>
      <w:tr w:rsidR="00C82C27" w:rsidRPr="00995BA1" w14:paraId="5209744D" w14:textId="77777777" w:rsidTr="00E55097">
        <w:tc>
          <w:tcPr>
            <w:tcW w:w="701" w:type="pct"/>
          </w:tcPr>
          <w:p w14:paraId="7EE9AFF1" w14:textId="77777777" w:rsidR="00C82C27" w:rsidRPr="001F59B0"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22" w:type="pct"/>
          </w:tcPr>
          <w:p w14:paraId="660FB9BE"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12日（星期三</w:t>
            </w:r>
            <w:r w:rsidRPr="0093787F">
              <w:rPr>
                <w:rFonts w:ascii="標楷體" w:eastAsia="標楷體" w:hAnsi="標楷體" w:hint="eastAsia"/>
                <w:color w:val="000000"/>
                <w:spacing w:val="-20"/>
                <w:kern w:val="0"/>
              </w:rPr>
              <w:t>）</w:t>
            </w:r>
          </w:p>
        </w:tc>
        <w:tc>
          <w:tcPr>
            <w:tcW w:w="1247" w:type="pct"/>
          </w:tcPr>
          <w:p w14:paraId="04559E58" w14:textId="77777777" w:rsidR="00C82C27" w:rsidRPr="00F93291" w:rsidRDefault="00C82C27" w:rsidP="00C82C27">
            <w:pPr>
              <w:spacing w:line="300" w:lineRule="exact"/>
              <w:jc w:val="both"/>
              <w:rPr>
                <w:rFonts w:ascii="標楷體" w:eastAsia="標楷體" w:hAnsi="標楷體"/>
                <w:color w:val="000000"/>
                <w:kern w:val="0"/>
              </w:rPr>
            </w:pPr>
            <w:r w:rsidRPr="00F93291">
              <w:rPr>
                <w:rFonts w:ascii="標楷體" w:eastAsia="標楷體" w:hAnsi="標楷體" w:hint="eastAsia"/>
                <w:color w:val="000000"/>
                <w:kern w:val="0"/>
              </w:rPr>
              <w:t>一、邀請考試院秘書長、銓敘部部長、公務人員保障暨培訓委員會主任委員、勞動部部長、行政院人事行政總處人事長率所屬相關單位列席就「改善政府約聘僱人員職場安全及合理薪給」進行專題報告，並備質詢。</w:t>
            </w:r>
          </w:p>
          <w:p w14:paraId="63A85428" w14:textId="77777777" w:rsidR="00C82C27" w:rsidRPr="008E7D76" w:rsidRDefault="00C82C27" w:rsidP="00C82C27">
            <w:pPr>
              <w:spacing w:line="300" w:lineRule="exact"/>
              <w:jc w:val="both"/>
              <w:rPr>
                <w:rFonts w:ascii="標楷體" w:eastAsia="標楷體" w:hAnsi="標楷體"/>
                <w:color w:val="000000"/>
                <w:kern w:val="0"/>
              </w:rPr>
            </w:pPr>
            <w:r w:rsidRPr="00F93291">
              <w:rPr>
                <w:rFonts w:ascii="標楷體" w:eastAsia="標楷體" w:hAnsi="標楷體" w:hint="eastAsia"/>
                <w:color w:val="000000"/>
                <w:kern w:val="0"/>
              </w:rPr>
              <w:t>二、審查及處理111年度中央政府總預算關於行政院人事行政總處及所屬主管預算凍結項目共6案。</w:t>
            </w:r>
          </w:p>
        </w:tc>
        <w:tc>
          <w:tcPr>
            <w:tcW w:w="1087" w:type="pct"/>
          </w:tcPr>
          <w:p w14:paraId="4BB17998"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14:paraId="729287BE" w14:textId="77777777" w:rsidR="00C82C27" w:rsidRDefault="00C82C27" w:rsidP="00C82C27">
            <w:pPr>
              <w:spacing w:line="300" w:lineRule="exact"/>
              <w:jc w:val="both"/>
              <w:rPr>
                <w:rFonts w:ascii="標楷體" w:eastAsia="標楷體" w:hAnsi="標楷體"/>
                <w:color w:val="000000"/>
                <w:kern w:val="0"/>
              </w:rPr>
            </w:pPr>
          </w:p>
          <w:p w14:paraId="7A6E87D2" w14:textId="77777777" w:rsidR="00C82C27" w:rsidRPr="00F93291" w:rsidRDefault="00C82C27" w:rsidP="00C82C27">
            <w:pPr>
              <w:spacing w:line="300" w:lineRule="exact"/>
              <w:jc w:val="both"/>
              <w:rPr>
                <w:rFonts w:ascii="標楷體" w:eastAsia="標楷體" w:hAnsi="標楷體"/>
                <w:color w:val="000000"/>
                <w:kern w:val="0"/>
              </w:rPr>
            </w:pPr>
            <w:r w:rsidRPr="00F93291">
              <w:rPr>
                <w:rFonts w:ascii="標楷體" w:eastAsia="標楷體" w:hAnsi="標楷體" w:hint="eastAsia"/>
                <w:color w:val="000000"/>
                <w:kern w:val="0"/>
              </w:rPr>
              <w:t>考試院秘書長、銓敘部部長、公務人員保障暨培訓委員會主任委員、勞動部部長、行政院人事行政總處人事長、行政院人事行政總處公務人力發展學院院長、行政院主計總處</w:t>
            </w:r>
          </w:p>
        </w:tc>
        <w:tc>
          <w:tcPr>
            <w:tcW w:w="1143" w:type="pct"/>
          </w:tcPr>
          <w:p w14:paraId="7D5D709B"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w:t>
            </w:r>
            <w:r w:rsidRPr="00A77DAE">
              <w:rPr>
                <w:rFonts w:ascii="標楷體" w:eastAsia="標楷體" w:hAnsi="標楷體" w:hint="eastAsia"/>
                <w:color w:val="000000"/>
                <w:kern w:val="0"/>
              </w:rPr>
              <w:t>報告及詢答完畢</w:t>
            </w:r>
            <w:r>
              <w:rPr>
                <w:rFonts w:ascii="標楷體" w:eastAsia="標楷體" w:hAnsi="標楷體" w:hint="eastAsia"/>
                <w:color w:val="000000"/>
                <w:kern w:val="0"/>
              </w:rPr>
              <w:t>；第二</w:t>
            </w:r>
            <w:r w:rsidRPr="00743CDE">
              <w:rPr>
                <w:rFonts w:ascii="標楷體" w:eastAsia="標楷體" w:hAnsi="標楷體" w:hint="eastAsia"/>
                <w:color w:val="000000"/>
                <w:kern w:val="0"/>
              </w:rPr>
              <w:t>案中列報告事項第</w:t>
            </w:r>
            <w:r>
              <w:rPr>
                <w:rFonts w:ascii="標楷體" w:eastAsia="標楷體" w:hAnsi="標楷體" w:hint="eastAsia"/>
                <w:color w:val="000000"/>
                <w:kern w:val="0"/>
              </w:rPr>
              <w:t>三</w:t>
            </w:r>
            <w:r w:rsidRPr="00743CDE">
              <w:rPr>
                <w:rFonts w:ascii="標楷體" w:eastAsia="標楷體" w:hAnsi="標楷體" w:hint="eastAsia"/>
                <w:color w:val="000000"/>
                <w:kern w:val="0"/>
              </w:rPr>
              <w:t>案至第</w:t>
            </w:r>
            <w:r>
              <w:rPr>
                <w:rFonts w:ascii="標楷體" w:eastAsia="標楷體" w:hAnsi="標楷體" w:hint="eastAsia"/>
                <w:color w:val="000000"/>
                <w:kern w:val="0"/>
              </w:rPr>
              <w:t>四</w:t>
            </w:r>
            <w:r w:rsidRPr="00743CDE">
              <w:rPr>
                <w:rFonts w:ascii="標楷體" w:eastAsia="標楷體" w:hAnsi="標楷體" w:hint="eastAsia"/>
                <w:color w:val="000000"/>
                <w:kern w:val="0"/>
              </w:rPr>
              <w:t>案，均准予備查，提報院會；列討論事項第一案至第</w:t>
            </w:r>
            <w:r>
              <w:rPr>
                <w:rFonts w:ascii="標楷體" w:eastAsia="標楷體" w:hAnsi="標楷體" w:hint="eastAsia"/>
                <w:color w:val="000000"/>
                <w:kern w:val="0"/>
              </w:rPr>
              <w:t>四</w:t>
            </w:r>
            <w:r w:rsidRPr="00743CDE">
              <w:rPr>
                <w:rFonts w:ascii="標楷體" w:eastAsia="標楷體" w:hAnsi="標楷體" w:hint="eastAsia"/>
                <w:color w:val="000000"/>
                <w:kern w:val="0"/>
              </w:rPr>
              <w:t>案，均准予動支，提報院會</w:t>
            </w:r>
            <w:r>
              <w:rPr>
                <w:rFonts w:ascii="標楷體" w:eastAsia="標楷體" w:hAnsi="標楷體" w:hint="eastAsia"/>
                <w:color w:val="000000"/>
                <w:kern w:val="0"/>
              </w:rPr>
              <w:t>。</w:t>
            </w:r>
          </w:p>
          <w:p w14:paraId="04B5EB1D"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91</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62</w:t>
            </w:r>
            <w:r w:rsidRPr="00BA2116">
              <w:rPr>
                <w:rFonts w:ascii="標楷體" w:eastAsia="標楷體" w:hAnsi="標楷體" w:hint="eastAsia"/>
                <w:color w:val="000000" w:themeColor="text1"/>
                <w:kern w:val="0"/>
              </w:rPr>
              <w:t>）</w:t>
            </w:r>
          </w:p>
        </w:tc>
      </w:tr>
      <w:tr w:rsidR="00C82C27" w:rsidRPr="00995BA1" w14:paraId="39196818" w14:textId="77777777" w:rsidTr="00E55097">
        <w:tc>
          <w:tcPr>
            <w:tcW w:w="701" w:type="pct"/>
          </w:tcPr>
          <w:p w14:paraId="4FBF93BA" w14:textId="77777777" w:rsidR="00C82C27" w:rsidRPr="001F59B0"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22" w:type="pct"/>
          </w:tcPr>
          <w:p w14:paraId="039313AD"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13日（星期四</w:t>
            </w:r>
            <w:r w:rsidRPr="0093787F">
              <w:rPr>
                <w:rFonts w:ascii="標楷體" w:eastAsia="標楷體" w:hAnsi="標楷體" w:hint="eastAsia"/>
                <w:color w:val="000000"/>
                <w:spacing w:val="-20"/>
                <w:kern w:val="0"/>
              </w:rPr>
              <w:t>）</w:t>
            </w:r>
          </w:p>
        </w:tc>
        <w:tc>
          <w:tcPr>
            <w:tcW w:w="1247" w:type="pct"/>
          </w:tcPr>
          <w:p w14:paraId="3C6683CD" w14:textId="77777777" w:rsidR="00C82C27" w:rsidRPr="00F93291" w:rsidRDefault="00C82C27" w:rsidP="00C82C27">
            <w:pPr>
              <w:spacing w:line="300" w:lineRule="exact"/>
              <w:jc w:val="both"/>
              <w:rPr>
                <w:rFonts w:ascii="標楷體" w:eastAsia="標楷體" w:hAnsi="標楷體"/>
                <w:color w:val="000000"/>
                <w:kern w:val="0"/>
              </w:rPr>
            </w:pPr>
            <w:r w:rsidRPr="00A84970">
              <w:rPr>
                <w:rFonts w:ascii="標楷體" w:eastAsia="標楷體" w:hAnsi="標楷體" w:hint="eastAsia"/>
                <w:color w:val="000000"/>
                <w:kern w:val="0"/>
              </w:rPr>
              <w:t>邀請考試院秘書長、公務人員退休撫卹基金管理委員會主任委員、國家金融安定基金管理委員會主任委員、財政部部長、金融監督管理委員會主任委員率所屬相關單位列席就「國際金融動盪，維護資本市場及其他金融市場穩定措施與國家金融安定基金進場護盤使用公務人員退休撫卹基金狀況暨111年度盈虧情形」進行專題報告，並備質詢。</w:t>
            </w:r>
          </w:p>
        </w:tc>
        <w:tc>
          <w:tcPr>
            <w:tcW w:w="1087" w:type="pct"/>
          </w:tcPr>
          <w:p w14:paraId="43DB32E7"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14:paraId="4B3CA32E" w14:textId="77777777" w:rsidR="00C82C27" w:rsidRDefault="00C82C27" w:rsidP="00C82C27">
            <w:pPr>
              <w:spacing w:line="300" w:lineRule="exact"/>
              <w:jc w:val="both"/>
              <w:rPr>
                <w:rFonts w:ascii="標楷體" w:eastAsia="標楷體" w:hAnsi="標楷體"/>
                <w:color w:val="000000"/>
                <w:kern w:val="0"/>
              </w:rPr>
            </w:pPr>
          </w:p>
          <w:p w14:paraId="704CFEB0" w14:textId="77777777" w:rsidR="00C82C27" w:rsidRDefault="00C82C27" w:rsidP="00C82C27">
            <w:pPr>
              <w:spacing w:line="300" w:lineRule="exact"/>
              <w:jc w:val="both"/>
              <w:rPr>
                <w:rFonts w:ascii="標楷體" w:eastAsia="標楷體" w:hAnsi="標楷體"/>
                <w:color w:val="000000"/>
                <w:kern w:val="0"/>
              </w:rPr>
            </w:pPr>
            <w:r w:rsidRPr="001B3643">
              <w:rPr>
                <w:rFonts w:ascii="標楷體" w:eastAsia="標楷體" w:hAnsi="標楷體" w:hint="eastAsia"/>
                <w:color w:val="000000"/>
                <w:kern w:val="0"/>
              </w:rPr>
              <w:t>考試院秘書長、公務人員退休撫卹基金管理委員會主任委員、國家金融安定基金管理委員會主任委員、財政部部長、金融監督管理委員會主任委員</w:t>
            </w:r>
          </w:p>
        </w:tc>
        <w:tc>
          <w:tcPr>
            <w:tcW w:w="1143" w:type="pct"/>
          </w:tcPr>
          <w:p w14:paraId="54D3A41E" w14:textId="77777777" w:rsidR="00C82C27" w:rsidRDefault="00C82C27" w:rsidP="00C82C27">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p w14:paraId="564BE83E" w14:textId="77777777" w:rsidR="00C82C27" w:rsidRPr="00A77DAE"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92</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63</w:t>
            </w:r>
            <w:r w:rsidRPr="00BA2116">
              <w:rPr>
                <w:rFonts w:ascii="標楷體" w:eastAsia="標楷體" w:hAnsi="標楷體" w:hint="eastAsia"/>
                <w:color w:val="000000" w:themeColor="text1"/>
                <w:kern w:val="0"/>
              </w:rPr>
              <w:t>）</w:t>
            </w:r>
          </w:p>
        </w:tc>
      </w:tr>
      <w:tr w:rsidR="00C82C27" w:rsidRPr="00995BA1" w14:paraId="3B62A254" w14:textId="77777777" w:rsidTr="00E55097">
        <w:tc>
          <w:tcPr>
            <w:tcW w:w="701" w:type="pct"/>
          </w:tcPr>
          <w:p w14:paraId="1EBB24D5" w14:textId="77777777" w:rsidR="00C82C27" w:rsidRPr="0093787F"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22" w:type="pct"/>
          </w:tcPr>
          <w:p w14:paraId="0C80B721"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17日（星期一</w:t>
            </w:r>
            <w:r w:rsidRPr="0093787F">
              <w:rPr>
                <w:rFonts w:ascii="標楷體" w:eastAsia="標楷體" w:hAnsi="標楷體" w:hint="eastAsia"/>
                <w:color w:val="000000"/>
                <w:spacing w:val="-20"/>
                <w:kern w:val="0"/>
              </w:rPr>
              <w:t>）</w:t>
            </w:r>
          </w:p>
        </w:tc>
        <w:tc>
          <w:tcPr>
            <w:tcW w:w="1247" w:type="pct"/>
          </w:tcPr>
          <w:p w14:paraId="40FE25DC" w14:textId="77777777" w:rsidR="00C82C27" w:rsidRPr="00A84970" w:rsidRDefault="00C82C27" w:rsidP="00C82C27">
            <w:pPr>
              <w:spacing w:line="300" w:lineRule="exact"/>
              <w:jc w:val="both"/>
              <w:rPr>
                <w:rFonts w:ascii="標楷體" w:eastAsia="標楷體" w:hAnsi="標楷體"/>
                <w:color w:val="000000"/>
                <w:kern w:val="0"/>
              </w:rPr>
            </w:pPr>
            <w:r w:rsidRPr="008D6663">
              <w:rPr>
                <w:rFonts w:ascii="標楷體" w:eastAsia="標楷體" w:hAnsi="標楷體" w:hint="eastAsia"/>
                <w:color w:val="000000"/>
                <w:kern w:val="0"/>
              </w:rPr>
              <w:t>參訪臺灣桃園地方法院及考察臺灣桃園地方檢察署業務概況</w:t>
            </w:r>
            <w:r w:rsidRPr="00A84970">
              <w:rPr>
                <w:rFonts w:ascii="標楷體" w:eastAsia="標楷體" w:hAnsi="標楷體" w:hint="eastAsia"/>
                <w:color w:val="000000"/>
                <w:kern w:val="0"/>
              </w:rPr>
              <w:t>。</w:t>
            </w:r>
          </w:p>
        </w:tc>
        <w:tc>
          <w:tcPr>
            <w:tcW w:w="1087" w:type="pct"/>
          </w:tcPr>
          <w:p w14:paraId="70FF3D97"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0AEAAD70" w14:textId="77777777" w:rsidR="00C82C27" w:rsidRDefault="00C82C27" w:rsidP="00C82C27">
            <w:pPr>
              <w:spacing w:line="300" w:lineRule="exact"/>
              <w:jc w:val="both"/>
              <w:rPr>
                <w:rFonts w:ascii="標楷體" w:eastAsia="標楷體" w:hAnsi="標楷體"/>
                <w:color w:val="000000"/>
                <w:kern w:val="0"/>
              </w:rPr>
            </w:pPr>
          </w:p>
          <w:p w14:paraId="680C6499"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司法院副秘書長、法務部政務次</w:t>
            </w:r>
            <w:r>
              <w:rPr>
                <w:rFonts w:ascii="標楷體" w:eastAsia="標楷體" w:hAnsi="標楷體" w:hint="eastAsia"/>
                <w:color w:val="000000"/>
                <w:kern w:val="0"/>
              </w:rPr>
              <w:lastRenderedPageBreak/>
              <w:t>長、臺灣桃園地方法院院長、臺灣桃園地方檢察署檢察長</w:t>
            </w:r>
          </w:p>
        </w:tc>
        <w:tc>
          <w:tcPr>
            <w:tcW w:w="1143" w:type="pct"/>
          </w:tcPr>
          <w:p w14:paraId="3E7C234A" w14:textId="77777777" w:rsidR="00C82C27" w:rsidRPr="00A77DAE" w:rsidRDefault="00C82C27" w:rsidP="00C82C27">
            <w:pPr>
              <w:spacing w:line="300" w:lineRule="exact"/>
              <w:jc w:val="both"/>
              <w:rPr>
                <w:rFonts w:ascii="標楷體" w:eastAsia="標楷體" w:hAnsi="標楷體"/>
                <w:color w:val="000000"/>
                <w:kern w:val="0"/>
              </w:rPr>
            </w:pPr>
          </w:p>
        </w:tc>
      </w:tr>
      <w:tr w:rsidR="00C82C27" w:rsidRPr="00995BA1" w14:paraId="73055D3E" w14:textId="77777777" w:rsidTr="00E55097">
        <w:tc>
          <w:tcPr>
            <w:tcW w:w="701" w:type="pct"/>
          </w:tcPr>
          <w:p w14:paraId="51FA3F31" w14:textId="77777777" w:rsidR="00C82C27"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7</w:t>
            </w:r>
            <w:r w:rsidRPr="0093787F">
              <w:rPr>
                <w:rFonts w:ascii="標楷體" w:eastAsia="標楷體" w:hAnsi="標楷體" w:hint="eastAsia"/>
                <w:color w:val="000000"/>
                <w:kern w:val="0"/>
              </w:rPr>
              <w:t>次全體委員會議</w:t>
            </w:r>
          </w:p>
        </w:tc>
        <w:tc>
          <w:tcPr>
            <w:tcW w:w="822" w:type="pct"/>
          </w:tcPr>
          <w:p w14:paraId="08570A01"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19日（星期三</w:t>
            </w:r>
            <w:r w:rsidRPr="0093787F">
              <w:rPr>
                <w:rFonts w:ascii="標楷體" w:eastAsia="標楷體" w:hAnsi="標楷體" w:hint="eastAsia"/>
                <w:color w:val="000000"/>
                <w:spacing w:val="-20"/>
                <w:kern w:val="0"/>
              </w:rPr>
              <w:t>）</w:t>
            </w:r>
          </w:p>
        </w:tc>
        <w:tc>
          <w:tcPr>
            <w:tcW w:w="1247" w:type="pct"/>
          </w:tcPr>
          <w:p w14:paraId="0E277B9E" w14:textId="77777777" w:rsidR="00C82C27" w:rsidRPr="00F55341" w:rsidRDefault="00C82C27" w:rsidP="00C82C27">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一、審查司法院、行政院函請審議「刑事訴訟法部分條文修正草案」案。</w:t>
            </w:r>
          </w:p>
          <w:p w14:paraId="1BBE192B" w14:textId="77777777" w:rsidR="00C82C27" w:rsidRPr="00F55341" w:rsidRDefault="00C82C27" w:rsidP="00C82C27">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二、審查司法院、行政院函請審議「刑事訴訟法施行法增訂第七條之二十三條文草案」案。</w:t>
            </w:r>
          </w:p>
          <w:p w14:paraId="66D84602" w14:textId="77777777" w:rsidR="00C82C27" w:rsidRPr="008D6663" w:rsidRDefault="00C82C27" w:rsidP="00C82C27">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三、併案審查（一）司法院函請審議「憲法訴訟法部分條文修正草案」、（二）委員鍾佳濱等17人擬具「憲法訴訟法第四十九條及第九十五條條文修正草案」、（三）台灣民眾黨黨團擬具「憲法訴訟法部分條文修正草案」、（四）台灣民眾黨黨團擬具「憲法訴訟法第五十九條條文修正草案」及（五）委員鄭天財Sra Kacaw等16人擬具「憲法訴訟法第十九條之一及第三十條條文修正草案」案。</w:t>
            </w:r>
          </w:p>
        </w:tc>
        <w:tc>
          <w:tcPr>
            <w:tcW w:w="1087" w:type="pct"/>
          </w:tcPr>
          <w:p w14:paraId="1202AE32"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0BE1641F" w14:textId="77777777" w:rsidR="00C82C27" w:rsidRDefault="00C82C27" w:rsidP="00C82C27">
            <w:pPr>
              <w:spacing w:line="300" w:lineRule="exact"/>
              <w:jc w:val="both"/>
              <w:rPr>
                <w:rFonts w:ascii="標楷體" w:eastAsia="標楷體" w:hAnsi="標楷體"/>
                <w:color w:val="000000"/>
                <w:kern w:val="0"/>
              </w:rPr>
            </w:pPr>
          </w:p>
          <w:p w14:paraId="60CAB654" w14:textId="77777777" w:rsidR="00C82C27" w:rsidRDefault="00C82C27" w:rsidP="00C82C27">
            <w:pPr>
              <w:spacing w:line="300" w:lineRule="exact"/>
              <w:jc w:val="both"/>
              <w:rPr>
                <w:rFonts w:ascii="標楷體" w:eastAsia="標楷體" w:hAnsi="標楷體"/>
                <w:color w:val="000000"/>
                <w:kern w:val="0"/>
              </w:rPr>
            </w:pPr>
            <w:r w:rsidRPr="00F55341">
              <w:rPr>
                <w:rFonts w:ascii="標楷體" w:eastAsia="標楷體" w:hAnsi="標楷體" w:hint="eastAsia"/>
                <w:color w:val="000000"/>
                <w:kern w:val="0"/>
              </w:rPr>
              <w:t>司法院秘書長、法務部部長、最高檢察署檢察總長、立法院、衛生福利部</w:t>
            </w:r>
          </w:p>
        </w:tc>
        <w:tc>
          <w:tcPr>
            <w:tcW w:w="1143" w:type="pct"/>
          </w:tcPr>
          <w:p w14:paraId="5BC18FC7"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w:t>
            </w:r>
            <w:r w:rsidRPr="009A2472">
              <w:rPr>
                <w:rFonts w:ascii="標楷體" w:eastAsia="標楷體" w:hAnsi="標楷體" w:hint="eastAsia"/>
                <w:color w:val="000000"/>
                <w:kern w:val="0"/>
              </w:rPr>
              <w:t>案及第</w:t>
            </w:r>
            <w:r>
              <w:rPr>
                <w:rFonts w:ascii="標楷體" w:eastAsia="標楷體" w:hAnsi="標楷體" w:hint="eastAsia"/>
                <w:color w:val="000000"/>
                <w:kern w:val="0"/>
              </w:rPr>
              <w:t>二</w:t>
            </w:r>
            <w:r w:rsidRPr="009A2472">
              <w:rPr>
                <w:rFonts w:ascii="標楷體" w:eastAsia="標楷體" w:hAnsi="標楷體" w:hint="eastAsia"/>
                <w:color w:val="000000"/>
                <w:kern w:val="0"/>
              </w:rPr>
              <w:t>案審查完竣，均不須交由黨團協商</w:t>
            </w:r>
            <w:r>
              <w:rPr>
                <w:rFonts w:ascii="標楷體" w:eastAsia="標楷體" w:hAnsi="標楷體" w:hint="eastAsia"/>
                <w:color w:val="000000"/>
                <w:kern w:val="0"/>
              </w:rPr>
              <w:t>；</w:t>
            </w:r>
            <w:r w:rsidRPr="009A2472">
              <w:rPr>
                <w:rFonts w:ascii="標楷體" w:eastAsia="標楷體" w:hAnsi="標楷體" w:hint="eastAsia"/>
                <w:color w:val="000000"/>
                <w:kern w:val="0"/>
              </w:rPr>
              <w:t>第</w:t>
            </w:r>
            <w:r>
              <w:rPr>
                <w:rFonts w:ascii="標楷體" w:eastAsia="標楷體" w:hAnsi="標楷體" w:hint="eastAsia"/>
                <w:color w:val="000000"/>
                <w:kern w:val="0"/>
              </w:rPr>
              <w:t>三</w:t>
            </w:r>
            <w:r w:rsidRPr="009A2472">
              <w:rPr>
                <w:rFonts w:ascii="標楷體" w:eastAsia="標楷體" w:hAnsi="標楷體" w:hint="eastAsia"/>
                <w:color w:val="000000"/>
                <w:kern w:val="0"/>
              </w:rPr>
              <w:t>案報告及詢答完畢，另定期繼續審查。</w:t>
            </w:r>
          </w:p>
          <w:p w14:paraId="2BB5A846" w14:textId="77777777" w:rsidR="00C82C27" w:rsidRPr="00A77DAE"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93</w:t>
            </w:r>
            <w:r w:rsidRPr="00BA2116">
              <w:rPr>
                <w:rFonts w:ascii="標楷體" w:eastAsia="標楷體" w:hAnsi="標楷體" w:hint="eastAsia"/>
                <w:color w:val="000000" w:themeColor="text1"/>
                <w:kern w:val="0"/>
              </w:rPr>
              <w:t>期</w:t>
            </w:r>
            <w:r>
              <w:rPr>
                <w:rFonts w:ascii="標楷體" w:eastAsia="標楷體" w:hAnsi="標楷體" w:hint="eastAsia"/>
                <w:color w:val="000000" w:themeColor="text1"/>
                <w:kern w:val="0"/>
              </w:rPr>
              <w:t>5064</w:t>
            </w:r>
            <w:r w:rsidRPr="00BA2116">
              <w:rPr>
                <w:rFonts w:ascii="標楷體" w:eastAsia="標楷體" w:hAnsi="標楷體" w:hint="eastAsia"/>
                <w:color w:val="000000" w:themeColor="text1"/>
                <w:kern w:val="0"/>
              </w:rPr>
              <w:t>）</w:t>
            </w:r>
          </w:p>
        </w:tc>
      </w:tr>
      <w:tr w:rsidR="00C82C27" w:rsidRPr="00995BA1" w14:paraId="3CA79418" w14:textId="77777777" w:rsidTr="00E55097">
        <w:tc>
          <w:tcPr>
            <w:tcW w:w="701" w:type="pct"/>
          </w:tcPr>
          <w:p w14:paraId="2FD70F3B"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8</w:t>
            </w:r>
            <w:r w:rsidRPr="0093787F">
              <w:rPr>
                <w:rFonts w:ascii="標楷體" w:eastAsia="標楷體" w:hAnsi="標楷體" w:hint="eastAsia"/>
                <w:color w:val="000000"/>
                <w:kern w:val="0"/>
              </w:rPr>
              <w:t>次全體委員會議</w:t>
            </w:r>
          </w:p>
        </w:tc>
        <w:tc>
          <w:tcPr>
            <w:tcW w:w="822" w:type="pct"/>
          </w:tcPr>
          <w:p w14:paraId="68702013"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20日（星期四</w:t>
            </w:r>
            <w:r w:rsidRPr="0093787F">
              <w:rPr>
                <w:rFonts w:ascii="標楷體" w:eastAsia="標楷體" w:hAnsi="標楷體" w:hint="eastAsia"/>
                <w:color w:val="000000"/>
                <w:spacing w:val="-20"/>
                <w:kern w:val="0"/>
              </w:rPr>
              <w:t>）</w:t>
            </w:r>
          </w:p>
        </w:tc>
        <w:tc>
          <w:tcPr>
            <w:tcW w:w="1247" w:type="pct"/>
          </w:tcPr>
          <w:p w14:paraId="308B6A58" w14:textId="77777777" w:rsidR="00C82C27" w:rsidRPr="00236DC5" w:rsidRDefault="00C82C27" w:rsidP="00C82C27">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一、邀請考試院秘書長、考選部部長、銓敘部部長及公務人員保障暨培訓委員會主任委員列席報告業務概況及立法計畫，並備質詢。</w:t>
            </w:r>
          </w:p>
          <w:p w14:paraId="6F7B8BF4" w14:textId="77777777" w:rsidR="00C82C27" w:rsidRPr="00236DC5" w:rsidRDefault="00C82C27" w:rsidP="00C82C27">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二、審查112年度中央政府總預算案關於考試院及所屬主</w:t>
            </w:r>
            <w:r w:rsidRPr="00236DC5">
              <w:rPr>
                <w:rFonts w:ascii="標楷體" w:eastAsia="標楷體" w:hAnsi="標楷體" w:hint="eastAsia"/>
                <w:color w:val="000000"/>
                <w:kern w:val="0"/>
              </w:rPr>
              <w:lastRenderedPageBreak/>
              <w:t>管收支部分。</w:t>
            </w:r>
          </w:p>
          <w:p w14:paraId="71B5159C" w14:textId="77777777" w:rsidR="00C82C27" w:rsidRPr="00236DC5" w:rsidRDefault="00C82C27" w:rsidP="00C82C27">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三、審查112年度中央政府總預算案附屬單位預算非營業部分關於考試院考選部主管「考選業務基金」收支部分。</w:t>
            </w:r>
          </w:p>
          <w:p w14:paraId="4B0AF92F" w14:textId="77777777" w:rsidR="00C82C27" w:rsidRPr="00236DC5" w:rsidRDefault="00C82C27" w:rsidP="00C82C27">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四、審查112年度中央政府總預算案附屬單位預算非營業部分關於考試院銓敘部主管「公務人員退休撫卹基金」收支部分。</w:t>
            </w:r>
          </w:p>
          <w:p w14:paraId="7F064F1F" w14:textId="77777777" w:rsidR="00C82C27" w:rsidRPr="00F55341" w:rsidRDefault="00C82C27" w:rsidP="00C82C27">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五、審查及處理111年度中央政府總預算關於考試院及所屬主管預算凍結項目共30案。</w:t>
            </w:r>
          </w:p>
        </w:tc>
        <w:tc>
          <w:tcPr>
            <w:tcW w:w="1087" w:type="pct"/>
          </w:tcPr>
          <w:p w14:paraId="30164A4E"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622D577E" w14:textId="77777777" w:rsidR="00C82C27" w:rsidRDefault="00C82C27" w:rsidP="00C82C27">
            <w:pPr>
              <w:spacing w:line="300" w:lineRule="exact"/>
              <w:jc w:val="both"/>
              <w:rPr>
                <w:rFonts w:ascii="標楷體" w:eastAsia="標楷體" w:hAnsi="標楷體"/>
                <w:color w:val="000000"/>
                <w:kern w:val="0"/>
              </w:rPr>
            </w:pPr>
          </w:p>
          <w:p w14:paraId="00826FB8" w14:textId="77777777" w:rsidR="00C82C27" w:rsidRDefault="00C82C27" w:rsidP="00C82C27">
            <w:pPr>
              <w:spacing w:line="300" w:lineRule="exact"/>
              <w:jc w:val="both"/>
              <w:rPr>
                <w:rFonts w:ascii="標楷體" w:eastAsia="標楷體" w:hAnsi="標楷體"/>
                <w:color w:val="000000"/>
                <w:kern w:val="0"/>
              </w:rPr>
            </w:pPr>
            <w:r w:rsidRPr="00236DC5">
              <w:rPr>
                <w:rFonts w:ascii="標楷體" w:eastAsia="標楷體" w:hAnsi="標楷體" w:hint="eastAsia"/>
                <w:color w:val="000000"/>
                <w:kern w:val="0"/>
              </w:rPr>
              <w:t>考試院秘書長及考試院所屬機關首長、行政院主計總處</w:t>
            </w:r>
          </w:p>
        </w:tc>
        <w:tc>
          <w:tcPr>
            <w:tcW w:w="1143" w:type="pct"/>
          </w:tcPr>
          <w:p w14:paraId="27048B62"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第一案</w:t>
            </w:r>
            <w:r>
              <w:rPr>
                <w:rFonts w:ascii="標楷體" w:eastAsia="標楷體" w:hAnsi="標楷體" w:hint="eastAsia"/>
                <w:color w:val="000000"/>
                <w:kern w:val="0"/>
              </w:rPr>
              <w:t>至第五案</w:t>
            </w:r>
            <w:r>
              <w:rPr>
                <w:rFonts w:ascii="標楷體" w:eastAsia="標楷體" w:hAnsi="標楷體"/>
                <w:color w:val="000000"/>
                <w:kern w:val="0"/>
              </w:rPr>
              <w:t>報告及詢答完畢；第二案至第四案</w:t>
            </w:r>
            <w:r>
              <w:rPr>
                <w:rFonts w:ascii="標楷體" w:eastAsia="標楷體" w:hAnsi="標楷體" w:hint="eastAsia"/>
                <w:color w:val="000000"/>
                <w:kern w:val="0"/>
              </w:rPr>
              <w:t>均</w:t>
            </w:r>
            <w:r>
              <w:rPr>
                <w:rFonts w:ascii="標楷體" w:eastAsia="標楷體" w:hAnsi="標楷體"/>
                <w:color w:val="000000"/>
                <w:kern w:val="0"/>
              </w:rPr>
              <w:t>另定期繼續審查；第五案</w:t>
            </w:r>
            <w:r>
              <w:rPr>
                <w:rFonts w:ascii="標楷體" w:eastAsia="標楷體" w:hAnsi="標楷體" w:hint="eastAsia"/>
                <w:color w:val="000000"/>
                <w:kern w:val="0"/>
              </w:rPr>
              <w:t>均</w:t>
            </w:r>
            <w:r>
              <w:rPr>
                <w:rFonts w:ascii="標楷體" w:eastAsia="標楷體" w:hAnsi="標楷體"/>
                <w:color w:val="000000"/>
                <w:kern w:val="0"/>
              </w:rPr>
              <w:t>另定期繼續審查、處理。</w:t>
            </w:r>
          </w:p>
          <w:p w14:paraId="74640884" w14:textId="6E38C22D" w:rsidR="00C82C27" w:rsidRPr="00A77DAE"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96</w:t>
            </w:r>
            <w:r w:rsidRPr="00BA2116">
              <w:rPr>
                <w:rFonts w:ascii="標楷體" w:eastAsia="標楷體" w:hAnsi="標楷體" w:hint="eastAsia"/>
                <w:color w:val="000000" w:themeColor="text1"/>
                <w:kern w:val="0"/>
              </w:rPr>
              <w:t>期50</w:t>
            </w:r>
            <w:r w:rsidR="00DB266C">
              <w:rPr>
                <w:rFonts w:ascii="標楷體" w:eastAsia="標楷體" w:hAnsi="標楷體"/>
                <w:color w:val="000000" w:themeColor="text1"/>
                <w:kern w:val="0"/>
              </w:rPr>
              <w:t>6</w:t>
            </w:r>
            <w:r>
              <w:rPr>
                <w:rFonts w:ascii="標楷體" w:eastAsia="標楷體" w:hAnsi="標楷體"/>
                <w:color w:val="000000" w:themeColor="text1"/>
                <w:kern w:val="0"/>
              </w:rPr>
              <w:t>7</w:t>
            </w:r>
            <w:r w:rsidRPr="00BA2116">
              <w:rPr>
                <w:rFonts w:ascii="標楷體" w:eastAsia="標楷體" w:hAnsi="標楷體" w:hint="eastAsia"/>
                <w:color w:val="000000" w:themeColor="text1"/>
                <w:kern w:val="0"/>
              </w:rPr>
              <w:t>）</w:t>
            </w:r>
          </w:p>
        </w:tc>
      </w:tr>
      <w:tr w:rsidR="00C82C27" w:rsidRPr="00995BA1" w14:paraId="63CFD0DC" w14:textId="77777777" w:rsidTr="00E55097">
        <w:tc>
          <w:tcPr>
            <w:tcW w:w="701" w:type="pct"/>
          </w:tcPr>
          <w:p w14:paraId="03E940C1"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9</w:t>
            </w:r>
            <w:r w:rsidRPr="0093787F">
              <w:rPr>
                <w:rFonts w:ascii="標楷體" w:eastAsia="標楷體" w:hAnsi="標楷體" w:hint="eastAsia"/>
                <w:color w:val="000000"/>
                <w:kern w:val="0"/>
              </w:rPr>
              <w:t>次全體委員會議</w:t>
            </w:r>
          </w:p>
        </w:tc>
        <w:tc>
          <w:tcPr>
            <w:tcW w:w="822" w:type="pct"/>
          </w:tcPr>
          <w:p w14:paraId="2665CC09"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24日（星期一</w:t>
            </w:r>
            <w:r w:rsidRPr="0093787F">
              <w:rPr>
                <w:rFonts w:ascii="標楷體" w:eastAsia="標楷體" w:hAnsi="標楷體" w:hint="eastAsia"/>
                <w:color w:val="000000"/>
                <w:spacing w:val="-20"/>
                <w:kern w:val="0"/>
              </w:rPr>
              <w:t>）</w:t>
            </w:r>
          </w:p>
        </w:tc>
        <w:tc>
          <w:tcPr>
            <w:tcW w:w="1247" w:type="pct"/>
          </w:tcPr>
          <w:p w14:paraId="2A513748" w14:textId="77777777" w:rsidR="00C82C27" w:rsidRPr="00236DC5" w:rsidRDefault="00C82C27" w:rsidP="00C82C27">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邀請國家安全會議、數位發展部、國家通訊傳播委員會、國家安全局、國防部參謀本部通信電子資訊參謀次長室、資通電軍指揮部、法務部調查局、內政部警政署率所屬單位主管列席就「面對歐美各國陸續頒布禁止使用或限制採購大陸資通訊及科技產品，此類產品對我國國家安全危害為何？國安會及相關國安單位是否於年度預算中制定計畫針對各類國際情勢演變進行相關評估作業並採取因應對策」進行專題報告，並備質詢。</w:t>
            </w:r>
          </w:p>
        </w:tc>
        <w:tc>
          <w:tcPr>
            <w:tcW w:w="1087" w:type="pct"/>
          </w:tcPr>
          <w:p w14:paraId="08C29FF9" w14:textId="77777777" w:rsidR="00C82C27" w:rsidRDefault="00C82C27" w:rsidP="00C82C27">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林召集委員思銘</w:t>
            </w:r>
          </w:p>
          <w:p w14:paraId="2D7FCCA1" w14:textId="77777777" w:rsidR="00C82C27" w:rsidRDefault="00C82C27" w:rsidP="00C82C27">
            <w:pPr>
              <w:spacing w:line="300" w:lineRule="exact"/>
              <w:jc w:val="both"/>
              <w:rPr>
                <w:rFonts w:ascii="標楷體" w:eastAsia="標楷體" w:hAnsi="標楷體"/>
                <w:color w:val="000000"/>
                <w:kern w:val="0"/>
              </w:rPr>
            </w:pPr>
          </w:p>
          <w:p w14:paraId="1ADA06AB" w14:textId="77777777" w:rsidR="00C82C27" w:rsidRDefault="00C82C27" w:rsidP="00C82C27">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國家安全會議、數位發展部、國家通訊傳播委員會、國家安全局、國防部參謀本部通信電子資訊參謀次長室、資通電軍指揮部、法務部調查局、內政部警政署</w:t>
            </w:r>
          </w:p>
        </w:tc>
        <w:tc>
          <w:tcPr>
            <w:tcW w:w="1143" w:type="pct"/>
          </w:tcPr>
          <w:p w14:paraId="393EA138" w14:textId="77777777" w:rsidR="00C82C27" w:rsidRDefault="00C82C27" w:rsidP="00C82C27">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p w14:paraId="32BBA5AE"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96</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67</w:t>
            </w:r>
            <w:r w:rsidRPr="00BA2116">
              <w:rPr>
                <w:rFonts w:ascii="標楷體" w:eastAsia="標楷體" w:hAnsi="標楷體" w:hint="eastAsia"/>
                <w:color w:val="000000" w:themeColor="text1"/>
                <w:kern w:val="0"/>
              </w:rPr>
              <w:t>）</w:t>
            </w:r>
          </w:p>
        </w:tc>
      </w:tr>
      <w:tr w:rsidR="00C82C27" w:rsidRPr="00995BA1" w14:paraId="4C168416" w14:textId="77777777" w:rsidTr="00E55097">
        <w:tc>
          <w:tcPr>
            <w:tcW w:w="701" w:type="pct"/>
          </w:tcPr>
          <w:p w14:paraId="368C8128"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10</w:t>
            </w:r>
            <w:r w:rsidRPr="0093787F">
              <w:rPr>
                <w:rFonts w:ascii="標楷體" w:eastAsia="標楷體" w:hAnsi="標楷體" w:hint="eastAsia"/>
                <w:color w:val="000000"/>
                <w:kern w:val="0"/>
              </w:rPr>
              <w:t>次全體委員會</w:t>
            </w:r>
            <w:r w:rsidRPr="0093787F">
              <w:rPr>
                <w:rFonts w:ascii="標楷體" w:eastAsia="標楷體" w:hAnsi="標楷體" w:hint="eastAsia"/>
                <w:color w:val="000000"/>
                <w:kern w:val="0"/>
              </w:rPr>
              <w:lastRenderedPageBreak/>
              <w:t>議</w:t>
            </w:r>
          </w:p>
        </w:tc>
        <w:tc>
          <w:tcPr>
            <w:tcW w:w="822" w:type="pct"/>
          </w:tcPr>
          <w:p w14:paraId="4743B153"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26日（星期三</w:t>
            </w:r>
            <w:r w:rsidRPr="0093787F">
              <w:rPr>
                <w:rFonts w:ascii="標楷體" w:eastAsia="標楷體" w:hAnsi="標楷體" w:hint="eastAsia"/>
                <w:color w:val="000000"/>
                <w:spacing w:val="-20"/>
                <w:kern w:val="0"/>
              </w:rPr>
              <w:t>）</w:t>
            </w:r>
          </w:p>
        </w:tc>
        <w:tc>
          <w:tcPr>
            <w:tcW w:w="1247" w:type="pct"/>
          </w:tcPr>
          <w:p w14:paraId="0AF6962C" w14:textId="77777777" w:rsidR="00C82C27" w:rsidRPr="00AE6200" w:rsidRDefault="00C82C27" w:rsidP="00C82C27">
            <w:pPr>
              <w:spacing w:line="300" w:lineRule="exact"/>
              <w:jc w:val="both"/>
              <w:rPr>
                <w:rFonts w:ascii="標楷體" w:eastAsia="標楷體" w:hAnsi="標楷體"/>
                <w:color w:val="000000"/>
                <w:kern w:val="0"/>
              </w:rPr>
            </w:pPr>
            <w:r w:rsidRPr="00AE6200">
              <w:rPr>
                <w:rFonts w:ascii="標楷體" w:eastAsia="標楷體" w:hAnsi="標楷體" w:hint="eastAsia"/>
                <w:color w:val="000000"/>
                <w:kern w:val="0"/>
              </w:rPr>
              <w:t>一、審查考試院函請審議「專門職業及技</w:t>
            </w:r>
            <w:r w:rsidRPr="00AE6200">
              <w:rPr>
                <w:rFonts w:ascii="標楷體" w:eastAsia="標楷體" w:hAnsi="標楷體" w:hint="eastAsia"/>
                <w:color w:val="000000"/>
                <w:kern w:val="0"/>
              </w:rPr>
              <w:lastRenderedPageBreak/>
              <w:t>術人員轉任公務人員條例修正草案」案。</w:t>
            </w:r>
          </w:p>
          <w:p w14:paraId="30EBC15E" w14:textId="77777777" w:rsidR="00C82C27" w:rsidRPr="0071545A" w:rsidRDefault="00C82C27" w:rsidP="00C82C27">
            <w:pPr>
              <w:spacing w:line="300" w:lineRule="exact"/>
              <w:jc w:val="both"/>
              <w:rPr>
                <w:rFonts w:ascii="標楷體" w:eastAsia="標楷體" w:hAnsi="標楷體"/>
                <w:color w:val="000000"/>
                <w:kern w:val="0"/>
              </w:rPr>
            </w:pPr>
            <w:r w:rsidRPr="00AE6200">
              <w:rPr>
                <w:rFonts w:ascii="標楷體" w:eastAsia="標楷體" w:hAnsi="標楷體" w:hint="eastAsia"/>
                <w:color w:val="000000"/>
                <w:kern w:val="0"/>
              </w:rPr>
              <w:t>二、併案審查（一）考試院函請審議「公務人員任用法第二十二條條文修正草案」、（二）委員蔡易餘等23人擬具「公務人員任用法第二十二條條文修正草案」、（三）委員許智傑等18人擬具「公務人員任用法增訂第十八條之二條文草案」、（四）委員王定宇等19人擬具「公務人員任用法第二十八條條文修正草案」及（五）台灣民眾黨黨團擬具「公務人員任用法第二十八條條文修正草案」案。</w:t>
            </w:r>
          </w:p>
        </w:tc>
        <w:tc>
          <w:tcPr>
            <w:tcW w:w="1087" w:type="pct"/>
          </w:tcPr>
          <w:p w14:paraId="5F661381" w14:textId="77777777" w:rsidR="00C82C27" w:rsidRDefault="00C82C27" w:rsidP="00C82C27">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lastRenderedPageBreak/>
              <w:t>林召集委員思銘</w:t>
            </w:r>
          </w:p>
          <w:p w14:paraId="6A072C54" w14:textId="77777777" w:rsidR="00C82C27" w:rsidRDefault="00C82C27" w:rsidP="00C82C27">
            <w:pPr>
              <w:spacing w:line="300" w:lineRule="exact"/>
              <w:jc w:val="both"/>
              <w:rPr>
                <w:rFonts w:ascii="標楷體" w:eastAsia="標楷體" w:hAnsi="標楷體"/>
                <w:color w:val="000000"/>
                <w:kern w:val="0"/>
              </w:rPr>
            </w:pPr>
          </w:p>
          <w:p w14:paraId="303C8502" w14:textId="77777777" w:rsidR="00C82C27" w:rsidRPr="0071545A" w:rsidRDefault="00C82C27" w:rsidP="00C82C27">
            <w:pPr>
              <w:spacing w:line="300" w:lineRule="exact"/>
              <w:jc w:val="both"/>
              <w:rPr>
                <w:rFonts w:ascii="標楷體" w:eastAsia="標楷體" w:hAnsi="標楷體"/>
                <w:color w:val="000000"/>
                <w:kern w:val="0"/>
              </w:rPr>
            </w:pPr>
            <w:r w:rsidRPr="00AE6200">
              <w:rPr>
                <w:rFonts w:ascii="標楷體" w:eastAsia="標楷體" w:hAnsi="標楷體" w:hint="eastAsia"/>
                <w:color w:val="000000"/>
                <w:kern w:val="0"/>
              </w:rPr>
              <w:lastRenderedPageBreak/>
              <w:t>考試院秘書長、銓敘部部長、考選部、司法院、內政部、法務部、行政院公共工程委員會、行政院人事行政總處</w:t>
            </w:r>
          </w:p>
        </w:tc>
        <w:tc>
          <w:tcPr>
            <w:tcW w:w="1143" w:type="pct"/>
          </w:tcPr>
          <w:p w14:paraId="1CC7662F" w14:textId="77777777" w:rsidR="00C82C27" w:rsidRDefault="00C82C27" w:rsidP="00C82C27">
            <w:pPr>
              <w:spacing w:line="300" w:lineRule="exact"/>
              <w:jc w:val="both"/>
              <w:rPr>
                <w:rFonts w:ascii="標楷體" w:eastAsia="標楷體" w:hAnsi="標楷體"/>
                <w:color w:val="000000"/>
                <w:kern w:val="0"/>
              </w:rPr>
            </w:pPr>
            <w:r w:rsidRPr="000D7F3C">
              <w:rPr>
                <w:rFonts w:ascii="標楷體" w:eastAsia="標楷體" w:hAnsi="標楷體" w:hint="eastAsia"/>
                <w:color w:val="000000"/>
                <w:kern w:val="0"/>
              </w:rPr>
              <w:lastRenderedPageBreak/>
              <w:t>第一案及第二案報告及詢答完畢，</w:t>
            </w:r>
            <w:r>
              <w:rPr>
                <w:rFonts w:ascii="標楷體" w:eastAsia="標楷體" w:hAnsi="標楷體" w:hint="eastAsia"/>
                <w:color w:val="000000"/>
                <w:kern w:val="0"/>
              </w:rPr>
              <w:t>均</w:t>
            </w:r>
            <w:r w:rsidRPr="000D7F3C">
              <w:rPr>
                <w:rFonts w:ascii="標楷體" w:eastAsia="標楷體" w:hAnsi="標楷體" w:hint="eastAsia"/>
                <w:color w:val="000000"/>
                <w:kern w:val="0"/>
              </w:rPr>
              <w:lastRenderedPageBreak/>
              <w:t>另定期繼續審查。</w:t>
            </w:r>
          </w:p>
          <w:p w14:paraId="28A7E55A" w14:textId="77777777" w:rsidR="00C82C27" w:rsidRPr="00235E7E" w:rsidRDefault="00C82C27" w:rsidP="00C82C27">
            <w:pPr>
              <w:spacing w:line="300" w:lineRule="exact"/>
              <w:jc w:val="both"/>
              <w:rPr>
                <w:rFonts w:ascii="標楷體" w:eastAsia="標楷體" w:hAnsi="標楷體"/>
                <w:b/>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97</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68</w:t>
            </w:r>
            <w:r w:rsidRPr="00BA2116">
              <w:rPr>
                <w:rFonts w:ascii="標楷體" w:eastAsia="標楷體" w:hAnsi="標楷體" w:hint="eastAsia"/>
                <w:color w:val="000000" w:themeColor="text1"/>
                <w:kern w:val="0"/>
              </w:rPr>
              <w:t>）</w:t>
            </w:r>
          </w:p>
        </w:tc>
      </w:tr>
      <w:tr w:rsidR="00C82C27" w:rsidRPr="00995BA1" w14:paraId="22CD9F17" w14:textId="77777777" w:rsidTr="00E55097">
        <w:tc>
          <w:tcPr>
            <w:tcW w:w="701" w:type="pct"/>
          </w:tcPr>
          <w:p w14:paraId="16D62A65" w14:textId="77777777" w:rsidR="00C82C27" w:rsidRPr="0093787F" w:rsidRDefault="00C82C27" w:rsidP="00C82C27">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lastRenderedPageBreak/>
              <w:t>考察活動</w:t>
            </w:r>
          </w:p>
        </w:tc>
        <w:tc>
          <w:tcPr>
            <w:tcW w:w="822" w:type="pct"/>
          </w:tcPr>
          <w:p w14:paraId="31251579"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27日（星期四</w:t>
            </w:r>
            <w:r w:rsidRPr="0093787F">
              <w:rPr>
                <w:rFonts w:ascii="標楷體" w:eastAsia="標楷體" w:hAnsi="標楷體" w:hint="eastAsia"/>
                <w:color w:val="000000"/>
                <w:spacing w:val="-20"/>
                <w:kern w:val="0"/>
              </w:rPr>
              <w:t>）</w:t>
            </w:r>
          </w:p>
        </w:tc>
        <w:tc>
          <w:tcPr>
            <w:tcW w:w="1247" w:type="pct"/>
          </w:tcPr>
          <w:p w14:paraId="76B57FF2" w14:textId="77777777" w:rsidR="00C82C27" w:rsidRPr="00AE6200" w:rsidRDefault="00C82C27" w:rsidP="00C82C27">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參訪臺灣新竹地方法院及考察臺灣新竹地方檢察署業務概況，並針對112年起施行之國民法官制度，進行參訪國民法官法庭之整備狀況及相關實際模擬演練</w:t>
            </w:r>
            <w:r w:rsidRPr="00AE6200">
              <w:rPr>
                <w:rFonts w:ascii="標楷體" w:eastAsia="標楷體" w:hAnsi="標楷體" w:hint="eastAsia"/>
                <w:color w:val="000000"/>
                <w:kern w:val="0"/>
              </w:rPr>
              <w:t>。</w:t>
            </w:r>
          </w:p>
        </w:tc>
        <w:tc>
          <w:tcPr>
            <w:tcW w:w="1087" w:type="pct"/>
          </w:tcPr>
          <w:p w14:paraId="2BFA6193" w14:textId="77777777" w:rsidR="00C82C27" w:rsidRDefault="00C82C27" w:rsidP="00C82C27">
            <w:pPr>
              <w:spacing w:line="300" w:lineRule="exact"/>
              <w:jc w:val="both"/>
              <w:rPr>
                <w:rFonts w:ascii="標楷體" w:eastAsia="標楷體" w:hAnsi="標楷體"/>
                <w:color w:val="000000"/>
                <w:kern w:val="0"/>
              </w:rPr>
            </w:pPr>
            <w:r w:rsidRPr="0071545A">
              <w:rPr>
                <w:rFonts w:ascii="標楷體" w:eastAsia="標楷體" w:hAnsi="標楷體" w:hint="eastAsia"/>
                <w:color w:val="000000"/>
                <w:kern w:val="0"/>
              </w:rPr>
              <w:t>林召集委員思銘</w:t>
            </w:r>
          </w:p>
          <w:p w14:paraId="3F7E0537" w14:textId="77777777" w:rsidR="00C82C27" w:rsidRDefault="00C82C27" w:rsidP="00C82C27">
            <w:pPr>
              <w:spacing w:line="300" w:lineRule="exact"/>
              <w:jc w:val="both"/>
              <w:rPr>
                <w:rFonts w:ascii="標楷體" w:eastAsia="標楷體" w:hAnsi="標楷體"/>
                <w:color w:val="000000"/>
                <w:kern w:val="0"/>
              </w:rPr>
            </w:pPr>
          </w:p>
          <w:p w14:paraId="609AED63" w14:textId="77777777" w:rsidR="00C82C27" w:rsidRPr="0071545A" w:rsidRDefault="00C82C27" w:rsidP="00C82C27">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司法院副秘書長、法務部政務次長</w:t>
            </w:r>
            <w:r>
              <w:rPr>
                <w:rFonts w:ascii="標楷體" w:eastAsia="標楷體" w:hAnsi="標楷體" w:hint="eastAsia"/>
                <w:color w:val="000000"/>
                <w:kern w:val="0"/>
              </w:rPr>
              <w:t>、</w:t>
            </w:r>
            <w:r w:rsidRPr="00C42584">
              <w:rPr>
                <w:rFonts w:ascii="標楷體" w:eastAsia="標楷體" w:hAnsi="標楷體" w:hint="eastAsia"/>
                <w:color w:val="000000"/>
                <w:kern w:val="0"/>
              </w:rPr>
              <w:t>臺灣新竹地方法院院長</w:t>
            </w:r>
            <w:r>
              <w:rPr>
                <w:rFonts w:ascii="標楷體" w:eastAsia="標楷體" w:hAnsi="標楷體" w:hint="eastAsia"/>
                <w:color w:val="000000"/>
                <w:kern w:val="0"/>
              </w:rPr>
              <w:t>、</w:t>
            </w:r>
            <w:r w:rsidRPr="00C42584">
              <w:rPr>
                <w:rFonts w:ascii="標楷體" w:eastAsia="標楷體" w:hAnsi="標楷體" w:hint="eastAsia"/>
                <w:color w:val="000000"/>
                <w:kern w:val="0"/>
              </w:rPr>
              <w:t>臺灣新竹地方檢察署檢察長</w:t>
            </w:r>
          </w:p>
        </w:tc>
        <w:tc>
          <w:tcPr>
            <w:tcW w:w="1143" w:type="pct"/>
          </w:tcPr>
          <w:p w14:paraId="3291EA13" w14:textId="77777777" w:rsidR="00C82C27" w:rsidRPr="000D7F3C" w:rsidRDefault="00C82C27" w:rsidP="00C82C27">
            <w:pPr>
              <w:spacing w:line="300" w:lineRule="exact"/>
              <w:jc w:val="both"/>
              <w:rPr>
                <w:rFonts w:ascii="標楷體" w:eastAsia="標楷體" w:hAnsi="標楷體"/>
                <w:color w:val="000000"/>
                <w:kern w:val="0"/>
              </w:rPr>
            </w:pPr>
          </w:p>
        </w:tc>
      </w:tr>
      <w:tr w:rsidR="00C82C27" w:rsidRPr="00995BA1" w14:paraId="39186B59" w14:textId="77777777" w:rsidTr="00E55097">
        <w:tc>
          <w:tcPr>
            <w:tcW w:w="701" w:type="pct"/>
          </w:tcPr>
          <w:p w14:paraId="455CF412" w14:textId="77777777" w:rsidR="00C82C27" w:rsidRPr="0093787F" w:rsidRDefault="00C82C27" w:rsidP="00C82C27">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考察活動</w:t>
            </w:r>
          </w:p>
        </w:tc>
        <w:tc>
          <w:tcPr>
            <w:tcW w:w="822" w:type="pct"/>
          </w:tcPr>
          <w:p w14:paraId="1A0C31A8"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Pr>
                <w:rFonts w:ascii="標楷體" w:eastAsia="標楷體" w:hAnsi="標楷體"/>
                <w:color w:val="000000"/>
                <w:spacing w:val="-20"/>
                <w:kern w:val="0"/>
              </w:rPr>
              <w:t>0</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31</w:t>
            </w:r>
            <w:r>
              <w:rPr>
                <w:rFonts w:ascii="標楷體" w:eastAsia="標楷體" w:hAnsi="標楷體" w:hint="eastAsia"/>
                <w:color w:val="000000"/>
                <w:spacing w:val="-20"/>
                <w:kern w:val="0"/>
              </w:rPr>
              <w:t>日（星期一</w:t>
            </w:r>
            <w:r w:rsidRPr="0093787F">
              <w:rPr>
                <w:rFonts w:ascii="標楷體" w:eastAsia="標楷體" w:hAnsi="標楷體" w:hint="eastAsia"/>
                <w:color w:val="000000"/>
                <w:spacing w:val="-20"/>
                <w:kern w:val="0"/>
              </w:rPr>
              <w:t>）</w:t>
            </w:r>
          </w:p>
        </w:tc>
        <w:tc>
          <w:tcPr>
            <w:tcW w:w="1247" w:type="pct"/>
          </w:tcPr>
          <w:p w14:paraId="60D9A8B6" w14:textId="77777777" w:rsidR="00C82C27" w:rsidRPr="00C42584" w:rsidRDefault="00C82C27" w:rsidP="00C82C27">
            <w:pPr>
              <w:spacing w:line="300" w:lineRule="exact"/>
              <w:jc w:val="both"/>
              <w:rPr>
                <w:rFonts w:ascii="標楷體" w:eastAsia="標楷體" w:hAnsi="標楷體"/>
                <w:color w:val="000000"/>
                <w:kern w:val="0"/>
              </w:rPr>
            </w:pPr>
            <w:r w:rsidRPr="00400EAB">
              <w:rPr>
                <w:rFonts w:ascii="標楷體" w:eastAsia="標楷體" w:hAnsi="標楷體" w:hint="eastAsia"/>
                <w:color w:val="000000"/>
                <w:kern w:val="0"/>
              </w:rPr>
              <w:t>考察法務部矯正署臺北監獄及八德外役監獄，比較監獄行刑與中間性處遇之差異。</w:t>
            </w:r>
          </w:p>
        </w:tc>
        <w:tc>
          <w:tcPr>
            <w:tcW w:w="1087" w:type="pct"/>
          </w:tcPr>
          <w:p w14:paraId="192A2E2E"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023A48F2" w14:textId="77777777" w:rsidR="00C82C27" w:rsidRDefault="00C82C27" w:rsidP="00C82C27">
            <w:pPr>
              <w:spacing w:line="300" w:lineRule="exact"/>
              <w:jc w:val="both"/>
              <w:rPr>
                <w:rFonts w:ascii="標楷體" w:eastAsia="標楷體" w:hAnsi="標楷體"/>
                <w:color w:val="000000"/>
                <w:kern w:val="0"/>
              </w:rPr>
            </w:pPr>
          </w:p>
          <w:p w14:paraId="110D222A" w14:textId="77777777" w:rsidR="00C82C27" w:rsidRPr="0071545A"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法務部政務次長、法務部矯正署署長、八德外役監獄典獄長、臺北監獄典獄長</w:t>
            </w:r>
          </w:p>
        </w:tc>
        <w:tc>
          <w:tcPr>
            <w:tcW w:w="1143" w:type="pct"/>
          </w:tcPr>
          <w:p w14:paraId="3FE46C38" w14:textId="77777777" w:rsidR="00C82C27" w:rsidRPr="000D7F3C" w:rsidRDefault="00C82C27" w:rsidP="00C82C27">
            <w:pPr>
              <w:spacing w:line="300" w:lineRule="exact"/>
              <w:jc w:val="both"/>
              <w:rPr>
                <w:rFonts w:ascii="標楷體" w:eastAsia="標楷體" w:hAnsi="標楷體"/>
                <w:color w:val="000000"/>
                <w:kern w:val="0"/>
              </w:rPr>
            </w:pPr>
          </w:p>
        </w:tc>
      </w:tr>
      <w:tr w:rsidR="00C82C27" w:rsidRPr="00995BA1" w14:paraId="54220729" w14:textId="77777777" w:rsidTr="00E55097">
        <w:tc>
          <w:tcPr>
            <w:tcW w:w="701" w:type="pct"/>
          </w:tcPr>
          <w:p w14:paraId="78DB0859"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11</w:t>
            </w:r>
            <w:r w:rsidRPr="0093787F">
              <w:rPr>
                <w:rFonts w:ascii="標楷體" w:eastAsia="標楷體" w:hAnsi="標楷體" w:hint="eastAsia"/>
                <w:color w:val="000000"/>
                <w:kern w:val="0"/>
              </w:rPr>
              <w:t>次全體委員會議</w:t>
            </w:r>
          </w:p>
        </w:tc>
        <w:tc>
          <w:tcPr>
            <w:tcW w:w="822" w:type="pct"/>
          </w:tcPr>
          <w:p w14:paraId="05DC486E"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2日（星期三</w:t>
            </w:r>
            <w:r w:rsidRPr="0093787F">
              <w:rPr>
                <w:rFonts w:ascii="標楷體" w:eastAsia="標楷體" w:hAnsi="標楷體" w:hint="eastAsia"/>
                <w:color w:val="000000"/>
                <w:spacing w:val="-20"/>
                <w:kern w:val="0"/>
              </w:rPr>
              <w:t>）</w:t>
            </w:r>
          </w:p>
        </w:tc>
        <w:tc>
          <w:tcPr>
            <w:tcW w:w="1247" w:type="pct"/>
          </w:tcPr>
          <w:p w14:paraId="6ED34E71" w14:textId="77777777" w:rsidR="00C82C27" w:rsidRPr="00DB2033" w:rsidRDefault="00C82C27" w:rsidP="00C82C27">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一、繼續審查112年度中央政府總預算案關於考試院及所</w:t>
            </w:r>
            <w:r w:rsidRPr="00DB2033">
              <w:rPr>
                <w:rFonts w:ascii="標楷體" w:eastAsia="標楷體" w:hAnsi="標楷體" w:hint="eastAsia"/>
                <w:color w:val="000000"/>
                <w:kern w:val="0"/>
              </w:rPr>
              <w:lastRenderedPageBreak/>
              <w:t>屬主管收支部分。</w:t>
            </w:r>
          </w:p>
          <w:p w14:paraId="3B7544E1" w14:textId="77777777" w:rsidR="00C82C27" w:rsidRPr="00DB2033" w:rsidRDefault="00C82C27" w:rsidP="00C82C27">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二、繼續審查112年度中央政府總預算案附屬單位預算非營業部分關於考試院考選部主管「考選業務基金」收支部分。</w:t>
            </w:r>
          </w:p>
          <w:p w14:paraId="1CE04116" w14:textId="77777777" w:rsidR="00C82C27" w:rsidRPr="00DB2033" w:rsidRDefault="00C82C27" w:rsidP="00C82C27">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三、繼續審查112年度中央政府總預算案附屬單位預算非營業部分關於考試院銓敘部主管「公務人員退休撫卹基金」收支部分。</w:t>
            </w:r>
          </w:p>
          <w:p w14:paraId="622D9832" w14:textId="77777777" w:rsidR="00C82C27" w:rsidRPr="00400EAB" w:rsidRDefault="00C82C27" w:rsidP="00C82C27">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四、繼續審查及處理111年度中央政府總預算關於考試院及所屬主管預算凍結項目共30案。</w:t>
            </w:r>
          </w:p>
        </w:tc>
        <w:tc>
          <w:tcPr>
            <w:tcW w:w="1087" w:type="pct"/>
          </w:tcPr>
          <w:p w14:paraId="0A34A0A4"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陳召集</w:t>
            </w:r>
            <w:r w:rsidRPr="0093787F">
              <w:rPr>
                <w:rFonts w:ascii="標楷體" w:eastAsia="標楷體" w:hAnsi="標楷體" w:hint="eastAsia"/>
                <w:color w:val="000000"/>
                <w:kern w:val="0"/>
              </w:rPr>
              <w:t>委員</w:t>
            </w:r>
            <w:r>
              <w:rPr>
                <w:rFonts w:ascii="標楷體" w:eastAsia="標楷體" w:hAnsi="標楷體" w:hint="eastAsia"/>
                <w:color w:val="000000"/>
                <w:kern w:val="0"/>
              </w:rPr>
              <w:t>歐珀</w:t>
            </w:r>
          </w:p>
          <w:p w14:paraId="20036B54" w14:textId="77777777" w:rsidR="00C82C27" w:rsidRDefault="00C82C27" w:rsidP="00C82C27">
            <w:pPr>
              <w:spacing w:line="300" w:lineRule="exact"/>
              <w:jc w:val="both"/>
              <w:rPr>
                <w:rFonts w:ascii="標楷體" w:eastAsia="標楷體" w:hAnsi="標楷體"/>
                <w:color w:val="000000"/>
                <w:kern w:val="0"/>
              </w:rPr>
            </w:pPr>
          </w:p>
          <w:p w14:paraId="3E392E63" w14:textId="77777777" w:rsidR="00C82C27" w:rsidRDefault="00C82C27" w:rsidP="00C82C27">
            <w:pPr>
              <w:spacing w:line="300" w:lineRule="exact"/>
              <w:jc w:val="both"/>
              <w:rPr>
                <w:rFonts w:ascii="標楷體" w:eastAsia="標楷體" w:hAnsi="標楷體"/>
                <w:color w:val="000000"/>
                <w:kern w:val="0"/>
              </w:rPr>
            </w:pPr>
            <w:r w:rsidRPr="00DB2033">
              <w:rPr>
                <w:rFonts w:ascii="標楷體" w:eastAsia="標楷體" w:hAnsi="標楷體" w:hint="eastAsia"/>
                <w:color w:val="000000"/>
                <w:kern w:val="0"/>
              </w:rPr>
              <w:t>考試院秘書長及</w:t>
            </w:r>
            <w:r w:rsidRPr="00DB2033">
              <w:rPr>
                <w:rFonts w:ascii="標楷體" w:eastAsia="標楷體" w:hAnsi="標楷體" w:hint="eastAsia"/>
                <w:color w:val="000000"/>
                <w:kern w:val="0"/>
              </w:rPr>
              <w:lastRenderedPageBreak/>
              <w:t>考試院所屬機關首長、行政院主計總處</w:t>
            </w:r>
          </w:p>
        </w:tc>
        <w:tc>
          <w:tcPr>
            <w:tcW w:w="1143" w:type="pct"/>
          </w:tcPr>
          <w:p w14:paraId="32B560A3" w14:textId="77777777" w:rsidR="00C82C27" w:rsidRDefault="00C82C27" w:rsidP="00C82C27">
            <w:pPr>
              <w:spacing w:line="300" w:lineRule="exact"/>
              <w:jc w:val="both"/>
              <w:rPr>
                <w:rFonts w:ascii="標楷體" w:eastAsia="標楷體" w:hAnsi="標楷體"/>
                <w:color w:val="000000"/>
                <w:kern w:val="0"/>
              </w:rPr>
            </w:pPr>
            <w:r w:rsidRPr="00265C83">
              <w:rPr>
                <w:rFonts w:ascii="標楷體" w:eastAsia="標楷體" w:hAnsi="標楷體" w:hint="eastAsia"/>
                <w:color w:val="000000"/>
                <w:kern w:val="0"/>
              </w:rPr>
              <w:lastRenderedPageBreak/>
              <w:t>第一案至第三案審查完竣，均須交由黨團協商；第四案</w:t>
            </w:r>
            <w:r w:rsidRPr="00265C83">
              <w:rPr>
                <w:rFonts w:ascii="標楷體" w:eastAsia="標楷體" w:hAnsi="標楷體" w:hint="eastAsia"/>
                <w:color w:val="000000"/>
                <w:kern w:val="0"/>
              </w:rPr>
              <w:lastRenderedPageBreak/>
              <w:t>中列報告事項第二案至第十八案，均准予備查，提報院會；第十九案至第二十七案，均另定期繼續處理；列討論事項第四案至第七案，均准予動支，提報院會。</w:t>
            </w:r>
          </w:p>
          <w:p w14:paraId="73490A6E" w14:textId="57363532" w:rsidR="00C82C27" w:rsidRPr="000D7F3C" w:rsidRDefault="00C82C27" w:rsidP="00C41AD0">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sidR="00C41AD0">
              <w:rPr>
                <w:rFonts w:ascii="標楷體" w:eastAsia="標楷體" w:hAnsi="標楷體" w:hint="eastAsia"/>
                <w:color w:val="000000" w:themeColor="text1"/>
                <w:kern w:val="0"/>
              </w:rPr>
              <w:t>100</w:t>
            </w:r>
            <w:r w:rsidRPr="00BA2116">
              <w:rPr>
                <w:rFonts w:ascii="標楷體" w:eastAsia="標楷體" w:hAnsi="標楷體" w:hint="eastAsia"/>
                <w:color w:val="000000" w:themeColor="text1"/>
                <w:kern w:val="0"/>
              </w:rPr>
              <w:t>期50</w:t>
            </w:r>
            <w:r w:rsidR="00363B1E">
              <w:rPr>
                <w:rFonts w:ascii="標楷體" w:eastAsia="標楷體" w:hAnsi="標楷體"/>
                <w:color w:val="000000" w:themeColor="text1"/>
                <w:kern w:val="0"/>
              </w:rPr>
              <w:t>71</w:t>
            </w:r>
            <w:r w:rsidRPr="00BA2116">
              <w:rPr>
                <w:rFonts w:ascii="標楷體" w:eastAsia="標楷體" w:hAnsi="標楷體" w:hint="eastAsia"/>
                <w:color w:val="000000" w:themeColor="text1"/>
                <w:kern w:val="0"/>
              </w:rPr>
              <w:t>）</w:t>
            </w:r>
          </w:p>
        </w:tc>
      </w:tr>
      <w:tr w:rsidR="00C82C27" w:rsidRPr="00995BA1" w14:paraId="3A969557" w14:textId="77777777" w:rsidTr="00E55097">
        <w:tc>
          <w:tcPr>
            <w:tcW w:w="701" w:type="pct"/>
          </w:tcPr>
          <w:p w14:paraId="38798AA2" w14:textId="77777777" w:rsidR="00C82C27" w:rsidRPr="0093787F" w:rsidRDefault="00C82C27" w:rsidP="00C82C27">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lastRenderedPageBreak/>
              <w:t>公聽會</w:t>
            </w:r>
          </w:p>
        </w:tc>
        <w:tc>
          <w:tcPr>
            <w:tcW w:w="822" w:type="pct"/>
          </w:tcPr>
          <w:p w14:paraId="29C8416B"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6573F8">
              <w:rPr>
                <w:rFonts w:ascii="標楷體" w:eastAsia="標楷體" w:hAnsi="標楷體" w:hint="eastAsia"/>
                <w:color w:val="000000"/>
                <w:spacing w:val="-20"/>
                <w:kern w:val="0"/>
              </w:rPr>
              <w:t>月</w:t>
            </w:r>
            <w:r>
              <w:rPr>
                <w:rFonts w:ascii="標楷體" w:eastAsia="標楷體" w:hAnsi="標楷體" w:hint="eastAsia"/>
                <w:color w:val="000000"/>
                <w:spacing w:val="-20"/>
                <w:kern w:val="0"/>
              </w:rPr>
              <w:t>3日（星期四</w:t>
            </w:r>
            <w:r w:rsidRPr="006573F8">
              <w:rPr>
                <w:rFonts w:ascii="標楷體" w:eastAsia="標楷體" w:hAnsi="標楷體" w:hint="eastAsia"/>
                <w:color w:val="000000"/>
                <w:spacing w:val="-20"/>
                <w:kern w:val="0"/>
              </w:rPr>
              <w:t>）</w:t>
            </w:r>
          </w:p>
        </w:tc>
        <w:tc>
          <w:tcPr>
            <w:tcW w:w="1247" w:type="pct"/>
          </w:tcPr>
          <w:p w14:paraId="0282742D" w14:textId="77777777" w:rsidR="00C82C27" w:rsidRPr="00177073" w:rsidRDefault="00C82C27" w:rsidP="00C82C27">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w:t>
            </w:r>
            <w:r w:rsidRPr="00025A1D">
              <w:rPr>
                <w:rFonts w:ascii="標楷體" w:eastAsia="標楷體" w:hAnsi="標楷體" w:hint="eastAsia"/>
                <w:color w:val="000000"/>
                <w:kern w:val="0"/>
              </w:rPr>
              <w:t>憲法訴訟法部分條文修正草案</w:t>
            </w:r>
            <w:r w:rsidRPr="006573F8">
              <w:rPr>
                <w:rFonts w:ascii="標楷體" w:eastAsia="標楷體" w:hAnsi="標楷體" w:hint="eastAsia"/>
                <w:color w:val="000000"/>
                <w:kern w:val="0"/>
              </w:rPr>
              <w:t>」公聽會</w:t>
            </w:r>
            <w:r>
              <w:rPr>
                <w:rFonts w:ascii="標楷體" w:eastAsia="標楷體" w:hAnsi="標楷體" w:hint="eastAsia"/>
                <w:color w:val="000000"/>
                <w:kern w:val="0"/>
              </w:rPr>
              <w:t>。</w:t>
            </w:r>
          </w:p>
        </w:tc>
        <w:tc>
          <w:tcPr>
            <w:tcW w:w="1087" w:type="pct"/>
          </w:tcPr>
          <w:p w14:paraId="61AF8EB4" w14:textId="77777777" w:rsidR="00C82C27" w:rsidRDefault="00C82C27" w:rsidP="00C82C27">
            <w:pPr>
              <w:spacing w:line="300" w:lineRule="exact"/>
              <w:jc w:val="both"/>
              <w:rPr>
                <w:rFonts w:ascii="標楷體" w:eastAsia="標楷體" w:hAnsi="標楷體"/>
                <w:color w:val="000000"/>
                <w:kern w:val="0"/>
              </w:rPr>
            </w:pPr>
            <w:r w:rsidRPr="00025A1D">
              <w:rPr>
                <w:rFonts w:ascii="標楷體" w:eastAsia="標楷體" w:hAnsi="標楷體" w:hint="eastAsia"/>
                <w:color w:val="000000"/>
                <w:kern w:val="0"/>
              </w:rPr>
              <w:t>陳召集委員歐珀</w:t>
            </w:r>
          </w:p>
          <w:p w14:paraId="27027D9D" w14:textId="77777777" w:rsidR="00C82C27" w:rsidRDefault="00C82C27" w:rsidP="00C82C27">
            <w:pPr>
              <w:spacing w:line="300" w:lineRule="exact"/>
              <w:jc w:val="both"/>
              <w:rPr>
                <w:rFonts w:ascii="標楷體" w:eastAsia="標楷體" w:hAnsi="標楷體"/>
                <w:color w:val="000000"/>
                <w:kern w:val="0"/>
              </w:rPr>
            </w:pPr>
          </w:p>
          <w:p w14:paraId="2599C1EF" w14:textId="77777777" w:rsidR="00C82C27" w:rsidRDefault="00C82C27" w:rsidP="00C82C27">
            <w:pPr>
              <w:spacing w:line="300" w:lineRule="exact"/>
              <w:jc w:val="both"/>
              <w:rPr>
                <w:rFonts w:ascii="標楷體" w:eastAsia="標楷體" w:hAnsi="標楷體"/>
                <w:color w:val="000000"/>
                <w:kern w:val="0"/>
              </w:rPr>
            </w:pPr>
            <w:r w:rsidRPr="00025A1D">
              <w:rPr>
                <w:rFonts w:ascii="標楷體" w:eastAsia="標楷體" w:hAnsi="標楷體" w:hint="eastAsia"/>
                <w:color w:val="000000"/>
                <w:kern w:val="0"/>
              </w:rPr>
              <w:t>司法院秘書長、最高檢察署檢察總長、立法院、法務部、原住民族委員會</w:t>
            </w:r>
          </w:p>
        </w:tc>
        <w:tc>
          <w:tcPr>
            <w:tcW w:w="1143" w:type="pct"/>
          </w:tcPr>
          <w:p w14:paraId="16B1B5C2" w14:textId="77777777" w:rsidR="00C82C27" w:rsidRPr="000D7F3C"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100</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71</w:t>
            </w:r>
            <w:r w:rsidRPr="00BA2116">
              <w:rPr>
                <w:rFonts w:ascii="標楷體" w:eastAsia="標楷體" w:hAnsi="標楷體" w:hint="eastAsia"/>
                <w:color w:val="000000" w:themeColor="text1"/>
                <w:kern w:val="0"/>
              </w:rPr>
              <w:t>）</w:t>
            </w:r>
          </w:p>
        </w:tc>
      </w:tr>
      <w:tr w:rsidR="00C82C27" w:rsidRPr="00995BA1" w14:paraId="5CEC976C" w14:textId="77777777" w:rsidTr="00E55097">
        <w:tc>
          <w:tcPr>
            <w:tcW w:w="701" w:type="pct"/>
          </w:tcPr>
          <w:p w14:paraId="3DEBF77B"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w:t>
            </w:r>
            <w:r>
              <w:rPr>
                <w:rFonts w:ascii="標楷體" w:eastAsia="標楷體" w:hAnsi="標楷體"/>
                <w:color w:val="000000"/>
                <w:kern w:val="0"/>
              </w:rPr>
              <w:t>2</w:t>
            </w:r>
            <w:r w:rsidRPr="0093787F">
              <w:rPr>
                <w:rFonts w:ascii="標楷體" w:eastAsia="標楷體" w:hAnsi="標楷體" w:hint="eastAsia"/>
                <w:color w:val="000000"/>
                <w:kern w:val="0"/>
              </w:rPr>
              <w:t>次全體委員會議</w:t>
            </w:r>
          </w:p>
        </w:tc>
        <w:tc>
          <w:tcPr>
            <w:tcW w:w="822" w:type="pct"/>
          </w:tcPr>
          <w:p w14:paraId="20821176"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7日（星期一</w:t>
            </w:r>
            <w:r w:rsidRPr="0093787F">
              <w:rPr>
                <w:rFonts w:ascii="標楷體" w:eastAsia="標楷體" w:hAnsi="標楷體" w:hint="eastAsia"/>
                <w:color w:val="000000"/>
                <w:spacing w:val="-20"/>
                <w:kern w:val="0"/>
              </w:rPr>
              <w:t>）</w:t>
            </w:r>
          </w:p>
        </w:tc>
        <w:tc>
          <w:tcPr>
            <w:tcW w:w="1247" w:type="pct"/>
          </w:tcPr>
          <w:p w14:paraId="38E4A54C" w14:textId="77777777" w:rsidR="00C82C27" w:rsidRPr="00703B99" w:rsidRDefault="00C82C27" w:rsidP="00C82C27">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一、邀請監察院秘書長列席說明立法計畫，並備質詢。</w:t>
            </w:r>
          </w:p>
          <w:p w14:paraId="36A62EC0" w14:textId="77777777" w:rsidR="00C82C27" w:rsidRPr="00703B99" w:rsidRDefault="00C82C27" w:rsidP="00C82C27">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二、審查112年度中央政府總預算案關於監察院主管（不含審計部及所屬）收支部分。</w:t>
            </w:r>
          </w:p>
          <w:p w14:paraId="205C42EF" w14:textId="77777777" w:rsidR="00C82C27" w:rsidRPr="006573F8" w:rsidRDefault="00C82C27" w:rsidP="00C82C27">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三、審查111年度中央政府總預算關於監察院主管預算凍結項目8案。</w:t>
            </w:r>
          </w:p>
        </w:tc>
        <w:tc>
          <w:tcPr>
            <w:tcW w:w="1087" w:type="pct"/>
          </w:tcPr>
          <w:p w14:paraId="0E8093BC" w14:textId="77777777" w:rsidR="00C82C27" w:rsidRDefault="00C82C27" w:rsidP="00C82C27">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林召集委員思銘</w:t>
            </w:r>
          </w:p>
          <w:p w14:paraId="75B03CA8" w14:textId="77777777" w:rsidR="00C82C27" w:rsidRDefault="00C82C27" w:rsidP="00C82C27">
            <w:pPr>
              <w:spacing w:line="300" w:lineRule="exact"/>
              <w:jc w:val="both"/>
              <w:rPr>
                <w:rFonts w:ascii="標楷體" w:eastAsia="標楷體" w:hAnsi="標楷體"/>
                <w:color w:val="000000"/>
                <w:kern w:val="0"/>
              </w:rPr>
            </w:pPr>
          </w:p>
          <w:p w14:paraId="0513DD10" w14:textId="77777777" w:rsidR="00C82C27" w:rsidRPr="00025A1D" w:rsidRDefault="00C82C27" w:rsidP="00C82C27">
            <w:pPr>
              <w:spacing w:line="300" w:lineRule="exact"/>
              <w:jc w:val="both"/>
              <w:rPr>
                <w:rFonts w:ascii="標楷體" w:eastAsia="標楷體" w:hAnsi="標楷體"/>
                <w:color w:val="000000"/>
                <w:kern w:val="0"/>
              </w:rPr>
            </w:pPr>
            <w:r w:rsidRPr="00703B99">
              <w:rPr>
                <w:rFonts w:ascii="標楷體" w:eastAsia="標楷體" w:hAnsi="標楷體" w:hint="eastAsia"/>
                <w:color w:val="000000"/>
                <w:kern w:val="0"/>
              </w:rPr>
              <w:t>監察院秘書長、行政院主計總處</w:t>
            </w:r>
          </w:p>
        </w:tc>
        <w:tc>
          <w:tcPr>
            <w:tcW w:w="1143" w:type="pct"/>
          </w:tcPr>
          <w:p w14:paraId="6614752B" w14:textId="77777777" w:rsidR="00C82C27" w:rsidRDefault="00C82C27" w:rsidP="00C82C27">
            <w:pPr>
              <w:spacing w:line="300" w:lineRule="exact"/>
              <w:jc w:val="both"/>
              <w:rPr>
                <w:rFonts w:ascii="標楷體" w:eastAsia="標楷體" w:hAnsi="標楷體"/>
                <w:color w:val="000000"/>
                <w:kern w:val="0"/>
              </w:rPr>
            </w:pPr>
            <w:r w:rsidRPr="00EE6B0B">
              <w:rPr>
                <w:rFonts w:ascii="標楷體" w:eastAsia="標楷體" w:hAnsi="標楷體" w:hint="eastAsia"/>
                <w:color w:val="000000"/>
                <w:kern w:val="0"/>
              </w:rPr>
              <w:t>第一案報告及詢答完畢；</w:t>
            </w:r>
            <w:r>
              <w:rPr>
                <w:rFonts w:ascii="標楷體" w:eastAsia="標楷體" w:hAnsi="標楷體" w:hint="eastAsia"/>
                <w:color w:val="000000"/>
                <w:kern w:val="0"/>
              </w:rPr>
              <w:t>第二案及第三案報告及詢答完畢，均另定期繼續審查</w:t>
            </w:r>
            <w:r w:rsidRPr="00562F17">
              <w:rPr>
                <w:rFonts w:ascii="標楷體" w:eastAsia="標楷體" w:hAnsi="標楷體" w:hint="eastAsia"/>
                <w:color w:val="000000"/>
                <w:kern w:val="0"/>
              </w:rPr>
              <w:t>。</w:t>
            </w:r>
          </w:p>
          <w:p w14:paraId="39DFE1F7" w14:textId="77777777" w:rsidR="00C82C27" w:rsidRPr="000D7F3C"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103</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74</w:t>
            </w:r>
            <w:r w:rsidRPr="00BA2116">
              <w:rPr>
                <w:rFonts w:ascii="標楷體" w:eastAsia="標楷體" w:hAnsi="標楷體" w:hint="eastAsia"/>
                <w:color w:val="000000" w:themeColor="text1"/>
                <w:kern w:val="0"/>
              </w:rPr>
              <w:t>）</w:t>
            </w:r>
          </w:p>
        </w:tc>
      </w:tr>
      <w:tr w:rsidR="00C82C27" w:rsidRPr="00995BA1" w14:paraId="363A9206" w14:textId="77777777" w:rsidTr="00E55097">
        <w:tc>
          <w:tcPr>
            <w:tcW w:w="701" w:type="pct"/>
          </w:tcPr>
          <w:p w14:paraId="7B79EA24"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13</w:t>
            </w:r>
            <w:r w:rsidRPr="0093787F">
              <w:rPr>
                <w:rFonts w:ascii="標楷體" w:eastAsia="標楷體" w:hAnsi="標楷體" w:hint="eastAsia"/>
                <w:color w:val="000000"/>
                <w:kern w:val="0"/>
              </w:rPr>
              <w:t>次全體委員會議</w:t>
            </w:r>
          </w:p>
        </w:tc>
        <w:tc>
          <w:tcPr>
            <w:tcW w:w="822" w:type="pct"/>
          </w:tcPr>
          <w:p w14:paraId="0F18541A"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9日（星期三</w:t>
            </w:r>
            <w:r w:rsidRPr="0093787F">
              <w:rPr>
                <w:rFonts w:ascii="標楷體" w:eastAsia="標楷體" w:hAnsi="標楷體" w:hint="eastAsia"/>
                <w:color w:val="000000"/>
                <w:spacing w:val="-20"/>
                <w:kern w:val="0"/>
              </w:rPr>
              <w:t>）</w:t>
            </w:r>
          </w:p>
        </w:tc>
        <w:tc>
          <w:tcPr>
            <w:tcW w:w="1247" w:type="pct"/>
          </w:tcPr>
          <w:p w14:paraId="335F2803" w14:textId="77777777" w:rsidR="00C82C27" w:rsidRPr="00703B99" w:rsidRDefault="00C82C27" w:rsidP="00C82C27">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t>邀請司法院秘書長、法務部部長、法務部調查局局長、法務部廉政署署長、內</w:t>
            </w:r>
            <w:r w:rsidRPr="00C45D1D">
              <w:rPr>
                <w:rFonts w:ascii="標楷體" w:eastAsia="標楷體" w:hAnsi="標楷體" w:hint="eastAsia"/>
                <w:color w:val="000000"/>
                <w:kern w:val="0"/>
              </w:rPr>
              <w:lastRenderedPageBreak/>
              <w:t>政部警政署署長列席就「2022年全國地方公職人員選舉賄選查察及防制成效，如何落實行政中立、秉持勿枉勿縱查緝不法，改善日漸敗壞選風」進行專題報告，並備質詢。</w:t>
            </w:r>
          </w:p>
        </w:tc>
        <w:tc>
          <w:tcPr>
            <w:tcW w:w="1087" w:type="pct"/>
          </w:tcPr>
          <w:p w14:paraId="648EC844" w14:textId="77777777" w:rsidR="00C82C27" w:rsidRDefault="00C82C27" w:rsidP="00C82C27">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lastRenderedPageBreak/>
              <w:t>陳召集委員歐珀</w:t>
            </w:r>
          </w:p>
          <w:p w14:paraId="54A5B5FD" w14:textId="77777777" w:rsidR="00C82C27" w:rsidRDefault="00C82C27" w:rsidP="00C82C27">
            <w:pPr>
              <w:spacing w:line="300" w:lineRule="exact"/>
              <w:jc w:val="both"/>
              <w:rPr>
                <w:rFonts w:ascii="標楷體" w:eastAsia="標楷體" w:hAnsi="標楷體"/>
                <w:color w:val="000000"/>
                <w:kern w:val="0"/>
              </w:rPr>
            </w:pPr>
          </w:p>
          <w:p w14:paraId="74438A37" w14:textId="77777777" w:rsidR="00C82C27" w:rsidRPr="00703B99" w:rsidRDefault="00C82C27" w:rsidP="00C82C27">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t>司法院秘書長、法務部部長、法務部</w:t>
            </w:r>
            <w:r w:rsidRPr="00C45D1D">
              <w:rPr>
                <w:rFonts w:ascii="標楷體" w:eastAsia="標楷體" w:hAnsi="標楷體" w:hint="eastAsia"/>
                <w:color w:val="000000"/>
                <w:kern w:val="0"/>
              </w:rPr>
              <w:lastRenderedPageBreak/>
              <w:t>調查局局長、法務部廉政署署長、內政部警政署署長</w:t>
            </w:r>
          </w:p>
        </w:tc>
        <w:tc>
          <w:tcPr>
            <w:tcW w:w="1143" w:type="pct"/>
          </w:tcPr>
          <w:p w14:paraId="5E1A61FB" w14:textId="77777777" w:rsidR="00C82C27" w:rsidRDefault="00C82C27" w:rsidP="00C82C27">
            <w:pPr>
              <w:spacing w:line="300" w:lineRule="exact"/>
              <w:jc w:val="both"/>
              <w:rPr>
                <w:rFonts w:ascii="標楷體" w:eastAsia="標楷體" w:hAnsi="標楷體"/>
                <w:color w:val="000000"/>
                <w:kern w:val="0"/>
              </w:rPr>
            </w:pPr>
            <w:r w:rsidRPr="00C45D1D">
              <w:rPr>
                <w:rFonts w:ascii="標楷體" w:eastAsia="標楷體" w:hAnsi="標楷體" w:hint="eastAsia"/>
                <w:color w:val="000000"/>
                <w:kern w:val="0"/>
              </w:rPr>
              <w:lastRenderedPageBreak/>
              <w:t>報告及詢答完畢。</w:t>
            </w:r>
          </w:p>
          <w:p w14:paraId="352DB9B8" w14:textId="77777777" w:rsidR="00C82C27" w:rsidRPr="00EE6B0B"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104</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75</w:t>
            </w:r>
            <w:r w:rsidRPr="00BA2116">
              <w:rPr>
                <w:rFonts w:ascii="標楷體" w:eastAsia="標楷體" w:hAnsi="標楷體" w:hint="eastAsia"/>
                <w:color w:val="000000" w:themeColor="text1"/>
                <w:kern w:val="0"/>
              </w:rPr>
              <w:t>）</w:t>
            </w:r>
          </w:p>
        </w:tc>
      </w:tr>
      <w:tr w:rsidR="00C82C27" w:rsidRPr="00995BA1" w14:paraId="2F94A190" w14:textId="77777777" w:rsidTr="00E55097">
        <w:tc>
          <w:tcPr>
            <w:tcW w:w="701" w:type="pct"/>
          </w:tcPr>
          <w:p w14:paraId="0000C348"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14</w:t>
            </w:r>
            <w:r w:rsidRPr="0093787F">
              <w:rPr>
                <w:rFonts w:ascii="標楷體" w:eastAsia="標楷體" w:hAnsi="標楷體" w:hint="eastAsia"/>
                <w:color w:val="000000"/>
                <w:kern w:val="0"/>
              </w:rPr>
              <w:t>次全體委員會議</w:t>
            </w:r>
          </w:p>
        </w:tc>
        <w:tc>
          <w:tcPr>
            <w:tcW w:w="822" w:type="pct"/>
          </w:tcPr>
          <w:p w14:paraId="38503F21"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10日（星期四</w:t>
            </w:r>
            <w:r w:rsidRPr="0093787F">
              <w:rPr>
                <w:rFonts w:ascii="標楷體" w:eastAsia="標楷體" w:hAnsi="標楷體" w:hint="eastAsia"/>
                <w:color w:val="000000"/>
                <w:spacing w:val="-20"/>
                <w:kern w:val="0"/>
              </w:rPr>
              <w:t>）</w:t>
            </w:r>
          </w:p>
        </w:tc>
        <w:tc>
          <w:tcPr>
            <w:tcW w:w="1247" w:type="pct"/>
          </w:tcPr>
          <w:p w14:paraId="7992A1A3" w14:textId="77777777" w:rsidR="00C82C27" w:rsidRPr="006D2AC5" w:rsidRDefault="00C82C27" w:rsidP="00C82C27">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一、邀請法務部部長率所屬單位主管列席報告業務概況及立法計畫，並備質詢。</w:t>
            </w:r>
          </w:p>
          <w:p w14:paraId="094FF13D" w14:textId="77777777" w:rsidR="00C82C27" w:rsidRPr="006D2AC5" w:rsidRDefault="00C82C27" w:rsidP="00C82C27">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二、審查112年度中央政府總預算案關於法務部及所屬主管收支部分。</w:t>
            </w:r>
          </w:p>
          <w:p w14:paraId="5AE670EC" w14:textId="77777777" w:rsidR="00C82C27" w:rsidRPr="006D2AC5" w:rsidRDefault="00C82C27" w:rsidP="00C82C27">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三、審查112年度中央政府總預算案附屬單位預算非營業部分關於法務部主管「法務部矯正機關作業基金」收支部分。</w:t>
            </w:r>
          </w:p>
          <w:p w14:paraId="5586FDAD" w14:textId="77777777" w:rsidR="00C82C27" w:rsidRPr="006D2AC5" w:rsidRDefault="00C82C27" w:rsidP="00C82C27">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四、審查112年度中央政府總預算案附屬單位預算非營業部分關於法務部主管「毒品防制基金」收支部分。</w:t>
            </w:r>
          </w:p>
          <w:p w14:paraId="36BEBDED" w14:textId="77777777" w:rsidR="00C82C27" w:rsidRPr="00C45D1D" w:rsidRDefault="00C82C27" w:rsidP="00C82C27">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五、審查法務部函送財團法人臺灣更生保護會、財團法人福建更生保護會及財團法人犯罪被害人保護協會112年度預算書案。</w:t>
            </w:r>
          </w:p>
        </w:tc>
        <w:tc>
          <w:tcPr>
            <w:tcW w:w="1087" w:type="pct"/>
          </w:tcPr>
          <w:p w14:paraId="4E88EC09" w14:textId="77777777" w:rsidR="00C82C27" w:rsidRDefault="00C82C27" w:rsidP="00C82C27">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林召集委員思銘</w:t>
            </w:r>
          </w:p>
          <w:p w14:paraId="75D40549" w14:textId="77777777" w:rsidR="00C82C27" w:rsidRDefault="00C82C27" w:rsidP="00C82C27">
            <w:pPr>
              <w:spacing w:line="300" w:lineRule="exact"/>
              <w:jc w:val="both"/>
              <w:rPr>
                <w:rFonts w:ascii="標楷體" w:eastAsia="標楷體" w:hAnsi="標楷體"/>
                <w:color w:val="000000"/>
                <w:kern w:val="0"/>
              </w:rPr>
            </w:pPr>
          </w:p>
          <w:p w14:paraId="61DBB090" w14:textId="77777777" w:rsidR="00C82C27" w:rsidRPr="00C45D1D" w:rsidRDefault="00C82C27" w:rsidP="00C82C27">
            <w:pPr>
              <w:spacing w:line="300" w:lineRule="exact"/>
              <w:jc w:val="both"/>
              <w:rPr>
                <w:rFonts w:ascii="標楷體" w:eastAsia="標楷體" w:hAnsi="標楷體"/>
                <w:color w:val="000000"/>
                <w:kern w:val="0"/>
              </w:rPr>
            </w:pPr>
            <w:r w:rsidRPr="006D2AC5">
              <w:rPr>
                <w:rFonts w:ascii="標楷體" w:eastAsia="標楷體" w:hAnsi="標楷體" w:hint="eastAsia"/>
                <w:color w:val="000000"/>
                <w:kern w:val="0"/>
              </w:rPr>
              <w:t>法務部部長、最高檢察署檢察總長、法務部所屬機關首長、財團法人臺灣更生保護會董事長、財團法人福建更生保護會董事長、財團法人犯罪被害人保護協會董事長、行政院主計總處</w:t>
            </w:r>
          </w:p>
        </w:tc>
        <w:tc>
          <w:tcPr>
            <w:tcW w:w="1143" w:type="pct"/>
          </w:tcPr>
          <w:p w14:paraId="441165A5"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第一案報告及詢答完畢；第二案至第五</w:t>
            </w:r>
            <w:r w:rsidRPr="00993C78">
              <w:rPr>
                <w:rFonts w:ascii="標楷體" w:eastAsia="標楷體" w:hAnsi="標楷體" w:hint="eastAsia"/>
                <w:color w:val="000000"/>
                <w:kern w:val="0"/>
              </w:rPr>
              <w:t>案報告及詢答完畢，均另定期繼續審查。</w:t>
            </w:r>
          </w:p>
          <w:p w14:paraId="6A7542E8" w14:textId="77777777" w:rsidR="00C82C27" w:rsidRPr="00C45D1D"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105</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76</w:t>
            </w:r>
            <w:r w:rsidRPr="00BA2116">
              <w:rPr>
                <w:rFonts w:ascii="標楷體" w:eastAsia="標楷體" w:hAnsi="標楷體" w:hint="eastAsia"/>
                <w:color w:val="000000" w:themeColor="text1"/>
                <w:kern w:val="0"/>
              </w:rPr>
              <w:t>）</w:t>
            </w:r>
          </w:p>
        </w:tc>
      </w:tr>
      <w:tr w:rsidR="00C82C27" w:rsidRPr="00995BA1" w14:paraId="03571F75" w14:textId="77777777" w:rsidTr="00E55097">
        <w:tc>
          <w:tcPr>
            <w:tcW w:w="701" w:type="pct"/>
          </w:tcPr>
          <w:p w14:paraId="7406DEA3"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15</w:t>
            </w:r>
            <w:r w:rsidRPr="0093787F">
              <w:rPr>
                <w:rFonts w:ascii="標楷體" w:eastAsia="標楷體" w:hAnsi="標楷體" w:hint="eastAsia"/>
                <w:color w:val="000000"/>
                <w:kern w:val="0"/>
              </w:rPr>
              <w:t>次全體委員會議</w:t>
            </w:r>
          </w:p>
        </w:tc>
        <w:tc>
          <w:tcPr>
            <w:tcW w:w="822" w:type="pct"/>
          </w:tcPr>
          <w:p w14:paraId="4697FE70"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14日（星期一</w:t>
            </w:r>
            <w:r w:rsidRPr="0093787F">
              <w:rPr>
                <w:rFonts w:ascii="標楷體" w:eastAsia="標楷體" w:hAnsi="標楷體" w:hint="eastAsia"/>
                <w:color w:val="000000"/>
                <w:spacing w:val="-20"/>
                <w:kern w:val="0"/>
              </w:rPr>
              <w:t>）</w:t>
            </w:r>
          </w:p>
        </w:tc>
        <w:tc>
          <w:tcPr>
            <w:tcW w:w="1247" w:type="pct"/>
          </w:tcPr>
          <w:p w14:paraId="5008E5D4" w14:textId="77777777" w:rsidR="00C82C27" w:rsidRPr="00C735D5" w:rsidRDefault="00C82C27" w:rsidP="00C82C27">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一、邀請司法院秘書長列席說明立法計畫，並備質詢。</w:t>
            </w:r>
          </w:p>
          <w:p w14:paraId="0065D960" w14:textId="77777777" w:rsidR="00C82C27" w:rsidRPr="00C735D5" w:rsidRDefault="00C82C27" w:rsidP="00C82C27">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二、審查112年度中央政府總預算案關於司法院及所屬主</w:t>
            </w:r>
            <w:r w:rsidRPr="00C735D5">
              <w:rPr>
                <w:rFonts w:ascii="標楷體" w:eastAsia="標楷體" w:hAnsi="標楷體" w:hint="eastAsia"/>
                <w:color w:val="000000"/>
                <w:kern w:val="0"/>
              </w:rPr>
              <w:lastRenderedPageBreak/>
              <w:t>管收支部分。</w:t>
            </w:r>
          </w:p>
          <w:p w14:paraId="5E50E5CE" w14:textId="77777777" w:rsidR="00C82C27" w:rsidRPr="006D2AC5" w:rsidRDefault="00C82C27" w:rsidP="00C82C27">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三、審查司法院函送財團法人法律扶助基金會112年度預算書案。</w:t>
            </w:r>
          </w:p>
        </w:tc>
        <w:tc>
          <w:tcPr>
            <w:tcW w:w="1087" w:type="pct"/>
          </w:tcPr>
          <w:p w14:paraId="608CF6F0" w14:textId="77777777" w:rsidR="00C82C27" w:rsidRPr="006C43F1" w:rsidRDefault="00C82C27" w:rsidP="00C82C27">
            <w:pPr>
              <w:rPr>
                <w:rFonts w:ascii="標楷體" w:eastAsia="標楷體" w:hAnsi="標楷體"/>
                <w:color w:val="000000"/>
                <w:kern w:val="0"/>
              </w:rPr>
            </w:pPr>
            <w:r w:rsidRPr="006C43F1">
              <w:rPr>
                <w:rFonts w:ascii="標楷體" w:eastAsia="標楷體" w:hAnsi="標楷體" w:hint="eastAsia"/>
                <w:color w:val="000000"/>
                <w:kern w:val="0"/>
              </w:rPr>
              <w:lastRenderedPageBreak/>
              <w:t>陳召集委員歐珀</w:t>
            </w:r>
          </w:p>
          <w:p w14:paraId="1AEA3B05" w14:textId="77777777" w:rsidR="00C82C27" w:rsidRDefault="00C82C27" w:rsidP="00C82C27">
            <w:pPr>
              <w:spacing w:line="300" w:lineRule="exact"/>
              <w:jc w:val="both"/>
              <w:rPr>
                <w:rFonts w:ascii="標楷體" w:eastAsia="標楷體" w:hAnsi="標楷體"/>
                <w:color w:val="000000"/>
                <w:kern w:val="0"/>
              </w:rPr>
            </w:pPr>
          </w:p>
          <w:p w14:paraId="26E6DC86" w14:textId="77777777" w:rsidR="00C82C27" w:rsidRPr="006D2AC5" w:rsidRDefault="00C82C27" w:rsidP="00C82C27">
            <w:pPr>
              <w:spacing w:line="300" w:lineRule="exact"/>
              <w:jc w:val="both"/>
              <w:rPr>
                <w:rFonts w:ascii="標楷體" w:eastAsia="標楷體" w:hAnsi="標楷體"/>
                <w:color w:val="000000"/>
                <w:kern w:val="0"/>
              </w:rPr>
            </w:pPr>
            <w:r w:rsidRPr="00C735D5">
              <w:rPr>
                <w:rFonts w:ascii="標楷體" w:eastAsia="標楷體" w:hAnsi="標楷體" w:hint="eastAsia"/>
                <w:color w:val="000000"/>
                <w:kern w:val="0"/>
              </w:rPr>
              <w:t>司法院秘書長及司法院所屬機關首長、財團法人法</w:t>
            </w:r>
            <w:r w:rsidRPr="00C735D5">
              <w:rPr>
                <w:rFonts w:ascii="標楷體" w:eastAsia="標楷體" w:hAnsi="標楷體" w:hint="eastAsia"/>
                <w:color w:val="000000"/>
                <w:kern w:val="0"/>
              </w:rPr>
              <w:lastRenderedPageBreak/>
              <w:t>律扶助基金會董事長、行政院主計總處</w:t>
            </w:r>
          </w:p>
        </w:tc>
        <w:tc>
          <w:tcPr>
            <w:tcW w:w="1143" w:type="pct"/>
          </w:tcPr>
          <w:p w14:paraId="01A6D2E1"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第一案報告及詢答完畢；第二案及第三</w:t>
            </w:r>
            <w:r w:rsidRPr="00C735D5">
              <w:rPr>
                <w:rFonts w:ascii="標楷體" w:eastAsia="標楷體" w:hAnsi="標楷體" w:hint="eastAsia"/>
                <w:color w:val="000000"/>
                <w:kern w:val="0"/>
              </w:rPr>
              <w:t>案報告及詢答完畢，均另定期繼續審查。</w:t>
            </w:r>
          </w:p>
          <w:p w14:paraId="77F4BF2D"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106</w:t>
            </w:r>
            <w:r w:rsidRPr="00BA2116">
              <w:rPr>
                <w:rFonts w:ascii="標楷體" w:eastAsia="標楷體" w:hAnsi="標楷體" w:hint="eastAsia"/>
                <w:color w:val="000000" w:themeColor="text1"/>
                <w:kern w:val="0"/>
              </w:rPr>
              <w:t>期</w:t>
            </w:r>
            <w:r w:rsidRPr="00BA2116">
              <w:rPr>
                <w:rFonts w:ascii="標楷體" w:eastAsia="標楷體" w:hAnsi="標楷體" w:hint="eastAsia"/>
                <w:color w:val="000000" w:themeColor="text1"/>
                <w:kern w:val="0"/>
              </w:rPr>
              <w:lastRenderedPageBreak/>
              <w:t>50</w:t>
            </w:r>
            <w:r>
              <w:rPr>
                <w:rFonts w:ascii="標楷體" w:eastAsia="標楷體" w:hAnsi="標楷體"/>
                <w:color w:val="000000" w:themeColor="text1"/>
                <w:kern w:val="0"/>
              </w:rPr>
              <w:t>77</w:t>
            </w:r>
            <w:r w:rsidRPr="00BA2116">
              <w:rPr>
                <w:rFonts w:ascii="標楷體" w:eastAsia="標楷體" w:hAnsi="標楷體" w:hint="eastAsia"/>
                <w:color w:val="000000" w:themeColor="text1"/>
                <w:kern w:val="0"/>
              </w:rPr>
              <w:t>）</w:t>
            </w:r>
          </w:p>
        </w:tc>
      </w:tr>
      <w:tr w:rsidR="00C82C27" w:rsidRPr="00995BA1" w14:paraId="19A8A301" w14:textId="77777777" w:rsidTr="00E55097">
        <w:tc>
          <w:tcPr>
            <w:tcW w:w="701" w:type="pct"/>
          </w:tcPr>
          <w:p w14:paraId="405E7F21"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16</w:t>
            </w:r>
            <w:r w:rsidRPr="0093787F">
              <w:rPr>
                <w:rFonts w:ascii="標楷體" w:eastAsia="標楷體" w:hAnsi="標楷體" w:hint="eastAsia"/>
                <w:color w:val="000000"/>
                <w:kern w:val="0"/>
              </w:rPr>
              <w:t>次全體委員會議</w:t>
            </w:r>
          </w:p>
        </w:tc>
        <w:tc>
          <w:tcPr>
            <w:tcW w:w="822" w:type="pct"/>
          </w:tcPr>
          <w:p w14:paraId="043FF49A"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16日（星期三</w:t>
            </w:r>
            <w:r w:rsidRPr="0093787F">
              <w:rPr>
                <w:rFonts w:ascii="標楷體" w:eastAsia="標楷體" w:hAnsi="標楷體" w:hint="eastAsia"/>
                <w:color w:val="000000"/>
                <w:spacing w:val="-20"/>
                <w:kern w:val="0"/>
              </w:rPr>
              <w:t>）</w:t>
            </w:r>
          </w:p>
        </w:tc>
        <w:tc>
          <w:tcPr>
            <w:tcW w:w="1247" w:type="pct"/>
          </w:tcPr>
          <w:p w14:paraId="249762BB" w14:textId="77777777" w:rsidR="00C82C27" w:rsidRPr="004D50DC" w:rsidRDefault="00C82C27" w:rsidP="00C82C27">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一、邀請行政院人事行政總處人事長列席報告業務概況，並備質詢。</w:t>
            </w:r>
          </w:p>
          <w:p w14:paraId="5EB36EE8" w14:textId="77777777" w:rsidR="00C82C27" w:rsidRPr="004D50DC" w:rsidRDefault="00C82C27" w:rsidP="00C82C27">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二、審查112年度中央政府總預算案關於行政院人事行政總處及所屬主管收支部分。</w:t>
            </w:r>
          </w:p>
          <w:p w14:paraId="24B2A55B" w14:textId="77777777" w:rsidR="00C82C27" w:rsidRPr="00C735D5" w:rsidRDefault="00C82C27" w:rsidP="00C82C27">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三、審查112年度中央政府總預算案附屬單位預算非營業部分關於行政院人事行政總處主管「中央公教人員急難救助基金」收支部分。</w:t>
            </w:r>
          </w:p>
        </w:tc>
        <w:tc>
          <w:tcPr>
            <w:tcW w:w="1087" w:type="pct"/>
          </w:tcPr>
          <w:p w14:paraId="747E5D30" w14:textId="77777777" w:rsidR="00C82C27" w:rsidRPr="006C43F1" w:rsidRDefault="00C82C27" w:rsidP="00C82C27">
            <w:pPr>
              <w:rPr>
                <w:rFonts w:ascii="標楷體" w:eastAsia="標楷體" w:hAnsi="標楷體"/>
                <w:color w:val="000000"/>
                <w:kern w:val="0"/>
              </w:rPr>
            </w:pPr>
            <w:r w:rsidRPr="006C43F1">
              <w:rPr>
                <w:rFonts w:ascii="標楷體" w:eastAsia="標楷體" w:hAnsi="標楷體" w:hint="eastAsia"/>
                <w:color w:val="000000"/>
                <w:kern w:val="0"/>
              </w:rPr>
              <w:t>林召集委員思銘</w:t>
            </w:r>
          </w:p>
          <w:p w14:paraId="2EC9DF11" w14:textId="77777777" w:rsidR="00C82C27" w:rsidRDefault="00C82C27" w:rsidP="00C82C27">
            <w:pPr>
              <w:spacing w:line="300" w:lineRule="exact"/>
              <w:jc w:val="both"/>
              <w:rPr>
                <w:rFonts w:ascii="標楷體" w:eastAsia="標楷體" w:hAnsi="標楷體"/>
                <w:color w:val="000000"/>
                <w:kern w:val="0"/>
              </w:rPr>
            </w:pPr>
          </w:p>
          <w:p w14:paraId="117F66EC" w14:textId="77777777" w:rsidR="00C82C27" w:rsidRPr="00C735D5" w:rsidRDefault="00C82C27" w:rsidP="00C82C27">
            <w:pPr>
              <w:spacing w:line="300" w:lineRule="exact"/>
              <w:jc w:val="both"/>
              <w:rPr>
                <w:rFonts w:ascii="標楷體" w:eastAsia="標楷體" w:hAnsi="標楷體"/>
                <w:color w:val="000000"/>
                <w:kern w:val="0"/>
              </w:rPr>
            </w:pPr>
            <w:r w:rsidRPr="004D50DC">
              <w:rPr>
                <w:rFonts w:ascii="標楷體" w:eastAsia="標楷體" w:hAnsi="標楷體" w:hint="eastAsia"/>
                <w:color w:val="000000"/>
                <w:kern w:val="0"/>
              </w:rPr>
              <w:t>行政院人事行政總處人事長、行政院人事行政總處公務人力發展學院院長、行政院主計總處</w:t>
            </w:r>
          </w:p>
        </w:tc>
        <w:tc>
          <w:tcPr>
            <w:tcW w:w="1143" w:type="pct"/>
          </w:tcPr>
          <w:p w14:paraId="5F9C13BF"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第一案報告及詢答完畢；第二案及第三</w:t>
            </w:r>
            <w:r w:rsidRPr="00C735D5">
              <w:rPr>
                <w:rFonts w:ascii="標楷體" w:eastAsia="標楷體" w:hAnsi="標楷體" w:hint="eastAsia"/>
                <w:color w:val="000000"/>
                <w:kern w:val="0"/>
              </w:rPr>
              <w:t>案報告及詢答完畢，均另定期繼續審查。</w:t>
            </w:r>
          </w:p>
          <w:p w14:paraId="01AE6014" w14:textId="193E0D2F"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107</w:t>
            </w:r>
            <w:r w:rsidRPr="00BA2116">
              <w:rPr>
                <w:rFonts w:ascii="標楷體" w:eastAsia="標楷體" w:hAnsi="標楷體" w:hint="eastAsia"/>
                <w:color w:val="000000" w:themeColor="text1"/>
                <w:kern w:val="0"/>
              </w:rPr>
              <w:t>期</w:t>
            </w:r>
            <w:r>
              <w:rPr>
                <w:rFonts w:ascii="標楷體" w:eastAsia="標楷體" w:hAnsi="標楷體" w:hint="eastAsia"/>
                <w:color w:val="000000" w:themeColor="text1"/>
                <w:kern w:val="0"/>
              </w:rPr>
              <w:t>50</w:t>
            </w:r>
            <w:r w:rsidR="00845E04">
              <w:rPr>
                <w:rFonts w:ascii="標楷體" w:eastAsia="標楷體" w:hAnsi="標楷體"/>
                <w:color w:val="000000" w:themeColor="text1"/>
                <w:kern w:val="0"/>
              </w:rPr>
              <w:t>78</w:t>
            </w:r>
            <w:r w:rsidRPr="00BA2116">
              <w:rPr>
                <w:rFonts w:ascii="標楷體" w:eastAsia="標楷體" w:hAnsi="標楷體" w:hint="eastAsia"/>
                <w:color w:val="000000" w:themeColor="text1"/>
                <w:kern w:val="0"/>
              </w:rPr>
              <w:t>）</w:t>
            </w:r>
          </w:p>
        </w:tc>
      </w:tr>
      <w:tr w:rsidR="00C82C27" w:rsidRPr="00995BA1" w14:paraId="15DF87F5" w14:textId="77777777" w:rsidTr="00E55097">
        <w:tc>
          <w:tcPr>
            <w:tcW w:w="701" w:type="pct"/>
          </w:tcPr>
          <w:p w14:paraId="758218A2" w14:textId="77777777" w:rsidR="00C82C27" w:rsidRPr="0093787F" w:rsidRDefault="00C82C27" w:rsidP="00C82C2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17</w:t>
            </w:r>
            <w:r w:rsidRPr="0093787F">
              <w:rPr>
                <w:rFonts w:ascii="標楷體" w:eastAsia="標楷體" w:hAnsi="標楷體" w:hint="eastAsia"/>
                <w:color w:val="000000"/>
                <w:kern w:val="0"/>
              </w:rPr>
              <w:t>次全體委員會議</w:t>
            </w:r>
          </w:p>
        </w:tc>
        <w:tc>
          <w:tcPr>
            <w:tcW w:w="822" w:type="pct"/>
          </w:tcPr>
          <w:p w14:paraId="1AF7E355"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17日（星期四</w:t>
            </w:r>
            <w:r w:rsidRPr="0093787F">
              <w:rPr>
                <w:rFonts w:ascii="標楷體" w:eastAsia="標楷體" w:hAnsi="標楷體" w:hint="eastAsia"/>
                <w:color w:val="000000"/>
                <w:spacing w:val="-20"/>
                <w:kern w:val="0"/>
              </w:rPr>
              <w:t>）</w:t>
            </w:r>
          </w:p>
        </w:tc>
        <w:tc>
          <w:tcPr>
            <w:tcW w:w="1247" w:type="pct"/>
          </w:tcPr>
          <w:p w14:paraId="32D8FDAF" w14:textId="77777777" w:rsidR="00C82C27" w:rsidRPr="00315C5C" w:rsidRDefault="00C82C27" w:rsidP="00C82C27">
            <w:pPr>
              <w:spacing w:line="300" w:lineRule="exact"/>
              <w:jc w:val="both"/>
              <w:rPr>
                <w:rFonts w:ascii="標楷體" w:eastAsia="標楷體" w:hAnsi="標楷體"/>
                <w:color w:val="000000"/>
                <w:kern w:val="0"/>
              </w:rPr>
            </w:pPr>
            <w:r w:rsidRPr="00315C5C">
              <w:rPr>
                <w:rFonts w:ascii="標楷體" w:eastAsia="標楷體" w:hAnsi="標楷體" w:hint="eastAsia"/>
                <w:color w:val="000000"/>
                <w:kern w:val="0"/>
              </w:rPr>
              <w:t>一、審查112年度中央政府總預算案關於立法院主管收支部分。</w:t>
            </w:r>
          </w:p>
          <w:p w14:paraId="4988F931" w14:textId="77777777" w:rsidR="00C82C27" w:rsidRPr="004D50DC" w:rsidRDefault="00C82C27" w:rsidP="00C82C27">
            <w:pPr>
              <w:spacing w:line="300" w:lineRule="exact"/>
              <w:jc w:val="both"/>
              <w:rPr>
                <w:rFonts w:ascii="標楷體" w:eastAsia="標楷體" w:hAnsi="標楷體"/>
                <w:color w:val="000000"/>
                <w:kern w:val="0"/>
              </w:rPr>
            </w:pPr>
            <w:r w:rsidRPr="00315C5C">
              <w:rPr>
                <w:rFonts w:ascii="標楷體" w:eastAsia="標楷體" w:hAnsi="標楷體" w:hint="eastAsia"/>
                <w:color w:val="000000"/>
                <w:kern w:val="0"/>
              </w:rPr>
              <w:t>二、審查及處理111年度中央政府總預算關於立法院主管預算凍結項目32案。</w:t>
            </w:r>
          </w:p>
        </w:tc>
        <w:tc>
          <w:tcPr>
            <w:tcW w:w="1087" w:type="pct"/>
          </w:tcPr>
          <w:p w14:paraId="26CCA5BE" w14:textId="77777777" w:rsidR="00C82C27" w:rsidRPr="006C43F1" w:rsidRDefault="00C82C27" w:rsidP="00C82C27">
            <w:pPr>
              <w:rPr>
                <w:rFonts w:ascii="標楷體" w:eastAsia="標楷體" w:hAnsi="標楷體"/>
                <w:color w:val="000000"/>
                <w:kern w:val="0"/>
              </w:rPr>
            </w:pPr>
            <w:r w:rsidRPr="006C43F1">
              <w:rPr>
                <w:rFonts w:ascii="標楷體" w:eastAsia="標楷體" w:hAnsi="標楷體" w:hint="eastAsia"/>
                <w:color w:val="000000"/>
                <w:kern w:val="0"/>
              </w:rPr>
              <w:t>陳召集委員歐珀</w:t>
            </w:r>
          </w:p>
          <w:p w14:paraId="13FF34CE" w14:textId="77777777" w:rsidR="00C82C27" w:rsidRDefault="00C82C27" w:rsidP="00C82C27">
            <w:pPr>
              <w:spacing w:line="300" w:lineRule="exact"/>
              <w:jc w:val="both"/>
              <w:rPr>
                <w:rFonts w:ascii="標楷體" w:eastAsia="標楷體" w:hAnsi="標楷體"/>
                <w:color w:val="000000"/>
                <w:kern w:val="0"/>
              </w:rPr>
            </w:pPr>
          </w:p>
          <w:p w14:paraId="409980F4" w14:textId="77777777" w:rsidR="00C82C27" w:rsidRPr="004D50DC" w:rsidRDefault="00C82C27" w:rsidP="00C82C27">
            <w:pPr>
              <w:spacing w:line="300" w:lineRule="exact"/>
              <w:jc w:val="both"/>
              <w:rPr>
                <w:rFonts w:ascii="標楷體" w:eastAsia="標楷體" w:hAnsi="標楷體"/>
                <w:color w:val="000000"/>
                <w:kern w:val="0"/>
              </w:rPr>
            </w:pPr>
            <w:r w:rsidRPr="00315C5C">
              <w:rPr>
                <w:rFonts w:ascii="標楷體" w:eastAsia="標楷體" w:hAnsi="標楷體" w:hint="eastAsia"/>
                <w:color w:val="000000"/>
                <w:kern w:val="0"/>
              </w:rPr>
              <w:t>立法院秘書長、行政院主計總處</w:t>
            </w:r>
          </w:p>
        </w:tc>
        <w:tc>
          <w:tcPr>
            <w:tcW w:w="1143" w:type="pct"/>
          </w:tcPr>
          <w:p w14:paraId="5BF4DA5E" w14:textId="77777777" w:rsidR="00C82C27" w:rsidRDefault="00C82C27" w:rsidP="00C82C27">
            <w:pPr>
              <w:spacing w:line="300" w:lineRule="exact"/>
              <w:jc w:val="both"/>
              <w:rPr>
                <w:rFonts w:ascii="標楷體" w:eastAsia="標楷體" w:hAnsi="標楷體"/>
                <w:color w:val="000000"/>
                <w:kern w:val="0"/>
              </w:rPr>
            </w:pPr>
            <w:r w:rsidRPr="00E3255C">
              <w:rPr>
                <w:rFonts w:ascii="標楷體" w:eastAsia="標楷體" w:hAnsi="標楷體" w:hint="eastAsia"/>
                <w:color w:val="000000"/>
                <w:kern w:val="0"/>
              </w:rPr>
              <w:t>第一案</w:t>
            </w:r>
            <w:r>
              <w:rPr>
                <w:rFonts w:ascii="標楷體" w:eastAsia="標楷體" w:hAnsi="標楷體" w:hint="eastAsia"/>
                <w:color w:val="000000"/>
                <w:kern w:val="0"/>
              </w:rPr>
              <w:t>審查完竣，須交由黨團協商；第二</w:t>
            </w:r>
            <w:r w:rsidRPr="00E3255C">
              <w:rPr>
                <w:rFonts w:ascii="標楷體" w:eastAsia="標楷體" w:hAnsi="標楷體" w:hint="eastAsia"/>
                <w:color w:val="000000"/>
                <w:kern w:val="0"/>
              </w:rPr>
              <w:t>案中列報告事項第二案至第</w:t>
            </w:r>
            <w:r>
              <w:rPr>
                <w:rFonts w:ascii="標楷體" w:eastAsia="標楷體" w:hAnsi="標楷體" w:hint="eastAsia"/>
                <w:color w:val="000000"/>
                <w:kern w:val="0"/>
              </w:rPr>
              <w:t>二十九</w:t>
            </w:r>
            <w:r w:rsidRPr="00E3255C">
              <w:rPr>
                <w:rFonts w:ascii="標楷體" w:eastAsia="標楷體" w:hAnsi="標楷體" w:hint="eastAsia"/>
                <w:color w:val="000000"/>
                <w:kern w:val="0"/>
              </w:rPr>
              <w:t>案，均准予備查，提報院會；</w:t>
            </w:r>
            <w:r>
              <w:rPr>
                <w:rFonts w:ascii="標楷體" w:eastAsia="標楷體" w:hAnsi="標楷體" w:hint="eastAsia"/>
                <w:color w:val="000000"/>
                <w:kern w:val="0"/>
              </w:rPr>
              <w:t>列討論事項第二案至第五</w:t>
            </w:r>
            <w:r w:rsidRPr="00E3255C">
              <w:rPr>
                <w:rFonts w:ascii="標楷體" w:eastAsia="標楷體" w:hAnsi="標楷體" w:hint="eastAsia"/>
                <w:color w:val="000000"/>
                <w:kern w:val="0"/>
              </w:rPr>
              <w:t>案，均准予動支，提報院會。</w:t>
            </w:r>
          </w:p>
          <w:p w14:paraId="5B6A3E29"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107</w:t>
            </w:r>
            <w:r w:rsidRPr="00BA2116">
              <w:rPr>
                <w:rFonts w:ascii="標楷體" w:eastAsia="標楷體" w:hAnsi="標楷體" w:hint="eastAsia"/>
                <w:color w:val="000000" w:themeColor="text1"/>
                <w:kern w:val="0"/>
              </w:rPr>
              <w:t>期50</w:t>
            </w:r>
            <w:r>
              <w:rPr>
                <w:rFonts w:ascii="標楷體" w:eastAsia="標楷體" w:hAnsi="標楷體" w:hint="eastAsia"/>
                <w:color w:val="000000" w:themeColor="text1"/>
                <w:kern w:val="0"/>
              </w:rPr>
              <w:t>78</w:t>
            </w:r>
            <w:r w:rsidRPr="00BA2116">
              <w:rPr>
                <w:rFonts w:ascii="標楷體" w:eastAsia="標楷體" w:hAnsi="標楷體" w:hint="eastAsia"/>
                <w:color w:val="000000" w:themeColor="text1"/>
                <w:kern w:val="0"/>
              </w:rPr>
              <w:t>）</w:t>
            </w:r>
          </w:p>
        </w:tc>
      </w:tr>
      <w:tr w:rsidR="00C82C27" w:rsidRPr="00995BA1" w14:paraId="498F2336" w14:textId="77777777" w:rsidTr="00E55097">
        <w:tc>
          <w:tcPr>
            <w:tcW w:w="701" w:type="pct"/>
          </w:tcPr>
          <w:p w14:paraId="3B6F8C69"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第18次全體委員會議</w:t>
            </w:r>
          </w:p>
        </w:tc>
        <w:tc>
          <w:tcPr>
            <w:tcW w:w="822" w:type="pct"/>
          </w:tcPr>
          <w:p w14:paraId="416A59C8"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111年11月21日（星期一）</w:t>
            </w:r>
          </w:p>
        </w:tc>
        <w:tc>
          <w:tcPr>
            <w:tcW w:w="1247" w:type="pct"/>
          </w:tcPr>
          <w:p w14:paraId="28032BFE" w14:textId="77777777" w:rsidR="00C82C27" w:rsidRPr="00BA77FD" w:rsidRDefault="00C82C27" w:rsidP="00C82C27">
            <w:pPr>
              <w:spacing w:line="300" w:lineRule="exact"/>
              <w:jc w:val="both"/>
            </w:pPr>
            <w:r w:rsidRPr="00186295">
              <w:rPr>
                <w:rFonts w:ascii="標楷體" w:eastAsia="標楷體" w:hAnsi="標楷體" w:hint="eastAsia"/>
                <w:color w:val="000000"/>
                <w:kern w:val="0"/>
              </w:rPr>
              <w:t>邀請司法院秘書長列席就「為落實司法改革打造金字塔訴訟制度，擬將刑事訴訟案件第一審改為堅實事實審，並限縮人民上訴第三審之權限。於此規劃下，如限縮人民上訴權時，首應提升司法審判品質，司法院應如</w:t>
            </w:r>
            <w:r w:rsidRPr="00186295">
              <w:rPr>
                <w:rFonts w:ascii="標楷體" w:eastAsia="標楷體" w:hAnsi="標楷體" w:hint="eastAsia"/>
                <w:color w:val="000000"/>
                <w:kern w:val="0"/>
              </w:rPr>
              <w:lastRenderedPageBreak/>
              <w:t>何強化刑事鑑定制度，以增加一審判決之可信性與正確性？」進行專題報告，並備質詢。</w:t>
            </w:r>
          </w:p>
        </w:tc>
        <w:tc>
          <w:tcPr>
            <w:tcW w:w="1087" w:type="pct"/>
          </w:tcPr>
          <w:p w14:paraId="1CBB7D0D" w14:textId="77777777" w:rsidR="00C82C27" w:rsidRDefault="00C82C27" w:rsidP="00C82C27">
            <w:pPr>
              <w:rPr>
                <w:rFonts w:ascii="標楷體" w:eastAsia="標楷體" w:hAnsi="標楷體"/>
                <w:color w:val="000000"/>
                <w:kern w:val="0"/>
              </w:rPr>
            </w:pPr>
            <w:r w:rsidRPr="00186295">
              <w:rPr>
                <w:rFonts w:ascii="標楷體" w:eastAsia="標楷體" w:hAnsi="標楷體" w:hint="eastAsia"/>
                <w:color w:val="000000"/>
                <w:kern w:val="0"/>
              </w:rPr>
              <w:lastRenderedPageBreak/>
              <w:t>林召集委員思銘</w:t>
            </w:r>
          </w:p>
          <w:p w14:paraId="5FB92407" w14:textId="77777777" w:rsidR="00C82C27" w:rsidRDefault="00C82C27" w:rsidP="00C82C27">
            <w:pPr>
              <w:rPr>
                <w:rFonts w:ascii="標楷體" w:eastAsia="標楷體" w:hAnsi="標楷體"/>
                <w:color w:val="000000"/>
                <w:kern w:val="0"/>
              </w:rPr>
            </w:pPr>
          </w:p>
          <w:p w14:paraId="5CA8053F" w14:textId="77777777" w:rsidR="00C82C27" w:rsidRPr="00BA77FD" w:rsidRDefault="00C82C27" w:rsidP="00C82C27">
            <w:r w:rsidRPr="00186295">
              <w:rPr>
                <w:rFonts w:ascii="標楷體" w:eastAsia="標楷體" w:hAnsi="標楷體" w:hint="eastAsia"/>
                <w:color w:val="000000"/>
                <w:kern w:val="0"/>
              </w:rPr>
              <w:t>司法院秘書長</w:t>
            </w:r>
          </w:p>
        </w:tc>
        <w:tc>
          <w:tcPr>
            <w:tcW w:w="1143" w:type="pct"/>
          </w:tcPr>
          <w:p w14:paraId="34DE2086" w14:textId="77777777" w:rsidR="00C82C27" w:rsidRDefault="00C82C27" w:rsidP="00C82C27">
            <w:pPr>
              <w:spacing w:line="300" w:lineRule="exact"/>
              <w:jc w:val="both"/>
              <w:rPr>
                <w:rFonts w:ascii="標楷體" w:eastAsia="標楷體" w:hAnsi="標楷體"/>
                <w:color w:val="000000"/>
                <w:kern w:val="0"/>
              </w:rPr>
            </w:pPr>
            <w:r w:rsidRPr="00845C51">
              <w:rPr>
                <w:rFonts w:ascii="標楷體" w:eastAsia="標楷體" w:hAnsi="標楷體" w:hint="eastAsia"/>
                <w:color w:val="000000"/>
                <w:kern w:val="0"/>
              </w:rPr>
              <w:t>報告及詢答完畢。</w:t>
            </w:r>
          </w:p>
          <w:p w14:paraId="489277F7" w14:textId="77777777" w:rsidR="00C82C27" w:rsidRDefault="00C82C27" w:rsidP="00C82C27">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108</w:t>
            </w:r>
            <w:r w:rsidRPr="00BA2116">
              <w:rPr>
                <w:rFonts w:ascii="標楷體" w:eastAsia="標楷體" w:hAnsi="標楷體" w:hint="eastAsia"/>
                <w:color w:val="000000" w:themeColor="text1"/>
                <w:kern w:val="0"/>
              </w:rPr>
              <w:t>期</w:t>
            </w:r>
            <w:r>
              <w:rPr>
                <w:rFonts w:ascii="標楷體" w:eastAsia="標楷體" w:hAnsi="標楷體" w:hint="eastAsia"/>
                <w:color w:val="000000" w:themeColor="text1"/>
                <w:kern w:val="0"/>
              </w:rPr>
              <w:t>5079</w:t>
            </w:r>
            <w:r w:rsidRPr="00BA2116">
              <w:rPr>
                <w:rFonts w:ascii="標楷體" w:eastAsia="標楷體" w:hAnsi="標楷體" w:hint="eastAsia"/>
                <w:color w:val="000000" w:themeColor="text1"/>
                <w:kern w:val="0"/>
              </w:rPr>
              <w:t>）</w:t>
            </w:r>
          </w:p>
          <w:p w14:paraId="36111CEB" w14:textId="77777777" w:rsidR="00C82C27" w:rsidRPr="00E3255C" w:rsidRDefault="00C82C27" w:rsidP="00C82C27">
            <w:pPr>
              <w:spacing w:line="300" w:lineRule="exact"/>
              <w:jc w:val="both"/>
              <w:rPr>
                <w:rFonts w:ascii="標楷體" w:eastAsia="標楷體" w:hAnsi="標楷體"/>
                <w:color w:val="000000"/>
                <w:kern w:val="0"/>
              </w:rPr>
            </w:pPr>
          </w:p>
        </w:tc>
      </w:tr>
      <w:tr w:rsidR="00C82C27" w:rsidRPr="00995BA1" w14:paraId="1A4B1F14" w14:textId="77777777" w:rsidTr="00E55097">
        <w:tc>
          <w:tcPr>
            <w:tcW w:w="701" w:type="pct"/>
          </w:tcPr>
          <w:p w14:paraId="13469F2B" w14:textId="77777777" w:rsidR="00C82C27" w:rsidRPr="00BA77FD" w:rsidRDefault="00C82C27" w:rsidP="00C82C27">
            <w:pPr>
              <w:spacing w:line="300" w:lineRule="exact"/>
              <w:jc w:val="both"/>
            </w:pPr>
            <w:r w:rsidRPr="00186295">
              <w:rPr>
                <w:rFonts w:ascii="標楷體" w:eastAsia="標楷體" w:hAnsi="標楷體" w:hint="eastAsia"/>
                <w:color w:val="000000"/>
                <w:kern w:val="0"/>
              </w:rPr>
              <w:lastRenderedPageBreak/>
              <w:t>第</w:t>
            </w:r>
            <w:r>
              <w:rPr>
                <w:rFonts w:ascii="標楷體" w:eastAsia="標楷體" w:hAnsi="標楷體" w:hint="eastAsia"/>
                <w:color w:val="000000"/>
                <w:kern w:val="0"/>
              </w:rPr>
              <w:t>1</w:t>
            </w:r>
            <w:r>
              <w:rPr>
                <w:rFonts w:ascii="標楷體" w:eastAsia="標楷體" w:hAnsi="標楷體"/>
                <w:color w:val="000000"/>
                <w:kern w:val="0"/>
              </w:rPr>
              <w:t>9</w:t>
            </w:r>
            <w:r w:rsidRPr="00186295">
              <w:rPr>
                <w:rFonts w:ascii="標楷體" w:eastAsia="標楷體" w:hAnsi="標楷體" w:hint="eastAsia"/>
                <w:color w:val="000000"/>
                <w:kern w:val="0"/>
              </w:rPr>
              <w:t>次全體委員會議</w:t>
            </w:r>
          </w:p>
        </w:tc>
        <w:tc>
          <w:tcPr>
            <w:tcW w:w="822" w:type="pct"/>
          </w:tcPr>
          <w:p w14:paraId="1754F237"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111年11月2</w:t>
            </w:r>
            <w:r>
              <w:rPr>
                <w:rFonts w:ascii="標楷體" w:eastAsia="標楷體" w:hAnsi="標楷體"/>
                <w:color w:val="000000"/>
                <w:spacing w:val="-20"/>
                <w:kern w:val="0"/>
              </w:rPr>
              <w:t>3</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47" w:type="pct"/>
          </w:tcPr>
          <w:p w14:paraId="30DCE74C" w14:textId="77777777" w:rsidR="00C82C27" w:rsidRPr="00186295" w:rsidRDefault="00C82C27" w:rsidP="00C82C27">
            <w:pPr>
              <w:spacing w:line="300" w:lineRule="exact"/>
              <w:jc w:val="both"/>
              <w:rPr>
                <w:rFonts w:ascii="標楷體" w:eastAsia="標楷體" w:hAnsi="標楷體"/>
                <w:color w:val="000000"/>
                <w:kern w:val="0"/>
              </w:rPr>
            </w:pPr>
            <w:r w:rsidRPr="007A541C">
              <w:rPr>
                <w:rFonts w:ascii="標楷體" w:eastAsia="標楷體" w:hAnsi="標楷體" w:hint="eastAsia"/>
                <w:color w:val="000000"/>
                <w:kern w:val="0"/>
              </w:rPr>
              <w:t>併案審查（一）行政院、司法院函請審議、（二）委員萬美玲等19人、（三）委員鄭麗文等17人、（四）台灣民眾黨黨團、（五）委員魯明哲等19人、（六）委員張廖萬堅等22人、（七）委員伍麗華Saidhai‧Tahovecahe等20人、（八）委員羅致政等19人、（九）委員陳明文等18人、（十）委員溫玉霞等17人、（十一）委員萬美玲等22人、（十二）委員王美惠等20人、（十三）委員莊競程等22人及（十四）委員馬文君等16人分別擬具「中華民國刑法第一百八十五條之三條文修正草案」案。</w:t>
            </w:r>
          </w:p>
        </w:tc>
        <w:tc>
          <w:tcPr>
            <w:tcW w:w="1087" w:type="pct"/>
          </w:tcPr>
          <w:p w14:paraId="25A214BF" w14:textId="77777777" w:rsidR="00C82C27" w:rsidRDefault="00C82C27" w:rsidP="00C82C27">
            <w:pPr>
              <w:spacing w:line="300" w:lineRule="exact"/>
              <w:jc w:val="both"/>
              <w:rPr>
                <w:rFonts w:ascii="標楷體" w:eastAsia="標楷體" w:hAnsi="標楷體"/>
                <w:color w:val="000000"/>
                <w:kern w:val="0"/>
              </w:rPr>
            </w:pPr>
            <w:r w:rsidRPr="00186295">
              <w:rPr>
                <w:rFonts w:ascii="標楷體" w:eastAsia="標楷體" w:hAnsi="標楷體" w:hint="eastAsia"/>
                <w:color w:val="000000"/>
                <w:kern w:val="0"/>
              </w:rPr>
              <w:t>林召集委員思銘</w:t>
            </w:r>
          </w:p>
          <w:p w14:paraId="56029776" w14:textId="77777777" w:rsidR="00C82C27" w:rsidRDefault="00C82C27" w:rsidP="00C82C27">
            <w:pPr>
              <w:spacing w:line="300" w:lineRule="exact"/>
              <w:jc w:val="both"/>
              <w:rPr>
                <w:rFonts w:ascii="標楷體" w:eastAsia="標楷體" w:hAnsi="標楷體"/>
                <w:color w:val="000000"/>
                <w:kern w:val="0"/>
              </w:rPr>
            </w:pPr>
          </w:p>
          <w:p w14:paraId="3C796CEC" w14:textId="77777777" w:rsidR="00C82C27" w:rsidRPr="00186295" w:rsidRDefault="00C82C27" w:rsidP="00C82C27">
            <w:pPr>
              <w:spacing w:line="300" w:lineRule="exact"/>
              <w:jc w:val="both"/>
              <w:rPr>
                <w:rFonts w:ascii="標楷體" w:eastAsia="標楷體" w:hAnsi="標楷體"/>
                <w:color w:val="000000"/>
                <w:kern w:val="0"/>
              </w:rPr>
            </w:pPr>
            <w:r w:rsidRPr="007A541C">
              <w:rPr>
                <w:rFonts w:ascii="標楷體" w:eastAsia="標楷體" w:hAnsi="標楷體" w:hint="eastAsia"/>
                <w:color w:val="000000"/>
                <w:kern w:val="0"/>
              </w:rPr>
              <w:t>法務部部長、司法院副秘書長、國防部、交通部、衛生福利部、內政部警政署</w:t>
            </w:r>
          </w:p>
        </w:tc>
        <w:tc>
          <w:tcPr>
            <w:tcW w:w="1143" w:type="pct"/>
          </w:tcPr>
          <w:p w14:paraId="19547885"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報告及詢答完畢，</w:t>
            </w:r>
            <w:r w:rsidRPr="007A541C">
              <w:rPr>
                <w:rFonts w:ascii="標楷體" w:eastAsia="標楷體" w:hAnsi="標楷體" w:hint="eastAsia"/>
                <w:color w:val="000000"/>
                <w:kern w:val="0"/>
              </w:rPr>
              <w:t>另定期繼續審查</w:t>
            </w:r>
            <w:r>
              <w:rPr>
                <w:rFonts w:ascii="標楷體" w:eastAsia="標楷體" w:hAnsi="標楷體" w:hint="eastAsia"/>
                <w:color w:val="000000"/>
                <w:kern w:val="0"/>
              </w:rPr>
              <w:t>。</w:t>
            </w:r>
          </w:p>
          <w:p w14:paraId="58A0578A" w14:textId="77777777" w:rsidR="00C82C27" w:rsidRPr="00845C51"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110</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81</w:t>
            </w:r>
            <w:r w:rsidRPr="00BA2116">
              <w:rPr>
                <w:rFonts w:ascii="標楷體" w:eastAsia="標楷體" w:hAnsi="標楷體" w:hint="eastAsia"/>
                <w:color w:val="000000" w:themeColor="text1"/>
                <w:kern w:val="0"/>
              </w:rPr>
              <w:t>）</w:t>
            </w:r>
          </w:p>
        </w:tc>
      </w:tr>
      <w:tr w:rsidR="00C82C27" w:rsidRPr="00995BA1" w14:paraId="7841FDD1" w14:textId="77777777" w:rsidTr="00E55097">
        <w:tc>
          <w:tcPr>
            <w:tcW w:w="701" w:type="pct"/>
          </w:tcPr>
          <w:p w14:paraId="4EF402DA"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hint="eastAsia"/>
                <w:color w:val="000000"/>
                <w:kern w:val="0"/>
              </w:rPr>
              <w:t>20</w:t>
            </w:r>
            <w:r w:rsidRPr="00186295">
              <w:rPr>
                <w:rFonts w:ascii="標楷體" w:eastAsia="標楷體" w:hAnsi="標楷體" w:hint="eastAsia"/>
                <w:color w:val="000000"/>
                <w:kern w:val="0"/>
              </w:rPr>
              <w:t>次全體委員會議</w:t>
            </w:r>
          </w:p>
        </w:tc>
        <w:tc>
          <w:tcPr>
            <w:tcW w:w="822" w:type="pct"/>
          </w:tcPr>
          <w:p w14:paraId="021E5511"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111年11月2</w:t>
            </w:r>
            <w:r>
              <w:rPr>
                <w:rFonts w:ascii="標楷體" w:eastAsia="標楷體" w:hAnsi="標楷體" w:hint="eastAsia"/>
                <w:color w:val="000000"/>
                <w:spacing w:val="-20"/>
                <w:kern w:val="0"/>
              </w:rPr>
              <w:t>4</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47" w:type="pct"/>
          </w:tcPr>
          <w:p w14:paraId="60B227EB" w14:textId="77777777" w:rsidR="00C82C27" w:rsidRPr="007A541C"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邀請司法院副秘書長、法務部部長列席就「如何加強微罪不舉原則運用，節省司法資源？」進行專題報告，並備質詢。</w:t>
            </w:r>
          </w:p>
        </w:tc>
        <w:tc>
          <w:tcPr>
            <w:tcW w:w="1087" w:type="pct"/>
          </w:tcPr>
          <w:p w14:paraId="2DB24BCD" w14:textId="77777777" w:rsidR="00C82C27"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林召集委員思銘</w:t>
            </w:r>
          </w:p>
          <w:p w14:paraId="2C12B165" w14:textId="77777777" w:rsidR="00C82C27" w:rsidRDefault="00C82C27" w:rsidP="00C82C27">
            <w:pPr>
              <w:spacing w:line="300" w:lineRule="exact"/>
              <w:jc w:val="both"/>
              <w:rPr>
                <w:rFonts w:ascii="標楷體" w:eastAsia="標楷體" w:hAnsi="標楷體"/>
                <w:color w:val="000000"/>
                <w:kern w:val="0"/>
              </w:rPr>
            </w:pPr>
          </w:p>
          <w:p w14:paraId="642C32D3" w14:textId="77777777" w:rsidR="00C82C27" w:rsidRPr="00186295"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司法院副秘書長、法務部部長</w:t>
            </w:r>
          </w:p>
        </w:tc>
        <w:tc>
          <w:tcPr>
            <w:tcW w:w="1143" w:type="pct"/>
          </w:tcPr>
          <w:p w14:paraId="0EA6BF44" w14:textId="77777777" w:rsidR="00C82C27"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報告及詢答完畢。</w:t>
            </w:r>
          </w:p>
          <w:p w14:paraId="2E045BC9"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110</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81</w:t>
            </w:r>
            <w:r w:rsidRPr="00BA2116">
              <w:rPr>
                <w:rFonts w:ascii="標楷體" w:eastAsia="標楷體" w:hAnsi="標楷體" w:hint="eastAsia"/>
                <w:color w:val="000000" w:themeColor="text1"/>
                <w:kern w:val="0"/>
              </w:rPr>
              <w:t>）</w:t>
            </w:r>
          </w:p>
        </w:tc>
      </w:tr>
      <w:tr w:rsidR="00C82C27" w:rsidRPr="00995BA1" w14:paraId="4DAB003D" w14:textId="77777777" w:rsidTr="00E55097">
        <w:tc>
          <w:tcPr>
            <w:tcW w:w="701" w:type="pct"/>
          </w:tcPr>
          <w:p w14:paraId="16B325ED"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hint="eastAsia"/>
                <w:color w:val="000000"/>
                <w:kern w:val="0"/>
              </w:rPr>
              <w:t>21</w:t>
            </w:r>
            <w:r w:rsidRPr="00186295">
              <w:rPr>
                <w:rFonts w:ascii="標楷體" w:eastAsia="標楷體" w:hAnsi="標楷體" w:hint="eastAsia"/>
                <w:color w:val="000000"/>
                <w:kern w:val="0"/>
              </w:rPr>
              <w:t>次全體委員會議</w:t>
            </w:r>
          </w:p>
        </w:tc>
        <w:tc>
          <w:tcPr>
            <w:tcW w:w="822" w:type="pct"/>
          </w:tcPr>
          <w:p w14:paraId="71C2B742"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111年11月2</w:t>
            </w:r>
            <w:r>
              <w:rPr>
                <w:rFonts w:ascii="標楷體" w:eastAsia="標楷體" w:hAnsi="標楷體" w:hint="eastAsia"/>
                <w:color w:val="000000"/>
                <w:spacing w:val="-20"/>
                <w:kern w:val="0"/>
              </w:rPr>
              <w:t>8</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47" w:type="pct"/>
          </w:tcPr>
          <w:p w14:paraId="55FD47BA" w14:textId="77777777" w:rsidR="00C82C27" w:rsidRPr="00F34383" w:rsidRDefault="00C82C27" w:rsidP="00C82C27">
            <w:pPr>
              <w:spacing w:line="300" w:lineRule="exact"/>
              <w:jc w:val="both"/>
              <w:rPr>
                <w:rFonts w:ascii="標楷體" w:eastAsia="標楷體" w:hAnsi="標楷體"/>
                <w:color w:val="000000"/>
                <w:kern w:val="0"/>
              </w:rPr>
            </w:pPr>
            <w:r w:rsidRPr="00F34383">
              <w:rPr>
                <w:rFonts w:ascii="標楷體" w:eastAsia="標楷體" w:hAnsi="標楷體" w:hint="eastAsia"/>
                <w:color w:val="000000"/>
                <w:kern w:val="0"/>
              </w:rPr>
              <w:t>一、繼續審查考試院函請審議「專門職業及技術人員轉任公務人員條例修正草案」案。</w:t>
            </w:r>
          </w:p>
          <w:p w14:paraId="70B58202" w14:textId="77777777" w:rsidR="00C82C27" w:rsidRPr="00C47C06" w:rsidRDefault="00C82C27" w:rsidP="00C82C27">
            <w:pPr>
              <w:spacing w:line="300" w:lineRule="exact"/>
              <w:jc w:val="both"/>
              <w:rPr>
                <w:rFonts w:ascii="標楷體" w:eastAsia="標楷體" w:hAnsi="標楷體"/>
                <w:color w:val="000000"/>
                <w:kern w:val="0"/>
              </w:rPr>
            </w:pPr>
            <w:r w:rsidRPr="00F34383">
              <w:rPr>
                <w:rFonts w:ascii="標楷體" w:eastAsia="標楷體" w:hAnsi="標楷體" w:hint="eastAsia"/>
                <w:color w:val="000000"/>
                <w:kern w:val="0"/>
              </w:rPr>
              <w:t>二、繼續併案審查</w:t>
            </w:r>
            <w:r w:rsidRPr="00F34383">
              <w:rPr>
                <w:rFonts w:ascii="標楷體" w:eastAsia="標楷體" w:hAnsi="標楷體" w:hint="eastAsia"/>
                <w:color w:val="000000"/>
                <w:kern w:val="0"/>
              </w:rPr>
              <w:lastRenderedPageBreak/>
              <w:t>（一）考試院函請審議「公務人員任用法第二十二條條文修正草案」、（二）委員蔡易餘等23人擬具「公務人員任用法第二十二條條文修正草案」、（三）委員鄭天財Sra Kacaw等17人擬具「公務人員任用法第二十二條條文修正草案」、（四）委員許智傑等18人擬具「公務人員任用法增訂第十八條之二條文草案」、（五）委員王定宇等19人擬具「公務人員任用法第二十八條條文修正草案」、（六）台灣民眾黨黨團擬具「公務人員任用法第二十八條條文修正草案」及（七）時代力量黨團擬具「公務人員任用法第二十八條條文修正草案」案。</w:t>
            </w:r>
          </w:p>
        </w:tc>
        <w:tc>
          <w:tcPr>
            <w:tcW w:w="1087" w:type="pct"/>
          </w:tcPr>
          <w:p w14:paraId="7E4985F4" w14:textId="77777777" w:rsidR="00C82C27"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lastRenderedPageBreak/>
              <w:t>林召集委員思銘</w:t>
            </w:r>
          </w:p>
          <w:p w14:paraId="65A4CBF6" w14:textId="77777777" w:rsidR="00C82C27" w:rsidRDefault="00C82C27" w:rsidP="00C82C27">
            <w:pPr>
              <w:spacing w:line="300" w:lineRule="exact"/>
              <w:jc w:val="both"/>
              <w:rPr>
                <w:rFonts w:ascii="標楷體" w:eastAsia="標楷體" w:hAnsi="標楷體"/>
                <w:color w:val="000000"/>
                <w:kern w:val="0"/>
              </w:rPr>
            </w:pPr>
          </w:p>
          <w:p w14:paraId="7E3192FA" w14:textId="77777777" w:rsidR="00C82C27" w:rsidRPr="00C47C06" w:rsidRDefault="00C82C27" w:rsidP="00C82C27">
            <w:pPr>
              <w:spacing w:line="300" w:lineRule="exact"/>
              <w:jc w:val="both"/>
              <w:rPr>
                <w:rFonts w:ascii="標楷體" w:eastAsia="標楷體" w:hAnsi="標楷體"/>
                <w:color w:val="000000"/>
                <w:kern w:val="0"/>
              </w:rPr>
            </w:pPr>
            <w:r w:rsidRPr="00F34383">
              <w:rPr>
                <w:rFonts w:ascii="標楷體" w:eastAsia="標楷體" w:hAnsi="標楷體" w:hint="eastAsia"/>
                <w:color w:val="000000"/>
                <w:kern w:val="0"/>
              </w:rPr>
              <w:t>考試院秘書長、銓敘部部長、考選部、司法院、內政部、法務部、行政</w:t>
            </w:r>
            <w:r w:rsidRPr="00F34383">
              <w:rPr>
                <w:rFonts w:ascii="標楷體" w:eastAsia="標楷體" w:hAnsi="標楷體" w:hint="eastAsia"/>
                <w:color w:val="000000"/>
                <w:kern w:val="0"/>
              </w:rPr>
              <w:lastRenderedPageBreak/>
              <w:t>院公共工程委員會、行政院人事行政總處</w:t>
            </w:r>
          </w:p>
        </w:tc>
        <w:tc>
          <w:tcPr>
            <w:tcW w:w="1143" w:type="pct"/>
          </w:tcPr>
          <w:p w14:paraId="4EE06F44" w14:textId="77777777" w:rsidR="00C82C27" w:rsidRDefault="00C82C27" w:rsidP="00C82C27">
            <w:pPr>
              <w:spacing w:line="300" w:lineRule="exact"/>
              <w:jc w:val="both"/>
              <w:rPr>
                <w:rFonts w:ascii="標楷體" w:eastAsia="標楷體" w:hAnsi="標楷體"/>
                <w:color w:val="000000"/>
                <w:kern w:val="0"/>
              </w:rPr>
            </w:pPr>
            <w:r w:rsidRPr="00836010">
              <w:rPr>
                <w:rFonts w:ascii="標楷體" w:eastAsia="標楷體" w:hAnsi="標楷體" w:hint="eastAsia"/>
                <w:color w:val="000000"/>
                <w:kern w:val="0"/>
              </w:rPr>
              <w:lastRenderedPageBreak/>
              <w:t>第一案審查完竣，</w:t>
            </w:r>
            <w:r>
              <w:rPr>
                <w:rFonts w:ascii="標楷體" w:eastAsia="標楷體" w:hAnsi="標楷體" w:hint="eastAsia"/>
                <w:color w:val="000000"/>
                <w:kern w:val="0"/>
              </w:rPr>
              <w:t>不</w:t>
            </w:r>
            <w:r w:rsidRPr="00836010">
              <w:rPr>
                <w:rFonts w:ascii="標楷體" w:eastAsia="標楷體" w:hAnsi="標楷體" w:hint="eastAsia"/>
                <w:color w:val="000000"/>
                <w:kern w:val="0"/>
              </w:rPr>
              <w:t>須交由黨團協商；</w:t>
            </w:r>
            <w:r>
              <w:rPr>
                <w:rFonts w:ascii="標楷體" w:eastAsia="標楷體" w:hAnsi="標楷體" w:hint="eastAsia"/>
                <w:color w:val="000000"/>
                <w:kern w:val="0"/>
              </w:rPr>
              <w:t>第二</w:t>
            </w:r>
            <w:r w:rsidRPr="00836010">
              <w:rPr>
                <w:rFonts w:ascii="標楷體" w:eastAsia="標楷體" w:hAnsi="標楷體" w:hint="eastAsia"/>
                <w:color w:val="000000"/>
                <w:kern w:val="0"/>
              </w:rPr>
              <w:t>案審查完竣，須交由黨團協商</w:t>
            </w:r>
            <w:r>
              <w:rPr>
                <w:rFonts w:ascii="標楷體" w:eastAsia="標楷體" w:hAnsi="標楷體" w:hint="eastAsia"/>
                <w:color w:val="000000"/>
                <w:kern w:val="0"/>
              </w:rPr>
              <w:t>。</w:t>
            </w:r>
          </w:p>
          <w:p w14:paraId="131953A8" w14:textId="77777777" w:rsidR="00C82C27" w:rsidRPr="00C47C06"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111</w:t>
            </w:r>
            <w:r w:rsidRPr="00BA2116">
              <w:rPr>
                <w:rFonts w:ascii="標楷體" w:eastAsia="標楷體" w:hAnsi="標楷體" w:hint="eastAsia"/>
                <w:color w:val="000000" w:themeColor="text1"/>
                <w:kern w:val="0"/>
              </w:rPr>
              <w:t>期</w:t>
            </w:r>
            <w:r w:rsidRPr="00BA2116">
              <w:rPr>
                <w:rFonts w:ascii="標楷體" w:eastAsia="標楷體" w:hAnsi="標楷體" w:hint="eastAsia"/>
                <w:color w:val="000000" w:themeColor="text1"/>
                <w:kern w:val="0"/>
              </w:rPr>
              <w:lastRenderedPageBreak/>
              <w:t>50</w:t>
            </w:r>
            <w:r>
              <w:rPr>
                <w:rFonts w:ascii="標楷體" w:eastAsia="標楷體" w:hAnsi="標楷體"/>
                <w:color w:val="000000" w:themeColor="text1"/>
                <w:kern w:val="0"/>
              </w:rPr>
              <w:t>82</w:t>
            </w:r>
            <w:r w:rsidRPr="00BA2116">
              <w:rPr>
                <w:rFonts w:ascii="標楷體" w:eastAsia="標楷體" w:hAnsi="標楷體" w:hint="eastAsia"/>
                <w:color w:val="000000" w:themeColor="text1"/>
                <w:kern w:val="0"/>
              </w:rPr>
              <w:t>）</w:t>
            </w:r>
          </w:p>
        </w:tc>
      </w:tr>
      <w:tr w:rsidR="00C82C27" w:rsidRPr="00995BA1" w14:paraId="0B93BF53" w14:textId="77777777" w:rsidTr="00E55097">
        <w:tc>
          <w:tcPr>
            <w:tcW w:w="701" w:type="pct"/>
          </w:tcPr>
          <w:p w14:paraId="34350472" w14:textId="77777777" w:rsidR="00C82C27" w:rsidRPr="00BA77FD" w:rsidRDefault="00C82C27" w:rsidP="00C82C27">
            <w:pPr>
              <w:spacing w:line="300" w:lineRule="exact"/>
              <w:jc w:val="both"/>
            </w:pPr>
            <w:r w:rsidRPr="00186295">
              <w:rPr>
                <w:rFonts w:ascii="標楷體" w:eastAsia="標楷體" w:hAnsi="標楷體" w:hint="eastAsia"/>
                <w:color w:val="000000"/>
                <w:kern w:val="0"/>
              </w:rPr>
              <w:lastRenderedPageBreak/>
              <w:t>第</w:t>
            </w:r>
            <w:r>
              <w:rPr>
                <w:rFonts w:ascii="標楷體" w:eastAsia="標楷體" w:hAnsi="標楷體" w:hint="eastAsia"/>
                <w:color w:val="000000"/>
                <w:kern w:val="0"/>
              </w:rPr>
              <w:t>2</w:t>
            </w:r>
            <w:r>
              <w:rPr>
                <w:rFonts w:ascii="標楷體" w:eastAsia="標楷體" w:hAnsi="標楷體"/>
                <w:color w:val="000000"/>
                <w:kern w:val="0"/>
              </w:rPr>
              <w:t>2</w:t>
            </w:r>
            <w:r w:rsidRPr="00186295">
              <w:rPr>
                <w:rFonts w:ascii="標楷體" w:eastAsia="標楷體" w:hAnsi="標楷體" w:hint="eastAsia"/>
                <w:color w:val="000000"/>
                <w:kern w:val="0"/>
              </w:rPr>
              <w:t>次全體委員會議</w:t>
            </w:r>
          </w:p>
        </w:tc>
        <w:tc>
          <w:tcPr>
            <w:tcW w:w="822" w:type="pct"/>
          </w:tcPr>
          <w:p w14:paraId="70F84C8C"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111年11月</w:t>
            </w:r>
            <w:r>
              <w:rPr>
                <w:rFonts w:ascii="標楷體" w:eastAsia="標楷體" w:hAnsi="標楷體"/>
                <w:color w:val="000000"/>
                <w:spacing w:val="-20"/>
                <w:kern w:val="0"/>
              </w:rPr>
              <w:t>30</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47" w:type="pct"/>
          </w:tcPr>
          <w:p w14:paraId="009D8D7A" w14:textId="77777777" w:rsidR="00C82C27" w:rsidRPr="007D5499" w:rsidRDefault="00C82C27" w:rsidP="00C82C27">
            <w:pPr>
              <w:spacing w:line="300" w:lineRule="exact"/>
              <w:jc w:val="both"/>
              <w:rPr>
                <w:rFonts w:ascii="標楷體" w:eastAsia="標楷體" w:hAnsi="標楷體"/>
                <w:color w:val="000000"/>
                <w:kern w:val="0"/>
              </w:rPr>
            </w:pPr>
            <w:r w:rsidRPr="007D5499">
              <w:rPr>
                <w:rFonts w:ascii="標楷體" w:eastAsia="標楷體" w:hAnsi="標楷體" w:hint="eastAsia"/>
                <w:color w:val="000000"/>
                <w:kern w:val="0"/>
              </w:rPr>
              <w:t>一、繼續審查112年度中央政府總預算案關於監察院主管（不含審計部及所屬）收支部分。</w:t>
            </w:r>
          </w:p>
          <w:p w14:paraId="3749231D" w14:textId="77777777" w:rsidR="00C82C27" w:rsidRPr="00F34383" w:rsidRDefault="00C82C27" w:rsidP="00C82C27">
            <w:pPr>
              <w:spacing w:line="300" w:lineRule="exact"/>
              <w:jc w:val="both"/>
              <w:rPr>
                <w:rFonts w:ascii="標楷體" w:eastAsia="標楷體" w:hAnsi="標楷體"/>
                <w:color w:val="000000"/>
                <w:kern w:val="0"/>
              </w:rPr>
            </w:pPr>
            <w:r w:rsidRPr="007D5499">
              <w:rPr>
                <w:rFonts w:ascii="標楷體" w:eastAsia="標楷體" w:hAnsi="標楷體" w:hint="eastAsia"/>
                <w:color w:val="000000"/>
                <w:kern w:val="0"/>
              </w:rPr>
              <w:t>二、繼續審查111年度中央政府總預算關於監察院主管預算凍結項目8案。</w:t>
            </w:r>
          </w:p>
        </w:tc>
        <w:tc>
          <w:tcPr>
            <w:tcW w:w="1087" w:type="pct"/>
          </w:tcPr>
          <w:p w14:paraId="0BD4E64F" w14:textId="77777777" w:rsidR="00C82C27"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t>林召集委員思銘</w:t>
            </w:r>
          </w:p>
          <w:p w14:paraId="01940A51" w14:textId="77777777" w:rsidR="00C82C27" w:rsidRDefault="00C82C27" w:rsidP="00C82C27">
            <w:pPr>
              <w:spacing w:line="300" w:lineRule="exact"/>
              <w:jc w:val="both"/>
              <w:rPr>
                <w:rFonts w:ascii="標楷體" w:eastAsia="標楷體" w:hAnsi="標楷體"/>
                <w:color w:val="000000"/>
                <w:kern w:val="0"/>
              </w:rPr>
            </w:pPr>
          </w:p>
          <w:p w14:paraId="275C7FF2" w14:textId="77777777" w:rsidR="00C82C27" w:rsidRPr="00C47C06" w:rsidRDefault="00C82C27" w:rsidP="00C82C27">
            <w:pPr>
              <w:spacing w:line="300" w:lineRule="exact"/>
              <w:jc w:val="both"/>
              <w:rPr>
                <w:rFonts w:ascii="標楷體" w:eastAsia="標楷體" w:hAnsi="標楷體"/>
                <w:color w:val="000000"/>
                <w:kern w:val="0"/>
              </w:rPr>
            </w:pPr>
            <w:r w:rsidRPr="007D5499">
              <w:rPr>
                <w:rFonts w:ascii="標楷體" w:eastAsia="標楷體" w:hAnsi="標楷體" w:hint="eastAsia"/>
                <w:color w:val="000000"/>
                <w:kern w:val="0"/>
              </w:rPr>
              <w:t>監察院秘書長、行政院主計總處</w:t>
            </w:r>
          </w:p>
        </w:tc>
        <w:tc>
          <w:tcPr>
            <w:tcW w:w="1143" w:type="pct"/>
          </w:tcPr>
          <w:p w14:paraId="22A53B70" w14:textId="77777777" w:rsidR="00C82C27" w:rsidRDefault="00C82C27" w:rsidP="00C82C27">
            <w:pPr>
              <w:spacing w:line="300" w:lineRule="exact"/>
              <w:jc w:val="both"/>
              <w:rPr>
                <w:rFonts w:ascii="標楷體" w:eastAsia="標楷體" w:hAnsi="標楷體"/>
                <w:color w:val="000000"/>
                <w:kern w:val="0"/>
              </w:rPr>
            </w:pPr>
            <w:r w:rsidRPr="00631F81">
              <w:rPr>
                <w:rFonts w:ascii="標楷體" w:eastAsia="標楷體" w:hAnsi="標楷體" w:hint="eastAsia"/>
                <w:color w:val="000000"/>
                <w:kern w:val="0"/>
              </w:rPr>
              <w:t>第一案審查完竣，須交由黨團協商；第二案中列討論事項第二案至第</w:t>
            </w:r>
            <w:r>
              <w:rPr>
                <w:rFonts w:ascii="標楷體" w:eastAsia="標楷體" w:hAnsi="標楷體" w:hint="eastAsia"/>
                <w:color w:val="000000"/>
                <w:kern w:val="0"/>
              </w:rPr>
              <w:t>九</w:t>
            </w:r>
            <w:r w:rsidRPr="00631F81">
              <w:rPr>
                <w:rFonts w:ascii="標楷體" w:eastAsia="標楷體" w:hAnsi="標楷體" w:hint="eastAsia"/>
                <w:color w:val="000000"/>
                <w:kern w:val="0"/>
              </w:rPr>
              <w:t>案，均准予動支，提報院會。</w:t>
            </w:r>
          </w:p>
          <w:p w14:paraId="37E5F278" w14:textId="77777777" w:rsidR="00C82C27" w:rsidRPr="00836010"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83</w:t>
            </w:r>
            <w:r w:rsidRPr="00BA2116">
              <w:rPr>
                <w:rFonts w:ascii="標楷體" w:eastAsia="標楷體" w:hAnsi="標楷體" w:hint="eastAsia"/>
                <w:color w:val="000000" w:themeColor="text1"/>
                <w:kern w:val="0"/>
              </w:rPr>
              <w:t>）</w:t>
            </w:r>
          </w:p>
        </w:tc>
      </w:tr>
      <w:tr w:rsidR="00C82C27" w:rsidRPr="00995BA1" w14:paraId="007A5795" w14:textId="77777777" w:rsidTr="00E55097">
        <w:tc>
          <w:tcPr>
            <w:tcW w:w="701" w:type="pct"/>
          </w:tcPr>
          <w:p w14:paraId="3E1F8727"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3</w:t>
            </w:r>
            <w:r w:rsidRPr="00186295">
              <w:rPr>
                <w:rFonts w:ascii="標楷體" w:eastAsia="標楷體" w:hAnsi="標楷體" w:hint="eastAsia"/>
                <w:color w:val="000000"/>
                <w:kern w:val="0"/>
              </w:rPr>
              <w:t>次全體委員會議</w:t>
            </w:r>
          </w:p>
        </w:tc>
        <w:tc>
          <w:tcPr>
            <w:tcW w:w="822" w:type="pct"/>
          </w:tcPr>
          <w:p w14:paraId="5A90BF41"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47" w:type="pct"/>
          </w:tcPr>
          <w:p w14:paraId="7E060384" w14:textId="77777777" w:rsidR="00C82C27" w:rsidRPr="000D283F" w:rsidRDefault="00C82C27" w:rsidP="00C82C27">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一、繼續審查112年度中央政府總預算案關於法務部及所屬主管收支部分。</w:t>
            </w:r>
          </w:p>
          <w:p w14:paraId="47C1D62A" w14:textId="77777777" w:rsidR="00C82C27" w:rsidRPr="000D283F" w:rsidRDefault="00C82C27" w:rsidP="00C82C27">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二、繼續審查112年度中央政府總預算</w:t>
            </w:r>
            <w:r w:rsidRPr="000D283F">
              <w:rPr>
                <w:rFonts w:ascii="標楷體" w:eastAsia="標楷體" w:hAnsi="標楷體" w:hint="eastAsia"/>
                <w:color w:val="000000"/>
                <w:kern w:val="0"/>
              </w:rPr>
              <w:lastRenderedPageBreak/>
              <w:t>案附屬單位預算非營業部分關於法務部主管「法務部矯正機關作業基金」收支部分。</w:t>
            </w:r>
          </w:p>
          <w:p w14:paraId="7241E2CB" w14:textId="77777777" w:rsidR="00C82C27" w:rsidRPr="000D283F" w:rsidRDefault="00C82C27" w:rsidP="00C82C27">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三、繼續審查112年度中央政府總預算案附屬單位預算非營業部分關於法務部主管「毒品防制基金」收支部分。</w:t>
            </w:r>
          </w:p>
          <w:p w14:paraId="64A68845" w14:textId="77777777" w:rsidR="00C82C27" w:rsidRPr="007D5499" w:rsidRDefault="00C82C27" w:rsidP="00C82C27">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四、繼續審查法務部函送財團法人臺灣更生保護會、財團法人福建更生保護會及財團法人犯罪被害人保護協會112年度預算書案。</w:t>
            </w:r>
          </w:p>
        </w:tc>
        <w:tc>
          <w:tcPr>
            <w:tcW w:w="1087" w:type="pct"/>
          </w:tcPr>
          <w:p w14:paraId="63C6A917" w14:textId="77777777" w:rsidR="00C82C27"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lastRenderedPageBreak/>
              <w:t>林召集委員思銘</w:t>
            </w:r>
          </w:p>
          <w:p w14:paraId="5751B205" w14:textId="77777777" w:rsidR="00C82C27" w:rsidRDefault="00C82C27" w:rsidP="00C82C27">
            <w:pPr>
              <w:spacing w:line="300" w:lineRule="exact"/>
              <w:jc w:val="both"/>
              <w:rPr>
                <w:rFonts w:ascii="標楷體" w:eastAsia="標楷體" w:hAnsi="標楷體"/>
                <w:color w:val="000000"/>
                <w:kern w:val="0"/>
              </w:rPr>
            </w:pPr>
          </w:p>
          <w:p w14:paraId="74273B69" w14:textId="77777777" w:rsidR="00C82C27" w:rsidRPr="00C47C06" w:rsidRDefault="00C82C27" w:rsidP="00C82C27">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t>法務部部長、最高檢察署檢察總長、法務部所屬機關首長、財團法人</w:t>
            </w:r>
            <w:r w:rsidRPr="000D283F">
              <w:rPr>
                <w:rFonts w:ascii="標楷體" w:eastAsia="標楷體" w:hAnsi="標楷體" w:hint="eastAsia"/>
                <w:color w:val="000000"/>
                <w:kern w:val="0"/>
              </w:rPr>
              <w:lastRenderedPageBreak/>
              <w:t>臺灣更生保護會董事長、財團法人福建更生保護會董事長、財團法人犯罪被害人保護協會董事長、行政院主計總處</w:t>
            </w:r>
          </w:p>
        </w:tc>
        <w:tc>
          <w:tcPr>
            <w:tcW w:w="1143" w:type="pct"/>
          </w:tcPr>
          <w:p w14:paraId="201F23EE" w14:textId="77777777" w:rsidR="00C82C27" w:rsidRDefault="00C82C27" w:rsidP="00C82C27">
            <w:pPr>
              <w:spacing w:line="300" w:lineRule="exact"/>
              <w:jc w:val="both"/>
              <w:rPr>
                <w:rFonts w:ascii="標楷體" w:eastAsia="標楷體" w:hAnsi="標楷體"/>
                <w:color w:val="000000"/>
                <w:kern w:val="0"/>
              </w:rPr>
            </w:pPr>
            <w:r w:rsidRPr="000D283F">
              <w:rPr>
                <w:rFonts w:ascii="標楷體" w:eastAsia="標楷體" w:hAnsi="標楷體" w:hint="eastAsia"/>
                <w:color w:val="000000"/>
                <w:kern w:val="0"/>
              </w:rPr>
              <w:lastRenderedPageBreak/>
              <w:t>第一案</w:t>
            </w:r>
            <w:r>
              <w:rPr>
                <w:rFonts w:ascii="標楷體" w:eastAsia="標楷體" w:hAnsi="標楷體" w:hint="eastAsia"/>
                <w:color w:val="000000"/>
                <w:kern w:val="0"/>
              </w:rPr>
              <w:t>至第三案</w:t>
            </w:r>
            <w:r w:rsidRPr="000D283F">
              <w:rPr>
                <w:rFonts w:ascii="標楷體" w:eastAsia="標楷體" w:hAnsi="標楷體" w:hint="eastAsia"/>
                <w:color w:val="000000"/>
                <w:kern w:val="0"/>
              </w:rPr>
              <w:t>審查完竣，</w:t>
            </w:r>
            <w:r>
              <w:rPr>
                <w:rFonts w:ascii="標楷體" w:eastAsia="標楷體" w:hAnsi="標楷體" w:hint="eastAsia"/>
                <w:color w:val="000000"/>
                <w:kern w:val="0"/>
              </w:rPr>
              <w:t>均</w:t>
            </w:r>
            <w:r w:rsidRPr="000D283F">
              <w:rPr>
                <w:rFonts w:ascii="標楷體" w:eastAsia="標楷體" w:hAnsi="標楷體" w:hint="eastAsia"/>
                <w:color w:val="000000"/>
                <w:kern w:val="0"/>
              </w:rPr>
              <w:t>須交由黨團協商</w:t>
            </w:r>
            <w:r>
              <w:rPr>
                <w:rFonts w:ascii="標楷體" w:eastAsia="標楷體" w:hAnsi="標楷體" w:hint="eastAsia"/>
                <w:color w:val="000000"/>
                <w:kern w:val="0"/>
              </w:rPr>
              <w:t>；第四案</w:t>
            </w:r>
            <w:r w:rsidRPr="000D283F">
              <w:rPr>
                <w:rFonts w:ascii="標楷體" w:eastAsia="標楷體" w:hAnsi="標楷體" w:hint="eastAsia"/>
                <w:color w:val="000000"/>
                <w:kern w:val="0"/>
              </w:rPr>
              <w:t>審查完竣，</w:t>
            </w:r>
            <w:r>
              <w:rPr>
                <w:rFonts w:ascii="標楷體" w:eastAsia="標楷體" w:hAnsi="標楷體" w:hint="eastAsia"/>
                <w:color w:val="000000"/>
                <w:kern w:val="0"/>
              </w:rPr>
              <w:t>不</w:t>
            </w:r>
            <w:r w:rsidRPr="000D283F">
              <w:rPr>
                <w:rFonts w:ascii="標楷體" w:eastAsia="標楷體" w:hAnsi="標楷體" w:hint="eastAsia"/>
                <w:color w:val="000000"/>
                <w:kern w:val="0"/>
              </w:rPr>
              <w:t>須交由黨團協商</w:t>
            </w:r>
            <w:r>
              <w:rPr>
                <w:rFonts w:ascii="標楷體" w:eastAsia="標楷體" w:hAnsi="標楷體" w:hint="eastAsia"/>
                <w:color w:val="000000"/>
                <w:kern w:val="0"/>
              </w:rPr>
              <w:t>。</w:t>
            </w:r>
          </w:p>
          <w:p w14:paraId="65B233CE" w14:textId="77777777" w:rsidR="00C82C27" w:rsidRPr="00631F81"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11</w:t>
            </w:r>
            <w:r>
              <w:rPr>
                <w:rFonts w:ascii="標楷體" w:eastAsia="標楷體" w:hAnsi="標楷體"/>
                <w:color w:val="000000" w:themeColor="text1"/>
                <w:kern w:val="0"/>
              </w:rPr>
              <w:t>4</w:t>
            </w:r>
            <w:r w:rsidRPr="00BA2116">
              <w:rPr>
                <w:rFonts w:ascii="標楷體" w:eastAsia="標楷體" w:hAnsi="標楷體" w:hint="eastAsia"/>
                <w:color w:val="000000" w:themeColor="text1"/>
                <w:kern w:val="0"/>
              </w:rPr>
              <w:t>期</w:t>
            </w:r>
            <w:r w:rsidRPr="00BA2116">
              <w:rPr>
                <w:rFonts w:ascii="標楷體" w:eastAsia="標楷體" w:hAnsi="標楷體" w:hint="eastAsia"/>
                <w:color w:val="000000" w:themeColor="text1"/>
                <w:kern w:val="0"/>
              </w:rPr>
              <w:lastRenderedPageBreak/>
              <w:t>50</w:t>
            </w:r>
            <w:r>
              <w:rPr>
                <w:rFonts w:ascii="標楷體" w:eastAsia="標楷體" w:hAnsi="標楷體"/>
                <w:color w:val="000000" w:themeColor="text1"/>
                <w:kern w:val="0"/>
              </w:rPr>
              <w:t>85</w:t>
            </w:r>
            <w:r w:rsidRPr="00BA2116">
              <w:rPr>
                <w:rFonts w:ascii="標楷體" w:eastAsia="標楷體" w:hAnsi="標楷體" w:hint="eastAsia"/>
                <w:color w:val="000000" w:themeColor="text1"/>
                <w:kern w:val="0"/>
              </w:rPr>
              <w:t>）</w:t>
            </w:r>
          </w:p>
        </w:tc>
      </w:tr>
      <w:tr w:rsidR="00C82C27" w:rsidRPr="00995BA1" w14:paraId="3F78D7CB" w14:textId="77777777" w:rsidTr="00E55097">
        <w:tc>
          <w:tcPr>
            <w:tcW w:w="701" w:type="pct"/>
          </w:tcPr>
          <w:p w14:paraId="707E9843" w14:textId="77777777" w:rsidR="00C82C27" w:rsidRPr="00186295" w:rsidRDefault="00C82C27" w:rsidP="00C82C27">
            <w:pPr>
              <w:spacing w:line="300" w:lineRule="exact"/>
              <w:jc w:val="both"/>
              <w:rPr>
                <w:rFonts w:ascii="標楷體" w:eastAsia="標楷體" w:hAnsi="標楷體"/>
                <w:color w:val="000000"/>
                <w:kern w:val="0"/>
              </w:rPr>
            </w:pPr>
            <w:r w:rsidRPr="00B51799">
              <w:rPr>
                <w:rFonts w:ascii="標楷體" w:eastAsia="標楷體" w:hAnsi="標楷體" w:hint="eastAsia"/>
                <w:color w:val="000000"/>
                <w:kern w:val="0"/>
              </w:rPr>
              <w:lastRenderedPageBreak/>
              <w:t>司法及法制、教育及文化委員會第1次聯席會議</w:t>
            </w:r>
          </w:p>
        </w:tc>
        <w:tc>
          <w:tcPr>
            <w:tcW w:w="822" w:type="pct"/>
          </w:tcPr>
          <w:p w14:paraId="43A437D4" w14:textId="77777777" w:rsidR="00C82C27" w:rsidRPr="00186295" w:rsidRDefault="00C82C27" w:rsidP="00C82C27">
            <w:pPr>
              <w:spacing w:line="300" w:lineRule="exact"/>
              <w:jc w:val="both"/>
              <w:rPr>
                <w:rFonts w:ascii="標楷體" w:eastAsia="標楷體" w:hAnsi="標楷體"/>
                <w:color w:val="000000"/>
                <w:spacing w:val="-20"/>
                <w:kern w:val="0"/>
              </w:rPr>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5</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47" w:type="pct"/>
          </w:tcPr>
          <w:p w14:paraId="0DFE9E34" w14:textId="77777777" w:rsidR="00C82C27" w:rsidRPr="000D283F" w:rsidRDefault="00C82C27" w:rsidP="00C82C27">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t>併案審查（一）行政院函請審議、（二）台灣民眾黨黨團、（三）委員黃國書等19人、（四）委員林宜瑾等20人及（五）委員張廖萬堅等21人分別擬具「國家運動科學中心設置條例草案」案。</w:t>
            </w:r>
          </w:p>
        </w:tc>
        <w:tc>
          <w:tcPr>
            <w:tcW w:w="1087" w:type="pct"/>
          </w:tcPr>
          <w:p w14:paraId="7C07F0BA" w14:textId="77777777" w:rsidR="00C82C27" w:rsidRDefault="00C82C27" w:rsidP="00C82C27">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t>陳召集委員歐珀</w:t>
            </w:r>
          </w:p>
          <w:p w14:paraId="57AB067B" w14:textId="77777777" w:rsidR="00C82C27" w:rsidRDefault="00C82C27" w:rsidP="00C82C27">
            <w:pPr>
              <w:spacing w:line="300" w:lineRule="exact"/>
              <w:jc w:val="both"/>
              <w:rPr>
                <w:rFonts w:ascii="標楷體" w:eastAsia="標楷體" w:hAnsi="標楷體"/>
                <w:color w:val="000000"/>
                <w:kern w:val="0"/>
              </w:rPr>
            </w:pPr>
          </w:p>
          <w:p w14:paraId="572480B6" w14:textId="77777777" w:rsidR="00C82C27" w:rsidRPr="00C47C06" w:rsidRDefault="00C82C27" w:rsidP="00C82C27">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t>教育部部長、行政院人事行政總處副人事長、銓敘部、內政部、外交部、財政部、法務部、衛生福利部、國家發展委員會、國家科學及技術委員會、行政院公共工程委員會、行政院主計總處</w:t>
            </w:r>
          </w:p>
        </w:tc>
        <w:tc>
          <w:tcPr>
            <w:tcW w:w="1143" w:type="pct"/>
          </w:tcPr>
          <w:p w14:paraId="2E6AB2C4" w14:textId="77777777" w:rsidR="00C82C27" w:rsidRDefault="00C82C27" w:rsidP="00C82C27">
            <w:pPr>
              <w:spacing w:line="300" w:lineRule="exact"/>
              <w:jc w:val="both"/>
              <w:rPr>
                <w:rFonts w:ascii="標楷體" w:eastAsia="標楷體" w:hAnsi="標楷體"/>
                <w:color w:val="000000"/>
                <w:kern w:val="0"/>
              </w:rPr>
            </w:pPr>
            <w:r w:rsidRPr="007A6FA8">
              <w:rPr>
                <w:rFonts w:ascii="標楷體" w:eastAsia="標楷體" w:hAnsi="標楷體" w:hint="eastAsia"/>
                <w:color w:val="000000"/>
                <w:kern w:val="0"/>
              </w:rPr>
              <w:t>審查完竣，須交由黨團協商</w:t>
            </w:r>
            <w:r>
              <w:rPr>
                <w:rFonts w:ascii="標楷體" w:eastAsia="標楷體" w:hAnsi="標楷體" w:hint="eastAsia"/>
                <w:color w:val="000000"/>
                <w:kern w:val="0"/>
              </w:rPr>
              <w:t>。</w:t>
            </w:r>
          </w:p>
          <w:p w14:paraId="4E58CB37" w14:textId="77777777" w:rsidR="00C82C27" w:rsidRPr="000D283F"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86</w:t>
            </w:r>
            <w:r w:rsidRPr="00BA2116">
              <w:rPr>
                <w:rFonts w:ascii="標楷體" w:eastAsia="標楷體" w:hAnsi="標楷體" w:hint="eastAsia"/>
                <w:color w:val="000000" w:themeColor="text1"/>
                <w:kern w:val="0"/>
              </w:rPr>
              <w:t>）</w:t>
            </w:r>
          </w:p>
        </w:tc>
      </w:tr>
      <w:tr w:rsidR="00C82C27" w:rsidRPr="00995BA1" w14:paraId="4168420D" w14:textId="77777777" w:rsidTr="00E55097">
        <w:tc>
          <w:tcPr>
            <w:tcW w:w="701" w:type="pct"/>
          </w:tcPr>
          <w:p w14:paraId="19FB6648"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4</w:t>
            </w:r>
            <w:r w:rsidRPr="00186295">
              <w:rPr>
                <w:rFonts w:ascii="標楷體" w:eastAsia="標楷體" w:hAnsi="標楷體" w:hint="eastAsia"/>
                <w:color w:val="000000"/>
                <w:kern w:val="0"/>
              </w:rPr>
              <w:t>次全體委員會議</w:t>
            </w:r>
          </w:p>
        </w:tc>
        <w:tc>
          <w:tcPr>
            <w:tcW w:w="822" w:type="pct"/>
          </w:tcPr>
          <w:p w14:paraId="5C8FA255"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7</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47" w:type="pct"/>
          </w:tcPr>
          <w:p w14:paraId="0D539057" w14:textId="77777777" w:rsidR="00C82C27" w:rsidRPr="007A2420" w:rsidRDefault="00C82C27" w:rsidP="00C82C27">
            <w:pPr>
              <w:spacing w:line="300" w:lineRule="exact"/>
              <w:jc w:val="both"/>
              <w:rPr>
                <w:rFonts w:ascii="標楷體" w:eastAsia="標楷體" w:hAnsi="標楷體"/>
                <w:color w:val="000000"/>
                <w:kern w:val="0"/>
              </w:rPr>
            </w:pPr>
            <w:r w:rsidRPr="00495AC0">
              <w:rPr>
                <w:rFonts w:ascii="標楷體" w:eastAsia="標楷體" w:hAnsi="標楷體" w:hint="eastAsia"/>
                <w:color w:val="000000"/>
                <w:kern w:val="0"/>
              </w:rPr>
              <w:t>一、繼續審查112年度中央政府總預算案關於行政院人事行政總處及所屬主管收支部分。二、繼續審查112年度中央政府總預算案附屬單位預算非營業部分關於行政院人事行政總處主管「中央公教人員急難救助基金」收支部分。</w:t>
            </w:r>
            <w:r w:rsidRPr="00495AC0">
              <w:rPr>
                <w:rFonts w:ascii="標楷體" w:eastAsia="標楷體" w:hAnsi="標楷體" w:hint="eastAsia"/>
                <w:color w:val="000000"/>
                <w:kern w:val="0"/>
              </w:rPr>
              <w:lastRenderedPageBreak/>
              <w:t>三、繼續處理111年度中央政府總預算關於公務人員保障暨培訓委員會及所屬主管預算凍結項目9案。</w:t>
            </w:r>
          </w:p>
        </w:tc>
        <w:tc>
          <w:tcPr>
            <w:tcW w:w="1087" w:type="pct"/>
          </w:tcPr>
          <w:p w14:paraId="59D51DF0" w14:textId="77777777" w:rsidR="00C82C27" w:rsidRDefault="00C82C27" w:rsidP="00C82C27">
            <w:pPr>
              <w:spacing w:line="300" w:lineRule="exact"/>
              <w:jc w:val="both"/>
              <w:rPr>
                <w:rFonts w:ascii="標楷體" w:eastAsia="標楷體" w:hAnsi="標楷體"/>
                <w:color w:val="000000"/>
                <w:kern w:val="0"/>
              </w:rPr>
            </w:pPr>
            <w:r w:rsidRPr="00C47C06">
              <w:rPr>
                <w:rFonts w:ascii="標楷體" w:eastAsia="標楷體" w:hAnsi="標楷體" w:hint="eastAsia"/>
                <w:color w:val="000000"/>
                <w:kern w:val="0"/>
              </w:rPr>
              <w:lastRenderedPageBreak/>
              <w:t>林召集委員思銘</w:t>
            </w:r>
          </w:p>
          <w:p w14:paraId="5FEA7333" w14:textId="77777777" w:rsidR="00C82C27" w:rsidRDefault="00C82C27" w:rsidP="00C82C27">
            <w:pPr>
              <w:spacing w:line="300" w:lineRule="exact"/>
              <w:jc w:val="both"/>
              <w:rPr>
                <w:rFonts w:ascii="標楷體" w:eastAsia="標楷體" w:hAnsi="標楷體"/>
                <w:color w:val="000000"/>
                <w:kern w:val="0"/>
              </w:rPr>
            </w:pPr>
          </w:p>
          <w:p w14:paraId="405264C3" w14:textId="77777777" w:rsidR="00C82C27" w:rsidRPr="007A2420" w:rsidRDefault="00C82C27" w:rsidP="00C82C27">
            <w:pPr>
              <w:spacing w:line="300" w:lineRule="exact"/>
              <w:jc w:val="both"/>
              <w:rPr>
                <w:rFonts w:ascii="標楷體" w:eastAsia="標楷體" w:hAnsi="標楷體"/>
                <w:color w:val="000000"/>
                <w:kern w:val="0"/>
              </w:rPr>
            </w:pPr>
            <w:r w:rsidRPr="00495AC0">
              <w:rPr>
                <w:rFonts w:ascii="標楷體" w:eastAsia="標楷體" w:hAnsi="標楷體" w:hint="eastAsia"/>
                <w:color w:val="000000"/>
                <w:kern w:val="0"/>
              </w:rPr>
              <w:t>行政院人事行政總處人事長、行政院人事行政總處公務人力發展學院院長、公務人員保障暨培訓委員會</w:t>
            </w:r>
            <w:r>
              <w:rPr>
                <w:rFonts w:ascii="標楷體" w:eastAsia="標楷體" w:hAnsi="標楷體" w:hint="eastAsia"/>
                <w:color w:val="000000"/>
                <w:kern w:val="0"/>
              </w:rPr>
              <w:t>主任委員、</w:t>
            </w:r>
            <w:r w:rsidRPr="00495AC0">
              <w:rPr>
                <w:rFonts w:ascii="標楷體" w:eastAsia="標楷體" w:hAnsi="標楷體" w:hint="eastAsia"/>
                <w:color w:val="000000"/>
                <w:kern w:val="0"/>
              </w:rPr>
              <w:t>行政院主計總處</w:t>
            </w:r>
          </w:p>
        </w:tc>
        <w:tc>
          <w:tcPr>
            <w:tcW w:w="1143" w:type="pct"/>
          </w:tcPr>
          <w:p w14:paraId="33F062A2"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第一案及第二案審查完竣，均須交由黨團協商；第三</w:t>
            </w:r>
            <w:r w:rsidRPr="008F56F5">
              <w:rPr>
                <w:rFonts w:ascii="標楷體" w:eastAsia="標楷體" w:hAnsi="標楷體" w:hint="eastAsia"/>
                <w:color w:val="000000"/>
                <w:kern w:val="0"/>
              </w:rPr>
              <w:t>案</w:t>
            </w:r>
            <w:r>
              <w:rPr>
                <w:rFonts w:ascii="標楷體" w:eastAsia="標楷體" w:hAnsi="標楷體" w:hint="eastAsia"/>
                <w:color w:val="000000"/>
                <w:kern w:val="0"/>
              </w:rPr>
              <w:t>另定期繼續處理</w:t>
            </w:r>
            <w:r w:rsidRPr="008F56F5">
              <w:rPr>
                <w:rFonts w:ascii="標楷體" w:eastAsia="標楷體" w:hAnsi="標楷體" w:hint="eastAsia"/>
                <w:color w:val="000000"/>
                <w:kern w:val="0"/>
              </w:rPr>
              <w:t>。</w:t>
            </w:r>
          </w:p>
          <w:p w14:paraId="2804B9DE"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2</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87</w:t>
            </w:r>
            <w:r w:rsidRPr="00BA2116">
              <w:rPr>
                <w:rFonts w:ascii="標楷體" w:eastAsia="標楷體" w:hAnsi="標楷體" w:hint="eastAsia"/>
                <w:color w:val="000000" w:themeColor="text1"/>
                <w:kern w:val="0"/>
              </w:rPr>
              <w:t>）</w:t>
            </w:r>
          </w:p>
          <w:p w14:paraId="585B4B65" w14:textId="77777777" w:rsidR="00C82C27" w:rsidRPr="007A6FA8" w:rsidRDefault="00C82C27" w:rsidP="00C82C27">
            <w:pPr>
              <w:spacing w:line="300" w:lineRule="exact"/>
              <w:jc w:val="both"/>
              <w:rPr>
                <w:rFonts w:ascii="標楷體" w:eastAsia="標楷體" w:hAnsi="標楷體"/>
                <w:color w:val="000000"/>
                <w:kern w:val="0"/>
              </w:rPr>
            </w:pPr>
          </w:p>
        </w:tc>
      </w:tr>
      <w:tr w:rsidR="00C82C27" w:rsidRPr="00995BA1" w14:paraId="041ECCF9" w14:textId="77777777" w:rsidTr="00E55097">
        <w:tc>
          <w:tcPr>
            <w:tcW w:w="701" w:type="pct"/>
          </w:tcPr>
          <w:p w14:paraId="57BAB6D3" w14:textId="77777777" w:rsidR="00C82C27" w:rsidRPr="00BA77FD" w:rsidRDefault="00C82C27" w:rsidP="00C82C27">
            <w:pPr>
              <w:spacing w:line="300" w:lineRule="exact"/>
              <w:jc w:val="both"/>
            </w:pPr>
            <w:r w:rsidRPr="00186295">
              <w:rPr>
                <w:rFonts w:ascii="標楷體" w:eastAsia="標楷體" w:hAnsi="標楷體" w:hint="eastAsia"/>
                <w:color w:val="000000"/>
                <w:kern w:val="0"/>
              </w:rPr>
              <w:lastRenderedPageBreak/>
              <w:t>第</w:t>
            </w:r>
            <w:r>
              <w:rPr>
                <w:rFonts w:ascii="標楷體" w:eastAsia="標楷體" w:hAnsi="標楷體"/>
                <w:color w:val="000000"/>
                <w:kern w:val="0"/>
              </w:rPr>
              <w:t>25</w:t>
            </w:r>
            <w:r w:rsidRPr="00186295">
              <w:rPr>
                <w:rFonts w:ascii="標楷體" w:eastAsia="標楷體" w:hAnsi="標楷體" w:hint="eastAsia"/>
                <w:color w:val="000000"/>
                <w:kern w:val="0"/>
              </w:rPr>
              <w:t>次全體委員會議</w:t>
            </w:r>
          </w:p>
        </w:tc>
        <w:tc>
          <w:tcPr>
            <w:tcW w:w="822" w:type="pct"/>
          </w:tcPr>
          <w:p w14:paraId="3104AF25"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8</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47" w:type="pct"/>
          </w:tcPr>
          <w:p w14:paraId="1BBFE6E6" w14:textId="77777777" w:rsidR="00C82C27" w:rsidRPr="006B75DF" w:rsidRDefault="00C82C27" w:rsidP="00C82C27">
            <w:pPr>
              <w:spacing w:line="300" w:lineRule="exact"/>
              <w:jc w:val="both"/>
              <w:rPr>
                <w:rFonts w:ascii="標楷體" w:eastAsia="標楷體" w:hAnsi="標楷體"/>
                <w:color w:val="000000"/>
                <w:kern w:val="0"/>
              </w:rPr>
            </w:pPr>
            <w:r w:rsidRPr="006B75DF">
              <w:rPr>
                <w:rFonts w:ascii="標楷體" w:eastAsia="標楷體" w:hAnsi="標楷體" w:hint="eastAsia"/>
                <w:color w:val="000000"/>
                <w:kern w:val="0"/>
              </w:rPr>
              <w:t>一、繼續審查112年度中央政府總預算案關於司法院及所屬主管收支部分。</w:t>
            </w:r>
          </w:p>
          <w:p w14:paraId="2C09D1D5" w14:textId="77777777" w:rsidR="00C82C27" w:rsidRPr="00495AC0" w:rsidRDefault="00C82C27" w:rsidP="00C82C27">
            <w:pPr>
              <w:spacing w:line="300" w:lineRule="exact"/>
              <w:jc w:val="both"/>
              <w:rPr>
                <w:rFonts w:ascii="標楷體" w:eastAsia="標楷體" w:hAnsi="標楷體"/>
                <w:color w:val="000000"/>
                <w:kern w:val="0"/>
              </w:rPr>
            </w:pPr>
            <w:r w:rsidRPr="006B75DF">
              <w:rPr>
                <w:rFonts w:ascii="標楷體" w:eastAsia="標楷體" w:hAnsi="標楷體" w:hint="eastAsia"/>
                <w:color w:val="000000"/>
                <w:kern w:val="0"/>
              </w:rPr>
              <w:t>二、繼續審查司法院函送財團法人法律扶助基金會112年度預算書案。</w:t>
            </w:r>
          </w:p>
        </w:tc>
        <w:tc>
          <w:tcPr>
            <w:tcW w:w="1087" w:type="pct"/>
          </w:tcPr>
          <w:p w14:paraId="0FC3AEC6" w14:textId="77777777" w:rsidR="00C82C27" w:rsidRDefault="00C82C27" w:rsidP="00C82C27">
            <w:pPr>
              <w:spacing w:line="300" w:lineRule="exact"/>
              <w:jc w:val="both"/>
              <w:rPr>
                <w:rFonts w:ascii="標楷體" w:eastAsia="標楷體" w:hAnsi="標楷體"/>
                <w:color w:val="000000"/>
                <w:kern w:val="0"/>
              </w:rPr>
            </w:pPr>
            <w:r w:rsidRPr="007A2420">
              <w:rPr>
                <w:rFonts w:ascii="標楷體" w:eastAsia="標楷體" w:hAnsi="標楷體" w:hint="eastAsia"/>
                <w:color w:val="000000"/>
                <w:kern w:val="0"/>
              </w:rPr>
              <w:t>陳召集委員歐珀</w:t>
            </w:r>
          </w:p>
          <w:p w14:paraId="6114A5F6" w14:textId="77777777" w:rsidR="00C82C27" w:rsidRDefault="00C82C27" w:rsidP="00C82C27">
            <w:pPr>
              <w:spacing w:line="300" w:lineRule="exact"/>
              <w:jc w:val="both"/>
              <w:rPr>
                <w:rFonts w:ascii="標楷體" w:eastAsia="標楷體" w:hAnsi="標楷體"/>
                <w:color w:val="000000"/>
                <w:kern w:val="0"/>
              </w:rPr>
            </w:pPr>
          </w:p>
          <w:p w14:paraId="702FCBDF" w14:textId="77777777" w:rsidR="00C82C27" w:rsidRPr="00C47C06" w:rsidRDefault="00C82C27" w:rsidP="00C82C27">
            <w:pPr>
              <w:spacing w:line="300" w:lineRule="exact"/>
              <w:jc w:val="both"/>
              <w:rPr>
                <w:rFonts w:ascii="標楷體" w:eastAsia="標楷體" w:hAnsi="標楷體"/>
                <w:color w:val="000000"/>
                <w:kern w:val="0"/>
              </w:rPr>
            </w:pPr>
            <w:r w:rsidRPr="006B75DF">
              <w:rPr>
                <w:rFonts w:ascii="標楷體" w:eastAsia="標楷體" w:hAnsi="標楷體" w:hint="eastAsia"/>
                <w:color w:val="000000"/>
                <w:kern w:val="0"/>
              </w:rPr>
              <w:t>司法院秘書長及司法院所屬機關首長、財團法人法律扶助基金會董事長、行政院主計總處</w:t>
            </w:r>
          </w:p>
        </w:tc>
        <w:tc>
          <w:tcPr>
            <w:tcW w:w="1143" w:type="pct"/>
          </w:tcPr>
          <w:p w14:paraId="74AD0D5D"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第一案審查完竣，須交由黨團協商；第二案審查完竣，不須交由黨團協商。</w:t>
            </w:r>
          </w:p>
          <w:p w14:paraId="2DE6A398"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5</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90</w:t>
            </w:r>
            <w:r w:rsidRPr="00BA2116">
              <w:rPr>
                <w:rFonts w:ascii="標楷體" w:eastAsia="標楷體" w:hAnsi="標楷體" w:hint="eastAsia"/>
                <w:color w:val="000000" w:themeColor="text1"/>
                <w:kern w:val="0"/>
              </w:rPr>
              <w:t>）</w:t>
            </w:r>
          </w:p>
        </w:tc>
      </w:tr>
      <w:tr w:rsidR="00C82C27" w:rsidRPr="00995BA1" w14:paraId="2731944E" w14:textId="77777777" w:rsidTr="00E55097">
        <w:tc>
          <w:tcPr>
            <w:tcW w:w="701" w:type="pct"/>
          </w:tcPr>
          <w:p w14:paraId="2CAA1C43"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6</w:t>
            </w:r>
            <w:r w:rsidRPr="00186295">
              <w:rPr>
                <w:rFonts w:ascii="標楷體" w:eastAsia="標楷體" w:hAnsi="標楷體" w:hint="eastAsia"/>
                <w:color w:val="000000"/>
                <w:kern w:val="0"/>
              </w:rPr>
              <w:t>次全體委員會議</w:t>
            </w:r>
          </w:p>
        </w:tc>
        <w:tc>
          <w:tcPr>
            <w:tcW w:w="822" w:type="pct"/>
          </w:tcPr>
          <w:p w14:paraId="150B0BD6"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47" w:type="pct"/>
          </w:tcPr>
          <w:p w14:paraId="63D1CDE2" w14:textId="77777777" w:rsidR="00C82C27" w:rsidRPr="00FF4CFC"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一、併案審查（一）行政院函請審議「法務部法醫研究所組織法第二條及第五條條文修正草案」、（二）委員萬美玲等23人擬具「法務部法醫研究所組織法第二條及第五條條文修正草案」、（三）時代力量黨團擬具「法務部法醫研究所組織法第二條條文修正草案」、（四）委員黃世杰等20人擬具「法務部法醫研究所組織法第二條條文修正草案」、（五）台灣民眾黨黨團擬具「法務部法醫研究所組織法第二條及第五條條文修正草案」及（六）委員伍麗華Saidhai‧Tahovecahe等17人擬具「法務部法醫研究所組織法第二條及第五條條文修正草案」案。</w:t>
            </w:r>
          </w:p>
          <w:p w14:paraId="02D43956" w14:textId="77777777" w:rsidR="00C82C27" w:rsidRPr="00FF4CFC"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二、併案審查（一）</w:t>
            </w:r>
            <w:r w:rsidRPr="00FF4CFC">
              <w:rPr>
                <w:rFonts w:ascii="標楷體" w:eastAsia="標楷體" w:hAnsi="標楷體" w:hint="eastAsia"/>
                <w:color w:val="000000"/>
                <w:kern w:val="0"/>
              </w:rPr>
              <w:lastRenderedPageBreak/>
              <w:t>行政院函請審議「法務部司法官學院組織法第二條及第八條條文修正草案」、（二）委員黃世杰等19人擬具「法務部司法官學院組織法第二條條文修正草案」、（三）台灣民眾黨黨團擬具「法務部司法官學院組織法第二條及第八條條文修正草案」及（四）委員伍麗華</w:t>
            </w:r>
            <w:r w:rsidRPr="00B96485">
              <w:rPr>
                <w:rFonts w:ascii="標楷體" w:eastAsia="標楷體" w:hAnsi="標楷體" w:hint="eastAsia"/>
                <w:color w:val="000000"/>
                <w:spacing w:val="-20"/>
                <w:kern w:val="0"/>
              </w:rPr>
              <w:t>Saidhai‧Tahovecahe</w:t>
            </w:r>
            <w:r w:rsidRPr="00FF4CFC">
              <w:rPr>
                <w:rFonts w:ascii="標楷體" w:eastAsia="標楷體" w:hAnsi="標楷體" w:hint="eastAsia"/>
                <w:color w:val="000000"/>
                <w:kern w:val="0"/>
              </w:rPr>
              <w:t>等16人擬具「法務部司法官學院組織法第二條及第八條條文修正草案」案。</w:t>
            </w:r>
          </w:p>
          <w:p w14:paraId="22A850BE" w14:textId="77777777" w:rsidR="00C82C27" w:rsidRPr="00FF4CFC"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三、審查委員黃世杰等20人擬具「少年矯正學校設置及教育實施通則第四十六條條文修正草案」案。</w:t>
            </w:r>
          </w:p>
          <w:p w14:paraId="2E2E3ADB" w14:textId="77777777" w:rsidR="00C82C27" w:rsidRPr="00FF4CFC"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四、併案審查（一）委員黃世杰等22人及（二）委員林宜瑾等18人分別擬具「少年觀護所設置及實施通則第二條條文修正草案」案。</w:t>
            </w:r>
          </w:p>
          <w:p w14:paraId="3E94A605" w14:textId="77777777" w:rsidR="00C82C27" w:rsidRPr="00FF4CFC"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五、併案審查（一）委員黃世杰等20人及（二）委員林宜瑾等18人分別擬具「鄉鎮市調解條例部分條文修正草案」案。</w:t>
            </w:r>
          </w:p>
          <w:p w14:paraId="67B1EC13" w14:textId="77777777" w:rsidR="00C82C27" w:rsidRPr="00FF4CFC"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六、審查委員黃世杰等20人擬具「戒治處分執行條例第十八條條文修正草案」案。</w:t>
            </w:r>
          </w:p>
          <w:p w14:paraId="2FBA8213" w14:textId="77777777" w:rsidR="00C82C27" w:rsidRPr="006B75DF"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七、審查委員黃世杰</w:t>
            </w:r>
            <w:r w:rsidRPr="00FF4CFC">
              <w:rPr>
                <w:rFonts w:ascii="標楷體" w:eastAsia="標楷體" w:hAnsi="標楷體" w:hint="eastAsia"/>
                <w:color w:val="000000"/>
                <w:kern w:val="0"/>
              </w:rPr>
              <w:lastRenderedPageBreak/>
              <w:t>等21人擬具「公設辯護人條例第七條條文修正草案」案。</w:t>
            </w:r>
          </w:p>
        </w:tc>
        <w:tc>
          <w:tcPr>
            <w:tcW w:w="1087" w:type="pct"/>
          </w:tcPr>
          <w:p w14:paraId="211CDF55" w14:textId="77777777" w:rsidR="00C82C27" w:rsidRDefault="00C82C27" w:rsidP="00C82C27">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lastRenderedPageBreak/>
              <w:t>陳召集委員歐珀</w:t>
            </w:r>
          </w:p>
          <w:p w14:paraId="6BB07DD8" w14:textId="77777777" w:rsidR="00C82C27" w:rsidRDefault="00C82C27" w:rsidP="00C82C27">
            <w:pPr>
              <w:spacing w:line="300" w:lineRule="exact"/>
              <w:jc w:val="both"/>
              <w:rPr>
                <w:rFonts w:ascii="標楷體" w:eastAsia="標楷體" w:hAnsi="標楷體"/>
                <w:color w:val="000000"/>
                <w:kern w:val="0"/>
              </w:rPr>
            </w:pPr>
          </w:p>
          <w:p w14:paraId="6CD8A99F" w14:textId="77777777" w:rsidR="00C82C27" w:rsidRPr="007A2420" w:rsidRDefault="00C82C27" w:rsidP="00C82C27">
            <w:pPr>
              <w:spacing w:line="300" w:lineRule="exact"/>
              <w:jc w:val="both"/>
              <w:rPr>
                <w:rFonts w:ascii="標楷體" w:eastAsia="標楷體" w:hAnsi="標楷體"/>
                <w:color w:val="000000"/>
                <w:kern w:val="0"/>
              </w:rPr>
            </w:pPr>
            <w:r w:rsidRPr="00FF4CFC">
              <w:rPr>
                <w:rFonts w:ascii="標楷體" w:eastAsia="標楷體" w:hAnsi="標楷體" w:hint="eastAsia"/>
                <w:color w:val="000000"/>
                <w:kern w:val="0"/>
              </w:rPr>
              <w:t>法務部部長、司法院副秘書長、銓敘部、國家發展委員會、行政院人事行政總處、行政院主計總處</w:t>
            </w:r>
          </w:p>
        </w:tc>
        <w:tc>
          <w:tcPr>
            <w:tcW w:w="1143" w:type="pct"/>
          </w:tcPr>
          <w:p w14:paraId="4EF0372A"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第一案至第七</w:t>
            </w:r>
            <w:r w:rsidRPr="00FF4CFC">
              <w:rPr>
                <w:rFonts w:ascii="標楷體" w:eastAsia="標楷體" w:hAnsi="標楷體" w:hint="eastAsia"/>
                <w:color w:val="000000"/>
                <w:kern w:val="0"/>
              </w:rPr>
              <w:t>案審查完竣，均</w:t>
            </w:r>
            <w:r>
              <w:rPr>
                <w:rFonts w:ascii="標楷體" w:eastAsia="標楷體" w:hAnsi="標楷體" w:hint="eastAsia"/>
                <w:color w:val="000000"/>
                <w:kern w:val="0"/>
              </w:rPr>
              <w:t>不</w:t>
            </w:r>
            <w:r w:rsidRPr="00FF4CFC">
              <w:rPr>
                <w:rFonts w:ascii="標楷體" w:eastAsia="標楷體" w:hAnsi="標楷體" w:hint="eastAsia"/>
                <w:color w:val="000000"/>
                <w:kern w:val="0"/>
              </w:rPr>
              <w:t>須交由黨團協商</w:t>
            </w:r>
            <w:r>
              <w:rPr>
                <w:rFonts w:ascii="標楷體" w:eastAsia="標楷體" w:hAnsi="標楷體" w:hint="eastAsia"/>
                <w:color w:val="000000"/>
                <w:kern w:val="0"/>
              </w:rPr>
              <w:t>。</w:t>
            </w:r>
          </w:p>
          <w:p w14:paraId="70813094"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5</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90</w:t>
            </w:r>
            <w:r w:rsidRPr="00BA2116">
              <w:rPr>
                <w:rFonts w:ascii="標楷體" w:eastAsia="標楷體" w:hAnsi="標楷體" w:hint="eastAsia"/>
                <w:color w:val="000000" w:themeColor="text1"/>
                <w:kern w:val="0"/>
              </w:rPr>
              <w:t>）</w:t>
            </w:r>
          </w:p>
        </w:tc>
      </w:tr>
      <w:tr w:rsidR="00C82C27" w:rsidRPr="00995BA1" w14:paraId="3415AB10" w14:textId="77777777" w:rsidTr="00E55097">
        <w:tc>
          <w:tcPr>
            <w:tcW w:w="701" w:type="pct"/>
          </w:tcPr>
          <w:p w14:paraId="34133599" w14:textId="77777777" w:rsidR="00C82C27" w:rsidRPr="0093787F" w:rsidRDefault="00C82C27" w:rsidP="00C82C27">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lastRenderedPageBreak/>
              <w:t>公聽會</w:t>
            </w:r>
          </w:p>
        </w:tc>
        <w:tc>
          <w:tcPr>
            <w:tcW w:w="822" w:type="pct"/>
          </w:tcPr>
          <w:p w14:paraId="5FFC1070"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6573F8">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14日（星期三</w:t>
            </w:r>
            <w:r w:rsidRPr="006573F8">
              <w:rPr>
                <w:rFonts w:ascii="標楷體" w:eastAsia="標楷體" w:hAnsi="標楷體" w:hint="eastAsia"/>
                <w:color w:val="000000"/>
                <w:spacing w:val="-20"/>
                <w:kern w:val="0"/>
              </w:rPr>
              <w:t>）</w:t>
            </w:r>
          </w:p>
        </w:tc>
        <w:tc>
          <w:tcPr>
            <w:tcW w:w="1247" w:type="pct"/>
          </w:tcPr>
          <w:p w14:paraId="640F7B11" w14:textId="77777777" w:rsidR="00C82C27" w:rsidRPr="00177073" w:rsidRDefault="00C82C27" w:rsidP="00C82C27">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w:t>
            </w:r>
            <w:r w:rsidRPr="008359BB">
              <w:rPr>
                <w:rFonts w:ascii="標楷體" w:eastAsia="標楷體" w:hAnsi="標楷體" w:hint="eastAsia"/>
                <w:color w:val="000000"/>
                <w:kern w:val="0"/>
              </w:rPr>
              <w:t>外役監條例部分條文修正草案</w:t>
            </w:r>
            <w:r w:rsidRPr="006573F8">
              <w:rPr>
                <w:rFonts w:ascii="標楷體" w:eastAsia="標楷體" w:hAnsi="標楷體" w:hint="eastAsia"/>
                <w:color w:val="000000"/>
                <w:kern w:val="0"/>
              </w:rPr>
              <w:t>」公聽會</w:t>
            </w:r>
            <w:r>
              <w:rPr>
                <w:rFonts w:ascii="標楷體" w:eastAsia="標楷體" w:hAnsi="標楷體" w:hint="eastAsia"/>
                <w:color w:val="000000"/>
                <w:kern w:val="0"/>
              </w:rPr>
              <w:t>。</w:t>
            </w:r>
          </w:p>
        </w:tc>
        <w:tc>
          <w:tcPr>
            <w:tcW w:w="1087" w:type="pct"/>
          </w:tcPr>
          <w:p w14:paraId="40F127F9" w14:textId="77777777" w:rsidR="00C82C27" w:rsidRDefault="00C82C27" w:rsidP="00C82C27">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t>陳召集委員歐珀</w:t>
            </w:r>
          </w:p>
          <w:p w14:paraId="7E974B67" w14:textId="77777777" w:rsidR="00C82C27" w:rsidRDefault="00C82C27" w:rsidP="00C82C27">
            <w:pPr>
              <w:spacing w:line="300" w:lineRule="exact"/>
              <w:jc w:val="both"/>
              <w:rPr>
                <w:rFonts w:ascii="標楷體" w:eastAsia="標楷體" w:hAnsi="標楷體"/>
                <w:color w:val="000000"/>
                <w:kern w:val="0"/>
              </w:rPr>
            </w:pPr>
          </w:p>
          <w:p w14:paraId="0D34A75B" w14:textId="77777777" w:rsidR="00C82C27" w:rsidRPr="00FF4CFC" w:rsidRDefault="00C82C27" w:rsidP="00C82C27">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t>法務部部長、法務部矯正署署長、司法院、衛生福利部、國防部、勞動部、教育部、內政部警政署</w:t>
            </w:r>
          </w:p>
        </w:tc>
        <w:tc>
          <w:tcPr>
            <w:tcW w:w="1143" w:type="pct"/>
          </w:tcPr>
          <w:p w14:paraId="38050821" w14:textId="67B795DF" w:rsidR="00C82C27" w:rsidRDefault="00C82C27" w:rsidP="00504A3B">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sidR="00504A3B">
              <w:rPr>
                <w:rFonts w:ascii="標楷體" w:eastAsia="標楷體" w:hAnsi="標楷體" w:hint="eastAsia"/>
                <w:color w:val="000000" w:themeColor="text1"/>
                <w:kern w:val="0"/>
              </w:rPr>
              <w:t>6</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9</w:t>
            </w:r>
            <w:r w:rsidR="001111D4">
              <w:rPr>
                <w:rFonts w:ascii="標楷體" w:eastAsia="標楷體" w:hAnsi="標楷體"/>
                <w:color w:val="000000" w:themeColor="text1"/>
                <w:kern w:val="0"/>
              </w:rPr>
              <w:t>1</w:t>
            </w:r>
            <w:r w:rsidRPr="00BA2116">
              <w:rPr>
                <w:rFonts w:ascii="標楷體" w:eastAsia="標楷體" w:hAnsi="標楷體" w:hint="eastAsia"/>
                <w:color w:val="000000" w:themeColor="text1"/>
                <w:kern w:val="0"/>
              </w:rPr>
              <w:t>）</w:t>
            </w:r>
          </w:p>
        </w:tc>
      </w:tr>
      <w:tr w:rsidR="00C82C27" w:rsidRPr="00995BA1" w14:paraId="15DD2BAA" w14:textId="77777777" w:rsidTr="00E55097">
        <w:tc>
          <w:tcPr>
            <w:tcW w:w="701" w:type="pct"/>
          </w:tcPr>
          <w:p w14:paraId="3E504CD2"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7</w:t>
            </w:r>
            <w:r w:rsidRPr="00186295">
              <w:rPr>
                <w:rFonts w:ascii="標楷體" w:eastAsia="標楷體" w:hAnsi="標楷體" w:hint="eastAsia"/>
                <w:color w:val="000000"/>
                <w:kern w:val="0"/>
              </w:rPr>
              <w:t>次全體委員會議</w:t>
            </w:r>
          </w:p>
        </w:tc>
        <w:tc>
          <w:tcPr>
            <w:tcW w:w="822" w:type="pct"/>
          </w:tcPr>
          <w:p w14:paraId="299FDD1F" w14:textId="6273FD2E"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15</w:t>
            </w:r>
            <w:r w:rsidRPr="00186295">
              <w:rPr>
                <w:rFonts w:ascii="標楷體" w:eastAsia="標楷體" w:hAnsi="標楷體" w:hint="eastAsia"/>
                <w:color w:val="000000"/>
                <w:spacing w:val="-20"/>
                <w:kern w:val="0"/>
              </w:rPr>
              <w:t>日</w:t>
            </w:r>
            <w:r w:rsidR="002E3F95">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47" w:type="pct"/>
          </w:tcPr>
          <w:p w14:paraId="74F2B704" w14:textId="77777777" w:rsidR="00C82C27" w:rsidRPr="003108C5" w:rsidRDefault="00C82C27" w:rsidP="00C82C27">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一、審查112年度中央政府總預算案關於總統府主管（不含中央研究院）收支部分。</w:t>
            </w:r>
          </w:p>
          <w:p w14:paraId="1E63FC9B" w14:textId="77777777" w:rsidR="00C82C27" w:rsidRPr="003108C5" w:rsidRDefault="00C82C27" w:rsidP="00C82C27">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二、處理111年度中央政府總預算關於總統府預算凍結項目1案。</w:t>
            </w:r>
          </w:p>
          <w:p w14:paraId="7CDE8C5D" w14:textId="77777777" w:rsidR="00C82C27" w:rsidRPr="003108C5" w:rsidRDefault="00C82C27" w:rsidP="00C82C27">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三、審查111年度中央政府總預算關於國家安全會議預算凍結項目2案。</w:t>
            </w:r>
          </w:p>
          <w:p w14:paraId="00BBC59F" w14:textId="77777777" w:rsidR="00C82C27" w:rsidRPr="006573F8" w:rsidRDefault="00C82C27" w:rsidP="00C82C27">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四、處理111年度中央政府總預算關於國史館預算凍結項目2案。</w:t>
            </w:r>
          </w:p>
        </w:tc>
        <w:tc>
          <w:tcPr>
            <w:tcW w:w="1087" w:type="pct"/>
          </w:tcPr>
          <w:p w14:paraId="3E9925BA" w14:textId="77777777" w:rsidR="00C82C27" w:rsidRDefault="00C82C27" w:rsidP="00C82C27">
            <w:pPr>
              <w:spacing w:line="300" w:lineRule="exact"/>
              <w:jc w:val="both"/>
              <w:rPr>
                <w:rFonts w:ascii="標楷體" w:eastAsia="標楷體" w:hAnsi="標楷體"/>
                <w:color w:val="000000"/>
                <w:kern w:val="0"/>
              </w:rPr>
            </w:pPr>
            <w:r w:rsidRPr="008359BB">
              <w:rPr>
                <w:rFonts w:ascii="標楷體" w:eastAsia="標楷體" w:hAnsi="標楷體" w:hint="eastAsia"/>
                <w:color w:val="000000"/>
                <w:kern w:val="0"/>
              </w:rPr>
              <w:t>陳召集委員歐珀</w:t>
            </w:r>
          </w:p>
          <w:p w14:paraId="1449168F" w14:textId="77777777" w:rsidR="00C82C27" w:rsidRDefault="00C82C27" w:rsidP="00C82C27">
            <w:pPr>
              <w:spacing w:line="300" w:lineRule="exact"/>
              <w:jc w:val="both"/>
              <w:rPr>
                <w:rFonts w:ascii="標楷體" w:eastAsia="標楷體" w:hAnsi="標楷體"/>
                <w:color w:val="000000"/>
                <w:kern w:val="0"/>
              </w:rPr>
            </w:pPr>
          </w:p>
          <w:p w14:paraId="52F31D8D" w14:textId="77777777" w:rsidR="00C82C27" w:rsidRPr="008359BB" w:rsidRDefault="00C82C27" w:rsidP="00C82C27">
            <w:pPr>
              <w:spacing w:line="300" w:lineRule="exact"/>
              <w:jc w:val="both"/>
              <w:rPr>
                <w:rFonts w:ascii="標楷體" w:eastAsia="標楷體" w:hAnsi="標楷體"/>
                <w:color w:val="000000"/>
                <w:kern w:val="0"/>
              </w:rPr>
            </w:pPr>
            <w:r w:rsidRPr="003108C5">
              <w:rPr>
                <w:rFonts w:ascii="標楷體" w:eastAsia="標楷體" w:hAnsi="標楷體" w:hint="eastAsia"/>
                <w:color w:val="000000"/>
                <w:kern w:val="0"/>
              </w:rPr>
              <w:t>總統府秘書長、國家安全會議秘書長、國史館館長、國史館臺灣文獻館館長、行政院主計總處</w:t>
            </w:r>
          </w:p>
        </w:tc>
        <w:tc>
          <w:tcPr>
            <w:tcW w:w="1143" w:type="pct"/>
          </w:tcPr>
          <w:p w14:paraId="53C18D80" w14:textId="77777777" w:rsidR="00C82C27" w:rsidRDefault="00C82C27" w:rsidP="00C82C27">
            <w:pPr>
              <w:spacing w:line="300" w:lineRule="exact"/>
              <w:jc w:val="both"/>
              <w:rPr>
                <w:rFonts w:ascii="標楷體" w:eastAsia="標楷體" w:hAnsi="標楷體"/>
                <w:color w:val="000000"/>
                <w:kern w:val="0"/>
              </w:rPr>
            </w:pPr>
            <w:r w:rsidRPr="00440721">
              <w:rPr>
                <w:rFonts w:ascii="標楷體" w:eastAsia="標楷體" w:hAnsi="標楷體" w:hint="eastAsia"/>
                <w:color w:val="000000"/>
                <w:kern w:val="0"/>
              </w:rPr>
              <w:t>第一案審查完竣，須交由黨團協商；</w:t>
            </w:r>
            <w:r>
              <w:rPr>
                <w:rFonts w:ascii="標楷體" w:eastAsia="標楷體" w:hAnsi="標楷體" w:hint="eastAsia"/>
                <w:color w:val="000000"/>
                <w:kern w:val="0"/>
              </w:rPr>
              <w:t>第二案</w:t>
            </w:r>
            <w:r w:rsidRPr="00E3255C">
              <w:rPr>
                <w:rFonts w:ascii="標楷體" w:eastAsia="標楷體" w:hAnsi="標楷體" w:hint="eastAsia"/>
                <w:color w:val="000000"/>
                <w:kern w:val="0"/>
              </w:rPr>
              <w:t>列報告事項第二案</w:t>
            </w:r>
            <w:r>
              <w:rPr>
                <w:rFonts w:ascii="標楷體" w:eastAsia="標楷體" w:hAnsi="標楷體" w:hint="eastAsia"/>
                <w:color w:val="000000"/>
                <w:kern w:val="0"/>
              </w:rPr>
              <w:t>，</w:t>
            </w:r>
            <w:r w:rsidRPr="00E3255C">
              <w:rPr>
                <w:rFonts w:ascii="標楷體" w:eastAsia="標楷體" w:hAnsi="標楷體" w:hint="eastAsia"/>
                <w:color w:val="000000"/>
                <w:kern w:val="0"/>
              </w:rPr>
              <w:t>准予備查，提報院會；</w:t>
            </w:r>
            <w:r>
              <w:rPr>
                <w:rFonts w:ascii="標楷體" w:eastAsia="標楷體" w:hAnsi="標楷體" w:hint="eastAsia"/>
                <w:color w:val="000000"/>
                <w:kern w:val="0"/>
              </w:rPr>
              <w:t>第三案列討論</w:t>
            </w:r>
            <w:r w:rsidRPr="00E3255C">
              <w:rPr>
                <w:rFonts w:ascii="標楷體" w:eastAsia="標楷體" w:hAnsi="標楷體" w:hint="eastAsia"/>
                <w:color w:val="000000"/>
                <w:kern w:val="0"/>
              </w:rPr>
              <w:t>事項第二案</w:t>
            </w:r>
            <w:r>
              <w:rPr>
                <w:rFonts w:ascii="標楷體" w:eastAsia="標楷體" w:hAnsi="標楷體" w:hint="eastAsia"/>
                <w:color w:val="000000"/>
                <w:kern w:val="0"/>
              </w:rPr>
              <w:t>及第三案，均准予動支</w:t>
            </w:r>
            <w:r w:rsidRPr="00E3255C">
              <w:rPr>
                <w:rFonts w:ascii="標楷體" w:eastAsia="標楷體" w:hAnsi="標楷體" w:hint="eastAsia"/>
                <w:color w:val="000000"/>
                <w:kern w:val="0"/>
              </w:rPr>
              <w:t>，提報院會；</w:t>
            </w:r>
            <w:r>
              <w:rPr>
                <w:rFonts w:ascii="標楷體" w:eastAsia="標楷體" w:hAnsi="標楷體" w:hint="eastAsia"/>
                <w:color w:val="000000"/>
                <w:kern w:val="0"/>
              </w:rPr>
              <w:t>第四案列報告事項第三案及第四</w:t>
            </w:r>
            <w:r w:rsidRPr="00E3255C">
              <w:rPr>
                <w:rFonts w:ascii="標楷體" w:eastAsia="標楷體" w:hAnsi="標楷體" w:hint="eastAsia"/>
                <w:color w:val="000000"/>
                <w:kern w:val="0"/>
              </w:rPr>
              <w:t>案，均准予</w:t>
            </w:r>
            <w:r>
              <w:rPr>
                <w:rFonts w:ascii="標楷體" w:eastAsia="標楷體" w:hAnsi="標楷體" w:hint="eastAsia"/>
                <w:color w:val="000000"/>
                <w:kern w:val="0"/>
              </w:rPr>
              <w:t>備查</w:t>
            </w:r>
            <w:r w:rsidRPr="00E3255C">
              <w:rPr>
                <w:rFonts w:ascii="標楷體" w:eastAsia="標楷體" w:hAnsi="標楷體" w:hint="eastAsia"/>
                <w:color w:val="000000"/>
                <w:kern w:val="0"/>
              </w:rPr>
              <w:t>，提報院會。</w:t>
            </w:r>
          </w:p>
          <w:p w14:paraId="435E5B30"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8</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93</w:t>
            </w:r>
            <w:r w:rsidRPr="00BA2116">
              <w:rPr>
                <w:rFonts w:ascii="標楷體" w:eastAsia="標楷體" w:hAnsi="標楷體" w:hint="eastAsia"/>
                <w:color w:val="000000" w:themeColor="text1"/>
                <w:kern w:val="0"/>
              </w:rPr>
              <w:t>）</w:t>
            </w:r>
          </w:p>
        </w:tc>
      </w:tr>
      <w:tr w:rsidR="00C82C27" w:rsidRPr="00995BA1" w14:paraId="0F75841F" w14:textId="77777777" w:rsidTr="00E55097">
        <w:tc>
          <w:tcPr>
            <w:tcW w:w="701" w:type="pct"/>
          </w:tcPr>
          <w:p w14:paraId="60E0C976" w14:textId="77777777" w:rsidR="00C82C27" w:rsidRPr="0093787F" w:rsidRDefault="00C82C27" w:rsidP="00C82C27">
            <w:pPr>
              <w:spacing w:line="300" w:lineRule="exact"/>
              <w:jc w:val="both"/>
              <w:rPr>
                <w:rFonts w:ascii="標楷體" w:eastAsia="標楷體" w:hAnsi="標楷體"/>
                <w:color w:val="000000"/>
                <w:kern w:val="0"/>
              </w:rPr>
            </w:pPr>
            <w:r w:rsidRPr="00C42584">
              <w:rPr>
                <w:rFonts w:ascii="標楷體" w:eastAsia="標楷體" w:hAnsi="標楷體" w:hint="eastAsia"/>
                <w:color w:val="000000"/>
                <w:kern w:val="0"/>
              </w:rPr>
              <w:t>考察活動</w:t>
            </w:r>
          </w:p>
        </w:tc>
        <w:tc>
          <w:tcPr>
            <w:tcW w:w="822" w:type="pct"/>
          </w:tcPr>
          <w:p w14:paraId="2A9D9041" w14:textId="77777777" w:rsidR="00C82C27" w:rsidRDefault="00C82C27" w:rsidP="00C82C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1</w:t>
            </w:r>
            <w:r>
              <w:rPr>
                <w:rFonts w:ascii="標楷體" w:eastAsia="標楷體" w:hAnsi="標楷體" w:hint="eastAsia"/>
                <w:color w:val="000000"/>
                <w:spacing w:val="-20"/>
                <w:kern w:val="0"/>
              </w:rPr>
              <w:t>9日（星期一</w:t>
            </w:r>
            <w:r w:rsidRPr="0093787F">
              <w:rPr>
                <w:rFonts w:ascii="標楷體" w:eastAsia="標楷體" w:hAnsi="標楷體" w:hint="eastAsia"/>
                <w:color w:val="000000"/>
                <w:spacing w:val="-20"/>
                <w:kern w:val="0"/>
              </w:rPr>
              <w:t>）</w:t>
            </w:r>
          </w:p>
        </w:tc>
        <w:tc>
          <w:tcPr>
            <w:tcW w:w="1247" w:type="pct"/>
          </w:tcPr>
          <w:p w14:paraId="79B3E607" w14:textId="77777777" w:rsidR="00C82C27" w:rsidRPr="003108C5" w:rsidRDefault="00C82C27" w:rsidP="00C82C27">
            <w:pPr>
              <w:spacing w:line="300" w:lineRule="exact"/>
              <w:jc w:val="both"/>
              <w:rPr>
                <w:rFonts w:ascii="標楷體" w:eastAsia="標楷體" w:hAnsi="標楷體"/>
                <w:color w:val="000000"/>
                <w:kern w:val="0"/>
              </w:rPr>
            </w:pPr>
            <w:r w:rsidRPr="00711E7F">
              <w:rPr>
                <w:rFonts w:ascii="標楷體" w:eastAsia="標楷體" w:hAnsi="標楷體" w:hint="eastAsia"/>
                <w:color w:val="000000"/>
                <w:kern w:val="0"/>
              </w:rPr>
              <w:t>考察財政部關務署基隆關「有關毒品防制及查緝相關部分，在海運快遞及雜貨櫃通關業務之執行情形」</w:t>
            </w:r>
            <w:r>
              <w:rPr>
                <w:rFonts w:ascii="標楷體" w:eastAsia="標楷體" w:hAnsi="標楷體" w:hint="eastAsia"/>
                <w:color w:val="000000"/>
                <w:kern w:val="0"/>
              </w:rPr>
              <w:t>。</w:t>
            </w:r>
          </w:p>
        </w:tc>
        <w:tc>
          <w:tcPr>
            <w:tcW w:w="1087" w:type="pct"/>
          </w:tcPr>
          <w:p w14:paraId="058C8146"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14:paraId="7A480F1A" w14:textId="77777777" w:rsidR="00C82C27" w:rsidRDefault="00C82C27" w:rsidP="00C82C27">
            <w:pPr>
              <w:spacing w:line="300" w:lineRule="exact"/>
              <w:jc w:val="both"/>
              <w:rPr>
                <w:rFonts w:ascii="標楷體" w:eastAsia="標楷體" w:hAnsi="標楷體"/>
                <w:color w:val="000000"/>
                <w:kern w:val="0"/>
              </w:rPr>
            </w:pPr>
          </w:p>
          <w:p w14:paraId="39784CE2" w14:textId="77777777" w:rsidR="00C82C27" w:rsidRPr="008359BB"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財政部關務署署長、法務部常務次長、法務部調查局航業調查處處長、毒品防制處副處長、臺灣高等檢察署檢察官、交通部航港局北部航務中心主任、臺灣港務股份有限公司基隆港務分公司副總經理、基隆市政府財政處公</w:t>
            </w:r>
            <w:r>
              <w:rPr>
                <w:rFonts w:ascii="標楷體" w:eastAsia="標楷體" w:hAnsi="標楷體" w:hint="eastAsia"/>
                <w:color w:val="000000"/>
                <w:kern w:val="0"/>
              </w:rPr>
              <w:lastRenderedPageBreak/>
              <w:t>有財產科代理科長</w:t>
            </w:r>
          </w:p>
        </w:tc>
        <w:tc>
          <w:tcPr>
            <w:tcW w:w="1143" w:type="pct"/>
          </w:tcPr>
          <w:p w14:paraId="572A5E6E" w14:textId="77777777" w:rsidR="00C82C27" w:rsidRPr="00440721" w:rsidRDefault="00C82C27" w:rsidP="00C82C27">
            <w:pPr>
              <w:spacing w:line="300" w:lineRule="exact"/>
              <w:jc w:val="both"/>
              <w:rPr>
                <w:rFonts w:ascii="標楷體" w:eastAsia="標楷體" w:hAnsi="標楷體"/>
                <w:color w:val="000000"/>
                <w:kern w:val="0"/>
              </w:rPr>
            </w:pPr>
          </w:p>
        </w:tc>
      </w:tr>
      <w:tr w:rsidR="00C82C27" w:rsidRPr="00995BA1" w14:paraId="55629FAD" w14:textId="77777777" w:rsidTr="00E55097">
        <w:tc>
          <w:tcPr>
            <w:tcW w:w="701" w:type="pct"/>
          </w:tcPr>
          <w:p w14:paraId="2A5A4ACA" w14:textId="77777777" w:rsidR="00C82C27" w:rsidRPr="00BA77FD" w:rsidRDefault="00C82C27" w:rsidP="00C82C27">
            <w:pPr>
              <w:spacing w:line="300" w:lineRule="exact"/>
              <w:jc w:val="both"/>
            </w:pPr>
            <w:r w:rsidRPr="007818B6">
              <w:rPr>
                <w:rFonts w:ascii="標楷體" w:eastAsia="標楷體" w:hAnsi="標楷體" w:hint="eastAsia"/>
                <w:color w:val="000000"/>
                <w:kern w:val="0"/>
              </w:rPr>
              <w:lastRenderedPageBreak/>
              <w:t>司法及法制、經濟委員會第</w:t>
            </w:r>
            <w:r>
              <w:rPr>
                <w:rFonts w:ascii="標楷體" w:eastAsia="標楷體" w:hAnsi="標楷體" w:hint="eastAsia"/>
                <w:color w:val="000000"/>
                <w:kern w:val="0"/>
              </w:rPr>
              <w:t>2</w:t>
            </w:r>
            <w:r w:rsidRPr="007818B6">
              <w:rPr>
                <w:rFonts w:ascii="標楷體" w:eastAsia="標楷體" w:hAnsi="標楷體" w:hint="eastAsia"/>
                <w:color w:val="000000"/>
                <w:kern w:val="0"/>
              </w:rPr>
              <w:t>次聯席會議</w:t>
            </w:r>
          </w:p>
        </w:tc>
        <w:tc>
          <w:tcPr>
            <w:tcW w:w="822" w:type="pct"/>
          </w:tcPr>
          <w:p w14:paraId="64F403B1"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21</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47" w:type="pct"/>
          </w:tcPr>
          <w:p w14:paraId="003E951E" w14:textId="77777777" w:rsidR="00C82C27" w:rsidRPr="00711E7F" w:rsidRDefault="00C82C27" w:rsidP="00C82C27">
            <w:pPr>
              <w:spacing w:line="300" w:lineRule="exact"/>
              <w:jc w:val="both"/>
              <w:rPr>
                <w:rFonts w:ascii="標楷體" w:eastAsia="標楷體" w:hAnsi="標楷體"/>
                <w:color w:val="000000"/>
                <w:kern w:val="0"/>
              </w:rPr>
            </w:pPr>
            <w:r w:rsidRPr="007818B6">
              <w:rPr>
                <w:rFonts w:ascii="標楷體" w:eastAsia="標楷體" w:hAnsi="標楷體" w:hint="eastAsia"/>
                <w:color w:val="000000"/>
                <w:kern w:val="0"/>
              </w:rPr>
              <w:t>審查司法院、行政院函請審議「智慧財產案件審理法修正草案」案。</w:t>
            </w:r>
          </w:p>
        </w:tc>
        <w:tc>
          <w:tcPr>
            <w:tcW w:w="1087" w:type="pct"/>
          </w:tcPr>
          <w:p w14:paraId="7BEB3E04" w14:textId="77777777" w:rsidR="00C82C27" w:rsidRDefault="00C82C27" w:rsidP="00C82C27">
            <w:pPr>
              <w:spacing w:line="300" w:lineRule="exact"/>
              <w:jc w:val="both"/>
              <w:rPr>
                <w:rFonts w:ascii="標楷體" w:eastAsia="標楷體" w:hAnsi="標楷體"/>
                <w:color w:val="000000"/>
                <w:kern w:val="0"/>
              </w:rPr>
            </w:pPr>
            <w:r w:rsidRPr="002C6955">
              <w:rPr>
                <w:rFonts w:ascii="標楷體" w:eastAsia="標楷體" w:hAnsi="標楷體" w:hint="eastAsia"/>
                <w:color w:val="000000"/>
                <w:kern w:val="0"/>
              </w:rPr>
              <w:t>陳召集委員歐珀</w:t>
            </w:r>
          </w:p>
          <w:p w14:paraId="0AB72069" w14:textId="77777777" w:rsidR="00C82C27" w:rsidRDefault="00C82C27" w:rsidP="00C82C27">
            <w:pPr>
              <w:spacing w:line="300" w:lineRule="exact"/>
              <w:jc w:val="both"/>
              <w:rPr>
                <w:rFonts w:ascii="標楷體" w:eastAsia="標楷體" w:hAnsi="標楷體"/>
                <w:color w:val="000000"/>
                <w:kern w:val="0"/>
              </w:rPr>
            </w:pPr>
          </w:p>
          <w:p w14:paraId="2E630EDF" w14:textId="77777777" w:rsidR="00C82C27" w:rsidRDefault="00C82C27" w:rsidP="00C82C27">
            <w:pPr>
              <w:spacing w:line="300" w:lineRule="exact"/>
              <w:jc w:val="both"/>
              <w:rPr>
                <w:rFonts w:ascii="標楷體" w:eastAsia="標楷體" w:hAnsi="標楷體"/>
                <w:color w:val="000000"/>
                <w:kern w:val="0"/>
              </w:rPr>
            </w:pPr>
            <w:r w:rsidRPr="007818B6">
              <w:rPr>
                <w:rFonts w:ascii="標楷體" w:eastAsia="標楷體" w:hAnsi="標楷體" w:hint="eastAsia"/>
                <w:color w:val="000000"/>
                <w:kern w:val="0"/>
              </w:rPr>
              <w:t>司法院秘書長、法務部次長、經濟部、行政院農業委員會</w:t>
            </w:r>
          </w:p>
        </w:tc>
        <w:tc>
          <w:tcPr>
            <w:tcW w:w="1143" w:type="pct"/>
          </w:tcPr>
          <w:p w14:paraId="293E59BB" w14:textId="77777777" w:rsidR="00C82C27" w:rsidRDefault="00C82C27" w:rsidP="00C82C27">
            <w:pPr>
              <w:spacing w:line="300" w:lineRule="exact"/>
              <w:jc w:val="both"/>
              <w:rPr>
                <w:rFonts w:ascii="標楷體" w:eastAsia="標楷體" w:hAnsi="標楷體"/>
                <w:color w:val="000000"/>
                <w:kern w:val="0"/>
              </w:rPr>
            </w:pPr>
            <w:r w:rsidRPr="008F607C">
              <w:rPr>
                <w:rFonts w:ascii="標楷體" w:eastAsia="標楷體" w:hAnsi="標楷體" w:hint="eastAsia"/>
                <w:color w:val="000000"/>
                <w:kern w:val="0"/>
              </w:rPr>
              <w:t>報告及詢答完畢，另定期繼續審查。</w:t>
            </w:r>
          </w:p>
          <w:p w14:paraId="580510CE" w14:textId="77777777" w:rsidR="00C82C27" w:rsidRPr="00440721"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11</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96</w:t>
            </w:r>
            <w:r w:rsidRPr="00BA2116">
              <w:rPr>
                <w:rFonts w:ascii="標楷體" w:eastAsia="標楷體" w:hAnsi="標楷體" w:hint="eastAsia"/>
                <w:color w:val="000000" w:themeColor="text1"/>
                <w:kern w:val="0"/>
              </w:rPr>
              <w:t>）</w:t>
            </w:r>
          </w:p>
        </w:tc>
      </w:tr>
      <w:tr w:rsidR="00C82C27" w:rsidRPr="00995BA1" w14:paraId="4726FF19" w14:textId="77777777" w:rsidTr="00E55097">
        <w:tc>
          <w:tcPr>
            <w:tcW w:w="701" w:type="pct"/>
          </w:tcPr>
          <w:p w14:paraId="43949ED1"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8</w:t>
            </w:r>
            <w:r w:rsidRPr="00186295">
              <w:rPr>
                <w:rFonts w:ascii="標楷體" w:eastAsia="標楷體" w:hAnsi="標楷體" w:hint="eastAsia"/>
                <w:color w:val="000000"/>
                <w:kern w:val="0"/>
              </w:rPr>
              <w:t>次全體委員會議</w:t>
            </w:r>
          </w:p>
        </w:tc>
        <w:tc>
          <w:tcPr>
            <w:tcW w:w="822" w:type="pct"/>
          </w:tcPr>
          <w:p w14:paraId="379D9224"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22</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47" w:type="pct"/>
          </w:tcPr>
          <w:p w14:paraId="32FC3D3B" w14:textId="77777777" w:rsidR="00C82C27" w:rsidRPr="007818B6" w:rsidRDefault="00C82C27" w:rsidP="00C82C27">
            <w:pPr>
              <w:spacing w:line="300" w:lineRule="exact"/>
              <w:jc w:val="both"/>
              <w:rPr>
                <w:rFonts w:ascii="標楷體" w:eastAsia="標楷體" w:hAnsi="標楷體"/>
                <w:color w:val="000000"/>
                <w:kern w:val="0"/>
              </w:rPr>
            </w:pPr>
            <w:r w:rsidRPr="00C74982">
              <w:rPr>
                <w:rFonts w:ascii="標楷體" w:eastAsia="標楷體" w:hAnsi="標楷體" w:hint="eastAsia"/>
                <w:color w:val="000000"/>
                <w:kern w:val="0"/>
              </w:rPr>
              <w:t>邀請法務部部長、行政院主計總處主計長、財政部國有財產署署長、國家發展委員會主任委員、國家住宅及都市更新中心董事長率所屬相關單位列席就「檢察機關職務宿舍現況盤點，法務部及相關部會針對檢察官職務宿舍數量不足問題之短期協助方案及中長程策進作為」進行專題報告，並備質詢。</w:t>
            </w:r>
          </w:p>
        </w:tc>
        <w:tc>
          <w:tcPr>
            <w:tcW w:w="1087" w:type="pct"/>
          </w:tcPr>
          <w:p w14:paraId="11C5C539"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color w:val="000000"/>
                <w:kern w:val="0"/>
              </w:rPr>
              <w:t>林</w:t>
            </w:r>
            <w:r>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color w:val="000000"/>
                <w:kern w:val="0"/>
              </w:rPr>
              <w:t>思銘</w:t>
            </w:r>
          </w:p>
          <w:p w14:paraId="6B2BC571" w14:textId="77777777" w:rsidR="00C82C27" w:rsidRDefault="00C82C27" w:rsidP="00C82C27">
            <w:pPr>
              <w:spacing w:line="300" w:lineRule="exact"/>
              <w:jc w:val="both"/>
              <w:rPr>
                <w:rFonts w:ascii="標楷體" w:eastAsia="標楷體" w:hAnsi="標楷體"/>
                <w:color w:val="000000"/>
                <w:kern w:val="0"/>
              </w:rPr>
            </w:pPr>
          </w:p>
          <w:p w14:paraId="09426090" w14:textId="77777777" w:rsidR="00C82C27" w:rsidRPr="002C6955" w:rsidRDefault="00C82C27" w:rsidP="00C82C27">
            <w:pPr>
              <w:spacing w:line="300" w:lineRule="exact"/>
              <w:jc w:val="both"/>
              <w:rPr>
                <w:rFonts w:ascii="標楷體" w:eastAsia="標楷體" w:hAnsi="標楷體"/>
                <w:color w:val="000000"/>
                <w:kern w:val="0"/>
              </w:rPr>
            </w:pPr>
            <w:r w:rsidRPr="00C74982">
              <w:rPr>
                <w:rFonts w:ascii="標楷體" w:eastAsia="標楷體" w:hAnsi="標楷體" w:hint="eastAsia"/>
                <w:color w:val="000000"/>
                <w:kern w:val="0"/>
              </w:rPr>
              <w:t>法務部部長、行政院主計總處主計長、財政部國有財產署署長、國家發展委員會主任委員、國家住宅及都市更新中心董事長</w:t>
            </w:r>
          </w:p>
        </w:tc>
        <w:tc>
          <w:tcPr>
            <w:tcW w:w="1143" w:type="pct"/>
          </w:tcPr>
          <w:p w14:paraId="527F25FD" w14:textId="77777777" w:rsidR="00C82C27" w:rsidRDefault="00C82C27" w:rsidP="00C82C27">
            <w:pPr>
              <w:spacing w:line="300" w:lineRule="exact"/>
              <w:jc w:val="both"/>
              <w:rPr>
                <w:rFonts w:ascii="標楷體" w:eastAsia="標楷體" w:hAnsi="標楷體"/>
                <w:color w:val="000000"/>
                <w:kern w:val="0"/>
              </w:rPr>
            </w:pPr>
            <w:r w:rsidRPr="008F607C">
              <w:rPr>
                <w:rFonts w:ascii="標楷體" w:eastAsia="標楷體" w:hAnsi="標楷體" w:hint="eastAsia"/>
                <w:color w:val="000000"/>
                <w:kern w:val="0"/>
              </w:rPr>
              <w:t>報告及詢答完畢。</w:t>
            </w:r>
          </w:p>
          <w:p w14:paraId="72E14528" w14:textId="77777777" w:rsidR="00C82C27" w:rsidRPr="008F607C"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13</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98</w:t>
            </w:r>
            <w:r w:rsidRPr="00BA2116">
              <w:rPr>
                <w:rFonts w:ascii="標楷體" w:eastAsia="標楷體" w:hAnsi="標楷體" w:hint="eastAsia"/>
                <w:color w:val="000000" w:themeColor="text1"/>
                <w:kern w:val="0"/>
              </w:rPr>
              <w:t>）</w:t>
            </w:r>
          </w:p>
        </w:tc>
      </w:tr>
      <w:tr w:rsidR="00C82C27" w:rsidRPr="00995BA1" w14:paraId="735E37BA" w14:textId="77777777" w:rsidTr="00E55097">
        <w:tc>
          <w:tcPr>
            <w:tcW w:w="701" w:type="pct"/>
          </w:tcPr>
          <w:p w14:paraId="3E154DC1" w14:textId="77777777" w:rsidR="00C82C27" w:rsidRPr="00BA77FD" w:rsidRDefault="00C82C27" w:rsidP="00C82C27">
            <w:pPr>
              <w:spacing w:line="300" w:lineRule="exact"/>
              <w:jc w:val="both"/>
            </w:pPr>
            <w:r w:rsidRPr="007818B6">
              <w:rPr>
                <w:rFonts w:ascii="標楷體" w:eastAsia="標楷體" w:hAnsi="標楷體" w:hint="eastAsia"/>
                <w:color w:val="000000"/>
                <w:kern w:val="0"/>
              </w:rPr>
              <w:t>司法及法制、經濟委員會第</w:t>
            </w:r>
            <w:r>
              <w:rPr>
                <w:rFonts w:ascii="標楷體" w:eastAsia="標楷體" w:hAnsi="標楷體" w:hint="eastAsia"/>
                <w:color w:val="000000"/>
                <w:kern w:val="0"/>
              </w:rPr>
              <w:t>3</w:t>
            </w:r>
            <w:r w:rsidRPr="007818B6">
              <w:rPr>
                <w:rFonts w:ascii="標楷體" w:eastAsia="標楷體" w:hAnsi="標楷體" w:hint="eastAsia"/>
                <w:color w:val="000000"/>
                <w:kern w:val="0"/>
              </w:rPr>
              <w:t>次聯席會議</w:t>
            </w:r>
          </w:p>
        </w:tc>
        <w:tc>
          <w:tcPr>
            <w:tcW w:w="822" w:type="pct"/>
          </w:tcPr>
          <w:p w14:paraId="5254BFA0"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26</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（星期一</w:t>
            </w:r>
            <w:r w:rsidRPr="00186295">
              <w:rPr>
                <w:rFonts w:ascii="標楷體" w:eastAsia="標楷體" w:hAnsi="標楷體" w:hint="eastAsia"/>
                <w:color w:val="000000"/>
                <w:spacing w:val="-20"/>
                <w:kern w:val="0"/>
              </w:rPr>
              <w:t>）</w:t>
            </w:r>
          </w:p>
        </w:tc>
        <w:tc>
          <w:tcPr>
            <w:tcW w:w="1247" w:type="pct"/>
          </w:tcPr>
          <w:p w14:paraId="18484727" w14:textId="77777777" w:rsidR="00C82C27" w:rsidRPr="00C74982" w:rsidRDefault="00C82C27" w:rsidP="00C82C27">
            <w:pPr>
              <w:spacing w:line="300" w:lineRule="exact"/>
              <w:jc w:val="both"/>
              <w:rPr>
                <w:rFonts w:ascii="標楷體" w:eastAsia="標楷體" w:hAnsi="標楷體"/>
                <w:color w:val="000000"/>
                <w:kern w:val="0"/>
              </w:rPr>
            </w:pPr>
            <w:r w:rsidRPr="008A28CC">
              <w:rPr>
                <w:rFonts w:ascii="標楷體" w:eastAsia="標楷體" w:hAnsi="標楷體" w:hint="eastAsia"/>
                <w:color w:val="000000"/>
                <w:kern w:val="0"/>
              </w:rPr>
              <w:t>繼續審查司法院、行政院函請審議「智慧財產案件審理法修正草案」案。</w:t>
            </w:r>
          </w:p>
        </w:tc>
        <w:tc>
          <w:tcPr>
            <w:tcW w:w="1087" w:type="pct"/>
          </w:tcPr>
          <w:p w14:paraId="27DE5778" w14:textId="77777777" w:rsidR="00C82C27" w:rsidRPr="0045464F" w:rsidRDefault="00C82C27" w:rsidP="00C82C27">
            <w:pPr>
              <w:rPr>
                <w:rFonts w:ascii="標楷體" w:eastAsia="標楷體" w:hAnsi="標楷體"/>
                <w:color w:val="000000"/>
                <w:kern w:val="0"/>
              </w:rPr>
            </w:pPr>
            <w:r w:rsidRPr="0045464F">
              <w:rPr>
                <w:rFonts w:ascii="標楷體" w:eastAsia="標楷體" w:hAnsi="標楷體" w:hint="eastAsia"/>
                <w:color w:val="000000"/>
                <w:kern w:val="0"/>
              </w:rPr>
              <w:t>陳召集委員歐珀</w:t>
            </w:r>
          </w:p>
          <w:p w14:paraId="17CE6832" w14:textId="77777777" w:rsidR="00C82C27" w:rsidRDefault="00C82C27" w:rsidP="00C82C27">
            <w:pPr>
              <w:spacing w:line="300" w:lineRule="exact"/>
              <w:jc w:val="both"/>
              <w:rPr>
                <w:rFonts w:ascii="標楷體" w:eastAsia="標楷體" w:hAnsi="標楷體"/>
                <w:color w:val="000000"/>
                <w:kern w:val="0"/>
              </w:rPr>
            </w:pPr>
          </w:p>
          <w:p w14:paraId="647FF238" w14:textId="77777777" w:rsidR="00C82C27" w:rsidRDefault="00C82C27" w:rsidP="00C82C27">
            <w:pPr>
              <w:spacing w:line="300" w:lineRule="exact"/>
              <w:jc w:val="both"/>
              <w:rPr>
                <w:rFonts w:ascii="標楷體" w:eastAsia="標楷體" w:hAnsi="標楷體"/>
                <w:color w:val="000000"/>
                <w:kern w:val="0"/>
              </w:rPr>
            </w:pPr>
            <w:r w:rsidRPr="008A28CC">
              <w:rPr>
                <w:rFonts w:ascii="標楷體" w:eastAsia="標楷體" w:hAnsi="標楷體" w:hint="eastAsia"/>
                <w:color w:val="000000"/>
                <w:kern w:val="0"/>
              </w:rPr>
              <w:t>司法院秘書長、法務部次長、經濟部、行政院農業委員會</w:t>
            </w:r>
          </w:p>
        </w:tc>
        <w:tc>
          <w:tcPr>
            <w:tcW w:w="1143" w:type="pct"/>
          </w:tcPr>
          <w:p w14:paraId="1B7C470E" w14:textId="77777777" w:rsidR="00C82C27" w:rsidRDefault="00C82C27" w:rsidP="00C82C27">
            <w:pPr>
              <w:spacing w:line="300" w:lineRule="exact"/>
              <w:jc w:val="both"/>
              <w:rPr>
                <w:rFonts w:ascii="標楷體" w:eastAsia="標楷體" w:hAnsi="標楷體"/>
                <w:color w:val="000000"/>
                <w:kern w:val="0"/>
              </w:rPr>
            </w:pPr>
            <w:r w:rsidRPr="008005C9">
              <w:rPr>
                <w:rFonts w:ascii="標楷體" w:eastAsia="標楷體" w:hAnsi="標楷體" w:hint="eastAsia"/>
                <w:color w:val="000000"/>
                <w:kern w:val="0"/>
              </w:rPr>
              <w:t>審查完竣，不須交由黨團協商。</w:t>
            </w:r>
          </w:p>
          <w:p w14:paraId="09BEAF78" w14:textId="77777777" w:rsidR="00C82C27" w:rsidRPr="008F607C"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13</w:t>
            </w:r>
            <w:r w:rsidRPr="00BA2116">
              <w:rPr>
                <w:rFonts w:ascii="標楷體" w:eastAsia="標楷體" w:hAnsi="標楷體" w:hint="eastAsia"/>
                <w:color w:val="000000" w:themeColor="text1"/>
                <w:kern w:val="0"/>
              </w:rPr>
              <w:t>期50</w:t>
            </w:r>
            <w:r>
              <w:rPr>
                <w:rFonts w:ascii="標楷體" w:eastAsia="標楷體" w:hAnsi="標楷體"/>
                <w:color w:val="000000" w:themeColor="text1"/>
                <w:kern w:val="0"/>
              </w:rPr>
              <w:t>98</w:t>
            </w:r>
            <w:r w:rsidRPr="00BA2116">
              <w:rPr>
                <w:rFonts w:ascii="標楷體" w:eastAsia="標楷體" w:hAnsi="標楷體" w:hint="eastAsia"/>
                <w:color w:val="000000" w:themeColor="text1"/>
                <w:kern w:val="0"/>
              </w:rPr>
              <w:t>）</w:t>
            </w:r>
          </w:p>
        </w:tc>
      </w:tr>
      <w:tr w:rsidR="00C82C27" w:rsidRPr="00995BA1" w14:paraId="78D0576B" w14:textId="77777777" w:rsidTr="00E55097">
        <w:tc>
          <w:tcPr>
            <w:tcW w:w="701" w:type="pct"/>
          </w:tcPr>
          <w:p w14:paraId="008CD010" w14:textId="77777777" w:rsidR="00C82C27" w:rsidRPr="00BA77FD" w:rsidRDefault="00C82C27" w:rsidP="00C82C27">
            <w:pPr>
              <w:spacing w:line="300" w:lineRule="exact"/>
              <w:jc w:val="both"/>
            </w:pPr>
            <w:r w:rsidRPr="00186295">
              <w:rPr>
                <w:rFonts w:ascii="標楷體" w:eastAsia="標楷體" w:hAnsi="標楷體" w:hint="eastAsia"/>
                <w:color w:val="000000"/>
                <w:kern w:val="0"/>
              </w:rPr>
              <w:t>第</w:t>
            </w:r>
            <w:r>
              <w:rPr>
                <w:rFonts w:ascii="標楷體" w:eastAsia="標楷體" w:hAnsi="標楷體"/>
                <w:color w:val="000000"/>
                <w:kern w:val="0"/>
              </w:rPr>
              <w:t>2</w:t>
            </w:r>
            <w:r>
              <w:rPr>
                <w:rFonts w:ascii="標楷體" w:eastAsia="標楷體" w:hAnsi="標楷體" w:hint="eastAsia"/>
                <w:color w:val="000000"/>
                <w:kern w:val="0"/>
              </w:rPr>
              <w:t>9</w:t>
            </w:r>
            <w:r w:rsidRPr="00186295">
              <w:rPr>
                <w:rFonts w:ascii="標楷體" w:eastAsia="標楷體" w:hAnsi="標楷體" w:hint="eastAsia"/>
                <w:color w:val="000000"/>
                <w:kern w:val="0"/>
              </w:rPr>
              <w:t>次全體委員會議</w:t>
            </w:r>
          </w:p>
        </w:tc>
        <w:tc>
          <w:tcPr>
            <w:tcW w:w="822" w:type="pct"/>
          </w:tcPr>
          <w:p w14:paraId="3516A219" w14:textId="77777777"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28</w:t>
            </w:r>
            <w:r w:rsidRPr="00186295">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（星期三</w:t>
            </w:r>
            <w:r w:rsidRPr="00186295">
              <w:rPr>
                <w:rFonts w:ascii="標楷體" w:eastAsia="標楷體" w:hAnsi="標楷體" w:hint="eastAsia"/>
                <w:color w:val="000000"/>
                <w:spacing w:val="-20"/>
                <w:kern w:val="0"/>
              </w:rPr>
              <w:t>）</w:t>
            </w:r>
          </w:p>
        </w:tc>
        <w:tc>
          <w:tcPr>
            <w:tcW w:w="1247" w:type="pct"/>
          </w:tcPr>
          <w:p w14:paraId="405559F9" w14:textId="77777777" w:rsidR="00C82C27" w:rsidRPr="008A28CC" w:rsidRDefault="00C82C27" w:rsidP="00C82C27">
            <w:pPr>
              <w:spacing w:line="300" w:lineRule="exact"/>
              <w:jc w:val="both"/>
              <w:rPr>
                <w:rFonts w:ascii="標楷體" w:eastAsia="標楷體" w:hAnsi="標楷體"/>
                <w:color w:val="000000"/>
                <w:kern w:val="0"/>
              </w:rPr>
            </w:pPr>
            <w:r w:rsidRPr="00672A92">
              <w:rPr>
                <w:rFonts w:ascii="標楷體" w:eastAsia="標楷體" w:hAnsi="標楷體" w:hint="eastAsia"/>
                <w:color w:val="000000"/>
                <w:kern w:val="0"/>
              </w:rPr>
              <w:t>繼續併案審查（一）司法院函請審議「憲法訴訟法部分條文修正草案」、（二）委員鍾佳濱等17人擬具「憲法訴訟法第四十九條及第九十五條條文修正草案」、（三）台灣民眾黨黨團擬具「憲法訴訟法部分條文修正草案」、（四）台灣民眾黨黨團擬具</w:t>
            </w:r>
            <w:r w:rsidRPr="00672A92">
              <w:rPr>
                <w:rFonts w:ascii="標楷體" w:eastAsia="標楷體" w:hAnsi="標楷體" w:hint="eastAsia"/>
                <w:color w:val="000000"/>
                <w:kern w:val="0"/>
              </w:rPr>
              <w:lastRenderedPageBreak/>
              <w:t>「憲法訴訟法第五十九條條文修正草案」、（五）委員鄭天財Sra Kacaw等16人擬具「憲法訴訟法第十九條之一及第三十條條文修正草案」及（六）時代力量黨團擬具「憲法訴訟法部分條文修正草案」案。</w:t>
            </w:r>
          </w:p>
        </w:tc>
        <w:tc>
          <w:tcPr>
            <w:tcW w:w="1087" w:type="pct"/>
          </w:tcPr>
          <w:p w14:paraId="25696FFA" w14:textId="77777777" w:rsidR="00C82C27" w:rsidRPr="0045464F" w:rsidRDefault="00C82C27" w:rsidP="00786BB2">
            <w:pPr>
              <w:spacing w:line="300" w:lineRule="exact"/>
              <w:rPr>
                <w:rFonts w:ascii="標楷體" w:eastAsia="標楷體" w:hAnsi="標楷體"/>
                <w:color w:val="000000"/>
                <w:kern w:val="0"/>
              </w:rPr>
            </w:pPr>
            <w:r w:rsidRPr="0045464F">
              <w:rPr>
                <w:rFonts w:ascii="標楷體" w:eastAsia="標楷體" w:hAnsi="標楷體" w:hint="eastAsia"/>
                <w:color w:val="000000"/>
                <w:kern w:val="0"/>
              </w:rPr>
              <w:lastRenderedPageBreak/>
              <w:t>陳召集委員歐珀</w:t>
            </w:r>
          </w:p>
          <w:p w14:paraId="58F982C4" w14:textId="77777777" w:rsidR="00C82C27" w:rsidRDefault="00C82C27" w:rsidP="00786BB2">
            <w:pPr>
              <w:spacing w:line="300" w:lineRule="exact"/>
              <w:jc w:val="both"/>
              <w:rPr>
                <w:rFonts w:ascii="標楷體" w:eastAsia="標楷體" w:hAnsi="標楷體"/>
                <w:color w:val="000000"/>
                <w:kern w:val="0"/>
              </w:rPr>
            </w:pPr>
          </w:p>
          <w:p w14:paraId="771A74D6" w14:textId="77777777" w:rsidR="00C82C27" w:rsidRPr="0045464F" w:rsidRDefault="00C82C27" w:rsidP="00786BB2">
            <w:pPr>
              <w:spacing w:line="300" w:lineRule="exact"/>
              <w:rPr>
                <w:rFonts w:ascii="標楷體" w:eastAsia="標楷體" w:hAnsi="標楷體"/>
                <w:color w:val="000000"/>
                <w:kern w:val="0"/>
              </w:rPr>
            </w:pPr>
            <w:r w:rsidRPr="00672A92">
              <w:rPr>
                <w:rFonts w:ascii="標楷體" w:eastAsia="標楷體" w:hAnsi="標楷體" w:hint="eastAsia"/>
                <w:color w:val="000000"/>
                <w:kern w:val="0"/>
              </w:rPr>
              <w:t>司法院秘書長、最高檢察署檢察總長、立法院、法務部、原住民族委員會</w:t>
            </w:r>
          </w:p>
        </w:tc>
        <w:tc>
          <w:tcPr>
            <w:tcW w:w="1143" w:type="pct"/>
          </w:tcPr>
          <w:p w14:paraId="4D013B90"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Pr="008005C9">
              <w:rPr>
                <w:rFonts w:ascii="標楷體" w:eastAsia="標楷體" w:hAnsi="標楷體" w:hint="eastAsia"/>
                <w:color w:val="000000"/>
                <w:kern w:val="0"/>
              </w:rPr>
              <w:t>須交由黨團協商。</w:t>
            </w:r>
          </w:p>
          <w:p w14:paraId="4356ED09" w14:textId="77777777" w:rsidR="00C82C27" w:rsidRPr="008005C9"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16</w:t>
            </w:r>
            <w:r w:rsidRPr="00BA2116">
              <w:rPr>
                <w:rFonts w:ascii="標楷體" w:eastAsia="標楷體" w:hAnsi="標楷體" w:hint="eastAsia"/>
                <w:color w:val="000000" w:themeColor="text1"/>
                <w:kern w:val="0"/>
              </w:rPr>
              <w:t>期5</w:t>
            </w:r>
            <w:r>
              <w:rPr>
                <w:rFonts w:ascii="標楷體" w:eastAsia="標楷體" w:hAnsi="標楷體"/>
                <w:color w:val="000000" w:themeColor="text1"/>
                <w:kern w:val="0"/>
              </w:rPr>
              <w:t>101</w:t>
            </w:r>
            <w:r w:rsidRPr="00BA2116">
              <w:rPr>
                <w:rFonts w:ascii="標楷體" w:eastAsia="標楷體" w:hAnsi="標楷體" w:hint="eastAsia"/>
                <w:color w:val="000000" w:themeColor="text1"/>
                <w:kern w:val="0"/>
              </w:rPr>
              <w:t>）</w:t>
            </w:r>
          </w:p>
        </w:tc>
      </w:tr>
      <w:tr w:rsidR="00C82C27" w:rsidRPr="00995BA1" w14:paraId="3BE383BF" w14:textId="77777777" w:rsidTr="00E55097">
        <w:tc>
          <w:tcPr>
            <w:tcW w:w="701" w:type="pct"/>
          </w:tcPr>
          <w:p w14:paraId="6BB6AC50" w14:textId="77777777" w:rsidR="00C82C27" w:rsidRPr="00BA77FD" w:rsidRDefault="00C82C27" w:rsidP="00C82C27">
            <w:pPr>
              <w:spacing w:line="300" w:lineRule="exact"/>
              <w:jc w:val="both"/>
            </w:pPr>
            <w:r w:rsidRPr="00186295">
              <w:rPr>
                <w:rFonts w:ascii="標楷體" w:eastAsia="標楷體" w:hAnsi="標楷體" w:hint="eastAsia"/>
                <w:color w:val="000000"/>
                <w:kern w:val="0"/>
              </w:rPr>
              <w:lastRenderedPageBreak/>
              <w:t>第</w:t>
            </w:r>
            <w:r>
              <w:rPr>
                <w:rFonts w:ascii="標楷體" w:eastAsia="標楷體" w:hAnsi="標楷體" w:hint="eastAsia"/>
                <w:color w:val="000000"/>
                <w:kern w:val="0"/>
              </w:rPr>
              <w:t>30</w:t>
            </w:r>
            <w:r w:rsidRPr="00186295">
              <w:rPr>
                <w:rFonts w:ascii="標楷體" w:eastAsia="標楷體" w:hAnsi="標楷體" w:hint="eastAsia"/>
                <w:color w:val="000000"/>
                <w:kern w:val="0"/>
              </w:rPr>
              <w:t>次全體委員會議</w:t>
            </w:r>
          </w:p>
        </w:tc>
        <w:tc>
          <w:tcPr>
            <w:tcW w:w="822" w:type="pct"/>
          </w:tcPr>
          <w:p w14:paraId="59FD706C" w14:textId="1B424003" w:rsidR="00C82C27" w:rsidRPr="00BA77FD" w:rsidRDefault="00C82C27" w:rsidP="00C82C27">
            <w:pPr>
              <w:spacing w:line="300" w:lineRule="exact"/>
              <w:jc w:val="both"/>
            </w:pPr>
            <w:r w:rsidRPr="00186295">
              <w:rPr>
                <w:rFonts w:ascii="標楷體" w:eastAsia="標楷體" w:hAnsi="標楷體" w:hint="eastAsia"/>
                <w:color w:val="000000"/>
                <w:spacing w:val="-20"/>
                <w:kern w:val="0"/>
              </w:rPr>
              <w:t>111年</w:t>
            </w:r>
            <w:r>
              <w:rPr>
                <w:rFonts w:ascii="標楷體" w:eastAsia="標楷體" w:hAnsi="標楷體" w:hint="eastAsia"/>
                <w:color w:val="000000"/>
                <w:spacing w:val="-20"/>
                <w:kern w:val="0"/>
              </w:rPr>
              <w:t>12</w:t>
            </w:r>
            <w:r w:rsidRPr="00186295">
              <w:rPr>
                <w:rFonts w:ascii="標楷體" w:eastAsia="標楷體" w:hAnsi="標楷體" w:hint="eastAsia"/>
                <w:color w:val="000000"/>
                <w:spacing w:val="-20"/>
                <w:kern w:val="0"/>
              </w:rPr>
              <w:t>月</w:t>
            </w:r>
            <w:r>
              <w:rPr>
                <w:rFonts w:ascii="標楷體" w:eastAsia="標楷體" w:hAnsi="標楷體" w:hint="eastAsia"/>
                <w:color w:val="000000"/>
                <w:spacing w:val="-20"/>
                <w:kern w:val="0"/>
              </w:rPr>
              <w:t>29</w:t>
            </w:r>
            <w:r w:rsidRPr="00186295">
              <w:rPr>
                <w:rFonts w:ascii="標楷體" w:eastAsia="標楷體" w:hAnsi="標楷體" w:hint="eastAsia"/>
                <w:color w:val="000000"/>
                <w:spacing w:val="-20"/>
                <w:kern w:val="0"/>
              </w:rPr>
              <w:t>日</w:t>
            </w:r>
            <w:r w:rsidR="0083151F">
              <w:rPr>
                <w:rFonts w:ascii="標楷體" w:eastAsia="標楷體" w:hAnsi="標楷體" w:hint="eastAsia"/>
                <w:color w:val="000000"/>
                <w:spacing w:val="-20"/>
                <w:kern w:val="0"/>
              </w:rPr>
              <w:t>（星期四</w:t>
            </w:r>
            <w:r w:rsidRPr="00186295">
              <w:rPr>
                <w:rFonts w:ascii="標楷體" w:eastAsia="標楷體" w:hAnsi="標楷體" w:hint="eastAsia"/>
                <w:color w:val="000000"/>
                <w:spacing w:val="-20"/>
                <w:kern w:val="0"/>
              </w:rPr>
              <w:t>）</w:t>
            </w:r>
          </w:p>
        </w:tc>
        <w:tc>
          <w:tcPr>
            <w:tcW w:w="1247" w:type="pct"/>
          </w:tcPr>
          <w:p w14:paraId="6ACEC6B5" w14:textId="77777777" w:rsidR="00C82C27" w:rsidRPr="00AD2007" w:rsidRDefault="00C82C27" w:rsidP="00C82C27">
            <w:pPr>
              <w:spacing w:line="300" w:lineRule="exact"/>
              <w:jc w:val="both"/>
              <w:rPr>
                <w:rFonts w:ascii="標楷體" w:eastAsia="標楷體" w:hAnsi="標楷體"/>
                <w:color w:val="000000"/>
                <w:kern w:val="0"/>
              </w:rPr>
            </w:pPr>
            <w:r w:rsidRPr="00AD2007">
              <w:rPr>
                <w:rFonts w:ascii="標楷體" w:eastAsia="標楷體" w:hAnsi="標楷體" w:hint="eastAsia"/>
                <w:color w:val="000000"/>
                <w:kern w:val="0"/>
              </w:rPr>
              <w:t>一、併案審查（一）行政院函請審議及（二）委員許智傑等18人擬廢止「少年輔育院條例」案。</w:t>
            </w:r>
          </w:p>
          <w:p w14:paraId="19AA080A" w14:textId="77777777" w:rsidR="00C82C27" w:rsidRPr="00AD2007" w:rsidRDefault="00C82C27" w:rsidP="00C82C27">
            <w:pPr>
              <w:spacing w:line="300" w:lineRule="exact"/>
              <w:jc w:val="both"/>
              <w:rPr>
                <w:rFonts w:ascii="標楷體" w:eastAsia="標楷體" w:hAnsi="標楷體"/>
                <w:color w:val="000000"/>
                <w:kern w:val="0"/>
              </w:rPr>
            </w:pPr>
            <w:r w:rsidRPr="00AD2007">
              <w:rPr>
                <w:rFonts w:ascii="標楷體" w:eastAsia="標楷體" w:hAnsi="標楷體" w:hint="eastAsia"/>
                <w:color w:val="000000"/>
                <w:kern w:val="0"/>
              </w:rPr>
              <w:t>二、併案審查（一）考試院函請審議、（二）委員江永昌等23人及（三）委員林宜瑾等18人分別擬廢止「考銓處組織條例」案。</w:t>
            </w:r>
          </w:p>
          <w:p w14:paraId="2B032BE5" w14:textId="77777777" w:rsidR="00C82C27" w:rsidRPr="00AD2007" w:rsidRDefault="00C82C27" w:rsidP="00C82C27">
            <w:pPr>
              <w:spacing w:line="300" w:lineRule="exact"/>
              <w:jc w:val="both"/>
              <w:rPr>
                <w:rFonts w:ascii="標楷體" w:eastAsia="標楷體" w:hAnsi="標楷體"/>
                <w:color w:val="000000"/>
                <w:kern w:val="0"/>
              </w:rPr>
            </w:pPr>
            <w:r w:rsidRPr="00AD2007">
              <w:rPr>
                <w:rFonts w:ascii="標楷體" w:eastAsia="標楷體" w:hAnsi="標楷體" w:hint="eastAsia"/>
                <w:color w:val="000000"/>
                <w:kern w:val="0"/>
              </w:rPr>
              <w:t>三、併案審查（一）台灣民眾黨黨團、（二）委員邱志偉等18人及（三）委員鄭運鵬等16人分別擬廢止「監察院監察委員行署組織條例」案。</w:t>
            </w:r>
          </w:p>
          <w:p w14:paraId="33B7B5E0" w14:textId="77777777" w:rsidR="00C82C27" w:rsidRPr="00AD2007" w:rsidRDefault="00C82C27" w:rsidP="00C82C27">
            <w:pPr>
              <w:spacing w:line="300" w:lineRule="exact"/>
              <w:jc w:val="both"/>
              <w:rPr>
                <w:rFonts w:ascii="標楷體" w:eastAsia="標楷體" w:hAnsi="標楷體"/>
                <w:color w:val="000000"/>
                <w:kern w:val="0"/>
              </w:rPr>
            </w:pPr>
            <w:r w:rsidRPr="00AD2007">
              <w:rPr>
                <w:rFonts w:ascii="標楷體" w:eastAsia="標楷體" w:hAnsi="標楷體" w:hint="eastAsia"/>
                <w:color w:val="000000"/>
                <w:kern w:val="0"/>
              </w:rPr>
              <w:t>四、併案審查（一）委員許智傑等28人、（二）委員吳玉琴等19人及（三）時代力量黨團分別擬廢止「竊盜犯贓物犯保安處分條例」案。</w:t>
            </w:r>
          </w:p>
          <w:p w14:paraId="29C9295E" w14:textId="77777777" w:rsidR="00C82C27" w:rsidRPr="00672A92" w:rsidRDefault="00C82C27" w:rsidP="00C82C27">
            <w:pPr>
              <w:spacing w:line="300" w:lineRule="exact"/>
              <w:jc w:val="both"/>
              <w:rPr>
                <w:rFonts w:ascii="標楷體" w:eastAsia="標楷體" w:hAnsi="標楷體"/>
                <w:color w:val="000000"/>
                <w:kern w:val="0"/>
              </w:rPr>
            </w:pPr>
            <w:r w:rsidRPr="00AD2007">
              <w:rPr>
                <w:rFonts w:ascii="標楷體" w:eastAsia="標楷體" w:hAnsi="標楷體" w:hint="eastAsia"/>
                <w:color w:val="000000"/>
                <w:kern w:val="0"/>
              </w:rPr>
              <w:t>五、繼續併案審查（一）行政院函請審議「外役監條例部分條文修正草案」、（二）委員林岱樺等</w:t>
            </w:r>
            <w:r w:rsidRPr="00AD2007">
              <w:rPr>
                <w:rFonts w:ascii="標楷體" w:eastAsia="標楷體" w:hAnsi="標楷體" w:hint="eastAsia"/>
                <w:color w:val="000000"/>
                <w:kern w:val="0"/>
              </w:rPr>
              <w:lastRenderedPageBreak/>
              <w:t>16人擬具「外役監條例部分條文修正草案」、（三）委員洪孟楷等18人擬具「外役監條例第一條、第四條及第十八條條文修正草案」、（四）委員高嘉瑜等17人擬具「外役監條例第四條條文修正草案」、（五）委員廖婉汝等19人擬具「外役監條例第四條及第二十一條條文修正草案」、（六）國民黨黨團擬具「外役監條例第四條條文修正草案」、（七）委員林思銘等16人擬具「外役監條例第四條條文修正草案」、（八）台灣民眾黨黨團擬具「外役監條例第四條及第二十一條條文修正草案」、（九）時代力量黨團擬具「外役監條例部分條文修正草案」、（十）委員游毓蘭等18人擬具「外役監條例第一條、第四條及第二十一條條文修正草案」、（十一）委員張育美等18人擬具「外役監條例部分條文修正草案」、（十二）委員鄭天財Sra Kacaw等19人擬具「外役監條例部分條文修正草案」、（十三）委員楊瓊瓔等17人擬具「外役監條例部分條文修正草</w:t>
            </w:r>
            <w:r w:rsidRPr="00AD2007">
              <w:rPr>
                <w:rFonts w:ascii="標楷體" w:eastAsia="標楷體" w:hAnsi="標楷體" w:hint="eastAsia"/>
                <w:color w:val="000000"/>
                <w:kern w:val="0"/>
              </w:rPr>
              <w:lastRenderedPageBreak/>
              <w:t>案」、（十四）委員賴瑞隆等22人擬具「外役監條例第四條條文修正草案」、（十五）委員羅致政等17人擬具「外役監條例部分條文修正草案」、（十六）委員林宜瑾等18人擬具「外役監條例第二十一條條文修正草案」、（十七）委員莊瑞雄等</w:t>
            </w:r>
            <w:r w:rsidRPr="00AD2007">
              <w:rPr>
                <w:rFonts w:ascii="標楷體" w:eastAsia="標楷體" w:hAnsi="標楷體"/>
                <w:color w:val="000000"/>
                <w:kern w:val="0"/>
              </w:rPr>
              <w:t>16</w:t>
            </w:r>
            <w:r w:rsidRPr="00AD2007">
              <w:rPr>
                <w:rFonts w:ascii="標楷體" w:eastAsia="標楷體" w:hAnsi="標楷體" w:hint="eastAsia"/>
                <w:color w:val="000000"/>
                <w:kern w:val="0"/>
              </w:rPr>
              <w:t>人擬具「外役監條例第四條條文修正草案」、（十八）委員陳秀寳等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人擬具「外役監條例部分條文修正草案」、（十九）委員黃國書等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人擬具「外役監條例部分條文修正草案」、（二十）委員湯蕙禎等</w:t>
            </w:r>
            <w:r w:rsidRPr="00AD2007">
              <w:rPr>
                <w:rFonts w:ascii="標楷體" w:eastAsia="標楷體" w:hAnsi="標楷體"/>
                <w:color w:val="000000"/>
                <w:kern w:val="0"/>
              </w:rPr>
              <w:t>18</w:t>
            </w:r>
            <w:r w:rsidRPr="00AD2007">
              <w:rPr>
                <w:rFonts w:ascii="標楷體" w:eastAsia="標楷體" w:hAnsi="標楷體" w:hint="eastAsia"/>
                <w:color w:val="000000"/>
                <w:kern w:val="0"/>
              </w:rPr>
              <w:t>人擬具「外役監條例第四條條文修正草案」、（二十一）委員江永昌等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人擬具「外役監條例第二十一條條文修正草案」、（二十二）委員林昶佐等</w:t>
            </w:r>
            <w:r w:rsidRPr="00AD2007">
              <w:rPr>
                <w:rFonts w:ascii="標楷體" w:eastAsia="標楷體" w:hAnsi="標楷體"/>
                <w:color w:val="000000"/>
                <w:kern w:val="0"/>
              </w:rPr>
              <w:t>16</w:t>
            </w:r>
            <w:r w:rsidRPr="00AD2007">
              <w:rPr>
                <w:rFonts w:ascii="標楷體" w:eastAsia="標楷體" w:hAnsi="標楷體" w:hint="eastAsia"/>
                <w:color w:val="000000"/>
                <w:kern w:val="0"/>
              </w:rPr>
              <w:t>人擬具「外役監條例第四條及第二十一條條文修正草案」及（二十三）委員王定宇等</w:t>
            </w:r>
            <w:r w:rsidRPr="00AD2007">
              <w:rPr>
                <w:rFonts w:ascii="標楷體" w:eastAsia="標楷體" w:hAnsi="標楷體"/>
                <w:color w:val="000000"/>
                <w:kern w:val="0"/>
              </w:rPr>
              <w:t>17</w:t>
            </w:r>
            <w:r w:rsidRPr="00AD2007">
              <w:rPr>
                <w:rFonts w:ascii="標楷體" w:eastAsia="標楷體" w:hAnsi="標楷體" w:hint="eastAsia"/>
                <w:color w:val="000000"/>
                <w:kern w:val="0"/>
              </w:rPr>
              <w:t>人擬具「外役監條例部分條文修正草案」案。</w:t>
            </w:r>
          </w:p>
        </w:tc>
        <w:tc>
          <w:tcPr>
            <w:tcW w:w="1087" w:type="pct"/>
          </w:tcPr>
          <w:p w14:paraId="2544D092" w14:textId="77777777" w:rsidR="00C82C27" w:rsidRDefault="00C82C27" w:rsidP="00B538DD">
            <w:pPr>
              <w:spacing w:line="300" w:lineRule="exact"/>
              <w:rPr>
                <w:rFonts w:ascii="標楷體" w:eastAsia="標楷體" w:hAnsi="標楷體"/>
                <w:color w:val="000000"/>
                <w:kern w:val="0"/>
              </w:rPr>
            </w:pPr>
            <w:r w:rsidRPr="0045464F">
              <w:rPr>
                <w:rFonts w:ascii="標楷體" w:eastAsia="標楷體" w:hAnsi="標楷體" w:hint="eastAsia"/>
                <w:color w:val="000000"/>
                <w:kern w:val="0"/>
              </w:rPr>
              <w:lastRenderedPageBreak/>
              <w:t>陳召集委員歐珀</w:t>
            </w:r>
          </w:p>
          <w:p w14:paraId="5C022736" w14:textId="77777777" w:rsidR="00C82C27" w:rsidRPr="0045464F" w:rsidRDefault="00C82C27" w:rsidP="00B538DD">
            <w:pPr>
              <w:spacing w:line="300" w:lineRule="exact"/>
              <w:rPr>
                <w:rFonts w:ascii="標楷體" w:eastAsia="標楷體" w:hAnsi="標楷體"/>
                <w:color w:val="000000"/>
                <w:kern w:val="0"/>
              </w:rPr>
            </w:pPr>
          </w:p>
          <w:p w14:paraId="59A728F8" w14:textId="77777777" w:rsidR="00C82C27" w:rsidRPr="0045464F" w:rsidRDefault="00C82C27" w:rsidP="00B538DD">
            <w:pPr>
              <w:spacing w:line="300" w:lineRule="exact"/>
              <w:jc w:val="both"/>
              <w:rPr>
                <w:rFonts w:ascii="標楷體" w:eastAsia="標楷體" w:hAnsi="標楷體"/>
                <w:color w:val="000000"/>
                <w:kern w:val="0"/>
              </w:rPr>
            </w:pPr>
            <w:r w:rsidRPr="00AD2007">
              <w:rPr>
                <w:rFonts w:ascii="標楷體" w:eastAsia="標楷體" w:hAnsi="標楷體" w:hint="eastAsia"/>
                <w:color w:val="000000"/>
                <w:kern w:val="0"/>
              </w:rPr>
              <w:t>考試院秘書長、監察院副秘書長、法務部部長、法務部矯正署署長、司法院、銓敘部、國防部、教育部、勞動部、衛生福利部、國家發展委員會、大陸委員會、行政院主計總處、行政院人事行政總處、內政部警政署、內政部移民署</w:t>
            </w:r>
          </w:p>
        </w:tc>
        <w:tc>
          <w:tcPr>
            <w:tcW w:w="1143" w:type="pct"/>
          </w:tcPr>
          <w:p w14:paraId="7CDB9093" w14:textId="77777777" w:rsidR="00C82C27" w:rsidRDefault="00C82C27" w:rsidP="00C82C27">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第一案至第四案</w:t>
            </w:r>
            <w:r w:rsidRPr="001D7C15">
              <w:rPr>
                <w:rFonts w:ascii="標楷體" w:eastAsia="標楷體" w:hAnsi="標楷體" w:hint="eastAsia"/>
                <w:color w:val="000000"/>
                <w:kern w:val="0"/>
              </w:rPr>
              <w:t>審查完竣，</w:t>
            </w:r>
            <w:r>
              <w:rPr>
                <w:rFonts w:ascii="標楷體" w:eastAsia="標楷體" w:hAnsi="標楷體" w:hint="eastAsia"/>
                <w:color w:val="000000"/>
                <w:kern w:val="0"/>
              </w:rPr>
              <w:t>均不</w:t>
            </w:r>
            <w:r w:rsidRPr="001D7C15">
              <w:rPr>
                <w:rFonts w:ascii="標楷體" w:eastAsia="標楷體" w:hAnsi="標楷體" w:hint="eastAsia"/>
                <w:color w:val="000000"/>
                <w:kern w:val="0"/>
              </w:rPr>
              <w:t>須交由黨團協商</w:t>
            </w:r>
            <w:r>
              <w:rPr>
                <w:rFonts w:ascii="標楷體" w:eastAsia="標楷體" w:hAnsi="標楷體" w:hint="eastAsia"/>
                <w:color w:val="000000"/>
                <w:kern w:val="0"/>
              </w:rPr>
              <w:t>；第五案</w:t>
            </w:r>
            <w:r w:rsidRPr="001D7C15">
              <w:rPr>
                <w:rFonts w:ascii="標楷體" w:eastAsia="標楷體" w:hAnsi="標楷體" w:hint="eastAsia"/>
                <w:color w:val="000000"/>
                <w:kern w:val="0"/>
              </w:rPr>
              <w:t>另定期繼續審查。</w:t>
            </w:r>
          </w:p>
          <w:p w14:paraId="0E46597B" w14:textId="77777777" w:rsidR="00C82C27" w:rsidRDefault="00C82C27" w:rsidP="00C82C27">
            <w:pPr>
              <w:spacing w:line="300" w:lineRule="exact"/>
              <w:jc w:val="both"/>
              <w:rPr>
                <w:rFonts w:ascii="標楷體" w:eastAsia="標楷體" w:hAnsi="標楷體"/>
                <w:color w:val="000000"/>
                <w:kern w:val="0"/>
              </w:rPr>
            </w:pPr>
            <w:r w:rsidRPr="00BA2116">
              <w:rPr>
                <w:rFonts w:ascii="標楷體" w:eastAsia="標楷體" w:hAnsi="標楷體" w:hint="eastAsia"/>
                <w:color w:val="000000" w:themeColor="text1"/>
                <w:kern w:val="0"/>
              </w:rPr>
              <w:t>（第11</w:t>
            </w:r>
            <w:r>
              <w:rPr>
                <w:rFonts w:ascii="標楷體" w:eastAsia="標楷體" w:hAnsi="標楷體"/>
                <w:color w:val="000000" w:themeColor="text1"/>
                <w:kern w:val="0"/>
              </w:rPr>
              <w:t>2</w:t>
            </w:r>
            <w:r w:rsidRPr="00BA2116">
              <w:rPr>
                <w:rFonts w:ascii="標楷體" w:eastAsia="標楷體" w:hAnsi="標楷體" w:hint="eastAsia"/>
                <w:color w:val="000000" w:themeColor="text1"/>
                <w:kern w:val="0"/>
              </w:rPr>
              <w:t>卷</w:t>
            </w:r>
            <w:r>
              <w:rPr>
                <w:rFonts w:ascii="標楷體" w:eastAsia="標楷體" w:hAnsi="標楷體" w:hint="eastAsia"/>
                <w:color w:val="000000" w:themeColor="text1"/>
                <w:kern w:val="0"/>
              </w:rPr>
              <w:t>18</w:t>
            </w:r>
            <w:r w:rsidRPr="00BA2116">
              <w:rPr>
                <w:rFonts w:ascii="標楷體" w:eastAsia="標楷體" w:hAnsi="標楷體" w:hint="eastAsia"/>
                <w:color w:val="000000" w:themeColor="text1"/>
                <w:kern w:val="0"/>
              </w:rPr>
              <w:t>期5</w:t>
            </w:r>
            <w:r>
              <w:rPr>
                <w:rFonts w:ascii="標楷體" w:eastAsia="標楷體" w:hAnsi="標楷體"/>
                <w:color w:val="000000" w:themeColor="text1"/>
                <w:kern w:val="0"/>
              </w:rPr>
              <w:t>103</w:t>
            </w:r>
            <w:r w:rsidRPr="00BA2116">
              <w:rPr>
                <w:rFonts w:ascii="標楷體" w:eastAsia="標楷體" w:hAnsi="標楷體" w:hint="eastAsia"/>
                <w:color w:val="000000" w:themeColor="text1"/>
                <w:kern w:val="0"/>
              </w:rPr>
              <w:t>）</w:t>
            </w:r>
          </w:p>
        </w:tc>
      </w:tr>
      <w:bookmarkEnd w:id="17"/>
      <w:bookmarkEnd w:id="18"/>
      <w:bookmarkEnd w:id="19"/>
      <w:bookmarkEnd w:id="20"/>
    </w:tbl>
    <w:p w14:paraId="22421BD7" w14:textId="77777777" w:rsidR="00C82C27" w:rsidRDefault="00C82C27" w:rsidP="00C82C27">
      <w:pPr>
        <w:rPr>
          <w:color w:val="000000"/>
        </w:rPr>
      </w:pPr>
    </w:p>
    <w:p w14:paraId="5D32DEB2" w14:textId="77777777" w:rsidR="00C82C27" w:rsidRDefault="00C82C27">
      <w:pPr>
        <w:widowControl/>
        <w:rPr>
          <w:color w:val="000000"/>
        </w:rPr>
      </w:pPr>
      <w:r>
        <w:rPr>
          <w:color w:val="000000"/>
        </w:rPr>
        <w:br w:type="page"/>
      </w:r>
    </w:p>
    <w:p w14:paraId="03963978" w14:textId="77777777" w:rsidR="00C82C27" w:rsidRPr="00610C34" w:rsidRDefault="00C82C27" w:rsidP="00C82C27">
      <w:pPr>
        <w:keepNext/>
        <w:snapToGrid w:val="0"/>
        <w:spacing w:afterLines="50" w:after="180" w:line="520" w:lineRule="exact"/>
        <w:jc w:val="both"/>
        <w:outlineLvl w:val="1"/>
        <w:rPr>
          <w:rFonts w:ascii="標楷體" w:eastAsia="標楷體" w:hAnsi="標楷體"/>
          <w:b/>
          <w:color w:val="000000"/>
          <w:sz w:val="28"/>
          <w:szCs w:val="28"/>
        </w:rPr>
      </w:pPr>
      <w:bookmarkStart w:id="58" w:name="_Toc96350481"/>
      <w:bookmarkStart w:id="59" w:name="_Toc96350482"/>
      <w:r w:rsidRPr="00610C34">
        <w:rPr>
          <w:rFonts w:ascii="標楷體" w:eastAsia="標楷體" w:hAnsi="標楷體" w:hint="eastAsia"/>
          <w:b/>
          <w:color w:val="000000"/>
          <w:sz w:val="28"/>
          <w:szCs w:val="28"/>
        </w:rPr>
        <w:lastRenderedPageBreak/>
        <w:t>二</w:t>
      </w:r>
      <w:r w:rsidRPr="00610C34">
        <w:rPr>
          <w:rFonts w:ascii="標楷體" w:eastAsia="標楷體" w:hAnsi="標楷體"/>
          <w:b/>
          <w:color w:val="000000"/>
          <w:sz w:val="28"/>
          <w:szCs w:val="28"/>
        </w:rPr>
        <w:t>、公聽會</w:t>
      </w:r>
      <w:bookmarkEnd w:id="58"/>
    </w:p>
    <w:p w14:paraId="35276C2A" w14:textId="77777777" w:rsidR="00C82C27" w:rsidRPr="00610C34" w:rsidRDefault="00C82C27" w:rsidP="00C82C27">
      <w:pPr>
        <w:autoSpaceDE w:val="0"/>
        <w:autoSpaceDN w:val="0"/>
        <w:adjustRightInd w:val="0"/>
        <w:snapToGrid w:val="0"/>
        <w:spacing w:beforeLines="50" w:before="180" w:line="360" w:lineRule="exact"/>
        <w:ind w:leftChars="236" w:left="1133" w:hanging="567"/>
        <w:jc w:val="both"/>
        <w:outlineLvl w:val="2"/>
        <w:rPr>
          <w:rFonts w:ascii="標楷體" w:eastAsia="標楷體" w:hAnsi="標楷體"/>
          <w:color w:val="000000"/>
          <w:sz w:val="28"/>
          <w:szCs w:val="28"/>
        </w:rPr>
      </w:pPr>
      <w:r w:rsidRPr="00610C34">
        <w:rPr>
          <w:rFonts w:ascii="標楷體" w:eastAsia="標楷體" w:hAnsi="標楷體"/>
          <w:color w:val="000000"/>
          <w:sz w:val="28"/>
          <w:szCs w:val="28"/>
        </w:rPr>
        <w:t>(</w:t>
      </w:r>
      <w:r w:rsidRPr="00610C34">
        <w:rPr>
          <w:rFonts w:ascii="標楷體" w:eastAsia="標楷體" w:hAnsi="標楷體" w:hint="eastAsia"/>
          <w:color w:val="000000"/>
          <w:sz w:val="28"/>
          <w:szCs w:val="28"/>
        </w:rPr>
        <w:t>一</w:t>
      </w:r>
      <w:r w:rsidRPr="00610C34">
        <w:rPr>
          <w:rFonts w:ascii="標楷體" w:eastAsia="標楷體" w:hAnsi="標楷體"/>
          <w:color w:val="000000"/>
          <w:sz w:val="28"/>
          <w:szCs w:val="28"/>
        </w:rPr>
        <w:t>)</w:t>
      </w:r>
      <w:r w:rsidRPr="00610C34">
        <w:rPr>
          <w:rFonts w:ascii="標楷體" w:eastAsia="標楷體" w:hAnsi="標楷體" w:hint="eastAsia"/>
          <w:color w:val="000000"/>
          <w:sz w:val="28"/>
          <w:szCs w:val="28"/>
        </w:rPr>
        <w:t>1</w:t>
      </w:r>
      <w:r w:rsidRPr="00610C34">
        <w:rPr>
          <w:rFonts w:ascii="標楷體" w:eastAsia="標楷體" w:hAnsi="標楷體"/>
          <w:color w:val="000000"/>
          <w:sz w:val="28"/>
          <w:szCs w:val="28"/>
        </w:rPr>
        <w:t>11</w:t>
      </w:r>
      <w:r w:rsidRPr="00610C34">
        <w:rPr>
          <w:rFonts w:ascii="標楷體" w:eastAsia="標楷體" w:hAnsi="標楷體" w:hint="eastAsia"/>
          <w:color w:val="000000"/>
          <w:sz w:val="28"/>
          <w:szCs w:val="28"/>
        </w:rPr>
        <w:t>年</w:t>
      </w:r>
      <w:r>
        <w:rPr>
          <w:rFonts w:ascii="標楷體" w:eastAsia="標楷體" w:hAnsi="標楷體" w:hint="eastAsia"/>
          <w:color w:val="000000"/>
          <w:sz w:val="28"/>
          <w:szCs w:val="28"/>
        </w:rPr>
        <w:t>1</w:t>
      </w:r>
      <w:r>
        <w:rPr>
          <w:rFonts w:ascii="標楷體" w:eastAsia="標楷體" w:hAnsi="標楷體"/>
          <w:color w:val="000000"/>
          <w:sz w:val="28"/>
          <w:szCs w:val="28"/>
        </w:rPr>
        <w:t>1</w:t>
      </w:r>
      <w:r w:rsidRPr="00610C34">
        <w:rPr>
          <w:rFonts w:ascii="標楷體" w:eastAsia="標楷體" w:hAnsi="標楷體" w:hint="eastAsia"/>
          <w:color w:val="000000"/>
          <w:sz w:val="28"/>
          <w:szCs w:val="28"/>
        </w:rPr>
        <w:t>月</w:t>
      </w:r>
      <w:r>
        <w:rPr>
          <w:rFonts w:ascii="標楷體" w:eastAsia="標楷體" w:hAnsi="標楷體" w:hint="eastAsia"/>
          <w:color w:val="000000"/>
          <w:sz w:val="28"/>
          <w:szCs w:val="28"/>
        </w:rPr>
        <w:t>3日（星期四</w:t>
      </w:r>
      <w:r w:rsidRPr="00610C34">
        <w:rPr>
          <w:rFonts w:ascii="標楷體" w:eastAsia="標楷體" w:hAnsi="標楷體" w:hint="eastAsia"/>
          <w:color w:val="000000"/>
          <w:sz w:val="28"/>
          <w:szCs w:val="28"/>
        </w:rPr>
        <w:t>）舉行「</w:t>
      </w:r>
      <w:r w:rsidRPr="008345E7">
        <w:rPr>
          <w:rFonts w:ascii="標楷體" w:eastAsia="標楷體" w:hAnsi="標楷體" w:cs="標楷體" w:hint="eastAsia"/>
          <w:color w:val="000000"/>
          <w:sz w:val="28"/>
          <w:szCs w:val="28"/>
        </w:rPr>
        <w:t>憲法訴訟法部分條文修正草案</w:t>
      </w:r>
      <w:r w:rsidRPr="00610C34">
        <w:rPr>
          <w:rFonts w:ascii="標楷體" w:eastAsia="標楷體" w:hAnsi="標楷體" w:hint="eastAsia"/>
          <w:color w:val="000000"/>
          <w:sz w:val="28"/>
          <w:szCs w:val="28"/>
        </w:rPr>
        <w:t>」公聽會</w:t>
      </w:r>
    </w:p>
    <w:p w14:paraId="446D4A3E" w14:textId="77777777" w:rsidR="00C82C27" w:rsidRPr="00610C34" w:rsidRDefault="00C82C27" w:rsidP="00C82C2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rPr>
      </w:pPr>
      <w:r w:rsidRPr="00610C34">
        <w:rPr>
          <w:rFonts w:ascii="標楷體" w:eastAsia="標楷體" w:hAnsi="標楷體"/>
          <w:color w:val="000000"/>
          <w:sz w:val="28"/>
          <w:szCs w:val="28"/>
        </w:rPr>
        <w:t>1.主席：</w:t>
      </w:r>
      <w:r w:rsidRPr="00610C34">
        <w:rPr>
          <w:rFonts w:ascii="標楷體" w:eastAsia="標楷體" w:hAnsi="標楷體" w:hint="eastAsia"/>
          <w:color w:val="000000"/>
          <w:sz w:val="28"/>
          <w:szCs w:val="28"/>
        </w:rPr>
        <w:t>陳召集委員</w:t>
      </w:r>
      <w:r>
        <w:rPr>
          <w:rFonts w:ascii="標楷體" w:eastAsia="標楷體" w:hAnsi="標楷體" w:hint="eastAsia"/>
          <w:color w:val="000000"/>
          <w:sz w:val="28"/>
          <w:szCs w:val="28"/>
        </w:rPr>
        <w:t>歐珀</w:t>
      </w:r>
    </w:p>
    <w:p w14:paraId="2FC61533" w14:textId="52457E7B" w:rsidR="00C82C27" w:rsidRPr="00610C34" w:rsidRDefault="00C82C27" w:rsidP="00C82C2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610C34">
        <w:rPr>
          <w:rFonts w:ascii="標楷體" w:eastAsia="標楷體" w:hAnsi="標楷體" w:hint="eastAsia"/>
          <w:color w:val="000000"/>
          <w:sz w:val="28"/>
          <w:szCs w:val="28"/>
          <w:shd w:val="clear" w:color="auto" w:fill="FFFFFF"/>
        </w:rPr>
        <w:t>2.</w:t>
      </w:r>
      <w:r w:rsidR="00C7009D">
        <w:rPr>
          <w:rFonts w:ascii="標楷體" w:eastAsia="標楷體" w:hAnsi="標楷體" w:hint="eastAsia"/>
          <w:color w:val="000000"/>
          <w:sz w:val="28"/>
          <w:szCs w:val="28"/>
          <w:shd w:val="clear" w:color="auto" w:fill="FFFFFF"/>
        </w:rPr>
        <w:t>討論</w:t>
      </w:r>
      <w:r w:rsidRPr="00610C34">
        <w:rPr>
          <w:rFonts w:ascii="標楷體" w:eastAsia="標楷體" w:hAnsi="標楷體" w:hint="eastAsia"/>
          <w:color w:val="000000"/>
          <w:sz w:val="28"/>
          <w:szCs w:val="28"/>
          <w:shd w:val="clear" w:color="auto" w:fill="FFFFFF"/>
        </w:rPr>
        <w:t>提</w:t>
      </w:r>
      <w:r w:rsidRPr="00610C34">
        <w:rPr>
          <w:rFonts w:ascii="標楷體" w:eastAsia="標楷體" w:hAnsi="標楷體"/>
          <w:color w:val="000000"/>
          <w:sz w:val="28"/>
          <w:szCs w:val="28"/>
          <w:shd w:val="clear" w:color="auto" w:fill="FFFFFF"/>
        </w:rPr>
        <w:t>綱</w:t>
      </w:r>
      <w:r w:rsidRPr="00610C34">
        <w:rPr>
          <w:rFonts w:ascii="標楷體" w:eastAsia="標楷體" w:hAnsi="標楷體" w:hint="eastAsia"/>
          <w:color w:val="000000"/>
          <w:sz w:val="28"/>
          <w:szCs w:val="28"/>
          <w:shd w:val="clear" w:color="auto" w:fill="FFFFFF"/>
        </w:rPr>
        <w:t>，內容如下</w:t>
      </w:r>
      <w:r w:rsidRPr="00610C34">
        <w:rPr>
          <w:rFonts w:ascii="標楷體" w:eastAsia="標楷體" w:hAnsi="標楷體"/>
          <w:color w:val="000000"/>
          <w:sz w:val="28"/>
          <w:szCs w:val="28"/>
          <w:shd w:val="clear" w:color="auto" w:fill="FFFFFF"/>
        </w:rPr>
        <w:t>：</w:t>
      </w:r>
    </w:p>
    <w:p w14:paraId="5D2815D9" w14:textId="77777777" w:rsidR="00C82C27" w:rsidRPr="00610C34"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610C34">
        <w:rPr>
          <w:rFonts w:ascii="標楷體" w:eastAsia="標楷體" w:hAnsi="標楷體" w:hint="eastAsia"/>
          <w:color w:val="000000"/>
          <w:sz w:val="28"/>
          <w:szCs w:val="28"/>
        </w:rPr>
        <w:t>(</w:t>
      </w:r>
      <w:r w:rsidRPr="00610C34">
        <w:rPr>
          <w:rFonts w:ascii="標楷體" w:eastAsia="標楷體" w:hAnsi="標楷體"/>
          <w:color w:val="000000"/>
          <w:sz w:val="28"/>
          <w:szCs w:val="28"/>
        </w:rPr>
        <w:t>1</w:t>
      </w:r>
      <w:r w:rsidRPr="00610C34">
        <w:rPr>
          <w:rFonts w:ascii="標楷體" w:eastAsia="標楷體" w:hAnsi="標楷體" w:hint="eastAsia"/>
          <w:color w:val="000000"/>
          <w:sz w:val="28"/>
          <w:szCs w:val="28"/>
        </w:rPr>
        <w:t>)</w:t>
      </w:r>
      <w:r w:rsidRPr="008345E7">
        <w:rPr>
          <w:rFonts w:ascii="標楷體" w:eastAsia="標楷體" w:hAnsi="標楷體" w:hint="eastAsia"/>
          <w:color w:val="000000"/>
          <w:sz w:val="28"/>
          <w:szCs w:val="28"/>
        </w:rPr>
        <w:t>關於憲法訴訟卷宗書狀及其附件之公開，應如何兼顧憲法訴訟程序之公開透明與資訊隱私權暨其他法益之保障？</w:t>
      </w:r>
    </w:p>
    <w:p w14:paraId="65DB1B3E" w14:textId="77777777" w:rsidR="00C82C27" w:rsidRPr="00610C34"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610C34">
        <w:rPr>
          <w:rFonts w:ascii="標楷體" w:eastAsia="標楷體" w:hAnsi="標楷體" w:hint="eastAsia"/>
          <w:color w:val="000000"/>
          <w:sz w:val="28"/>
          <w:szCs w:val="28"/>
        </w:rPr>
        <w:t>(</w:t>
      </w:r>
      <w:r w:rsidRPr="00610C34">
        <w:rPr>
          <w:rFonts w:ascii="標楷體" w:eastAsia="標楷體" w:hAnsi="標楷體"/>
          <w:color w:val="000000"/>
          <w:sz w:val="28"/>
          <w:szCs w:val="28"/>
        </w:rPr>
        <w:t>2</w:t>
      </w:r>
      <w:r w:rsidRPr="00610C34">
        <w:rPr>
          <w:rFonts w:ascii="標楷體" w:eastAsia="標楷體" w:hAnsi="標楷體" w:hint="eastAsia"/>
          <w:color w:val="000000"/>
          <w:sz w:val="28"/>
          <w:szCs w:val="28"/>
        </w:rPr>
        <w:t>)</w:t>
      </w:r>
      <w:r w:rsidRPr="008345E7">
        <w:rPr>
          <w:rFonts w:ascii="標楷體" w:eastAsia="標楷體" w:hAnsi="標楷體" w:hint="eastAsia"/>
          <w:color w:val="000000"/>
          <w:sz w:val="28"/>
          <w:szCs w:val="28"/>
        </w:rPr>
        <w:t>司法院函請審議「憲法訴訟法部分條文修正草案」案第24條：「憲法法庭就分別提起之數宗聲請得合併審理，並得合併裁判；其合併審理者，得指定其中一宗或數宗聲請案件行言詞辯論。(第1項)聲請人以同一聲請書聲請數事項，憲法法庭得分別審理，並得分別裁判。(第2項)」條文如何保障未到庭併案聲請人之權利？</w:t>
      </w:r>
    </w:p>
    <w:p w14:paraId="21B10B91" w14:textId="77777777" w:rsidR="00C82C27" w:rsidRPr="00610C34"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610C34">
        <w:rPr>
          <w:rFonts w:ascii="標楷體" w:eastAsia="標楷體" w:hAnsi="標楷體"/>
          <w:color w:val="000000"/>
          <w:sz w:val="28"/>
          <w:szCs w:val="28"/>
        </w:rPr>
        <w:t>(3)</w:t>
      </w:r>
      <w:r w:rsidRPr="008345E7">
        <w:rPr>
          <w:rFonts w:ascii="標楷體" w:eastAsia="標楷體" w:hAnsi="標楷體" w:hint="eastAsia"/>
          <w:color w:val="000000"/>
          <w:sz w:val="28"/>
          <w:szCs w:val="28"/>
        </w:rPr>
        <w:t>現行憲法訴訟法第53條，關於憲法法庭判決宣告法規範立即失效之判決效力規定，係參考德國聯邦憲法法院法制定，著重實質正義的實現，何以有修正必要？於憲法法庭判決宣告法規範違憲前，所有適用該立即失效違憲法規範之刑事確定裁判，於憲法法庭判決後，均得循非常上訴途徑救濟，會否對於實務運作造成衝擊？</w:t>
      </w:r>
    </w:p>
    <w:p w14:paraId="20157EB0" w14:textId="77777777" w:rsidR="00C82C27" w:rsidRPr="00610C34"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610C34">
        <w:rPr>
          <w:rFonts w:ascii="標楷體" w:eastAsia="標楷體" w:hAnsi="標楷體"/>
          <w:color w:val="000000"/>
          <w:sz w:val="28"/>
          <w:szCs w:val="28"/>
        </w:rPr>
        <w:t>(4)</w:t>
      </w:r>
      <w:r w:rsidRPr="00F25170">
        <w:rPr>
          <w:rFonts w:ascii="標楷體" w:eastAsia="標楷體" w:hAnsi="標楷體" w:hint="eastAsia"/>
          <w:color w:val="000000"/>
          <w:sz w:val="28"/>
          <w:szCs w:val="28"/>
        </w:rPr>
        <w:t>關於憲法訴訟之程序參與，從使用憲法法庭之經驗及法理出發，是否有檢討之必要？</w:t>
      </w:r>
    </w:p>
    <w:p w14:paraId="73A9E493" w14:textId="77777777" w:rsidR="00C82C27" w:rsidRPr="00610C34" w:rsidRDefault="00C82C27" w:rsidP="00C82C2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610C34">
        <w:rPr>
          <w:rFonts w:ascii="標楷體" w:eastAsia="標楷體" w:hAnsi="標楷體" w:hint="eastAsia"/>
          <w:color w:val="000000"/>
          <w:sz w:val="28"/>
          <w:szCs w:val="28"/>
        </w:rPr>
        <w:t>3</w:t>
      </w:r>
      <w:r w:rsidRPr="00610C34">
        <w:rPr>
          <w:rFonts w:ascii="標楷體" w:eastAsia="標楷體" w:hAnsi="標楷體"/>
          <w:color w:val="000000"/>
          <w:sz w:val="28"/>
          <w:szCs w:val="28"/>
        </w:rPr>
        <w:t>.邀請</w:t>
      </w:r>
      <w:r w:rsidRPr="004950B1">
        <w:rPr>
          <w:rFonts w:ascii="標楷體" w:eastAsia="標楷體" w:hAnsi="標楷體" w:hint="eastAsia"/>
          <w:color w:val="000000"/>
          <w:sz w:val="28"/>
          <w:szCs w:val="28"/>
        </w:rPr>
        <w:t>李念祖教授、李劍非講師、吳欣陽律師、吳柏宏主持律師、吳信華教授、周宇修會長、洪偉勝主持律師、張鈞綸律師、陳清秀教授、陳錫平助理教授、陳愛娥副教授、喬政翔主任、葉慶元主持律師</w:t>
      </w:r>
      <w:r w:rsidRPr="004950B1">
        <w:rPr>
          <w:rFonts w:ascii="標楷體" w:eastAsia="標楷體" w:hAnsi="標楷體" w:hint="eastAsia"/>
          <w:bCs/>
          <w:color w:val="000000"/>
          <w:sz w:val="28"/>
          <w:szCs w:val="28"/>
        </w:rPr>
        <w:t>暨司法院秘書長、最高檢察署檢察總長、立法院、法務部、原住民族委員會</w:t>
      </w:r>
      <w:r w:rsidRPr="004950B1">
        <w:rPr>
          <w:rFonts w:ascii="標楷體" w:eastAsia="標楷體" w:hAnsi="標楷體" w:hint="eastAsia"/>
          <w:color w:val="000000"/>
          <w:sz w:val="28"/>
          <w:szCs w:val="28"/>
        </w:rPr>
        <w:t>等</w:t>
      </w:r>
      <w:r w:rsidRPr="004950B1">
        <w:rPr>
          <w:rFonts w:ascii="標楷體" w:eastAsia="標楷體" w:hAnsi="標楷體"/>
          <w:color w:val="000000"/>
          <w:sz w:val="28"/>
          <w:szCs w:val="28"/>
        </w:rPr>
        <w:t>相關機關代表出席表達意見，本會並依出席者所提供之意見提出公聽會報告，送交本院全體委員及出席者，以作為審查法案之參考。</w:t>
      </w:r>
    </w:p>
    <w:p w14:paraId="57B2D5E9" w14:textId="77777777" w:rsidR="00C82C27" w:rsidRPr="00610C34" w:rsidRDefault="00C82C27" w:rsidP="00C82C27">
      <w:pPr>
        <w:autoSpaceDE w:val="0"/>
        <w:autoSpaceDN w:val="0"/>
        <w:adjustRightInd w:val="0"/>
        <w:snapToGrid w:val="0"/>
        <w:spacing w:beforeLines="50" w:before="180" w:line="360" w:lineRule="exact"/>
        <w:ind w:leftChars="236" w:left="1133" w:hanging="567"/>
        <w:jc w:val="both"/>
        <w:outlineLvl w:val="2"/>
        <w:rPr>
          <w:rFonts w:ascii="標楷體" w:eastAsia="標楷體" w:hAnsi="標楷體"/>
          <w:color w:val="000000"/>
          <w:sz w:val="28"/>
          <w:szCs w:val="28"/>
        </w:rPr>
      </w:pPr>
      <w:r w:rsidRPr="00610C34">
        <w:rPr>
          <w:rFonts w:ascii="標楷體" w:eastAsia="標楷體" w:hAnsi="標楷體"/>
          <w:color w:val="000000"/>
          <w:sz w:val="28"/>
          <w:szCs w:val="28"/>
        </w:rPr>
        <w:t>(</w:t>
      </w:r>
      <w:r>
        <w:rPr>
          <w:rFonts w:ascii="標楷體" w:eastAsia="標楷體" w:hAnsi="標楷體" w:hint="eastAsia"/>
          <w:color w:val="000000"/>
          <w:sz w:val="28"/>
          <w:szCs w:val="28"/>
        </w:rPr>
        <w:t>二</w:t>
      </w:r>
      <w:r w:rsidRPr="00610C34">
        <w:rPr>
          <w:rFonts w:ascii="標楷體" w:eastAsia="標楷體" w:hAnsi="標楷體"/>
          <w:color w:val="000000"/>
          <w:sz w:val="28"/>
          <w:szCs w:val="28"/>
        </w:rPr>
        <w:t>)</w:t>
      </w:r>
      <w:r w:rsidRPr="00610C34">
        <w:rPr>
          <w:rFonts w:ascii="標楷體" w:eastAsia="標楷體" w:hAnsi="標楷體" w:hint="eastAsia"/>
          <w:color w:val="000000"/>
          <w:sz w:val="28"/>
          <w:szCs w:val="28"/>
        </w:rPr>
        <w:t>1</w:t>
      </w:r>
      <w:r w:rsidRPr="00610C34">
        <w:rPr>
          <w:rFonts w:ascii="標楷體" w:eastAsia="標楷體" w:hAnsi="標楷體"/>
          <w:color w:val="000000"/>
          <w:sz w:val="28"/>
          <w:szCs w:val="28"/>
        </w:rPr>
        <w:t>11</w:t>
      </w:r>
      <w:r w:rsidRPr="00610C34">
        <w:rPr>
          <w:rFonts w:ascii="標楷體" w:eastAsia="標楷體" w:hAnsi="標楷體" w:hint="eastAsia"/>
          <w:color w:val="000000"/>
          <w:sz w:val="28"/>
          <w:szCs w:val="28"/>
        </w:rPr>
        <w:t>年</w:t>
      </w:r>
      <w:r>
        <w:rPr>
          <w:rFonts w:ascii="標楷體" w:eastAsia="標楷體" w:hAnsi="標楷體" w:hint="eastAsia"/>
          <w:color w:val="000000"/>
          <w:sz w:val="28"/>
          <w:szCs w:val="28"/>
        </w:rPr>
        <w:t>1</w:t>
      </w:r>
      <w:r>
        <w:rPr>
          <w:rFonts w:ascii="標楷體" w:eastAsia="標楷體" w:hAnsi="標楷體"/>
          <w:color w:val="000000"/>
          <w:sz w:val="28"/>
          <w:szCs w:val="28"/>
        </w:rPr>
        <w:t>2</w:t>
      </w:r>
      <w:r w:rsidRPr="00610C34">
        <w:rPr>
          <w:rFonts w:ascii="標楷體" w:eastAsia="標楷體" w:hAnsi="標楷體" w:hint="eastAsia"/>
          <w:color w:val="000000"/>
          <w:sz w:val="28"/>
          <w:szCs w:val="28"/>
        </w:rPr>
        <w:t>月</w:t>
      </w:r>
      <w:r>
        <w:rPr>
          <w:rFonts w:ascii="標楷體" w:eastAsia="標楷體" w:hAnsi="標楷體" w:hint="eastAsia"/>
          <w:color w:val="000000"/>
          <w:sz w:val="28"/>
          <w:szCs w:val="28"/>
        </w:rPr>
        <w:t>14日（星期三</w:t>
      </w:r>
      <w:r w:rsidRPr="00610C34">
        <w:rPr>
          <w:rFonts w:ascii="標楷體" w:eastAsia="標楷體" w:hAnsi="標楷體" w:hint="eastAsia"/>
          <w:color w:val="000000"/>
          <w:sz w:val="28"/>
          <w:szCs w:val="28"/>
        </w:rPr>
        <w:t>）舉行「</w:t>
      </w:r>
      <w:r w:rsidRPr="009B4AF1">
        <w:rPr>
          <w:rFonts w:ascii="標楷體" w:eastAsia="標楷體" w:hAnsi="標楷體" w:hint="eastAsia"/>
          <w:color w:val="000000"/>
          <w:sz w:val="28"/>
          <w:szCs w:val="28"/>
        </w:rPr>
        <w:t>外役</w:t>
      </w:r>
      <w:r>
        <w:rPr>
          <w:rFonts w:ascii="標楷體" w:eastAsia="標楷體" w:hAnsi="標楷體" w:hint="eastAsia"/>
          <w:color w:val="000000"/>
          <w:sz w:val="28"/>
          <w:szCs w:val="28"/>
        </w:rPr>
        <w:t>監條例部分條文修正草案」公聽會</w:t>
      </w:r>
    </w:p>
    <w:p w14:paraId="02C524E3" w14:textId="77777777" w:rsidR="00C82C27" w:rsidRPr="00610C34" w:rsidRDefault="00C82C27" w:rsidP="00C82C2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rPr>
      </w:pPr>
      <w:r w:rsidRPr="00610C34">
        <w:rPr>
          <w:rFonts w:ascii="標楷體" w:eastAsia="標楷體" w:hAnsi="標楷體"/>
          <w:color w:val="000000"/>
          <w:sz w:val="28"/>
          <w:szCs w:val="28"/>
        </w:rPr>
        <w:t>1.主席：</w:t>
      </w:r>
      <w:r w:rsidRPr="00610C34">
        <w:rPr>
          <w:rFonts w:ascii="標楷體" w:eastAsia="標楷體" w:hAnsi="標楷體" w:hint="eastAsia"/>
          <w:color w:val="000000"/>
          <w:sz w:val="28"/>
          <w:szCs w:val="28"/>
        </w:rPr>
        <w:t>陳召集委員</w:t>
      </w:r>
      <w:r>
        <w:rPr>
          <w:rFonts w:ascii="標楷體" w:eastAsia="標楷體" w:hAnsi="標楷體" w:hint="eastAsia"/>
          <w:color w:val="000000"/>
          <w:sz w:val="28"/>
          <w:szCs w:val="28"/>
        </w:rPr>
        <w:t>歐珀</w:t>
      </w:r>
    </w:p>
    <w:p w14:paraId="6024D8C0" w14:textId="3B9C0785" w:rsidR="00C82C27" w:rsidRPr="00610C34" w:rsidRDefault="00C82C27" w:rsidP="00C82C2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610C34">
        <w:rPr>
          <w:rFonts w:ascii="標楷體" w:eastAsia="標楷體" w:hAnsi="標楷體" w:hint="eastAsia"/>
          <w:color w:val="000000"/>
          <w:sz w:val="28"/>
          <w:szCs w:val="28"/>
          <w:shd w:val="clear" w:color="auto" w:fill="FFFFFF"/>
        </w:rPr>
        <w:t>2.</w:t>
      </w:r>
      <w:r w:rsidR="00407702">
        <w:rPr>
          <w:rFonts w:ascii="標楷體" w:eastAsia="標楷體" w:hAnsi="標楷體" w:hint="eastAsia"/>
          <w:color w:val="000000"/>
          <w:sz w:val="28"/>
          <w:szCs w:val="28"/>
          <w:shd w:val="clear" w:color="auto" w:fill="FFFFFF"/>
        </w:rPr>
        <w:t>討論</w:t>
      </w:r>
      <w:r w:rsidRPr="00610C34">
        <w:rPr>
          <w:rFonts w:ascii="標楷體" w:eastAsia="標楷體" w:hAnsi="標楷體" w:hint="eastAsia"/>
          <w:color w:val="000000"/>
          <w:sz w:val="28"/>
          <w:szCs w:val="28"/>
          <w:shd w:val="clear" w:color="auto" w:fill="FFFFFF"/>
        </w:rPr>
        <w:t>提</w:t>
      </w:r>
      <w:r w:rsidRPr="00610C34">
        <w:rPr>
          <w:rFonts w:ascii="標楷體" w:eastAsia="標楷體" w:hAnsi="標楷體"/>
          <w:color w:val="000000"/>
          <w:sz w:val="28"/>
          <w:szCs w:val="28"/>
          <w:shd w:val="clear" w:color="auto" w:fill="FFFFFF"/>
        </w:rPr>
        <w:t>綱</w:t>
      </w:r>
      <w:r w:rsidRPr="00610C34">
        <w:rPr>
          <w:rFonts w:ascii="標楷體" w:eastAsia="標楷體" w:hAnsi="標楷體" w:hint="eastAsia"/>
          <w:color w:val="000000"/>
          <w:sz w:val="28"/>
          <w:szCs w:val="28"/>
          <w:shd w:val="clear" w:color="auto" w:fill="FFFFFF"/>
        </w:rPr>
        <w:t>，內容如下</w:t>
      </w:r>
      <w:r w:rsidRPr="00610C34">
        <w:rPr>
          <w:rFonts w:ascii="標楷體" w:eastAsia="標楷體" w:hAnsi="標楷體"/>
          <w:color w:val="000000"/>
          <w:sz w:val="28"/>
          <w:szCs w:val="28"/>
          <w:shd w:val="clear" w:color="auto" w:fill="FFFFFF"/>
        </w:rPr>
        <w:t>：</w:t>
      </w:r>
    </w:p>
    <w:p w14:paraId="009C381D" w14:textId="77777777" w:rsidR="00C82C27" w:rsidRPr="009B4AF1"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610C34">
        <w:rPr>
          <w:rFonts w:ascii="標楷體" w:eastAsia="標楷體" w:hAnsi="標楷體" w:hint="eastAsia"/>
          <w:color w:val="000000"/>
          <w:sz w:val="28"/>
          <w:szCs w:val="28"/>
        </w:rPr>
        <w:t>(</w:t>
      </w:r>
      <w:r w:rsidRPr="00610C34">
        <w:rPr>
          <w:rFonts w:ascii="標楷體" w:eastAsia="標楷體" w:hAnsi="標楷體"/>
          <w:color w:val="000000"/>
          <w:sz w:val="28"/>
          <w:szCs w:val="28"/>
        </w:rPr>
        <w:t>1</w:t>
      </w:r>
      <w:r w:rsidRPr="00610C34">
        <w:rPr>
          <w:rFonts w:ascii="標楷體" w:eastAsia="標楷體" w:hAnsi="標楷體" w:hint="eastAsia"/>
          <w:color w:val="000000"/>
          <w:sz w:val="28"/>
          <w:szCs w:val="28"/>
        </w:rPr>
        <w:t>)</w:t>
      </w:r>
      <w:r w:rsidRPr="009B4AF1">
        <w:rPr>
          <w:rFonts w:ascii="標楷體" w:eastAsia="標楷體" w:hAnsi="標楷體" w:hint="eastAsia"/>
          <w:color w:val="000000"/>
          <w:sz w:val="28"/>
          <w:szCs w:val="28"/>
        </w:rPr>
        <w:t>外役監制度目的與定位是否有重新檢討之必要？國外相關制度是否有值得借鏡之處？</w:t>
      </w:r>
    </w:p>
    <w:p w14:paraId="04216C68" w14:textId="77777777" w:rsidR="00C82C27" w:rsidRPr="009B4AF1"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610C34">
        <w:rPr>
          <w:rFonts w:ascii="標楷體" w:eastAsia="標楷體" w:hAnsi="標楷體" w:hint="eastAsia"/>
          <w:color w:val="000000"/>
          <w:sz w:val="28"/>
          <w:szCs w:val="28"/>
        </w:rPr>
        <w:t>(</w:t>
      </w:r>
      <w:r>
        <w:rPr>
          <w:rFonts w:ascii="標楷體" w:eastAsia="標楷體" w:hAnsi="標楷體"/>
          <w:color w:val="000000"/>
          <w:sz w:val="28"/>
          <w:szCs w:val="28"/>
        </w:rPr>
        <w:t>2</w:t>
      </w:r>
      <w:r w:rsidRPr="00610C34">
        <w:rPr>
          <w:rFonts w:ascii="標楷體" w:eastAsia="標楷體" w:hAnsi="標楷體" w:hint="eastAsia"/>
          <w:color w:val="000000"/>
          <w:sz w:val="28"/>
          <w:szCs w:val="28"/>
        </w:rPr>
        <w:t>)</w:t>
      </w:r>
      <w:r w:rsidRPr="009B4AF1">
        <w:rPr>
          <w:rFonts w:ascii="標楷體" w:eastAsia="標楷體" w:hAnsi="標楷體" w:hint="eastAsia"/>
          <w:color w:val="000000"/>
          <w:sz w:val="28"/>
          <w:szCs w:val="28"/>
        </w:rPr>
        <w:t>現行外役監遴選條件與本次行政院修法草案所提之修正方向是否妥適？國外立法例上之遴選制度是否有可供參考之處？</w:t>
      </w:r>
      <w:r w:rsidRPr="009B4AF1">
        <w:rPr>
          <w:rFonts w:ascii="標楷體" w:eastAsia="標楷體" w:hAnsi="標楷體"/>
          <w:color w:val="000000"/>
          <w:sz w:val="28"/>
          <w:szCs w:val="28"/>
        </w:rPr>
        <w:t xml:space="preserve"> </w:t>
      </w:r>
    </w:p>
    <w:p w14:paraId="11488A48" w14:textId="77777777" w:rsidR="00C82C27" w:rsidRPr="009B4AF1"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610C34">
        <w:rPr>
          <w:rFonts w:ascii="標楷體" w:eastAsia="標楷體" w:hAnsi="標楷體"/>
          <w:color w:val="000000"/>
          <w:sz w:val="28"/>
          <w:szCs w:val="28"/>
        </w:rPr>
        <w:lastRenderedPageBreak/>
        <w:t>(3)</w:t>
      </w:r>
      <w:r w:rsidRPr="009B4AF1">
        <w:rPr>
          <w:rFonts w:ascii="標楷體" w:eastAsia="標楷體" w:hAnsi="標楷體" w:hint="eastAsia"/>
          <w:color w:val="000000"/>
          <w:sz w:val="28"/>
          <w:szCs w:val="28"/>
        </w:rPr>
        <w:t>外役監淘汰機制與淘汰事由是否完足？國外立法例上是否有可供參考之處？</w:t>
      </w:r>
    </w:p>
    <w:p w14:paraId="26EDA97B" w14:textId="77777777" w:rsidR="00C82C27" w:rsidRPr="009B4AF1"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A5189E">
        <w:rPr>
          <w:rFonts w:ascii="標楷體" w:eastAsia="標楷體" w:hAnsi="標楷體"/>
          <w:color w:val="000000"/>
          <w:sz w:val="28"/>
          <w:szCs w:val="28"/>
        </w:rPr>
        <w:t>(4)</w:t>
      </w:r>
      <w:r w:rsidRPr="009B4AF1">
        <w:rPr>
          <w:rFonts w:ascii="標楷體" w:eastAsia="標楷體" w:hAnsi="標楷體" w:hint="eastAsia"/>
          <w:color w:val="000000"/>
          <w:sz w:val="28"/>
          <w:szCs w:val="28"/>
        </w:rPr>
        <w:t>對於返家探視受刑人全面實施電子監控是否與開放式處遇基本理念相悖？外役監受刑人返家探視期間之監控機制應如何強化或改善方符合制度本旨？返家探視制度所帶來之復歸效益究應如何與維護社會大眾安全之公共利益進行衡平？</w:t>
      </w:r>
    </w:p>
    <w:p w14:paraId="068BAC89" w14:textId="77777777" w:rsidR="00C82C27" w:rsidRPr="009B4AF1" w:rsidRDefault="00C82C27" w:rsidP="00C82C27">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A5189E">
        <w:rPr>
          <w:rFonts w:ascii="標楷體" w:eastAsia="標楷體" w:hAnsi="標楷體"/>
          <w:color w:val="000000"/>
          <w:sz w:val="28"/>
          <w:szCs w:val="28"/>
        </w:rPr>
        <w:t>(5)</w:t>
      </w:r>
      <w:r w:rsidRPr="009B4AF1">
        <w:rPr>
          <w:rFonts w:ascii="標楷體" w:eastAsia="標楷體" w:hAnsi="標楷體" w:hint="eastAsia"/>
          <w:color w:val="000000"/>
          <w:sz w:val="28"/>
          <w:szCs w:val="28"/>
        </w:rPr>
        <w:t>開放式處遇可能伴隨脫逃的制度性風險，故我國外役監脫逃率與外國相似制度上之脫逃率是否合理？應如何消弭社會大眾對於開放式處遇制度的疑慮？</w:t>
      </w:r>
    </w:p>
    <w:p w14:paraId="3766A916" w14:textId="77777777" w:rsidR="00C82C27" w:rsidRPr="00610C34" w:rsidRDefault="00C82C27" w:rsidP="00C82C2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610C34">
        <w:rPr>
          <w:rFonts w:ascii="標楷體" w:eastAsia="標楷體" w:hAnsi="標楷體" w:hint="eastAsia"/>
          <w:color w:val="000000"/>
          <w:sz w:val="28"/>
          <w:szCs w:val="28"/>
        </w:rPr>
        <w:t>3</w:t>
      </w:r>
      <w:r w:rsidRPr="00610C34">
        <w:rPr>
          <w:rFonts w:ascii="標楷體" w:eastAsia="標楷體" w:hAnsi="標楷體"/>
          <w:color w:val="000000"/>
          <w:sz w:val="28"/>
          <w:szCs w:val="28"/>
        </w:rPr>
        <w:t>.</w:t>
      </w:r>
      <w:r w:rsidRPr="00E00B69">
        <w:rPr>
          <w:rFonts w:ascii="標楷體" w:eastAsia="標楷體" w:hAnsi="標楷體"/>
          <w:color w:val="000000"/>
          <w:sz w:val="28"/>
          <w:szCs w:val="28"/>
        </w:rPr>
        <w:t>邀</w:t>
      </w:r>
      <w:r w:rsidRPr="00E00B69">
        <w:rPr>
          <w:rFonts w:ascii="標楷體" w:eastAsia="標楷體" w:hAnsi="標楷體"/>
          <w:sz w:val="28"/>
          <w:szCs w:val="28"/>
        </w:rPr>
        <w:t>請</w:t>
      </w:r>
      <w:r w:rsidRPr="00E00B69">
        <w:rPr>
          <w:rFonts w:ascii="標楷體" w:eastAsia="標楷體" w:hAnsi="標楷體" w:hint="eastAsia"/>
          <w:sz w:val="28"/>
          <w:szCs w:val="28"/>
        </w:rPr>
        <w:t>吳</w:t>
      </w:r>
      <w:r w:rsidRPr="00520670">
        <w:rPr>
          <w:rFonts w:ascii="標楷體" w:eastAsia="標楷體" w:hAnsi="標楷體" w:hint="eastAsia"/>
          <w:sz w:val="28"/>
          <w:szCs w:val="28"/>
        </w:rPr>
        <w:t>景欽教授、吳慧菁系主任、林文蔚常務監事、林政佑助理教授、林瑋婷專案研究員、陳惠敏理事長、許華孚教授、黃宗旻副教授、盧映潔教授、鍾志宏常務理事、羅傳賢前局長</w:t>
      </w:r>
      <w:r w:rsidRPr="00520670">
        <w:rPr>
          <w:rFonts w:ascii="標楷體" w:eastAsia="標楷體" w:hAnsi="標楷體" w:hint="eastAsia"/>
          <w:bCs/>
          <w:color w:val="000000"/>
          <w:sz w:val="28"/>
          <w:szCs w:val="28"/>
        </w:rPr>
        <w:t>暨法務部部長、法務部矯正署署長、司法院、衛生福利部、國防部、勞動部、教育部、內政部警政署</w:t>
      </w:r>
      <w:r w:rsidRPr="00520670">
        <w:rPr>
          <w:rFonts w:ascii="標楷體" w:eastAsia="標楷體" w:hAnsi="標楷體" w:hint="eastAsia"/>
          <w:color w:val="000000"/>
          <w:sz w:val="28"/>
          <w:szCs w:val="28"/>
        </w:rPr>
        <w:t>等</w:t>
      </w:r>
      <w:r w:rsidRPr="00520670">
        <w:rPr>
          <w:rFonts w:ascii="標楷體" w:eastAsia="標楷體" w:hAnsi="標楷體"/>
          <w:color w:val="000000"/>
          <w:sz w:val="28"/>
          <w:szCs w:val="28"/>
        </w:rPr>
        <w:t>相關</w:t>
      </w:r>
      <w:r w:rsidRPr="00BF32E2">
        <w:rPr>
          <w:rFonts w:ascii="標楷體" w:eastAsia="標楷體" w:hAnsi="標楷體"/>
          <w:color w:val="000000"/>
          <w:sz w:val="28"/>
          <w:szCs w:val="28"/>
        </w:rPr>
        <w:t>機關代表出席表達意見，本會並依出席者所提供之意見提出公聽會報告，送交本院全體委員及出席者，以作為審查法案之參考。</w:t>
      </w:r>
    </w:p>
    <w:p w14:paraId="787175FF" w14:textId="77777777" w:rsidR="00C82C27" w:rsidRPr="008B6F76" w:rsidRDefault="00C82C27" w:rsidP="00C82C27">
      <w:pPr>
        <w:spacing w:line="440" w:lineRule="exact"/>
        <w:jc w:val="both"/>
        <w:outlineLvl w:val="1"/>
        <w:rPr>
          <w:rFonts w:ascii="標楷體" w:eastAsia="標楷體" w:hAnsi="標楷體"/>
          <w:b/>
          <w:bCs/>
          <w:color w:val="000000"/>
          <w:sz w:val="28"/>
          <w:szCs w:val="28"/>
        </w:rPr>
      </w:pPr>
      <w:r>
        <w:rPr>
          <w:rFonts w:ascii="華康仿宋體W6(P)" w:eastAsia="華康仿宋體W6(P)" w:hAnsi="標楷體"/>
          <w:b/>
        </w:rPr>
        <w:br w:type="page"/>
      </w:r>
      <w:r w:rsidRPr="008B6F76">
        <w:rPr>
          <w:rFonts w:ascii="標楷體" w:eastAsia="標楷體" w:hAnsi="標楷體" w:hint="eastAsia"/>
          <w:b/>
          <w:iCs/>
          <w:color w:val="000000"/>
          <w:sz w:val="28"/>
          <w:szCs w:val="28"/>
        </w:rPr>
        <w:lastRenderedPageBreak/>
        <w:t>三</w:t>
      </w:r>
      <w:r w:rsidRPr="008B6F76">
        <w:rPr>
          <w:rFonts w:ascii="標楷體" w:eastAsia="標楷體" w:hAnsi="標楷體"/>
          <w:b/>
          <w:iCs/>
          <w:color w:val="000000"/>
          <w:sz w:val="28"/>
          <w:szCs w:val="28"/>
        </w:rPr>
        <w:t>、考察</w:t>
      </w:r>
      <w:r w:rsidRPr="008B6F76">
        <w:rPr>
          <w:rFonts w:ascii="標楷體" w:eastAsia="標楷體" w:hAnsi="標楷體"/>
          <w:b/>
          <w:bCs/>
          <w:color w:val="000000"/>
          <w:sz w:val="28"/>
          <w:szCs w:val="28"/>
        </w:rPr>
        <w:t>活動</w:t>
      </w:r>
      <w:bookmarkEnd w:id="59"/>
    </w:p>
    <w:p w14:paraId="33C8C301" w14:textId="18CEDCCD" w:rsidR="00C82C27" w:rsidRPr="00373B42" w:rsidRDefault="00C82C27" w:rsidP="00C82C27">
      <w:pPr>
        <w:spacing w:line="380" w:lineRule="exact"/>
        <w:ind w:leftChars="235" w:left="1132" w:hangingChars="203" w:hanging="568"/>
        <w:jc w:val="both"/>
        <w:outlineLvl w:val="2"/>
        <w:rPr>
          <w:rFonts w:ascii="華康仿宋體W6(P)" w:eastAsia="華康仿宋體W6(P)" w:hAnsi="標楷體"/>
          <w:b/>
          <w:highlight w:val="yellow"/>
        </w:rPr>
      </w:pPr>
      <w:r w:rsidRPr="008B6F76">
        <w:rPr>
          <w:rFonts w:ascii="標楷體" w:eastAsia="標楷體" w:hAnsi="標楷體" w:hint="eastAsia"/>
          <w:color w:val="000000"/>
          <w:sz w:val="28"/>
          <w:szCs w:val="28"/>
        </w:rPr>
        <w:t>(一)</w:t>
      </w:r>
      <w:r w:rsidRPr="0006102A">
        <w:rPr>
          <w:rFonts w:ascii="標楷體" w:eastAsia="標楷體" w:hAnsi="標楷體" w:hint="eastAsia"/>
          <w:color w:val="000000"/>
          <w:sz w:val="28"/>
          <w:szCs w:val="28"/>
        </w:rPr>
        <w:t>1</w:t>
      </w:r>
      <w:r w:rsidRPr="0006102A">
        <w:rPr>
          <w:rFonts w:ascii="標楷體" w:eastAsia="標楷體" w:hAnsi="標楷體"/>
          <w:color w:val="000000"/>
          <w:sz w:val="28"/>
          <w:szCs w:val="28"/>
        </w:rPr>
        <w:t>1</w:t>
      </w:r>
      <w:r w:rsidRPr="0006102A">
        <w:rPr>
          <w:rFonts w:ascii="標楷體" w:eastAsia="標楷體" w:hAnsi="標楷體" w:hint="eastAsia"/>
          <w:color w:val="000000"/>
          <w:sz w:val="28"/>
          <w:szCs w:val="28"/>
        </w:rPr>
        <w:t>1年10月17日（星期一）參訪臺灣桃園地方法院及考察臺灣桃園地方檢察署業務概況。</w:t>
      </w:r>
    </w:p>
    <w:p w14:paraId="37EDD182" w14:textId="7A43D91F" w:rsidR="00C82C27" w:rsidRPr="0006102A" w:rsidRDefault="00C82C27" w:rsidP="00C82C27">
      <w:pPr>
        <w:spacing w:line="380" w:lineRule="exact"/>
        <w:ind w:leftChars="471" w:left="1130" w:firstLineChars="205" w:firstLine="574"/>
        <w:jc w:val="both"/>
        <w:rPr>
          <w:rFonts w:ascii="標楷體" w:eastAsia="標楷體" w:hAnsi="標楷體"/>
          <w:color w:val="000000"/>
          <w:sz w:val="28"/>
          <w:szCs w:val="28"/>
        </w:rPr>
      </w:pPr>
      <w:r w:rsidRPr="0006102A">
        <w:rPr>
          <w:rFonts w:ascii="標楷體" w:eastAsia="標楷體" w:hAnsi="標楷體" w:hint="eastAsia"/>
          <w:color w:val="000000"/>
          <w:sz w:val="28"/>
          <w:szCs w:val="28"/>
        </w:rPr>
        <w:t>委員</w:t>
      </w:r>
      <w:r w:rsidRPr="00A72227">
        <w:rPr>
          <w:rFonts w:ascii="標楷體" w:eastAsia="標楷體" w:hAnsi="標楷體" w:hint="eastAsia"/>
          <w:color w:val="000000" w:themeColor="text1"/>
          <w:sz w:val="28"/>
          <w:szCs w:val="28"/>
        </w:rPr>
        <w:t>黃世杰</w:t>
      </w:r>
      <w:r w:rsidRPr="0006102A">
        <w:rPr>
          <w:rFonts w:ascii="標楷體" w:eastAsia="標楷體" w:hAnsi="標楷體" w:hint="eastAsia"/>
          <w:color w:val="000000"/>
          <w:sz w:val="28"/>
          <w:szCs w:val="28"/>
        </w:rPr>
        <w:t>領隊，委員林思銘、委員陳玉珍同行，司法院副秘書長黃麟倫、臺灣桃園地方法院院長李國增</w:t>
      </w:r>
      <w:r w:rsidR="00504A3B">
        <w:rPr>
          <w:rFonts w:ascii="標楷體" w:eastAsia="標楷體" w:hAnsi="標楷體" w:hint="eastAsia"/>
          <w:color w:val="000000"/>
          <w:sz w:val="28"/>
          <w:szCs w:val="28"/>
        </w:rPr>
        <w:t>、</w:t>
      </w:r>
      <w:r w:rsidRPr="0006102A">
        <w:rPr>
          <w:rFonts w:ascii="標楷體" w:eastAsia="標楷體" w:hAnsi="標楷體" w:hint="eastAsia"/>
          <w:color w:val="000000"/>
          <w:sz w:val="28"/>
          <w:szCs w:val="28"/>
        </w:rPr>
        <w:t>法務部政務次長陳明堂、臺灣桃園地方檢察署檢察長俞秀端陪同。</w:t>
      </w:r>
    </w:p>
    <w:p w14:paraId="398B4164" w14:textId="3AF90586" w:rsidR="00C82C27" w:rsidRPr="0006102A" w:rsidRDefault="00C82C27" w:rsidP="00C82C27">
      <w:pPr>
        <w:spacing w:line="380" w:lineRule="exact"/>
        <w:ind w:leftChars="471" w:left="1130" w:firstLineChars="205" w:firstLine="574"/>
        <w:jc w:val="both"/>
        <w:rPr>
          <w:rFonts w:ascii="標楷體" w:eastAsia="標楷體" w:hAnsi="標楷體"/>
          <w:color w:val="000000"/>
          <w:sz w:val="28"/>
          <w:szCs w:val="28"/>
        </w:rPr>
      </w:pPr>
      <w:r w:rsidRPr="0006102A">
        <w:rPr>
          <w:rFonts w:ascii="標楷體" w:eastAsia="標楷體" w:hAnsi="標楷體" w:hint="eastAsia"/>
          <w:color w:val="000000"/>
          <w:sz w:val="28"/>
          <w:szCs w:val="28"/>
        </w:rPr>
        <w:t>前</w:t>
      </w:r>
      <w:r w:rsidR="00192B1C">
        <w:rPr>
          <w:rFonts w:ascii="標楷體" w:eastAsia="標楷體" w:hAnsi="標楷體" w:hint="eastAsia"/>
          <w:color w:val="000000"/>
          <w:sz w:val="28"/>
          <w:szCs w:val="28"/>
        </w:rPr>
        <w:t>往</w:t>
      </w:r>
      <w:r w:rsidRPr="0006102A">
        <w:rPr>
          <w:rFonts w:ascii="標楷體" w:eastAsia="標楷體" w:hAnsi="標楷體" w:hint="eastAsia"/>
          <w:color w:val="000000"/>
          <w:sz w:val="28"/>
          <w:szCs w:val="28"/>
        </w:rPr>
        <w:t>臺灣桃園地方法院實地參訪，</w:t>
      </w:r>
      <w:r w:rsidRPr="00A72227">
        <w:rPr>
          <w:rFonts w:ascii="標楷體" w:eastAsia="標楷體" w:hAnsi="標楷體" w:hint="eastAsia"/>
          <w:color w:val="000000" w:themeColor="text1"/>
          <w:sz w:val="28"/>
          <w:szCs w:val="28"/>
        </w:rPr>
        <w:t>隨後</w:t>
      </w:r>
      <w:r w:rsidRPr="0006102A">
        <w:rPr>
          <w:rFonts w:ascii="標楷體" w:eastAsia="標楷體" w:hAnsi="標楷體" w:hint="eastAsia"/>
          <w:color w:val="000000"/>
          <w:sz w:val="28"/>
          <w:szCs w:val="28"/>
        </w:rPr>
        <w:t>於院本部辦公大樓八樓會議室</w:t>
      </w:r>
      <w:r w:rsidR="00192B1C">
        <w:rPr>
          <w:rFonts w:ascii="標楷體" w:eastAsia="標楷體" w:hAnsi="標楷體" w:hint="eastAsia"/>
          <w:color w:val="000000"/>
          <w:sz w:val="28"/>
          <w:szCs w:val="28"/>
        </w:rPr>
        <w:t>，</w:t>
      </w:r>
      <w:r w:rsidRPr="0006102A">
        <w:rPr>
          <w:rFonts w:ascii="標楷體" w:eastAsia="標楷體" w:hAnsi="標楷體" w:hint="eastAsia"/>
          <w:color w:val="000000"/>
          <w:sz w:val="28"/>
          <w:szCs w:val="28"/>
        </w:rPr>
        <w:t>聽取臺灣桃園地方法院院長李國增及臺灣桃園地方檢察署檢察長俞秀端</w:t>
      </w:r>
      <w:r w:rsidR="00AE3F93">
        <w:rPr>
          <w:rFonts w:ascii="標楷體" w:eastAsia="標楷體" w:hAnsi="標楷體" w:hint="eastAsia"/>
          <w:color w:val="000000"/>
          <w:sz w:val="28"/>
          <w:szCs w:val="28"/>
        </w:rPr>
        <w:t>進行</w:t>
      </w:r>
      <w:r w:rsidRPr="0006102A">
        <w:rPr>
          <w:rFonts w:ascii="標楷體" w:eastAsia="標楷體" w:hAnsi="標楷體" w:hint="eastAsia"/>
          <w:color w:val="000000"/>
          <w:sz w:val="28"/>
          <w:szCs w:val="28"/>
        </w:rPr>
        <w:t>聯合簡報，結束後並舉行綜合座談。</w:t>
      </w:r>
      <w:r w:rsidRPr="00DB6EE1">
        <w:rPr>
          <w:rFonts w:ascii="標楷體" w:eastAsia="標楷體" w:hAnsi="標楷體" w:hint="eastAsia"/>
          <w:color w:val="000000"/>
          <w:sz w:val="28"/>
          <w:szCs w:val="28"/>
          <w:shd w:val="clear" w:color="auto" w:fill="FFFFFF"/>
        </w:rPr>
        <w:t>（詳如附錄之考察紀錄計</w:t>
      </w:r>
      <w:r w:rsidRPr="005634DE">
        <w:rPr>
          <w:rFonts w:ascii="標楷體" w:eastAsia="標楷體" w:hAnsi="標楷體" w:hint="eastAsia"/>
          <w:color w:val="000000"/>
          <w:sz w:val="28"/>
          <w:szCs w:val="28"/>
          <w:shd w:val="clear" w:color="auto" w:fill="FFFFFF"/>
        </w:rPr>
        <w:t>1</w:t>
      </w:r>
      <w:r w:rsidRPr="00DB6EE1">
        <w:rPr>
          <w:rFonts w:ascii="標楷體" w:eastAsia="標楷體" w:hAnsi="標楷體" w:hint="eastAsia"/>
          <w:color w:val="000000"/>
          <w:sz w:val="28"/>
          <w:szCs w:val="28"/>
          <w:shd w:val="clear" w:color="auto" w:fill="FFFFFF"/>
        </w:rPr>
        <w:t>份)</w:t>
      </w:r>
    </w:p>
    <w:p w14:paraId="2E587903" w14:textId="77777777" w:rsidR="00C82C27" w:rsidRPr="0006102A" w:rsidRDefault="00C82C27" w:rsidP="00C82C27">
      <w:pPr>
        <w:spacing w:line="380" w:lineRule="exact"/>
        <w:ind w:leftChars="235" w:left="1132" w:hangingChars="203" w:hanging="568"/>
        <w:jc w:val="both"/>
        <w:outlineLvl w:val="2"/>
        <w:rPr>
          <w:rFonts w:ascii="標楷體" w:eastAsia="標楷體" w:hAnsi="標楷體"/>
          <w:color w:val="000000"/>
          <w:sz w:val="28"/>
          <w:szCs w:val="28"/>
        </w:rPr>
      </w:pPr>
      <w:r w:rsidRPr="008B6F76">
        <w:rPr>
          <w:rFonts w:ascii="標楷體" w:eastAsia="標楷體" w:hAnsi="標楷體" w:hint="eastAsia"/>
          <w:color w:val="000000"/>
          <w:sz w:val="28"/>
          <w:szCs w:val="28"/>
        </w:rPr>
        <w:t>(</w:t>
      </w:r>
      <w:r>
        <w:rPr>
          <w:rFonts w:ascii="標楷體" w:eastAsia="標楷體" w:hAnsi="標楷體" w:hint="eastAsia"/>
          <w:color w:val="000000"/>
          <w:sz w:val="28"/>
          <w:szCs w:val="28"/>
        </w:rPr>
        <w:t>二</w:t>
      </w:r>
      <w:r w:rsidRPr="008B6F76">
        <w:rPr>
          <w:rFonts w:ascii="標楷體" w:eastAsia="標楷體" w:hAnsi="標楷體" w:hint="eastAsia"/>
          <w:color w:val="000000"/>
          <w:sz w:val="28"/>
          <w:szCs w:val="28"/>
        </w:rPr>
        <w:t>)</w:t>
      </w:r>
      <w:r>
        <w:rPr>
          <w:rFonts w:ascii="標楷體" w:eastAsia="標楷體" w:hAnsi="標楷體"/>
          <w:color w:val="000000"/>
          <w:sz w:val="28"/>
          <w:szCs w:val="28"/>
        </w:rPr>
        <w:t>111</w:t>
      </w:r>
      <w:r>
        <w:rPr>
          <w:rFonts w:ascii="標楷體" w:eastAsia="標楷體" w:hAnsi="標楷體" w:hint="eastAsia"/>
          <w:color w:val="000000"/>
          <w:sz w:val="28"/>
          <w:szCs w:val="28"/>
        </w:rPr>
        <w:t>年</w:t>
      </w:r>
      <w:r w:rsidRPr="0006102A">
        <w:rPr>
          <w:rFonts w:ascii="標楷體" w:eastAsia="標楷體" w:hAnsi="標楷體" w:hint="eastAsia"/>
          <w:color w:val="000000"/>
          <w:sz w:val="28"/>
          <w:szCs w:val="28"/>
        </w:rPr>
        <w:t>10月27日（星期四）參訪臺灣新竹地方法院及考察臺灣新竹地方檢察署業務概況，並針對112年起施行之國民法官制度，進行參訪國民法官法庭之整備狀況及相關實際模擬演練。</w:t>
      </w:r>
    </w:p>
    <w:p w14:paraId="13274035" w14:textId="3AFD61DE" w:rsidR="00C82C27" w:rsidRPr="0006102A" w:rsidRDefault="00B34F50" w:rsidP="00C82C27">
      <w:pPr>
        <w:spacing w:line="380" w:lineRule="exact"/>
        <w:ind w:leftChars="471" w:left="1130" w:firstLineChars="205" w:firstLine="574"/>
        <w:jc w:val="both"/>
        <w:rPr>
          <w:rFonts w:ascii="標楷體" w:eastAsia="標楷體" w:hAnsi="標楷體"/>
          <w:color w:val="000000"/>
          <w:sz w:val="28"/>
          <w:szCs w:val="28"/>
        </w:rPr>
      </w:pPr>
      <w:r>
        <w:rPr>
          <w:rFonts w:ascii="標楷體" w:eastAsia="標楷體" w:hAnsi="標楷體" w:hint="eastAsia"/>
          <w:color w:val="000000"/>
          <w:sz w:val="28"/>
          <w:szCs w:val="28"/>
        </w:rPr>
        <w:t>召集</w:t>
      </w:r>
      <w:r w:rsidR="00C82C27" w:rsidRPr="0006102A">
        <w:rPr>
          <w:rFonts w:ascii="標楷體" w:eastAsia="標楷體" w:hAnsi="標楷體" w:hint="eastAsia"/>
          <w:color w:val="000000"/>
          <w:sz w:val="28"/>
          <w:szCs w:val="28"/>
        </w:rPr>
        <w:t>委員林思銘領隊，委員陳歐珀、委員陳玉珍、委員游毓蘭同行，司法院副秘書長黃麟倫、刑事廳廳長彭幸鳴、臺灣新竹地方法院院長梁玉芬、法務部政務次長蔡碧仲、檢察司司長黃謀信、臺灣新竹地方檢察署檢察長張介欽陪同。</w:t>
      </w:r>
    </w:p>
    <w:p w14:paraId="63D6FC1B" w14:textId="0B4AE7C4" w:rsidR="00C82C27" w:rsidRPr="0006102A" w:rsidRDefault="00C82C27" w:rsidP="00C82C27">
      <w:pPr>
        <w:spacing w:line="380" w:lineRule="exact"/>
        <w:ind w:leftChars="471" w:left="1130" w:firstLineChars="205" w:firstLine="574"/>
        <w:jc w:val="both"/>
        <w:rPr>
          <w:rFonts w:ascii="標楷體" w:eastAsia="標楷體" w:hAnsi="標楷體"/>
          <w:color w:val="000000"/>
          <w:sz w:val="28"/>
          <w:szCs w:val="28"/>
        </w:rPr>
      </w:pPr>
      <w:r w:rsidRPr="0006102A">
        <w:rPr>
          <w:rFonts w:ascii="標楷體" w:eastAsia="標楷體" w:hAnsi="標楷體" w:hint="eastAsia"/>
          <w:color w:val="000000"/>
          <w:sz w:val="28"/>
          <w:szCs w:val="28"/>
        </w:rPr>
        <w:t>前往臺灣新竹地方法院</w:t>
      </w:r>
      <w:r w:rsidR="00B877A7">
        <w:rPr>
          <w:rFonts w:ascii="標楷體" w:eastAsia="標楷體" w:hAnsi="標楷體" w:hint="eastAsia"/>
          <w:color w:val="000000"/>
          <w:sz w:val="28"/>
          <w:szCs w:val="28"/>
        </w:rPr>
        <w:t>就</w:t>
      </w:r>
      <w:r w:rsidRPr="0006102A">
        <w:rPr>
          <w:rFonts w:ascii="標楷體" w:eastAsia="標楷體" w:hAnsi="標楷體" w:hint="eastAsia"/>
          <w:color w:val="000000"/>
          <w:sz w:val="28"/>
          <w:szCs w:val="28"/>
        </w:rPr>
        <w:t>國民法官法庭之整備狀況</w:t>
      </w:r>
      <w:r w:rsidR="00B877A7">
        <w:rPr>
          <w:rFonts w:ascii="標楷體" w:eastAsia="標楷體" w:hAnsi="標楷體" w:hint="eastAsia"/>
          <w:color w:val="000000"/>
          <w:sz w:val="28"/>
          <w:szCs w:val="28"/>
        </w:rPr>
        <w:t>及相關實際模擬演練情形，進行</w:t>
      </w:r>
      <w:r w:rsidR="00B877A7" w:rsidRPr="0006102A">
        <w:rPr>
          <w:rFonts w:ascii="標楷體" w:eastAsia="標楷體" w:hAnsi="標楷體" w:hint="eastAsia"/>
          <w:color w:val="000000"/>
          <w:sz w:val="28"/>
          <w:szCs w:val="28"/>
        </w:rPr>
        <w:t>實地參訪，</w:t>
      </w:r>
      <w:r w:rsidRPr="0006102A">
        <w:rPr>
          <w:rFonts w:ascii="標楷體" w:eastAsia="標楷體" w:hAnsi="標楷體" w:hint="eastAsia"/>
          <w:color w:val="000000"/>
          <w:sz w:val="28"/>
          <w:szCs w:val="28"/>
        </w:rPr>
        <w:t>隨後於新竹地院六樓國際會議廳聽取臺灣新竹地方法院院長梁玉芬及臺灣新竹地方檢察署檢察長張介欽進行業務簡報及說明，結束後並舉行綜合座談。</w:t>
      </w:r>
      <w:r w:rsidRPr="00DB6EE1">
        <w:rPr>
          <w:rFonts w:ascii="標楷體" w:eastAsia="標楷體" w:hAnsi="標楷體" w:hint="eastAsia"/>
          <w:color w:val="000000"/>
          <w:sz w:val="28"/>
          <w:szCs w:val="28"/>
          <w:shd w:val="clear" w:color="auto" w:fill="FFFFFF"/>
        </w:rPr>
        <w:t>（詳如附錄之考察紀錄計</w:t>
      </w:r>
      <w:r>
        <w:rPr>
          <w:rFonts w:ascii="標楷體" w:eastAsia="標楷體" w:hAnsi="標楷體" w:hint="eastAsia"/>
          <w:color w:val="000000"/>
          <w:sz w:val="28"/>
          <w:szCs w:val="28"/>
          <w:shd w:val="clear" w:color="auto" w:fill="FFFFFF"/>
        </w:rPr>
        <w:t>1</w:t>
      </w:r>
      <w:r w:rsidRPr="00DB6EE1">
        <w:rPr>
          <w:rFonts w:ascii="標楷體" w:eastAsia="標楷體" w:hAnsi="標楷體" w:hint="eastAsia"/>
          <w:color w:val="000000"/>
          <w:sz w:val="28"/>
          <w:szCs w:val="28"/>
          <w:shd w:val="clear" w:color="auto" w:fill="FFFFFF"/>
        </w:rPr>
        <w:t>份)</w:t>
      </w:r>
    </w:p>
    <w:p w14:paraId="49928341" w14:textId="77777777" w:rsidR="00C82C27" w:rsidRPr="0006102A" w:rsidRDefault="00C82C27" w:rsidP="00C82C27">
      <w:pPr>
        <w:spacing w:line="380" w:lineRule="exact"/>
        <w:ind w:leftChars="235" w:left="1132" w:hangingChars="203" w:hanging="568"/>
        <w:jc w:val="both"/>
        <w:outlineLvl w:val="2"/>
        <w:rPr>
          <w:rFonts w:ascii="標楷體" w:eastAsia="標楷體" w:hAnsi="標楷體"/>
          <w:color w:val="000000"/>
          <w:sz w:val="28"/>
          <w:szCs w:val="28"/>
        </w:rPr>
      </w:pPr>
      <w:r w:rsidRPr="008B6F76">
        <w:rPr>
          <w:rFonts w:ascii="標楷體" w:eastAsia="標楷體" w:hAnsi="標楷體" w:hint="eastAsia"/>
          <w:color w:val="000000"/>
          <w:sz w:val="28"/>
          <w:szCs w:val="28"/>
        </w:rPr>
        <w:t>(</w:t>
      </w:r>
      <w:r>
        <w:rPr>
          <w:rFonts w:ascii="標楷體" w:eastAsia="標楷體" w:hAnsi="標楷體" w:hint="eastAsia"/>
          <w:color w:val="000000"/>
          <w:sz w:val="28"/>
          <w:szCs w:val="28"/>
        </w:rPr>
        <w:t>三</w:t>
      </w:r>
      <w:r w:rsidRPr="008B6F76">
        <w:rPr>
          <w:rFonts w:ascii="標楷體" w:eastAsia="標楷體" w:hAnsi="標楷體" w:hint="eastAsia"/>
          <w:color w:val="000000"/>
          <w:sz w:val="28"/>
          <w:szCs w:val="28"/>
        </w:rPr>
        <w:t>)</w:t>
      </w:r>
      <w:r>
        <w:rPr>
          <w:rFonts w:ascii="標楷體" w:eastAsia="標楷體" w:hAnsi="標楷體"/>
          <w:color w:val="000000"/>
          <w:sz w:val="28"/>
          <w:szCs w:val="28"/>
        </w:rPr>
        <w:t>111</w:t>
      </w:r>
      <w:r>
        <w:rPr>
          <w:rFonts w:ascii="標楷體" w:eastAsia="標楷體" w:hAnsi="標楷體" w:hint="eastAsia"/>
          <w:color w:val="000000"/>
          <w:sz w:val="28"/>
          <w:szCs w:val="28"/>
        </w:rPr>
        <w:t>年</w:t>
      </w:r>
      <w:r w:rsidRPr="0006102A">
        <w:rPr>
          <w:rFonts w:ascii="標楷體" w:eastAsia="標楷體" w:hAnsi="標楷體" w:hint="eastAsia"/>
          <w:color w:val="000000"/>
          <w:sz w:val="28"/>
          <w:szCs w:val="28"/>
        </w:rPr>
        <w:t>10月31日（星期一）考察法務部矯正署臺北監獄及八德外役監獄，比較監獄行刑與中間性處遇之差異。</w:t>
      </w:r>
    </w:p>
    <w:p w14:paraId="14C24097" w14:textId="07A717E5" w:rsidR="00C82C27" w:rsidRPr="0006102A" w:rsidRDefault="00B34F50" w:rsidP="00C82C27">
      <w:pPr>
        <w:spacing w:line="380" w:lineRule="exact"/>
        <w:ind w:leftChars="471" w:left="1130" w:firstLineChars="205" w:firstLine="574"/>
        <w:jc w:val="both"/>
        <w:rPr>
          <w:rFonts w:ascii="標楷體" w:eastAsia="標楷體" w:hAnsi="標楷體"/>
          <w:color w:val="000000"/>
          <w:sz w:val="28"/>
          <w:szCs w:val="28"/>
        </w:rPr>
      </w:pPr>
      <w:r>
        <w:rPr>
          <w:rFonts w:ascii="標楷體" w:eastAsia="標楷體" w:hAnsi="標楷體" w:hint="eastAsia"/>
          <w:color w:val="000000"/>
          <w:sz w:val="28"/>
          <w:szCs w:val="28"/>
        </w:rPr>
        <w:t>召集</w:t>
      </w:r>
      <w:r w:rsidR="00C82C27" w:rsidRPr="0006102A">
        <w:rPr>
          <w:rFonts w:ascii="標楷體" w:eastAsia="標楷體" w:hAnsi="標楷體" w:hint="eastAsia"/>
          <w:color w:val="000000"/>
          <w:sz w:val="28"/>
          <w:szCs w:val="28"/>
        </w:rPr>
        <w:t>委員陳歐珀領隊，法務部政務次長陳明堂、法務部矯正署署長</w:t>
      </w:r>
      <w:r w:rsidR="00C82C27" w:rsidRPr="0006102A">
        <w:rPr>
          <w:rFonts w:ascii="標楷體" w:eastAsia="標楷體" w:hAnsi="標楷體"/>
          <w:color w:val="000000"/>
          <w:sz w:val="28"/>
          <w:szCs w:val="28"/>
        </w:rPr>
        <w:t>黃俊棠</w:t>
      </w:r>
      <w:r w:rsidR="00C82C27" w:rsidRPr="0006102A">
        <w:rPr>
          <w:rFonts w:ascii="標楷體" w:eastAsia="標楷體" w:hAnsi="標楷體" w:hint="eastAsia"/>
          <w:color w:val="000000"/>
          <w:sz w:val="28"/>
          <w:szCs w:val="28"/>
        </w:rPr>
        <w:t>、八德外役監獄典獄長葉俊宏、八德外役監獄典獄長吳澤生陪同。</w:t>
      </w:r>
    </w:p>
    <w:p w14:paraId="7B348A83" w14:textId="3A30727C" w:rsidR="00C82C27" w:rsidRPr="0006102A" w:rsidRDefault="00EC0DAE" w:rsidP="00C82C27">
      <w:pPr>
        <w:spacing w:line="380" w:lineRule="exact"/>
        <w:ind w:leftChars="471" w:left="1130" w:firstLineChars="205" w:firstLine="574"/>
        <w:jc w:val="both"/>
        <w:rPr>
          <w:rFonts w:ascii="標楷體" w:eastAsia="標楷體" w:hAnsi="標楷體"/>
          <w:color w:val="000000"/>
          <w:sz w:val="28"/>
          <w:szCs w:val="28"/>
        </w:rPr>
      </w:pPr>
      <w:r>
        <w:rPr>
          <w:rFonts w:ascii="標楷體" w:eastAsia="標楷體" w:hAnsi="標楷體" w:hint="eastAsia"/>
          <w:color w:val="000000"/>
          <w:sz w:val="28"/>
          <w:szCs w:val="28"/>
        </w:rPr>
        <w:t>首先</w:t>
      </w:r>
      <w:r w:rsidR="00C82C27" w:rsidRPr="0006102A">
        <w:rPr>
          <w:rFonts w:ascii="標楷體" w:eastAsia="標楷體" w:hAnsi="標楷體" w:hint="eastAsia"/>
          <w:color w:val="000000"/>
          <w:sz w:val="28"/>
          <w:szCs w:val="28"/>
        </w:rPr>
        <w:t>前往桃園市龜山區八德外役監獄</w:t>
      </w:r>
      <w:r w:rsidR="00090E1D">
        <w:rPr>
          <w:rFonts w:ascii="標楷體" w:eastAsia="標楷體" w:hAnsi="標楷體" w:hint="eastAsia"/>
          <w:color w:val="000000"/>
          <w:sz w:val="28"/>
          <w:szCs w:val="28"/>
        </w:rPr>
        <w:t>進行</w:t>
      </w:r>
      <w:r w:rsidR="00C82C27" w:rsidRPr="0006102A">
        <w:rPr>
          <w:rFonts w:ascii="標楷體" w:eastAsia="標楷體" w:hAnsi="標楷體" w:hint="eastAsia"/>
          <w:color w:val="000000"/>
          <w:sz w:val="28"/>
          <w:szCs w:val="28"/>
        </w:rPr>
        <w:t>實地考察，</w:t>
      </w:r>
      <w:r>
        <w:rPr>
          <w:rFonts w:ascii="標楷體" w:eastAsia="標楷體" w:hAnsi="標楷體" w:hint="eastAsia"/>
          <w:color w:val="000000"/>
          <w:sz w:val="28"/>
          <w:szCs w:val="28"/>
        </w:rPr>
        <w:t>接續赴</w:t>
      </w:r>
      <w:r w:rsidR="00C82C27" w:rsidRPr="0006102A">
        <w:rPr>
          <w:rFonts w:ascii="標楷體" w:eastAsia="標楷體" w:hAnsi="標楷體" w:hint="eastAsia"/>
          <w:color w:val="000000"/>
          <w:sz w:val="28"/>
          <w:szCs w:val="28"/>
        </w:rPr>
        <w:t>臺北監獄</w:t>
      </w:r>
      <w:r w:rsidR="00305E9F">
        <w:rPr>
          <w:rFonts w:ascii="標楷體" w:eastAsia="標楷體" w:hAnsi="標楷體" w:hint="eastAsia"/>
          <w:color w:val="000000"/>
          <w:sz w:val="28"/>
          <w:szCs w:val="28"/>
        </w:rPr>
        <w:t>訪視</w:t>
      </w:r>
      <w:r w:rsidR="00C82C27" w:rsidRPr="0006102A">
        <w:rPr>
          <w:rFonts w:ascii="標楷體" w:eastAsia="標楷體" w:hAnsi="標楷體" w:hint="eastAsia"/>
          <w:color w:val="000000"/>
          <w:sz w:val="28"/>
          <w:szCs w:val="28"/>
        </w:rPr>
        <w:t>，於臺北監獄會議室聽取八德外役監獄典獄長葉俊宏及臺北監獄典獄長吳澤生就比較監獄行刑與中間性處遇之差異進行業務簡報，結束後並舉行綜合座談。</w:t>
      </w:r>
      <w:r w:rsidR="00C82C27" w:rsidRPr="00DB6EE1">
        <w:rPr>
          <w:rFonts w:ascii="標楷體" w:eastAsia="標楷體" w:hAnsi="標楷體" w:hint="eastAsia"/>
          <w:color w:val="000000"/>
          <w:sz w:val="28"/>
          <w:szCs w:val="28"/>
          <w:shd w:val="clear" w:color="auto" w:fill="FFFFFF"/>
        </w:rPr>
        <w:t>（詳如附錄之考察紀錄計</w:t>
      </w:r>
      <w:r w:rsidR="00C82C27" w:rsidRPr="005634DE">
        <w:rPr>
          <w:rFonts w:ascii="標楷體" w:eastAsia="標楷體" w:hAnsi="標楷體" w:hint="eastAsia"/>
          <w:color w:val="000000"/>
          <w:sz w:val="28"/>
          <w:szCs w:val="28"/>
          <w:shd w:val="clear" w:color="auto" w:fill="FFFFFF"/>
        </w:rPr>
        <w:t>1</w:t>
      </w:r>
      <w:r w:rsidR="00C82C27" w:rsidRPr="00DB6EE1">
        <w:rPr>
          <w:rFonts w:ascii="標楷體" w:eastAsia="標楷體" w:hAnsi="標楷體" w:hint="eastAsia"/>
          <w:color w:val="000000"/>
          <w:sz w:val="28"/>
          <w:szCs w:val="28"/>
          <w:shd w:val="clear" w:color="auto" w:fill="FFFFFF"/>
        </w:rPr>
        <w:t>份)</w:t>
      </w:r>
    </w:p>
    <w:p w14:paraId="29B2C37E" w14:textId="77777777" w:rsidR="00C82C27" w:rsidRPr="0006102A" w:rsidRDefault="00C82C27" w:rsidP="00C82C27">
      <w:pPr>
        <w:spacing w:line="380" w:lineRule="exact"/>
        <w:ind w:leftChars="235" w:left="1132" w:hangingChars="203" w:hanging="568"/>
        <w:jc w:val="both"/>
        <w:outlineLvl w:val="2"/>
        <w:rPr>
          <w:rFonts w:ascii="標楷體" w:eastAsia="標楷體" w:hAnsi="標楷體"/>
          <w:color w:val="000000"/>
          <w:sz w:val="28"/>
          <w:szCs w:val="28"/>
        </w:rPr>
      </w:pPr>
      <w:r w:rsidRPr="008B6F76">
        <w:rPr>
          <w:rFonts w:ascii="標楷體" w:eastAsia="標楷體" w:hAnsi="標楷體" w:hint="eastAsia"/>
          <w:color w:val="000000"/>
          <w:sz w:val="28"/>
          <w:szCs w:val="28"/>
        </w:rPr>
        <w:t>(</w:t>
      </w:r>
      <w:r>
        <w:rPr>
          <w:rFonts w:ascii="標楷體" w:eastAsia="標楷體" w:hAnsi="標楷體" w:hint="eastAsia"/>
          <w:color w:val="000000"/>
          <w:sz w:val="28"/>
          <w:szCs w:val="28"/>
        </w:rPr>
        <w:t>四</w:t>
      </w:r>
      <w:r w:rsidRPr="008B6F76">
        <w:rPr>
          <w:rFonts w:ascii="標楷體" w:eastAsia="標楷體" w:hAnsi="標楷體" w:hint="eastAsia"/>
          <w:color w:val="000000"/>
          <w:sz w:val="28"/>
          <w:szCs w:val="28"/>
        </w:rPr>
        <w:t>)</w:t>
      </w:r>
      <w:r w:rsidRPr="0006102A">
        <w:rPr>
          <w:rFonts w:ascii="標楷體" w:eastAsia="標楷體" w:hAnsi="標楷體" w:hint="eastAsia"/>
          <w:color w:val="000000"/>
          <w:sz w:val="28"/>
          <w:szCs w:val="28"/>
        </w:rPr>
        <w:t>111年12月</w:t>
      </w:r>
      <w:r w:rsidRPr="0006102A">
        <w:rPr>
          <w:rFonts w:ascii="標楷體" w:eastAsia="標楷體" w:hAnsi="標楷體"/>
          <w:color w:val="000000"/>
          <w:sz w:val="28"/>
          <w:szCs w:val="28"/>
        </w:rPr>
        <w:t>1</w:t>
      </w:r>
      <w:r w:rsidRPr="0006102A">
        <w:rPr>
          <w:rFonts w:ascii="標楷體" w:eastAsia="標楷體" w:hAnsi="標楷體" w:hint="eastAsia"/>
          <w:color w:val="000000"/>
          <w:sz w:val="28"/>
          <w:szCs w:val="28"/>
        </w:rPr>
        <w:t>9日（星期一）考察財政部關務署基隆關「有關毒品防制及查緝相關部分，在海運快遞及雜貨櫃通關業務之執行情形」。</w:t>
      </w:r>
    </w:p>
    <w:p w14:paraId="4A029503" w14:textId="4CF56B2D" w:rsidR="00C82C27" w:rsidRPr="0006102A" w:rsidRDefault="00B34F50" w:rsidP="00C82C27">
      <w:pPr>
        <w:spacing w:line="380" w:lineRule="exact"/>
        <w:ind w:leftChars="471" w:left="1130" w:firstLineChars="205" w:firstLine="574"/>
        <w:jc w:val="both"/>
        <w:rPr>
          <w:rFonts w:ascii="標楷體" w:eastAsia="標楷體" w:hAnsi="標楷體"/>
          <w:color w:val="000000"/>
          <w:sz w:val="28"/>
          <w:szCs w:val="28"/>
        </w:rPr>
      </w:pPr>
      <w:r>
        <w:rPr>
          <w:rFonts w:ascii="標楷體" w:eastAsia="標楷體" w:hAnsi="標楷體" w:hint="eastAsia"/>
          <w:color w:val="000000"/>
          <w:sz w:val="28"/>
          <w:szCs w:val="28"/>
        </w:rPr>
        <w:t>召集</w:t>
      </w:r>
      <w:r w:rsidR="00C82C27" w:rsidRPr="0006102A">
        <w:rPr>
          <w:rFonts w:ascii="標楷體" w:eastAsia="標楷體" w:hAnsi="標楷體"/>
          <w:color w:val="000000"/>
          <w:sz w:val="28"/>
          <w:szCs w:val="28"/>
        </w:rPr>
        <w:t>林委員思銘</w:t>
      </w:r>
      <w:r w:rsidR="00C82C27" w:rsidRPr="0006102A">
        <w:rPr>
          <w:rFonts w:ascii="標楷體" w:eastAsia="標楷體" w:hAnsi="標楷體" w:hint="eastAsia"/>
          <w:color w:val="000000"/>
          <w:sz w:val="28"/>
          <w:szCs w:val="28"/>
        </w:rPr>
        <w:t>領隊，委員游毓蘭、委員蔡適應同行，</w:t>
      </w:r>
      <w:r w:rsidR="00C82C27" w:rsidRPr="0006102A">
        <w:rPr>
          <w:rFonts w:ascii="標楷體" w:eastAsia="標楷體" w:hAnsi="標楷體" w:hint="eastAsia"/>
          <w:color w:val="000000"/>
          <w:sz w:val="28"/>
          <w:szCs w:val="28"/>
        </w:rPr>
        <w:lastRenderedPageBreak/>
        <w:t>財政部關務署署長彭英偉、關務署基隆關關務長呂敬銘、法務部常務次長林錦村、檢察司主任檢察官李秀玲、</w:t>
      </w:r>
      <w:r w:rsidR="00C82C27" w:rsidRPr="00A72227">
        <w:rPr>
          <w:rFonts w:ascii="標楷體" w:eastAsia="標楷體" w:hAnsi="標楷體" w:hint="eastAsia"/>
          <w:color w:val="000000" w:themeColor="text1"/>
          <w:sz w:val="28"/>
          <w:szCs w:val="28"/>
        </w:rPr>
        <w:t>法務部</w:t>
      </w:r>
      <w:r w:rsidR="00C82C27" w:rsidRPr="0006102A">
        <w:rPr>
          <w:rFonts w:ascii="標楷體" w:eastAsia="標楷體" w:hAnsi="標楷體" w:hint="eastAsia"/>
          <w:color w:val="000000"/>
          <w:sz w:val="28"/>
          <w:szCs w:val="28"/>
        </w:rPr>
        <w:t>調查局航業調查處處長王忠彥、毒品防制處副處長李詒順、航業調查處基隆調查站主任趙振宇、臺灣高等檢察署檢察官林秀敏、交通部航港局北部航務中心主任張德義、臺灣港務股份有限公司基隆港務分公司副總經理宋益進、基隆市政府財政處公有財產科代理科長蕭嘉倫陪同。</w:t>
      </w:r>
    </w:p>
    <w:p w14:paraId="601B5E91" w14:textId="78D9C63C" w:rsidR="00C82C27" w:rsidRPr="0006102A" w:rsidRDefault="00C82C27" w:rsidP="00C82C27">
      <w:pPr>
        <w:spacing w:line="380" w:lineRule="exact"/>
        <w:ind w:leftChars="471" w:left="1130" w:firstLineChars="205" w:firstLine="574"/>
        <w:jc w:val="both"/>
        <w:rPr>
          <w:rFonts w:ascii="標楷體" w:eastAsia="標楷體" w:hAnsi="標楷體"/>
          <w:color w:val="000000"/>
          <w:sz w:val="28"/>
          <w:szCs w:val="28"/>
        </w:rPr>
      </w:pPr>
      <w:r w:rsidRPr="0006102A">
        <w:rPr>
          <w:rFonts w:ascii="標楷體" w:eastAsia="標楷體" w:hAnsi="標楷體" w:hint="eastAsia"/>
          <w:color w:val="000000"/>
          <w:sz w:val="28"/>
          <w:szCs w:val="28"/>
        </w:rPr>
        <w:t>前往財政部關務署基隆關臺北港，由八里分關派前導車引導前往東立海運快遞專區進行</w:t>
      </w:r>
      <w:r w:rsidR="00AC0FCD">
        <w:rPr>
          <w:rFonts w:ascii="標楷體" w:eastAsia="標楷體" w:hAnsi="標楷體" w:hint="eastAsia"/>
          <w:color w:val="000000"/>
          <w:sz w:val="28"/>
          <w:szCs w:val="28"/>
        </w:rPr>
        <w:t>實地</w:t>
      </w:r>
      <w:r w:rsidRPr="0006102A">
        <w:rPr>
          <w:rFonts w:ascii="標楷體" w:eastAsia="標楷體" w:hAnsi="標楷體" w:hint="eastAsia"/>
          <w:color w:val="000000"/>
          <w:sz w:val="28"/>
          <w:szCs w:val="28"/>
        </w:rPr>
        <w:t>考察，現場</w:t>
      </w:r>
      <w:r>
        <w:rPr>
          <w:rFonts w:ascii="標楷體" w:eastAsia="標楷體" w:hAnsi="標楷體" w:hint="eastAsia"/>
          <w:color w:val="000000"/>
          <w:sz w:val="28"/>
          <w:szCs w:val="28"/>
        </w:rPr>
        <w:t>聽取</w:t>
      </w:r>
      <w:r w:rsidRPr="0006102A">
        <w:rPr>
          <w:rFonts w:ascii="標楷體" w:eastAsia="標楷體" w:hAnsi="標楷體" w:hint="eastAsia"/>
          <w:color w:val="000000"/>
          <w:sz w:val="28"/>
          <w:szCs w:val="28"/>
        </w:rPr>
        <w:t>八里分關同仁業務簡報及解說，並實地</w:t>
      </w:r>
      <w:r w:rsidRPr="00A72227">
        <w:rPr>
          <w:rFonts w:ascii="標楷體" w:eastAsia="標楷體" w:hAnsi="標楷體" w:hint="eastAsia"/>
          <w:color w:val="000000" w:themeColor="text1"/>
          <w:sz w:val="28"/>
          <w:szCs w:val="28"/>
        </w:rPr>
        <w:t>考察</w:t>
      </w:r>
      <w:r w:rsidRPr="0006102A">
        <w:rPr>
          <w:rFonts w:ascii="標楷體" w:eastAsia="標楷體" w:hAnsi="標楷體" w:hint="eastAsia"/>
          <w:color w:val="000000"/>
          <w:sz w:val="28"/>
          <w:szCs w:val="28"/>
        </w:rPr>
        <w:t>海運快遞業務</w:t>
      </w:r>
      <w:r w:rsidR="00862938">
        <w:rPr>
          <w:rFonts w:ascii="標楷體" w:eastAsia="標楷體" w:hAnsi="標楷體" w:hint="eastAsia"/>
          <w:color w:val="000000"/>
          <w:sz w:val="28"/>
          <w:szCs w:val="28"/>
        </w:rPr>
        <w:t>概況</w:t>
      </w:r>
      <w:r w:rsidRPr="0006102A">
        <w:rPr>
          <w:rFonts w:ascii="標楷體" w:eastAsia="標楷體" w:hAnsi="標楷體" w:hint="eastAsia"/>
          <w:color w:val="000000"/>
          <w:sz w:val="28"/>
          <w:szCs w:val="28"/>
        </w:rPr>
        <w:t>。</w:t>
      </w:r>
    </w:p>
    <w:p w14:paraId="1507CFA6" w14:textId="450D99BE" w:rsidR="00C82C27" w:rsidRPr="0006102A" w:rsidRDefault="00C82C27" w:rsidP="00C82C27">
      <w:pPr>
        <w:spacing w:line="380" w:lineRule="exact"/>
        <w:ind w:leftChars="471" w:left="1130" w:firstLineChars="205" w:firstLine="574"/>
        <w:jc w:val="both"/>
        <w:rPr>
          <w:rFonts w:ascii="標楷體" w:eastAsia="標楷體" w:hAnsi="標楷體"/>
          <w:color w:val="000000"/>
          <w:sz w:val="28"/>
          <w:szCs w:val="28"/>
        </w:rPr>
      </w:pPr>
      <w:r w:rsidRPr="0006102A">
        <w:rPr>
          <w:rFonts w:ascii="標楷體" w:eastAsia="標楷體" w:hAnsi="標楷體" w:hint="eastAsia"/>
          <w:color w:val="000000"/>
          <w:sz w:val="28"/>
          <w:szCs w:val="28"/>
        </w:rPr>
        <w:t>隨後前往中華貨櫃場考察雜貨櫃查驗業務</w:t>
      </w:r>
      <w:r w:rsidR="00862938">
        <w:rPr>
          <w:rFonts w:ascii="標楷體" w:eastAsia="標楷體" w:hAnsi="標楷體" w:hint="eastAsia"/>
          <w:color w:val="000000"/>
          <w:sz w:val="28"/>
          <w:szCs w:val="28"/>
        </w:rPr>
        <w:t>執行</w:t>
      </w:r>
      <w:r w:rsidR="00B61F3F">
        <w:rPr>
          <w:rFonts w:ascii="標楷體" w:eastAsia="標楷體" w:hAnsi="標楷體" w:hint="eastAsia"/>
          <w:color w:val="000000"/>
          <w:sz w:val="28"/>
          <w:szCs w:val="28"/>
        </w:rPr>
        <w:t>情形</w:t>
      </w:r>
      <w:r w:rsidRPr="0006102A">
        <w:rPr>
          <w:rFonts w:ascii="標楷體" w:eastAsia="標楷體" w:hAnsi="標楷體" w:hint="eastAsia"/>
          <w:color w:val="000000"/>
          <w:sz w:val="28"/>
          <w:szCs w:val="28"/>
        </w:rPr>
        <w:t>，</w:t>
      </w:r>
      <w:r>
        <w:rPr>
          <w:rFonts w:ascii="標楷體" w:eastAsia="標楷體" w:hAnsi="標楷體" w:hint="eastAsia"/>
          <w:color w:val="000000"/>
          <w:sz w:val="28"/>
          <w:szCs w:val="28"/>
        </w:rPr>
        <w:t>聽取</w:t>
      </w:r>
      <w:r w:rsidRPr="0006102A">
        <w:rPr>
          <w:rFonts w:ascii="標楷體" w:eastAsia="標楷體" w:hAnsi="標楷體"/>
          <w:color w:val="000000"/>
          <w:sz w:val="28"/>
          <w:szCs w:val="28"/>
        </w:rPr>
        <w:t>業務一組同仁</w:t>
      </w:r>
      <w:r w:rsidRPr="0006102A">
        <w:rPr>
          <w:rFonts w:ascii="標楷體" w:eastAsia="標楷體" w:hAnsi="標楷體" w:hint="eastAsia"/>
          <w:color w:val="000000"/>
          <w:sz w:val="28"/>
          <w:szCs w:val="28"/>
        </w:rPr>
        <w:t>業務簡報及解說。最後抵達</w:t>
      </w:r>
      <w:r w:rsidRPr="00662165">
        <w:rPr>
          <w:rFonts w:ascii="標楷體" w:eastAsia="標楷體" w:hAnsi="標楷體" w:hint="eastAsia"/>
          <w:color w:val="000000"/>
          <w:sz w:val="28"/>
          <w:szCs w:val="28"/>
        </w:rPr>
        <w:t>財政部關務署</w:t>
      </w:r>
      <w:r w:rsidRPr="0006102A">
        <w:rPr>
          <w:rFonts w:ascii="標楷體" w:eastAsia="標楷體" w:hAnsi="標楷體" w:hint="eastAsia"/>
          <w:color w:val="000000"/>
          <w:sz w:val="28"/>
          <w:szCs w:val="28"/>
        </w:rPr>
        <w:t>基隆關，於</w:t>
      </w:r>
      <w:r w:rsidRPr="0006102A">
        <w:rPr>
          <w:rFonts w:ascii="標楷體" w:eastAsia="標楷體" w:hAnsi="標楷體"/>
          <w:color w:val="000000"/>
          <w:sz w:val="28"/>
          <w:szCs w:val="28"/>
        </w:rPr>
        <w:t>基隆關大禮堂</w:t>
      </w:r>
      <w:r w:rsidRPr="0006102A">
        <w:rPr>
          <w:rFonts w:ascii="標楷體" w:eastAsia="標楷體" w:hAnsi="標楷體" w:hint="eastAsia"/>
          <w:color w:val="000000"/>
          <w:sz w:val="28"/>
          <w:szCs w:val="28"/>
        </w:rPr>
        <w:t>進行意見交流與綜合座談。</w:t>
      </w:r>
      <w:r w:rsidRPr="00DB6EE1">
        <w:rPr>
          <w:rFonts w:ascii="標楷體" w:eastAsia="標楷體" w:hAnsi="標楷體" w:hint="eastAsia"/>
          <w:color w:val="000000"/>
          <w:sz w:val="28"/>
          <w:szCs w:val="28"/>
          <w:shd w:val="clear" w:color="auto" w:fill="FFFFFF"/>
        </w:rPr>
        <w:t>（詳如附錄之考察紀錄計</w:t>
      </w:r>
      <w:r w:rsidRPr="00216252">
        <w:rPr>
          <w:rFonts w:ascii="標楷體" w:eastAsia="標楷體" w:hAnsi="標楷體" w:hint="eastAsia"/>
          <w:color w:val="000000"/>
          <w:sz w:val="28"/>
          <w:szCs w:val="28"/>
          <w:shd w:val="clear" w:color="auto" w:fill="FFFFFF"/>
        </w:rPr>
        <w:t>3</w:t>
      </w:r>
      <w:r w:rsidRPr="00DB6EE1">
        <w:rPr>
          <w:rFonts w:ascii="標楷體" w:eastAsia="標楷體" w:hAnsi="標楷體" w:hint="eastAsia"/>
          <w:color w:val="000000"/>
          <w:sz w:val="28"/>
          <w:szCs w:val="28"/>
          <w:shd w:val="clear" w:color="auto" w:fill="FFFFFF"/>
        </w:rPr>
        <w:t>份)</w:t>
      </w:r>
    </w:p>
    <w:p w14:paraId="67B5C727" w14:textId="77777777" w:rsidR="00C82C27" w:rsidRDefault="00C82C27">
      <w:pPr>
        <w:widowControl/>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14:paraId="43A617AE" w14:textId="77777777" w:rsidR="00C82C27" w:rsidRPr="001367E6" w:rsidRDefault="00C82C27" w:rsidP="00C82C27">
      <w:pPr>
        <w:keepNext/>
        <w:numPr>
          <w:ilvl w:val="0"/>
          <w:numId w:val="12"/>
        </w:numPr>
        <w:snapToGrid w:val="0"/>
        <w:spacing w:afterLines="50" w:after="180" w:line="520" w:lineRule="exact"/>
        <w:jc w:val="both"/>
        <w:outlineLvl w:val="1"/>
        <w:rPr>
          <w:rFonts w:ascii="標楷體" w:eastAsia="標楷體" w:hAnsi="標楷體"/>
          <w:bCs/>
          <w:color w:val="000000" w:themeColor="text1"/>
          <w:sz w:val="28"/>
          <w:szCs w:val="28"/>
        </w:rPr>
      </w:pPr>
      <w:bookmarkStart w:id="60" w:name="_Toc42531680"/>
      <w:bookmarkStart w:id="61" w:name="_Toc96350483"/>
      <w:r w:rsidRPr="001367E6">
        <w:rPr>
          <w:rFonts w:ascii="標楷體" w:eastAsia="標楷體" w:hAnsi="標楷體" w:hint="eastAsia"/>
          <w:b/>
          <w:bCs/>
          <w:color w:val="000000" w:themeColor="text1"/>
          <w:sz w:val="28"/>
          <w:szCs w:val="28"/>
        </w:rPr>
        <w:lastRenderedPageBreak/>
        <w:t>本會期本會各項議案審竣統計表</w:t>
      </w:r>
      <w:bookmarkEnd w:id="60"/>
      <w:bookmarkEnd w:id="61"/>
    </w:p>
    <w:p w14:paraId="55E7595B" w14:textId="77777777" w:rsidR="00C82C27" w:rsidRPr="001367E6" w:rsidRDefault="00C82C27" w:rsidP="00C82C27">
      <w:pPr>
        <w:tabs>
          <w:tab w:val="left" w:pos="1276"/>
        </w:tabs>
        <w:spacing w:beforeLines="50" w:before="180" w:afterLines="50" w:after="180" w:line="560" w:lineRule="exact"/>
        <w:ind w:leftChars="-177" w:left="1" w:rightChars="-112" w:right="-269" w:hangingChars="152" w:hanging="426"/>
        <w:jc w:val="center"/>
        <w:rPr>
          <w:rFonts w:ascii="標楷體" w:eastAsia="標楷體" w:hAnsi="標楷體"/>
          <w:b/>
          <w:color w:val="000000" w:themeColor="text1"/>
          <w:sz w:val="28"/>
          <w:szCs w:val="28"/>
        </w:rPr>
      </w:pPr>
      <w:r w:rsidRPr="001367E6">
        <w:rPr>
          <w:rFonts w:ascii="標楷體" w:eastAsia="標楷體" w:hAnsi="標楷體"/>
          <w:b/>
          <w:color w:val="000000" w:themeColor="text1"/>
          <w:sz w:val="28"/>
          <w:szCs w:val="28"/>
        </w:rPr>
        <w:t>第</w:t>
      </w:r>
      <w:r w:rsidRPr="001367E6">
        <w:rPr>
          <w:rFonts w:ascii="標楷體" w:eastAsia="標楷體" w:hAnsi="標楷體" w:hint="eastAsia"/>
          <w:b/>
          <w:color w:val="000000" w:themeColor="text1"/>
          <w:sz w:val="28"/>
          <w:szCs w:val="28"/>
        </w:rPr>
        <w:t>10</w:t>
      </w:r>
      <w:r w:rsidRPr="001367E6">
        <w:rPr>
          <w:rFonts w:ascii="標楷體" w:eastAsia="標楷體" w:hAnsi="標楷體"/>
          <w:b/>
          <w:color w:val="000000" w:themeColor="text1"/>
          <w:sz w:val="28"/>
          <w:szCs w:val="28"/>
        </w:rPr>
        <w:t>屆第</w:t>
      </w:r>
      <w:r>
        <w:rPr>
          <w:rFonts w:ascii="標楷體" w:eastAsia="標楷體" w:hAnsi="標楷體" w:hint="eastAsia"/>
          <w:b/>
          <w:color w:val="000000" w:themeColor="text1"/>
          <w:sz w:val="28"/>
          <w:szCs w:val="28"/>
        </w:rPr>
        <w:t>6</w:t>
      </w:r>
      <w:r w:rsidRPr="001367E6">
        <w:rPr>
          <w:rFonts w:ascii="標楷體" w:eastAsia="標楷體" w:hAnsi="標楷體"/>
          <w:b/>
          <w:color w:val="000000" w:themeColor="text1"/>
          <w:sz w:val="28"/>
          <w:szCs w:val="28"/>
        </w:rPr>
        <w:t>會期司法及法制委員會</w:t>
      </w:r>
      <w:r w:rsidRPr="001367E6">
        <w:rPr>
          <w:rFonts w:ascii="標楷體" w:eastAsia="標楷體" w:hAnsi="標楷體" w:hint="eastAsia"/>
          <w:b/>
          <w:color w:val="000000" w:themeColor="text1"/>
          <w:sz w:val="28"/>
          <w:szCs w:val="28"/>
        </w:rPr>
        <w:t>審竣</w:t>
      </w:r>
      <w:r w:rsidRPr="001367E6">
        <w:rPr>
          <w:rFonts w:ascii="標楷體" w:eastAsia="標楷體" w:hAnsi="標楷體"/>
          <w:b/>
          <w:color w:val="000000" w:themeColor="text1"/>
          <w:sz w:val="28"/>
          <w:szCs w:val="28"/>
        </w:rPr>
        <w:t>案</w:t>
      </w:r>
      <w:r w:rsidRPr="001367E6">
        <w:rPr>
          <w:rFonts w:ascii="標楷體" w:eastAsia="標楷體" w:hAnsi="標楷體" w:hint="eastAsia"/>
          <w:b/>
          <w:color w:val="000000" w:themeColor="text1"/>
          <w:sz w:val="28"/>
          <w:szCs w:val="28"/>
        </w:rPr>
        <w:t>件</w:t>
      </w:r>
      <w:r w:rsidRPr="001367E6">
        <w:rPr>
          <w:rFonts w:ascii="標楷體" w:eastAsia="標楷體" w:hAnsi="標楷體"/>
          <w:b/>
          <w:color w:val="000000" w:themeColor="text1"/>
          <w:sz w:val="28"/>
          <w:szCs w:val="28"/>
        </w:rPr>
        <w:t>統計表</w:t>
      </w:r>
    </w:p>
    <w:tbl>
      <w:tblPr>
        <w:tblpPr w:leftFromText="180" w:rightFromText="180" w:vertAnchor="text" w:horzAnchor="margin" w:tblpY="217"/>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1984"/>
      </w:tblGrid>
      <w:tr w:rsidR="00C82C27" w:rsidRPr="001367E6" w14:paraId="2C8F2AB2" w14:textId="77777777" w:rsidTr="00C82C27">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14:paraId="275BEE86" w14:textId="77777777" w:rsidR="00C82C27" w:rsidRPr="001367E6" w:rsidRDefault="00C82C27" w:rsidP="00C82C27">
            <w:pPr>
              <w:spacing w:line="360" w:lineRule="exact"/>
              <w:jc w:val="center"/>
              <w:rPr>
                <w:rFonts w:ascii="標楷體" w:eastAsia="標楷體" w:hAnsi="標楷體"/>
                <w:b/>
                <w:color w:val="000000" w:themeColor="text1"/>
                <w:sz w:val="28"/>
                <w:szCs w:val="28"/>
              </w:rPr>
            </w:pPr>
            <w:r w:rsidRPr="001367E6">
              <w:rPr>
                <w:rFonts w:ascii="標楷體" w:eastAsia="標楷體" w:hAnsi="標楷體" w:hint="eastAsia"/>
                <w:b/>
                <w:color w:val="000000" w:themeColor="text1"/>
                <w:sz w:val="28"/>
                <w:szCs w:val="28"/>
              </w:rPr>
              <w:t>類     別</w:t>
            </w:r>
          </w:p>
        </w:tc>
        <w:tc>
          <w:tcPr>
            <w:tcW w:w="5953"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14:paraId="0CDA44D4" w14:textId="77777777" w:rsidR="00C82C27" w:rsidRPr="001367E6" w:rsidRDefault="00C82C27" w:rsidP="00C82C27">
            <w:pPr>
              <w:spacing w:line="340" w:lineRule="exact"/>
              <w:ind w:leftChars="-3" w:left="-1" w:rightChars="14" w:right="34" w:hangingChars="2" w:hanging="6"/>
              <w:jc w:val="center"/>
              <w:rPr>
                <w:rFonts w:ascii="標楷體" w:eastAsia="標楷體" w:hAnsi="標楷體"/>
                <w:b/>
                <w:bCs/>
                <w:color w:val="000000" w:themeColor="text1"/>
                <w:sz w:val="28"/>
                <w:szCs w:val="28"/>
              </w:rPr>
            </w:pPr>
            <w:r w:rsidRPr="001367E6">
              <w:rPr>
                <w:rFonts w:ascii="標楷體" w:eastAsia="標楷體" w:hAnsi="標楷體"/>
                <w:b/>
                <w:bCs/>
                <w:color w:val="000000" w:themeColor="text1"/>
                <w:sz w:val="28"/>
                <w:szCs w:val="28"/>
              </w:rPr>
              <w:t>第10屆</w:t>
            </w:r>
            <w:r>
              <w:rPr>
                <w:rFonts w:ascii="標楷體" w:eastAsia="標楷體" w:hAnsi="標楷體" w:hint="eastAsia"/>
                <w:b/>
                <w:bCs/>
                <w:color w:val="000000" w:themeColor="text1"/>
                <w:sz w:val="28"/>
                <w:szCs w:val="28"/>
              </w:rPr>
              <w:t>6</w:t>
            </w:r>
            <w:r w:rsidRPr="001367E6">
              <w:rPr>
                <w:rFonts w:ascii="標楷體" w:eastAsia="標楷體" w:hAnsi="標楷體" w:hint="eastAsia"/>
                <w:b/>
                <w:bCs/>
                <w:color w:val="000000" w:themeColor="text1"/>
                <w:sz w:val="28"/>
                <w:szCs w:val="28"/>
              </w:rPr>
              <w:t>會期本會審竣提報院會之</w:t>
            </w:r>
            <w:r w:rsidRPr="001367E6">
              <w:rPr>
                <w:rFonts w:ascii="標楷體" w:eastAsia="標楷體" w:hAnsi="標楷體"/>
                <w:b/>
                <w:bCs/>
                <w:color w:val="000000" w:themeColor="text1"/>
                <w:sz w:val="28"/>
                <w:szCs w:val="28"/>
                <w:bdr w:val="single" w:sz="4" w:space="0" w:color="auto"/>
              </w:rPr>
              <w:t>已</w:t>
            </w:r>
            <w:r w:rsidRPr="001367E6">
              <w:rPr>
                <w:rFonts w:ascii="標楷體" w:eastAsia="標楷體" w:hAnsi="標楷體" w:hint="eastAsia"/>
                <w:b/>
                <w:bCs/>
                <w:color w:val="000000" w:themeColor="text1"/>
                <w:sz w:val="28"/>
                <w:szCs w:val="28"/>
                <w:bdr w:val="single" w:sz="4" w:space="0" w:color="auto"/>
              </w:rPr>
              <w:t>結案件</w:t>
            </w:r>
          </w:p>
        </w:tc>
      </w:tr>
      <w:tr w:rsidR="00C82C27" w:rsidRPr="001367E6" w14:paraId="34A267E6" w14:textId="77777777" w:rsidTr="00C82C27">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14:paraId="0B65B28D" w14:textId="77777777" w:rsidR="00C82C27" w:rsidRPr="001367E6" w:rsidRDefault="00C82C27" w:rsidP="00C82C27">
            <w:pPr>
              <w:spacing w:line="240" w:lineRule="exact"/>
              <w:jc w:val="center"/>
              <w:rPr>
                <w:rFonts w:ascii="標楷體" w:eastAsia="標楷體" w:hAnsi="標楷體"/>
                <w:b/>
                <w:color w:val="000000" w:themeColor="text1"/>
                <w:sz w:val="28"/>
                <w:szCs w:val="28"/>
              </w:rPr>
            </w:pPr>
          </w:p>
        </w:tc>
        <w:tc>
          <w:tcPr>
            <w:tcW w:w="1984" w:type="dxa"/>
            <w:tcBorders>
              <w:top w:val="single" w:sz="12" w:space="0" w:color="auto"/>
              <w:left w:val="single" w:sz="12" w:space="0" w:color="auto"/>
              <w:right w:val="dashed" w:sz="4" w:space="0" w:color="auto"/>
            </w:tcBorders>
            <w:shd w:val="clear" w:color="auto" w:fill="FFFFFF"/>
            <w:vAlign w:val="center"/>
          </w:tcPr>
          <w:p w14:paraId="577F946D" w14:textId="77777777" w:rsidR="00C82C27" w:rsidRPr="001367E6" w:rsidRDefault="00C82C27" w:rsidP="00C82C27">
            <w:pPr>
              <w:adjustRightInd w:val="0"/>
              <w:snapToGrid w:val="0"/>
              <w:spacing w:line="380" w:lineRule="exact"/>
              <w:jc w:val="center"/>
              <w:rPr>
                <w:rFonts w:ascii="標楷體" w:eastAsia="標楷體" w:hAnsi="標楷體"/>
                <w:b/>
                <w:color w:val="000000" w:themeColor="text1"/>
                <w:sz w:val="28"/>
                <w:szCs w:val="28"/>
              </w:rPr>
            </w:pPr>
            <w:r w:rsidRPr="001367E6">
              <w:rPr>
                <w:rFonts w:ascii="標楷體" w:eastAsia="標楷體" w:hAnsi="標楷體"/>
                <w:b/>
                <w:color w:val="000000" w:themeColor="text1"/>
                <w:spacing w:val="-6"/>
                <w:sz w:val="28"/>
                <w:szCs w:val="28"/>
              </w:rPr>
              <w:t>院會通過</w:t>
            </w:r>
          </w:p>
        </w:tc>
        <w:tc>
          <w:tcPr>
            <w:tcW w:w="1985" w:type="dxa"/>
            <w:tcBorders>
              <w:top w:val="single" w:sz="12" w:space="0" w:color="auto"/>
              <w:left w:val="dashed" w:sz="4" w:space="0" w:color="auto"/>
              <w:right w:val="single" w:sz="12" w:space="0" w:color="auto"/>
            </w:tcBorders>
            <w:shd w:val="clear" w:color="auto" w:fill="FFFFFF"/>
            <w:vAlign w:val="center"/>
          </w:tcPr>
          <w:p w14:paraId="546E0532" w14:textId="77777777" w:rsidR="00C82C27" w:rsidRPr="001367E6" w:rsidRDefault="00C82C27" w:rsidP="00C82C27">
            <w:pPr>
              <w:spacing w:line="380" w:lineRule="exact"/>
              <w:jc w:val="center"/>
              <w:rPr>
                <w:rFonts w:ascii="標楷體" w:eastAsia="標楷體" w:hAnsi="標楷體"/>
                <w:b/>
                <w:color w:val="000000" w:themeColor="text1"/>
                <w:spacing w:val="-6"/>
                <w:sz w:val="28"/>
                <w:szCs w:val="28"/>
              </w:rPr>
            </w:pPr>
            <w:r w:rsidRPr="001367E6">
              <w:rPr>
                <w:rFonts w:ascii="標楷體" w:eastAsia="標楷體" w:hAnsi="標楷體"/>
                <w:b/>
                <w:color w:val="000000" w:themeColor="text1"/>
                <w:spacing w:val="-6"/>
                <w:sz w:val="28"/>
                <w:szCs w:val="28"/>
              </w:rPr>
              <w:t>院會</w:t>
            </w:r>
            <w:r w:rsidRPr="001367E6">
              <w:rPr>
                <w:rFonts w:ascii="標楷體" w:eastAsia="標楷體" w:hAnsi="標楷體" w:hint="eastAsia"/>
                <w:b/>
                <w:color w:val="000000" w:themeColor="text1"/>
                <w:spacing w:val="-6"/>
                <w:sz w:val="28"/>
                <w:szCs w:val="28"/>
              </w:rPr>
              <w:t>待</w:t>
            </w:r>
            <w:r w:rsidRPr="001367E6">
              <w:rPr>
                <w:rFonts w:ascii="標楷體" w:eastAsia="標楷體" w:hAnsi="標楷體"/>
                <w:b/>
                <w:color w:val="000000" w:themeColor="text1"/>
                <w:spacing w:val="-6"/>
                <w:sz w:val="28"/>
                <w:szCs w:val="28"/>
              </w:rPr>
              <w:t>審</w:t>
            </w:r>
          </w:p>
        </w:tc>
        <w:tc>
          <w:tcPr>
            <w:tcW w:w="1984" w:type="dxa"/>
            <w:tcBorders>
              <w:top w:val="single" w:sz="12" w:space="0" w:color="auto"/>
              <w:left w:val="single" w:sz="12" w:space="0" w:color="auto"/>
              <w:bottom w:val="single" w:sz="12" w:space="0" w:color="auto"/>
              <w:right w:val="single" w:sz="12" w:space="0" w:color="auto"/>
            </w:tcBorders>
            <w:shd w:val="clear" w:color="auto" w:fill="FFFFFF"/>
            <w:vAlign w:val="center"/>
          </w:tcPr>
          <w:p w14:paraId="1BCA22B6" w14:textId="77777777" w:rsidR="00C82C27" w:rsidRPr="001367E6" w:rsidRDefault="00C82C27" w:rsidP="00C82C27">
            <w:pPr>
              <w:spacing w:line="380" w:lineRule="exact"/>
              <w:jc w:val="center"/>
              <w:rPr>
                <w:rFonts w:ascii="標楷體" w:eastAsia="標楷體" w:hAnsi="標楷體"/>
                <w:color w:val="000000" w:themeColor="text1"/>
                <w:sz w:val="28"/>
                <w:szCs w:val="28"/>
              </w:rPr>
            </w:pPr>
            <w:r w:rsidRPr="001367E6">
              <w:rPr>
                <w:rFonts w:ascii="標楷體" w:eastAsia="標楷體" w:hAnsi="標楷體" w:hint="eastAsia"/>
                <w:b/>
                <w:color w:val="000000" w:themeColor="text1"/>
                <w:sz w:val="28"/>
                <w:szCs w:val="28"/>
              </w:rPr>
              <w:t>第</w:t>
            </w:r>
            <w:r>
              <w:rPr>
                <w:rFonts w:ascii="標楷體" w:eastAsia="標楷體" w:hAnsi="標楷體" w:hint="eastAsia"/>
                <w:b/>
                <w:color w:val="000000" w:themeColor="text1"/>
                <w:sz w:val="28"/>
                <w:szCs w:val="28"/>
              </w:rPr>
              <w:t>6</w:t>
            </w:r>
            <w:r w:rsidRPr="001367E6">
              <w:rPr>
                <w:rFonts w:ascii="標楷體" w:eastAsia="標楷體" w:hAnsi="標楷體" w:hint="eastAsia"/>
                <w:b/>
                <w:color w:val="000000" w:themeColor="text1"/>
                <w:sz w:val="28"/>
                <w:szCs w:val="28"/>
              </w:rPr>
              <w:t>會期審竣</w:t>
            </w:r>
          </w:p>
        </w:tc>
      </w:tr>
      <w:tr w:rsidR="00C82C27" w:rsidRPr="001367E6" w14:paraId="4554DF46" w14:textId="77777777" w:rsidTr="00C82C27">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14:paraId="5578BCD8"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院</w:t>
            </w:r>
          </w:p>
          <w:p w14:paraId="13F17F97"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會</w:t>
            </w:r>
          </w:p>
          <w:p w14:paraId="32B88485"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交</w:t>
            </w:r>
          </w:p>
          <w:p w14:paraId="6BC0B2C9"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付</w:t>
            </w:r>
          </w:p>
          <w:p w14:paraId="5A97CC5E"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審</w:t>
            </w:r>
          </w:p>
          <w:p w14:paraId="0C881C07"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查</w:t>
            </w:r>
          </w:p>
          <w:p w14:paraId="5CA7DEE8"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及</w:t>
            </w:r>
          </w:p>
          <w:p w14:paraId="2F1F441F"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處</w:t>
            </w:r>
          </w:p>
          <w:p w14:paraId="5D852AEF" w14:textId="77777777" w:rsidR="00C82C27" w:rsidRPr="001367E6" w:rsidRDefault="00C82C27" w:rsidP="00C82C27">
            <w:pPr>
              <w:spacing w:line="360" w:lineRule="exact"/>
              <w:ind w:left="132" w:hangingChars="55" w:hanging="132"/>
              <w:jc w:val="center"/>
              <w:rPr>
                <w:rFonts w:ascii="標楷體" w:eastAsia="標楷體" w:hAnsi="標楷體" w:cs="Mangal"/>
                <w:bCs/>
                <w:color w:val="000000" w:themeColor="text1"/>
                <w:spacing w:val="-20"/>
                <w:sz w:val="28"/>
                <w:szCs w:val="28"/>
              </w:rPr>
            </w:pPr>
            <w:r w:rsidRPr="001367E6">
              <w:rPr>
                <w:rFonts w:ascii="標楷體" w:eastAsia="標楷體" w:hAnsi="標楷體" w:cs="Mangal" w:hint="eastAsia"/>
                <w:bCs/>
                <w:color w:val="000000" w:themeColor="text1"/>
                <w:spacing w:val="-20"/>
                <w:sz w:val="28"/>
                <w:szCs w:val="28"/>
              </w:rPr>
              <w:t>理</w:t>
            </w:r>
          </w:p>
        </w:tc>
        <w:tc>
          <w:tcPr>
            <w:tcW w:w="2268" w:type="dxa"/>
            <w:tcBorders>
              <w:top w:val="single" w:sz="12" w:space="0" w:color="auto"/>
              <w:left w:val="single" w:sz="4" w:space="0" w:color="auto"/>
              <w:right w:val="single" w:sz="12" w:space="0" w:color="auto"/>
            </w:tcBorders>
            <w:shd w:val="clear" w:color="auto" w:fill="FFFFFF"/>
            <w:vAlign w:val="center"/>
          </w:tcPr>
          <w:p w14:paraId="58CCEC36" w14:textId="77777777" w:rsidR="00C82C27" w:rsidRPr="002D30F9" w:rsidRDefault="00C82C27" w:rsidP="00C82C27">
            <w:pPr>
              <w:spacing w:line="360" w:lineRule="exact"/>
              <w:ind w:leftChars="-55" w:hangingChars="55" w:hanging="132"/>
              <w:jc w:val="both"/>
              <w:rPr>
                <w:rFonts w:ascii="標楷體" w:eastAsia="標楷體" w:hAnsi="標楷體" w:cs="Mangal"/>
                <w:bCs/>
                <w:color w:val="000000" w:themeColor="text1"/>
                <w:spacing w:val="-20"/>
                <w:sz w:val="28"/>
                <w:szCs w:val="28"/>
              </w:rPr>
            </w:pPr>
            <w:r w:rsidRPr="002D30F9">
              <w:rPr>
                <w:rFonts w:ascii="標楷體" w:eastAsia="標楷體" w:hAnsi="標楷體" w:cs="Mangal" w:hint="eastAsia"/>
                <w:bCs/>
                <w:color w:val="000000" w:themeColor="text1"/>
                <w:spacing w:val="-20"/>
                <w:sz w:val="28"/>
                <w:szCs w:val="28"/>
              </w:rPr>
              <w:t>［一］法律案</w:t>
            </w:r>
          </w:p>
        </w:tc>
        <w:tc>
          <w:tcPr>
            <w:tcW w:w="1984" w:type="dxa"/>
            <w:tcBorders>
              <w:top w:val="single" w:sz="12" w:space="0" w:color="auto"/>
              <w:left w:val="single" w:sz="12" w:space="0" w:color="auto"/>
              <w:right w:val="dashed" w:sz="4" w:space="0" w:color="auto"/>
            </w:tcBorders>
            <w:shd w:val="clear" w:color="auto" w:fill="FFFFFF"/>
            <w:vAlign w:val="center"/>
          </w:tcPr>
          <w:p w14:paraId="488EC835"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33</w:t>
            </w:r>
            <w:r w:rsidRPr="002D30F9">
              <w:rPr>
                <w:rFonts w:ascii="標楷體" w:eastAsia="標楷體" w:hAnsi="標楷體" w:cs="新細明體"/>
                <w:color w:val="000000" w:themeColor="text1"/>
                <w:spacing w:val="-20"/>
              </w:rPr>
              <w:t>(4)</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14:paraId="28A36502"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17</w:t>
            </w:r>
          </w:p>
        </w:tc>
        <w:tc>
          <w:tcPr>
            <w:tcW w:w="1984" w:type="dxa"/>
            <w:tcBorders>
              <w:top w:val="single" w:sz="12" w:space="0" w:color="auto"/>
              <w:left w:val="single" w:sz="12" w:space="0" w:color="auto"/>
              <w:right w:val="single" w:sz="12" w:space="0" w:color="auto"/>
            </w:tcBorders>
            <w:shd w:val="clear" w:color="auto" w:fill="FFFFFF"/>
            <w:vAlign w:val="center"/>
          </w:tcPr>
          <w:p w14:paraId="1F66C9B5"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50（4）</w:t>
            </w:r>
          </w:p>
        </w:tc>
      </w:tr>
      <w:tr w:rsidR="00C82C27" w:rsidRPr="001367E6" w14:paraId="6D11A486" w14:textId="77777777" w:rsidTr="00C82C27">
        <w:trPr>
          <w:trHeight w:val="737"/>
        </w:trPr>
        <w:tc>
          <w:tcPr>
            <w:tcW w:w="534" w:type="dxa"/>
            <w:vMerge/>
            <w:tcBorders>
              <w:left w:val="single" w:sz="12" w:space="0" w:color="auto"/>
              <w:bottom w:val="single" w:sz="18" w:space="0" w:color="auto"/>
              <w:right w:val="single" w:sz="4" w:space="0" w:color="auto"/>
            </w:tcBorders>
            <w:shd w:val="clear" w:color="auto" w:fill="FFFFFF"/>
          </w:tcPr>
          <w:p w14:paraId="640654F2" w14:textId="77777777" w:rsidR="00C82C27" w:rsidRPr="001367E6" w:rsidRDefault="00C82C27" w:rsidP="00C82C27">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61F5C3EB" w14:textId="77777777" w:rsidR="00C82C27" w:rsidRPr="002D30F9" w:rsidRDefault="00C82C27" w:rsidP="00C82C27">
            <w:pPr>
              <w:spacing w:line="360" w:lineRule="exact"/>
              <w:ind w:leftChars="-55" w:hangingChars="55" w:hanging="132"/>
              <w:jc w:val="both"/>
              <w:rPr>
                <w:rFonts w:ascii="標楷體" w:eastAsia="標楷體" w:hAnsi="標楷體" w:cs="Mangal"/>
                <w:bCs/>
                <w:color w:val="000000" w:themeColor="text1"/>
                <w:spacing w:val="-20"/>
                <w:sz w:val="28"/>
                <w:szCs w:val="28"/>
              </w:rPr>
            </w:pPr>
            <w:r w:rsidRPr="002D30F9">
              <w:rPr>
                <w:rFonts w:ascii="標楷體" w:eastAsia="標楷體" w:hAnsi="標楷體" w:cs="Mangal" w:hint="eastAsia"/>
                <w:bCs/>
                <w:color w:val="000000" w:themeColor="text1"/>
                <w:spacing w:val="-20"/>
                <w:sz w:val="28"/>
                <w:szCs w:val="28"/>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14:paraId="2C69FFD0" w14:textId="0F11FF00" w:rsidR="00C82C27" w:rsidRPr="002D30F9" w:rsidRDefault="005B21B2"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77</w:t>
            </w:r>
          </w:p>
        </w:tc>
        <w:tc>
          <w:tcPr>
            <w:tcW w:w="1985" w:type="dxa"/>
            <w:tcBorders>
              <w:left w:val="dashed" w:sz="4" w:space="0" w:color="auto"/>
              <w:bottom w:val="single" w:sz="4" w:space="0" w:color="auto"/>
              <w:right w:val="single" w:sz="12" w:space="0" w:color="auto"/>
            </w:tcBorders>
            <w:shd w:val="clear" w:color="auto" w:fill="FFFFFF"/>
            <w:vAlign w:val="center"/>
          </w:tcPr>
          <w:p w14:paraId="7987A88C"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1</w:t>
            </w:r>
          </w:p>
        </w:tc>
        <w:tc>
          <w:tcPr>
            <w:tcW w:w="1984" w:type="dxa"/>
            <w:tcBorders>
              <w:left w:val="single" w:sz="12" w:space="0" w:color="auto"/>
              <w:bottom w:val="single" w:sz="4" w:space="0" w:color="auto"/>
              <w:right w:val="single" w:sz="12" w:space="0" w:color="auto"/>
            </w:tcBorders>
            <w:shd w:val="clear" w:color="auto" w:fill="FFFFFF"/>
            <w:vAlign w:val="center"/>
          </w:tcPr>
          <w:p w14:paraId="645A08D4" w14:textId="24A6B3C6" w:rsidR="00C82C27" w:rsidRPr="002D30F9" w:rsidRDefault="005B21B2"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78</w:t>
            </w:r>
          </w:p>
        </w:tc>
      </w:tr>
      <w:tr w:rsidR="00C82C27" w:rsidRPr="001367E6" w14:paraId="153D0F8A" w14:textId="77777777" w:rsidTr="00C82C27">
        <w:trPr>
          <w:trHeight w:val="737"/>
        </w:trPr>
        <w:tc>
          <w:tcPr>
            <w:tcW w:w="534" w:type="dxa"/>
            <w:vMerge/>
            <w:tcBorders>
              <w:left w:val="single" w:sz="12" w:space="0" w:color="auto"/>
              <w:bottom w:val="single" w:sz="18" w:space="0" w:color="auto"/>
              <w:right w:val="single" w:sz="4" w:space="0" w:color="auto"/>
            </w:tcBorders>
            <w:shd w:val="clear" w:color="auto" w:fill="FFFFFF"/>
          </w:tcPr>
          <w:p w14:paraId="58E19E04" w14:textId="77777777" w:rsidR="00C82C27" w:rsidRPr="001367E6" w:rsidRDefault="00C82C27" w:rsidP="00C82C27">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6277EAAC" w14:textId="77777777" w:rsidR="00C82C27" w:rsidRPr="002D30F9" w:rsidRDefault="00C82C27" w:rsidP="00C82C27">
            <w:pPr>
              <w:spacing w:line="360" w:lineRule="exact"/>
              <w:ind w:leftChars="-55" w:hangingChars="55" w:hanging="132"/>
              <w:jc w:val="both"/>
              <w:rPr>
                <w:rFonts w:ascii="標楷體" w:eastAsia="標楷體" w:hAnsi="標楷體" w:cs="Mangal"/>
                <w:bCs/>
                <w:color w:val="000000" w:themeColor="text1"/>
                <w:spacing w:val="-20"/>
                <w:sz w:val="28"/>
                <w:szCs w:val="28"/>
              </w:rPr>
            </w:pPr>
            <w:r w:rsidRPr="002D30F9">
              <w:rPr>
                <w:rFonts w:ascii="標楷體" w:eastAsia="標楷體" w:hAnsi="標楷體" w:cs="Mangal" w:hint="eastAsia"/>
                <w:bCs/>
                <w:color w:val="000000" w:themeColor="text1"/>
                <w:spacing w:val="-20"/>
                <w:sz w:val="28"/>
                <w:szCs w:val="28"/>
              </w:rPr>
              <w:t>［三］條約案</w:t>
            </w:r>
          </w:p>
        </w:tc>
        <w:tc>
          <w:tcPr>
            <w:tcW w:w="1984" w:type="dxa"/>
            <w:tcBorders>
              <w:left w:val="single" w:sz="12" w:space="0" w:color="auto"/>
              <w:right w:val="dashed" w:sz="4" w:space="0" w:color="auto"/>
            </w:tcBorders>
            <w:shd w:val="clear" w:color="auto" w:fill="FFFFFF"/>
            <w:vAlign w:val="center"/>
          </w:tcPr>
          <w:p w14:paraId="2D72C5EA"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271F7E65"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c>
          <w:tcPr>
            <w:tcW w:w="1984" w:type="dxa"/>
            <w:tcBorders>
              <w:left w:val="single" w:sz="12" w:space="0" w:color="auto"/>
              <w:right w:val="single" w:sz="12" w:space="0" w:color="auto"/>
            </w:tcBorders>
            <w:shd w:val="clear" w:color="auto" w:fill="FFFFFF"/>
            <w:vAlign w:val="center"/>
          </w:tcPr>
          <w:p w14:paraId="7E40C11A"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r>
      <w:tr w:rsidR="00C82C27" w:rsidRPr="001367E6" w14:paraId="738487ED" w14:textId="77777777" w:rsidTr="00C82C27">
        <w:trPr>
          <w:trHeight w:val="737"/>
        </w:trPr>
        <w:tc>
          <w:tcPr>
            <w:tcW w:w="534" w:type="dxa"/>
            <w:vMerge/>
            <w:tcBorders>
              <w:left w:val="single" w:sz="12" w:space="0" w:color="auto"/>
              <w:bottom w:val="single" w:sz="18" w:space="0" w:color="auto"/>
              <w:right w:val="single" w:sz="4" w:space="0" w:color="auto"/>
            </w:tcBorders>
            <w:shd w:val="clear" w:color="auto" w:fill="FFFFFF"/>
          </w:tcPr>
          <w:p w14:paraId="6289D5CE" w14:textId="77777777" w:rsidR="00C82C27" w:rsidRPr="001367E6" w:rsidRDefault="00C82C27" w:rsidP="00C82C27">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5CDC3446" w14:textId="77777777" w:rsidR="00C82C27" w:rsidRPr="002D30F9" w:rsidRDefault="00C82C27" w:rsidP="00C82C27">
            <w:pPr>
              <w:spacing w:line="360" w:lineRule="exact"/>
              <w:ind w:leftChars="-55" w:hangingChars="55" w:hanging="132"/>
              <w:jc w:val="both"/>
              <w:rPr>
                <w:rFonts w:ascii="標楷體" w:eastAsia="標楷體" w:hAnsi="標楷體" w:cs="Mangal"/>
                <w:bCs/>
                <w:color w:val="000000" w:themeColor="text1"/>
                <w:spacing w:val="-20"/>
                <w:sz w:val="28"/>
                <w:szCs w:val="28"/>
              </w:rPr>
            </w:pPr>
            <w:r w:rsidRPr="002D30F9">
              <w:rPr>
                <w:rFonts w:ascii="標楷體" w:eastAsia="標楷體" w:hAnsi="標楷體" w:cs="Mangal" w:hint="eastAsia"/>
                <w:bCs/>
                <w:color w:val="000000" w:themeColor="text1"/>
                <w:spacing w:val="-20"/>
                <w:sz w:val="28"/>
                <w:szCs w:val="28"/>
              </w:rPr>
              <w:t>［四］行政命令案</w:t>
            </w:r>
          </w:p>
        </w:tc>
        <w:tc>
          <w:tcPr>
            <w:tcW w:w="1984" w:type="dxa"/>
            <w:tcBorders>
              <w:left w:val="single" w:sz="12" w:space="0" w:color="auto"/>
              <w:right w:val="dashed" w:sz="4" w:space="0" w:color="auto"/>
            </w:tcBorders>
            <w:shd w:val="clear" w:color="auto" w:fill="FFFFFF"/>
            <w:vAlign w:val="center"/>
          </w:tcPr>
          <w:p w14:paraId="06CE459D"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35</w:t>
            </w:r>
          </w:p>
        </w:tc>
        <w:tc>
          <w:tcPr>
            <w:tcW w:w="1985" w:type="dxa"/>
            <w:tcBorders>
              <w:left w:val="dashed" w:sz="4" w:space="0" w:color="auto"/>
              <w:right w:val="single" w:sz="12" w:space="0" w:color="auto"/>
            </w:tcBorders>
            <w:shd w:val="clear" w:color="auto" w:fill="FFFFFF"/>
            <w:vAlign w:val="center"/>
          </w:tcPr>
          <w:p w14:paraId="325145E4"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c>
          <w:tcPr>
            <w:tcW w:w="1984" w:type="dxa"/>
            <w:tcBorders>
              <w:left w:val="single" w:sz="12" w:space="0" w:color="auto"/>
              <w:right w:val="single" w:sz="12" w:space="0" w:color="auto"/>
            </w:tcBorders>
            <w:shd w:val="clear" w:color="auto" w:fill="FFFFFF"/>
            <w:vAlign w:val="center"/>
          </w:tcPr>
          <w:p w14:paraId="72F31BF5"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35</w:t>
            </w:r>
          </w:p>
        </w:tc>
      </w:tr>
      <w:tr w:rsidR="00C82C27" w:rsidRPr="001367E6" w14:paraId="192FA7F1" w14:textId="77777777" w:rsidTr="00C82C27">
        <w:trPr>
          <w:trHeight w:val="737"/>
        </w:trPr>
        <w:tc>
          <w:tcPr>
            <w:tcW w:w="534" w:type="dxa"/>
            <w:vMerge/>
            <w:tcBorders>
              <w:left w:val="single" w:sz="12" w:space="0" w:color="auto"/>
              <w:bottom w:val="single" w:sz="18" w:space="0" w:color="auto"/>
              <w:right w:val="single" w:sz="4" w:space="0" w:color="auto"/>
            </w:tcBorders>
            <w:shd w:val="clear" w:color="auto" w:fill="FFFFFF"/>
          </w:tcPr>
          <w:p w14:paraId="3E5F8E1A" w14:textId="77777777" w:rsidR="00C82C27" w:rsidRPr="001367E6" w:rsidRDefault="00C82C27" w:rsidP="00C82C27">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72DB50C9" w14:textId="77777777" w:rsidR="00C82C27" w:rsidRPr="002D30F9" w:rsidRDefault="00C82C27" w:rsidP="00C82C27">
            <w:pPr>
              <w:spacing w:line="360" w:lineRule="exact"/>
              <w:ind w:leftChars="-55" w:left="242" w:hangingChars="156" w:hanging="374"/>
              <w:jc w:val="both"/>
              <w:rPr>
                <w:rFonts w:ascii="標楷體" w:eastAsia="標楷體" w:hAnsi="標楷體"/>
                <w:bCs/>
                <w:color w:val="000000" w:themeColor="text1"/>
                <w:spacing w:val="-20"/>
                <w:sz w:val="28"/>
                <w:szCs w:val="28"/>
              </w:rPr>
            </w:pPr>
            <w:r w:rsidRPr="002D30F9">
              <w:rPr>
                <w:rFonts w:ascii="標楷體" w:eastAsia="標楷體" w:hAnsi="標楷體" w:hint="eastAsia"/>
                <w:bCs/>
                <w:color w:val="000000" w:themeColor="text1"/>
                <w:spacing w:val="-20"/>
                <w:sz w:val="28"/>
                <w:szCs w:val="28"/>
              </w:rPr>
              <w:t>［五］同意權行使案</w:t>
            </w:r>
          </w:p>
        </w:tc>
        <w:tc>
          <w:tcPr>
            <w:tcW w:w="1984" w:type="dxa"/>
            <w:tcBorders>
              <w:left w:val="single" w:sz="12" w:space="0" w:color="auto"/>
              <w:right w:val="dashed" w:sz="4" w:space="0" w:color="auto"/>
            </w:tcBorders>
            <w:shd w:val="clear" w:color="auto" w:fill="FFFFFF"/>
            <w:vAlign w:val="center"/>
          </w:tcPr>
          <w:p w14:paraId="62B72AF3"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27F796E7"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c>
          <w:tcPr>
            <w:tcW w:w="1984" w:type="dxa"/>
            <w:tcBorders>
              <w:left w:val="single" w:sz="12" w:space="0" w:color="auto"/>
              <w:right w:val="single" w:sz="12" w:space="0" w:color="auto"/>
            </w:tcBorders>
            <w:shd w:val="clear" w:color="auto" w:fill="FFFFFF"/>
            <w:vAlign w:val="center"/>
          </w:tcPr>
          <w:p w14:paraId="6064E19A"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r>
      <w:tr w:rsidR="00C82C27" w:rsidRPr="001367E6" w14:paraId="7D968000" w14:textId="77777777" w:rsidTr="00C82C27">
        <w:trPr>
          <w:trHeight w:val="737"/>
        </w:trPr>
        <w:tc>
          <w:tcPr>
            <w:tcW w:w="534" w:type="dxa"/>
            <w:vMerge/>
            <w:tcBorders>
              <w:left w:val="single" w:sz="12" w:space="0" w:color="auto"/>
              <w:bottom w:val="single" w:sz="18" w:space="0" w:color="auto"/>
              <w:right w:val="single" w:sz="4" w:space="0" w:color="auto"/>
            </w:tcBorders>
            <w:shd w:val="clear" w:color="auto" w:fill="FFFFFF"/>
          </w:tcPr>
          <w:p w14:paraId="544A779B" w14:textId="77777777" w:rsidR="00C82C27" w:rsidRPr="001367E6" w:rsidRDefault="00C82C27" w:rsidP="00C82C27">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47DB51D8" w14:textId="77777777" w:rsidR="00C82C27" w:rsidRPr="002D30F9" w:rsidRDefault="00C82C27" w:rsidP="00C82C27">
            <w:pPr>
              <w:spacing w:line="360" w:lineRule="exact"/>
              <w:ind w:leftChars="-55" w:left="242" w:hangingChars="156" w:hanging="374"/>
              <w:jc w:val="both"/>
              <w:rPr>
                <w:rFonts w:ascii="標楷體" w:eastAsia="標楷體" w:hAnsi="標楷體"/>
                <w:bCs/>
                <w:color w:val="000000" w:themeColor="text1"/>
                <w:spacing w:val="-20"/>
                <w:sz w:val="28"/>
                <w:szCs w:val="28"/>
              </w:rPr>
            </w:pPr>
            <w:r w:rsidRPr="002D30F9">
              <w:rPr>
                <w:rFonts w:ascii="標楷體" w:eastAsia="標楷體" w:hAnsi="標楷體" w:hint="eastAsia"/>
                <w:bCs/>
                <w:color w:val="000000" w:themeColor="text1"/>
                <w:spacing w:val="-20"/>
                <w:sz w:val="28"/>
                <w:szCs w:val="28"/>
              </w:rPr>
              <w:t>［六］立法院內規</w:t>
            </w:r>
          </w:p>
        </w:tc>
        <w:tc>
          <w:tcPr>
            <w:tcW w:w="1984" w:type="dxa"/>
            <w:tcBorders>
              <w:left w:val="single" w:sz="12" w:space="0" w:color="auto"/>
              <w:bottom w:val="single" w:sz="2" w:space="0" w:color="auto"/>
              <w:right w:val="dashed" w:sz="4" w:space="0" w:color="auto"/>
            </w:tcBorders>
            <w:shd w:val="clear" w:color="auto" w:fill="FFFFFF"/>
            <w:vAlign w:val="center"/>
          </w:tcPr>
          <w:p w14:paraId="43DFB1D2" w14:textId="77777777" w:rsidR="00C82C27" w:rsidRPr="002D30F9" w:rsidRDefault="00C82C27" w:rsidP="00C82C27">
            <w:pPr>
              <w:jc w:val="center"/>
              <w:rPr>
                <w:rFonts w:ascii="標楷體" w:eastAsia="標楷體" w:hAnsi="標楷體"/>
                <w:color w:val="000000" w:themeColor="text1"/>
                <w:spacing w:val="-20"/>
              </w:rPr>
            </w:pPr>
            <w:r w:rsidRPr="002D30F9">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77B5A3C5" w14:textId="77777777" w:rsidR="00C82C27" w:rsidRPr="002D30F9" w:rsidRDefault="00C82C27" w:rsidP="00C82C27">
            <w:pPr>
              <w:jc w:val="center"/>
              <w:rPr>
                <w:rFonts w:ascii="標楷體" w:eastAsia="標楷體" w:hAnsi="標楷體"/>
                <w:color w:val="000000" w:themeColor="text1"/>
                <w:spacing w:val="-20"/>
              </w:rPr>
            </w:pPr>
            <w:r w:rsidRPr="002D30F9">
              <w:rPr>
                <w:rFonts w:ascii="標楷體" w:eastAsia="標楷體" w:hAnsi="標楷體"/>
                <w:color w:val="000000" w:themeColor="text1"/>
                <w:spacing w:val="-20"/>
              </w:rPr>
              <w:t>0</w:t>
            </w:r>
          </w:p>
        </w:tc>
        <w:tc>
          <w:tcPr>
            <w:tcW w:w="1984" w:type="dxa"/>
            <w:tcBorders>
              <w:left w:val="single" w:sz="12" w:space="0" w:color="auto"/>
              <w:bottom w:val="single" w:sz="2" w:space="0" w:color="auto"/>
              <w:right w:val="single" w:sz="12" w:space="0" w:color="auto"/>
            </w:tcBorders>
            <w:shd w:val="clear" w:color="auto" w:fill="FFFFFF"/>
            <w:vAlign w:val="center"/>
          </w:tcPr>
          <w:p w14:paraId="0E58BEA5"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r>
      <w:tr w:rsidR="00C82C27" w:rsidRPr="001367E6" w14:paraId="3AC20662" w14:textId="77777777" w:rsidTr="00C82C27">
        <w:trPr>
          <w:trHeight w:val="737"/>
        </w:trPr>
        <w:tc>
          <w:tcPr>
            <w:tcW w:w="534" w:type="dxa"/>
            <w:vMerge/>
            <w:tcBorders>
              <w:left w:val="single" w:sz="12" w:space="0" w:color="auto"/>
              <w:bottom w:val="single" w:sz="18" w:space="0" w:color="auto"/>
              <w:right w:val="single" w:sz="4" w:space="0" w:color="auto"/>
            </w:tcBorders>
            <w:shd w:val="clear" w:color="auto" w:fill="FFFFFF"/>
          </w:tcPr>
          <w:p w14:paraId="11B98BD2" w14:textId="77777777" w:rsidR="00C82C27" w:rsidRPr="001367E6" w:rsidRDefault="00C82C27" w:rsidP="00C82C27">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14:paraId="1635A8AB" w14:textId="77777777" w:rsidR="00C82C27" w:rsidRPr="002D30F9" w:rsidRDefault="00C82C27" w:rsidP="00C82C27">
            <w:pPr>
              <w:spacing w:line="360" w:lineRule="exact"/>
              <w:ind w:leftChars="-55" w:left="242" w:hangingChars="156" w:hanging="374"/>
              <w:jc w:val="both"/>
              <w:rPr>
                <w:rFonts w:ascii="標楷體" w:eastAsia="標楷體" w:hAnsi="標楷體"/>
                <w:bCs/>
                <w:color w:val="000000" w:themeColor="text1"/>
                <w:spacing w:val="-20"/>
                <w:sz w:val="28"/>
                <w:szCs w:val="28"/>
              </w:rPr>
            </w:pPr>
            <w:r w:rsidRPr="002D30F9">
              <w:rPr>
                <w:rFonts w:ascii="標楷體" w:eastAsia="標楷體" w:hAnsi="標楷體" w:hint="eastAsia"/>
                <w:bCs/>
                <w:color w:val="000000" w:themeColor="text1"/>
                <w:spacing w:val="-20"/>
                <w:sz w:val="28"/>
                <w:szCs w:val="28"/>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14:paraId="23947680" w14:textId="77777777" w:rsidR="00C82C27" w:rsidRPr="002D30F9" w:rsidRDefault="00C82C27" w:rsidP="00C82C27">
            <w:pPr>
              <w:jc w:val="center"/>
              <w:rPr>
                <w:rFonts w:ascii="標楷體" w:eastAsia="標楷體" w:hAnsi="標楷體"/>
                <w:color w:val="000000" w:themeColor="text1"/>
                <w:spacing w:val="-20"/>
              </w:rPr>
            </w:pPr>
            <w:r w:rsidRPr="002D30F9">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1192BFD4" w14:textId="77777777" w:rsidR="00C82C27" w:rsidRPr="002D30F9" w:rsidRDefault="00C82C27" w:rsidP="00C82C27">
            <w:pPr>
              <w:jc w:val="center"/>
              <w:rPr>
                <w:rFonts w:ascii="標楷體" w:eastAsia="標楷體" w:hAnsi="標楷體"/>
                <w:color w:val="000000" w:themeColor="text1"/>
                <w:spacing w:val="-20"/>
              </w:rPr>
            </w:pPr>
            <w:r w:rsidRPr="002D30F9">
              <w:rPr>
                <w:rFonts w:ascii="標楷體" w:eastAsia="標楷體" w:hAnsi="標楷體" w:hint="eastAsia"/>
                <w:color w:val="000000" w:themeColor="text1"/>
                <w:spacing w:val="-20"/>
              </w:rPr>
              <w:t>0</w:t>
            </w:r>
          </w:p>
        </w:tc>
        <w:tc>
          <w:tcPr>
            <w:tcW w:w="1984" w:type="dxa"/>
            <w:tcBorders>
              <w:left w:val="single" w:sz="12" w:space="0" w:color="auto"/>
              <w:bottom w:val="single" w:sz="2" w:space="0" w:color="auto"/>
              <w:right w:val="single" w:sz="12" w:space="0" w:color="auto"/>
            </w:tcBorders>
            <w:shd w:val="clear" w:color="auto" w:fill="FFFFFF"/>
            <w:vAlign w:val="center"/>
          </w:tcPr>
          <w:p w14:paraId="45D5EBC0"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r>
      <w:tr w:rsidR="00C82C27" w:rsidRPr="001367E6" w14:paraId="2080A50F" w14:textId="77777777" w:rsidTr="00C82C27">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14:paraId="407BAB14" w14:textId="77777777" w:rsidR="00C82C27" w:rsidRPr="002D30F9" w:rsidRDefault="00C82C27" w:rsidP="00C82C27">
            <w:pPr>
              <w:spacing w:line="300" w:lineRule="exact"/>
              <w:ind w:left="-132"/>
              <w:jc w:val="center"/>
              <w:rPr>
                <w:rFonts w:ascii="標楷體" w:eastAsia="標楷體" w:hAnsi="標楷體"/>
                <w:b/>
                <w:color w:val="000000" w:themeColor="text1"/>
                <w:spacing w:val="-20"/>
                <w:sz w:val="28"/>
                <w:szCs w:val="28"/>
              </w:rPr>
            </w:pPr>
            <w:r w:rsidRPr="002D30F9">
              <w:rPr>
                <w:rFonts w:ascii="標楷體" w:eastAsia="標楷體" w:hAnsi="標楷體" w:hint="eastAsia"/>
                <w:b/>
                <w:color w:val="000000" w:themeColor="text1"/>
                <w:spacing w:val="-20"/>
                <w:sz w:val="28"/>
                <w:szCs w:val="28"/>
              </w:rPr>
              <w:t>［一］ 至 ［七］</w:t>
            </w:r>
          </w:p>
          <w:p w14:paraId="635EF10F" w14:textId="77777777" w:rsidR="00C82C27" w:rsidRPr="002D30F9" w:rsidRDefault="00C82C27" w:rsidP="00C82C27">
            <w:pPr>
              <w:tabs>
                <w:tab w:val="left" w:pos="513"/>
              </w:tabs>
              <w:spacing w:line="300" w:lineRule="exact"/>
              <w:jc w:val="center"/>
              <w:rPr>
                <w:rFonts w:ascii="標楷體" w:eastAsia="標楷體" w:hAnsi="標楷體"/>
                <w:b/>
                <w:color w:val="000000" w:themeColor="text1"/>
                <w:spacing w:val="-20"/>
                <w:sz w:val="28"/>
                <w:szCs w:val="28"/>
              </w:rPr>
            </w:pPr>
            <w:r w:rsidRPr="002D30F9">
              <w:rPr>
                <w:rFonts w:ascii="標楷體" w:eastAsia="標楷體" w:hAnsi="標楷體" w:hint="eastAsia"/>
                <w:b/>
                <w:color w:val="000000" w:themeColor="text1"/>
                <w:spacing w:val="-20"/>
                <w:sz w:val="28"/>
                <w:szCs w:val="28"/>
              </w:rPr>
              <w:t>小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14:paraId="4C52C1A3" w14:textId="3E65275F" w:rsidR="00C82C27" w:rsidRPr="002D30F9" w:rsidRDefault="00C82C27" w:rsidP="00C82C27">
            <w:pPr>
              <w:jc w:val="center"/>
              <w:rPr>
                <w:rFonts w:ascii="標楷體" w:eastAsia="標楷體" w:hAnsi="標楷體" w:cs="新細明體"/>
                <w:b/>
                <w:color w:val="000000" w:themeColor="text1"/>
                <w:spacing w:val="-20"/>
              </w:rPr>
            </w:pPr>
            <w:r w:rsidRPr="002D30F9">
              <w:rPr>
                <w:rFonts w:ascii="標楷體" w:eastAsia="標楷體" w:hAnsi="標楷體" w:cs="新細明體"/>
                <w:b/>
                <w:color w:val="000000" w:themeColor="text1"/>
                <w:spacing w:val="-20"/>
              </w:rPr>
              <w:t>1</w:t>
            </w:r>
            <w:r w:rsidR="00194F9F">
              <w:rPr>
                <w:rFonts w:ascii="標楷體" w:eastAsia="標楷體" w:hAnsi="標楷體" w:cs="新細明體"/>
                <w:b/>
                <w:color w:val="000000" w:themeColor="text1"/>
                <w:spacing w:val="-20"/>
              </w:rPr>
              <w:t>45</w:t>
            </w:r>
            <w:r w:rsidRPr="002D30F9">
              <w:rPr>
                <w:rFonts w:ascii="標楷體" w:eastAsia="標楷體" w:hAnsi="標楷體" w:cs="新細明體"/>
                <w:b/>
                <w:color w:val="000000" w:themeColor="text1"/>
                <w:spacing w:val="-20"/>
              </w:rPr>
              <w:t>(4)</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14:paraId="1DDB675A" w14:textId="77777777" w:rsidR="00C82C27" w:rsidRPr="002D30F9" w:rsidRDefault="00C82C27" w:rsidP="00C82C27">
            <w:pPr>
              <w:jc w:val="center"/>
              <w:rPr>
                <w:rFonts w:ascii="標楷體" w:eastAsia="標楷體" w:hAnsi="標楷體" w:cs="新細明體"/>
                <w:b/>
                <w:color w:val="000000" w:themeColor="text1"/>
                <w:spacing w:val="-20"/>
              </w:rPr>
            </w:pPr>
            <w:r w:rsidRPr="002D30F9">
              <w:rPr>
                <w:rFonts w:ascii="標楷體" w:eastAsia="標楷體" w:hAnsi="標楷體" w:cs="新細明體" w:hint="eastAsia"/>
                <w:b/>
                <w:color w:val="000000" w:themeColor="text1"/>
                <w:spacing w:val="-20"/>
              </w:rPr>
              <w:t>18</w:t>
            </w:r>
          </w:p>
        </w:tc>
        <w:tc>
          <w:tcPr>
            <w:tcW w:w="1984"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14:paraId="0518B912" w14:textId="388D6B92" w:rsidR="00C82C27" w:rsidRPr="002D30F9" w:rsidRDefault="00BB06B2" w:rsidP="00C82C27">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163</w:t>
            </w:r>
            <w:r w:rsidR="00C82C27" w:rsidRPr="002D30F9">
              <w:rPr>
                <w:rFonts w:ascii="標楷體" w:eastAsia="標楷體" w:hAnsi="標楷體" w:cs="新細明體" w:hint="eastAsia"/>
                <w:b/>
                <w:color w:val="000000" w:themeColor="text1"/>
                <w:spacing w:val="-20"/>
              </w:rPr>
              <w:t>（4</w:t>
            </w:r>
            <w:r w:rsidR="00C82C27" w:rsidRPr="002D30F9">
              <w:rPr>
                <w:rFonts w:ascii="標楷體" w:eastAsia="標楷體" w:hAnsi="標楷體" w:cs="新細明體"/>
                <w:b/>
                <w:color w:val="000000" w:themeColor="text1"/>
                <w:spacing w:val="-20"/>
              </w:rPr>
              <w:t>)</w:t>
            </w:r>
          </w:p>
        </w:tc>
      </w:tr>
      <w:tr w:rsidR="00C82C27" w:rsidRPr="001367E6" w14:paraId="2FF3E578" w14:textId="77777777" w:rsidTr="00C82C27">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0248E8CD" w14:textId="77777777" w:rsidR="00C82C27" w:rsidRPr="002D30F9" w:rsidRDefault="00C82C27" w:rsidP="00C82C27">
            <w:pPr>
              <w:spacing w:line="360" w:lineRule="exact"/>
              <w:ind w:leftChars="100" w:left="240" w:firstLineChars="18" w:firstLine="43"/>
              <w:jc w:val="both"/>
              <w:rPr>
                <w:rFonts w:ascii="標楷體" w:eastAsia="標楷體" w:hAnsi="標楷體"/>
                <w:bCs/>
                <w:color w:val="000000" w:themeColor="text1"/>
                <w:spacing w:val="-20"/>
                <w:sz w:val="28"/>
                <w:szCs w:val="28"/>
              </w:rPr>
            </w:pPr>
            <w:r w:rsidRPr="002D30F9">
              <w:rPr>
                <w:rFonts w:ascii="標楷體" w:eastAsia="標楷體" w:hAnsi="標楷體" w:hint="eastAsia"/>
                <w:bCs/>
                <w:color w:val="000000" w:themeColor="text1"/>
                <w:spacing w:val="-20"/>
                <w:sz w:val="28"/>
                <w:szCs w:val="28"/>
              </w:rPr>
              <w:t>［八］人民請願案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4217A45D"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color w:val="000000" w:themeColor="text1"/>
                <w:spacing w:val="-20"/>
              </w:rPr>
              <w:t>0</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20095DDB"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hint="eastAsia"/>
                <w:color w:val="000000" w:themeColor="text1"/>
                <w:spacing w:val="-20"/>
              </w:rPr>
              <w:t>0</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22624B6A" w14:textId="77777777" w:rsidR="00C82C27" w:rsidRPr="002D30F9" w:rsidRDefault="00C82C27" w:rsidP="00C82C27">
            <w:pPr>
              <w:jc w:val="center"/>
              <w:rPr>
                <w:rFonts w:ascii="標楷體" w:eastAsia="標楷體" w:hAnsi="標楷體" w:cs="新細明體"/>
                <w:color w:val="000000" w:themeColor="text1"/>
                <w:spacing w:val="-20"/>
              </w:rPr>
            </w:pPr>
            <w:r w:rsidRPr="002D30F9">
              <w:rPr>
                <w:rFonts w:ascii="標楷體" w:eastAsia="標楷體" w:hAnsi="標楷體" w:cs="新細明體"/>
                <w:color w:val="000000" w:themeColor="text1"/>
                <w:spacing w:val="-20"/>
              </w:rPr>
              <w:t>0</w:t>
            </w:r>
          </w:p>
        </w:tc>
      </w:tr>
      <w:tr w:rsidR="00C82C27" w:rsidRPr="001367E6" w14:paraId="347396B5" w14:textId="77777777" w:rsidTr="00C82C27">
        <w:trPr>
          <w:trHeight w:val="660"/>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3AB6FCC5" w14:textId="77777777" w:rsidR="00C82C27" w:rsidRPr="002D30F9" w:rsidRDefault="00C82C27" w:rsidP="00C82C27">
            <w:pPr>
              <w:spacing w:line="300" w:lineRule="exact"/>
              <w:ind w:leftChars="-55" w:left="243" w:hangingChars="156" w:hanging="375"/>
              <w:jc w:val="center"/>
              <w:rPr>
                <w:rFonts w:ascii="標楷體" w:eastAsia="標楷體" w:hAnsi="標楷體"/>
                <w:b/>
                <w:color w:val="000000" w:themeColor="text1"/>
                <w:spacing w:val="-20"/>
                <w:sz w:val="28"/>
                <w:szCs w:val="28"/>
              </w:rPr>
            </w:pPr>
            <w:r w:rsidRPr="002D30F9">
              <w:rPr>
                <w:rFonts w:ascii="標楷體" w:eastAsia="標楷體" w:hAnsi="標楷體" w:hint="eastAsia"/>
                <w:b/>
                <w:color w:val="000000" w:themeColor="text1"/>
                <w:spacing w:val="-20"/>
                <w:sz w:val="28"/>
                <w:szCs w:val="28"/>
              </w:rPr>
              <w:t>［一］ 至 ［八］</w:t>
            </w:r>
          </w:p>
          <w:p w14:paraId="190BD2AF" w14:textId="77777777" w:rsidR="00C82C27" w:rsidRPr="002D30F9" w:rsidRDefault="00C82C27" w:rsidP="00C82C27">
            <w:pPr>
              <w:spacing w:line="300" w:lineRule="exact"/>
              <w:ind w:leftChars="-55" w:left="243" w:hangingChars="156" w:hanging="375"/>
              <w:jc w:val="center"/>
              <w:rPr>
                <w:rFonts w:ascii="標楷體" w:eastAsia="標楷體" w:hAnsi="標楷體"/>
                <w:b/>
                <w:color w:val="000000" w:themeColor="text1"/>
                <w:sz w:val="28"/>
                <w:szCs w:val="28"/>
              </w:rPr>
            </w:pPr>
            <w:r w:rsidRPr="002D30F9">
              <w:rPr>
                <w:rFonts w:ascii="標楷體" w:eastAsia="標楷體" w:hAnsi="標楷體" w:hint="eastAsia"/>
                <w:b/>
                <w:color w:val="000000" w:themeColor="text1"/>
                <w:spacing w:val="-20"/>
                <w:sz w:val="28"/>
                <w:szCs w:val="28"/>
              </w:rPr>
              <w:t xml:space="preserve"> 總       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759E3121" w14:textId="50435767" w:rsidR="00C82C27" w:rsidRPr="002D30F9" w:rsidRDefault="00C82C27" w:rsidP="00CA724F">
            <w:pPr>
              <w:jc w:val="center"/>
              <w:rPr>
                <w:rFonts w:ascii="標楷體" w:eastAsia="標楷體" w:hAnsi="標楷體" w:cs="新細明體"/>
                <w:b/>
                <w:color w:val="000000" w:themeColor="text1"/>
                <w:spacing w:val="-20"/>
              </w:rPr>
            </w:pPr>
            <w:r w:rsidRPr="002D30F9">
              <w:rPr>
                <w:rFonts w:ascii="標楷體" w:eastAsia="標楷體" w:hAnsi="標楷體" w:cs="新細明體"/>
                <w:b/>
                <w:color w:val="000000" w:themeColor="text1"/>
                <w:spacing w:val="-20"/>
              </w:rPr>
              <w:t>1</w:t>
            </w:r>
            <w:r w:rsidR="00CA724F">
              <w:rPr>
                <w:rFonts w:ascii="標楷體" w:eastAsia="標楷體" w:hAnsi="標楷體" w:cs="新細明體"/>
                <w:b/>
                <w:color w:val="000000" w:themeColor="text1"/>
                <w:spacing w:val="-20"/>
              </w:rPr>
              <w:t>45</w:t>
            </w:r>
            <w:r w:rsidRPr="002D30F9">
              <w:rPr>
                <w:rFonts w:ascii="標楷體" w:eastAsia="標楷體" w:hAnsi="標楷體" w:cs="新細明體"/>
                <w:b/>
                <w:color w:val="000000" w:themeColor="text1"/>
                <w:spacing w:val="-20"/>
              </w:rPr>
              <w:t>(4)</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50CFA99C" w14:textId="77777777" w:rsidR="00C82C27" w:rsidRPr="002D30F9" w:rsidRDefault="00C82C27" w:rsidP="00C82C27">
            <w:pPr>
              <w:jc w:val="center"/>
              <w:rPr>
                <w:rFonts w:ascii="標楷體" w:eastAsia="標楷體" w:hAnsi="標楷體" w:cs="新細明體"/>
                <w:b/>
                <w:color w:val="000000" w:themeColor="text1"/>
                <w:spacing w:val="-20"/>
              </w:rPr>
            </w:pPr>
            <w:r w:rsidRPr="002D30F9">
              <w:rPr>
                <w:rFonts w:ascii="標楷體" w:eastAsia="標楷體" w:hAnsi="標楷體" w:cs="新細明體" w:hint="eastAsia"/>
                <w:b/>
                <w:color w:val="000000" w:themeColor="text1"/>
                <w:spacing w:val="-20"/>
              </w:rPr>
              <w:t>18</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49AAB1CB" w14:textId="18387868" w:rsidR="00C82C27" w:rsidRPr="002D30F9" w:rsidRDefault="00CA724F" w:rsidP="00CA724F">
            <w:pPr>
              <w:jc w:val="center"/>
              <w:rPr>
                <w:rFonts w:ascii="標楷體" w:eastAsia="標楷體" w:hAnsi="標楷體" w:cs="新細明體"/>
                <w:b/>
                <w:color w:val="000000" w:themeColor="text1"/>
                <w:spacing w:val="-20"/>
              </w:rPr>
            </w:pPr>
            <w:r>
              <w:rPr>
                <w:rFonts w:ascii="標楷體" w:eastAsia="標楷體" w:hAnsi="標楷體" w:cs="新細明體"/>
                <w:b/>
                <w:color w:val="000000" w:themeColor="text1"/>
                <w:spacing w:val="-20"/>
              </w:rPr>
              <w:t>163</w:t>
            </w:r>
            <w:r w:rsidR="00C82C27" w:rsidRPr="002D30F9">
              <w:rPr>
                <w:rFonts w:ascii="標楷體" w:eastAsia="標楷體" w:hAnsi="標楷體" w:cs="新細明體"/>
                <w:b/>
                <w:color w:val="000000" w:themeColor="text1"/>
                <w:spacing w:val="-20"/>
              </w:rPr>
              <w:t>(4)</w:t>
            </w:r>
          </w:p>
        </w:tc>
      </w:tr>
      <w:tr w:rsidR="00C82C27" w:rsidRPr="001367E6" w14:paraId="35FB83AF" w14:textId="77777777" w:rsidTr="00C82C27">
        <w:trPr>
          <w:trHeight w:val="660"/>
        </w:trPr>
        <w:tc>
          <w:tcPr>
            <w:tcW w:w="8755" w:type="dxa"/>
            <w:gridSpan w:val="5"/>
            <w:tcBorders>
              <w:top w:val="thinThickSmallGap" w:sz="12" w:space="0" w:color="auto"/>
              <w:left w:val="nil"/>
              <w:bottom w:val="nil"/>
              <w:right w:val="nil"/>
            </w:tcBorders>
            <w:shd w:val="clear" w:color="auto" w:fill="FFFFFF"/>
            <w:vAlign w:val="center"/>
          </w:tcPr>
          <w:p w14:paraId="51696F0D" w14:textId="77777777" w:rsidR="00C82C27" w:rsidRPr="001367E6" w:rsidRDefault="00C82C27" w:rsidP="00C82C27">
            <w:pPr>
              <w:spacing w:beforeLines="50" w:before="180" w:line="300" w:lineRule="exact"/>
              <w:rPr>
                <w:rFonts w:ascii="標楷體" w:eastAsia="標楷體" w:hAnsi="標楷體" w:cs="Mangal"/>
                <w:color w:val="000000" w:themeColor="text1"/>
                <w:sz w:val="28"/>
                <w:szCs w:val="28"/>
              </w:rPr>
            </w:pPr>
            <w:r w:rsidRPr="001367E6">
              <w:rPr>
                <w:rFonts w:ascii="標楷體" w:eastAsia="標楷體" w:hAnsi="標楷體" w:cs="Mangal" w:hint="eastAsia"/>
                <w:color w:val="000000" w:themeColor="text1"/>
                <w:sz w:val="28"/>
                <w:szCs w:val="28"/>
              </w:rPr>
              <w:t>註：括弧（）內數字為逕付二讀案件數。</w:t>
            </w:r>
          </w:p>
          <w:p w14:paraId="54D622A2" w14:textId="77777777" w:rsidR="00C82C27" w:rsidRPr="001367E6" w:rsidRDefault="00C82C27" w:rsidP="00C82C27">
            <w:pPr>
              <w:jc w:val="center"/>
              <w:rPr>
                <w:rFonts w:ascii="標楷體" w:eastAsia="標楷體" w:hAnsi="標楷體" w:cs="新細明體"/>
                <w:b/>
                <w:color w:val="000000" w:themeColor="text1"/>
                <w:spacing w:val="-20"/>
              </w:rPr>
            </w:pPr>
          </w:p>
        </w:tc>
      </w:tr>
    </w:tbl>
    <w:p w14:paraId="0CF79A75" w14:textId="77777777" w:rsidR="00C82C27" w:rsidRPr="001367E6" w:rsidRDefault="00C82C27" w:rsidP="00C82C27">
      <w:pPr>
        <w:keepNext/>
        <w:numPr>
          <w:ilvl w:val="0"/>
          <w:numId w:val="12"/>
        </w:numPr>
        <w:snapToGrid w:val="0"/>
        <w:spacing w:beforeLines="50" w:before="180" w:afterLines="50" w:after="180" w:line="460" w:lineRule="exact"/>
        <w:jc w:val="both"/>
        <w:outlineLvl w:val="1"/>
        <w:rPr>
          <w:rFonts w:ascii="標楷體" w:eastAsia="標楷體" w:hAnsi="標楷體"/>
          <w:bCs/>
          <w:color w:val="000000" w:themeColor="text1"/>
          <w:sz w:val="28"/>
          <w:szCs w:val="28"/>
        </w:rPr>
      </w:pPr>
      <w:r w:rsidRPr="001367E6">
        <w:rPr>
          <w:rFonts w:ascii="標楷體" w:eastAsia="標楷體" w:hAnsi="標楷體"/>
          <w:b/>
          <w:bCs/>
          <w:color w:val="000000" w:themeColor="text1"/>
          <w:sz w:val="28"/>
          <w:szCs w:val="28"/>
        </w:rPr>
        <w:br w:type="page"/>
      </w:r>
      <w:bookmarkStart w:id="62" w:name="_Toc42531681"/>
      <w:bookmarkStart w:id="63" w:name="_Toc96350484"/>
      <w:r w:rsidRPr="001367E6">
        <w:rPr>
          <w:rFonts w:ascii="標楷體" w:eastAsia="標楷體" w:hAnsi="標楷體" w:hint="eastAsia"/>
          <w:b/>
          <w:bCs/>
          <w:color w:val="000000" w:themeColor="text1"/>
          <w:sz w:val="28"/>
          <w:szCs w:val="28"/>
        </w:rPr>
        <w:lastRenderedPageBreak/>
        <w:t>各會期院會通過各項議案統計表</w:t>
      </w:r>
      <w:bookmarkEnd w:id="62"/>
      <w:bookmarkEnd w:id="63"/>
    </w:p>
    <w:p w14:paraId="11ED31BB" w14:textId="77777777" w:rsidR="00C82C27" w:rsidRPr="001367E6" w:rsidRDefault="00C82C27" w:rsidP="00C82C27">
      <w:pPr>
        <w:jc w:val="center"/>
        <w:rPr>
          <w:rFonts w:ascii="標楷體" w:eastAsia="標楷體" w:hAnsi="標楷體"/>
          <w:b/>
          <w:color w:val="000000" w:themeColor="text1"/>
          <w:sz w:val="28"/>
          <w:szCs w:val="28"/>
        </w:rPr>
      </w:pPr>
      <w:bookmarkStart w:id="64" w:name="_Toc42531682"/>
      <w:r w:rsidRPr="001367E6">
        <w:rPr>
          <w:rFonts w:ascii="標楷體" w:eastAsia="標楷體" w:hAnsi="標楷體"/>
          <w:b/>
          <w:color w:val="000000" w:themeColor="text1"/>
          <w:sz w:val="28"/>
          <w:szCs w:val="28"/>
        </w:rPr>
        <w:t>第</w:t>
      </w:r>
      <w:r w:rsidRPr="001367E6">
        <w:rPr>
          <w:rFonts w:ascii="標楷體" w:eastAsia="標楷體" w:hAnsi="標楷體" w:hint="eastAsia"/>
          <w:b/>
          <w:color w:val="000000" w:themeColor="text1"/>
          <w:sz w:val="28"/>
          <w:szCs w:val="28"/>
        </w:rPr>
        <w:t>10</w:t>
      </w:r>
      <w:r w:rsidRPr="001367E6">
        <w:rPr>
          <w:rFonts w:ascii="標楷體" w:eastAsia="標楷體" w:hAnsi="標楷體"/>
          <w:b/>
          <w:color w:val="000000" w:themeColor="text1"/>
          <w:sz w:val="28"/>
          <w:szCs w:val="28"/>
        </w:rPr>
        <w:t>屆司法及法制委員會</w:t>
      </w:r>
      <w:r w:rsidRPr="001367E6">
        <w:rPr>
          <w:rFonts w:ascii="標楷體" w:eastAsia="標楷體" w:hAnsi="標楷體" w:hint="eastAsia"/>
          <w:b/>
          <w:color w:val="000000" w:themeColor="text1"/>
          <w:sz w:val="28"/>
          <w:szCs w:val="28"/>
        </w:rPr>
        <w:t>各會期</w:t>
      </w:r>
      <w:r w:rsidRPr="001367E6">
        <w:rPr>
          <w:rFonts w:ascii="標楷體" w:eastAsia="標楷體" w:hAnsi="標楷體"/>
          <w:b/>
          <w:color w:val="000000" w:themeColor="text1"/>
          <w:sz w:val="28"/>
          <w:szCs w:val="28"/>
        </w:rPr>
        <w:t>案</w:t>
      </w:r>
      <w:r w:rsidRPr="001367E6">
        <w:rPr>
          <w:rFonts w:ascii="標楷體" w:eastAsia="標楷體" w:hAnsi="標楷體" w:hint="eastAsia"/>
          <w:b/>
          <w:color w:val="000000" w:themeColor="text1"/>
          <w:sz w:val="28"/>
          <w:szCs w:val="28"/>
        </w:rPr>
        <w:t>件統</w:t>
      </w:r>
      <w:r w:rsidRPr="001367E6">
        <w:rPr>
          <w:rFonts w:ascii="標楷體" w:eastAsia="標楷體" w:hAnsi="標楷體"/>
          <w:b/>
          <w:color w:val="000000" w:themeColor="text1"/>
          <w:sz w:val="28"/>
          <w:szCs w:val="28"/>
        </w:rPr>
        <w:t>計表</w:t>
      </w:r>
      <w:bookmarkEnd w:id="64"/>
    </w:p>
    <w:p w14:paraId="53998163" w14:textId="77777777" w:rsidR="00C82C27" w:rsidRPr="001367E6" w:rsidRDefault="00C82C27" w:rsidP="00C82C27">
      <w:pPr>
        <w:spacing w:afterLines="50" w:after="180"/>
        <w:ind w:leftChars="886" w:left="2126"/>
        <w:rPr>
          <w:rFonts w:ascii="標楷體" w:eastAsia="標楷體" w:hAnsi="標楷體"/>
          <w:color w:val="000000" w:themeColor="text1"/>
        </w:rPr>
      </w:pPr>
      <w:r w:rsidRPr="001367E6">
        <w:rPr>
          <w:rFonts w:ascii="標楷體" w:eastAsia="標楷體" w:hAnsi="標楷體"/>
          <w:color w:val="000000" w:themeColor="text1"/>
        </w:rPr>
        <w:t>（統計期間：第10屆</w:t>
      </w:r>
      <w:r w:rsidRPr="001367E6">
        <w:rPr>
          <w:rFonts w:ascii="標楷體" w:eastAsia="標楷體" w:hAnsi="標楷體" w:hint="eastAsia"/>
          <w:color w:val="000000" w:themeColor="text1"/>
        </w:rPr>
        <w:t>第1會期至</w:t>
      </w:r>
      <w:r w:rsidRPr="001367E6">
        <w:rPr>
          <w:rFonts w:ascii="標楷體" w:eastAsia="標楷體" w:hAnsi="標楷體"/>
          <w:color w:val="000000" w:themeColor="text1"/>
        </w:rPr>
        <w:t>第</w:t>
      </w:r>
      <w:r>
        <w:rPr>
          <w:rFonts w:ascii="標楷體" w:eastAsia="標楷體" w:hAnsi="標楷體" w:hint="eastAsia"/>
          <w:color w:val="000000" w:themeColor="text1"/>
        </w:rPr>
        <w:t>6</w:t>
      </w:r>
      <w:r w:rsidRPr="001367E6">
        <w:rPr>
          <w:rFonts w:ascii="標楷體" w:eastAsia="標楷體" w:hAnsi="標楷體"/>
          <w:color w:val="000000" w:themeColor="text1"/>
        </w:rPr>
        <w:t>會期）</w:t>
      </w:r>
    </w:p>
    <w:tbl>
      <w:tblPr>
        <w:tblW w:w="5318" w:type="pct"/>
        <w:tblInd w:w="-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
        <w:gridCol w:w="1613"/>
        <w:gridCol w:w="566"/>
        <w:gridCol w:w="579"/>
        <w:gridCol w:w="581"/>
        <w:gridCol w:w="557"/>
        <w:gridCol w:w="557"/>
        <w:gridCol w:w="568"/>
        <w:gridCol w:w="338"/>
        <w:gridCol w:w="354"/>
        <w:gridCol w:w="505"/>
        <w:gridCol w:w="835"/>
        <w:gridCol w:w="775"/>
        <w:gridCol w:w="994"/>
      </w:tblGrid>
      <w:tr w:rsidR="00C82C27" w:rsidRPr="001367E6" w14:paraId="0C76F712" w14:textId="77777777" w:rsidTr="00C82C27">
        <w:trPr>
          <w:trHeight w:val="806"/>
        </w:trPr>
        <w:tc>
          <w:tcPr>
            <w:tcW w:w="1115"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14:paraId="4305A47B" w14:textId="77777777" w:rsidR="00C82C27" w:rsidRPr="001367E6" w:rsidRDefault="00C82C27" w:rsidP="00C82C27">
            <w:pPr>
              <w:spacing w:line="360" w:lineRule="exact"/>
              <w:jc w:val="center"/>
              <w:rPr>
                <w:rFonts w:ascii="標楷體" w:eastAsia="標楷體" w:hAnsi="標楷體"/>
                <w:b/>
                <w:color w:val="000000" w:themeColor="text1"/>
              </w:rPr>
            </w:pPr>
            <w:r w:rsidRPr="001367E6">
              <w:rPr>
                <w:rFonts w:ascii="標楷體" w:eastAsia="標楷體" w:hAnsi="標楷體" w:hint="eastAsia"/>
                <w:b/>
                <w:color w:val="000000" w:themeColor="text1"/>
              </w:rPr>
              <w:t>類     別</w:t>
            </w:r>
          </w:p>
        </w:tc>
        <w:tc>
          <w:tcPr>
            <w:tcW w:w="2931" w:type="pct"/>
            <w:gridSpan w:val="10"/>
            <w:tcBorders>
              <w:top w:val="single" w:sz="18" w:space="0" w:color="auto"/>
              <w:left w:val="single" w:sz="18" w:space="0" w:color="auto"/>
              <w:right w:val="single" w:sz="12" w:space="0" w:color="auto"/>
            </w:tcBorders>
            <w:shd w:val="clear" w:color="auto" w:fill="FFFFFF"/>
            <w:vAlign w:val="center"/>
          </w:tcPr>
          <w:p w14:paraId="4A83E3A4" w14:textId="77777777" w:rsidR="00C82C27" w:rsidRPr="001367E6" w:rsidRDefault="00C82C27" w:rsidP="00C82C27">
            <w:pPr>
              <w:spacing w:line="340" w:lineRule="exact"/>
              <w:ind w:leftChars="-3" w:left="-2" w:hangingChars="2" w:hanging="5"/>
              <w:jc w:val="center"/>
              <w:rPr>
                <w:rFonts w:eastAsia="標楷體"/>
                <w:b/>
                <w:bCs/>
                <w:color w:val="000000" w:themeColor="text1"/>
              </w:rPr>
            </w:pPr>
            <w:r w:rsidRPr="001367E6">
              <w:rPr>
                <w:rFonts w:eastAsia="標楷體"/>
                <w:b/>
                <w:bCs/>
                <w:color w:val="000000" w:themeColor="text1"/>
              </w:rPr>
              <w:t>第</w:t>
            </w:r>
            <w:r w:rsidRPr="001367E6">
              <w:rPr>
                <w:rFonts w:eastAsia="標楷體"/>
                <w:b/>
                <w:bCs/>
                <w:color w:val="000000" w:themeColor="text1"/>
              </w:rPr>
              <w:t>10</w:t>
            </w:r>
            <w:r w:rsidRPr="001367E6">
              <w:rPr>
                <w:rFonts w:eastAsia="標楷體"/>
                <w:b/>
                <w:bCs/>
                <w:color w:val="000000" w:themeColor="text1"/>
              </w:rPr>
              <w:t>屆</w:t>
            </w:r>
            <w:r w:rsidRPr="001367E6">
              <w:rPr>
                <w:rFonts w:eastAsia="標楷體" w:hint="eastAsia"/>
                <w:b/>
                <w:bCs/>
                <w:color w:val="000000" w:themeColor="text1"/>
              </w:rPr>
              <w:t>本會審竣提報院會之</w:t>
            </w:r>
            <w:r w:rsidRPr="001367E6">
              <w:rPr>
                <w:rFonts w:eastAsia="標楷體"/>
                <w:b/>
                <w:bCs/>
                <w:color w:val="000000" w:themeColor="text1"/>
                <w:bdr w:val="single" w:sz="4" w:space="0" w:color="auto"/>
              </w:rPr>
              <w:t>已結案件</w:t>
            </w:r>
          </w:p>
        </w:tc>
        <w:tc>
          <w:tcPr>
            <w:tcW w:w="418" w:type="pct"/>
            <w:vMerge w:val="restart"/>
            <w:tcBorders>
              <w:top w:val="single" w:sz="18" w:space="0" w:color="auto"/>
              <w:left w:val="single" w:sz="12" w:space="0" w:color="auto"/>
              <w:right w:val="single" w:sz="18" w:space="0" w:color="auto"/>
            </w:tcBorders>
            <w:shd w:val="clear" w:color="auto" w:fill="FFFFFF"/>
          </w:tcPr>
          <w:p w14:paraId="40C0E611" w14:textId="77777777" w:rsidR="00C82C27" w:rsidRPr="001367E6" w:rsidRDefault="00C82C27" w:rsidP="00C82C27">
            <w:pPr>
              <w:spacing w:line="360" w:lineRule="exact"/>
              <w:ind w:leftChars="-74" w:left="52" w:rightChars="-75" w:right="-180" w:hangingChars="96" w:hanging="230"/>
              <w:jc w:val="center"/>
              <w:rPr>
                <w:rFonts w:ascii="標楷體" w:eastAsia="標楷體" w:hAnsi="標楷體"/>
                <w:b/>
                <w:color w:val="000000" w:themeColor="text1"/>
                <w:spacing w:val="-8"/>
              </w:rPr>
            </w:pPr>
            <w:r w:rsidRPr="001367E6">
              <w:rPr>
                <w:noProof/>
                <w:color w:val="000000" w:themeColor="text1"/>
              </w:rPr>
              <mc:AlternateContent>
                <mc:Choice Requires="wps">
                  <w:drawing>
                    <wp:anchor distT="45720" distB="45720" distL="0" distR="0" simplePos="0" relativeHeight="251659264" behindDoc="0" locked="0" layoutInCell="1" allowOverlap="1" wp14:anchorId="6FF5152E" wp14:editId="283A7AAD">
                      <wp:simplePos x="0" y="0"/>
                      <wp:positionH relativeFrom="column">
                        <wp:posOffset>19685</wp:posOffset>
                      </wp:positionH>
                      <wp:positionV relativeFrom="paragraph">
                        <wp:posOffset>65405</wp:posOffset>
                      </wp:positionV>
                      <wp:extent cx="410210" cy="388620"/>
                      <wp:effectExtent l="0" t="0" r="27940" b="1143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8620"/>
                              </a:xfrm>
                              <a:prstGeom prst="rect">
                                <a:avLst/>
                              </a:prstGeom>
                              <a:noFill/>
                              <a:ln w="9525">
                                <a:solidFill>
                                  <a:srgbClr val="000000"/>
                                </a:solidFill>
                                <a:miter lim="800000"/>
                                <a:headEnd/>
                                <a:tailEnd/>
                              </a:ln>
                            </wps:spPr>
                            <wps:txbx>
                              <w:txbxContent>
                                <w:p w14:paraId="0EAA53AA" w14:textId="77777777" w:rsidR="0075245C" w:rsidRPr="006938BB" w:rsidRDefault="0075245C" w:rsidP="00C82C2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3758677E" w14:textId="77777777" w:rsidR="0075245C" w:rsidRPr="006938BB" w:rsidRDefault="0075245C" w:rsidP="00C82C2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1.55pt;margin-top:5.15pt;width:32.3pt;height:30.6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" filled="f">
                      <v:textbox>
                        <w:txbxContent>
                          <w:p w14:paraId="0EAA53AA" w14:textId="77777777" w:rsidR="0075245C" w:rsidRPr="006938BB" w:rsidRDefault="0075245C" w:rsidP="00C82C2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3758677E" w14:textId="77777777" w:rsidR="0075245C" w:rsidRPr="006938BB" w:rsidRDefault="0075245C" w:rsidP="00C82C2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1367E6">
              <w:rPr>
                <w:rFonts w:ascii="標楷體" w:eastAsia="標楷體" w:hAnsi="標楷體"/>
                <w:b/>
                <w:color w:val="000000" w:themeColor="text1"/>
                <w:spacing w:val="-8"/>
              </w:rPr>
              <w:t>本</w:t>
            </w:r>
          </w:p>
          <w:p w14:paraId="4346EBB3" w14:textId="77777777" w:rsidR="00C82C27" w:rsidRPr="001367E6" w:rsidRDefault="00C82C27" w:rsidP="00C82C27">
            <w:pPr>
              <w:spacing w:line="320" w:lineRule="exact"/>
              <w:ind w:leftChars="-74" w:left="37" w:rightChars="-75" w:right="-180" w:hangingChars="96" w:hanging="215"/>
              <w:jc w:val="center"/>
              <w:rPr>
                <w:rFonts w:ascii="標楷體" w:eastAsia="標楷體" w:hAnsi="標楷體"/>
                <w:b/>
                <w:color w:val="000000" w:themeColor="text1"/>
                <w:spacing w:val="-8"/>
              </w:rPr>
            </w:pPr>
            <w:r w:rsidRPr="001367E6">
              <w:rPr>
                <w:rFonts w:ascii="標楷體" w:eastAsia="標楷體" w:hAnsi="標楷體"/>
                <w:b/>
                <w:color w:val="000000" w:themeColor="text1"/>
                <w:spacing w:val="-8"/>
              </w:rPr>
              <w:t>會</w:t>
            </w:r>
          </w:p>
          <w:p w14:paraId="12CCFD7C" w14:textId="77777777" w:rsidR="00C82C27" w:rsidRPr="001367E6" w:rsidRDefault="00C82C27" w:rsidP="00C82C27">
            <w:pPr>
              <w:spacing w:line="320" w:lineRule="exact"/>
              <w:ind w:leftChars="-74" w:left="37" w:rightChars="-75" w:right="-180" w:hangingChars="96" w:hanging="215"/>
              <w:jc w:val="center"/>
              <w:rPr>
                <w:rFonts w:ascii="標楷體" w:eastAsia="標楷體" w:hAnsi="標楷體"/>
                <w:b/>
                <w:color w:val="000000" w:themeColor="text1"/>
                <w:spacing w:val="-8"/>
              </w:rPr>
            </w:pPr>
            <w:r w:rsidRPr="001367E6">
              <w:rPr>
                <w:rFonts w:ascii="標楷體" w:eastAsia="標楷體" w:hAnsi="標楷體"/>
                <w:b/>
                <w:color w:val="000000" w:themeColor="text1"/>
                <w:spacing w:val="-8"/>
              </w:rPr>
              <w:t>待</w:t>
            </w:r>
          </w:p>
          <w:p w14:paraId="5D252E26" w14:textId="77777777" w:rsidR="00C82C27" w:rsidRPr="001367E6" w:rsidRDefault="00C82C27" w:rsidP="00C82C27">
            <w:pPr>
              <w:spacing w:line="320" w:lineRule="exact"/>
              <w:ind w:leftChars="-74" w:left="37" w:rightChars="-75" w:right="-180" w:hangingChars="96" w:hanging="215"/>
              <w:jc w:val="center"/>
              <w:rPr>
                <w:rFonts w:ascii="標楷體" w:eastAsia="標楷體" w:hAnsi="標楷體"/>
                <w:b/>
                <w:color w:val="000000" w:themeColor="text1"/>
                <w:spacing w:val="-8"/>
              </w:rPr>
            </w:pPr>
            <w:r w:rsidRPr="001367E6">
              <w:rPr>
                <w:rFonts w:ascii="標楷體" w:eastAsia="標楷體" w:hAnsi="標楷體"/>
                <w:b/>
                <w:color w:val="000000" w:themeColor="text1"/>
                <w:spacing w:val="-8"/>
              </w:rPr>
              <w:t>審</w:t>
            </w:r>
          </w:p>
          <w:p w14:paraId="7668592B" w14:textId="77777777" w:rsidR="00C82C27" w:rsidRPr="001367E6" w:rsidRDefault="00C82C27" w:rsidP="00C82C27">
            <w:pPr>
              <w:spacing w:line="320" w:lineRule="exact"/>
              <w:ind w:leftChars="-74" w:left="37" w:rightChars="-75" w:right="-180" w:hangingChars="96" w:hanging="215"/>
              <w:jc w:val="center"/>
              <w:rPr>
                <w:rFonts w:ascii="標楷體" w:eastAsia="標楷體" w:hAnsi="標楷體"/>
                <w:b/>
                <w:color w:val="000000" w:themeColor="text1"/>
                <w:spacing w:val="-8"/>
              </w:rPr>
            </w:pPr>
            <w:r w:rsidRPr="001367E6">
              <w:rPr>
                <w:rFonts w:ascii="標楷體" w:eastAsia="標楷體" w:hAnsi="標楷體" w:hint="eastAsia"/>
                <w:b/>
                <w:color w:val="000000" w:themeColor="text1"/>
                <w:spacing w:val="-8"/>
              </w:rPr>
              <w:t>查</w:t>
            </w:r>
          </w:p>
          <w:p w14:paraId="1C31C002" w14:textId="77777777" w:rsidR="00C82C27" w:rsidRPr="001367E6" w:rsidRDefault="00C82C27" w:rsidP="00C82C27">
            <w:pPr>
              <w:spacing w:line="320" w:lineRule="exact"/>
              <w:ind w:leftChars="-74" w:left="37" w:rightChars="-75" w:right="-180" w:hangingChars="96" w:hanging="215"/>
              <w:jc w:val="center"/>
              <w:rPr>
                <w:rFonts w:ascii="標楷體" w:eastAsia="標楷體" w:hAnsi="標楷體"/>
                <w:b/>
                <w:color w:val="000000" w:themeColor="text1"/>
                <w:spacing w:val="-8"/>
              </w:rPr>
            </w:pPr>
            <w:r w:rsidRPr="001367E6">
              <w:rPr>
                <w:rFonts w:ascii="標楷體" w:eastAsia="標楷體" w:hAnsi="標楷體" w:hint="eastAsia"/>
                <w:b/>
                <w:color w:val="000000" w:themeColor="text1"/>
                <w:spacing w:val="-8"/>
              </w:rPr>
              <w:t>案</w:t>
            </w:r>
          </w:p>
          <w:p w14:paraId="3B9FCA18" w14:textId="77777777" w:rsidR="00C82C27" w:rsidRPr="001367E6" w:rsidRDefault="00C82C27" w:rsidP="00C82C27">
            <w:pPr>
              <w:spacing w:line="320" w:lineRule="exact"/>
              <w:ind w:leftChars="-74" w:left="37" w:rightChars="-75" w:right="-180" w:hangingChars="96" w:hanging="215"/>
              <w:jc w:val="center"/>
              <w:rPr>
                <w:rFonts w:ascii="標楷體" w:eastAsia="標楷體" w:hAnsi="標楷體"/>
                <w:b/>
                <w:color w:val="000000" w:themeColor="text1"/>
                <w:spacing w:val="-8"/>
              </w:rPr>
            </w:pPr>
            <w:r w:rsidRPr="001367E6">
              <w:rPr>
                <w:rFonts w:ascii="標楷體" w:eastAsia="標楷體" w:hAnsi="標楷體" w:hint="eastAsia"/>
                <w:b/>
                <w:color w:val="000000" w:themeColor="text1"/>
                <w:spacing w:val="-8"/>
              </w:rPr>
              <w:t>件</w:t>
            </w:r>
          </w:p>
          <w:p w14:paraId="7C18CB7D" w14:textId="77777777" w:rsidR="00C82C27" w:rsidRPr="001367E6" w:rsidRDefault="00C82C27" w:rsidP="00C82C27">
            <w:pPr>
              <w:spacing w:line="320" w:lineRule="exact"/>
              <w:ind w:leftChars="-74" w:left="53" w:rightChars="-75" w:right="-180" w:hangingChars="96" w:hanging="231"/>
              <w:jc w:val="center"/>
              <w:rPr>
                <w:rFonts w:ascii="標楷體" w:eastAsia="標楷體" w:hAnsi="標楷體"/>
                <w:b/>
                <w:color w:val="000000" w:themeColor="text1"/>
                <w:spacing w:val="-8"/>
              </w:rPr>
            </w:pPr>
            <w:r w:rsidRPr="001367E6">
              <w:rPr>
                <w:rFonts w:ascii="標楷體" w:eastAsia="標楷體" w:hAnsi="標楷體" w:hint="eastAsia"/>
                <w:b/>
                <w:color w:val="000000" w:themeColor="text1"/>
              </w:rPr>
              <w:sym w:font="Wingdings" w:char="F082"/>
            </w:r>
          </w:p>
        </w:tc>
        <w:tc>
          <w:tcPr>
            <w:tcW w:w="536" w:type="pct"/>
            <w:vMerge w:val="restart"/>
            <w:tcBorders>
              <w:top w:val="single" w:sz="18" w:space="0" w:color="auto"/>
              <w:left w:val="single" w:sz="18" w:space="0" w:color="auto"/>
              <w:right w:val="single" w:sz="18" w:space="0" w:color="auto"/>
            </w:tcBorders>
            <w:shd w:val="clear" w:color="auto" w:fill="FFFFFF"/>
          </w:tcPr>
          <w:p w14:paraId="5E437345" w14:textId="77777777" w:rsidR="00C82C27" w:rsidRPr="001367E6" w:rsidRDefault="00C82C27" w:rsidP="00C82C27">
            <w:pPr>
              <w:spacing w:beforeLines="50" w:before="180" w:line="420" w:lineRule="exact"/>
              <w:jc w:val="distribute"/>
              <w:rPr>
                <w:rFonts w:ascii="標楷體" w:eastAsia="標楷體" w:hAnsi="標楷體"/>
                <w:b/>
                <w:color w:val="000000" w:themeColor="text1"/>
              </w:rPr>
            </w:pPr>
            <w:r w:rsidRPr="001367E6">
              <w:rPr>
                <w:rFonts w:ascii="標楷體" w:eastAsia="標楷體" w:hAnsi="標楷體"/>
                <w:b/>
                <w:color w:val="000000" w:themeColor="text1"/>
              </w:rPr>
              <w:t>累</w:t>
            </w:r>
          </w:p>
          <w:p w14:paraId="5CA9F774" w14:textId="77777777" w:rsidR="00C82C27" w:rsidRPr="001367E6" w:rsidRDefault="00C82C27" w:rsidP="00C82C27">
            <w:pPr>
              <w:spacing w:line="420" w:lineRule="exact"/>
              <w:jc w:val="distribute"/>
              <w:rPr>
                <w:rFonts w:ascii="標楷體" w:eastAsia="標楷體" w:hAnsi="標楷體"/>
                <w:b/>
                <w:color w:val="000000" w:themeColor="text1"/>
              </w:rPr>
            </w:pPr>
            <w:r w:rsidRPr="001367E6">
              <w:rPr>
                <w:rFonts w:ascii="標楷體" w:eastAsia="標楷體" w:hAnsi="標楷體"/>
                <w:b/>
                <w:color w:val="000000" w:themeColor="text1"/>
              </w:rPr>
              <w:t>計</w:t>
            </w:r>
          </w:p>
          <w:p w14:paraId="7F8711BA" w14:textId="77777777" w:rsidR="00C82C27" w:rsidRPr="001367E6" w:rsidRDefault="00C82C27" w:rsidP="00C82C27">
            <w:pPr>
              <w:spacing w:line="420" w:lineRule="exact"/>
              <w:jc w:val="distribute"/>
              <w:rPr>
                <w:rFonts w:ascii="標楷體" w:eastAsia="標楷體" w:hAnsi="標楷體"/>
                <w:b/>
                <w:color w:val="000000" w:themeColor="text1"/>
              </w:rPr>
            </w:pPr>
            <w:r w:rsidRPr="001367E6">
              <w:rPr>
                <w:rFonts w:ascii="標楷體" w:eastAsia="標楷體" w:hAnsi="標楷體"/>
                <w:b/>
                <w:color w:val="000000" w:themeColor="text1"/>
              </w:rPr>
              <w:t>案</w:t>
            </w:r>
          </w:p>
          <w:p w14:paraId="7BBFFEAF" w14:textId="77777777" w:rsidR="00C82C27" w:rsidRPr="001367E6" w:rsidRDefault="00C82C27" w:rsidP="00C82C27">
            <w:pPr>
              <w:spacing w:line="420" w:lineRule="exact"/>
              <w:jc w:val="distribute"/>
              <w:rPr>
                <w:rFonts w:ascii="標楷體" w:eastAsia="標楷體" w:hAnsi="標楷體"/>
                <w:b/>
                <w:color w:val="000000" w:themeColor="text1"/>
              </w:rPr>
            </w:pPr>
            <w:r w:rsidRPr="001367E6">
              <w:rPr>
                <w:rFonts w:ascii="標楷體" w:eastAsia="標楷體" w:hAnsi="標楷體" w:hint="eastAsia"/>
                <w:b/>
                <w:color w:val="000000" w:themeColor="text1"/>
              </w:rPr>
              <w:t>件</w:t>
            </w:r>
          </w:p>
          <w:p w14:paraId="0F9A71FE" w14:textId="77777777" w:rsidR="00C82C27" w:rsidRPr="001367E6" w:rsidRDefault="00C82C27" w:rsidP="00C82C27">
            <w:pPr>
              <w:spacing w:line="420" w:lineRule="exact"/>
              <w:jc w:val="distribute"/>
              <w:rPr>
                <w:rFonts w:ascii="標楷體" w:eastAsia="標楷體" w:hAnsi="標楷體"/>
                <w:b/>
                <w:color w:val="000000" w:themeColor="text1"/>
              </w:rPr>
            </w:pPr>
            <w:r w:rsidRPr="001367E6">
              <w:rPr>
                <w:rFonts w:ascii="標楷體" w:eastAsia="標楷體" w:hAnsi="標楷體" w:hint="eastAsia"/>
                <w:b/>
                <w:color w:val="000000" w:themeColor="text1"/>
              </w:rPr>
              <w:sym w:font="Wingdings" w:char="F081"/>
            </w:r>
          </w:p>
          <w:p w14:paraId="3313DED6" w14:textId="77777777" w:rsidR="00C82C27" w:rsidRPr="001367E6" w:rsidRDefault="00C82C27" w:rsidP="00C82C27">
            <w:pPr>
              <w:spacing w:line="420" w:lineRule="exact"/>
              <w:jc w:val="distribute"/>
              <w:rPr>
                <w:rFonts w:ascii="標楷體" w:eastAsia="標楷體" w:hAnsi="標楷體"/>
                <w:b/>
                <w:color w:val="000000" w:themeColor="text1"/>
              </w:rPr>
            </w:pPr>
            <w:r w:rsidRPr="001367E6">
              <w:rPr>
                <w:rFonts w:ascii="標楷體" w:eastAsia="標楷體" w:hAnsi="標楷體" w:hint="eastAsia"/>
                <w:b/>
                <w:color w:val="000000" w:themeColor="text1"/>
              </w:rPr>
              <w:t>＋</w:t>
            </w:r>
          </w:p>
          <w:p w14:paraId="1C588F1C" w14:textId="77777777" w:rsidR="00C82C27" w:rsidRPr="001367E6" w:rsidRDefault="00C82C27" w:rsidP="00C82C27">
            <w:pPr>
              <w:spacing w:line="420" w:lineRule="exact"/>
              <w:jc w:val="distribute"/>
              <w:rPr>
                <w:rFonts w:ascii="標楷體" w:eastAsia="標楷體" w:hAnsi="標楷體"/>
                <w:b/>
                <w:color w:val="000000" w:themeColor="text1"/>
              </w:rPr>
            </w:pPr>
            <w:r w:rsidRPr="001367E6">
              <w:rPr>
                <w:rFonts w:ascii="標楷體" w:eastAsia="標楷體" w:hAnsi="標楷體" w:hint="eastAsia"/>
                <w:b/>
                <w:color w:val="000000" w:themeColor="text1"/>
              </w:rPr>
              <w:sym w:font="Wingdings" w:char="F082"/>
            </w:r>
          </w:p>
        </w:tc>
      </w:tr>
      <w:tr w:rsidR="00C82C27" w:rsidRPr="001367E6" w14:paraId="2CDC2D29" w14:textId="77777777" w:rsidTr="00C82C27">
        <w:trPr>
          <w:trHeight w:val="546"/>
        </w:trPr>
        <w:tc>
          <w:tcPr>
            <w:tcW w:w="1115"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4AF13578" w14:textId="77777777" w:rsidR="00C82C27" w:rsidRPr="001367E6" w:rsidRDefault="00C82C27" w:rsidP="00C82C27">
            <w:pPr>
              <w:spacing w:line="240" w:lineRule="exact"/>
              <w:jc w:val="center"/>
              <w:rPr>
                <w:rFonts w:ascii="標楷體" w:eastAsia="標楷體" w:hAnsi="標楷體"/>
                <w:b/>
                <w:color w:val="000000" w:themeColor="text1"/>
              </w:rPr>
            </w:pPr>
          </w:p>
        </w:tc>
        <w:tc>
          <w:tcPr>
            <w:tcW w:w="2209" w:type="pct"/>
            <w:gridSpan w:val="8"/>
            <w:tcBorders>
              <w:left w:val="single" w:sz="18" w:space="0" w:color="auto"/>
              <w:bottom w:val="single" w:sz="4" w:space="0" w:color="auto"/>
              <w:right w:val="dashed" w:sz="4" w:space="0" w:color="auto"/>
            </w:tcBorders>
            <w:shd w:val="clear" w:color="auto" w:fill="FFFFFF"/>
            <w:vAlign w:val="center"/>
          </w:tcPr>
          <w:p w14:paraId="229D24D2" w14:textId="77777777" w:rsidR="00C82C27" w:rsidRPr="001367E6" w:rsidRDefault="00C82C27" w:rsidP="00C82C27">
            <w:pPr>
              <w:spacing w:line="360" w:lineRule="exact"/>
              <w:jc w:val="center"/>
              <w:rPr>
                <w:rFonts w:eastAsia="標楷體"/>
                <w:b/>
                <w:color w:val="000000" w:themeColor="text1"/>
              </w:rPr>
            </w:pPr>
            <w:r w:rsidRPr="001367E6">
              <w:rPr>
                <w:rFonts w:eastAsia="標楷體"/>
                <w:b/>
                <w:color w:val="000000" w:themeColor="text1"/>
              </w:rPr>
              <w:t>院會通過Ａ</w:t>
            </w:r>
          </w:p>
        </w:tc>
        <w:tc>
          <w:tcPr>
            <w:tcW w:w="272" w:type="pct"/>
            <w:vMerge w:val="restart"/>
            <w:tcBorders>
              <w:top w:val="single" w:sz="4" w:space="0" w:color="auto"/>
              <w:left w:val="dashed" w:sz="4" w:space="0" w:color="auto"/>
              <w:right w:val="dashed" w:sz="4" w:space="0" w:color="auto"/>
            </w:tcBorders>
            <w:shd w:val="clear" w:color="auto" w:fill="FFFFFF"/>
          </w:tcPr>
          <w:p w14:paraId="019A592B" w14:textId="77777777" w:rsidR="00C82C27" w:rsidRPr="001367E6" w:rsidRDefault="00C82C27" w:rsidP="00C82C27">
            <w:pPr>
              <w:spacing w:beforeLines="50" w:before="180" w:line="300" w:lineRule="exact"/>
              <w:jc w:val="center"/>
              <w:rPr>
                <w:rFonts w:ascii="標楷體" w:eastAsia="標楷體" w:hAnsi="標楷體"/>
                <w:b/>
                <w:color w:val="000000" w:themeColor="text1"/>
                <w:spacing w:val="-6"/>
              </w:rPr>
            </w:pPr>
            <w:r w:rsidRPr="001367E6">
              <w:rPr>
                <w:rFonts w:ascii="標楷體" w:eastAsia="標楷體" w:hAnsi="標楷體"/>
                <w:b/>
                <w:color w:val="000000" w:themeColor="text1"/>
                <w:spacing w:val="-6"/>
              </w:rPr>
              <w:t>院</w:t>
            </w:r>
          </w:p>
          <w:p w14:paraId="195B8809" w14:textId="77777777" w:rsidR="00C82C27" w:rsidRPr="001367E6" w:rsidRDefault="00C82C27" w:rsidP="00C82C27">
            <w:pPr>
              <w:spacing w:line="300" w:lineRule="exact"/>
              <w:jc w:val="center"/>
              <w:rPr>
                <w:rFonts w:ascii="標楷體" w:eastAsia="標楷體" w:hAnsi="標楷體"/>
                <w:b/>
                <w:color w:val="000000" w:themeColor="text1"/>
                <w:spacing w:val="-6"/>
              </w:rPr>
            </w:pPr>
            <w:r w:rsidRPr="001367E6">
              <w:rPr>
                <w:rFonts w:ascii="標楷體" w:eastAsia="標楷體" w:hAnsi="標楷體"/>
                <w:b/>
                <w:color w:val="000000" w:themeColor="text1"/>
                <w:spacing w:val="-6"/>
              </w:rPr>
              <w:t>會</w:t>
            </w:r>
          </w:p>
          <w:p w14:paraId="677E8AB3" w14:textId="77777777" w:rsidR="00C82C27" w:rsidRPr="001367E6" w:rsidRDefault="00C82C27" w:rsidP="00C82C27">
            <w:pPr>
              <w:spacing w:line="300" w:lineRule="exact"/>
              <w:jc w:val="center"/>
              <w:rPr>
                <w:rFonts w:ascii="標楷體" w:eastAsia="標楷體" w:hAnsi="標楷體"/>
                <w:b/>
                <w:color w:val="000000" w:themeColor="text1"/>
                <w:spacing w:val="-6"/>
              </w:rPr>
            </w:pPr>
            <w:r w:rsidRPr="001367E6">
              <w:rPr>
                <w:rFonts w:ascii="標楷體" w:eastAsia="標楷體" w:hAnsi="標楷體" w:hint="eastAsia"/>
                <w:b/>
                <w:color w:val="000000" w:themeColor="text1"/>
                <w:spacing w:val="-6"/>
              </w:rPr>
              <w:t>待</w:t>
            </w:r>
          </w:p>
          <w:p w14:paraId="7C9BDAAA" w14:textId="77777777" w:rsidR="00C82C27" w:rsidRPr="001367E6" w:rsidRDefault="00C82C27" w:rsidP="00C82C27">
            <w:pPr>
              <w:spacing w:line="300" w:lineRule="exact"/>
              <w:jc w:val="center"/>
              <w:rPr>
                <w:rFonts w:ascii="標楷體" w:eastAsia="標楷體" w:hAnsi="標楷體"/>
                <w:b/>
                <w:color w:val="000000" w:themeColor="text1"/>
                <w:spacing w:val="-6"/>
              </w:rPr>
            </w:pPr>
            <w:r w:rsidRPr="001367E6">
              <w:rPr>
                <w:rFonts w:ascii="標楷體" w:eastAsia="標楷體" w:hAnsi="標楷體"/>
                <w:b/>
                <w:color w:val="000000" w:themeColor="text1"/>
                <w:spacing w:val="-6"/>
              </w:rPr>
              <w:t>審</w:t>
            </w:r>
          </w:p>
          <w:p w14:paraId="0220A7FE" w14:textId="77777777" w:rsidR="00C82C27" w:rsidRPr="001367E6" w:rsidRDefault="00C82C27" w:rsidP="00C82C27">
            <w:pPr>
              <w:spacing w:line="300" w:lineRule="exact"/>
              <w:jc w:val="center"/>
              <w:rPr>
                <w:rFonts w:ascii="標楷體" w:eastAsia="標楷體" w:hAnsi="標楷體"/>
                <w:b/>
                <w:color w:val="000000" w:themeColor="text1"/>
                <w:spacing w:val="-6"/>
              </w:rPr>
            </w:pPr>
            <w:r w:rsidRPr="001367E6">
              <w:rPr>
                <w:rFonts w:ascii="標楷體" w:eastAsia="標楷體" w:hAnsi="標楷體"/>
                <w:b/>
                <w:color w:val="000000" w:themeColor="text1"/>
                <w:spacing w:val="-6"/>
              </w:rPr>
              <w:t>議</w:t>
            </w:r>
          </w:p>
          <w:p w14:paraId="39D9750B" w14:textId="77777777" w:rsidR="00C82C27" w:rsidRPr="001367E6" w:rsidRDefault="00C82C27" w:rsidP="00C82C27">
            <w:pPr>
              <w:spacing w:line="300" w:lineRule="exact"/>
              <w:jc w:val="center"/>
              <w:rPr>
                <w:rFonts w:ascii="標楷體" w:eastAsia="標楷體" w:hAnsi="標楷體"/>
                <w:b/>
                <w:color w:val="000000" w:themeColor="text1"/>
                <w:spacing w:val="-6"/>
              </w:rPr>
            </w:pPr>
            <w:r w:rsidRPr="001367E6">
              <w:rPr>
                <w:rFonts w:ascii="標楷體" w:eastAsia="標楷體" w:hAnsi="標楷體" w:hint="eastAsia"/>
                <w:b/>
                <w:color w:val="000000" w:themeColor="text1"/>
                <w:spacing w:val="-6"/>
              </w:rPr>
              <w:t>部</w:t>
            </w:r>
          </w:p>
          <w:p w14:paraId="666C028F" w14:textId="77777777" w:rsidR="00C82C27" w:rsidRPr="001367E6" w:rsidRDefault="00C82C27" w:rsidP="00C82C27">
            <w:pPr>
              <w:spacing w:line="300" w:lineRule="exact"/>
              <w:jc w:val="center"/>
              <w:rPr>
                <w:rFonts w:ascii="標楷體" w:eastAsia="標楷體" w:hAnsi="標楷體"/>
                <w:b/>
                <w:color w:val="000000" w:themeColor="text1"/>
                <w:spacing w:val="-6"/>
              </w:rPr>
            </w:pPr>
            <w:r w:rsidRPr="001367E6">
              <w:rPr>
                <w:rFonts w:ascii="標楷體" w:eastAsia="標楷體" w:hAnsi="標楷體" w:hint="eastAsia"/>
                <w:b/>
                <w:color w:val="000000" w:themeColor="text1"/>
                <w:spacing w:val="-6"/>
              </w:rPr>
              <w:t>分</w:t>
            </w:r>
          </w:p>
          <w:p w14:paraId="58AB1771" w14:textId="77777777" w:rsidR="00C82C27" w:rsidRPr="001367E6" w:rsidRDefault="00C82C27" w:rsidP="00C82C27">
            <w:pPr>
              <w:spacing w:line="300" w:lineRule="exact"/>
              <w:jc w:val="center"/>
              <w:rPr>
                <w:rFonts w:ascii="標楷體" w:eastAsia="標楷體" w:hAnsi="標楷體"/>
                <w:b/>
                <w:color w:val="000000" w:themeColor="text1"/>
                <w:spacing w:val="-6"/>
              </w:rPr>
            </w:pPr>
            <w:r w:rsidRPr="001367E6">
              <w:rPr>
                <w:rFonts w:ascii="標楷體" w:eastAsia="標楷體" w:hAnsi="標楷體" w:hint="eastAsia"/>
                <w:b/>
                <w:color w:val="000000" w:themeColor="text1"/>
                <w:spacing w:val="-6"/>
              </w:rPr>
              <w:t>Ｂ</w:t>
            </w:r>
          </w:p>
        </w:tc>
        <w:tc>
          <w:tcPr>
            <w:tcW w:w="450" w:type="pct"/>
            <w:vMerge w:val="restart"/>
            <w:tcBorders>
              <w:left w:val="dashed" w:sz="4" w:space="0" w:color="auto"/>
              <w:right w:val="single" w:sz="12" w:space="0" w:color="auto"/>
            </w:tcBorders>
            <w:shd w:val="clear" w:color="auto" w:fill="FFFFFF"/>
          </w:tcPr>
          <w:p w14:paraId="36AF2EAE" w14:textId="77777777" w:rsidR="00C82C27" w:rsidRPr="001367E6" w:rsidRDefault="00C82C27" w:rsidP="00C82C27">
            <w:pPr>
              <w:spacing w:beforeLines="50" w:before="180" w:line="300" w:lineRule="exact"/>
              <w:jc w:val="center"/>
              <w:rPr>
                <w:rFonts w:ascii="標楷體" w:eastAsia="標楷體" w:hAnsi="標楷體"/>
                <w:b/>
                <w:color w:val="000000" w:themeColor="text1"/>
              </w:rPr>
            </w:pPr>
            <w:r w:rsidRPr="001367E6">
              <w:rPr>
                <w:rFonts w:ascii="標楷體" w:eastAsia="標楷體" w:hAnsi="標楷體" w:hint="eastAsia"/>
                <w:b/>
                <w:color w:val="000000" w:themeColor="text1"/>
              </w:rPr>
              <w:t>小</w:t>
            </w:r>
          </w:p>
          <w:p w14:paraId="799EA0E0" w14:textId="77777777" w:rsidR="00C82C27" w:rsidRPr="001367E6" w:rsidRDefault="00C82C27" w:rsidP="00C82C27">
            <w:pPr>
              <w:spacing w:line="300" w:lineRule="exact"/>
              <w:jc w:val="center"/>
              <w:rPr>
                <w:rFonts w:ascii="標楷體" w:eastAsia="標楷體" w:hAnsi="標楷體"/>
                <w:b/>
                <w:color w:val="000000" w:themeColor="text1"/>
              </w:rPr>
            </w:pPr>
          </w:p>
          <w:p w14:paraId="558E9F25" w14:textId="77777777" w:rsidR="00C82C27" w:rsidRPr="001367E6" w:rsidRDefault="00C82C27" w:rsidP="00C82C27">
            <w:pPr>
              <w:spacing w:line="300" w:lineRule="exact"/>
              <w:jc w:val="center"/>
              <w:rPr>
                <w:rFonts w:ascii="標楷體" w:eastAsia="標楷體" w:hAnsi="標楷體"/>
                <w:b/>
                <w:color w:val="000000" w:themeColor="text1"/>
              </w:rPr>
            </w:pPr>
            <w:r w:rsidRPr="001367E6">
              <w:rPr>
                <w:rFonts w:ascii="標楷體" w:eastAsia="標楷體" w:hAnsi="標楷體"/>
                <w:b/>
                <w:color w:val="000000" w:themeColor="text1"/>
              </w:rPr>
              <w:t>計</w:t>
            </w:r>
          </w:p>
          <w:p w14:paraId="5B7C2C53" w14:textId="77777777" w:rsidR="00C82C27" w:rsidRPr="001367E6" w:rsidRDefault="00C82C27" w:rsidP="00C82C27">
            <w:pPr>
              <w:spacing w:line="300" w:lineRule="exact"/>
              <w:ind w:leftChars="-3" w:left="-2" w:hangingChars="2" w:hanging="5"/>
              <w:jc w:val="center"/>
              <w:rPr>
                <w:rFonts w:ascii="標楷體" w:eastAsia="標楷體" w:hAnsi="標楷體"/>
                <w:b/>
                <w:color w:val="000000" w:themeColor="text1"/>
              </w:rPr>
            </w:pPr>
            <w:r w:rsidRPr="001367E6">
              <w:rPr>
                <w:rFonts w:ascii="標楷體" w:eastAsia="標楷體" w:hAnsi="標楷體"/>
                <w:b/>
                <w:color w:val="000000" w:themeColor="text1"/>
              </w:rPr>
              <w:sym w:font="Wingdings" w:char="F081"/>
            </w:r>
          </w:p>
          <w:p w14:paraId="45BD5CD8" w14:textId="77777777" w:rsidR="00C82C27" w:rsidRPr="001367E6" w:rsidRDefault="00C82C27" w:rsidP="00C82C27">
            <w:pPr>
              <w:spacing w:line="300" w:lineRule="exact"/>
              <w:jc w:val="center"/>
              <w:rPr>
                <w:rFonts w:ascii="標楷體" w:eastAsia="標楷體" w:hAnsi="標楷體"/>
                <w:b/>
                <w:color w:val="000000" w:themeColor="text1"/>
              </w:rPr>
            </w:pPr>
            <w:r w:rsidRPr="001367E6">
              <w:rPr>
                <w:rFonts w:ascii="標楷體" w:eastAsia="標楷體" w:hAnsi="標楷體" w:hint="eastAsia"/>
                <w:b/>
                <w:color w:val="000000" w:themeColor="text1"/>
              </w:rPr>
              <w:t>‖</w:t>
            </w:r>
          </w:p>
          <w:p w14:paraId="0C9FAB81" w14:textId="77777777" w:rsidR="00C82C27" w:rsidRPr="001367E6" w:rsidRDefault="00C82C27" w:rsidP="00C82C27">
            <w:pPr>
              <w:spacing w:line="300" w:lineRule="exact"/>
              <w:ind w:leftChars="-3" w:left="-2" w:hangingChars="2" w:hanging="5"/>
              <w:jc w:val="center"/>
              <w:rPr>
                <w:rFonts w:ascii="標楷體" w:eastAsia="標楷體" w:hAnsi="標楷體"/>
                <w:b/>
                <w:color w:val="000000" w:themeColor="text1"/>
              </w:rPr>
            </w:pPr>
            <w:r w:rsidRPr="001367E6">
              <w:rPr>
                <w:rFonts w:ascii="標楷體" w:eastAsia="標楷體" w:hAnsi="標楷體" w:hint="eastAsia"/>
                <w:b/>
                <w:color w:val="000000" w:themeColor="text1"/>
              </w:rPr>
              <w:t>Ａ</w:t>
            </w:r>
          </w:p>
          <w:p w14:paraId="64832FF4" w14:textId="77777777" w:rsidR="00C82C27" w:rsidRPr="001367E6" w:rsidRDefault="00C82C27" w:rsidP="00C82C27">
            <w:pPr>
              <w:spacing w:line="300" w:lineRule="exact"/>
              <w:ind w:leftChars="-3" w:left="-2" w:hangingChars="2" w:hanging="5"/>
              <w:jc w:val="center"/>
              <w:rPr>
                <w:rFonts w:ascii="標楷體" w:eastAsia="標楷體" w:hAnsi="標楷體"/>
                <w:b/>
                <w:color w:val="000000" w:themeColor="text1"/>
              </w:rPr>
            </w:pPr>
            <w:r w:rsidRPr="001367E6">
              <w:rPr>
                <w:rFonts w:ascii="標楷體" w:eastAsia="標楷體" w:hAnsi="標楷體" w:hint="eastAsia"/>
                <w:b/>
                <w:color w:val="000000" w:themeColor="text1"/>
              </w:rPr>
              <w:t>＋</w:t>
            </w:r>
          </w:p>
          <w:p w14:paraId="17D39768" w14:textId="77777777" w:rsidR="00C82C27" w:rsidRPr="001367E6" w:rsidRDefault="00C82C27" w:rsidP="00C82C27">
            <w:pPr>
              <w:spacing w:line="300" w:lineRule="exact"/>
              <w:ind w:leftChars="-3" w:left="-2" w:hangingChars="2" w:hanging="5"/>
              <w:jc w:val="center"/>
              <w:rPr>
                <w:rFonts w:ascii="標楷體" w:eastAsia="標楷體" w:hAnsi="標楷體"/>
                <w:color w:val="000000" w:themeColor="text1"/>
              </w:rPr>
            </w:pPr>
            <w:r w:rsidRPr="001367E6">
              <w:rPr>
                <w:rFonts w:ascii="標楷體" w:eastAsia="標楷體" w:hAnsi="標楷體" w:hint="eastAsia"/>
                <w:b/>
                <w:color w:val="000000" w:themeColor="text1"/>
              </w:rPr>
              <w:t>Ｂ</w:t>
            </w:r>
          </w:p>
        </w:tc>
        <w:tc>
          <w:tcPr>
            <w:tcW w:w="418" w:type="pct"/>
            <w:vMerge/>
            <w:tcBorders>
              <w:left w:val="single" w:sz="12" w:space="0" w:color="auto"/>
              <w:right w:val="single" w:sz="18" w:space="0" w:color="auto"/>
            </w:tcBorders>
            <w:shd w:val="clear" w:color="auto" w:fill="FFFFFF"/>
          </w:tcPr>
          <w:p w14:paraId="2B643C9C" w14:textId="77777777" w:rsidR="00C82C27" w:rsidRPr="001367E6" w:rsidRDefault="00C82C27" w:rsidP="00C82C27">
            <w:pPr>
              <w:spacing w:line="260" w:lineRule="exact"/>
              <w:jc w:val="center"/>
              <w:rPr>
                <w:rFonts w:ascii="標楷體" w:eastAsia="標楷體" w:hAnsi="標楷體"/>
                <w:color w:val="000000" w:themeColor="text1"/>
              </w:rPr>
            </w:pPr>
          </w:p>
        </w:tc>
        <w:tc>
          <w:tcPr>
            <w:tcW w:w="536" w:type="pct"/>
            <w:vMerge/>
            <w:tcBorders>
              <w:left w:val="single" w:sz="18" w:space="0" w:color="auto"/>
              <w:right w:val="single" w:sz="18" w:space="0" w:color="auto"/>
            </w:tcBorders>
            <w:shd w:val="clear" w:color="auto" w:fill="FFFFFF"/>
          </w:tcPr>
          <w:p w14:paraId="3F75FF9E" w14:textId="77777777" w:rsidR="00C82C27" w:rsidRPr="001367E6" w:rsidRDefault="00C82C27" w:rsidP="00C82C27">
            <w:pPr>
              <w:spacing w:line="260" w:lineRule="exact"/>
              <w:jc w:val="center"/>
              <w:rPr>
                <w:rFonts w:ascii="標楷體" w:eastAsia="標楷體" w:hAnsi="標楷體"/>
                <w:color w:val="000000" w:themeColor="text1"/>
              </w:rPr>
            </w:pPr>
          </w:p>
        </w:tc>
      </w:tr>
      <w:tr w:rsidR="00C82C27" w:rsidRPr="001367E6" w14:paraId="5DAFF126" w14:textId="77777777" w:rsidTr="00C82C27">
        <w:trPr>
          <w:trHeight w:val="1988"/>
        </w:trPr>
        <w:tc>
          <w:tcPr>
            <w:tcW w:w="1115"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15BD52CB" w14:textId="77777777" w:rsidR="00C82C27" w:rsidRPr="001367E6" w:rsidRDefault="00C82C27" w:rsidP="00C82C27">
            <w:pPr>
              <w:spacing w:line="240" w:lineRule="exact"/>
              <w:jc w:val="center"/>
              <w:rPr>
                <w:rFonts w:ascii="標楷體" w:eastAsia="標楷體" w:hAnsi="標楷體"/>
                <w:b/>
                <w:color w:val="000000" w:themeColor="text1"/>
              </w:rPr>
            </w:pPr>
          </w:p>
        </w:tc>
        <w:tc>
          <w:tcPr>
            <w:tcW w:w="305" w:type="pct"/>
            <w:tcBorders>
              <w:left w:val="single" w:sz="18" w:space="0" w:color="auto"/>
              <w:bottom w:val="single" w:sz="18" w:space="0" w:color="auto"/>
              <w:right w:val="dashed" w:sz="4" w:space="0" w:color="auto"/>
            </w:tcBorders>
            <w:shd w:val="clear" w:color="auto" w:fill="FFFFFF"/>
          </w:tcPr>
          <w:p w14:paraId="1B1DE182"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第</w:t>
            </w:r>
          </w:p>
          <w:p w14:paraId="6460EEB3"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1</w:t>
            </w:r>
          </w:p>
          <w:p w14:paraId="75B224E3"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會</w:t>
            </w:r>
          </w:p>
          <w:p w14:paraId="4E3E0CD4"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期</w:t>
            </w:r>
          </w:p>
        </w:tc>
        <w:tc>
          <w:tcPr>
            <w:tcW w:w="312" w:type="pct"/>
            <w:tcBorders>
              <w:left w:val="dashed" w:sz="4" w:space="0" w:color="auto"/>
              <w:bottom w:val="single" w:sz="18" w:space="0" w:color="auto"/>
              <w:right w:val="dashed" w:sz="4" w:space="0" w:color="auto"/>
            </w:tcBorders>
            <w:shd w:val="clear" w:color="auto" w:fill="FFFFFF"/>
          </w:tcPr>
          <w:p w14:paraId="3D7EFE4D"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第</w:t>
            </w:r>
          </w:p>
          <w:p w14:paraId="4BEEAF48"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2</w:t>
            </w:r>
          </w:p>
          <w:p w14:paraId="1EC738CC"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會</w:t>
            </w:r>
          </w:p>
          <w:p w14:paraId="5BDAA334"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期</w:t>
            </w:r>
          </w:p>
        </w:tc>
        <w:tc>
          <w:tcPr>
            <w:tcW w:w="313" w:type="pct"/>
            <w:tcBorders>
              <w:left w:val="dashed" w:sz="4" w:space="0" w:color="auto"/>
              <w:bottom w:val="single" w:sz="18" w:space="0" w:color="auto"/>
              <w:right w:val="dashed" w:sz="4" w:space="0" w:color="auto"/>
            </w:tcBorders>
            <w:shd w:val="clear" w:color="auto" w:fill="FFFFFF"/>
          </w:tcPr>
          <w:p w14:paraId="6DB3EB76"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第</w:t>
            </w:r>
          </w:p>
          <w:p w14:paraId="2A5D0B73"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3</w:t>
            </w:r>
          </w:p>
          <w:p w14:paraId="4E8CFEBD"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會</w:t>
            </w:r>
          </w:p>
          <w:p w14:paraId="121568D6" w14:textId="77777777" w:rsidR="00C82C27" w:rsidRPr="001367E6" w:rsidRDefault="00C82C27" w:rsidP="00C82C27">
            <w:pPr>
              <w:spacing w:line="460" w:lineRule="exact"/>
              <w:jc w:val="center"/>
              <w:rPr>
                <w:rFonts w:eastAsia="標楷體"/>
                <w:color w:val="000000" w:themeColor="text1"/>
                <w:spacing w:val="-20"/>
              </w:rPr>
            </w:pPr>
            <w:r w:rsidRPr="001367E6">
              <w:rPr>
                <w:rFonts w:eastAsia="標楷體"/>
                <w:color w:val="000000" w:themeColor="text1"/>
                <w:spacing w:val="-20"/>
              </w:rPr>
              <w:t>期</w:t>
            </w:r>
          </w:p>
        </w:tc>
        <w:tc>
          <w:tcPr>
            <w:tcW w:w="300" w:type="pct"/>
            <w:tcBorders>
              <w:left w:val="dashed" w:sz="4" w:space="0" w:color="auto"/>
              <w:bottom w:val="single" w:sz="18" w:space="0" w:color="auto"/>
              <w:right w:val="dashed" w:sz="4" w:space="0" w:color="auto"/>
            </w:tcBorders>
            <w:shd w:val="clear" w:color="auto" w:fill="FFFFFF"/>
          </w:tcPr>
          <w:p w14:paraId="5A639ADB"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第</w:t>
            </w:r>
          </w:p>
          <w:p w14:paraId="3A38977B"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4</w:t>
            </w:r>
          </w:p>
          <w:p w14:paraId="28180DF2"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會</w:t>
            </w:r>
          </w:p>
          <w:p w14:paraId="3DDBC299"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期</w:t>
            </w:r>
          </w:p>
        </w:tc>
        <w:tc>
          <w:tcPr>
            <w:tcW w:w="300" w:type="pct"/>
            <w:tcBorders>
              <w:top w:val="single" w:sz="4" w:space="0" w:color="auto"/>
              <w:left w:val="dashed" w:sz="4" w:space="0" w:color="auto"/>
              <w:bottom w:val="single" w:sz="18" w:space="0" w:color="auto"/>
              <w:right w:val="dashed" w:sz="4" w:space="0" w:color="auto"/>
            </w:tcBorders>
            <w:shd w:val="clear" w:color="auto" w:fill="FFFFFF"/>
          </w:tcPr>
          <w:p w14:paraId="32C53E93"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第</w:t>
            </w:r>
          </w:p>
          <w:p w14:paraId="53FE62D2"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5</w:t>
            </w:r>
          </w:p>
          <w:p w14:paraId="6121EED3"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會</w:t>
            </w:r>
          </w:p>
          <w:p w14:paraId="6DD3FB00"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期</w:t>
            </w:r>
          </w:p>
        </w:tc>
        <w:tc>
          <w:tcPr>
            <w:tcW w:w="306" w:type="pct"/>
            <w:tcBorders>
              <w:top w:val="single" w:sz="4" w:space="0" w:color="auto"/>
              <w:left w:val="dashed" w:sz="4" w:space="0" w:color="auto"/>
              <w:bottom w:val="single" w:sz="18" w:space="0" w:color="auto"/>
              <w:right w:val="dashed" w:sz="4" w:space="0" w:color="auto"/>
            </w:tcBorders>
            <w:shd w:val="clear" w:color="auto" w:fill="FFFFFF"/>
          </w:tcPr>
          <w:p w14:paraId="785133D8"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第</w:t>
            </w:r>
          </w:p>
          <w:p w14:paraId="5E3EE79E"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6</w:t>
            </w:r>
          </w:p>
          <w:p w14:paraId="2E4885DF"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會</w:t>
            </w:r>
          </w:p>
          <w:p w14:paraId="2F447DF3"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期</w:t>
            </w:r>
          </w:p>
        </w:tc>
        <w:tc>
          <w:tcPr>
            <w:tcW w:w="182" w:type="pct"/>
            <w:tcBorders>
              <w:top w:val="single" w:sz="4" w:space="0" w:color="auto"/>
              <w:left w:val="dashed" w:sz="4" w:space="0" w:color="auto"/>
              <w:bottom w:val="single" w:sz="18" w:space="0" w:color="auto"/>
              <w:right w:val="dashed" w:sz="4" w:space="0" w:color="auto"/>
            </w:tcBorders>
            <w:shd w:val="clear" w:color="auto" w:fill="FFFFFF"/>
          </w:tcPr>
          <w:p w14:paraId="71A0A71F"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第</w:t>
            </w:r>
          </w:p>
          <w:p w14:paraId="3B3833EB"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7</w:t>
            </w:r>
          </w:p>
          <w:p w14:paraId="762C8853"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會</w:t>
            </w:r>
          </w:p>
          <w:p w14:paraId="2576BCB5"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期</w:t>
            </w:r>
          </w:p>
        </w:tc>
        <w:tc>
          <w:tcPr>
            <w:tcW w:w="191" w:type="pct"/>
            <w:tcBorders>
              <w:top w:val="single" w:sz="4" w:space="0" w:color="auto"/>
              <w:left w:val="dashed" w:sz="4" w:space="0" w:color="auto"/>
              <w:bottom w:val="single" w:sz="18" w:space="0" w:color="auto"/>
              <w:right w:val="dashed" w:sz="4" w:space="0" w:color="auto"/>
            </w:tcBorders>
            <w:shd w:val="clear" w:color="auto" w:fill="FFFFFF"/>
          </w:tcPr>
          <w:p w14:paraId="57323C9A"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第</w:t>
            </w:r>
          </w:p>
          <w:p w14:paraId="3D4BB969"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8</w:t>
            </w:r>
          </w:p>
          <w:p w14:paraId="1D14C657"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會</w:t>
            </w:r>
          </w:p>
          <w:p w14:paraId="4109BF3D" w14:textId="77777777" w:rsidR="00C82C27" w:rsidRPr="001367E6" w:rsidRDefault="00C82C27" w:rsidP="00C82C27">
            <w:pPr>
              <w:spacing w:line="460" w:lineRule="exact"/>
              <w:ind w:rightChars="-45" w:right="-108"/>
              <w:jc w:val="center"/>
              <w:rPr>
                <w:rFonts w:eastAsia="標楷體"/>
                <w:color w:val="000000" w:themeColor="text1"/>
                <w:spacing w:val="-20"/>
              </w:rPr>
            </w:pPr>
            <w:r w:rsidRPr="001367E6">
              <w:rPr>
                <w:rFonts w:eastAsia="標楷體"/>
                <w:color w:val="000000" w:themeColor="text1"/>
                <w:spacing w:val="-20"/>
              </w:rPr>
              <w:t>期</w:t>
            </w:r>
          </w:p>
        </w:tc>
        <w:tc>
          <w:tcPr>
            <w:tcW w:w="272" w:type="pct"/>
            <w:vMerge/>
            <w:tcBorders>
              <w:left w:val="dashed" w:sz="4" w:space="0" w:color="auto"/>
              <w:bottom w:val="single" w:sz="18" w:space="0" w:color="auto"/>
              <w:right w:val="dashed" w:sz="4" w:space="0" w:color="auto"/>
            </w:tcBorders>
            <w:shd w:val="clear" w:color="auto" w:fill="FFFFFF"/>
          </w:tcPr>
          <w:p w14:paraId="2DFA5383" w14:textId="77777777" w:rsidR="00C82C27" w:rsidRPr="001367E6" w:rsidRDefault="00C82C27" w:rsidP="00C82C27">
            <w:pPr>
              <w:spacing w:line="300" w:lineRule="exact"/>
              <w:ind w:rightChars="-45" w:right="-108"/>
              <w:rPr>
                <w:rFonts w:ascii="標楷體" w:eastAsia="標楷體" w:hAnsi="標楷體"/>
                <w:b/>
                <w:color w:val="000000" w:themeColor="text1"/>
                <w:spacing w:val="-20"/>
              </w:rPr>
            </w:pPr>
          </w:p>
        </w:tc>
        <w:tc>
          <w:tcPr>
            <w:tcW w:w="450" w:type="pct"/>
            <w:vMerge/>
            <w:tcBorders>
              <w:left w:val="dashed" w:sz="4" w:space="0" w:color="auto"/>
              <w:bottom w:val="single" w:sz="18" w:space="0" w:color="auto"/>
              <w:right w:val="single" w:sz="12" w:space="0" w:color="auto"/>
            </w:tcBorders>
            <w:shd w:val="clear" w:color="auto" w:fill="FFFFFF"/>
          </w:tcPr>
          <w:p w14:paraId="7762A5F3" w14:textId="77777777" w:rsidR="00C82C27" w:rsidRPr="001367E6" w:rsidRDefault="00C82C27" w:rsidP="00C82C27">
            <w:pPr>
              <w:spacing w:line="240" w:lineRule="exact"/>
              <w:jc w:val="center"/>
              <w:rPr>
                <w:rFonts w:ascii="標楷體" w:eastAsia="標楷體" w:hAnsi="標楷體"/>
                <w:color w:val="000000" w:themeColor="text1"/>
              </w:rPr>
            </w:pPr>
          </w:p>
        </w:tc>
        <w:tc>
          <w:tcPr>
            <w:tcW w:w="418" w:type="pct"/>
            <w:vMerge/>
            <w:tcBorders>
              <w:left w:val="single" w:sz="12" w:space="0" w:color="auto"/>
              <w:bottom w:val="single" w:sz="18" w:space="0" w:color="auto"/>
              <w:right w:val="single" w:sz="18" w:space="0" w:color="auto"/>
            </w:tcBorders>
            <w:shd w:val="clear" w:color="auto" w:fill="FFFFFF"/>
          </w:tcPr>
          <w:p w14:paraId="1E85418F" w14:textId="77777777" w:rsidR="00C82C27" w:rsidRPr="001367E6" w:rsidRDefault="00C82C27" w:rsidP="00C82C27">
            <w:pPr>
              <w:spacing w:line="260" w:lineRule="exact"/>
              <w:jc w:val="center"/>
              <w:rPr>
                <w:rFonts w:ascii="標楷體" w:eastAsia="標楷體" w:hAnsi="標楷體"/>
                <w:color w:val="000000" w:themeColor="text1"/>
              </w:rPr>
            </w:pPr>
          </w:p>
        </w:tc>
        <w:tc>
          <w:tcPr>
            <w:tcW w:w="536" w:type="pct"/>
            <w:vMerge/>
            <w:tcBorders>
              <w:left w:val="single" w:sz="18" w:space="0" w:color="auto"/>
              <w:bottom w:val="single" w:sz="18" w:space="0" w:color="auto"/>
              <w:right w:val="single" w:sz="18" w:space="0" w:color="auto"/>
            </w:tcBorders>
            <w:shd w:val="clear" w:color="auto" w:fill="FFFFFF"/>
          </w:tcPr>
          <w:p w14:paraId="7930BC2D" w14:textId="77777777" w:rsidR="00C82C27" w:rsidRPr="001367E6" w:rsidRDefault="00C82C27" w:rsidP="00C82C27">
            <w:pPr>
              <w:spacing w:line="260" w:lineRule="exact"/>
              <w:jc w:val="center"/>
              <w:rPr>
                <w:rFonts w:ascii="標楷體" w:eastAsia="標楷體" w:hAnsi="標楷體"/>
                <w:color w:val="000000" w:themeColor="text1"/>
              </w:rPr>
            </w:pPr>
          </w:p>
        </w:tc>
      </w:tr>
      <w:tr w:rsidR="00C82C27" w:rsidRPr="003D0B30" w14:paraId="6CE49BF4" w14:textId="77777777" w:rsidTr="00C82C27">
        <w:trPr>
          <w:trHeight w:val="510"/>
        </w:trPr>
        <w:tc>
          <w:tcPr>
            <w:tcW w:w="245"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14:paraId="41C320BC"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院</w:t>
            </w:r>
          </w:p>
          <w:p w14:paraId="75CBB5A5"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會</w:t>
            </w:r>
          </w:p>
          <w:p w14:paraId="2304639E"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交</w:t>
            </w:r>
          </w:p>
          <w:p w14:paraId="7A6E74CB"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付</w:t>
            </w:r>
          </w:p>
          <w:p w14:paraId="7A838C20"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審</w:t>
            </w:r>
          </w:p>
          <w:p w14:paraId="23A3958C"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查</w:t>
            </w:r>
          </w:p>
          <w:p w14:paraId="55ACE151"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及</w:t>
            </w:r>
          </w:p>
          <w:p w14:paraId="644CC8E0"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處</w:t>
            </w:r>
          </w:p>
          <w:p w14:paraId="70C31B27" w14:textId="77777777" w:rsidR="00C82C27" w:rsidRPr="001367E6" w:rsidRDefault="00C82C27" w:rsidP="00C82C27">
            <w:pPr>
              <w:spacing w:line="360" w:lineRule="exact"/>
              <w:jc w:val="center"/>
              <w:rPr>
                <w:rFonts w:ascii="標楷體" w:eastAsia="標楷體" w:hAnsi="標楷體" w:cs="Mangal"/>
                <w:bCs/>
                <w:color w:val="000000" w:themeColor="text1"/>
                <w:spacing w:val="-20"/>
              </w:rPr>
            </w:pPr>
            <w:r w:rsidRPr="001367E6">
              <w:rPr>
                <w:rFonts w:ascii="標楷體" w:eastAsia="標楷體" w:hAnsi="標楷體" w:cs="Mangal" w:hint="eastAsia"/>
                <w:bCs/>
                <w:color w:val="000000" w:themeColor="text1"/>
                <w:spacing w:val="-20"/>
              </w:rPr>
              <w:t>理</w:t>
            </w:r>
          </w:p>
        </w:tc>
        <w:tc>
          <w:tcPr>
            <w:tcW w:w="870" w:type="pct"/>
            <w:tcBorders>
              <w:top w:val="single" w:sz="12" w:space="0" w:color="auto"/>
              <w:left w:val="single" w:sz="4" w:space="0" w:color="auto"/>
              <w:right w:val="single" w:sz="18" w:space="0" w:color="auto"/>
            </w:tcBorders>
            <w:shd w:val="clear" w:color="auto" w:fill="FFFFFF"/>
            <w:vAlign w:val="center"/>
          </w:tcPr>
          <w:p w14:paraId="07F5A8F3" w14:textId="77777777" w:rsidR="00C82C27" w:rsidRPr="001367E6" w:rsidRDefault="00C82C27" w:rsidP="00C82C27">
            <w:pPr>
              <w:spacing w:line="360" w:lineRule="exact"/>
              <w:ind w:leftChars="-55" w:left="-33" w:hangingChars="55" w:hanging="99"/>
              <w:jc w:val="both"/>
              <w:rPr>
                <w:rFonts w:ascii="標楷體" w:eastAsia="標楷體" w:hAnsi="標楷體" w:cs="Mangal"/>
                <w:bCs/>
                <w:color w:val="000000" w:themeColor="text1"/>
                <w:spacing w:val="-20"/>
              </w:rPr>
            </w:pPr>
            <w:r w:rsidRPr="008E3B3C">
              <w:rPr>
                <w:rFonts w:ascii="標楷體" w:eastAsia="標楷體" w:hAnsi="標楷體" w:cs="Mangal" w:hint="eastAsia"/>
                <w:bCs/>
                <w:color w:val="000000" w:themeColor="text1"/>
                <w:spacing w:val="-30"/>
              </w:rPr>
              <w:t>［一］</w:t>
            </w:r>
            <w:r w:rsidRPr="001367E6">
              <w:rPr>
                <w:rFonts w:ascii="標楷體" w:eastAsia="標楷體" w:hAnsi="標楷體" w:cs="Mangal" w:hint="eastAsia"/>
                <w:bCs/>
                <w:color w:val="000000" w:themeColor="text1"/>
                <w:spacing w:val="-20"/>
              </w:rPr>
              <w:t>法律案</w:t>
            </w:r>
          </w:p>
        </w:tc>
        <w:tc>
          <w:tcPr>
            <w:tcW w:w="305" w:type="pct"/>
            <w:tcBorders>
              <w:top w:val="single" w:sz="12" w:space="0" w:color="auto"/>
              <w:left w:val="single" w:sz="18" w:space="0" w:color="auto"/>
              <w:right w:val="dashed" w:sz="4" w:space="0" w:color="auto"/>
            </w:tcBorders>
            <w:shd w:val="clear" w:color="auto" w:fill="FFFFFF"/>
            <w:vAlign w:val="center"/>
          </w:tcPr>
          <w:p w14:paraId="765F1677"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12</w:t>
            </w:r>
          </w:p>
        </w:tc>
        <w:tc>
          <w:tcPr>
            <w:tcW w:w="312" w:type="pct"/>
            <w:tcBorders>
              <w:top w:val="single" w:sz="12" w:space="0" w:color="auto"/>
              <w:left w:val="dashed" w:sz="4" w:space="0" w:color="auto"/>
              <w:right w:val="dashed" w:sz="4" w:space="0" w:color="auto"/>
            </w:tcBorders>
            <w:shd w:val="clear" w:color="auto" w:fill="FFFFFF"/>
            <w:vAlign w:val="center"/>
          </w:tcPr>
          <w:p w14:paraId="38EDC92B"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46</w:t>
            </w:r>
          </w:p>
        </w:tc>
        <w:tc>
          <w:tcPr>
            <w:tcW w:w="313" w:type="pct"/>
            <w:tcBorders>
              <w:top w:val="single" w:sz="12" w:space="0" w:color="auto"/>
              <w:left w:val="dashed" w:sz="4" w:space="0" w:color="auto"/>
              <w:right w:val="dashed" w:sz="4" w:space="0" w:color="auto"/>
            </w:tcBorders>
            <w:shd w:val="clear" w:color="auto" w:fill="FFFFFF"/>
            <w:vAlign w:val="center"/>
          </w:tcPr>
          <w:p w14:paraId="154B4CDE"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68</w:t>
            </w:r>
          </w:p>
        </w:tc>
        <w:tc>
          <w:tcPr>
            <w:tcW w:w="300" w:type="pct"/>
            <w:tcBorders>
              <w:top w:val="single" w:sz="12" w:space="0" w:color="auto"/>
              <w:left w:val="dashed" w:sz="4" w:space="0" w:color="auto"/>
              <w:right w:val="dashed" w:sz="4" w:space="0" w:color="auto"/>
            </w:tcBorders>
            <w:shd w:val="clear" w:color="auto" w:fill="FFFFFF"/>
            <w:vAlign w:val="center"/>
          </w:tcPr>
          <w:p w14:paraId="04D096C0"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193</w:t>
            </w:r>
          </w:p>
        </w:tc>
        <w:tc>
          <w:tcPr>
            <w:tcW w:w="300" w:type="pct"/>
            <w:tcBorders>
              <w:top w:val="single" w:sz="12" w:space="0" w:color="auto"/>
              <w:left w:val="dashed" w:sz="4" w:space="0" w:color="auto"/>
              <w:bottom w:val="single" w:sz="4" w:space="0" w:color="auto"/>
              <w:right w:val="dashed" w:sz="4" w:space="0" w:color="auto"/>
            </w:tcBorders>
            <w:shd w:val="clear" w:color="auto" w:fill="FFFFFF"/>
            <w:vAlign w:val="center"/>
          </w:tcPr>
          <w:p w14:paraId="5133FCC5"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116</w:t>
            </w:r>
          </w:p>
        </w:tc>
        <w:tc>
          <w:tcPr>
            <w:tcW w:w="306" w:type="pct"/>
            <w:tcBorders>
              <w:top w:val="single" w:sz="12" w:space="0" w:color="auto"/>
              <w:left w:val="dashed" w:sz="4" w:space="0" w:color="auto"/>
              <w:bottom w:val="single" w:sz="4" w:space="0" w:color="auto"/>
              <w:right w:val="dashed" w:sz="4" w:space="0" w:color="auto"/>
            </w:tcBorders>
            <w:shd w:val="clear" w:color="auto" w:fill="FFFFFF"/>
            <w:vAlign w:val="center"/>
          </w:tcPr>
          <w:p w14:paraId="5274F42C" w14:textId="77777777" w:rsidR="00C82C27" w:rsidRPr="001367E6" w:rsidRDefault="00C82C27"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112</w:t>
            </w:r>
          </w:p>
        </w:tc>
        <w:tc>
          <w:tcPr>
            <w:tcW w:w="182" w:type="pct"/>
            <w:tcBorders>
              <w:top w:val="single" w:sz="12" w:space="0" w:color="auto"/>
              <w:left w:val="dashed" w:sz="4" w:space="0" w:color="auto"/>
              <w:bottom w:val="single" w:sz="4" w:space="0" w:color="auto"/>
              <w:right w:val="dashed" w:sz="4" w:space="0" w:color="auto"/>
            </w:tcBorders>
            <w:shd w:val="clear" w:color="auto" w:fill="FFFFFF"/>
            <w:vAlign w:val="center"/>
          </w:tcPr>
          <w:p w14:paraId="6BC81752" w14:textId="77777777" w:rsidR="00C82C27" w:rsidRPr="001367E6" w:rsidRDefault="00C82C27" w:rsidP="00C82C27">
            <w:pPr>
              <w:jc w:val="center"/>
              <w:rPr>
                <w:rFonts w:ascii="標楷體" w:eastAsia="標楷體" w:hAnsi="標楷體" w:cs="新細明體"/>
                <w:color w:val="000000" w:themeColor="text1"/>
                <w:spacing w:val="-20"/>
              </w:rPr>
            </w:pPr>
          </w:p>
        </w:tc>
        <w:tc>
          <w:tcPr>
            <w:tcW w:w="191" w:type="pct"/>
            <w:tcBorders>
              <w:top w:val="single" w:sz="12" w:space="0" w:color="auto"/>
              <w:left w:val="dashed" w:sz="4" w:space="0" w:color="auto"/>
              <w:bottom w:val="single" w:sz="4" w:space="0" w:color="auto"/>
              <w:right w:val="dashed" w:sz="4" w:space="0" w:color="auto"/>
            </w:tcBorders>
            <w:shd w:val="clear" w:color="auto" w:fill="FFFFFF"/>
            <w:vAlign w:val="center"/>
          </w:tcPr>
          <w:p w14:paraId="76338EBC" w14:textId="77777777" w:rsidR="00C82C27" w:rsidRPr="001367E6" w:rsidRDefault="00C82C27" w:rsidP="00C82C27">
            <w:pPr>
              <w:jc w:val="center"/>
              <w:rPr>
                <w:rFonts w:ascii="標楷體" w:eastAsia="標楷體" w:hAnsi="標楷體" w:cs="新細明體"/>
                <w:color w:val="000000" w:themeColor="text1"/>
                <w:spacing w:val="-20"/>
                <w:shd w:val="pct15" w:color="auto" w:fill="FFFFFF"/>
              </w:rPr>
            </w:pPr>
          </w:p>
        </w:tc>
        <w:tc>
          <w:tcPr>
            <w:tcW w:w="272" w:type="pct"/>
            <w:tcBorders>
              <w:top w:val="single" w:sz="12" w:space="0" w:color="auto"/>
              <w:left w:val="dashed" w:sz="4" w:space="0" w:color="auto"/>
              <w:bottom w:val="single" w:sz="4" w:space="0" w:color="auto"/>
              <w:right w:val="single" w:sz="4" w:space="0" w:color="auto"/>
            </w:tcBorders>
            <w:shd w:val="clear" w:color="auto" w:fill="FFFFFF"/>
            <w:vAlign w:val="center"/>
          </w:tcPr>
          <w:p w14:paraId="32F7BC82" w14:textId="77777777" w:rsidR="00C82C27" w:rsidRPr="001367E6" w:rsidRDefault="00C82C27"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49</w:t>
            </w:r>
          </w:p>
        </w:tc>
        <w:tc>
          <w:tcPr>
            <w:tcW w:w="450" w:type="pct"/>
            <w:tcBorders>
              <w:top w:val="single" w:sz="12" w:space="0" w:color="auto"/>
              <w:left w:val="single" w:sz="4" w:space="0" w:color="auto"/>
              <w:right w:val="single" w:sz="12" w:space="0" w:color="auto"/>
            </w:tcBorders>
            <w:shd w:val="clear" w:color="auto" w:fill="FFFFFF"/>
            <w:vAlign w:val="center"/>
          </w:tcPr>
          <w:p w14:paraId="65078497"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5</w:t>
            </w:r>
            <w:r w:rsidRPr="003D0B30">
              <w:rPr>
                <w:rFonts w:ascii="標楷體" w:eastAsia="標楷體" w:hAnsi="標楷體" w:cs="新細明體"/>
                <w:color w:val="000000" w:themeColor="text1"/>
              </w:rPr>
              <w:t>96</w:t>
            </w:r>
          </w:p>
        </w:tc>
        <w:tc>
          <w:tcPr>
            <w:tcW w:w="418" w:type="pct"/>
            <w:tcBorders>
              <w:top w:val="single" w:sz="12" w:space="0" w:color="auto"/>
              <w:left w:val="dashed" w:sz="4" w:space="0" w:color="auto"/>
              <w:bottom w:val="single" w:sz="4" w:space="0" w:color="auto"/>
              <w:right w:val="dashed" w:sz="4" w:space="0" w:color="auto"/>
            </w:tcBorders>
            <w:shd w:val="clear" w:color="auto" w:fill="FFFFFF"/>
            <w:vAlign w:val="center"/>
          </w:tcPr>
          <w:p w14:paraId="6C768BFD"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spacing w:val="-20"/>
              </w:rPr>
              <w:t>927</w:t>
            </w:r>
          </w:p>
        </w:tc>
        <w:tc>
          <w:tcPr>
            <w:tcW w:w="536" w:type="pct"/>
            <w:tcBorders>
              <w:top w:val="single" w:sz="12" w:space="0" w:color="auto"/>
              <w:left w:val="single" w:sz="18" w:space="0" w:color="auto"/>
              <w:right w:val="single" w:sz="18" w:space="0" w:color="auto"/>
            </w:tcBorders>
            <w:shd w:val="clear" w:color="auto" w:fill="FFFFFF"/>
            <w:vAlign w:val="center"/>
          </w:tcPr>
          <w:p w14:paraId="1AE561C6" w14:textId="77777777" w:rsidR="00C82C27" w:rsidRPr="00A53D6F" w:rsidRDefault="00C82C27" w:rsidP="00C82C27">
            <w:pPr>
              <w:jc w:val="center"/>
              <w:rPr>
                <w:rFonts w:ascii="標楷體" w:eastAsia="標楷體" w:hAnsi="標楷體" w:cs="新細明體"/>
                <w:color w:val="000000" w:themeColor="text1"/>
              </w:rPr>
            </w:pPr>
            <w:r w:rsidRPr="00A53D6F">
              <w:rPr>
                <w:rFonts w:ascii="標楷體" w:eastAsia="標楷體" w:hAnsi="標楷體" w:cs="新細明體" w:hint="eastAsia"/>
                <w:color w:val="000000" w:themeColor="text1"/>
                <w:spacing w:val="-20"/>
              </w:rPr>
              <w:t>1,</w:t>
            </w:r>
            <w:r w:rsidRPr="00A53D6F">
              <w:rPr>
                <w:rFonts w:ascii="標楷體" w:eastAsia="標楷體" w:hAnsi="標楷體" w:cs="新細明體"/>
                <w:color w:val="000000" w:themeColor="text1"/>
                <w:spacing w:val="-20"/>
              </w:rPr>
              <w:t>523</w:t>
            </w:r>
          </w:p>
        </w:tc>
      </w:tr>
      <w:tr w:rsidR="00C82C27" w:rsidRPr="003D0B30" w14:paraId="1DD65B32" w14:textId="77777777" w:rsidTr="00C82C27">
        <w:trPr>
          <w:trHeight w:val="510"/>
        </w:trPr>
        <w:tc>
          <w:tcPr>
            <w:tcW w:w="245" w:type="pct"/>
            <w:vMerge/>
            <w:tcBorders>
              <w:left w:val="single" w:sz="18" w:space="0" w:color="auto"/>
              <w:bottom w:val="single" w:sz="18" w:space="0" w:color="auto"/>
              <w:right w:val="single" w:sz="4" w:space="0" w:color="auto"/>
            </w:tcBorders>
            <w:shd w:val="clear" w:color="auto" w:fill="FFFFFF"/>
          </w:tcPr>
          <w:p w14:paraId="193FD43B" w14:textId="77777777" w:rsidR="00C82C27" w:rsidRPr="001367E6" w:rsidRDefault="00C82C27" w:rsidP="00C82C27">
            <w:pPr>
              <w:spacing w:line="360" w:lineRule="exact"/>
              <w:ind w:leftChars="-55" w:left="-22" w:hangingChars="55" w:hanging="110"/>
              <w:jc w:val="both"/>
              <w:rPr>
                <w:rFonts w:ascii="標楷體" w:eastAsia="標楷體" w:hAnsi="標楷體" w:cs="Mangal"/>
                <w:bCs/>
                <w:color w:val="000000" w:themeColor="text1"/>
                <w:spacing w:val="-20"/>
              </w:rPr>
            </w:pPr>
          </w:p>
        </w:tc>
        <w:tc>
          <w:tcPr>
            <w:tcW w:w="870" w:type="pct"/>
            <w:tcBorders>
              <w:left w:val="single" w:sz="4" w:space="0" w:color="auto"/>
              <w:right w:val="single" w:sz="18" w:space="0" w:color="auto"/>
            </w:tcBorders>
            <w:shd w:val="clear" w:color="auto" w:fill="FFFFFF"/>
            <w:vAlign w:val="center"/>
          </w:tcPr>
          <w:p w14:paraId="40BDA730" w14:textId="77777777" w:rsidR="00C82C27" w:rsidRPr="001367E6" w:rsidRDefault="00C82C27" w:rsidP="00C82C27">
            <w:pPr>
              <w:spacing w:line="360" w:lineRule="exact"/>
              <w:ind w:leftChars="-55" w:left="-33" w:hangingChars="55" w:hanging="99"/>
              <w:jc w:val="both"/>
              <w:rPr>
                <w:rFonts w:ascii="標楷體" w:eastAsia="標楷體" w:hAnsi="標楷體" w:cs="Mangal"/>
                <w:bCs/>
                <w:color w:val="000000" w:themeColor="text1"/>
                <w:spacing w:val="-20"/>
              </w:rPr>
            </w:pPr>
            <w:r w:rsidRPr="008E3B3C">
              <w:rPr>
                <w:rFonts w:ascii="標楷體" w:eastAsia="標楷體" w:hAnsi="標楷體" w:cs="Mangal" w:hint="eastAsia"/>
                <w:bCs/>
                <w:color w:val="000000" w:themeColor="text1"/>
                <w:spacing w:val="-30"/>
              </w:rPr>
              <w:t>［二］</w:t>
            </w:r>
            <w:r w:rsidRPr="001367E6">
              <w:rPr>
                <w:rFonts w:ascii="標楷體" w:eastAsia="標楷體" w:hAnsi="標楷體" w:cs="Mangal" w:hint="eastAsia"/>
                <w:bCs/>
                <w:color w:val="000000" w:themeColor="text1"/>
                <w:spacing w:val="-20"/>
                <w:w w:val="90"/>
              </w:rPr>
              <w:t>預（決）算案</w:t>
            </w:r>
          </w:p>
        </w:tc>
        <w:tc>
          <w:tcPr>
            <w:tcW w:w="305" w:type="pct"/>
            <w:tcBorders>
              <w:left w:val="single" w:sz="18" w:space="0" w:color="auto"/>
              <w:bottom w:val="single" w:sz="4" w:space="0" w:color="auto"/>
              <w:right w:val="dashed" w:sz="4" w:space="0" w:color="auto"/>
            </w:tcBorders>
            <w:shd w:val="clear" w:color="auto" w:fill="auto"/>
            <w:vAlign w:val="center"/>
          </w:tcPr>
          <w:p w14:paraId="46C3A86A"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152</w:t>
            </w:r>
          </w:p>
        </w:tc>
        <w:tc>
          <w:tcPr>
            <w:tcW w:w="312" w:type="pct"/>
            <w:tcBorders>
              <w:left w:val="dashed" w:sz="4" w:space="0" w:color="auto"/>
              <w:bottom w:val="single" w:sz="4" w:space="0" w:color="auto"/>
              <w:right w:val="dashed" w:sz="4" w:space="0" w:color="auto"/>
            </w:tcBorders>
            <w:shd w:val="clear" w:color="auto" w:fill="auto"/>
            <w:vAlign w:val="center"/>
          </w:tcPr>
          <w:p w14:paraId="5B20CB64"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14</w:t>
            </w:r>
          </w:p>
        </w:tc>
        <w:tc>
          <w:tcPr>
            <w:tcW w:w="313" w:type="pct"/>
            <w:tcBorders>
              <w:left w:val="dashed" w:sz="4" w:space="0" w:color="auto"/>
              <w:bottom w:val="single" w:sz="4" w:space="0" w:color="auto"/>
              <w:right w:val="dashed" w:sz="4" w:space="0" w:color="auto"/>
            </w:tcBorders>
            <w:shd w:val="clear" w:color="auto" w:fill="auto"/>
            <w:vAlign w:val="center"/>
          </w:tcPr>
          <w:p w14:paraId="14278FDA"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73</w:t>
            </w:r>
          </w:p>
        </w:tc>
        <w:tc>
          <w:tcPr>
            <w:tcW w:w="300" w:type="pct"/>
            <w:tcBorders>
              <w:left w:val="dashed" w:sz="4" w:space="0" w:color="auto"/>
              <w:bottom w:val="single" w:sz="4" w:space="0" w:color="auto"/>
              <w:right w:val="dashed" w:sz="4" w:space="0" w:color="auto"/>
            </w:tcBorders>
            <w:shd w:val="clear" w:color="auto" w:fill="auto"/>
            <w:vAlign w:val="center"/>
          </w:tcPr>
          <w:p w14:paraId="4CC64D7A"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10</w:t>
            </w:r>
          </w:p>
        </w:tc>
        <w:tc>
          <w:tcPr>
            <w:tcW w:w="300" w:type="pct"/>
            <w:tcBorders>
              <w:left w:val="dashed" w:sz="4" w:space="0" w:color="auto"/>
              <w:bottom w:val="single" w:sz="4" w:space="0" w:color="auto"/>
              <w:right w:val="dashed" w:sz="4" w:space="0" w:color="auto"/>
            </w:tcBorders>
            <w:shd w:val="clear" w:color="auto" w:fill="auto"/>
            <w:vAlign w:val="center"/>
          </w:tcPr>
          <w:p w14:paraId="6E970C65"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20</w:t>
            </w:r>
          </w:p>
        </w:tc>
        <w:tc>
          <w:tcPr>
            <w:tcW w:w="306" w:type="pct"/>
            <w:tcBorders>
              <w:left w:val="dashed" w:sz="4" w:space="0" w:color="auto"/>
              <w:bottom w:val="single" w:sz="4" w:space="0" w:color="auto"/>
              <w:right w:val="dashed" w:sz="4" w:space="0" w:color="auto"/>
            </w:tcBorders>
            <w:shd w:val="clear" w:color="auto" w:fill="auto"/>
            <w:vAlign w:val="center"/>
          </w:tcPr>
          <w:p w14:paraId="33C37F0B" w14:textId="77777777" w:rsidR="00C82C27" w:rsidRPr="001367E6" w:rsidRDefault="00C82C27"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115</w:t>
            </w:r>
          </w:p>
        </w:tc>
        <w:tc>
          <w:tcPr>
            <w:tcW w:w="182" w:type="pct"/>
            <w:tcBorders>
              <w:left w:val="dashed" w:sz="4" w:space="0" w:color="auto"/>
              <w:bottom w:val="single" w:sz="4" w:space="0" w:color="auto"/>
              <w:right w:val="dashed" w:sz="4" w:space="0" w:color="auto"/>
            </w:tcBorders>
            <w:shd w:val="clear" w:color="auto" w:fill="auto"/>
            <w:vAlign w:val="center"/>
          </w:tcPr>
          <w:p w14:paraId="6DEDA8AD" w14:textId="77777777" w:rsidR="00C82C27" w:rsidRPr="001367E6" w:rsidRDefault="00C82C27" w:rsidP="00C82C27">
            <w:pPr>
              <w:jc w:val="center"/>
              <w:rPr>
                <w:rFonts w:ascii="標楷體" w:eastAsia="標楷體" w:hAnsi="標楷體" w:cs="新細明體"/>
                <w:color w:val="000000" w:themeColor="text1"/>
                <w:spacing w:val="-20"/>
              </w:rPr>
            </w:pPr>
          </w:p>
        </w:tc>
        <w:tc>
          <w:tcPr>
            <w:tcW w:w="191" w:type="pct"/>
            <w:tcBorders>
              <w:left w:val="dashed" w:sz="4" w:space="0" w:color="auto"/>
              <w:bottom w:val="single" w:sz="4" w:space="0" w:color="auto"/>
              <w:right w:val="dashed" w:sz="4" w:space="0" w:color="auto"/>
            </w:tcBorders>
            <w:shd w:val="clear" w:color="auto" w:fill="auto"/>
            <w:vAlign w:val="center"/>
          </w:tcPr>
          <w:p w14:paraId="516CF353" w14:textId="77777777" w:rsidR="00C82C27" w:rsidRPr="001367E6" w:rsidRDefault="00C82C27" w:rsidP="00C82C27">
            <w:pPr>
              <w:jc w:val="center"/>
              <w:rPr>
                <w:rFonts w:ascii="標楷體" w:eastAsia="標楷體" w:hAnsi="標楷體" w:cs="新細明體"/>
                <w:color w:val="000000" w:themeColor="text1"/>
                <w:spacing w:val="-20"/>
                <w:shd w:val="pct15" w:color="auto" w:fill="FFFFFF"/>
              </w:rPr>
            </w:pPr>
          </w:p>
        </w:tc>
        <w:tc>
          <w:tcPr>
            <w:tcW w:w="272" w:type="pct"/>
            <w:tcBorders>
              <w:left w:val="dashed" w:sz="4" w:space="0" w:color="auto"/>
              <w:bottom w:val="single" w:sz="4" w:space="0" w:color="auto"/>
              <w:right w:val="single" w:sz="4" w:space="0" w:color="auto"/>
            </w:tcBorders>
            <w:shd w:val="clear" w:color="auto" w:fill="auto"/>
            <w:vAlign w:val="center"/>
          </w:tcPr>
          <w:p w14:paraId="5BBFA85E" w14:textId="77777777" w:rsidR="00C82C27" w:rsidRPr="001367E6" w:rsidRDefault="00C82C27"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4</w:t>
            </w:r>
          </w:p>
        </w:tc>
        <w:tc>
          <w:tcPr>
            <w:tcW w:w="450" w:type="pct"/>
            <w:tcBorders>
              <w:left w:val="single" w:sz="4" w:space="0" w:color="auto"/>
              <w:bottom w:val="single" w:sz="4" w:space="0" w:color="auto"/>
              <w:right w:val="single" w:sz="12" w:space="0" w:color="auto"/>
            </w:tcBorders>
            <w:shd w:val="clear" w:color="auto" w:fill="auto"/>
            <w:vAlign w:val="center"/>
          </w:tcPr>
          <w:p w14:paraId="62AB0998"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388</w:t>
            </w:r>
          </w:p>
        </w:tc>
        <w:tc>
          <w:tcPr>
            <w:tcW w:w="418" w:type="pct"/>
            <w:tcBorders>
              <w:left w:val="dashed" w:sz="4" w:space="0" w:color="auto"/>
              <w:bottom w:val="single" w:sz="4" w:space="0" w:color="auto"/>
              <w:right w:val="dashed" w:sz="4" w:space="0" w:color="auto"/>
            </w:tcBorders>
            <w:shd w:val="clear" w:color="auto" w:fill="auto"/>
            <w:vAlign w:val="center"/>
          </w:tcPr>
          <w:p w14:paraId="569BF830"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spacing w:val="-20"/>
              </w:rPr>
              <w:t>202</w:t>
            </w:r>
          </w:p>
        </w:tc>
        <w:tc>
          <w:tcPr>
            <w:tcW w:w="536" w:type="pct"/>
            <w:tcBorders>
              <w:left w:val="single" w:sz="18" w:space="0" w:color="auto"/>
              <w:bottom w:val="single" w:sz="4" w:space="0" w:color="auto"/>
              <w:right w:val="single" w:sz="18" w:space="0" w:color="auto"/>
            </w:tcBorders>
            <w:shd w:val="clear" w:color="auto" w:fill="FFFFFF"/>
            <w:vAlign w:val="center"/>
          </w:tcPr>
          <w:p w14:paraId="388D3FD3"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590</w:t>
            </w:r>
          </w:p>
        </w:tc>
      </w:tr>
      <w:tr w:rsidR="00C82C27" w:rsidRPr="003D0B30" w14:paraId="262AD915" w14:textId="77777777" w:rsidTr="00C82C27">
        <w:trPr>
          <w:trHeight w:val="510"/>
        </w:trPr>
        <w:tc>
          <w:tcPr>
            <w:tcW w:w="245" w:type="pct"/>
            <w:vMerge/>
            <w:tcBorders>
              <w:left w:val="single" w:sz="18" w:space="0" w:color="auto"/>
              <w:bottom w:val="single" w:sz="18" w:space="0" w:color="auto"/>
              <w:right w:val="single" w:sz="4" w:space="0" w:color="auto"/>
            </w:tcBorders>
            <w:shd w:val="clear" w:color="auto" w:fill="FFFFFF"/>
          </w:tcPr>
          <w:p w14:paraId="437542F6" w14:textId="77777777" w:rsidR="00C82C27" w:rsidRPr="001367E6" w:rsidRDefault="00C82C27" w:rsidP="00C82C27">
            <w:pPr>
              <w:spacing w:line="360" w:lineRule="exact"/>
              <w:ind w:leftChars="-55" w:left="-22" w:hangingChars="55" w:hanging="110"/>
              <w:jc w:val="both"/>
              <w:rPr>
                <w:rFonts w:ascii="標楷體" w:eastAsia="標楷體" w:hAnsi="標楷體" w:cs="Mangal"/>
                <w:bCs/>
                <w:color w:val="000000" w:themeColor="text1"/>
                <w:spacing w:val="-20"/>
              </w:rPr>
            </w:pPr>
          </w:p>
        </w:tc>
        <w:tc>
          <w:tcPr>
            <w:tcW w:w="870" w:type="pct"/>
            <w:tcBorders>
              <w:left w:val="single" w:sz="4" w:space="0" w:color="auto"/>
              <w:right w:val="single" w:sz="18" w:space="0" w:color="auto"/>
            </w:tcBorders>
            <w:shd w:val="clear" w:color="auto" w:fill="FFFFFF"/>
            <w:vAlign w:val="center"/>
          </w:tcPr>
          <w:p w14:paraId="0496C13F" w14:textId="77777777" w:rsidR="00C82C27" w:rsidRPr="001367E6" w:rsidRDefault="00C82C27" w:rsidP="00C82C27">
            <w:pPr>
              <w:spacing w:line="360" w:lineRule="exact"/>
              <w:ind w:leftChars="-55" w:left="-33" w:hangingChars="55" w:hanging="99"/>
              <w:jc w:val="both"/>
              <w:rPr>
                <w:rFonts w:ascii="標楷體" w:eastAsia="標楷體" w:hAnsi="標楷體" w:cs="Mangal"/>
                <w:bCs/>
                <w:color w:val="000000" w:themeColor="text1"/>
                <w:spacing w:val="-20"/>
              </w:rPr>
            </w:pPr>
            <w:r w:rsidRPr="008E3B3C">
              <w:rPr>
                <w:rFonts w:ascii="標楷體" w:eastAsia="標楷體" w:hAnsi="標楷體" w:cs="Mangal" w:hint="eastAsia"/>
                <w:bCs/>
                <w:color w:val="000000" w:themeColor="text1"/>
                <w:spacing w:val="-30"/>
              </w:rPr>
              <w:t>［三］</w:t>
            </w:r>
            <w:r w:rsidRPr="001367E6">
              <w:rPr>
                <w:rFonts w:ascii="標楷體" w:eastAsia="標楷體" w:hAnsi="標楷體" w:cs="Mangal" w:hint="eastAsia"/>
                <w:bCs/>
                <w:color w:val="000000" w:themeColor="text1"/>
                <w:spacing w:val="-20"/>
              </w:rPr>
              <w:t>條約案</w:t>
            </w:r>
          </w:p>
        </w:tc>
        <w:tc>
          <w:tcPr>
            <w:tcW w:w="305" w:type="pct"/>
            <w:tcBorders>
              <w:left w:val="single" w:sz="18" w:space="0" w:color="auto"/>
              <w:right w:val="dashed" w:sz="4" w:space="0" w:color="auto"/>
            </w:tcBorders>
            <w:shd w:val="clear" w:color="auto" w:fill="FFFFFF"/>
            <w:vAlign w:val="center"/>
          </w:tcPr>
          <w:p w14:paraId="26803440"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312" w:type="pct"/>
            <w:tcBorders>
              <w:left w:val="dashed" w:sz="4" w:space="0" w:color="auto"/>
              <w:right w:val="dashed" w:sz="4" w:space="0" w:color="auto"/>
            </w:tcBorders>
            <w:shd w:val="clear" w:color="auto" w:fill="FFFFFF"/>
            <w:vAlign w:val="center"/>
          </w:tcPr>
          <w:p w14:paraId="1F615517"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0</w:t>
            </w:r>
          </w:p>
        </w:tc>
        <w:tc>
          <w:tcPr>
            <w:tcW w:w="313" w:type="pct"/>
            <w:tcBorders>
              <w:left w:val="dashed" w:sz="4" w:space="0" w:color="auto"/>
              <w:right w:val="dashed" w:sz="4" w:space="0" w:color="auto"/>
            </w:tcBorders>
            <w:shd w:val="clear" w:color="auto" w:fill="FFFFFF"/>
            <w:vAlign w:val="center"/>
          </w:tcPr>
          <w:p w14:paraId="740A2506"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300" w:type="pct"/>
            <w:tcBorders>
              <w:left w:val="dashed" w:sz="4" w:space="0" w:color="auto"/>
              <w:right w:val="dashed" w:sz="4" w:space="0" w:color="auto"/>
            </w:tcBorders>
            <w:shd w:val="clear" w:color="auto" w:fill="FFFFFF"/>
            <w:vAlign w:val="center"/>
          </w:tcPr>
          <w:p w14:paraId="443B56EF"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300" w:type="pct"/>
            <w:tcBorders>
              <w:left w:val="dashed" w:sz="4" w:space="0" w:color="auto"/>
              <w:right w:val="dashed" w:sz="4" w:space="0" w:color="auto"/>
            </w:tcBorders>
            <w:shd w:val="clear" w:color="auto" w:fill="FFFFFF"/>
            <w:vAlign w:val="center"/>
          </w:tcPr>
          <w:p w14:paraId="3382DD20"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306" w:type="pct"/>
            <w:tcBorders>
              <w:left w:val="dashed" w:sz="4" w:space="0" w:color="auto"/>
              <w:right w:val="dashed" w:sz="4" w:space="0" w:color="auto"/>
            </w:tcBorders>
            <w:shd w:val="clear" w:color="auto" w:fill="FFFFFF"/>
            <w:vAlign w:val="center"/>
          </w:tcPr>
          <w:p w14:paraId="3E69E759" w14:textId="77777777" w:rsidR="00C82C27" w:rsidRPr="001367E6" w:rsidRDefault="00C82C27"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0</w:t>
            </w:r>
          </w:p>
        </w:tc>
        <w:tc>
          <w:tcPr>
            <w:tcW w:w="182" w:type="pct"/>
            <w:tcBorders>
              <w:left w:val="dashed" w:sz="4" w:space="0" w:color="auto"/>
              <w:right w:val="dashed" w:sz="4" w:space="0" w:color="auto"/>
            </w:tcBorders>
            <w:shd w:val="clear" w:color="auto" w:fill="FFFFFF"/>
            <w:vAlign w:val="center"/>
          </w:tcPr>
          <w:p w14:paraId="7FDD092F" w14:textId="77777777" w:rsidR="00C82C27" w:rsidRPr="001367E6" w:rsidRDefault="00C82C27" w:rsidP="00C82C27">
            <w:pPr>
              <w:jc w:val="center"/>
              <w:rPr>
                <w:rFonts w:ascii="標楷體" w:eastAsia="標楷體" w:hAnsi="標楷體" w:cs="新細明體"/>
                <w:color w:val="000000" w:themeColor="text1"/>
                <w:spacing w:val="-20"/>
              </w:rPr>
            </w:pPr>
          </w:p>
        </w:tc>
        <w:tc>
          <w:tcPr>
            <w:tcW w:w="191" w:type="pct"/>
            <w:tcBorders>
              <w:left w:val="dashed" w:sz="4" w:space="0" w:color="auto"/>
              <w:right w:val="dashed" w:sz="4" w:space="0" w:color="auto"/>
            </w:tcBorders>
            <w:shd w:val="clear" w:color="auto" w:fill="FFFFFF"/>
            <w:vAlign w:val="center"/>
          </w:tcPr>
          <w:p w14:paraId="5DB657B1" w14:textId="77777777" w:rsidR="00C82C27" w:rsidRPr="001367E6" w:rsidRDefault="00C82C27" w:rsidP="00C82C27">
            <w:pPr>
              <w:jc w:val="center"/>
              <w:rPr>
                <w:rFonts w:ascii="標楷體" w:eastAsia="標楷體" w:hAnsi="標楷體" w:cs="新細明體"/>
                <w:color w:val="000000" w:themeColor="text1"/>
                <w:spacing w:val="-20"/>
              </w:rPr>
            </w:pPr>
          </w:p>
        </w:tc>
        <w:tc>
          <w:tcPr>
            <w:tcW w:w="272" w:type="pct"/>
            <w:tcBorders>
              <w:left w:val="dashed" w:sz="4" w:space="0" w:color="auto"/>
              <w:right w:val="single" w:sz="4" w:space="0" w:color="auto"/>
            </w:tcBorders>
            <w:shd w:val="clear" w:color="auto" w:fill="FFFFFF"/>
            <w:vAlign w:val="center"/>
          </w:tcPr>
          <w:p w14:paraId="374F18D0"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450" w:type="pct"/>
            <w:tcBorders>
              <w:left w:val="single" w:sz="4" w:space="0" w:color="auto"/>
              <w:right w:val="single" w:sz="12" w:space="0" w:color="auto"/>
            </w:tcBorders>
            <w:shd w:val="clear" w:color="auto" w:fill="FFFFFF"/>
            <w:vAlign w:val="center"/>
          </w:tcPr>
          <w:p w14:paraId="7077B289"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0</w:t>
            </w:r>
          </w:p>
        </w:tc>
        <w:tc>
          <w:tcPr>
            <w:tcW w:w="418" w:type="pct"/>
            <w:tcBorders>
              <w:left w:val="dashed" w:sz="4" w:space="0" w:color="auto"/>
              <w:right w:val="dashed" w:sz="4" w:space="0" w:color="auto"/>
            </w:tcBorders>
            <w:shd w:val="clear" w:color="auto" w:fill="FFFFFF"/>
            <w:vAlign w:val="center"/>
          </w:tcPr>
          <w:p w14:paraId="3B091CD8"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spacing w:val="-20"/>
              </w:rPr>
              <w:t>0</w:t>
            </w:r>
          </w:p>
        </w:tc>
        <w:tc>
          <w:tcPr>
            <w:tcW w:w="536" w:type="pct"/>
            <w:tcBorders>
              <w:left w:val="single" w:sz="18" w:space="0" w:color="auto"/>
              <w:right w:val="single" w:sz="18" w:space="0" w:color="auto"/>
            </w:tcBorders>
            <w:shd w:val="clear" w:color="auto" w:fill="FFFFFF"/>
            <w:vAlign w:val="center"/>
          </w:tcPr>
          <w:p w14:paraId="67A453AC"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0</w:t>
            </w:r>
          </w:p>
        </w:tc>
      </w:tr>
      <w:tr w:rsidR="00C82C27" w:rsidRPr="003D0B30" w14:paraId="31A34E67" w14:textId="77777777" w:rsidTr="00C82C27">
        <w:trPr>
          <w:trHeight w:val="510"/>
        </w:trPr>
        <w:tc>
          <w:tcPr>
            <w:tcW w:w="245" w:type="pct"/>
            <w:vMerge/>
            <w:tcBorders>
              <w:left w:val="single" w:sz="18" w:space="0" w:color="auto"/>
              <w:bottom w:val="single" w:sz="18" w:space="0" w:color="auto"/>
              <w:right w:val="single" w:sz="4" w:space="0" w:color="auto"/>
            </w:tcBorders>
            <w:shd w:val="clear" w:color="auto" w:fill="FFFFFF"/>
          </w:tcPr>
          <w:p w14:paraId="54D6CE2C" w14:textId="77777777" w:rsidR="00C82C27" w:rsidRPr="001367E6" w:rsidRDefault="00C82C27" w:rsidP="00C82C27">
            <w:pPr>
              <w:spacing w:line="360" w:lineRule="exact"/>
              <w:ind w:leftChars="-55" w:left="-22" w:hangingChars="55" w:hanging="110"/>
              <w:jc w:val="both"/>
              <w:rPr>
                <w:rFonts w:ascii="標楷體" w:eastAsia="標楷體" w:hAnsi="標楷體" w:cs="Mangal"/>
                <w:bCs/>
                <w:color w:val="000000" w:themeColor="text1"/>
                <w:spacing w:val="-20"/>
              </w:rPr>
            </w:pPr>
          </w:p>
        </w:tc>
        <w:tc>
          <w:tcPr>
            <w:tcW w:w="870" w:type="pct"/>
            <w:tcBorders>
              <w:left w:val="single" w:sz="4" w:space="0" w:color="auto"/>
              <w:right w:val="single" w:sz="18" w:space="0" w:color="auto"/>
            </w:tcBorders>
            <w:shd w:val="clear" w:color="auto" w:fill="FFFFFF"/>
            <w:vAlign w:val="center"/>
          </w:tcPr>
          <w:p w14:paraId="4FB05C21" w14:textId="77777777" w:rsidR="00C82C27" w:rsidRPr="008E3B3C" w:rsidRDefault="00C82C27" w:rsidP="00C82C27">
            <w:pPr>
              <w:spacing w:line="360" w:lineRule="exact"/>
              <w:ind w:leftChars="-55" w:left="-33" w:hangingChars="55" w:hanging="99"/>
              <w:jc w:val="both"/>
              <w:rPr>
                <w:rFonts w:ascii="標楷體" w:eastAsia="標楷體" w:hAnsi="標楷體" w:cs="Mangal"/>
                <w:bCs/>
                <w:color w:val="000000" w:themeColor="text1"/>
                <w:spacing w:val="-30"/>
              </w:rPr>
            </w:pPr>
            <w:r w:rsidRPr="008E3B3C">
              <w:rPr>
                <w:rFonts w:ascii="標楷體" w:eastAsia="標楷體" w:hAnsi="標楷體" w:cs="Mangal" w:hint="eastAsia"/>
                <w:bCs/>
                <w:color w:val="000000" w:themeColor="text1"/>
                <w:spacing w:val="-30"/>
              </w:rPr>
              <w:t>［四］行政命令案</w:t>
            </w:r>
          </w:p>
        </w:tc>
        <w:tc>
          <w:tcPr>
            <w:tcW w:w="305" w:type="pct"/>
            <w:tcBorders>
              <w:left w:val="single" w:sz="18" w:space="0" w:color="auto"/>
              <w:right w:val="dashed" w:sz="4" w:space="0" w:color="auto"/>
            </w:tcBorders>
            <w:shd w:val="clear" w:color="auto" w:fill="FFFFFF"/>
            <w:vAlign w:val="center"/>
          </w:tcPr>
          <w:p w14:paraId="3BCB3847"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11</w:t>
            </w:r>
          </w:p>
        </w:tc>
        <w:tc>
          <w:tcPr>
            <w:tcW w:w="312" w:type="pct"/>
            <w:tcBorders>
              <w:left w:val="dashed" w:sz="4" w:space="0" w:color="auto"/>
              <w:right w:val="dashed" w:sz="4" w:space="0" w:color="auto"/>
            </w:tcBorders>
            <w:shd w:val="clear" w:color="auto" w:fill="FFFFFF"/>
            <w:vAlign w:val="center"/>
          </w:tcPr>
          <w:p w14:paraId="7E3AD0E8"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7</w:t>
            </w:r>
          </w:p>
        </w:tc>
        <w:tc>
          <w:tcPr>
            <w:tcW w:w="313" w:type="pct"/>
            <w:tcBorders>
              <w:left w:val="dashed" w:sz="4" w:space="0" w:color="auto"/>
              <w:right w:val="dashed" w:sz="4" w:space="0" w:color="auto"/>
            </w:tcBorders>
            <w:shd w:val="clear" w:color="auto" w:fill="FFFFFF"/>
            <w:vAlign w:val="center"/>
          </w:tcPr>
          <w:p w14:paraId="316D61AC"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26</w:t>
            </w:r>
          </w:p>
        </w:tc>
        <w:tc>
          <w:tcPr>
            <w:tcW w:w="300" w:type="pct"/>
            <w:tcBorders>
              <w:left w:val="dashed" w:sz="4" w:space="0" w:color="auto"/>
              <w:right w:val="dashed" w:sz="4" w:space="0" w:color="auto"/>
            </w:tcBorders>
            <w:shd w:val="clear" w:color="auto" w:fill="FFFFFF"/>
            <w:vAlign w:val="center"/>
          </w:tcPr>
          <w:p w14:paraId="4C48D408"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11</w:t>
            </w:r>
          </w:p>
        </w:tc>
        <w:tc>
          <w:tcPr>
            <w:tcW w:w="300" w:type="pct"/>
            <w:tcBorders>
              <w:left w:val="dashed" w:sz="4" w:space="0" w:color="auto"/>
              <w:right w:val="dashed" w:sz="4" w:space="0" w:color="auto"/>
            </w:tcBorders>
            <w:shd w:val="clear" w:color="auto" w:fill="FFFFFF"/>
            <w:vAlign w:val="center"/>
          </w:tcPr>
          <w:p w14:paraId="20FB1ADD"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306" w:type="pct"/>
            <w:tcBorders>
              <w:left w:val="dashed" w:sz="4" w:space="0" w:color="auto"/>
              <w:right w:val="dashed" w:sz="4" w:space="0" w:color="auto"/>
            </w:tcBorders>
            <w:shd w:val="clear" w:color="auto" w:fill="FFFFFF"/>
            <w:vAlign w:val="center"/>
          </w:tcPr>
          <w:p w14:paraId="5C424F99" w14:textId="77777777" w:rsidR="00C82C27" w:rsidRPr="001367E6" w:rsidRDefault="00C82C27"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35</w:t>
            </w:r>
          </w:p>
        </w:tc>
        <w:tc>
          <w:tcPr>
            <w:tcW w:w="182" w:type="pct"/>
            <w:tcBorders>
              <w:left w:val="dashed" w:sz="4" w:space="0" w:color="auto"/>
              <w:right w:val="dashed" w:sz="4" w:space="0" w:color="auto"/>
            </w:tcBorders>
            <w:shd w:val="clear" w:color="auto" w:fill="FFFFFF"/>
            <w:vAlign w:val="center"/>
          </w:tcPr>
          <w:p w14:paraId="76F48D13" w14:textId="77777777" w:rsidR="00C82C27" w:rsidRPr="001367E6" w:rsidRDefault="00C82C27" w:rsidP="00C82C27">
            <w:pPr>
              <w:jc w:val="center"/>
              <w:rPr>
                <w:rFonts w:ascii="標楷體" w:eastAsia="標楷體" w:hAnsi="標楷體" w:cs="新細明體"/>
                <w:color w:val="000000" w:themeColor="text1"/>
                <w:spacing w:val="-20"/>
              </w:rPr>
            </w:pPr>
          </w:p>
        </w:tc>
        <w:tc>
          <w:tcPr>
            <w:tcW w:w="191" w:type="pct"/>
            <w:tcBorders>
              <w:left w:val="dashed" w:sz="4" w:space="0" w:color="auto"/>
              <w:right w:val="dashed" w:sz="4" w:space="0" w:color="auto"/>
            </w:tcBorders>
            <w:shd w:val="clear" w:color="auto" w:fill="FFFFFF"/>
            <w:vAlign w:val="center"/>
          </w:tcPr>
          <w:p w14:paraId="1ED512B5" w14:textId="77777777" w:rsidR="00C82C27" w:rsidRPr="001367E6" w:rsidRDefault="00C82C27" w:rsidP="00C82C27">
            <w:pPr>
              <w:jc w:val="center"/>
              <w:rPr>
                <w:rFonts w:ascii="標楷體" w:eastAsia="標楷體" w:hAnsi="標楷體" w:cs="新細明體"/>
                <w:color w:val="000000" w:themeColor="text1"/>
                <w:spacing w:val="-20"/>
              </w:rPr>
            </w:pPr>
          </w:p>
        </w:tc>
        <w:tc>
          <w:tcPr>
            <w:tcW w:w="272" w:type="pct"/>
            <w:tcBorders>
              <w:left w:val="dashed" w:sz="4" w:space="0" w:color="auto"/>
              <w:right w:val="single" w:sz="4" w:space="0" w:color="auto"/>
            </w:tcBorders>
            <w:shd w:val="clear" w:color="auto" w:fill="FFFFFF"/>
            <w:vAlign w:val="center"/>
          </w:tcPr>
          <w:p w14:paraId="6F3B6685"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450" w:type="pct"/>
            <w:tcBorders>
              <w:left w:val="single" w:sz="4" w:space="0" w:color="auto"/>
              <w:right w:val="single" w:sz="12" w:space="0" w:color="auto"/>
            </w:tcBorders>
            <w:shd w:val="clear" w:color="auto" w:fill="FFFFFF"/>
            <w:vAlign w:val="center"/>
          </w:tcPr>
          <w:p w14:paraId="54D8E211"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color w:val="000000" w:themeColor="text1"/>
              </w:rPr>
              <w:t>90</w:t>
            </w:r>
          </w:p>
        </w:tc>
        <w:tc>
          <w:tcPr>
            <w:tcW w:w="418" w:type="pct"/>
            <w:tcBorders>
              <w:left w:val="dashed" w:sz="4" w:space="0" w:color="auto"/>
              <w:right w:val="dashed" w:sz="4" w:space="0" w:color="auto"/>
            </w:tcBorders>
            <w:shd w:val="clear" w:color="auto" w:fill="FFFFFF"/>
            <w:vAlign w:val="center"/>
          </w:tcPr>
          <w:p w14:paraId="1F6599CB"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spacing w:val="-20"/>
              </w:rPr>
              <w:t>30</w:t>
            </w:r>
          </w:p>
        </w:tc>
        <w:tc>
          <w:tcPr>
            <w:tcW w:w="536" w:type="pct"/>
            <w:tcBorders>
              <w:left w:val="single" w:sz="18" w:space="0" w:color="auto"/>
              <w:right w:val="single" w:sz="18" w:space="0" w:color="auto"/>
            </w:tcBorders>
            <w:shd w:val="clear" w:color="auto" w:fill="FFFFFF"/>
            <w:vAlign w:val="center"/>
          </w:tcPr>
          <w:p w14:paraId="17C9BEA4"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120</w:t>
            </w:r>
          </w:p>
        </w:tc>
      </w:tr>
      <w:tr w:rsidR="00C82C27" w:rsidRPr="003D0B30" w14:paraId="43967E67" w14:textId="77777777" w:rsidTr="00C82C27">
        <w:trPr>
          <w:trHeight w:val="510"/>
        </w:trPr>
        <w:tc>
          <w:tcPr>
            <w:tcW w:w="245" w:type="pct"/>
            <w:vMerge/>
            <w:tcBorders>
              <w:left w:val="single" w:sz="18" w:space="0" w:color="auto"/>
              <w:bottom w:val="single" w:sz="18" w:space="0" w:color="auto"/>
              <w:right w:val="single" w:sz="4" w:space="0" w:color="auto"/>
            </w:tcBorders>
            <w:shd w:val="clear" w:color="auto" w:fill="FFFFFF"/>
          </w:tcPr>
          <w:p w14:paraId="6103A16E" w14:textId="77777777" w:rsidR="00C82C27" w:rsidRPr="001367E6" w:rsidRDefault="00C82C27" w:rsidP="00C82C27">
            <w:pPr>
              <w:spacing w:line="360" w:lineRule="exact"/>
              <w:ind w:leftChars="-55" w:left="180" w:hangingChars="156" w:hanging="312"/>
              <w:jc w:val="both"/>
              <w:rPr>
                <w:rFonts w:ascii="標楷體" w:eastAsia="標楷體" w:hAnsi="標楷體"/>
                <w:bCs/>
                <w:color w:val="000000" w:themeColor="text1"/>
                <w:spacing w:val="-20"/>
              </w:rPr>
            </w:pPr>
          </w:p>
        </w:tc>
        <w:tc>
          <w:tcPr>
            <w:tcW w:w="870" w:type="pct"/>
            <w:tcBorders>
              <w:left w:val="single" w:sz="4" w:space="0" w:color="auto"/>
              <w:bottom w:val="single" w:sz="4" w:space="0" w:color="auto"/>
              <w:right w:val="single" w:sz="18" w:space="0" w:color="auto"/>
            </w:tcBorders>
            <w:shd w:val="clear" w:color="auto" w:fill="FFFFFF"/>
            <w:vAlign w:val="center"/>
          </w:tcPr>
          <w:p w14:paraId="6354D4E5" w14:textId="77777777" w:rsidR="00C82C27" w:rsidRPr="008E3B3C" w:rsidRDefault="00C82C27" w:rsidP="00C82C27">
            <w:pPr>
              <w:spacing w:line="360" w:lineRule="exact"/>
              <w:ind w:leftChars="-55" w:left="149" w:hangingChars="156" w:hanging="281"/>
              <w:jc w:val="both"/>
              <w:rPr>
                <w:rFonts w:ascii="標楷體" w:eastAsia="標楷體" w:hAnsi="標楷體" w:cs="Mangal"/>
                <w:bCs/>
                <w:color w:val="000000" w:themeColor="text1"/>
                <w:spacing w:val="-30"/>
              </w:rPr>
            </w:pPr>
            <w:r w:rsidRPr="008E3B3C">
              <w:rPr>
                <w:rFonts w:ascii="標楷體" w:eastAsia="標楷體" w:hAnsi="標楷體" w:cs="Mangal" w:hint="eastAsia"/>
                <w:bCs/>
                <w:color w:val="000000" w:themeColor="text1"/>
                <w:spacing w:val="-30"/>
              </w:rPr>
              <w:t>［五］同意權行使案</w:t>
            </w:r>
          </w:p>
        </w:tc>
        <w:tc>
          <w:tcPr>
            <w:tcW w:w="305" w:type="pct"/>
            <w:tcBorders>
              <w:left w:val="single" w:sz="18" w:space="0" w:color="auto"/>
              <w:right w:val="dashed" w:sz="4" w:space="0" w:color="auto"/>
            </w:tcBorders>
            <w:shd w:val="clear" w:color="auto" w:fill="FFFFFF"/>
            <w:vAlign w:val="center"/>
          </w:tcPr>
          <w:p w14:paraId="48785086"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w:t>
            </w:r>
          </w:p>
        </w:tc>
        <w:tc>
          <w:tcPr>
            <w:tcW w:w="312" w:type="pct"/>
            <w:tcBorders>
              <w:left w:val="dashed" w:sz="4" w:space="0" w:color="auto"/>
              <w:right w:val="dashed" w:sz="4" w:space="0" w:color="auto"/>
            </w:tcBorders>
            <w:shd w:val="clear" w:color="auto" w:fill="FFFFFF"/>
            <w:vAlign w:val="center"/>
          </w:tcPr>
          <w:p w14:paraId="4AB5FDC5"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0</w:t>
            </w:r>
          </w:p>
        </w:tc>
        <w:tc>
          <w:tcPr>
            <w:tcW w:w="313" w:type="pct"/>
            <w:tcBorders>
              <w:left w:val="dashed" w:sz="4" w:space="0" w:color="auto"/>
              <w:right w:val="dashed" w:sz="4" w:space="0" w:color="auto"/>
            </w:tcBorders>
            <w:shd w:val="clear" w:color="auto" w:fill="FFFFFF"/>
            <w:vAlign w:val="center"/>
          </w:tcPr>
          <w:p w14:paraId="42D54748"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300" w:type="pct"/>
            <w:tcBorders>
              <w:left w:val="dashed" w:sz="4" w:space="0" w:color="auto"/>
              <w:right w:val="dashed" w:sz="4" w:space="0" w:color="auto"/>
            </w:tcBorders>
            <w:shd w:val="clear" w:color="auto" w:fill="FFFFFF"/>
            <w:vAlign w:val="center"/>
          </w:tcPr>
          <w:p w14:paraId="0B1C7166"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300" w:type="pct"/>
            <w:tcBorders>
              <w:left w:val="dashed" w:sz="4" w:space="0" w:color="auto"/>
              <w:right w:val="dashed" w:sz="4" w:space="0" w:color="auto"/>
            </w:tcBorders>
            <w:shd w:val="clear" w:color="auto" w:fill="FFFFFF"/>
            <w:vAlign w:val="center"/>
          </w:tcPr>
          <w:p w14:paraId="5D36FA2B"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1</w:t>
            </w:r>
          </w:p>
        </w:tc>
        <w:tc>
          <w:tcPr>
            <w:tcW w:w="306" w:type="pct"/>
            <w:tcBorders>
              <w:left w:val="dashed" w:sz="4" w:space="0" w:color="auto"/>
              <w:right w:val="dashed" w:sz="4" w:space="0" w:color="auto"/>
            </w:tcBorders>
            <w:shd w:val="clear" w:color="auto" w:fill="FFFFFF"/>
            <w:vAlign w:val="center"/>
          </w:tcPr>
          <w:p w14:paraId="21283298" w14:textId="77777777" w:rsidR="00C82C27" w:rsidRPr="001367E6" w:rsidRDefault="00C82C27" w:rsidP="00C82C27">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0</w:t>
            </w:r>
          </w:p>
        </w:tc>
        <w:tc>
          <w:tcPr>
            <w:tcW w:w="182" w:type="pct"/>
            <w:tcBorders>
              <w:left w:val="dashed" w:sz="4" w:space="0" w:color="auto"/>
              <w:right w:val="dashed" w:sz="4" w:space="0" w:color="auto"/>
            </w:tcBorders>
            <w:shd w:val="clear" w:color="auto" w:fill="FFFFFF"/>
            <w:vAlign w:val="center"/>
          </w:tcPr>
          <w:p w14:paraId="1E29A512" w14:textId="77777777" w:rsidR="00C82C27" w:rsidRPr="001367E6" w:rsidRDefault="00C82C27" w:rsidP="00C82C27">
            <w:pPr>
              <w:jc w:val="center"/>
              <w:rPr>
                <w:rFonts w:ascii="標楷體" w:eastAsia="標楷體" w:hAnsi="標楷體" w:cs="新細明體"/>
                <w:color w:val="000000" w:themeColor="text1"/>
                <w:spacing w:val="-20"/>
              </w:rPr>
            </w:pPr>
          </w:p>
        </w:tc>
        <w:tc>
          <w:tcPr>
            <w:tcW w:w="191" w:type="pct"/>
            <w:tcBorders>
              <w:left w:val="dashed" w:sz="4" w:space="0" w:color="auto"/>
              <w:right w:val="dashed" w:sz="4" w:space="0" w:color="auto"/>
            </w:tcBorders>
            <w:shd w:val="clear" w:color="auto" w:fill="FFFFFF"/>
            <w:vAlign w:val="center"/>
          </w:tcPr>
          <w:p w14:paraId="3EAE71B1" w14:textId="77777777" w:rsidR="00C82C27" w:rsidRPr="001367E6" w:rsidRDefault="00C82C27" w:rsidP="00C82C27">
            <w:pPr>
              <w:jc w:val="center"/>
              <w:rPr>
                <w:rFonts w:ascii="標楷體" w:eastAsia="標楷體" w:hAnsi="標楷體" w:cs="新細明體"/>
                <w:color w:val="000000" w:themeColor="text1"/>
                <w:spacing w:val="-20"/>
              </w:rPr>
            </w:pPr>
          </w:p>
        </w:tc>
        <w:tc>
          <w:tcPr>
            <w:tcW w:w="272" w:type="pct"/>
            <w:tcBorders>
              <w:left w:val="dashed" w:sz="4" w:space="0" w:color="auto"/>
              <w:right w:val="single" w:sz="4" w:space="0" w:color="auto"/>
            </w:tcBorders>
            <w:shd w:val="clear" w:color="auto" w:fill="FFFFFF"/>
            <w:vAlign w:val="center"/>
          </w:tcPr>
          <w:p w14:paraId="454C5816" w14:textId="77777777" w:rsidR="00C82C27" w:rsidRPr="001367E6" w:rsidRDefault="00C82C27" w:rsidP="00C82C27">
            <w:pPr>
              <w:jc w:val="center"/>
              <w:rPr>
                <w:rFonts w:ascii="標楷體" w:eastAsia="標楷體" w:hAnsi="標楷體" w:cs="新細明體"/>
                <w:color w:val="000000" w:themeColor="text1"/>
                <w:spacing w:val="-20"/>
              </w:rPr>
            </w:pPr>
            <w:r w:rsidRPr="001367E6">
              <w:rPr>
                <w:rFonts w:ascii="標楷體" w:eastAsia="標楷體" w:hAnsi="標楷體" w:cs="新細明體" w:hint="eastAsia"/>
                <w:color w:val="000000" w:themeColor="text1"/>
                <w:spacing w:val="-20"/>
              </w:rPr>
              <w:t>0</w:t>
            </w:r>
          </w:p>
        </w:tc>
        <w:tc>
          <w:tcPr>
            <w:tcW w:w="450" w:type="pct"/>
            <w:tcBorders>
              <w:left w:val="single" w:sz="4" w:space="0" w:color="auto"/>
              <w:right w:val="single" w:sz="12" w:space="0" w:color="auto"/>
            </w:tcBorders>
            <w:shd w:val="clear" w:color="auto" w:fill="FFFFFF"/>
            <w:vAlign w:val="center"/>
          </w:tcPr>
          <w:p w14:paraId="1CDC1418"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2</w:t>
            </w:r>
          </w:p>
        </w:tc>
        <w:tc>
          <w:tcPr>
            <w:tcW w:w="418" w:type="pct"/>
            <w:tcBorders>
              <w:left w:val="dashed" w:sz="4" w:space="0" w:color="auto"/>
              <w:right w:val="dashed" w:sz="4" w:space="0" w:color="auto"/>
            </w:tcBorders>
            <w:shd w:val="clear" w:color="auto" w:fill="FFFFFF"/>
            <w:vAlign w:val="center"/>
          </w:tcPr>
          <w:p w14:paraId="41FB96DD"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spacing w:val="-20"/>
              </w:rPr>
              <w:t>0</w:t>
            </w:r>
          </w:p>
        </w:tc>
        <w:tc>
          <w:tcPr>
            <w:tcW w:w="536" w:type="pct"/>
            <w:tcBorders>
              <w:left w:val="single" w:sz="18" w:space="0" w:color="auto"/>
              <w:right w:val="single" w:sz="18" w:space="0" w:color="auto"/>
            </w:tcBorders>
            <w:shd w:val="clear" w:color="auto" w:fill="FFFFFF"/>
            <w:vAlign w:val="center"/>
          </w:tcPr>
          <w:p w14:paraId="6BD77453"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2</w:t>
            </w:r>
          </w:p>
        </w:tc>
      </w:tr>
      <w:tr w:rsidR="00C82C27" w:rsidRPr="003D0B30" w14:paraId="2909FD27" w14:textId="77777777" w:rsidTr="00C82C27">
        <w:trPr>
          <w:trHeight w:val="510"/>
        </w:trPr>
        <w:tc>
          <w:tcPr>
            <w:tcW w:w="245" w:type="pct"/>
            <w:vMerge/>
            <w:tcBorders>
              <w:left w:val="single" w:sz="18" w:space="0" w:color="auto"/>
              <w:bottom w:val="single" w:sz="18" w:space="0" w:color="auto"/>
              <w:right w:val="single" w:sz="4" w:space="0" w:color="auto"/>
            </w:tcBorders>
            <w:shd w:val="clear" w:color="auto" w:fill="FFFFFF"/>
          </w:tcPr>
          <w:p w14:paraId="7F7BFEC5" w14:textId="77777777" w:rsidR="00C82C27" w:rsidRPr="001367E6" w:rsidRDefault="00C82C27" w:rsidP="00C82C27">
            <w:pPr>
              <w:spacing w:line="360" w:lineRule="exact"/>
              <w:ind w:leftChars="-55" w:left="180" w:hangingChars="156" w:hanging="312"/>
              <w:jc w:val="both"/>
              <w:rPr>
                <w:rFonts w:ascii="標楷體" w:eastAsia="標楷體" w:hAnsi="標楷體"/>
                <w:bCs/>
                <w:color w:val="000000" w:themeColor="text1"/>
                <w:spacing w:val="-20"/>
              </w:rPr>
            </w:pPr>
          </w:p>
        </w:tc>
        <w:tc>
          <w:tcPr>
            <w:tcW w:w="870" w:type="pct"/>
            <w:tcBorders>
              <w:left w:val="single" w:sz="4" w:space="0" w:color="auto"/>
              <w:bottom w:val="single" w:sz="4" w:space="0" w:color="auto"/>
              <w:right w:val="single" w:sz="18" w:space="0" w:color="auto"/>
            </w:tcBorders>
            <w:shd w:val="clear" w:color="auto" w:fill="FFFFFF"/>
            <w:vAlign w:val="center"/>
          </w:tcPr>
          <w:p w14:paraId="52E9C519" w14:textId="77777777" w:rsidR="00C82C27" w:rsidRPr="008E3B3C" w:rsidRDefault="00C82C27" w:rsidP="00C82C27">
            <w:pPr>
              <w:spacing w:line="360" w:lineRule="exact"/>
              <w:ind w:leftChars="-55" w:left="149" w:hangingChars="156" w:hanging="281"/>
              <w:jc w:val="both"/>
              <w:rPr>
                <w:rFonts w:ascii="標楷體" w:eastAsia="標楷體" w:hAnsi="標楷體" w:cs="Mangal"/>
                <w:bCs/>
                <w:color w:val="000000" w:themeColor="text1"/>
                <w:spacing w:val="-30"/>
              </w:rPr>
            </w:pPr>
            <w:r w:rsidRPr="008E3B3C">
              <w:rPr>
                <w:rFonts w:ascii="標楷體" w:eastAsia="標楷體" w:hAnsi="標楷體" w:cs="Mangal" w:hint="eastAsia"/>
                <w:bCs/>
                <w:color w:val="000000" w:themeColor="text1"/>
                <w:spacing w:val="-30"/>
              </w:rPr>
              <w:t>［六］立法院內規</w:t>
            </w:r>
          </w:p>
        </w:tc>
        <w:tc>
          <w:tcPr>
            <w:tcW w:w="305" w:type="pct"/>
            <w:tcBorders>
              <w:left w:val="single" w:sz="18" w:space="0" w:color="auto"/>
              <w:bottom w:val="single" w:sz="2" w:space="0" w:color="auto"/>
              <w:right w:val="dashed" w:sz="4" w:space="0" w:color="auto"/>
            </w:tcBorders>
            <w:shd w:val="clear" w:color="auto" w:fill="FFFFFF"/>
            <w:vAlign w:val="center"/>
          </w:tcPr>
          <w:p w14:paraId="6D3B41E5"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12" w:type="pct"/>
            <w:tcBorders>
              <w:left w:val="dashed" w:sz="4" w:space="0" w:color="auto"/>
              <w:bottom w:val="single" w:sz="2" w:space="0" w:color="auto"/>
              <w:right w:val="dashed" w:sz="4" w:space="0" w:color="auto"/>
            </w:tcBorders>
            <w:shd w:val="clear" w:color="auto" w:fill="FFFFFF"/>
            <w:vAlign w:val="center"/>
          </w:tcPr>
          <w:p w14:paraId="155BEB06"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0</w:t>
            </w:r>
          </w:p>
        </w:tc>
        <w:tc>
          <w:tcPr>
            <w:tcW w:w="313" w:type="pct"/>
            <w:tcBorders>
              <w:left w:val="dashed" w:sz="4" w:space="0" w:color="auto"/>
              <w:bottom w:val="single" w:sz="2" w:space="0" w:color="auto"/>
              <w:right w:val="dashed" w:sz="4" w:space="0" w:color="auto"/>
            </w:tcBorders>
            <w:shd w:val="clear" w:color="auto" w:fill="FFFFFF"/>
            <w:vAlign w:val="center"/>
          </w:tcPr>
          <w:p w14:paraId="02541056"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00" w:type="pct"/>
            <w:tcBorders>
              <w:left w:val="dashed" w:sz="4" w:space="0" w:color="auto"/>
              <w:bottom w:val="single" w:sz="2" w:space="0" w:color="auto"/>
              <w:right w:val="dashed" w:sz="4" w:space="0" w:color="auto"/>
            </w:tcBorders>
            <w:shd w:val="clear" w:color="auto" w:fill="FFFFFF"/>
            <w:vAlign w:val="center"/>
          </w:tcPr>
          <w:p w14:paraId="6E036DD5"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00" w:type="pct"/>
            <w:tcBorders>
              <w:left w:val="dashed" w:sz="4" w:space="0" w:color="auto"/>
              <w:bottom w:val="single" w:sz="2" w:space="0" w:color="auto"/>
              <w:right w:val="dashed" w:sz="4" w:space="0" w:color="auto"/>
            </w:tcBorders>
            <w:shd w:val="clear" w:color="auto" w:fill="FFFFFF"/>
            <w:vAlign w:val="center"/>
          </w:tcPr>
          <w:p w14:paraId="1499863C"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06" w:type="pct"/>
            <w:tcBorders>
              <w:left w:val="dashed" w:sz="4" w:space="0" w:color="auto"/>
              <w:bottom w:val="single" w:sz="2" w:space="0" w:color="auto"/>
              <w:right w:val="dashed" w:sz="4" w:space="0" w:color="auto"/>
            </w:tcBorders>
            <w:shd w:val="clear" w:color="auto" w:fill="FFFFFF"/>
            <w:vAlign w:val="center"/>
          </w:tcPr>
          <w:p w14:paraId="60BF6DF5" w14:textId="77777777" w:rsidR="00C82C27" w:rsidRPr="001367E6" w:rsidRDefault="00C82C27" w:rsidP="00C82C27">
            <w:pPr>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0</w:t>
            </w:r>
          </w:p>
        </w:tc>
        <w:tc>
          <w:tcPr>
            <w:tcW w:w="182" w:type="pct"/>
            <w:tcBorders>
              <w:left w:val="dashed" w:sz="4" w:space="0" w:color="auto"/>
              <w:bottom w:val="single" w:sz="2" w:space="0" w:color="auto"/>
              <w:right w:val="dashed" w:sz="4" w:space="0" w:color="auto"/>
            </w:tcBorders>
            <w:shd w:val="clear" w:color="auto" w:fill="FFFFFF"/>
            <w:vAlign w:val="center"/>
          </w:tcPr>
          <w:p w14:paraId="2AEA38C1" w14:textId="77777777" w:rsidR="00C82C27" w:rsidRPr="001367E6" w:rsidRDefault="00C82C27" w:rsidP="00C82C27">
            <w:pPr>
              <w:jc w:val="center"/>
              <w:rPr>
                <w:rFonts w:ascii="標楷體" w:eastAsia="標楷體" w:hAnsi="標楷體"/>
                <w:color w:val="000000" w:themeColor="text1"/>
                <w:spacing w:val="-20"/>
              </w:rPr>
            </w:pPr>
          </w:p>
        </w:tc>
        <w:tc>
          <w:tcPr>
            <w:tcW w:w="191" w:type="pct"/>
            <w:tcBorders>
              <w:left w:val="dashed" w:sz="4" w:space="0" w:color="auto"/>
              <w:bottom w:val="single" w:sz="2" w:space="0" w:color="auto"/>
              <w:right w:val="dashed" w:sz="4" w:space="0" w:color="auto"/>
            </w:tcBorders>
            <w:shd w:val="clear" w:color="auto" w:fill="FFFFFF"/>
            <w:vAlign w:val="center"/>
          </w:tcPr>
          <w:p w14:paraId="76901B67" w14:textId="77777777" w:rsidR="00C82C27" w:rsidRPr="001367E6" w:rsidRDefault="00C82C27" w:rsidP="00C82C27">
            <w:pPr>
              <w:jc w:val="center"/>
              <w:rPr>
                <w:rFonts w:ascii="標楷體" w:eastAsia="標楷體" w:hAnsi="標楷體"/>
                <w:color w:val="000000" w:themeColor="text1"/>
                <w:spacing w:val="-20"/>
              </w:rPr>
            </w:pPr>
          </w:p>
        </w:tc>
        <w:tc>
          <w:tcPr>
            <w:tcW w:w="272" w:type="pct"/>
            <w:tcBorders>
              <w:left w:val="dashed" w:sz="4" w:space="0" w:color="auto"/>
              <w:bottom w:val="single" w:sz="2" w:space="0" w:color="auto"/>
              <w:right w:val="single" w:sz="4" w:space="0" w:color="auto"/>
            </w:tcBorders>
            <w:shd w:val="clear" w:color="auto" w:fill="FFFFFF"/>
            <w:vAlign w:val="center"/>
          </w:tcPr>
          <w:p w14:paraId="11782FB6"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cs="新細明體" w:hint="eastAsia"/>
                <w:color w:val="000000" w:themeColor="text1"/>
                <w:spacing w:val="-20"/>
              </w:rPr>
              <w:t>0</w:t>
            </w:r>
          </w:p>
        </w:tc>
        <w:tc>
          <w:tcPr>
            <w:tcW w:w="450" w:type="pct"/>
            <w:tcBorders>
              <w:left w:val="single" w:sz="4" w:space="0" w:color="auto"/>
              <w:bottom w:val="single" w:sz="2" w:space="0" w:color="auto"/>
              <w:right w:val="single" w:sz="12" w:space="0" w:color="auto"/>
            </w:tcBorders>
            <w:shd w:val="clear" w:color="auto" w:fill="FFFFFF"/>
            <w:vAlign w:val="center"/>
          </w:tcPr>
          <w:p w14:paraId="4ACB252B" w14:textId="77777777" w:rsidR="00C82C27" w:rsidRPr="003D0B30" w:rsidRDefault="00C82C27" w:rsidP="00C82C27">
            <w:pPr>
              <w:jc w:val="center"/>
              <w:rPr>
                <w:rFonts w:ascii="標楷體" w:eastAsia="標楷體" w:hAnsi="標楷體"/>
                <w:color w:val="000000" w:themeColor="text1"/>
              </w:rPr>
            </w:pPr>
            <w:r w:rsidRPr="003D0B30">
              <w:rPr>
                <w:rFonts w:ascii="標楷體" w:eastAsia="標楷體" w:hAnsi="標楷體" w:hint="eastAsia"/>
                <w:color w:val="000000" w:themeColor="text1"/>
              </w:rPr>
              <w:t>0</w:t>
            </w:r>
          </w:p>
        </w:tc>
        <w:tc>
          <w:tcPr>
            <w:tcW w:w="418" w:type="pct"/>
            <w:tcBorders>
              <w:left w:val="dashed" w:sz="4" w:space="0" w:color="auto"/>
              <w:bottom w:val="single" w:sz="2" w:space="0" w:color="auto"/>
              <w:right w:val="dashed" w:sz="4" w:space="0" w:color="auto"/>
            </w:tcBorders>
            <w:shd w:val="clear" w:color="auto" w:fill="FFFFFF"/>
            <w:vAlign w:val="center"/>
          </w:tcPr>
          <w:p w14:paraId="6E5DCA78" w14:textId="77777777" w:rsidR="00C82C27" w:rsidRPr="003D0B30" w:rsidRDefault="00C82C27" w:rsidP="00C82C27">
            <w:pPr>
              <w:jc w:val="center"/>
              <w:rPr>
                <w:rFonts w:ascii="標楷體" w:eastAsia="標楷體" w:hAnsi="標楷體"/>
                <w:color w:val="000000" w:themeColor="text1"/>
              </w:rPr>
            </w:pPr>
            <w:r w:rsidRPr="003D0B30">
              <w:rPr>
                <w:rFonts w:ascii="標楷體" w:eastAsia="標楷體" w:hAnsi="標楷體" w:hint="eastAsia"/>
                <w:color w:val="000000" w:themeColor="text1"/>
                <w:spacing w:val="-20"/>
              </w:rPr>
              <w:t>5</w:t>
            </w:r>
          </w:p>
        </w:tc>
        <w:tc>
          <w:tcPr>
            <w:tcW w:w="536" w:type="pct"/>
            <w:tcBorders>
              <w:left w:val="single" w:sz="18" w:space="0" w:color="auto"/>
              <w:bottom w:val="single" w:sz="2" w:space="0" w:color="auto"/>
              <w:right w:val="single" w:sz="18" w:space="0" w:color="auto"/>
            </w:tcBorders>
            <w:shd w:val="clear" w:color="auto" w:fill="FFFFFF"/>
            <w:vAlign w:val="center"/>
          </w:tcPr>
          <w:p w14:paraId="1F2D545C"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5</w:t>
            </w:r>
          </w:p>
        </w:tc>
      </w:tr>
      <w:tr w:rsidR="00C82C27" w:rsidRPr="003D0B30" w14:paraId="6F4882AF" w14:textId="77777777" w:rsidTr="00C82C27">
        <w:trPr>
          <w:trHeight w:val="510"/>
        </w:trPr>
        <w:tc>
          <w:tcPr>
            <w:tcW w:w="245" w:type="pct"/>
            <w:vMerge/>
            <w:tcBorders>
              <w:left w:val="single" w:sz="18" w:space="0" w:color="auto"/>
              <w:bottom w:val="single" w:sz="18" w:space="0" w:color="auto"/>
              <w:right w:val="single" w:sz="4" w:space="0" w:color="auto"/>
            </w:tcBorders>
            <w:shd w:val="clear" w:color="auto" w:fill="FFFFFF"/>
          </w:tcPr>
          <w:p w14:paraId="7F418FB0" w14:textId="77777777" w:rsidR="00C82C27" w:rsidRPr="001367E6" w:rsidRDefault="00C82C27" w:rsidP="00C82C27">
            <w:pPr>
              <w:spacing w:line="360" w:lineRule="exact"/>
              <w:ind w:leftChars="-55" w:left="180" w:hangingChars="156" w:hanging="312"/>
              <w:jc w:val="both"/>
              <w:rPr>
                <w:rFonts w:ascii="標楷體" w:eastAsia="標楷體" w:hAnsi="標楷體"/>
                <w:bCs/>
                <w:color w:val="000000" w:themeColor="text1"/>
                <w:spacing w:val="-20"/>
              </w:rPr>
            </w:pPr>
          </w:p>
        </w:tc>
        <w:tc>
          <w:tcPr>
            <w:tcW w:w="870" w:type="pct"/>
            <w:tcBorders>
              <w:top w:val="single" w:sz="4" w:space="0" w:color="auto"/>
              <w:left w:val="single" w:sz="4" w:space="0" w:color="auto"/>
              <w:bottom w:val="single" w:sz="4" w:space="0" w:color="auto"/>
              <w:right w:val="single" w:sz="18" w:space="0" w:color="auto"/>
            </w:tcBorders>
            <w:shd w:val="clear" w:color="auto" w:fill="FFFFFF"/>
            <w:vAlign w:val="center"/>
          </w:tcPr>
          <w:p w14:paraId="113260EE" w14:textId="77777777" w:rsidR="00C82C27" w:rsidRPr="008E3B3C" w:rsidRDefault="00C82C27" w:rsidP="00C82C27">
            <w:pPr>
              <w:spacing w:line="360" w:lineRule="exact"/>
              <w:ind w:leftChars="-55" w:left="149" w:hangingChars="156" w:hanging="281"/>
              <w:jc w:val="both"/>
              <w:rPr>
                <w:rFonts w:ascii="標楷體" w:eastAsia="標楷體" w:hAnsi="標楷體" w:cs="Mangal"/>
                <w:bCs/>
                <w:color w:val="000000" w:themeColor="text1"/>
                <w:spacing w:val="-30"/>
              </w:rPr>
            </w:pPr>
            <w:r w:rsidRPr="008E3B3C">
              <w:rPr>
                <w:rFonts w:ascii="標楷體" w:eastAsia="標楷體" w:hAnsi="標楷體" w:cs="Mangal" w:hint="eastAsia"/>
                <w:bCs/>
                <w:color w:val="000000" w:themeColor="text1"/>
                <w:spacing w:val="-30"/>
              </w:rPr>
              <w:t>［七］其他議案</w:t>
            </w:r>
          </w:p>
        </w:tc>
        <w:tc>
          <w:tcPr>
            <w:tcW w:w="305" w:type="pct"/>
            <w:tcBorders>
              <w:left w:val="single" w:sz="18" w:space="0" w:color="auto"/>
              <w:bottom w:val="single" w:sz="2" w:space="0" w:color="auto"/>
              <w:right w:val="dashed" w:sz="4" w:space="0" w:color="auto"/>
            </w:tcBorders>
            <w:shd w:val="clear" w:color="auto" w:fill="FFFFFF"/>
            <w:vAlign w:val="center"/>
          </w:tcPr>
          <w:p w14:paraId="54BD4607"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12" w:type="pct"/>
            <w:tcBorders>
              <w:left w:val="dashed" w:sz="4" w:space="0" w:color="auto"/>
              <w:bottom w:val="single" w:sz="2" w:space="0" w:color="auto"/>
              <w:right w:val="dashed" w:sz="4" w:space="0" w:color="auto"/>
            </w:tcBorders>
            <w:shd w:val="clear" w:color="auto" w:fill="FFFFFF"/>
            <w:vAlign w:val="center"/>
          </w:tcPr>
          <w:p w14:paraId="7C3463E4"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0</w:t>
            </w:r>
          </w:p>
        </w:tc>
        <w:tc>
          <w:tcPr>
            <w:tcW w:w="313" w:type="pct"/>
            <w:tcBorders>
              <w:left w:val="dashed" w:sz="4" w:space="0" w:color="auto"/>
              <w:bottom w:val="single" w:sz="2" w:space="0" w:color="auto"/>
              <w:right w:val="dashed" w:sz="4" w:space="0" w:color="auto"/>
            </w:tcBorders>
            <w:shd w:val="clear" w:color="auto" w:fill="FFFFFF"/>
            <w:vAlign w:val="center"/>
          </w:tcPr>
          <w:p w14:paraId="00E90A82"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00" w:type="pct"/>
            <w:tcBorders>
              <w:left w:val="dashed" w:sz="4" w:space="0" w:color="auto"/>
              <w:bottom w:val="single" w:sz="2" w:space="0" w:color="auto"/>
              <w:right w:val="dashed" w:sz="4" w:space="0" w:color="auto"/>
            </w:tcBorders>
            <w:shd w:val="clear" w:color="auto" w:fill="FFFFFF"/>
            <w:vAlign w:val="center"/>
          </w:tcPr>
          <w:p w14:paraId="0744C744"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00" w:type="pct"/>
            <w:tcBorders>
              <w:left w:val="dashed" w:sz="4" w:space="0" w:color="auto"/>
              <w:bottom w:val="single" w:sz="2" w:space="0" w:color="auto"/>
              <w:right w:val="dashed" w:sz="4" w:space="0" w:color="auto"/>
            </w:tcBorders>
            <w:shd w:val="clear" w:color="auto" w:fill="FFFFFF"/>
            <w:vAlign w:val="center"/>
          </w:tcPr>
          <w:p w14:paraId="749D2B5B"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hint="eastAsia"/>
                <w:color w:val="000000" w:themeColor="text1"/>
                <w:spacing w:val="-20"/>
              </w:rPr>
              <w:t>0</w:t>
            </w:r>
          </w:p>
        </w:tc>
        <w:tc>
          <w:tcPr>
            <w:tcW w:w="306" w:type="pct"/>
            <w:tcBorders>
              <w:left w:val="dashed" w:sz="4" w:space="0" w:color="auto"/>
              <w:bottom w:val="single" w:sz="2" w:space="0" w:color="auto"/>
              <w:right w:val="dashed" w:sz="4" w:space="0" w:color="auto"/>
            </w:tcBorders>
            <w:shd w:val="clear" w:color="auto" w:fill="FFFFFF"/>
            <w:vAlign w:val="center"/>
          </w:tcPr>
          <w:p w14:paraId="4C953B7B" w14:textId="77777777" w:rsidR="00C82C27" w:rsidRPr="001367E6" w:rsidRDefault="00C82C27" w:rsidP="00C82C27">
            <w:pPr>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0</w:t>
            </w:r>
          </w:p>
        </w:tc>
        <w:tc>
          <w:tcPr>
            <w:tcW w:w="182" w:type="pct"/>
            <w:tcBorders>
              <w:left w:val="dashed" w:sz="4" w:space="0" w:color="auto"/>
              <w:bottom w:val="single" w:sz="2" w:space="0" w:color="auto"/>
              <w:right w:val="dashed" w:sz="4" w:space="0" w:color="auto"/>
            </w:tcBorders>
            <w:shd w:val="clear" w:color="auto" w:fill="FFFFFF"/>
            <w:vAlign w:val="center"/>
          </w:tcPr>
          <w:p w14:paraId="1417B1D5" w14:textId="77777777" w:rsidR="00C82C27" w:rsidRPr="001367E6" w:rsidRDefault="00C82C27" w:rsidP="00C82C27">
            <w:pPr>
              <w:jc w:val="center"/>
              <w:rPr>
                <w:rFonts w:ascii="標楷體" w:eastAsia="標楷體" w:hAnsi="標楷體"/>
                <w:color w:val="000000" w:themeColor="text1"/>
                <w:spacing w:val="-20"/>
              </w:rPr>
            </w:pPr>
          </w:p>
        </w:tc>
        <w:tc>
          <w:tcPr>
            <w:tcW w:w="191" w:type="pct"/>
            <w:tcBorders>
              <w:left w:val="dashed" w:sz="4" w:space="0" w:color="auto"/>
              <w:bottom w:val="single" w:sz="2" w:space="0" w:color="auto"/>
              <w:right w:val="dashed" w:sz="4" w:space="0" w:color="auto"/>
            </w:tcBorders>
            <w:shd w:val="clear" w:color="auto" w:fill="FFFFFF"/>
            <w:vAlign w:val="center"/>
          </w:tcPr>
          <w:p w14:paraId="6C0DEB2E" w14:textId="77777777" w:rsidR="00C82C27" w:rsidRPr="001367E6" w:rsidRDefault="00C82C27" w:rsidP="00C82C27">
            <w:pPr>
              <w:jc w:val="center"/>
              <w:rPr>
                <w:rFonts w:ascii="標楷體" w:eastAsia="標楷體" w:hAnsi="標楷體"/>
                <w:color w:val="000000" w:themeColor="text1"/>
                <w:spacing w:val="-20"/>
              </w:rPr>
            </w:pPr>
          </w:p>
        </w:tc>
        <w:tc>
          <w:tcPr>
            <w:tcW w:w="272" w:type="pct"/>
            <w:tcBorders>
              <w:left w:val="dashed" w:sz="4" w:space="0" w:color="auto"/>
              <w:bottom w:val="single" w:sz="2" w:space="0" w:color="auto"/>
              <w:right w:val="single" w:sz="4" w:space="0" w:color="auto"/>
            </w:tcBorders>
            <w:shd w:val="clear" w:color="auto" w:fill="FFFFFF"/>
            <w:vAlign w:val="center"/>
          </w:tcPr>
          <w:p w14:paraId="6D042364" w14:textId="77777777" w:rsidR="00C82C27" w:rsidRPr="001367E6" w:rsidRDefault="00C82C27" w:rsidP="00C82C27">
            <w:pPr>
              <w:jc w:val="center"/>
              <w:rPr>
                <w:rFonts w:ascii="標楷體" w:eastAsia="標楷體" w:hAnsi="標楷體"/>
                <w:color w:val="000000" w:themeColor="text1"/>
                <w:spacing w:val="-20"/>
              </w:rPr>
            </w:pPr>
            <w:r w:rsidRPr="001367E6">
              <w:rPr>
                <w:rFonts w:ascii="標楷體" w:eastAsia="標楷體" w:hAnsi="標楷體" w:cs="新細明體" w:hint="eastAsia"/>
                <w:color w:val="000000" w:themeColor="text1"/>
                <w:spacing w:val="-20"/>
              </w:rPr>
              <w:t>0</w:t>
            </w:r>
          </w:p>
        </w:tc>
        <w:tc>
          <w:tcPr>
            <w:tcW w:w="450" w:type="pct"/>
            <w:tcBorders>
              <w:left w:val="single" w:sz="4" w:space="0" w:color="auto"/>
              <w:bottom w:val="single" w:sz="2" w:space="0" w:color="auto"/>
              <w:right w:val="single" w:sz="12" w:space="0" w:color="auto"/>
            </w:tcBorders>
            <w:shd w:val="clear" w:color="auto" w:fill="FFFFFF"/>
            <w:vAlign w:val="center"/>
          </w:tcPr>
          <w:p w14:paraId="52CEB1E2" w14:textId="77777777" w:rsidR="00C82C27" w:rsidRPr="003D0B30" w:rsidRDefault="00C82C27" w:rsidP="00C82C27">
            <w:pPr>
              <w:jc w:val="center"/>
              <w:rPr>
                <w:rFonts w:ascii="標楷體" w:eastAsia="標楷體" w:hAnsi="標楷體"/>
                <w:color w:val="000000" w:themeColor="text1"/>
              </w:rPr>
            </w:pPr>
            <w:r w:rsidRPr="003D0B30">
              <w:rPr>
                <w:rFonts w:ascii="標楷體" w:eastAsia="標楷體" w:hAnsi="標楷體" w:hint="eastAsia"/>
                <w:color w:val="000000" w:themeColor="text1"/>
              </w:rPr>
              <w:t>0</w:t>
            </w:r>
          </w:p>
        </w:tc>
        <w:tc>
          <w:tcPr>
            <w:tcW w:w="418" w:type="pct"/>
            <w:tcBorders>
              <w:left w:val="dashed" w:sz="4" w:space="0" w:color="auto"/>
              <w:bottom w:val="single" w:sz="2" w:space="0" w:color="auto"/>
              <w:right w:val="dashed" w:sz="4" w:space="0" w:color="auto"/>
            </w:tcBorders>
            <w:shd w:val="clear" w:color="auto" w:fill="FFFFFF"/>
            <w:vAlign w:val="center"/>
          </w:tcPr>
          <w:p w14:paraId="5E8AFCFF" w14:textId="77777777" w:rsidR="00C82C27" w:rsidRPr="003D0B30" w:rsidRDefault="00C82C27" w:rsidP="00C82C27">
            <w:pPr>
              <w:jc w:val="center"/>
              <w:rPr>
                <w:rFonts w:ascii="標楷體" w:eastAsia="標楷體" w:hAnsi="標楷體"/>
                <w:color w:val="000000" w:themeColor="text1"/>
              </w:rPr>
            </w:pPr>
            <w:r w:rsidRPr="003D0B30">
              <w:rPr>
                <w:rFonts w:ascii="標楷體" w:eastAsia="標楷體" w:hAnsi="標楷體" w:hint="eastAsia"/>
                <w:color w:val="000000" w:themeColor="text1"/>
                <w:spacing w:val="-20"/>
              </w:rPr>
              <w:t>17</w:t>
            </w:r>
          </w:p>
        </w:tc>
        <w:tc>
          <w:tcPr>
            <w:tcW w:w="536" w:type="pct"/>
            <w:tcBorders>
              <w:left w:val="single" w:sz="18" w:space="0" w:color="auto"/>
              <w:bottom w:val="single" w:sz="2" w:space="0" w:color="auto"/>
              <w:right w:val="single" w:sz="18" w:space="0" w:color="auto"/>
            </w:tcBorders>
            <w:shd w:val="clear" w:color="auto" w:fill="FFFFFF"/>
            <w:vAlign w:val="center"/>
          </w:tcPr>
          <w:p w14:paraId="1518B0EF" w14:textId="77777777" w:rsidR="00C82C27" w:rsidRPr="003D0B30" w:rsidRDefault="00C82C27" w:rsidP="00C82C27">
            <w:pPr>
              <w:jc w:val="center"/>
              <w:rPr>
                <w:rFonts w:ascii="標楷體" w:eastAsia="標楷體" w:hAnsi="標楷體" w:cs="新細明體"/>
                <w:color w:val="000000" w:themeColor="text1"/>
              </w:rPr>
            </w:pPr>
            <w:r w:rsidRPr="003D0B30">
              <w:rPr>
                <w:rFonts w:ascii="標楷體" w:eastAsia="標楷體" w:hAnsi="標楷體" w:cs="新細明體" w:hint="eastAsia"/>
                <w:color w:val="000000" w:themeColor="text1"/>
              </w:rPr>
              <w:t>17</w:t>
            </w:r>
          </w:p>
        </w:tc>
      </w:tr>
      <w:tr w:rsidR="00C82C27" w:rsidRPr="003D0B30" w14:paraId="2D51AE0B" w14:textId="77777777" w:rsidTr="00C82C27">
        <w:trPr>
          <w:trHeight w:val="510"/>
        </w:trPr>
        <w:tc>
          <w:tcPr>
            <w:tcW w:w="1115" w:type="pct"/>
            <w:gridSpan w:val="2"/>
            <w:tcBorders>
              <w:top w:val="single" w:sz="18" w:space="0" w:color="auto"/>
              <w:left w:val="single" w:sz="18" w:space="0" w:color="auto"/>
              <w:bottom w:val="single" w:sz="18" w:space="0" w:color="auto"/>
              <w:right w:val="single" w:sz="18" w:space="0" w:color="auto"/>
            </w:tcBorders>
            <w:shd w:val="clear" w:color="auto" w:fill="FFFFFF"/>
          </w:tcPr>
          <w:p w14:paraId="4BCA66D0" w14:textId="77777777" w:rsidR="00C82C27" w:rsidRPr="001367E6" w:rsidRDefault="00C82C27" w:rsidP="00C82C27">
            <w:pPr>
              <w:spacing w:line="300" w:lineRule="exact"/>
              <w:ind w:leftChars="-55" w:left="180" w:hangingChars="156" w:hanging="312"/>
              <w:jc w:val="center"/>
              <w:rPr>
                <w:rFonts w:ascii="標楷體" w:eastAsia="標楷體" w:hAnsi="標楷體"/>
                <w:b/>
                <w:color w:val="000000" w:themeColor="text1"/>
                <w:spacing w:val="-20"/>
              </w:rPr>
            </w:pPr>
            <w:r w:rsidRPr="001367E6">
              <w:rPr>
                <w:rFonts w:ascii="標楷體" w:eastAsia="標楷體" w:hAnsi="標楷體" w:hint="eastAsia"/>
                <w:b/>
                <w:color w:val="000000" w:themeColor="text1"/>
                <w:spacing w:val="-20"/>
              </w:rPr>
              <w:t>［一］ 至 ［七］</w:t>
            </w:r>
          </w:p>
          <w:p w14:paraId="2ED7217D" w14:textId="77777777" w:rsidR="00C82C27" w:rsidRPr="001367E6" w:rsidRDefault="00C82C27" w:rsidP="00C82C27">
            <w:pPr>
              <w:spacing w:line="300" w:lineRule="exact"/>
              <w:ind w:leftChars="-55" w:left="180" w:hangingChars="156" w:hanging="312"/>
              <w:jc w:val="center"/>
              <w:rPr>
                <w:rFonts w:ascii="標楷體" w:eastAsia="標楷體" w:hAnsi="標楷體"/>
                <w:b/>
                <w:color w:val="000000" w:themeColor="text1"/>
                <w:spacing w:val="-20"/>
              </w:rPr>
            </w:pPr>
            <w:r w:rsidRPr="001367E6">
              <w:rPr>
                <w:rFonts w:ascii="標楷體" w:eastAsia="標楷體" w:hAnsi="標楷體" w:hint="eastAsia"/>
                <w:b/>
                <w:color w:val="000000" w:themeColor="text1"/>
                <w:spacing w:val="-20"/>
              </w:rPr>
              <w:t>小         計</w:t>
            </w:r>
          </w:p>
        </w:tc>
        <w:tc>
          <w:tcPr>
            <w:tcW w:w="305" w:type="pct"/>
            <w:tcBorders>
              <w:top w:val="single" w:sz="18" w:space="0" w:color="auto"/>
              <w:left w:val="single" w:sz="18" w:space="0" w:color="auto"/>
              <w:bottom w:val="single" w:sz="18" w:space="0" w:color="auto"/>
              <w:right w:val="dashed" w:sz="4" w:space="0" w:color="auto"/>
            </w:tcBorders>
            <w:shd w:val="clear" w:color="auto" w:fill="FFFFFF"/>
            <w:vAlign w:val="center"/>
          </w:tcPr>
          <w:p w14:paraId="0E2C8FC8" w14:textId="77777777" w:rsidR="00C82C27" w:rsidRPr="001367E6" w:rsidRDefault="00C82C27" w:rsidP="00C82C27">
            <w:pPr>
              <w:jc w:val="center"/>
              <w:rPr>
                <w:rFonts w:ascii="標楷體" w:eastAsia="標楷體" w:hAnsi="標楷體" w:cs="新細明體"/>
                <w:b/>
                <w:color w:val="000000" w:themeColor="text1"/>
                <w:spacing w:val="-20"/>
              </w:rPr>
            </w:pPr>
            <w:r w:rsidRPr="001367E6">
              <w:rPr>
                <w:rFonts w:ascii="標楷體" w:eastAsia="標楷體" w:hAnsi="標楷體" w:cs="新細明體" w:hint="eastAsia"/>
                <w:b/>
                <w:color w:val="000000" w:themeColor="text1"/>
                <w:spacing w:val="-20"/>
              </w:rPr>
              <w:t>176</w:t>
            </w:r>
          </w:p>
        </w:tc>
        <w:tc>
          <w:tcPr>
            <w:tcW w:w="312" w:type="pct"/>
            <w:tcBorders>
              <w:top w:val="single" w:sz="18" w:space="0" w:color="auto"/>
              <w:left w:val="dashed" w:sz="4" w:space="0" w:color="auto"/>
              <w:bottom w:val="single" w:sz="18" w:space="0" w:color="auto"/>
              <w:right w:val="dashed" w:sz="4" w:space="0" w:color="auto"/>
            </w:tcBorders>
            <w:shd w:val="clear" w:color="auto" w:fill="FFFFFF"/>
            <w:vAlign w:val="center"/>
          </w:tcPr>
          <w:p w14:paraId="5E949730" w14:textId="77777777" w:rsidR="00C82C27" w:rsidRPr="00162518" w:rsidRDefault="00C82C27" w:rsidP="00C82C27">
            <w:pPr>
              <w:jc w:val="center"/>
              <w:rPr>
                <w:rFonts w:ascii="標楷體" w:eastAsia="標楷體" w:hAnsi="標楷體" w:cs="新細明體"/>
                <w:b/>
                <w:color w:val="000000" w:themeColor="text1"/>
                <w:spacing w:val="-20"/>
              </w:rPr>
            </w:pPr>
            <w:r w:rsidRPr="00162518">
              <w:rPr>
                <w:rFonts w:ascii="標楷體" w:eastAsia="標楷體" w:hAnsi="標楷體" w:cs="新細明體" w:hint="eastAsia"/>
                <w:b/>
                <w:color w:val="000000" w:themeColor="text1"/>
                <w:spacing w:val="-20"/>
              </w:rPr>
              <w:t>67</w:t>
            </w:r>
          </w:p>
        </w:tc>
        <w:tc>
          <w:tcPr>
            <w:tcW w:w="313" w:type="pct"/>
            <w:tcBorders>
              <w:top w:val="single" w:sz="18" w:space="0" w:color="auto"/>
              <w:left w:val="dashed" w:sz="4" w:space="0" w:color="auto"/>
              <w:bottom w:val="single" w:sz="18" w:space="0" w:color="auto"/>
              <w:right w:val="dashed" w:sz="4" w:space="0" w:color="auto"/>
            </w:tcBorders>
            <w:shd w:val="clear" w:color="auto" w:fill="FFFFFF"/>
            <w:vAlign w:val="center"/>
          </w:tcPr>
          <w:p w14:paraId="0578FABC" w14:textId="77777777" w:rsidR="00C82C27" w:rsidRPr="00162518" w:rsidRDefault="00C82C27" w:rsidP="00C82C27">
            <w:pPr>
              <w:jc w:val="center"/>
              <w:rPr>
                <w:rFonts w:ascii="標楷體" w:eastAsia="標楷體" w:hAnsi="標楷體" w:cs="新細明體"/>
                <w:b/>
                <w:color w:val="000000" w:themeColor="text1"/>
                <w:spacing w:val="-20"/>
              </w:rPr>
            </w:pPr>
            <w:r w:rsidRPr="00162518">
              <w:rPr>
                <w:rFonts w:ascii="標楷體" w:eastAsia="標楷體" w:hAnsi="標楷體" w:cs="新細明體"/>
                <w:b/>
                <w:color w:val="000000" w:themeColor="text1"/>
                <w:spacing w:val="-20"/>
              </w:rPr>
              <w:t>167</w:t>
            </w:r>
          </w:p>
        </w:tc>
        <w:tc>
          <w:tcPr>
            <w:tcW w:w="300" w:type="pct"/>
            <w:tcBorders>
              <w:top w:val="single" w:sz="18" w:space="0" w:color="auto"/>
              <w:left w:val="dashed" w:sz="4" w:space="0" w:color="auto"/>
              <w:bottom w:val="single" w:sz="18" w:space="0" w:color="auto"/>
              <w:right w:val="dashed" w:sz="4" w:space="0" w:color="auto"/>
            </w:tcBorders>
            <w:shd w:val="clear" w:color="auto" w:fill="FFFFFF"/>
            <w:vAlign w:val="center"/>
          </w:tcPr>
          <w:p w14:paraId="0D37C02A" w14:textId="77777777" w:rsidR="00C82C27" w:rsidRPr="00162518" w:rsidRDefault="00C82C27" w:rsidP="00C82C27">
            <w:pPr>
              <w:jc w:val="center"/>
              <w:rPr>
                <w:rFonts w:ascii="標楷體" w:eastAsia="標楷體" w:hAnsi="標楷體" w:cs="新細明體"/>
                <w:b/>
                <w:color w:val="000000" w:themeColor="text1"/>
                <w:spacing w:val="-20"/>
              </w:rPr>
            </w:pPr>
            <w:r w:rsidRPr="00162518">
              <w:rPr>
                <w:rFonts w:ascii="標楷體" w:eastAsia="標楷體" w:hAnsi="標楷體" w:cs="新細明體" w:hint="eastAsia"/>
                <w:b/>
                <w:color w:val="000000" w:themeColor="text1"/>
                <w:spacing w:val="-20"/>
              </w:rPr>
              <w:t>214</w:t>
            </w:r>
          </w:p>
        </w:tc>
        <w:tc>
          <w:tcPr>
            <w:tcW w:w="300" w:type="pct"/>
            <w:tcBorders>
              <w:top w:val="single" w:sz="18" w:space="0" w:color="auto"/>
              <w:left w:val="dashed" w:sz="4" w:space="0" w:color="auto"/>
              <w:bottom w:val="single" w:sz="18" w:space="0" w:color="auto"/>
              <w:right w:val="dashed" w:sz="4" w:space="0" w:color="auto"/>
            </w:tcBorders>
            <w:shd w:val="clear" w:color="auto" w:fill="FFFFFF"/>
            <w:vAlign w:val="center"/>
          </w:tcPr>
          <w:p w14:paraId="2ED3B1C6" w14:textId="77777777" w:rsidR="00C82C27" w:rsidRPr="00162518" w:rsidRDefault="00C82C27" w:rsidP="00C82C27">
            <w:pPr>
              <w:jc w:val="center"/>
              <w:rPr>
                <w:rFonts w:ascii="標楷體" w:eastAsia="標楷體" w:hAnsi="標楷體" w:cs="新細明體"/>
                <w:b/>
                <w:color w:val="000000" w:themeColor="text1"/>
                <w:spacing w:val="-20"/>
              </w:rPr>
            </w:pPr>
            <w:r w:rsidRPr="00162518">
              <w:rPr>
                <w:rFonts w:ascii="標楷體" w:eastAsia="標楷體" w:hAnsi="標楷體" w:cs="新細明體" w:hint="eastAsia"/>
                <w:b/>
                <w:color w:val="000000" w:themeColor="text1"/>
                <w:spacing w:val="-20"/>
              </w:rPr>
              <w:t>137</w:t>
            </w:r>
          </w:p>
        </w:tc>
        <w:tc>
          <w:tcPr>
            <w:tcW w:w="306" w:type="pct"/>
            <w:tcBorders>
              <w:top w:val="single" w:sz="18" w:space="0" w:color="auto"/>
              <w:left w:val="dashed" w:sz="4" w:space="0" w:color="auto"/>
              <w:bottom w:val="single" w:sz="18" w:space="0" w:color="auto"/>
              <w:right w:val="dashed" w:sz="4" w:space="0" w:color="auto"/>
            </w:tcBorders>
            <w:shd w:val="clear" w:color="auto" w:fill="FFFFFF"/>
            <w:vAlign w:val="center"/>
          </w:tcPr>
          <w:p w14:paraId="0A57BA58" w14:textId="77777777" w:rsidR="00C82C27" w:rsidRPr="00162518" w:rsidRDefault="00C82C27" w:rsidP="00C82C27">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262</w:t>
            </w:r>
          </w:p>
        </w:tc>
        <w:tc>
          <w:tcPr>
            <w:tcW w:w="182" w:type="pct"/>
            <w:tcBorders>
              <w:top w:val="single" w:sz="18" w:space="0" w:color="auto"/>
              <w:left w:val="dashed" w:sz="4" w:space="0" w:color="auto"/>
              <w:bottom w:val="single" w:sz="18" w:space="0" w:color="auto"/>
              <w:right w:val="dashed" w:sz="4" w:space="0" w:color="auto"/>
            </w:tcBorders>
            <w:shd w:val="clear" w:color="auto" w:fill="FFFFFF"/>
            <w:vAlign w:val="center"/>
          </w:tcPr>
          <w:p w14:paraId="62948B66" w14:textId="77777777" w:rsidR="00C82C27" w:rsidRPr="00162518" w:rsidRDefault="00C82C27" w:rsidP="00C82C27">
            <w:pPr>
              <w:jc w:val="center"/>
              <w:rPr>
                <w:rFonts w:ascii="標楷體" w:eastAsia="標楷體" w:hAnsi="標楷體" w:cs="新細明體"/>
                <w:b/>
                <w:color w:val="000000" w:themeColor="text1"/>
                <w:spacing w:val="-20"/>
              </w:rPr>
            </w:pPr>
          </w:p>
        </w:tc>
        <w:tc>
          <w:tcPr>
            <w:tcW w:w="191" w:type="pct"/>
            <w:tcBorders>
              <w:top w:val="single" w:sz="18" w:space="0" w:color="auto"/>
              <w:left w:val="dashed" w:sz="4" w:space="0" w:color="auto"/>
              <w:bottom w:val="single" w:sz="18" w:space="0" w:color="auto"/>
              <w:right w:val="dashed" w:sz="4" w:space="0" w:color="auto"/>
            </w:tcBorders>
            <w:shd w:val="clear" w:color="auto" w:fill="FFFFFF"/>
            <w:vAlign w:val="center"/>
          </w:tcPr>
          <w:p w14:paraId="77B4A231" w14:textId="77777777" w:rsidR="00C82C27" w:rsidRPr="00162518" w:rsidRDefault="00C82C27" w:rsidP="00C82C27">
            <w:pPr>
              <w:jc w:val="center"/>
              <w:rPr>
                <w:rFonts w:ascii="標楷體" w:eastAsia="標楷體" w:hAnsi="標楷體" w:cs="新細明體"/>
                <w:b/>
                <w:color w:val="000000" w:themeColor="text1"/>
                <w:spacing w:val="-20"/>
              </w:rPr>
            </w:pPr>
          </w:p>
        </w:tc>
        <w:tc>
          <w:tcPr>
            <w:tcW w:w="272" w:type="pct"/>
            <w:tcBorders>
              <w:top w:val="single" w:sz="18" w:space="0" w:color="auto"/>
              <w:left w:val="dashed" w:sz="4" w:space="0" w:color="auto"/>
              <w:bottom w:val="single" w:sz="18" w:space="0" w:color="auto"/>
              <w:right w:val="single" w:sz="4" w:space="0" w:color="auto"/>
            </w:tcBorders>
            <w:shd w:val="clear" w:color="auto" w:fill="FFFFFF"/>
            <w:vAlign w:val="center"/>
          </w:tcPr>
          <w:p w14:paraId="67BF1F58" w14:textId="77777777" w:rsidR="00C82C27" w:rsidRPr="001367E6" w:rsidRDefault="00C82C27" w:rsidP="00C82C27">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53</w:t>
            </w:r>
          </w:p>
        </w:tc>
        <w:tc>
          <w:tcPr>
            <w:tcW w:w="450" w:type="pct"/>
            <w:tcBorders>
              <w:top w:val="single" w:sz="18" w:space="0" w:color="auto"/>
              <w:left w:val="single" w:sz="4" w:space="0" w:color="auto"/>
              <w:bottom w:val="single" w:sz="18" w:space="0" w:color="auto"/>
              <w:right w:val="single" w:sz="12" w:space="0" w:color="auto"/>
            </w:tcBorders>
            <w:shd w:val="clear" w:color="auto" w:fill="FFFFFF"/>
            <w:vAlign w:val="center"/>
          </w:tcPr>
          <w:p w14:paraId="2A226264" w14:textId="77777777" w:rsidR="00C82C27" w:rsidRPr="003D0B30" w:rsidRDefault="00C82C27" w:rsidP="00C82C27">
            <w:pPr>
              <w:rPr>
                <w:rFonts w:ascii="標楷體" w:eastAsia="標楷體" w:hAnsi="標楷體" w:cs="新細明體"/>
                <w:b/>
                <w:color w:val="000000" w:themeColor="text1"/>
                <w:spacing w:val="-20"/>
              </w:rPr>
            </w:pPr>
            <w:r w:rsidRPr="003D0B30">
              <w:rPr>
                <w:rFonts w:ascii="標楷體" w:eastAsia="標楷體" w:hAnsi="標楷體" w:cs="新細明體" w:hint="eastAsia"/>
                <w:b/>
                <w:color w:val="000000" w:themeColor="text1"/>
                <w:spacing w:val="-20"/>
              </w:rPr>
              <w:t>1</w:t>
            </w:r>
            <w:r w:rsidRPr="003D0B30">
              <w:rPr>
                <w:rFonts w:ascii="標楷體" w:eastAsia="標楷體" w:hAnsi="標楷體" w:cs="新細明體" w:hint="eastAsia"/>
                <w:b/>
                <w:bCs/>
                <w:color w:val="000000" w:themeColor="text1"/>
                <w:spacing w:val="-20"/>
              </w:rPr>
              <w:t>,</w:t>
            </w:r>
            <w:r w:rsidRPr="003D0B30">
              <w:rPr>
                <w:rFonts w:ascii="標楷體" w:eastAsia="標楷體" w:hAnsi="標楷體" w:cs="新細明體" w:hint="eastAsia"/>
                <w:b/>
                <w:color w:val="000000" w:themeColor="text1"/>
                <w:spacing w:val="-20"/>
              </w:rPr>
              <w:t>07</w:t>
            </w:r>
            <w:r w:rsidRPr="003D0B30">
              <w:rPr>
                <w:rFonts w:ascii="標楷體" w:eastAsia="標楷體" w:hAnsi="標楷體" w:cs="新細明體"/>
                <w:b/>
                <w:color w:val="000000" w:themeColor="text1"/>
                <w:spacing w:val="-20"/>
              </w:rPr>
              <w:t>6</w:t>
            </w:r>
          </w:p>
        </w:tc>
        <w:tc>
          <w:tcPr>
            <w:tcW w:w="418" w:type="pct"/>
            <w:tcBorders>
              <w:top w:val="single" w:sz="18" w:space="0" w:color="auto"/>
              <w:left w:val="single" w:sz="12" w:space="0" w:color="auto"/>
              <w:bottom w:val="single" w:sz="18" w:space="0" w:color="auto"/>
              <w:right w:val="single" w:sz="18" w:space="0" w:color="auto"/>
            </w:tcBorders>
            <w:shd w:val="clear" w:color="auto" w:fill="FFFFFF"/>
            <w:vAlign w:val="center"/>
          </w:tcPr>
          <w:p w14:paraId="04254DA1" w14:textId="77777777" w:rsidR="00C82C27" w:rsidRPr="003D0B30" w:rsidRDefault="00C82C27" w:rsidP="00C82C27">
            <w:pPr>
              <w:rPr>
                <w:rFonts w:ascii="標楷體" w:eastAsia="標楷體" w:hAnsi="標楷體" w:cs="新細明體"/>
                <w:b/>
                <w:color w:val="000000" w:themeColor="text1"/>
              </w:rPr>
            </w:pPr>
            <w:r w:rsidRPr="003D0B30">
              <w:rPr>
                <w:rFonts w:ascii="標楷體" w:eastAsia="標楷體" w:hAnsi="標楷體" w:cs="新細明體" w:hint="eastAsia"/>
                <w:b/>
                <w:color w:val="000000" w:themeColor="text1"/>
                <w:spacing w:val="-20"/>
              </w:rPr>
              <w:t>1,181</w:t>
            </w:r>
          </w:p>
        </w:tc>
        <w:tc>
          <w:tcPr>
            <w:tcW w:w="536" w:type="pct"/>
            <w:tcBorders>
              <w:top w:val="single" w:sz="18" w:space="0" w:color="auto"/>
              <w:left w:val="single" w:sz="18" w:space="0" w:color="auto"/>
              <w:bottom w:val="single" w:sz="18" w:space="0" w:color="auto"/>
              <w:right w:val="single" w:sz="18" w:space="0" w:color="auto"/>
            </w:tcBorders>
            <w:shd w:val="clear" w:color="auto" w:fill="FFFFFF"/>
            <w:vAlign w:val="center"/>
          </w:tcPr>
          <w:p w14:paraId="261FCEEA" w14:textId="77777777" w:rsidR="00C82C27" w:rsidRPr="003D0B30" w:rsidRDefault="00C82C27" w:rsidP="00C82C27">
            <w:pPr>
              <w:jc w:val="center"/>
              <w:rPr>
                <w:rFonts w:ascii="標楷體" w:eastAsia="標楷體" w:hAnsi="標楷體" w:cs="新細明體"/>
                <w:b/>
                <w:bCs/>
                <w:color w:val="000000" w:themeColor="text1"/>
              </w:rPr>
            </w:pPr>
            <w:r w:rsidRPr="003D0B30">
              <w:rPr>
                <w:rFonts w:ascii="標楷體" w:eastAsia="標楷體" w:hAnsi="標楷體" w:cs="新細明體"/>
                <w:b/>
                <w:color w:val="000000" w:themeColor="text1"/>
                <w:spacing w:val="-20"/>
              </w:rPr>
              <w:t>2</w:t>
            </w:r>
            <w:r w:rsidRPr="003D0B30">
              <w:rPr>
                <w:rFonts w:ascii="標楷體" w:eastAsia="標楷體" w:hAnsi="標楷體" w:cs="新細明體" w:hint="eastAsia"/>
                <w:b/>
                <w:color w:val="000000" w:themeColor="text1"/>
                <w:spacing w:val="-20"/>
              </w:rPr>
              <w:t>,</w:t>
            </w:r>
            <w:r w:rsidRPr="003D0B30">
              <w:rPr>
                <w:rFonts w:ascii="標楷體" w:eastAsia="標楷體" w:hAnsi="標楷體" w:cs="新細明體"/>
                <w:b/>
                <w:color w:val="000000" w:themeColor="text1"/>
                <w:spacing w:val="-20"/>
              </w:rPr>
              <w:t>257</w:t>
            </w:r>
          </w:p>
        </w:tc>
      </w:tr>
      <w:tr w:rsidR="00C82C27" w:rsidRPr="003D0B30" w14:paraId="5380A654" w14:textId="77777777" w:rsidTr="00C82C27">
        <w:trPr>
          <w:trHeight w:val="510"/>
        </w:trPr>
        <w:tc>
          <w:tcPr>
            <w:tcW w:w="1115"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14:paraId="318E96F7" w14:textId="77777777" w:rsidR="00C82C27" w:rsidRPr="001367E6" w:rsidRDefault="00C82C27" w:rsidP="00C82C27">
            <w:pPr>
              <w:spacing w:line="360" w:lineRule="exact"/>
              <w:ind w:left="200" w:hangingChars="100" w:hanging="200"/>
              <w:jc w:val="both"/>
              <w:rPr>
                <w:rFonts w:ascii="標楷體" w:eastAsia="標楷體" w:hAnsi="標楷體"/>
                <w:bCs/>
                <w:color w:val="000000" w:themeColor="text1"/>
                <w:spacing w:val="-20"/>
              </w:rPr>
            </w:pPr>
            <w:r w:rsidRPr="001367E6">
              <w:rPr>
                <w:rFonts w:ascii="標楷體" w:eastAsia="標楷體" w:hAnsi="標楷體" w:hint="eastAsia"/>
                <w:bCs/>
                <w:color w:val="000000" w:themeColor="text1"/>
                <w:spacing w:val="-20"/>
              </w:rPr>
              <w:t xml:space="preserve">  ［八］人民請願案</w:t>
            </w:r>
          </w:p>
        </w:tc>
        <w:tc>
          <w:tcPr>
            <w:tcW w:w="305" w:type="pct"/>
            <w:tcBorders>
              <w:top w:val="single" w:sz="18" w:space="0" w:color="auto"/>
              <w:left w:val="single" w:sz="18" w:space="0" w:color="auto"/>
              <w:bottom w:val="thinThickSmallGap" w:sz="18" w:space="0" w:color="auto"/>
              <w:right w:val="dashed" w:sz="4" w:space="0" w:color="auto"/>
            </w:tcBorders>
            <w:shd w:val="clear" w:color="auto" w:fill="FFFFFF"/>
            <w:vAlign w:val="center"/>
          </w:tcPr>
          <w:p w14:paraId="464259B2" w14:textId="77777777" w:rsidR="00C82C27" w:rsidRPr="001367E6" w:rsidRDefault="00C82C27" w:rsidP="00C82C27">
            <w:pPr>
              <w:jc w:val="center"/>
              <w:rPr>
                <w:rFonts w:ascii="標楷體" w:eastAsia="標楷體" w:hAnsi="標楷體" w:cs="新細明體"/>
                <w:bCs/>
                <w:color w:val="000000" w:themeColor="text1"/>
                <w:spacing w:val="-20"/>
              </w:rPr>
            </w:pPr>
            <w:r w:rsidRPr="001367E6">
              <w:rPr>
                <w:rFonts w:ascii="標楷體" w:eastAsia="標楷體" w:hAnsi="標楷體" w:cs="新細明體" w:hint="eastAsia"/>
                <w:bCs/>
                <w:color w:val="000000" w:themeColor="text1"/>
                <w:spacing w:val="-20"/>
              </w:rPr>
              <w:t>0</w:t>
            </w:r>
          </w:p>
        </w:tc>
        <w:tc>
          <w:tcPr>
            <w:tcW w:w="312"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7A77E4F1" w14:textId="77777777" w:rsidR="00C82C27" w:rsidRPr="00162518" w:rsidRDefault="00C82C27" w:rsidP="00C82C27">
            <w:pPr>
              <w:jc w:val="center"/>
              <w:rPr>
                <w:rFonts w:ascii="標楷體" w:eastAsia="標楷體" w:hAnsi="標楷體" w:cs="新細明體"/>
                <w:color w:val="000000" w:themeColor="text1"/>
                <w:spacing w:val="-20"/>
              </w:rPr>
            </w:pPr>
            <w:r w:rsidRPr="00162518">
              <w:rPr>
                <w:rFonts w:ascii="標楷體" w:eastAsia="標楷體" w:hAnsi="標楷體" w:cs="新細明體" w:hint="eastAsia"/>
                <w:color w:val="000000" w:themeColor="text1"/>
                <w:spacing w:val="-20"/>
              </w:rPr>
              <w:t>34</w:t>
            </w:r>
          </w:p>
        </w:tc>
        <w:tc>
          <w:tcPr>
            <w:tcW w:w="313"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496E53D" w14:textId="77777777" w:rsidR="00C82C27" w:rsidRPr="001367E6" w:rsidRDefault="00C82C27" w:rsidP="00C82C27">
            <w:pPr>
              <w:jc w:val="center"/>
              <w:rPr>
                <w:rFonts w:ascii="標楷體" w:eastAsia="標楷體" w:hAnsi="標楷體" w:cs="新細明體"/>
                <w:bCs/>
                <w:color w:val="000000" w:themeColor="text1"/>
                <w:spacing w:val="-20"/>
              </w:rPr>
            </w:pPr>
            <w:r w:rsidRPr="001367E6">
              <w:rPr>
                <w:rFonts w:ascii="標楷體" w:eastAsia="標楷體" w:hAnsi="標楷體" w:cs="新細明體" w:hint="eastAsia"/>
                <w:bCs/>
                <w:color w:val="000000" w:themeColor="text1"/>
                <w:spacing w:val="-20"/>
              </w:rPr>
              <w:t>0</w:t>
            </w:r>
          </w:p>
        </w:tc>
        <w:tc>
          <w:tcPr>
            <w:tcW w:w="300"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0BE54063" w14:textId="77777777" w:rsidR="00C82C27" w:rsidRPr="001367E6" w:rsidRDefault="00C82C27" w:rsidP="00C82C27">
            <w:pPr>
              <w:jc w:val="center"/>
              <w:rPr>
                <w:rFonts w:ascii="標楷體" w:eastAsia="標楷體" w:hAnsi="標楷體" w:cs="新細明體"/>
                <w:bCs/>
                <w:color w:val="000000" w:themeColor="text1"/>
                <w:spacing w:val="-20"/>
              </w:rPr>
            </w:pPr>
            <w:r w:rsidRPr="001367E6">
              <w:rPr>
                <w:rFonts w:ascii="標楷體" w:eastAsia="標楷體" w:hAnsi="標楷體" w:cs="新細明體" w:hint="eastAsia"/>
                <w:bCs/>
                <w:color w:val="000000" w:themeColor="text1"/>
                <w:spacing w:val="-20"/>
              </w:rPr>
              <w:t>0</w:t>
            </w:r>
          </w:p>
        </w:tc>
        <w:tc>
          <w:tcPr>
            <w:tcW w:w="300"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74E3C6AA" w14:textId="77777777" w:rsidR="00C82C27" w:rsidRPr="001367E6" w:rsidRDefault="00C82C27" w:rsidP="00C82C27">
            <w:pPr>
              <w:jc w:val="center"/>
              <w:rPr>
                <w:rFonts w:ascii="標楷體" w:eastAsia="標楷體" w:hAnsi="標楷體" w:cs="新細明體"/>
                <w:bCs/>
                <w:color w:val="000000" w:themeColor="text1"/>
                <w:spacing w:val="-20"/>
              </w:rPr>
            </w:pPr>
            <w:r w:rsidRPr="001367E6">
              <w:rPr>
                <w:rFonts w:ascii="標楷體" w:eastAsia="標楷體" w:hAnsi="標楷體" w:cs="新細明體" w:hint="eastAsia"/>
                <w:bCs/>
                <w:color w:val="000000" w:themeColor="text1"/>
                <w:spacing w:val="-20"/>
              </w:rPr>
              <w:t>0</w:t>
            </w:r>
          </w:p>
        </w:tc>
        <w:tc>
          <w:tcPr>
            <w:tcW w:w="30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1496A82" w14:textId="77777777" w:rsidR="00C82C27" w:rsidRPr="001367E6" w:rsidRDefault="00C82C27" w:rsidP="00C82C27">
            <w:pPr>
              <w:jc w:val="center"/>
              <w:rPr>
                <w:rFonts w:ascii="標楷體" w:eastAsia="標楷體" w:hAnsi="標楷體" w:cs="新細明體"/>
                <w:bCs/>
                <w:color w:val="000000" w:themeColor="text1"/>
                <w:spacing w:val="-20"/>
              </w:rPr>
            </w:pPr>
            <w:r>
              <w:rPr>
                <w:rFonts w:ascii="標楷體" w:eastAsia="標楷體" w:hAnsi="標楷體" w:cs="新細明體" w:hint="eastAsia"/>
                <w:bCs/>
                <w:color w:val="000000" w:themeColor="text1"/>
                <w:spacing w:val="-20"/>
              </w:rPr>
              <w:t>0</w:t>
            </w:r>
          </w:p>
        </w:tc>
        <w:tc>
          <w:tcPr>
            <w:tcW w:w="182"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887D5B7" w14:textId="77777777" w:rsidR="00C82C27" w:rsidRPr="001367E6" w:rsidRDefault="00C82C27" w:rsidP="00C82C27">
            <w:pPr>
              <w:jc w:val="center"/>
              <w:rPr>
                <w:rFonts w:ascii="標楷體" w:eastAsia="標楷體" w:hAnsi="標楷體" w:cs="新細明體"/>
                <w:bCs/>
                <w:color w:val="000000" w:themeColor="text1"/>
                <w:spacing w:val="-20"/>
              </w:rPr>
            </w:pPr>
          </w:p>
        </w:tc>
        <w:tc>
          <w:tcPr>
            <w:tcW w:w="191"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E1EBB2C" w14:textId="77777777" w:rsidR="00C82C27" w:rsidRPr="001367E6" w:rsidRDefault="00C82C27" w:rsidP="00C82C27">
            <w:pPr>
              <w:jc w:val="center"/>
              <w:rPr>
                <w:rFonts w:ascii="標楷體" w:eastAsia="標楷體" w:hAnsi="標楷體" w:cs="新細明體"/>
                <w:bCs/>
                <w:color w:val="000000" w:themeColor="text1"/>
                <w:spacing w:val="-20"/>
              </w:rPr>
            </w:pPr>
          </w:p>
        </w:tc>
        <w:tc>
          <w:tcPr>
            <w:tcW w:w="272" w:type="pct"/>
            <w:tcBorders>
              <w:top w:val="single" w:sz="18" w:space="0" w:color="auto"/>
              <w:left w:val="dashed" w:sz="4" w:space="0" w:color="auto"/>
              <w:bottom w:val="thinThickSmallGap" w:sz="18" w:space="0" w:color="auto"/>
              <w:right w:val="single" w:sz="4" w:space="0" w:color="auto"/>
            </w:tcBorders>
            <w:shd w:val="clear" w:color="auto" w:fill="FFFFFF"/>
            <w:vAlign w:val="center"/>
          </w:tcPr>
          <w:p w14:paraId="2BFF8431" w14:textId="77777777" w:rsidR="00C82C27" w:rsidRPr="001367E6" w:rsidRDefault="00C82C27" w:rsidP="00C82C27">
            <w:pPr>
              <w:jc w:val="center"/>
              <w:rPr>
                <w:rFonts w:ascii="標楷體" w:eastAsia="標楷體" w:hAnsi="標楷體" w:cs="新細明體"/>
                <w:bCs/>
                <w:color w:val="000000" w:themeColor="text1"/>
                <w:spacing w:val="-20"/>
              </w:rPr>
            </w:pPr>
            <w:r w:rsidRPr="001367E6">
              <w:rPr>
                <w:rFonts w:ascii="標楷體" w:eastAsia="標楷體" w:hAnsi="標楷體" w:cs="新細明體"/>
                <w:bCs/>
                <w:color w:val="000000" w:themeColor="text1"/>
                <w:spacing w:val="-20"/>
              </w:rPr>
              <w:t>0</w:t>
            </w:r>
          </w:p>
        </w:tc>
        <w:tc>
          <w:tcPr>
            <w:tcW w:w="450" w:type="pct"/>
            <w:tcBorders>
              <w:top w:val="single" w:sz="18" w:space="0" w:color="auto"/>
              <w:left w:val="single" w:sz="4" w:space="0" w:color="auto"/>
              <w:bottom w:val="thinThickSmallGap" w:sz="18" w:space="0" w:color="auto"/>
              <w:right w:val="single" w:sz="12" w:space="0" w:color="auto"/>
            </w:tcBorders>
            <w:shd w:val="clear" w:color="auto" w:fill="FFFFFF"/>
            <w:vAlign w:val="center"/>
          </w:tcPr>
          <w:p w14:paraId="047F135C" w14:textId="77777777" w:rsidR="00C82C27" w:rsidRPr="003D0B30" w:rsidRDefault="00C82C27" w:rsidP="00C82C27">
            <w:pPr>
              <w:jc w:val="center"/>
              <w:rPr>
                <w:rFonts w:ascii="標楷體" w:eastAsia="標楷體" w:hAnsi="標楷體" w:cs="新細明體"/>
                <w:bCs/>
                <w:color w:val="000000" w:themeColor="text1"/>
              </w:rPr>
            </w:pPr>
            <w:r w:rsidRPr="003D0B30">
              <w:rPr>
                <w:rFonts w:ascii="標楷體" w:eastAsia="標楷體" w:hAnsi="標楷體" w:cs="新細明體" w:hint="eastAsia"/>
                <w:bCs/>
                <w:color w:val="000000" w:themeColor="text1"/>
              </w:rPr>
              <w:t>34</w:t>
            </w:r>
          </w:p>
        </w:tc>
        <w:tc>
          <w:tcPr>
            <w:tcW w:w="418"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14:paraId="1A1675CF" w14:textId="77777777" w:rsidR="00C82C27" w:rsidRPr="003D0B30" w:rsidRDefault="00C82C27" w:rsidP="00C82C27">
            <w:pPr>
              <w:jc w:val="center"/>
              <w:rPr>
                <w:rFonts w:ascii="標楷體" w:eastAsia="標楷體" w:hAnsi="標楷體" w:cs="新細明體"/>
                <w:bCs/>
                <w:color w:val="000000" w:themeColor="text1"/>
              </w:rPr>
            </w:pPr>
            <w:r w:rsidRPr="003D0B30">
              <w:rPr>
                <w:rFonts w:ascii="標楷體" w:eastAsia="標楷體" w:hAnsi="標楷體" w:cs="新細明體" w:hint="eastAsia"/>
                <w:bCs/>
                <w:color w:val="000000" w:themeColor="text1"/>
              </w:rPr>
              <w:t>5</w:t>
            </w:r>
            <w:r w:rsidRPr="003D0B30">
              <w:rPr>
                <w:rFonts w:ascii="標楷體" w:eastAsia="標楷體" w:hAnsi="標楷體" w:cs="新細明體"/>
                <w:bCs/>
                <w:color w:val="000000" w:themeColor="text1"/>
              </w:rPr>
              <w:t>5</w:t>
            </w:r>
          </w:p>
        </w:tc>
        <w:tc>
          <w:tcPr>
            <w:tcW w:w="536"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14:paraId="6AB24151" w14:textId="77777777" w:rsidR="00C82C27" w:rsidRPr="003D0B30" w:rsidRDefault="00C82C27" w:rsidP="00C82C27">
            <w:pPr>
              <w:jc w:val="center"/>
              <w:rPr>
                <w:rFonts w:ascii="標楷體" w:eastAsia="標楷體" w:hAnsi="標楷體" w:cs="新細明體"/>
                <w:bCs/>
                <w:color w:val="000000" w:themeColor="text1"/>
              </w:rPr>
            </w:pPr>
            <w:r w:rsidRPr="003D0B30">
              <w:rPr>
                <w:rFonts w:ascii="標楷體" w:eastAsia="標楷體" w:hAnsi="標楷體" w:cs="新細明體" w:hint="eastAsia"/>
                <w:bCs/>
                <w:color w:val="000000" w:themeColor="text1"/>
              </w:rPr>
              <w:t>89</w:t>
            </w:r>
          </w:p>
        </w:tc>
      </w:tr>
      <w:tr w:rsidR="00C82C27" w:rsidRPr="003D0B30" w14:paraId="068F46BA" w14:textId="77777777" w:rsidTr="00C82C27">
        <w:trPr>
          <w:trHeight w:val="624"/>
        </w:trPr>
        <w:tc>
          <w:tcPr>
            <w:tcW w:w="1115"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14:paraId="0979BF8F" w14:textId="77777777" w:rsidR="00C82C27" w:rsidRPr="001367E6" w:rsidRDefault="00C82C27" w:rsidP="00C82C27">
            <w:pPr>
              <w:spacing w:line="300" w:lineRule="exact"/>
              <w:ind w:leftChars="-55" w:left="180" w:hangingChars="156" w:hanging="312"/>
              <w:jc w:val="center"/>
              <w:rPr>
                <w:rFonts w:ascii="標楷體" w:eastAsia="標楷體" w:hAnsi="標楷體"/>
                <w:b/>
                <w:color w:val="000000" w:themeColor="text1"/>
                <w:spacing w:val="-20"/>
              </w:rPr>
            </w:pPr>
            <w:r w:rsidRPr="001367E6">
              <w:rPr>
                <w:rFonts w:ascii="標楷體" w:eastAsia="標楷體" w:hAnsi="標楷體" w:hint="eastAsia"/>
                <w:b/>
                <w:color w:val="000000" w:themeColor="text1"/>
                <w:spacing w:val="-20"/>
              </w:rPr>
              <w:t>［一］ 至 ［八］</w:t>
            </w:r>
          </w:p>
          <w:p w14:paraId="1EB678AA" w14:textId="77777777" w:rsidR="00C82C27" w:rsidRPr="001367E6" w:rsidRDefault="00C82C27" w:rsidP="00C82C27">
            <w:pPr>
              <w:spacing w:line="300" w:lineRule="exact"/>
              <w:ind w:leftChars="-55" w:left="180" w:hangingChars="156" w:hanging="312"/>
              <w:jc w:val="center"/>
              <w:rPr>
                <w:rFonts w:ascii="標楷體" w:eastAsia="標楷體" w:hAnsi="標楷體"/>
                <w:b/>
                <w:color w:val="000000" w:themeColor="text1"/>
              </w:rPr>
            </w:pPr>
            <w:r w:rsidRPr="001367E6">
              <w:rPr>
                <w:rFonts w:ascii="標楷體" w:eastAsia="標楷體" w:hAnsi="標楷體"/>
                <w:b/>
                <w:color w:val="000000" w:themeColor="text1"/>
                <w:spacing w:val="-20"/>
              </w:rPr>
              <w:t xml:space="preserve">總  </w:t>
            </w:r>
            <w:r w:rsidRPr="001367E6">
              <w:rPr>
                <w:rFonts w:ascii="標楷體" w:eastAsia="標楷體" w:hAnsi="標楷體" w:hint="eastAsia"/>
                <w:b/>
                <w:color w:val="000000" w:themeColor="text1"/>
                <w:spacing w:val="-20"/>
              </w:rPr>
              <w:t xml:space="preserve">      </w:t>
            </w:r>
            <w:r w:rsidRPr="001367E6">
              <w:rPr>
                <w:rFonts w:ascii="標楷體" w:eastAsia="標楷體" w:hAnsi="標楷體"/>
                <w:b/>
                <w:color w:val="000000" w:themeColor="text1"/>
                <w:spacing w:val="-20"/>
              </w:rPr>
              <w:t>計</w:t>
            </w:r>
          </w:p>
        </w:tc>
        <w:tc>
          <w:tcPr>
            <w:tcW w:w="305" w:type="pct"/>
            <w:tcBorders>
              <w:top w:val="thinThickSmallGap" w:sz="18" w:space="0" w:color="auto"/>
              <w:left w:val="single" w:sz="18" w:space="0" w:color="auto"/>
              <w:bottom w:val="single" w:sz="18" w:space="0" w:color="auto"/>
              <w:right w:val="dashed" w:sz="4" w:space="0" w:color="auto"/>
            </w:tcBorders>
            <w:shd w:val="clear" w:color="auto" w:fill="FFFFFF"/>
            <w:vAlign w:val="center"/>
          </w:tcPr>
          <w:p w14:paraId="593FCF93" w14:textId="77777777" w:rsidR="00C82C27" w:rsidRPr="001367E6" w:rsidRDefault="00C82C27" w:rsidP="00C82C27">
            <w:pPr>
              <w:jc w:val="center"/>
              <w:rPr>
                <w:rFonts w:ascii="標楷體" w:eastAsia="標楷體" w:hAnsi="標楷體" w:cs="新細明體"/>
                <w:b/>
                <w:color w:val="000000" w:themeColor="text1"/>
                <w:spacing w:val="-20"/>
              </w:rPr>
            </w:pPr>
            <w:r w:rsidRPr="001367E6">
              <w:rPr>
                <w:rFonts w:ascii="標楷體" w:eastAsia="標楷體" w:hAnsi="標楷體" w:cs="新細明體" w:hint="eastAsia"/>
                <w:b/>
                <w:color w:val="000000" w:themeColor="text1"/>
                <w:spacing w:val="-20"/>
              </w:rPr>
              <w:t>176</w:t>
            </w:r>
          </w:p>
        </w:tc>
        <w:tc>
          <w:tcPr>
            <w:tcW w:w="312"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000B0EA0" w14:textId="77777777" w:rsidR="00C82C27" w:rsidRPr="00162518" w:rsidRDefault="00C82C27" w:rsidP="00C82C27">
            <w:pPr>
              <w:jc w:val="center"/>
              <w:rPr>
                <w:rFonts w:ascii="標楷體" w:eastAsia="標楷體" w:hAnsi="標楷體" w:cs="新細明體"/>
                <w:b/>
                <w:color w:val="000000" w:themeColor="text1"/>
                <w:spacing w:val="-20"/>
              </w:rPr>
            </w:pPr>
            <w:r w:rsidRPr="00162518">
              <w:rPr>
                <w:rFonts w:ascii="標楷體" w:eastAsia="標楷體" w:hAnsi="標楷體" w:cs="新細明體" w:hint="eastAsia"/>
                <w:b/>
                <w:color w:val="000000" w:themeColor="text1"/>
                <w:spacing w:val="-20"/>
              </w:rPr>
              <w:t>101</w:t>
            </w:r>
          </w:p>
        </w:tc>
        <w:tc>
          <w:tcPr>
            <w:tcW w:w="313"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433CC9E5" w14:textId="77777777" w:rsidR="00C82C27" w:rsidRPr="001367E6" w:rsidRDefault="00C82C27" w:rsidP="00C82C27">
            <w:pPr>
              <w:jc w:val="center"/>
              <w:rPr>
                <w:rFonts w:ascii="標楷體" w:eastAsia="標楷體" w:hAnsi="標楷體" w:cs="新細明體"/>
                <w:b/>
                <w:color w:val="000000" w:themeColor="text1"/>
                <w:spacing w:val="-20"/>
              </w:rPr>
            </w:pPr>
            <w:r w:rsidRPr="001367E6">
              <w:rPr>
                <w:rFonts w:ascii="標楷體" w:eastAsia="標楷體" w:hAnsi="標楷體" w:cs="新細明體" w:hint="eastAsia"/>
                <w:b/>
                <w:color w:val="000000" w:themeColor="text1"/>
                <w:spacing w:val="-20"/>
              </w:rPr>
              <w:t>167</w:t>
            </w:r>
          </w:p>
        </w:tc>
        <w:tc>
          <w:tcPr>
            <w:tcW w:w="300"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0E1A31C2" w14:textId="77777777" w:rsidR="00C82C27" w:rsidRPr="001367E6" w:rsidRDefault="00C82C27" w:rsidP="00C82C27">
            <w:pPr>
              <w:jc w:val="center"/>
              <w:rPr>
                <w:rFonts w:ascii="標楷體" w:eastAsia="標楷體" w:hAnsi="標楷體" w:cs="新細明體"/>
                <w:b/>
                <w:color w:val="000000" w:themeColor="text1"/>
                <w:spacing w:val="-20"/>
              </w:rPr>
            </w:pPr>
            <w:r w:rsidRPr="001367E6">
              <w:rPr>
                <w:rFonts w:ascii="標楷體" w:eastAsia="標楷體" w:hAnsi="標楷體" w:cs="新細明體" w:hint="eastAsia"/>
                <w:b/>
                <w:color w:val="000000" w:themeColor="text1"/>
                <w:spacing w:val="-20"/>
              </w:rPr>
              <w:t>214</w:t>
            </w:r>
          </w:p>
        </w:tc>
        <w:tc>
          <w:tcPr>
            <w:tcW w:w="300"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1DF39F3E" w14:textId="77777777" w:rsidR="00C82C27" w:rsidRPr="001367E6" w:rsidRDefault="00C82C27" w:rsidP="00C82C27">
            <w:pPr>
              <w:jc w:val="center"/>
              <w:rPr>
                <w:rFonts w:ascii="標楷體" w:eastAsia="標楷體" w:hAnsi="標楷體" w:cs="新細明體"/>
                <w:b/>
                <w:color w:val="000000" w:themeColor="text1"/>
                <w:spacing w:val="-20"/>
              </w:rPr>
            </w:pPr>
            <w:r w:rsidRPr="001367E6">
              <w:rPr>
                <w:rFonts w:ascii="標楷體" w:eastAsia="標楷體" w:hAnsi="標楷體" w:cs="新細明體" w:hint="eastAsia"/>
                <w:b/>
                <w:color w:val="000000" w:themeColor="text1"/>
                <w:spacing w:val="-20"/>
              </w:rPr>
              <w:t>137</w:t>
            </w:r>
          </w:p>
        </w:tc>
        <w:tc>
          <w:tcPr>
            <w:tcW w:w="30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2630D71B" w14:textId="77777777" w:rsidR="00C82C27" w:rsidRPr="001367E6" w:rsidRDefault="00C82C27" w:rsidP="00C82C27">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262</w:t>
            </w:r>
          </w:p>
        </w:tc>
        <w:tc>
          <w:tcPr>
            <w:tcW w:w="182"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3AB8E885" w14:textId="77777777" w:rsidR="00C82C27" w:rsidRPr="001367E6" w:rsidRDefault="00C82C27" w:rsidP="00C82C27">
            <w:pPr>
              <w:jc w:val="center"/>
              <w:rPr>
                <w:rFonts w:ascii="標楷體" w:eastAsia="標楷體" w:hAnsi="標楷體" w:cs="新細明體"/>
                <w:b/>
                <w:color w:val="000000" w:themeColor="text1"/>
                <w:spacing w:val="-20"/>
              </w:rPr>
            </w:pPr>
          </w:p>
        </w:tc>
        <w:tc>
          <w:tcPr>
            <w:tcW w:w="191"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2BD1B9E" w14:textId="77777777" w:rsidR="00C82C27" w:rsidRPr="001367E6" w:rsidRDefault="00C82C27" w:rsidP="00C82C27">
            <w:pPr>
              <w:jc w:val="center"/>
              <w:rPr>
                <w:rFonts w:ascii="標楷體" w:eastAsia="標楷體" w:hAnsi="標楷體" w:cs="新細明體"/>
                <w:b/>
                <w:color w:val="000000" w:themeColor="text1"/>
                <w:spacing w:val="-20"/>
              </w:rPr>
            </w:pPr>
          </w:p>
        </w:tc>
        <w:tc>
          <w:tcPr>
            <w:tcW w:w="272" w:type="pct"/>
            <w:tcBorders>
              <w:top w:val="thinThickSmallGap" w:sz="18" w:space="0" w:color="auto"/>
              <w:left w:val="dashed" w:sz="4" w:space="0" w:color="auto"/>
              <w:bottom w:val="single" w:sz="18" w:space="0" w:color="auto"/>
              <w:right w:val="single" w:sz="4" w:space="0" w:color="auto"/>
            </w:tcBorders>
            <w:shd w:val="clear" w:color="auto" w:fill="FFFFFF"/>
            <w:vAlign w:val="center"/>
          </w:tcPr>
          <w:p w14:paraId="0BD96C6B" w14:textId="77777777" w:rsidR="00C82C27" w:rsidRPr="001367E6" w:rsidRDefault="00C82C27" w:rsidP="00C82C27">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53</w:t>
            </w:r>
          </w:p>
        </w:tc>
        <w:tc>
          <w:tcPr>
            <w:tcW w:w="450" w:type="pct"/>
            <w:tcBorders>
              <w:top w:val="thinThickSmallGap" w:sz="18" w:space="0" w:color="auto"/>
              <w:left w:val="single" w:sz="4" w:space="0" w:color="auto"/>
              <w:bottom w:val="single" w:sz="18" w:space="0" w:color="auto"/>
              <w:right w:val="single" w:sz="12" w:space="0" w:color="auto"/>
            </w:tcBorders>
            <w:shd w:val="clear" w:color="auto" w:fill="FFFFFF"/>
            <w:vAlign w:val="center"/>
          </w:tcPr>
          <w:p w14:paraId="2F210D8E" w14:textId="77777777" w:rsidR="00C82C27" w:rsidRPr="003D0B30" w:rsidRDefault="00C82C27" w:rsidP="00C82C27">
            <w:pPr>
              <w:jc w:val="center"/>
              <w:rPr>
                <w:rFonts w:ascii="標楷體" w:eastAsia="標楷體" w:hAnsi="標楷體" w:cs="新細明體"/>
                <w:b/>
                <w:color w:val="000000" w:themeColor="text1"/>
              </w:rPr>
            </w:pPr>
            <w:r w:rsidRPr="003D0B30">
              <w:rPr>
                <w:rFonts w:ascii="標楷體" w:eastAsia="標楷體" w:hAnsi="標楷體" w:cs="新細明體" w:hint="eastAsia"/>
                <w:b/>
                <w:color w:val="000000" w:themeColor="text1"/>
                <w:spacing w:val="-20"/>
              </w:rPr>
              <w:t>1</w:t>
            </w:r>
            <w:r w:rsidRPr="003D0B30">
              <w:rPr>
                <w:rFonts w:ascii="標楷體" w:eastAsia="標楷體" w:hAnsi="標楷體" w:cs="新細明體" w:hint="eastAsia"/>
                <w:b/>
                <w:bCs/>
                <w:color w:val="000000" w:themeColor="text1"/>
                <w:spacing w:val="-20"/>
              </w:rPr>
              <w:t>,</w:t>
            </w:r>
            <w:r w:rsidRPr="003D0B30">
              <w:rPr>
                <w:rFonts w:ascii="標楷體" w:eastAsia="標楷體" w:hAnsi="標楷體" w:cs="新細明體" w:hint="eastAsia"/>
                <w:b/>
                <w:color w:val="000000" w:themeColor="text1"/>
                <w:spacing w:val="-20"/>
              </w:rPr>
              <w:t>110</w:t>
            </w:r>
          </w:p>
        </w:tc>
        <w:tc>
          <w:tcPr>
            <w:tcW w:w="418"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14:paraId="2211BB68" w14:textId="77777777" w:rsidR="00C82C27" w:rsidRPr="003D0B30" w:rsidRDefault="00C82C27" w:rsidP="00C82C27">
            <w:pPr>
              <w:rPr>
                <w:rFonts w:ascii="標楷體" w:eastAsia="標楷體" w:hAnsi="標楷體" w:cs="新細明體"/>
                <w:b/>
                <w:color w:val="000000" w:themeColor="text1"/>
              </w:rPr>
            </w:pPr>
            <w:r w:rsidRPr="003D0B30">
              <w:rPr>
                <w:rFonts w:ascii="標楷體" w:eastAsia="標楷體" w:hAnsi="標楷體" w:cs="新細明體" w:hint="eastAsia"/>
                <w:b/>
                <w:color w:val="000000" w:themeColor="text1"/>
                <w:spacing w:val="-20"/>
              </w:rPr>
              <w:t>1,236</w:t>
            </w:r>
          </w:p>
        </w:tc>
        <w:tc>
          <w:tcPr>
            <w:tcW w:w="536"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14:paraId="1D4F4ED0" w14:textId="77777777" w:rsidR="00C82C27" w:rsidRPr="003D0B30" w:rsidRDefault="00C82C27" w:rsidP="00C82C27">
            <w:pPr>
              <w:jc w:val="center"/>
              <w:rPr>
                <w:rFonts w:ascii="標楷體" w:eastAsia="標楷體" w:hAnsi="標楷體" w:cs="新細明體"/>
                <w:b/>
                <w:bCs/>
                <w:color w:val="000000" w:themeColor="text1"/>
              </w:rPr>
            </w:pPr>
            <w:r w:rsidRPr="003D0B30">
              <w:rPr>
                <w:rFonts w:ascii="標楷體" w:eastAsia="標楷體" w:hAnsi="標楷體" w:cs="新細明體"/>
                <w:b/>
                <w:color w:val="000000" w:themeColor="text1"/>
                <w:spacing w:val="-20"/>
              </w:rPr>
              <w:t>2</w:t>
            </w:r>
            <w:r w:rsidRPr="003D0B30">
              <w:rPr>
                <w:rFonts w:ascii="標楷體" w:eastAsia="標楷體" w:hAnsi="標楷體" w:cs="新細明體" w:hint="eastAsia"/>
                <w:b/>
                <w:color w:val="000000" w:themeColor="text1"/>
                <w:spacing w:val="-20"/>
              </w:rPr>
              <w:t>,</w:t>
            </w:r>
            <w:r w:rsidRPr="003D0B30">
              <w:rPr>
                <w:rFonts w:ascii="標楷體" w:eastAsia="標楷體" w:hAnsi="標楷體" w:cs="新細明體"/>
                <w:b/>
                <w:color w:val="000000" w:themeColor="text1"/>
                <w:spacing w:val="-20"/>
              </w:rPr>
              <w:t>346</w:t>
            </w:r>
          </w:p>
        </w:tc>
      </w:tr>
    </w:tbl>
    <w:p w14:paraId="4198F3C9" w14:textId="77777777" w:rsidR="00C82C27" w:rsidRPr="001367E6" w:rsidRDefault="00C82C27" w:rsidP="00C82C27">
      <w:pPr>
        <w:adjustRightInd w:val="0"/>
        <w:snapToGrid w:val="0"/>
        <w:spacing w:line="360" w:lineRule="exact"/>
        <w:jc w:val="both"/>
        <w:rPr>
          <w:rFonts w:ascii="標楷體" w:eastAsia="標楷體" w:hAnsi="標楷體"/>
          <w:color w:val="000000" w:themeColor="text1"/>
        </w:rPr>
      </w:pPr>
      <w:r w:rsidRPr="001367E6">
        <w:rPr>
          <w:rFonts w:ascii="標楷體" w:eastAsia="標楷體" w:hAnsi="標楷體" w:hint="eastAsia"/>
          <w:color w:val="000000" w:themeColor="text1"/>
        </w:rPr>
        <w:t>1.</w:t>
      </w:r>
      <w:r w:rsidRPr="001367E6">
        <w:rPr>
          <w:rFonts w:ascii="標楷體" w:eastAsia="標楷體" w:hAnsi="標楷體"/>
          <w:color w:val="000000" w:themeColor="text1"/>
        </w:rPr>
        <w:t>本統計表件數，以第10屆第1會期至第</w:t>
      </w:r>
      <w:r>
        <w:rPr>
          <w:rFonts w:ascii="標楷體" w:eastAsia="標楷體" w:hAnsi="標楷體" w:hint="eastAsia"/>
          <w:color w:val="000000" w:themeColor="text1"/>
        </w:rPr>
        <w:t>6</w:t>
      </w:r>
      <w:r w:rsidRPr="001367E6">
        <w:rPr>
          <w:rFonts w:ascii="標楷體" w:eastAsia="標楷體" w:hAnsi="標楷體"/>
          <w:color w:val="000000" w:themeColor="text1"/>
        </w:rPr>
        <w:t>會期</w:t>
      </w:r>
      <w:r w:rsidRPr="001367E6">
        <w:rPr>
          <w:rFonts w:ascii="標楷體" w:eastAsia="標楷體" w:hAnsi="標楷體" w:hint="eastAsia"/>
          <w:color w:val="000000" w:themeColor="text1"/>
        </w:rPr>
        <w:t>，</w:t>
      </w:r>
      <w:r w:rsidRPr="001367E6">
        <w:rPr>
          <w:rFonts w:ascii="標楷體" w:eastAsia="標楷體" w:hAnsi="標楷體"/>
          <w:color w:val="000000" w:themeColor="text1"/>
        </w:rPr>
        <w:t>院會交下之</w:t>
      </w:r>
      <w:r w:rsidRPr="001367E6">
        <w:rPr>
          <w:rFonts w:ascii="標楷體" w:eastAsia="標楷體" w:hAnsi="標楷體" w:hint="eastAsia"/>
          <w:color w:val="000000" w:themeColor="text1"/>
        </w:rPr>
        <w:t>議案</w:t>
      </w:r>
      <w:r w:rsidRPr="001367E6">
        <w:rPr>
          <w:rFonts w:ascii="標楷體" w:eastAsia="標楷體" w:hAnsi="標楷體"/>
          <w:color w:val="000000" w:themeColor="text1"/>
        </w:rPr>
        <w:t>件數為主</w:t>
      </w:r>
      <w:r w:rsidRPr="001367E6">
        <w:rPr>
          <w:rFonts w:ascii="標楷體" w:eastAsia="標楷體" w:hAnsi="標楷體" w:hint="eastAsia"/>
          <w:color w:val="000000" w:themeColor="text1"/>
        </w:rPr>
        <w:t>。</w:t>
      </w:r>
    </w:p>
    <w:p w14:paraId="23CD31ED" w14:textId="77777777" w:rsidR="00C82C27" w:rsidRPr="001367E6" w:rsidRDefault="00C82C27" w:rsidP="00C82C27">
      <w:pPr>
        <w:adjustRightInd w:val="0"/>
        <w:snapToGrid w:val="0"/>
        <w:spacing w:line="360" w:lineRule="exact"/>
        <w:ind w:leftChars="100" w:left="240"/>
        <w:jc w:val="both"/>
        <w:rPr>
          <w:rFonts w:ascii="標楷體" w:eastAsia="標楷體" w:hAnsi="標楷體"/>
          <w:color w:val="000000" w:themeColor="text1"/>
        </w:rPr>
      </w:pPr>
      <w:r w:rsidRPr="001367E6">
        <w:rPr>
          <w:rFonts w:ascii="標楷體" w:eastAsia="標楷體" w:hAnsi="標楷體"/>
          <w:color w:val="000000" w:themeColor="text1"/>
        </w:rPr>
        <w:t>包含第</w:t>
      </w:r>
      <w:r w:rsidRPr="001367E6">
        <w:rPr>
          <w:rFonts w:ascii="標楷體" w:eastAsia="標楷體" w:hAnsi="標楷體" w:hint="eastAsia"/>
          <w:color w:val="000000" w:themeColor="text1"/>
        </w:rPr>
        <w:t>10</w:t>
      </w:r>
      <w:r w:rsidRPr="001367E6">
        <w:rPr>
          <w:rFonts w:ascii="標楷體" w:eastAsia="標楷體" w:hAnsi="標楷體"/>
          <w:color w:val="000000" w:themeColor="text1"/>
        </w:rPr>
        <w:t>屆</w:t>
      </w:r>
      <w:r w:rsidRPr="001367E6">
        <w:rPr>
          <w:rFonts w:ascii="標楷體" w:eastAsia="標楷體" w:hAnsi="標楷體" w:hint="eastAsia"/>
          <w:color w:val="000000" w:themeColor="text1"/>
        </w:rPr>
        <w:t>之</w:t>
      </w:r>
      <w:r w:rsidRPr="001367E6">
        <w:rPr>
          <w:rFonts w:ascii="標楷體" w:eastAsia="標楷體" w:hAnsi="標楷體"/>
          <w:color w:val="000000" w:themeColor="text1"/>
        </w:rPr>
        <w:t>前</w:t>
      </w:r>
      <w:r w:rsidRPr="001367E6">
        <w:rPr>
          <w:rFonts w:ascii="標楷體" w:eastAsia="標楷體" w:hAnsi="標楷體" w:hint="eastAsia"/>
          <w:color w:val="000000" w:themeColor="text1"/>
        </w:rPr>
        <w:t>，</w:t>
      </w:r>
      <w:r w:rsidRPr="001367E6">
        <w:rPr>
          <w:rFonts w:ascii="標楷體" w:eastAsia="標楷體" w:hAnsi="標楷體"/>
          <w:color w:val="000000" w:themeColor="text1"/>
        </w:rPr>
        <w:t>院會交下預（決）算案、行政命令案及人民請願案等未結件數</w:t>
      </w:r>
      <w:r w:rsidRPr="001367E6">
        <w:rPr>
          <w:rFonts w:ascii="標楷體" w:eastAsia="標楷體" w:hAnsi="標楷體" w:hint="eastAsia"/>
          <w:color w:val="000000" w:themeColor="text1"/>
        </w:rPr>
        <w:t>（</w:t>
      </w:r>
      <w:r w:rsidRPr="001367E6">
        <w:rPr>
          <w:rFonts w:ascii="標楷體" w:eastAsia="標楷體" w:hAnsi="標楷體"/>
          <w:color w:val="000000" w:themeColor="text1"/>
        </w:rPr>
        <w:t>無屆期不連續，故累計至本</w:t>
      </w:r>
      <w:r w:rsidRPr="001367E6">
        <w:rPr>
          <w:rFonts w:ascii="標楷體" w:eastAsia="標楷體" w:hAnsi="標楷體" w:hint="eastAsia"/>
          <w:color w:val="000000" w:themeColor="text1"/>
        </w:rPr>
        <w:t>屆）</w:t>
      </w:r>
      <w:r w:rsidRPr="001367E6">
        <w:rPr>
          <w:rFonts w:ascii="標楷體" w:eastAsia="標楷體" w:hAnsi="標楷體"/>
          <w:color w:val="000000" w:themeColor="text1"/>
        </w:rPr>
        <w:t>。</w:t>
      </w:r>
    </w:p>
    <w:p w14:paraId="120104A7" w14:textId="77777777" w:rsidR="00C82C27" w:rsidRPr="001367E6" w:rsidRDefault="00C82C27" w:rsidP="00C82C27">
      <w:pPr>
        <w:adjustRightInd w:val="0"/>
        <w:snapToGrid w:val="0"/>
        <w:spacing w:line="360" w:lineRule="exact"/>
        <w:ind w:left="446" w:hangingChars="186" w:hanging="446"/>
        <w:jc w:val="both"/>
        <w:rPr>
          <w:rFonts w:ascii="標楷體" w:eastAsia="標楷體" w:hAnsi="標楷體"/>
          <w:color w:val="000000" w:themeColor="text1"/>
        </w:rPr>
      </w:pPr>
      <w:r w:rsidRPr="001367E6">
        <w:rPr>
          <w:rFonts w:ascii="標楷體" w:eastAsia="標楷體" w:hAnsi="標楷體"/>
          <w:color w:val="000000" w:themeColor="text1"/>
        </w:rPr>
        <w:t>2.本會審竣</w:t>
      </w:r>
      <w:r w:rsidRPr="001367E6">
        <w:rPr>
          <w:rFonts w:ascii="標楷體" w:eastAsia="標楷體" w:hAnsi="標楷體" w:hint="eastAsia"/>
          <w:color w:val="000000" w:themeColor="text1"/>
        </w:rPr>
        <w:t>提報院會之已結案件─院會待審議部分B，</w:t>
      </w:r>
      <w:r w:rsidRPr="001367E6">
        <w:rPr>
          <w:rFonts w:ascii="標楷體" w:eastAsia="標楷體" w:hAnsi="標楷體"/>
          <w:color w:val="000000" w:themeColor="text1"/>
          <w:u w:val="single"/>
        </w:rPr>
        <w:t>不包含逕付二讀之法律案</w:t>
      </w:r>
      <w:r w:rsidRPr="001367E6">
        <w:rPr>
          <w:rFonts w:ascii="標楷體" w:eastAsia="標楷體" w:hAnsi="標楷體"/>
          <w:color w:val="000000" w:themeColor="text1"/>
        </w:rPr>
        <w:t>。</w:t>
      </w:r>
    </w:p>
    <w:p w14:paraId="0C0F21BB" w14:textId="77777777" w:rsidR="00EB3514" w:rsidRDefault="00C82C27" w:rsidP="00C82C27">
      <w:pPr>
        <w:spacing w:line="360" w:lineRule="exact"/>
        <w:ind w:left="240" w:hangingChars="100" w:hanging="240"/>
        <w:jc w:val="both"/>
        <w:rPr>
          <w:rFonts w:ascii="標楷體" w:eastAsia="標楷體" w:hAnsi="標楷體"/>
          <w:color w:val="000000" w:themeColor="text1"/>
          <w:shd w:val="clear" w:color="auto" w:fill="FFFFFF"/>
        </w:rPr>
        <w:sectPr w:rsidR="00EB3514" w:rsidSect="006F7871">
          <w:footerReference w:type="even" r:id="rId10"/>
          <w:footerReference w:type="default" r:id="rId11"/>
          <w:type w:val="oddPage"/>
          <w:pgSz w:w="11906" w:h="16838" w:code="9"/>
          <w:pgMar w:top="993" w:right="1701" w:bottom="1134" w:left="1701" w:header="851" w:footer="992" w:gutter="0"/>
          <w:pgNumType w:start="1"/>
          <w:cols w:space="425"/>
          <w:docGrid w:type="lines" w:linePitch="360"/>
        </w:sectPr>
      </w:pPr>
      <w:r w:rsidRPr="001367E6">
        <w:rPr>
          <w:rFonts w:ascii="標楷體" w:eastAsia="標楷體" w:hAnsi="標楷體" w:hint="eastAsia"/>
          <w:color w:val="000000" w:themeColor="text1"/>
          <w:shd w:val="clear" w:color="auto" w:fill="FFFFFF"/>
        </w:rPr>
        <w:t>3.第10屆第</w:t>
      </w:r>
      <w:r>
        <w:rPr>
          <w:rFonts w:ascii="標楷體" w:eastAsia="標楷體" w:hAnsi="標楷體" w:hint="eastAsia"/>
          <w:color w:val="000000" w:themeColor="text1"/>
          <w:shd w:val="clear" w:color="auto" w:fill="FFFFFF"/>
        </w:rPr>
        <w:t>5</w:t>
      </w:r>
      <w:r w:rsidRPr="001367E6">
        <w:rPr>
          <w:rFonts w:ascii="標楷體" w:eastAsia="標楷體" w:hAnsi="標楷體" w:hint="eastAsia"/>
          <w:color w:val="000000" w:themeColor="text1"/>
          <w:shd w:val="clear" w:color="auto" w:fill="FFFFFF"/>
        </w:rPr>
        <w:t>會期之前，院會交下之議案件數為</w:t>
      </w:r>
      <w:r w:rsidRPr="001367E6">
        <w:rPr>
          <w:rFonts w:ascii="標楷體" w:eastAsia="標楷體" w:hAnsi="標楷體" w:cs="新細明體" w:hint="eastAsia"/>
          <w:bCs/>
          <w:color w:val="000000" w:themeColor="text1"/>
        </w:rPr>
        <w:t>1,</w:t>
      </w:r>
      <w:r>
        <w:rPr>
          <w:rFonts w:ascii="標楷體" w:eastAsia="標楷體" w:hAnsi="標楷體" w:cs="新細明體" w:hint="eastAsia"/>
          <w:bCs/>
          <w:color w:val="000000" w:themeColor="text1"/>
        </w:rPr>
        <w:t>905</w:t>
      </w:r>
      <w:r w:rsidRPr="001367E6">
        <w:rPr>
          <w:rFonts w:ascii="標楷體" w:eastAsia="標楷體" w:hAnsi="標楷體" w:hint="eastAsia"/>
          <w:color w:val="000000" w:themeColor="text1"/>
          <w:shd w:val="clear" w:color="auto" w:fill="FFFFFF"/>
        </w:rPr>
        <w:t>案（見第10屆第</w:t>
      </w:r>
      <w:r>
        <w:rPr>
          <w:rFonts w:ascii="標楷體" w:eastAsia="標楷體" w:hAnsi="標楷體" w:hint="eastAsia"/>
          <w:color w:val="000000" w:themeColor="text1"/>
          <w:shd w:val="clear" w:color="auto" w:fill="FFFFFF"/>
        </w:rPr>
        <w:t>5</w:t>
      </w:r>
      <w:r w:rsidRPr="001367E6">
        <w:rPr>
          <w:rFonts w:ascii="標楷體" w:eastAsia="標楷體" w:hAnsi="標楷體" w:hint="eastAsia"/>
          <w:color w:val="000000" w:themeColor="text1"/>
          <w:shd w:val="clear" w:color="auto" w:fill="FFFFFF"/>
        </w:rPr>
        <w:t>會期會務報告第</w:t>
      </w:r>
      <w:r>
        <w:rPr>
          <w:rFonts w:ascii="標楷體" w:eastAsia="標楷體" w:hAnsi="標楷體" w:hint="eastAsia"/>
          <w:color w:val="000000" w:themeColor="text1"/>
          <w:shd w:val="clear" w:color="auto" w:fill="FFFFFF"/>
        </w:rPr>
        <w:t>38</w:t>
      </w:r>
      <w:r w:rsidRPr="001367E6">
        <w:rPr>
          <w:rFonts w:ascii="標楷體" w:eastAsia="標楷體" w:hAnsi="標楷體" w:hint="eastAsia"/>
          <w:color w:val="000000" w:themeColor="text1"/>
          <w:shd w:val="clear" w:color="auto" w:fill="FFFFFF"/>
        </w:rPr>
        <w:t>頁），累計至本會期為</w:t>
      </w:r>
      <w:r w:rsidRPr="00747545">
        <w:rPr>
          <w:rFonts w:ascii="標楷體" w:eastAsia="標楷體" w:hAnsi="標楷體" w:cs="新細明體"/>
          <w:color w:val="000000" w:themeColor="text1"/>
          <w:spacing w:val="-20"/>
        </w:rPr>
        <w:t>2</w:t>
      </w:r>
      <w:r w:rsidRPr="00747545">
        <w:rPr>
          <w:rFonts w:ascii="標楷體" w:eastAsia="標楷體" w:hAnsi="標楷體" w:cs="新細明體" w:hint="eastAsia"/>
          <w:color w:val="000000" w:themeColor="text1"/>
          <w:spacing w:val="-20"/>
        </w:rPr>
        <w:t>,</w:t>
      </w:r>
      <w:r w:rsidRPr="00747545">
        <w:rPr>
          <w:rFonts w:ascii="標楷體" w:eastAsia="標楷體" w:hAnsi="標楷體" w:cs="新細明體"/>
          <w:color w:val="000000" w:themeColor="text1"/>
          <w:spacing w:val="-20"/>
        </w:rPr>
        <w:t>346</w:t>
      </w:r>
      <w:r w:rsidRPr="003D0B30">
        <w:rPr>
          <w:rFonts w:ascii="標楷體" w:eastAsia="標楷體" w:hAnsi="標楷體" w:hint="eastAsia"/>
          <w:color w:val="000000" w:themeColor="text1"/>
          <w:shd w:val="clear" w:color="auto" w:fill="FFFFFF"/>
        </w:rPr>
        <w:t>案，故本會期單一會期院會交下議案為</w:t>
      </w:r>
      <w:r w:rsidRPr="00747545">
        <w:rPr>
          <w:rFonts w:ascii="標楷體" w:eastAsia="標楷體" w:hAnsi="標楷體" w:hint="eastAsia"/>
          <w:b/>
          <w:color w:val="000000" w:themeColor="text1"/>
          <w:shd w:val="clear" w:color="auto" w:fill="FFFFFF"/>
        </w:rPr>
        <w:t>441</w:t>
      </w:r>
      <w:r w:rsidRPr="003D0B30">
        <w:rPr>
          <w:rFonts w:ascii="標楷體" w:eastAsia="標楷體" w:hAnsi="標楷體" w:hint="eastAsia"/>
          <w:color w:val="000000" w:themeColor="text1"/>
          <w:shd w:val="clear" w:color="auto" w:fill="FFFFFF"/>
        </w:rPr>
        <w:t>件(</w:t>
      </w:r>
      <w:r w:rsidRPr="00747545">
        <w:rPr>
          <w:rFonts w:ascii="標楷體" w:eastAsia="標楷體" w:hAnsi="標楷體" w:cs="新細明體"/>
          <w:color w:val="000000" w:themeColor="text1"/>
          <w:spacing w:val="-20"/>
        </w:rPr>
        <w:t>2</w:t>
      </w:r>
      <w:r w:rsidRPr="00747545">
        <w:rPr>
          <w:rFonts w:ascii="標楷體" w:eastAsia="標楷體" w:hAnsi="標楷體" w:cs="新細明體" w:hint="eastAsia"/>
          <w:color w:val="000000" w:themeColor="text1"/>
          <w:spacing w:val="-20"/>
        </w:rPr>
        <w:t>,</w:t>
      </w:r>
      <w:r w:rsidRPr="00747545">
        <w:rPr>
          <w:rFonts w:ascii="標楷體" w:eastAsia="標楷體" w:hAnsi="標楷體" w:cs="新細明體"/>
          <w:color w:val="000000" w:themeColor="text1"/>
          <w:spacing w:val="-20"/>
        </w:rPr>
        <w:t>346</w:t>
      </w:r>
      <w:r w:rsidRPr="003D0B30">
        <w:rPr>
          <w:rFonts w:ascii="標楷體" w:eastAsia="標楷體" w:hAnsi="標楷體" w:cs="新細明體"/>
          <w:bCs/>
          <w:color w:val="000000" w:themeColor="text1"/>
        </w:rPr>
        <w:t>-</w:t>
      </w:r>
      <w:r w:rsidRPr="003D0B30">
        <w:rPr>
          <w:rFonts w:ascii="標楷體" w:eastAsia="標楷體" w:hAnsi="標楷體" w:cs="新細明體" w:hint="eastAsia"/>
          <w:bCs/>
          <w:color w:val="000000" w:themeColor="text1"/>
        </w:rPr>
        <w:t>1,905</w:t>
      </w:r>
      <w:r w:rsidRPr="003D0B30">
        <w:rPr>
          <w:rFonts w:ascii="標楷體" w:eastAsia="標楷體" w:hAnsi="標楷體" w:hint="eastAsia"/>
          <w:color w:val="000000" w:themeColor="text1"/>
          <w:shd w:val="clear" w:color="auto" w:fill="FFFFFF"/>
        </w:rPr>
        <w:t>＝441)。</w:t>
      </w:r>
    </w:p>
    <w:p w14:paraId="7857A718" w14:textId="006E431F" w:rsidR="00EB3514" w:rsidRPr="00753E0D" w:rsidRDefault="00EB3514" w:rsidP="007932B9">
      <w:pPr>
        <w:pStyle w:val="1"/>
        <w:kinsoku w:val="0"/>
        <w:overflowPunct w:val="0"/>
        <w:snapToGrid w:val="0"/>
        <w:spacing w:beforeLines="100" w:before="360" w:afterLines="50" w:after="180" w:line="520" w:lineRule="exact"/>
        <w:rPr>
          <w:rFonts w:ascii="標楷體" w:hAnsi="標楷體"/>
          <w:color w:val="000000" w:themeColor="text1"/>
          <w:shd w:val="clear" w:color="auto" w:fill="FFFFFF"/>
        </w:rPr>
      </w:pPr>
      <w:bookmarkStart w:id="65" w:name="_Toc336248647"/>
      <w:bookmarkStart w:id="66" w:name="_Toc333246393"/>
      <w:bookmarkStart w:id="67" w:name="_Toc337040888"/>
      <w:bookmarkStart w:id="68" w:name="_Toc338150558"/>
      <w:bookmarkStart w:id="69" w:name="_Toc338767579"/>
      <w:bookmarkStart w:id="70" w:name="_Toc339459291"/>
      <w:bookmarkStart w:id="71" w:name="_Toc339894331"/>
      <w:bookmarkStart w:id="72" w:name="_Toc340611024"/>
      <w:bookmarkStart w:id="73" w:name="_Toc341187157"/>
      <w:bookmarkStart w:id="74" w:name="_Toc341866927"/>
      <w:bookmarkStart w:id="75" w:name="_Toc342405405"/>
      <w:bookmarkStart w:id="76" w:name="_Toc342925476"/>
      <w:bookmarkStart w:id="77" w:name="_Toc343693252"/>
      <w:bookmarkStart w:id="78" w:name="_Toc344483055"/>
      <w:bookmarkStart w:id="79" w:name="_Toc346096313"/>
      <w:bookmarkStart w:id="80" w:name="_Toc510167665"/>
      <w:bookmarkStart w:id="81" w:name="_Toc1401046"/>
      <w:bookmarkStart w:id="82" w:name="_Toc42533383"/>
      <w:bookmarkStart w:id="83" w:name="_Toc42702502"/>
      <w:bookmarkStart w:id="84" w:name="_Toc96350485"/>
      <w:r w:rsidRPr="00753E0D">
        <w:rPr>
          <w:rFonts w:ascii="標楷體" w:hAnsi="標楷體" w:hint="eastAsia"/>
          <w:color w:val="000000" w:themeColor="text1"/>
          <w:szCs w:val="28"/>
        </w:rPr>
        <w:lastRenderedPageBreak/>
        <w:t>參</w:t>
      </w:r>
      <w:r w:rsidRPr="00753E0D">
        <w:rPr>
          <w:rFonts w:ascii="標楷體" w:hAnsi="標楷體"/>
          <w:color w:val="000000" w:themeColor="text1"/>
          <w:szCs w:val="28"/>
        </w:rPr>
        <w:t>、</w:t>
      </w:r>
      <w:r w:rsidRPr="00753E0D">
        <w:rPr>
          <w:rFonts w:ascii="標楷體" w:hAnsi="標楷體" w:hint="eastAsia"/>
          <w:color w:val="000000" w:themeColor="text1"/>
          <w:shd w:val="clear" w:color="auto" w:fill="FFFFFF"/>
        </w:rPr>
        <w:t>本會期審查(處理)完竣議案</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008C5243">
        <w:rPr>
          <w:rFonts w:ascii="標楷體" w:hAnsi="標楷體" w:hint="eastAsia"/>
          <w:color w:val="000000" w:themeColor="text1"/>
          <w:shd w:val="clear" w:color="auto" w:fill="FFFFFF"/>
        </w:rPr>
        <w:t>163</w:t>
      </w:r>
      <w:r w:rsidRPr="00753E0D">
        <w:rPr>
          <w:rFonts w:ascii="標楷體" w:hAnsi="標楷體" w:hint="eastAsia"/>
          <w:color w:val="000000" w:themeColor="text1"/>
          <w:shd w:val="clear" w:color="auto" w:fill="FFFFFF"/>
        </w:rPr>
        <w:t>案</w:t>
      </w:r>
      <w:bookmarkEnd w:id="82"/>
      <w:bookmarkEnd w:id="83"/>
      <w:bookmarkEnd w:id="84"/>
    </w:p>
    <w:p w14:paraId="55B2462B" w14:textId="0B746DC3" w:rsidR="00EB3514" w:rsidRPr="00753E0D" w:rsidRDefault="00EB3514" w:rsidP="007932B9">
      <w:pPr>
        <w:pStyle w:val="-f1"/>
        <w:kinsoku w:val="0"/>
        <w:overflowPunct w:val="0"/>
        <w:spacing w:before="180" w:after="180" w:line="400" w:lineRule="exact"/>
        <w:ind w:leftChars="236" w:left="566" w:firstLineChars="200" w:firstLine="560"/>
        <w:outlineLvl w:val="9"/>
        <w:rPr>
          <w:rFonts w:ascii="標楷體" w:hAnsi="標楷體"/>
          <w:b w:val="0"/>
          <w:color w:val="000000" w:themeColor="text1"/>
          <w:sz w:val="28"/>
          <w:szCs w:val="28"/>
        </w:rPr>
      </w:pPr>
      <w:bookmarkStart w:id="85" w:name="_Toc510167666"/>
      <w:bookmarkStart w:id="86" w:name="_Toc42533384"/>
      <w:bookmarkStart w:id="87" w:name="_Toc42702503"/>
      <w:r w:rsidRPr="00753E0D">
        <w:rPr>
          <w:rFonts w:ascii="標楷體" w:hAnsi="標楷體"/>
          <w:b w:val="0"/>
          <w:color w:val="000000" w:themeColor="text1"/>
          <w:sz w:val="28"/>
          <w:szCs w:val="28"/>
        </w:rPr>
        <w:t>本會期</w:t>
      </w:r>
      <w:r w:rsidRPr="00753E0D">
        <w:rPr>
          <w:rFonts w:ascii="標楷體" w:hAnsi="標楷體" w:hint="eastAsia"/>
          <w:b w:val="0"/>
          <w:color w:val="000000" w:themeColor="text1"/>
          <w:sz w:val="28"/>
          <w:szCs w:val="28"/>
        </w:rPr>
        <w:t>，本會</w:t>
      </w:r>
      <w:r w:rsidRPr="00753E0D">
        <w:rPr>
          <w:rFonts w:ascii="標楷體" w:hAnsi="標楷體"/>
          <w:b w:val="0"/>
          <w:color w:val="000000" w:themeColor="text1"/>
          <w:sz w:val="28"/>
          <w:szCs w:val="28"/>
        </w:rPr>
        <w:t>審查（處理）完竣議案</w:t>
      </w:r>
      <w:r w:rsidRPr="00753E0D">
        <w:rPr>
          <w:rFonts w:ascii="標楷體" w:hAnsi="標楷體" w:hint="eastAsia"/>
          <w:b w:val="0"/>
          <w:color w:val="000000" w:themeColor="text1"/>
          <w:sz w:val="28"/>
          <w:szCs w:val="28"/>
        </w:rPr>
        <w:t>，法律案50案（組織法26案、作用法24案）、預（決）算案</w:t>
      </w:r>
      <w:r w:rsidR="008C5243">
        <w:rPr>
          <w:rFonts w:ascii="標楷體" w:hAnsi="標楷體" w:hint="eastAsia"/>
          <w:b w:val="0"/>
          <w:color w:val="000000" w:themeColor="text1"/>
          <w:sz w:val="28"/>
          <w:szCs w:val="28"/>
        </w:rPr>
        <w:t>78</w:t>
      </w:r>
      <w:r w:rsidRPr="00753E0D">
        <w:rPr>
          <w:rFonts w:ascii="標楷體" w:hAnsi="標楷體" w:hint="eastAsia"/>
          <w:b w:val="0"/>
          <w:color w:val="000000" w:themeColor="text1"/>
          <w:sz w:val="28"/>
          <w:szCs w:val="28"/>
        </w:rPr>
        <w:t>案、行政命令案35案，合</w:t>
      </w:r>
      <w:r w:rsidRPr="00753E0D">
        <w:rPr>
          <w:rFonts w:ascii="標楷體" w:hAnsi="標楷體"/>
          <w:b w:val="0"/>
          <w:color w:val="000000" w:themeColor="text1"/>
          <w:sz w:val="28"/>
          <w:szCs w:val="28"/>
        </w:rPr>
        <w:t>計</w:t>
      </w:r>
      <w:r w:rsidR="008C5243">
        <w:rPr>
          <w:rFonts w:ascii="標楷體" w:hAnsi="標楷體" w:hint="eastAsia"/>
          <w:b w:val="0"/>
          <w:color w:val="000000" w:themeColor="text1"/>
          <w:sz w:val="28"/>
          <w:szCs w:val="28"/>
        </w:rPr>
        <w:t>163</w:t>
      </w:r>
      <w:r w:rsidRPr="00753E0D">
        <w:rPr>
          <w:rFonts w:ascii="標楷體" w:hAnsi="標楷體"/>
          <w:b w:val="0"/>
          <w:color w:val="000000" w:themeColor="text1"/>
          <w:sz w:val="28"/>
          <w:szCs w:val="28"/>
        </w:rPr>
        <w:t>案</w:t>
      </w:r>
      <w:r w:rsidRPr="00753E0D">
        <w:rPr>
          <w:rFonts w:ascii="標楷體" w:hAnsi="標楷體" w:hint="eastAsia"/>
          <w:b w:val="0"/>
          <w:color w:val="000000" w:themeColor="text1"/>
          <w:sz w:val="28"/>
          <w:szCs w:val="28"/>
        </w:rPr>
        <w:t>(不含逕付二讀案件數)</w:t>
      </w:r>
      <w:r w:rsidRPr="00753E0D">
        <w:rPr>
          <w:rFonts w:ascii="標楷體" w:hAnsi="標楷體"/>
          <w:b w:val="0"/>
          <w:color w:val="000000" w:themeColor="text1"/>
          <w:sz w:val="28"/>
          <w:szCs w:val="28"/>
        </w:rPr>
        <w:t>。詳如下列各表：</w:t>
      </w:r>
    </w:p>
    <w:p w14:paraId="333AC29A" w14:textId="77777777" w:rsidR="00EB3514" w:rsidRPr="00753E0D" w:rsidRDefault="00EB3514" w:rsidP="007932B9">
      <w:pPr>
        <w:pStyle w:val="afffffc"/>
        <w:kinsoku w:val="0"/>
        <w:overflowPunct w:val="0"/>
        <w:spacing w:beforeLines="150" w:before="540" w:after="180" w:line="260" w:lineRule="exact"/>
        <w:ind w:left="284"/>
        <w:outlineLvl w:val="1"/>
        <w:rPr>
          <w:rStyle w:val="af1"/>
          <w:color w:val="000000" w:themeColor="text1"/>
          <w:szCs w:val="28"/>
          <w:u w:val="none"/>
        </w:rPr>
      </w:pPr>
      <w:bookmarkStart w:id="88" w:name="_Toc510167667"/>
      <w:bookmarkStart w:id="89" w:name="_Toc1401047"/>
      <w:bookmarkStart w:id="90" w:name="_Toc42533385"/>
      <w:bookmarkStart w:id="91" w:name="_Toc42702504"/>
      <w:bookmarkStart w:id="92" w:name="_Toc96350486"/>
      <w:bookmarkStart w:id="93" w:name="_Toc361213577"/>
      <w:bookmarkStart w:id="94" w:name="_Toc361923721"/>
      <w:bookmarkStart w:id="95" w:name="_Toc363206575"/>
      <w:bookmarkStart w:id="96" w:name="_Toc380604562"/>
      <w:bookmarkEnd w:id="85"/>
      <w:bookmarkEnd w:id="86"/>
      <w:bookmarkEnd w:id="87"/>
      <w:r w:rsidRPr="00753E0D">
        <w:rPr>
          <w:rStyle w:val="af1"/>
          <w:color w:val="000000" w:themeColor="text1"/>
          <w:szCs w:val="28"/>
          <w:u w:val="none"/>
        </w:rPr>
        <w:t>［壹］</w:t>
      </w:r>
      <w:r w:rsidRPr="00753E0D">
        <w:rPr>
          <w:rStyle w:val="af1"/>
          <w:rFonts w:hint="eastAsia"/>
          <w:color w:val="000000" w:themeColor="text1"/>
          <w:u w:val="none"/>
        </w:rPr>
        <w:t>法律</w:t>
      </w:r>
      <w:r w:rsidRPr="00753E0D">
        <w:rPr>
          <w:rStyle w:val="af1"/>
          <w:color w:val="000000" w:themeColor="text1"/>
          <w:u w:val="none"/>
        </w:rPr>
        <w:t>案</w:t>
      </w:r>
      <w:r w:rsidRPr="00753E0D">
        <w:rPr>
          <w:rStyle w:val="af1"/>
          <w:rFonts w:hint="eastAsia"/>
          <w:color w:val="000000" w:themeColor="text1"/>
          <w:u w:val="none"/>
        </w:rPr>
        <w:t>50</w:t>
      </w:r>
      <w:r w:rsidRPr="00753E0D">
        <w:rPr>
          <w:rStyle w:val="af1"/>
          <w:color w:val="000000" w:themeColor="text1"/>
          <w:u w:val="none"/>
        </w:rPr>
        <w:t>案</w:t>
      </w:r>
      <w:bookmarkEnd w:id="88"/>
      <w:bookmarkEnd w:id="89"/>
      <w:bookmarkEnd w:id="90"/>
      <w:bookmarkEnd w:id="91"/>
      <w:bookmarkEnd w:id="92"/>
    </w:p>
    <w:p w14:paraId="704865C2" w14:textId="77777777" w:rsidR="00EB3514" w:rsidRPr="00753E0D" w:rsidRDefault="00EB3514" w:rsidP="007932B9">
      <w:pPr>
        <w:pStyle w:val="afffffc"/>
        <w:kinsoku w:val="0"/>
        <w:overflowPunct w:val="0"/>
        <w:spacing w:beforeLines="100" w:before="360" w:afterLines="100" w:after="360" w:line="260" w:lineRule="exact"/>
        <w:ind w:firstLineChars="62" w:firstLine="174"/>
        <w:rPr>
          <w:rStyle w:val="-f2"/>
          <w:b/>
          <w:color w:val="000000" w:themeColor="text1"/>
          <w:sz w:val="28"/>
          <w:szCs w:val="28"/>
        </w:rPr>
      </w:pPr>
      <w:bookmarkStart w:id="97" w:name="_Toc510167668"/>
      <w:bookmarkStart w:id="98" w:name="_Toc1401048"/>
      <w:bookmarkStart w:id="99" w:name="_Toc42533386"/>
      <w:bookmarkStart w:id="100" w:name="_Toc42702505"/>
      <w:bookmarkStart w:id="101" w:name="_Toc96350487"/>
      <w:r w:rsidRPr="00753E0D">
        <w:rPr>
          <w:color w:val="000000" w:themeColor="text1"/>
          <w:szCs w:val="28"/>
        </w:rPr>
        <w:t>一、</w:t>
      </w:r>
      <w:r w:rsidRPr="00753E0D">
        <w:rPr>
          <w:bCs w:val="0"/>
          <w:color w:val="000000" w:themeColor="text1"/>
        </w:rPr>
        <w:t>組織法</w:t>
      </w:r>
      <w:r w:rsidRPr="00753E0D">
        <w:rPr>
          <w:rFonts w:hint="eastAsia"/>
          <w:bCs w:val="0"/>
          <w:color w:val="000000" w:themeColor="text1"/>
        </w:rPr>
        <w:t>26</w:t>
      </w:r>
      <w:r w:rsidRPr="00753E0D">
        <w:rPr>
          <w:rStyle w:val="-f2"/>
          <w:b/>
          <w:color w:val="000000" w:themeColor="text1"/>
          <w:sz w:val="28"/>
          <w:szCs w:val="28"/>
        </w:rPr>
        <w:t>案</w:t>
      </w:r>
      <w:bookmarkEnd w:id="97"/>
      <w:bookmarkEnd w:id="98"/>
      <w:bookmarkEnd w:id="99"/>
      <w:bookmarkEnd w:id="100"/>
      <w:bookmarkEnd w:id="101"/>
    </w:p>
    <w:p w14:paraId="2474BF2F" w14:textId="77777777" w:rsidR="00EB3514" w:rsidRPr="00753E0D" w:rsidRDefault="00EB3514" w:rsidP="00E1643E">
      <w:pPr>
        <w:pStyle w:val="afffffc"/>
        <w:kinsoku w:val="0"/>
        <w:overflowPunct w:val="0"/>
        <w:spacing w:beforeLines="100" w:before="360" w:afterLines="100" w:after="360" w:line="260" w:lineRule="exact"/>
        <w:ind w:leftChars="472" w:left="1133"/>
        <w:rPr>
          <w:color w:val="000000" w:themeColor="text1"/>
        </w:rPr>
      </w:pPr>
      <w:bookmarkStart w:id="102" w:name="_Toc42533388"/>
      <w:bookmarkStart w:id="103" w:name="_Toc42702507"/>
      <w:bookmarkStart w:id="104" w:name="_Toc96350489"/>
      <w:r w:rsidRPr="00753E0D">
        <w:rPr>
          <w:rFonts w:hint="eastAsia"/>
          <w:color w:val="000000" w:themeColor="text1"/>
        </w:rPr>
        <w:t>(一)經院會通過之議案18案</w:t>
      </w:r>
      <w:bookmarkEnd w:id="102"/>
      <w:bookmarkEnd w:id="103"/>
      <w:bookmarkEnd w:id="104"/>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57"/>
        <w:gridCol w:w="1512"/>
        <w:gridCol w:w="1536"/>
        <w:gridCol w:w="1320"/>
        <w:gridCol w:w="1735"/>
        <w:gridCol w:w="1107"/>
      </w:tblGrid>
      <w:tr w:rsidR="00EB3514" w:rsidRPr="00753E0D" w14:paraId="5264DF4A" w14:textId="77777777" w:rsidTr="00EC13B7">
        <w:trPr>
          <w:trHeight w:val="653"/>
        </w:trPr>
        <w:tc>
          <w:tcPr>
            <w:tcW w:w="511" w:type="dxa"/>
            <w:vMerge w:val="restart"/>
          </w:tcPr>
          <w:p w14:paraId="2DD743B8"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序號</w:t>
            </w:r>
          </w:p>
        </w:tc>
        <w:tc>
          <w:tcPr>
            <w:tcW w:w="1157" w:type="dxa"/>
            <w:vMerge w:val="restart"/>
          </w:tcPr>
          <w:p w14:paraId="364DB4EC" w14:textId="77777777" w:rsidR="00EB3514" w:rsidRPr="00753E0D" w:rsidRDefault="00EB3514" w:rsidP="00EC13B7">
            <w:pPr>
              <w:kinsoku w:val="0"/>
              <w:overflowPunct w:val="0"/>
              <w:spacing w:line="300" w:lineRule="exact"/>
              <w:ind w:rightChars="13" w:right="31"/>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議案名稱</w:t>
            </w:r>
          </w:p>
        </w:tc>
        <w:tc>
          <w:tcPr>
            <w:tcW w:w="1512" w:type="dxa"/>
            <w:vMerge w:val="restart"/>
          </w:tcPr>
          <w:p w14:paraId="5E229BB9" w14:textId="77777777" w:rsidR="00EB3514" w:rsidRPr="00753E0D" w:rsidRDefault="00EB3514" w:rsidP="00EC13B7">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753E0D">
              <w:rPr>
                <w:rFonts w:ascii="標楷體" w:eastAsia="標楷體" w:hAnsi="標楷體"/>
                <w:b/>
                <w:color w:val="000000"/>
                <w:spacing w:val="-20"/>
                <w:szCs w:val="22"/>
              </w:rPr>
              <w:t>提案委員或機關</w:t>
            </w:r>
          </w:p>
          <w:p w14:paraId="70BCE7D0" w14:textId="77777777" w:rsidR="00EB3514" w:rsidRPr="00753E0D" w:rsidRDefault="00EB3514"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院會交付日期</w:t>
            </w:r>
          </w:p>
          <w:p w14:paraId="1A160E13" w14:textId="77777777" w:rsidR="00EB3514" w:rsidRPr="00753E0D" w:rsidRDefault="00EB3514"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(會次)</w:t>
            </w:r>
          </w:p>
        </w:tc>
        <w:tc>
          <w:tcPr>
            <w:tcW w:w="1536" w:type="dxa"/>
            <w:vMerge w:val="restart"/>
          </w:tcPr>
          <w:p w14:paraId="5B26BDF3" w14:textId="77777777" w:rsidR="00EB3514" w:rsidRPr="00753E0D" w:rsidRDefault="00EB3514"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審查情形日期</w:t>
            </w:r>
            <w:r w:rsidRPr="00753E0D">
              <w:rPr>
                <w:rFonts w:ascii="標楷體" w:eastAsia="標楷體" w:hAnsi="標楷體" w:hint="eastAsia"/>
                <w:b/>
                <w:color w:val="000000"/>
                <w:spacing w:val="-20"/>
                <w:szCs w:val="22"/>
              </w:rPr>
              <w:t xml:space="preserve"> </w:t>
            </w:r>
          </w:p>
          <w:p w14:paraId="78520551" w14:textId="77777777" w:rsidR="00EB3514" w:rsidRPr="00753E0D" w:rsidRDefault="00EB3514"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(會次)</w:t>
            </w:r>
          </w:p>
        </w:tc>
        <w:tc>
          <w:tcPr>
            <w:tcW w:w="1320" w:type="dxa"/>
            <w:vMerge w:val="restart"/>
          </w:tcPr>
          <w:p w14:paraId="7DA2DFCB" w14:textId="77777777" w:rsidR="00EB3514" w:rsidRPr="00753E0D" w:rsidRDefault="00EB3514"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院會三讀通過</w:t>
            </w:r>
          </w:p>
          <w:p w14:paraId="6C707A2F" w14:textId="77777777" w:rsidR="00EB3514" w:rsidRPr="00753E0D" w:rsidRDefault="00EB3514"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日期(會次)</w:t>
            </w:r>
            <w:r w:rsidRPr="00753E0D">
              <w:rPr>
                <w:rFonts w:ascii="標楷體" w:eastAsia="標楷體" w:hAnsi="標楷體" w:hint="eastAsia"/>
                <w:b/>
                <w:color w:val="000000"/>
                <w:spacing w:val="-20"/>
                <w:szCs w:val="22"/>
              </w:rPr>
              <w:t>、</w:t>
            </w:r>
          </w:p>
          <w:p w14:paraId="320C5EA0" w14:textId="77777777" w:rsidR="00EB3514" w:rsidRPr="00753E0D" w:rsidRDefault="00EB3514" w:rsidP="00EC13B7">
            <w:pPr>
              <w:kinsoku w:val="0"/>
              <w:overflowPunct w:val="0"/>
              <w:spacing w:line="300" w:lineRule="exact"/>
              <w:ind w:leftChars="-45" w:left="-108"/>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咨請總統公布法律案名稱</w:t>
            </w:r>
          </w:p>
        </w:tc>
        <w:tc>
          <w:tcPr>
            <w:tcW w:w="1735" w:type="dxa"/>
          </w:tcPr>
          <w:p w14:paraId="1F96FC37"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hint="eastAsia"/>
                <w:b/>
                <w:color w:val="000000"/>
                <w:spacing w:val="-20"/>
                <w:szCs w:val="22"/>
              </w:rPr>
              <w:t>本院</w:t>
            </w:r>
            <w:r w:rsidRPr="00753E0D">
              <w:rPr>
                <w:rFonts w:ascii="標楷體" w:eastAsia="標楷體" w:hAnsi="標楷體"/>
                <w:b/>
                <w:color w:val="000000"/>
                <w:spacing w:val="-20"/>
                <w:szCs w:val="22"/>
              </w:rPr>
              <w:t>咨</w:t>
            </w:r>
            <w:r w:rsidRPr="00753E0D">
              <w:rPr>
                <w:rFonts w:ascii="標楷體" w:eastAsia="標楷體" w:hAnsi="標楷體" w:hint="eastAsia"/>
                <w:b/>
                <w:color w:val="000000"/>
                <w:spacing w:val="-20"/>
                <w:szCs w:val="22"/>
              </w:rPr>
              <w:t>文</w:t>
            </w:r>
          </w:p>
          <w:p w14:paraId="7E568685"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日期及文號</w:t>
            </w:r>
          </w:p>
        </w:tc>
        <w:tc>
          <w:tcPr>
            <w:tcW w:w="1107" w:type="dxa"/>
            <w:vMerge w:val="restart"/>
          </w:tcPr>
          <w:p w14:paraId="58739387"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總統府</w:t>
            </w:r>
          </w:p>
          <w:p w14:paraId="64EF7B95"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公報</w:t>
            </w:r>
          </w:p>
        </w:tc>
      </w:tr>
      <w:tr w:rsidR="00EB3514" w:rsidRPr="00753E0D" w14:paraId="677978DC" w14:textId="77777777" w:rsidTr="00EC13B7">
        <w:trPr>
          <w:trHeight w:val="629"/>
        </w:trPr>
        <w:tc>
          <w:tcPr>
            <w:tcW w:w="511" w:type="dxa"/>
            <w:vMerge/>
          </w:tcPr>
          <w:p w14:paraId="02D703C3"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p>
        </w:tc>
        <w:tc>
          <w:tcPr>
            <w:tcW w:w="1157" w:type="dxa"/>
            <w:vMerge/>
          </w:tcPr>
          <w:p w14:paraId="0DB7F635" w14:textId="77777777" w:rsidR="00EB3514" w:rsidRPr="00753E0D" w:rsidRDefault="00EB3514"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512" w:type="dxa"/>
            <w:vMerge/>
          </w:tcPr>
          <w:p w14:paraId="656D02BB" w14:textId="77777777" w:rsidR="00EB3514" w:rsidRPr="00753E0D" w:rsidRDefault="00EB3514" w:rsidP="00EC13B7">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536" w:type="dxa"/>
            <w:vMerge/>
          </w:tcPr>
          <w:p w14:paraId="220EA89C" w14:textId="77777777" w:rsidR="00EB3514" w:rsidRPr="00753E0D" w:rsidRDefault="00EB3514"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276738FF"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tcPr>
          <w:p w14:paraId="3E025DB0"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總統公布</w:t>
            </w:r>
          </w:p>
          <w:p w14:paraId="7BD0F49D"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日期及文號</w:t>
            </w:r>
          </w:p>
        </w:tc>
        <w:tc>
          <w:tcPr>
            <w:tcW w:w="1107" w:type="dxa"/>
            <w:vMerge/>
          </w:tcPr>
          <w:p w14:paraId="1A451669"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r>
      <w:tr w:rsidR="00EB3514" w:rsidRPr="00753E0D" w14:paraId="64C627E2" w14:textId="77777777" w:rsidTr="00EC13B7">
        <w:trPr>
          <w:trHeight w:val="645"/>
        </w:trPr>
        <w:tc>
          <w:tcPr>
            <w:tcW w:w="511" w:type="dxa"/>
          </w:tcPr>
          <w:p w14:paraId="3A1E6B09"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w:t>
            </w:r>
          </w:p>
        </w:tc>
        <w:tc>
          <w:tcPr>
            <w:tcW w:w="1157" w:type="dxa"/>
          </w:tcPr>
          <w:p w14:paraId="3BFD0D50"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1.法務部法醫研究所組織法第二條及第五條條文修正草案</w:t>
            </w:r>
          </w:p>
        </w:tc>
        <w:tc>
          <w:tcPr>
            <w:tcW w:w="1512" w:type="dxa"/>
          </w:tcPr>
          <w:p w14:paraId="75F4961E"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 xml:space="preserve">行政院 109.09.18 </w:t>
            </w:r>
          </w:p>
          <w:p w14:paraId="432FF7DB"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（10-2-1）</w:t>
            </w:r>
          </w:p>
        </w:tc>
        <w:tc>
          <w:tcPr>
            <w:tcW w:w="1536" w:type="dxa"/>
            <w:vMerge w:val="restart"/>
          </w:tcPr>
          <w:p w14:paraId="2244693F"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本會111.12.12</w:t>
            </w:r>
          </w:p>
          <w:p w14:paraId="358663D0"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(10-6-26)審查完竣，不須交由黨團協商。</w:t>
            </w:r>
          </w:p>
        </w:tc>
        <w:tc>
          <w:tcPr>
            <w:tcW w:w="1320" w:type="dxa"/>
            <w:vMerge w:val="restart"/>
          </w:tcPr>
          <w:p w14:paraId="7FAFF8CD"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1CE8D34D"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2.27</w:t>
            </w:r>
          </w:p>
          <w:p w14:paraId="2AFEEA25"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-13)</w:t>
            </w:r>
            <w:r w:rsidRPr="00753E0D">
              <w:rPr>
                <w:rFonts w:ascii="標楷體" w:eastAsia="標楷體" w:hAnsi="標楷體" w:hint="eastAsia"/>
                <w:spacing w:val="-20"/>
                <w:kern w:val="0"/>
                <w:szCs w:val="22"/>
              </w:rPr>
              <w:t xml:space="preserve"> </w:t>
            </w:r>
          </w:p>
          <w:p w14:paraId="106957A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spacing w:val="-20"/>
                <w:kern w:val="0"/>
                <w:szCs w:val="22"/>
              </w:rPr>
              <w:t>三讀修正第二條及第五條條文</w:t>
            </w:r>
          </w:p>
        </w:tc>
        <w:tc>
          <w:tcPr>
            <w:tcW w:w="1735" w:type="dxa"/>
            <w:vMerge w:val="restart"/>
          </w:tcPr>
          <w:p w14:paraId="345341DC"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112年1月9日台立院議字第1110704892號</w:t>
            </w:r>
          </w:p>
          <w:p w14:paraId="79125941"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4FF705A1"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112年1月13日</w:t>
            </w:r>
          </w:p>
          <w:p w14:paraId="529FC46F"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華總一義字第11200002881號</w:t>
            </w:r>
          </w:p>
        </w:tc>
        <w:tc>
          <w:tcPr>
            <w:tcW w:w="1107" w:type="dxa"/>
            <w:vMerge w:val="restart"/>
          </w:tcPr>
          <w:p w14:paraId="563FB316"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第7640號</w:t>
            </w:r>
          </w:p>
        </w:tc>
      </w:tr>
      <w:tr w:rsidR="00EB3514" w:rsidRPr="00753E0D" w14:paraId="59897F30" w14:textId="77777777" w:rsidTr="00EC13B7">
        <w:trPr>
          <w:trHeight w:val="645"/>
        </w:trPr>
        <w:tc>
          <w:tcPr>
            <w:tcW w:w="511" w:type="dxa"/>
          </w:tcPr>
          <w:p w14:paraId="20F50197"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2</w:t>
            </w:r>
          </w:p>
        </w:tc>
        <w:tc>
          <w:tcPr>
            <w:tcW w:w="1157" w:type="dxa"/>
          </w:tcPr>
          <w:p w14:paraId="724AB453"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2.法務部法醫研究所組織法第二條及第五條條文修正草案</w:t>
            </w:r>
          </w:p>
        </w:tc>
        <w:tc>
          <w:tcPr>
            <w:tcW w:w="1512" w:type="dxa"/>
          </w:tcPr>
          <w:p w14:paraId="36F4D661"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 xml:space="preserve">委員萬美玲等23人 109.09.25 </w:t>
            </w:r>
          </w:p>
          <w:p w14:paraId="69D11563"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（10-2-2）</w:t>
            </w:r>
          </w:p>
        </w:tc>
        <w:tc>
          <w:tcPr>
            <w:tcW w:w="1536" w:type="dxa"/>
            <w:vMerge/>
          </w:tcPr>
          <w:p w14:paraId="152E621E"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2F76C2A3"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7A15A15B"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2ADC1E77"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3E8DD298" w14:textId="77777777" w:rsidTr="00EC13B7">
        <w:trPr>
          <w:trHeight w:val="645"/>
        </w:trPr>
        <w:tc>
          <w:tcPr>
            <w:tcW w:w="511" w:type="dxa"/>
          </w:tcPr>
          <w:p w14:paraId="0AE14AFA"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3</w:t>
            </w:r>
          </w:p>
        </w:tc>
        <w:tc>
          <w:tcPr>
            <w:tcW w:w="1157" w:type="dxa"/>
          </w:tcPr>
          <w:p w14:paraId="000619F0"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3.法務部法醫研究所組織法第二條條文修正草案</w:t>
            </w:r>
          </w:p>
        </w:tc>
        <w:tc>
          <w:tcPr>
            <w:tcW w:w="1512" w:type="dxa"/>
          </w:tcPr>
          <w:p w14:paraId="051DB9BF"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20"/>
                <w:kern w:val="0"/>
                <w:szCs w:val="22"/>
              </w:rPr>
              <w:t>時代力量黨團</w:t>
            </w:r>
            <w:r w:rsidRPr="00753E0D">
              <w:rPr>
                <w:rFonts w:ascii="標楷體" w:eastAsia="標楷體" w:hAnsi="標楷體" w:hint="eastAsia"/>
                <w:color w:val="000000"/>
                <w:spacing w:val="-10"/>
                <w:kern w:val="0"/>
                <w:szCs w:val="22"/>
              </w:rPr>
              <w:t xml:space="preserve"> 109.10.23 </w:t>
            </w:r>
          </w:p>
          <w:p w14:paraId="606B98A5"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（10-2-4）</w:t>
            </w:r>
          </w:p>
        </w:tc>
        <w:tc>
          <w:tcPr>
            <w:tcW w:w="1536" w:type="dxa"/>
            <w:vMerge/>
          </w:tcPr>
          <w:p w14:paraId="1ACBEBA5"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1C1BEA51"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75F8E2F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68271642"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6D94F240" w14:textId="77777777" w:rsidTr="00EC13B7">
        <w:trPr>
          <w:trHeight w:val="645"/>
        </w:trPr>
        <w:tc>
          <w:tcPr>
            <w:tcW w:w="511" w:type="dxa"/>
          </w:tcPr>
          <w:p w14:paraId="61D4EB48"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4</w:t>
            </w:r>
          </w:p>
        </w:tc>
        <w:tc>
          <w:tcPr>
            <w:tcW w:w="1157" w:type="dxa"/>
          </w:tcPr>
          <w:p w14:paraId="40530FBC"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4.法務部法醫研究所組織法第二條條文修正草案</w:t>
            </w:r>
          </w:p>
        </w:tc>
        <w:tc>
          <w:tcPr>
            <w:tcW w:w="1512" w:type="dxa"/>
          </w:tcPr>
          <w:p w14:paraId="4D8F6C53"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委員黃世杰等20人 111.03.11 </w:t>
            </w:r>
          </w:p>
          <w:p w14:paraId="123B7B81"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（10-5-3）</w:t>
            </w:r>
          </w:p>
        </w:tc>
        <w:tc>
          <w:tcPr>
            <w:tcW w:w="1536" w:type="dxa"/>
            <w:vMerge/>
          </w:tcPr>
          <w:p w14:paraId="0EFDC50E"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387D5E9D"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3CA36D2D"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64A01D67"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13A3EAE7" w14:textId="77777777" w:rsidTr="00EC13B7">
        <w:trPr>
          <w:trHeight w:val="645"/>
        </w:trPr>
        <w:tc>
          <w:tcPr>
            <w:tcW w:w="511" w:type="dxa"/>
          </w:tcPr>
          <w:p w14:paraId="061E686E"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5</w:t>
            </w:r>
          </w:p>
        </w:tc>
        <w:tc>
          <w:tcPr>
            <w:tcW w:w="1157" w:type="dxa"/>
          </w:tcPr>
          <w:p w14:paraId="5798FC15"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5</w:t>
            </w:r>
            <w:r w:rsidRPr="00753E0D">
              <w:rPr>
                <w:rFonts w:ascii="標楷體" w:eastAsia="標楷體" w:hAnsi="標楷體"/>
                <w:color w:val="000000"/>
                <w:kern w:val="0"/>
                <w:szCs w:val="22"/>
              </w:rPr>
              <w:t>.法務部法醫研究所組織法第二條及第五條條文修正草案</w:t>
            </w:r>
          </w:p>
        </w:tc>
        <w:tc>
          <w:tcPr>
            <w:tcW w:w="1512" w:type="dxa"/>
          </w:tcPr>
          <w:p w14:paraId="230B8D58" w14:textId="10836301" w:rsidR="00EB3514" w:rsidRPr="00753E0D" w:rsidRDefault="00E364B6" w:rsidP="00EC13B7">
            <w:pPr>
              <w:kinsoku w:val="0"/>
              <w:overflowPunct w:val="0"/>
              <w:adjustRightInd w:val="0"/>
              <w:snapToGrid w:val="0"/>
              <w:spacing w:line="300" w:lineRule="exact"/>
              <w:rPr>
                <w:rFonts w:ascii="標楷體" w:eastAsia="標楷體" w:hAnsi="標楷體"/>
                <w:color w:val="000000"/>
                <w:spacing w:val="-10"/>
                <w:kern w:val="0"/>
                <w:szCs w:val="22"/>
              </w:rPr>
            </w:pPr>
            <w:r>
              <w:rPr>
                <w:rFonts w:ascii="標楷體" w:eastAsia="標楷體" w:hAnsi="標楷體" w:hint="eastAsia"/>
                <w:color w:val="000000"/>
                <w:spacing w:val="-10"/>
                <w:kern w:val="0"/>
                <w:szCs w:val="22"/>
              </w:rPr>
              <w:t>台灣</w:t>
            </w:r>
            <w:r w:rsidR="00EB3514" w:rsidRPr="00753E0D">
              <w:rPr>
                <w:rFonts w:ascii="標楷體" w:eastAsia="標楷體" w:hAnsi="標楷體"/>
                <w:color w:val="000000"/>
                <w:spacing w:val="-10"/>
                <w:kern w:val="0"/>
                <w:szCs w:val="22"/>
              </w:rPr>
              <w:t xml:space="preserve">民眾黨黨團 111.03.18 </w:t>
            </w:r>
          </w:p>
          <w:p w14:paraId="0D3A2909"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（10-5-4）</w:t>
            </w:r>
          </w:p>
        </w:tc>
        <w:tc>
          <w:tcPr>
            <w:tcW w:w="1536" w:type="dxa"/>
            <w:vMerge/>
          </w:tcPr>
          <w:p w14:paraId="0B44FD5D"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70B88A03"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72937BE4"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1F04BBC3"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353CB63E" w14:textId="77777777" w:rsidTr="00EC13B7">
        <w:trPr>
          <w:trHeight w:val="645"/>
        </w:trPr>
        <w:tc>
          <w:tcPr>
            <w:tcW w:w="511" w:type="dxa"/>
          </w:tcPr>
          <w:p w14:paraId="12776933"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6</w:t>
            </w:r>
          </w:p>
        </w:tc>
        <w:tc>
          <w:tcPr>
            <w:tcW w:w="1157" w:type="dxa"/>
          </w:tcPr>
          <w:p w14:paraId="0A0B95BC"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6</w:t>
            </w:r>
            <w:r w:rsidRPr="00753E0D">
              <w:rPr>
                <w:rFonts w:ascii="標楷體" w:eastAsia="標楷體" w:hAnsi="標楷體"/>
                <w:color w:val="000000"/>
                <w:kern w:val="0"/>
                <w:szCs w:val="22"/>
              </w:rPr>
              <w:t>.法務部法醫研究所組織法第二條及第五條條文修正草案</w:t>
            </w:r>
          </w:p>
        </w:tc>
        <w:tc>
          <w:tcPr>
            <w:tcW w:w="1512" w:type="dxa"/>
          </w:tcPr>
          <w:p w14:paraId="797BF65B"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委員伍麗華Saidhai‧</w:t>
            </w:r>
          </w:p>
          <w:p w14:paraId="23A6EF94"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Tahovecahe等17人 111.05.20 </w:t>
            </w:r>
          </w:p>
          <w:p w14:paraId="5641D79B"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（10-5-13）</w:t>
            </w:r>
          </w:p>
        </w:tc>
        <w:tc>
          <w:tcPr>
            <w:tcW w:w="1536" w:type="dxa"/>
            <w:vMerge/>
          </w:tcPr>
          <w:p w14:paraId="36F94328"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139213F3"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66141084"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2ACA7D7C"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649DB57C" w14:textId="77777777" w:rsidTr="00EC13B7">
        <w:trPr>
          <w:trHeight w:val="645"/>
        </w:trPr>
        <w:tc>
          <w:tcPr>
            <w:tcW w:w="511" w:type="dxa"/>
          </w:tcPr>
          <w:p w14:paraId="75284B33"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7</w:t>
            </w:r>
          </w:p>
        </w:tc>
        <w:tc>
          <w:tcPr>
            <w:tcW w:w="1157" w:type="dxa"/>
          </w:tcPr>
          <w:p w14:paraId="25D9EC33"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1.法務部司法官學院組織法第二條及第八條條文修正草案</w:t>
            </w:r>
          </w:p>
        </w:tc>
        <w:tc>
          <w:tcPr>
            <w:tcW w:w="1512" w:type="dxa"/>
          </w:tcPr>
          <w:p w14:paraId="34471FFE"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 xml:space="preserve">行政院 109.09.18 </w:t>
            </w:r>
          </w:p>
          <w:p w14:paraId="27A32758"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（10-2-1）</w:t>
            </w:r>
          </w:p>
        </w:tc>
        <w:tc>
          <w:tcPr>
            <w:tcW w:w="1536" w:type="dxa"/>
            <w:vMerge w:val="restart"/>
          </w:tcPr>
          <w:p w14:paraId="39292D2A"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本會111.12.12</w:t>
            </w:r>
          </w:p>
          <w:p w14:paraId="7BB6880F"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(10-6-26)審查完竣，不須交由黨團協商。</w:t>
            </w:r>
          </w:p>
        </w:tc>
        <w:tc>
          <w:tcPr>
            <w:tcW w:w="1320" w:type="dxa"/>
            <w:vMerge w:val="restart"/>
          </w:tcPr>
          <w:p w14:paraId="248EA58E"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0F72070A"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2.27</w:t>
            </w:r>
          </w:p>
          <w:p w14:paraId="2484C4EE"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-13)</w:t>
            </w:r>
            <w:r w:rsidRPr="00753E0D">
              <w:rPr>
                <w:rFonts w:ascii="標楷體" w:eastAsia="標楷體" w:hAnsi="標楷體" w:hint="eastAsia"/>
                <w:spacing w:val="-20"/>
                <w:kern w:val="0"/>
                <w:szCs w:val="22"/>
              </w:rPr>
              <w:t xml:space="preserve"> </w:t>
            </w:r>
          </w:p>
          <w:p w14:paraId="14839E14"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spacing w:val="-20"/>
                <w:kern w:val="0"/>
                <w:szCs w:val="22"/>
              </w:rPr>
              <w:t>三讀修正第二條及第八條條文</w:t>
            </w:r>
          </w:p>
        </w:tc>
        <w:tc>
          <w:tcPr>
            <w:tcW w:w="1735" w:type="dxa"/>
            <w:vMerge w:val="restart"/>
          </w:tcPr>
          <w:p w14:paraId="185420E9"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112年1月9日台立院議字第1110704894號</w:t>
            </w:r>
          </w:p>
          <w:p w14:paraId="6E7F5499"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p w14:paraId="25DD5623"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112年1月13日</w:t>
            </w:r>
          </w:p>
          <w:p w14:paraId="373E4D9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color w:val="000000"/>
                <w:spacing w:val="-20"/>
                <w:szCs w:val="22"/>
              </w:rPr>
              <w:t>華總一義字第11200002891號</w:t>
            </w:r>
          </w:p>
        </w:tc>
        <w:tc>
          <w:tcPr>
            <w:tcW w:w="1107" w:type="dxa"/>
            <w:vMerge w:val="restart"/>
          </w:tcPr>
          <w:p w14:paraId="6C3266C6"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第7640號</w:t>
            </w:r>
          </w:p>
        </w:tc>
      </w:tr>
      <w:tr w:rsidR="00EB3514" w:rsidRPr="00753E0D" w14:paraId="09C0A779" w14:textId="77777777" w:rsidTr="00EC13B7">
        <w:trPr>
          <w:trHeight w:val="645"/>
        </w:trPr>
        <w:tc>
          <w:tcPr>
            <w:tcW w:w="511" w:type="dxa"/>
          </w:tcPr>
          <w:p w14:paraId="1148441F"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8</w:t>
            </w:r>
          </w:p>
        </w:tc>
        <w:tc>
          <w:tcPr>
            <w:tcW w:w="1157" w:type="dxa"/>
          </w:tcPr>
          <w:p w14:paraId="1C6A0639"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2.</w:t>
            </w:r>
            <w:r w:rsidRPr="00753E0D">
              <w:rPr>
                <w:rFonts w:ascii="標楷體" w:eastAsia="標楷體" w:hAnsi="標楷體"/>
                <w:color w:val="000000"/>
                <w:kern w:val="0"/>
                <w:szCs w:val="22"/>
              </w:rPr>
              <w:t>法務部司法官學院組織法第二條條文修正草案</w:t>
            </w:r>
          </w:p>
        </w:tc>
        <w:tc>
          <w:tcPr>
            <w:tcW w:w="1512" w:type="dxa"/>
          </w:tcPr>
          <w:p w14:paraId="2A7D6B96"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委員黃世杰等19人 111.03.11 </w:t>
            </w:r>
          </w:p>
          <w:p w14:paraId="289519C8"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（10-5-3）</w:t>
            </w:r>
          </w:p>
        </w:tc>
        <w:tc>
          <w:tcPr>
            <w:tcW w:w="1536" w:type="dxa"/>
            <w:vMerge/>
          </w:tcPr>
          <w:p w14:paraId="7B0AE1A6"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6B7F8EE5"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1799CF1F"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02AB8958"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13B383E2" w14:textId="77777777" w:rsidTr="00EC13B7">
        <w:trPr>
          <w:trHeight w:val="645"/>
        </w:trPr>
        <w:tc>
          <w:tcPr>
            <w:tcW w:w="511" w:type="dxa"/>
          </w:tcPr>
          <w:p w14:paraId="3EE590C5"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9</w:t>
            </w:r>
          </w:p>
        </w:tc>
        <w:tc>
          <w:tcPr>
            <w:tcW w:w="1157" w:type="dxa"/>
          </w:tcPr>
          <w:p w14:paraId="07EFAECD"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3</w:t>
            </w:r>
            <w:r w:rsidRPr="00753E0D">
              <w:rPr>
                <w:rFonts w:ascii="標楷體" w:eastAsia="標楷體" w:hAnsi="標楷體"/>
                <w:color w:val="000000"/>
                <w:kern w:val="0"/>
                <w:szCs w:val="22"/>
              </w:rPr>
              <w:t>.法務部司法官學院組織法第二條及第八條條文修正草案</w:t>
            </w:r>
          </w:p>
        </w:tc>
        <w:tc>
          <w:tcPr>
            <w:tcW w:w="1512" w:type="dxa"/>
          </w:tcPr>
          <w:p w14:paraId="11119F7B" w14:textId="5B738445" w:rsidR="00EB3514" w:rsidRPr="00753E0D" w:rsidRDefault="00E364B6" w:rsidP="00EC13B7">
            <w:pPr>
              <w:kinsoku w:val="0"/>
              <w:overflowPunct w:val="0"/>
              <w:adjustRightInd w:val="0"/>
              <w:snapToGrid w:val="0"/>
              <w:spacing w:line="300" w:lineRule="exact"/>
              <w:rPr>
                <w:rFonts w:ascii="標楷體" w:eastAsia="標楷體" w:hAnsi="標楷體"/>
                <w:color w:val="000000"/>
                <w:spacing w:val="-10"/>
                <w:kern w:val="0"/>
                <w:szCs w:val="22"/>
              </w:rPr>
            </w:pPr>
            <w:r>
              <w:rPr>
                <w:rFonts w:ascii="標楷體" w:eastAsia="標楷體" w:hAnsi="標楷體" w:hint="eastAsia"/>
                <w:color w:val="000000"/>
                <w:spacing w:val="-10"/>
                <w:kern w:val="0"/>
                <w:szCs w:val="22"/>
              </w:rPr>
              <w:t>台灣</w:t>
            </w:r>
            <w:r w:rsidR="00EB3514" w:rsidRPr="00753E0D">
              <w:rPr>
                <w:rFonts w:ascii="標楷體" w:eastAsia="標楷體" w:hAnsi="標楷體"/>
                <w:color w:val="000000"/>
                <w:spacing w:val="-10"/>
                <w:kern w:val="0"/>
                <w:szCs w:val="22"/>
              </w:rPr>
              <w:t xml:space="preserve">民眾黨黨團 111.03.18 </w:t>
            </w:r>
          </w:p>
          <w:p w14:paraId="6C1FDD37"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（10-5-4）</w:t>
            </w:r>
          </w:p>
        </w:tc>
        <w:tc>
          <w:tcPr>
            <w:tcW w:w="1536" w:type="dxa"/>
            <w:vMerge/>
          </w:tcPr>
          <w:p w14:paraId="1D767547"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647DE6A7"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4D0687E8"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0E98B70F"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501036D8" w14:textId="77777777" w:rsidTr="00EC13B7">
        <w:trPr>
          <w:trHeight w:val="645"/>
        </w:trPr>
        <w:tc>
          <w:tcPr>
            <w:tcW w:w="511" w:type="dxa"/>
          </w:tcPr>
          <w:p w14:paraId="68D728E0"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w:t>
            </w:r>
            <w:r w:rsidRPr="00753E0D">
              <w:rPr>
                <w:rFonts w:ascii="標楷體" w:eastAsia="標楷體" w:hAnsi="標楷體"/>
                <w:color w:val="000000"/>
                <w:spacing w:val="-20"/>
                <w:szCs w:val="22"/>
              </w:rPr>
              <w:t>0</w:t>
            </w:r>
          </w:p>
        </w:tc>
        <w:tc>
          <w:tcPr>
            <w:tcW w:w="1157" w:type="dxa"/>
          </w:tcPr>
          <w:p w14:paraId="214806EC"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4</w:t>
            </w:r>
            <w:r w:rsidRPr="00753E0D">
              <w:rPr>
                <w:rFonts w:ascii="標楷體" w:eastAsia="標楷體" w:hAnsi="標楷體"/>
                <w:color w:val="000000"/>
                <w:kern w:val="0"/>
                <w:szCs w:val="22"/>
              </w:rPr>
              <w:t>.法務部司法官學院組織法第二條及第八條條文修正草案</w:t>
            </w:r>
          </w:p>
        </w:tc>
        <w:tc>
          <w:tcPr>
            <w:tcW w:w="1512" w:type="dxa"/>
          </w:tcPr>
          <w:p w14:paraId="633E54A3"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委員伍麗華Saidhai‧</w:t>
            </w:r>
          </w:p>
          <w:p w14:paraId="6941E74D"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Tahovecahe等16人 111.05.20 </w:t>
            </w:r>
          </w:p>
          <w:p w14:paraId="20535901"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（10-5-13）</w:t>
            </w:r>
          </w:p>
        </w:tc>
        <w:tc>
          <w:tcPr>
            <w:tcW w:w="1536" w:type="dxa"/>
            <w:vMerge/>
          </w:tcPr>
          <w:p w14:paraId="388A41A6"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20" w:type="dxa"/>
            <w:vMerge/>
          </w:tcPr>
          <w:p w14:paraId="2B053F51"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035AE13E"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507FC0B1"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21495629" w14:textId="77777777" w:rsidTr="00EC13B7">
        <w:trPr>
          <w:trHeight w:val="645"/>
        </w:trPr>
        <w:tc>
          <w:tcPr>
            <w:tcW w:w="511" w:type="dxa"/>
          </w:tcPr>
          <w:p w14:paraId="1914CF91"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w:t>
            </w:r>
            <w:r w:rsidRPr="00753E0D">
              <w:rPr>
                <w:rFonts w:ascii="標楷體" w:eastAsia="標楷體" w:hAnsi="標楷體"/>
                <w:color w:val="000000"/>
                <w:spacing w:val="-20"/>
                <w:szCs w:val="22"/>
              </w:rPr>
              <w:t>1</w:t>
            </w:r>
          </w:p>
        </w:tc>
        <w:tc>
          <w:tcPr>
            <w:tcW w:w="1157" w:type="dxa"/>
          </w:tcPr>
          <w:p w14:paraId="4E6BB203"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少年矯正學校設置及教育實施通則第四十六條條文修正</w:t>
            </w:r>
            <w:r w:rsidRPr="00753E0D">
              <w:rPr>
                <w:rFonts w:ascii="標楷體" w:eastAsia="標楷體" w:hAnsi="標楷體"/>
                <w:color w:val="000000"/>
                <w:kern w:val="0"/>
                <w:szCs w:val="22"/>
              </w:rPr>
              <w:lastRenderedPageBreak/>
              <w:t>草案</w:t>
            </w:r>
          </w:p>
        </w:tc>
        <w:tc>
          <w:tcPr>
            <w:tcW w:w="1512" w:type="dxa"/>
          </w:tcPr>
          <w:p w14:paraId="1498E9BF"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lastRenderedPageBreak/>
              <w:t xml:space="preserve">委員黃世杰等20人 111.11.04 </w:t>
            </w:r>
          </w:p>
          <w:p w14:paraId="494BF0E5"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（10-6-6）</w:t>
            </w:r>
          </w:p>
        </w:tc>
        <w:tc>
          <w:tcPr>
            <w:tcW w:w="1536" w:type="dxa"/>
          </w:tcPr>
          <w:p w14:paraId="016556FD"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本會111.12.12</w:t>
            </w:r>
          </w:p>
          <w:p w14:paraId="27C6DA90"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(10-6-26)審查完竣，不須交由黨團協商。</w:t>
            </w:r>
          </w:p>
        </w:tc>
        <w:tc>
          <w:tcPr>
            <w:tcW w:w="1320" w:type="dxa"/>
          </w:tcPr>
          <w:p w14:paraId="12BB9810"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41C5634F"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2.27</w:t>
            </w:r>
          </w:p>
          <w:p w14:paraId="4C7FA674"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-13)</w:t>
            </w:r>
            <w:r w:rsidRPr="00753E0D">
              <w:rPr>
                <w:rFonts w:ascii="標楷體" w:eastAsia="標楷體" w:hAnsi="標楷體" w:hint="eastAsia"/>
                <w:spacing w:val="-20"/>
                <w:kern w:val="0"/>
                <w:szCs w:val="22"/>
              </w:rPr>
              <w:t xml:space="preserve"> </w:t>
            </w:r>
          </w:p>
          <w:p w14:paraId="58217CB7"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spacing w:val="-20"/>
                <w:kern w:val="0"/>
                <w:szCs w:val="22"/>
              </w:rPr>
              <w:t>三讀修正第四十六條條文</w:t>
            </w:r>
          </w:p>
        </w:tc>
        <w:tc>
          <w:tcPr>
            <w:tcW w:w="1735" w:type="dxa"/>
          </w:tcPr>
          <w:p w14:paraId="17BA6AC0"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112年1月9日台立院議字第1110704932號</w:t>
            </w:r>
          </w:p>
          <w:p w14:paraId="659DFB4C"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p w14:paraId="78BE919C"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112年1月13日</w:t>
            </w:r>
          </w:p>
          <w:p w14:paraId="41E5094E"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color w:val="000000"/>
                <w:spacing w:val="-20"/>
                <w:szCs w:val="22"/>
              </w:rPr>
              <w:t>華總一義字第</w:t>
            </w:r>
            <w:r w:rsidRPr="00753E0D">
              <w:rPr>
                <w:rFonts w:ascii="標楷體" w:eastAsia="標楷體" w:hAnsi="標楷體" w:hint="eastAsia"/>
                <w:color w:val="000000"/>
                <w:spacing w:val="-20"/>
                <w:szCs w:val="22"/>
              </w:rPr>
              <w:lastRenderedPageBreak/>
              <w:t>11200002901號</w:t>
            </w:r>
          </w:p>
        </w:tc>
        <w:tc>
          <w:tcPr>
            <w:tcW w:w="1107" w:type="dxa"/>
          </w:tcPr>
          <w:p w14:paraId="0AA2C417"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第7640號</w:t>
            </w:r>
          </w:p>
        </w:tc>
      </w:tr>
      <w:tr w:rsidR="00EB3514" w:rsidRPr="00753E0D" w14:paraId="444E2645" w14:textId="77777777" w:rsidTr="00EC13B7">
        <w:trPr>
          <w:trHeight w:val="645"/>
        </w:trPr>
        <w:tc>
          <w:tcPr>
            <w:tcW w:w="511" w:type="dxa"/>
          </w:tcPr>
          <w:p w14:paraId="157B3864"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1</w:t>
            </w:r>
            <w:r w:rsidRPr="00753E0D">
              <w:rPr>
                <w:rFonts w:ascii="標楷體" w:eastAsia="標楷體" w:hAnsi="標楷體"/>
                <w:color w:val="000000"/>
                <w:spacing w:val="-20"/>
                <w:szCs w:val="22"/>
              </w:rPr>
              <w:t>2</w:t>
            </w:r>
          </w:p>
        </w:tc>
        <w:tc>
          <w:tcPr>
            <w:tcW w:w="1157" w:type="dxa"/>
          </w:tcPr>
          <w:p w14:paraId="332F1179"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1.</w:t>
            </w:r>
            <w:r w:rsidRPr="00753E0D">
              <w:rPr>
                <w:rFonts w:ascii="標楷體" w:eastAsia="標楷體" w:hAnsi="標楷體"/>
                <w:color w:val="000000"/>
                <w:kern w:val="0"/>
                <w:szCs w:val="22"/>
              </w:rPr>
              <w:t>少年觀護所設置及實施通則第二條條文修正草案</w:t>
            </w:r>
          </w:p>
        </w:tc>
        <w:tc>
          <w:tcPr>
            <w:tcW w:w="1512" w:type="dxa"/>
          </w:tcPr>
          <w:p w14:paraId="2FBE0AD3"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委員黃世杰等22人 111.11.04 </w:t>
            </w:r>
          </w:p>
          <w:p w14:paraId="28B21F83"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（10-6-6）</w:t>
            </w:r>
          </w:p>
        </w:tc>
        <w:tc>
          <w:tcPr>
            <w:tcW w:w="1536" w:type="dxa"/>
            <w:vMerge w:val="restart"/>
          </w:tcPr>
          <w:p w14:paraId="546FBCC8"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本會111.12.12</w:t>
            </w:r>
          </w:p>
          <w:p w14:paraId="5DAA167A"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(10-6-26)審查完竣，不須交由黨團協商。</w:t>
            </w:r>
          </w:p>
        </w:tc>
        <w:tc>
          <w:tcPr>
            <w:tcW w:w="1320" w:type="dxa"/>
            <w:vMerge w:val="restart"/>
          </w:tcPr>
          <w:p w14:paraId="612D2DA5"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1D3CFF4A"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2.27</w:t>
            </w:r>
          </w:p>
          <w:p w14:paraId="481A8662"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-13)</w:t>
            </w:r>
            <w:r w:rsidRPr="00753E0D">
              <w:rPr>
                <w:rFonts w:ascii="標楷體" w:eastAsia="標楷體" w:hAnsi="標楷體" w:hint="eastAsia"/>
                <w:spacing w:val="-20"/>
                <w:kern w:val="0"/>
                <w:szCs w:val="22"/>
              </w:rPr>
              <w:t xml:space="preserve"> </w:t>
            </w:r>
          </w:p>
          <w:p w14:paraId="3CA248E6"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spacing w:val="-20"/>
                <w:kern w:val="0"/>
                <w:szCs w:val="22"/>
              </w:rPr>
              <w:t>三讀修正第二條條文</w:t>
            </w:r>
          </w:p>
        </w:tc>
        <w:tc>
          <w:tcPr>
            <w:tcW w:w="1735" w:type="dxa"/>
            <w:vMerge w:val="restart"/>
          </w:tcPr>
          <w:p w14:paraId="38D37D97"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112年1月9日台立院議字第1110704935號</w:t>
            </w:r>
          </w:p>
          <w:p w14:paraId="2485E21F"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3F40980D"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112年1月13日</w:t>
            </w:r>
          </w:p>
          <w:p w14:paraId="2C160DEE"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華總一義字第11200002911號</w:t>
            </w:r>
          </w:p>
        </w:tc>
        <w:tc>
          <w:tcPr>
            <w:tcW w:w="1107" w:type="dxa"/>
            <w:vMerge w:val="restart"/>
          </w:tcPr>
          <w:p w14:paraId="652129D1"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第7640號</w:t>
            </w:r>
          </w:p>
        </w:tc>
      </w:tr>
      <w:tr w:rsidR="00EB3514" w:rsidRPr="00753E0D" w14:paraId="050720FA" w14:textId="77777777" w:rsidTr="00EC13B7">
        <w:trPr>
          <w:trHeight w:val="645"/>
        </w:trPr>
        <w:tc>
          <w:tcPr>
            <w:tcW w:w="511" w:type="dxa"/>
          </w:tcPr>
          <w:p w14:paraId="051EFBC3"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w:t>
            </w:r>
            <w:r w:rsidRPr="00753E0D">
              <w:rPr>
                <w:rFonts w:ascii="標楷體" w:eastAsia="標楷體" w:hAnsi="標楷體"/>
                <w:color w:val="000000"/>
                <w:spacing w:val="-20"/>
                <w:szCs w:val="22"/>
              </w:rPr>
              <w:t>3</w:t>
            </w:r>
          </w:p>
        </w:tc>
        <w:tc>
          <w:tcPr>
            <w:tcW w:w="1157" w:type="dxa"/>
          </w:tcPr>
          <w:p w14:paraId="10AD2163"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2.少年觀護所設置及實施通則第二條條文修正草案</w:t>
            </w:r>
          </w:p>
        </w:tc>
        <w:tc>
          <w:tcPr>
            <w:tcW w:w="1512" w:type="dxa"/>
          </w:tcPr>
          <w:p w14:paraId="5CE6999F"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委員林宜瑾等18人 111.11.25 </w:t>
            </w:r>
          </w:p>
          <w:p w14:paraId="15A04D9E"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（10-6-9）</w:t>
            </w:r>
          </w:p>
        </w:tc>
        <w:tc>
          <w:tcPr>
            <w:tcW w:w="1536" w:type="dxa"/>
            <w:vMerge/>
          </w:tcPr>
          <w:p w14:paraId="41CE6C9B" w14:textId="77777777" w:rsidR="00EB3514" w:rsidRPr="00753E0D" w:rsidRDefault="00EB3514"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272957B8"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7816E669"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107" w:type="dxa"/>
            <w:vMerge/>
          </w:tcPr>
          <w:p w14:paraId="21924FAB"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r>
      <w:tr w:rsidR="007D0F0D" w:rsidRPr="00753E0D" w14:paraId="11102EEF" w14:textId="77777777" w:rsidTr="00EC13B7">
        <w:trPr>
          <w:trHeight w:val="645"/>
        </w:trPr>
        <w:tc>
          <w:tcPr>
            <w:tcW w:w="511" w:type="dxa"/>
          </w:tcPr>
          <w:p w14:paraId="7D88BFBA" w14:textId="77777777" w:rsidR="007D0F0D" w:rsidRPr="00753E0D" w:rsidRDefault="007D0F0D" w:rsidP="007D0F0D">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14</w:t>
            </w:r>
          </w:p>
        </w:tc>
        <w:tc>
          <w:tcPr>
            <w:tcW w:w="1157" w:type="dxa"/>
          </w:tcPr>
          <w:p w14:paraId="02304985" w14:textId="77777777" w:rsidR="007D0F0D" w:rsidRPr="00753E0D" w:rsidRDefault="007D0F0D" w:rsidP="007D0F0D">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1.國家運動科學中心設置條例草案</w:t>
            </w:r>
          </w:p>
        </w:tc>
        <w:tc>
          <w:tcPr>
            <w:tcW w:w="1512" w:type="dxa"/>
          </w:tcPr>
          <w:p w14:paraId="11812C0A" w14:textId="77777777" w:rsidR="007D0F0D" w:rsidRPr="00753E0D" w:rsidRDefault="007D0F0D" w:rsidP="007D0F0D">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行政院 111.09.23 </w:t>
            </w:r>
          </w:p>
          <w:p w14:paraId="2383425F" w14:textId="77777777" w:rsidR="007D0F0D" w:rsidRPr="00753E0D" w:rsidRDefault="007D0F0D" w:rsidP="007D0F0D">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（10-6-1）</w:t>
            </w:r>
          </w:p>
        </w:tc>
        <w:tc>
          <w:tcPr>
            <w:tcW w:w="1536" w:type="dxa"/>
            <w:vMerge w:val="restart"/>
          </w:tcPr>
          <w:p w14:paraId="7D95EC9B" w14:textId="77777777" w:rsidR="007D0F0D" w:rsidRPr="00753E0D" w:rsidRDefault="007D0F0D" w:rsidP="007D0F0D">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1.本會、教育及文化委員會聯席會111.12.5</w:t>
            </w:r>
          </w:p>
          <w:p w14:paraId="7BA2FC0D" w14:textId="77777777" w:rsidR="007D0F0D" w:rsidRPr="00753E0D" w:rsidRDefault="007D0F0D" w:rsidP="007D0F0D">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(10-6-1)審查完竣，須交由黨團協商。</w:t>
            </w:r>
          </w:p>
          <w:p w14:paraId="36AC87C4" w14:textId="77777777" w:rsidR="007D0F0D" w:rsidRPr="00753E0D" w:rsidRDefault="007D0F0D" w:rsidP="007D0F0D">
            <w:pPr>
              <w:kinsoku w:val="0"/>
              <w:topLinePunct/>
              <w:autoSpaceDE w:val="0"/>
              <w:autoSpaceDN w:val="0"/>
              <w:spacing w:line="300" w:lineRule="exact"/>
              <w:rPr>
                <w:rFonts w:ascii="標楷體" w:eastAsia="標楷體" w:hAnsi="標楷體"/>
                <w:b/>
                <w:color w:val="000000"/>
                <w:spacing w:val="-20"/>
                <w:szCs w:val="22"/>
              </w:rPr>
            </w:pPr>
            <w:r w:rsidRPr="00753E0D">
              <w:rPr>
                <w:rFonts w:ascii="標楷體" w:eastAsia="標楷體" w:hAnsi="標楷體" w:hint="eastAsia"/>
                <w:spacing w:val="-20"/>
                <w:kern w:val="0"/>
                <w:szCs w:val="22"/>
              </w:rPr>
              <w:t>2.111.12.30黨團協商。</w:t>
            </w:r>
          </w:p>
        </w:tc>
        <w:tc>
          <w:tcPr>
            <w:tcW w:w="1320" w:type="dxa"/>
            <w:vMerge w:val="restart"/>
          </w:tcPr>
          <w:p w14:paraId="13E14C96" w14:textId="77777777" w:rsidR="007D0F0D" w:rsidRPr="00753E0D" w:rsidRDefault="007D0F0D" w:rsidP="007D0F0D">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4543DCED" w14:textId="77777777" w:rsidR="007D0F0D" w:rsidRPr="00753E0D" w:rsidRDefault="007D0F0D" w:rsidP="007D0F0D">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12</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10</w:t>
            </w:r>
          </w:p>
          <w:p w14:paraId="577F400C" w14:textId="77777777" w:rsidR="007D0F0D" w:rsidRPr="00753E0D" w:rsidRDefault="007D0F0D" w:rsidP="007D0F0D">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5</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 xml:space="preserve"> </w:t>
            </w:r>
          </w:p>
          <w:p w14:paraId="47C8DEEE" w14:textId="77777777" w:rsidR="007D0F0D" w:rsidRPr="00753E0D" w:rsidRDefault="007D0F0D" w:rsidP="007D0F0D">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spacing w:val="-20"/>
                <w:kern w:val="0"/>
                <w:szCs w:val="22"/>
              </w:rPr>
              <w:t>三讀制定國家運動科學中心設置條例</w:t>
            </w:r>
          </w:p>
        </w:tc>
        <w:tc>
          <w:tcPr>
            <w:tcW w:w="1735" w:type="dxa"/>
            <w:vMerge w:val="restart"/>
          </w:tcPr>
          <w:p w14:paraId="26B21490" w14:textId="77777777" w:rsidR="007D0F0D" w:rsidRDefault="007D0F0D" w:rsidP="007D0F0D">
            <w:pPr>
              <w:kinsoku w:val="0"/>
              <w:overflowPunct w:val="0"/>
              <w:spacing w:line="300" w:lineRule="exact"/>
              <w:rPr>
                <w:rFonts w:ascii="標楷體" w:eastAsia="標楷體" w:hAnsi="標楷體"/>
                <w:color w:val="000000" w:themeColor="text1"/>
                <w:spacing w:val="-20"/>
                <w:szCs w:val="22"/>
              </w:rPr>
            </w:pPr>
            <w:r>
              <w:rPr>
                <w:rFonts w:ascii="標楷體" w:eastAsia="標楷體" w:hAnsi="標楷體" w:hint="eastAsia"/>
                <w:color w:val="000000" w:themeColor="text1"/>
                <w:spacing w:val="-20"/>
              </w:rPr>
              <w:t>112年2月2日 台立院議字第1120700153號</w:t>
            </w:r>
          </w:p>
          <w:p w14:paraId="18CBA3FE" w14:textId="77777777" w:rsidR="007D0F0D" w:rsidRDefault="007D0F0D" w:rsidP="007D0F0D">
            <w:pPr>
              <w:kinsoku w:val="0"/>
              <w:overflowPunct w:val="0"/>
              <w:spacing w:line="300" w:lineRule="exact"/>
              <w:rPr>
                <w:rFonts w:ascii="標楷體" w:eastAsia="標楷體" w:hAnsi="標楷體"/>
                <w:color w:val="000000" w:themeColor="text1"/>
                <w:spacing w:val="-20"/>
              </w:rPr>
            </w:pPr>
          </w:p>
          <w:p w14:paraId="001D30BF" w14:textId="575F0C48" w:rsidR="007D0F0D" w:rsidRPr="00753E0D" w:rsidRDefault="007D0F0D" w:rsidP="007D0F0D">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rPr>
              <w:t>112年2月8日華總一義字第11200009151號</w:t>
            </w:r>
          </w:p>
        </w:tc>
        <w:tc>
          <w:tcPr>
            <w:tcW w:w="1107" w:type="dxa"/>
            <w:vMerge w:val="restart"/>
          </w:tcPr>
          <w:p w14:paraId="7AE3D285" w14:textId="74670B28" w:rsidR="007D0F0D" w:rsidRPr="00753E0D" w:rsidRDefault="007D0F0D" w:rsidP="007D0F0D">
            <w:pPr>
              <w:kinsoku w:val="0"/>
              <w:overflowPunct w:val="0"/>
              <w:spacing w:line="300" w:lineRule="exact"/>
              <w:ind w:leftChars="-11" w:hangingChars="13" w:hanging="26"/>
              <w:rPr>
                <w:rFonts w:ascii="標楷體" w:eastAsia="標楷體" w:hAnsi="標楷體"/>
                <w:color w:val="000000"/>
                <w:spacing w:val="-20"/>
                <w:szCs w:val="22"/>
              </w:rPr>
            </w:pPr>
            <w:r>
              <w:rPr>
                <w:rFonts w:ascii="標楷體" w:eastAsia="標楷體" w:hAnsi="標楷體" w:hint="eastAsia"/>
                <w:color w:val="000000" w:themeColor="text1"/>
                <w:spacing w:val="-20"/>
                <w:kern w:val="0"/>
              </w:rPr>
              <w:t>第7645號</w:t>
            </w:r>
          </w:p>
        </w:tc>
      </w:tr>
      <w:tr w:rsidR="00EB3514" w:rsidRPr="00753E0D" w14:paraId="0332E7C0" w14:textId="77777777" w:rsidTr="00EC13B7">
        <w:trPr>
          <w:trHeight w:val="645"/>
        </w:trPr>
        <w:tc>
          <w:tcPr>
            <w:tcW w:w="511" w:type="dxa"/>
          </w:tcPr>
          <w:p w14:paraId="34E53701"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15</w:t>
            </w:r>
          </w:p>
        </w:tc>
        <w:tc>
          <w:tcPr>
            <w:tcW w:w="1157" w:type="dxa"/>
          </w:tcPr>
          <w:p w14:paraId="587BF355"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2.國家運動科學中心設置條例草案</w:t>
            </w:r>
          </w:p>
        </w:tc>
        <w:tc>
          <w:tcPr>
            <w:tcW w:w="1512" w:type="dxa"/>
          </w:tcPr>
          <w:p w14:paraId="2632F925"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台灣民眾黨黨團 111.09.23 </w:t>
            </w:r>
          </w:p>
          <w:p w14:paraId="0C8CBE30"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（10-6-1）</w:t>
            </w:r>
          </w:p>
        </w:tc>
        <w:tc>
          <w:tcPr>
            <w:tcW w:w="1536" w:type="dxa"/>
            <w:vMerge/>
          </w:tcPr>
          <w:p w14:paraId="0E68DE54" w14:textId="77777777" w:rsidR="00EB3514" w:rsidRPr="00753E0D" w:rsidRDefault="00EB3514"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6825FA67"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140442F9"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028A001C"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r w:rsidR="00EB3514" w:rsidRPr="00753E0D" w14:paraId="4309C478" w14:textId="77777777" w:rsidTr="00EC13B7">
        <w:trPr>
          <w:trHeight w:val="645"/>
        </w:trPr>
        <w:tc>
          <w:tcPr>
            <w:tcW w:w="511" w:type="dxa"/>
          </w:tcPr>
          <w:p w14:paraId="52F15F5B"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16</w:t>
            </w:r>
          </w:p>
        </w:tc>
        <w:tc>
          <w:tcPr>
            <w:tcW w:w="1157" w:type="dxa"/>
          </w:tcPr>
          <w:p w14:paraId="10E41626"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3.國家運動科學中心設置條例草案</w:t>
            </w:r>
          </w:p>
        </w:tc>
        <w:tc>
          <w:tcPr>
            <w:tcW w:w="1512" w:type="dxa"/>
          </w:tcPr>
          <w:p w14:paraId="193277D0"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委員黃國書等19人 111.09.30 </w:t>
            </w:r>
          </w:p>
          <w:p w14:paraId="402B2F65"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（10-6-2）</w:t>
            </w:r>
          </w:p>
        </w:tc>
        <w:tc>
          <w:tcPr>
            <w:tcW w:w="1536" w:type="dxa"/>
            <w:vMerge/>
          </w:tcPr>
          <w:p w14:paraId="53C5FE72" w14:textId="77777777" w:rsidR="00EB3514" w:rsidRPr="00753E0D" w:rsidRDefault="00EB3514"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6DBF439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5D8FD795"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724E5B19"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r w:rsidR="00EB3514" w:rsidRPr="00753E0D" w14:paraId="37CCC40B" w14:textId="77777777" w:rsidTr="00EC13B7">
        <w:trPr>
          <w:trHeight w:val="645"/>
        </w:trPr>
        <w:tc>
          <w:tcPr>
            <w:tcW w:w="511" w:type="dxa"/>
          </w:tcPr>
          <w:p w14:paraId="68C30922"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17</w:t>
            </w:r>
          </w:p>
        </w:tc>
        <w:tc>
          <w:tcPr>
            <w:tcW w:w="1157" w:type="dxa"/>
          </w:tcPr>
          <w:p w14:paraId="1D423984"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4.國家運動科學中心設置條例草案</w:t>
            </w:r>
          </w:p>
        </w:tc>
        <w:tc>
          <w:tcPr>
            <w:tcW w:w="1512" w:type="dxa"/>
          </w:tcPr>
          <w:p w14:paraId="10A54077"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委員林宜瑾等20人 111.10.07 </w:t>
            </w:r>
          </w:p>
          <w:p w14:paraId="2EA6E1F5"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（10-6-3）</w:t>
            </w:r>
          </w:p>
        </w:tc>
        <w:tc>
          <w:tcPr>
            <w:tcW w:w="1536" w:type="dxa"/>
            <w:vMerge/>
          </w:tcPr>
          <w:p w14:paraId="53374DD8" w14:textId="77777777" w:rsidR="00EB3514" w:rsidRPr="00753E0D" w:rsidRDefault="00EB3514"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0BB22925"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4CE12378"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741A80D1"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r w:rsidR="00EB3514" w:rsidRPr="00753E0D" w14:paraId="228F16FE" w14:textId="77777777" w:rsidTr="00EC13B7">
        <w:trPr>
          <w:trHeight w:val="645"/>
        </w:trPr>
        <w:tc>
          <w:tcPr>
            <w:tcW w:w="511" w:type="dxa"/>
          </w:tcPr>
          <w:p w14:paraId="4589A60C"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18</w:t>
            </w:r>
          </w:p>
        </w:tc>
        <w:tc>
          <w:tcPr>
            <w:tcW w:w="1157" w:type="dxa"/>
          </w:tcPr>
          <w:p w14:paraId="4CB40236"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5.國家運動科學中心設置條例草案</w:t>
            </w:r>
          </w:p>
        </w:tc>
        <w:tc>
          <w:tcPr>
            <w:tcW w:w="1512" w:type="dxa"/>
          </w:tcPr>
          <w:p w14:paraId="30C5A204"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委員</w:t>
            </w:r>
            <w:r w:rsidRPr="00753E0D">
              <w:rPr>
                <w:rFonts w:ascii="標楷體" w:eastAsia="標楷體" w:hAnsi="標楷體" w:hint="eastAsia"/>
                <w:color w:val="000000"/>
                <w:spacing w:val="-20"/>
                <w:kern w:val="0"/>
                <w:szCs w:val="22"/>
              </w:rPr>
              <w:t>張廖萬堅</w:t>
            </w:r>
            <w:r w:rsidRPr="00753E0D">
              <w:rPr>
                <w:rFonts w:ascii="標楷體" w:eastAsia="標楷體" w:hAnsi="標楷體" w:hint="eastAsia"/>
                <w:color w:val="000000"/>
                <w:spacing w:val="-10"/>
                <w:kern w:val="0"/>
                <w:szCs w:val="22"/>
              </w:rPr>
              <w:t xml:space="preserve">等21人 111.10.28 </w:t>
            </w:r>
          </w:p>
          <w:p w14:paraId="28E54979"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（10-6-5）</w:t>
            </w:r>
          </w:p>
        </w:tc>
        <w:tc>
          <w:tcPr>
            <w:tcW w:w="1536" w:type="dxa"/>
            <w:vMerge/>
          </w:tcPr>
          <w:p w14:paraId="7F406E83" w14:textId="77777777" w:rsidR="00EB3514" w:rsidRPr="00753E0D" w:rsidRDefault="00EB3514"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65DC8356"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57A75BDF"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4A7C6DDA"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r w:rsidR="00EB3514" w:rsidRPr="00753E0D" w14:paraId="44528104" w14:textId="77777777" w:rsidTr="00EC13B7">
        <w:trPr>
          <w:trHeight w:val="645"/>
        </w:trPr>
        <w:tc>
          <w:tcPr>
            <w:tcW w:w="511" w:type="dxa"/>
          </w:tcPr>
          <w:p w14:paraId="6671DD19"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p>
        </w:tc>
        <w:tc>
          <w:tcPr>
            <w:tcW w:w="1157" w:type="dxa"/>
          </w:tcPr>
          <w:p w14:paraId="393BE538"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6.國家運動科學中心設置條例草案</w:t>
            </w:r>
          </w:p>
          <w:p w14:paraId="49D566B7" w14:textId="77777777" w:rsidR="00EB3514" w:rsidRPr="00753E0D" w:rsidRDefault="00EB3514" w:rsidP="00EC13B7">
            <w:pPr>
              <w:kinsoku w:val="0"/>
              <w:overflowPunct w:val="0"/>
              <w:spacing w:line="300" w:lineRule="exact"/>
              <w:ind w:rightChars="-45" w:right="-108"/>
              <w:rPr>
                <w:rFonts w:ascii="標楷體" w:eastAsia="標楷體" w:hAnsi="標楷體"/>
                <w:b/>
                <w:bCs/>
                <w:color w:val="000000"/>
                <w:kern w:val="0"/>
                <w:szCs w:val="22"/>
              </w:rPr>
            </w:pPr>
            <w:r w:rsidRPr="00753E0D">
              <w:rPr>
                <w:rFonts w:ascii="標楷體" w:eastAsia="標楷體" w:hAnsi="標楷體" w:hint="eastAsia"/>
                <w:b/>
                <w:bCs/>
                <w:spacing w:val="-20"/>
                <w:kern w:val="0"/>
                <w:szCs w:val="22"/>
              </w:rPr>
              <w:t>(逕付二讀)</w:t>
            </w:r>
          </w:p>
        </w:tc>
        <w:tc>
          <w:tcPr>
            <w:tcW w:w="1512" w:type="dxa"/>
          </w:tcPr>
          <w:p w14:paraId="1AD25E5D"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 xml:space="preserve">委員吳思瑤等26人 111.12.09 </w:t>
            </w:r>
          </w:p>
          <w:p w14:paraId="137ACE22"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（10-6-11）</w:t>
            </w:r>
          </w:p>
        </w:tc>
        <w:tc>
          <w:tcPr>
            <w:tcW w:w="1536" w:type="dxa"/>
          </w:tcPr>
          <w:p w14:paraId="6942B89A" w14:textId="3B540D18"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1.院會111.12.</w:t>
            </w:r>
            <w:r w:rsidR="008938A6">
              <w:rPr>
                <w:rFonts w:ascii="標楷體" w:eastAsia="標楷體" w:hAnsi="標楷體"/>
                <w:spacing w:val="-20"/>
                <w:kern w:val="0"/>
                <w:szCs w:val="22"/>
              </w:rPr>
              <w:t>0</w:t>
            </w:r>
            <w:r w:rsidRPr="00753E0D">
              <w:rPr>
                <w:rFonts w:ascii="標楷體" w:eastAsia="標楷體" w:hAnsi="標楷體" w:hint="eastAsia"/>
                <w:spacing w:val="-20"/>
                <w:kern w:val="0"/>
                <w:szCs w:val="22"/>
              </w:rPr>
              <w:t>9</w:t>
            </w:r>
          </w:p>
          <w:p w14:paraId="3FB0EC5F"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w:t>
            </w:r>
            <w:r w:rsidRPr="00753E0D">
              <w:rPr>
                <w:rFonts w:ascii="標楷體" w:eastAsia="標楷體" w:hAnsi="標楷體"/>
                <w:spacing w:val="-20"/>
                <w:kern w:val="0"/>
                <w:szCs w:val="22"/>
              </w:rPr>
              <w:t>6</w:t>
            </w:r>
            <w:r w:rsidRPr="00753E0D">
              <w:rPr>
                <w:rFonts w:ascii="標楷體" w:eastAsia="標楷體" w:hAnsi="標楷體" w:hint="eastAsia"/>
                <w:spacing w:val="-20"/>
                <w:kern w:val="0"/>
                <w:szCs w:val="22"/>
              </w:rPr>
              <w:t>-11）逕付二讀，與相關提案併案協商。</w:t>
            </w:r>
          </w:p>
          <w:p w14:paraId="0168DF18" w14:textId="77777777" w:rsidR="00EB3514" w:rsidRPr="00753E0D" w:rsidRDefault="00EB3514" w:rsidP="00EC13B7">
            <w:pPr>
              <w:kinsoku w:val="0"/>
              <w:topLinePunct/>
              <w:autoSpaceDE w:val="0"/>
              <w:autoSpaceDN w:val="0"/>
              <w:spacing w:line="300" w:lineRule="exact"/>
              <w:rPr>
                <w:rFonts w:ascii="標楷體" w:eastAsia="標楷體" w:hAnsi="標楷體"/>
                <w:szCs w:val="22"/>
              </w:rPr>
            </w:pPr>
            <w:r w:rsidRPr="00753E0D">
              <w:rPr>
                <w:rFonts w:ascii="標楷體" w:eastAsia="標楷體" w:hAnsi="標楷體" w:hint="eastAsia"/>
                <w:spacing w:val="-20"/>
                <w:kern w:val="0"/>
                <w:szCs w:val="22"/>
              </w:rPr>
              <w:t>2.111.12.30黨團協商。</w:t>
            </w:r>
          </w:p>
        </w:tc>
        <w:tc>
          <w:tcPr>
            <w:tcW w:w="1320" w:type="dxa"/>
            <w:vMerge/>
          </w:tcPr>
          <w:p w14:paraId="2F434262"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425678F4"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0A6AF555"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r w:rsidR="00EB3514" w:rsidRPr="00753E0D" w14:paraId="4595CCCC" w14:textId="77777777" w:rsidTr="00EC13B7">
        <w:trPr>
          <w:trHeight w:val="645"/>
        </w:trPr>
        <w:tc>
          <w:tcPr>
            <w:tcW w:w="511" w:type="dxa"/>
          </w:tcPr>
          <w:p w14:paraId="2C2C46B4"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p>
        </w:tc>
        <w:tc>
          <w:tcPr>
            <w:tcW w:w="1157" w:type="dxa"/>
          </w:tcPr>
          <w:p w14:paraId="39A12F79"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7.國家運動科學中心設置條例草案</w:t>
            </w:r>
          </w:p>
          <w:p w14:paraId="77A704C1"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b/>
                <w:bCs/>
                <w:spacing w:val="-20"/>
                <w:kern w:val="0"/>
                <w:szCs w:val="22"/>
              </w:rPr>
              <w:t>(逕付二讀)</w:t>
            </w:r>
          </w:p>
        </w:tc>
        <w:tc>
          <w:tcPr>
            <w:tcW w:w="1512" w:type="dxa"/>
          </w:tcPr>
          <w:p w14:paraId="5D6E4B1C"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20"/>
                <w:kern w:val="0"/>
                <w:szCs w:val="22"/>
              </w:rPr>
              <w:t>時代力量黨團</w:t>
            </w:r>
            <w:r w:rsidRPr="00753E0D">
              <w:rPr>
                <w:rFonts w:ascii="標楷體" w:eastAsia="標楷體" w:hAnsi="標楷體" w:hint="eastAsia"/>
                <w:color w:val="000000"/>
                <w:spacing w:val="-10"/>
                <w:kern w:val="0"/>
                <w:szCs w:val="22"/>
              </w:rPr>
              <w:t xml:space="preserve"> 111.12.09 </w:t>
            </w:r>
          </w:p>
          <w:p w14:paraId="6B4459B2"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（10-6-11）</w:t>
            </w:r>
          </w:p>
        </w:tc>
        <w:tc>
          <w:tcPr>
            <w:tcW w:w="1536" w:type="dxa"/>
          </w:tcPr>
          <w:p w14:paraId="3831EA6A"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1.院會111.12.09</w:t>
            </w:r>
          </w:p>
          <w:p w14:paraId="6DFABBF2"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w:t>
            </w:r>
            <w:r w:rsidRPr="00753E0D">
              <w:rPr>
                <w:rFonts w:ascii="標楷體" w:eastAsia="標楷體" w:hAnsi="標楷體"/>
                <w:spacing w:val="-20"/>
                <w:kern w:val="0"/>
                <w:szCs w:val="22"/>
              </w:rPr>
              <w:t>6</w:t>
            </w:r>
            <w:r w:rsidRPr="00753E0D">
              <w:rPr>
                <w:rFonts w:ascii="標楷體" w:eastAsia="標楷體" w:hAnsi="標楷體" w:hint="eastAsia"/>
                <w:spacing w:val="-20"/>
                <w:kern w:val="0"/>
                <w:szCs w:val="22"/>
              </w:rPr>
              <w:t>-11）逕付二讀，與相關提案併案協商。</w:t>
            </w:r>
          </w:p>
          <w:p w14:paraId="47093224" w14:textId="77777777" w:rsidR="00EB3514" w:rsidRPr="00753E0D" w:rsidRDefault="00EB3514" w:rsidP="00EC13B7">
            <w:pPr>
              <w:kinsoku w:val="0"/>
              <w:topLinePunct/>
              <w:autoSpaceDE w:val="0"/>
              <w:autoSpaceDN w:val="0"/>
              <w:spacing w:line="300" w:lineRule="exact"/>
              <w:rPr>
                <w:rFonts w:ascii="標楷體" w:eastAsia="標楷體" w:hAnsi="標楷體"/>
                <w:szCs w:val="22"/>
              </w:rPr>
            </w:pPr>
            <w:r w:rsidRPr="00753E0D">
              <w:rPr>
                <w:rFonts w:ascii="標楷體" w:eastAsia="標楷體" w:hAnsi="標楷體" w:hint="eastAsia"/>
                <w:spacing w:val="-20"/>
                <w:kern w:val="0"/>
                <w:szCs w:val="22"/>
              </w:rPr>
              <w:t>2.111.12.30黨</w:t>
            </w:r>
            <w:r w:rsidRPr="00753E0D">
              <w:rPr>
                <w:rFonts w:ascii="標楷體" w:eastAsia="標楷體" w:hAnsi="標楷體" w:hint="eastAsia"/>
                <w:spacing w:val="-20"/>
                <w:kern w:val="0"/>
                <w:szCs w:val="22"/>
              </w:rPr>
              <w:lastRenderedPageBreak/>
              <w:t>團協商。</w:t>
            </w:r>
          </w:p>
        </w:tc>
        <w:tc>
          <w:tcPr>
            <w:tcW w:w="1320" w:type="dxa"/>
            <w:vMerge/>
          </w:tcPr>
          <w:p w14:paraId="46D57967"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069F3498"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24B16C55"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r w:rsidR="00EB3514" w:rsidRPr="00753E0D" w14:paraId="2C11798B" w14:textId="77777777" w:rsidTr="00EC13B7">
        <w:trPr>
          <w:trHeight w:val="645"/>
        </w:trPr>
        <w:tc>
          <w:tcPr>
            <w:tcW w:w="511" w:type="dxa"/>
          </w:tcPr>
          <w:p w14:paraId="1EDE98BC"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p>
        </w:tc>
        <w:tc>
          <w:tcPr>
            <w:tcW w:w="1157" w:type="dxa"/>
          </w:tcPr>
          <w:p w14:paraId="5C9629FB"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8.國家運動科學中心設置條例草案</w:t>
            </w:r>
          </w:p>
          <w:p w14:paraId="07D5592E"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b/>
                <w:bCs/>
                <w:spacing w:val="-20"/>
                <w:kern w:val="0"/>
                <w:szCs w:val="22"/>
              </w:rPr>
              <w:t>(逕付二讀)</w:t>
            </w:r>
          </w:p>
        </w:tc>
        <w:tc>
          <w:tcPr>
            <w:tcW w:w="1512" w:type="dxa"/>
          </w:tcPr>
          <w:p w14:paraId="1ECAE8C5"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 xml:space="preserve">委員賴品妤等17人 111.12.16 </w:t>
            </w:r>
          </w:p>
          <w:p w14:paraId="695083BD"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（10-6-12）</w:t>
            </w:r>
          </w:p>
        </w:tc>
        <w:tc>
          <w:tcPr>
            <w:tcW w:w="1536" w:type="dxa"/>
          </w:tcPr>
          <w:p w14:paraId="50DAD003"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1.院會111.12.16</w:t>
            </w:r>
          </w:p>
          <w:p w14:paraId="756AE192"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w:t>
            </w:r>
            <w:r w:rsidRPr="00753E0D">
              <w:rPr>
                <w:rFonts w:ascii="標楷體" w:eastAsia="標楷體" w:hAnsi="標楷體"/>
                <w:spacing w:val="-20"/>
                <w:kern w:val="0"/>
                <w:szCs w:val="22"/>
              </w:rPr>
              <w:t>6</w:t>
            </w:r>
            <w:r w:rsidRPr="00753E0D">
              <w:rPr>
                <w:rFonts w:ascii="標楷體" w:eastAsia="標楷體" w:hAnsi="標楷體" w:hint="eastAsia"/>
                <w:spacing w:val="-20"/>
                <w:kern w:val="0"/>
                <w:szCs w:val="22"/>
              </w:rPr>
              <w:t>-12）逕付二讀，與相關提案併案協商。</w:t>
            </w:r>
          </w:p>
          <w:p w14:paraId="205CA01E" w14:textId="77777777" w:rsidR="00EB3514" w:rsidRPr="00753E0D" w:rsidRDefault="00EB3514" w:rsidP="00EC13B7">
            <w:pPr>
              <w:kinsoku w:val="0"/>
              <w:topLinePunct/>
              <w:autoSpaceDE w:val="0"/>
              <w:autoSpaceDN w:val="0"/>
              <w:spacing w:line="300" w:lineRule="exact"/>
              <w:rPr>
                <w:rFonts w:ascii="標楷體" w:eastAsia="標楷體" w:hAnsi="標楷體"/>
                <w:szCs w:val="22"/>
              </w:rPr>
            </w:pPr>
            <w:r w:rsidRPr="00753E0D">
              <w:rPr>
                <w:rFonts w:ascii="標楷體" w:eastAsia="標楷體" w:hAnsi="標楷體" w:hint="eastAsia"/>
                <w:spacing w:val="-20"/>
                <w:kern w:val="0"/>
                <w:szCs w:val="22"/>
              </w:rPr>
              <w:t>2.111.12.30黨團協商。</w:t>
            </w:r>
          </w:p>
        </w:tc>
        <w:tc>
          <w:tcPr>
            <w:tcW w:w="1320" w:type="dxa"/>
            <w:vMerge/>
          </w:tcPr>
          <w:p w14:paraId="1C775EF7"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2A82E8D2"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7B2A97E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r w:rsidR="00EB3514" w:rsidRPr="00753E0D" w14:paraId="4115867F" w14:textId="77777777" w:rsidTr="00EC13B7">
        <w:trPr>
          <w:trHeight w:val="645"/>
        </w:trPr>
        <w:tc>
          <w:tcPr>
            <w:tcW w:w="511" w:type="dxa"/>
          </w:tcPr>
          <w:p w14:paraId="35708511"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p>
        </w:tc>
        <w:tc>
          <w:tcPr>
            <w:tcW w:w="1157" w:type="dxa"/>
          </w:tcPr>
          <w:p w14:paraId="38ADA02A"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9.國家運動科學中心設置條例草案</w:t>
            </w:r>
          </w:p>
          <w:p w14:paraId="77E62D91"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b/>
                <w:bCs/>
                <w:spacing w:val="-20"/>
                <w:kern w:val="0"/>
                <w:szCs w:val="22"/>
              </w:rPr>
              <w:t>(逕付二讀)</w:t>
            </w:r>
          </w:p>
        </w:tc>
        <w:tc>
          <w:tcPr>
            <w:tcW w:w="1512" w:type="dxa"/>
          </w:tcPr>
          <w:p w14:paraId="546F0A5C"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 xml:space="preserve">委員范雲等18人 111.12.02 </w:t>
            </w:r>
          </w:p>
          <w:p w14:paraId="42ED60D6"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10"/>
                <w:kern w:val="0"/>
                <w:szCs w:val="22"/>
              </w:rPr>
              <w:t>（10-6-10）</w:t>
            </w:r>
          </w:p>
        </w:tc>
        <w:tc>
          <w:tcPr>
            <w:tcW w:w="1536" w:type="dxa"/>
          </w:tcPr>
          <w:p w14:paraId="27A8BD6C"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1.院會111.12.16</w:t>
            </w:r>
          </w:p>
          <w:p w14:paraId="0F779D3F"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（10-6-12）自司法及法制、教育及文化兩委員會抽出逕付二讀，與相關提案併案協商。</w:t>
            </w:r>
          </w:p>
          <w:p w14:paraId="7AD83886" w14:textId="77777777" w:rsidR="00EB3514" w:rsidRPr="00753E0D" w:rsidRDefault="00EB3514" w:rsidP="00EC13B7">
            <w:pPr>
              <w:kinsoku w:val="0"/>
              <w:topLinePunct/>
              <w:autoSpaceDE w:val="0"/>
              <w:autoSpaceDN w:val="0"/>
              <w:spacing w:line="300" w:lineRule="exact"/>
              <w:rPr>
                <w:rFonts w:ascii="標楷體" w:eastAsia="標楷體" w:hAnsi="標楷體"/>
                <w:szCs w:val="22"/>
              </w:rPr>
            </w:pPr>
            <w:r w:rsidRPr="00753E0D">
              <w:rPr>
                <w:rFonts w:ascii="標楷體" w:eastAsia="標楷體" w:hAnsi="標楷體" w:hint="eastAsia"/>
                <w:spacing w:val="-20"/>
                <w:kern w:val="0"/>
                <w:szCs w:val="22"/>
              </w:rPr>
              <w:t>2.111.12.30黨團協商。</w:t>
            </w:r>
          </w:p>
        </w:tc>
        <w:tc>
          <w:tcPr>
            <w:tcW w:w="1320" w:type="dxa"/>
            <w:vMerge/>
          </w:tcPr>
          <w:p w14:paraId="53FD673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735" w:type="dxa"/>
            <w:vMerge/>
          </w:tcPr>
          <w:p w14:paraId="3B6C75AD"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c>
          <w:tcPr>
            <w:tcW w:w="1107" w:type="dxa"/>
            <w:vMerge/>
          </w:tcPr>
          <w:p w14:paraId="4AEB548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p>
        </w:tc>
      </w:tr>
    </w:tbl>
    <w:p w14:paraId="71D5815D" w14:textId="77777777" w:rsidR="00EB3514" w:rsidRPr="00753E0D" w:rsidRDefault="00EB3514" w:rsidP="00EC13B7">
      <w:pPr>
        <w:pStyle w:val="afffffc"/>
        <w:kinsoku w:val="0"/>
        <w:overflowPunct w:val="0"/>
        <w:spacing w:beforeLines="100" w:before="360" w:afterLines="100" w:after="360" w:line="260" w:lineRule="exact"/>
        <w:ind w:leftChars="472" w:left="1133"/>
        <w:rPr>
          <w:bCs w:val="0"/>
          <w:color w:val="000000" w:themeColor="text1"/>
        </w:rPr>
      </w:pPr>
      <w:r w:rsidRPr="00753E0D">
        <w:rPr>
          <w:rFonts w:hint="eastAsia"/>
          <w:bCs w:val="0"/>
          <w:color w:val="000000" w:themeColor="text1"/>
        </w:rPr>
        <w:t>(二)待院會審議之議案8案</w:t>
      </w:r>
    </w:p>
    <w:tbl>
      <w:tblPr>
        <w:tblW w:w="8658"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2099"/>
        <w:gridCol w:w="2023"/>
      </w:tblGrid>
      <w:tr w:rsidR="00EB3514" w:rsidRPr="00753E0D" w14:paraId="60C2FDF6" w14:textId="77777777" w:rsidTr="00EC13B7">
        <w:tc>
          <w:tcPr>
            <w:tcW w:w="709" w:type="dxa"/>
          </w:tcPr>
          <w:p w14:paraId="26D0B4B6"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序號</w:t>
            </w:r>
          </w:p>
        </w:tc>
        <w:tc>
          <w:tcPr>
            <w:tcW w:w="1909" w:type="dxa"/>
          </w:tcPr>
          <w:p w14:paraId="2FB1818F"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議案名稱</w:t>
            </w:r>
          </w:p>
        </w:tc>
        <w:tc>
          <w:tcPr>
            <w:tcW w:w="1918" w:type="dxa"/>
          </w:tcPr>
          <w:p w14:paraId="47C423D0"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提案委員或機關</w:t>
            </w:r>
          </w:p>
          <w:p w14:paraId="4A9ECCBC"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院會交付日期</w:t>
            </w:r>
          </w:p>
          <w:p w14:paraId="492130E6"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（會次）</w:t>
            </w:r>
          </w:p>
        </w:tc>
        <w:tc>
          <w:tcPr>
            <w:tcW w:w="2099" w:type="dxa"/>
          </w:tcPr>
          <w:p w14:paraId="195DB0EA"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審查委員會</w:t>
            </w:r>
          </w:p>
          <w:p w14:paraId="3A58ADD1"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院會說明人</w:t>
            </w:r>
          </w:p>
        </w:tc>
        <w:tc>
          <w:tcPr>
            <w:tcW w:w="2023" w:type="dxa"/>
          </w:tcPr>
          <w:p w14:paraId="7710F63A"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審查情形</w:t>
            </w:r>
          </w:p>
        </w:tc>
      </w:tr>
      <w:tr w:rsidR="00EB3514" w:rsidRPr="00753E0D" w14:paraId="0A1F064A" w14:textId="77777777" w:rsidTr="00EC13B7">
        <w:tc>
          <w:tcPr>
            <w:tcW w:w="709" w:type="dxa"/>
          </w:tcPr>
          <w:p w14:paraId="3395BFFA"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t>1</w:t>
            </w:r>
          </w:p>
        </w:tc>
        <w:tc>
          <w:tcPr>
            <w:tcW w:w="1909" w:type="dxa"/>
          </w:tcPr>
          <w:p w14:paraId="12F2AC18"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1.</w:t>
            </w:r>
            <w:r w:rsidRPr="00753E0D">
              <w:rPr>
                <w:rFonts w:ascii="標楷體" w:eastAsia="標楷體" w:hAnsi="標楷體"/>
                <w:color w:val="000000"/>
                <w:kern w:val="0"/>
              </w:rPr>
              <w:t>廢止「少年輔育院條例」</w:t>
            </w:r>
          </w:p>
        </w:tc>
        <w:tc>
          <w:tcPr>
            <w:tcW w:w="1918" w:type="dxa"/>
          </w:tcPr>
          <w:p w14:paraId="02C0D922"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行政院 110.12.17 </w:t>
            </w:r>
          </w:p>
          <w:p w14:paraId="3B569A9C"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（10-4-14）</w:t>
            </w:r>
          </w:p>
        </w:tc>
        <w:tc>
          <w:tcPr>
            <w:tcW w:w="2099" w:type="dxa"/>
            <w:vMerge w:val="restart"/>
          </w:tcPr>
          <w:p w14:paraId="0476216E"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司法及法制</w:t>
            </w:r>
          </w:p>
          <w:p w14:paraId="42ED1968" w14:textId="77777777" w:rsidR="00EB3514" w:rsidRPr="00753E0D" w:rsidRDefault="00EB3514" w:rsidP="00EC13B7">
            <w:pPr>
              <w:rPr>
                <w:rFonts w:ascii="標楷體" w:hAnsi="標楷體"/>
              </w:rPr>
            </w:pPr>
            <w:r w:rsidRPr="00753E0D">
              <w:rPr>
                <w:rFonts w:ascii="標楷體" w:eastAsia="標楷體" w:hAnsi="標楷體" w:hint="eastAsia"/>
                <w:color w:val="000000"/>
                <w:kern w:val="0"/>
              </w:rPr>
              <w:t>陳召集委員歐珀</w:t>
            </w:r>
          </w:p>
        </w:tc>
        <w:tc>
          <w:tcPr>
            <w:tcW w:w="2023" w:type="dxa"/>
            <w:vMerge w:val="restart"/>
          </w:tcPr>
          <w:p w14:paraId="1CF47736" w14:textId="77777777" w:rsidR="00EB3514" w:rsidRPr="00753E0D" w:rsidRDefault="00EB3514" w:rsidP="00EC13B7">
            <w:pPr>
              <w:kinsoku w:val="0"/>
              <w:wordWrap w:val="0"/>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本會111.12.29</w:t>
            </w:r>
          </w:p>
          <w:p w14:paraId="698E1095" w14:textId="77777777" w:rsidR="00EB3514" w:rsidRPr="00753E0D" w:rsidRDefault="00EB3514" w:rsidP="00EC13B7">
            <w:pPr>
              <w:kinsoku w:val="0"/>
              <w:wordWrap w:val="0"/>
              <w:adjustRightInd w:val="0"/>
              <w:snapToGrid w:val="0"/>
              <w:spacing w:line="300" w:lineRule="exact"/>
              <w:jc w:val="both"/>
              <w:rPr>
                <w:rFonts w:ascii="標楷體" w:eastAsia="標楷體" w:hAnsi="標楷體"/>
                <w:b/>
                <w:color w:val="000000"/>
              </w:rPr>
            </w:pPr>
            <w:r w:rsidRPr="00753E0D">
              <w:rPr>
                <w:rFonts w:ascii="標楷體" w:eastAsia="標楷體" w:hAnsi="標楷體" w:hint="eastAsia"/>
                <w:color w:val="000000"/>
                <w:kern w:val="0"/>
              </w:rPr>
              <w:t>(10-6-30)審查完竣，不須交由黨團協商。</w:t>
            </w:r>
          </w:p>
        </w:tc>
      </w:tr>
      <w:tr w:rsidR="00EB3514" w:rsidRPr="00753E0D" w14:paraId="7EA68536" w14:textId="77777777" w:rsidTr="00EC13B7">
        <w:tc>
          <w:tcPr>
            <w:tcW w:w="709" w:type="dxa"/>
          </w:tcPr>
          <w:p w14:paraId="6340F669"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t>2</w:t>
            </w:r>
          </w:p>
        </w:tc>
        <w:tc>
          <w:tcPr>
            <w:tcW w:w="1909" w:type="dxa"/>
          </w:tcPr>
          <w:p w14:paraId="4E39F675"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2.廢止「少年輔育院條例」</w:t>
            </w:r>
          </w:p>
        </w:tc>
        <w:tc>
          <w:tcPr>
            <w:tcW w:w="1918" w:type="dxa"/>
          </w:tcPr>
          <w:p w14:paraId="20B0B7F4"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委員許智傑等18人 111.05.27 </w:t>
            </w:r>
          </w:p>
          <w:p w14:paraId="368DD020"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（10-5-14）</w:t>
            </w:r>
          </w:p>
        </w:tc>
        <w:tc>
          <w:tcPr>
            <w:tcW w:w="2099" w:type="dxa"/>
            <w:vMerge/>
          </w:tcPr>
          <w:p w14:paraId="79763636" w14:textId="77777777" w:rsidR="00EB3514" w:rsidRPr="00753E0D" w:rsidRDefault="00EB3514" w:rsidP="00EC13B7">
            <w:pPr>
              <w:rPr>
                <w:rFonts w:ascii="標楷體" w:hAnsi="標楷體"/>
              </w:rPr>
            </w:pPr>
          </w:p>
        </w:tc>
        <w:tc>
          <w:tcPr>
            <w:tcW w:w="2023" w:type="dxa"/>
            <w:vMerge/>
          </w:tcPr>
          <w:p w14:paraId="470AA69C"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p>
        </w:tc>
      </w:tr>
      <w:tr w:rsidR="00EB3514" w:rsidRPr="00753E0D" w14:paraId="3651E898" w14:textId="77777777" w:rsidTr="00EC13B7">
        <w:tc>
          <w:tcPr>
            <w:tcW w:w="709" w:type="dxa"/>
          </w:tcPr>
          <w:p w14:paraId="555160F3"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t>3</w:t>
            </w:r>
          </w:p>
        </w:tc>
        <w:tc>
          <w:tcPr>
            <w:tcW w:w="1909" w:type="dxa"/>
          </w:tcPr>
          <w:p w14:paraId="2E013FB1"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1.廢止「考銓處組織條例」</w:t>
            </w:r>
          </w:p>
        </w:tc>
        <w:tc>
          <w:tcPr>
            <w:tcW w:w="1918" w:type="dxa"/>
          </w:tcPr>
          <w:p w14:paraId="00F534FC"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考試院 111.12.09 </w:t>
            </w:r>
          </w:p>
          <w:p w14:paraId="59FE4631"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（10-6-11）</w:t>
            </w:r>
          </w:p>
        </w:tc>
        <w:tc>
          <w:tcPr>
            <w:tcW w:w="2099" w:type="dxa"/>
            <w:vMerge w:val="restart"/>
          </w:tcPr>
          <w:p w14:paraId="0AD7AACF"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司法及法制</w:t>
            </w:r>
          </w:p>
          <w:p w14:paraId="0EC08073" w14:textId="77777777" w:rsidR="00EB3514" w:rsidRPr="00753E0D" w:rsidRDefault="00EB3514" w:rsidP="00EC13B7">
            <w:pPr>
              <w:rPr>
                <w:rFonts w:ascii="標楷體" w:hAnsi="標楷體"/>
              </w:rPr>
            </w:pPr>
            <w:r w:rsidRPr="00753E0D">
              <w:rPr>
                <w:rFonts w:ascii="標楷體" w:eastAsia="標楷體" w:hAnsi="標楷體" w:hint="eastAsia"/>
                <w:color w:val="000000"/>
                <w:kern w:val="0"/>
              </w:rPr>
              <w:t>陳召集委員歐珀</w:t>
            </w:r>
          </w:p>
        </w:tc>
        <w:tc>
          <w:tcPr>
            <w:tcW w:w="2023" w:type="dxa"/>
            <w:vMerge w:val="restart"/>
          </w:tcPr>
          <w:p w14:paraId="0A0C6691" w14:textId="77777777" w:rsidR="00EB3514" w:rsidRPr="00753E0D" w:rsidRDefault="00EB3514" w:rsidP="00EC13B7">
            <w:pPr>
              <w:kinsoku w:val="0"/>
              <w:wordWrap w:val="0"/>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本會111.12.29</w:t>
            </w:r>
          </w:p>
          <w:p w14:paraId="18C7714A" w14:textId="77777777" w:rsidR="00EB3514" w:rsidRPr="00753E0D" w:rsidRDefault="00EB3514" w:rsidP="00EC13B7">
            <w:pPr>
              <w:kinsoku w:val="0"/>
              <w:wordWrap w:val="0"/>
              <w:adjustRightInd w:val="0"/>
              <w:snapToGrid w:val="0"/>
              <w:spacing w:line="300" w:lineRule="exact"/>
              <w:jc w:val="both"/>
              <w:rPr>
                <w:rFonts w:ascii="標楷體" w:eastAsia="標楷體" w:hAnsi="標楷體"/>
                <w:b/>
                <w:color w:val="000000"/>
              </w:rPr>
            </w:pPr>
            <w:r w:rsidRPr="00753E0D">
              <w:rPr>
                <w:rFonts w:ascii="標楷體" w:eastAsia="標楷體" w:hAnsi="標楷體" w:hint="eastAsia"/>
                <w:color w:val="000000"/>
                <w:kern w:val="0"/>
              </w:rPr>
              <w:t>(10-6-30)審查完竣，不須交由黨團協商。</w:t>
            </w:r>
          </w:p>
        </w:tc>
      </w:tr>
      <w:tr w:rsidR="00EB3514" w:rsidRPr="00753E0D" w14:paraId="741EBFE9" w14:textId="77777777" w:rsidTr="00EC13B7">
        <w:tc>
          <w:tcPr>
            <w:tcW w:w="709" w:type="dxa"/>
          </w:tcPr>
          <w:p w14:paraId="7F54D858"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t>4</w:t>
            </w:r>
          </w:p>
        </w:tc>
        <w:tc>
          <w:tcPr>
            <w:tcW w:w="1909" w:type="dxa"/>
          </w:tcPr>
          <w:p w14:paraId="74FCB2F5"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2.</w:t>
            </w:r>
            <w:r w:rsidRPr="00753E0D">
              <w:rPr>
                <w:rFonts w:ascii="標楷體" w:eastAsia="標楷體" w:hAnsi="標楷體"/>
                <w:color w:val="000000"/>
                <w:kern w:val="0"/>
              </w:rPr>
              <w:t>廢止「考銓處組織條例」</w:t>
            </w:r>
          </w:p>
        </w:tc>
        <w:tc>
          <w:tcPr>
            <w:tcW w:w="1918" w:type="dxa"/>
          </w:tcPr>
          <w:p w14:paraId="1D6A5F1C"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委員江永昌等23人 111.05.06 </w:t>
            </w:r>
          </w:p>
          <w:p w14:paraId="14CF83A0"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（10-5-11）</w:t>
            </w:r>
          </w:p>
        </w:tc>
        <w:tc>
          <w:tcPr>
            <w:tcW w:w="2099" w:type="dxa"/>
            <w:vMerge/>
          </w:tcPr>
          <w:p w14:paraId="77F94B6B" w14:textId="77777777" w:rsidR="00EB3514" w:rsidRPr="00753E0D" w:rsidRDefault="00EB3514" w:rsidP="00EC13B7">
            <w:pPr>
              <w:rPr>
                <w:rFonts w:ascii="標楷體" w:hAnsi="標楷體"/>
              </w:rPr>
            </w:pPr>
          </w:p>
        </w:tc>
        <w:tc>
          <w:tcPr>
            <w:tcW w:w="2023" w:type="dxa"/>
            <w:vMerge/>
          </w:tcPr>
          <w:p w14:paraId="31CF2DDA"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p>
        </w:tc>
      </w:tr>
      <w:tr w:rsidR="00EB3514" w:rsidRPr="00753E0D" w14:paraId="72BEAA5A" w14:textId="77777777" w:rsidTr="00EC13B7">
        <w:tc>
          <w:tcPr>
            <w:tcW w:w="709" w:type="dxa"/>
          </w:tcPr>
          <w:p w14:paraId="5AB544EE"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t>5</w:t>
            </w:r>
          </w:p>
        </w:tc>
        <w:tc>
          <w:tcPr>
            <w:tcW w:w="1909" w:type="dxa"/>
          </w:tcPr>
          <w:p w14:paraId="77223EE4"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3</w:t>
            </w:r>
            <w:r w:rsidRPr="00753E0D">
              <w:rPr>
                <w:rFonts w:ascii="標楷體" w:eastAsia="標楷體" w:hAnsi="標楷體"/>
                <w:color w:val="000000"/>
                <w:kern w:val="0"/>
              </w:rPr>
              <w:t>.廢止「考銓處組織條例」</w:t>
            </w:r>
          </w:p>
        </w:tc>
        <w:tc>
          <w:tcPr>
            <w:tcW w:w="1918" w:type="dxa"/>
          </w:tcPr>
          <w:p w14:paraId="77D3A843"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委員林宜瑾等18人 111.11.25 </w:t>
            </w:r>
          </w:p>
          <w:p w14:paraId="0DEB00DD"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（10-6-9）</w:t>
            </w:r>
          </w:p>
        </w:tc>
        <w:tc>
          <w:tcPr>
            <w:tcW w:w="2099" w:type="dxa"/>
            <w:vMerge/>
          </w:tcPr>
          <w:p w14:paraId="0B8CCEC4" w14:textId="77777777" w:rsidR="00EB3514" w:rsidRPr="00753E0D" w:rsidRDefault="00EB3514" w:rsidP="00EC13B7">
            <w:pPr>
              <w:rPr>
                <w:rFonts w:ascii="標楷體" w:hAnsi="標楷體"/>
              </w:rPr>
            </w:pPr>
          </w:p>
        </w:tc>
        <w:tc>
          <w:tcPr>
            <w:tcW w:w="2023" w:type="dxa"/>
            <w:vMerge/>
          </w:tcPr>
          <w:p w14:paraId="33E4FCB0"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p>
        </w:tc>
      </w:tr>
      <w:tr w:rsidR="00EB3514" w:rsidRPr="00753E0D" w14:paraId="5A41B8D8" w14:textId="77777777" w:rsidTr="00EC13B7">
        <w:tc>
          <w:tcPr>
            <w:tcW w:w="709" w:type="dxa"/>
          </w:tcPr>
          <w:p w14:paraId="179A244D"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t>6</w:t>
            </w:r>
          </w:p>
        </w:tc>
        <w:tc>
          <w:tcPr>
            <w:tcW w:w="1909" w:type="dxa"/>
          </w:tcPr>
          <w:p w14:paraId="0F6F5D24"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1.廢止「監察院監察委員行署組織條例」</w:t>
            </w:r>
          </w:p>
        </w:tc>
        <w:tc>
          <w:tcPr>
            <w:tcW w:w="1918" w:type="dxa"/>
          </w:tcPr>
          <w:p w14:paraId="3E54E646" w14:textId="654DB20D" w:rsidR="00EB3514" w:rsidRPr="00753E0D" w:rsidRDefault="00372B75" w:rsidP="00EC13B7">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台灣</w:t>
            </w:r>
            <w:r w:rsidR="00EB3514" w:rsidRPr="00753E0D">
              <w:rPr>
                <w:rFonts w:ascii="標楷體" w:eastAsia="標楷體" w:hAnsi="標楷體" w:hint="eastAsia"/>
                <w:color w:val="000000"/>
                <w:kern w:val="0"/>
              </w:rPr>
              <w:t xml:space="preserve">民眾黨黨團 109.04.24 </w:t>
            </w:r>
          </w:p>
          <w:p w14:paraId="5A12EE1C"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hint="eastAsia"/>
                <w:color w:val="000000"/>
                <w:kern w:val="0"/>
              </w:rPr>
              <w:t>（10-1-10）</w:t>
            </w:r>
          </w:p>
        </w:tc>
        <w:tc>
          <w:tcPr>
            <w:tcW w:w="2099" w:type="dxa"/>
            <w:vMerge w:val="restart"/>
          </w:tcPr>
          <w:p w14:paraId="23458A7B"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司法及法制</w:t>
            </w:r>
          </w:p>
          <w:p w14:paraId="3DDE5026" w14:textId="77777777" w:rsidR="00EB3514" w:rsidRPr="00753E0D" w:rsidRDefault="00EB3514" w:rsidP="00EC13B7">
            <w:pPr>
              <w:rPr>
                <w:rFonts w:ascii="標楷體"/>
              </w:rPr>
            </w:pPr>
            <w:r w:rsidRPr="00753E0D">
              <w:rPr>
                <w:rFonts w:ascii="標楷體" w:eastAsia="標楷體" w:hAnsi="標楷體" w:hint="eastAsia"/>
                <w:color w:val="000000"/>
                <w:kern w:val="0"/>
              </w:rPr>
              <w:t>陳召集委員歐珀</w:t>
            </w:r>
          </w:p>
        </w:tc>
        <w:tc>
          <w:tcPr>
            <w:tcW w:w="2023" w:type="dxa"/>
            <w:vMerge w:val="restart"/>
          </w:tcPr>
          <w:p w14:paraId="14B595E1" w14:textId="77777777" w:rsidR="00EB3514" w:rsidRPr="00753E0D" w:rsidRDefault="00EB3514" w:rsidP="00EC13B7">
            <w:pPr>
              <w:kinsoku w:val="0"/>
              <w:wordWrap w:val="0"/>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本會111.12.29</w:t>
            </w:r>
          </w:p>
          <w:p w14:paraId="15438493" w14:textId="77777777" w:rsidR="00EB3514" w:rsidRPr="00753E0D" w:rsidRDefault="00EB3514" w:rsidP="00EC13B7">
            <w:pPr>
              <w:kinsoku w:val="0"/>
              <w:wordWrap w:val="0"/>
              <w:adjustRightInd w:val="0"/>
              <w:snapToGrid w:val="0"/>
              <w:spacing w:line="300" w:lineRule="exact"/>
              <w:jc w:val="both"/>
              <w:rPr>
                <w:rFonts w:ascii="標楷體" w:eastAsia="標楷體" w:hAnsi="標楷體"/>
                <w:b/>
                <w:color w:val="000000"/>
              </w:rPr>
            </w:pPr>
            <w:r w:rsidRPr="00753E0D">
              <w:rPr>
                <w:rFonts w:ascii="標楷體" w:eastAsia="標楷體" w:hAnsi="標楷體" w:hint="eastAsia"/>
                <w:color w:val="000000"/>
                <w:kern w:val="0"/>
              </w:rPr>
              <w:t>(10-6-30)審查完竣，不須交由黨團協商。</w:t>
            </w:r>
          </w:p>
        </w:tc>
      </w:tr>
      <w:tr w:rsidR="00EB3514" w:rsidRPr="00753E0D" w14:paraId="7EEFCBA2" w14:textId="77777777" w:rsidTr="00EC13B7">
        <w:tc>
          <w:tcPr>
            <w:tcW w:w="709" w:type="dxa"/>
          </w:tcPr>
          <w:p w14:paraId="265D0E36"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t>7</w:t>
            </w:r>
          </w:p>
        </w:tc>
        <w:tc>
          <w:tcPr>
            <w:tcW w:w="1909" w:type="dxa"/>
          </w:tcPr>
          <w:p w14:paraId="5AF6FBFE"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2.廢止「監察院</w:t>
            </w:r>
            <w:r w:rsidRPr="00753E0D">
              <w:rPr>
                <w:rFonts w:ascii="標楷體" w:eastAsia="標楷體" w:hAnsi="標楷體" w:hint="eastAsia"/>
                <w:color w:val="000000"/>
                <w:kern w:val="0"/>
              </w:rPr>
              <w:lastRenderedPageBreak/>
              <w:t>監察委員行署組織條例」</w:t>
            </w:r>
          </w:p>
        </w:tc>
        <w:tc>
          <w:tcPr>
            <w:tcW w:w="1918" w:type="dxa"/>
          </w:tcPr>
          <w:p w14:paraId="502E18F6"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hint="eastAsia"/>
                <w:color w:val="000000"/>
                <w:kern w:val="0"/>
              </w:rPr>
              <w:lastRenderedPageBreak/>
              <w:t>委員邱志偉等</w:t>
            </w:r>
            <w:r w:rsidRPr="00753E0D">
              <w:rPr>
                <w:rFonts w:ascii="標楷體" w:eastAsia="標楷體" w:hAnsi="標楷體" w:hint="eastAsia"/>
                <w:color w:val="000000"/>
                <w:kern w:val="0"/>
              </w:rPr>
              <w:lastRenderedPageBreak/>
              <w:t xml:space="preserve">18人 109.10.06 </w:t>
            </w:r>
          </w:p>
          <w:p w14:paraId="13807F78"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hint="eastAsia"/>
                <w:color w:val="000000"/>
                <w:kern w:val="0"/>
              </w:rPr>
              <w:t>（10-2-3）</w:t>
            </w:r>
          </w:p>
        </w:tc>
        <w:tc>
          <w:tcPr>
            <w:tcW w:w="2099" w:type="dxa"/>
            <w:vMerge/>
          </w:tcPr>
          <w:p w14:paraId="43A6D9DD" w14:textId="77777777" w:rsidR="00EB3514" w:rsidRPr="00753E0D" w:rsidRDefault="00EB3514" w:rsidP="00EC13B7">
            <w:pPr>
              <w:rPr>
                <w:rFonts w:ascii="標楷體"/>
              </w:rPr>
            </w:pPr>
          </w:p>
        </w:tc>
        <w:tc>
          <w:tcPr>
            <w:tcW w:w="2023" w:type="dxa"/>
            <w:vMerge/>
          </w:tcPr>
          <w:p w14:paraId="7300C0C2"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p>
        </w:tc>
      </w:tr>
      <w:tr w:rsidR="00EB3514" w:rsidRPr="00753E0D" w14:paraId="2E59ABF8" w14:textId="77777777" w:rsidTr="00EC13B7">
        <w:tc>
          <w:tcPr>
            <w:tcW w:w="709" w:type="dxa"/>
          </w:tcPr>
          <w:p w14:paraId="5063FB1D"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rPr>
            </w:pPr>
            <w:r w:rsidRPr="00753E0D">
              <w:rPr>
                <w:rFonts w:ascii="標楷體" w:eastAsia="標楷體" w:hAnsi="標楷體" w:hint="eastAsia"/>
                <w:color w:val="000000"/>
              </w:rPr>
              <w:lastRenderedPageBreak/>
              <w:t>8</w:t>
            </w:r>
          </w:p>
        </w:tc>
        <w:tc>
          <w:tcPr>
            <w:tcW w:w="1909" w:type="dxa"/>
          </w:tcPr>
          <w:p w14:paraId="26A56BB7"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3.廢止「監察院監察委員行署組織條例」</w:t>
            </w:r>
          </w:p>
        </w:tc>
        <w:tc>
          <w:tcPr>
            <w:tcW w:w="1918" w:type="dxa"/>
          </w:tcPr>
          <w:p w14:paraId="33221FB3"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委員鄭運鵬等16人 111.12.09 </w:t>
            </w:r>
          </w:p>
          <w:p w14:paraId="3F26F629"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（10-6-11）</w:t>
            </w:r>
          </w:p>
        </w:tc>
        <w:tc>
          <w:tcPr>
            <w:tcW w:w="2099" w:type="dxa"/>
            <w:vMerge/>
          </w:tcPr>
          <w:p w14:paraId="54BE5E75" w14:textId="77777777" w:rsidR="00EB3514" w:rsidRPr="00753E0D" w:rsidRDefault="00EB3514" w:rsidP="00EC13B7">
            <w:pPr>
              <w:rPr>
                <w:rFonts w:ascii="標楷體" w:hAnsi="標楷體"/>
              </w:rPr>
            </w:pPr>
          </w:p>
        </w:tc>
        <w:tc>
          <w:tcPr>
            <w:tcW w:w="2023" w:type="dxa"/>
            <w:vMerge/>
          </w:tcPr>
          <w:p w14:paraId="263A86FF"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p>
        </w:tc>
      </w:tr>
    </w:tbl>
    <w:p w14:paraId="41271FF0" w14:textId="77777777" w:rsidR="00EB3514" w:rsidRPr="00753E0D" w:rsidRDefault="00EB3514" w:rsidP="00E1643E">
      <w:pPr>
        <w:rPr>
          <w:color w:val="000000" w:themeColor="text1"/>
        </w:rPr>
      </w:pPr>
    </w:p>
    <w:p w14:paraId="150101AC" w14:textId="77777777" w:rsidR="00EB3514" w:rsidRPr="00753E0D" w:rsidRDefault="00EB3514" w:rsidP="007932B9">
      <w:pPr>
        <w:pStyle w:val="afffffc"/>
        <w:kinsoku w:val="0"/>
        <w:overflowPunct w:val="0"/>
        <w:spacing w:beforeLines="100" w:before="360" w:afterLines="100" w:after="360" w:line="260" w:lineRule="exact"/>
        <w:ind w:left="624" w:firstLineChars="50" w:firstLine="140"/>
        <w:rPr>
          <w:bCs w:val="0"/>
          <w:color w:val="000000" w:themeColor="text1"/>
        </w:rPr>
      </w:pPr>
      <w:bookmarkStart w:id="105" w:name="_Toc510167669"/>
      <w:bookmarkStart w:id="106" w:name="_Toc1401049"/>
      <w:bookmarkStart w:id="107" w:name="_Toc42533389"/>
      <w:bookmarkStart w:id="108" w:name="_Toc42702508"/>
      <w:bookmarkStart w:id="109" w:name="_Toc96350490"/>
      <w:r w:rsidRPr="00753E0D">
        <w:rPr>
          <w:rFonts w:hint="eastAsia"/>
          <w:bCs w:val="0"/>
          <w:color w:val="000000" w:themeColor="text1"/>
        </w:rPr>
        <w:t>二、</w:t>
      </w:r>
      <w:r w:rsidRPr="00753E0D">
        <w:rPr>
          <w:bCs w:val="0"/>
          <w:color w:val="000000" w:themeColor="text1"/>
        </w:rPr>
        <w:t>作用法</w:t>
      </w:r>
      <w:r w:rsidRPr="00753E0D">
        <w:rPr>
          <w:rFonts w:hint="eastAsia"/>
          <w:bCs w:val="0"/>
          <w:color w:val="000000" w:themeColor="text1"/>
        </w:rPr>
        <w:t>24</w:t>
      </w:r>
      <w:r w:rsidRPr="00753E0D">
        <w:rPr>
          <w:bCs w:val="0"/>
          <w:color w:val="000000" w:themeColor="text1"/>
        </w:rPr>
        <w:t>案</w:t>
      </w:r>
      <w:bookmarkEnd w:id="105"/>
      <w:bookmarkEnd w:id="106"/>
      <w:bookmarkEnd w:id="107"/>
      <w:bookmarkEnd w:id="108"/>
      <w:bookmarkEnd w:id="109"/>
    </w:p>
    <w:p w14:paraId="62A9E1E6" w14:textId="77777777" w:rsidR="00EB3514" w:rsidRPr="00753E0D" w:rsidRDefault="00EB3514" w:rsidP="004743D0">
      <w:pPr>
        <w:pStyle w:val="afffffc"/>
        <w:kinsoku w:val="0"/>
        <w:overflowPunct w:val="0"/>
        <w:spacing w:beforeLines="100" w:before="360" w:afterLines="100" w:after="360" w:line="260" w:lineRule="exact"/>
        <w:ind w:leftChars="472" w:left="1133"/>
        <w:rPr>
          <w:color w:val="000000" w:themeColor="text1"/>
        </w:rPr>
      </w:pPr>
      <w:bookmarkStart w:id="110" w:name="_Toc42533391"/>
      <w:bookmarkStart w:id="111" w:name="_Toc42702510"/>
      <w:bookmarkStart w:id="112" w:name="_Toc96350492"/>
      <w:bookmarkStart w:id="113" w:name="_Toc96350491"/>
      <w:bookmarkStart w:id="114" w:name="_Toc510167670"/>
      <w:bookmarkStart w:id="115" w:name="_Toc1401050"/>
      <w:r w:rsidRPr="00753E0D">
        <w:rPr>
          <w:rFonts w:hint="eastAsia"/>
          <w:color w:val="000000" w:themeColor="text1"/>
        </w:rPr>
        <w:t>(一)經院會通過之議案15案</w:t>
      </w:r>
      <w:bookmarkEnd w:id="110"/>
      <w:bookmarkEnd w:id="111"/>
      <w:bookmarkEnd w:id="11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EB3514" w:rsidRPr="00753E0D" w14:paraId="5C7EB0BE" w14:textId="77777777" w:rsidTr="00EC13B7">
        <w:trPr>
          <w:trHeight w:val="600"/>
        </w:trPr>
        <w:tc>
          <w:tcPr>
            <w:tcW w:w="511" w:type="dxa"/>
            <w:vMerge w:val="restart"/>
          </w:tcPr>
          <w:p w14:paraId="2A4C1A29"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序號</w:t>
            </w:r>
          </w:p>
        </w:tc>
        <w:tc>
          <w:tcPr>
            <w:tcW w:w="1111" w:type="dxa"/>
            <w:vMerge w:val="restart"/>
          </w:tcPr>
          <w:p w14:paraId="4494560F" w14:textId="77777777" w:rsidR="00EB3514" w:rsidRPr="00753E0D" w:rsidRDefault="00EB3514" w:rsidP="00EC13B7">
            <w:pPr>
              <w:kinsoku w:val="0"/>
              <w:overflowPunct w:val="0"/>
              <w:spacing w:line="300" w:lineRule="exact"/>
              <w:ind w:rightChars="13" w:right="31"/>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議案名稱</w:t>
            </w:r>
          </w:p>
        </w:tc>
        <w:tc>
          <w:tcPr>
            <w:tcW w:w="1545" w:type="dxa"/>
            <w:vMerge w:val="restart"/>
          </w:tcPr>
          <w:p w14:paraId="09B65C03" w14:textId="77777777" w:rsidR="00EB3514" w:rsidRPr="00753E0D" w:rsidRDefault="00EB3514" w:rsidP="00EC13B7">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753E0D">
              <w:rPr>
                <w:rFonts w:ascii="標楷體" w:eastAsia="標楷體" w:hAnsi="標楷體"/>
                <w:b/>
                <w:color w:val="000000"/>
                <w:spacing w:val="-20"/>
                <w:szCs w:val="22"/>
              </w:rPr>
              <w:t>提案委員或機關</w:t>
            </w:r>
          </w:p>
          <w:p w14:paraId="33F49B68" w14:textId="77777777" w:rsidR="00EB3514" w:rsidRPr="00753E0D" w:rsidRDefault="00EB3514"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院會交付日期</w:t>
            </w:r>
          </w:p>
          <w:p w14:paraId="49FAC716" w14:textId="77777777" w:rsidR="00EB3514" w:rsidRPr="00753E0D" w:rsidRDefault="00EB3514"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(會次)</w:t>
            </w:r>
          </w:p>
        </w:tc>
        <w:tc>
          <w:tcPr>
            <w:tcW w:w="1536" w:type="dxa"/>
            <w:vMerge w:val="restart"/>
          </w:tcPr>
          <w:p w14:paraId="34B47CD2" w14:textId="77777777" w:rsidR="00EB3514" w:rsidRPr="00753E0D" w:rsidRDefault="00EB3514"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審查情形日期</w:t>
            </w:r>
            <w:r w:rsidRPr="00753E0D">
              <w:rPr>
                <w:rFonts w:ascii="標楷體" w:eastAsia="標楷體" w:hAnsi="標楷體" w:hint="eastAsia"/>
                <w:b/>
                <w:color w:val="000000"/>
                <w:spacing w:val="-20"/>
                <w:szCs w:val="22"/>
              </w:rPr>
              <w:t xml:space="preserve"> </w:t>
            </w:r>
          </w:p>
          <w:p w14:paraId="0B25585D" w14:textId="77777777" w:rsidR="00EB3514" w:rsidRPr="00753E0D" w:rsidRDefault="00EB3514"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(會次)</w:t>
            </w:r>
          </w:p>
        </w:tc>
        <w:tc>
          <w:tcPr>
            <w:tcW w:w="1387" w:type="dxa"/>
            <w:vMerge w:val="restart"/>
          </w:tcPr>
          <w:p w14:paraId="32BB939F" w14:textId="77777777" w:rsidR="00EB3514" w:rsidRPr="00753E0D" w:rsidRDefault="00EB3514"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院會三讀通過</w:t>
            </w:r>
          </w:p>
          <w:p w14:paraId="611AF834" w14:textId="77777777" w:rsidR="00EB3514" w:rsidRPr="00753E0D" w:rsidRDefault="00EB3514"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日期(會次)</w:t>
            </w:r>
            <w:r w:rsidRPr="00753E0D">
              <w:rPr>
                <w:rFonts w:ascii="標楷體" w:eastAsia="標楷體" w:hAnsi="標楷體" w:hint="eastAsia"/>
                <w:b/>
                <w:color w:val="000000"/>
                <w:spacing w:val="-20"/>
                <w:szCs w:val="22"/>
              </w:rPr>
              <w:t>、</w:t>
            </w:r>
          </w:p>
          <w:p w14:paraId="62B0BAA1" w14:textId="77777777" w:rsidR="00EB3514" w:rsidRPr="00753E0D" w:rsidRDefault="00EB3514" w:rsidP="00EC13B7">
            <w:pPr>
              <w:kinsoku w:val="0"/>
              <w:overflowPunct w:val="0"/>
              <w:spacing w:line="300" w:lineRule="exact"/>
              <w:ind w:leftChars="-45" w:left="-108"/>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咨請總統公布法律案名稱</w:t>
            </w:r>
          </w:p>
        </w:tc>
        <w:tc>
          <w:tcPr>
            <w:tcW w:w="1683" w:type="dxa"/>
          </w:tcPr>
          <w:p w14:paraId="30F4A73A"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hint="eastAsia"/>
                <w:b/>
                <w:color w:val="000000"/>
                <w:spacing w:val="-20"/>
                <w:szCs w:val="22"/>
              </w:rPr>
              <w:t>本院</w:t>
            </w:r>
            <w:r w:rsidRPr="00753E0D">
              <w:rPr>
                <w:rFonts w:ascii="標楷體" w:eastAsia="標楷體" w:hAnsi="標楷體"/>
                <w:b/>
                <w:color w:val="000000"/>
                <w:spacing w:val="-20"/>
                <w:szCs w:val="22"/>
              </w:rPr>
              <w:t>咨</w:t>
            </w:r>
            <w:r w:rsidRPr="00753E0D">
              <w:rPr>
                <w:rFonts w:ascii="標楷體" w:eastAsia="標楷體" w:hAnsi="標楷體" w:hint="eastAsia"/>
                <w:b/>
                <w:color w:val="000000"/>
                <w:spacing w:val="-20"/>
                <w:szCs w:val="22"/>
              </w:rPr>
              <w:t>文</w:t>
            </w:r>
          </w:p>
          <w:p w14:paraId="34C035C3"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日期及文號</w:t>
            </w:r>
          </w:p>
        </w:tc>
        <w:tc>
          <w:tcPr>
            <w:tcW w:w="1105" w:type="dxa"/>
            <w:vMerge w:val="restart"/>
          </w:tcPr>
          <w:p w14:paraId="4CDB3D93"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總統府</w:t>
            </w:r>
          </w:p>
          <w:p w14:paraId="11D61209"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公報</w:t>
            </w:r>
          </w:p>
        </w:tc>
      </w:tr>
      <w:tr w:rsidR="00EB3514" w:rsidRPr="00753E0D" w14:paraId="7F74BD2E" w14:textId="77777777" w:rsidTr="00EC13B7">
        <w:trPr>
          <w:trHeight w:val="600"/>
        </w:trPr>
        <w:tc>
          <w:tcPr>
            <w:tcW w:w="511" w:type="dxa"/>
            <w:vMerge/>
          </w:tcPr>
          <w:p w14:paraId="034F6230"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c>
          <w:tcPr>
            <w:tcW w:w="1111" w:type="dxa"/>
            <w:vMerge/>
          </w:tcPr>
          <w:p w14:paraId="177673E7" w14:textId="77777777" w:rsidR="00EB3514" w:rsidRPr="00753E0D" w:rsidRDefault="00EB3514" w:rsidP="00EC13B7">
            <w:pPr>
              <w:kinsoku w:val="0"/>
              <w:overflowPunct w:val="0"/>
              <w:spacing w:line="300" w:lineRule="exact"/>
              <w:ind w:rightChars="13" w:right="31"/>
              <w:jc w:val="center"/>
              <w:rPr>
                <w:rFonts w:ascii="標楷體" w:eastAsia="標楷體" w:hAnsi="標楷體"/>
                <w:b/>
                <w:color w:val="000000"/>
                <w:spacing w:val="-20"/>
                <w:szCs w:val="22"/>
              </w:rPr>
            </w:pPr>
          </w:p>
        </w:tc>
        <w:tc>
          <w:tcPr>
            <w:tcW w:w="1545" w:type="dxa"/>
            <w:vMerge/>
          </w:tcPr>
          <w:p w14:paraId="36491BB2" w14:textId="77777777" w:rsidR="00EB3514" w:rsidRPr="00753E0D" w:rsidRDefault="00EB3514" w:rsidP="00EC13B7">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p>
        </w:tc>
        <w:tc>
          <w:tcPr>
            <w:tcW w:w="1536" w:type="dxa"/>
            <w:vMerge/>
          </w:tcPr>
          <w:p w14:paraId="2DB83DAD" w14:textId="77777777" w:rsidR="00EB3514" w:rsidRPr="00753E0D" w:rsidRDefault="00EB3514"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p>
        </w:tc>
        <w:tc>
          <w:tcPr>
            <w:tcW w:w="1387" w:type="dxa"/>
            <w:vMerge/>
          </w:tcPr>
          <w:p w14:paraId="1022F0AA" w14:textId="77777777" w:rsidR="00EB3514" w:rsidRPr="00753E0D" w:rsidRDefault="00EB3514" w:rsidP="00EC13B7">
            <w:pPr>
              <w:kinsoku w:val="0"/>
              <w:overflowPunct w:val="0"/>
              <w:spacing w:line="300" w:lineRule="exact"/>
              <w:ind w:leftChars="-45" w:hangingChars="54" w:hanging="108"/>
              <w:jc w:val="center"/>
              <w:rPr>
                <w:rFonts w:ascii="標楷體" w:eastAsia="標楷體" w:hAnsi="標楷體"/>
                <w:b/>
                <w:color w:val="000000"/>
                <w:spacing w:val="-20"/>
                <w:szCs w:val="22"/>
              </w:rPr>
            </w:pPr>
          </w:p>
        </w:tc>
        <w:tc>
          <w:tcPr>
            <w:tcW w:w="1683" w:type="dxa"/>
          </w:tcPr>
          <w:p w14:paraId="277762EE"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總統公布</w:t>
            </w:r>
          </w:p>
          <w:p w14:paraId="2A1B0EA4"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r w:rsidRPr="00753E0D">
              <w:rPr>
                <w:rFonts w:ascii="標楷體" w:eastAsia="標楷體" w:hAnsi="標楷體"/>
                <w:b/>
                <w:color w:val="000000"/>
                <w:spacing w:val="-20"/>
                <w:szCs w:val="22"/>
              </w:rPr>
              <w:t>日期及文號</w:t>
            </w:r>
          </w:p>
        </w:tc>
        <w:tc>
          <w:tcPr>
            <w:tcW w:w="1105" w:type="dxa"/>
            <w:vMerge/>
          </w:tcPr>
          <w:p w14:paraId="6B0D7CAC" w14:textId="77777777" w:rsidR="00EB3514" w:rsidRPr="00753E0D" w:rsidRDefault="00EB3514" w:rsidP="00EC13B7">
            <w:pPr>
              <w:kinsoku w:val="0"/>
              <w:overflowPunct w:val="0"/>
              <w:spacing w:line="300" w:lineRule="exact"/>
              <w:jc w:val="center"/>
              <w:rPr>
                <w:rFonts w:ascii="標楷體" w:eastAsia="標楷體" w:hAnsi="標楷體"/>
                <w:b/>
                <w:color w:val="000000"/>
                <w:spacing w:val="-20"/>
                <w:szCs w:val="22"/>
              </w:rPr>
            </w:pPr>
          </w:p>
        </w:tc>
      </w:tr>
      <w:tr w:rsidR="00EB3514" w:rsidRPr="00753E0D" w14:paraId="24E4D428" w14:textId="77777777" w:rsidTr="00EC13B7">
        <w:trPr>
          <w:trHeight w:val="600"/>
        </w:trPr>
        <w:tc>
          <w:tcPr>
            <w:tcW w:w="511" w:type="dxa"/>
          </w:tcPr>
          <w:p w14:paraId="3C8A80BA"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w:t>
            </w:r>
          </w:p>
        </w:tc>
        <w:tc>
          <w:tcPr>
            <w:tcW w:w="1111" w:type="dxa"/>
          </w:tcPr>
          <w:p w14:paraId="28793285"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刑事訴訟法部分條文修正草案</w:t>
            </w:r>
          </w:p>
        </w:tc>
        <w:tc>
          <w:tcPr>
            <w:tcW w:w="1545" w:type="dxa"/>
          </w:tcPr>
          <w:p w14:paraId="4C93CEB7"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30"/>
                <w:kern w:val="0"/>
                <w:szCs w:val="22"/>
              </w:rPr>
              <w:t xml:space="preserve">司法院、行政院 </w:t>
            </w:r>
            <w:r w:rsidRPr="00753E0D">
              <w:rPr>
                <w:rFonts w:ascii="標楷體" w:eastAsia="標楷體" w:hAnsi="標楷體" w:hint="eastAsia"/>
                <w:color w:val="000000"/>
                <w:spacing w:val="-10"/>
                <w:kern w:val="0"/>
                <w:szCs w:val="22"/>
              </w:rPr>
              <w:t xml:space="preserve">111.09.23 </w:t>
            </w:r>
          </w:p>
          <w:p w14:paraId="5D6E175F"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spacing w:val="-10"/>
                <w:kern w:val="0"/>
                <w:szCs w:val="22"/>
              </w:rPr>
              <w:t>（10-6-1）</w:t>
            </w:r>
          </w:p>
        </w:tc>
        <w:tc>
          <w:tcPr>
            <w:tcW w:w="1536" w:type="dxa"/>
          </w:tcPr>
          <w:p w14:paraId="63838FFF"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本會111.10.19</w:t>
            </w:r>
          </w:p>
          <w:p w14:paraId="49380679"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(10-6-7)審查完竣，不須交由黨團協商。</w:t>
            </w:r>
          </w:p>
        </w:tc>
        <w:tc>
          <w:tcPr>
            <w:tcW w:w="1387" w:type="dxa"/>
          </w:tcPr>
          <w:p w14:paraId="055D2BD3"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6266E54A"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15</w:t>
            </w:r>
          </w:p>
          <w:p w14:paraId="20772519"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7</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 xml:space="preserve"> </w:t>
            </w:r>
          </w:p>
          <w:p w14:paraId="15D6E210"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spacing w:val="-20"/>
                <w:kern w:val="0"/>
                <w:szCs w:val="22"/>
              </w:rPr>
              <w:t>三讀增訂四百八十一條之一至四百八十一條之七條文；並修正第四百八十一條條文</w:t>
            </w:r>
          </w:p>
        </w:tc>
        <w:tc>
          <w:tcPr>
            <w:tcW w:w="1683" w:type="dxa"/>
          </w:tcPr>
          <w:p w14:paraId="6FAB3934"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111年11月23日台立院議字第1110704001號</w:t>
            </w:r>
          </w:p>
          <w:p w14:paraId="16BE8557"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260E216A"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111年11月30日華總一義字第11100101111號</w:t>
            </w:r>
          </w:p>
        </w:tc>
        <w:tc>
          <w:tcPr>
            <w:tcW w:w="1105" w:type="dxa"/>
          </w:tcPr>
          <w:p w14:paraId="0724ABF0"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第7632號</w:t>
            </w:r>
          </w:p>
        </w:tc>
      </w:tr>
      <w:tr w:rsidR="00EB3514" w:rsidRPr="00753E0D" w14:paraId="2482D590" w14:textId="77777777" w:rsidTr="00EC13B7">
        <w:trPr>
          <w:trHeight w:val="600"/>
        </w:trPr>
        <w:tc>
          <w:tcPr>
            <w:tcW w:w="511" w:type="dxa"/>
          </w:tcPr>
          <w:p w14:paraId="79ABBE52"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2</w:t>
            </w:r>
          </w:p>
        </w:tc>
        <w:tc>
          <w:tcPr>
            <w:tcW w:w="1111" w:type="dxa"/>
          </w:tcPr>
          <w:p w14:paraId="4CB14E0B"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刑事訴訟法施行法增訂第七條之二十三條文草案</w:t>
            </w:r>
          </w:p>
        </w:tc>
        <w:tc>
          <w:tcPr>
            <w:tcW w:w="1545" w:type="dxa"/>
          </w:tcPr>
          <w:p w14:paraId="490BD862"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hint="eastAsia"/>
                <w:color w:val="000000"/>
                <w:spacing w:val="-30"/>
                <w:kern w:val="0"/>
                <w:szCs w:val="22"/>
              </w:rPr>
              <w:t xml:space="preserve">司法院、行政院 </w:t>
            </w:r>
            <w:r w:rsidRPr="00753E0D">
              <w:rPr>
                <w:rFonts w:ascii="標楷體" w:eastAsia="標楷體" w:hAnsi="標楷體" w:hint="eastAsia"/>
                <w:color w:val="000000"/>
                <w:spacing w:val="-10"/>
                <w:kern w:val="0"/>
                <w:szCs w:val="22"/>
              </w:rPr>
              <w:t xml:space="preserve">111.09.23 </w:t>
            </w:r>
          </w:p>
          <w:p w14:paraId="66790004"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spacing w:val="-10"/>
                <w:kern w:val="0"/>
                <w:szCs w:val="22"/>
              </w:rPr>
              <w:t>（10-6-1）</w:t>
            </w:r>
          </w:p>
        </w:tc>
        <w:tc>
          <w:tcPr>
            <w:tcW w:w="1536" w:type="dxa"/>
          </w:tcPr>
          <w:p w14:paraId="4B02802E"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本會111.10.19</w:t>
            </w:r>
          </w:p>
          <w:p w14:paraId="39FC3FAD"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(10-6-7)審查完竣，不須交由黨團協商。</w:t>
            </w:r>
          </w:p>
        </w:tc>
        <w:tc>
          <w:tcPr>
            <w:tcW w:w="1387" w:type="dxa"/>
          </w:tcPr>
          <w:p w14:paraId="1D2396F5"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7962F6F0"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15</w:t>
            </w:r>
          </w:p>
          <w:p w14:paraId="64A84F65"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7</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 xml:space="preserve"> </w:t>
            </w:r>
          </w:p>
          <w:p w14:paraId="27FAB96C" w14:textId="77777777" w:rsidR="00EB3514" w:rsidRPr="00753E0D" w:rsidRDefault="00EB3514" w:rsidP="00EC13B7">
            <w:pPr>
              <w:kinsoku w:val="0"/>
              <w:overflowPunct w:val="0"/>
              <w:spacing w:line="300" w:lineRule="exact"/>
              <w:rPr>
                <w:rFonts w:ascii="標楷體" w:eastAsia="標楷體" w:hAnsi="標楷體"/>
                <w:b/>
                <w:color w:val="000000"/>
                <w:spacing w:val="-20"/>
                <w:szCs w:val="22"/>
              </w:rPr>
            </w:pPr>
            <w:r w:rsidRPr="00753E0D">
              <w:rPr>
                <w:rFonts w:ascii="標楷體" w:eastAsia="標楷體" w:hAnsi="標楷體" w:hint="eastAsia"/>
                <w:spacing w:val="-20"/>
                <w:kern w:val="0"/>
                <w:szCs w:val="22"/>
              </w:rPr>
              <w:t>三讀增訂第七條之十四條文</w:t>
            </w:r>
          </w:p>
        </w:tc>
        <w:tc>
          <w:tcPr>
            <w:tcW w:w="1683" w:type="dxa"/>
          </w:tcPr>
          <w:p w14:paraId="58A83502"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111年11月23日台立院議字第1110704004號</w:t>
            </w:r>
          </w:p>
          <w:p w14:paraId="48066039"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37A64406"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111年11月30日華總一義字第11100101121號</w:t>
            </w:r>
          </w:p>
        </w:tc>
        <w:tc>
          <w:tcPr>
            <w:tcW w:w="1105" w:type="dxa"/>
          </w:tcPr>
          <w:p w14:paraId="008C6171"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第7632號</w:t>
            </w:r>
          </w:p>
        </w:tc>
      </w:tr>
      <w:tr w:rsidR="00EB3514" w:rsidRPr="00753E0D" w14:paraId="342829CA" w14:textId="77777777" w:rsidTr="00EC13B7">
        <w:trPr>
          <w:trHeight w:val="600"/>
        </w:trPr>
        <w:tc>
          <w:tcPr>
            <w:tcW w:w="511" w:type="dxa"/>
          </w:tcPr>
          <w:p w14:paraId="4A47C0EB"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3</w:t>
            </w:r>
          </w:p>
        </w:tc>
        <w:tc>
          <w:tcPr>
            <w:tcW w:w="1111" w:type="dxa"/>
          </w:tcPr>
          <w:p w14:paraId="3DC0C0EA"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專門職業及技術人員轉任公務人員條例修正草案</w:t>
            </w:r>
          </w:p>
        </w:tc>
        <w:tc>
          <w:tcPr>
            <w:tcW w:w="1545" w:type="dxa"/>
          </w:tcPr>
          <w:p w14:paraId="26B5A262"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 xml:space="preserve">考試院 110.12.17 </w:t>
            </w:r>
          </w:p>
          <w:p w14:paraId="2123471F"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r w:rsidRPr="00753E0D">
              <w:rPr>
                <w:rFonts w:ascii="標楷體" w:eastAsia="標楷體" w:hAnsi="標楷體"/>
                <w:color w:val="000000"/>
                <w:spacing w:val="-10"/>
                <w:kern w:val="0"/>
                <w:szCs w:val="22"/>
              </w:rPr>
              <w:t>（10-4-14）</w:t>
            </w:r>
          </w:p>
          <w:p w14:paraId="616C289B" w14:textId="77777777" w:rsidR="00EB3514" w:rsidRPr="00753E0D" w:rsidRDefault="00EB3514" w:rsidP="00EC13B7">
            <w:pPr>
              <w:kinsoku w:val="0"/>
              <w:overflowPunct w:val="0"/>
              <w:adjustRightInd w:val="0"/>
              <w:snapToGrid w:val="0"/>
              <w:spacing w:line="300" w:lineRule="exact"/>
              <w:rPr>
                <w:rFonts w:ascii="標楷體" w:eastAsia="標楷體" w:hAnsi="標楷體"/>
                <w:color w:val="000000"/>
                <w:spacing w:val="-10"/>
                <w:kern w:val="0"/>
                <w:szCs w:val="22"/>
              </w:rPr>
            </w:pPr>
          </w:p>
        </w:tc>
        <w:tc>
          <w:tcPr>
            <w:tcW w:w="1536" w:type="dxa"/>
          </w:tcPr>
          <w:p w14:paraId="0D5EB2EE"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1.本會111.10.26</w:t>
            </w:r>
          </w:p>
          <w:p w14:paraId="0503082A"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(10-6-10)報告及詢答完畢，另定期繼續審查。</w:t>
            </w:r>
          </w:p>
          <w:p w14:paraId="605CF378"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2.本會111.11.28</w:t>
            </w:r>
          </w:p>
          <w:p w14:paraId="68F535FB"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(10-6-21)審查完竣，不須交由黨團協商。</w:t>
            </w:r>
          </w:p>
        </w:tc>
        <w:tc>
          <w:tcPr>
            <w:tcW w:w="1387" w:type="dxa"/>
          </w:tcPr>
          <w:p w14:paraId="2224D3E6"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79E1DFBD"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12</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9</w:t>
            </w:r>
          </w:p>
          <w:p w14:paraId="695156E9"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 xml:space="preserve"> </w:t>
            </w:r>
          </w:p>
          <w:p w14:paraId="70800F38"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三讀修正專門職業及技術人員轉任公務人員條例</w:t>
            </w:r>
          </w:p>
        </w:tc>
        <w:tc>
          <w:tcPr>
            <w:tcW w:w="1683" w:type="dxa"/>
          </w:tcPr>
          <w:p w14:paraId="7BD4CABB"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111年12月21日台立院議字第1110704505號</w:t>
            </w:r>
          </w:p>
          <w:p w14:paraId="2D725DA6"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177F6A92"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111年12月28日華總一義字第11100110021號</w:t>
            </w:r>
          </w:p>
        </w:tc>
        <w:tc>
          <w:tcPr>
            <w:tcW w:w="1105" w:type="dxa"/>
          </w:tcPr>
          <w:p w14:paraId="0E281E89"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第7636號</w:t>
            </w:r>
          </w:p>
        </w:tc>
      </w:tr>
      <w:tr w:rsidR="00EB3514" w:rsidRPr="00753E0D" w14:paraId="3BA37248" w14:textId="77777777" w:rsidTr="00EC13B7">
        <w:trPr>
          <w:trHeight w:val="600"/>
        </w:trPr>
        <w:tc>
          <w:tcPr>
            <w:tcW w:w="511" w:type="dxa"/>
          </w:tcPr>
          <w:p w14:paraId="03D7F0D2"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4</w:t>
            </w:r>
          </w:p>
        </w:tc>
        <w:tc>
          <w:tcPr>
            <w:tcW w:w="1111" w:type="dxa"/>
          </w:tcPr>
          <w:p w14:paraId="0E3E51E1"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1.</w:t>
            </w:r>
            <w:r w:rsidRPr="00753E0D">
              <w:rPr>
                <w:rFonts w:ascii="標楷體" w:eastAsia="標楷體" w:hAnsi="標楷體"/>
                <w:color w:val="000000"/>
                <w:kern w:val="0"/>
                <w:szCs w:val="22"/>
              </w:rPr>
              <w:t>鄉鎮市調解條例部分條文</w:t>
            </w:r>
            <w:r w:rsidRPr="00753E0D">
              <w:rPr>
                <w:rFonts w:ascii="標楷體" w:eastAsia="標楷體" w:hAnsi="標楷體"/>
                <w:color w:val="000000"/>
                <w:kern w:val="0"/>
                <w:szCs w:val="22"/>
              </w:rPr>
              <w:lastRenderedPageBreak/>
              <w:t>修正草案</w:t>
            </w:r>
          </w:p>
        </w:tc>
        <w:tc>
          <w:tcPr>
            <w:tcW w:w="1545" w:type="dxa"/>
          </w:tcPr>
          <w:p w14:paraId="07D7D0F3"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lastRenderedPageBreak/>
              <w:t xml:space="preserve">委員黃世杰等20人 111.11.04 </w:t>
            </w:r>
          </w:p>
          <w:p w14:paraId="7D77B432"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lastRenderedPageBreak/>
              <w:t>（10-6-6）</w:t>
            </w:r>
          </w:p>
        </w:tc>
        <w:tc>
          <w:tcPr>
            <w:tcW w:w="1536" w:type="dxa"/>
            <w:vMerge w:val="restart"/>
          </w:tcPr>
          <w:p w14:paraId="7448CBA9" w14:textId="77777777" w:rsidR="00EB3514" w:rsidRPr="00753E0D" w:rsidRDefault="00EB3514" w:rsidP="008938A6">
            <w:pPr>
              <w:kinsoku w:val="0"/>
              <w:overflowPunct w:val="0"/>
              <w:spacing w:line="300" w:lineRule="exact"/>
              <w:ind w:leftChars="-20" w:left="2" w:hangingChars="25" w:hanging="50"/>
              <w:rPr>
                <w:rFonts w:ascii="標楷體" w:eastAsia="標楷體" w:hAnsi="標楷體"/>
                <w:spacing w:val="-20"/>
                <w:kern w:val="0"/>
                <w:szCs w:val="22"/>
              </w:rPr>
            </w:pPr>
            <w:r w:rsidRPr="00753E0D">
              <w:rPr>
                <w:rFonts w:ascii="標楷體" w:eastAsia="標楷體" w:hAnsi="標楷體" w:hint="eastAsia"/>
                <w:spacing w:val="-20"/>
                <w:kern w:val="0"/>
                <w:szCs w:val="22"/>
              </w:rPr>
              <w:lastRenderedPageBreak/>
              <w:t>本會111.12.12</w:t>
            </w:r>
          </w:p>
          <w:p w14:paraId="27BA0902" w14:textId="77777777" w:rsidR="00EB3514" w:rsidRPr="00753E0D" w:rsidRDefault="00EB3514" w:rsidP="00EC13B7">
            <w:pPr>
              <w:kinsoku w:val="0"/>
              <w:overflowPunct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(10-6-26)審查完竣，不須交由</w:t>
            </w:r>
            <w:r w:rsidRPr="00753E0D">
              <w:rPr>
                <w:rFonts w:ascii="標楷體" w:eastAsia="標楷體" w:hAnsi="標楷體" w:hint="eastAsia"/>
                <w:spacing w:val="-20"/>
                <w:kern w:val="0"/>
                <w:szCs w:val="22"/>
              </w:rPr>
              <w:lastRenderedPageBreak/>
              <w:t>黨團協商。</w:t>
            </w:r>
          </w:p>
        </w:tc>
        <w:tc>
          <w:tcPr>
            <w:tcW w:w="1387" w:type="dxa"/>
            <w:vMerge w:val="restart"/>
          </w:tcPr>
          <w:p w14:paraId="26F859E2"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lastRenderedPageBreak/>
              <w:t>院會</w:t>
            </w:r>
          </w:p>
          <w:p w14:paraId="209D09DF"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2.27</w:t>
            </w:r>
          </w:p>
          <w:p w14:paraId="43907086"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-13)</w:t>
            </w:r>
            <w:r w:rsidRPr="00753E0D">
              <w:rPr>
                <w:rFonts w:ascii="標楷體" w:eastAsia="標楷體" w:hAnsi="標楷體" w:hint="eastAsia"/>
                <w:spacing w:val="-20"/>
                <w:kern w:val="0"/>
                <w:szCs w:val="22"/>
              </w:rPr>
              <w:t xml:space="preserve"> </w:t>
            </w:r>
          </w:p>
          <w:p w14:paraId="1739AD95"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lastRenderedPageBreak/>
              <w:t>三讀修正第三條、第六條、笫九條及第三十二條條文</w:t>
            </w:r>
          </w:p>
        </w:tc>
        <w:tc>
          <w:tcPr>
            <w:tcW w:w="1683" w:type="dxa"/>
            <w:vMerge w:val="restart"/>
          </w:tcPr>
          <w:p w14:paraId="1AC4EBFF"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112年1月9日台立院議字第1110704938號</w:t>
            </w:r>
          </w:p>
          <w:p w14:paraId="0F9E5854"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48AF34F4"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112年1月13日</w:t>
            </w:r>
          </w:p>
          <w:p w14:paraId="048F5574"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華總一義字第11200002921號</w:t>
            </w:r>
          </w:p>
        </w:tc>
        <w:tc>
          <w:tcPr>
            <w:tcW w:w="1105" w:type="dxa"/>
            <w:vMerge w:val="restart"/>
          </w:tcPr>
          <w:p w14:paraId="09CDEA55"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第7640號</w:t>
            </w:r>
          </w:p>
        </w:tc>
      </w:tr>
      <w:tr w:rsidR="00EB3514" w:rsidRPr="00753E0D" w14:paraId="6E86A98A" w14:textId="77777777" w:rsidTr="00EC13B7">
        <w:trPr>
          <w:trHeight w:val="600"/>
        </w:trPr>
        <w:tc>
          <w:tcPr>
            <w:tcW w:w="511" w:type="dxa"/>
          </w:tcPr>
          <w:p w14:paraId="0863FEDD"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5</w:t>
            </w:r>
          </w:p>
        </w:tc>
        <w:tc>
          <w:tcPr>
            <w:tcW w:w="1111" w:type="dxa"/>
          </w:tcPr>
          <w:p w14:paraId="7F351B6E"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2</w:t>
            </w:r>
            <w:r w:rsidRPr="00753E0D">
              <w:rPr>
                <w:rFonts w:ascii="標楷體" w:eastAsia="標楷體" w:hAnsi="標楷體"/>
                <w:color w:val="000000"/>
                <w:kern w:val="0"/>
                <w:szCs w:val="22"/>
              </w:rPr>
              <w:t>.鄉鎮市調解條例部分條文修正草案</w:t>
            </w:r>
          </w:p>
        </w:tc>
        <w:tc>
          <w:tcPr>
            <w:tcW w:w="1545" w:type="dxa"/>
          </w:tcPr>
          <w:p w14:paraId="336A3F2D"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委員林宜瑾等18人 111.11.25 </w:t>
            </w:r>
          </w:p>
          <w:p w14:paraId="0E0670B3"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（10-6-9）</w:t>
            </w:r>
          </w:p>
        </w:tc>
        <w:tc>
          <w:tcPr>
            <w:tcW w:w="1536" w:type="dxa"/>
            <w:vMerge/>
          </w:tcPr>
          <w:p w14:paraId="281E4437"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387" w:type="dxa"/>
            <w:vMerge/>
          </w:tcPr>
          <w:p w14:paraId="2C2BCCDF"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683" w:type="dxa"/>
            <w:vMerge/>
          </w:tcPr>
          <w:p w14:paraId="275F4727"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c>
          <w:tcPr>
            <w:tcW w:w="1105" w:type="dxa"/>
            <w:vMerge/>
          </w:tcPr>
          <w:p w14:paraId="0D39693B"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p>
        </w:tc>
      </w:tr>
      <w:tr w:rsidR="00EB3514" w:rsidRPr="00753E0D" w14:paraId="26CDE232" w14:textId="77777777" w:rsidTr="00EC13B7">
        <w:trPr>
          <w:trHeight w:val="600"/>
        </w:trPr>
        <w:tc>
          <w:tcPr>
            <w:tcW w:w="511" w:type="dxa"/>
          </w:tcPr>
          <w:p w14:paraId="3F22FA4F"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6</w:t>
            </w:r>
          </w:p>
        </w:tc>
        <w:tc>
          <w:tcPr>
            <w:tcW w:w="1111" w:type="dxa"/>
          </w:tcPr>
          <w:p w14:paraId="3BE9872F"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戒治處分執行條例第十八條條文修正草案</w:t>
            </w:r>
          </w:p>
        </w:tc>
        <w:tc>
          <w:tcPr>
            <w:tcW w:w="1545" w:type="dxa"/>
          </w:tcPr>
          <w:p w14:paraId="08F3F1CA"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委員黃世杰等20人 111.03.11 </w:t>
            </w:r>
          </w:p>
          <w:p w14:paraId="118F9273"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（10-5-3）</w:t>
            </w:r>
          </w:p>
        </w:tc>
        <w:tc>
          <w:tcPr>
            <w:tcW w:w="1536" w:type="dxa"/>
          </w:tcPr>
          <w:p w14:paraId="4BF204DE"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本會111.12.12</w:t>
            </w:r>
          </w:p>
          <w:p w14:paraId="1EB1903E"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(10-6-26)審查完竣，不須交由黨團協商。</w:t>
            </w:r>
          </w:p>
        </w:tc>
        <w:tc>
          <w:tcPr>
            <w:tcW w:w="1387" w:type="dxa"/>
          </w:tcPr>
          <w:p w14:paraId="1CF75AF7"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5869714C"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2.27</w:t>
            </w:r>
          </w:p>
          <w:p w14:paraId="602C59F5"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-13)</w:t>
            </w:r>
            <w:r w:rsidRPr="00753E0D">
              <w:rPr>
                <w:rFonts w:ascii="標楷體" w:eastAsia="標楷體" w:hAnsi="標楷體" w:hint="eastAsia"/>
                <w:spacing w:val="-20"/>
                <w:kern w:val="0"/>
                <w:szCs w:val="22"/>
              </w:rPr>
              <w:t xml:space="preserve"> </w:t>
            </w:r>
          </w:p>
          <w:p w14:paraId="2083F4AE"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三讀修正第十八條條文</w:t>
            </w:r>
          </w:p>
        </w:tc>
        <w:tc>
          <w:tcPr>
            <w:tcW w:w="1683" w:type="dxa"/>
          </w:tcPr>
          <w:p w14:paraId="014E878A"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112年1月9日台立院議字第1110704947號</w:t>
            </w:r>
          </w:p>
          <w:p w14:paraId="3CB261D2"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225F80F8"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112年1月13日</w:t>
            </w:r>
          </w:p>
          <w:p w14:paraId="44E37A91"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華總一義字第11200002931號</w:t>
            </w:r>
          </w:p>
        </w:tc>
        <w:tc>
          <w:tcPr>
            <w:tcW w:w="1105" w:type="dxa"/>
          </w:tcPr>
          <w:p w14:paraId="65E1E9A9"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第7640號</w:t>
            </w:r>
          </w:p>
        </w:tc>
      </w:tr>
      <w:tr w:rsidR="00EB3514" w:rsidRPr="00753E0D" w14:paraId="626D2E34" w14:textId="77777777" w:rsidTr="001B32A1">
        <w:trPr>
          <w:trHeight w:val="600"/>
        </w:trPr>
        <w:tc>
          <w:tcPr>
            <w:tcW w:w="511" w:type="dxa"/>
          </w:tcPr>
          <w:p w14:paraId="436B5DEC"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7</w:t>
            </w:r>
          </w:p>
        </w:tc>
        <w:tc>
          <w:tcPr>
            <w:tcW w:w="1111" w:type="dxa"/>
          </w:tcPr>
          <w:p w14:paraId="08FF04B3"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公設辯護人條例第七條條文修正草案</w:t>
            </w:r>
          </w:p>
        </w:tc>
        <w:tc>
          <w:tcPr>
            <w:tcW w:w="1545" w:type="dxa"/>
          </w:tcPr>
          <w:p w14:paraId="3A63F1F6"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委員黃世杰等21人 111.11.04 </w:t>
            </w:r>
          </w:p>
          <w:p w14:paraId="27464748"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（10-6-6）</w:t>
            </w:r>
          </w:p>
        </w:tc>
        <w:tc>
          <w:tcPr>
            <w:tcW w:w="1536" w:type="dxa"/>
          </w:tcPr>
          <w:p w14:paraId="4E29519F" w14:textId="77777777" w:rsidR="00EB3514" w:rsidRPr="00753E0D" w:rsidRDefault="00EB3514" w:rsidP="00402480">
            <w:pPr>
              <w:kinsoku w:val="0"/>
              <w:overflowPunct w:val="0"/>
              <w:spacing w:line="300" w:lineRule="exact"/>
              <w:ind w:leftChars="-15" w:hangingChars="18" w:hanging="36"/>
              <w:rPr>
                <w:rFonts w:ascii="標楷體" w:eastAsia="標楷體" w:hAnsi="標楷體"/>
                <w:spacing w:val="-20"/>
                <w:kern w:val="0"/>
                <w:szCs w:val="22"/>
              </w:rPr>
            </w:pPr>
            <w:r w:rsidRPr="00753E0D">
              <w:rPr>
                <w:rFonts w:ascii="標楷體" w:eastAsia="標楷體" w:hAnsi="標楷體" w:hint="eastAsia"/>
                <w:spacing w:val="-20"/>
                <w:kern w:val="0"/>
                <w:szCs w:val="22"/>
              </w:rPr>
              <w:t>本會111.12.12</w:t>
            </w:r>
          </w:p>
          <w:p w14:paraId="222D3102"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(10-6-26)審查完竣，不須交由黨團協商。</w:t>
            </w:r>
          </w:p>
        </w:tc>
        <w:tc>
          <w:tcPr>
            <w:tcW w:w="1387" w:type="dxa"/>
          </w:tcPr>
          <w:p w14:paraId="3ABDD0F3"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1F05CF19"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2.27</w:t>
            </w:r>
          </w:p>
          <w:p w14:paraId="3CE6BD3C"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-13)</w:t>
            </w:r>
            <w:r w:rsidRPr="00753E0D">
              <w:rPr>
                <w:rFonts w:ascii="標楷體" w:eastAsia="標楷體" w:hAnsi="標楷體" w:hint="eastAsia"/>
                <w:spacing w:val="-20"/>
                <w:kern w:val="0"/>
                <w:szCs w:val="22"/>
              </w:rPr>
              <w:t xml:space="preserve"> </w:t>
            </w:r>
          </w:p>
          <w:p w14:paraId="7AF687C0"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三讀修正第七條條文</w:t>
            </w:r>
          </w:p>
        </w:tc>
        <w:tc>
          <w:tcPr>
            <w:tcW w:w="1683" w:type="dxa"/>
            <w:tcBorders>
              <w:bottom w:val="single" w:sz="2" w:space="0" w:color="auto"/>
            </w:tcBorders>
          </w:tcPr>
          <w:p w14:paraId="5EC2D299"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112年1月9日台立院議字第1110704958號</w:t>
            </w:r>
          </w:p>
          <w:p w14:paraId="73162F8A"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p w14:paraId="352AB9EB"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112年1月13日</w:t>
            </w:r>
          </w:p>
          <w:p w14:paraId="432B3EB8"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r w:rsidRPr="00753E0D">
              <w:rPr>
                <w:rFonts w:ascii="標楷體" w:eastAsia="標楷體" w:hAnsi="標楷體" w:hint="eastAsia"/>
                <w:color w:val="000000"/>
                <w:spacing w:val="-20"/>
                <w:szCs w:val="22"/>
              </w:rPr>
              <w:t>華總一義字第11200002941號</w:t>
            </w:r>
          </w:p>
        </w:tc>
        <w:tc>
          <w:tcPr>
            <w:tcW w:w="1105" w:type="dxa"/>
            <w:tcBorders>
              <w:bottom w:val="single" w:sz="2" w:space="0" w:color="auto"/>
            </w:tcBorders>
          </w:tcPr>
          <w:p w14:paraId="6D11E438" w14:textId="77777777" w:rsidR="00EB3514" w:rsidRPr="00753E0D" w:rsidRDefault="00EB3514" w:rsidP="00EC13B7">
            <w:pPr>
              <w:kinsoku w:val="0"/>
              <w:overflowPunct w:val="0"/>
              <w:spacing w:line="300" w:lineRule="exact"/>
              <w:jc w:val="both"/>
              <w:rPr>
                <w:rFonts w:ascii="標楷體" w:eastAsia="標楷體" w:hAnsi="標楷體"/>
                <w:color w:val="000000"/>
                <w:spacing w:val="-20"/>
                <w:szCs w:val="22"/>
              </w:rPr>
            </w:pPr>
            <w:r w:rsidRPr="00753E0D">
              <w:rPr>
                <w:rFonts w:ascii="標楷體" w:eastAsia="標楷體" w:hAnsi="標楷體" w:hint="eastAsia"/>
                <w:color w:val="000000"/>
                <w:spacing w:val="-20"/>
                <w:szCs w:val="22"/>
              </w:rPr>
              <w:t>第7640號</w:t>
            </w:r>
          </w:p>
        </w:tc>
      </w:tr>
      <w:tr w:rsidR="0000263C" w:rsidRPr="00753E0D" w14:paraId="4962113D" w14:textId="77777777" w:rsidTr="001B32A1">
        <w:trPr>
          <w:trHeight w:val="600"/>
        </w:trPr>
        <w:tc>
          <w:tcPr>
            <w:tcW w:w="511" w:type="dxa"/>
          </w:tcPr>
          <w:p w14:paraId="11927675" w14:textId="77777777" w:rsidR="0000263C" w:rsidRPr="00753E0D" w:rsidRDefault="0000263C" w:rsidP="0000263C">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8</w:t>
            </w:r>
          </w:p>
        </w:tc>
        <w:tc>
          <w:tcPr>
            <w:tcW w:w="1111" w:type="dxa"/>
          </w:tcPr>
          <w:p w14:paraId="3AD719C1" w14:textId="77777777" w:rsidR="0000263C" w:rsidRPr="00753E0D" w:rsidRDefault="0000263C" w:rsidP="0000263C">
            <w:pPr>
              <w:kinsoku w:val="0"/>
              <w:overflowPunct w:val="0"/>
              <w:spacing w:line="300" w:lineRule="exact"/>
              <w:ind w:rightChars="-45" w:right="-108"/>
              <w:rPr>
                <w:rFonts w:ascii="Calibri" w:hAnsi="Calibri"/>
                <w:szCs w:val="22"/>
              </w:rPr>
            </w:pPr>
            <w:r w:rsidRPr="00753E0D">
              <w:rPr>
                <w:rFonts w:ascii="標楷體" w:eastAsia="標楷體" w:hAnsi="標楷體" w:hint="eastAsia"/>
                <w:color w:val="000000"/>
                <w:kern w:val="0"/>
                <w:szCs w:val="22"/>
              </w:rPr>
              <w:t>智慧財產案件審理法修正草案</w:t>
            </w:r>
          </w:p>
        </w:tc>
        <w:tc>
          <w:tcPr>
            <w:tcW w:w="1545" w:type="dxa"/>
          </w:tcPr>
          <w:p w14:paraId="6903E43E" w14:textId="77777777" w:rsidR="0000263C" w:rsidRPr="00753E0D" w:rsidRDefault="0000263C" w:rsidP="0000263C">
            <w:pPr>
              <w:adjustRightInd w:val="0"/>
              <w:snapToGrid w:val="0"/>
              <w:spacing w:line="260" w:lineRule="exact"/>
              <w:rPr>
                <w:rFonts w:ascii="標楷體" w:eastAsia="標楷體" w:hAnsi="標楷體"/>
                <w:kern w:val="0"/>
                <w:szCs w:val="22"/>
              </w:rPr>
            </w:pPr>
            <w:r w:rsidRPr="00753E0D">
              <w:rPr>
                <w:rFonts w:ascii="標楷體" w:eastAsia="標楷體" w:hAnsi="標楷體" w:hint="eastAsia"/>
                <w:color w:val="000000"/>
                <w:spacing w:val="-30"/>
                <w:kern w:val="0"/>
                <w:szCs w:val="22"/>
              </w:rPr>
              <w:t xml:space="preserve">司法院、行政院 </w:t>
            </w:r>
            <w:r w:rsidRPr="00753E0D">
              <w:rPr>
                <w:rFonts w:ascii="標楷體" w:eastAsia="標楷體" w:hAnsi="標楷體" w:hint="eastAsia"/>
                <w:kern w:val="0"/>
                <w:szCs w:val="22"/>
              </w:rPr>
              <w:t xml:space="preserve">111.10.28 </w:t>
            </w:r>
          </w:p>
          <w:p w14:paraId="55580446" w14:textId="77777777" w:rsidR="0000263C" w:rsidRPr="00753E0D" w:rsidRDefault="0000263C" w:rsidP="0000263C">
            <w:pPr>
              <w:adjustRightInd w:val="0"/>
              <w:snapToGrid w:val="0"/>
              <w:spacing w:line="260" w:lineRule="exact"/>
              <w:rPr>
                <w:rFonts w:ascii="標楷體" w:hAnsi="標楷體"/>
                <w:szCs w:val="22"/>
              </w:rPr>
            </w:pPr>
            <w:r w:rsidRPr="00753E0D">
              <w:rPr>
                <w:rFonts w:ascii="標楷體" w:eastAsia="標楷體" w:hAnsi="標楷體" w:hint="eastAsia"/>
                <w:kern w:val="0"/>
                <w:szCs w:val="22"/>
              </w:rPr>
              <w:t>（10-6-5）</w:t>
            </w:r>
          </w:p>
        </w:tc>
        <w:tc>
          <w:tcPr>
            <w:tcW w:w="1536" w:type="dxa"/>
          </w:tcPr>
          <w:p w14:paraId="2CA8E4E5" w14:textId="77777777" w:rsidR="0000263C" w:rsidRPr="00753E0D" w:rsidRDefault="0000263C" w:rsidP="0000263C">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1.本會、經濟委員會聯席會111.12.21</w:t>
            </w:r>
          </w:p>
          <w:p w14:paraId="6661FB82" w14:textId="77777777" w:rsidR="0000263C" w:rsidRPr="00753E0D" w:rsidRDefault="0000263C" w:rsidP="0000263C">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（10-6-2）報告及詢答完畢，另定期繼續審查。</w:t>
            </w:r>
          </w:p>
          <w:p w14:paraId="57FA8DA8" w14:textId="77777777" w:rsidR="0000263C" w:rsidRPr="00753E0D" w:rsidRDefault="0000263C" w:rsidP="0000263C">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2.本會、經濟委員會聯席會111.12.26</w:t>
            </w:r>
          </w:p>
          <w:p w14:paraId="4219414B" w14:textId="77777777" w:rsidR="0000263C" w:rsidRPr="00753E0D" w:rsidRDefault="0000263C" w:rsidP="0000263C">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(10-6-3)審查完竣，不須交由黨團協商。</w:t>
            </w:r>
          </w:p>
        </w:tc>
        <w:tc>
          <w:tcPr>
            <w:tcW w:w="1387" w:type="dxa"/>
            <w:tcBorders>
              <w:right w:val="single" w:sz="2" w:space="0" w:color="auto"/>
            </w:tcBorders>
          </w:tcPr>
          <w:p w14:paraId="5DEABD3A" w14:textId="77777777" w:rsidR="0000263C" w:rsidRPr="00753E0D" w:rsidRDefault="0000263C" w:rsidP="0000263C">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院會</w:t>
            </w:r>
          </w:p>
          <w:p w14:paraId="116A31E4" w14:textId="77777777" w:rsidR="0000263C" w:rsidRPr="00753E0D" w:rsidRDefault="0000263C" w:rsidP="0000263C">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12</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12</w:t>
            </w:r>
          </w:p>
          <w:p w14:paraId="3208A6CF" w14:textId="77777777" w:rsidR="0000263C" w:rsidRPr="00753E0D" w:rsidRDefault="0000263C" w:rsidP="0000263C">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5</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 xml:space="preserve"> </w:t>
            </w:r>
          </w:p>
          <w:p w14:paraId="10F428C5" w14:textId="77777777" w:rsidR="0000263C" w:rsidRPr="00753E0D" w:rsidRDefault="0000263C" w:rsidP="0000263C">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三讀修正智慧財產案件審理法</w:t>
            </w:r>
          </w:p>
        </w:tc>
        <w:tc>
          <w:tcPr>
            <w:tcW w:w="1683" w:type="dxa"/>
            <w:tcBorders>
              <w:top w:val="single" w:sz="2" w:space="0" w:color="auto"/>
              <w:left w:val="single" w:sz="2" w:space="0" w:color="auto"/>
              <w:bottom w:val="single" w:sz="2" w:space="0" w:color="auto"/>
              <w:right w:val="single" w:sz="2" w:space="0" w:color="auto"/>
            </w:tcBorders>
          </w:tcPr>
          <w:p w14:paraId="3A9F736F" w14:textId="77777777" w:rsidR="0000263C" w:rsidRDefault="0000263C" w:rsidP="0000263C">
            <w:pPr>
              <w:kinsoku w:val="0"/>
              <w:overflowPunct w:val="0"/>
              <w:spacing w:line="300" w:lineRule="exact"/>
              <w:rPr>
                <w:rFonts w:ascii="標楷體" w:eastAsia="標楷體" w:hAnsi="標楷體"/>
                <w:color w:val="000000" w:themeColor="text1"/>
                <w:spacing w:val="-20"/>
                <w:szCs w:val="22"/>
              </w:rPr>
            </w:pPr>
            <w:r>
              <w:rPr>
                <w:rFonts w:ascii="標楷體" w:eastAsia="標楷體" w:hAnsi="標楷體" w:hint="eastAsia"/>
                <w:color w:val="000000" w:themeColor="text1"/>
                <w:spacing w:val="-20"/>
              </w:rPr>
              <w:t>112年2月4日 台立院議字第1120700156號</w:t>
            </w:r>
          </w:p>
          <w:p w14:paraId="121C29EA" w14:textId="77777777" w:rsidR="0000263C" w:rsidRDefault="0000263C" w:rsidP="0000263C">
            <w:pPr>
              <w:kinsoku w:val="0"/>
              <w:overflowPunct w:val="0"/>
              <w:spacing w:line="300" w:lineRule="exact"/>
              <w:rPr>
                <w:rFonts w:ascii="標楷體" w:eastAsia="標楷體" w:hAnsi="標楷體"/>
                <w:color w:val="000000" w:themeColor="text1"/>
                <w:spacing w:val="-20"/>
              </w:rPr>
            </w:pPr>
          </w:p>
          <w:p w14:paraId="01CCD1AE" w14:textId="5D80BF83" w:rsidR="0000263C" w:rsidRPr="00753E0D" w:rsidRDefault="0000263C" w:rsidP="0000263C">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rPr>
              <w:t>112年2月15日華總一義字第11200010201號</w:t>
            </w:r>
          </w:p>
        </w:tc>
        <w:tc>
          <w:tcPr>
            <w:tcW w:w="1105" w:type="dxa"/>
            <w:tcBorders>
              <w:top w:val="single" w:sz="2" w:space="0" w:color="auto"/>
              <w:left w:val="single" w:sz="2" w:space="0" w:color="auto"/>
              <w:bottom w:val="single" w:sz="2" w:space="0" w:color="auto"/>
              <w:right w:val="single" w:sz="18" w:space="0" w:color="auto"/>
            </w:tcBorders>
          </w:tcPr>
          <w:p w14:paraId="2994B7F6" w14:textId="2F3FE5B3" w:rsidR="0000263C" w:rsidRPr="00753E0D" w:rsidRDefault="0000263C" w:rsidP="0000263C">
            <w:pPr>
              <w:kinsoku w:val="0"/>
              <w:overflowPunct w:val="0"/>
              <w:spacing w:line="300" w:lineRule="exact"/>
              <w:ind w:leftChars="-16" w:hangingChars="19" w:hanging="38"/>
              <w:rPr>
                <w:rFonts w:ascii="標楷體" w:eastAsia="標楷體" w:hAnsi="標楷體"/>
                <w:color w:val="000000"/>
                <w:spacing w:val="-20"/>
                <w:szCs w:val="22"/>
              </w:rPr>
            </w:pPr>
            <w:r>
              <w:rPr>
                <w:rFonts w:ascii="標楷體" w:eastAsia="標楷體" w:hAnsi="標楷體" w:hint="eastAsia"/>
                <w:color w:val="000000" w:themeColor="text1"/>
                <w:spacing w:val="-20"/>
              </w:rPr>
              <w:t>第7646號</w:t>
            </w:r>
          </w:p>
        </w:tc>
      </w:tr>
      <w:tr w:rsidR="00EB3514" w:rsidRPr="00753E0D" w14:paraId="4A7BE359" w14:textId="77777777" w:rsidTr="001B32A1">
        <w:trPr>
          <w:trHeight w:val="421"/>
        </w:trPr>
        <w:tc>
          <w:tcPr>
            <w:tcW w:w="511" w:type="dxa"/>
          </w:tcPr>
          <w:p w14:paraId="523C3CD5"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9</w:t>
            </w:r>
          </w:p>
        </w:tc>
        <w:tc>
          <w:tcPr>
            <w:tcW w:w="1111" w:type="dxa"/>
          </w:tcPr>
          <w:p w14:paraId="6BF691E4"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1.公務人員任用法第二十二條條文修正草案</w:t>
            </w:r>
          </w:p>
        </w:tc>
        <w:tc>
          <w:tcPr>
            <w:tcW w:w="1545" w:type="dxa"/>
          </w:tcPr>
          <w:p w14:paraId="6D47C1D9"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考試院 111.09.23 </w:t>
            </w:r>
          </w:p>
          <w:p w14:paraId="74E4A2EE" w14:textId="77777777" w:rsidR="00EB3514" w:rsidRPr="00753E0D" w:rsidRDefault="00EB3514" w:rsidP="00EC13B7">
            <w:pPr>
              <w:adjustRightInd w:val="0"/>
              <w:snapToGrid w:val="0"/>
              <w:spacing w:line="260" w:lineRule="exact"/>
              <w:rPr>
                <w:rFonts w:ascii="標楷體" w:eastAsia="標楷體" w:hAnsi="標楷體"/>
                <w:color w:val="000000"/>
                <w:kern w:val="0"/>
                <w:szCs w:val="22"/>
              </w:rPr>
            </w:pPr>
            <w:r w:rsidRPr="00753E0D">
              <w:rPr>
                <w:rFonts w:ascii="標楷體" w:eastAsia="標楷體" w:hAnsi="標楷體"/>
                <w:kern w:val="0"/>
                <w:szCs w:val="22"/>
              </w:rPr>
              <w:t>（10-6-1）</w:t>
            </w:r>
          </w:p>
        </w:tc>
        <w:tc>
          <w:tcPr>
            <w:tcW w:w="1536" w:type="dxa"/>
            <w:vMerge w:val="restart"/>
          </w:tcPr>
          <w:p w14:paraId="024B8378" w14:textId="77777777" w:rsidR="00EB3514" w:rsidRPr="00C67D9C" w:rsidRDefault="00EB3514" w:rsidP="00EC13B7">
            <w:pPr>
              <w:kinsoku w:val="0"/>
              <w:topLinePunct/>
              <w:autoSpaceDE w:val="0"/>
              <w:autoSpaceDN w:val="0"/>
              <w:spacing w:line="300" w:lineRule="exact"/>
              <w:rPr>
                <w:rFonts w:ascii="標楷體" w:eastAsia="標楷體" w:hAnsi="標楷體"/>
                <w:spacing w:val="-40"/>
                <w:kern w:val="0"/>
                <w:szCs w:val="22"/>
              </w:rPr>
            </w:pPr>
            <w:r w:rsidRPr="00C67D9C">
              <w:rPr>
                <w:rFonts w:ascii="標楷體" w:eastAsia="標楷體" w:hAnsi="標楷體" w:hint="eastAsia"/>
                <w:spacing w:val="-40"/>
                <w:kern w:val="0"/>
                <w:szCs w:val="22"/>
              </w:rPr>
              <w:t>1</w:t>
            </w:r>
            <w:r w:rsidRPr="005B668E">
              <w:rPr>
                <w:rFonts w:ascii="標楷體" w:eastAsia="標楷體" w:hAnsi="標楷體" w:hint="eastAsia"/>
                <w:spacing w:val="-30"/>
                <w:kern w:val="0"/>
                <w:szCs w:val="22"/>
              </w:rPr>
              <w:t>.第</w:t>
            </w:r>
            <w:r w:rsidRPr="005B668E">
              <w:rPr>
                <w:rFonts w:ascii="標楷體" w:eastAsia="標楷體" w:hAnsi="標楷體" w:hint="eastAsia"/>
                <w:spacing w:val="-50"/>
                <w:kern w:val="0"/>
                <w:szCs w:val="22"/>
              </w:rPr>
              <w:t>1、2、</w:t>
            </w:r>
            <w:r w:rsidRPr="00C67D9C">
              <w:rPr>
                <w:rFonts w:ascii="標楷體" w:eastAsia="標楷體" w:hAnsi="標楷體" w:hint="eastAsia"/>
                <w:spacing w:val="-40"/>
                <w:kern w:val="0"/>
                <w:szCs w:val="22"/>
              </w:rPr>
              <w:t>4-6案</w:t>
            </w:r>
          </w:p>
          <w:p w14:paraId="25FF4193"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本會111.10.26</w:t>
            </w:r>
          </w:p>
          <w:p w14:paraId="4C8379F9"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(10-6-10)報告及詢答完畢，另定期繼續審查。</w:t>
            </w:r>
          </w:p>
          <w:p w14:paraId="6AEB2091"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2.第1-7案</w:t>
            </w:r>
          </w:p>
          <w:p w14:paraId="594D5615"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本會111.11.28</w:t>
            </w:r>
          </w:p>
          <w:p w14:paraId="06EC43C4"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(10-6-21)審查完竣，須交由黨團協商。</w:t>
            </w:r>
          </w:p>
          <w:p w14:paraId="30F06B67"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3.111.12.29黨團協商。</w:t>
            </w:r>
          </w:p>
          <w:p w14:paraId="125526E9"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4.112.1.4</w:t>
            </w:r>
            <w:r w:rsidRPr="00753E0D">
              <w:rPr>
                <w:rFonts w:ascii="標楷體" w:eastAsia="標楷體" w:hAnsi="標楷體" w:hint="eastAsia"/>
                <w:spacing w:val="-20"/>
                <w:kern w:val="0"/>
                <w:szCs w:val="22"/>
              </w:rPr>
              <w:t>黨團協商。</w:t>
            </w:r>
          </w:p>
          <w:p w14:paraId="67C27FF9"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5</w:t>
            </w:r>
            <w:r w:rsidRPr="00753E0D">
              <w:rPr>
                <w:rFonts w:ascii="標楷體" w:eastAsia="標楷體" w:hAnsi="標楷體"/>
                <w:spacing w:val="-20"/>
                <w:kern w:val="0"/>
                <w:szCs w:val="22"/>
              </w:rPr>
              <w:t>.112.1.</w:t>
            </w:r>
            <w:r w:rsidRPr="00753E0D">
              <w:rPr>
                <w:rFonts w:ascii="標楷體" w:eastAsia="標楷體" w:hAnsi="標楷體" w:hint="eastAsia"/>
                <w:spacing w:val="-20"/>
                <w:kern w:val="0"/>
                <w:szCs w:val="22"/>
              </w:rPr>
              <w:t>5黨團</w:t>
            </w:r>
            <w:r w:rsidRPr="00753E0D">
              <w:rPr>
                <w:rFonts w:ascii="標楷體" w:eastAsia="標楷體" w:hAnsi="標楷體" w:hint="eastAsia"/>
                <w:spacing w:val="-20"/>
                <w:kern w:val="0"/>
                <w:szCs w:val="22"/>
              </w:rPr>
              <w:lastRenderedPageBreak/>
              <w:t>協商。</w:t>
            </w:r>
          </w:p>
          <w:p w14:paraId="2BB470AA"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112.1.</w:t>
            </w:r>
            <w:r w:rsidRPr="00753E0D">
              <w:rPr>
                <w:rFonts w:ascii="標楷體" w:eastAsia="標楷體" w:hAnsi="標楷體" w:hint="eastAsia"/>
                <w:spacing w:val="-20"/>
                <w:kern w:val="0"/>
                <w:szCs w:val="22"/>
              </w:rPr>
              <w:t>11黨團協商。</w:t>
            </w:r>
          </w:p>
        </w:tc>
        <w:tc>
          <w:tcPr>
            <w:tcW w:w="1387" w:type="dxa"/>
            <w:vMerge w:val="restart"/>
          </w:tcPr>
          <w:p w14:paraId="4452F13D"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lastRenderedPageBreak/>
              <w:t>院會</w:t>
            </w:r>
          </w:p>
          <w:p w14:paraId="3CFD95F0"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w:t>
            </w:r>
            <w:r w:rsidRPr="00753E0D">
              <w:rPr>
                <w:rFonts w:ascii="標楷體" w:eastAsia="標楷體" w:hAnsi="標楷體" w:hint="eastAsia"/>
                <w:spacing w:val="-20"/>
                <w:kern w:val="0"/>
                <w:szCs w:val="22"/>
              </w:rPr>
              <w:t>12</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w:t>
            </w:r>
            <w:r w:rsidRPr="00753E0D">
              <w:rPr>
                <w:rFonts w:ascii="標楷體" w:eastAsia="標楷體" w:hAnsi="標楷體" w:hint="eastAsia"/>
                <w:spacing w:val="-20"/>
                <w:kern w:val="0"/>
                <w:szCs w:val="22"/>
              </w:rPr>
              <w:t>1</w:t>
            </w:r>
            <w:r w:rsidRPr="00753E0D">
              <w:rPr>
                <w:rFonts w:ascii="標楷體" w:eastAsia="標楷體" w:hAnsi="標楷體"/>
                <w:spacing w:val="-20"/>
                <w:kern w:val="0"/>
                <w:szCs w:val="22"/>
              </w:rPr>
              <w:t>9</w:t>
            </w:r>
          </w:p>
          <w:p w14:paraId="676DFDCA"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spacing w:val="-20"/>
                <w:kern w:val="0"/>
                <w:szCs w:val="22"/>
              </w:rPr>
              <w:t>(10-</w:t>
            </w:r>
            <w:r w:rsidRPr="00753E0D">
              <w:rPr>
                <w:rFonts w:ascii="標楷體" w:eastAsia="標楷體" w:hAnsi="標楷體" w:hint="eastAsia"/>
                <w:spacing w:val="-20"/>
                <w:kern w:val="0"/>
                <w:szCs w:val="22"/>
              </w:rPr>
              <w:t>6</w:t>
            </w:r>
            <w:r w:rsidRPr="00753E0D">
              <w:rPr>
                <w:rFonts w:ascii="標楷體" w:eastAsia="標楷體" w:hAnsi="標楷體"/>
                <w:spacing w:val="-20"/>
                <w:kern w:val="0"/>
                <w:szCs w:val="22"/>
              </w:rPr>
              <w:t>-16)</w:t>
            </w:r>
            <w:r w:rsidRPr="00753E0D">
              <w:rPr>
                <w:rFonts w:ascii="標楷體" w:eastAsia="標楷體" w:hAnsi="標楷體" w:hint="eastAsia"/>
                <w:spacing w:val="-20"/>
                <w:kern w:val="0"/>
                <w:szCs w:val="22"/>
              </w:rPr>
              <w:t xml:space="preserve"> </w:t>
            </w:r>
          </w:p>
          <w:p w14:paraId="01AE13EA" w14:textId="77777777" w:rsidR="00EB3514" w:rsidRPr="00753E0D" w:rsidRDefault="00EB3514" w:rsidP="00EC13B7">
            <w:pPr>
              <w:kinsoku w:val="0"/>
              <w:overflowPunct w:val="0"/>
              <w:spacing w:line="300" w:lineRule="exact"/>
              <w:rPr>
                <w:rFonts w:ascii="標楷體" w:eastAsia="標楷體" w:hAnsi="標楷體"/>
                <w:spacing w:val="-20"/>
                <w:kern w:val="0"/>
                <w:szCs w:val="22"/>
              </w:rPr>
            </w:pPr>
            <w:r w:rsidRPr="00753E0D">
              <w:rPr>
                <w:rFonts w:ascii="標楷體" w:eastAsia="標楷體" w:hAnsi="標楷體" w:hint="eastAsia"/>
                <w:spacing w:val="-20"/>
                <w:kern w:val="0"/>
                <w:szCs w:val="22"/>
              </w:rPr>
              <w:t>三讀修正第二十二條條文</w:t>
            </w:r>
          </w:p>
        </w:tc>
        <w:tc>
          <w:tcPr>
            <w:tcW w:w="1683" w:type="dxa"/>
            <w:vMerge w:val="restart"/>
            <w:tcBorders>
              <w:top w:val="single" w:sz="2" w:space="0" w:color="auto"/>
            </w:tcBorders>
          </w:tcPr>
          <w:p w14:paraId="17E9873F" w14:textId="77777777" w:rsidR="0000263C" w:rsidRDefault="0000263C" w:rsidP="0000263C">
            <w:pPr>
              <w:kinsoku w:val="0"/>
              <w:overflowPunct w:val="0"/>
              <w:spacing w:line="300" w:lineRule="exact"/>
              <w:rPr>
                <w:rFonts w:ascii="標楷體" w:eastAsia="標楷體" w:hAnsi="標楷體"/>
                <w:color w:val="000000" w:themeColor="text1"/>
                <w:spacing w:val="-20"/>
                <w:szCs w:val="22"/>
              </w:rPr>
            </w:pPr>
            <w:r>
              <w:rPr>
                <w:rFonts w:ascii="標楷體" w:eastAsia="標楷體" w:hAnsi="標楷體" w:hint="eastAsia"/>
                <w:color w:val="000000" w:themeColor="text1"/>
                <w:spacing w:val="-20"/>
              </w:rPr>
              <w:t>112年2月6日 台立院議字第1120700190號</w:t>
            </w:r>
          </w:p>
          <w:p w14:paraId="74F640AB" w14:textId="77777777" w:rsidR="0000263C" w:rsidRDefault="0000263C" w:rsidP="0000263C">
            <w:pPr>
              <w:kinsoku w:val="0"/>
              <w:overflowPunct w:val="0"/>
              <w:spacing w:line="300" w:lineRule="exact"/>
              <w:rPr>
                <w:rFonts w:ascii="標楷體" w:eastAsia="標楷體" w:hAnsi="標楷體"/>
                <w:color w:val="000000" w:themeColor="text1"/>
                <w:spacing w:val="-20"/>
              </w:rPr>
            </w:pPr>
          </w:p>
          <w:p w14:paraId="0E3EB035" w14:textId="261BE216" w:rsidR="00EB3514" w:rsidRPr="00753E0D" w:rsidRDefault="0000263C" w:rsidP="0000263C">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kern w:val="0"/>
              </w:rPr>
              <w:t>112年2月15日華總一義字第11200010671號</w:t>
            </w:r>
          </w:p>
        </w:tc>
        <w:tc>
          <w:tcPr>
            <w:tcW w:w="1105" w:type="dxa"/>
            <w:vMerge w:val="restart"/>
            <w:tcBorders>
              <w:top w:val="single" w:sz="2" w:space="0" w:color="auto"/>
            </w:tcBorders>
          </w:tcPr>
          <w:p w14:paraId="15FA9D94" w14:textId="46B9337B" w:rsidR="00EB3514" w:rsidRPr="00753E0D" w:rsidRDefault="0000263C" w:rsidP="0000263C">
            <w:pPr>
              <w:kinsoku w:val="0"/>
              <w:overflowPunct w:val="0"/>
              <w:spacing w:line="300" w:lineRule="exact"/>
              <w:ind w:leftChars="-34" w:left="-2" w:hangingChars="40" w:hanging="80"/>
              <w:rPr>
                <w:rFonts w:ascii="標楷體" w:eastAsia="標楷體" w:hAnsi="標楷體"/>
                <w:color w:val="000000"/>
                <w:spacing w:val="-20"/>
                <w:szCs w:val="22"/>
              </w:rPr>
            </w:pPr>
            <w:r>
              <w:rPr>
                <w:rFonts w:ascii="標楷體" w:eastAsia="標楷體" w:hAnsi="標楷體" w:hint="eastAsia"/>
                <w:color w:val="000000" w:themeColor="text1"/>
                <w:spacing w:val="-20"/>
                <w:kern w:val="0"/>
              </w:rPr>
              <w:t>第7646號</w:t>
            </w:r>
          </w:p>
        </w:tc>
      </w:tr>
      <w:tr w:rsidR="00EB3514" w:rsidRPr="00753E0D" w14:paraId="49E10936" w14:textId="77777777" w:rsidTr="00EC13B7">
        <w:trPr>
          <w:trHeight w:val="600"/>
        </w:trPr>
        <w:tc>
          <w:tcPr>
            <w:tcW w:w="511" w:type="dxa"/>
          </w:tcPr>
          <w:p w14:paraId="0DCDAA19"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10</w:t>
            </w:r>
          </w:p>
        </w:tc>
        <w:tc>
          <w:tcPr>
            <w:tcW w:w="1111" w:type="dxa"/>
          </w:tcPr>
          <w:p w14:paraId="26032F9D"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2.公務人員任用法第二十二條條文修正草案</w:t>
            </w:r>
          </w:p>
        </w:tc>
        <w:tc>
          <w:tcPr>
            <w:tcW w:w="1545" w:type="dxa"/>
          </w:tcPr>
          <w:p w14:paraId="63466C28"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委員蔡易餘等23人 110.11.12 </w:t>
            </w:r>
          </w:p>
          <w:p w14:paraId="1FB0175F" w14:textId="77777777" w:rsidR="00EB3514" w:rsidRPr="00753E0D" w:rsidRDefault="00EB3514" w:rsidP="00EC13B7">
            <w:pPr>
              <w:adjustRightInd w:val="0"/>
              <w:snapToGrid w:val="0"/>
              <w:spacing w:line="260" w:lineRule="exact"/>
              <w:rPr>
                <w:rFonts w:ascii="標楷體" w:eastAsia="標楷體" w:hAnsi="標楷體"/>
                <w:color w:val="000000"/>
                <w:kern w:val="0"/>
                <w:szCs w:val="22"/>
              </w:rPr>
            </w:pPr>
            <w:r w:rsidRPr="00753E0D">
              <w:rPr>
                <w:rFonts w:ascii="標楷體" w:eastAsia="標楷體" w:hAnsi="標楷體"/>
                <w:kern w:val="0"/>
                <w:szCs w:val="22"/>
              </w:rPr>
              <w:t>（10-4-9）</w:t>
            </w:r>
          </w:p>
        </w:tc>
        <w:tc>
          <w:tcPr>
            <w:tcW w:w="1536" w:type="dxa"/>
            <w:vMerge/>
          </w:tcPr>
          <w:p w14:paraId="417D4D03"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7F003A16"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683" w:type="dxa"/>
            <w:vMerge/>
          </w:tcPr>
          <w:p w14:paraId="46C16191"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c>
          <w:tcPr>
            <w:tcW w:w="1105" w:type="dxa"/>
            <w:vMerge/>
          </w:tcPr>
          <w:p w14:paraId="03C8D005"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2492E621" w14:textId="77777777" w:rsidTr="00EC13B7">
        <w:trPr>
          <w:trHeight w:val="600"/>
        </w:trPr>
        <w:tc>
          <w:tcPr>
            <w:tcW w:w="511" w:type="dxa"/>
          </w:tcPr>
          <w:p w14:paraId="592B3BB3"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11</w:t>
            </w:r>
          </w:p>
        </w:tc>
        <w:tc>
          <w:tcPr>
            <w:tcW w:w="1111" w:type="dxa"/>
          </w:tcPr>
          <w:p w14:paraId="6A9E2F1F"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3.公務人員任用法第二十二條條文修正草案</w:t>
            </w:r>
          </w:p>
        </w:tc>
        <w:tc>
          <w:tcPr>
            <w:tcW w:w="1545" w:type="dxa"/>
          </w:tcPr>
          <w:p w14:paraId="5182A415"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hint="eastAsia"/>
                <w:kern w:val="0"/>
                <w:szCs w:val="22"/>
              </w:rPr>
              <w:t>委員鄭天財</w:t>
            </w:r>
          </w:p>
          <w:p w14:paraId="1BDDA215"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hint="eastAsia"/>
                <w:kern w:val="0"/>
                <w:szCs w:val="22"/>
              </w:rPr>
              <w:t>Sra Kacaw</w:t>
            </w:r>
          </w:p>
          <w:p w14:paraId="209FBB0D"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hint="eastAsia"/>
                <w:kern w:val="0"/>
                <w:szCs w:val="22"/>
              </w:rPr>
              <w:t xml:space="preserve">等17人 111.10.28 </w:t>
            </w:r>
          </w:p>
          <w:p w14:paraId="2AD796C6" w14:textId="77777777" w:rsidR="00EB3514" w:rsidRPr="00753E0D" w:rsidRDefault="00EB3514" w:rsidP="00EC13B7">
            <w:pPr>
              <w:adjustRightInd w:val="0"/>
              <w:snapToGrid w:val="0"/>
              <w:spacing w:line="260" w:lineRule="exact"/>
              <w:rPr>
                <w:rFonts w:ascii="標楷體" w:eastAsia="標楷體" w:hAnsi="標楷體"/>
                <w:color w:val="000000"/>
                <w:kern w:val="0"/>
                <w:szCs w:val="22"/>
              </w:rPr>
            </w:pPr>
            <w:r w:rsidRPr="00753E0D">
              <w:rPr>
                <w:rFonts w:ascii="標楷體" w:eastAsia="標楷體" w:hAnsi="標楷體" w:hint="eastAsia"/>
                <w:kern w:val="0"/>
                <w:szCs w:val="22"/>
              </w:rPr>
              <w:t>（10-6-5）</w:t>
            </w:r>
          </w:p>
        </w:tc>
        <w:tc>
          <w:tcPr>
            <w:tcW w:w="1536" w:type="dxa"/>
            <w:vMerge/>
          </w:tcPr>
          <w:p w14:paraId="2BBFF47C"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7E13089E"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683" w:type="dxa"/>
            <w:vMerge/>
          </w:tcPr>
          <w:p w14:paraId="3B3E91DB"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c>
          <w:tcPr>
            <w:tcW w:w="1105" w:type="dxa"/>
            <w:vMerge/>
          </w:tcPr>
          <w:p w14:paraId="6A6E4D28"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339487F4" w14:textId="77777777" w:rsidTr="00EC13B7">
        <w:trPr>
          <w:trHeight w:val="600"/>
        </w:trPr>
        <w:tc>
          <w:tcPr>
            <w:tcW w:w="511" w:type="dxa"/>
          </w:tcPr>
          <w:p w14:paraId="3293375D"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12</w:t>
            </w:r>
          </w:p>
        </w:tc>
        <w:tc>
          <w:tcPr>
            <w:tcW w:w="1111" w:type="dxa"/>
          </w:tcPr>
          <w:p w14:paraId="54BFA72D"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4.</w:t>
            </w:r>
            <w:r w:rsidRPr="00753E0D">
              <w:rPr>
                <w:rFonts w:ascii="標楷體" w:eastAsia="標楷體" w:hAnsi="標楷體"/>
                <w:color w:val="000000"/>
                <w:kern w:val="0"/>
                <w:szCs w:val="22"/>
              </w:rPr>
              <w:t>公務人員任用法增訂第十八條之二條文草案</w:t>
            </w:r>
          </w:p>
        </w:tc>
        <w:tc>
          <w:tcPr>
            <w:tcW w:w="1545" w:type="dxa"/>
          </w:tcPr>
          <w:p w14:paraId="577D529F"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委員許智傑等18人 110.12.24 </w:t>
            </w:r>
          </w:p>
          <w:p w14:paraId="7DD77F77" w14:textId="77777777" w:rsidR="00EB3514" w:rsidRPr="00753E0D" w:rsidRDefault="00EB3514" w:rsidP="00EC13B7">
            <w:pPr>
              <w:adjustRightInd w:val="0"/>
              <w:snapToGrid w:val="0"/>
              <w:spacing w:line="260" w:lineRule="exact"/>
              <w:rPr>
                <w:rFonts w:ascii="標楷體" w:eastAsia="標楷體" w:hAnsi="標楷體"/>
                <w:color w:val="000000"/>
                <w:kern w:val="0"/>
                <w:szCs w:val="22"/>
              </w:rPr>
            </w:pPr>
            <w:r w:rsidRPr="00753E0D">
              <w:rPr>
                <w:rFonts w:ascii="標楷體" w:eastAsia="標楷體" w:hAnsi="標楷體"/>
                <w:kern w:val="0"/>
                <w:szCs w:val="22"/>
              </w:rPr>
              <w:t>（10-4-15）</w:t>
            </w:r>
          </w:p>
        </w:tc>
        <w:tc>
          <w:tcPr>
            <w:tcW w:w="1536" w:type="dxa"/>
            <w:vMerge/>
          </w:tcPr>
          <w:p w14:paraId="4F41F30A"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30159562"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683" w:type="dxa"/>
            <w:vMerge/>
          </w:tcPr>
          <w:p w14:paraId="4710A6C5"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c>
          <w:tcPr>
            <w:tcW w:w="1105" w:type="dxa"/>
            <w:vMerge/>
          </w:tcPr>
          <w:p w14:paraId="64DAA90F"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390ED802" w14:textId="77777777" w:rsidTr="00EC13B7">
        <w:trPr>
          <w:trHeight w:val="600"/>
        </w:trPr>
        <w:tc>
          <w:tcPr>
            <w:tcW w:w="511" w:type="dxa"/>
          </w:tcPr>
          <w:p w14:paraId="64307DDF"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lastRenderedPageBreak/>
              <w:t>13</w:t>
            </w:r>
          </w:p>
        </w:tc>
        <w:tc>
          <w:tcPr>
            <w:tcW w:w="1111" w:type="dxa"/>
          </w:tcPr>
          <w:p w14:paraId="3359B2DF"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5</w:t>
            </w:r>
            <w:r w:rsidRPr="00753E0D">
              <w:rPr>
                <w:rFonts w:ascii="標楷體" w:eastAsia="標楷體" w:hAnsi="標楷體"/>
                <w:color w:val="000000"/>
                <w:kern w:val="0"/>
                <w:szCs w:val="22"/>
              </w:rPr>
              <w:t>.公務人員任用法第二十八條條文修正草案</w:t>
            </w:r>
          </w:p>
        </w:tc>
        <w:tc>
          <w:tcPr>
            <w:tcW w:w="1545" w:type="dxa"/>
          </w:tcPr>
          <w:p w14:paraId="132FED35"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委員王定宇等19人 111.04.08 </w:t>
            </w:r>
          </w:p>
          <w:p w14:paraId="30ABB5B7" w14:textId="77777777" w:rsidR="00EB3514" w:rsidRPr="00753E0D" w:rsidRDefault="00EB3514" w:rsidP="00EC13B7">
            <w:pPr>
              <w:adjustRightInd w:val="0"/>
              <w:snapToGrid w:val="0"/>
              <w:spacing w:line="260" w:lineRule="exact"/>
              <w:rPr>
                <w:rFonts w:ascii="標楷體" w:eastAsia="標楷體" w:hAnsi="標楷體"/>
                <w:color w:val="000000"/>
                <w:kern w:val="0"/>
                <w:szCs w:val="22"/>
              </w:rPr>
            </w:pPr>
            <w:r w:rsidRPr="00753E0D">
              <w:rPr>
                <w:rFonts w:ascii="標楷體" w:eastAsia="標楷體" w:hAnsi="標楷體"/>
                <w:kern w:val="0"/>
                <w:szCs w:val="22"/>
              </w:rPr>
              <w:t>（10-5-7）</w:t>
            </w:r>
          </w:p>
        </w:tc>
        <w:tc>
          <w:tcPr>
            <w:tcW w:w="1536" w:type="dxa"/>
            <w:vMerge/>
          </w:tcPr>
          <w:p w14:paraId="4666EE71"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75D65165"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683" w:type="dxa"/>
            <w:vMerge/>
          </w:tcPr>
          <w:p w14:paraId="39FD828F"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c>
          <w:tcPr>
            <w:tcW w:w="1105" w:type="dxa"/>
            <w:vMerge/>
          </w:tcPr>
          <w:p w14:paraId="4D866CF5"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3A317CDA" w14:textId="77777777" w:rsidTr="00EC13B7">
        <w:trPr>
          <w:trHeight w:val="600"/>
        </w:trPr>
        <w:tc>
          <w:tcPr>
            <w:tcW w:w="511" w:type="dxa"/>
          </w:tcPr>
          <w:p w14:paraId="098198E0"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14</w:t>
            </w:r>
          </w:p>
        </w:tc>
        <w:tc>
          <w:tcPr>
            <w:tcW w:w="1111" w:type="dxa"/>
          </w:tcPr>
          <w:p w14:paraId="4BD27C2D"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hint="eastAsia"/>
                <w:color w:val="000000"/>
                <w:kern w:val="0"/>
                <w:szCs w:val="22"/>
              </w:rPr>
              <w:t>6</w:t>
            </w:r>
            <w:r w:rsidRPr="00753E0D">
              <w:rPr>
                <w:rFonts w:ascii="標楷體" w:eastAsia="標楷體" w:hAnsi="標楷體"/>
                <w:color w:val="000000"/>
                <w:kern w:val="0"/>
                <w:szCs w:val="22"/>
              </w:rPr>
              <w:t>.公務人員任用法第二十八條條文修正草案</w:t>
            </w:r>
          </w:p>
        </w:tc>
        <w:tc>
          <w:tcPr>
            <w:tcW w:w="1545" w:type="dxa"/>
          </w:tcPr>
          <w:p w14:paraId="64F2AA07"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kern w:val="0"/>
                <w:szCs w:val="22"/>
              </w:rPr>
              <w:t xml:space="preserve">台灣民眾黨黨團 111.09.23 </w:t>
            </w:r>
          </w:p>
          <w:p w14:paraId="4C71CD06" w14:textId="77777777" w:rsidR="00EB3514" w:rsidRPr="00753E0D" w:rsidRDefault="00EB3514" w:rsidP="00EC13B7">
            <w:pPr>
              <w:adjustRightInd w:val="0"/>
              <w:snapToGrid w:val="0"/>
              <w:spacing w:line="260" w:lineRule="exact"/>
              <w:rPr>
                <w:rFonts w:ascii="標楷體" w:eastAsia="標楷體" w:hAnsi="標楷體"/>
                <w:color w:val="000000"/>
                <w:kern w:val="0"/>
                <w:szCs w:val="22"/>
              </w:rPr>
            </w:pPr>
            <w:r w:rsidRPr="00753E0D">
              <w:rPr>
                <w:rFonts w:ascii="標楷體" w:eastAsia="標楷體" w:hAnsi="標楷體"/>
                <w:kern w:val="0"/>
                <w:szCs w:val="22"/>
              </w:rPr>
              <w:t>（10-6-1）</w:t>
            </w:r>
          </w:p>
        </w:tc>
        <w:tc>
          <w:tcPr>
            <w:tcW w:w="1536" w:type="dxa"/>
            <w:vMerge/>
          </w:tcPr>
          <w:p w14:paraId="44D32A08"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7400605A"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683" w:type="dxa"/>
            <w:vMerge/>
          </w:tcPr>
          <w:p w14:paraId="4D7D48AB"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c>
          <w:tcPr>
            <w:tcW w:w="1105" w:type="dxa"/>
            <w:vMerge/>
          </w:tcPr>
          <w:p w14:paraId="5A599838"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r w:rsidR="00EB3514" w:rsidRPr="00753E0D" w14:paraId="52CCB4BC" w14:textId="77777777" w:rsidTr="00EC13B7">
        <w:trPr>
          <w:trHeight w:val="600"/>
        </w:trPr>
        <w:tc>
          <w:tcPr>
            <w:tcW w:w="511" w:type="dxa"/>
          </w:tcPr>
          <w:p w14:paraId="178F8F3D" w14:textId="77777777" w:rsidR="00EB3514" w:rsidRPr="00753E0D" w:rsidRDefault="00EB3514" w:rsidP="00EC13B7">
            <w:pPr>
              <w:kinsoku w:val="0"/>
              <w:overflowPunct w:val="0"/>
              <w:spacing w:line="300" w:lineRule="exact"/>
              <w:jc w:val="center"/>
              <w:rPr>
                <w:rFonts w:ascii="標楷體" w:eastAsia="標楷體" w:hAnsi="標楷體"/>
                <w:color w:val="000000"/>
                <w:spacing w:val="-20"/>
                <w:szCs w:val="22"/>
              </w:rPr>
            </w:pPr>
            <w:r w:rsidRPr="00753E0D">
              <w:rPr>
                <w:rFonts w:ascii="標楷體" w:eastAsia="標楷體" w:hAnsi="標楷體" w:hint="eastAsia"/>
                <w:color w:val="000000"/>
                <w:spacing w:val="-20"/>
                <w:szCs w:val="22"/>
              </w:rPr>
              <w:t>15</w:t>
            </w:r>
          </w:p>
        </w:tc>
        <w:tc>
          <w:tcPr>
            <w:tcW w:w="1111" w:type="dxa"/>
          </w:tcPr>
          <w:p w14:paraId="7976DB0B" w14:textId="77777777" w:rsidR="00EB3514" w:rsidRPr="00753E0D" w:rsidRDefault="00EB3514" w:rsidP="00EC13B7">
            <w:pPr>
              <w:kinsoku w:val="0"/>
              <w:overflowPunct w:val="0"/>
              <w:spacing w:line="300" w:lineRule="exact"/>
              <w:ind w:rightChars="-45" w:right="-108"/>
              <w:rPr>
                <w:rFonts w:ascii="標楷體" w:eastAsia="標楷體" w:hAnsi="標楷體"/>
                <w:color w:val="000000"/>
                <w:kern w:val="0"/>
                <w:szCs w:val="22"/>
              </w:rPr>
            </w:pPr>
            <w:r w:rsidRPr="00753E0D">
              <w:rPr>
                <w:rFonts w:ascii="標楷體" w:eastAsia="標楷體" w:hAnsi="標楷體"/>
                <w:color w:val="000000"/>
                <w:kern w:val="0"/>
                <w:szCs w:val="22"/>
              </w:rPr>
              <w:t>7.公務人員任用法第二十八條條文修正草案</w:t>
            </w:r>
          </w:p>
        </w:tc>
        <w:tc>
          <w:tcPr>
            <w:tcW w:w="1545" w:type="dxa"/>
          </w:tcPr>
          <w:p w14:paraId="5FBE2490" w14:textId="77777777" w:rsidR="00EB3514" w:rsidRPr="00753E0D" w:rsidRDefault="00EB3514" w:rsidP="00EC13B7">
            <w:pPr>
              <w:adjustRightInd w:val="0"/>
              <w:snapToGrid w:val="0"/>
              <w:spacing w:line="260" w:lineRule="exact"/>
              <w:rPr>
                <w:rFonts w:ascii="標楷體" w:eastAsia="標楷體" w:hAnsi="標楷體"/>
                <w:kern w:val="0"/>
                <w:szCs w:val="22"/>
              </w:rPr>
            </w:pPr>
            <w:r w:rsidRPr="00753E0D">
              <w:rPr>
                <w:rFonts w:ascii="標楷體" w:eastAsia="標楷體" w:hAnsi="標楷體"/>
                <w:color w:val="000000"/>
                <w:spacing w:val="-20"/>
                <w:kern w:val="0"/>
                <w:szCs w:val="22"/>
              </w:rPr>
              <w:t xml:space="preserve">時代力量黨團 </w:t>
            </w:r>
            <w:r w:rsidRPr="00753E0D">
              <w:rPr>
                <w:rFonts w:ascii="標楷體" w:eastAsia="標楷體" w:hAnsi="標楷體"/>
                <w:kern w:val="0"/>
                <w:szCs w:val="22"/>
              </w:rPr>
              <w:t xml:space="preserve">111.11.11 </w:t>
            </w:r>
          </w:p>
          <w:p w14:paraId="1C8D93FD" w14:textId="77777777" w:rsidR="00EB3514" w:rsidRPr="00753E0D" w:rsidRDefault="00EB3514" w:rsidP="00EC13B7">
            <w:pPr>
              <w:adjustRightInd w:val="0"/>
              <w:snapToGrid w:val="0"/>
              <w:spacing w:line="260" w:lineRule="exact"/>
              <w:rPr>
                <w:rFonts w:ascii="標楷體" w:eastAsia="標楷體" w:hAnsi="標楷體"/>
                <w:color w:val="000000"/>
                <w:kern w:val="0"/>
                <w:szCs w:val="22"/>
              </w:rPr>
            </w:pPr>
            <w:r w:rsidRPr="00753E0D">
              <w:rPr>
                <w:rFonts w:ascii="標楷體" w:eastAsia="標楷體" w:hAnsi="標楷體"/>
                <w:kern w:val="0"/>
                <w:szCs w:val="22"/>
              </w:rPr>
              <w:t>（10-6-7）</w:t>
            </w:r>
          </w:p>
        </w:tc>
        <w:tc>
          <w:tcPr>
            <w:tcW w:w="1536" w:type="dxa"/>
            <w:vMerge/>
          </w:tcPr>
          <w:p w14:paraId="7E73050F" w14:textId="77777777" w:rsidR="00EB3514" w:rsidRPr="00753E0D" w:rsidRDefault="00EB3514"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1D95FA7A" w14:textId="77777777" w:rsidR="00EB3514" w:rsidRPr="00753E0D" w:rsidRDefault="00EB3514" w:rsidP="00EC13B7">
            <w:pPr>
              <w:kinsoku w:val="0"/>
              <w:overflowPunct w:val="0"/>
              <w:spacing w:line="300" w:lineRule="exact"/>
              <w:rPr>
                <w:rFonts w:ascii="標楷體" w:eastAsia="標楷體" w:hAnsi="標楷體"/>
                <w:spacing w:val="-20"/>
                <w:kern w:val="0"/>
                <w:szCs w:val="22"/>
              </w:rPr>
            </w:pPr>
          </w:p>
        </w:tc>
        <w:tc>
          <w:tcPr>
            <w:tcW w:w="1683" w:type="dxa"/>
            <w:vMerge/>
          </w:tcPr>
          <w:p w14:paraId="1DB6CEB3"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c>
          <w:tcPr>
            <w:tcW w:w="1105" w:type="dxa"/>
            <w:vMerge/>
          </w:tcPr>
          <w:p w14:paraId="09245B3C" w14:textId="77777777" w:rsidR="00EB3514" w:rsidRPr="00753E0D" w:rsidRDefault="00EB3514" w:rsidP="00EC13B7">
            <w:pPr>
              <w:kinsoku w:val="0"/>
              <w:overflowPunct w:val="0"/>
              <w:spacing w:line="300" w:lineRule="exact"/>
              <w:rPr>
                <w:rFonts w:ascii="標楷體" w:eastAsia="標楷體" w:hAnsi="標楷體"/>
                <w:color w:val="000000"/>
                <w:spacing w:val="-20"/>
                <w:szCs w:val="22"/>
              </w:rPr>
            </w:pPr>
          </w:p>
        </w:tc>
      </w:tr>
    </w:tbl>
    <w:p w14:paraId="123E6305" w14:textId="77777777" w:rsidR="00EB3514" w:rsidRPr="00753E0D" w:rsidRDefault="00EB3514" w:rsidP="004743D0">
      <w:pPr>
        <w:pStyle w:val="afffffc"/>
        <w:kinsoku w:val="0"/>
        <w:overflowPunct w:val="0"/>
        <w:spacing w:beforeLines="100" w:before="360" w:afterLines="100" w:after="360" w:line="260" w:lineRule="exact"/>
        <w:ind w:leftChars="472" w:left="1133"/>
        <w:rPr>
          <w:bCs w:val="0"/>
          <w:color w:val="000000" w:themeColor="text1"/>
        </w:rPr>
      </w:pPr>
      <w:bookmarkStart w:id="116" w:name="_Hlk125846013"/>
      <w:r w:rsidRPr="00753E0D">
        <w:rPr>
          <w:rFonts w:hint="eastAsia"/>
          <w:bCs w:val="0"/>
          <w:color w:val="000000" w:themeColor="text1"/>
        </w:rPr>
        <w:t>(二)待院會審議之議案9案</w:t>
      </w:r>
      <w:bookmarkEnd w:id="113"/>
    </w:p>
    <w:tbl>
      <w:tblPr>
        <w:tblW w:w="8483" w:type="dxa"/>
        <w:tblInd w:w="108"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09"/>
        <w:gridCol w:w="1909"/>
        <w:gridCol w:w="1918"/>
        <w:gridCol w:w="2085"/>
        <w:gridCol w:w="1862"/>
      </w:tblGrid>
      <w:tr w:rsidR="00EB3514" w:rsidRPr="00753E0D" w14:paraId="41F68F10" w14:textId="77777777" w:rsidTr="00EC13B7">
        <w:tc>
          <w:tcPr>
            <w:tcW w:w="709" w:type="dxa"/>
          </w:tcPr>
          <w:bookmarkEnd w:id="116"/>
          <w:p w14:paraId="7E697EAB"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序號</w:t>
            </w:r>
          </w:p>
        </w:tc>
        <w:tc>
          <w:tcPr>
            <w:tcW w:w="1909" w:type="dxa"/>
          </w:tcPr>
          <w:p w14:paraId="302D6DBE"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議案名稱</w:t>
            </w:r>
          </w:p>
        </w:tc>
        <w:tc>
          <w:tcPr>
            <w:tcW w:w="1918" w:type="dxa"/>
          </w:tcPr>
          <w:p w14:paraId="59D7E32B"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提案委員或機關</w:t>
            </w:r>
          </w:p>
          <w:p w14:paraId="4A32DDF5"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院會交付日期</w:t>
            </w:r>
          </w:p>
          <w:p w14:paraId="1C79EB14"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（會次）</w:t>
            </w:r>
          </w:p>
        </w:tc>
        <w:tc>
          <w:tcPr>
            <w:tcW w:w="2085" w:type="dxa"/>
          </w:tcPr>
          <w:p w14:paraId="0C3C2766"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審查委員會</w:t>
            </w:r>
          </w:p>
          <w:p w14:paraId="7AC03251"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院會說明人</w:t>
            </w:r>
          </w:p>
        </w:tc>
        <w:tc>
          <w:tcPr>
            <w:tcW w:w="1862" w:type="dxa"/>
          </w:tcPr>
          <w:p w14:paraId="3A574B75"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rPr>
            </w:pPr>
            <w:r w:rsidRPr="00753E0D">
              <w:rPr>
                <w:rFonts w:ascii="標楷體" w:eastAsia="標楷體" w:hAnsi="標楷體"/>
                <w:b/>
                <w:color w:val="000000"/>
              </w:rPr>
              <w:t>審查情形</w:t>
            </w:r>
          </w:p>
        </w:tc>
      </w:tr>
      <w:tr w:rsidR="00EB3514" w:rsidRPr="00753E0D" w14:paraId="63410CB3" w14:textId="77777777" w:rsidTr="00EC13B7">
        <w:trPr>
          <w:trHeight w:val="1333"/>
        </w:trPr>
        <w:tc>
          <w:tcPr>
            <w:tcW w:w="709" w:type="dxa"/>
          </w:tcPr>
          <w:p w14:paraId="2ADB1E33"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1</w:t>
            </w:r>
          </w:p>
        </w:tc>
        <w:tc>
          <w:tcPr>
            <w:tcW w:w="1909" w:type="dxa"/>
          </w:tcPr>
          <w:p w14:paraId="332245A6"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1.憲法訴訟法部分條文修正草案</w:t>
            </w:r>
          </w:p>
        </w:tc>
        <w:tc>
          <w:tcPr>
            <w:tcW w:w="1918" w:type="dxa"/>
          </w:tcPr>
          <w:p w14:paraId="44D6B0D8"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司法院 111.09.23 </w:t>
            </w:r>
          </w:p>
          <w:p w14:paraId="7B4B2981"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（10-6-1）</w:t>
            </w:r>
          </w:p>
        </w:tc>
        <w:tc>
          <w:tcPr>
            <w:tcW w:w="2085" w:type="dxa"/>
            <w:vMerge w:val="restart"/>
          </w:tcPr>
          <w:p w14:paraId="0D842E4E"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司法及法制</w:t>
            </w:r>
          </w:p>
          <w:p w14:paraId="22F1244E" w14:textId="77777777" w:rsidR="00EB3514" w:rsidRPr="00753E0D" w:rsidRDefault="00EB3514" w:rsidP="00EC13B7">
            <w:pPr>
              <w:rPr>
                <w:rFonts w:ascii="標楷體" w:hAnsi="標楷體"/>
              </w:rPr>
            </w:pPr>
            <w:r w:rsidRPr="00753E0D">
              <w:rPr>
                <w:rFonts w:ascii="標楷體" w:eastAsia="標楷體" w:hAnsi="標楷體" w:hint="eastAsia"/>
                <w:color w:val="000000"/>
                <w:kern w:val="0"/>
              </w:rPr>
              <w:t>陳召集委員歐珀</w:t>
            </w:r>
          </w:p>
        </w:tc>
        <w:tc>
          <w:tcPr>
            <w:tcW w:w="1862" w:type="dxa"/>
            <w:vMerge w:val="restart"/>
          </w:tcPr>
          <w:p w14:paraId="180A8022" w14:textId="77777777" w:rsidR="00EB3514" w:rsidRPr="00753E0D" w:rsidRDefault="00EB3514"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753E0D">
              <w:rPr>
                <w:rFonts w:ascii="標楷體" w:eastAsia="標楷體" w:hAnsi="標楷體" w:hint="eastAsia"/>
                <w:color w:val="000000"/>
                <w:kern w:val="0"/>
              </w:rPr>
              <w:t>1.第1-5案</w:t>
            </w:r>
          </w:p>
          <w:p w14:paraId="65E249E1" w14:textId="77777777" w:rsidR="00EB3514" w:rsidRPr="00753E0D" w:rsidRDefault="00EB3514" w:rsidP="00EC13B7">
            <w:pPr>
              <w:kinsoku w:val="0"/>
              <w:wordWrap w:val="0"/>
              <w:adjustRightInd w:val="0"/>
              <w:snapToGrid w:val="0"/>
              <w:spacing w:line="300" w:lineRule="exact"/>
              <w:ind w:leftChars="92" w:left="238" w:hangingChars="7" w:hanging="17"/>
              <w:jc w:val="both"/>
              <w:rPr>
                <w:rFonts w:ascii="標楷體" w:eastAsia="標楷體" w:hAnsi="標楷體"/>
                <w:color w:val="000000"/>
                <w:kern w:val="0"/>
              </w:rPr>
            </w:pPr>
            <w:r w:rsidRPr="00753E0D">
              <w:rPr>
                <w:rFonts w:ascii="標楷體" w:eastAsia="標楷體" w:hAnsi="標楷體"/>
                <w:color w:val="000000"/>
                <w:kern w:val="0"/>
              </w:rPr>
              <w:t>本會111.10.19(10-6-7)報告及詢答完畢，另定期繼續審查。</w:t>
            </w:r>
          </w:p>
          <w:p w14:paraId="3539190D" w14:textId="77777777" w:rsidR="00EB3514" w:rsidRPr="00753E0D" w:rsidRDefault="00EB3514"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753E0D">
              <w:rPr>
                <w:rFonts w:ascii="標楷體" w:eastAsia="標楷體" w:hAnsi="標楷體" w:hint="eastAsia"/>
                <w:color w:val="000000"/>
                <w:kern w:val="0"/>
              </w:rPr>
              <w:t>2.第1-5案</w:t>
            </w:r>
          </w:p>
          <w:p w14:paraId="6A82D92B" w14:textId="77777777" w:rsidR="00EB3514" w:rsidRPr="00753E0D" w:rsidRDefault="00EB3514" w:rsidP="00EC13B7">
            <w:pPr>
              <w:kinsoku w:val="0"/>
              <w:wordWrap w:val="0"/>
              <w:adjustRightInd w:val="0"/>
              <w:snapToGrid w:val="0"/>
              <w:spacing w:line="300" w:lineRule="exact"/>
              <w:ind w:leftChars="92" w:left="238" w:hangingChars="7" w:hanging="17"/>
              <w:jc w:val="both"/>
              <w:rPr>
                <w:rFonts w:ascii="標楷體" w:eastAsia="標楷體" w:hAnsi="標楷體"/>
                <w:color w:val="000000"/>
                <w:kern w:val="0"/>
              </w:rPr>
            </w:pPr>
            <w:r w:rsidRPr="00753E0D">
              <w:rPr>
                <w:rFonts w:ascii="標楷體" w:eastAsia="標楷體" w:hAnsi="標楷體"/>
                <w:color w:val="000000"/>
                <w:kern w:val="0"/>
              </w:rPr>
              <w:t>本會111.11.3舉行「憲法訴訟法部分條文修正草案」公聽會。</w:t>
            </w:r>
          </w:p>
          <w:p w14:paraId="38D23178" w14:textId="77777777" w:rsidR="00EB3514" w:rsidRPr="00753E0D" w:rsidRDefault="00EB3514"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753E0D">
              <w:rPr>
                <w:rFonts w:ascii="標楷體" w:eastAsia="標楷體" w:hAnsi="標楷體" w:hint="eastAsia"/>
                <w:color w:val="000000"/>
                <w:kern w:val="0"/>
              </w:rPr>
              <w:t>3.第1-6案</w:t>
            </w:r>
          </w:p>
          <w:p w14:paraId="72C0A32E" w14:textId="77777777" w:rsidR="00EB3514" w:rsidRPr="00753E0D" w:rsidRDefault="00EB3514" w:rsidP="00EC13B7">
            <w:pPr>
              <w:kinsoku w:val="0"/>
              <w:wordWrap w:val="0"/>
              <w:adjustRightInd w:val="0"/>
              <w:snapToGrid w:val="0"/>
              <w:spacing w:line="300" w:lineRule="exact"/>
              <w:ind w:leftChars="92" w:left="238" w:hangingChars="7" w:hanging="17"/>
              <w:jc w:val="both"/>
              <w:rPr>
                <w:rFonts w:ascii="標楷體" w:hAnsi="標楷體"/>
              </w:rPr>
            </w:pPr>
            <w:r w:rsidRPr="00753E0D">
              <w:rPr>
                <w:rFonts w:ascii="標楷體" w:eastAsia="標楷體" w:hAnsi="標楷體" w:hint="eastAsia"/>
                <w:color w:val="000000"/>
                <w:kern w:val="0"/>
              </w:rPr>
              <w:t>本會111.12.28(10-6-29)審查完竣，須交由黨團協商。</w:t>
            </w:r>
          </w:p>
        </w:tc>
      </w:tr>
      <w:tr w:rsidR="00EB3514" w:rsidRPr="00753E0D" w14:paraId="46DCA6AF" w14:textId="77777777" w:rsidTr="00EC13B7">
        <w:trPr>
          <w:trHeight w:val="1333"/>
        </w:trPr>
        <w:tc>
          <w:tcPr>
            <w:tcW w:w="709" w:type="dxa"/>
          </w:tcPr>
          <w:p w14:paraId="51912BEF"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2</w:t>
            </w:r>
          </w:p>
        </w:tc>
        <w:tc>
          <w:tcPr>
            <w:tcW w:w="1909" w:type="dxa"/>
          </w:tcPr>
          <w:p w14:paraId="494F41CC"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2.憲法訴訟法第四十九條及第九十五條條文修正草案</w:t>
            </w:r>
          </w:p>
        </w:tc>
        <w:tc>
          <w:tcPr>
            <w:tcW w:w="1918" w:type="dxa"/>
          </w:tcPr>
          <w:p w14:paraId="009BFE03"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委員鍾佳濱等17人 109.12.04 </w:t>
            </w:r>
          </w:p>
          <w:p w14:paraId="7B6C76D4"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（10-2-6）</w:t>
            </w:r>
          </w:p>
          <w:p w14:paraId="0B1796A2" w14:textId="77777777" w:rsidR="00EB3514" w:rsidRPr="00753E0D" w:rsidRDefault="00EB3514" w:rsidP="00EC13B7">
            <w:pPr>
              <w:kinsoku w:val="0"/>
              <w:topLinePunct/>
              <w:spacing w:line="300" w:lineRule="exact"/>
              <w:rPr>
                <w:rFonts w:ascii="標楷體" w:eastAsia="標楷體" w:hAnsi="標楷體"/>
                <w:color w:val="000000"/>
                <w:kern w:val="0"/>
              </w:rPr>
            </w:pPr>
          </w:p>
        </w:tc>
        <w:tc>
          <w:tcPr>
            <w:tcW w:w="2085" w:type="dxa"/>
            <w:vMerge/>
          </w:tcPr>
          <w:p w14:paraId="22FA8E5C" w14:textId="77777777" w:rsidR="00EB3514" w:rsidRPr="00753E0D" w:rsidRDefault="00EB3514" w:rsidP="00EC13B7">
            <w:pPr>
              <w:rPr>
                <w:rFonts w:ascii="標楷體" w:hAnsi="標楷體"/>
              </w:rPr>
            </w:pPr>
          </w:p>
        </w:tc>
        <w:tc>
          <w:tcPr>
            <w:tcW w:w="1862" w:type="dxa"/>
            <w:vMerge/>
          </w:tcPr>
          <w:p w14:paraId="01341A2B" w14:textId="77777777" w:rsidR="00EB3514" w:rsidRPr="00753E0D" w:rsidRDefault="00EB3514" w:rsidP="00EC13B7">
            <w:pPr>
              <w:rPr>
                <w:rFonts w:ascii="標楷體" w:hAnsi="標楷體"/>
              </w:rPr>
            </w:pPr>
          </w:p>
        </w:tc>
      </w:tr>
      <w:tr w:rsidR="00EB3514" w:rsidRPr="00753E0D" w14:paraId="0C03C627" w14:textId="77777777" w:rsidTr="00EC13B7">
        <w:trPr>
          <w:trHeight w:val="1333"/>
        </w:trPr>
        <w:tc>
          <w:tcPr>
            <w:tcW w:w="709" w:type="dxa"/>
          </w:tcPr>
          <w:p w14:paraId="19F350DC"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3</w:t>
            </w:r>
          </w:p>
        </w:tc>
        <w:tc>
          <w:tcPr>
            <w:tcW w:w="1909" w:type="dxa"/>
          </w:tcPr>
          <w:p w14:paraId="2671B93A"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3.憲法訴訟法部分條文修正草案</w:t>
            </w:r>
          </w:p>
        </w:tc>
        <w:tc>
          <w:tcPr>
            <w:tcW w:w="1918" w:type="dxa"/>
          </w:tcPr>
          <w:p w14:paraId="73DBAD79" w14:textId="6199F763" w:rsidR="00EB3514" w:rsidRPr="00753E0D" w:rsidRDefault="00AB21B5" w:rsidP="00EC13B7">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台灣</w:t>
            </w:r>
            <w:r w:rsidR="00EB3514" w:rsidRPr="00753E0D">
              <w:rPr>
                <w:rFonts w:ascii="標楷體" w:eastAsia="標楷體" w:hAnsi="標楷體"/>
                <w:color w:val="000000"/>
                <w:kern w:val="0"/>
              </w:rPr>
              <w:t xml:space="preserve">民眾黨黨團 110.10.22 </w:t>
            </w:r>
          </w:p>
          <w:p w14:paraId="4D9AFF21"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（10-4-6）</w:t>
            </w:r>
          </w:p>
        </w:tc>
        <w:tc>
          <w:tcPr>
            <w:tcW w:w="2085" w:type="dxa"/>
            <w:vMerge/>
          </w:tcPr>
          <w:p w14:paraId="4E3A7EB6" w14:textId="77777777" w:rsidR="00EB3514" w:rsidRPr="00753E0D" w:rsidRDefault="00EB3514" w:rsidP="00EC13B7">
            <w:pPr>
              <w:rPr>
                <w:rFonts w:ascii="標楷體" w:hAnsi="標楷體"/>
              </w:rPr>
            </w:pPr>
          </w:p>
        </w:tc>
        <w:tc>
          <w:tcPr>
            <w:tcW w:w="1862" w:type="dxa"/>
            <w:vMerge/>
          </w:tcPr>
          <w:p w14:paraId="351BF145" w14:textId="77777777" w:rsidR="00EB3514" w:rsidRPr="00753E0D" w:rsidRDefault="00EB3514" w:rsidP="00EC13B7">
            <w:pPr>
              <w:rPr>
                <w:rFonts w:ascii="標楷體" w:hAnsi="標楷體"/>
              </w:rPr>
            </w:pPr>
          </w:p>
        </w:tc>
      </w:tr>
      <w:tr w:rsidR="00EB3514" w:rsidRPr="00753E0D" w14:paraId="5A95A6FA" w14:textId="77777777" w:rsidTr="00EC13B7">
        <w:trPr>
          <w:trHeight w:val="1333"/>
        </w:trPr>
        <w:tc>
          <w:tcPr>
            <w:tcW w:w="709" w:type="dxa"/>
          </w:tcPr>
          <w:p w14:paraId="07D570BB"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4</w:t>
            </w:r>
          </w:p>
        </w:tc>
        <w:tc>
          <w:tcPr>
            <w:tcW w:w="1909" w:type="dxa"/>
          </w:tcPr>
          <w:p w14:paraId="22527001"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4.憲法訴訟法第五十九條條文修正草案</w:t>
            </w:r>
          </w:p>
        </w:tc>
        <w:tc>
          <w:tcPr>
            <w:tcW w:w="1918" w:type="dxa"/>
          </w:tcPr>
          <w:p w14:paraId="4F9FA76F" w14:textId="1C34736E" w:rsidR="00EB3514" w:rsidRPr="00753E0D" w:rsidRDefault="00AB21B5" w:rsidP="00EC13B7">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台灣</w:t>
            </w:r>
            <w:r w:rsidR="00EB3514" w:rsidRPr="00753E0D">
              <w:rPr>
                <w:rFonts w:ascii="標楷體" w:eastAsia="標楷體" w:hAnsi="標楷體"/>
                <w:color w:val="000000"/>
                <w:kern w:val="0"/>
              </w:rPr>
              <w:t xml:space="preserve">民眾黨黨團 111.03.11 </w:t>
            </w:r>
          </w:p>
          <w:p w14:paraId="3AE73BB2"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（10-5-3）</w:t>
            </w:r>
          </w:p>
        </w:tc>
        <w:tc>
          <w:tcPr>
            <w:tcW w:w="2085" w:type="dxa"/>
            <w:vMerge/>
          </w:tcPr>
          <w:p w14:paraId="53E9E47E" w14:textId="77777777" w:rsidR="00EB3514" w:rsidRPr="00753E0D" w:rsidRDefault="00EB3514" w:rsidP="00EC13B7">
            <w:pPr>
              <w:rPr>
                <w:rFonts w:ascii="標楷體" w:hAnsi="標楷體"/>
              </w:rPr>
            </w:pPr>
          </w:p>
        </w:tc>
        <w:tc>
          <w:tcPr>
            <w:tcW w:w="1862" w:type="dxa"/>
            <w:vMerge/>
          </w:tcPr>
          <w:p w14:paraId="4EEFA4E4" w14:textId="77777777" w:rsidR="00EB3514" w:rsidRPr="00753E0D" w:rsidRDefault="00EB3514" w:rsidP="00EC13B7">
            <w:pPr>
              <w:rPr>
                <w:rFonts w:ascii="標楷體" w:hAnsi="標楷體"/>
              </w:rPr>
            </w:pPr>
          </w:p>
        </w:tc>
      </w:tr>
      <w:tr w:rsidR="00EB3514" w:rsidRPr="00753E0D" w14:paraId="67CC39E1" w14:textId="77777777" w:rsidTr="00EC13B7">
        <w:trPr>
          <w:trHeight w:val="1333"/>
        </w:trPr>
        <w:tc>
          <w:tcPr>
            <w:tcW w:w="709" w:type="dxa"/>
          </w:tcPr>
          <w:p w14:paraId="3A33B118"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lastRenderedPageBreak/>
              <w:t>5</w:t>
            </w:r>
          </w:p>
        </w:tc>
        <w:tc>
          <w:tcPr>
            <w:tcW w:w="1909" w:type="dxa"/>
          </w:tcPr>
          <w:p w14:paraId="6C1DAB40"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5.憲法訴訟法第十九條之一及第三十條條文修正草案</w:t>
            </w:r>
          </w:p>
        </w:tc>
        <w:tc>
          <w:tcPr>
            <w:tcW w:w="1918" w:type="dxa"/>
          </w:tcPr>
          <w:p w14:paraId="493FA5AB"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委員鄭天財</w:t>
            </w:r>
          </w:p>
          <w:p w14:paraId="29C36EDC" w14:textId="4266B2F4"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Sra Kacaw</w:t>
            </w:r>
            <w:r w:rsidR="00EB3D1B" w:rsidRPr="00753E0D">
              <w:rPr>
                <w:rFonts w:ascii="標楷體" w:eastAsia="標楷體" w:hAnsi="標楷體"/>
                <w:color w:val="000000"/>
                <w:kern w:val="0"/>
              </w:rPr>
              <w:t>等</w:t>
            </w:r>
          </w:p>
          <w:p w14:paraId="4980AA50" w14:textId="7B7E96A8"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16人 111.04.22 </w:t>
            </w:r>
          </w:p>
          <w:p w14:paraId="6812A856"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（10-5-9）</w:t>
            </w:r>
          </w:p>
        </w:tc>
        <w:tc>
          <w:tcPr>
            <w:tcW w:w="2085" w:type="dxa"/>
            <w:vMerge/>
          </w:tcPr>
          <w:p w14:paraId="2ED0CCF3" w14:textId="77777777" w:rsidR="00EB3514" w:rsidRPr="00753E0D" w:rsidRDefault="00EB3514" w:rsidP="00EC13B7">
            <w:pPr>
              <w:rPr>
                <w:rFonts w:ascii="標楷體" w:hAnsi="標楷體"/>
              </w:rPr>
            </w:pPr>
          </w:p>
        </w:tc>
        <w:tc>
          <w:tcPr>
            <w:tcW w:w="1862" w:type="dxa"/>
            <w:vMerge/>
          </w:tcPr>
          <w:p w14:paraId="1B535AB9" w14:textId="77777777" w:rsidR="00EB3514" w:rsidRPr="00753E0D" w:rsidRDefault="00EB3514" w:rsidP="00EC13B7">
            <w:pPr>
              <w:rPr>
                <w:rFonts w:ascii="標楷體" w:hAnsi="標楷體"/>
              </w:rPr>
            </w:pPr>
          </w:p>
        </w:tc>
      </w:tr>
      <w:tr w:rsidR="00EB3514" w:rsidRPr="00753E0D" w14:paraId="2A9E71CE" w14:textId="77777777" w:rsidTr="00EC13B7">
        <w:trPr>
          <w:trHeight w:val="1333"/>
        </w:trPr>
        <w:tc>
          <w:tcPr>
            <w:tcW w:w="709" w:type="dxa"/>
          </w:tcPr>
          <w:p w14:paraId="20D5624E"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6</w:t>
            </w:r>
          </w:p>
        </w:tc>
        <w:tc>
          <w:tcPr>
            <w:tcW w:w="1909" w:type="dxa"/>
          </w:tcPr>
          <w:p w14:paraId="3528FD96"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6.憲法訴訟法部分條文修正草案</w:t>
            </w:r>
          </w:p>
        </w:tc>
        <w:tc>
          <w:tcPr>
            <w:tcW w:w="1918" w:type="dxa"/>
          </w:tcPr>
          <w:p w14:paraId="009546A0"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時代力量黨團 111.11.18 </w:t>
            </w:r>
          </w:p>
          <w:p w14:paraId="79C32783"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（10-6-8）</w:t>
            </w:r>
          </w:p>
        </w:tc>
        <w:tc>
          <w:tcPr>
            <w:tcW w:w="2085" w:type="dxa"/>
            <w:vMerge/>
          </w:tcPr>
          <w:p w14:paraId="4ECFC00E" w14:textId="77777777" w:rsidR="00EB3514" w:rsidRPr="00753E0D" w:rsidRDefault="00EB3514" w:rsidP="00EC13B7">
            <w:pPr>
              <w:rPr>
                <w:rFonts w:ascii="標楷體" w:hAnsi="標楷體"/>
              </w:rPr>
            </w:pPr>
          </w:p>
        </w:tc>
        <w:tc>
          <w:tcPr>
            <w:tcW w:w="1862" w:type="dxa"/>
            <w:vMerge/>
          </w:tcPr>
          <w:p w14:paraId="1307BB05" w14:textId="77777777" w:rsidR="00EB3514" w:rsidRPr="00753E0D" w:rsidRDefault="00EB3514" w:rsidP="00EC13B7">
            <w:pPr>
              <w:rPr>
                <w:rFonts w:ascii="標楷體" w:hAnsi="標楷體"/>
              </w:rPr>
            </w:pPr>
          </w:p>
        </w:tc>
      </w:tr>
      <w:tr w:rsidR="00EB3514" w:rsidRPr="00753E0D" w14:paraId="1D3AACC6" w14:textId="77777777" w:rsidTr="00EC13B7">
        <w:trPr>
          <w:trHeight w:val="1333"/>
        </w:trPr>
        <w:tc>
          <w:tcPr>
            <w:tcW w:w="709" w:type="dxa"/>
          </w:tcPr>
          <w:p w14:paraId="1B80AE26"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7</w:t>
            </w:r>
          </w:p>
        </w:tc>
        <w:tc>
          <w:tcPr>
            <w:tcW w:w="1909" w:type="dxa"/>
          </w:tcPr>
          <w:p w14:paraId="32A5B821"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1.廢止「竊盜犯贓物犯保安處分條例」</w:t>
            </w:r>
          </w:p>
        </w:tc>
        <w:tc>
          <w:tcPr>
            <w:tcW w:w="1918" w:type="dxa"/>
          </w:tcPr>
          <w:p w14:paraId="1A95990A"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委員許智傑等28人 110.12.24 </w:t>
            </w:r>
          </w:p>
          <w:p w14:paraId="781CE04F"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（10-4-15）</w:t>
            </w:r>
          </w:p>
        </w:tc>
        <w:tc>
          <w:tcPr>
            <w:tcW w:w="2085" w:type="dxa"/>
            <w:vMerge w:val="restart"/>
          </w:tcPr>
          <w:p w14:paraId="06D62213"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司法及法制</w:t>
            </w:r>
          </w:p>
          <w:p w14:paraId="5FE5F19E" w14:textId="77777777" w:rsidR="00EB3514" w:rsidRPr="00753E0D" w:rsidRDefault="00EB3514" w:rsidP="00EC13B7">
            <w:pPr>
              <w:rPr>
                <w:rFonts w:ascii="標楷體" w:hAnsi="標楷體"/>
              </w:rPr>
            </w:pPr>
            <w:r w:rsidRPr="00753E0D">
              <w:rPr>
                <w:rFonts w:ascii="標楷體" w:eastAsia="標楷體" w:hAnsi="標楷體" w:hint="eastAsia"/>
                <w:color w:val="000000"/>
                <w:kern w:val="0"/>
              </w:rPr>
              <w:t>陳召集委員歐珀</w:t>
            </w:r>
          </w:p>
          <w:p w14:paraId="13731584" w14:textId="77777777" w:rsidR="00EB3514" w:rsidRPr="00753E0D" w:rsidRDefault="00EB3514" w:rsidP="00EC13B7">
            <w:pPr>
              <w:rPr>
                <w:rFonts w:ascii="標楷體" w:hAnsi="標楷體"/>
              </w:rPr>
            </w:pPr>
          </w:p>
        </w:tc>
        <w:tc>
          <w:tcPr>
            <w:tcW w:w="1862" w:type="dxa"/>
            <w:vMerge w:val="restart"/>
          </w:tcPr>
          <w:p w14:paraId="410D17A2" w14:textId="77777777" w:rsidR="00EB3514" w:rsidRPr="00753E0D" w:rsidRDefault="00EB3514" w:rsidP="00EC13B7">
            <w:pPr>
              <w:kinsoku w:val="0"/>
              <w:wordWrap w:val="0"/>
              <w:adjustRightInd w:val="0"/>
              <w:snapToGrid w:val="0"/>
              <w:spacing w:line="300" w:lineRule="exact"/>
              <w:jc w:val="both"/>
              <w:rPr>
                <w:rFonts w:ascii="標楷體" w:eastAsia="標楷體" w:hAnsi="標楷體"/>
                <w:color w:val="000000"/>
                <w:kern w:val="0"/>
              </w:rPr>
            </w:pPr>
            <w:r w:rsidRPr="00753E0D">
              <w:rPr>
                <w:rFonts w:ascii="標楷體" w:eastAsia="標楷體" w:hAnsi="標楷體" w:hint="eastAsia"/>
                <w:color w:val="000000"/>
                <w:kern w:val="0"/>
              </w:rPr>
              <w:t>本會111.12.29</w:t>
            </w:r>
          </w:p>
          <w:p w14:paraId="2E5081E9" w14:textId="77777777" w:rsidR="00EB3514" w:rsidRPr="00753E0D" w:rsidRDefault="00EB3514" w:rsidP="00EC13B7">
            <w:pPr>
              <w:kinsoku w:val="0"/>
              <w:wordWrap w:val="0"/>
              <w:adjustRightInd w:val="0"/>
              <w:snapToGrid w:val="0"/>
              <w:spacing w:line="300" w:lineRule="exact"/>
              <w:jc w:val="both"/>
              <w:rPr>
                <w:rFonts w:ascii="標楷體" w:hAnsi="標楷體"/>
              </w:rPr>
            </w:pPr>
            <w:r w:rsidRPr="00753E0D">
              <w:rPr>
                <w:rFonts w:ascii="標楷體" w:eastAsia="標楷體" w:hAnsi="標楷體" w:hint="eastAsia"/>
                <w:color w:val="000000"/>
                <w:kern w:val="0"/>
              </w:rPr>
              <w:t>(10-6-30)審查完竣，不須交由黨團協商。</w:t>
            </w:r>
          </w:p>
          <w:p w14:paraId="61949C3D" w14:textId="77777777" w:rsidR="00EB3514" w:rsidRPr="00753E0D" w:rsidRDefault="00EB3514" w:rsidP="00EC13B7">
            <w:pPr>
              <w:kinsoku w:val="0"/>
              <w:wordWrap w:val="0"/>
              <w:adjustRightInd w:val="0"/>
              <w:snapToGrid w:val="0"/>
              <w:spacing w:line="300" w:lineRule="exact"/>
              <w:jc w:val="both"/>
              <w:rPr>
                <w:rFonts w:ascii="標楷體" w:hAnsi="標楷體"/>
              </w:rPr>
            </w:pPr>
          </w:p>
        </w:tc>
      </w:tr>
      <w:tr w:rsidR="00EB3514" w:rsidRPr="00753E0D" w14:paraId="40BBCC4D" w14:textId="77777777" w:rsidTr="00EC13B7">
        <w:trPr>
          <w:trHeight w:val="1333"/>
        </w:trPr>
        <w:tc>
          <w:tcPr>
            <w:tcW w:w="709" w:type="dxa"/>
          </w:tcPr>
          <w:p w14:paraId="6F02EEE2"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8</w:t>
            </w:r>
          </w:p>
        </w:tc>
        <w:tc>
          <w:tcPr>
            <w:tcW w:w="1909" w:type="dxa"/>
          </w:tcPr>
          <w:p w14:paraId="5E9354D4"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2.廢止「竊盜犯贓物犯保安處分條例」</w:t>
            </w:r>
          </w:p>
        </w:tc>
        <w:tc>
          <w:tcPr>
            <w:tcW w:w="1918" w:type="dxa"/>
          </w:tcPr>
          <w:p w14:paraId="552A2540"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委員吳玉琴等19人 111.03.11 </w:t>
            </w:r>
          </w:p>
          <w:p w14:paraId="4CE3F917"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（10-5-3）</w:t>
            </w:r>
          </w:p>
        </w:tc>
        <w:tc>
          <w:tcPr>
            <w:tcW w:w="2085" w:type="dxa"/>
            <w:vMerge/>
          </w:tcPr>
          <w:p w14:paraId="60D7D653" w14:textId="77777777" w:rsidR="00EB3514" w:rsidRPr="00753E0D" w:rsidRDefault="00EB3514" w:rsidP="00EC13B7">
            <w:pPr>
              <w:rPr>
                <w:rFonts w:ascii="標楷體" w:hAnsi="標楷體"/>
              </w:rPr>
            </w:pPr>
          </w:p>
        </w:tc>
        <w:tc>
          <w:tcPr>
            <w:tcW w:w="1862" w:type="dxa"/>
            <w:vMerge/>
          </w:tcPr>
          <w:p w14:paraId="5346085D" w14:textId="77777777" w:rsidR="00EB3514" w:rsidRPr="00753E0D" w:rsidRDefault="00EB3514" w:rsidP="00EC13B7">
            <w:pPr>
              <w:kinsoku w:val="0"/>
              <w:wordWrap w:val="0"/>
              <w:adjustRightInd w:val="0"/>
              <w:snapToGrid w:val="0"/>
              <w:spacing w:line="300" w:lineRule="exact"/>
              <w:jc w:val="both"/>
              <w:rPr>
                <w:rFonts w:ascii="標楷體" w:hAnsi="標楷體"/>
              </w:rPr>
            </w:pPr>
          </w:p>
        </w:tc>
      </w:tr>
      <w:tr w:rsidR="00EB3514" w:rsidRPr="00753E0D" w14:paraId="6D936F86" w14:textId="77777777" w:rsidTr="00EC13B7">
        <w:trPr>
          <w:trHeight w:val="1333"/>
        </w:trPr>
        <w:tc>
          <w:tcPr>
            <w:tcW w:w="709" w:type="dxa"/>
          </w:tcPr>
          <w:p w14:paraId="7F996AC1" w14:textId="77777777" w:rsidR="00EB3514" w:rsidRPr="00753E0D" w:rsidRDefault="00EB3514" w:rsidP="00EC13B7">
            <w:pPr>
              <w:kinsoku w:val="0"/>
              <w:topLinePunct/>
              <w:adjustRightInd w:val="0"/>
              <w:snapToGrid w:val="0"/>
              <w:spacing w:line="300" w:lineRule="exact"/>
              <w:jc w:val="center"/>
              <w:rPr>
                <w:rFonts w:ascii="標楷體" w:eastAsia="標楷體" w:hAnsi="標楷體"/>
                <w:color w:val="000000"/>
                <w:spacing w:val="-20"/>
                <w:kern w:val="0"/>
              </w:rPr>
            </w:pPr>
            <w:r w:rsidRPr="00753E0D">
              <w:rPr>
                <w:rFonts w:ascii="標楷體" w:eastAsia="標楷體" w:hAnsi="標楷體" w:hint="eastAsia"/>
                <w:color w:val="000000"/>
                <w:spacing w:val="-20"/>
                <w:kern w:val="0"/>
              </w:rPr>
              <w:t>9</w:t>
            </w:r>
          </w:p>
        </w:tc>
        <w:tc>
          <w:tcPr>
            <w:tcW w:w="1909" w:type="dxa"/>
          </w:tcPr>
          <w:p w14:paraId="3BA16493" w14:textId="77777777" w:rsidR="00EB3514" w:rsidRPr="00753E0D" w:rsidRDefault="00EB3514" w:rsidP="00EC13B7">
            <w:pPr>
              <w:kinsoku w:val="0"/>
              <w:topLinePunct/>
              <w:adjustRightInd w:val="0"/>
              <w:snapToGrid w:val="0"/>
              <w:spacing w:line="300" w:lineRule="exact"/>
              <w:jc w:val="both"/>
              <w:rPr>
                <w:rFonts w:ascii="標楷體" w:eastAsia="標楷體" w:hAnsi="標楷體"/>
                <w:color w:val="000000"/>
                <w:kern w:val="0"/>
              </w:rPr>
            </w:pPr>
            <w:r w:rsidRPr="00753E0D">
              <w:rPr>
                <w:rFonts w:ascii="標楷體" w:eastAsia="標楷體" w:hAnsi="標楷體"/>
                <w:color w:val="000000"/>
                <w:kern w:val="0"/>
              </w:rPr>
              <w:t>3.廢止「竊盜犯贓物犯保安處分條例</w:t>
            </w:r>
          </w:p>
        </w:tc>
        <w:tc>
          <w:tcPr>
            <w:tcW w:w="1918" w:type="dxa"/>
          </w:tcPr>
          <w:p w14:paraId="399C3BFC"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 xml:space="preserve">時代力量黨團 111.03.25 </w:t>
            </w:r>
          </w:p>
          <w:p w14:paraId="39B6118F" w14:textId="77777777" w:rsidR="00EB3514" w:rsidRPr="00753E0D" w:rsidRDefault="00EB3514" w:rsidP="00EC13B7">
            <w:pPr>
              <w:kinsoku w:val="0"/>
              <w:topLinePunct/>
              <w:spacing w:line="300" w:lineRule="exact"/>
              <w:rPr>
                <w:rFonts w:ascii="標楷體" w:eastAsia="標楷體" w:hAnsi="標楷體"/>
                <w:color w:val="000000"/>
                <w:kern w:val="0"/>
              </w:rPr>
            </w:pPr>
            <w:r w:rsidRPr="00753E0D">
              <w:rPr>
                <w:rFonts w:ascii="標楷體" w:eastAsia="標楷體" w:hAnsi="標楷體"/>
                <w:color w:val="000000"/>
                <w:kern w:val="0"/>
              </w:rPr>
              <w:t>（10-5-5）</w:t>
            </w:r>
          </w:p>
        </w:tc>
        <w:tc>
          <w:tcPr>
            <w:tcW w:w="2085" w:type="dxa"/>
            <w:vMerge/>
          </w:tcPr>
          <w:p w14:paraId="18CC5AB7" w14:textId="77777777" w:rsidR="00EB3514" w:rsidRPr="00753E0D" w:rsidRDefault="00EB3514" w:rsidP="00EC13B7">
            <w:pPr>
              <w:rPr>
                <w:rFonts w:ascii="標楷體" w:hAnsi="標楷體"/>
              </w:rPr>
            </w:pPr>
          </w:p>
        </w:tc>
        <w:tc>
          <w:tcPr>
            <w:tcW w:w="1862" w:type="dxa"/>
            <w:vMerge/>
          </w:tcPr>
          <w:p w14:paraId="72C0E80F" w14:textId="77777777" w:rsidR="00EB3514" w:rsidRPr="00753E0D" w:rsidRDefault="00EB3514" w:rsidP="00EC13B7">
            <w:pPr>
              <w:kinsoku w:val="0"/>
              <w:wordWrap w:val="0"/>
              <w:adjustRightInd w:val="0"/>
              <w:snapToGrid w:val="0"/>
              <w:spacing w:line="300" w:lineRule="exact"/>
              <w:jc w:val="both"/>
              <w:rPr>
                <w:rFonts w:ascii="標楷體" w:hAnsi="標楷體"/>
              </w:rPr>
            </w:pPr>
          </w:p>
        </w:tc>
      </w:tr>
    </w:tbl>
    <w:p w14:paraId="4C2A4D0F" w14:textId="77777777" w:rsidR="00EB3514" w:rsidRPr="00753E0D" w:rsidRDefault="00EB3514" w:rsidP="00E1643E">
      <w:pPr>
        <w:rPr>
          <w:color w:val="000000" w:themeColor="text1"/>
        </w:rPr>
      </w:pPr>
    </w:p>
    <w:p w14:paraId="0DDB0926" w14:textId="03B32543" w:rsidR="00EB3514" w:rsidRPr="00753E0D" w:rsidRDefault="00EB3514" w:rsidP="007015C7">
      <w:pPr>
        <w:pStyle w:val="2"/>
        <w:numPr>
          <w:ilvl w:val="0"/>
          <w:numId w:val="13"/>
        </w:numPr>
        <w:kinsoku w:val="0"/>
        <w:overflowPunct w:val="0"/>
        <w:spacing w:beforeLines="100" w:before="360" w:afterLines="100" w:after="360" w:line="260" w:lineRule="exact"/>
        <w:ind w:leftChars="0"/>
        <w:rPr>
          <w:rFonts w:ascii="標楷體" w:hAnsi="標楷體"/>
          <w:b/>
          <w:color w:val="000000" w:themeColor="text1"/>
          <w:szCs w:val="28"/>
        </w:rPr>
      </w:pPr>
      <w:bookmarkStart w:id="117" w:name="_Toc96350507"/>
      <w:r w:rsidRPr="00753E0D">
        <w:rPr>
          <w:rFonts w:ascii="標楷體" w:hAnsi="標楷體"/>
          <w:b/>
          <w:color w:val="000000" w:themeColor="text1"/>
          <w:szCs w:val="28"/>
        </w:rPr>
        <w:t>預</w:t>
      </w:r>
      <w:r w:rsidRPr="00753E0D">
        <w:rPr>
          <w:rFonts w:ascii="標楷體" w:hAnsi="標楷體" w:hint="eastAsia"/>
          <w:b/>
          <w:color w:val="000000" w:themeColor="text1"/>
          <w:szCs w:val="28"/>
        </w:rPr>
        <w:t>(</w:t>
      </w:r>
      <w:r w:rsidRPr="00753E0D">
        <w:rPr>
          <w:rFonts w:ascii="標楷體" w:hAnsi="標楷體"/>
          <w:b/>
          <w:color w:val="000000" w:themeColor="text1"/>
          <w:szCs w:val="28"/>
        </w:rPr>
        <w:t>決</w:t>
      </w:r>
      <w:r w:rsidRPr="00753E0D">
        <w:rPr>
          <w:rFonts w:ascii="標楷體" w:hAnsi="標楷體" w:hint="eastAsia"/>
          <w:b/>
          <w:color w:val="000000" w:themeColor="text1"/>
          <w:szCs w:val="28"/>
        </w:rPr>
        <w:t>)</w:t>
      </w:r>
      <w:r w:rsidRPr="00753E0D">
        <w:rPr>
          <w:rFonts w:ascii="標楷體" w:hAnsi="標楷體"/>
          <w:b/>
          <w:color w:val="000000" w:themeColor="text1"/>
          <w:szCs w:val="28"/>
        </w:rPr>
        <w:t>算案</w:t>
      </w:r>
      <w:r w:rsidR="00CC5DEB">
        <w:rPr>
          <w:rFonts w:ascii="標楷體" w:hAnsi="標楷體" w:hint="eastAsia"/>
          <w:b/>
          <w:color w:val="000000" w:themeColor="text1"/>
          <w:szCs w:val="28"/>
        </w:rPr>
        <w:t>78</w:t>
      </w:r>
      <w:r w:rsidRPr="00753E0D">
        <w:rPr>
          <w:rFonts w:ascii="標楷體" w:hAnsi="標楷體"/>
          <w:b/>
          <w:color w:val="000000" w:themeColor="text1"/>
          <w:szCs w:val="28"/>
        </w:rPr>
        <w:t>案</w:t>
      </w:r>
      <w:bookmarkEnd w:id="117"/>
    </w:p>
    <w:p w14:paraId="26FAC256" w14:textId="77777777" w:rsidR="00EB3514" w:rsidRPr="00753E0D" w:rsidRDefault="00EB3514" w:rsidP="00EC13B7">
      <w:pPr>
        <w:pStyle w:val="afffffc"/>
        <w:kinsoku w:val="0"/>
        <w:overflowPunct w:val="0"/>
        <w:spacing w:beforeLines="100" w:before="360" w:afterLines="100" w:after="360" w:line="500" w:lineRule="exact"/>
        <w:ind w:left="624" w:firstLineChars="50" w:firstLine="140"/>
        <w:rPr>
          <w:b w:val="0"/>
          <w:szCs w:val="28"/>
        </w:rPr>
      </w:pPr>
      <w:bookmarkStart w:id="118" w:name="_Toc455152594"/>
      <w:bookmarkStart w:id="119" w:name="_Toc457395196"/>
      <w:bookmarkStart w:id="120" w:name="_Toc472666440"/>
      <w:bookmarkStart w:id="121" w:name="_Toc516496374"/>
      <w:bookmarkStart w:id="122" w:name="_Toc516496489"/>
      <w:bookmarkStart w:id="123" w:name="_Toc516496853"/>
      <w:bookmarkStart w:id="124" w:name="_Toc517947595"/>
      <w:bookmarkStart w:id="125" w:name="_Toc13473523"/>
      <w:bookmarkStart w:id="126" w:name="_Toc101788747"/>
      <w:r w:rsidRPr="00753E0D">
        <w:rPr>
          <w:rFonts w:hint="eastAsia"/>
          <w:color w:val="000000" w:themeColor="text1"/>
          <w:szCs w:val="28"/>
        </w:rPr>
        <w:t>一</w:t>
      </w:r>
      <w:r w:rsidRPr="00753E0D">
        <w:rPr>
          <w:color w:val="000000" w:themeColor="text1"/>
          <w:szCs w:val="28"/>
        </w:rPr>
        <w:t>、</w:t>
      </w:r>
      <w:r w:rsidRPr="00753E0D">
        <w:rPr>
          <w:bCs w:val="0"/>
          <w:color w:val="000000" w:themeColor="text1"/>
        </w:rPr>
        <w:t>總預算</w:t>
      </w:r>
      <w:r w:rsidRPr="00753E0D">
        <w:rPr>
          <w:szCs w:val="28"/>
        </w:rPr>
        <w:t>案</w:t>
      </w:r>
      <w:r w:rsidRPr="00753E0D">
        <w:rPr>
          <w:rFonts w:hint="eastAsia"/>
          <w:bCs w:val="0"/>
          <w:szCs w:val="28"/>
        </w:rPr>
        <w:t>2</w:t>
      </w:r>
      <w:r w:rsidRPr="00753E0D">
        <w:rPr>
          <w:szCs w:val="28"/>
        </w:rPr>
        <w:t>案</w:t>
      </w:r>
    </w:p>
    <w:p w14:paraId="7CFE1450" w14:textId="77777777" w:rsidR="00EB3514" w:rsidRPr="00753E0D" w:rsidRDefault="00EB3514" w:rsidP="00EC13B7">
      <w:pPr>
        <w:keepNext/>
        <w:tabs>
          <w:tab w:val="left" w:pos="1276"/>
        </w:tabs>
        <w:kinsoku w:val="0"/>
        <w:overflowPunct w:val="0"/>
        <w:adjustRightInd w:val="0"/>
        <w:snapToGrid w:val="0"/>
        <w:spacing w:beforeLines="100" w:before="360" w:afterLines="100" w:after="360" w:line="260" w:lineRule="exact"/>
        <w:ind w:leftChars="472" w:left="1133"/>
        <w:jc w:val="both"/>
        <w:outlineLvl w:val="2"/>
        <w:rPr>
          <w:rFonts w:ascii="標楷體" w:eastAsia="標楷體" w:hAnsi="標楷體"/>
          <w:b/>
          <w:bCs/>
          <w:color w:val="000000" w:themeColor="text1"/>
          <w:sz w:val="28"/>
          <w:szCs w:val="28"/>
        </w:rPr>
      </w:pPr>
      <w:r w:rsidRPr="00753E0D">
        <w:rPr>
          <w:rFonts w:ascii="標楷體" w:eastAsia="標楷體" w:hAnsi="標楷體" w:hint="eastAsia"/>
          <w:b/>
          <w:bCs/>
          <w:color w:val="000000" w:themeColor="text1"/>
          <w:sz w:val="28"/>
          <w:szCs w:val="28"/>
        </w:rPr>
        <w:t>(一)經</w:t>
      </w:r>
      <w:r w:rsidRPr="00753E0D">
        <w:rPr>
          <w:rFonts w:ascii="標楷體" w:eastAsia="標楷體" w:hAnsi="標楷體" w:hint="eastAsia"/>
          <w:b/>
          <w:bCs/>
          <w:color w:val="000000" w:themeColor="text1"/>
          <w:sz w:val="28"/>
          <w:szCs w:val="36"/>
        </w:rPr>
        <w:t>院會通過之議案1案</w:t>
      </w:r>
    </w:p>
    <w:tbl>
      <w:tblPr>
        <w:tblW w:w="8873"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1"/>
        <w:gridCol w:w="2058"/>
        <w:gridCol w:w="1664"/>
        <w:gridCol w:w="1493"/>
        <w:gridCol w:w="1538"/>
        <w:gridCol w:w="1539"/>
      </w:tblGrid>
      <w:tr w:rsidR="00EB3514" w:rsidRPr="00753E0D" w14:paraId="79AD469E" w14:textId="77777777" w:rsidTr="00EC13B7">
        <w:tc>
          <w:tcPr>
            <w:tcW w:w="581" w:type="dxa"/>
            <w:shd w:val="clear" w:color="auto" w:fill="auto"/>
          </w:tcPr>
          <w:p w14:paraId="3A5E2E4F" w14:textId="77777777" w:rsidR="00EB3514" w:rsidRPr="00753E0D" w:rsidRDefault="00EB3514" w:rsidP="00EC13B7">
            <w:pPr>
              <w:spacing w:line="300" w:lineRule="exact"/>
              <w:jc w:val="center"/>
              <w:rPr>
                <w:rFonts w:ascii="標楷體" w:eastAsia="標楷體" w:hAnsi="標楷體"/>
                <w:b/>
                <w:spacing w:val="-20"/>
                <w:szCs w:val="22"/>
              </w:rPr>
            </w:pPr>
            <w:r w:rsidRPr="00753E0D">
              <w:rPr>
                <w:rFonts w:ascii="標楷體" w:eastAsia="標楷體" w:hAnsi="標楷體"/>
                <w:b/>
                <w:spacing w:val="-20"/>
                <w:szCs w:val="22"/>
              </w:rPr>
              <w:t>序號</w:t>
            </w:r>
          </w:p>
        </w:tc>
        <w:tc>
          <w:tcPr>
            <w:tcW w:w="2058" w:type="dxa"/>
            <w:shd w:val="clear" w:color="auto" w:fill="auto"/>
          </w:tcPr>
          <w:p w14:paraId="4A23603E" w14:textId="77777777" w:rsidR="00EB3514" w:rsidRPr="00753E0D" w:rsidRDefault="00EB3514" w:rsidP="00EC13B7">
            <w:pPr>
              <w:spacing w:line="300" w:lineRule="exact"/>
              <w:jc w:val="center"/>
              <w:rPr>
                <w:rFonts w:ascii="標楷體" w:eastAsia="標楷體" w:hAnsi="標楷體"/>
                <w:b/>
                <w:spacing w:val="-20"/>
                <w:szCs w:val="22"/>
              </w:rPr>
            </w:pPr>
            <w:r w:rsidRPr="00753E0D">
              <w:rPr>
                <w:rFonts w:ascii="標楷體" w:eastAsia="標楷體" w:hAnsi="標楷體"/>
                <w:b/>
                <w:spacing w:val="-20"/>
                <w:szCs w:val="22"/>
              </w:rPr>
              <w:t>議案名稱</w:t>
            </w:r>
          </w:p>
        </w:tc>
        <w:tc>
          <w:tcPr>
            <w:tcW w:w="1664" w:type="dxa"/>
            <w:shd w:val="clear" w:color="auto" w:fill="auto"/>
          </w:tcPr>
          <w:p w14:paraId="4A3018AB" w14:textId="77777777" w:rsidR="00EB3514" w:rsidRPr="00753E0D" w:rsidRDefault="00EB3514" w:rsidP="00EC13B7">
            <w:pPr>
              <w:tabs>
                <w:tab w:val="left" w:pos="441"/>
                <w:tab w:val="left" w:pos="681"/>
                <w:tab w:val="left" w:pos="966"/>
              </w:tabs>
              <w:spacing w:line="300" w:lineRule="exact"/>
              <w:ind w:rightChars="-3" w:right="-7"/>
              <w:rPr>
                <w:rFonts w:ascii="標楷體" w:eastAsia="標楷體" w:hAnsi="標楷體"/>
                <w:b/>
                <w:spacing w:val="-20"/>
                <w:szCs w:val="22"/>
              </w:rPr>
            </w:pPr>
            <w:r w:rsidRPr="00753E0D">
              <w:rPr>
                <w:rFonts w:ascii="標楷體" w:eastAsia="標楷體" w:hAnsi="標楷體"/>
                <w:b/>
                <w:spacing w:val="-20"/>
                <w:szCs w:val="22"/>
              </w:rPr>
              <w:t>提案機關、院會交付日期(會次)</w:t>
            </w:r>
          </w:p>
        </w:tc>
        <w:tc>
          <w:tcPr>
            <w:tcW w:w="1493" w:type="dxa"/>
            <w:shd w:val="clear" w:color="auto" w:fill="auto"/>
          </w:tcPr>
          <w:p w14:paraId="322F3269" w14:textId="77777777" w:rsidR="00EB3514" w:rsidRPr="00753E0D" w:rsidRDefault="00EB3514" w:rsidP="00EC13B7">
            <w:pPr>
              <w:spacing w:line="300" w:lineRule="exact"/>
              <w:jc w:val="center"/>
              <w:rPr>
                <w:rFonts w:ascii="標楷體" w:eastAsia="標楷體" w:hAnsi="標楷體"/>
                <w:b/>
                <w:spacing w:val="-20"/>
                <w:szCs w:val="22"/>
              </w:rPr>
            </w:pPr>
            <w:r w:rsidRPr="00753E0D">
              <w:rPr>
                <w:rFonts w:ascii="標楷體" w:eastAsia="標楷體" w:hAnsi="標楷體"/>
                <w:b/>
                <w:spacing w:val="-20"/>
                <w:szCs w:val="22"/>
              </w:rPr>
              <w:t>審查委員會</w:t>
            </w:r>
          </w:p>
          <w:p w14:paraId="57ADBB43" w14:textId="77777777" w:rsidR="00EB3514" w:rsidRPr="00753E0D" w:rsidRDefault="00EB3514" w:rsidP="00EC13B7">
            <w:pPr>
              <w:spacing w:line="300" w:lineRule="exact"/>
              <w:jc w:val="center"/>
              <w:rPr>
                <w:rFonts w:ascii="標楷體" w:eastAsia="標楷體" w:hAnsi="標楷體"/>
                <w:b/>
                <w:spacing w:val="-20"/>
                <w:szCs w:val="22"/>
              </w:rPr>
            </w:pPr>
            <w:r w:rsidRPr="00753E0D">
              <w:rPr>
                <w:rFonts w:ascii="標楷體" w:eastAsia="標楷體" w:hAnsi="標楷體" w:hint="eastAsia"/>
                <w:b/>
                <w:spacing w:val="-20"/>
                <w:szCs w:val="22"/>
              </w:rPr>
              <w:t>院會說明人</w:t>
            </w:r>
          </w:p>
        </w:tc>
        <w:tc>
          <w:tcPr>
            <w:tcW w:w="3077" w:type="dxa"/>
            <w:gridSpan w:val="2"/>
            <w:shd w:val="clear" w:color="auto" w:fill="auto"/>
          </w:tcPr>
          <w:p w14:paraId="3EF5E05E" w14:textId="714A9FD4" w:rsidR="00EB3514" w:rsidRPr="00753E0D" w:rsidRDefault="00EB3514" w:rsidP="00A40337">
            <w:pPr>
              <w:spacing w:line="300" w:lineRule="exact"/>
              <w:jc w:val="center"/>
              <w:rPr>
                <w:rFonts w:ascii="標楷體" w:eastAsia="標楷體" w:hAnsi="標楷體"/>
                <w:b/>
                <w:spacing w:val="-20"/>
                <w:szCs w:val="22"/>
              </w:rPr>
            </w:pPr>
            <w:r w:rsidRPr="00753E0D">
              <w:rPr>
                <w:rFonts w:ascii="標楷體" w:eastAsia="標楷體" w:hAnsi="標楷體" w:hint="eastAsia"/>
                <w:b/>
                <w:spacing w:val="-20"/>
                <w:szCs w:val="22"/>
              </w:rPr>
              <w:t>審</w:t>
            </w:r>
            <w:r w:rsidR="00A40337">
              <w:rPr>
                <w:rFonts w:ascii="標楷體" w:eastAsia="標楷體" w:hAnsi="標楷體" w:hint="eastAsia"/>
                <w:b/>
                <w:spacing w:val="-20"/>
                <w:szCs w:val="22"/>
              </w:rPr>
              <w:t>議</w:t>
            </w:r>
            <w:r w:rsidRPr="00753E0D">
              <w:rPr>
                <w:rFonts w:ascii="標楷體" w:eastAsia="標楷體" w:hAnsi="標楷體"/>
                <w:b/>
                <w:spacing w:val="-20"/>
                <w:szCs w:val="22"/>
              </w:rPr>
              <w:t>情形</w:t>
            </w:r>
          </w:p>
        </w:tc>
      </w:tr>
      <w:tr w:rsidR="00EB3514" w:rsidRPr="00753E0D" w14:paraId="6D83BD6B" w14:textId="77777777" w:rsidTr="00EC13B7">
        <w:tc>
          <w:tcPr>
            <w:tcW w:w="581" w:type="dxa"/>
            <w:vMerge w:val="restart"/>
            <w:shd w:val="clear" w:color="auto" w:fill="auto"/>
          </w:tcPr>
          <w:p w14:paraId="077B1EC0"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r w:rsidRPr="00753E0D">
              <w:rPr>
                <w:rFonts w:ascii="標楷體" w:eastAsia="標楷體" w:hAnsi="標楷體" w:hint="eastAsia"/>
                <w:b/>
                <w:spacing w:val="-20"/>
                <w:szCs w:val="22"/>
              </w:rPr>
              <w:t>1</w:t>
            </w:r>
          </w:p>
        </w:tc>
        <w:tc>
          <w:tcPr>
            <w:tcW w:w="2058" w:type="dxa"/>
            <w:vMerge w:val="restart"/>
            <w:shd w:val="clear" w:color="auto" w:fill="auto"/>
          </w:tcPr>
          <w:p w14:paraId="3FF25E3D" w14:textId="77777777" w:rsidR="001B4142" w:rsidRPr="00D43A11" w:rsidRDefault="00EB3514" w:rsidP="00D43A11">
            <w:pPr>
              <w:kinsoku w:val="0"/>
              <w:overflowPunct w:val="0"/>
              <w:autoSpaceDE w:val="0"/>
              <w:autoSpaceDN w:val="0"/>
              <w:spacing w:line="260" w:lineRule="exact"/>
              <w:ind w:leftChars="-45" w:left="-108" w:rightChars="-45" w:right="-108"/>
              <w:jc w:val="both"/>
              <w:rPr>
                <w:rFonts w:ascii="標楷體" w:eastAsia="標楷體" w:hAnsi="標楷體"/>
                <w:kern w:val="0"/>
              </w:rPr>
            </w:pPr>
            <w:r w:rsidRPr="00D43A11">
              <w:rPr>
                <w:rFonts w:ascii="標楷體" w:eastAsia="標楷體" w:hAnsi="標楷體" w:hint="eastAsia"/>
                <w:kern w:val="0"/>
              </w:rPr>
              <w:t>中華民國11</w:t>
            </w:r>
            <w:r w:rsidRPr="00D43A11">
              <w:rPr>
                <w:rFonts w:ascii="標楷體" w:eastAsia="標楷體" w:hAnsi="標楷體"/>
                <w:kern w:val="0"/>
              </w:rPr>
              <w:t>2</w:t>
            </w:r>
            <w:r w:rsidRPr="00D43A11">
              <w:rPr>
                <w:rFonts w:ascii="標楷體" w:eastAsia="標楷體" w:hAnsi="標楷體" w:hint="eastAsia"/>
                <w:kern w:val="0"/>
              </w:rPr>
              <w:t>年度</w:t>
            </w:r>
          </w:p>
          <w:p w14:paraId="3576A35D" w14:textId="77777777" w:rsidR="00D43A11" w:rsidRDefault="00EB3514" w:rsidP="00D43A11">
            <w:pPr>
              <w:kinsoku w:val="0"/>
              <w:overflowPunct w:val="0"/>
              <w:autoSpaceDE w:val="0"/>
              <w:autoSpaceDN w:val="0"/>
              <w:spacing w:line="260" w:lineRule="exact"/>
              <w:ind w:leftChars="-45" w:left="-108" w:rightChars="-45" w:right="-108"/>
              <w:jc w:val="both"/>
              <w:rPr>
                <w:rFonts w:ascii="標楷體" w:eastAsia="標楷體" w:hAnsi="標楷體"/>
                <w:kern w:val="0"/>
                <w:szCs w:val="22"/>
              </w:rPr>
            </w:pPr>
            <w:r w:rsidRPr="00753E0D">
              <w:rPr>
                <w:rFonts w:ascii="標楷體" w:eastAsia="標楷體" w:hAnsi="標楷體" w:hint="eastAsia"/>
                <w:kern w:val="0"/>
                <w:szCs w:val="22"/>
              </w:rPr>
              <w:t>中央政府總預算案</w:t>
            </w:r>
          </w:p>
          <w:p w14:paraId="19576F43" w14:textId="2E0FF6AA" w:rsidR="00EB3514" w:rsidRPr="00753E0D" w:rsidRDefault="00EB3514" w:rsidP="00D43A11">
            <w:pPr>
              <w:kinsoku w:val="0"/>
              <w:overflowPunct w:val="0"/>
              <w:autoSpaceDE w:val="0"/>
              <w:autoSpaceDN w:val="0"/>
              <w:spacing w:line="260" w:lineRule="exact"/>
              <w:ind w:leftChars="-45" w:left="-108" w:rightChars="-45" w:right="-108"/>
              <w:jc w:val="both"/>
              <w:rPr>
                <w:rFonts w:ascii="Calibri" w:hAnsi="Calibri"/>
                <w:szCs w:val="22"/>
              </w:rPr>
            </w:pPr>
            <w:r w:rsidRPr="00753E0D">
              <w:rPr>
                <w:rFonts w:ascii="標楷體" w:eastAsia="標楷體" w:hAnsi="標楷體" w:hint="eastAsia"/>
                <w:kern w:val="0"/>
                <w:szCs w:val="22"/>
              </w:rPr>
              <w:t>（公務預算</w:t>
            </w:r>
            <w:r w:rsidRPr="00753E0D">
              <w:rPr>
                <w:rFonts w:ascii="標楷體" w:eastAsia="標楷體" w:hAnsi="標楷體"/>
                <w:kern w:val="0"/>
                <w:szCs w:val="22"/>
              </w:rPr>
              <w:t>部分</w:t>
            </w:r>
            <w:r w:rsidRPr="00753E0D">
              <w:rPr>
                <w:rFonts w:ascii="標楷體" w:eastAsia="標楷體" w:hAnsi="標楷體" w:hint="eastAsia"/>
                <w:kern w:val="0"/>
                <w:szCs w:val="22"/>
              </w:rPr>
              <w:t>）</w:t>
            </w:r>
          </w:p>
        </w:tc>
        <w:tc>
          <w:tcPr>
            <w:tcW w:w="1664" w:type="dxa"/>
            <w:vMerge w:val="restart"/>
            <w:shd w:val="clear" w:color="auto" w:fill="auto"/>
          </w:tcPr>
          <w:p w14:paraId="4A542A11" w14:textId="77777777" w:rsidR="00EB3514" w:rsidRPr="00753E0D" w:rsidRDefault="00EB3514" w:rsidP="00E73B07">
            <w:pPr>
              <w:kinsoku w:val="0"/>
              <w:overflowPunct w:val="0"/>
              <w:autoSpaceDE w:val="0"/>
              <w:autoSpaceDN w:val="0"/>
              <w:spacing w:line="260" w:lineRule="exact"/>
              <w:ind w:rightChars="-45" w:right="-108"/>
              <w:rPr>
                <w:rFonts w:ascii="標楷體" w:eastAsia="標楷體" w:hAnsi="標楷體"/>
                <w:kern w:val="0"/>
                <w:szCs w:val="22"/>
              </w:rPr>
            </w:pPr>
            <w:r w:rsidRPr="00753E0D">
              <w:rPr>
                <w:rFonts w:ascii="標楷體" w:eastAsia="標楷體" w:hAnsi="標楷體" w:hint="eastAsia"/>
                <w:kern w:val="0"/>
                <w:szCs w:val="22"/>
              </w:rPr>
              <w:t xml:space="preserve">行政院 </w:t>
            </w:r>
          </w:p>
          <w:p w14:paraId="58B59CEC" w14:textId="77777777" w:rsidR="00622CEF" w:rsidRDefault="00EB3514" w:rsidP="00E73B07">
            <w:pPr>
              <w:kinsoku w:val="0"/>
              <w:overflowPunct w:val="0"/>
              <w:autoSpaceDE w:val="0"/>
              <w:autoSpaceDN w:val="0"/>
              <w:spacing w:line="260" w:lineRule="exact"/>
              <w:ind w:rightChars="-45" w:right="-108"/>
              <w:rPr>
                <w:rFonts w:ascii="標楷體" w:eastAsia="標楷體" w:hAnsi="標楷體"/>
                <w:kern w:val="0"/>
                <w:szCs w:val="22"/>
              </w:rPr>
            </w:pPr>
            <w:r w:rsidRPr="00753E0D">
              <w:rPr>
                <w:rFonts w:ascii="標楷體" w:eastAsia="標楷體" w:hAnsi="標楷體" w:hint="eastAsia"/>
                <w:kern w:val="0"/>
                <w:szCs w:val="22"/>
              </w:rPr>
              <w:t>1</w:t>
            </w:r>
            <w:r w:rsidRPr="00753E0D">
              <w:rPr>
                <w:rFonts w:ascii="標楷體" w:eastAsia="標楷體" w:hAnsi="標楷體"/>
                <w:kern w:val="0"/>
                <w:szCs w:val="22"/>
              </w:rPr>
              <w:t>11</w:t>
            </w:r>
            <w:r w:rsidRPr="00753E0D">
              <w:rPr>
                <w:rFonts w:ascii="標楷體" w:eastAsia="標楷體" w:hAnsi="標楷體" w:hint="eastAsia"/>
                <w:kern w:val="0"/>
                <w:szCs w:val="22"/>
              </w:rPr>
              <w:t>.</w:t>
            </w:r>
            <w:r w:rsidRPr="00753E0D">
              <w:rPr>
                <w:rFonts w:ascii="標楷體" w:eastAsia="標楷體" w:hAnsi="標楷體"/>
                <w:kern w:val="0"/>
                <w:szCs w:val="22"/>
              </w:rPr>
              <w:t>0</w:t>
            </w:r>
            <w:r w:rsidRPr="00753E0D">
              <w:rPr>
                <w:rFonts w:ascii="標楷體" w:eastAsia="標楷體" w:hAnsi="標楷體" w:hint="eastAsia"/>
                <w:kern w:val="0"/>
                <w:szCs w:val="22"/>
              </w:rPr>
              <w:t>9.</w:t>
            </w:r>
            <w:r w:rsidRPr="00753E0D">
              <w:rPr>
                <w:rFonts w:ascii="標楷體" w:eastAsia="標楷體" w:hAnsi="標楷體"/>
                <w:kern w:val="0"/>
                <w:szCs w:val="22"/>
              </w:rPr>
              <w:t>23</w:t>
            </w:r>
            <w:r w:rsidRPr="00753E0D">
              <w:rPr>
                <w:rFonts w:ascii="標楷體" w:eastAsia="標楷體" w:hAnsi="標楷體" w:hint="eastAsia"/>
                <w:kern w:val="0"/>
                <w:szCs w:val="22"/>
              </w:rPr>
              <w:t xml:space="preserve"> </w:t>
            </w:r>
          </w:p>
          <w:p w14:paraId="19DEA804" w14:textId="6BCDFED2" w:rsidR="00EB3514" w:rsidRPr="00753E0D" w:rsidRDefault="00EB3514" w:rsidP="00E73B07">
            <w:pPr>
              <w:kinsoku w:val="0"/>
              <w:overflowPunct w:val="0"/>
              <w:autoSpaceDE w:val="0"/>
              <w:autoSpaceDN w:val="0"/>
              <w:spacing w:line="260" w:lineRule="exact"/>
              <w:ind w:rightChars="-45" w:right="-108"/>
              <w:rPr>
                <w:rFonts w:ascii="標楷體" w:hAnsi="標楷體"/>
                <w:b/>
                <w:szCs w:val="22"/>
              </w:rPr>
            </w:pPr>
            <w:r w:rsidRPr="00753E0D">
              <w:rPr>
                <w:rFonts w:ascii="標楷體" w:eastAsia="標楷體" w:hAnsi="標楷體" w:hint="eastAsia"/>
                <w:kern w:val="0"/>
                <w:szCs w:val="22"/>
              </w:rPr>
              <w:t>（10-6-1）</w:t>
            </w:r>
          </w:p>
        </w:tc>
        <w:tc>
          <w:tcPr>
            <w:tcW w:w="1493" w:type="dxa"/>
            <w:vMerge w:val="restart"/>
            <w:shd w:val="clear" w:color="auto" w:fill="auto"/>
          </w:tcPr>
          <w:p w14:paraId="0DE07321"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司法及法制</w:t>
            </w:r>
          </w:p>
          <w:p w14:paraId="76AD6C03"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陳召集委員歐珀</w:t>
            </w:r>
          </w:p>
        </w:tc>
        <w:tc>
          <w:tcPr>
            <w:tcW w:w="1538" w:type="dxa"/>
            <w:shd w:val="clear" w:color="auto" w:fill="auto"/>
          </w:tcPr>
          <w:p w14:paraId="7615A3AD"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111.10.20</w:t>
            </w:r>
          </w:p>
          <w:p w14:paraId="373515F7"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（10-6-8）</w:t>
            </w:r>
          </w:p>
          <w:p w14:paraId="0A9870C9"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、111.11.2</w:t>
            </w:r>
          </w:p>
          <w:p w14:paraId="152B9083"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（10-6-11）</w:t>
            </w:r>
          </w:p>
          <w:p w14:paraId="43539BA0"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審竣考試院及所屬主管收支部分，須交由黨團協商。</w:t>
            </w:r>
          </w:p>
        </w:tc>
        <w:tc>
          <w:tcPr>
            <w:tcW w:w="1539" w:type="dxa"/>
            <w:vMerge w:val="restart"/>
            <w:shd w:val="clear" w:color="auto" w:fill="auto"/>
          </w:tcPr>
          <w:p w14:paraId="79861F24"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1</w:t>
            </w:r>
            <w:r w:rsidRPr="00753E0D">
              <w:rPr>
                <w:rFonts w:ascii="標楷體" w:eastAsia="標楷體" w:hAnsi="標楷體"/>
                <w:kern w:val="0"/>
                <w:szCs w:val="22"/>
              </w:rPr>
              <w:t>.112.1.</w:t>
            </w:r>
            <w:r w:rsidRPr="00753E0D">
              <w:rPr>
                <w:rFonts w:ascii="標楷體" w:eastAsia="標楷體" w:hAnsi="標楷體" w:hint="eastAsia"/>
                <w:kern w:val="0"/>
                <w:szCs w:val="22"/>
              </w:rPr>
              <w:t>6黨團協商。</w:t>
            </w:r>
          </w:p>
          <w:p w14:paraId="29659600"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2.112.1.9黨團協商。</w:t>
            </w:r>
          </w:p>
          <w:p w14:paraId="39384376"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3.112.1.10黨團協商。</w:t>
            </w:r>
          </w:p>
          <w:p w14:paraId="2C1A3295" w14:textId="77777777" w:rsidR="00EB3514"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kern w:val="0"/>
                <w:szCs w:val="22"/>
              </w:rPr>
              <w:t>4.</w:t>
            </w:r>
            <w:r w:rsidRPr="00753E0D">
              <w:rPr>
                <w:rFonts w:ascii="標楷體" w:eastAsia="標楷體" w:hAnsi="標楷體" w:hint="eastAsia"/>
                <w:kern w:val="0"/>
                <w:szCs w:val="22"/>
              </w:rPr>
              <w:t>院會11</w:t>
            </w:r>
            <w:r w:rsidRPr="00753E0D">
              <w:rPr>
                <w:rFonts w:ascii="標楷體" w:eastAsia="標楷體" w:hAnsi="標楷體"/>
                <w:kern w:val="0"/>
                <w:szCs w:val="22"/>
              </w:rPr>
              <w:t>2</w:t>
            </w:r>
            <w:r w:rsidRPr="00753E0D">
              <w:rPr>
                <w:rFonts w:ascii="標楷體" w:eastAsia="標楷體" w:hAnsi="標楷體" w:hint="eastAsia"/>
                <w:kern w:val="0"/>
                <w:szCs w:val="22"/>
              </w:rPr>
              <w:t>.1.</w:t>
            </w:r>
            <w:r w:rsidRPr="00753E0D">
              <w:rPr>
                <w:rFonts w:ascii="標楷體" w:eastAsia="標楷體" w:hAnsi="標楷體"/>
                <w:kern w:val="0"/>
                <w:szCs w:val="22"/>
              </w:rPr>
              <w:t>19</w:t>
            </w:r>
            <w:r w:rsidRPr="00753E0D">
              <w:rPr>
                <w:rFonts w:ascii="標楷體" w:eastAsia="標楷體" w:hAnsi="標楷體" w:hint="eastAsia"/>
                <w:kern w:val="0"/>
                <w:szCs w:val="22"/>
              </w:rPr>
              <w:t>（10-6-1</w:t>
            </w:r>
            <w:r w:rsidRPr="00753E0D">
              <w:rPr>
                <w:rFonts w:ascii="標楷體" w:eastAsia="標楷體" w:hAnsi="標楷體"/>
                <w:kern w:val="0"/>
                <w:szCs w:val="22"/>
              </w:rPr>
              <w:t>6</w:t>
            </w:r>
            <w:r w:rsidRPr="00753E0D">
              <w:rPr>
                <w:rFonts w:ascii="標楷體" w:eastAsia="標楷體" w:hAnsi="標楷體" w:hint="eastAsia"/>
                <w:kern w:val="0"/>
                <w:szCs w:val="22"/>
              </w:rPr>
              <w:t>）三讀通過。</w:t>
            </w:r>
          </w:p>
          <w:p w14:paraId="51C228B4" w14:textId="6DA40453" w:rsidR="006756AE" w:rsidRPr="00B7221E" w:rsidRDefault="00C3781E" w:rsidP="00B7221E">
            <w:pPr>
              <w:kinsoku w:val="0"/>
              <w:topLinePunct/>
              <w:autoSpaceDE w:val="0"/>
              <w:autoSpaceDN w:val="0"/>
              <w:snapToGrid w:val="0"/>
              <w:spacing w:line="260" w:lineRule="exact"/>
              <w:ind w:leftChars="-17" w:rightChars="-24" w:right="-58" w:hangingChars="17" w:hanging="41"/>
              <w:jc w:val="both"/>
              <w:rPr>
                <w:rFonts w:ascii="標楷體" w:eastAsia="標楷體" w:hAnsi="標楷體"/>
                <w:spacing w:val="-10"/>
                <w:szCs w:val="22"/>
              </w:rPr>
            </w:pPr>
            <w:r>
              <w:rPr>
                <w:rFonts w:ascii="標楷體" w:eastAsia="標楷體" w:hAnsi="標楷體" w:hint="eastAsia"/>
                <w:szCs w:val="22"/>
              </w:rPr>
              <w:t>5.</w:t>
            </w:r>
            <w:r w:rsidR="006756AE" w:rsidRPr="00B7221E">
              <w:rPr>
                <w:rFonts w:ascii="標楷體" w:eastAsia="標楷體" w:hAnsi="標楷體" w:hint="eastAsia"/>
                <w:spacing w:val="-10"/>
                <w:szCs w:val="22"/>
              </w:rPr>
              <w:t>本院咨文日期及文號： 112年02月10日台立院議字第1120700193</w:t>
            </w:r>
            <w:r w:rsidR="006756AE" w:rsidRPr="00B7221E">
              <w:rPr>
                <w:rFonts w:ascii="標楷體" w:eastAsia="標楷體" w:hAnsi="標楷體" w:hint="eastAsia"/>
                <w:spacing w:val="-10"/>
                <w:szCs w:val="22"/>
              </w:rPr>
              <w:lastRenderedPageBreak/>
              <w:t>號</w:t>
            </w:r>
            <w:r w:rsidR="00E46630" w:rsidRPr="00B7221E">
              <w:rPr>
                <w:rFonts w:ascii="標楷體" w:eastAsia="標楷體" w:hAnsi="標楷體" w:hint="eastAsia"/>
                <w:spacing w:val="-10"/>
                <w:szCs w:val="22"/>
              </w:rPr>
              <w:t>。</w:t>
            </w:r>
          </w:p>
          <w:p w14:paraId="3E80C7F4" w14:textId="39D7175E" w:rsidR="006756AE" w:rsidRPr="00753E0D" w:rsidRDefault="006756AE" w:rsidP="00B7221E">
            <w:pPr>
              <w:kinsoku w:val="0"/>
              <w:wordWrap w:val="0"/>
              <w:topLinePunct/>
              <w:autoSpaceDE w:val="0"/>
              <w:autoSpaceDN w:val="0"/>
              <w:snapToGrid w:val="0"/>
              <w:spacing w:line="260" w:lineRule="exact"/>
              <w:ind w:leftChars="-17" w:left="-4" w:rightChars="-24" w:right="-58" w:hangingChars="17" w:hanging="37"/>
              <w:jc w:val="both"/>
              <w:rPr>
                <w:rFonts w:ascii="標楷體" w:eastAsia="標楷體" w:hAnsi="標楷體"/>
                <w:color w:val="000000"/>
                <w:kern w:val="0"/>
                <w:szCs w:val="22"/>
              </w:rPr>
            </w:pPr>
            <w:r w:rsidRPr="00B7221E">
              <w:rPr>
                <w:rFonts w:ascii="標楷體" w:eastAsia="標楷體" w:hAnsi="標楷體" w:hint="eastAsia"/>
                <w:spacing w:val="-10"/>
                <w:szCs w:val="22"/>
              </w:rPr>
              <w:t>6.總統公布日期及文號，總統府公報：112年2月16日華總一經字第11200012431號，第7647號。</w:t>
            </w:r>
          </w:p>
        </w:tc>
      </w:tr>
      <w:tr w:rsidR="00EB3514" w:rsidRPr="00753E0D" w14:paraId="7ACF6447" w14:textId="77777777" w:rsidTr="00EC13B7">
        <w:tc>
          <w:tcPr>
            <w:tcW w:w="581" w:type="dxa"/>
            <w:vMerge/>
            <w:shd w:val="clear" w:color="auto" w:fill="auto"/>
          </w:tcPr>
          <w:p w14:paraId="7206B3A5"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2058" w:type="dxa"/>
            <w:vMerge/>
            <w:shd w:val="clear" w:color="auto" w:fill="auto"/>
          </w:tcPr>
          <w:p w14:paraId="0626B1DD"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664" w:type="dxa"/>
            <w:vMerge/>
            <w:shd w:val="clear" w:color="auto" w:fill="auto"/>
          </w:tcPr>
          <w:p w14:paraId="15821493" w14:textId="77777777" w:rsidR="00EB3514" w:rsidRPr="00753E0D" w:rsidRDefault="00EB3514" w:rsidP="00E73B07">
            <w:pPr>
              <w:tabs>
                <w:tab w:val="left" w:pos="441"/>
                <w:tab w:val="left" w:pos="681"/>
                <w:tab w:val="left" w:pos="966"/>
              </w:tabs>
              <w:kinsoku w:val="0"/>
              <w:overflowPunct w:val="0"/>
              <w:autoSpaceDE w:val="0"/>
              <w:autoSpaceDN w:val="0"/>
              <w:spacing w:line="300" w:lineRule="exact"/>
              <w:ind w:rightChars="-3" w:right="-7"/>
              <w:rPr>
                <w:rFonts w:ascii="標楷體" w:eastAsia="標楷體" w:hAnsi="標楷體"/>
                <w:b/>
                <w:spacing w:val="-20"/>
                <w:szCs w:val="22"/>
              </w:rPr>
            </w:pPr>
          </w:p>
        </w:tc>
        <w:tc>
          <w:tcPr>
            <w:tcW w:w="1493" w:type="dxa"/>
            <w:vMerge/>
            <w:shd w:val="clear" w:color="auto" w:fill="auto"/>
          </w:tcPr>
          <w:p w14:paraId="3A5C021A"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p>
        </w:tc>
        <w:tc>
          <w:tcPr>
            <w:tcW w:w="1538" w:type="dxa"/>
            <w:shd w:val="clear" w:color="auto" w:fill="auto"/>
          </w:tcPr>
          <w:p w14:paraId="76C969D9"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kern w:val="0"/>
              </w:rPr>
              <w:t>111.11.17</w:t>
            </w:r>
          </w:p>
          <w:p w14:paraId="27EE91D6"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（10-6-17）</w:t>
            </w:r>
          </w:p>
          <w:p w14:paraId="065D76B8"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審竣立法院主管收支部分，須交由黨團協商。</w:t>
            </w:r>
          </w:p>
        </w:tc>
        <w:tc>
          <w:tcPr>
            <w:tcW w:w="1539" w:type="dxa"/>
            <w:vMerge/>
            <w:shd w:val="clear" w:color="auto" w:fill="auto"/>
          </w:tcPr>
          <w:p w14:paraId="4AA01841"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r>
      <w:tr w:rsidR="00EB3514" w:rsidRPr="00753E0D" w14:paraId="30207E97" w14:textId="77777777" w:rsidTr="00EC13B7">
        <w:tc>
          <w:tcPr>
            <w:tcW w:w="581" w:type="dxa"/>
            <w:vMerge/>
            <w:shd w:val="clear" w:color="auto" w:fill="auto"/>
          </w:tcPr>
          <w:p w14:paraId="014702DD"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2058" w:type="dxa"/>
            <w:vMerge/>
            <w:shd w:val="clear" w:color="auto" w:fill="auto"/>
          </w:tcPr>
          <w:p w14:paraId="1C45908F"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664" w:type="dxa"/>
            <w:vMerge/>
            <w:shd w:val="clear" w:color="auto" w:fill="auto"/>
          </w:tcPr>
          <w:p w14:paraId="33C7813D" w14:textId="77777777" w:rsidR="00EB3514" w:rsidRPr="00753E0D" w:rsidRDefault="00EB3514" w:rsidP="00E73B07">
            <w:pPr>
              <w:tabs>
                <w:tab w:val="left" w:pos="441"/>
                <w:tab w:val="left" w:pos="681"/>
                <w:tab w:val="left" w:pos="966"/>
              </w:tabs>
              <w:kinsoku w:val="0"/>
              <w:overflowPunct w:val="0"/>
              <w:autoSpaceDE w:val="0"/>
              <w:autoSpaceDN w:val="0"/>
              <w:spacing w:line="300" w:lineRule="exact"/>
              <w:ind w:rightChars="-3" w:right="-7"/>
              <w:rPr>
                <w:rFonts w:ascii="標楷體" w:eastAsia="標楷體" w:hAnsi="標楷體"/>
                <w:b/>
                <w:spacing w:val="-20"/>
                <w:szCs w:val="22"/>
              </w:rPr>
            </w:pPr>
          </w:p>
        </w:tc>
        <w:tc>
          <w:tcPr>
            <w:tcW w:w="1493" w:type="dxa"/>
            <w:vMerge/>
            <w:shd w:val="clear" w:color="auto" w:fill="auto"/>
          </w:tcPr>
          <w:p w14:paraId="07B5C47D"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p>
        </w:tc>
        <w:tc>
          <w:tcPr>
            <w:tcW w:w="1538" w:type="dxa"/>
            <w:shd w:val="clear" w:color="auto" w:fill="auto"/>
          </w:tcPr>
          <w:p w14:paraId="633F9788"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111.11.14</w:t>
            </w:r>
          </w:p>
          <w:p w14:paraId="19A533BB"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（10-6-15）</w:t>
            </w:r>
          </w:p>
          <w:p w14:paraId="71BE5DB4"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、111.12.8</w:t>
            </w:r>
          </w:p>
          <w:p w14:paraId="2F1DBB40"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（10-6-25）</w:t>
            </w:r>
          </w:p>
          <w:p w14:paraId="22A55FA4"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審竣司法院及所屬主管收支部分，須交由黨團協商。</w:t>
            </w:r>
          </w:p>
        </w:tc>
        <w:tc>
          <w:tcPr>
            <w:tcW w:w="1539" w:type="dxa"/>
            <w:vMerge/>
            <w:shd w:val="clear" w:color="auto" w:fill="auto"/>
          </w:tcPr>
          <w:p w14:paraId="3D52E4CE"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r>
      <w:tr w:rsidR="00EB3514" w:rsidRPr="00753E0D" w14:paraId="18BD6242" w14:textId="77777777" w:rsidTr="00EC13B7">
        <w:tc>
          <w:tcPr>
            <w:tcW w:w="581" w:type="dxa"/>
            <w:vMerge/>
            <w:shd w:val="clear" w:color="auto" w:fill="auto"/>
          </w:tcPr>
          <w:p w14:paraId="69A532D5"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2058" w:type="dxa"/>
            <w:vMerge/>
            <w:shd w:val="clear" w:color="auto" w:fill="auto"/>
          </w:tcPr>
          <w:p w14:paraId="019BF644"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664" w:type="dxa"/>
            <w:vMerge/>
            <w:shd w:val="clear" w:color="auto" w:fill="auto"/>
          </w:tcPr>
          <w:p w14:paraId="57433CDC" w14:textId="77777777" w:rsidR="00EB3514" w:rsidRPr="00753E0D" w:rsidRDefault="00EB3514" w:rsidP="00E73B07">
            <w:pPr>
              <w:tabs>
                <w:tab w:val="left" w:pos="441"/>
                <w:tab w:val="left" w:pos="681"/>
                <w:tab w:val="left" w:pos="966"/>
              </w:tabs>
              <w:kinsoku w:val="0"/>
              <w:overflowPunct w:val="0"/>
              <w:autoSpaceDE w:val="0"/>
              <w:autoSpaceDN w:val="0"/>
              <w:spacing w:line="300" w:lineRule="exact"/>
              <w:ind w:rightChars="-3" w:right="-7"/>
              <w:rPr>
                <w:rFonts w:ascii="標楷體" w:eastAsia="標楷體" w:hAnsi="標楷體"/>
                <w:b/>
                <w:spacing w:val="-20"/>
                <w:szCs w:val="22"/>
              </w:rPr>
            </w:pPr>
          </w:p>
        </w:tc>
        <w:tc>
          <w:tcPr>
            <w:tcW w:w="1493" w:type="dxa"/>
            <w:vMerge/>
            <w:shd w:val="clear" w:color="auto" w:fill="auto"/>
          </w:tcPr>
          <w:p w14:paraId="49829991"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538" w:type="dxa"/>
            <w:shd w:val="clear" w:color="auto" w:fill="auto"/>
          </w:tcPr>
          <w:p w14:paraId="324A2638"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111.12.15</w:t>
            </w:r>
          </w:p>
          <w:p w14:paraId="61A90450"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（10-6-27）審竣總統府主管（不含中央研究院）收支部分，須交由黨團協商。</w:t>
            </w:r>
          </w:p>
        </w:tc>
        <w:tc>
          <w:tcPr>
            <w:tcW w:w="1539" w:type="dxa"/>
            <w:vMerge/>
            <w:shd w:val="clear" w:color="auto" w:fill="auto"/>
          </w:tcPr>
          <w:p w14:paraId="2C176654"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r>
      <w:tr w:rsidR="00EB3514" w:rsidRPr="00753E0D" w14:paraId="4C2571C6" w14:textId="77777777" w:rsidTr="00EC13B7">
        <w:tc>
          <w:tcPr>
            <w:tcW w:w="581" w:type="dxa"/>
            <w:vMerge/>
            <w:shd w:val="clear" w:color="auto" w:fill="auto"/>
          </w:tcPr>
          <w:p w14:paraId="346F4B3B"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2058" w:type="dxa"/>
            <w:vMerge/>
            <w:shd w:val="clear" w:color="auto" w:fill="auto"/>
          </w:tcPr>
          <w:p w14:paraId="2CA5D453"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664" w:type="dxa"/>
            <w:vMerge/>
            <w:shd w:val="clear" w:color="auto" w:fill="auto"/>
          </w:tcPr>
          <w:p w14:paraId="70CF4F56" w14:textId="77777777" w:rsidR="00EB3514" w:rsidRPr="00753E0D" w:rsidRDefault="00EB3514" w:rsidP="00E73B07">
            <w:pPr>
              <w:tabs>
                <w:tab w:val="left" w:pos="441"/>
                <w:tab w:val="left" w:pos="681"/>
                <w:tab w:val="left" w:pos="966"/>
              </w:tabs>
              <w:kinsoku w:val="0"/>
              <w:overflowPunct w:val="0"/>
              <w:autoSpaceDE w:val="0"/>
              <w:autoSpaceDN w:val="0"/>
              <w:spacing w:line="300" w:lineRule="exact"/>
              <w:ind w:rightChars="-3" w:right="-7"/>
              <w:rPr>
                <w:rFonts w:ascii="標楷體" w:eastAsia="標楷體" w:hAnsi="標楷體"/>
                <w:b/>
                <w:spacing w:val="-20"/>
                <w:szCs w:val="22"/>
              </w:rPr>
            </w:pPr>
          </w:p>
        </w:tc>
        <w:tc>
          <w:tcPr>
            <w:tcW w:w="1493" w:type="dxa"/>
            <w:vMerge w:val="restart"/>
            <w:shd w:val="clear" w:color="auto" w:fill="auto"/>
          </w:tcPr>
          <w:p w14:paraId="5C23989E"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司法及法制</w:t>
            </w:r>
          </w:p>
          <w:p w14:paraId="5CA2C156" w14:textId="77777777" w:rsidR="00EB3514" w:rsidRPr="00753E0D" w:rsidRDefault="00EB3514" w:rsidP="00E73B07">
            <w:pPr>
              <w:kinsoku w:val="0"/>
              <w:overflowPunct w:val="0"/>
              <w:autoSpaceDE w:val="0"/>
              <w:autoSpaceDN w:val="0"/>
              <w:spacing w:line="260" w:lineRule="exact"/>
              <w:rPr>
                <w:rFonts w:ascii="標楷體" w:eastAsia="標楷體" w:hAnsi="標楷體"/>
                <w:b/>
                <w:spacing w:val="-20"/>
                <w:szCs w:val="22"/>
              </w:rPr>
            </w:pPr>
            <w:r w:rsidRPr="00753E0D">
              <w:rPr>
                <w:rFonts w:ascii="標楷體" w:eastAsia="標楷體" w:hAnsi="標楷體" w:hint="eastAsia"/>
                <w:kern w:val="0"/>
                <w:szCs w:val="22"/>
              </w:rPr>
              <w:t>林召集委員思銘</w:t>
            </w:r>
          </w:p>
        </w:tc>
        <w:tc>
          <w:tcPr>
            <w:tcW w:w="1538" w:type="dxa"/>
            <w:shd w:val="clear" w:color="auto" w:fill="auto"/>
          </w:tcPr>
          <w:p w14:paraId="6ADFD535"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111.11.7</w:t>
            </w:r>
          </w:p>
          <w:p w14:paraId="280351B5"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（10-6-12）</w:t>
            </w:r>
          </w:p>
          <w:p w14:paraId="2262658C"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、111.11.30</w:t>
            </w:r>
          </w:p>
          <w:p w14:paraId="33DE68B4"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rPr>
              <w:t>（10-6-22）</w:t>
            </w:r>
          </w:p>
          <w:p w14:paraId="766387BF"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szCs w:val="22"/>
              </w:rPr>
              <w:t>審竣監察院主管（不含審計部及所屬）收支部分，須交由黨團協商。</w:t>
            </w:r>
          </w:p>
        </w:tc>
        <w:tc>
          <w:tcPr>
            <w:tcW w:w="1539" w:type="dxa"/>
            <w:vMerge/>
            <w:shd w:val="clear" w:color="auto" w:fill="auto"/>
          </w:tcPr>
          <w:p w14:paraId="635B99BA"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r>
      <w:tr w:rsidR="00EB3514" w:rsidRPr="00753E0D" w14:paraId="04505148" w14:textId="77777777" w:rsidTr="00EC13B7">
        <w:tc>
          <w:tcPr>
            <w:tcW w:w="581" w:type="dxa"/>
            <w:vMerge/>
            <w:shd w:val="clear" w:color="auto" w:fill="auto"/>
          </w:tcPr>
          <w:p w14:paraId="538AA6C6"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2058" w:type="dxa"/>
            <w:vMerge/>
            <w:shd w:val="clear" w:color="auto" w:fill="auto"/>
          </w:tcPr>
          <w:p w14:paraId="092CDEB6"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664" w:type="dxa"/>
            <w:vMerge/>
            <w:shd w:val="clear" w:color="auto" w:fill="auto"/>
          </w:tcPr>
          <w:p w14:paraId="1968AB5C" w14:textId="77777777" w:rsidR="00EB3514" w:rsidRPr="00753E0D" w:rsidRDefault="00EB3514" w:rsidP="00E73B07">
            <w:pPr>
              <w:tabs>
                <w:tab w:val="left" w:pos="441"/>
                <w:tab w:val="left" w:pos="681"/>
                <w:tab w:val="left" w:pos="966"/>
              </w:tabs>
              <w:kinsoku w:val="0"/>
              <w:overflowPunct w:val="0"/>
              <w:autoSpaceDE w:val="0"/>
              <w:autoSpaceDN w:val="0"/>
              <w:spacing w:line="300" w:lineRule="exact"/>
              <w:ind w:rightChars="-3" w:right="-7"/>
              <w:rPr>
                <w:rFonts w:ascii="標楷體" w:eastAsia="標楷體" w:hAnsi="標楷體"/>
                <w:b/>
                <w:spacing w:val="-20"/>
                <w:szCs w:val="22"/>
              </w:rPr>
            </w:pPr>
          </w:p>
        </w:tc>
        <w:tc>
          <w:tcPr>
            <w:tcW w:w="1493" w:type="dxa"/>
            <w:vMerge/>
            <w:shd w:val="clear" w:color="auto" w:fill="auto"/>
          </w:tcPr>
          <w:p w14:paraId="5F82A796"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538" w:type="dxa"/>
            <w:shd w:val="clear" w:color="auto" w:fill="auto"/>
          </w:tcPr>
          <w:p w14:paraId="3264040E"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111.11.10</w:t>
            </w:r>
          </w:p>
          <w:p w14:paraId="41FC4967"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（10-6-14）</w:t>
            </w:r>
          </w:p>
          <w:p w14:paraId="0698D6BA"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、111.12.1</w:t>
            </w:r>
          </w:p>
          <w:p w14:paraId="30725D09"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rPr>
              <w:t>（10-6-23）</w:t>
            </w:r>
          </w:p>
          <w:p w14:paraId="2E67F657"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szCs w:val="22"/>
              </w:rPr>
              <w:t>審竣法務部及所屬主管收支部分，須交由黨團協商。</w:t>
            </w:r>
          </w:p>
        </w:tc>
        <w:tc>
          <w:tcPr>
            <w:tcW w:w="1539" w:type="dxa"/>
            <w:vMerge/>
            <w:shd w:val="clear" w:color="auto" w:fill="auto"/>
          </w:tcPr>
          <w:p w14:paraId="656239CD"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r>
      <w:tr w:rsidR="00EB3514" w:rsidRPr="00753E0D" w14:paraId="7B571DD9" w14:textId="77777777" w:rsidTr="00EC13B7">
        <w:tc>
          <w:tcPr>
            <w:tcW w:w="581" w:type="dxa"/>
            <w:vMerge/>
            <w:shd w:val="clear" w:color="auto" w:fill="auto"/>
          </w:tcPr>
          <w:p w14:paraId="184AE889"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2058" w:type="dxa"/>
            <w:vMerge/>
            <w:shd w:val="clear" w:color="auto" w:fill="auto"/>
          </w:tcPr>
          <w:p w14:paraId="0CC79E26"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664" w:type="dxa"/>
            <w:vMerge/>
            <w:shd w:val="clear" w:color="auto" w:fill="auto"/>
          </w:tcPr>
          <w:p w14:paraId="610ACB21" w14:textId="77777777" w:rsidR="00EB3514" w:rsidRPr="00753E0D" w:rsidRDefault="00EB3514" w:rsidP="00E73B07">
            <w:pPr>
              <w:tabs>
                <w:tab w:val="left" w:pos="441"/>
                <w:tab w:val="left" w:pos="681"/>
                <w:tab w:val="left" w:pos="966"/>
              </w:tabs>
              <w:kinsoku w:val="0"/>
              <w:overflowPunct w:val="0"/>
              <w:autoSpaceDE w:val="0"/>
              <w:autoSpaceDN w:val="0"/>
              <w:spacing w:line="300" w:lineRule="exact"/>
              <w:ind w:rightChars="-3" w:right="-7"/>
              <w:rPr>
                <w:rFonts w:ascii="標楷體" w:eastAsia="標楷體" w:hAnsi="標楷體"/>
                <w:b/>
                <w:spacing w:val="-20"/>
                <w:szCs w:val="22"/>
              </w:rPr>
            </w:pPr>
          </w:p>
        </w:tc>
        <w:tc>
          <w:tcPr>
            <w:tcW w:w="1493" w:type="dxa"/>
            <w:vMerge/>
            <w:shd w:val="clear" w:color="auto" w:fill="auto"/>
          </w:tcPr>
          <w:p w14:paraId="761F9B15"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c>
          <w:tcPr>
            <w:tcW w:w="1538" w:type="dxa"/>
            <w:shd w:val="clear" w:color="auto" w:fill="auto"/>
          </w:tcPr>
          <w:p w14:paraId="358D7CA0"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111.11.16</w:t>
            </w:r>
          </w:p>
          <w:p w14:paraId="0FF2D3AE"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（10-6-16）</w:t>
            </w:r>
          </w:p>
          <w:p w14:paraId="71AF6D9C"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rPr>
              <w:t>、111.12.7</w:t>
            </w:r>
          </w:p>
          <w:p w14:paraId="720CEABC" w14:textId="77777777" w:rsidR="00EB3514" w:rsidRPr="00753E0D" w:rsidRDefault="00EB3514" w:rsidP="00E73B0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rPr>
              <w:t>（10-6-24）</w:t>
            </w:r>
          </w:p>
          <w:p w14:paraId="7496323E" w14:textId="77777777" w:rsidR="00EB3514" w:rsidRPr="00753E0D" w:rsidRDefault="00EB3514" w:rsidP="00E73B07">
            <w:pPr>
              <w:kinsoku w:val="0"/>
              <w:overflowPunct w:val="0"/>
              <w:autoSpaceDE w:val="0"/>
              <w:autoSpaceDN w:val="0"/>
              <w:spacing w:line="260" w:lineRule="exact"/>
              <w:rPr>
                <w:rFonts w:ascii="標楷體" w:eastAsia="標楷體" w:hAnsi="標楷體"/>
                <w:kern w:val="0"/>
              </w:rPr>
            </w:pPr>
            <w:r w:rsidRPr="00753E0D">
              <w:rPr>
                <w:rFonts w:ascii="標楷體" w:eastAsia="標楷體" w:hAnsi="標楷體" w:hint="eastAsia"/>
                <w:kern w:val="0"/>
                <w:szCs w:val="22"/>
              </w:rPr>
              <w:t>審竣行政院人事行政總處及所屬主管收支部分，須交由黨團協商。</w:t>
            </w:r>
          </w:p>
        </w:tc>
        <w:tc>
          <w:tcPr>
            <w:tcW w:w="1539" w:type="dxa"/>
            <w:vMerge/>
            <w:shd w:val="clear" w:color="auto" w:fill="auto"/>
          </w:tcPr>
          <w:p w14:paraId="41126FC8" w14:textId="77777777" w:rsidR="00EB3514" w:rsidRPr="00753E0D" w:rsidRDefault="00EB3514" w:rsidP="00E73B07">
            <w:pPr>
              <w:kinsoku w:val="0"/>
              <w:overflowPunct w:val="0"/>
              <w:autoSpaceDE w:val="0"/>
              <w:autoSpaceDN w:val="0"/>
              <w:spacing w:line="300" w:lineRule="exact"/>
              <w:rPr>
                <w:rFonts w:ascii="標楷體" w:eastAsia="標楷體" w:hAnsi="標楷體"/>
                <w:b/>
                <w:spacing w:val="-20"/>
                <w:szCs w:val="22"/>
              </w:rPr>
            </w:pPr>
          </w:p>
        </w:tc>
      </w:tr>
    </w:tbl>
    <w:p w14:paraId="58211800" w14:textId="77777777" w:rsidR="00EB3514" w:rsidRPr="00753E0D" w:rsidRDefault="00EB3514" w:rsidP="00E73B07">
      <w:pPr>
        <w:kinsoku w:val="0"/>
        <w:overflowPunct w:val="0"/>
        <w:autoSpaceDE w:val="0"/>
        <w:autoSpaceDN w:val="0"/>
      </w:pPr>
    </w:p>
    <w:p w14:paraId="08A28FBF" w14:textId="5731B451" w:rsidR="00EB3514" w:rsidRDefault="00EB3514" w:rsidP="00EC13B7">
      <w:pPr>
        <w:pStyle w:val="afffffc"/>
        <w:kinsoku w:val="0"/>
        <w:overflowPunct w:val="0"/>
        <w:spacing w:beforeLines="100" w:before="360" w:afterLines="100" w:after="360" w:line="260" w:lineRule="exact"/>
        <w:ind w:leftChars="472" w:left="1133"/>
        <w:rPr>
          <w:bCs w:val="0"/>
          <w:color w:val="000000" w:themeColor="text1"/>
        </w:rPr>
      </w:pPr>
      <w:r w:rsidRPr="00753E0D">
        <w:rPr>
          <w:rFonts w:hint="eastAsia"/>
          <w:bCs w:val="0"/>
          <w:color w:val="000000" w:themeColor="text1"/>
        </w:rPr>
        <w:t>(二)待院會審議之議案1案</w:t>
      </w:r>
    </w:p>
    <w:tbl>
      <w:tblPr>
        <w:tblW w:w="8700" w:type="dxa"/>
        <w:tblInd w:w="52"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23"/>
        <w:gridCol w:w="1843"/>
        <w:gridCol w:w="1687"/>
        <w:gridCol w:w="2009"/>
        <w:gridCol w:w="2538"/>
      </w:tblGrid>
      <w:tr w:rsidR="0070035C" w:rsidRPr="00C62D95" w14:paraId="0D109251" w14:textId="77777777" w:rsidTr="00EC0DAE">
        <w:tc>
          <w:tcPr>
            <w:tcW w:w="623" w:type="dxa"/>
            <w:hideMark/>
          </w:tcPr>
          <w:p w14:paraId="09F01B00" w14:textId="77777777" w:rsidR="0070035C" w:rsidRPr="00C62D95" w:rsidRDefault="0070035C" w:rsidP="00EC0DAE">
            <w:pPr>
              <w:adjustRightInd w:val="0"/>
              <w:snapToGrid w:val="0"/>
              <w:spacing w:line="260" w:lineRule="exact"/>
              <w:jc w:val="center"/>
              <w:rPr>
                <w:rFonts w:ascii="標楷體" w:eastAsia="標楷體" w:hAnsi="標楷體"/>
                <w:b/>
              </w:rPr>
            </w:pPr>
            <w:r w:rsidRPr="00C62D95">
              <w:rPr>
                <w:rFonts w:ascii="標楷體" w:eastAsia="標楷體" w:hAnsi="標楷體" w:hint="eastAsia"/>
                <w:b/>
              </w:rPr>
              <w:t>序號</w:t>
            </w:r>
          </w:p>
        </w:tc>
        <w:tc>
          <w:tcPr>
            <w:tcW w:w="1843" w:type="dxa"/>
            <w:hideMark/>
          </w:tcPr>
          <w:p w14:paraId="5B487D61" w14:textId="77777777" w:rsidR="0070035C" w:rsidRPr="00C62D95" w:rsidRDefault="0070035C" w:rsidP="00EC0DAE">
            <w:pPr>
              <w:spacing w:line="280" w:lineRule="exact"/>
              <w:ind w:leftChars="-45" w:left="-108" w:rightChars="-45" w:right="-108"/>
              <w:jc w:val="center"/>
              <w:rPr>
                <w:rFonts w:ascii="標楷體" w:eastAsia="標楷體" w:hAnsi="標楷體"/>
                <w:b/>
              </w:rPr>
            </w:pPr>
            <w:r w:rsidRPr="00C62D95">
              <w:rPr>
                <w:rFonts w:ascii="標楷體" w:eastAsia="標楷體" w:hAnsi="標楷體" w:hint="eastAsia"/>
                <w:b/>
              </w:rPr>
              <w:t>議案名稱</w:t>
            </w:r>
          </w:p>
        </w:tc>
        <w:tc>
          <w:tcPr>
            <w:tcW w:w="1687" w:type="dxa"/>
            <w:hideMark/>
          </w:tcPr>
          <w:p w14:paraId="06FEDCCA" w14:textId="77777777" w:rsidR="0070035C" w:rsidRPr="0031771F" w:rsidRDefault="0070035C" w:rsidP="00EC0DAE">
            <w:pPr>
              <w:tabs>
                <w:tab w:val="left" w:pos="441"/>
                <w:tab w:val="left" w:pos="681"/>
                <w:tab w:val="left" w:pos="966"/>
              </w:tabs>
              <w:spacing w:line="300" w:lineRule="exact"/>
              <w:ind w:leftChars="-8" w:left="1" w:rightChars="-3" w:right="-7" w:hangingChars="10" w:hanging="20"/>
              <w:rPr>
                <w:rFonts w:ascii="標楷體" w:eastAsia="標楷體" w:hAnsi="標楷體"/>
                <w:b/>
                <w:spacing w:val="-20"/>
              </w:rPr>
            </w:pPr>
            <w:r w:rsidRPr="00497CF8">
              <w:rPr>
                <w:rFonts w:ascii="標楷體" w:eastAsia="標楷體" w:hAnsi="標楷體" w:hint="eastAsia"/>
                <w:b/>
                <w:spacing w:val="-20"/>
                <w:szCs w:val="22"/>
              </w:rPr>
              <w:t>提案機關、院會</w:t>
            </w:r>
            <w:r w:rsidRPr="00497CF8">
              <w:rPr>
                <w:rFonts w:ascii="標楷體" w:eastAsia="標楷體" w:hAnsi="標楷體" w:hint="eastAsia"/>
                <w:b/>
                <w:spacing w:val="-30"/>
                <w:szCs w:val="22"/>
              </w:rPr>
              <w:t>交付日期（會次）</w:t>
            </w:r>
          </w:p>
        </w:tc>
        <w:tc>
          <w:tcPr>
            <w:tcW w:w="2009" w:type="dxa"/>
            <w:hideMark/>
          </w:tcPr>
          <w:p w14:paraId="7A68F018" w14:textId="77777777" w:rsidR="0070035C" w:rsidRPr="00C62D95" w:rsidRDefault="0070035C" w:rsidP="00EC0DAE">
            <w:pPr>
              <w:spacing w:line="300" w:lineRule="exact"/>
              <w:jc w:val="center"/>
              <w:rPr>
                <w:rFonts w:ascii="標楷體" w:eastAsia="標楷體" w:hAnsi="標楷體"/>
                <w:b/>
              </w:rPr>
            </w:pPr>
            <w:r w:rsidRPr="00C62D95">
              <w:rPr>
                <w:rFonts w:ascii="標楷體" w:eastAsia="標楷體" w:hAnsi="標楷體" w:hint="eastAsia"/>
                <w:b/>
              </w:rPr>
              <w:t>審查委員會</w:t>
            </w:r>
          </w:p>
          <w:p w14:paraId="26CFCA32" w14:textId="77777777" w:rsidR="0070035C" w:rsidRPr="00C62D95" w:rsidRDefault="0070035C" w:rsidP="00EC0DAE">
            <w:pPr>
              <w:spacing w:line="300" w:lineRule="exact"/>
              <w:jc w:val="center"/>
              <w:rPr>
                <w:rFonts w:ascii="標楷體" w:eastAsia="標楷體" w:hAnsi="標楷體"/>
                <w:b/>
              </w:rPr>
            </w:pPr>
            <w:r w:rsidRPr="00C62D95">
              <w:rPr>
                <w:rFonts w:ascii="標楷體" w:eastAsia="標楷體" w:hAnsi="標楷體" w:hint="eastAsia"/>
                <w:b/>
              </w:rPr>
              <w:t>院會說明人</w:t>
            </w:r>
          </w:p>
        </w:tc>
        <w:tc>
          <w:tcPr>
            <w:tcW w:w="2538" w:type="dxa"/>
            <w:hideMark/>
          </w:tcPr>
          <w:p w14:paraId="0C8CB536" w14:textId="77777777" w:rsidR="0070035C" w:rsidRPr="00C62D95" w:rsidRDefault="0070035C" w:rsidP="00EC0DAE">
            <w:pPr>
              <w:spacing w:line="260" w:lineRule="exact"/>
              <w:jc w:val="center"/>
              <w:rPr>
                <w:rFonts w:ascii="標楷體" w:eastAsia="標楷體" w:hAnsi="標楷體"/>
                <w:b/>
              </w:rPr>
            </w:pPr>
            <w:r w:rsidRPr="00C62D95">
              <w:rPr>
                <w:rFonts w:ascii="標楷體" w:eastAsia="標楷體" w:hAnsi="標楷體" w:hint="eastAsia"/>
                <w:b/>
              </w:rPr>
              <w:t>審查情形</w:t>
            </w:r>
          </w:p>
        </w:tc>
      </w:tr>
      <w:tr w:rsidR="0070035C" w:rsidRPr="00C62D95" w14:paraId="794D6430" w14:textId="77777777" w:rsidTr="00EC0DAE">
        <w:tc>
          <w:tcPr>
            <w:tcW w:w="623" w:type="dxa"/>
            <w:vMerge w:val="restart"/>
            <w:hideMark/>
          </w:tcPr>
          <w:p w14:paraId="4FC9DBA8" w14:textId="77777777" w:rsidR="0070035C" w:rsidRPr="00C62D95" w:rsidRDefault="0070035C" w:rsidP="00EC0DAE">
            <w:pPr>
              <w:adjustRightInd w:val="0"/>
              <w:snapToGrid w:val="0"/>
              <w:spacing w:line="260" w:lineRule="exact"/>
              <w:jc w:val="center"/>
              <w:rPr>
                <w:rFonts w:ascii="標楷體" w:eastAsia="標楷體" w:hAnsi="標楷體"/>
              </w:rPr>
            </w:pPr>
            <w:r w:rsidRPr="00C62D95">
              <w:rPr>
                <w:rFonts w:ascii="標楷體" w:eastAsia="標楷體" w:hAnsi="標楷體" w:hint="eastAsia"/>
              </w:rPr>
              <w:t>1</w:t>
            </w:r>
          </w:p>
        </w:tc>
        <w:tc>
          <w:tcPr>
            <w:tcW w:w="1843" w:type="dxa"/>
            <w:vMerge w:val="restart"/>
            <w:hideMark/>
          </w:tcPr>
          <w:p w14:paraId="0DFC98A5" w14:textId="77777777" w:rsidR="0070035C" w:rsidRPr="00C62D95" w:rsidRDefault="0070035C" w:rsidP="00EC0DAE">
            <w:pPr>
              <w:spacing w:line="260" w:lineRule="exact"/>
              <w:ind w:leftChars="-22" w:left="-36" w:rightChars="-50" w:right="-120" w:hangingChars="7" w:hanging="17"/>
            </w:pPr>
            <w:r w:rsidRPr="00C62D95">
              <w:rPr>
                <w:rFonts w:ascii="標楷體" w:eastAsia="標楷體" w:hAnsi="標楷體" w:hint="eastAsia"/>
                <w:kern w:val="0"/>
              </w:rPr>
              <w:t>中華民國112年</w:t>
            </w:r>
            <w:r w:rsidRPr="00C62D95">
              <w:rPr>
                <w:rFonts w:ascii="標楷體" w:eastAsia="標楷體" w:hAnsi="標楷體" w:hint="eastAsia"/>
                <w:kern w:val="0"/>
              </w:rPr>
              <w:lastRenderedPageBreak/>
              <w:t>度中央政府總預算案（附屬單位預算及綜計表－營業及非營業部分）</w:t>
            </w:r>
          </w:p>
        </w:tc>
        <w:tc>
          <w:tcPr>
            <w:tcW w:w="1687" w:type="dxa"/>
            <w:vMerge w:val="restart"/>
            <w:hideMark/>
          </w:tcPr>
          <w:p w14:paraId="2E78B8E6" w14:textId="77777777" w:rsidR="0070035C" w:rsidRPr="00C62D95" w:rsidRDefault="0070035C" w:rsidP="00EC0DAE">
            <w:pPr>
              <w:spacing w:line="260" w:lineRule="exact"/>
              <w:ind w:rightChars="-45" w:right="-108"/>
              <w:rPr>
                <w:rFonts w:ascii="標楷體" w:eastAsia="標楷體" w:hAnsi="標楷體"/>
                <w:kern w:val="0"/>
              </w:rPr>
            </w:pPr>
            <w:r w:rsidRPr="00C62D95">
              <w:rPr>
                <w:rFonts w:ascii="標楷體" w:eastAsia="標楷體" w:hAnsi="標楷體" w:hint="eastAsia"/>
                <w:kern w:val="0"/>
              </w:rPr>
              <w:lastRenderedPageBreak/>
              <w:t xml:space="preserve">行政院 </w:t>
            </w:r>
          </w:p>
          <w:p w14:paraId="685A29EB" w14:textId="77777777" w:rsidR="0070035C" w:rsidRPr="00C62D95" w:rsidRDefault="0070035C" w:rsidP="00EC0DAE">
            <w:pPr>
              <w:spacing w:line="260" w:lineRule="exact"/>
              <w:ind w:rightChars="-45" w:right="-108"/>
              <w:rPr>
                <w:rFonts w:ascii="標楷體" w:hAnsi="標楷體"/>
                <w:b/>
              </w:rPr>
            </w:pPr>
            <w:r w:rsidRPr="00C62D95">
              <w:rPr>
                <w:rFonts w:ascii="標楷體" w:eastAsia="標楷體" w:hAnsi="標楷體" w:hint="eastAsia"/>
                <w:kern w:val="0"/>
              </w:rPr>
              <w:lastRenderedPageBreak/>
              <w:t>111.09.23 （10-6-1）</w:t>
            </w:r>
          </w:p>
        </w:tc>
        <w:tc>
          <w:tcPr>
            <w:tcW w:w="2009" w:type="dxa"/>
            <w:vMerge w:val="restart"/>
            <w:hideMark/>
          </w:tcPr>
          <w:p w14:paraId="6606F875" w14:textId="77777777" w:rsidR="0070035C" w:rsidRPr="00C62D95" w:rsidRDefault="0070035C" w:rsidP="00EC0DAE">
            <w:pPr>
              <w:spacing w:line="260" w:lineRule="exact"/>
              <w:rPr>
                <w:rFonts w:ascii="標楷體" w:eastAsia="標楷體" w:hAnsi="標楷體"/>
                <w:kern w:val="0"/>
              </w:rPr>
            </w:pPr>
            <w:r w:rsidRPr="00C62D95">
              <w:rPr>
                <w:rFonts w:ascii="標楷體" w:eastAsia="標楷體" w:hAnsi="標楷體" w:hint="eastAsia"/>
                <w:kern w:val="0"/>
              </w:rPr>
              <w:lastRenderedPageBreak/>
              <w:t>司法及法制</w:t>
            </w:r>
          </w:p>
          <w:p w14:paraId="34768369" w14:textId="77777777" w:rsidR="0070035C" w:rsidRPr="00C62D95" w:rsidRDefault="0070035C" w:rsidP="00EC0DAE">
            <w:pPr>
              <w:spacing w:line="260" w:lineRule="exact"/>
              <w:rPr>
                <w:rFonts w:ascii="標楷體" w:hAnsi="標楷體"/>
                <w:b/>
              </w:rPr>
            </w:pPr>
            <w:r w:rsidRPr="00C62D95">
              <w:rPr>
                <w:rFonts w:ascii="標楷體" w:eastAsia="標楷體" w:hAnsi="標楷體" w:hint="eastAsia"/>
                <w:kern w:val="0"/>
              </w:rPr>
              <w:lastRenderedPageBreak/>
              <w:t>陳召集委員歐珀</w:t>
            </w:r>
          </w:p>
        </w:tc>
        <w:tc>
          <w:tcPr>
            <w:tcW w:w="2538" w:type="dxa"/>
            <w:hideMark/>
          </w:tcPr>
          <w:p w14:paraId="419C23FE"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lastRenderedPageBreak/>
              <w:t>111.10.20（10-6-8）、</w:t>
            </w:r>
          </w:p>
          <w:p w14:paraId="1E1DA0BD"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lastRenderedPageBreak/>
              <w:t>111.11.2（10-6-11）</w:t>
            </w:r>
          </w:p>
          <w:p w14:paraId="71AC47DA" w14:textId="77777777" w:rsidR="0070035C" w:rsidRPr="00C62D95" w:rsidRDefault="0070035C" w:rsidP="00EC0DAE">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審竣考試院考選部主管「考選業務基金」收支部分，須交由黨團協商。</w:t>
            </w:r>
          </w:p>
        </w:tc>
      </w:tr>
      <w:tr w:rsidR="0070035C" w:rsidRPr="00C62D95" w14:paraId="0292E8CD" w14:textId="77777777" w:rsidTr="00EC0DAE">
        <w:tc>
          <w:tcPr>
            <w:tcW w:w="623" w:type="dxa"/>
            <w:vMerge/>
            <w:vAlign w:val="center"/>
            <w:hideMark/>
          </w:tcPr>
          <w:p w14:paraId="29097828" w14:textId="77777777" w:rsidR="0070035C" w:rsidRPr="00C62D95" w:rsidRDefault="0070035C" w:rsidP="00EC0DAE">
            <w:pPr>
              <w:widowControl/>
              <w:rPr>
                <w:rFonts w:ascii="標楷體" w:eastAsia="標楷體" w:hAnsi="標楷體"/>
              </w:rPr>
            </w:pPr>
          </w:p>
        </w:tc>
        <w:tc>
          <w:tcPr>
            <w:tcW w:w="1843" w:type="dxa"/>
            <w:vMerge/>
            <w:vAlign w:val="center"/>
            <w:hideMark/>
          </w:tcPr>
          <w:p w14:paraId="6B534D9A" w14:textId="77777777" w:rsidR="0070035C" w:rsidRPr="00C62D95" w:rsidRDefault="0070035C" w:rsidP="00EC0DAE">
            <w:pPr>
              <w:widowControl/>
            </w:pPr>
          </w:p>
        </w:tc>
        <w:tc>
          <w:tcPr>
            <w:tcW w:w="1687" w:type="dxa"/>
            <w:vMerge/>
            <w:vAlign w:val="center"/>
            <w:hideMark/>
          </w:tcPr>
          <w:p w14:paraId="75D4FA30" w14:textId="77777777" w:rsidR="0070035C" w:rsidRPr="00C62D95" w:rsidRDefault="0070035C" w:rsidP="00EC0DAE">
            <w:pPr>
              <w:widowControl/>
              <w:rPr>
                <w:rFonts w:ascii="標楷體" w:hAnsi="標楷體"/>
                <w:b/>
              </w:rPr>
            </w:pPr>
          </w:p>
        </w:tc>
        <w:tc>
          <w:tcPr>
            <w:tcW w:w="2009" w:type="dxa"/>
            <w:vMerge/>
            <w:vAlign w:val="center"/>
            <w:hideMark/>
          </w:tcPr>
          <w:p w14:paraId="068EFD5A" w14:textId="77777777" w:rsidR="0070035C" w:rsidRPr="00C62D95" w:rsidRDefault="0070035C" w:rsidP="00EC0DAE">
            <w:pPr>
              <w:widowControl/>
              <w:rPr>
                <w:rFonts w:ascii="標楷體" w:hAnsi="標楷體"/>
                <w:b/>
              </w:rPr>
            </w:pPr>
          </w:p>
        </w:tc>
        <w:tc>
          <w:tcPr>
            <w:tcW w:w="2538" w:type="dxa"/>
            <w:hideMark/>
          </w:tcPr>
          <w:p w14:paraId="369A0730"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111.10.20（10-6-8）、</w:t>
            </w:r>
          </w:p>
          <w:p w14:paraId="4E129DB2"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111.11.2（10-6-11）</w:t>
            </w:r>
          </w:p>
          <w:p w14:paraId="3B3886AA" w14:textId="77777777" w:rsidR="0070035C" w:rsidRPr="00C62D95" w:rsidRDefault="0070035C" w:rsidP="00EC0DAE">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審竣考試院銓敘部主管「公務人員退休撫卹基金」收支部分，須交由黨團協商。</w:t>
            </w:r>
          </w:p>
        </w:tc>
      </w:tr>
      <w:tr w:rsidR="0070035C" w:rsidRPr="00C62D95" w14:paraId="5180B9AE" w14:textId="77777777" w:rsidTr="00EC0DAE">
        <w:tc>
          <w:tcPr>
            <w:tcW w:w="623" w:type="dxa"/>
            <w:vMerge/>
            <w:vAlign w:val="center"/>
            <w:hideMark/>
          </w:tcPr>
          <w:p w14:paraId="58F9A70F" w14:textId="77777777" w:rsidR="0070035C" w:rsidRPr="00C62D95" w:rsidRDefault="0070035C" w:rsidP="00EC0DAE">
            <w:pPr>
              <w:widowControl/>
              <w:rPr>
                <w:rFonts w:ascii="標楷體" w:eastAsia="標楷體" w:hAnsi="標楷體"/>
              </w:rPr>
            </w:pPr>
          </w:p>
        </w:tc>
        <w:tc>
          <w:tcPr>
            <w:tcW w:w="1843" w:type="dxa"/>
            <w:vMerge/>
            <w:vAlign w:val="center"/>
            <w:hideMark/>
          </w:tcPr>
          <w:p w14:paraId="7C8AD931" w14:textId="77777777" w:rsidR="0070035C" w:rsidRPr="00C62D95" w:rsidRDefault="0070035C" w:rsidP="00EC0DAE">
            <w:pPr>
              <w:widowControl/>
            </w:pPr>
          </w:p>
        </w:tc>
        <w:tc>
          <w:tcPr>
            <w:tcW w:w="1687" w:type="dxa"/>
            <w:vMerge/>
            <w:vAlign w:val="center"/>
            <w:hideMark/>
          </w:tcPr>
          <w:p w14:paraId="75BB2F79" w14:textId="77777777" w:rsidR="0070035C" w:rsidRPr="00C62D95" w:rsidRDefault="0070035C" w:rsidP="00EC0DAE">
            <w:pPr>
              <w:widowControl/>
              <w:rPr>
                <w:rFonts w:ascii="標楷體" w:hAnsi="標楷體"/>
                <w:b/>
              </w:rPr>
            </w:pPr>
          </w:p>
        </w:tc>
        <w:tc>
          <w:tcPr>
            <w:tcW w:w="2009" w:type="dxa"/>
            <w:vMerge w:val="restart"/>
            <w:hideMark/>
          </w:tcPr>
          <w:p w14:paraId="29192CC5" w14:textId="77777777" w:rsidR="0070035C" w:rsidRPr="00C62D95" w:rsidRDefault="0070035C" w:rsidP="00EC0DAE">
            <w:pPr>
              <w:spacing w:line="260" w:lineRule="exact"/>
              <w:rPr>
                <w:rFonts w:ascii="標楷體" w:eastAsia="標楷體" w:hAnsi="標楷體"/>
                <w:kern w:val="0"/>
              </w:rPr>
            </w:pPr>
            <w:r w:rsidRPr="00C62D95">
              <w:rPr>
                <w:rFonts w:ascii="標楷體" w:eastAsia="標楷體" w:hAnsi="標楷體" w:hint="eastAsia"/>
                <w:kern w:val="0"/>
              </w:rPr>
              <w:t>司法及法制</w:t>
            </w:r>
          </w:p>
          <w:p w14:paraId="45D74620" w14:textId="77777777" w:rsidR="0070035C" w:rsidRPr="00C62D95" w:rsidRDefault="0070035C" w:rsidP="00EC0DAE">
            <w:pPr>
              <w:spacing w:line="300" w:lineRule="exact"/>
              <w:rPr>
                <w:rFonts w:ascii="標楷體" w:eastAsia="標楷體" w:hAnsi="標楷體"/>
                <w:b/>
              </w:rPr>
            </w:pPr>
            <w:r w:rsidRPr="00C62D95">
              <w:rPr>
                <w:rFonts w:ascii="標楷體" w:eastAsia="標楷體" w:hAnsi="標楷體" w:hint="eastAsia"/>
                <w:kern w:val="0"/>
              </w:rPr>
              <w:t>林召集委員思銘</w:t>
            </w:r>
          </w:p>
        </w:tc>
        <w:tc>
          <w:tcPr>
            <w:tcW w:w="2538" w:type="dxa"/>
            <w:hideMark/>
          </w:tcPr>
          <w:p w14:paraId="6EAA1B2E"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111.11.10（10-6-14）、</w:t>
            </w:r>
          </w:p>
          <w:p w14:paraId="0EE1A096" w14:textId="77777777" w:rsidR="0070035C" w:rsidRDefault="0070035C" w:rsidP="00EC0DAE">
            <w:pPr>
              <w:kinsoku w:val="0"/>
              <w:wordWrap w:val="0"/>
              <w:adjustRightInd w:val="0"/>
              <w:snapToGrid w:val="0"/>
              <w:spacing w:line="300" w:lineRule="exact"/>
              <w:ind w:leftChars="26" w:left="62"/>
              <w:jc w:val="both"/>
              <w:rPr>
                <w:rFonts w:ascii="標楷體" w:eastAsia="標楷體" w:hAnsi="標楷體"/>
                <w:kern w:val="0"/>
              </w:rPr>
            </w:pPr>
            <w:r w:rsidRPr="00C62D95">
              <w:rPr>
                <w:rFonts w:ascii="標楷體" w:eastAsia="標楷體" w:hAnsi="標楷體" w:hint="eastAsia"/>
                <w:kern w:val="0"/>
              </w:rPr>
              <w:t>111.12.1（10-6-23）</w:t>
            </w:r>
          </w:p>
          <w:p w14:paraId="00DA4B20" w14:textId="77777777" w:rsidR="0070035C" w:rsidRPr="00C62D95" w:rsidRDefault="0070035C" w:rsidP="00EC0DAE">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審竣法務部主管「法務部矯正機關作業基金」收支部分，須交由黨團協商。</w:t>
            </w:r>
          </w:p>
        </w:tc>
      </w:tr>
      <w:tr w:rsidR="0070035C" w:rsidRPr="00C62D95" w14:paraId="7F730434" w14:textId="77777777" w:rsidTr="00EC0DAE">
        <w:tc>
          <w:tcPr>
            <w:tcW w:w="623" w:type="dxa"/>
            <w:vMerge/>
            <w:vAlign w:val="center"/>
            <w:hideMark/>
          </w:tcPr>
          <w:p w14:paraId="526024BF" w14:textId="77777777" w:rsidR="0070035C" w:rsidRPr="00C62D95" w:rsidRDefault="0070035C" w:rsidP="00EC0DAE">
            <w:pPr>
              <w:widowControl/>
              <w:rPr>
                <w:rFonts w:ascii="標楷體" w:eastAsia="標楷體" w:hAnsi="標楷體"/>
              </w:rPr>
            </w:pPr>
          </w:p>
        </w:tc>
        <w:tc>
          <w:tcPr>
            <w:tcW w:w="1843" w:type="dxa"/>
            <w:vMerge/>
            <w:vAlign w:val="center"/>
            <w:hideMark/>
          </w:tcPr>
          <w:p w14:paraId="4D6EA534" w14:textId="77777777" w:rsidR="0070035C" w:rsidRPr="00C62D95" w:rsidRDefault="0070035C" w:rsidP="00EC0DAE">
            <w:pPr>
              <w:widowControl/>
            </w:pPr>
          </w:p>
        </w:tc>
        <w:tc>
          <w:tcPr>
            <w:tcW w:w="1687" w:type="dxa"/>
            <w:vMerge/>
            <w:vAlign w:val="center"/>
            <w:hideMark/>
          </w:tcPr>
          <w:p w14:paraId="28C4925C" w14:textId="77777777" w:rsidR="0070035C" w:rsidRPr="00C62D95" w:rsidRDefault="0070035C" w:rsidP="00EC0DAE">
            <w:pPr>
              <w:widowControl/>
              <w:rPr>
                <w:rFonts w:ascii="標楷體" w:hAnsi="標楷體"/>
                <w:b/>
              </w:rPr>
            </w:pPr>
          </w:p>
        </w:tc>
        <w:tc>
          <w:tcPr>
            <w:tcW w:w="2009" w:type="dxa"/>
            <w:vMerge/>
            <w:vAlign w:val="center"/>
            <w:hideMark/>
          </w:tcPr>
          <w:p w14:paraId="182F9E6E" w14:textId="77777777" w:rsidR="0070035C" w:rsidRPr="00C62D95" w:rsidRDefault="0070035C" w:rsidP="00EC0DAE">
            <w:pPr>
              <w:widowControl/>
              <w:rPr>
                <w:rFonts w:ascii="標楷體" w:eastAsia="標楷體" w:hAnsi="標楷體"/>
                <w:b/>
              </w:rPr>
            </w:pPr>
          </w:p>
        </w:tc>
        <w:tc>
          <w:tcPr>
            <w:tcW w:w="2538" w:type="dxa"/>
            <w:hideMark/>
          </w:tcPr>
          <w:p w14:paraId="75DD8E9E"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111.11.10（10-6-14）、</w:t>
            </w:r>
          </w:p>
          <w:p w14:paraId="4FB52721" w14:textId="77777777" w:rsidR="0070035C"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111.12.1（10-6-23）</w:t>
            </w:r>
          </w:p>
          <w:p w14:paraId="73AAEDD5" w14:textId="77777777" w:rsidR="0070035C" w:rsidRPr="00C62D95" w:rsidRDefault="0070035C" w:rsidP="00EC0DAE">
            <w:pPr>
              <w:autoSpaceDE w:val="0"/>
              <w:autoSpaceDN w:val="0"/>
              <w:spacing w:line="260" w:lineRule="exact"/>
              <w:jc w:val="both"/>
              <w:rPr>
                <w:rFonts w:ascii="標楷體" w:eastAsia="標楷體" w:hAnsi="標楷體"/>
                <w:color w:val="000000"/>
                <w:kern w:val="0"/>
              </w:rPr>
            </w:pPr>
            <w:r w:rsidRPr="00C62D95">
              <w:rPr>
                <w:rFonts w:ascii="標楷體" w:eastAsia="標楷體" w:hAnsi="標楷體" w:hint="eastAsia"/>
                <w:kern w:val="0"/>
              </w:rPr>
              <w:t>審竣法務部主管「毒品防制基金」收支部分，須交由黨團協商。</w:t>
            </w:r>
          </w:p>
        </w:tc>
      </w:tr>
      <w:tr w:rsidR="0070035C" w:rsidRPr="00C62D95" w14:paraId="2A76156B" w14:textId="77777777" w:rsidTr="00EC0DAE">
        <w:trPr>
          <w:trHeight w:val="1893"/>
        </w:trPr>
        <w:tc>
          <w:tcPr>
            <w:tcW w:w="623" w:type="dxa"/>
            <w:vMerge/>
            <w:vAlign w:val="center"/>
            <w:hideMark/>
          </w:tcPr>
          <w:p w14:paraId="7A753A98" w14:textId="77777777" w:rsidR="0070035C" w:rsidRPr="00C62D95" w:rsidRDefault="0070035C" w:rsidP="00EC0DAE">
            <w:pPr>
              <w:widowControl/>
              <w:rPr>
                <w:rFonts w:ascii="標楷體" w:eastAsia="標楷體" w:hAnsi="標楷體"/>
              </w:rPr>
            </w:pPr>
          </w:p>
        </w:tc>
        <w:tc>
          <w:tcPr>
            <w:tcW w:w="1843" w:type="dxa"/>
            <w:vMerge/>
            <w:vAlign w:val="center"/>
            <w:hideMark/>
          </w:tcPr>
          <w:p w14:paraId="7E55D539" w14:textId="77777777" w:rsidR="0070035C" w:rsidRPr="00C62D95" w:rsidRDefault="0070035C" w:rsidP="00EC0DAE">
            <w:pPr>
              <w:widowControl/>
            </w:pPr>
          </w:p>
        </w:tc>
        <w:tc>
          <w:tcPr>
            <w:tcW w:w="1687" w:type="dxa"/>
            <w:vMerge/>
            <w:vAlign w:val="center"/>
            <w:hideMark/>
          </w:tcPr>
          <w:p w14:paraId="3DE1DD39" w14:textId="77777777" w:rsidR="0070035C" w:rsidRPr="00C62D95" w:rsidRDefault="0070035C" w:rsidP="00EC0DAE">
            <w:pPr>
              <w:widowControl/>
              <w:rPr>
                <w:rFonts w:ascii="標楷體" w:hAnsi="標楷體"/>
                <w:b/>
              </w:rPr>
            </w:pPr>
          </w:p>
        </w:tc>
        <w:tc>
          <w:tcPr>
            <w:tcW w:w="2009" w:type="dxa"/>
            <w:vMerge/>
            <w:vAlign w:val="center"/>
            <w:hideMark/>
          </w:tcPr>
          <w:p w14:paraId="1CF0B4BE" w14:textId="77777777" w:rsidR="0070035C" w:rsidRPr="00C62D95" w:rsidRDefault="0070035C" w:rsidP="00EC0DAE">
            <w:pPr>
              <w:widowControl/>
              <w:rPr>
                <w:rFonts w:ascii="標楷體" w:eastAsia="標楷體" w:hAnsi="標楷體"/>
                <w:b/>
              </w:rPr>
            </w:pPr>
          </w:p>
        </w:tc>
        <w:tc>
          <w:tcPr>
            <w:tcW w:w="2538" w:type="dxa"/>
            <w:hideMark/>
          </w:tcPr>
          <w:p w14:paraId="5952991D"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111.11.16（10-6-16）、</w:t>
            </w:r>
          </w:p>
          <w:p w14:paraId="50C8E14C" w14:textId="77777777" w:rsidR="0070035C" w:rsidRPr="00C62D95" w:rsidRDefault="0070035C" w:rsidP="00EC0DAE">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111.12.7（10-6-24）</w:t>
            </w:r>
          </w:p>
          <w:p w14:paraId="457812CD" w14:textId="77777777" w:rsidR="0070035C" w:rsidRPr="00C62D95" w:rsidRDefault="0070035C" w:rsidP="00EC0DAE">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審竣行政院人事行政總處主管「中央公教人員急難救助基金」收支部分，須交由黨團協商。</w:t>
            </w:r>
          </w:p>
        </w:tc>
      </w:tr>
    </w:tbl>
    <w:p w14:paraId="28DF5DD2" w14:textId="602BC8CA" w:rsidR="0070035C" w:rsidRPr="0070035C" w:rsidRDefault="0070035C" w:rsidP="0070035C"/>
    <w:p w14:paraId="64BBAC98" w14:textId="77777777" w:rsidR="00EB3514" w:rsidRPr="00753E0D" w:rsidRDefault="00EB3514" w:rsidP="00EC13B7">
      <w:pPr>
        <w:pStyle w:val="afffffc"/>
        <w:kinsoku w:val="0"/>
        <w:overflowPunct w:val="0"/>
        <w:spacing w:beforeLines="100" w:before="360" w:afterLines="100" w:after="360" w:line="500" w:lineRule="exact"/>
        <w:ind w:left="624" w:firstLineChars="50" w:firstLine="140"/>
        <w:rPr>
          <w:b w:val="0"/>
          <w:color w:val="000000" w:themeColor="text1"/>
          <w:szCs w:val="28"/>
        </w:rPr>
      </w:pPr>
      <w:r w:rsidRPr="00753E0D">
        <w:rPr>
          <w:rFonts w:hint="eastAsia"/>
          <w:color w:val="000000" w:themeColor="text1"/>
          <w:szCs w:val="28"/>
        </w:rPr>
        <w:t>二、財團法人4</w:t>
      </w:r>
      <w:r w:rsidRPr="00753E0D">
        <w:rPr>
          <w:color w:val="000000" w:themeColor="text1"/>
          <w:szCs w:val="28"/>
        </w:rPr>
        <w:t>案</w:t>
      </w:r>
      <w:bookmarkEnd w:id="118"/>
      <w:bookmarkEnd w:id="119"/>
      <w:bookmarkEnd w:id="120"/>
      <w:bookmarkEnd w:id="121"/>
      <w:bookmarkEnd w:id="122"/>
      <w:bookmarkEnd w:id="123"/>
      <w:bookmarkEnd w:id="124"/>
      <w:bookmarkEnd w:id="125"/>
      <w:bookmarkEnd w:id="126"/>
    </w:p>
    <w:p w14:paraId="0ED9277A" w14:textId="77777777" w:rsidR="00EB3514" w:rsidRPr="00753E0D" w:rsidRDefault="00EB3514" w:rsidP="00EC13B7">
      <w:pPr>
        <w:keepNext/>
        <w:tabs>
          <w:tab w:val="left" w:pos="1276"/>
        </w:tabs>
        <w:kinsoku w:val="0"/>
        <w:overflowPunct w:val="0"/>
        <w:adjustRightInd w:val="0"/>
        <w:snapToGrid w:val="0"/>
        <w:spacing w:beforeLines="100" w:before="360" w:afterLines="100" w:after="360" w:line="260" w:lineRule="exact"/>
        <w:ind w:leftChars="472" w:left="1133"/>
        <w:jc w:val="both"/>
        <w:outlineLvl w:val="2"/>
        <w:rPr>
          <w:rFonts w:ascii="標楷體" w:eastAsia="標楷體" w:hAnsi="標楷體"/>
          <w:b/>
          <w:bCs/>
          <w:color w:val="000000" w:themeColor="text1"/>
          <w:sz w:val="28"/>
          <w:szCs w:val="28"/>
        </w:rPr>
      </w:pPr>
      <w:bookmarkStart w:id="127" w:name="_Hlk125845686"/>
      <w:r w:rsidRPr="00753E0D">
        <w:rPr>
          <w:rFonts w:ascii="標楷體" w:eastAsia="標楷體" w:hAnsi="標楷體" w:hint="eastAsia"/>
          <w:b/>
          <w:bCs/>
          <w:color w:val="000000" w:themeColor="text1"/>
          <w:sz w:val="28"/>
          <w:szCs w:val="28"/>
        </w:rPr>
        <w:t>(一)經</w:t>
      </w:r>
      <w:r w:rsidRPr="00753E0D">
        <w:rPr>
          <w:rFonts w:ascii="標楷體" w:eastAsia="標楷體" w:hAnsi="標楷體" w:hint="eastAsia"/>
          <w:b/>
          <w:bCs/>
          <w:color w:val="000000" w:themeColor="text1"/>
          <w:sz w:val="28"/>
          <w:szCs w:val="36"/>
        </w:rPr>
        <w:t>院會通過之議案4案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EB3514" w:rsidRPr="008743D7" w14:paraId="67B2642E" w14:textId="77777777" w:rsidTr="00EC13B7">
        <w:tc>
          <w:tcPr>
            <w:tcW w:w="656" w:type="dxa"/>
            <w:shd w:val="clear" w:color="auto" w:fill="auto"/>
          </w:tcPr>
          <w:bookmarkEnd w:id="127"/>
          <w:p w14:paraId="3BCC2825" w14:textId="77777777" w:rsidR="00EB3514" w:rsidRPr="008743D7"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8743D7">
              <w:rPr>
                <w:rFonts w:ascii="標楷體" w:eastAsia="標楷體" w:hAnsi="標楷體"/>
                <w:b/>
                <w:color w:val="000000"/>
                <w:spacing w:val="-20"/>
                <w:szCs w:val="22"/>
                <w:lang w:eastAsia="ko-KR"/>
              </w:rPr>
              <w:t>序號</w:t>
            </w:r>
          </w:p>
        </w:tc>
        <w:tc>
          <w:tcPr>
            <w:tcW w:w="2694" w:type="dxa"/>
            <w:shd w:val="clear" w:color="auto" w:fill="auto"/>
          </w:tcPr>
          <w:p w14:paraId="222CEF75" w14:textId="77777777" w:rsidR="00EB3514" w:rsidRPr="008743D7"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8743D7">
              <w:rPr>
                <w:rFonts w:ascii="標楷體" w:eastAsia="標楷體" w:hAnsi="標楷體"/>
                <w:b/>
                <w:color w:val="000000"/>
                <w:spacing w:val="-20"/>
                <w:szCs w:val="22"/>
                <w:lang w:eastAsia="ko-KR"/>
              </w:rPr>
              <w:t>議案名稱</w:t>
            </w:r>
          </w:p>
        </w:tc>
        <w:tc>
          <w:tcPr>
            <w:tcW w:w="1701" w:type="dxa"/>
            <w:shd w:val="clear" w:color="auto" w:fill="auto"/>
          </w:tcPr>
          <w:p w14:paraId="30EB1114" w14:textId="77777777" w:rsidR="00EB3514" w:rsidRPr="008743D7" w:rsidRDefault="00EB3514"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8743D7">
              <w:rPr>
                <w:rFonts w:ascii="標楷體" w:eastAsia="標楷體" w:hAnsi="標楷體"/>
                <w:b/>
                <w:color w:val="000000"/>
                <w:spacing w:val="-20"/>
                <w:szCs w:val="22"/>
                <w:lang w:eastAsia="ko-KR"/>
              </w:rPr>
              <w:t>提案機關、院會交付日期(會次)</w:t>
            </w:r>
          </w:p>
        </w:tc>
        <w:tc>
          <w:tcPr>
            <w:tcW w:w="1701" w:type="dxa"/>
            <w:shd w:val="clear" w:color="auto" w:fill="auto"/>
          </w:tcPr>
          <w:p w14:paraId="44FB013C" w14:textId="77777777" w:rsidR="00EB3514" w:rsidRPr="008743D7"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8743D7">
              <w:rPr>
                <w:rFonts w:ascii="標楷體" w:eastAsia="標楷體" w:hAnsi="標楷體"/>
                <w:b/>
                <w:color w:val="000000"/>
                <w:spacing w:val="-20"/>
                <w:szCs w:val="22"/>
                <w:lang w:eastAsia="ko-KR"/>
              </w:rPr>
              <w:t>審查委員會</w:t>
            </w:r>
          </w:p>
        </w:tc>
        <w:tc>
          <w:tcPr>
            <w:tcW w:w="1984" w:type="dxa"/>
            <w:shd w:val="clear" w:color="auto" w:fill="auto"/>
          </w:tcPr>
          <w:p w14:paraId="6C6B33E2" w14:textId="77777777" w:rsidR="00EB3514" w:rsidRPr="008743D7" w:rsidRDefault="00EB3514" w:rsidP="00020303">
            <w:pPr>
              <w:kinsoku w:val="0"/>
              <w:topLinePunct/>
              <w:autoSpaceDE w:val="0"/>
              <w:autoSpaceDN w:val="0"/>
              <w:snapToGrid w:val="0"/>
              <w:spacing w:line="300" w:lineRule="exact"/>
              <w:jc w:val="center"/>
              <w:rPr>
                <w:rFonts w:ascii="標楷體" w:eastAsia="標楷體" w:hAnsi="標楷體"/>
                <w:b/>
                <w:color w:val="000000"/>
                <w:spacing w:val="-20"/>
                <w:szCs w:val="22"/>
                <w:lang w:eastAsia="ko-KR"/>
              </w:rPr>
            </w:pPr>
            <w:r w:rsidRPr="008743D7">
              <w:rPr>
                <w:rFonts w:ascii="標楷體" w:eastAsia="標楷體" w:hAnsi="標楷體" w:hint="eastAsia"/>
                <w:b/>
                <w:color w:val="000000"/>
                <w:spacing w:val="-20"/>
                <w:szCs w:val="22"/>
              </w:rPr>
              <w:t>審議</w:t>
            </w:r>
            <w:r w:rsidRPr="008743D7">
              <w:rPr>
                <w:rFonts w:ascii="標楷體" w:eastAsia="標楷體" w:hAnsi="標楷體"/>
                <w:b/>
                <w:color w:val="000000"/>
                <w:spacing w:val="-20"/>
                <w:szCs w:val="22"/>
                <w:lang w:eastAsia="ko-KR"/>
              </w:rPr>
              <w:t>情形</w:t>
            </w:r>
          </w:p>
        </w:tc>
      </w:tr>
      <w:tr w:rsidR="00EB3514" w:rsidRPr="008743D7" w14:paraId="6762D382" w14:textId="77777777" w:rsidTr="00EC13B7">
        <w:tc>
          <w:tcPr>
            <w:tcW w:w="656" w:type="dxa"/>
            <w:shd w:val="clear" w:color="auto" w:fill="auto"/>
          </w:tcPr>
          <w:p w14:paraId="41BA14F3" w14:textId="77777777" w:rsidR="00EB3514" w:rsidRPr="008743D7"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8743D7">
              <w:rPr>
                <w:rFonts w:ascii="標楷體" w:eastAsia="標楷體" w:hAnsi="標楷體" w:hint="eastAsia"/>
                <w:b/>
                <w:color w:val="000000"/>
                <w:spacing w:val="-20"/>
                <w:szCs w:val="22"/>
              </w:rPr>
              <w:t>1</w:t>
            </w:r>
          </w:p>
        </w:tc>
        <w:tc>
          <w:tcPr>
            <w:tcW w:w="2694" w:type="dxa"/>
            <w:shd w:val="clear" w:color="auto" w:fill="auto"/>
          </w:tcPr>
          <w:p w14:paraId="1AC278C2" w14:textId="77777777" w:rsidR="00EB3514" w:rsidRPr="008743D7" w:rsidRDefault="00EB3514" w:rsidP="00EC13B7">
            <w:pPr>
              <w:spacing w:line="260" w:lineRule="exact"/>
              <w:jc w:val="both"/>
              <w:rPr>
                <w:rFonts w:ascii="標楷體" w:eastAsia="標楷體" w:hAnsi="標楷體"/>
                <w:kern w:val="0"/>
                <w:szCs w:val="22"/>
              </w:rPr>
            </w:pPr>
            <w:r w:rsidRPr="008743D7">
              <w:rPr>
                <w:rFonts w:ascii="標楷體" w:eastAsia="標楷體" w:hAnsi="標楷體"/>
                <w:kern w:val="0"/>
                <w:szCs w:val="22"/>
              </w:rPr>
              <w:t>司法院函送財團法人法律扶助基金會109年度決算書案。</w:t>
            </w:r>
          </w:p>
        </w:tc>
        <w:tc>
          <w:tcPr>
            <w:tcW w:w="1701" w:type="dxa"/>
            <w:shd w:val="clear" w:color="auto" w:fill="auto"/>
          </w:tcPr>
          <w:p w14:paraId="319F7315" w14:textId="77777777" w:rsidR="00EB3514" w:rsidRPr="008743D7" w:rsidRDefault="00EB3514" w:rsidP="00EC13B7">
            <w:pPr>
              <w:spacing w:line="300" w:lineRule="exact"/>
              <w:rPr>
                <w:rFonts w:ascii="標楷體" w:eastAsia="標楷體" w:hAnsi="標楷體"/>
                <w:kern w:val="0"/>
                <w:szCs w:val="22"/>
              </w:rPr>
            </w:pPr>
            <w:r w:rsidRPr="008743D7">
              <w:rPr>
                <w:rFonts w:ascii="標楷體" w:eastAsia="標楷體" w:hAnsi="標楷體"/>
                <w:kern w:val="0"/>
                <w:szCs w:val="22"/>
              </w:rPr>
              <w:t>司法院 110.09.24 （10-4-2）</w:t>
            </w:r>
          </w:p>
        </w:tc>
        <w:tc>
          <w:tcPr>
            <w:tcW w:w="1701" w:type="dxa"/>
            <w:shd w:val="clear" w:color="auto" w:fill="auto"/>
          </w:tcPr>
          <w:p w14:paraId="4D0EC6D8" w14:textId="77777777" w:rsidR="00EB3514" w:rsidRPr="008743D7" w:rsidRDefault="00EB3514" w:rsidP="00EC13B7">
            <w:pPr>
              <w:spacing w:line="300" w:lineRule="exact"/>
              <w:jc w:val="both"/>
              <w:rPr>
                <w:rFonts w:ascii="標楷體" w:eastAsia="標楷體" w:hAnsi="標楷體"/>
                <w:kern w:val="0"/>
                <w:szCs w:val="22"/>
              </w:rPr>
            </w:pPr>
            <w:r w:rsidRPr="008743D7">
              <w:rPr>
                <w:rFonts w:ascii="標楷體" w:eastAsia="標楷體" w:hAnsi="標楷體"/>
                <w:kern w:val="0"/>
                <w:szCs w:val="22"/>
              </w:rPr>
              <w:t>司法及法制</w:t>
            </w:r>
          </w:p>
        </w:tc>
        <w:tc>
          <w:tcPr>
            <w:tcW w:w="1984" w:type="dxa"/>
            <w:vMerge w:val="restart"/>
            <w:shd w:val="clear" w:color="auto" w:fill="auto"/>
          </w:tcPr>
          <w:p w14:paraId="4AEF1A9E" w14:textId="77777777" w:rsidR="00EB3514" w:rsidRPr="008743D7"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zCs w:val="22"/>
              </w:rPr>
            </w:pPr>
            <w:r w:rsidRPr="008743D7">
              <w:rPr>
                <w:rFonts w:ascii="標楷體" w:eastAsia="標楷體" w:hAnsi="標楷體" w:hint="eastAsia"/>
                <w:szCs w:val="22"/>
              </w:rPr>
              <w:t>1.已逾決算法第28條所定審議期限，依規定提報院會存查。</w:t>
            </w:r>
          </w:p>
          <w:p w14:paraId="51DD0A8C" w14:textId="77777777" w:rsidR="00EB3514" w:rsidRPr="00A57ABD"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pacing w:val="-20"/>
                <w:szCs w:val="22"/>
              </w:rPr>
            </w:pPr>
            <w:r w:rsidRPr="008743D7">
              <w:rPr>
                <w:rFonts w:ascii="標楷體" w:eastAsia="標楷體" w:hAnsi="標楷體" w:hint="eastAsia"/>
                <w:szCs w:val="22"/>
              </w:rPr>
              <w:t>2.</w:t>
            </w:r>
            <w:r w:rsidRPr="00A57ABD">
              <w:rPr>
                <w:rFonts w:ascii="標楷體" w:eastAsia="標楷體" w:hAnsi="標楷體" w:hint="eastAsia"/>
                <w:spacing w:val="-20"/>
                <w:szCs w:val="22"/>
              </w:rPr>
              <w:t>院會</w:t>
            </w:r>
            <w:r w:rsidRPr="00A57ABD">
              <w:rPr>
                <w:rFonts w:ascii="標楷體" w:eastAsia="標楷體" w:hAnsi="標楷體"/>
                <w:spacing w:val="-20"/>
                <w:szCs w:val="22"/>
              </w:rPr>
              <w:t>111.</w:t>
            </w:r>
            <w:r w:rsidRPr="00A57ABD">
              <w:rPr>
                <w:rFonts w:ascii="標楷體" w:eastAsia="標楷體" w:hAnsi="標楷體" w:hint="eastAsia"/>
                <w:spacing w:val="-20"/>
                <w:szCs w:val="22"/>
              </w:rPr>
              <w:t>11</w:t>
            </w:r>
            <w:r w:rsidRPr="00A57ABD">
              <w:rPr>
                <w:rFonts w:ascii="標楷體" w:eastAsia="標楷體" w:hAnsi="標楷體"/>
                <w:spacing w:val="-20"/>
                <w:szCs w:val="22"/>
              </w:rPr>
              <w:t>.</w:t>
            </w:r>
            <w:r w:rsidRPr="00A57ABD">
              <w:rPr>
                <w:rFonts w:ascii="標楷體" w:eastAsia="標楷體" w:hAnsi="標楷體" w:hint="eastAsia"/>
                <w:spacing w:val="-20"/>
                <w:szCs w:val="22"/>
              </w:rPr>
              <w:t>25</w:t>
            </w:r>
          </w:p>
          <w:p w14:paraId="27EA6CF6" w14:textId="77777777" w:rsidR="00EB3514" w:rsidRPr="008743D7" w:rsidRDefault="00EB3514" w:rsidP="00042B03">
            <w:pPr>
              <w:kinsoku w:val="0"/>
              <w:wordWrap w:val="0"/>
              <w:topLinePunct/>
              <w:autoSpaceDE w:val="0"/>
              <w:autoSpaceDN w:val="0"/>
              <w:snapToGrid w:val="0"/>
              <w:spacing w:line="260" w:lineRule="exact"/>
              <w:ind w:leftChars="78" w:left="237" w:hangingChars="21" w:hanging="50"/>
              <w:rPr>
                <w:rFonts w:ascii="標楷體" w:eastAsia="標楷體" w:hAnsi="標楷體"/>
                <w:b/>
                <w:color w:val="000000"/>
                <w:spacing w:val="-20"/>
                <w:szCs w:val="22"/>
              </w:rPr>
            </w:pPr>
            <w:r w:rsidRPr="008743D7">
              <w:rPr>
                <w:rFonts w:ascii="標楷體" w:eastAsia="標楷體" w:hAnsi="標楷體"/>
                <w:szCs w:val="22"/>
              </w:rPr>
              <w:t>（10-</w:t>
            </w:r>
            <w:r w:rsidRPr="008743D7">
              <w:rPr>
                <w:rFonts w:ascii="標楷體" w:eastAsia="標楷體" w:hAnsi="標楷體" w:hint="eastAsia"/>
                <w:szCs w:val="22"/>
              </w:rPr>
              <w:t>6</w:t>
            </w:r>
            <w:r w:rsidRPr="008743D7">
              <w:rPr>
                <w:rFonts w:ascii="標楷體" w:eastAsia="標楷體" w:hAnsi="標楷體"/>
                <w:szCs w:val="22"/>
              </w:rPr>
              <w:t>-</w:t>
            </w:r>
            <w:r w:rsidRPr="008743D7">
              <w:rPr>
                <w:rFonts w:ascii="標楷體" w:eastAsia="標楷體" w:hAnsi="標楷體" w:hint="eastAsia"/>
                <w:szCs w:val="22"/>
              </w:rPr>
              <w:t>9</w:t>
            </w:r>
            <w:r w:rsidRPr="008743D7">
              <w:rPr>
                <w:rFonts w:ascii="標楷體" w:eastAsia="標楷體" w:hAnsi="標楷體"/>
                <w:szCs w:val="22"/>
              </w:rPr>
              <w:t>）</w:t>
            </w:r>
            <w:r w:rsidRPr="008743D7">
              <w:rPr>
                <w:rFonts w:ascii="標楷體" w:eastAsia="標楷體" w:hAnsi="標楷體" w:hint="eastAsia"/>
                <w:szCs w:val="22"/>
              </w:rPr>
              <w:t>准予備查</w:t>
            </w:r>
            <w:r w:rsidRPr="008743D7">
              <w:rPr>
                <w:rFonts w:ascii="標楷體" w:eastAsia="標楷體" w:hAnsi="標楷體"/>
                <w:szCs w:val="22"/>
              </w:rPr>
              <w:t>。</w:t>
            </w:r>
          </w:p>
        </w:tc>
      </w:tr>
      <w:tr w:rsidR="00EB3514" w:rsidRPr="008743D7" w14:paraId="61575716" w14:textId="77777777" w:rsidTr="00EC13B7">
        <w:tc>
          <w:tcPr>
            <w:tcW w:w="656" w:type="dxa"/>
            <w:shd w:val="clear" w:color="auto" w:fill="auto"/>
          </w:tcPr>
          <w:p w14:paraId="555920A1" w14:textId="77777777" w:rsidR="00EB3514" w:rsidRPr="008743D7"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8743D7">
              <w:rPr>
                <w:rFonts w:ascii="標楷體" w:eastAsia="標楷體" w:hAnsi="標楷體" w:hint="eastAsia"/>
                <w:b/>
                <w:color w:val="000000"/>
                <w:spacing w:val="-20"/>
                <w:szCs w:val="22"/>
              </w:rPr>
              <w:t>2</w:t>
            </w:r>
          </w:p>
        </w:tc>
        <w:tc>
          <w:tcPr>
            <w:tcW w:w="2694" w:type="dxa"/>
            <w:shd w:val="clear" w:color="auto" w:fill="auto"/>
          </w:tcPr>
          <w:p w14:paraId="5745AABC" w14:textId="77777777" w:rsidR="00EB3514" w:rsidRPr="008743D7" w:rsidRDefault="00EB3514" w:rsidP="00EC13B7">
            <w:pPr>
              <w:spacing w:line="260" w:lineRule="exact"/>
              <w:jc w:val="both"/>
              <w:rPr>
                <w:rFonts w:ascii="標楷體" w:eastAsia="標楷體" w:hAnsi="標楷體"/>
                <w:kern w:val="0"/>
                <w:szCs w:val="22"/>
              </w:rPr>
            </w:pPr>
            <w:r w:rsidRPr="008743D7">
              <w:rPr>
                <w:rFonts w:ascii="標楷體" w:eastAsia="標楷體" w:hAnsi="標楷體"/>
                <w:kern w:val="0"/>
                <w:szCs w:val="22"/>
              </w:rPr>
              <w:t>法務部函送財團法人臺灣更生保護會、財團法人福建更生保護會及財團法人犯罪被害人保護協會109年度決算書案。</w:t>
            </w:r>
          </w:p>
        </w:tc>
        <w:tc>
          <w:tcPr>
            <w:tcW w:w="1701" w:type="dxa"/>
            <w:shd w:val="clear" w:color="auto" w:fill="auto"/>
          </w:tcPr>
          <w:p w14:paraId="26B3DDDE" w14:textId="77777777" w:rsidR="00EB3514" w:rsidRPr="008743D7" w:rsidRDefault="00EB3514" w:rsidP="00EC13B7">
            <w:pPr>
              <w:spacing w:line="300" w:lineRule="exact"/>
              <w:rPr>
                <w:rFonts w:ascii="標楷體" w:eastAsia="標楷體" w:hAnsi="標楷體"/>
                <w:kern w:val="0"/>
                <w:szCs w:val="22"/>
              </w:rPr>
            </w:pPr>
            <w:r w:rsidRPr="008743D7">
              <w:rPr>
                <w:rFonts w:ascii="標楷體" w:eastAsia="標楷體" w:hAnsi="標楷體"/>
                <w:kern w:val="0"/>
                <w:szCs w:val="22"/>
              </w:rPr>
              <w:t>法務部 110.11.19 （10-4-10）</w:t>
            </w:r>
          </w:p>
        </w:tc>
        <w:tc>
          <w:tcPr>
            <w:tcW w:w="1701" w:type="dxa"/>
            <w:shd w:val="clear" w:color="auto" w:fill="auto"/>
          </w:tcPr>
          <w:p w14:paraId="5D5352E1" w14:textId="77777777" w:rsidR="00EB3514" w:rsidRPr="008743D7" w:rsidRDefault="00EB3514" w:rsidP="00EC13B7">
            <w:pPr>
              <w:spacing w:line="300" w:lineRule="exact"/>
              <w:jc w:val="both"/>
              <w:rPr>
                <w:rFonts w:ascii="標楷體" w:eastAsia="標楷體" w:hAnsi="標楷體"/>
                <w:kern w:val="0"/>
                <w:szCs w:val="22"/>
              </w:rPr>
            </w:pPr>
            <w:r w:rsidRPr="008743D7">
              <w:rPr>
                <w:rFonts w:ascii="標楷體" w:eastAsia="標楷體" w:hAnsi="標楷體"/>
                <w:kern w:val="0"/>
                <w:szCs w:val="22"/>
              </w:rPr>
              <w:t>司法及法制</w:t>
            </w:r>
          </w:p>
        </w:tc>
        <w:tc>
          <w:tcPr>
            <w:tcW w:w="1984" w:type="dxa"/>
            <w:vMerge/>
            <w:shd w:val="clear" w:color="auto" w:fill="auto"/>
          </w:tcPr>
          <w:p w14:paraId="609F7BA5" w14:textId="77777777" w:rsidR="00EB3514" w:rsidRPr="008743D7" w:rsidRDefault="00EB3514" w:rsidP="00042B03">
            <w:pPr>
              <w:kinsoku w:val="0"/>
              <w:wordWrap w:val="0"/>
              <w:topLinePunct/>
              <w:autoSpaceDE w:val="0"/>
              <w:autoSpaceDN w:val="0"/>
              <w:snapToGrid w:val="0"/>
              <w:spacing w:line="300" w:lineRule="exact"/>
              <w:rPr>
                <w:rFonts w:ascii="標楷體" w:eastAsia="標楷體" w:hAnsi="標楷體"/>
                <w:b/>
                <w:color w:val="000000"/>
                <w:spacing w:val="-20"/>
                <w:szCs w:val="22"/>
              </w:rPr>
            </w:pPr>
          </w:p>
        </w:tc>
      </w:tr>
      <w:tr w:rsidR="00EB3514" w:rsidRPr="008743D7" w14:paraId="45000A06" w14:textId="77777777" w:rsidTr="00EC13B7">
        <w:tc>
          <w:tcPr>
            <w:tcW w:w="656" w:type="dxa"/>
            <w:shd w:val="clear" w:color="auto" w:fill="auto"/>
          </w:tcPr>
          <w:p w14:paraId="6EB4C147" w14:textId="77777777" w:rsidR="00EB3514" w:rsidRPr="008743D7"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rPr>
            </w:pPr>
            <w:r w:rsidRPr="008743D7">
              <w:rPr>
                <w:rFonts w:ascii="標楷體" w:eastAsia="標楷體" w:hAnsi="標楷體" w:hint="eastAsia"/>
                <w:b/>
                <w:color w:val="000000"/>
                <w:spacing w:val="-20"/>
                <w:szCs w:val="22"/>
              </w:rPr>
              <w:lastRenderedPageBreak/>
              <w:t>3</w:t>
            </w:r>
          </w:p>
        </w:tc>
        <w:tc>
          <w:tcPr>
            <w:tcW w:w="2694" w:type="dxa"/>
            <w:shd w:val="clear" w:color="auto" w:fill="auto"/>
          </w:tcPr>
          <w:p w14:paraId="2767BC47" w14:textId="77777777" w:rsidR="00EB3514" w:rsidRPr="008743D7" w:rsidRDefault="00EB3514" w:rsidP="00EC13B7">
            <w:pPr>
              <w:kinsoku w:val="0"/>
              <w:topLinePunct/>
              <w:autoSpaceDE w:val="0"/>
              <w:autoSpaceDN w:val="0"/>
              <w:adjustRightInd w:val="0"/>
              <w:snapToGrid w:val="0"/>
              <w:spacing w:line="300" w:lineRule="exact"/>
              <w:jc w:val="both"/>
              <w:rPr>
                <w:rFonts w:ascii="Calibri" w:hAnsi="Calibri"/>
                <w:szCs w:val="22"/>
              </w:rPr>
            </w:pPr>
            <w:r w:rsidRPr="008743D7">
              <w:rPr>
                <w:rFonts w:ascii="標楷體" w:eastAsia="標楷體" w:hAnsi="標楷體"/>
                <w:color w:val="000000"/>
                <w:kern w:val="0"/>
                <w:szCs w:val="22"/>
              </w:rPr>
              <w:t>法務部函送財團法人臺灣更生保護會、財團法人福建更生保護會及財團法人犯罪被害人保護協會112年度預算書案。</w:t>
            </w:r>
          </w:p>
        </w:tc>
        <w:tc>
          <w:tcPr>
            <w:tcW w:w="1701" w:type="dxa"/>
            <w:shd w:val="clear" w:color="auto" w:fill="auto"/>
          </w:tcPr>
          <w:p w14:paraId="51AEB075" w14:textId="77777777" w:rsidR="00EB3514" w:rsidRPr="008743D7"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8743D7">
              <w:rPr>
                <w:rFonts w:ascii="標楷體" w:eastAsia="標楷體" w:hAnsi="標楷體"/>
                <w:color w:val="000000"/>
                <w:kern w:val="0"/>
                <w:szCs w:val="22"/>
              </w:rPr>
              <w:t xml:space="preserve">法務部 111.09.30 </w:t>
            </w:r>
          </w:p>
          <w:p w14:paraId="35B448FA" w14:textId="77777777" w:rsidR="00EB3514" w:rsidRPr="008743D7" w:rsidRDefault="00EB3514" w:rsidP="00EC13B7">
            <w:pPr>
              <w:kinsoku w:val="0"/>
              <w:topLinePunct/>
              <w:autoSpaceDE w:val="0"/>
              <w:autoSpaceDN w:val="0"/>
              <w:adjustRightInd w:val="0"/>
              <w:snapToGrid w:val="0"/>
              <w:spacing w:line="300" w:lineRule="exact"/>
              <w:rPr>
                <w:rFonts w:ascii="標楷體" w:hAnsi="標楷體"/>
                <w:szCs w:val="22"/>
              </w:rPr>
            </w:pPr>
            <w:r w:rsidRPr="008743D7">
              <w:rPr>
                <w:rFonts w:ascii="標楷體" w:eastAsia="標楷體" w:hAnsi="標楷體"/>
                <w:color w:val="000000"/>
                <w:kern w:val="0"/>
                <w:szCs w:val="22"/>
              </w:rPr>
              <w:t>（10-6-2）</w:t>
            </w:r>
          </w:p>
        </w:tc>
        <w:tc>
          <w:tcPr>
            <w:tcW w:w="1701" w:type="dxa"/>
            <w:shd w:val="clear" w:color="auto" w:fill="auto"/>
          </w:tcPr>
          <w:p w14:paraId="60607BCE" w14:textId="77777777" w:rsidR="00EB3514" w:rsidRPr="008743D7" w:rsidRDefault="00EB3514" w:rsidP="00EC13B7">
            <w:pPr>
              <w:spacing w:line="300" w:lineRule="exact"/>
              <w:jc w:val="both"/>
              <w:rPr>
                <w:rFonts w:ascii="標楷體" w:eastAsia="標楷體" w:hAnsi="標楷體"/>
                <w:kern w:val="0"/>
                <w:szCs w:val="22"/>
              </w:rPr>
            </w:pPr>
            <w:r w:rsidRPr="008743D7">
              <w:rPr>
                <w:rFonts w:ascii="標楷體" w:eastAsia="標楷體" w:hAnsi="標楷體"/>
                <w:kern w:val="0"/>
                <w:szCs w:val="22"/>
              </w:rPr>
              <w:t>司法及法制</w:t>
            </w:r>
          </w:p>
        </w:tc>
        <w:tc>
          <w:tcPr>
            <w:tcW w:w="1984" w:type="dxa"/>
            <w:shd w:val="clear" w:color="auto" w:fill="auto"/>
          </w:tcPr>
          <w:p w14:paraId="707A77A2" w14:textId="77777777" w:rsidR="00EB3514" w:rsidRPr="008743D7"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zCs w:val="22"/>
              </w:rPr>
            </w:pPr>
            <w:r w:rsidRPr="008743D7">
              <w:rPr>
                <w:rFonts w:ascii="標楷體" w:eastAsia="標楷體" w:hAnsi="標楷體" w:hint="eastAsia"/>
                <w:szCs w:val="22"/>
              </w:rPr>
              <w:t>1.</w:t>
            </w:r>
            <w:r w:rsidRPr="00A57ABD">
              <w:rPr>
                <w:rFonts w:ascii="標楷體" w:eastAsia="標楷體" w:hAnsi="標楷體" w:hint="eastAsia"/>
                <w:spacing w:val="-20"/>
                <w:szCs w:val="22"/>
              </w:rPr>
              <w:t>本會111.11.10</w:t>
            </w:r>
          </w:p>
          <w:p w14:paraId="47D76147" w14:textId="77777777" w:rsidR="00A57ABD" w:rsidRDefault="00EB3514" w:rsidP="00042B03">
            <w:pPr>
              <w:kinsoku w:val="0"/>
              <w:wordWrap w:val="0"/>
              <w:topLinePunct/>
              <w:autoSpaceDE w:val="0"/>
              <w:autoSpaceDN w:val="0"/>
              <w:snapToGrid w:val="0"/>
              <w:spacing w:line="260" w:lineRule="exact"/>
              <w:ind w:leftChars="78" w:left="237" w:hangingChars="21" w:hanging="50"/>
              <w:rPr>
                <w:rFonts w:ascii="標楷體" w:eastAsia="標楷體" w:hAnsi="標楷體"/>
                <w:szCs w:val="22"/>
              </w:rPr>
            </w:pPr>
            <w:r w:rsidRPr="008743D7">
              <w:rPr>
                <w:rFonts w:ascii="標楷體" w:eastAsia="標楷體" w:hAnsi="標楷體" w:hint="eastAsia"/>
                <w:szCs w:val="22"/>
              </w:rPr>
              <w:t>（10-6-14）、</w:t>
            </w:r>
          </w:p>
          <w:p w14:paraId="0023C77F" w14:textId="7FB0F1F7" w:rsidR="00EB3514" w:rsidRPr="008743D7" w:rsidRDefault="00EB3514" w:rsidP="00042B03">
            <w:pPr>
              <w:kinsoku w:val="0"/>
              <w:wordWrap w:val="0"/>
              <w:topLinePunct/>
              <w:autoSpaceDE w:val="0"/>
              <w:autoSpaceDN w:val="0"/>
              <w:snapToGrid w:val="0"/>
              <w:spacing w:line="260" w:lineRule="exact"/>
              <w:ind w:leftChars="78" w:left="229" w:hangingChars="21" w:hanging="42"/>
              <w:rPr>
                <w:rFonts w:ascii="標楷體" w:eastAsia="標楷體" w:hAnsi="標楷體"/>
                <w:szCs w:val="22"/>
              </w:rPr>
            </w:pPr>
            <w:r w:rsidRPr="00A57ABD">
              <w:rPr>
                <w:rFonts w:ascii="標楷體" w:eastAsia="標楷體" w:hAnsi="標楷體" w:hint="eastAsia"/>
                <w:spacing w:val="-20"/>
                <w:szCs w:val="22"/>
              </w:rPr>
              <w:t>111.12.1</w:t>
            </w:r>
            <w:r w:rsidRPr="008743D7">
              <w:rPr>
                <w:rFonts w:ascii="標楷體" w:eastAsia="標楷體" w:hAnsi="標楷體" w:hint="eastAsia"/>
                <w:szCs w:val="22"/>
              </w:rPr>
              <w:t>（10-6-23）審查完竣，不須交由黨團協商。</w:t>
            </w:r>
          </w:p>
          <w:p w14:paraId="77A90509" w14:textId="77777777" w:rsidR="00EB3514" w:rsidRPr="00A57ABD"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pacing w:val="-20"/>
                <w:szCs w:val="22"/>
              </w:rPr>
            </w:pPr>
            <w:r w:rsidRPr="008743D7">
              <w:rPr>
                <w:rFonts w:ascii="標楷體" w:eastAsia="標楷體" w:hAnsi="標楷體" w:hint="eastAsia"/>
                <w:szCs w:val="22"/>
              </w:rPr>
              <w:t>2.</w:t>
            </w:r>
            <w:r w:rsidRPr="00A57ABD">
              <w:rPr>
                <w:rFonts w:ascii="標楷體" w:eastAsia="標楷體" w:hAnsi="標楷體" w:hint="eastAsia"/>
                <w:spacing w:val="-20"/>
                <w:szCs w:val="22"/>
              </w:rPr>
              <w:t>院會</w:t>
            </w:r>
            <w:r w:rsidRPr="00A57ABD">
              <w:rPr>
                <w:rFonts w:ascii="標楷體" w:eastAsia="標楷體" w:hAnsi="標楷體"/>
                <w:spacing w:val="-20"/>
                <w:szCs w:val="22"/>
              </w:rPr>
              <w:t>111.</w:t>
            </w:r>
            <w:r w:rsidRPr="00A57ABD">
              <w:rPr>
                <w:rFonts w:ascii="標楷體" w:eastAsia="標楷體" w:hAnsi="標楷體" w:hint="eastAsia"/>
                <w:spacing w:val="-20"/>
                <w:szCs w:val="22"/>
              </w:rPr>
              <w:t>12</w:t>
            </w:r>
            <w:r w:rsidRPr="00A57ABD">
              <w:rPr>
                <w:rFonts w:ascii="標楷體" w:eastAsia="標楷體" w:hAnsi="標楷體"/>
                <w:spacing w:val="-20"/>
                <w:szCs w:val="22"/>
              </w:rPr>
              <w:t>.</w:t>
            </w:r>
            <w:r w:rsidRPr="00A57ABD">
              <w:rPr>
                <w:rFonts w:ascii="標楷體" w:eastAsia="標楷體" w:hAnsi="標楷體" w:hint="eastAsia"/>
                <w:spacing w:val="-20"/>
                <w:szCs w:val="22"/>
              </w:rPr>
              <w:t>20</w:t>
            </w:r>
          </w:p>
          <w:p w14:paraId="2A33296D" w14:textId="77777777" w:rsidR="00EB3514" w:rsidRPr="008743D7" w:rsidRDefault="00EB3514" w:rsidP="00042B03">
            <w:pPr>
              <w:kinsoku w:val="0"/>
              <w:wordWrap w:val="0"/>
              <w:topLinePunct/>
              <w:autoSpaceDE w:val="0"/>
              <w:autoSpaceDN w:val="0"/>
              <w:snapToGrid w:val="0"/>
              <w:spacing w:line="260" w:lineRule="exact"/>
              <w:ind w:leftChars="78" w:left="237" w:hangingChars="21" w:hanging="50"/>
              <w:rPr>
                <w:rFonts w:ascii="標楷體" w:eastAsia="標楷體" w:hAnsi="標楷體"/>
                <w:szCs w:val="22"/>
              </w:rPr>
            </w:pPr>
            <w:r w:rsidRPr="008743D7">
              <w:rPr>
                <w:rFonts w:ascii="標楷體" w:eastAsia="標楷體" w:hAnsi="標楷體"/>
                <w:szCs w:val="22"/>
              </w:rPr>
              <w:t>（10-</w:t>
            </w:r>
            <w:r w:rsidRPr="008743D7">
              <w:rPr>
                <w:rFonts w:ascii="標楷體" w:eastAsia="標楷體" w:hAnsi="標楷體" w:hint="eastAsia"/>
                <w:szCs w:val="22"/>
              </w:rPr>
              <w:t>6</w:t>
            </w:r>
            <w:r w:rsidRPr="008743D7">
              <w:rPr>
                <w:rFonts w:ascii="標楷體" w:eastAsia="標楷體" w:hAnsi="標楷體"/>
                <w:szCs w:val="22"/>
              </w:rPr>
              <w:t>-</w:t>
            </w:r>
            <w:r w:rsidRPr="008743D7">
              <w:rPr>
                <w:rFonts w:ascii="標楷體" w:eastAsia="標楷體" w:hAnsi="標楷體" w:hint="eastAsia"/>
                <w:szCs w:val="22"/>
              </w:rPr>
              <w:t>12</w:t>
            </w:r>
            <w:r w:rsidRPr="008743D7">
              <w:rPr>
                <w:rFonts w:ascii="標楷體" w:eastAsia="標楷體" w:hAnsi="標楷體"/>
                <w:szCs w:val="22"/>
              </w:rPr>
              <w:t>）</w:t>
            </w:r>
            <w:r w:rsidRPr="008743D7">
              <w:rPr>
                <w:rFonts w:ascii="標楷體" w:eastAsia="標楷體" w:hAnsi="標楷體" w:hint="eastAsia"/>
                <w:szCs w:val="22"/>
              </w:rPr>
              <w:t>三讀通過</w:t>
            </w:r>
            <w:r w:rsidRPr="008743D7">
              <w:rPr>
                <w:rFonts w:ascii="標楷體" w:eastAsia="標楷體" w:hAnsi="標楷體"/>
                <w:szCs w:val="22"/>
              </w:rPr>
              <w:t>。</w:t>
            </w:r>
          </w:p>
          <w:p w14:paraId="07C905E8" w14:textId="6EA137F0" w:rsidR="00EB3514" w:rsidRPr="008743D7"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zCs w:val="22"/>
              </w:rPr>
            </w:pPr>
            <w:r w:rsidRPr="008743D7">
              <w:rPr>
                <w:rFonts w:ascii="標楷體" w:eastAsia="標楷體" w:hAnsi="標楷體" w:hint="eastAsia"/>
                <w:szCs w:val="22"/>
              </w:rPr>
              <w:t>3</w:t>
            </w:r>
            <w:r w:rsidRPr="008743D7">
              <w:rPr>
                <w:rFonts w:ascii="標楷體" w:eastAsia="標楷體" w:hAnsi="標楷體"/>
                <w:szCs w:val="22"/>
              </w:rPr>
              <w:t>.</w:t>
            </w:r>
            <w:r w:rsidRPr="008743D7">
              <w:rPr>
                <w:rFonts w:ascii="標楷體" w:eastAsia="標楷體" w:hAnsi="標楷體" w:hint="eastAsia"/>
                <w:szCs w:val="22"/>
              </w:rPr>
              <w:t>本院咨文日期及文號：111年12月28日台立院議字第1110704730號</w:t>
            </w:r>
            <w:r w:rsidR="00B6392E">
              <w:rPr>
                <w:rFonts w:ascii="標楷體" w:eastAsia="標楷體" w:hAnsi="標楷體" w:hint="eastAsia"/>
                <w:szCs w:val="22"/>
              </w:rPr>
              <w:t>。</w:t>
            </w:r>
          </w:p>
          <w:p w14:paraId="45F43773" w14:textId="5810DA14" w:rsidR="00EB3514" w:rsidRPr="008743D7" w:rsidRDefault="00EB3514" w:rsidP="00042B03">
            <w:pPr>
              <w:kinsoku w:val="0"/>
              <w:wordWrap w:val="0"/>
              <w:topLinePunct/>
              <w:autoSpaceDE w:val="0"/>
              <w:autoSpaceDN w:val="0"/>
              <w:snapToGrid w:val="0"/>
              <w:spacing w:line="260" w:lineRule="exact"/>
              <w:ind w:left="240" w:hangingChars="100" w:hanging="240"/>
              <w:rPr>
                <w:rFonts w:ascii="標楷體" w:hAnsi="標楷體"/>
                <w:szCs w:val="22"/>
              </w:rPr>
            </w:pPr>
            <w:r w:rsidRPr="008743D7">
              <w:rPr>
                <w:rFonts w:ascii="標楷體" w:eastAsia="標楷體" w:hAnsi="標楷體" w:hint="eastAsia"/>
                <w:szCs w:val="22"/>
              </w:rPr>
              <w:t>4.總統公布日期及文號，總統府公報：112年1月4日華總一經字第11100112341號，第7638號</w:t>
            </w:r>
            <w:r w:rsidR="00B6392E">
              <w:rPr>
                <w:rFonts w:ascii="標楷體" w:eastAsia="標楷體" w:hAnsi="標楷體" w:hint="eastAsia"/>
                <w:szCs w:val="22"/>
              </w:rPr>
              <w:t>。</w:t>
            </w:r>
          </w:p>
        </w:tc>
      </w:tr>
      <w:tr w:rsidR="00EB3514" w:rsidRPr="008743D7" w14:paraId="2D2A3AC8" w14:textId="77777777" w:rsidTr="00EC13B7">
        <w:tc>
          <w:tcPr>
            <w:tcW w:w="656" w:type="dxa"/>
            <w:shd w:val="clear" w:color="auto" w:fill="auto"/>
          </w:tcPr>
          <w:p w14:paraId="2D8D5A74" w14:textId="77777777" w:rsidR="00EB3514" w:rsidRPr="008743D7"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rPr>
            </w:pPr>
            <w:r w:rsidRPr="008743D7">
              <w:rPr>
                <w:rFonts w:ascii="標楷體" w:eastAsia="標楷體" w:hAnsi="標楷體" w:hint="eastAsia"/>
                <w:b/>
                <w:color w:val="000000"/>
                <w:spacing w:val="-20"/>
                <w:szCs w:val="22"/>
              </w:rPr>
              <w:t>4</w:t>
            </w:r>
          </w:p>
        </w:tc>
        <w:tc>
          <w:tcPr>
            <w:tcW w:w="2694" w:type="dxa"/>
            <w:shd w:val="clear" w:color="auto" w:fill="auto"/>
          </w:tcPr>
          <w:p w14:paraId="22D3D88D" w14:textId="77777777" w:rsidR="00EB3514" w:rsidRPr="008743D7" w:rsidRDefault="00EB3514" w:rsidP="00EC13B7">
            <w:pPr>
              <w:kinsoku w:val="0"/>
              <w:topLinePunct/>
              <w:autoSpaceDE w:val="0"/>
              <w:autoSpaceDN w:val="0"/>
              <w:adjustRightInd w:val="0"/>
              <w:snapToGrid w:val="0"/>
              <w:spacing w:line="300" w:lineRule="exact"/>
              <w:jc w:val="both"/>
              <w:rPr>
                <w:rFonts w:ascii="Calibri" w:hAnsi="Calibri"/>
                <w:szCs w:val="22"/>
              </w:rPr>
            </w:pPr>
            <w:r w:rsidRPr="008743D7">
              <w:rPr>
                <w:rFonts w:ascii="標楷體" w:eastAsia="標楷體" w:hAnsi="標楷體"/>
                <w:color w:val="000000"/>
                <w:kern w:val="0"/>
                <w:szCs w:val="22"/>
              </w:rPr>
              <w:t>司法院函送財團法人法律扶助基金會112年度預算書案。</w:t>
            </w:r>
          </w:p>
        </w:tc>
        <w:tc>
          <w:tcPr>
            <w:tcW w:w="1701" w:type="dxa"/>
            <w:shd w:val="clear" w:color="auto" w:fill="auto"/>
          </w:tcPr>
          <w:p w14:paraId="34276CD8" w14:textId="77777777" w:rsidR="00EB3514" w:rsidRPr="008743D7"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8743D7">
              <w:rPr>
                <w:rFonts w:ascii="標楷體" w:eastAsia="標楷體" w:hAnsi="標楷體"/>
                <w:color w:val="000000"/>
                <w:kern w:val="0"/>
                <w:szCs w:val="22"/>
              </w:rPr>
              <w:t xml:space="preserve">司法院 111.09.30 </w:t>
            </w:r>
          </w:p>
          <w:p w14:paraId="67876937" w14:textId="77777777" w:rsidR="00EB3514" w:rsidRPr="008743D7" w:rsidRDefault="00EB3514" w:rsidP="00EC13B7">
            <w:pPr>
              <w:kinsoku w:val="0"/>
              <w:topLinePunct/>
              <w:autoSpaceDE w:val="0"/>
              <w:autoSpaceDN w:val="0"/>
              <w:adjustRightInd w:val="0"/>
              <w:snapToGrid w:val="0"/>
              <w:spacing w:line="300" w:lineRule="exact"/>
              <w:rPr>
                <w:rFonts w:ascii="標楷體" w:hAnsi="標楷體"/>
                <w:szCs w:val="22"/>
              </w:rPr>
            </w:pPr>
            <w:r w:rsidRPr="008743D7">
              <w:rPr>
                <w:rFonts w:ascii="標楷體" w:eastAsia="標楷體" w:hAnsi="標楷體"/>
                <w:color w:val="000000"/>
                <w:kern w:val="0"/>
                <w:szCs w:val="22"/>
              </w:rPr>
              <w:t>（10-6-2）</w:t>
            </w:r>
          </w:p>
        </w:tc>
        <w:tc>
          <w:tcPr>
            <w:tcW w:w="1701" w:type="dxa"/>
            <w:shd w:val="clear" w:color="auto" w:fill="auto"/>
          </w:tcPr>
          <w:p w14:paraId="50DC5F83" w14:textId="77777777" w:rsidR="00EB3514" w:rsidRPr="008743D7" w:rsidRDefault="00EB3514" w:rsidP="00EC13B7">
            <w:pPr>
              <w:spacing w:line="300" w:lineRule="exact"/>
              <w:jc w:val="both"/>
              <w:rPr>
                <w:rFonts w:ascii="標楷體" w:eastAsia="標楷體" w:hAnsi="標楷體"/>
                <w:kern w:val="0"/>
                <w:szCs w:val="22"/>
              </w:rPr>
            </w:pPr>
            <w:r w:rsidRPr="008743D7">
              <w:rPr>
                <w:rFonts w:ascii="標楷體" w:eastAsia="標楷體" w:hAnsi="標楷體"/>
                <w:kern w:val="0"/>
                <w:szCs w:val="22"/>
              </w:rPr>
              <w:t>司法及法制</w:t>
            </w:r>
          </w:p>
        </w:tc>
        <w:tc>
          <w:tcPr>
            <w:tcW w:w="1984" w:type="dxa"/>
            <w:shd w:val="clear" w:color="auto" w:fill="auto"/>
          </w:tcPr>
          <w:p w14:paraId="3148FA16" w14:textId="77777777" w:rsidR="00EB3514" w:rsidRPr="008743D7"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zCs w:val="22"/>
              </w:rPr>
            </w:pPr>
            <w:r w:rsidRPr="008743D7">
              <w:rPr>
                <w:rFonts w:ascii="標楷體" w:eastAsia="標楷體" w:hAnsi="標楷體" w:hint="eastAsia"/>
                <w:szCs w:val="22"/>
              </w:rPr>
              <w:t>1.</w:t>
            </w:r>
            <w:r w:rsidRPr="00A57ABD">
              <w:rPr>
                <w:rFonts w:ascii="標楷體" w:eastAsia="標楷體" w:hAnsi="標楷體" w:hint="eastAsia"/>
                <w:spacing w:val="-20"/>
                <w:szCs w:val="22"/>
              </w:rPr>
              <w:t>本會111.11.14</w:t>
            </w:r>
          </w:p>
          <w:p w14:paraId="27E370DF" w14:textId="77777777" w:rsidR="00132EBB" w:rsidRDefault="00EB3514" w:rsidP="00042B03">
            <w:pPr>
              <w:kinsoku w:val="0"/>
              <w:wordWrap w:val="0"/>
              <w:topLinePunct/>
              <w:autoSpaceDE w:val="0"/>
              <w:autoSpaceDN w:val="0"/>
              <w:snapToGrid w:val="0"/>
              <w:spacing w:line="260" w:lineRule="exact"/>
              <w:ind w:leftChars="78" w:left="237" w:hangingChars="21" w:hanging="50"/>
              <w:rPr>
                <w:rFonts w:ascii="標楷體" w:eastAsia="標楷體" w:hAnsi="標楷體"/>
                <w:szCs w:val="22"/>
              </w:rPr>
            </w:pPr>
            <w:r w:rsidRPr="008743D7">
              <w:rPr>
                <w:rFonts w:ascii="標楷體" w:eastAsia="標楷體" w:hAnsi="標楷體" w:hint="eastAsia"/>
                <w:szCs w:val="22"/>
              </w:rPr>
              <w:t>（10-6-15）、</w:t>
            </w:r>
          </w:p>
          <w:p w14:paraId="6A198995" w14:textId="74691065" w:rsidR="00EB3514" w:rsidRPr="008743D7" w:rsidRDefault="00EB3514" w:rsidP="00042B03">
            <w:pPr>
              <w:kinsoku w:val="0"/>
              <w:wordWrap w:val="0"/>
              <w:topLinePunct/>
              <w:autoSpaceDE w:val="0"/>
              <w:autoSpaceDN w:val="0"/>
              <w:snapToGrid w:val="0"/>
              <w:spacing w:line="260" w:lineRule="exact"/>
              <w:ind w:leftChars="78" w:left="237" w:hangingChars="21" w:hanging="50"/>
              <w:rPr>
                <w:rFonts w:ascii="標楷體" w:eastAsia="標楷體" w:hAnsi="標楷體"/>
                <w:szCs w:val="22"/>
              </w:rPr>
            </w:pPr>
            <w:r w:rsidRPr="008743D7">
              <w:rPr>
                <w:rFonts w:ascii="標楷體" w:eastAsia="標楷體" w:hAnsi="標楷體" w:hint="eastAsia"/>
                <w:szCs w:val="22"/>
              </w:rPr>
              <w:t>111.12.8（10-6-25）審查完竣，不須交由黨團協商。</w:t>
            </w:r>
          </w:p>
          <w:p w14:paraId="70BFF7FC" w14:textId="77777777" w:rsidR="00EB3514" w:rsidRPr="00132EBB"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pacing w:val="-20"/>
                <w:szCs w:val="22"/>
              </w:rPr>
            </w:pPr>
            <w:r w:rsidRPr="008743D7">
              <w:rPr>
                <w:rFonts w:ascii="標楷體" w:eastAsia="標楷體" w:hAnsi="標楷體" w:hint="eastAsia"/>
                <w:szCs w:val="22"/>
              </w:rPr>
              <w:t>2.</w:t>
            </w:r>
            <w:r w:rsidRPr="00132EBB">
              <w:rPr>
                <w:rFonts w:ascii="標楷體" w:eastAsia="標楷體" w:hAnsi="標楷體" w:hint="eastAsia"/>
                <w:spacing w:val="-20"/>
                <w:szCs w:val="22"/>
              </w:rPr>
              <w:t>院會</w:t>
            </w:r>
            <w:r w:rsidRPr="00132EBB">
              <w:rPr>
                <w:rFonts w:ascii="標楷體" w:eastAsia="標楷體" w:hAnsi="標楷體"/>
                <w:spacing w:val="-20"/>
                <w:szCs w:val="22"/>
              </w:rPr>
              <w:t>111.</w:t>
            </w:r>
            <w:r w:rsidRPr="00132EBB">
              <w:rPr>
                <w:rFonts w:ascii="標楷體" w:eastAsia="標楷體" w:hAnsi="標楷體" w:hint="eastAsia"/>
                <w:spacing w:val="-20"/>
                <w:szCs w:val="22"/>
              </w:rPr>
              <w:t>12</w:t>
            </w:r>
            <w:r w:rsidRPr="00132EBB">
              <w:rPr>
                <w:rFonts w:ascii="標楷體" w:eastAsia="標楷體" w:hAnsi="標楷體"/>
                <w:spacing w:val="-20"/>
                <w:szCs w:val="22"/>
              </w:rPr>
              <w:t>.</w:t>
            </w:r>
            <w:r w:rsidRPr="00132EBB">
              <w:rPr>
                <w:rFonts w:ascii="標楷體" w:eastAsia="標楷體" w:hAnsi="標楷體" w:hint="eastAsia"/>
                <w:spacing w:val="-20"/>
                <w:szCs w:val="22"/>
              </w:rPr>
              <w:t>20</w:t>
            </w:r>
          </w:p>
          <w:p w14:paraId="0F997D1B" w14:textId="77777777" w:rsidR="00EB3514" w:rsidRPr="008743D7" w:rsidRDefault="00EB3514" w:rsidP="00042B03">
            <w:pPr>
              <w:kinsoku w:val="0"/>
              <w:wordWrap w:val="0"/>
              <w:topLinePunct/>
              <w:autoSpaceDE w:val="0"/>
              <w:autoSpaceDN w:val="0"/>
              <w:snapToGrid w:val="0"/>
              <w:spacing w:line="260" w:lineRule="exact"/>
              <w:ind w:leftChars="78" w:left="237" w:hangingChars="21" w:hanging="50"/>
              <w:rPr>
                <w:rFonts w:ascii="標楷體" w:eastAsia="標楷體" w:hAnsi="標楷體"/>
                <w:szCs w:val="22"/>
              </w:rPr>
            </w:pPr>
            <w:r w:rsidRPr="008743D7">
              <w:rPr>
                <w:rFonts w:ascii="標楷體" w:eastAsia="標楷體" w:hAnsi="標楷體"/>
                <w:szCs w:val="22"/>
              </w:rPr>
              <w:t>（10-</w:t>
            </w:r>
            <w:r w:rsidRPr="008743D7">
              <w:rPr>
                <w:rFonts w:ascii="標楷體" w:eastAsia="標楷體" w:hAnsi="標楷體" w:hint="eastAsia"/>
                <w:szCs w:val="22"/>
              </w:rPr>
              <w:t>6</w:t>
            </w:r>
            <w:r w:rsidRPr="008743D7">
              <w:rPr>
                <w:rFonts w:ascii="標楷體" w:eastAsia="標楷體" w:hAnsi="標楷體"/>
                <w:szCs w:val="22"/>
              </w:rPr>
              <w:t>-</w:t>
            </w:r>
            <w:r w:rsidRPr="008743D7">
              <w:rPr>
                <w:rFonts w:ascii="標楷體" w:eastAsia="標楷體" w:hAnsi="標楷體" w:hint="eastAsia"/>
                <w:szCs w:val="22"/>
              </w:rPr>
              <w:t>12</w:t>
            </w:r>
            <w:r w:rsidRPr="008743D7">
              <w:rPr>
                <w:rFonts w:ascii="標楷體" w:eastAsia="標楷體" w:hAnsi="標楷體"/>
                <w:szCs w:val="22"/>
              </w:rPr>
              <w:t>）</w:t>
            </w:r>
            <w:r w:rsidRPr="008743D7">
              <w:rPr>
                <w:rFonts w:ascii="標楷體" w:eastAsia="標楷體" w:hAnsi="標楷體" w:hint="eastAsia"/>
                <w:szCs w:val="22"/>
              </w:rPr>
              <w:t>三讀通過</w:t>
            </w:r>
            <w:r w:rsidRPr="008743D7">
              <w:rPr>
                <w:rFonts w:ascii="標楷體" w:eastAsia="標楷體" w:hAnsi="標楷體"/>
                <w:szCs w:val="22"/>
              </w:rPr>
              <w:t>。</w:t>
            </w:r>
          </w:p>
          <w:p w14:paraId="0E612058" w14:textId="259AA6C7" w:rsidR="00EB3514" w:rsidRPr="008743D7"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szCs w:val="22"/>
              </w:rPr>
            </w:pPr>
            <w:r w:rsidRPr="008743D7">
              <w:rPr>
                <w:rFonts w:ascii="標楷體" w:eastAsia="標楷體" w:hAnsi="標楷體" w:hint="eastAsia"/>
                <w:szCs w:val="22"/>
              </w:rPr>
              <w:t>3</w:t>
            </w:r>
            <w:r w:rsidRPr="008743D7">
              <w:rPr>
                <w:rFonts w:ascii="標楷體" w:eastAsia="標楷體" w:hAnsi="標楷體"/>
                <w:szCs w:val="22"/>
              </w:rPr>
              <w:t>.</w:t>
            </w:r>
            <w:r w:rsidRPr="008743D7">
              <w:rPr>
                <w:rFonts w:ascii="標楷體" w:eastAsia="標楷體" w:hAnsi="標楷體" w:hint="eastAsia"/>
                <w:szCs w:val="22"/>
              </w:rPr>
              <w:t>本院咨文日期及文號：111年12月28日台立院議字第1110704732號</w:t>
            </w:r>
            <w:r w:rsidR="00132EBB">
              <w:rPr>
                <w:rFonts w:ascii="標楷體" w:eastAsia="標楷體" w:hAnsi="標楷體" w:hint="eastAsia"/>
                <w:szCs w:val="22"/>
              </w:rPr>
              <w:t>。</w:t>
            </w:r>
          </w:p>
          <w:p w14:paraId="3F2297E6" w14:textId="4FE9336E" w:rsidR="00EB3514" w:rsidRPr="008743D7" w:rsidRDefault="00EB3514" w:rsidP="00042B03">
            <w:pPr>
              <w:kinsoku w:val="0"/>
              <w:wordWrap w:val="0"/>
              <w:topLinePunct/>
              <w:autoSpaceDE w:val="0"/>
              <w:autoSpaceDN w:val="0"/>
              <w:snapToGrid w:val="0"/>
              <w:spacing w:line="260" w:lineRule="exact"/>
              <w:ind w:left="240" w:hangingChars="100" w:hanging="240"/>
              <w:rPr>
                <w:rFonts w:ascii="標楷體" w:eastAsia="標楷體" w:hAnsi="標楷體"/>
                <w:color w:val="000000"/>
                <w:kern w:val="0"/>
                <w:szCs w:val="22"/>
              </w:rPr>
            </w:pPr>
            <w:r w:rsidRPr="008743D7">
              <w:rPr>
                <w:rFonts w:ascii="標楷體" w:eastAsia="標楷體" w:hAnsi="標楷體" w:hint="eastAsia"/>
                <w:szCs w:val="22"/>
              </w:rPr>
              <w:t>4.總統公布日期及文號，總統府公報：112年1月4日華總一經字第11100112351號，第7638號</w:t>
            </w:r>
            <w:r w:rsidR="00132EBB">
              <w:rPr>
                <w:rFonts w:ascii="標楷體" w:eastAsia="標楷體" w:hAnsi="標楷體" w:hint="eastAsia"/>
                <w:szCs w:val="22"/>
              </w:rPr>
              <w:t>。</w:t>
            </w:r>
          </w:p>
        </w:tc>
      </w:tr>
    </w:tbl>
    <w:p w14:paraId="3BE2642F" w14:textId="10C99862" w:rsidR="00EB3514" w:rsidRPr="00A54C56" w:rsidRDefault="00EB3514" w:rsidP="00A54C56">
      <w:pPr>
        <w:pStyle w:val="afffffc"/>
        <w:kinsoku w:val="0"/>
        <w:overflowPunct w:val="0"/>
        <w:spacing w:beforeLines="100" w:before="360" w:afterLines="100" w:after="360" w:line="500" w:lineRule="exact"/>
        <w:ind w:left="624" w:firstLineChars="50" w:firstLine="140"/>
        <w:rPr>
          <w:color w:val="000000" w:themeColor="text1"/>
          <w:szCs w:val="28"/>
        </w:rPr>
      </w:pPr>
      <w:bookmarkStart w:id="128" w:name="_Toc455152595"/>
      <w:bookmarkStart w:id="129" w:name="_Toc457395197"/>
      <w:bookmarkStart w:id="130" w:name="_Toc472666441"/>
      <w:bookmarkStart w:id="131" w:name="_Toc516496375"/>
      <w:bookmarkStart w:id="132" w:name="_Toc516496490"/>
      <w:bookmarkStart w:id="133" w:name="_Toc516496854"/>
      <w:bookmarkStart w:id="134" w:name="_Toc517947596"/>
      <w:bookmarkStart w:id="135" w:name="_Toc13473524"/>
      <w:bookmarkStart w:id="136" w:name="_Toc101788748"/>
      <w:r w:rsidRPr="00A54C56">
        <w:rPr>
          <w:rFonts w:hint="eastAsia"/>
          <w:color w:val="000000" w:themeColor="text1"/>
          <w:szCs w:val="28"/>
        </w:rPr>
        <w:t>三、預算凍結案</w:t>
      </w:r>
      <w:r w:rsidR="00D754FF" w:rsidRPr="00A54C56">
        <w:rPr>
          <w:color w:val="000000" w:themeColor="text1"/>
          <w:szCs w:val="28"/>
        </w:rPr>
        <w:t>72</w:t>
      </w:r>
      <w:r w:rsidRPr="00A54C56">
        <w:rPr>
          <w:color w:val="000000" w:themeColor="text1"/>
          <w:szCs w:val="28"/>
        </w:rPr>
        <w:t>案</w:t>
      </w:r>
      <w:bookmarkEnd w:id="128"/>
      <w:bookmarkEnd w:id="129"/>
      <w:bookmarkEnd w:id="130"/>
      <w:bookmarkEnd w:id="131"/>
      <w:bookmarkEnd w:id="132"/>
      <w:bookmarkEnd w:id="133"/>
      <w:bookmarkEnd w:id="134"/>
      <w:bookmarkEnd w:id="135"/>
      <w:bookmarkEnd w:id="136"/>
    </w:p>
    <w:p w14:paraId="772A2880" w14:textId="7D01BDAE" w:rsidR="00EB3514" w:rsidRPr="00753E0D" w:rsidRDefault="004B0C17" w:rsidP="004B0C17">
      <w:pPr>
        <w:keepNext/>
        <w:spacing w:beforeLines="100" w:before="360" w:afterLines="100" w:after="360" w:line="260" w:lineRule="exact"/>
        <w:outlineLvl w:val="2"/>
        <w:rPr>
          <w:rFonts w:ascii="標楷體" w:eastAsia="標楷體" w:hAnsi="標楷體"/>
          <w:b/>
          <w:bCs/>
          <w:sz w:val="28"/>
          <w:szCs w:val="28"/>
        </w:rPr>
      </w:pPr>
      <w:bookmarkStart w:id="137" w:name="_Toc455152589"/>
      <w:bookmarkStart w:id="138" w:name="_Toc457395191"/>
      <w:bookmarkStart w:id="139" w:name="_Toc472666435"/>
      <w:bookmarkStart w:id="140" w:name="_Toc516496369"/>
      <w:bookmarkStart w:id="141" w:name="_Toc516496484"/>
      <w:bookmarkStart w:id="142" w:name="_Toc516496848"/>
      <w:bookmarkStart w:id="143" w:name="_Toc517947590"/>
      <w:bookmarkStart w:id="144" w:name="_Toc13473517"/>
      <w:bookmarkStart w:id="145" w:name="_Toc114841682"/>
      <w:r>
        <w:rPr>
          <w:rFonts w:ascii="標楷體" w:eastAsia="標楷體" w:hAnsi="標楷體" w:hint="eastAsia"/>
          <w:b/>
          <w:sz w:val="28"/>
          <w:szCs w:val="28"/>
        </w:rPr>
        <w:t xml:space="preserve">         </w:t>
      </w:r>
      <w:r w:rsidRPr="00753E0D">
        <w:rPr>
          <w:rFonts w:ascii="標楷體" w:eastAsia="標楷體" w:hAnsi="標楷體"/>
          <w:b/>
          <w:sz w:val="28"/>
          <w:szCs w:val="28"/>
        </w:rPr>
        <w:t>(</w:t>
      </w:r>
      <w:r w:rsidRPr="00753E0D">
        <w:rPr>
          <w:rFonts w:ascii="標楷體" w:eastAsia="標楷體" w:hAnsi="標楷體"/>
          <w:b/>
          <w:bCs/>
          <w:sz w:val="28"/>
          <w:szCs w:val="28"/>
        </w:rPr>
        <w:t>一</w:t>
      </w:r>
      <w:r w:rsidRPr="00753E0D">
        <w:rPr>
          <w:rFonts w:ascii="標楷體" w:eastAsia="標楷體" w:hAnsi="標楷體" w:hint="eastAsia"/>
          <w:b/>
          <w:sz w:val="28"/>
          <w:szCs w:val="28"/>
        </w:rPr>
        <w:t>)</w:t>
      </w:r>
      <w:r w:rsidRPr="00753E0D">
        <w:rPr>
          <w:rFonts w:ascii="標楷體" w:eastAsia="標楷體" w:hAnsi="標楷體"/>
          <w:b/>
          <w:bCs/>
          <w:sz w:val="28"/>
          <w:szCs w:val="28"/>
        </w:rPr>
        <w:t>總統府（含國家安全會議</w:t>
      </w:r>
      <w:r w:rsidRPr="00753E0D">
        <w:rPr>
          <w:rFonts w:ascii="標楷體" w:eastAsia="標楷體" w:hAnsi="標楷體" w:hint="eastAsia"/>
          <w:b/>
          <w:bCs/>
          <w:sz w:val="28"/>
          <w:szCs w:val="28"/>
        </w:rPr>
        <w:t>、國史館</w:t>
      </w:r>
      <w:r w:rsidRPr="00753E0D">
        <w:rPr>
          <w:rFonts w:ascii="標楷體" w:eastAsia="標楷體" w:hAnsi="標楷體"/>
          <w:b/>
          <w:bCs/>
          <w:sz w:val="28"/>
          <w:szCs w:val="28"/>
        </w:rPr>
        <w:t>）</w:t>
      </w:r>
      <w:r w:rsidRPr="00753E0D">
        <w:rPr>
          <w:rFonts w:ascii="標楷體" w:eastAsia="標楷體" w:hAnsi="標楷體" w:hint="eastAsia"/>
          <w:b/>
          <w:bCs/>
          <w:sz w:val="28"/>
          <w:szCs w:val="28"/>
        </w:rPr>
        <w:t>5</w:t>
      </w:r>
      <w:r w:rsidRPr="00753E0D">
        <w:rPr>
          <w:rFonts w:ascii="標楷體" w:eastAsia="標楷體" w:hAnsi="標楷體"/>
          <w:b/>
          <w:bCs/>
          <w:sz w:val="28"/>
          <w:szCs w:val="28"/>
        </w:rPr>
        <w:t>案</w:t>
      </w:r>
      <w:bookmarkEnd w:id="137"/>
      <w:bookmarkEnd w:id="138"/>
      <w:bookmarkEnd w:id="139"/>
      <w:bookmarkEnd w:id="140"/>
      <w:bookmarkEnd w:id="141"/>
      <w:bookmarkEnd w:id="142"/>
      <w:bookmarkEnd w:id="143"/>
      <w:bookmarkEnd w:id="144"/>
      <w:bookmarkEnd w:id="14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EB3514" w:rsidRPr="00753E0D" w14:paraId="62A32CA3" w14:textId="77777777" w:rsidTr="00EC13B7">
        <w:tc>
          <w:tcPr>
            <w:tcW w:w="656" w:type="dxa"/>
            <w:shd w:val="clear" w:color="auto" w:fill="auto"/>
          </w:tcPr>
          <w:p w14:paraId="2760B701"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序號</w:t>
            </w:r>
          </w:p>
        </w:tc>
        <w:tc>
          <w:tcPr>
            <w:tcW w:w="2694" w:type="dxa"/>
            <w:shd w:val="clear" w:color="auto" w:fill="auto"/>
          </w:tcPr>
          <w:p w14:paraId="4459689F"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議案名稱</w:t>
            </w:r>
          </w:p>
        </w:tc>
        <w:tc>
          <w:tcPr>
            <w:tcW w:w="1701" w:type="dxa"/>
            <w:shd w:val="clear" w:color="auto" w:fill="auto"/>
          </w:tcPr>
          <w:p w14:paraId="350F6BA3" w14:textId="77777777" w:rsidR="00EB3514" w:rsidRPr="00753E0D" w:rsidRDefault="00EB3514"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753E0D">
              <w:rPr>
                <w:rFonts w:ascii="標楷體" w:eastAsia="標楷體" w:hAnsi="標楷體"/>
                <w:b/>
                <w:color w:val="000000"/>
                <w:spacing w:val="-20"/>
                <w:szCs w:val="22"/>
              </w:rPr>
              <w:t>提案機關、院會交付日期(會次)</w:t>
            </w:r>
          </w:p>
        </w:tc>
        <w:tc>
          <w:tcPr>
            <w:tcW w:w="1701" w:type="dxa"/>
            <w:shd w:val="clear" w:color="auto" w:fill="auto"/>
          </w:tcPr>
          <w:p w14:paraId="2BA117D2"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交付</w:t>
            </w:r>
            <w:r w:rsidRPr="00753E0D">
              <w:rPr>
                <w:rFonts w:ascii="標楷體" w:eastAsia="標楷體" w:hAnsi="標楷體"/>
                <w:b/>
                <w:color w:val="000000"/>
                <w:spacing w:val="-20"/>
                <w:szCs w:val="22"/>
                <w:lang w:eastAsia="ko-KR"/>
              </w:rPr>
              <w:t>委員會</w:t>
            </w:r>
          </w:p>
        </w:tc>
        <w:tc>
          <w:tcPr>
            <w:tcW w:w="1984" w:type="dxa"/>
            <w:shd w:val="clear" w:color="auto" w:fill="auto"/>
          </w:tcPr>
          <w:p w14:paraId="5E1B9154" w14:textId="6C2AA8E3" w:rsidR="00EB3514" w:rsidRPr="00753E0D"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EB3514" w:rsidRPr="00753E0D" w14:paraId="6B9C5226" w14:textId="77777777" w:rsidTr="00EC13B7">
        <w:tc>
          <w:tcPr>
            <w:tcW w:w="656" w:type="dxa"/>
            <w:shd w:val="clear" w:color="auto" w:fill="auto"/>
          </w:tcPr>
          <w:p w14:paraId="28F4635A"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w:t>
            </w:r>
          </w:p>
        </w:tc>
        <w:tc>
          <w:tcPr>
            <w:tcW w:w="2694" w:type="dxa"/>
            <w:shd w:val="clear" w:color="auto" w:fill="auto"/>
          </w:tcPr>
          <w:p w14:paraId="42942A05"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總統府函，為111年度中央政府總預算決議，檢送決議（一）至（四）、</w:t>
            </w:r>
            <w:r w:rsidRPr="00753E0D">
              <w:rPr>
                <w:rFonts w:ascii="標楷體" w:eastAsia="標楷體" w:hAnsi="標楷體"/>
                <w:color w:val="000000"/>
                <w:kern w:val="0"/>
                <w:szCs w:val="22"/>
              </w:rPr>
              <w:lastRenderedPageBreak/>
              <w:t>（十三）及（十四）預算凍結書面報告，請查照案。</w:t>
            </w:r>
          </w:p>
        </w:tc>
        <w:tc>
          <w:tcPr>
            <w:tcW w:w="1701" w:type="dxa"/>
            <w:shd w:val="clear" w:color="auto" w:fill="auto"/>
          </w:tcPr>
          <w:p w14:paraId="491CCFBE"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 xml:space="preserve">總統府 111.04.08 </w:t>
            </w:r>
          </w:p>
          <w:p w14:paraId="715A8243"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3844472A"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2E6AF5CB"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w:t>
            </w:r>
            <w:r w:rsidRPr="00847A27">
              <w:rPr>
                <w:rFonts w:ascii="標楷體" w:eastAsia="標楷體" w:hAnsi="標楷體"/>
                <w:spacing w:val="-10"/>
                <w:kern w:val="0"/>
                <w:szCs w:val="22"/>
              </w:rPr>
              <w:t>2</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15</w:t>
            </w:r>
          </w:p>
          <w:p w14:paraId="586436ED"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(10-6-27)准予備查，提報院會。</w:t>
            </w:r>
          </w:p>
          <w:p w14:paraId="179BF532"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lastRenderedPageBreak/>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.12.30</w:t>
            </w:r>
          </w:p>
          <w:p w14:paraId="551A437F"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w:t>
            </w:r>
            <w:r w:rsidRPr="00847A27">
              <w:rPr>
                <w:rFonts w:ascii="標楷體" w:eastAsia="標楷體" w:hAnsi="標楷體" w:hint="eastAsia"/>
                <w:spacing w:val="-10"/>
                <w:kern w:val="0"/>
                <w:szCs w:val="22"/>
              </w:rPr>
              <w:t>4)准予備查。</w:t>
            </w:r>
          </w:p>
        </w:tc>
      </w:tr>
      <w:tr w:rsidR="00EB3514" w:rsidRPr="00753E0D" w14:paraId="4AADFF83" w14:textId="77777777" w:rsidTr="00EC13B7">
        <w:tc>
          <w:tcPr>
            <w:tcW w:w="656" w:type="dxa"/>
            <w:shd w:val="clear" w:color="auto" w:fill="auto"/>
          </w:tcPr>
          <w:p w14:paraId="67087509"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lastRenderedPageBreak/>
              <w:t>2</w:t>
            </w:r>
          </w:p>
        </w:tc>
        <w:tc>
          <w:tcPr>
            <w:tcW w:w="2694" w:type="dxa"/>
            <w:shd w:val="clear" w:color="auto" w:fill="auto"/>
          </w:tcPr>
          <w:p w14:paraId="4A7ED693"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國家安全會議函，為111年度中央政府總預算決議，檢送歲出第1款第2項決議（一）凍結「一般行政」20萬元書面報告，請查照案。</w:t>
            </w:r>
          </w:p>
        </w:tc>
        <w:tc>
          <w:tcPr>
            <w:tcW w:w="1701" w:type="dxa"/>
            <w:shd w:val="clear" w:color="auto" w:fill="auto"/>
          </w:tcPr>
          <w:p w14:paraId="7EFAAC5A"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國家安全會議 111.05.13 </w:t>
            </w:r>
          </w:p>
          <w:p w14:paraId="71B2E89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（10-5-12）</w:t>
            </w:r>
          </w:p>
        </w:tc>
        <w:tc>
          <w:tcPr>
            <w:tcW w:w="1701" w:type="dxa"/>
            <w:shd w:val="clear" w:color="auto" w:fill="auto"/>
          </w:tcPr>
          <w:p w14:paraId="7790BD7E"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06C27B3F"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w:t>
            </w:r>
            <w:r w:rsidRPr="00847A27">
              <w:rPr>
                <w:rFonts w:ascii="標楷體" w:eastAsia="標楷體" w:hAnsi="標楷體"/>
                <w:spacing w:val="-10"/>
                <w:kern w:val="0"/>
                <w:szCs w:val="22"/>
              </w:rPr>
              <w:t>2</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15</w:t>
            </w:r>
          </w:p>
          <w:p w14:paraId="6DFEC5B9"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(10-6-27)准予動支，提報院會。</w:t>
            </w:r>
          </w:p>
          <w:p w14:paraId="61F43FFE"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.12.30</w:t>
            </w:r>
          </w:p>
          <w:p w14:paraId="7247E1CA"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w:t>
            </w:r>
            <w:r w:rsidRPr="00847A27">
              <w:rPr>
                <w:rFonts w:ascii="標楷體" w:eastAsia="標楷體" w:hAnsi="標楷體" w:hint="eastAsia"/>
                <w:spacing w:val="-10"/>
                <w:kern w:val="0"/>
                <w:szCs w:val="22"/>
              </w:rPr>
              <w:t>4)准予備查。</w:t>
            </w:r>
          </w:p>
        </w:tc>
      </w:tr>
      <w:tr w:rsidR="00EB3514" w:rsidRPr="00753E0D" w14:paraId="6E051422" w14:textId="77777777" w:rsidTr="00EC13B7">
        <w:tc>
          <w:tcPr>
            <w:tcW w:w="656" w:type="dxa"/>
            <w:shd w:val="clear" w:color="auto" w:fill="auto"/>
          </w:tcPr>
          <w:p w14:paraId="10302B9F"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3</w:t>
            </w:r>
          </w:p>
        </w:tc>
        <w:tc>
          <w:tcPr>
            <w:tcW w:w="2694" w:type="dxa"/>
            <w:shd w:val="clear" w:color="auto" w:fill="auto"/>
          </w:tcPr>
          <w:p w14:paraId="23061CE0"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國家安全會議函，為111年度中央政府總預算決議，檢送歲出第1款第2項決議（二）凍結「諮詢研究業務」50萬元書面報告，請查照案。</w:t>
            </w:r>
          </w:p>
        </w:tc>
        <w:tc>
          <w:tcPr>
            <w:tcW w:w="1701" w:type="dxa"/>
            <w:shd w:val="clear" w:color="auto" w:fill="auto"/>
          </w:tcPr>
          <w:p w14:paraId="3C8E740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國家安全會議 111.05.13 </w:t>
            </w:r>
          </w:p>
          <w:p w14:paraId="4004E77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（10-5-12）</w:t>
            </w:r>
          </w:p>
        </w:tc>
        <w:tc>
          <w:tcPr>
            <w:tcW w:w="1701" w:type="dxa"/>
            <w:shd w:val="clear" w:color="auto" w:fill="auto"/>
          </w:tcPr>
          <w:p w14:paraId="172F7973"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1352E861"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w:t>
            </w:r>
            <w:r w:rsidRPr="00847A27">
              <w:rPr>
                <w:rFonts w:ascii="標楷體" w:eastAsia="標楷體" w:hAnsi="標楷體"/>
                <w:spacing w:val="-10"/>
                <w:kern w:val="0"/>
                <w:szCs w:val="22"/>
              </w:rPr>
              <w:t>2</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15</w:t>
            </w:r>
          </w:p>
          <w:p w14:paraId="6EA97C2B"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(10-6-27)准予動支，提報院會。</w:t>
            </w:r>
          </w:p>
          <w:p w14:paraId="770D80E4"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.12.30</w:t>
            </w:r>
          </w:p>
          <w:p w14:paraId="5C16B405"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w:t>
            </w:r>
            <w:r w:rsidRPr="00847A27">
              <w:rPr>
                <w:rFonts w:ascii="標楷體" w:eastAsia="標楷體" w:hAnsi="標楷體" w:hint="eastAsia"/>
                <w:spacing w:val="-10"/>
                <w:kern w:val="0"/>
                <w:szCs w:val="22"/>
              </w:rPr>
              <w:t>4)准予備查。</w:t>
            </w:r>
          </w:p>
        </w:tc>
      </w:tr>
      <w:tr w:rsidR="00EB3514" w:rsidRPr="00753E0D" w14:paraId="0E1BE62F" w14:textId="77777777" w:rsidTr="00EC13B7">
        <w:tc>
          <w:tcPr>
            <w:tcW w:w="656" w:type="dxa"/>
            <w:shd w:val="clear" w:color="auto" w:fill="auto"/>
          </w:tcPr>
          <w:p w14:paraId="53E240E8"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4</w:t>
            </w:r>
          </w:p>
        </w:tc>
        <w:tc>
          <w:tcPr>
            <w:tcW w:w="2694" w:type="dxa"/>
            <w:shd w:val="clear" w:color="auto" w:fill="auto"/>
          </w:tcPr>
          <w:p w14:paraId="29E0D521"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國史館函，為111年度中央政府總預算決議，檢送「一般行政」預算凍結書面報告，請查照案。</w:t>
            </w:r>
          </w:p>
        </w:tc>
        <w:tc>
          <w:tcPr>
            <w:tcW w:w="1701" w:type="dxa"/>
            <w:shd w:val="clear" w:color="auto" w:fill="auto"/>
          </w:tcPr>
          <w:p w14:paraId="315D2C7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國史館 111.04.29 </w:t>
            </w:r>
          </w:p>
          <w:p w14:paraId="5E7F3355"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（10-5-10）</w:t>
            </w:r>
          </w:p>
        </w:tc>
        <w:tc>
          <w:tcPr>
            <w:tcW w:w="1701" w:type="dxa"/>
            <w:shd w:val="clear" w:color="auto" w:fill="auto"/>
          </w:tcPr>
          <w:p w14:paraId="50E131DF"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A432ABA"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w:t>
            </w:r>
            <w:r w:rsidRPr="00847A27">
              <w:rPr>
                <w:rFonts w:ascii="標楷體" w:eastAsia="標楷體" w:hAnsi="標楷體"/>
                <w:spacing w:val="-10"/>
                <w:kern w:val="0"/>
                <w:szCs w:val="22"/>
              </w:rPr>
              <w:t>2</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15</w:t>
            </w:r>
          </w:p>
          <w:p w14:paraId="2DCAFEEF"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spacing w:val="-10"/>
                <w:kern w:val="0"/>
                <w:szCs w:val="22"/>
              </w:rPr>
              <w:t>(10-6-27)</w:t>
            </w:r>
            <w:r w:rsidRPr="00847A27">
              <w:rPr>
                <w:rFonts w:ascii="標楷體" w:eastAsia="標楷體" w:hAnsi="標楷體" w:hint="eastAsia"/>
                <w:spacing w:val="-10"/>
                <w:kern w:val="0"/>
                <w:szCs w:val="22"/>
              </w:rPr>
              <w:t>准予備查，提報院會。</w:t>
            </w:r>
          </w:p>
          <w:p w14:paraId="5FA2D6BD"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.12.30</w:t>
            </w:r>
          </w:p>
          <w:p w14:paraId="0514E82E"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w:t>
            </w:r>
            <w:r w:rsidRPr="00847A27">
              <w:rPr>
                <w:rFonts w:ascii="標楷體" w:eastAsia="標楷體" w:hAnsi="標楷體" w:hint="eastAsia"/>
                <w:spacing w:val="-10"/>
                <w:kern w:val="0"/>
                <w:szCs w:val="22"/>
              </w:rPr>
              <w:t>4)准予備查。</w:t>
            </w:r>
          </w:p>
        </w:tc>
      </w:tr>
      <w:tr w:rsidR="00EB3514" w:rsidRPr="00753E0D" w14:paraId="10D1E1ED" w14:textId="77777777" w:rsidTr="00EC13B7">
        <w:tc>
          <w:tcPr>
            <w:tcW w:w="656" w:type="dxa"/>
            <w:shd w:val="clear" w:color="auto" w:fill="auto"/>
          </w:tcPr>
          <w:p w14:paraId="5F5A58C3"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5</w:t>
            </w:r>
          </w:p>
        </w:tc>
        <w:tc>
          <w:tcPr>
            <w:tcW w:w="2694" w:type="dxa"/>
            <w:shd w:val="clear" w:color="auto" w:fill="auto"/>
          </w:tcPr>
          <w:p w14:paraId="280C19D1"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國史館函，為111年度中央政府總預算決議</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檢送決議（二）預算凍結書面報告，請查照案。</w:t>
            </w:r>
          </w:p>
        </w:tc>
        <w:tc>
          <w:tcPr>
            <w:tcW w:w="1701" w:type="dxa"/>
            <w:shd w:val="clear" w:color="auto" w:fill="auto"/>
          </w:tcPr>
          <w:p w14:paraId="73472CC2"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國史館 111.04.29 </w:t>
            </w:r>
          </w:p>
          <w:p w14:paraId="0C8CF369"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（10-5-10）</w:t>
            </w:r>
          </w:p>
        </w:tc>
        <w:tc>
          <w:tcPr>
            <w:tcW w:w="1701" w:type="dxa"/>
            <w:shd w:val="clear" w:color="auto" w:fill="auto"/>
          </w:tcPr>
          <w:p w14:paraId="1662AA09"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221D929"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w:t>
            </w:r>
            <w:r w:rsidRPr="00847A27">
              <w:rPr>
                <w:rFonts w:ascii="標楷體" w:eastAsia="標楷體" w:hAnsi="標楷體"/>
                <w:spacing w:val="-10"/>
                <w:kern w:val="0"/>
                <w:szCs w:val="22"/>
              </w:rPr>
              <w:t>2</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15</w:t>
            </w:r>
          </w:p>
          <w:p w14:paraId="4794D515"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spacing w:val="-10"/>
                <w:kern w:val="0"/>
                <w:szCs w:val="22"/>
              </w:rPr>
              <w:t>(10-6-27)</w:t>
            </w:r>
            <w:r w:rsidRPr="00847A27">
              <w:rPr>
                <w:rFonts w:ascii="標楷體" w:eastAsia="標楷體" w:hAnsi="標楷體" w:hint="eastAsia"/>
                <w:spacing w:val="-10"/>
                <w:kern w:val="0"/>
                <w:szCs w:val="22"/>
              </w:rPr>
              <w:t>准予備查，提報院會。</w:t>
            </w:r>
          </w:p>
          <w:p w14:paraId="33BF62A4"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.12.30</w:t>
            </w:r>
          </w:p>
          <w:p w14:paraId="50380984"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w:t>
            </w:r>
            <w:r w:rsidRPr="00847A27">
              <w:rPr>
                <w:rFonts w:ascii="標楷體" w:eastAsia="標楷體" w:hAnsi="標楷體" w:hint="eastAsia"/>
                <w:spacing w:val="-10"/>
                <w:kern w:val="0"/>
                <w:szCs w:val="22"/>
              </w:rPr>
              <w:t>4)准予備查。</w:t>
            </w:r>
          </w:p>
        </w:tc>
      </w:tr>
    </w:tbl>
    <w:p w14:paraId="5ED4F3D3" w14:textId="099C481A" w:rsidR="00EB3514" w:rsidRPr="00753E0D" w:rsidRDefault="00696EC6" w:rsidP="00696EC6">
      <w:pPr>
        <w:keepNext/>
        <w:spacing w:beforeLines="100" w:before="360" w:afterLines="100" w:after="360" w:line="260" w:lineRule="exact"/>
        <w:outlineLvl w:val="2"/>
        <w:rPr>
          <w:rFonts w:ascii="標楷體" w:eastAsia="標楷體" w:hAnsi="標楷體"/>
          <w:b/>
          <w:bCs/>
          <w:sz w:val="28"/>
          <w:szCs w:val="28"/>
        </w:rPr>
      </w:pPr>
      <w:bookmarkStart w:id="146" w:name="_Toc472666436"/>
      <w:bookmarkStart w:id="147" w:name="_Toc516496370"/>
      <w:bookmarkStart w:id="148" w:name="_Toc516496485"/>
      <w:bookmarkStart w:id="149" w:name="_Toc516496849"/>
      <w:bookmarkStart w:id="150" w:name="_Toc517947591"/>
      <w:bookmarkStart w:id="151" w:name="_Toc13473518"/>
      <w:bookmarkStart w:id="152" w:name="_Toc114841683"/>
      <w:r>
        <w:rPr>
          <w:rFonts w:ascii="標楷體" w:eastAsia="標楷體" w:hAnsi="標楷體" w:hint="eastAsia"/>
          <w:b/>
          <w:sz w:val="28"/>
          <w:szCs w:val="28"/>
        </w:rPr>
        <w:t xml:space="preserve">         </w:t>
      </w:r>
      <w:r w:rsidRPr="00753E0D">
        <w:rPr>
          <w:rFonts w:ascii="標楷體" w:eastAsia="標楷體" w:hAnsi="標楷體"/>
          <w:b/>
          <w:sz w:val="28"/>
          <w:szCs w:val="28"/>
        </w:rPr>
        <w:t>(</w:t>
      </w:r>
      <w:r w:rsidRPr="00753E0D">
        <w:rPr>
          <w:rFonts w:ascii="標楷體" w:eastAsia="標楷體" w:hAnsi="標楷體"/>
          <w:b/>
          <w:bCs/>
          <w:sz w:val="28"/>
          <w:szCs w:val="28"/>
        </w:rPr>
        <w:t>二</w:t>
      </w:r>
      <w:r w:rsidRPr="00753E0D">
        <w:rPr>
          <w:rFonts w:ascii="標楷體" w:eastAsia="標楷體" w:hAnsi="標楷體" w:hint="eastAsia"/>
          <w:b/>
          <w:sz w:val="28"/>
          <w:szCs w:val="28"/>
        </w:rPr>
        <w:t>)</w:t>
      </w:r>
      <w:r w:rsidRPr="00D96730">
        <w:rPr>
          <w:rFonts w:ascii="標楷體" w:eastAsia="標楷體" w:hAnsi="標楷體"/>
          <w:b/>
          <w:sz w:val="28"/>
          <w:szCs w:val="28"/>
        </w:rPr>
        <w:t>行政院</w:t>
      </w:r>
      <w:r w:rsidRPr="00753E0D">
        <w:rPr>
          <w:rFonts w:ascii="標楷體" w:eastAsia="標楷體" w:hAnsi="標楷體"/>
          <w:b/>
          <w:bCs/>
          <w:sz w:val="28"/>
          <w:szCs w:val="28"/>
        </w:rPr>
        <w:t>6案</w:t>
      </w:r>
      <w:bookmarkEnd w:id="146"/>
      <w:bookmarkEnd w:id="147"/>
      <w:bookmarkEnd w:id="148"/>
      <w:bookmarkEnd w:id="149"/>
      <w:bookmarkEnd w:id="150"/>
      <w:bookmarkEnd w:id="151"/>
      <w:bookmarkEnd w:id="152"/>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EB3514" w:rsidRPr="00753E0D" w14:paraId="5AE5D90E" w14:textId="77777777" w:rsidTr="00EC13B7">
        <w:tc>
          <w:tcPr>
            <w:tcW w:w="656" w:type="dxa"/>
            <w:shd w:val="clear" w:color="auto" w:fill="auto"/>
          </w:tcPr>
          <w:p w14:paraId="2A9ABE5E"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序號</w:t>
            </w:r>
          </w:p>
        </w:tc>
        <w:tc>
          <w:tcPr>
            <w:tcW w:w="2694" w:type="dxa"/>
            <w:shd w:val="clear" w:color="auto" w:fill="auto"/>
          </w:tcPr>
          <w:p w14:paraId="0D85F863"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議案名稱</w:t>
            </w:r>
          </w:p>
        </w:tc>
        <w:tc>
          <w:tcPr>
            <w:tcW w:w="1701" w:type="dxa"/>
            <w:shd w:val="clear" w:color="auto" w:fill="auto"/>
          </w:tcPr>
          <w:p w14:paraId="6796B871" w14:textId="77777777" w:rsidR="00EB3514" w:rsidRPr="00753E0D" w:rsidRDefault="00EB3514"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753E0D">
              <w:rPr>
                <w:rFonts w:ascii="標楷體" w:eastAsia="標楷體" w:hAnsi="標楷體"/>
                <w:b/>
                <w:color w:val="000000"/>
                <w:spacing w:val="-20"/>
                <w:szCs w:val="22"/>
              </w:rPr>
              <w:t>提案機關、院會交付日期(會次)</w:t>
            </w:r>
          </w:p>
        </w:tc>
        <w:tc>
          <w:tcPr>
            <w:tcW w:w="1701" w:type="dxa"/>
            <w:shd w:val="clear" w:color="auto" w:fill="auto"/>
          </w:tcPr>
          <w:p w14:paraId="1C2EB606"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交付</w:t>
            </w:r>
            <w:r w:rsidRPr="00753E0D">
              <w:rPr>
                <w:rFonts w:ascii="標楷體" w:eastAsia="標楷體" w:hAnsi="標楷體"/>
                <w:b/>
                <w:color w:val="000000"/>
                <w:spacing w:val="-20"/>
                <w:szCs w:val="22"/>
                <w:lang w:eastAsia="ko-KR"/>
              </w:rPr>
              <w:t>委員會</w:t>
            </w:r>
          </w:p>
        </w:tc>
        <w:tc>
          <w:tcPr>
            <w:tcW w:w="1984" w:type="dxa"/>
            <w:shd w:val="clear" w:color="auto" w:fill="auto"/>
          </w:tcPr>
          <w:p w14:paraId="4709B808" w14:textId="5EA25AC3" w:rsidR="00EB3514" w:rsidRPr="00753E0D"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EB3514" w:rsidRPr="00847A27" w14:paraId="48D1F0B0" w14:textId="77777777" w:rsidTr="00EC13B7">
        <w:tc>
          <w:tcPr>
            <w:tcW w:w="656" w:type="dxa"/>
            <w:shd w:val="clear" w:color="auto" w:fill="auto"/>
          </w:tcPr>
          <w:p w14:paraId="2427EFCA" w14:textId="591C5132"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b/>
                <w:color w:val="000000"/>
                <w:szCs w:val="22"/>
              </w:rPr>
              <w:t>1</w:t>
            </w:r>
          </w:p>
        </w:tc>
        <w:tc>
          <w:tcPr>
            <w:tcW w:w="2694" w:type="dxa"/>
            <w:shd w:val="clear" w:color="auto" w:fill="auto"/>
          </w:tcPr>
          <w:p w14:paraId="2B26E0EA"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為111年度中央政府總預算決議，檢送決議（三）「公教人員婚喪生育及子女教育補助」預算凍結500萬元書面報告，請查照案。</w:t>
            </w:r>
          </w:p>
        </w:tc>
        <w:tc>
          <w:tcPr>
            <w:tcW w:w="1701" w:type="dxa"/>
            <w:shd w:val="clear" w:color="auto" w:fill="auto"/>
          </w:tcPr>
          <w:p w14:paraId="0D8F4442" w14:textId="77777777" w:rsidR="00EB3514" w:rsidRPr="00753E0D" w:rsidRDefault="00EB3514" w:rsidP="00EC13B7">
            <w:pPr>
              <w:spacing w:line="260" w:lineRule="exact"/>
              <w:rPr>
                <w:rFonts w:ascii="標楷體" w:eastAsia="標楷體" w:hAnsi="標楷體"/>
                <w:szCs w:val="22"/>
              </w:rPr>
            </w:pPr>
            <w:r w:rsidRPr="00753E0D">
              <w:rPr>
                <w:rFonts w:ascii="標楷體" w:eastAsia="標楷體" w:hAnsi="標楷體"/>
                <w:szCs w:val="22"/>
              </w:rPr>
              <w:t>行政院人事行政總處</w:t>
            </w:r>
          </w:p>
          <w:p w14:paraId="4C3A43E2" w14:textId="77777777" w:rsidR="00EB3514" w:rsidRPr="00753E0D" w:rsidRDefault="00EB3514" w:rsidP="00EC13B7">
            <w:pPr>
              <w:spacing w:line="260" w:lineRule="exact"/>
              <w:rPr>
                <w:rFonts w:ascii="標楷體" w:eastAsia="標楷體" w:hAnsi="標楷體"/>
                <w:szCs w:val="22"/>
              </w:rPr>
            </w:pPr>
            <w:r w:rsidRPr="00753E0D">
              <w:rPr>
                <w:rFonts w:ascii="標楷體" w:eastAsia="標楷體" w:hAnsi="標楷體"/>
                <w:szCs w:val="22"/>
              </w:rPr>
              <w:t>111.03.04</w:t>
            </w:r>
          </w:p>
          <w:p w14:paraId="724B1FDF" w14:textId="77777777" w:rsidR="00EB3514" w:rsidRPr="00753E0D" w:rsidRDefault="00EB3514" w:rsidP="00EC13B7">
            <w:pPr>
              <w:spacing w:line="260" w:lineRule="exact"/>
              <w:rPr>
                <w:rFonts w:ascii="標楷體" w:eastAsia="標楷體" w:hAnsi="標楷體"/>
                <w:szCs w:val="22"/>
              </w:rPr>
            </w:pPr>
            <w:r w:rsidRPr="00753E0D">
              <w:rPr>
                <w:rFonts w:ascii="標楷體" w:eastAsia="標楷體" w:hAnsi="標楷體"/>
                <w:szCs w:val="22"/>
              </w:rPr>
              <w:t>（10-5-2）</w:t>
            </w:r>
          </w:p>
        </w:tc>
        <w:tc>
          <w:tcPr>
            <w:tcW w:w="1701" w:type="dxa"/>
            <w:shd w:val="clear" w:color="auto" w:fill="auto"/>
          </w:tcPr>
          <w:p w14:paraId="4712A7FF"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1C3B063"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本會111.10.12</w:t>
            </w:r>
          </w:p>
          <w:p w14:paraId="3B529C22"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(10-6-5)准予備查，提報院會。</w:t>
            </w:r>
          </w:p>
          <w:p w14:paraId="6B3C99D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28</w:t>
            </w:r>
          </w:p>
          <w:p w14:paraId="0EE6D6FA"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5</w:t>
            </w:r>
            <w:r w:rsidRPr="00847A27">
              <w:rPr>
                <w:rFonts w:ascii="標楷體" w:eastAsia="標楷體" w:hAnsi="標楷體" w:hint="eastAsia"/>
                <w:spacing w:val="-10"/>
                <w:kern w:val="0"/>
                <w:szCs w:val="22"/>
              </w:rPr>
              <w:t>)准予備查。</w:t>
            </w:r>
          </w:p>
        </w:tc>
      </w:tr>
      <w:tr w:rsidR="00EB3514" w:rsidRPr="00847A27" w14:paraId="69579D9C" w14:textId="77777777" w:rsidTr="00EC13B7">
        <w:tc>
          <w:tcPr>
            <w:tcW w:w="656" w:type="dxa"/>
            <w:shd w:val="clear" w:color="auto" w:fill="auto"/>
          </w:tcPr>
          <w:p w14:paraId="390B6ECC" w14:textId="6D0B7EBA"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b/>
                <w:color w:val="000000"/>
                <w:szCs w:val="22"/>
              </w:rPr>
              <w:t>2</w:t>
            </w:r>
          </w:p>
        </w:tc>
        <w:tc>
          <w:tcPr>
            <w:tcW w:w="2694" w:type="dxa"/>
            <w:shd w:val="clear" w:color="auto" w:fill="auto"/>
          </w:tcPr>
          <w:p w14:paraId="06A6604E"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hint="eastAsia"/>
                <w:szCs w:val="22"/>
              </w:rPr>
              <w:t>為111年度中央政府總預算決議，檢送公務人力發展學院決議（二）「國外旅費」預算凍結20％書面報告，請查照案。</w:t>
            </w:r>
          </w:p>
        </w:tc>
        <w:tc>
          <w:tcPr>
            <w:tcW w:w="1701" w:type="dxa"/>
            <w:shd w:val="clear" w:color="auto" w:fill="auto"/>
          </w:tcPr>
          <w:p w14:paraId="37C93BCC" w14:textId="77777777" w:rsidR="00EB3514" w:rsidRPr="00753E0D" w:rsidRDefault="00EB3514" w:rsidP="00EC13B7">
            <w:pPr>
              <w:spacing w:line="260" w:lineRule="exact"/>
              <w:rPr>
                <w:rFonts w:ascii="標楷體" w:eastAsia="標楷體" w:hAnsi="標楷體"/>
                <w:szCs w:val="22"/>
              </w:rPr>
            </w:pPr>
            <w:r w:rsidRPr="00753E0D">
              <w:rPr>
                <w:rFonts w:ascii="標楷體" w:eastAsia="標楷體" w:hAnsi="標楷體" w:hint="eastAsia"/>
                <w:szCs w:val="22"/>
              </w:rPr>
              <w:t>行政院人事行政總處</w:t>
            </w:r>
          </w:p>
          <w:p w14:paraId="3E07C213" w14:textId="77777777" w:rsidR="00EB3514" w:rsidRPr="00753E0D" w:rsidRDefault="00EB3514" w:rsidP="00EC13B7">
            <w:pPr>
              <w:spacing w:line="260" w:lineRule="exact"/>
              <w:rPr>
                <w:rFonts w:ascii="標楷體" w:eastAsia="標楷體" w:hAnsi="標楷體"/>
                <w:szCs w:val="22"/>
              </w:rPr>
            </w:pPr>
            <w:r w:rsidRPr="00753E0D">
              <w:rPr>
                <w:rFonts w:ascii="標楷體" w:eastAsia="標楷體" w:hAnsi="標楷體" w:hint="eastAsia"/>
                <w:szCs w:val="22"/>
              </w:rPr>
              <w:t>111.03.11</w:t>
            </w:r>
          </w:p>
          <w:p w14:paraId="4AAD18E3" w14:textId="77777777" w:rsidR="00EB3514" w:rsidRPr="00753E0D" w:rsidRDefault="00EB3514" w:rsidP="00EC13B7">
            <w:pPr>
              <w:spacing w:line="260" w:lineRule="exact"/>
              <w:rPr>
                <w:rFonts w:ascii="標楷體" w:eastAsia="標楷體" w:hAnsi="標楷體"/>
                <w:szCs w:val="22"/>
              </w:rPr>
            </w:pPr>
            <w:r w:rsidRPr="00753E0D">
              <w:rPr>
                <w:rFonts w:ascii="標楷體" w:eastAsia="標楷體" w:hAnsi="標楷體" w:hint="eastAsia"/>
                <w:szCs w:val="22"/>
              </w:rPr>
              <w:t>（10-5-3）</w:t>
            </w:r>
          </w:p>
        </w:tc>
        <w:tc>
          <w:tcPr>
            <w:tcW w:w="1701" w:type="dxa"/>
            <w:shd w:val="clear" w:color="auto" w:fill="auto"/>
          </w:tcPr>
          <w:p w14:paraId="6DA088F7"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42B35707"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本會111.10.12</w:t>
            </w:r>
          </w:p>
          <w:p w14:paraId="751E8593"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(10-6-5)准予備查，提報院會。</w:t>
            </w:r>
          </w:p>
          <w:p w14:paraId="2EF7570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28</w:t>
            </w:r>
          </w:p>
          <w:p w14:paraId="61D2A6D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5</w:t>
            </w:r>
            <w:r w:rsidRPr="00847A27">
              <w:rPr>
                <w:rFonts w:ascii="標楷體" w:eastAsia="標楷體" w:hAnsi="標楷體" w:hint="eastAsia"/>
                <w:spacing w:val="-10"/>
                <w:kern w:val="0"/>
                <w:szCs w:val="22"/>
              </w:rPr>
              <w:t>)准予備查。</w:t>
            </w:r>
          </w:p>
        </w:tc>
      </w:tr>
      <w:tr w:rsidR="00EB3514" w:rsidRPr="00847A27" w14:paraId="4A5A8738" w14:textId="77777777" w:rsidTr="00EC13B7">
        <w:tc>
          <w:tcPr>
            <w:tcW w:w="656" w:type="dxa"/>
            <w:shd w:val="clear" w:color="auto" w:fill="auto"/>
          </w:tcPr>
          <w:p w14:paraId="61464E26" w14:textId="47E54FEC"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b/>
                <w:color w:val="000000"/>
                <w:szCs w:val="22"/>
              </w:rPr>
              <w:t>3</w:t>
            </w:r>
          </w:p>
        </w:tc>
        <w:tc>
          <w:tcPr>
            <w:tcW w:w="2694" w:type="dxa"/>
            <w:shd w:val="clear" w:color="auto" w:fill="auto"/>
          </w:tcPr>
          <w:p w14:paraId="6130F7E5"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為111年度中央政府總預算決議，檢送決議（一）「智慧創新人事服務」預算凍結770萬元書面報告，請查照案。</w:t>
            </w:r>
          </w:p>
        </w:tc>
        <w:tc>
          <w:tcPr>
            <w:tcW w:w="1701" w:type="dxa"/>
            <w:shd w:val="clear" w:color="auto" w:fill="auto"/>
          </w:tcPr>
          <w:p w14:paraId="2EA30234"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 xml:space="preserve">行政院人事行政總處 </w:t>
            </w:r>
          </w:p>
          <w:p w14:paraId="3E9861F4"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 xml:space="preserve">111.03.04 </w:t>
            </w:r>
          </w:p>
          <w:p w14:paraId="76F2980B"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（10-5-2）</w:t>
            </w:r>
          </w:p>
        </w:tc>
        <w:tc>
          <w:tcPr>
            <w:tcW w:w="1701" w:type="dxa"/>
            <w:shd w:val="clear" w:color="auto" w:fill="auto"/>
          </w:tcPr>
          <w:p w14:paraId="53BFC5FF"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F1BA5F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本會111.10.12</w:t>
            </w:r>
          </w:p>
          <w:p w14:paraId="62BB0F3B"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(10-6-5)准予動支，提報院會。</w:t>
            </w:r>
          </w:p>
          <w:p w14:paraId="3D443941"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28</w:t>
            </w:r>
          </w:p>
          <w:p w14:paraId="7D553EE3"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5</w:t>
            </w:r>
            <w:r w:rsidRPr="00847A27">
              <w:rPr>
                <w:rFonts w:ascii="標楷體" w:eastAsia="標楷體" w:hAnsi="標楷體" w:hint="eastAsia"/>
                <w:spacing w:val="-10"/>
                <w:kern w:val="0"/>
                <w:szCs w:val="22"/>
              </w:rPr>
              <w:t>)准予備查。</w:t>
            </w:r>
          </w:p>
        </w:tc>
      </w:tr>
      <w:tr w:rsidR="00EB3514" w:rsidRPr="00847A27" w14:paraId="55CC2B7F" w14:textId="77777777" w:rsidTr="00EC13B7">
        <w:tc>
          <w:tcPr>
            <w:tcW w:w="656" w:type="dxa"/>
            <w:shd w:val="clear" w:color="auto" w:fill="auto"/>
          </w:tcPr>
          <w:p w14:paraId="0E0259D2" w14:textId="5219BE09"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b/>
                <w:color w:val="000000"/>
                <w:szCs w:val="22"/>
              </w:rPr>
              <w:t>4</w:t>
            </w:r>
          </w:p>
        </w:tc>
        <w:tc>
          <w:tcPr>
            <w:tcW w:w="2694" w:type="dxa"/>
            <w:shd w:val="clear" w:color="auto" w:fill="auto"/>
          </w:tcPr>
          <w:p w14:paraId="0B3C850A"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為111年度中央政府總</w:t>
            </w:r>
            <w:r w:rsidRPr="00753E0D">
              <w:rPr>
                <w:rFonts w:ascii="標楷體" w:eastAsia="標楷體" w:hAnsi="標楷體"/>
                <w:szCs w:val="22"/>
              </w:rPr>
              <w:lastRenderedPageBreak/>
              <w:t>預算決議，檢送決議（二）「國外旅費」預算凍結20％書面報告，請查照案。</w:t>
            </w:r>
          </w:p>
        </w:tc>
        <w:tc>
          <w:tcPr>
            <w:tcW w:w="1701" w:type="dxa"/>
            <w:shd w:val="clear" w:color="auto" w:fill="auto"/>
          </w:tcPr>
          <w:p w14:paraId="2BC88981"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lastRenderedPageBreak/>
              <w:t>行政院人事行</w:t>
            </w:r>
            <w:r w:rsidRPr="00753E0D">
              <w:rPr>
                <w:rFonts w:ascii="標楷體" w:eastAsia="標楷體" w:hAnsi="標楷體"/>
                <w:szCs w:val="22"/>
              </w:rPr>
              <w:lastRenderedPageBreak/>
              <w:t xml:space="preserve">政總處 </w:t>
            </w:r>
          </w:p>
          <w:p w14:paraId="474FEE88"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 xml:space="preserve">111.03.04 </w:t>
            </w:r>
          </w:p>
          <w:p w14:paraId="607EBAFC"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（10-5-2）</w:t>
            </w:r>
          </w:p>
        </w:tc>
        <w:tc>
          <w:tcPr>
            <w:tcW w:w="1701" w:type="dxa"/>
            <w:shd w:val="clear" w:color="auto" w:fill="auto"/>
          </w:tcPr>
          <w:p w14:paraId="78D83EBE"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司法及法制</w:t>
            </w:r>
          </w:p>
        </w:tc>
        <w:tc>
          <w:tcPr>
            <w:tcW w:w="1984" w:type="dxa"/>
            <w:shd w:val="clear" w:color="auto" w:fill="auto"/>
          </w:tcPr>
          <w:p w14:paraId="1AEC0021"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本會111.10.12</w:t>
            </w:r>
          </w:p>
          <w:p w14:paraId="6ACDA443"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lastRenderedPageBreak/>
              <w:t>(10-6-5)准予動支，提報院會。</w:t>
            </w:r>
          </w:p>
          <w:p w14:paraId="6E2399F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28</w:t>
            </w:r>
          </w:p>
          <w:p w14:paraId="66D6B434"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5</w:t>
            </w:r>
            <w:r w:rsidRPr="00847A27">
              <w:rPr>
                <w:rFonts w:ascii="標楷體" w:eastAsia="標楷體" w:hAnsi="標楷體" w:hint="eastAsia"/>
                <w:spacing w:val="-10"/>
                <w:kern w:val="0"/>
                <w:szCs w:val="22"/>
              </w:rPr>
              <w:t>)准予備查。</w:t>
            </w:r>
          </w:p>
        </w:tc>
      </w:tr>
      <w:tr w:rsidR="00EB3514" w:rsidRPr="00847A27" w14:paraId="2FAFAA98" w14:textId="77777777" w:rsidTr="00EC13B7">
        <w:tc>
          <w:tcPr>
            <w:tcW w:w="656" w:type="dxa"/>
            <w:shd w:val="clear" w:color="auto" w:fill="auto"/>
          </w:tcPr>
          <w:p w14:paraId="14AD839A" w14:textId="4A3925E0"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b/>
                <w:color w:val="000000"/>
                <w:szCs w:val="22"/>
              </w:rPr>
              <w:lastRenderedPageBreak/>
              <w:t>5</w:t>
            </w:r>
          </w:p>
        </w:tc>
        <w:tc>
          <w:tcPr>
            <w:tcW w:w="2694" w:type="dxa"/>
            <w:shd w:val="clear" w:color="auto" w:fill="auto"/>
          </w:tcPr>
          <w:p w14:paraId="5F9E63F7"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為111年度中央政府總預算決議，檢送決議（二十八）「資訊服務費」預算凍結200萬元書面報告，請查照案。</w:t>
            </w:r>
          </w:p>
        </w:tc>
        <w:tc>
          <w:tcPr>
            <w:tcW w:w="1701" w:type="dxa"/>
            <w:shd w:val="clear" w:color="auto" w:fill="auto"/>
          </w:tcPr>
          <w:p w14:paraId="5A6DDD56"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 xml:space="preserve">行政院人事行政總處 </w:t>
            </w:r>
          </w:p>
          <w:p w14:paraId="43D10794"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 xml:space="preserve">111.03.04 </w:t>
            </w:r>
          </w:p>
          <w:p w14:paraId="451CA2B7"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（10-5-2）</w:t>
            </w:r>
          </w:p>
        </w:tc>
        <w:tc>
          <w:tcPr>
            <w:tcW w:w="1701" w:type="dxa"/>
            <w:shd w:val="clear" w:color="auto" w:fill="auto"/>
          </w:tcPr>
          <w:p w14:paraId="769B1A2C"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7480611"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本會111.10.12</w:t>
            </w:r>
          </w:p>
          <w:p w14:paraId="611D8C3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(10-6-5)准予動支，提報院會。</w:t>
            </w:r>
          </w:p>
          <w:p w14:paraId="45993C93"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28</w:t>
            </w:r>
          </w:p>
          <w:p w14:paraId="22B5B363"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5</w:t>
            </w:r>
            <w:r w:rsidRPr="00847A27">
              <w:rPr>
                <w:rFonts w:ascii="標楷體" w:eastAsia="標楷體" w:hAnsi="標楷體" w:hint="eastAsia"/>
                <w:spacing w:val="-10"/>
                <w:kern w:val="0"/>
                <w:szCs w:val="22"/>
              </w:rPr>
              <w:t>)准予備查。</w:t>
            </w:r>
          </w:p>
        </w:tc>
      </w:tr>
      <w:tr w:rsidR="00EB3514" w:rsidRPr="00847A27" w14:paraId="0588F208" w14:textId="77777777" w:rsidTr="00EC13B7">
        <w:tc>
          <w:tcPr>
            <w:tcW w:w="656" w:type="dxa"/>
            <w:shd w:val="clear" w:color="auto" w:fill="auto"/>
          </w:tcPr>
          <w:p w14:paraId="01304398" w14:textId="521390C2"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b/>
                <w:color w:val="000000"/>
                <w:szCs w:val="22"/>
              </w:rPr>
              <w:t>6</w:t>
            </w:r>
          </w:p>
        </w:tc>
        <w:tc>
          <w:tcPr>
            <w:tcW w:w="2694" w:type="dxa"/>
            <w:shd w:val="clear" w:color="auto" w:fill="auto"/>
          </w:tcPr>
          <w:p w14:paraId="339DBE70"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為111年度中央政府總預算決議，檢送公務人力發展學院決議（一）「人力資源研究發展」預算凍結50萬元書面報告，請查照案。</w:t>
            </w:r>
          </w:p>
        </w:tc>
        <w:tc>
          <w:tcPr>
            <w:tcW w:w="1701" w:type="dxa"/>
            <w:shd w:val="clear" w:color="auto" w:fill="auto"/>
          </w:tcPr>
          <w:p w14:paraId="459FAC93"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 xml:space="preserve">行政院人事行政總處 </w:t>
            </w:r>
          </w:p>
          <w:p w14:paraId="19AC593C"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 xml:space="preserve">111.03.18 </w:t>
            </w:r>
          </w:p>
          <w:p w14:paraId="03E81C15" w14:textId="77777777" w:rsidR="00EB3514" w:rsidRPr="00753E0D" w:rsidRDefault="00EB3514" w:rsidP="00EC13B7">
            <w:pPr>
              <w:spacing w:line="260" w:lineRule="exact"/>
              <w:jc w:val="both"/>
              <w:rPr>
                <w:rFonts w:ascii="標楷體" w:eastAsia="標楷體" w:hAnsi="標楷體"/>
                <w:szCs w:val="22"/>
              </w:rPr>
            </w:pPr>
            <w:r w:rsidRPr="00753E0D">
              <w:rPr>
                <w:rFonts w:ascii="標楷體" w:eastAsia="標楷體" w:hAnsi="標楷體"/>
                <w:szCs w:val="22"/>
              </w:rPr>
              <w:t>（10-5-4）</w:t>
            </w:r>
          </w:p>
        </w:tc>
        <w:tc>
          <w:tcPr>
            <w:tcW w:w="1701" w:type="dxa"/>
            <w:shd w:val="clear" w:color="auto" w:fill="auto"/>
          </w:tcPr>
          <w:p w14:paraId="7A89F777"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19E78605"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本會111.10.12</w:t>
            </w:r>
          </w:p>
          <w:p w14:paraId="620D35F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(10-6-5)准予動支，提報院會。</w:t>
            </w:r>
          </w:p>
          <w:p w14:paraId="2FDC683A"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w:t>
            </w:r>
            <w:r w:rsidRPr="00847A27">
              <w:rPr>
                <w:rFonts w:ascii="標楷體" w:eastAsia="標楷體" w:hAnsi="標楷體"/>
                <w:spacing w:val="-10"/>
                <w:kern w:val="0"/>
                <w:szCs w:val="22"/>
              </w:rPr>
              <w:t>.</w:t>
            </w:r>
            <w:r w:rsidRPr="00847A27">
              <w:rPr>
                <w:rFonts w:ascii="標楷體" w:eastAsia="標楷體" w:hAnsi="標楷體" w:hint="eastAsia"/>
                <w:spacing w:val="-10"/>
                <w:kern w:val="0"/>
                <w:szCs w:val="22"/>
              </w:rPr>
              <w:t>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28</w:t>
            </w:r>
          </w:p>
          <w:p w14:paraId="35973996"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5</w:t>
            </w:r>
            <w:r w:rsidRPr="00847A27">
              <w:rPr>
                <w:rFonts w:ascii="標楷體" w:eastAsia="標楷體" w:hAnsi="標楷體" w:hint="eastAsia"/>
                <w:spacing w:val="-10"/>
                <w:kern w:val="0"/>
                <w:szCs w:val="22"/>
              </w:rPr>
              <w:t>)准予備查。</w:t>
            </w:r>
          </w:p>
        </w:tc>
      </w:tr>
    </w:tbl>
    <w:p w14:paraId="1F50A5EB" w14:textId="77777777" w:rsidR="00696EC6" w:rsidRPr="00753E0D" w:rsidRDefault="00696EC6" w:rsidP="00696EC6">
      <w:pPr>
        <w:keepNext/>
        <w:spacing w:beforeLines="100" w:before="360" w:afterLines="100" w:after="360" w:line="260" w:lineRule="exact"/>
        <w:outlineLvl w:val="2"/>
        <w:rPr>
          <w:rFonts w:ascii="標楷體" w:eastAsia="標楷體" w:hAnsi="標楷體"/>
          <w:b/>
          <w:bCs/>
          <w:sz w:val="28"/>
          <w:szCs w:val="28"/>
        </w:rPr>
      </w:pPr>
      <w:bookmarkStart w:id="153" w:name="_Toc13473519"/>
      <w:bookmarkStart w:id="154" w:name="_Toc114841684"/>
      <w:bookmarkStart w:id="155" w:name="_Toc455152591"/>
      <w:bookmarkStart w:id="156" w:name="_Toc457395193"/>
      <w:bookmarkStart w:id="157" w:name="_Toc472666437"/>
      <w:bookmarkStart w:id="158" w:name="_Toc516496371"/>
      <w:bookmarkStart w:id="159" w:name="_Toc516496486"/>
      <w:bookmarkStart w:id="160" w:name="_Toc516496850"/>
      <w:bookmarkStart w:id="161" w:name="_Toc517947592"/>
      <w:r>
        <w:rPr>
          <w:rFonts w:ascii="標楷體" w:eastAsia="標楷體" w:hAnsi="標楷體" w:hint="eastAsia"/>
          <w:b/>
          <w:sz w:val="28"/>
          <w:szCs w:val="28"/>
        </w:rPr>
        <w:t xml:space="preserve">         </w:t>
      </w:r>
      <w:r w:rsidRPr="00753E0D">
        <w:rPr>
          <w:rFonts w:ascii="標楷體" w:eastAsia="標楷體" w:hAnsi="標楷體"/>
          <w:b/>
          <w:sz w:val="28"/>
          <w:szCs w:val="28"/>
        </w:rPr>
        <w:t>(</w:t>
      </w:r>
      <w:r w:rsidRPr="00753E0D">
        <w:rPr>
          <w:rFonts w:ascii="標楷體" w:eastAsia="標楷體" w:hAnsi="標楷體" w:hint="eastAsia"/>
          <w:b/>
          <w:bCs/>
          <w:sz w:val="28"/>
          <w:szCs w:val="28"/>
        </w:rPr>
        <w:t>三</w:t>
      </w:r>
      <w:r w:rsidRPr="00753E0D">
        <w:rPr>
          <w:rFonts w:ascii="標楷體" w:eastAsia="標楷體" w:hAnsi="標楷體" w:hint="eastAsia"/>
          <w:b/>
          <w:sz w:val="28"/>
          <w:szCs w:val="28"/>
        </w:rPr>
        <w:t>)</w:t>
      </w:r>
      <w:r w:rsidRPr="00753E0D">
        <w:rPr>
          <w:rFonts w:ascii="標楷體" w:eastAsia="標楷體" w:hAnsi="標楷體" w:hint="eastAsia"/>
          <w:b/>
          <w:bCs/>
          <w:sz w:val="28"/>
          <w:szCs w:val="28"/>
        </w:rPr>
        <w:t>立</w:t>
      </w:r>
      <w:r w:rsidRPr="00753E0D">
        <w:rPr>
          <w:rFonts w:ascii="標楷體" w:eastAsia="標楷體" w:hAnsi="標楷體"/>
          <w:b/>
          <w:bCs/>
          <w:sz w:val="28"/>
          <w:szCs w:val="28"/>
        </w:rPr>
        <w:t>法院</w:t>
      </w:r>
      <w:r w:rsidRPr="00753E0D">
        <w:rPr>
          <w:rFonts w:ascii="標楷體" w:eastAsia="標楷體" w:hAnsi="標楷體" w:hint="eastAsia"/>
          <w:b/>
          <w:bCs/>
          <w:sz w:val="28"/>
          <w:szCs w:val="28"/>
        </w:rPr>
        <w:t>32</w:t>
      </w:r>
      <w:r w:rsidRPr="00753E0D">
        <w:rPr>
          <w:rFonts w:ascii="標楷體" w:eastAsia="標楷體" w:hAnsi="標楷體"/>
          <w:b/>
          <w:bCs/>
          <w:sz w:val="28"/>
          <w:szCs w:val="28"/>
        </w:rPr>
        <w:t>案</w:t>
      </w:r>
      <w:bookmarkEnd w:id="153"/>
      <w:bookmarkEnd w:id="15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96EC6" w:rsidRPr="00753E0D" w14:paraId="48620D2C" w14:textId="77777777" w:rsidTr="00EC13B7">
        <w:tc>
          <w:tcPr>
            <w:tcW w:w="656" w:type="dxa"/>
            <w:shd w:val="clear" w:color="auto" w:fill="auto"/>
          </w:tcPr>
          <w:p w14:paraId="73F9E07D"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序號</w:t>
            </w:r>
          </w:p>
        </w:tc>
        <w:tc>
          <w:tcPr>
            <w:tcW w:w="2694" w:type="dxa"/>
            <w:shd w:val="clear" w:color="auto" w:fill="auto"/>
          </w:tcPr>
          <w:p w14:paraId="54261D7C"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議案名稱</w:t>
            </w:r>
          </w:p>
        </w:tc>
        <w:tc>
          <w:tcPr>
            <w:tcW w:w="1701" w:type="dxa"/>
            <w:shd w:val="clear" w:color="auto" w:fill="auto"/>
          </w:tcPr>
          <w:p w14:paraId="55460479" w14:textId="77777777" w:rsidR="00696EC6" w:rsidRPr="00753E0D" w:rsidRDefault="00696EC6"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753E0D">
              <w:rPr>
                <w:rFonts w:ascii="標楷體" w:eastAsia="標楷體" w:hAnsi="標楷體"/>
                <w:b/>
                <w:color w:val="000000"/>
                <w:spacing w:val="-20"/>
                <w:szCs w:val="22"/>
              </w:rPr>
              <w:t>提案機關、院會交付日期(會次)</w:t>
            </w:r>
          </w:p>
        </w:tc>
        <w:tc>
          <w:tcPr>
            <w:tcW w:w="1701" w:type="dxa"/>
            <w:shd w:val="clear" w:color="auto" w:fill="auto"/>
          </w:tcPr>
          <w:p w14:paraId="7A267B68"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交付</w:t>
            </w:r>
            <w:r w:rsidRPr="00753E0D">
              <w:rPr>
                <w:rFonts w:ascii="標楷體" w:eastAsia="標楷體" w:hAnsi="標楷體"/>
                <w:b/>
                <w:color w:val="000000"/>
                <w:spacing w:val="-20"/>
                <w:szCs w:val="22"/>
                <w:lang w:eastAsia="ko-KR"/>
              </w:rPr>
              <w:t>委員會</w:t>
            </w:r>
          </w:p>
        </w:tc>
        <w:tc>
          <w:tcPr>
            <w:tcW w:w="1984" w:type="dxa"/>
            <w:shd w:val="clear" w:color="auto" w:fill="auto"/>
          </w:tcPr>
          <w:p w14:paraId="315942BD"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696EC6" w:rsidRPr="00847A27" w14:paraId="0AFB2814" w14:textId="77777777" w:rsidTr="00EC13B7">
        <w:tc>
          <w:tcPr>
            <w:tcW w:w="656" w:type="dxa"/>
            <w:shd w:val="clear" w:color="auto" w:fill="auto"/>
          </w:tcPr>
          <w:p w14:paraId="74A039E2"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w:t>
            </w:r>
          </w:p>
        </w:tc>
        <w:tc>
          <w:tcPr>
            <w:tcW w:w="2694" w:type="dxa"/>
            <w:shd w:val="clear" w:color="auto" w:fill="auto"/>
          </w:tcPr>
          <w:p w14:paraId="41D97854"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立法院秘書長函，為111年度中央政府總預算決議，檢送本院單位預算決議（一）凍結歲出預算100萬元書面報告，請查照案。</w:t>
            </w:r>
          </w:p>
        </w:tc>
        <w:tc>
          <w:tcPr>
            <w:tcW w:w="1701" w:type="dxa"/>
            <w:shd w:val="clear" w:color="auto" w:fill="auto"/>
          </w:tcPr>
          <w:p w14:paraId="4EEA17A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111.04.29 </w:t>
            </w:r>
          </w:p>
          <w:p w14:paraId="0599C25A"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（10-5-10）</w:t>
            </w:r>
          </w:p>
        </w:tc>
        <w:tc>
          <w:tcPr>
            <w:tcW w:w="1701" w:type="dxa"/>
            <w:shd w:val="clear" w:color="auto" w:fill="auto"/>
          </w:tcPr>
          <w:p w14:paraId="76C1AD04"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F1766B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3FCD5D4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447FD63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774AC88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7C2801B2" w14:textId="77777777" w:rsidTr="00EC13B7">
        <w:tc>
          <w:tcPr>
            <w:tcW w:w="656" w:type="dxa"/>
            <w:shd w:val="clear" w:color="auto" w:fill="auto"/>
          </w:tcPr>
          <w:p w14:paraId="603D3CB0"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w:t>
            </w:r>
          </w:p>
        </w:tc>
        <w:tc>
          <w:tcPr>
            <w:tcW w:w="2694" w:type="dxa"/>
            <w:shd w:val="clear" w:color="auto" w:fill="auto"/>
          </w:tcPr>
          <w:p w14:paraId="284E1956"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立法院秘書長函，為111年度中央政府總預算決議，檢送本院單位預算決議（二）凍結預算100萬元書面報告，請查照案。</w:t>
            </w:r>
          </w:p>
        </w:tc>
        <w:tc>
          <w:tcPr>
            <w:tcW w:w="1701" w:type="dxa"/>
            <w:shd w:val="clear" w:color="auto" w:fill="auto"/>
          </w:tcPr>
          <w:p w14:paraId="572EB336"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111.04.22 </w:t>
            </w:r>
          </w:p>
          <w:p w14:paraId="359DF695"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（10-5-9）</w:t>
            </w:r>
          </w:p>
        </w:tc>
        <w:tc>
          <w:tcPr>
            <w:tcW w:w="1701" w:type="dxa"/>
            <w:shd w:val="clear" w:color="auto" w:fill="auto"/>
          </w:tcPr>
          <w:p w14:paraId="0809956A"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2B5AA7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3E59A8D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-17)准予動支，提報院會。</w:t>
            </w:r>
          </w:p>
          <w:p w14:paraId="10AE311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059D3C8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42F1E94C" w14:textId="77777777" w:rsidTr="00EC13B7">
        <w:tc>
          <w:tcPr>
            <w:tcW w:w="656" w:type="dxa"/>
            <w:shd w:val="clear" w:color="auto" w:fill="auto"/>
          </w:tcPr>
          <w:p w14:paraId="25D61721"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3</w:t>
            </w:r>
          </w:p>
        </w:tc>
        <w:tc>
          <w:tcPr>
            <w:tcW w:w="2694" w:type="dxa"/>
            <w:shd w:val="clear" w:color="auto" w:fill="auto"/>
          </w:tcPr>
          <w:p w14:paraId="2142246F"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立法院秘書長函，為111年度中央政府總預算決議，檢送本院單位預算決議（三）預算凍結書面報告，請查照案。</w:t>
            </w:r>
          </w:p>
        </w:tc>
        <w:tc>
          <w:tcPr>
            <w:tcW w:w="1701" w:type="dxa"/>
            <w:shd w:val="clear" w:color="auto" w:fill="auto"/>
          </w:tcPr>
          <w:p w14:paraId="017C68D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111.05.20 </w:t>
            </w:r>
          </w:p>
          <w:p w14:paraId="1CCE50D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（10-5-13）</w:t>
            </w:r>
          </w:p>
        </w:tc>
        <w:tc>
          <w:tcPr>
            <w:tcW w:w="1701" w:type="dxa"/>
            <w:shd w:val="clear" w:color="auto" w:fill="auto"/>
          </w:tcPr>
          <w:p w14:paraId="31FF9741"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55A6D7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6926766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03998C3A"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34A5426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35BAB41" w14:textId="77777777" w:rsidTr="00EC13B7">
        <w:tc>
          <w:tcPr>
            <w:tcW w:w="656" w:type="dxa"/>
            <w:shd w:val="clear" w:color="auto" w:fill="auto"/>
          </w:tcPr>
          <w:p w14:paraId="558FEE10"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4</w:t>
            </w:r>
          </w:p>
        </w:tc>
        <w:tc>
          <w:tcPr>
            <w:tcW w:w="2694" w:type="dxa"/>
            <w:shd w:val="clear" w:color="auto" w:fill="auto"/>
          </w:tcPr>
          <w:p w14:paraId="0DACB368"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立法院秘書長函，為111年度中央政府總預算決議，檢送本院單位預算決議（四）凍結「一般行政」項下「基本行政工作維持」之「業務費」10萬元書面報告，請查照案。</w:t>
            </w:r>
          </w:p>
        </w:tc>
        <w:tc>
          <w:tcPr>
            <w:tcW w:w="1701" w:type="dxa"/>
            <w:shd w:val="clear" w:color="auto" w:fill="auto"/>
          </w:tcPr>
          <w:p w14:paraId="356B5D38"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111.04.22 </w:t>
            </w:r>
          </w:p>
          <w:p w14:paraId="72E40F46"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（10-5-9）</w:t>
            </w:r>
          </w:p>
        </w:tc>
        <w:tc>
          <w:tcPr>
            <w:tcW w:w="1701" w:type="dxa"/>
            <w:shd w:val="clear" w:color="auto" w:fill="auto"/>
          </w:tcPr>
          <w:p w14:paraId="322AD9C8"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0F1901E"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3E32AD2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3929C4B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126BF9D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4C55AA73" w14:textId="77777777" w:rsidTr="00EC13B7">
        <w:tc>
          <w:tcPr>
            <w:tcW w:w="656" w:type="dxa"/>
            <w:shd w:val="clear" w:color="auto" w:fill="auto"/>
          </w:tcPr>
          <w:p w14:paraId="7EC5BEC4"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5</w:t>
            </w:r>
          </w:p>
        </w:tc>
        <w:tc>
          <w:tcPr>
            <w:tcW w:w="2694" w:type="dxa"/>
            <w:shd w:val="clear" w:color="auto" w:fill="auto"/>
          </w:tcPr>
          <w:p w14:paraId="03346376"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w:t>
            </w:r>
            <w:r w:rsidRPr="00753E0D">
              <w:rPr>
                <w:rFonts w:ascii="標楷體" w:eastAsia="標楷體" w:hAnsi="標楷體"/>
                <w:color w:val="000000"/>
                <w:kern w:val="0"/>
                <w:szCs w:val="22"/>
              </w:rPr>
              <w:lastRenderedPageBreak/>
              <w:t>議，檢送本院單位預算決議（五）凍結「設施及機械設備養護費」10萬元書面報告，請查照案。</w:t>
            </w:r>
          </w:p>
        </w:tc>
        <w:tc>
          <w:tcPr>
            <w:tcW w:w="1701" w:type="dxa"/>
            <w:shd w:val="clear" w:color="auto" w:fill="auto"/>
          </w:tcPr>
          <w:p w14:paraId="0BD85BE5"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 xml:space="preserve">立法院秘書長 111.04.22 </w:t>
            </w:r>
          </w:p>
          <w:p w14:paraId="064A1240"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（10-5-9）</w:t>
            </w:r>
          </w:p>
        </w:tc>
        <w:tc>
          <w:tcPr>
            <w:tcW w:w="1701" w:type="dxa"/>
            <w:shd w:val="clear" w:color="auto" w:fill="auto"/>
          </w:tcPr>
          <w:p w14:paraId="62AAD23E"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司法及法制</w:t>
            </w:r>
          </w:p>
        </w:tc>
        <w:tc>
          <w:tcPr>
            <w:tcW w:w="1984" w:type="dxa"/>
            <w:shd w:val="clear" w:color="auto" w:fill="auto"/>
          </w:tcPr>
          <w:p w14:paraId="4E507D87"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00EC714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w:t>
            </w:r>
            <w:r w:rsidRPr="00847A27">
              <w:rPr>
                <w:rFonts w:ascii="標楷體" w:eastAsia="標楷體" w:hAnsi="標楷體" w:hint="eastAsia"/>
                <w:spacing w:val="-10"/>
                <w:kern w:val="0"/>
                <w:szCs w:val="22"/>
              </w:rPr>
              <w:lastRenderedPageBreak/>
              <w:t>查，提報院會。</w:t>
            </w:r>
          </w:p>
          <w:p w14:paraId="09C32E8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1FDBBFB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4D5952DF" w14:textId="77777777" w:rsidTr="00EC13B7">
        <w:tc>
          <w:tcPr>
            <w:tcW w:w="656" w:type="dxa"/>
            <w:shd w:val="clear" w:color="auto" w:fill="auto"/>
          </w:tcPr>
          <w:p w14:paraId="0D78E85E"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lastRenderedPageBreak/>
              <w:t>6</w:t>
            </w:r>
          </w:p>
        </w:tc>
        <w:tc>
          <w:tcPr>
            <w:tcW w:w="2694" w:type="dxa"/>
            <w:shd w:val="clear" w:color="auto" w:fill="auto"/>
          </w:tcPr>
          <w:p w14:paraId="72770D33"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立法院秘書長函，為111年度中央政府總預算決議，檢送歲出部分決議（六）第1目「一般行政」項下「基本行政工作維持」中「業務費」之「國外旅費」凍結20％書面報告，請查照案。</w:t>
            </w:r>
          </w:p>
        </w:tc>
        <w:tc>
          <w:tcPr>
            <w:tcW w:w="1701" w:type="dxa"/>
            <w:shd w:val="clear" w:color="auto" w:fill="auto"/>
          </w:tcPr>
          <w:p w14:paraId="5C42606D"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111.04.15 </w:t>
            </w:r>
          </w:p>
          <w:p w14:paraId="797A1C05"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（10-5-8）</w:t>
            </w:r>
          </w:p>
        </w:tc>
        <w:tc>
          <w:tcPr>
            <w:tcW w:w="1701" w:type="dxa"/>
            <w:shd w:val="clear" w:color="auto" w:fill="auto"/>
          </w:tcPr>
          <w:p w14:paraId="5C91F7A2"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6D5D997"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35096A9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454B22E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6E87086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F3E6100" w14:textId="77777777" w:rsidTr="00EC13B7">
        <w:tc>
          <w:tcPr>
            <w:tcW w:w="656" w:type="dxa"/>
            <w:shd w:val="clear" w:color="auto" w:fill="auto"/>
          </w:tcPr>
          <w:p w14:paraId="76CD028F"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7</w:t>
            </w:r>
          </w:p>
        </w:tc>
        <w:tc>
          <w:tcPr>
            <w:tcW w:w="2694" w:type="dxa"/>
            <w:shd w:val="clear" w:color="auto" w:fill="auto"/>
          </w:tcPr>
          <w:p w14:paraId="31E82814"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立法院秘書長函，為111年度中央政府總預算決議，檢送本院單位預算決議（七）凍結「雜項設備費」50萬元書面報告，請查照案。</w:t>
            </w:r>
          </w:p>
        </w:tc>
        <w:tc>
          <w:tcPr>
            <w:tcW w:w="1701" w:type="dxa"/>
            <w:shd w:val="clear" w:color="auto" w:fill="auto"/>
          </w:tcPr>
          <w:p w14:paraId="3256521F"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111.05.06 </w:t>
            </w:r>
          </w:p>
          <w:p w14:paraId="34993459"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（10-5-11）</w:t>
            </w:r>
          </w:p>
        </w:tc>
        <w:tc>
          <w:tcPr>
            <w:tcW w:w="1701" w:type="dxa"/>
            <w:shd w:val="clear" w:color="auto" w:fill="auto"/>
          </w:tcPr>
          <w:p w14:paraId="7479FFF0"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075C909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052330F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-17)准予動支，提報院會。</w:t>
            </w:r>
          </w:p>
          <w:p w14:paraId="321969B7"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13F954FE"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0DD1FBF5" w14:textId="77777777" w:rsidTr="00EC13B7">
        <w:tc>
          <w:tcPr>
            <w:tcW w:w="656" w:type="dxa"/>
            <w:shd w:val="clear" w:color="auto" w:fill="auto"/>
          </w:tcPr>
          <w:p w14:paraId="771C16D6"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8</w:t>
            </w:r>
          </w:p>
        </w:tc>
        <w:tc>
          <w:tcPr>
            <w:tcW w:w="2694" w:type="dxa"/>
            <w:shd w:val="clear" w:color="auto" w:fill="auto"/>
          </w:tcPr>
          <w:p w14:paraId="0BA507C8"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立法院秘書長函，為111年度中央政府總預算決議，檢送歲出部分決議（八）「對學生之獎助」預算凍結15萬元書面報告，請查照案。</w:t>
            </w:r>
          </w:p>
        </w:tc>
        <w:tc>
          <w:tcPr>
            <w:tcW w:w="1701" w:type="dxa"/>
            <w:shd w:val="clear" w:color="auto" w:fill="auto"/>
          </w:tcPr>
          <w:p w14:paraId="552836D5"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111.04.01 </w:t>
            </w:r>
          </w:p>
          <w:p w14:paraId="02CC658B"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（10-5-6）</w:t>
            </w:r>
          </w:p>
        </w:tc>
        <w:tc>
          <w:tcPr>
            <w:tcW w:w="1701" w:type="dxa"/>
            <w:shd w:val="clear" w:color="auto" w:fill="auto"/>
          </w:tcPr>
          <w:p w14:paraId="76604901"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6DD9E7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5F14B90E"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390C440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269A704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2CD84846" w14:textId="77777777" w:rsidTr="00EC13B7">
        <w:tc>
          <w:tcPr>
            <w:tcW w:w="656" w:type="dxa"/>
            <w:shd w:val="clear" w:color="auto" w:fill="auto"/>
          </w:tcPr>
          <w:p w14:paraId="4BBBA744"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9</w:t>
            </w:r>
          </w:p>
        </w:tc>
        <w:tc>
          <w:tcPr>
            <w:tcW w:w="2694" w:type="dxa"/>
            <w:shd w:val="clear" w:color="auto" w:fill="auto"/>
          </w:tcPr>
          <w:p w14:paraId="790CBD8E"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立法院秘書長函，為111年度中央政府總預算決議，檢送本院單位預算決議（九）預算凍結書面報告，請查照案。</w:t>
            </w:r>
          </w:p>
        </w:tc>
        <w:tc>
          <w:tcPr>
            <w:tcW w:w="1701" w:type="dxa"/>
            <w:shd w:val="clear" w:color="auto" w:fill="auto"/>
          </w:tcPr>
          <w:p w14:paraId="78D0F95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111.05.20 </w:t>
            </w:r>
          </w:p>
          <w:p w14:paraId="03F9F86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（10-5-13）</w:t>
            </w:r>
          </w:p>
        </w:tc>
        <w:tc>
          <w:tcPr>
            <w:tcW w:w="1701" w:type="dxa"/>
            <w:shd w:val="clear" w:color="auto" w:fill="auto"/>
          </w:tcPr>
          <w:p w14:paraId="27BAC4F5"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4322C06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273CCBC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62622AEB"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6B1557DA"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0AA958BA" w14:textId="77777777" w:rsidTr="00EC13B7">
        <w:tc>
          <w:tcPr>
            <w:tcW w:w="656" w:type="dxa"/>
            <w:shd w:val="clear" w:color="auto" w:fill="auto"/>
          </w:tcPr>
          <w:p w14:paraId="0059657F"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10</w:t>
            </w:r>
          </w:p>
        </w:tc>
        <w:tc>
          <w:tcPr>
            <w:tcW w:w="2694" w:type="dxa"/>
            <w:shd w:val="clear" w:color="auto" w:fill="auto"/>
          </w:tcPr>
          <w:p w14:paraId="0097783B"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立法院秘書長函，為111年度中央政府總預算決議，檢送本院單位預算決議（十）凍結「一般行政」項下「資訊管理業務」100萬元書面報告，請查照案。</w:t>
            </w:r>
          </w:p>
        </w:tc>
        <w:tc>
          <w:tcPr>
            <w:tcW w:w="1701" w:type="dxa"/>
            <w:shd w:val="clear" w:color="auto" w:fill="auto"/>
          </w:tcPr>
          <w:p w14:paraId="4DEC20AA"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76ADE891"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08BFFACA"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4804D17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7BE4203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79B4A5F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2250A3D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405F2246" w14:textId="77777777" w:rsidTr="00EC13B7">
        <w:tc>
          <w:tcPr>
            <w:tcW w:w="656" w:type="dxa"/>
            <w:shd w:val="clear" w:color="auto" w:fill="auto"/>
          </w:tcPr>
          <w:p w14:paraId="1DBD9C35"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11</w:t>
            </w:r>
          </w:p>
        </w:tc>
        <w:tc>
          <w:tcPr>
            <w:tcW w:w="2694" w:type="dxa"/>
            <w:shd w:val="clear" w:color="auto" w:fill="auto"/>
          </w:tcPr>
          <w:p w14:paraId="0E1E5F6B"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立法院秘書長函，為111年度中央政府總預算決議，檢送本院單位預算決議（十一）凍結第1目「一般行政」項下「資訊管理業務」100萬元書面報告，請查照案。</w:t>
            </w:r>
          </w:p>
        </w:tc>
        <w:tc>
          <w:tcPr>
            <w:tcW w:w="1701" w:type="dxa"/>
            <w:shd w:val="clear" w:color="auto" w:fill="auto"/>
          </w:tcPr>
          <w:p w14:paraId="3E3F4E42"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111.05.13 </w:t>
            </w:r>
          </w:p>
          <w:p w14:paraId="1DAA1145"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（10-5-12）</w:t>
            </w:r>
          </w:p>
        </w:tc>
        <w:tc>
          <w:tcPr>
            <w:tcW w:w="1701" w:type="dxa"/>
            <w:shd w:val="clear" w:color="auto" w:fill="auto"/>
          </w:tcPr>
          <w:p w14:paraId="20654EFF"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99458B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7B1B3FC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5F6AF8C7"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25D6E6C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05EA7354" w14:textId="77777777" w:rsidTr="00EC13B7">
        <w:tc>
          <w:tcPr>
            <w:tcW w:w="656" w:type="dxa"/>
            <w:shd w:val="clear" w:color="auto" w:fill="auto"/>
          </w:tcPr>
          <w:p w14:paraId="1CB2BF0F"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12</w:t>
            </w:r>
          </w:p>
        </w:tc>
        <w:tc>
          <w:tcPr>
            <w:tcW w:w="2694" w:type="dxa"/>
            <w:shd w:val="clear" w:color="auto" w:fill="auto"/>
          </w:tcPr>
          <w:p w14:paraId="10585DF2"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w:t>
            </w:r>
            <w:r w:rsidRPr="00753E0D">
              <w:rPr>
                <w:rFonts w:ascii="標楷體" w:eastAsia="標楷體" w:hAnsi="標楷體"/>
                <w:color w:val="000000"/>
                <w:kern w:val="0"/>
                <w:szCs w:val="22"/>
              </w:rPr>
              <w:lastRenderedPageBreak/>
              <w:t>決議（十二）凍結「一般行政」項下「資訊管理業務」50萬元書面報告，請查照案。</w:t>
            </w:r>
          </w:p>
        </w:tc>
        <w:tc>
          <w:tcPr>
            <w:tcW w:w="1701" w:type="dxa"/>
            <w:shd w:val="clear" w:color="auto" w:fill="auto"/>
          </w:tcPr>
          <w:p w14:paraId="2918C8EF"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 xml:space="preserve">立法院秘書長 111.09.30 </w:t>
            </w:r>
          </w:p>
          <w:p w14:paraId="36E13F42"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7A4496EC"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45ED4AB"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3511848E"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7C170CA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lastRenderedPageBreak/>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1B4D7767"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BC67073" w14:textId="77777777" w:rsidTr="00EC13B7">
        <w:tc>
          <w:tcPr>
            <w:tcW w:w="656" w:type="dxa"/>
            <w:shd w:val="clear" w:color="auto" w:fill="auto"/>
          </w:tcPr>
          <w:p w14:paraId="0E5706E1"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lastRenderedPageBreak/>
              <w:t>13</w:t>
            </w:r>
          </w:p>
        </w:tc>
        <w:tc>
          <w:tcPr>
            <w:tcW w:w="2694" w:type="dxa"/>
            <w:shd w:val="clear" w:color="auto" w:fill="auto"/>
          </w:tcPr>
          <w:p w14:paraId="3BAFA368"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立法院秘書長函，為111年度中央政府總預算決議，檢送本院單位預算決議（十三）凍結「一般行政」項下「資訊管理業務」50萬元書面報告，請查照案。</w:t>
            </w:r>
          </w:p>
        </w:tc>
        <w:tc>
          <w:tcPr>
            <w:tcW w:w="1701" w:type="dxa"/>
            <w:shd w:val="clear" w:color="auto" w:fill="auto"/>
          </w:tcPr>
          <w:p w14:paraId="5C1C9310"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4F42B530"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4D2DCD40"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127EFC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2426BC33"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7D0EC3C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3A79553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0911E7CC" w14:textId="77777777" w:rsidTr="00EC13B7">
        <w:tc>
          <w:tcPr>
            <w:tcW w:w="656" w:type="dxa"/>
            <w:shd w:val="clear" w:color="auto" w:fill="auto"/>
          </w:tcPr>
          <w:p w14:paraId="66D4CD55"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14</w:t>
            </w:r>
          </w:p>
        </w:tc>
        <w:tc>
          <w:tcPr>
            <w:tcW w:w="2694" w:type="dxa"/>
            <w:shd w:val="clear" w:color="auto" w:fill="auto"/>
          </w:tcPr>
          <w:p w14:paraId="0CD622C1"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立法院秘書長函，為111年度中央政府總預算決議，檢送本院單位預算決議（十四）凍結「一般行政」項下「資訊管理業務」50萬元書面報告，請查照案。</w:t>
            </w:r>
          </w:p>
        </w:tc>
        <w:tc>
          <w:tcPr>
            <w:tcW w:w="1701" w:type="dxa"/>
            <w:shd w:val="clear" w:color="auto" w:fill="auto"/>
          </w:tcPr>
          <w:p w14:paraId="0DFFF6AC"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2FA6CC93"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2D02DDB3"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1FFDBA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2F9A049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42AEB87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43E6D1F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5218F1D" w14:textId="77777777" w:rsidTr="00EC13B7">
        <w:tc>
          <w:tcPr>
            <w:tcW w:w="656" w:type="dxa"/>
            <w:shd w:val="clear" w:color="auto" w:fill="auto"/>
          </w:tcPr>
          <w:p w14:paraId="0EF62247"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15</w:t>
            </w:r>
          </w:p>
        </w:tc>
        <w:tc>
          <w:tcPr>
            <w:tcW w:w="2694" w:type="dxa"/>
            <w:shd w:val="clear" w:color="auto" w:fill="auto"/>
          </w:tcPr>
          <w:p w14:paraId="138DB4DE"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立法院秘書長函，為111年度中央政府總預算決議，檢送本院單位預算決議（十五）凍結「一般行政」項下「資訊管理業務」50萬元書面報告，請查照案。</w:t>
            </w:r>
          </w:p>
        </w:tc>
        <w:tc>
          <w:tcPr>
            <w:tcW w:w="1701" w:type="dxa"/>
            <w:shd w:val="clear" w:color="auto" w:fill="auto"/>
          </w:tcPr>
          <w:p w14:paraId="3E606F88"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14A387CE"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609DA3AE"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1A9D2CB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1ACA496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5D6E6F6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70B46F5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32BAF666" w14:textId="77777777" w:rsidTr="00EC13B7">
        <w:tc>
          <w:tcPr>
            <w:tcW w:w="656" w:type="dxa"/>
            <w:shd w:val="clear" w:color="auto" w:fill="auto"/>
          </w:tcPr>
          <w:p w14:paraId="037C3244"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16</w:t>
            </w:r>
          </w:p>
        </w:tc>
        <w:tc>
          <w:tcPr>
            <w:tcW w:w="2694" w:type="dxa"/>
            <w:shd w:val="clear" w:color="auto" w:fill="auto"/>
          </w:tcPr>
          <w:p w14:paraId="4EA10F4D"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立法院秘書長函，為111年度中央政府總預算決議，檢送本院單位預算決議（十六）凍結「資訊服務費」200萬元書面報告，請查照案。</w:t>
            </w:r>
          </w:p>
        </w:tc>
        <w:tc>
          <w:tcPr>
            <w:tcW w:w="1701" w:type="dxa"/>
            <w:shd w:val="clear" w:color="auto" w:fill="auto"/>
          </w:tcPr>
          <w:p w14:paraId="13D4EA72"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6A32D959"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3BC9258A"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2EB202CA"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7E21C92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71300D0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5B71AB0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189DCAC" w14:textId="77777777" w:rsidTr="00EC13B7">
        <w:tc>
          <w:tcPr>
            <w:tcW w:w="656" w:type="dxa"/>
            <w:shd w:val="clear" w:color="auto" w:fill="auto"/>
          </w:tcPr>
          <w:p w14:paraId="498B6C23"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17</w:t>
            </w:r>
          </w:p>
        </w:tc>
        <w:tc>
          <w:tcPr>
            <w:tcW w:w="2694" w:type="dxa"/>
            <w:shd w:val="clear" w:color="auto" w:fill="auto"/>
          </w:tcPr>
          <w:p w14:paraId="04C066B1"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立法院秘書長函，為111年度中央政府總預算決議，檢送本院單位預算決議（十七）凍結「委員問政業務」50萬元書面報告，請查照案。</w:t>
            </w:r>
          </w:p>
        </w:tc>
        <w:tc>
          <w:tcPr>
            <w:tcW w:w="1701" w:type="dxa"/>
            <w:shd w:val="clear" w:color="auto" w:fill="auto"/>
          </w:tcPr>
          <w:p w14:paraId="64303DF6"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111.04.22 </w:t>
            </w:r>
          </w:p>
          <w:p w14:paraId="29C5DFE8"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（10-5-9）</w:t>
            </w:r>
          </w:p>
        </w:tc>
        <w:tc>
          <w:tcPr>
            <w:tcW w:w="1701" w:type="dxa"/>
            <w:shd w:val="clear" w:color="auto" w:fill="auto"/>
          </w:tcPr>
          <w:p w14:paraId="272BA372"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02A0FE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78B1C3D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56B24F7E"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11A0668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2F4347CD" w14:textId="77777777" w:rsidTr="00EC13B7">
        <w:tc>
          <w:tcPr>
            <w:tcW w:w="656" w:type="dxa"/>
            <w:shd w:val="clear" w:color="auto" w:fill="auto"/>
          </w:tcPr>
          <w:p w14:paraId="30E3A2F4"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18</w:t>
            </w:r>
          </w:p>
        </w:tc>
        <w:tc>
          <w:tcPr>
            <w:tcW w:w="2694" w:type="dxa"/>
            <w:shd w:val="clear" w:color="auto" w:fill="auto"/>
          </w:tcPr>
          <w:p w14:paraId="27EF36C5"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立法院秘書長函，為111年度中央政府總預算決議，檢送本院單位預算決議（十八）凍結「委員會館」項下「業務費」50萬元書面報告，請查照案。</w:t>
            </w:r>
          </w:p>
        </w:tc>
        <w:tc>
          <w:tcPr>
            <w:tcW w:w="1701" w:type="dxa"/>
            <w:shd w:val="clear" w:color="auto" w:fill="auto"/>
          </w:tcPr>
          <w:p w14:paraId="1F14EC06"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111.05.06 </w:t>
            </w:r>
          </w:p>
          <w:p w14:paraId="00AF6E76"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（10-5-11）</w:t>
            </w:r>
          </w:p>
        </w:tc>
        <w:tc>
          <w:tcPr>
            <w:tcW w:w="1701" w:type="dxa"/>
            <w:shd w:val="clear" w:color="auto" w:fill="auto"/>
          </w:tcPr>
          <w:p w14:paraId="652D54E5"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171EBF9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11A8E677"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179E183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27136CD7"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9787697" w14:textId="77777777" w:rsidTr="00EC13B7">
        <w:tc>
          <w:tcPr>
            <w:tcW w:w="656" w:type="dxa"/>
            <w:shd w:val="clear" w:color="auto" w:fill="auto"/>
          </w:tcPr>
          <w:p w14:paraId="43265931"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19</w:t>
            </w:r>
          </w:p>
        </w:tc>
        <w:tc>
          <w:tcPr>
            <w:tcW w:w="2694" w:type="dxa"/>
            <w:shd w:val="clear" w:color="auto" w:fill="auto"/>
          </w:tcPr>
          <w:p w14:paraId="31387ED9"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w:t>
            </w:r>
            <w:r w:rsidRPr="00753E0D">
              <w:rPr>
                <w:rFonts w:ascii="標楷體" w:eastAsia="標楷體" w:hAnsi="標楷體"/>
                <w:color w:val="000000"/>
                <w:kern w:val="0"/>
                <w:szCs w:val="22"/>
              </w:rPr>
              <w:lastRenderedPageBreak/>
              <w:t>決議（十九）凍結「委員研究室」項下「業務費」50萬元書面報告，請查照案。</w:t>
            </w:r>
          </w:p>
        </w:tc>
        <w:tc>
          <w:tcPr>
            <w:tcW w:w="1701" w:type="dxa"/>
            <w:shd w:val="clear" w:color="auto" w:fill="auto"/>
          </w:tcPr>
          <w:p w14:paraId="5F6720B3"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 xml:space="preserve">立法院秘書長 111.05.06 </w:t>
            </w:r>
          </w:p>
          <w:p w14:paraId="125E5303"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（10-5-11）</w:t>
            </w:r>
          </w:p>
        </w:tc>
        <w:tc>
          <w:tcPr>
            <w:tcW w:w="1701" w:type="dxa"/>
            <w:shd w:val="clear" w:color="auto" w:fill="auto"/>
          </w:tcPr>
          <w:p w14:paraId="47A367B7"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2CEB836"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2F7DDC9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-17)准予動支，提報院會。</w:t>
            </w:r>
          </w:p>
          <w:p w14:paraId="0A835E3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6CC194DB"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lastRenderedPageBreak/>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200E57B9" w14:textId="77777777" w:rsidTr="00EC13B7">
        <w:tc>
          <w:tcPr>
            <w:tcW w:w="656" w:type="dxa"/>
            <w:shd w:val="clear" w:color="auto" w:fill="auto"/>
          </w:tcPr>
          <w:p w14:paraId="7D6A6162"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lastRenderedPageBreak/>
              <w:t>20</w:t>
            </w:r>
          </w:p>
        </w:tc>
        <w:tc>
          <w:tcPr>
            <w:tcW w:w="2694" w:type="dxa"/>
            <w:shd w:val="clear" w:color="auto" w:fill="auto"/>
          </w:tcPr>
          <w:p w14:paraId="7526E755"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立法院秘書長函，為111年度中央政府總預算決議，檢送本院單位預算決議（二十）「議事業務」預算凍結20萬元書面報告，請查照案。</w:t>
            </w:r>
          </w:p>
        </w:tc>
        <w:tc>
          <w:tcPr>
            <w:tcW w:w="1701" w:type="dxa"/>
            <w:shd w:val="clear" w:color="auto" w:fill="auto"/>
          </w:tcPr>
          <w:p w14:paraId="70859619"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4FDC1E6A"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4A87A08C"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027051B"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03FBCC6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6DDC6A7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3BED778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F9F1057" w14:textId="77777777" w:rsidTr="00EC13B7">
        <w:tc>
          <w:tcPr>
            <w:tcW w:w="656" w:type="dxa"/>
            <w:shd w:val="clear" w:color="auto" w:fill="auto"/>
          </w:tcPr>
          <w:p w14:paraId="61480F19"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21</w:t>
            </w:r>
          </w:p>
        </w:tc>
        <w:tc>
          <w:tcPr>
            <w:tcW w:w="2694" w:type="dxa"/>
            <w:shd w:val="clear" w:color="auto" w:fill="auto"/>
          </w:tcPr>
          <w:p w14:paraId="24782972"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立法院秘書長函，為111年度中央政府總預算決議，檢送本院單位預算決議（二十一）「議事業務」預算凍結20萬元書面報告，請查照案。</w:t>
            </w:r>
          </w:p>
        </w:tc>
        <w:tc>
          <w:tcPr>
            <w:tcW w:w="1701" w:type="dxa"/>
            <w:shd w:val="clear" w:color="auto" w:fill="auto"/>
          </w:tcPr>
          <w:p w14:paraId="30DABB7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52561E17"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4CCD4719"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A2D75C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3D0B47A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74C7AF2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2B971F7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38D645EC" w14:textId="77777777" w:rsidTr="00EC13B7">
        <w:tc>
          <w:tcPr>
            <w:tcW w:w="656" w:type="dxa"/>
            <w:shd w:val="clear" w:color="auto" w:fill="auto"/>
          </w:tcPr>
          <w:p w14:paraId="7442B9F6"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22</w:t>
            </w:r>
          </w:p>
        </w:tc>
        <w:tc>
          <w:tcPr>
            <w:tcW w:w="2694" w:type="dxa"/>
            <w:shd w:val="clear" w:color="auto" w:fill="auto"/>
          </w:tcPr>
          <w:p w14:paraId="3EE502D6"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立法院秘書長函，為111年度中央政府總預算決議，檢送本院單位預算決議（二十二）「議事業務」預算凍結20萬元書面報告，請查照案。</w:t>
            </w:r>
          </w:p>
        </w:tc>
        <w:tc>
          <w:tcPr>
            <w:tcW w:w="1701" w:type="dxa"/>
            <w:shd w:val="clear" w:color="auto" w:fill="auto"/>
          </w:tcPr>
          <w:p w14:paraId="72AA97F1"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1593EE57"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672B47C2"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026CDA9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250B533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3E831AFA"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46AEBEB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2ED43B24" w14:textId="77777777" w:rsidTr="00EC13B7">
        <w:tc>
          <w:tcPr>
            <w:tcW w:w="656" w:type="dxa"/>
            <w:shd w:val="clear" w:color="auto" w:fill="auto"/>
          </w:tcPr>
          <w:p w14:paraId="0F453C5D"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23</w:t>
            </w:r>
          </w:p>
        </w:tc>
        <w:tc>
          <w:tcPr>
            <w:tcW w:w="2694" w:type="dxa"/>
            <w:shd w:val="clear" w:color="auto" w:fill="auto"/>
          </w:tcPr>
          <w:p w14:paraId="6E297627"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立法院秘書長函，為111年度中央政府總預算決議，檢送本院單位預算決議（二十三）「議事業務」預算凍結20萬元書面報告，請查照案。</w:t>
            </w:r>
          </w:p>
        </w:tc>
        <w:tc>
          <w:tcPr>
            <w:tcW w:w="1701" w:type="dxa"/>
            <w:shd w:val="clear" w:color="auto" w:fill="auto"/>
          </w:tcPr>
          <w:p w14:paraId="47A6A31D"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5ECC6D92"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6394524E"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4C26532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754FD5D4"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12CB12B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139AA5B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48214C99" w14:textId="77777777" w:rsidTr="00EC13B7">
        <w:tc>
          <w:tcPr>
            <w:tcW w:w="656" w:type="dxa"/>
            <w:shd w:val="clear" w:color="auto" w:fill="auto"/>
          </w:tcPr>
          <w:p w14:paraId="1EEDAFDE"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24</w:t>
            </w:r>
          </w:p>
        </w:tc>
        <w:tc>
          <w:tcPr>
            <w:tcW w:w="2694" w:type="dxa"/>
            <w:shd w:val="clear" w:color="auto" w:fill="auto"/>
          </w:tcPr>
          <w:p w14:paraId="1F809EAF"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立法院秘書長函，為111年度中央政府總預算決議，檢送本院單位預算決議（二十四）「議事業務」項下「委員會議事」中「業務費」預算凍結20萬元書面報告，請查照案。</w:t>
            </w:r>
          </w:p>
        </w:tc>
        <w:tc>
          <w:tcPr>
            <w:tcW w:w="1701" w:type="dxa"/>
            <w:shd w:val="clear" w:color="auto" w:fill="auto"/>
          </w:tcPr>
          <w:p w14:paraId="24545A8B"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53225E76"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688EB825"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463B572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6D8A783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743286AE"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5165C41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6283CE3F" w14:textId="77777777" w:rsidTr="00EC13B7">
        <w:tc>
          <w:tcPr>
            <w:tcW w:w="656" w:type="dxa"/>
            <w:shd w:val="clear" w:color="auto" w:fill="auto"/>
          </w:tcPr>
          <w:p w14:paraId="40846F09"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25</w:t>
            </w:r>
          </w:p>
        </w:tc>
        <w:tc>
          <w:tcPr>
            <w:tcW w:w="2694" w:type="dxa"/>
            <w:shd w:val="clear" w:color="auto" w:fill="auto"/>
          </w:tcPr>
          <w:p w14:paraId="33A483DD"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立法院秘書長函，為111年度中央政府總預算決議，檢送本院單位預算決議（二十五）凍結第4目「立法諮詢業務」項下20萬元書面報告，請查照案。</w:t>
            </w:r>
          </w:p>
        </w:tc>
        <w:tc>
          <w:tcPr>
            <w:tcW w:w="1701" w:type="dxa"/>
            <w:shd w:val="clear" w:color="auto" w:fill="auto"/>
          </w:tcPr>
          <w:p w14:paraId="496375B9"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111.04.29 </w:t>
            </w:r>
          </w:p>
          <w:p w14:paraId="07A81C2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（10-5-10）</w:t>
            </w:r>
          </w:p>
        </w:tc>
        <w:tc>
          <w:tcPr>
            <w:tcW w:w="1701" w:type="dxa"/>
            <w:shd w:val="clear" w:color="auto" w:fill="auto"/>
          </w:tcPr>
          <w:p w14:paraId="574C5410"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2641D27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4634D5B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73F85C5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19FB8E03"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62BFA016" w14:textId="77777777" w:rsidTr="00EC13B7">
        <w:tc>
          <w:tcPr>
            <w:tcW w:w="656" w:type="dxa"/>
            <w:shd w:val="clear" w:color="auto" w:fill="auto"/>
          </w:tcPr>
          <w:p w14:paraId="758C39D3"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26</w:t>
            </w:r>
          </w:p>
        </w:tc>
        <w:tc>
          <w:tcPr>
            <w:tcW w:w="2694" w:type="dxa"/>
            <w:shd w:val="clear" w:color="auto" w:fill="auto"/>
          </w:tcPr>
          <w:p w14:paraId="1F9345EC"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立法院秘書長函，為111年度中央政府總預算決議，檢送歲出部分決議（二十六）第5目「國會</w:t>
            </w:r>
            <w:r w:rsidRPr="00753E0D">
              <w:rPr>
                <w:rFonts w:ascii="標楷體" w:eastAsia="標楷體" w:hAnsi="標楷體"/>
                <w:color w:val="000000"/>
                <w:kern w:val="0"/>
                <w:szCs w:val="22"/>
              </w:rPr>
              <w:lastRenderedPageBreak/>
              <w:t>圖書業務」預算凍結400萬元書面報告，請查照案。</w:t>
            </w:r>
          </w:p>
        </w:tc>
        <w:tc>
          <w:tcPr>
            <w:tcW w:w="1701" w:type="dxa"/>
            <w:shd w:val="clear" w:color="auto" w:fill="auto"/>
          </w:tcPr>
          <w:p w14:paraId="6FEE225B"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 xml:space="preserve">立法院秘書長 111.04.08 </w:t>
            </w:r>
          </w:p>
          <w:p w14:paraId="1DA90308"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77E61B0D"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1A8B70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5083A5A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65778E8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36A4939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w:t>
            </w:r>
            <w:r w:rsidRPr="00847A27">
              <w:rPr>
                <w:rFonts w:ascii="標楷體" w:eastAsia="標楷體" w:hAnsi="標楷體" w:hint="eastAsia"/>
                <w:spacing w:val="-10"/>
                <w:kern w:val="0"/>
                <w:szCs w:val="22"/>
              </w:rPr>
              <w:lastRenderedPageBreak/>
              <w:t>查。</w:t>
            </w:r>
          </w:p>
        </w:tc>
      </w:tr>
      <w:tr w:rsidR="00696EC6" w:rsidRPr="00847A27" w14:paraId="0C70271D" w14:textId="77777777" w:rsidTr="00EC13B7">
        <w:tc>
          <w:tcPr>
            <w:tcW w:w="656" w:type="dxa"/>
            <w:shd w:val="clear" w:color="auto" w:fill="auto"/>
          </w:tcPr>
          <w:p w14:paraId="6C6D52B7"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lastRenderedPageBreak/>
              <w:t>27</w:t>
            </w:r>
          </w:p>
        </w:tc>
        <w:tc>
          <w:tcPr>
            <w:tcW w:w="2694" w:type="dxa"/>
            <w:shd w:val="clear" w:color="auto" w:fill="auto"/>
          </w:tcPr>
          <w:p w14:paraId="390B37CF"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立法院秘書長函，為111年度中央政府總預算決議，檢送本院單位預算決議（二十七）凍結第6目「公報業務」項下「公報行政」中「業務費」之「委辦費」100萬元書面報告，請查照案。</w:t>
            </w:r>
          </w:p>
        </w:tc>
        <w:tc>
          <w:tcPr>
            <w:tcW w:w="1701" w:type="dxa"/>
            <w:shd w:val="clear" w:color="auto" w:fill="auto"/>
          </w:tcPr>
          <w:p w14:paraId="7E68C77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111.05.20 </w:t>
            </w:r>
          </w:p>
          <w:p w14:paraId="14B8A361"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（10-5-13）</w:t>
            </w:r>
          </w:p>
        </w:tc>
        <w:tc>
          <w:tcPr>
            <w:tcW w:w="1701" w:type="dxa"/>
            <w:shd w:val="clear" w:color="auto" w:fill="auto"/>
          </w:tcPr>
          <w:p w14:paraId="0A608BFF"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4E75B4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2AA4872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04E0F7E0"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4591FBA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34B09218" w14:textId="77777777" w:rsidTr="00EC13B7">
        <w:tc>
          <w:tcPr>
            <w:tcW w:w="656" w:type="dxa"/>
            <w:shd w:val="clear" w:color="auto" w:fill="auto"/>
          </w:tcPr>
          <w:p w14:paraId="45993729"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28</w:t>
            </w:r>
          </w:p>
        </w:tc>
        <w:tc>
          <w:tcPr>
            <w:tcW w:w="2694" w:type="dxa"/>
            <w:shd w:val="clear" w:color="auto" w:fill="auto"/>
          </w:tcPr>
          <w:p w14:paraId="21E5FF81"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立法院秘書長函，為111年度中央政府總預算決議，檢送本院單位預算決議（二十八）凍結「營建工程」20萬元書面報告，請查照案。</w:t>
            </w:r>
          </w:p>
        </w:tc>
        <w:tc>
          <w:tcPr>
            <w:tcW w:w="1701" w:type="dxa"/>
            <w:shd w:val="clear" w:color="auto" w:fill="auto"/>
          </w:tcPr>
          <w:p w14:paraId="0F87C90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111.04.22 </w:t>
            </w:r>
          </w:p>
          <w:p w14:paraId="67374710"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（10-5-9）</w:t>
            </w:r>
          </w:p>
        </w:tc>
        <w:tc>
          <w:tcPr>
            <w:tcW w:w="1701" w:type="dxa"/>
            <w:shd w:val="clear" w:color="auto" w:fill="auto"/>
          </w:tcPr>
          <w:p w14:paraId="4EAE1BE2"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08709C9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633457D8"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6A1AF77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2795B0E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4F1DC9B9" w14:textId="77777777" w:rsidTr="00EC13B7">
        <w:tc>
          <w:tcPr>
            <w:tcW w:w="656" w:type="dxa"/>
            <w:shd w:val="clear" w:color="auto" w:fill="auto"/>
          </w:tcPr>
          <w:p w14:paraId="74E16614"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29</w:t>
            </w:r>
          </w:p>
        </w:tc>
        <w:tc>
          <w:tcPr>
            <w:tcW w:w="2694" w:type="dxa"/>
            <w:shd w:val="clear" w:color="auto" w:fill="auto"/>
          </w:tcPr>
          <w:p w14:paraId="0615F26C"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立法院秘書長函，為111年度中央政府總預算決議，檢送本院單位預算決議（二十九）凍結「一般建築及設備」項下「其他設備」100萬元書面報告，請查照案。</w:t>
            </w:r>
          </w:p>
        </w:tc>
        <w:tc>
          <w:tcPr>
            <w:tcW w:w="1701" w:type="dxa"/>
            <w:shd w:val="clear" w:color="auto" w:fill="auto"/>
          </w:tcPr>
          <w:p w14:paraId="1301D51B"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111.09.30 </w:t>
            </w:r>
          </w:p>
          <w:p w14:paraId="4859254E"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（10-6-2）</w:t>
            </w:r>
          </w:p>
        </w:tc>
        <w:tc>
          <w:tcPr>
            <w:tcW w:w="1701" w:type="dxa"/>
            <w:shd w:val="clear" w:color="auto" w:fill="auto"/>
          </w:tcPr>
          <w:p w14:paraId="1EF8F987"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08981D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4647E29C"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4ECD670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38F5F752"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261ED70D" w14:textId="77777777" w:rsidTr="00EC13B7">
        <w:tc>
          <w:tcPr>
            <w:tcW w:w="656" w:type="dxa"/>
            <w:shd w:val="clear" w:color="auto" w:fill="auto"/>
          </w:tcPr>
          <w:p w14:paraId="44D09C3E"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30</w:t>
            </w:r>
          </w:p>
        </w:tc>
        <w:tc>
          <w:tcPr>
            <w:tcW w:w="2694" w:type="dxa"/>
            <w:shd w:val="clear" w:color="auto" w:fill="auto"/>
          </w:tcPr>
          <w:p w14:paraId="1206CECB"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立法院秘書長函，為111年度中央政府總預算決議，檢送本院單位預算決議（五十）凍結第1目「一般行政」50萬元書面報告，請查照案。</w:t>
            </w:r>
          </w:p>
        </w:tc>
        <w:tc>
          <w:tcPr>
            <w:tcW w:w="1701" w:type="dxa"/>
            <w:shd w:val="clear" w:color="auto" w:fill="auto"/>
          </w:tcPr>
          <w:p w14:paraId="2A37F42D"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111.05.06 </w:t>
            </w:r>
          </w:p>
          <w:p w14:paraId="3F9F1F31"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（10-5-11）</w:t>
            </w:r>
          </w:p>
        </w:tc>
        <w:tc>
          <w:tcPr>
            <w:tcW w:w="1701" w:type="dxa"/>
            <w:shd w:val="clear" w:color="auto" w:fill="auto"/>
          </w:tcPr>
          <w:p w14:paraId="567C6128"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CA82AD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5A81AA1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-17)准予動支，提報院會。</w:t>
            </w:r>
          </w:p>
          <w:p w14:paraId="3B662E2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5A05A88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085CF004" w14:textId="77777777" w:rsidTr="00EC13B7">
        <w:tc>
          <w:tcPr>
            <w:tcW w:w="656" w:type="dxa"/>
            <w:shd w:val="clear" w:color="auto" w:fill="auto"/>
          </w:tcPr>
          <w:p w14:paraId="082CD44F"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31</w:t>
            </w:r>
          </w:p>
        </w:tc>
        <w:tc>
          <w:tcPr>
            <w:tcW w:w="2694" w:type="dxa"/>
            <w:shd w:val="clear" w:color="auto" w:fill="auto"/>
          </w:tcPr>
          <w:p w14:paraId="3AD99239"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立法院秘書長函，為111年度中央政府總預算決議，檢送歲出部分決議（五十一）第4目項下「預算諮詢業務」中「業務費」預算凍結10萬元書面報告，請查照案。</w:t>
            </w:r>
          </w:p>
        </w:tc>
        <w:tc>
          <w:tcPr>
            <w:tcW w:w="1701" w:type="dxa"/>
            <w:shd w:val="clear" w:color="auto" w:fill="auto"/>
          </w:tcPr>
          <w:p w14:paraId="47CB5F09"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111.04.01 </w:t>
            </w:r>
          </w:p>
          <w:p w14:paraId="6009BD4D"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（10-5-6）</w:t>
            </w:r>
          </w:p>
        </w:tc>
        <w:tc>
          <w:tcPr>
            <w:tcW w:w="1701" w:type="dxa"/>
            <w:shd w:val="clear" w:color="auto" w:fill="auto"/>
          </w:tcPr>
          <w:p w14:paraId="70B0156D"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2E32EA5D"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7255BDA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5E5AE2DA"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5FBD9DD5"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r w:rsidR="00696EC6" w:rsidRPr="00847A27" w14:paraId="59721F56" w14:textId="77777777" w:rsidTr="00EC13B7">
        <w:tc>
          <w:tcPr>
            <w:tcW w:w="656" w:type="dxa"/>
            <w:shd w:val="clear" w:color="auto" w:fill="auto"/>
          </w:tcPr>
          <w:p w14:paraId="707071B0" w14:textId="77777777" w:rsidR="00696EC6" w:rsidRPr="00753E0D" w:rsidRDefault="00696EC6"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32</w:t>
            </w:r>
          </w:p>
        </w:tc>
        <w:tc>
          <w:tcPr>
            <w:tcW w:w="2694" w:type="dxa"/>
            <w:shd w:val="clear" w:color="auto" w:fill="auto"/>
          </w:tcPr>
          <w:p w14:paraId="24C65B89" w14:textId="77777777" w:rsidR="00696EC6" w:rsidRPr="00753E0D" w:rsidRDefault="00696EC6"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立法院秘書長函，為111年度中央政府總預算決議，檢送本院單位預算決議（五十二）凍結第6目「公報業務」項下「公報行政」200萬元書面報告，請查照案。</w:t>
            </w:r>
          </w:p>
        </w:tc>
        <w:tc>
          <w:tcPr>
            <w:tcW w:w="1701" w:type="dxa"/>
            <w:shd w:val="clear" w:color="auto" w:fill="auto"/>
          </w:tcPr>
          <w:p w14:paraId="68B24E24"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立法院秘書長 111.05.13 </w:t>
            </w:r>
          </w:p>
          <w:p w14:paraId="1B6C9DD6" w14:textId="77777777" w:rsidR="00696EC6" w:rsidRPr="00753E0D" w:rsidRDefault="00696EC6"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（10-5-12）</w:t>
            </w:r>
          </w:p>
        </w:tc>
        <w:tc>
          <w:tcPr>
            <w:tcW w:w="1701" w:type="dxa"/>
            <w:shd w:val="clear" w:color="auto" w:fill="auto"/>
          </w:tcPr>
          <w:p w14:paraId="30EFDDA8" w14:textId="77777777" w:rsidR="00696EC6" w:rsidRPr="00753E0D" w:rsidRDefault="00696EC6"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D17315F"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1.本會111.11.17</w:t>
            </w:r>
          </w:p>
          <w:p w14:paraId="7DCE045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-17)准予備查，提報院會。</w:t>
            </w:r>
          </w:p>
          <w:p w14:paraId="63888C89"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w:t>
            </w:r>
            <w:r w:rsidRPr="00847A27">
              <w:rPr>
                <w:rFonts w:ascii="標楷體" w:eastAsia="標楷體" w:hAnsi="標楷體"/>
                <w:spacing w:val="-10"/>
                <w:kern w:val="0"/>
                <w:szCs w:val="22"/>
              </w:rPr>
              <w:t>2</w:t>
            </w:r>
          </w:p>
          <w:p w14:paraId="08846061" w14:textId="77777777" w:rsidR="00696EC6" w:rsidRPr="00847A27" w:rsidRDefault="00696EC6"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-10)准予備查。</w:t>
            </w:r>
          </w:p>
        </w:tc>
      </w:tr>
    </w:tbl>
    <w:p w14:paraId="5EB8695B" w14:textId="2A56B857" w:rsidR="00EB3514" w:rsidRPr="00753E0D" w:rsidRDefault="00696EC6" w:rsidP="00696EC6">
      <w:pPr>
        <w:keepNext/>
        <w:spacing w:beforeLines="100" w:before="360" w:afterLines="100" w:after="360" w:line="260" w:lineRule="exact"/>
        <w:outlineLvl w:val="2"/>
        <w:rPr>
          <w:rFonts w:ascii="標楷體" w:eastAsia="標楷體" w:hAnsi="標楷體"/>
          <w:b/>
          <w:sz w:val="28"/>
          <w:szCs w:val="28"/>
        </w:rPr>
      </w:pPr>
      <w:bookmarkStart w:id="162" w:name="_Toc13473520"/>
      <w:bookmarkStart w:id="163" w:name="_Toc114841685"/>
      <w:r>
        <w:rPr>
          <w:rFonts w:ascii="標楷體" w:eastAsia="標楷體" w:hAnsi="標楷體" w:hint="eastAsia"/>
          <w:b/>
          <w:sz w:val="28"/>
          <w:szCs w:val="28"/>
        </w:rPr>
        <w:lastRenderedPageBreak/>
        <w:t xml:space="preserve">         </w:t>
      </w:r>
      <w:r w:rsidRPr="00643921">
        <w:rPr>
          <w:rFonts w:ascii="標楷體" w:eastAsia="標楷體" w:hAnsi="標楷體"/>
          <w:b/>
          <w:sz w:val="28"/>
          <w:szCs w:val="28"/>
        </w:rPr>
        <w:t>(</w:t>
      </w:r>
      <w:r w:rsidRPr="00643921">
        <w:rPr>
          <w:rFonts w:ascii="標楷體" w:eastAsia="標楷體" w:hAnsi="標楷體" w:hint="eastAsia"/>
          <w:b/>
          <w:bCs/>
          <w:sz w:val="28"/>
          <w:szCs w:val="28"/>
        </w:rPr>
        <w:t>四</w:t>
      </w:r>
      <w:r w:rsidRPr="00643921">
        <w:rPr>
          <w:rFonts w:ascii="標楷體" w:eastAsia="標楷體" w:hAnsi="標楷體" w:hint="eastAsia"/>
          <w:b/>
          <w:sz w:val="28"/>
          <w:szCs w:val="28"/>
        </w:rPr>
        <w:t>)</w:t>
      </w:r>
      <w:bookmarkStart w:id="164" w:name="_Toc361923743"/>
      <w:bookmarkStart w:id="165" w:name="_Toc363206597"/>
      <w:bookmarkStart w:id="166" w:name="_Toc379471384"/>
      <w:bookmarkStart w:id="167" w:name="_Toc403487168"/>
      <w:bookmarkStart w:id="168" w:name="_Toc455152592"/>
      <w:bookmarkStart w:id="169" w:name="_Toc457395194"/>
      <w:bookmarkStart w:id="170" w:name="_Toc472666438"/>
      <w:bookmarkStart w:id="171" w:name="_Toc516496372"/>
      <w:bookmarkStart w:id="172" w:name="_Toc516496487"/>
      <w:bookmarkStart w:id="173" w:name="_Toc516496851"/>
      <w:bookmarkStart w:id="174" w:name="_Toc517947593"/>
      <w:bookmarkStart w:id="175" w:name="_Toc13473521"/>
      <w:bookmarkStart w:id="176" w:name="_Toc114841686"/>
      <w:bookmarkEnd w:id="155"/>
      <w:bookmarkEnd w:id="156"/>
      <w:bookmarkEnd w:id="157"/>
      <w:bookmarkEnd w:id="158"/>
      <w:bookmarkEnd w:id="159"/>
      <w:bookmarkEnd w:id="160"/>
      <w:bookmarkEnd w:id="161"/>
      <w:bookmarkEnd w:id="162"/>
      <w:bookmarkEnd w:id="163"/>
      <w:r w:rsidRPr="00753E0D">
        <w:rPr>
          <w:rFonts w:ascii="標楷體" w:eastAsia="標楷體" w:hAnsi="標楷體"/>
          <w:b/>
          <w:sz w:val="28"/>
          <w:szCs w:val="28"/>
        </w:rPr>
        <w:t>考試院</w:t>
      </w:r>
      <w:r w:rsidRPr="00753E0D">
        <w:rPr>
          <w:rFonts w:ascii="標楷體" w:eastAsia="標楷體" w:hAnsi="標楷體" w:hint="eastAsia"/>
          <w:b/>
          <w:sz w:val="28"/>
          <w:szCs w:val="28"/>
        </w:rPr>
        <w:t>21</w:t>
      </w:r>
      <w:r w:rsidRPr="00753E0D">
        <w:rPr>
          <w:rFonts w:ascii="標楷體" w:eastAsia="標楷體" w:hAnsi="標楷體"/>
          <w:b/>
          <w:sz w:val="28"/>
          <w:szCs w:val="28"/>
        </w:rPr>
        <w:t>案</w:t>
      </w:r>
      <w:bookmarkEnd w:id="164"/>
      <w:bookmarkEnd w:id="165"/>
      <w:bookmarkEnd w:id="166"/>
      <w:bookmarkEnd w:id="167"/>
      <w:bookmarkEnd w:id="168"/>
      <w:bookmarkEnd w:id="169"/>
      <w:bookmarkEnd w:id="170"/>
      <w:bookmarkEnd w:id="171"/>
      <w:bookmarkEnd w:id="172"/>
      <w:bookmarkEnd w:id="173"/>
      <w:bookmarkEnd w:id="174"/>
      <w:bookmarkEnd w:id="175"/>
      <w:bookmarkEnd w:id="176"/>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EB3514" w:rsidRPr="00753E0D" w14:paraId="4C55EC89" w14:textId="77777777" w:rsidTr="00EC13B7">
        <w:tc>
          <w:tcPr>
            <w:tcW w:w="656" w:type="dxa"/>
            <w:shd w:val="clear" w:color="auto" w:fill="auto"/>
          </w:tcPr>
          <w:p w14:paraId="63AEB53A"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序號</w:t>
            </w:r>
          </w:p>
        </w:tc>
        <w:tc>
          <w:tcPr>
            <w:tcW w:w="2694" w:type="dxa"/>
            <w:shd w:val="clear" w:color="auto" w:fill="auto"/>
          </w:tcPr>
          <w:p w14:paraId="406B64DC"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議案名稱</w:t>
            </w:r>
          </w:p>
        </w:tc>
        <w:tc>
          <w:tcPr>
            <w:tcW w:w="1701" w:type="dxa"/>
            <w:shd w:val="clear" w:color="auto" w:fill="auto"/>
          </w:tcPr>
          <w:p w14:paraId="73093040" w14:textId="77777777" w:rsidR="00EB3514" w:rsidRPr="00753E0D" w:rsidRDefault="00EB3514"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753E0D">
              <w:rPr>
                <w:rFonts w:ascii="標楷體" w:eastAsia="標楷體" w:hAnsi="標楷體"/>
                <w:b/>
                <w:color w:val="000000"/>
                <w:spacing w:val="-20"/>
                <w:szCs w:val="22"/>
              </w:rPr>
              <w:t>提案機關、院會交付日期(會次)</w:t>
            </w:r>
          </w:p>
        </w:tc>
        <w:tc>
          <w:tcPr>
            <w:tcW w:w="1701" w:type="dxa"/>
            <w:shd w:val="clear" w:color="auto" w:fill="auto"/>
          </w:tcPr>
          <w:p w14:paraId="428CE968"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交付</w:t>
            </w:r>
            <w:r w:rsidRPr="00753E0D">
              <w:rPr>
                <w:rFonts w:ascii="標楷體" w:eastAsia="標楷體" w:hAnsi="標楷體"/>
                <w:b/>
                <w:color w:val="000000"/>
                <w:spacing w:val="-20"/>
                <w:szCs w:val="22"/>
                <w:lang w:eastAsia="ko-KR"/>
              </w:rPr>
              <w:t>委員會</w:t>
            </w:r>
          </w:p>
        </w:tc>
        <w:tc>
          <w:tcPr>
            <w:tcW w:w="1984" w:type="dxa"/>
            <w:shd w:val="clear" w:color="auto" w:fill="auto"/>
          </w:tcPr>
          <w:p w14:paraId="32E312D3" w14:textId="6E0586F1" w:rsidR="00EB3514" w:rsidRPr="00753E0D"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EB3514" w:rsidRPr="00A01F60" w14:paraId="722EA3E8" w14:textId="77777777" w:rsidTr="00EC13B7">
        <w:tc>
          <w:tcPr>
            <w:tcW w:w="656" w:type="dxa"/>
            <w:shd w:val="clear" w:color="auto" w:fill="auto"/>
          </w:tcPr>
          <w:p w14:paraId="17603357"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w:t>
            </w:r>
          </w:p>
        </w:tc>
        <w:tc>
          <w:tcPr>
            <w:tcW w:w="2694" w:type="dxa"/>
            <w:shd w:val="clear" w:color="auto" w:fill="auto"/>
          </w:tcPr>
          <w:p w14:paraId="609E55D6"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考試院函，為111年度中央政府總預算決議，檢送凍結該院「一般行政」500萬元書面報告，請查照案。</w:t>
            </w:r>
          </w:p>
        </w:tc>
        <w:tc>
          <w:tcPr>
            <w:tcW w:w="1701" w:type="dxa"/>
            <w:shd w:val="clear" w:color="auto" w:fill="auto"/>
          </w:tcPr>
          <w:p w14:paraId="354FECA7"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考試院 111.04.01 </w:t>
            </w:r>
          </w:p>
          <w:p w14:paraId="56368A73"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（10-5-6）</w:t>
            </w:r>
          </w:p>
        </w:tc>
        <w:tc>
          <w:tcPr>
            <w:tcW w:w="1701" w:type="dxa"/>
            <w:shd w:val="clear" w:color="auto" w:fill="auto"/>
          </w:tcPr>
          <w:p w14:paraId="056A3812"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6F5B94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2BD25946"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3FB7A2E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02F154E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7F530BB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2FF5579B" w14:textId="77777777" w:rsidR="00EB3514" w:rsidRPr="00A01F60" w:rsidRDefault="00EB3514" w:rsidP="00EC13B7">
            <w:pPr>
              <w:autoSpaceDE w:val="0"/>
              <w:autoSpaceDN w:val="0"/>
              <w:snapToGrid w:val="0"/>
              <w:spacing w:line="260" w:lineRule="exact"/>
              <w:rPr>
                <w:rFonts w:ascii="標楷體" w:eastAsia="標楷體" w:hAnsi="標楷體"/>
                <w:b/>
                <w:color w:val="000000"/>
                <w:spacing w:val="-1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0AA6CEA7" w14:textId="77777777" w:rsidTr="00EC13B7">
        <w:tc>
          <w:tcPr>
            <w:tcW w:w="656" w:type="dxa"/>
            <w:shd w:val="clear" w:color="auto" w:fill="auto"/>
          </w:tcPr>
          <w:p w14:paraId="0252E9E1"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2</w:t>
            </w:r>
          </w:p>
        </w:tc>
        <w:tc>
          <w:tcPr>
            <w:tcW w:w="2694" w:type="dxa"/>
            <w:shd w:val="clear" w:color="auto" w:fill="auto"/>
          </w:tcPr>
          <w:p w14:paraId="41E3141C"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考試院函，為111年度中央政府總預算決議，檢送凍結該院「議事業務」10％專案報告，請查照案。</w:t>
            </w:r>
          </w:p>
        </w:tc>
        <w:tc>
          <w:tcPr>
            <w:tcW w:w="1701" w:type="dxa"/>
            <w:shd w:val="clear" w:color="auto" w:fill="auto"/>
          </w:tcPr>
          <w:p w14:paraId="3F8758EE"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考試院 111.04.01 </w:t>
            </w:r>
          </w:p>
          <w:p w14:paraId="466B7C6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（10-5-6）</w:t>
            </w:r>
          </w:p>
        </w:tc>
        <w:tc>
          <w:tcPr>
            <w:tcW w:w="1701" w:type="dxa"/>
            <w:shd w:val="clear" w:color="auto" w:fill="auto"/>
          </w:tcPr>
          <w:p w14:paraId="248F4784"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27B76839"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4226214F"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(10-6-8)報告及詢答完畢，另定期繼續審查。</w:t>
            </w:r>
          </w:p>
          <w:p w14:paraId="4BD89BEE"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4FE2D732"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(10-6-11)准予動支，提報院會</w:t>
            </w:r>
            <w:r w:rsidRPr="00A01F60">
              <w:rPr>
                <w:rFonts w:ascii="標楷體" w:eastAsia="標楷體" w:hAnsi="標楷體"/>
                <w:spacing w:val="-10"/>
                <w:kern w:val="0"/>
                <w:szCs w:val="22"/>
              </w:rPr>
              <w:t>。</w:t>
            </w:r>
          </w:p>
          <w:p w14:paraId="4C667BE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12ACCFA6" w14:textId="77777777" w:rsidR="00EB3514" w:rsidRPr="00A01F60" w:rsidRDefault="00EB3514" w:rsidP="00EC13B7">
            <w:pPr>
              <w:autoSpaceDE w:val="0"/>
              <w:autoSpaceDN w:val="0"/>
              <w:snapToGrid w:val="0"/>
              <w:spacing w:line="260" w:lineRule="exact"/>
              <w:rPr>
                <w:rFonts w:ascii="標楷體" w:eastAsia="標楷體" w:hAnsi="標楷體"/>
                <w:b/>
                <w:color w:val="000000"/>
                <w:spacing w:val="-1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088338DC" w14:textId="77777777" w:rsidTr="00EC13B7">
        <w:tc>
          <w:tcPr>
            <w:tcW w:w="656" w:type="dxa"/>
            <w:shd w:val="clear" w:color="auto" w:fill="auto"/>
          </w:tcPr>
          <w:p w14:paraId="3C528AC0"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3</w:t>
            </w:r>
          </w:p>
        </w:tc>
        <w:tc>
          <w:tcPr>
            <w:tcW w:w="2694" w:type="dxa"/>
            <w:shd w:val="clear" w:color="auto" w:fill="auto"/>
          </w:tcPr>
          <w:p w14:paraId="45A1B66D"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考試院函，為111年度中央政府總預算決議，檢送凍結該院「法制業務」項下「法制作業及法規編印」5萬元書面報告，請查照案。</w:t>
            </w:r>
          </w:p>
        </w:tc>
        <w:tc>
          <w:tcPr>
            <w:tcW w:w="1701" w:type="dxa"/>
            <w:shd w:val="clear" w:color="auto" w:fill="auto"/>
          </w:tcPr>
          <w:p w14:paraId="67E042CB"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考試院 111.04.01 </w:t>
            </w:r>
          </w:p>
          <w:p w14:paraId="216F65BA"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（10-5-6）</w:t>
            </w:r>
          </w:p>
        </w:tc>
        <w:tc>
          <w:tcPr>
            <w:tcW w:w="1701" w:type="dxa"/>
            <w:shd w:val="clear" w:color="auto" w:fill="auto"/>
          </w:tcPr>
          <w:p w14:paraId="499E4D56"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909C1FE"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666420B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2A48C8F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4553024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1C8A2C8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7BDA8091"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3E70740F" w14:textId="77777777" w:rsidTr="00EC13B7">
        <w:tc>
          <w:tcPr>
            <w:tcW w:w="656" w:type="dxa"/>
            <w:shd w:val="clear" w:color="auto" w:fill="auto"/>
          </w:tcPr>
          <w:p w14:paraId="2D28FEE7"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4</w:t>
            </w:r>
          </w:p>
        </w:tc>
        <w:tc>
          <w:tcPr>
            <w:tcW w:w="2694" w:type="dxa"/>
            <w:shd w:val="clear" w:color="auto" w:fill="auto"/>
          </w:tcPr>
          <w:p w14:paraId="18C7B97D"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考試院函，為111年度中央政府總預算決議，檢送凍結該院「施政業務及督導」30萬元書面報告，請查照案。</w:t>
            </w:r>
          </w:p>
        </w:tc>
        <w:tc>
          <w:tcPr>
            <w:tcW w:w="1701" w:type="dxa"/>
            <w:shd w:val="clear" w:color="auto" w:fill="auto"/>
          </w:tcPr>
          <w:p w14:paraId="4123B485"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考試院 111.04.01 </w:t>
            </w:r>
          </w:p>
          <w:p w14:paraId="11D1306E"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（10-5-6）</w:t>
            </w:r>
          </w:p>
        </w:tc>
        <w:tc>
          <w:tcPr>
            <w:tcW w:w="1701" w:type="dxa"/>
            <w:shd w:val="clear" w:color="auto" w:fill="auto"/>
          </w:tcPr>
          <w:p w14:paraId="213BA4D5"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082F540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1AB833F1"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27AD6763"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42641BB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1587A0F5"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0F36A54F"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0073E9DB" w14:textId="77777777" w:rsidTr="00EC13B7">
        <w:tc>
          <w:tcPr>
            <w:tcW w:w="656" w:type="dxa"/>
            <w:shd w:val="clear" w:color="auto" w:fill="auto"/>
          </w:tcPr>
          <w:p w14:paraId="7B212B4D"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5</w:t>
            </w:r>
          </w:p>
        </w:tc>
        <w:tc>
          <w:tcPr>
            <w:tcW w:w="2694" w:type="dxa"/>
            <w:shd w:val="clear" w:color="auto" w:fill="auto"/>
          </w:tcPr>
          <w:p w14:paraId="42873098"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hint="eastAsia"/>
                <w:color w:val="000000"/>
                <w:kern w:val="0"/>
                <w:szCs w:val="22"/>
              </w:rPr>
              <w:t>考選部函，為111年度中央政府總預算決議，檢送該部決議（一）預算凍結書面報告，請查照案。</w:t>
            </w:r>
          </w:p>
        </w:tc>
        <w:tc>
          <w:tcPr>
            <w:tcW w:w="1701" w:type="dxa"/>
            <w:shd w:val="clear" w:color="auto" w:fill="auto"/>
          </w:tcPr>
          <w:p w14:paraId="5760085D"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 xml:space="preserve">考選部 111.04.15 </w:t>
            </w:r>
          </w:p>
          <w:p w14:paraId="1A2DCD2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（10-5-8）</w:t>
            </w:r>
          </w:p>
        </w:tc>
        <w:tc>
          <w:tcPr>
            <w:tcW w:w="1701" w:type="dxa"/>
            <w:shd w:val="clear" w:color="auto" w:fill="auto"/>
          </w:tcPr>
          <w:p w14:paraId="6A230955"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司法及法制</w:t>
            </w:r>
          </w:p>
        </w:tc>
        <w:tc>
          <w:tcPr>
            <w:tcW w:w="1984" w:type="dxa"/>
            <w:shd w:val="clear" w:color="auto" w:fill="auto"/>
          </w:tcPr>
          <w:p w14:paraId="5D29F15F"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2D1DAE2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66AE72BE"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4D74D0C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157AD98F"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24F9065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6442A6F0" w14:textId="77777777" w:rsidTr="00EC13B7">
        <w:tc>
          <w:tcPr>
            <w:tcW w:w="656" w:type="dxa"/>
            <w:shd w:val="clear" w:color="auto" w:fill="auto"/>
          </w:tcPr>
          <w:p w14:paraId="79DF3246"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lastRenderedPageBreak/>
              <w:t>6</w:t>
            </w:r>
          </w:p>
        </w:tc>
        <w:tc>
          <w:tcPr>
            <w:tcW w:w="2694" w:type="dxa"/>
            <w:shd w:val="clear" w:color="auto" w:fill="auto"/>
          </w:tcPr>
          <w:p w14:paraId="02989EB9"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hint="eastAsia"/>
                <w:color w:val="000000"/>
                <w:kern w:val="0"/>
                <w:szCs w:val="22"/>
              </w:rPr>
              <w:t>考選部函，為111年度中央政府總預算決議，檢送該部決議（二）第2目「考試業務研究改進」凍結50萬元書面報告，請查照案。</w:t>
            </w:r>
          </w:p>
        </w:tc>
        <w:tc>
          <w:tcPr>
            <w:tcW w:w="1701" w:type="dxa"/>
            <w:shd w:val="clear" w:color="auto" w:fill="auto"/>
          </w:tcPr>
          <w:p w14:paraId="340DBE7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 xml:space="preserve">考選部 111.04.15 </w:t>
            </w:r>
          </w:p>
          <w:p w14:paraId="0E50382B"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（10-5-8）</w:t>
            </w:r>
          </w:p>
        </w:tc>
        <w:tc>
          <w:tcPr>
            <w:tcW w:w="1701" w:type="dxa"/>
            <w:shd w:val="clear" w:color="auto" w:fill="auto"/>
          </w:tcPr>
          <w:p w14:paraId="368793CD"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司法及法制</w:t>
            </w:r>
          </w:p>
        </w:tc>
        <w:tc>
          <w:tcPr>
            <w:tcW w:w="1984" w:type="dxa"/>
            <w:shd w:val="clear" w:color="auto" w:fill="auto"/>
          </w:tcPr>
          <w:p w14:paraId="0A3DF292"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058F8F61"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6F7C2286"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084567E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69B051F3"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2C44BE3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2C43B6D2" w14:textId="77777777" w:rsidTr="00EC13B7">
        <w:tc>
          <w:tcPr>
            <w:tcW w:w="656" w:type="dxa"/>
            <w:shd w:val="clear" w:color="auto" w:fill="auto"/>
          </w:tcPr>
          <w:p w14:paraId="6C0B264B"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7</w:t>
            </w:r>
          </w:p>
        </w:tc>
        <w:tc>
          <w:tcPr>
            <w:tcW w:w="2694" w:type="dxa"/>
            <w:shd w:val="clear" w:color="auto" w:fill="auto"/>
          </w:tcPr>
          <w:p w14:paraId="02C8F4AD"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hint="eastAsia"/>
                <w:color w:val="000000"/>
                <w:kern w:val="0"/>
                <w:szCs w:val="22"/>
              </w:rPr>
              <w:t>考選部函，為111年度中央政府總預算決議，檢送該部決議（三）預算凍結書面報告，請查照案。</w:t>
            </w:r>
          </w:p>
        </w:tc>
        <w:tc>
          <w:tcPr>
            <w:tcW w:w="1701" w:type="dxa"/>
            <w:shd w:val="clear" w:color="auto" w:fill="auto"/>
          </w:tcPr>
          <w:p w14:paraId="725F33D6"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 xml:space="preserve">考選部 111.04.15 </w:t>
            </w:r>
          </w:p>
          <w:p w14:paraId="49549247"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（10-5-8）</w:t>
            </w:r>
          </w:p>
        </w:tc>
        <w:tc>
          <w:tcPr>
            <w:tcW w:w="1701" w:type="dxa"/>
            <w:shd w:val="clear" w:color="auto" w:fill="auto"/>
          </w:tcPr>
          <w:p w14:paraId="4C7C902C"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司法及法制</w:t>
            </w:r>
          </w:p>
        </w:tc>
        <w:tc>
          <w:tcPr>
            <w:tcW w:w="1984" w:type="dxa"/>
            <w:shd w:val="clear" w:color="auto" w:fill="auto"/>
          </w:tcPr>
          <w:p w14:paraId="61B3D4C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4AF6CC9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791428E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15712006"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2FE6496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309A588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76343131" w14:textId="77777777" w:rsidTr="00EC13B7">
        <w:tc>
          <w:tcPr>
            <w:tcW w:w="656" w:type="dxa"/>
            <w:shd w:val="clear" w:color="auto" w:fill="auto"/>
          </w:tcPr>
          <w:p w14:paraId="3CC96676"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8</w:t>
            </w:r>
          </w:p>
        </w:tc>
        <w:tc>
          <w:tcPr>
            <w:tcW w:w="2694" w:type="dxa"/>
            <w:shd w:val="clear" w:color="auto" w:fill="auto"/>
          </w:tcPr>
          <w:p w14:paraId="156CA459"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為111年度中央政府總預算決議，檢送該部決議（一）凍結「基本行政工作維持」中「業務費」之「國外旅費」30％書面報告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03E997E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3374CA17"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22799A0A"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2E1748A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4E49F78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06AA6C09"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52FF5542"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2876A37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6A69C19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124CBF8A" w14:textId="77777777" w:rsidTr="00EC13B7">
        <w:tc>
          <w:tcPr>
            <w:tcW w:w="656" w:type="dxa"/>
            <w:shd w:val="clear" w:color="auto" w:fill="auto"/>
          </w:tcPr>
          <w:p w14:paraId="4B500A41"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9</w:t>
            </w:r>
          </w:p>
        </w:tc>
        <w:tc>
          <w:tcPr>
            <w:tcW w:w="2694" w:type="dxa"/>
            <w:shd w:val="clear" w:color="auto" w:fill="auto"/>
          </w:tcPr>
          <w:p w14:paraId="58A6375A"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為111年度中央政府總預算決議，檢送該部決議（二）凍結「人事法制及銓敘」100萬元書面報告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7BA66C6E"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3A9AB80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5C923543"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01233F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055F6DE9"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(10-6-8)報告及詢答完畢，另定期繼續審查。</w:t>
            </w:r>
          </w:p>
          <w:p w14:paraId="3908308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0A3A7D51"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(10-6-11)准予動支，提報院會</w:t>
            </w:r>
            <w:r w:rsidRPr="00A01F60">
              <w:rPr>
                <w:rFonts w:ascii="標楷體" w:eastAsia="標楷體" w:hAnsi="標楷體"/>
                <w:spacing w:val="-10"/>
                <w:kern w:val="0"/>
                <w:szCs w:val="22"/>
              </w:rPr>
              <w:t>。</w:t>
            </w:r>
          </w:p>
          <w:p w14:paraId="00E650D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1EB7F55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0372D6C4" w14:textId="77777777" w:rsidTr="00EC13B7">
        <w:tc>
          <w:tcPr>
            <w:tcW w:w="656" w:type="dxa"/>
            <w:shd w:val="clear" w:color="auto" w:fill="auto"/>
          </w:tcPr>
          <w:p w14:paraId="255CCC71"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10</w:t>
            </w:r>
          </w:p>
        </w:tc>
        <w:tc>
          <w:tcPr>
            <w:tcW w:w="2694" w:type="dxa"/>
            <w:shd w:val="clear" w:color="auto" w:fill="auto"/>
          </w:tcPr>
          <w:p w14:paraId="741BC8D4"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為111年度中央政府總預算決議，檢送該部決議（三）凍結「一般建築及設備」100萬元書面報告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68F450EE"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7FD1AFDF"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2A54F00E"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178A0E3F"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2651537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18FBC823"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0E399A45"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52DFFB5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75BA343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1665B3AE" w14:textId="77777777" w:rsidTr="00EC13B7">
        <w:tc>
          <w:tcPr>
            <w:tcW w:w="656" w:type="dxa"/>
            <w:shd w:val="clear" w:color="auto" w:fill="auto"/>
          </w:tcPr>
          <w:p w14:paraId="67A5BF25"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11</w:t>
            </w:r>
          </w:p>
        </w:tc>
        <w:tc>
          <w:tcPr>
            <w:tcW w:w="2694" w:type="dxa"/>
            <w:shd w:val="clear" w:color="auto" w:fill="auto"/>
          </w:tcPr>
          <w:p w14:paraId="5CA2D325"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為111年度中央政府總預算決議，檢送該部決議（四）凍結「補助公教人員保險事</w:t>
            </w:r>
            <w:r w:rsidRPr="00753E0D">
              <w:rPr>
                <w:rFonts w:ascii="標楷體" w:eastAsia="標楷體" w:hAnsi="標楷體"/>
                <w:color w:val="000000"/>
                <w:kern w:val="0"/>
                <w:szCs w:val="22"/>
              </w:rPr>
              <w:lastRenderedPageBreak/>
              <w:t>務經費」50萬元書面報告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6D8B1113"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lastRenderedPageBreak/>
              <w:t xml:space="preserve">銓敘部 111.04.08 </w:t>
            </w:r>
          </w:p>
          <w:p w14:paraId="0B1AEF8E"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2364D28F"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DEE85B9"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728CF8E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25348E2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6C3E53D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lastRenderedPageBreak/>
              <w:t>(10-6-11)准予備查，提報院會</w:t>
            </w:r>
            <w:r w:rsidRPr="00A01F60">
              <w:rPr>
                <w:rFonts w:ascii="標楷體" w:eastAsia="標楷體" w:hAnsi="標楷體"/>
                <w:spacing w:val="-10"/>
                <w:kern w:val="0"/>
                <w:szCs w:val="22"/>
              </w:rPr>
              <w:t>。</w:t>
            </w:r>
          </w:p>
          <w:p w14:paraId="2E2371F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20D7EB2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3472DA79" w14:textId="77777777" w:rsidTr="00EC13B7">
        <w:tc>
          <w:tcPr>
            <w:tcW w:w="656" w:type="dxa"/>
            <w:shd w:val="clear" w:color="auto" w:fill="auto"/>
          </w:tcPr>
          <w:p w14:paraId="56AAD2A2"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lastRenderedPageBreak/>
              <w:t>12</w:t>
            </w:r>
          </w:p>
        </w:tc>
        <w:tc>
          <w:tcPr>
            <w:tcW w:w="2694" w:type="dxa"/>
            <w:shd w:val="clear" w:color="auto" w:fill="auto"/>
          </w:tcPr>
          <w:p w14:paraId="725F6212"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為111年度中央政府總預算決議，檢送該部決議（五）凍結「公務人員退休撫卹管理」50萬元書面報告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504248D8"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19F16D7F"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5E02719C"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1ECD4AA9"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44B5F8D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1417C92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6F8C21A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6DF4BB2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60BC576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743CCF83" w14:textId="77777777" w:rsidTr="00EC13B7">
        <w:tc>
          <w:tcPr>
            <w:tcW w:w="656" w:type="dxa"/>
            <w:shd w:val="clear" w:color="auto" w:fill="auto"/>
          </w:tcPr>
          <w:p w14:paraId="353420AF"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13</w:t>
            </w:r>
          </w:p>
        </w:tc>
        <w:tc>
          <w:tcPr>
            <w:tcW w:w="2694" w:type="dxa"/>
            <w:shd w:val="clear" w:color="auto" w:fill="auto"/>
          </w:tcPr>
          <w:p w14:paraId="2BD6B36A"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為111年度中央政府總預算決議，檢送該部決議（六）凍結「公務人員退休業務」30萬元書面報告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66ADBB2D"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31F2AD1A"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45E78CAC"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F0C6E3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7AEDE622"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13A2AD9A"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62EA9B2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5D4FE9F5"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5DCF4953"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7F3D6D37" w14:textId="77777777" w:rsidTr="00EC13B7">
        <w:tc>
          <w:tcPr>
            <w:tcW w:w="656" w:type="dxa"/>
            <w:shd w:val="clear" w:color="auto" w:fill="auto"/>
          </w:tcPr>
          <w:p w14:paraId="5BF1D70A"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14</w:t>
            </w:r>
          </w:p>
        </w:tc>
        <w:tc>
          <w:tcPr>
            <w:tcW w:w="2694" w:type="dxa"/>
            <w:shd w:val="clear" w:color="auto" w:fill="auto"/>
          </w:tcPr>
          <w:p w14:paraId="67D37D9C"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檢送該部決議（十二）凍結「資訊系統之使用及管理」50萬元書面報告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3786C7DA"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48ADCB8A"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4E6642B3"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4419B78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29A1879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34DC4AE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02327AF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65A39FD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51387DC2"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6F77CFA7" w14:textId="77777777" w:rsidTr="00EC13B7">
        <w:tc>
          <w:tcPr>
            <w:tcW w:w="656" w:type="dxa"/>
            <w:shd w:val="clear" w:color="auto" w:fill="auto"/>
          </w:tcPr>
          <w:p w14:paraId="7293CCD7"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15</w:t>
            </w:r>
          </w:p>
        </w:tc>
        <w:tc>
          <w:tcPr>
            <w:tcW w:w="2694" w:type="dxa"/>
            <w:shd w:val="clear" w:color="auto" w:fill="auto"/>
          </w:tcPr>
          <w:p w14:paraId="2B2649AB"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檢送該部決議（十三）凍結「資訊系統之使用及管理」中「業務費」之「資訊服務費」100萬元書面報告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76E4FECF"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4A10354C"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6AD9863D"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5FFC60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305BC0F2"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4B05E0A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3B8921BE"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16E04826"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353C904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5BC2867A" w14:textId="77777777" w:rsidTr="00EC13B7">
        <w:tc>
          <w:tcPr>
            <w:tcW w:w="656" w:type="dxa"/>
            <w:shd w:val="clear" w:color="auto" w:fill="auto"/>
          </w:tcPr>
          <w:p w14:paraId="62662E08"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16</w:t>
            </w:r>
          </w:p>
        </w:tc>
        <w:tc>
          <w:tcPr>
            <w:tcW w:w="2694" w:type="dxa"/>
            <w:shd w:val="clear" w:color="auto" w:fill="auto"/>
          </w:tcPr>
          <w:p w14:paraId="0500C632"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檢送該部決議（十四）凍結「資訊系統之使用及管理」200萬元書面報告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09C0251D"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2B5C7ED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1679AAA9"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494D89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6D468986"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4616C401"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726A2A9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6DF1911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6758FBD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4B9F173D" w14:textId="77777777" w:rsidTr="00EC13B7">
        <w:tc>
          <w:tcPr>
            <w:tcW w:w="656" w:type="dxa"/>
            <w:shd w:val="clear" w:color="auto" w:fill="auto"/>
          </w:tcPr>
          <w:p w14:paraId="50ADDD92"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lastRenderedPageBreak/>
              <w:t>17</w:t>
            </w:r>
          </w:p>
        </w:tc>
        <w:tc>
          <w:tcPr>
            <w:tcW w:w="2694" w:type="dxa"/>
            <w:shd w:val="clear" w:color="auto" w:fill="auto"/>
          </w:tcPr>
          <w:p w14:paraId="391A0F6B"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檢送該部決議（十五）凍結「人事法制及銓敘」5％書面報告</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請查照案。</w:t>
            </w:r>
          </w:p>
        </w:tc>
        <w:tc>
          <w:tcPr>
            <w:tcW w:w="1701" w:type="dxa"/>
            <w:shd w:val="clear" w:color="auto" w:fill="auto"/>
          </w:tcPr>
          <w:p w14:paraId="37CE4C7F"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005968B3"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0112563A"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7828F3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26BD1646"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3F0C39B2"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530E395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63BA3949"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7A34835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020F989B" w14:textId="77777777" w:rsidTr="00EC13B7">
        <w:tc>
          <w:tcPr>
            <w:tcW w:w="656" w:type="dxa"/>
            <w:shd w:val="clear" w:color="auto" w:fill="auto"/>
          </w:tcPr>
          <w:p w14:paraId="314B6464"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18</w:t>
            </w:r>
          </w:p>
        </w:tc>
        <w:tc>
          <w:tcPr>
            <w:tcW w:w="2694" w:type="dxa"/>
            <w:shd w:val="clear" w:color="auto" w:fill="auto"/>
          </w:tcPr>
          <w:p w14:paraId="34571304"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檢送該部決議（十六）凍結「人事法制及銓敘」30萬元書面報告，請查照案。</w:t>
            </w:r>
          </w:p>
        </w:tc>
        <w:tc>
          <w:tcPr>
            <w:tcW w:w="1701" w:type="dxa"/>
            <w:shd w:val="clear" w:color="auto" w:fill="auto"/>
          </w:tcPr>
          <w:p w14:paraId="0B814D42"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7A7D976B"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3F26D7C9"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503113D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05D3B099"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252A909C"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6CFA7EE5"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60E3094E"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00E8E7C1"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79C15404" w14:textId="77777777" w:rsidTr="00EC13B7">
        <w:tc>
          <w:tcPr>
            <w:tcW w:w="656" w:type="dxa"/>
            <w:shd w:val="clear" w:color="auto" w:fill="auto"/>
          </w:tcPr>
          <w:p w14:paraId="2B5E1C59"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19</w:t>
            </w:r>
          </w:p>
        </w:tc>
        <w:tc>
          <w:tcPr>
            <w:tcW w:w="2694" w:type="dxa"/>
            <w:shd w:val="clear" w:color="auto" w:fill="auto"/>
          </w:tcPr>
          <w:p w14:paraId="54723D7C"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銓敘部函</w:t>
            </w:r>
            <w:r w:rsidRPr="00753E0D">
              <w:rPr>
                <w:rFonts w:ascii="標楷體" w:eastAsia="標楷體" w:hAnsi="標楷體" w:hint="eastAsia"/>
                <w:color w:val="000000"/>
                <w:kern w:val="0"/>
                <w:szCs w:val="22"/>
              </w:rPr>
              <w:t>，</w:t>
            </w:r>
            <w:r w:rsidRPr="00753E0D">
              <w:rPr>
                <w:rFonts w:ascii="標楷體" w:eastAsia="標楷體" w:hAnsi="標楷體"/>
                <w:color w:val="000000"/>
                <w:kern w:val="0"/>
                <w:szCs w:val="22"/>
              </w:rPr>
              <w:t>為111年度中央政府總預算決議，檢送預算凍結書面報告，請查照案。</w:t>
            </w:r>
          </w:p>
        </w:tc>
        <w:tc>
          <w:tcPr>
            <w:tcW w:w="1701" w:type="dxa"/>
            <w:shd w:val="clear" w:color="auto" w:fill="auto"/>
          </w:tcPr>
          <w:p w14:paraId="3DADA39D"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銓敘部 111.04.08 </w:t>
            </w:r>
          </w:p>
          <w:p w14:paraId="496A8CDC"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（10-5-7）</w:t>
            </w:r>
          </w:p>
        </w:tc>
        <w:tc>
          <w:tcPr>
            <w:tcW w:w="1701" w:type="dxa"/>
            <w:shd w:val="clear" w:color="auto" w:fill="auto"/>
          </w:tcPr>
          <w:p w14:paraId="17AAB10F"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0A575DD3"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54B7252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(10-6-8)報告及詢答完畢，另定期繼續處理。</w:t>
            </w:r>
          </w:p>
          <w:p w14:paraId="1119C155"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241AA423"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(10-6-11)准予備查，提報院會</w:t>
            </w:r>
            <w:r w:rsidRPr="00A01F60">
              <w:rPr>
                <w:rFonts w:ascii="標楷體" w:eastAsia="標楷體" w:hAnsi="標楷體"/>
                <w:spacing w:val="-10"/>
                <w:kern w:val="0"/>
                <w:szCs w:val="22"/>
              </w:rPr>
              <w:t>。</w:t>
            </w:r>
          </w:p>
          <w:p w14:paraId="2D17866B"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7A8C7715"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244EC0D1" w14:textId="77777777" w:rsidTr="00EC13B7">
        <w:tc>
          <w:tcPr>
            <w:tcW w:w="656" w:type="dxa"/>
            <w:shd w:val="clear" w:color="auto" w:fill="auto"/>
          </w:tcPr>
          <w:p w14:paraId="08C1132B"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20</w:t>
            </w:r>
          </w:p>
        </w:tc>
        <w:tc>
          <w:tcPr>
            <w:tcW w:w="2694" w:type="dxa"/>
            <w:shd w:val="clear" w:color="auto" w:fill="auto"/>
          </w:tcPr>
          <w:p w14:paraId="720919E2"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公務人員保障暨培訓委員會函，為111年度中央政府總預算決議，檢送決議（四）「保障暨培訓」預算凍結5萬元書面報告，請查照案。</w:t>
            </w:r>
          </w:p>
        </w:tc>
        <w:tc>
          <w:tcPr>
            <w:tcW w:w="1701" w:type="dxa"/>
            <w:shd w:val="clear" w:color="auto" w:fill="auto"/>
          </w:tcPr>
          <w:p w14:paraId="6232D4F5"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公務人員保障暨培訓委員會 111.03.18 </w:t>
            </w:r>
          </w:p>
          <w:p w14:paraId="53209D89"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（10-5-4）</w:t>
            </w:r>
          </w:p>
        </w:tc>
        <w:tc>
          <w:tcPr>
            <w:tcW w:w="1701" w:type="dxa"/>
            <w:shd w:val="clear" w:color="auto" w:fill="auto"/>
          </w:tcPr>
          <w:p w14:paraId="25486524"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55CDDC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36B53B57"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(10-6-8)報告及詢答完畢，另定期繼續審查。</w:t>
            </w:r>
          </w:p>
          <w:p w14:paraId="61B251D8"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10FAB22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(10-6-11)准予動支，提報院會</w:t>
            </w:r>
            <w:r w:rsidRPr="00A01F60">
              <w:rPr>
                <w:rFonts w:ascii="標楷體" w:eastAsia="標楷體" w:hAnsi="標楷體"/>
                <w:spacing w:val="-10"/>
                <w:kern w:val="0"/>
                <w:szCs w:val="22"/>
              </w:rPr>
              <w:t>。</w:t>
            </w:r>
          </w:p>
          <w:p w14:paraId="7C902341"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40A5663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r w:rsidR="00EB3514" w:rsidRPr="00A01F60" w14:paraId="1794297C" w14:textId="77777777" w:rsidTr="00EC13B7">
        <w:tc>
          <w:tcPr>
            <w:tcW w:w="656" w:type="dxa"/>
            <w:shd w:val="clear" w:color="auto" w:fill="auto"/>
          </w:tcPr>
          <w:p w14:paraId="7C47E94A"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21</w:t>
            </w:r>
          </w:p>
        </w:tc>
        <w:tc>
          <w:tcPr>
            <w:tcW w:w="2694" w:type="dxa"/>
            <w:shd w:val="clear" w:color="auto" w:fill="auto"/>
          </w:tcPr>
          <w:p w14:paraId="6DCDB424"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公務人員保障暨培訓委員會函，為111年度中央政府總預算決議，檢送決議（五）「保障暨培訓」預算凍結50萬元書面報告，請查照案。</w:t>
            </w:r>
          </w:p>
        </w:tc>
        <w:tc>
          <w:tcPr>
            <w:tcW w:w="1701" w:type="dxa"/>
            <w:shd w:val="clear" w:color="auto" w:fill="auto"/>
          </w:tcPr>
          <w:p w14:paraId="0784B77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公務人員保障暨培訓委員會 111.03.18 </w:t>
            </w:r>
          </w:p>
          <w:p w14:paraId="097E7FB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（10-5-4）</w:t>
            </w:r>
          </w:p>
        </w:tc>
        <w:tc>
          <w:tcPr>
            <w:tcW w:w="1701" w:type="dxa"/>
            <w:shd w:val="clear" w:color="auto" w:fill="auto"/>
          </w:tcPr>
          <w:p w14:paraId="54F52C4C"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hint="eastAsia"/>
                <w:color w:val="000000"/>
                <w:kern w:val="0"/>
                <w:szCs w:val="22"/>
              </w:rPr>
              <w:t>司法及法制</w:t>
            </w:r>
          </w:p>
        </w:tc>
        <w:tc>
          <w:tcPr>
            <w:tcW w:w="1984" w:type="dxa"/>
            <w:shd w:val="clear" w:color="auto" w:fill="auto"/>
          </w:tcPr>
          <w:p w14:paraId="5CB143A3"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1.本會</w:t>
            </w:r>
            <w:r w:rsidRPr="00A01F60">
              <w:rPr>
                <w:rFonts w:ascii="標楷體" w:eastAsia="標楷體" w:hAnsi="標楷體"/>
                <w:spacing w:val="-10"/>
                <w:kern w:val="0"/>
                <w:szCs w:val="22"/>
              </w:rPr>
              <w:t>111.10.20</w:t>
            </w:r>
          </w:p>
          <w:p w14:paraId="177CB0D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(10-6-8)報告及詢答完畢，另定期繼續審查。</w:t>
            </w:r>
          </w:p>
          <w:p w14:paraId="2599D04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2.本會111.11.2</w:t>
            </w:r>
          </w:p>
          <w:p w14:paraId="18D8CE6D"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(10-6-11)准予動支，提報院會</w:t>
            </w:r>
            <w:r w:rsidRPr="00A01F60">
              <w:rPr>
                <w:rFonts w:ascii="標楷體" w:eastAsia="標楷體" w:hAnsi="標楷體"/>
                <w:spacing w:val="-10"/>
                <w:kern w:val="0"/>
                <w:szCs w:val="22"/>
              </w:rPr>
              <w:t>。</w:t>
            </w:r>
          </w:p>
          <w:p w14:paraId="5073E4C4"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3</w:t>
            </w:r>
            <w:r w:rsidRPr="00A01F60">
              <w:rPr>
                <w:rFonts w:ascii="標楷體" w:eastAsia="標楷體" w:hAnsi="標楷體"/>
                <w:spacing w:val="-10"/>
                <w:kern w:val="0"/>
                <w:szCs w:val="22"/>
              </w:rPr>
              <w:t>.</w:t>
            </w:r>
            <w:r w:rsidRPr="00A01F60">
              <w:rPr>
                <w:rFonts w:ascii="標楷體" w:eastAsia="標楷體" w:hAnsi="標楷體" w:hint="eastAsia"/>
                <w:spacing w:val="-10"/>
                <w:kern w:val="0"/>
                <w:szCs w:val="22"/>
              </w:rPr>
              <w:t>院會1</w:t>
            </w:r>
            <w:r w:rsidRPr="00A01F60">
              <w:rPr>
                <w:rFonts w:ascii="標楷體" w:eastAsia="標楷體" w:hAnsi="標楷體"/>
                <w:spacing w:val="-10"/>
                <w:kern w:val="0"/>
                <w:szCs w:val="22"/>
              </w:rPr>
              <w:t>11</w:t>
            </w:r>
            <w:r w:rsidRPr="00A01F60">
              <w:rPr>
                <w:rFonts w:ascii="標楷體" w:eastAsia="標楷體" w:hAnsi="標楷體" w:hint="eastAsia"/>
                <w:spacing w:val="-10"/>
                <w:kern w:val="0"/>
                <w:szCs w:val="22"/>
              </w:rPr>
              <w:t>.11.18</w:t>
            </w:r>
          </w:p>
          <w:p w14:paraId="091C23C0" w14:textId="77777777" w:rsidR="00EB3514" w:rsidRPr="00A01F60" w:rsidRDefault="00EB3514" w:rsidP="00EC13B7">
            <w:pPr>
              <w:autoSpaceDE w:val="0"/>
              <w:autoSpaceDN w:val="0"/>
              <w:snapToGrid w:val="0"/>
              <w:spacing w:line="260" w:lineRule="exact"/>
              <w:rPr>
                <w:rFonts w:ascii="標楷體" w:eastAsia="標楷體" w:hAnsi="標楷體"/>
                <w:spacing w:val="-10"/>
                <w:kern w:val="0"/>
                <w:szCs w:val="22"/>
              </w:rPr>
            </w:pP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10</w:t>
            </w:r>
            <w:r w:rsidRPr="00A01F60">
              <w:rPr>
                <w:rFonts w:ascii="標楷體" w:eastAsia="標楷體" w:hAnsi="標楷體" w:hint="eastAsia"/>
                <w:spacing w:val="-10"/>
                <w:kern w:val="0"/>
                <w:szCs w:val="22"/>
              </w:rPr>
              <w:t>-</w:t>
            </w:r>
            <w:r w:rsidRPr="00A01F60">
              <w:rPr>
                <w:rFonts w:ascii="標楷體" w:eastAsia="標楷體" w:hAnsi="標楷體"/>
                <w:spacing w:val="-10"/>
                <w:kern w:val="0"/>
                <w:szCs w:val="22"/>
              </w:rPr>
              <w:t>6</w:t>
            </w:r>
            <w:r w:rsidRPr="00A01F60">
              <w:rPr>
                <w:rFonts w:ascii="標楷體" w:eastAsia="標楷體" w:hAnsi="標楷體" w:hint="eastAsia"/>
                <w:spacing w:val="-10"/>
                <w:kern w:val="0"/>
                <w:szCs w:val="22"/>
              </w:rPr>
              <w:t>-8)准予備查。</w:t>
            </w:r>
          </w:p>
        </w:tc>
      </w:tr>
    </w:tbl>
    <w:p w14:paraId="2A083E62" w14:textId="38315720" w:rsidR="00EB3514" w:rsidRPr="00753E0D" w:rsidRDefault="00696EC6" w:rsidP="00696EC6">
      <w:pPr>
        <w:keepNext/>
        <w:spacing w:beforeLines="100" w:before="360" w:afterLines="100" w:after="360" w:line="260" w:lineRule="exact"/>
        <w:outlineLvl w:val="2"/>
        <w:rPr>
          <w:rFonts w:ascii="標楷體" w:eastAsia="標楷體" w:hAnsi="標楷體"/>
          <w:b/>
          <w:sz w:val="28"/>
          <w:szCs w:val="28"/>
        </w:rPr>
      </w:pPr>
      <w:bookmarkStart w:id="177" w:name="_Toc361923744"/>
      <w:bookmarkStart w:id="178" w:name="_Toc363206598"/>
      <w:bookmarkStart w:id="179" w:name="_Toc379471385"/>
      <w:bookmarkStart w:id="180" w:name="_Toc403487169"/>
      <w:bookmarkStart w:id="181" w:name="_Toc455152593"/>
      <w:bookmarkStart w:id="182" w:name="_Toc457395195"/>
      <w:bookmarkStart w:id="183" w:name="_Toc457395292"/>
      <w:bookmarkStart w:id="184" w:name="_Toc472666439"/>
      <w:bookmarkStart w:id="185" w:name="_Toc516496373"/>
      <w:bookmarkStart w:id="186" w:name="_Toc516496488"/>
      <w:bookmarkStart w:id="187" w:name="_Toc516496852"/>
      <w:bookmarkStart w:id="188" w:name="_Toc517947594"/>
      <w:bookmarkStart w:id="189" w:name="_Toc13473522"/>
      <w:bookmarkStart w:id="190" w:name="_Toc114841687"/>
      <w:r>
        <w:rPr>
          <w:rFonts w:ascii="標楷體" w:eastAsia="標楷體" w:hAnsi="標楷體" w:hint="eastAsia"/>
          <w:b/>
          <w:sz w:val="28"/>
          <w:szCs w:val="28"/>
        </w:rPr>
        <w:lastRenderedPageBreak/>
        <w:t xml:space="preserve">         </w:t>
      </w:r>
      <w:r w:rsidRPr="00753E0D">
        <w:rPr>
          <w:rFonts w:ascii="標楷體" w:eastAsia="標楷體" w:hAnsi="標楷體"/>
          <w:b/>
          <w:sz w:val="28"/>
          <w:szCs w:val="28"/>
        </w:rPr>
        <w:t>(</w:t>
      </w:r>
      <w:r>
        <w:rPr>
          <w:rFonts w:ascii="標楷體" w:eastAsia="標楷體" w:hAnsi="標楷體" w:hint="eastAsia"/>
          <w:b/>
          <w:sz w:val="28"/>
          <w:szCs w:val="28"/>
        </w:rPr>
        <w:t>五</w:t>
      </w:r>
      <w:r w:rsidRPr="00753E0D">
        <w:rPr>
          <w:rFonts w:ascii="標楷體" w:eastAsia="標楷體" w:hAnsi="標楷體" w:hint="eastAsia"/>
          <w:b/>
          <w:sz w:val="28"/>
          <w:szCs w:val="28"/>
        </w:rPr>
        <w:t>)</w:t>
      </w:r>
      <w:r w:rsidRPr="00753E0D">
        <w:rPr>
          <w:rFonts w:ascii="標楷體" w:eastAsia="標楷體" w:hAnsi="標楷體"/>
          <w:b/>
          <w:sz w:val="28"/>
          <w:szCs w:val="28"/>
        </w:rPr>
        <w:t>監察院</w:t>
      </w:r>
      <w:r w:rsidRPr="00753E0D">
        <w:rPr>
          <w:rFonts w:ascii="標楷體" w:eastAsia="標楷體" w:hAnsi="標楷體" w:hint="eastAsia"/>
          <w:b/>
          <w:sz w:val="28"/>
          <w:szCs w:val="28"/>
        </w:rPr>
        <w:t>8</w:t>
      </w:r>
      <w:r w:rsidRPr="00753E0D">
        <w:rPr>
          <w:rFonts w:ascii="標楷體" w:eastAsia="標楷體" w:hAnsi="標楷體"/>
          <w:b/>
          <w:sz w:val="28"/>
          <w:szCs w:val="28"/>
        </w:rPr>
        <w:t>案</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EB3514" w:rsidRPr="00753E0D" w14:paraId="07773D17" w14:textId="77777777" w:rsidTr="00EC13B7">
        <w:tc>
          <w:tcPr>
            <w:tcW w:w="656" w:type="dxa"/>
            <w:shd w:val="clear" w:color="auto" w:fill="auto"/>
          </w:tcPr>
          <w:p w14:paraId="194E0242"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序號</w:t>
            </w:r>
          </w:p>
        </w:tc>
        <w:tc>
          <w:tcPr>
            <w:tcW w:w="2694" w:type="dxa"/>
            <w:shd w:val="clear" w:color="auto" w:fill="auto"/>
          </w:tcPr>
          <w:p w14:paraId="60B94A7B"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b/>
                <w:color w:val="000000"/>
                <w:spacing w:val="-20"/>
                <w:szCs w:val="22"/>
                <w:lang w:eastAsia="ko-KR"/>
              </w:rPr>
              <w:t>議案名稱</w:t>
            </w:r>
          </w:p>
        </w:tc>
        <w:tc>
          <w:tcPr>
            <w:tcW w:w="1701" w:type="dxa"/>
            <w:shd w:val="clear" w:color="auto" w:fill="auto"/>
          </w:tcPr>
          <w:p w14:paraId="3F6B4CD7" w14:textId="77777777" w:rsidR="00EB3514" w:rsidRPr="00753E0D" w:rsidRDefault="00EB3514"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753E0D">
              <w:rPr>
                <w:rFonts w:ascii="標楷體" w:eastAsia="標楷體" w:hAnsi="標楷體"/>
                <w:b/>
                <w:color w:val="000000"/>
                <w:spacing w:val="-20"/>
                <w:szCs w:val="22"/>
              </w:rPr>
              <w:t>提案機關、院會交付日期(會次)</w:t>
            </w:r>
          </w:p>
        </w:tc>
        <w:tc>
          <w:tcPr>
            <w:tcW w:w="1701" w:type="dxa"/>
            <w:shd w:val="clear" w:color="auto" w:fill="auto"/>
          </w:tcPr>
          <w:p w14:paraId="126FAD20" w14:textId="77777777" w:rsidR="00EB3514" w:rsidRPr="00753E0D" w:rsidRDefault="00EB3514"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753E0D">
              <w:rPr>
                <w:rFonts w:ascii="標楷體" w:eastAsia="標楷體" w:hAnsi="標楷體" w:hint="eastAsia"/>
                <w:b/>
                <w:color w:val="000000"/>
                <w:spacing w:val="-20"/>
                <w:szCs w:val="22"/>
              </w:rPr>
              <w:t>交付</w:t>
            </w:r>
            <w:r w:rsidRPr="00753E0D">
              <w:rPr>
                <w:rFonts w:ascii="標楷體" w:eastAsia="標楷體" w:hAnsi="標楷體"/>
                <w:b/>
                <w:color w:val="000000"/>
                <w:spacing w:val="-20"/>
                <w:szCs w:val="22"/>
                <w:lang w:eastAsia="ko-KR"/>
              </w:rPr>
              <w:t>委員會</w:t>
            </w:r>
          </w:p>
        </w:tc>
        <w:tc>
          <w:tcPr>
            <w:tcW w:w="1984" w:type="dxa"/>
            <w:shd w:val="clear" w:color="auto" w:fill="auto"/>
          </w:tcPr>
          <w:p w14:paraId="61515002" w14:textId="50AFF1BA" w:rsidR="00EB3514" w:rsidRPr="00753E0D"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EB3514" w:rsidRPr="00753E0D" w14:paraId="18FAA0AB" w14:textId="77777777" w:rsidTr="00EC13B7">
        <w:tc>
          <w:tcPr>
            <w:tcW w:w="656" w:type="dxa"/>
            <w:shd w:val="clear" w:color="auto" w:fill="auto"/>
          </w:tcPr>
          <w:p w14:paraId="046F3F1A"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1</w:t>
            </w:r>
          </w:p>
        </w:tc>
        <w:tc>
          <w:tcPr>
            <w:tcW w:w="2694" w:type="dxa"/>
            <w:shd w:val="clear" w:color="auto" w:fill="auto"/>
          </w:tcPr>
          <w:p w14:paraId="3AD46E36"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監察院函，為111年度中央政府總預算決議，檢送決議（一）預算凍結書面報告，請查照案。</w:t>
            </w:r>
          </w:p>
        </w:tc>
        <w:tc>
          <w:tcPr>
            <w:tcW w:w="1701" w:type="dxa"/>
            <w:shd w:val="clear" w:color="auto" w:fill="auto"/>
          </w:tcPr>
          <w:p w14:paraId="0294D61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22E5632E"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551AB21B"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7C2F90D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47D4A2E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437A829C"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4DF17CD4"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(10-6-22)准予動支，提報院會。</w:t>
            </w:r>
          </w:p>
          <w:p w14:paraId="444EA8E8"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18B2A898"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r w:rsidR="00EB3514" w:rsidRPr="00753E0D" w14:paraId="2DBA2E7C" w14:textId="77777777" w:rsidTr="00EC13B7">
        <w:tc>
          <w:tcPr>
            <w:tcW w:w="656" w:type="dxa"/>
            <w:shd w:val="clear" w:color="auto" w:fill="auto"/>
          </w:tcPr>
          <w:p w14:paraId="61F2849B"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2</w:t>
            </w:r>
          </w:p>
        </w:tc>
        <w:tc>
          <w:tcPr>
            <w:tcW w:w="2694" w:type="dxa"/>
            <w:shd w:val="clear" w:color="auto" w:fill="auto"/>
          </w:tcPr>
          <w:p w14:paraId="2FD608E6"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監察院函，為111年度中央政府總預算決議，檢送決議（二）預算凍結書面報告，請查照案。</w:t>
            </w:r>
          </w:p>
        </w:tc>
        <w:tc>
          <w:tcPr>
            <w:tcW w:w="1701" w:type="dxa"/>
            <w:shd w:val="clear" w:color="auto" w:fill="auto"/>
          </w:tcPr>
          <w:p w14:paraId="41202A2F"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09FF239F"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1C06365F"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3560A96A"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5850053F"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10E63581"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6A9F53C0"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(10-6-22)准予動支，提報院會。</w:t>
            </w:r>
          </w:p>
          <w:p w14:paraId="7D5CEE4C"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712EDBFB"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r w:rsidR="00EB3514" w:rsidRPr="00753E0D" w14:paraId="3A0E7CDB" w14:textId="77777777" w:rsidTr="00EC13B7">
        <w:tc>
          <w:tcPr>
            <w:tcW w:w="656" w:type="dxa"/>
            <w:shd w:val="clear" w:color="auto" w:fill="auto"/>
          </w:tcPr>
          <w:p w14:paraId="5A962017"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3</w:t>
            </w:r>
          </w:p>
        </w:tc>
        <w:tc>
          <w:tcPr>
            <w:tcW w:w="2694" w:type="dxa"/>
            <w:shd w:val="clear" w:color="auto" w:fill="auto"/>
          </w:tcPr>
          <w:p w14:paraId="4C59F26A"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監察院函，為111年度中央政府總預算決議，檢送決議（三）預算凍結書面報告，請查照案。</w:t>
            </w:r>
          </w:p>
        </w:tc>
        <w:tc>
          <w:tcPr>
            <w:tcW w:w="1701" w:type="dxa"/>
            <w:shd w:val="clear" w:color="auto" w:fill="auto"/>
          </w:tcPr>
          <w:p w14:paraId="31B5A11A"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1FF23F0F"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2B69E968"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192C1526"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4B340887"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263805F3"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4E490C20"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(10-6-22)准予動支，提報院會。</w:t>
            </w:r>
          </w:p>
          <w:p w14:paraId="63630116"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682DA48C"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r w:rsidR="00EB3514" w:rsidRPr="00753E0D" w14:paraId="067FA6E0" w14:textId="77777777" w:rsidTr="00EC13B7">
        <w:tc>
          <w:tcPr>
            <w:tcW w:w="656" w:type="dxa"/>
            <w:shd w:val="clear" w:color="auto" w:fill="auto"/>
          </w:tcPr>
          <w:p w14:paraId="58D8A9E9"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4</w:t>
            </w:r>
          </w:p>
        </w:tc>
        <w:tc>
          <w:tcPr>
            <w:tcW w:w="2694" w:type="dxa"/>
            <w:shd w:val="clear" w:color="auto" w:fill="auto"/>
          </w:tcPr>
          <w:p w14:paraId="0AFB2D02"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監察院函，為111年度中央政府總預算決議，檢送決議（四）預算凍結書面報告，請查照案。</w:t>
            </w:r>
          </w:p>
        </w:tc>
        <w:tc>
          <w:tcPr>
            <w:tcW w:w="1701" w:type="dxa"/>
            <w:shd w:val="clear" w:color="auto" w:fill="auto"/>
          </w:tcPr>
          <w:p w14:paraId="60FA65A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011A1C19"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61B4A48D"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A199B46"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7366C0DE"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4801E8D4"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0C4DE150"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(10-6-22)准予動支，提報院會。</w:t>
            </w:r>
          </w:p>
          <w:p w14:paraId="22C97ACD"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2678E1EA"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r w:rsidR="00EB3514" w:rsidRPr="00753E0D" w14:paraId="799F5A18" w14:textId="77777777" w:rsidTr="00EC13B7">
        <w:tc>
          <w:tcPr>
            <w:tcW w:w="656" w:type="dxa"/>
            <w:shd w:val="clear" w:color="auto" w:fill="auto"/>
          </w:tcPr>
          <w:p w14:paraId="6A31A32F"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5</w:t>
            </w:r>
          </w:p>
        </w:tc>
        <w:tc>
          <w:tcPr>
            <w:tcW w:w="2694" w:type="dxa"/>
            <w:shd w:val="clear" w:color="auto" w:fill="auto"/>
          </w:tcPr>
          <w:p w14:paraId="0D4E2AAD"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監察院函，為111年度中央政府總預算決議，檢送決議（五）預算凍結書面報告，請查照案。</w:t>
            </w:r>
          </w:p>
        </w:tc>
        <w:tc>
          <w:tcPr>
            <w:tcW w:w="1701" w:type="dxa"/>
            <w:shd w:val="clear" w:color="auto" w:fill="auto"/>
          </w:tcPr>
          <w:p w14:paraId="0AC7F835"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3489B610"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221A4F1E"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659FA6D"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24E92135"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1EABC087"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3E05BF74"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(10-6-22)准予動支，提報院會。</w:t>
            </w:r>
          </w:p>
          <w:p w14:paraId="7D8E98C2"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62873F96"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r w:rsidR="00EB3514" w:rsidRPr="00753E0D" w14:paraId="159BC80E" w14:textId="77777777" w:rsidTr="00EC13B7">
        <w:tc>
          <w:tcPr>
            <w:tcW w:w="656" w:type="dxa"/>
            <w:shd w:val="clear" w:color="auto" w:fill="auto"/>
          </w:tcPr>
          <w:p w14:paraId="71504D8A"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6</w:t>
            </w:r>
          </w:p>
        </w:tc>
        <w:tc>
          <w:tcPr>
            <w:tcW w:w="2694" w:type="dxa"/>
            <w:shd w:val="clear" w:color="auto" w:fill="auto"/>
          </w:tcPr>
          <w:p w14:paraId="30BBAD08"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監察院函，為111年度中央政府總預算決議，檢送決議（六）預算凍結書面報告，請查照案。</w:t>
            </w:r>
          </w:p>
        </w:tc>
        <w:tc>
          <w:tcPr>
            <w:tcW w:w="1701" w:type="dxa"/>
            <w:shd w:val="clear" w:color="auto" w:fill="auto"/>
          </w:tcPr>
          <w:p w14:paraId="2AE9D629"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67C9BCF5"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4162E995"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0AA7C629"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6169BBE1"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30598E4A"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76B487C5"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w:t>
            </w:r>
            <w:r w:rsidRPr="00847A27">
              <w:rPr>
                <w:rFonts w:ascii="標楷體" w:eastAsia="標楷體" w:hAnsi="標楷體" w:hint="eastAsia"/>
                <w:spacing w:val="-10"/>
                <w:kern w:val="0"/>
                <w:szCs w:val="22"/>
              </w:rPr>
              <w:lastRenderedPageBreak/>
              <w:t>支，提報院會。</w:t>
            </w:r>
          </w:p>
          <w:p w14:paraId="06C97712"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79E9B398"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r w:rsidR="00EB3514" w:rsidRPr="00753E0D" w14:paraId="2656496E" w14:textId="77777777" w:rsidTr="00EC13B7">
        <w:tc>
          <w:tcPr>
            <w:tcW w:w="656" w:type="dxa"/>
            <w:shd w:val="clear" w:color="auto" w:fill="auto"/>
          </w:tcPr>
          <w:p w14:paraId="1456820D"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lastRenderedPageBreak/>
              <w:t>7</w:t>
            </w:r>
          </w:p>
        </w:tc>
        <w:tc>
          <w:tcPr>
            <w:tcW w:w="2694" w:type="dxa"/>
            <w:shd w:val="clear" w:color="auto" w:fill="auto"/>
          </w:tcPr>
          <w:p w14:paraId="55C7F2B4"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監察院函，為111年度中央政府總預算決議，檢送決議（七）預算凍結書面報告，請查照案。</w:t>
            </w:r>
          </w:p>
        </w:tc>
        <w:tc>
          <w:tcPr>
            <w:tcW w:w="1701" w:type="dxa"/>
            <w:shd w:val="clear" w:color="auto" w:fill="auto"/>
          </w:tcPr>
          <w:p w14:paraId="72B6D641"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6B4666E9"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06E6D6AF"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60C6A98D"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406365FB"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404C2D45"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457176CC"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(10-6-22)准予動支，提報院會。</w:t>
            </w:r>
          </w:p>
          <w:p w14:paraId="2CE75BEF"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42BEA1E9"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r w:rsidR="00EB3514" w:rsidRPr="00753E0D" w14:paraId="34990313" w14:textId="77777777" w:rsidTr="00EC13B7">
        <w:tc>
          <w:tcPr>
            <w:tcW w:w="656" w:type="dxa"/>
            <w:shd w:val="clear" w:color="auto" w:fill="auto"/>
          </w:tcPr>
          <w:p w14:paraId="574BB602" w14:textId="77777777" w:rsidR="00EB3514" w:rsidRPr="00753E0D" w:rsidRDefault="00EB3514" w:rsidP="00EC13B7">
            <w:pPr>
              <w:kinsoku w:val="0"/>
              <w:topLinePunct/>
              <w:adjustRightInd w:val="0"/>
              <w:snapToGrid w:val="0"/>
              <w:spacing w:line="300" w:lineRule="exact"/>
              <w:jc w:val="center"/>
              <w:rPr>
                <w:rFonts w:ascii="標楷體" w:eastAsia="標楷體" w:hAnsi="標楷體"/>
                <w:b/>
                <w:color w:val="000000"/>
                <w:szCs w:val="22"/>
              </w:rPr>
            </w:pPr>
            <w:r w:rsidRPr="00753E0D">
              <w:rPr>
                <w:rFonts w:ascii="標楷體" w:eastAsia="標楷體" w:hAnsi="標楷體" w:hint="eastAsia"/>
                <w:b/>
                <w:color w:val="000000"/>
                <w:szCs w:val="22"/>
              </w:rPr>
              <w:t>8</w:t>
            </w:r>
          </w:p>
        </w:tc>
        <w:tc>
          <w:tcPr>
            <w:tcW w:w="2694" w:type="dxa"/>
            <w:shd w:val="clear" w:color="auto" w:fill="auto"/>
          </w:tcPr>
          <w:p w14:paraId="0E925BA6" w14:textId="77777777" w:rsidR="00EB3514" w:rsidRPr="00753E0D" w:rsidRDefault="00EB3514"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753E0D">
              <w:rPr>
                <w:rFonts w:ascii="標楷體" w:eastAsia="標楷體" w:hAnsi="標楷體"/>
                <w:color w:val="000000"/>
                <w:kern w:val="0"/>
                <w:szCs w:val="22"/>
              </w:rPr>
              <w:t>監察院函，為111年度中央政府總預算決議，檢送決議（三十三）預算凍結書面報告，請查照案。</w:t>
            </w:r>
          </w:p>
        </w:tc>
        <w:tc>
          <w:tcPr>
            <w:tcW w:w="1701" w:type="dxa"/>
            <w:shd w:val="clear" w:color="auto" w:fill="auto"/>
          </w:tcPr>
          <w:p w14:paraId="1FD29884"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 xml:space="preserve">監察院 111.10.07 </w:t>
            </w:r>
          </w:p>
          <w:p w14:paraId="6D31D60B" w14:textId="77777777" w:rsidR="00EB3514" w:rsidRPr="00753E0D" w:rsidRDefault="00EB3514"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（10-6-3）</w:t>
            </w:r>
          </w:p>
        </w:tc>
        <w:tc>
          <w:tcPr>
            <w:tcW w:w="1701" w:type="dxa"/>
            <w:shd w:val="clear" w:color="auto" w:fill="auto"/>
          </w:tcPr>
          <w:p w14:paraId="2BED58E3" w14:textId="77777777" w:rsidR="00EB3514" w:rsidRPr="00753E0D" w:rsidRDefault="00EB3514" w:rsidP="00EC13B7">
            <w:pPr>
              <w:kinsoku w:val="0"/>
              <w:topLinePunct/>
              <w:adjustRightInd w:val="0"/>
              <w:snapToGrid w:val="0"/>
              <w:spacing w:line="300" w:lineRule="exact"/>
              <w:rPr>
                <w:rFonts w:ascii="標楷體" w:eastAsia="標楷體" w:hAnsi="標楷體"/>
                <w:color w:val="000000"/>
                <w:kern w:val="0"/>
                <w:szCs w:val="22"/>
              </w:rPr>
            </w:pPr>
            <w:r w:rsidRPr="00753E0D">
              <w:rPr>
                <w:rFonts w:ascii="標楷體" w:eastAsia="標楷體" w:hAnsi="標楷體"/>
                <w:color w:val="000000"/>
                <w:kern w:val="0"/>
                <w:szCs w:val="22"/>
              </w:rPr>
              <w:t>司法及法制</w:t>
            </w:r>
          </w:p>
        </w:tc>
        <w:tc>
          <w:tcPr>
            <w:tcW w:w="1984" w:type="dxa"/>
            <w:shd w:val="clear" w:color="auto" w:fill="auto"/>
          </w:tcPr>
          <w:p w14:paraId="4B77BDBA"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1.本會</w:t>
            </w:r>
            <w:r w:rsidRPr="00847A27">
              <w:rPr>
                <w:rFonts w:ascii="標楷體" w:eastAsia="標楷體" w:hAnsi="標楷體"/>
                <w:spacing w:val="-10"/>
                <w:kern w:val="0"/>
                <w:szCs w:val="22"/>
              </w:rPr>
              <w:t>111.11.</w:t>
            </w:r>
            <w:r w:rsidRPr="00847A27">
              <w:rPr>
                <w:rFonts w:ascii="標楷體" w:eastAsia="標楷體" w:hAnsi="標楷體" w:hint="eastAsia"/>
                <w:spacing w:val="-10"/>
                <w:kern w:val="0"/>
                <w:szCs w:val="22"/>
              </w:rPr>
              <w:t>7</w:t>
            </w:r>
          </w:p>
          <w:p w14:paraId="4BB66A6D"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(10-6-12)另定期繼續審查。</w:t>
            </w:r>
          </w:p>
          <w:p w14:paraId="301DB9FB"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2.本會111.11.30</w:t>
            </w:r>
          </w:p>
          <w:p w14:paraId="7F74989D"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(10-6-22)准予動支，提報院會。</w:t>
            </w:r>
          </w:p>
          <w:p w14:paraId="370FB559" w14:textId="77777777" w:rsidR="00EB3514" w:rsidRPr="00847A27" w:rsidRDefault="00EB3514" w:rsidP="00EC13B7">
            <w:pPr>
              <w:autoSpaceDE w:val="0"/>
              <w:autoSpaceDN w:val="0"/>
              <w:snapToGrid w:val="0"/>
              <w:spacing w:line="260" w:lineRule="exact"/>
              <w:rPr>
                <w:rFonts w:ascii="標楷體" w:eastAsia="標楷體" w:hAnsi="標楷體"/>
                <w:spacing w:val="-10"/>
                <w:kern w:val="0"/>
                <w:szCs w:val="22"/>
              </w:rPr>
            </w:pPr>
            <w:r w:rsidRPr="00847A27">
              <w:rPr>
                <w:rFonts w:ascii="標楷體" w:eastAsia="標楷體" w:hAnsi="標楷體" w:hint="eastAsia"/>
                <w:spacing w:val="-10"/>
                <w:kern w:val="0"/>
                <w:szCs w:val="22"/>
              </w:rPr>
              <w:t>3.院會1</w:t>
            </w:r>
            <w:r w:rsidRPr="00847A27">
              <w:rPr>
                <w:rFonts w:ascii="標楷體" w:eastAsia="標楷體" w:hAnsi="標楷體"/>
                <w:spacing w:val="-10"/>
                <w:kern w:val="0"/>
                <w:szCs w:val="22"/>
              </w:rPr>
              <w:t>11</w:t>
            </w:r>
            <w:r w:rsidRPr="00847A27">
              <w:rPr>
                <w:rFonts w:ascii="標楷體" w:eastAsia="標楷體" w:hAnsi="標楷體" w:hint="eastAsia"/>
                <w:spacing w:val="-10"/>
                <w:kern w:val="0"/>
                <w:szCs w:val="22"/>
              </w:rPr>
              <w:t>.12.9</w:t>
            </w:r>
          </w:p>
          <w:p w14:paraId="70ACE9FA" w14:textId="77777777" w:rsidR="00EB3514" w:rsidRPr="00847A27" w:rsidRDefault="00EB3514" w:rsidP="00EC13B7">
            <w:pPr>
              <w:autoSpaceDE w:val="0"/>
              <w:autoSpaceDN w:val="0"/>
              <w:snapToGrid w:val="0"/>
              <w:spacing w:line="260" w:lineRule="exact"/>
              <w:rPr>
                <w:rFonts w:ascii="標楷體" w:hAnsi="標楷體"/>
                <w:spacing w:val="-10"/>
                <w:szCs w:val="22"/>
              </w:rPr>
            </w:pP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10</w:t>
            </w:r>
            <w:r w:rsidRPr="00847A27">
              <w:rPr>
                <w:rFonts w:ascii="標楷體" w:eastAsia="標楷體" w:hAnsi="標楷體" w:hint="eastAsia"/>
                <w:spacing w:val="-10"/>
                <w:kern w:val="0"/>
                <w:szCs w:val="22"/>
              </w:rPr>
              <w:t>-</w:t>
            </w:r>
            <w:r w:rsidRPr="00847A27">
              <w:rPr>
                <w:rFonts w:ascii="標楷體" w:eastAsia="標楷體" w:hAnsi="標楷體"/>
                <w:spacing w:val="-10"/>
                <w:kern w:val="0"/>
                <w:szCs w:val="22"/>
              </w:rPr>
              <w:t>6</w:t>
            </w:r>
            <w:r w:rsidRPr="00847A27">
              <w:rPr>
                <w:rFonts w:ascii="標楷體" w:eastAsia="標楷體" w:hAnsi="標楷體" w:hint="eastAsia"/>
                <w:spacing w:val="-10"/>
                <w:kern w:val="0"/>
                <w:szCs w:val="22"/>
              </w:rPr>
              <w:t>-11)准予備查。</w:t>
            </w:r>
          </w:p>
        </w:tc>
      </w:tr>
    </w:tbl>
    <w:p w14:paraId="6D17AF11" w14:textId="77777777" w:rsidR="00EB3514" w:rsidRPr="00753E0D" w:rsidRDefault="00EB3514" w:rsidP="00EC13B7"/>
    <w:p w14:paraId="40A3FDBC" w14:textId="77777777" w:rsidR="00EB3514" w:rsidRPr="00931E3E" w:rsidRDefault="00EB3514" w:rsidP="007015C7">
      <w:pPr>
        <w:pStyle w:val="2"/>
        <w:numPr>
          <w:ilvl w:val="0"/>
          <w:numId w:val="13"/>
        </w:numPr>
        <w:kinsoku w:val="0"/>
        <w:overflowPunct w:val="0"/>
        <w:spacing w:beforeLines="50" w:before="180" w:afterLines="100" w:after="360" w:line="260" w:lineRule="exact"/>
        <w:ind w:leftChars="0" w:left="862" w:hanging="862"/>
        <w:rPr>
          <w:rStyle w:val="af1"/>
          <w:rFonts w:ascii="標楷體" w:hAnsi="標楷體"/>
          <w:b/>
          <w:color w:val="000000" w:themeColor="text1"/>
          <w:szCs w:val="28"/>
          <w:u w:val="none"/>
        </w:rPr>
      </w:pPr>
      <w:bookmarkStart w:id="191" w:name="_Toc96350512"/>
      <w:r w:rsidRPr="00931E3E">
        <w:rPr>
          <w:rStyle w:val="af1"/>
          <w:rFonts w:ascii="標楷體" w:hAnsi="標楷體" w:hint="eastAsia"/>
          <w:b/>
          <w:color w:val="000000" w:themeColor="text1"/>
          <w:szCs w:val="28"/>
          <w:u w:val="none"/>
        </w:rPr>
        <w:t>行政命令案35案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EB3514" w:rsidRPr="005042CE" w14:paraId="26BE0996" w14:textId="77777777" w:rsidTr="00EC13B7">
        <w:tc>
          <w:tcPr>
            <w:tcW w:w="709" w:type="dxa"/>
            <w:shd w:val="clear" w:color="auto" w:fill="auto"/>
          </w:tcPr>
          <w:p w14:paraId="6E49F820" w14:textId="77777777" w:rsidR="00EB3514" w:rsidRPr="005042CE" w:rsidRDefault="00EB3514" w:rsidP="00EC13B7">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14:paraId="26C0D3DF" w14:textId="77777777" w:rsidR="00EB3514" w:rsidRPr="005042CE" w:rsidRDefault="00EB3514" w:rsidP="00EC13B7">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14:paraId="4E8CC962" w14:textId="77777777" w:rsidR="00EB3514" w:rsidRPr="005042CE" w:rsidRDefault="00EB3514" w:rsidP="00EC13B7">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14:paraId="0A16975C" w14:textId="77777777" w:rsidR="00EB3514" w:rsidRPr="005042CE" w:rsidRDefault="00EB3514" w:rsidP="00EC13B7">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14:paraId="1FB96756" w14:textId="63707B20" w:rsidR="00EB3514" w:rsidRPr="005042CE"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b/>
                <w:spacing w:val="-20"/>
              </w:rPr>
              <w:t>審</w:t>
            </w:r>
            <w:r w:rsidR="004D275A">
              <w:rPr>
                <w:rFonts w:ascii="標楷體" w:eastAsia="標楷體" w:hAnsi="標楷體" w:hint="eastAsia"/>
                <w:b/>
                <w:spacing w:val="-20"/>
              </w:rPr>
              <w:t>議</w:t>
            </w:r>
            <w:r w:rsidRPr="005042CE">
              <w:rPr>
                <w:rFonts w:ascii="標楷體" w:eastAsia="標楷體" w:hAnsi="標楷體"/>
                <w:b/>
                <w:spacing w:val="-20"/>
              </w:rPr>
              <w:t>情形</w:t>
            </w:r>
          </w:p>
        </w:tc>
      </w:tr>
      <w:tr w:rsidR="00EB3514" w:rsidRPr="005042CE" w14:paraId="477C066D" w14:textId="77777777" w:rsidTr="00EC13B7">
        <w:tc>
          <w:tcPr>
            <w:tcW w:w="709" w:type="dxa"/>
            <w:shd w:val="clear" w:color="auto" w:fill="auto"/>
          </w:tcPr>
          <w:p w14:paraId="638293EF" w14:textId="77777777" w:rsidR="00EB3514" w:rsidRPr="005042CE"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48" w:type="dxa"/>
            <w:shd w:val="clear" w:color="auto" w:fill="auto"/>
          </w:tcPr>
          <w:p w14:paraId="23722CDD" w14:textId="77777777" w:rsidR="00EB3514" w:rsidRPr="00F141CA" w:rsidRDefault="00EB3514" w:rsidP="00EC13B7">
            <w:pPr>
              <w:pStyle w:val="01"/>
              <w:spacing w:line="260" w:lineRule="exact"/>
            </w:pPr>
            <w:r w:rsidRPr="005A1F7C">
              <w:rPr>
                <w:rFonts w:hAnsi="標楷體"/>
                <w:kern w:val="0"/>
                <w:sz w:val="24"/>
              </w:rPr>
              <w:t>國防部函，為修正「國防醫學院組織規程」第五條、第八條及第九條條文，請查照案。</w:t>
            </w:r>
          </w:p>
        </w:tc>
        <w:tc>
          <w:tcPr>
            <w:tcW w:w="1747" w:type="dxa"/>
            <w:shd w:val="clear" w:color="auto" w:fill="auto"/>
          </w:tcPr>
          <w:p w14:paraId="6E2FE97B" w14:textId="77777777" w:rsidR="00EB3514" w:rsidRPr="005A1F7C" w:rsidRDefault="00EB3514" w:rsidP="00EC13B7">
            <w:pPr>
              <w:pStyle w:val="01"/>
              <w:spacing w:line="300" w:lineRule="exact"/>
              <w:jc w:val="left"/>
              <w:rPr>
                <w:rFonts w:hAnsi="標楷體"/>
                <w:kern w:val="0"/>
                <w:sz w:val="24"/>
              </w:rPr>
            </w:pPr>
            <w:r w:rsidRPr="005A1F7C">
              <w:rPr>
                <w:rFonts w:hAnsi="標楷體"/>
                <w:kern w:val="0"/>
                <w:sz w:val="24"/>
              </w:rPr>
              <w:t>國防部 110.12.17 （10-4-14）</w:t>
            </w:r>
          </w:p>
        </w:tc>
        <w:tc>
          <w:tcPr>
            <w:tcW w:w="1701" w:type="dxa"/>
            <w:shd w:val="clear" w:color="auto" w:fill="auto"/>
          </w:tcPr>
          <w:p w14:paraId="3F1D13A9" w14:textId="77777777" w:rsidR="00EB3514" w:rsidRPr="005A1F7C" w:rsidRDefault="00EB3514" w:rsidP="00EC13B7">
            <w:pPr>
              <w:pStyle w:val="01"/>
              <w:spacing w:line="300" w:lineRule="exact"/>
              <w:rPr>
                <w:rFonts w:hAnsi="標楷體"/>
                <w:kern w:val="0"/>
                <w:sz w:val="24"/>
              </w:rPr>
            </w:pPr>
            <w:r w:rsidRPr="005A1F7C">
              <w:rPr>
                <w:rFonts w:hAnsi="標楷體"/>
                <w:kern w:val="0"/>
                <w:sz w:val="24"/>
              </w:rPr>
              <w:t>司法及法制、外交及國防</w:t>
            </w:r>
          </w:p>
        </w:tc>
        <w:tc>
          <w:tcPr>
            <w:tcW w:w="1984" w:type="dxa"/>
            <w:shd w:val="clear" w:color="auto" w:fill="auto"/>
          </w:tcPr>
          <w:p w14:paraId="59881D86"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14:paraId="55E1836E"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b/>
                <w:spacing w:val="-20"/>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EB3514" w:rsidRPr="005042CE" w14:paraId="0191C83E" w14:textId="77777777" w:rsidTr="00EC13B7">
        <w:tc>
          <w:tcPr>
            <w:tcW w:w="709" w:type="dxa"/>
            <w:shd w:val="clear" w:color="auto" w:fill="auto"/>
          </w:tcPr>
          <w:p w14:paraId="7C0F59E9" w14:textId="77777777" w:rsidR="00EB3514" w:rsidRPr="005042CE"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48" w:type="dxa"/>
            <w:shd w:val="clear" w:color="auto" w:fill="auto"/>
          </w:tcPr>
          <w:p w14:paraId="73F9496F" w14:textId="77777777" w:rsidR="00EB3514" w:rsidRPr="00F141CA" w:rsidRDefault="00EB3514" w:rsidP="00EC13B7">
            <w:pPr>
              <w:pStyle w:val="01"/>
              <w:spacing w:line="260" w:lineRule="exact"/>
            </w:pPr>
            <w:r w:rsidRPr="005A1F7C">
              <w:rPr>
                <w:rFonts w:hAnsi="標楷體"/>
                <w:kern w:val="0"/>
                <w:sz w:val="24"/>
              </w:rPr>
              <w:t>內政部函，為修正「內政部警政署保安警察第三總隊編制表」，請查照案。</w:t>
            </w:r>
          </w:p>
        </w:tc>
        <w:tc>
          <w:tcPr>
            <w:tcW w:w="1747" w:type="dxa"/>
            <w:shd w:val="clear" w:color="auto" w:fill="auto"/>
          </w:tcPr>
          <w:p w14:paraId="3D832907" w14:textId="77777777" w:rsidR="00EB3514" w:rsidRPr="005A1F7C" w:rsidRDefault="00EB3514" w:rsidP="00EC13B7">
            <w:pPr>
              <w:pStyle w:val="01"/>
              <w:spacing w:line="300" w:lineRule="exact"/>
              <w:jc w:val="left"/>
              <w:rPr>
                <w:rFonts w:hAnsi="標楷體"/>
                <w:kern w:val="0"/>
                <w:sz w:val="24"/>
              </w:rPr>
            </w:pPr>
            <w:r w:rsidRPr="005A1F7C">
              <w:rPr>
                <w:rFonts w:hAnsi="標楷體"/>
                <w:kern w:val="0"/>
                <w:sz w:val="24"/>
              </w:rPr>
              <w:t>內政部 110.12.17 （10-4-14）</w:t>
            </w:r>
          </w:p>
        </w:tc>
        <w:tc>
          <w:tcPr>
            <w:tcW w:w="1701" w:type="dxa"/>
            <w:shd w:val="clear" w:color="auto" w:fill="auto"/>
          </w:tcPr>
          <w:p w14:paraId="6BC9B533" w14:textId="77777777" w:rsidR="00EB3514" w:rsidRPr="005A1F7C" w:rsidRDefault="00EB3514" w:rsidP="00EC13B7">
            <w:pPr>
              <w:pStyle w:val="01"/>
              <w:spacing w:line="300" w:lineRule="exact"/>
              <w:jc w:val="left"/>
              <w:rPr>
                <w:rFonts w:hAnsi="標楷體"/>
                <w:kern w:val="0"/>
                <w:sz w:val="24"/>
              </w:rPr>
            </w:pPr>
            <w:r w:rsidRPr="005A1F7C">
              <w:rPr>
                <w:rFonts w:hAnsi="標楷體"/>
                <w:kern w:val="0"/>
                <w:sz w:val="24"/>
              </w:rPr>
              <w:t>司法及法制、內政</w:t>
            </w:r>
          </w:p>
        </w:tc>
        <w:tc>
          <w:tcPr>
            <w:tcW w:w="1984" w:type="dxa"/>
            <w:shd w:val="clear" w:color="auto" w:fill="auto"/>
          </w:tcPr>
          <w:p w14:paraId="3439668E"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14:paraId="19202756" w14:textId="77777777" w:rsidR="00EB3514" w:rsidRPr="001C588E"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EB3514" w:rsidRPr="005042CE" w14:paraId="42215544" w14:textId="77777777" w:rsidTr="00EC13B7">
        <w:tc>
          <w:tcPr>
            <w:tcW w:w="709" w:type="dxa"/>
            <w:shd w:val="clear" w:color="auto" w:fill="auto"/>
          </w:tcPr>
          <w:p w14:paraId="50BB9643" w14:textId="77777777" w:rsidR="00EB3514" w:rsidRPr="005042CE"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48" w:type="dxa"/>
            <w:shd w:val="clear" w:color="auto" w:fill="auto"/>
          </w:tcPr>
          <w:p w14:paraId="47807AD5" w14:textId="77777777" w:rsidR="00EB3514" w:rsidRPr="0000730A" w:rsidRDefault="00EB3514" w:rsidP="00EC13B7">
            <w:pPr>
              <w:pStyle w:val="01"/>
              <w:spacing w:line="260" w:lineRule="exact"/>
            </w:pPr>
            <w:r w:rsidRPr="005A1F7C">
              <w:rPr>
                <w:rFonts w:hAnsi="標楷體"/>
                <w:kern w:val="0"/>
                <w:sz w:val="24"/>
              </w:rPr>
              <w:t>行政院主計總處函，為修正「主計機構編制訂定及人員任免遷調辦法」部分條文，請查照案。</w:t>
            </w:r>
          </w:p>
        </w:tc>
        <w:tc>
          <w:tcPr>
            <w:tcW w:w="1747" w:type="dxa"/>
            <w:shd w:val="clear" w:color="auto" w:fill="auto"/>
          </w:tcPr>
          <w:p w14:paraId="26F5114D" w14:textId="77777777" w:rsidR="00EB3514" w:rsidRPr="005A1F7C" w:rsidRDefault="00EB3514" w:rsidP="00EC13B7">
            <w:pPr>
              <w:pStyle w:val="01"/>
              <w:spacing w:line="300" w:lineRule="exact"/>
              <w:jc w:val="left"/>
              <w:rPr>
                <w:rFonts w:hAnsi="標楷體"/>
                <w:kern w:val="0"/>
                <w:sz w:val="24"/>
              </w:rPr>
            </w:pPr>
            <w:r w:rsidRPr="005A1F7C">
              <w:rPr>
                <w:rFonts w:hAnsi="標楷體"/>
                <w:spacing w:val="-20"/>
                <w:kern w:val="0"/>
                <w:sz w:val="24"/>
              </w:rPr>
              <w:t>行政院主計總處</w:t>
            </w:r>
            <w:r w:rsidRPr="005A1F7C">
              <w:rPr>
                <w:rFonts w:hAnsi="標楷體"/>
                <w:kern w:val="0"/>
                <w:sz w:val="24"/>
              </w:rPr>
              <w:t xml:space="preserve"> 110.10.08 （10-4-4）</w:t>
            </w:r>
          </w:p>
        </w:tc>
        <w:tc>
          <w:tcPr>
            <w:tcW w:w="1701" w:type="dxa"/>
            <w:shd w:val="clear" w:color="auto" w:fill="auto"/>
          </w:tcPr>
          <w:p w14:paraId="22A57B3C" w14:textId="77777777" w:rsidR="00EB3514" w:rsidRPr="005A1F7C" w:rsidRDefault="00EB3514" w:rsidP="00EC13B7">
            <w:pPr>
              <w:pStyle w:val="01"/>
              <w:spacing w:line="300" w:lineRule="exact"/>
              <w:jc w:val="left"/>
              <w:rPr>
                <w:rFonts w:hAnsi="標楷體"/>
                <w:kern w:val="0"/>
                <w:sz w:val="24"/>
              </w:rPr>
            </w:pPr>
            <w:r w:rsidRPr="005A1F7C">
              <w:rPr>
                <w:rFonts w:hAnsi="標楷體"/>
                <w:kern w:val="0"/>
                <w:sz w:val="24"/>
              </w:rPr>
              <w:t>司法及法制、財政</w:t>
            </w:r>
          </w:p>
        </w:tc>
        <w:tc>
          <w:tcPr>
            <w:tcW w:w="1984" w:type="dxa"/>
            <w:vMerge w:val="restart"/>
            <w:shd w:val="clear" w:color="auto" w:fill="auto"/>
          </w:tcPr>
          <w:p w14:paraId="4175727B"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14:paraId="51B5AFAD" w14:textId="77777777" w:rsidR="00EB3514" w:rsidRPr="001C588E"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EB3514" w:rsidRPr="005042CE" w14:paraId="349B8152" w14:textId="77777777" w:rsidTr="00EC13B7">
        <w:tc>
          <w:tcPr>
            <w:tcW w:w="709" w:type="dxa"/>
            <w:shd w:val="clear" w:color="auto" w:fill="auto"/>
          </w:tcPr>
          <w:p w14:paraId="13D0EE3E" w14:textId="77777777" w:rsidR="00EB3514" w:rsidRPr="005042CE"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48" w:type="dxa"/>
            <w:shd w:val="clear" w:color="auto" w:fill="auto"/>
          </w:tcPr>
          <w:p w14:paraId="51508083" w14:textId="77777777" w:rsidR="00EB3514" w:rsidRPr="00F141CA" w:rsidRDefault="00EB3514" w:rsidP="00EC13B7">
            <w:pPr>
              <w:pStyle w:val="01"/>
              <w:spacing w:line="260" w:lineRule="exact"/>
            </w:pPr>
            <w:r w:rsidRPr="005A1F7C">
              <w:rPr>
                <w:rFonts w:hAnsi="標楷體"/>
                <w:kern w:val="0"/>
                <w:sz w:val="24"/>
              </w:rPr>
              <w:t>財政部函，為修正「財政部財政資訊中心編制表」，請查照案。</w:t>
            </w:r>
          </w:p>
        </w:tc>
        <w:tc>
          <w:tcPr>
            <w:tcW w:w="1747" w:type="dxa"/>
            <w:shd w:val="clear" w:color="auto" w:fill="auto"/>
          </w:tcPr>
          <w:p w14:paraId="185F0014" w14:textId="77777777" w:rsidR="00EB3514" w:rsidRPr="005A1F7C" w:rsidRDefault="00EB3514" w:rsidP="00EC13B7">
            <w:pPr>
              <w:pStyle w:val="01"/>
              <w:spacing w:line="300" w:lineRule="exact"/>
              <w:jc w:val="left"/>
              <w:rPr>
                <w:rFonts w:hAnsi="標楷體"/>
                <w:kern w:val="0"/>
                <w:sz w:val="24"/>
              </w:rPr>
            </w:pPr>
            <w:r w:rsidRPr="005A1F7C">
              <w:rPr>
                <w:rFonts w:hAnsi="標楷體"/>
                <w:kern w:val="0"/>
                <w:sz w:val="24"/>
              </w:rPr>
              <w:t>財政部 110.12.17 （10-4-14）</w:t>
            </w:r>
          </w:p>
        </w:tc>
        <w:tc>
          <w:tcPr>
            <w:tcW w:w="1701" w:type="dxa"/>
            <w:shd w:val="clear" w:color="auto" w:fill="auto"/>
          </w:tcPr>
          <w:p w14:paraId="0F92B49E" w14:textId="77777777" w:rsidR="00EB3514" w:rsidRPr="005A1F7C" w:rsidRDefault="00EB3514" w:rsidP="00EC13B7">
            <w:pPr>
              <w:pStyle w:val="01"/>
              <w:spacing w:line="300" w:lineRule="exact"/>
              <w:jc w:val="left"/>
              <w:rPr>
                <w:rFonts w:hAnsi="標楷體"/>
                <w:kern w:val="0"/>
                <w:sz w:val="24"/>
              </w:rPr>
            </w:pPr>
            <w:r w:rsidRPr="005A1F7C">
              <w:rPr>
                <w:rFonts w:hAnsi="標楷體"/>
                <w:kern w:val="0"/>
                <w:sz w:val="24"/>
              </w:rPr>
              <w:t>司法及法制、財政</w:t>
            </w:r>
          </w:p>
        </w:tc>
        <w:tc>
          <w:tcPr>
            <w:tcW w:w="1984" w:type="dxa"/>
            <w:vMerge/>
            <w:shd w:val="clear" w:color="auto" w:fill="auto"/>
          </w:tcPr>
          <w:p w14:paraId="0A27D177" w14:textId="77777777" w:rsidR="00EB3514" w:rsidRDefault="00EB3514" w:rsidP="00EC13B7">
            <w:pPr>
              <w:kinsoku w:val="0"/>
              <w:overflowPunct w:val="0"/>
              <w:spacing w:line="300" w:lineRule="exact"/>
              <w:rPr>
                <w:rFonts w:ascii="標楷體" w:eastAsia="標楷體" w:hAnsi="標楷體"/>
                <w:b/>
                <w:spacing w:val="-20"/>
              </w:rPr>
            </w:pPr>
          </w:p>
        </w:tc>
      </w:tr>
      <w:tr w:rsidR="00EB3514" w:rsidRPr="005042CE" w14:paraId="464CA5EB" w14:textId="77777777" w:rsidTr="00EC13B7">
        <w:tc>
          <w:tcPr>
            <w:tcW w:w="709" w:type="dxa"/>
            <w:shd w:val="clear" w:color="auto" w:fill="auto"/>
          </w:tcPr>
          <w:p w14:paraId="4CBCFE61"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48" w:type="dxa"/>
            <w:shd w:val="clear" w:color="auto" w:fill="auto"/>
          </w:tcPr>
          <w:p w14:paraId="0977B60B" w14:textId="77777777" w:rsidR="00EB3514" w:rsidRDefault="00EB3514" w:rsidP="00EC13B7">
            <w:pPr>
              <w:pStyle w:val="01"/>
              <w:spacing w:line="260" w:lineRule="exact"/>
            </w:pPr>
            <w:r w:rsidRPr="004A0BFE">
              <w:rPr>
                <w:rFonts w:hAnsi="標楷體" w:hint="eastAsia"/>
                <w:kern w:val="0"/>
                <w:sz w:val="24"/>
              </w:rPr>
              <w:t>法務部函，為修正「檢</w:t>
            </w:r>
            <w:r w:rsidRPr="004A0BFE">
              <w:rPr>
                <w:rFonts w:hAnsi="標楷體" w:hint="eastAsia"/>
                <w:kern w:val="0"/>
                <w:sz w:val="24"/>
              </w:rPr>
              <w:lastRenderedPageBreak/>
              <w:t>察官倫理規範」部分條文，請查照案。</w:t>
            </w:r>
          </w:p>
        </w:tc>
        <w:tc>
          <w:tcPr>
            <w:tcW w:w="1747" w:type="dxa"/>
            <w:shd w:val="clear" w:color="auto" w:fill="auto"/>
          </w:tcPr>
          <w:p w14:paraId="508F7F90" w14:textId="77777777" w:rsidR="00EB3514" w:rsidRPr="004A0BFE" w:rsidRDefault="00EB3514" w:rsidP="00EC13B7">
            <w:pPr>
              <w:pStyle w:val="01"/>
              <w:spacing w:line="300" w:lineRule="exact"/>
              <w:jc w:val="left"/>
              <w:rPr>
                <w:rFonts w:hAnsi="標楷體"/>
                <w:kern w:val="0"/>
                <w:sz w:val="24"/>
              </w:rPr>
            </w:pPr>
            <w:r w:rsidRPr="004A0BFE">
              <w:rPr>
                <w:rFonts w:hAnsi="標楷體" w:hint="eastAsia"/>
                <w:kern w:val="0"/>
                <w:sz w:val="24"/>
              </w:rPr>
              <w:lastRenderedPageBreak/>
              <w:t xml:space="preserve">法務部 </w:t>
            </w:r>
            <w:r w:rsidRPr="004A0BFE">
              <w:rPr>
                <w:rFonts w:hAnsi="標楷體" w:hint="eastAsia"/>
                <w:kern w:val="0"/>
                <w:sz w:val="24"/>
              </w:rPr>
              <w:lastRenderedPageBreak/>
              <w:t>110.04.09 （10-3-7）</w:t>
            </w:r>
          </w:p>
        </w:tc>
        <w:tc>
          <w:tcPr>
            <w:tcW w:w="1701" w:type="dxa"/>
            <w:shd w:val="clear" w:color="auto" w:fill="auto"/>
          </w:tcPr>
          <w:p w14:paraId="2C1DA0AA"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lastRenderedPageBreak/>
              <w:t>司法及法制</w:t>
            </w:r>
          </w:p>
        </w:tc>
        <w:tc>
          <w:tcPr>
            <w:tcW w:w="1984" w:type="dxa"/>
            <w:vMerge w:val="restart"/>
            <w:shd w:val="clear" w:color="auto" w:fill="auto"/>
          </w:tcPr>
          <w:p w14:paraId="07A95C13" w14:textId="77777777" w:rsidR="00EB3514" w:rsidRPr="009C45CB"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1.</w:t>
            </w:r>
            <w:r w:rsidRPr="00087095">
              <w:rPr>
                <w:rFonts w:ascii="標楷體" w:eastAsia="標楷體" w:hAnsi="標楷體" w:hint="eastAsia"/>
              </w:rPr>
              <w:t>院會</w:t>
            </w:r>
            <w:r>
              <w:rPr>
                <w:rFonts w:ascii="標楷體" w:eastAsia="標楷體" w:hAnsi="標楷體" w:hint="eastAsia"/>
              </w:rPr>
              <w:t>111.3.</w:t>
            </w:r>
            <w:r w:rsidRPr="00087095">
              <w:rPr>
                <w:rFonts w:ascii="標楷體" w:eastAsia="標楷體" w:hAnsi="標楷體" w:hint="eastAsia"/>
              </w:rPr>
              <w:t>4</w:t>
            </w:r>
            <w:r w:rsidRPr="00087095">
              <w:rPr>
                <w:rFonts w:ascii="標楷體" w:eastAsia="標楷體" w:hAnsi="標楷體" w:hint="eastAsia"/>
              </w:rPr>
              <w:lastRenderedPageBreak/>
              <w:t>（10-5-2）展延。</w:t>
            </w:r>
          </w:p>
          <w:p w14:paraId="073DEEDE"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6E016355" w14:textId="77777777" w:rsidR="00EB3514" w:rsidRPr="00E95A52"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5A1F7C">
              <w:rPr>
                <w:rFonts w:ascii="標楷體" w:eastAsia="標楷體" w:hAnsi="標楷體" w:hint="eastAsia"/>
              </w:rPr>
              <w:t>.</w:t>
            </w:r>
            <w:r w:rsidRPr="00E95A52">
              <w:rPr>
                <w:rFonts w:ascii="標楷體" w:eastAsia="標楷體" w:hAnsi="標楷體" w:hint="eastAsia"/>
              </w:rPr>
              <w:t>院會</w:t>
            </w:r>
            <w:r w:rsidRPr="00E95A52">
              <w:rPr>
                <w:rFonts w:ascii="標楷體" w:eastAsia="標楷體" w:hAnsi="標楷體"/>
                <w:spacing w:val="-20"/>
              </w:rPr>
              <w:t>111.</w:t>
            </w:r>
            <w:r w:rsidRPr="00E95A52">
              <w:rPr>
                <w:rFonts w:ascii="標楷體" w:eastAsia="標楷體" w:hAnsi="標楷體" w:hint="eastAsia"/>
                <w:spacing w:val="-20"/>
              </w:rPr>
              <w:t>11</w:t>
            </w:r>
            <w:r w:rsidRPr="00E95A52">
              <w:rPr>
                <w:rFonts w:ascii="標楷體" w:eastAsia="標楷體" w:hAnsi="標楷體"/>
                <w:spacing w:val="-20"/>
              </w:rPr>
              <w:t>.2</w:t>
            </w:r>
            <w:r w:rsidRPr="00E95A52">
              <w:rPr>
                <w:rFonts w:ascii="標楷體" w:eastAsia="標楷體" w:hAnsi="標楷體" w:hint="eastAsia"/>
                <w:spacing w:val="-20"/>
              </w:rPr>
              <w:t>5</w:t>
            </w:r>
            <w:r w:rsidRPr="00E95A52">
              <w:rPr>
                <w:rFonts w:ascii="標楷體" w:eastAsia="標楷體" w:hAnsi="標楷體"/>
              </w:rPr>
              <w:t>（</w:t>
            </w:r>
            <w:r w:rsidRPr="00E95A52">
              <w:rPr>
                <w:rFonts w:ascii="標楷體" w:eastAsia="標楷體" w:hAnsi="標楷體" w:hint="eastAsia"/>
              </w:rPr>
              <w:t>10</w:t>
            </w:r>
            <w:r w:rsidRPr="00E95A52">
              <w:rPr>
                <w:rFonts w:ascii="標楷體" w:eastAsia="標楷體" w:hAnsi="標楷體"/>
              </w:rPr>
              <w:t>-6</w:t>
            </w:r>
            <w:r w:rsidRPr="00E95A52">
              <w:rPr>
                <w:rFonts w:ascii="標楷體" w:eastAsia="標楷體" w:hAnsi="標楷體" w:hint="eastAsia"/>
              </w:rPr>
              <w:t>-9</w:t>
            </w:r>
            <w:r w:rsidRPr="00E95A52">
              <w:rPr>
                <w:rFonts w:ascii="標楷體" w:eastAsia="標楷體" w:hAnsi="標楷體"/>
              </w:rPr>
              <w:t>）</w:t>
            </w:r>
            <w:r w:rsidRPr="00E95A52">
              <w:rPr>
                <w:rFonts w:ascii="標楷體" w:eastAsia="標楷體" w:hAnsi="標楷體" w:hint="eastAsia"/>
              </w:rPr>
              <w:t>准予備查。</w:t>
            </w:r>
          </w:p>
        </w:tc>
      </w:tr>
      <w:tr w:rsidR="00EB3514" w:rsidRPr="005042CE" w14:paraId="590556EA" w14:textId="77777777" w:rsidTr="00EC13B7">
        <w:tc>
          <w:tcPr>
            <w:tcW w:w="709" w:type="dxa"/>
            <w:shd w:val="clear" w:color="auto" w:fill="auto"/>
          </w:tcPr>
          <w:p w14:paraId="058613E6"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lastRenderedPageBreak/>
              <w:t>6</w:t>
            </w:r>
          </w:p>
        </w:tc>
        <w:tc>
          <w:tcPr>
            <w:tcW w:w="2648" w:type="dxa"/>
            <w:shd w:val="clear" w:color="auto" w:fill="auto"/>
          </w:tcPr>
          <w:p w14:paraId="03B604C6" w14:textId="77777777" w:rsidR="00EB3514" w:rsidRPr="004A0BFE" w:rsidRDefault="00EB3514" w:rsidP="00EC13B7">
            <w:pPr>
              <w:pStyle w:val="01"/>
              <w:spacing w:line="260" w:lineRule="exact"/>
              <w:rPr>
                <w:rFonts w:hAnsi="標楷體"/>
                <w:kern w:val="0"/>
                <w:sz w:val="24"/>
              </w:rPr>
            </w:pPr>
            <w:r w:rsidRPr="004A0BFE">
              <w:rPr>
                <w:rFonts w:hAnsi="標楷體" w:hint="eastAsia"/>
                <w:kern w:val="0"/>
                <w:sz w:val="24"/>
              </w:rPr>
              <w:t>行政院、司法院函送「少年偏差行為預防及輔導辦法」，請查照案。</w:t>
            </w:r>
          </w:p>
        </w:tc>
        <w:tc>
          <w:tcPr>
            <w:tcW w:w="1747" w:type="dxa"/>
            <w:shd w:val="clear" w:color="auto" w:fill="auto"/>
          </w:tcPr>
          <w:p w14:paraId="78E1C577" w14:textId="77777777" w:rsidR="00EB3514" w:rsidRPr="004A0BFE" w:rsidRDefault="00EB3514" w:rsidP="00EC13B7">
            <w:pPr>
              <w:pStyle w:val="01"/>
              <w:spacing w:line="300" w:lineRule="exact"/>
              <w:jc w:val="left"/>
              <w:rPr>
                <w:rFonts w:hAnsi="標楷體"/>
                <w:kern w:val="0"/>
                <w:sz w:val="24"/>
              </w:rPr>
            </w:pPr>
            <w:r w:rsidRPr="000C5CD1">
              <w:rPr>
                <w:rFonts w:hAnsi="標楷體" w:cs="Times New Roman" w:hint="eastAsia"/>
                <w:color w:val="000000"/>
                <w:w w:val="90"/>
                <w:kern w:val="0"/>
                <w:sz w:val="24"/>
                <w:szCs w:val="24"/>
              </w:rPr>
              <w:t>行政院、司法院</w:t>
            </w:r>
            <w:r w:rsidRPr="004A0BFE">
              <w:rPr>
                <w:rFonts w:hAnsi="標楷體" w:hint="eastAsia"/>
                <w:kern w:val="0"/>
                <w:sz w:val="24"/>
              </w:rPr>
              <w:t xml:space="preserve"> 110.04.23 （10-3-9）</w:t>
            </w:r>
          </w:p>
        </w:tc>
        <w:tc>
          <w:tcPr>
            <w:tcW w:w="1701" w:type="dxa"/>
            <w:shd w:val="clear" w:color="auto" w:fill="auto"/>
          </w:tcPr>
          <w:p w14:paraId="08616683"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1BA661DF" w14:textId="77777777" w:rsidR="00EB3514" w:rsidRPr="003C5856" w:rsidRDefault="00EB3514" w:rsidP="00EC13B7">
            <w:pPr>
              <w:kinsoku w:val="0"/>
              <w:overflowPunct w:val="0"/>
              <w:spacing w:line="300" w:lineRule="exact"/>
              <w:rPr>
                <w:rFonts w:ascii="標楷體" w:eastAsia="標楷體" w:hAnsi="標楷體"/>
                <w:spacing w:val="-20"/>
              </w:rPr>
            </w:pPr>
          </w:p>
        </w:tc>
      </w:tr>
      <w:tr w:rsidR="00EB3514" w:rsidRPr="005042CE" w14:paraId="07ADBE09" w14:textId="77777777" w:rsidTr="00EC13B7">
        <w:tc>
          <w:tcPr>
            <w:tcW w:w="709" w:type="dxa"/>
            <w:shd w:val="clear" w:color="auto" w:fill="auto"/>
          </w:tcPr>
          <w:p w14:paraId="3CE443F9"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48" w:type="dxa"/>
            <w:shd w:val="clear" w:color="auto" w:fill="auto"/>
          </w:tcPr>
          <w:p w14:paraId="1C106FB1" w14:textId="77777777" w:rsidR="00EB3514" w:rsidRPr="004A0BFE" w:rsidRDefault="00EB3514" w:rsidP="00EC13B7">
            <w:pPr>
              <w:pStyle w:val="01"/>
              <w:spacing w:line="260" w:lineRule="exact"/>
              <w:rPr>
                <w:rFonts w:hAnsi="標楷體"/>
                <w:kern w:val="0"/>
                <w:sz w:val="24"/>
              </w:rPr>
            </w:pPr>
            <w:r w:rsidRPr="004A0BFE">
              <w:rPr>
                <w:rFonts w:hAnsi="標楷體" w:hint="eastAsia"/>
                <w:kern w:val="0"/>
                <w:sz w:val="24"/>
              </w:rPr>
              <w:t>司法院函，為修正「法官服務紀錄良好證明核發辦法」第四條、第五條及第八條條文，請查照案。</w:t>
            </w:r>
          </w:p>
        </w:tc>
        <w:tc>
          <w:tcPr>
            <w:tcW w:w="1747" w:type="dxa"/>
            <w:shd w:val="clear" w:color="auto" w:fill="auto"/>
          </w:tcPr>
          <w:p w14:paraId="3D9990AC" w14:textId="77777777" w:rsidR="00EB3514" w:rsidRPr="004A0BFE" w:rsidRDefault="00EB3514" w:rsidP="00EC13B7">
            <w:pPr>
              <w:pStyle w:val="01"/>
              <w:spacing w:line="300" w:lineRule="exact"/>
              <w:jc w:val="left"/>
              <w:rPr>
                <w:rFonts w:hAnsi="標楷體"/>
                <w:kern w:val="0"/>
                <w:sz w:val="24"/>
              </w:rPr>
            </w:pPr>
            <w:r w:rsidRPr="004A0BFE">
              <w:rPr>
                <w:rFonts w:hAnsi="標楷體" w:hint="eastAsia"/>
                <w:kern w:val="0"/>
                <w:sz w:val="24"/>
              </w:rPr>
              <w:t>司法院 110.04.30 （10-3-10）</w:t>
            </w:r>
          </w:p>
        </w:tc>
        <w:tc>
          <w:tcPr>
            <w:tcW w:w="1701" w:type="dxa"/>
            <w:shd w:val="clear" w:color="auto" w:fill="auto"/>
          </w:tcPr>
          <w:p w14:paraId="474FF93D"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6219826F" w14:textId="77777777" w:rsidR="00EB3514" w:rsidRPr="003C5856" w:rsidRDefault="00EB3514" w:rsidP="00EC13B7">
            <w:pPr>
              <w:kinsoku w:val="0"/>
              <w:overflowPunct w:val="0"/>
              <w:spacing w:line="300" w:lineRule="exact"/>
              <w:rPr>
                <w:rFonts w:ascii="標楷體" w:eastAsia="標楷體" w:hAnsi="標楷體"/>
                <w:spacing w:val="-20"/>
              </w:rPr>
            </w:pPr>
          </w:p>
        </w:tc>
      </w:tr>
      <w:tr w:rsidR="00EB3514" w:rsidRPr="005042CE" w14:paraId="2720C291" w14:textId="77777777" w:rsidTr="00EC13B7">
        <w:tc>
          <w:tcPr>
            <w:tcW w:w="709" w:type="dxa"/>
            <w:shd w:val="clear" w:color="auto" w:fill="auto"/>
          </w:tcPr>
          <w:p w14:paraId="2F600D5A"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48" w:type="dxa"/>
            <w:shd w:val="clear" w:color="auto" w:fill="auto"/>
          </w:tcPr>
          <w:p w14:paraId="12ED0460" w14:textId="77777777" w:rsidR="00EB3514" w:rsidRPr="004A0BFE" w:rsidRDefault="00EB3514" w:rsidP="00EC13B7">
            <w:pPr>
              <w:pStyle w:val="01"/>
              <w:spacing w:line="260" w:lineRule="exact"/>
              <w:rPr>
                <w:rFonts w:hAnsi="標楷體"/>
                <w:kern w:val="0"/>
                <w:sz w:val="24"/>
              </w:rPr>
            </w:pPr>
            <w:r w:rsidRPr="004A0BFE">
              <w:rPr>
                <w:rFonts w:hAnsi="標楷體" w:hint="eastAsia"/>
                <w:kern w:val="0"/>
                <w:sz w:val="24"/>
              </w:rPr>
              <w:t>考試院、行政院函，為修正「公務人員執行職務意外傷亡慰問金發給辦法」部分條文，請查照案。</w:t>
            </w:r>
          </w:p>
        </w:tc>
        <w:tc>
          <w:tcPr>
            <w:tcW w:w="1747" w:type="dxa"/>
            <w:shd w:val="clear" w:color="auto" w:fill="auto"/>
          </w:tcPr>
          <w:p w14:paraId="29CD7FB6" w14:textId="77777777" w:rsidR="00EB3514" w:rsidRPr="004A0BFE" w:rsidRDefault="00EB3514" w:rsidP="00EC13B7">
            <w:pPr>
              <w:pStyle w:val="01"/>
              <w:spacing w:line="300" w:lineRule="exact"/>
              <w:jc w:val="left"/>
              <w:rPr>
                <w:rFonts w:hAnsi="標楷體"/>
                <w:kern w:val="0"/>
                <w:sz w:val="24"/>
              </w:rPr>
            </w:pPr>
            <w:r w:rsidRPr="000C5CD1">
              <w:rPr>
                <w:rFonts w:hAnsi="標楷體" w:cs="Times New Roman" w:hint="eastAsia"/>
                <w:color w:val="000000"/>
                <w:w w:val="90"/>
                <w:kern w:val="0"/>
                <w:sz w:val="24"/>
                <w:szCs w:val="24"/>
              </w:rPr>
              <w:t>考試院、行政院</w:t>
            </w:r>
            <w:r w:rsidRPr="004A0BFE">
              <w:rPr>
                <w:rFonts w:hAnsi="標楷體" w:hint="eastAsia"/>
                <w:kern w:val="0"/>
                <w:sz w:val="24"/>
              </w:rPr>
              <w:t xml:space="preserve"> 110.05.07 （10-3-11）</w:t>
            </w:r>
          </w:p>
        </w:tc>
        <w:tc>
          <w:tcPr>
            <w:tcW w:w="1701" w:type="dxa"/>
            <w:shd w:val="clear" w:color="auto" w:fill="auto"/>
          </w:tcPr>
          <w:p w14:paraId="4BA942BB"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3771E311" w14:textId="77777777" w:rsidR="00EB3514" w:rsidRPr="003C5856" w:rsidRDefault="00EB3514" w:rsidP="00EC13B7">
            <w:pPr>
              <w:kinsoku w:val="0"/>
              <w:overflowPunct w:val="0"/>
              <w:spacing w:line="300" w:lineRule="exact"/>
              <w:rPr>
                <w:rFonts w:ascii="標楷體" w:eastAsia="標楷體" w:hAnsi="標楷體"/>
                <w:spacing w:val="-20"/>
              </w:rPr>
            </w:pPr>
          </w:p>
        </w:tc>
      </w:tr>
      <w:tr w:rsidR="00EB3514" w:rsidRPr="005042CE" w14:paraId="7D12E71C" w14:textId="77777777" w:rsidTr="00EC13B7">
        <w:tc>
          <w:tcPr>
            <w:tcW w:w="709" w:type="dxa"/>
            <w:shd w:val="clear" w:color="auto" w:fill="auto"/>
          </w:tcPr>
          <w:p w14:paraId="2ED501C7"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48" w:type="dxa"/>
            <w:shd w:val="clear" w:color="auto" w:fill="auto"/>
          </w:tcPr>
          <w:p w14:paraId="3CB2059C" w14:textId="77777777" w:rsidR="00EB3514" w:rsidRPr="004A0BFE" w:rsidRDefault="00EB3514" w:rsidP="00EC13B7">
            <w:pPr>
              <w:pStyle w:val="01"/>
              <w:spacing w:line="260" w:lineRule="exact"/>
              <w:rPr>
                <w:rFonts w:hAnsi="標楷體"/>
                <w:kern w:val="0"/>
                <w:sz w:val="24"/>
              </w:rPr>
            </w:pPr>
            <w:r w:rsidRPr="004A0BFE">
              <w:rPr>
                <w:rFonts w:hAnsi="標楷體" w:hint="eastAsia"/>
                <w:kern w:val="0"/>
                <w:sz w:val="24"/>
              </w:rPr>
              <w:t>行政院函，為修正「毒品戒癮治療實施辦法及完成治療認定標準」，請查照案。</w:t>
            </w:r>
          </w:p>
        </w:tc>
        <w:tc>
          <w:tcPr>
            <w:tcW w:w="1747" w:type="dxa"/>
            <w:shd w:val="clear" w:color="auto" w:fill="auto"/>
          </w:tcPr>
          <w:p w14:paraId="148E151B" w14:textId="77777777" w:rsidR="00EB3514" w:rsidRPr="004A0BFE" w:rsidRDefault="00EB3514" w:rsidP="00EC13B7">
            <w:pPr>
              <w:pStyle w:val="01"/>
              <w:spacing w:line="300" w:lineRule="exact"/>
              <w:jc w:val="left"/>
              <w:rPr>
                <w:rFonts w:hAnsi="標楷體"/>
                <w:kern w:val="0"/>
                <w:sz w:val="24"/>
              </w:rPr>
            </w:pPr>
            <w:r w:rsidRPr="004A0BFE">
              <w:rPr>
                <w:rFonts w:hAnsi="標楷體" w:hint="eastAsia"/>
                <w:kern w:val="0"/>
                <w:sz w:val="24"/>
              </w:rPr>
              <w:t>行政院 110.05.21 （10-3-13）</w:t>
            </w:r>
          </w:p>
        </w:tc>
        <w:tc>
          <w:tcPr>
            <w:tcW w:w="1701" w:type="dxa"/>
            <w:shd w:val="clear" w:color="auto" w:fill="auto"/>
          </w:tcPr>
          <w:p w14:paraId="29CC61B6"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20CD3FBD" w14:textId="77777777" w:rsidR="00EB3514" w:rsidRPr="003C5856" w:rsidRDefault="00EB3514" w:rsidP="00EC13B7">
            <w:pPr>
              <w:kinsoku w:val="0"/>
              <w:overflowPunct w:val="0"/>
              <w:spacing w:line="300" w:lineRule="exact"/>
              <w:rPr>
                <w:rFonts w:ascii="標楷體" w:eastAsia="標楷體" w:hAnsi="標楷體"/>
                <w:spacing w:val="-20"/>
              </w:rPr>
            </w:pPr>
          </w:p>
        </w:tc>
      </w:tr>
      <w:tr w:rsidR="00EB3514" w:rsidRPr="005042CE" w14:paraId="2B44AF26" w14:textId="77777777" w:rsidTr="00EC13B7">
        <w:tc>
          <w:tcPr>
            <w:tcW w:w="709" w:type="dxa"/>
            <w:shd w:val="clear" w:color="auto" w:fill="auto"/>
          </w:tcPr>
          <w:p w14:paraId="593918E1"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0</w:t>
            </w:r>
          </w:p>
        </w:tc>
        <w:tc>
          <w:tcPr>
            <w:tcW w:w="2648" w:type="dxa"/>
            <w:shd w:val="clear" w:color="auto" w:fill="auto"/>
          </w:tcPr>
          <w:p w14:paraId="7E7C4561" w14:textId="77777777" w:rsidR="00EB3514" w:rsidRPr="004A0BFE" w:rsidRDefault="00EB3514" w:rsidP="00EC13B7">
            <w:pPr>
              <w:pStyle w:val="01"/>
              <w:spacing w:line="260" w:lineRule="exact"/>
              <w:rPr>
                <w:rFonts w:hAnsi="標楷體"/>
                <w:kern w:val="0"/>
                <w:sz w:val="24"/>
              </w:rPr>
            </w:pPr>
            <w:r w:rsidRPr="004A0BFE">
              <w:rPr>
                <w:rFonts w:hAnsi="標楷體" w:hint="eastAsia"/>
                <w:kern w:val="0"/>
                <w:sz w:val="24"/>
              </w:rPr>
              <w:t>法務部函送「檢察機關辦理查獲毒品判決確定前銷燬作業辦法」，請查照案。</w:t>
            </w:r>
          </w:p>
        </w:tc>
        <w:tc>
          <w:tcPr>
            <w:tcW w:w="1747" w:type="dxa"/>
            <w:shd w:val="clear" w:color="auto" w:fill="auto"/>
          </w:tcPr>
          <w:p w14:paraId="007E8BAF" w14:textId="77777777" w:rsidR="00EB3514" w:rsidRPr="004A0BFE" w:rsidRDefault="00EB3514" w:rsidP="00EC13B7">
            <w:pPr>
              <w:pStyle w:val="01"/>
              <w:spacing w:line="300" w:lineRule="exact"/>
              <w:jc w:val="left"/>
              <w:rPr>
                <w:rFonts w:hAnsi="標楷體"/>
                <w:kern w:val="0"/>
                <w:sz w:val="24"/>
              </w:rPr>
            </w:pPr>
            <w:r w:rsidRPr="004A0BFE">
              <w:rPr>
                <w:rFonts w:hAnsi="標楷體" w:hint="eastAsia"/>
                <w:kern w:val="0"/>
                <w:sz w:val="24"/>
              </w:rPr>
              <w:t>法務部 110.05.21 （10-3-13）</w:t>
            </w:r>
          </w:p>
        </w:tc>
        <w:tc>
          <w:tcPr>
            <w:tcW w:w="1701" w:type="dxa"/>
            <w:shd w:val="clear" w:color="auto" w:fill="auto"/>
          </w:tcPr>
          <w:p w14:paraId="11C16C5A"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44667FE1" w14:textId="77777777" w:rsidR="00EB3514" w:rsidRPr="003C5856" w:rsidRDefault="00EB3514" w:rsidP="00EC13B7">
            <w:pPr>
              <w:kinsoku w:val="0"/>
              <w:overflowPunct w:val="0"/>
              <w:spacing w:line="300" w:lineRule="exact"/>
              <w:rPr>
                <w:rFonts w:ascii="標楷體" w:eastAsia="標楷體" w:hAnsi="標楷體"/>
                <w:spacing w:val="-20"/>
              </w:rPr>
            </w:pPr>
          </w:p>
        </w:tc>
      </w:tr>
      <w:tr w:rsidR="00EB3514" w:rsidRPr="005042CE" w14:paraId="5C8BA65C" w14:textId="77777777" w:rsidTr="00EC13B7">
        <w:tc>
          <w:tcPr>
            <w:tcW w:w="709" w:type="dxa"/>
            <w:shd w:val="clear" w:color="auto" w:fill="auto"/>
          </w:tcPr>
          <w:p w14:paraId="04FFFCDB"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1</w:t>
            </w:r>
          </w:p>
        </w:tc>
        <w:tc>
          <w:tcPr>
            <w:tcW w:w="2648" w:type="dxa"/>
            <w:shd w:val="clear" w:color="auto" w:fill="auto"/>
          </w:tcPr>
          <w:p w14:paraId="6B940BF0" w14:textId="77777777" w:rsidR="00EB3514" w:rsidRPr="004A0BFE" w:rsidRDefault="00EB3514" w:rsidP="00EC13B7">
            <w:pPr>
              <w:pStyle w:val="01"/>
              <w:spacing w:line="260" w:lineRule="exact"/>
              <w:rPr>
                <w:rFonts w:hAnsi="標楷體"/>
                <w:kern w:val="0"/>
                <w:sz w:val="24"/>
              </w:rPr>
            </w:pPr>
            <w:r w:rsidRPr="004A0BFE">
              <w:rPr>
                <w:rFonts w:hAnsi="標楷體" w:hint="eastAsia"/>
                <w:kern w:val="0"/>
                <w:sz w:val="24"/>
              </w:rPr>
              <w:t>海洋委員會函，為修正「國家海洋研究院編制表」，請查照案。</w:t>
            </w:r>
          </w:p>
        </w:tc>
        <w:tc>
          <w:tcPr>
            <w:tcW w:w="1747" w:type="dxa"/>
            <w:shd w:val="clear" w:color="auto" w:fill="auto"/>
          </w:tcPr>
          <w:p w14:paraId="299AE0BD" w14:textId="77777777" w:rsidR="00EB3514" w:rsidRPr="004A0BFE" w:rsidRDefault="00EB3514" w:rsidP="00EC13B7">
            <w:pPr>
              <w:pStyle w:val="01"/>
              <w:spacing w:line="300" w:lineRule="exact"/>
              <w:jc w:val="left"/>
              <w:rPr>
                <w:rFonts w:hAnsi="標楷體"/>
                <w:kern w:val="0"/>
                <w:sz w:val="24"/>
              </w:rPr>
            </w:pPr>
            <w:r w:rsidRPr="004A0BFE">
              <w:rPr>
                <w:rFonts w:hAnsi="標楷體" w:hint="eastAsia"/>
                <w:kern w:val="0"/>
                <w:sz w:val="24"/>
              </w:rPr>
              <w:t>海洋委員會 110.04.23 （10-3-9）</w:t>
            </w:r>
          </w:p>
        </w:tc>
        <w:tc>
          <w:tcPr>
            <w:tcW w:w="1701" w:type="dxa"/>
            <w:shd w:val="clear" w:color="auto" w:fill="auto"/>
          </w:tcPr>
          <w:p w14:paraId="35AC7187"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t>司法及法制、內政</w:t>
            </w:r>
          </w:p>
        </w:tc>
        <w:tc>
          <w:tcPr>
            <w:tcW w:w="1984" w:type="dxa"/>
            <w:vMerge w:val="restart"/>
            <w:shd w:val="clear" w:color="auto" w:fill="auto"/>
          </w:tcPr>
          <w:p w14:paraId="338C0ABB" w14:textId="77777777" w:rsidR="00EB3514" w:rsidRPr="00C03D95"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C03D95">
              <w:rPr>
                <w:rFonts w:ascii="標楷體" w:eastAsia="標楷體" w:hAnsi="標楷體" w:hint="eastAsia"/>
              </w:rPr>
              <w:t>1.</w:t>
            </w:r>
            <w:r w:rsidRPr="00087095">
              <w:rPr>
                <w:rFonts w:ascii="標楷體" w:eastAsia="標楷體" w:hAnsi="標楷體" w:hint="eastAsia"/>
              </w:rPr>
              <w:t>院會</w:t>
            </w:r>
            <w:r>
              <w:rPr>
                <w:rFonts w:ascii="標楷體" w:eastAsia="標楷體" w:hAnsi="標楷體" w:hint="eastAsia"/>
              </w:rPr>
              <w:t>111.</w:t>
            </w:r>
            <w:r w:rsidRPr="00087095">
              <w:rPr>
                <w:rFonts w:ascii="標楷體" w:eastAsia="標楷體" w:hAnsi="標楷體" w:hint="eastAsia"/>
              </w:rPr>
              <w:t>3.18（10-5-4）展延。</w:t>
            </w:r>
          </w:p>
          <w:p w14:paraId="1E8474BD"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5A7F311A" w14:textId="77777777" w:rsidR="00EB3514" w:rsidRPr="003C5856" w:rsidRDefault="00EB3514" w:rsidP="00EC13B7">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3</w:t>
            </w:r>
            <w:r w:rsidRPr="005A1F7C">
              <w:rPr>
                <w:rFonts w:ascii="標楷體" w:eastAsia="標楷體" w:hAnsi="標楷體" w:hint="eastAsia"/>
              </w:rPr>
              <w:t>.</w:t>
            </w:r>
            <w:r w:rsidRPr="00C03D95">
              <w:rPr>
                <w:rFonts w:ascii="標楷體" w:eastAsia="標楷體" w:hAnsi="標楷體" w:hint="eastAsia"/>
                <w:w w:val="90"/>
              </w:rPr>
              <w:t>院會</w:t>
            </w:r>
            <w:r w:rsidRPr="00C03D95">
              <w:rPr>
                <w:rFonts w:ascii="標楷體" w:eastAsia="標楷體" w:hAnsi="標楷體"/>
                <w:w w:val="90"/>
              </w:rPr>
              <w:t>111.</w:t>
            </w:r>
            <w:r w:rsidRPr="00C03D95">
              <w:rPr>
                <w:rFonts w:ascii="標楷體" w:eastAsia="標楷體" w:hAnsi="標楷體" w:hint="eastAsia"/>
                <w:w w:val="90"/>
              </w:rPr>
              <w:t>11</w:t>
            </w:r>
            <w:r w:rsidRPr="00C03D95">
              <w:rPr>
                <w:rFonts w:ascii="標楷體" w:eastAsia="標楷體" w:hAnsi="標楷體"/>
                <w:w w:val="90"/>
              </w:rPr>
              <w:t>.2</w:t>
            </w:r>
            <w:r w:rsidRPr="00C03D95">
              <w:rPr>
                <w:rFonts w:ascii="標楷體" w:eastAsia="標楷體" w:hAnsi="標楷體" w:hint="eastAsia"/>
                <w:w w:val="90"/>
              </w:rPr>
              <w:t>5</w:t>
            </w:r>
            <w:r w:rsidRPr="00F65D33">
              <w:rPr>
                <w:rFonts w:ascii="標楷體" w:eastAsia="標楷體" w:hAnsi="標楷體"/>
              </w:rPr>
              <w:t>（</w:t>
            </w:r>
            <w:r w:rsidRPr="00F65D33">
              <w:rPr>
                <w:rFonts w:ascii="標楷體" w:eastAsia="標楷體" w:hAnsi="標楷體" w:hint="eastAsia"/>
              </w:rPr>
              <w:t>10</w:t>
            </w:r>
            <w:r w:rsidRPr="00F65D33">
              <w:rPr>
                <w:rFonts w:ascii="標楷體" w:eastAsia="標楷體" w:hAnsi="標楷體"/>
              </w:rPr>
              <w:t>-6</w:t>
            </w:r>
            <w:r w:rsidRPr="00F65D33">
              <w:rPr>
                <w:rFonts w:ascii="標楷體" w:eastAsia="標楷體" w:hAnsi="標楷體" w:hint="eastAsia"/>
              </w:rPr>
              <w:t>-9</w:t>
            </w:r>
            <w:r w:rsidRPr="00F65D33">
              <w:rPr>
                <w:rFonts w:ascii="標楷體" w:eastAsia="標楷體" w:hAnsi="標楷體"/>
              </w:rPr>
              <w:t>）</w:t>
            </w:r>
            <w:r w:rsidRPr="00F65D33">
              <w:rPr>
                <w:rFonts w:ascii="標楷體" w:eastAsia="標楷體" w:hAnsi="標楷體" w:hint="eastAsia"/>
              </w:rPr>
              <w:t>准予備查。</w:t>
            </w:r>
          </w:p>
        </w:tc>
      </w:tr>
      <w:tr w:rsidR="00EB3514" w:rsidRPr="005042CE" w14:paraId="78DD9153" w14:textId="77777777" w:rsidTr="00EC13B7">
        <w:tc>
          <w:tcPr>
            <w:tcW w:w="709" w:type="dxa"/>
            <w:shd w:val="clear" w:color="auto" w:fill="auto"/>
          </w:tcPr>
          <w:p w14:paraId="7479F12F"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2</w:t>
            </w:r>
          </w:p>
        </w:tc>
        <w:tc>
          <w:tcPr>
            <w:tcW w:w="2648" w:type="dxa"/>
            <w:shd w:val="clear" w:color="auto" w:fill="auto"/>
          </w:tcPr>
          <w:p w14:paraId="05268925" w14:textId="77777777" w:rsidR="00EB3514" w:rsidRPr="004A0BFE" w:rsidRDefault="00EB3514" w:rsidP="00EC13B7">
            <w:pPr>
              <w:pStyle w:val="01"/>
              <w:spacing w:line="260" w:lineRule="exact"/>
              <w:rPr>
                <w:rFonts w:hAnsi="標楷體"/>
                <w:kern w:val="0"/>
                <w:sz w:val="24"/>
              </w:rPr>
            </w:pPr>
            <w:r w:rsidRPr="004A0BFE">
              <w:rPr>
                <w:rFonts w:hAnsi="標楷體" w:hint="eastAsia"/>
                <w:kern w:val="0"/>
                <w:sz w:val="24"/>
              </w:rPr>
              <w:t>海洋委員會函，為修正「海洋委員會海巡署艦隊分署編制表」，並自107年4月28日生效，請查照案。</w:t>
            </w:r>
          </w:p>
        </w:tc>
        <w:tc>
          <w:tcPr>
            <w:tcW w:w="1747" w:type="dxa"/>
            <w:shd w:val="clear" w:color="auto" w:fill="auto"/>
          </w:tcPr>
          <w:p w14:paraId="326807AA" w14:textId="77777777" w:rsidR="00EB3514" w:rsidRPr="004A0BFE" w:rsidRDefault="00EB3514" w:rsidP="00EC13B7">
            <w:pPr>
              <w:pStyle w:val="01"/>
              <w:spacing w:line="300" w:lineRule="exact"/>
              <w:jc w:val="left"/>
              <w:rPr>
                <w:rFonts w:hAnsi="標楷體"/>
                <w:kern w:val="0"/>
                <w:sz w:val="24"/>
              </w:rPr>
            </w:pPr>
            <w:r w:rsidRPr="004A0BFE">
              <w:rPr>
                <w:rFonts w:hAnsi="標楷體" w:hint="eastAsia"/>
                <w:kern w:val="0"/>
                <w:sz w:val="24"/>
              </w:rPr>
              <w:t>海洋委員會 110.04.23 （10-3-9）</w:t>
            </w:r>
          </w:p>
        </w:tc>
        <w:tc>
          <w:tcPr>
            <w:tcW w:w="1701" w:type="dxa"/>
            <w:shd w:val="clear" w:color="auto" w:fill="auto"/>
          </w:tcPr>
          <w:p w14:paraId="5BFAD993" w14:textId="77777777" w:rsidR="00EB3514" w:rsidRPr="00C03D95" w:rsidRDefault="00EB3514" w:rsidP="00EC13B7">
            <w:pPr>
              <w:pStyle w:val="01"/>
              <w:spacing w:line="300" w:lineRule="exact"/>
              <w:jc w:val="left"/>
              <w:rPr>
                <w:rFonts w:hAnsi="標楷體"/>
                <w:kern w:val="0"/>
                <w:sz w:val="24"/>
              </w:rPr>
            </w:pPr>
            <w:r w:rsidRPr="00C03D95">
              <w:rPr>
                <w:rFonts w:hAnsi="標楷體" w:hint="eastAsia"/>
                <w:kern w:val="0"/>
                <w:sz w:val="24"/>
              </w:rPr>
              <w:t>司法及法制、內政</w:t>
            </w:r>
          </w:p>
        </w:tc>
        <w:tc>
          <w:tcPr>
            <w:tcW w:w="1984" w:type="dxa"/>
            <w:vMerge/>
            <w:shd w:val="clear" w:color="auto" w:fill="auto"/>
          </w:tcPr>
          <w:p w14:paraId="4179CDEB" w14:textId="77777777" w:rsidR="00EB3514" w:rsidRPr="003C5856" w:rsidRDefault="00EB3514" w:rsidP="00EC13B7">
            <w:pPr>
              <w:kinsoku w:val="0"/>
              <w:overflowPunct w:val="0"/>
              <w:spacing w:line="300" w:lineRule="exact"/>
              <w:rPr>
                <w:rFonts w:ascii="標楷體" w:eastAsia="標楷體" w:hAnsi="標楷體"/>
                <w:spacing w:val="-20"/>
              </w:rPr>
            </w:pPr>
          </w:p>
        </w:tc>
      </w:tr>
      <w:tr w:rsidR="00EB3514" w:rsidRPr="005042CE" w14:paraId="74410679" w14:textId="77777777" w:rsidTr="00EC13B7">
        <w:tc>
          <w:tcPr>
            <w:tcW w:w="709" w:type="dxa"/>
            <w:shd w:val="clear" w:color="auto" w:fill="auto"/>
          </w:tcPr>
          <w:p w14:paraId="671D1F00"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48" w:type="dxa"/>
            <w:shd w:val="clear" w:color="auto" w:fill="auto"/>
          </w:tcPr>
          <w:p w14:paraId="633B3AF5" w14:textId="77777777" w:rsidR="00EB3514" w:rsidRPr="00AF6E59" w:rsidRDefault="00EB3514" w:rsidP="00EC13B7">
            <w:pPr>
              <w:pStyle w:val="01"/>
              <w:spacing w:line="260" w:lineRule="exact"/>
              <w:rPr>
                <w:rFonts w:hAnsi="標楷體"/>
                <w:kern w:val="0"/>
                <w:sz w:val="24"/>
              </w:rPr>
            </w:pPr>
            <w:r w:rsidRPr="00AF6E59">
              <w:rPr>
                <w:rFonts w:hAnsi="標楷體" w:hint="eastAsia"/>
                <w:kern w:val="0"/>
                <w:sz w:val="24"/>
              </w:rPr>
              <w:t>司法院函送「憲法訴訟書狀使用科技設備傳送辦法」，請查照案。</w:t>
            </w:r>
          </w:p>
        </w:tc>
        <w:tc>
          <w:tcPr>
            <w:tcW w:w="1747" w:type="dxa"/>
            <w:shd w:val="clear" w:color="auto" w:fill="auto"/>
          </w:tcPr>
          <w:p w14:paraId="7251C1C9" w14:textId="77777777" w:rsidR="00EB3514" w:rsidRPr="00AF6E59" w:rsidRDefault="00EB3514" w:rsidP="00EC13B7">
            <w:pPr>
              <w:pStyle w:val="01"/>
              <w:spacing w:line="300" w:lineRule="exact"/>
              <w:jc w:val="left"/>
              <w:rPr>
                <w:rFonts w:hAnsi="標楷體"/>
                <w:kern w:val="0"/>
                <w:sz w:val="24"/>
              </w:rPr>
            </w:pPr>
            <w:r w:rsidRPr="00AF6E59">
              <w:rPr>
                <w:rFonts w:hAnsi="標楷體" w:hint="eastAsia"/>
                <w:kern w:val="0"/>
                <w:sz w:val="24"/>
              </w:rPr>
              <w:t>司法院 111.03.18 （10-5-4）</w:t>
            </w:r>
          </w:p>
        </w:tc>
        <w:tc>
          <w:tcPr>
            <w:tcW w:w="1701" w:type="dxa"/>
            <w:shd w:val="clear" w:color="auto" w:fill="auto"/>
          </w:tcPr>
          <w:p w14:paraId="458434BB" w14:textId="77777777" w:rsidR="00EB3514" w:rsidRPr="00AF6E59" w:rsidRDefault="00EB3514" w:rsidP="00EC13B7">
            <w:pPr>
              <w:pStyle w:val="01"/>
              <w:spacing w:line="300" w:lineRule="exact"/>
              <w:jc w:val="left"/>
              <w:rPr>
                <w:rFonts w:hAnsi="標楷體"/>
                <w:kern w:val="0"/>
                <w:sz w:val="24"/>
              </w:rPr>
            </w:pPr>
            <w:r w:rsidRPr="00AF6E59">
              <w:rPr>
                <w:rFonts w:hAnsi="標楷體" w:hint="eastAsia"/>
                <w:kern w:val="0"/>
                <w:sz w:val="24"/>
              </w:rPr>
              <w:t>司法及法制</w:t>
            </w:r>
          </w:p>
        </w:tc>
        <w:tc>
          <w:tcPr>
            <w:tcW w:w="1984" w:type="dxa"/>
            <w:vMerge w:val="restart"/>
            <w:shd w:val="clear" w:color="auto" w:fill="auto"/>
          </w:tcPr>
          <w:p w14:paraId="7BE7B562"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03266D70" w14:textId="77777777" w:rsidR="00EB3514" w:rsidRPr="003C5856" w:rsidRDefault="00EB3514" w:rsidP="00EC13B7">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2</w:t>
            </w:r>
            <w:r w:rsidRPr="005A1F7C">
              <w:rPr>
                <w:rFonts w:ascii="標楷體" w:eastAsia="標楷體" w:hAnsi="標楷體" w:hint="eastAsia"/>
              </w:rPr>
              <w:t>.</w:t>
            </w:r>
            <w:r w:rsidRPr="001601C5">
              <w:rPr>
                <w:rFonts w:ascii="標楷體" w:eastAsia="標楷體" w:hAnsi="標楷體" w:hint="eastAsia"/>
                <w:w w:val="90"/>
              </w:rPr>
              <w:t>院會</w:t>
            </w:r>
            <w:r w:rsidRPr="001601C5">
              <w:rPr>
                <w:rFonts w:ascii="標楷體" w:eastAsia="標楷體" w:hAnsi="標楷體"/>
                <w:w w:val="90"/>
              </w:rPr>
              <w:t>111.</w:t>
            </w:r>
            <w:r w:rsidRPr="001601C5">
              <w:rPr>
                <w:rFonts w:ascii="標楷體" w:eastAsia="標楷體" w:hAnsi="標楷體" w:hint="eastAsia"/>
                <w:w w:val="90"/>
              </w:rPr>
              <w:t>11</w:t>
            </w:r>
            <w:r w:rsidRPr="001601C5">
              <w:rPr>
                <w:rFonts w:ascii="標楷體" w:eastAsia="標楷體" w:hAnsi="標楷體"/>
                <w:w w:val="90"/>
              </w:rPr>
              <w:t>.2</w:t>
            </w:r>
            <w:r w:rsidRPr="001601C5">
              <w:rPr>
                <w:rFonts w:ascii="標楷體" w:eastAsia="標楷體" w:hAnsi="標楷體" w:hint="eastAsia"/>
                <w:w w:val="90"/>
              </w:rPr>
              <w:t>5</w:t>
            </w:r>
            <w:r w:rsidRPr="00F65D33">
              <w:rPr>
                <w:rFonts w:ascii="標楷體" w:eastAsia="標楷體" w:hAnsi="標楷體"/>
              </w:rPr>
              <w:t>（</w:t>
            </w:r>
            <w:r w:rsidRPr="00F65D33">
              <w:rPr>
                <w:rFonts w:ascii="標楷體" w:eastAsia="標楷體" w:hAnsi="標楷體" w:hint="eastAsia"/>
              </w:rPr>
              <w:t>10</w:t>
            </w:r>
            <w:r w:rsidRPr="00F65D33">
              <w:rPr>
                <w:rFonts w:ascii="標楷體" w:eastAsia="標楷體" w:hAnsi="標楷體"/>
              </w:rPr>
              <w:t>-6</w:t>
            </w:r>
            <w:r w:rsidRPr="00F65D33">
              <w:rPr>
                <w:rFonts w:ascii="標楷體" w:eastAsia="標楷體" w:hAnsi="標楷體" w:hint="eastAsia"/>
              </w:rPr>
              <w:t>-9</w:t>
            </w:r>
            <w:r w:rsidRPr="00F65D33">
              <w:rPr>
                <w:rFonts w:ascii="標楷體" w:eastAsia="標楷體" w:hAnsi="標楷體"/>
              </w:rPr>
              <w:t>）</w:t>
            </w:r>
            <w:r w:rsidRPr="00F65D33">
              <w:rPr>
                <w:rFonts w:ascii="標楷體" w:eastAsia="標楷體" w:hAnsi="標楷體" w:hint="eastAsia"/>
              </w:rPr>
              <w:t>准予備查。</w:t>
            </w:r>
          </w:p>
        </w:tc>
      </w:tr>
      <w:tr w:rsidR="00EB3514" w:rsidRPr="005042CE" w14:paraId="1F1E8901" w14:textId="77777777" w:rsidTr="00EC13B7">
        <w:tc>
          <w:tcPr>
            <w:tcW w:w="709" w:type="dxa"/>
            <w:shd w:val="clear" w:color="auto" w:fill="auto"/>
          </w:tcPr>
          <w:p w14:paraId="7DA25747"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2648" w:type="dxa"/>
            <w:shd w:val="clear" w:color="auto" w:fill="auto"/>
          </w:tcPr>
          <w:p w14:paraId="57FB315B" w14:textId="77777777" w:rsidR="00EB3514" w:rsidRPr="00AF6E59" w:rsidRDefault="00EB3514" w:rsidP="00EC13B7">
            <w:pPr>
              <w:pStyle w:val="01"/>
              <w:spacing w:line="260" w:lineRule="exact"/>
              <w:rPr>
                <w:rFonts w:hAnsi="標楷體"/>
                <w:kern w:val="0"/>
                <w:sz w:val="24"/>
              </w:rPr>
            </w:pPr>
            <w:r w:rsidRPr="00AF6E59">
              <w:rPr>
                <w:rFonts w:hAnsi="標楷體" w:hint="eastAsia"/>
                <w:kern w:val="0"/>
                <w:sz w:val="24"/>
              </w:rPr>
              <w:t>司法院函，為修正「法庭席位布置規則」第十二條條文及第二條附圖二、附圖二之一、附圖三，請查照案。</w:t>
            </w:r>
          </w:p>
        </w:tc>
        <w:tc>
          <w:tcPr>
            <w:tcW w:w="1747" w:type="dxa"/>
            <w:shd w:val="clear" w:color="auto" w:fill="auto"/>
          </w:tcPr>
          <w:p w14:paraId="5AA165EB" w14:textId="77777777" w:rsidR="00EB3514" w:rsidRPr="00AF6E59" w:rsidRDefault="00EB3514" w:rsidP="00EC13B7">
            <w:pPr>
              <w:pStyle w:val="01"/>
              <w:spacing w:line="300" w:lineRule="exact"/>
              <w:jc w:val="left"/>
              <w:rPr>
                <w:rFonts w:hAnsi="標楷體"/>
                <w:kern w:val="0"/>
                <w:sz w:val="24"/>
              </w:rPr>
            </w:pPr>
            <w:r w:rsidRPr="00AF6E59">
              <w:rPr>
                <w:rFonts w:hAnsi="標楷體" w:hint="eastAsia"/>
                <w:kern w:val="0"/>
                <w:sz w:val="24"/>
              </w:rPr>
              <w:t>司法院 111.04.15 （10-5-8）</w:t>
            </w:r>
          </w:p>
        </w:tc>
        <w:tc>
          <w:tcPr>
            <w:tcW w:w="1701" w:type="dxa"/>
            <w:shd w:val="clear" w:color="auto" w:fill="auto"/>
          </w:tcPr>
          <w:p w14:paraId="7CCFDDDB" w14:textId="77777777" w:rsidR="00EB3514" w:rsidRPr="00AF6E59" w:rsidRDefault="00EB3514" w:rsidP="00EC13B7">
            <w:pPr>
              <w:pStyle w:val="01"/>
              <w:spacing w:line="300" w:lineRule="exact"/>
              <w:jc w:val="left"/>
              <w:rPr>
                <w:rFonts w:hAnsi="標楷體"/>
                <w:kern w:val="0"/>
                <w:sz w:val="24"/>
              </w:rPr>
            </w:pPr>
            <w:r w:rsidRPr="00AF6E59">
              <w:rPr>
                <w:rFonts w:hAnsi="標楷體" w:hint="eastAsia"/>
                <w:kern w:val="0"/>
                <w:sz w:val="24"/>
              </w:rPr>
              <w:t>司法及法制</w:t>
            </w:r>
          </w:p>
        </w:tc>
        <w:tc>
          <w:tcPr>
            <w:tcW w:w="1984" w:type="dxa"/>
            <w:vMerge/>
            <w:shd w:val="clear" w:color="auto" w:fill="auto"/>
          </w:tcPr>
          <w:p w14:paraId="4D7F1391" w14:textId="77777777" w:rsidR="00EB3514" w:rsidRPr="003C5856" w:rsidRDefault="00EB3514" w:rsidP="00EC13B7">
            <w:pPr>
              <w:kinsoku w:val="0"/>
              <w:overflowPunct w:val="0"/>
              <w:spacing w:line="300" w:lineRule="exact"/>
              <w:rPr>
                <w:rFonts w:ascii="標楷體" w:eastAsia="標楷體" w:hAnsi="標楷體"/>
                <w:spacing w:val="-20"/>
              </w:rPr>
            </w:pPr>
          </w:p>
        </w:tc>
      </w:tr>
      <w:tr w:rsidR="00EB3514" w:rsidRPr="005042CE" w14:paraId="033478C4" w14:textId="77777777" w:rsidTr="00EC13B7">
        <w:tc>
          <w:tcPr>
            <w:tcW w:w="709" w:type="dxa"/>
            <w:shd w:val="clear" w:color="auto" w:fill="auto"/>
          </w:tcPr>
          <w:p w14:paraId="717AB158"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15</w:t>
            </w:r>
          </w:p>
        </w:tc>
        <w:tc>
          <w:tcPr>
            <w:tcW w:w="2648" w:type="dxa"/>
            <w:shd w:val="clear" w:color="auto" w:fill="auto"/>
          </w:tcPr>
          <w:p w14:paraId="0AF26FD6" w14:textId="77777777" w:rsidR="00EB3514" w:rsidRDefault="00EB3514" w:rsidP="00EC13B7">
            <w:pPr>
              <w:pStyle w:val="01"/>
              <w:spacing w:line="260" w:lineRule="exact"/>
            </w:pPr>
            <w:r w:rsidRPr="002367CB">
              <w:rPr>
                <w:rFonts w:hAnsi="標楷體" w:hint="eastAsia"/>
                <w:kern w:val="0"/>
                <w:sz w:val="24"/>
              </w:rPr>
              <w:t>交通部函，為修正「中華郵政股份有限公司非資位現職人員退休撫卹辦法」部分條文，請查照案。</w:t>
            </w:r>
          </w:p>
        </w:tc>
        <w:tc>
          <w:tcPr>
            <w:tcW w:w="1747" w:type="dxa"/>
            <w:shd w:val="clear" w:color="auto" w:fill="auto"/>
          </w:tcPr>
          <w:p w14:paraId="11B929C1" w14:textId="77777777" w:rsidR="00EB3514" w:rsidRDefault="00EB3514" w:rsidP="00EC13B7">
            <w:pPr>
              <w:pStyle w:val="01"/>
              <w:spacing w:line="300" w:lineRule="exact"/>
              <w:jc w:val="left"/>
              <w:rPr>
                <w:rFonts w:hAnsi="標楷體"/>
              </w:rPr>
            </w:pPr>
            <w:r w:rsidRPr="002367CB">
              <w:rPr>
                <w:rFonts w:hAnsi="標楷體" w:hint="eastAsia"/>
                <w:kern w:val="0"/>
                <w:sz w:val="24"/>
              </w:rPr>
              <w:t>交通部 111.03.11 （10-5-3）</w:t>
            </w:r>
          </w:p>
        </w:tc>
        <w:tc>
          <w:tcPr>
            <w:tcW w:w="1701" w:type="dxa"/>
            <w:shd w:val="clear" w:color="auto" w:fill="auto"/>
          </w:tcPr>
          <w:p w14:paraId="07838FC2" w14:textId="77777777" w:rsidR="00EB3514" w:rsidRDefault="00EB3514" w:rsidP="00EC13B7">
            <w:pPr>
              <w:pStyle w:val="01"/>
              <w:spacing w:line="300" w:lineRule="exact"/>
              <w:jc w:val="left"/>
              <w:rPr>
                <w:rFonts w:hAnsi="標楷體"/>
              </w:rPr>
            </w:pPr>
            <w:r w:rsidRPr="002367CB">
              <w:rPr>
                <w:rFonts w:hAnsi="標楷體" w:hint="eastAsia"/>
                <w:kern w:val="0"/>
                <w:sz w:val="24"/>
              </w:rPr>
              <w:t>司法及法制、交通</w:t>
            </w:r>
          </w:p>
        </w:tc>
        <w:tc>
          <w:tcPr>
            <w:tcW w:w="1984" w:type="dxa"/>
            <w:shd w:val="clear" w:color="auto" w:fill="auto"/>
          </w:tcPr>
          <w:p w14:paraId="5D2EB342"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639FC424" w14:textId="77777777" w:rsidR="00EB3514" w:rsidRPr="003C5856" w:rsidRDefault="00EB3514" w:rsidP="00EC13B7">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2</w:t>
            </w:r>
            <w:r w:rsidRPr="005A1F7C">
              <w:rPr>
                <w:rFonts w:ascii="標楷體" w:eastAsia="標楷體" w:hAnsi="標楷體" w:hint="eastAsia"/>
              </w:rPr>
              <w:t>.</w:t>
            </w:r>
            <w:r w:rsidRPr="005B0D4B">
              <w:rPr>
                <w:rFonts w:ascii="標楷體" w:eastAsia="標楷體" w:hAnsi="標楷體" w:hint="eastAsia"/>
              </w:rPr>
              <w:t>院會</w:t>
            </w:r>
            <w:r w:rsidRPr="005B0D4B">
              <w:rPr>
                <w:rFonts w:ascii="標楷體" w:eastAsia="標楷體" w:hAnsi="標楷體"/>
              </w:rPr>
              <w:t>111.</w:t>
            </w:r>
            <w:r w:rsidRPr="005B0D4B">
              <w:rPr>
                <w:rFonts w:ascii="標楷體" w:eastAsia="標楷體" w:hAnsi="標楷體" w:hint="eastAsia"/>
              </w:rPr>
              <w:t>12</w:t>
            </w:r>
            <w:r w:rsidRPr="005B0D4B">
              <w:rPr>
                <w:rFonts w:ascii="標楷體" w:eastAsia="標楷體" w:hAnsi="標楷體"/>
              </w:rPr>
              <w:t>.2（</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-10</w:t>
            </w:r>
            <w:r w:rsidRPr="005B0D4B">
              <w:rPr>
                <w:rFonts w:ascii="標楷體" w:eastAsia="標楷體" w:hAnsi="標楷體"/>
              </w:rPr>
              <w:t>）</w:t>
            </w:r>
            <w:r w:rsidRPr="005B0D4B">
              <w:rPr>
                <w:rFonts w:ascii="標楷體" w:eastAsia="標楷體" w:hAnsi="標楷體" w:hint="eastAsia"/>
              </w:rPr>
              <w:t>准予備查。</w:t>
            </w:r>
          </w:p>
        </w:tc>
      </w:tr>
      <w:tr w:rsidR="00EB3514" w:rsidRPr="005042CE" w14:paraId="4C0B9E89" w14:textId="77777777" w:rsidTr="00EC13B7">
        <w:tc>
          <w:tcPr>
            <w:tcW w:w="709" w:type="dxa"/>
            <w:shd w:val="clear" w:color="auto" w:fill="auto"/>
          </w:tcPr>
          <w:p w14:paraId="0F09A8F5"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16</w:t>
            </w:r>
          </w:p>
        </w:tc>
        <w:tc>
          <w:tcPr>
            <w:tcW w:w="2648" w:type="dxa"/>
            <w:shd w:val="clear" w:color="auto" w:fill="auto"/>
          </w:tcPr>
          <w:p w14:paraId="00A389DD" w14:textId="77777777" w:rsidR="00EB3514" w:rsidRDefault="00EB3514" w:rsidP="00EC13B7">
            <w:pPr>
              <w:pStyle w:val="01"/>
              <w:spacing w:line="260" w:lineRule="exact"/>
            </w:pPr>
            <w:r w:rsidRPr="00980156">
              <w:rPr>
                <w:rFonts w:hAnsi="標楷體" w:hint="eastAsia"/>
                <w:kern w:val="0"/>
                <w:sz w:val="24"/>
              </w:rPr>
              <w:t>行政院環境保護署函，為修正「行政院環境保護署環境影響評估審查</w:t>
            </w:r>
            <w:r w:rsidRPr="00980156">
              <w:rPr>
                <w:rFonts w:hAnsi="標楷體" w:hint="eastAsia"/>
                <w:kern w:val="0"/>
                <w:sz w:val="24"/>
              </w:rPr>
              <w:lastRenderedPageBreak/>
              <w:t>委員會組織規程」第四條及第十一條條文，請查照案。</w:t>
            </w:r>
          </w:p>
        </w:tc>
        <w:tc>
          <w:tcPr>
            <w:tcW w:w="1747" w:type="dxa"/>
            <w:shd w:val="clear" w:color="auto" w:fill="auto"/>
          </w:tcPr>
          <w:p w14:paraId="1CEC9903" w14:textId="77777777" w:rsidR="00EB3514" w:rsidRDefault="00EB3514" w:rsidP="00EC13B7">
            <w:pPr>
              <w:pStyle w:val="01"/>
              <w:spacing w:line="300" w:lineRule="exact"/>
              <w:jc w:val="left"/>
              <w:rPr>
                <w:rFonts w:hAnsi="標楷體"/>
              </w:rPr>
            </w:pPr>
            <w:r w:rsidRPr="00980156">
              <w:rPr>
                <w:rFonts w:hAnsi="標楷體" w:hint="eastAsia"/>
                <w:kern w:val="0"/>
                <w:sz w:val="24"/>
              </w:rPr>
              <w:lastRenderedPageBreak/>
              <w:t xml:space="preserve">行政院環境保護署 110.03.12 </w:t>
            </w:r>
            <w:r w:rsidRPr="00980156">
              <w:rPr>
                <w:rFonts w:hAnsi="標楷體" w:hint="eastAsia"/>
                <w:kern w:val="0"/>
                <w:sz w:val="24"/>
              </w:rPr>
              <w:lastRenderedPageBreak/>
              <w:t>（10-3-3）</w:t>
            </w:r>
          </w:p>
        </w:tc>
        <w:tc>
          <w:tcPr>
            <w:tcW w:w="1701" w:type="dxa"/>
            <w:shd w:val="clear" w:color="auto" w:fill="auto"/>
          </w:tcPr>
          <w:p w14:paraId="3BB6C4A2" w14:textId="77777777" w:rsidR="00EB3514" w:rsidRDefault="00EB3514" w:rsidP="00EC13B7">
            <w:pPr>
              <w:pStyle w:val="01"/>
              <w:spacing w:line="300" w:lineRule="exact"/>
              <w:jc w:val="left"/>
              <w:rPr>
                <w:rFonts w:hAnsi="標楷體"/>
              </w:rPr>
            </w:pPr>
            <w:r w:rsidRPr="00980156">
              <w:rPr>
                <w:rFonts w:hAnsi="標楷體" w:hint="eastAsia"/>
                <w:kern w:val="0"/>
                <w:sz w:val="24"/>
              </w:rPr>
              <w:lastRenderedPageBreak/>
              <w:t>司法及法制、社會福利及衛生環境</w:t>
            </w:r>
          </w:p>
        </w:tc>
        <w:tc>
          <w:tcPr>
            <w:tcW w:w="1984" w:type="dxa"/>
            <w:shd w:val="clear" w:color="auto" w:fill="auto"/>
          </w:tcPr>
          <w:p w14:paraId="6DA25733"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216F01">
              <w:rPr>
                <w:rFonts w:ascii="標楷體" w:eastAsia="標楷體" w:hAnsi="標楷體" w:hint="eastAsia"/>
              </w:rPr>
              <w:t>院會</w:t>
            </w:r>
            <w:r>
              <w:rPr>
                <w:rFonts w:ascii="標楷體" w:eastAsia="標楷體" w:hAnsi="標楷體" w:hint="eastAsia"/>
              </w:rPr>
              <w:t>111.3</w:t>
            </w:r>
            <w:r>
              <w:rPr>
                <w:rFonts w:ascii="標楷體" w:eastAsia="標楷體" w:hAnsi="標楷體"/>
              </w:rPr>
              <w:t>.4</w:t>
            </w:r>
            <w:r w:rsidRPr="00216F01">
              <w:rPr>
                <w:rFonts w:ascii="標楷體" w:eastAsia="標楷體" w:hAnsi="標楷體" w:hint="eastAsia"/>
              </w:rPr>
              <w:t>（</w:t>
            </w:r>
            <w:r>
              <w:rPr>
                <w:rFonts w:ascii="標楷體" w:eastAsia="標楷體" w:hAnsi="標楷體" w:hint="eastAsia"/>
              </w:rPr>
              <w:t>10-5-</w:t>
            </w:r>
            <w:r>
              <w:rPr>
                <w:rFonts w:ascii="標楷體" w:eastAsia="標楷體" w:hAnsi="標楷體"/>
              </w:rPr>
              <w:t>2</w:t>
            </w:r>
            <w:r w:rsidRPr="00216F01">
              <w:rPr>
                <w:rFonts w:ascii="標楷體" w:eastAsia="標楷體" w:hAnsi="標楷體" w:hint="eastAsia"/>
              </w:rPr>
              <w:t>）展延</w:t>
            </w:r>
            <w:r w:rsidRPr="005A1F7C">
              <w:rPr>
                <w:rFonts w:ascii="標楷體" w:eastAsia="標楷體" w:hAnsi="標楷體" w:hint="eastAsia"/>
              </w:rPr>
              <w:t>。</w:t>
            </w:r>
          </w:p>
          <w:p w14:paraId="07F827AE"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lastRenderedPageBreak/>
              <w:t>2</w:t>
            </w:r>
            <w:r>
              <w:rPr>
                <w:rFonts w:ascii="標楷體" w:eastAsia="標楷體" w:hAnsi="標楷體"/>
              </w:rPr>
              <w:t>.</w:t>
            </w:r>
            <w:r w:rsidRPr="005A1F7C">
              <w:rPr>
                <w:rFonts w:ascii="標楷體" w:eastAsia="標楷體" w:hAnsi="標楷體" w:hint="eastAsia"/>
              </w:rPr>
              <w:t>已逾立法院職權行使法第61條所定審查期限，依規定提報院會存查。</w:t>
            </w:r>
          </w:p>
          <w:p w14:paraId="56170445"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rPr>
              <w:t>3</w:t>
            </w:r>
            <w:r w:rsidRPr="005A1F7C">
              <w:rPr>
                <w:rFonts w:ascii="標楷體" w:eastAsia="標楷體" w:hAnsi="標楷體" w:hint="eastAsia"/>
              </w:rPr>
              <w:t>.</w:t>
            </w:r>
            <w:r w:rsidRPr="005B0D4B">
              <w:rPr>
                <w:rFonts w:ascii="標楷體" w:eastAsia="標楷體" w:hAnsi="標楷體" w:hint="eastAsia"/>
              </w:rPr>
              <w:t>院會</w:t>
            </w:r>
            <w:r w:rsidRPr="005B0D4B">
              <w:rPr>
                <w:rFonts w:ascii="標楷體" w:eastAsia="標楷體" w:hAnsi="標楷體"/>
              </w:rPr>
              <w:t>111.</w:t>
            </w:r>
            <w:r w:rsidRPr="005B0D4B">
              <w:rPr>
                <w:rFonts w:ascii="標楷體" w:eastAsia="標楷體" w:hAnsi="標楷體" w:hint="eastAsia"/>
              </w:rPr>
              <w:t>12</w:t>
            </w:r>
            <w:r>
              <w:rPr>
                <w:rFonts w:ascii="標楷體" w:eastAsia="標楷體" w:hAnsi="標楷體"/>
              </w:rPr>
              <w:t>.</w:t>
            </w:r>
            <w:r>
              <w:rPr>
                <w:rFonts w:ascii="標楷體" w:eastAsia="標楷體" w:hAnsi="標楷體" w:hint="eastAsia"/>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-11</w:t>
            </w:r>
            <w:r w:rsidRPr="005B0D4B">
              <w:rPr>
                <w:rFonts w:ascii="標楷體" w:eastAsia="標楷體" w:hAnsi="標楷體"/>
              </w:rPr>
              <w:t>）</w:t>
            </w:r>
            <w:r w:rsidRPr="005B0D4B">
              <w:rPr>
                <w:rFonts w:ascii="標楷體" w:eastAsia="標楷體" w:hAnsi="標楷體" w:hint="eastAsia"/>
              </w:rPr>
              <w:t>准予備查。</w:t>
            </w:r>
          </w:p>
        </w:tc>
      </w:tr>
      <w:tr w:rsidR="00EB3514" w:rsidRPr="005042CE" w14:paraId="6DC365CF" w14:textId="77777777" w:rsidTr="00EC13B7">
        <w:tc>
          <w:tcPr>
            <w:tcW w:w="709" w:type="dxa"/>
            <w:shd w:val="clear" w:color="auto" w:fill="auto"/>
          </w:tcPr>
          <w:p w14:paraId="74CDD4F1"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lastRenderedPageBreak/>
              <w:t>17</w:t>
            </w:r>
          </w:p>
        </w:tc>
        <w:tc>
          <w:tcPr>
            <w:tcW w:w="2648" w:type="dxa"/>
            <w:shd w:val="clear" w:color="auto" w:fill="auto"/>
          </w:tcPr>
          <w:p w14:paraId="176F2654"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司法院函，為修正「司法院人事審議委員會委員遴選辦法」部分條文，請查照案。</w:t>
            </w:r>
          </w:p>
        </w:tc>
        <w:tc>
          <w:tcPr>
            <w:tcW w:w="1747" w:type="dxa"/>
            <w:shd w:val="clear" w:color="auto" w:fill="auto"/>
          </w:tcPr>
          <w:p w14:paraId="1E1E12E6"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110.10.08 （10-4-4）</w:t>
            </w:r>
          </w:p>
        </w:tc>
        <w:tc>
          <w:tcPr>
            <w:tcW w:w="1701" w:type="dxa"/>
            <w:vMerge w:val="restart"/>
            <w:shd w:val="clear" w:color="auto" w:fill="auto"/>
          </w:tcPr>
          <w:p w14:paraId="02C7C5BE" w14:textId="77777777" w:rsidR="00EB3514" w:rsidRDefault="00EB3514" w:rsidP="00EC13B7">
            <w:pPr>
              <w:pStyle w:val="01"/>
              <w:spacing w:line="300" w:lineRule="exact"/>
              <w:jc w:val="left"/>
              <w:rPr>
                <w:rFonts w:hAnsi="標楷體"/>
              </w:rPr>
            </w:pPr>
            <w:r w:rsidRPr="00023A3F">
              <w:rPr>
                <w:rFonts w:hAnsi="標楷體" w:hint="eastAsia"/>
                <w:kern w:val="0"/>
                <w:sz w:val="24"/>
              </w:rPr>
              <w:t>司法及法制</w:t>
            </w:r>
          </w:p>
        </w:tc>
        <w:tc>
          <w:tcPr>
            <w:tcW w:w="1984" w:type="dxa"/>
            <w:vMerge w:val="restart"/>
            <w:shd w:val="clear" w:color="auto" w:fill="auto"/>
          </w:tcPr>
          <w:p w14:paraId="44F9C8BD"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216F01">
              <w:rPr>
                <w:rFonts w:ascii="標楷體" w:eastAsia="標楷體" w:hAnsi="標楷體" w:hint="eastAsia"/>
              </w:rPr>
              <w:t>院會</w:t>
            </w:r>
            <w:r>
              <w:rPr>
                <w:rFonts w:ascii="標楷體" w:eastAsia="標楷體" w:hAnsi="標楷體" w:hint="eastAsia"/>
              </w:rPr>
              <w:t>111.9</w:t>
            </w:r>
            <w:r>
              <w:rPr>
                <w:rFonts w:ascii="標楷體" w:eastAsia="標楷體" w:hAnsi="標楷體"/>
              </w:rPr>
              <w:t>.</w:t>
            </w:r>
            <w:r>
              <w:rPr>
                <w:rFonts w:ascii="標楷體" w:eastAsia="標楷體" w:hAnsi="標楷體" w:hint="eastAsia"/>
              </w:rPr>
              <w:t>23</w:t>
            </w:r>
            <w:r w:rsidRPr="00216F01">
              <w:rPr>
                <w:rFonts w:ascii="標楷體" w:eastAsia="標楷體" w:hAnsi="標楷體" w:hint="eastAsia"/>
              </w:rPr>
              <w:t>（</w:t>
            </w:r>
            <w:r>
              <w:rPr>
                <w:rFonts w:ascii="標楷體" w:eastAsia="標楷體" w:hAnsi="標楷體" w:hint="eastAsia"/>
              </w:rPr>
              <w:t>10-6-1</w:t>
            </w:r>
            <w:r w:rsidRPr="00216F01">
              <w:rPr>
                <w:rFonts w:ascii="標楷體" w:eastAsia="標楷體" w:hAnsi="標楷體" w:hint="eastAsia"/>
              </w:rPr>
              <w:t>）展延</w:t>
            </w:r>
            <w:r>
              <w:rPr>
                <w:rFonts w:ascii="標楷體" w:eastAsia="標楷體" w:hAnsi="標楷體" w:hint="eastAsia"/>
              </w:rPr>
              <w:t>。</w:t>
            </w:r>
          </w:p>
          <w:p w14:paraId="3D96D5C7"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Pr="005A1F7C">
              <w:rPr>
                <w:rFonts w:ascii="標楷體" w:eastAsia="標楷體" w:hAnsi="標楷體" w:hint="eastAsia"/>
              </w:rPr>
              <w:t>已逾立法院職權行使法第61條所定審查期限，依規定提報院會存查。</w:t>
            </w:r>
          </w:p>
          <w:p w14:paraId="5E93F8FA"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rPr>
              <w:t>3</w:t>
            </w:r>
            <w:r w:rsidRPr="005A1F7C">
              <w:rPr>
                <w:rFonts w:ascii="標楷體" w:eastAsia="標楷體" w:hAnsi="標楷體" w:hint="eastAsia"/>
              </w:rPr>
              <w:t>.</w:t>
            </w:r>
            <w:r w:rsidRPr="005B0D4B">
              <w:rPr>
                <w:rFonts w:ascii="標楷體" w:eastAsia="標楷體" w:hAnsi="標楷體" w:hint="eastAsia"/>
              </w:rPr>
              <w:t>院會</w:t>
            </w:r>
            <w:r>
              <w:rPr>
                <w:rFonts w:ascii="標楷體" w:eastAsia="標楷體" w:hAnsi="標楷體"/>
              </w:rPr>
              <w:t>11</w:t>
            </w:r>
            <w:r>
              <w:rPr>
                <w:rFonts w:ascii="標楷體" w:eastAsia="標楷體" w:hAnsi="標楷體" w:hint="eastAsia"/>
              </w:rPr>
              <w:t>2</w:t>
            </w:r>
            <w:r w:rsidRPr="005B0D4B">
              <w:rPr>
                <w:rFonts w:ascii="標楷體" w:eastAsia="標楷體" w:hAnsi="標楷體"/>
              </w:rPr>
              <w:t>.</w:t>
            </w:r>
            <w:r>
              <w:rPr>
                <w:rFonts w:ascii="標楷體" w:eastAsia="標楷體" w:hAnsi="標楷體" w:hint="eastAsia"/>
              </w:rPr>
              <w:t>1</w:t>
            </w:r>
            <w:r>
              <w:rPr>
                <w:rFonts w:ascii="標楷體" w:eastAsia="標楷體" w:hAnsi="標楷體"/>
              </w:rPr>
              <w:t>.</w:t>
            </w:r>
            <w:r>
              <w:rPr>
                <w:rFonts w:ascii="標楷體" w:eastAsia="標楷體" w:hAnsi="標楷體" w:hint="eastAsia"/>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-15</w:t>
            </w:r>
            <w:r w:rsidRPr="005B0D4B">
              <w:rPr>
                <w:rFonts w:ascii="標楷體" w:eastAsia="標楷體" w:hAnsi="標楷體"/>
              </w:rPr>
              <w:t>）</w:t>
            </w:r>
            <w:r w:rsidRPr="005B0D4B">
              <w:rPr>
                <w:rFonts w:ascii="標楷體" w:eastAsia="標楷體" w:hAnsi="標楷體" w:hint="eastAsia"/>
              </w:rPr>
              <w:t>准予備查。</w:t>
            </w:r>
          </w:p>
        </w:tc>
      </w:tr>
      <w:tr w:rsidR="00EB3514" w:rsidRPr="005042CE" w14:paraId="72F65B15" w14:textId="77777777" w:rsidTr="00EC13B7">
        <w:tc>
          <w:tcPr>
            <w:tcW w:w="709" w:type="dxa"/>
            <w:shd w:val="clear" w:color="auto" w:fill="auto"/>
          </w:tcPr>
          <w:p w14:paraId="7C25B1FA"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18</w:t>
            </w:r>
          </w:p>
        </w:tc>
        <w:tc>
          <w:tcPr>
            <w:tcW w:w="2648" w:type="dxa"/>
            <w:shd w:val="clear" w:color="auto" w:fill="auto"/>
          </w:tcPr>
          <w:p w14:paraId="4D29C6B8"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司法院、行政院函送「傳染病流行疫情嚴重期間司法程序特別條例之傳染病流行疫情嚴重期間及施行地區」，請查照案。</w:t>
            </w:r>
          </w:p>
        </w:tc>
        <w:tc>
          <w:tcPr>
            <w:tcW w:w="1747" w:type="dxa"/>
            <w:shd w:val="clear" w:color="auto" w:fill="auto"/>
          </w:tcPr>
          <w:p w14:paraId="56B96745" w14:textId="77777777" w:rsidR="00EB3514" w:rsidRPr="00023A3F" w:rsidRDefault="00EB3514" w:rsidP="00EC13B7">
            <w:pPr>
              <w:pStyle w:val="01"/>
              <w:spacing w:line="300" w:lineRule="exact"/>
              <w:jc w:val="left"/>
              <w:rPr>
                <w:rFonts w:hAnsi="標楷體"/>
                <w:kern w:val="0"/>
                <w:sz w:val="24"/>
              </w:rPr>
            </w:pPr>
            <w:r w:rsidRPr="00992D0C">
              <w:rPr>
                <w:rFonts w:hAnsi="標楷體" w:hint="eastAsia"/>
                <w:spacing w:val="-20"/>
                <w:kern w:val="0"/>
                <w:sz w:val="24"/>
              </w:rPr>
              <w:t>司法院、行政院</w:t>
            </w:r>
            <w:r w:rsidRPr="00023A3F">
              <w:rPr>
                <w:rFonts w:hAnsi="標楷體" w:hint="eastAsia"/>
                <w:kern w:val="0"/>
                <w:sz w:val="24"/>
              </w:rPr>
              <w:t xml:space="preserve"> 110.11.26 （10-4-11）</w:t>
            </w:r>
          </w:p>
        </w:tc>
        <w:tc>
          <w:tcPr>
            <w:tcW w:w="1701" w:type="dxa"/>
            <w:vMerge/>
            <w:shd w:val="clear" w:color="auto" w:fill="auto"/>
          </w:tcPr>
          <w:p w14:paraId="21BBA786" w14:textId="77777777" w:rsidR="00EB3514" w:rsidRDefault="00EB3514" w:rsidP="00EC13B7">
            <w:pPr>
              <w:rPr>
                <w:rFonts w:ascii="標楷體" w:hAnsi="標楷體"/>
              </w:rPr>
            </w:pPr>
          </w:p>
        </w:tc>
        <w:tc>
          <w:tcPr>
            <w:tcW w:w="1984" w:type="dxa"/>
            <w:vMerge/>
            <w:shd w:val="clear" w:color="auto" w:fill="auto"/>
          </w:tcPr>
          <w:p w14:paraId="371670E9" w14:textId="77777777" w:rsidR="00EB3514" w:rsidRDefault="00EB3514" w:rsidP="00EC13B7">
            <w:pPr>
              <w:rPr>
                <w:rFonts w:ascii="標楷體" w:hAnsi="標楷體"/>
              </w:rPr>
            </w:pPr>
          </w:p>
        </w:tc>
      </w:tr>
      <w:tr w:rsidR="00EB3514" w:rsidRPr="005042CE" w14:paraId="0667DB92" w14:textId="77777777" w:rsidTr="00EC13B7">
        <w:tc>
          <w:tcPr>
            <w:tcW w:w="709" w:type="dxa"/>
            <w:shd w:val="clear" w:color="auto" w:fill="auto"/>
          </w:tcPr>
          <w:p w14:paraId="7011168F"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19</w:t>
            </w:r>
          </w:p>
        </w:tc>
        <w:tc>
          <w:tcPr>
            <w:tcW w:w="2648" w:type="dxa"/>
            <w:shd w:val="clear" w:color="auto" w:fill="auto"/>
          </w:tcPr>
          <w:p w14:paraId="5A9B555F"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司法院函送「司法事務官甄審及訓練辦法」，請查照案。</w:t>
            </w:r>
          </w:p>
        </w:tc>
        <w:tc>
          <w:tcPr>
            <w:tcW w:w="1747" w:type="dxa"/>
            <w:shd w:val="clear" w:color="auto" w:fill="auto"/>
          </w:tcPr>
          <w:p w14:paraId="14270D3C"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3933639B" w14:textId="77777777" w:rsidR="00EB3514" w:rsidRDefault="00EB3514" w:rsidP="00EC13B7">
            <w:pPr>
              <w:rPr>
                <w:rFonts w:ascii="標楷體" w:hAnsi="標楷體"/>
              </w:rPr>
            </w:pPr>
          </w:p>
        </w:tc>
        <w:tc>
          <w:tcPr>
            <w:tcW w:w="1984" w:type="dxa"/>
            <w:vMerge/>
            <w:shd w:val="clear" w:color="auto" w:fill="auto"/>
          </w:tcPr>
          <w:p w14:paraId="0380FC9E"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3D15C671" w14:textId="77777777" w:rsidTr="00EC13B7">
        <w:tc>
          <w:tcPr>
            <w:tcW w:w="709" w:type="dxa"/>
            <w:shd w:val="clear" w:color="auto" w:fill="auto"/>
          </w:tcPr>
          <w:p w14:paraId="595F1CEB"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20</w:t>
            </w:r>
          </w:p>
        </w:tc>
        <w:tc>
          <w:tcPr>
            <w:tcW w:w="2648" w:type="dxa"/>
            <w:shd w:val="clear" w:color="auto" w:fill="auto"/>
          </w:tcPr>
          <w:p w14:paraId="30E55C02"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司法院函，為修正「法院特約通譯約聘辦法」，請查照案。</w:t>
            </w:r>
          </w:p>
        </w:tc>
        <w:tc>
          <w:tcPr>
            <w:tcW w:w="1747" w:type="dxa"/>
            <w:shd w:val="clear" w:color="auto" w:fill="auto"/>
          </w:tcPr>
          <w:p w14:paraId="6A077D22"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3C587B56" w14:textId="77777777" w:rsidR="00EB3514" w:rsidRDefault="00EB3514" w:rsidP="00EC13B7">
            <w:pPr>
              <w:rPr>
                <w:rFonts w:ascii="標楷體" w:hAnsi="標楷體"/>
              </w:rPr>
            </w:pPr>
          </w:p>
        </w:tc>
        <w:tc>
          <w:tcPr>
            <w:tcW w:w="1984" w:type="dxa"/>
            <w:vMerge/>
            <w:shd w:val="clear" w:color="auto" w:fill="auto"/>
          </w:tcPr>
          <w:p w14:paraId="298060FE"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65438D82" w14:textId="77777777" w:rsidTr="00EC13B7">
        <w:tc>
          <w:tcPr>
            <w:tcW w:w="709" w:type="dxa"/>
            <w:shd w:val="clear" w:color="auto" w:fill="auto"/>
          </w:tcPr>
          <w:p w14:paraId="076AB28C"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21</w:t>
            </w:r>
          </w:p>
        </w:tc>
        <w:tc>
          <w:tcPr>
            <w:tcW w:w="2648" w:type="dxa"/>
            <w:shd w:val="clear" w:color="auto" w:fill="auto"/>
          </w:tcPr>
          <w:p w14:paraId="23506201"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司法院函送「國民參與審判制度概要說明書及候選國民法官調查表應記載事項準則」，請查照案。</w:t>
            </w:r>
          </w:p>
        </w:tc>
        <w:tc>
          <w:tcPr>
            <w:tcW w:w="1747" w:type="dxa"/>
            <w:shd w:val="clear" w:color="auto" w:fill="auto"/>
          </w:tcPr>
          <w:p w14:paraId="5DCC7C3B"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08C6C24C" w14:textId="77777777" w:rsidR="00EB3514" w:rsidRDefault="00EB3514" w:rsidP="00EC13B7">
            <w:pPr>
              <w:rPr>
                <w:rFonts w:ascii="標楷體" w:hAnsi="標楷體"/>
              </w:rPr>
            </w:pPr>
          </w:p>
        </w:tc>
        <w:tc>
          <w:tcPr>
            <w:tcW w:w="1984" w:type="dxa"/>
            <w:vMerge/>
            <w:shd w:val="clear" w:color="auto" w:fill="auto"/>
          </w:tcPr>
          <w:p w14:paraId="4C188F70"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50F9A24F" w14:textId="77777777" w:rsidTr="00EC13B7">
        <w:tc>
          <w:tcPr>
            <w:tcW w:w="709" w:type="dxa"/>
            <w:shd w:val="clear" w:color="auto" w:fill="auto"/>
          </w:tcPr>
          <w:p w14:paraId="6B989B8D"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22</w:t>
            </w:r>
          </w:p>
        </w:tc>
        <w:tc>
          <w:tcPr>
            <w:tcW w:w="2648" w:type="dxa"/>
            <w:shd w:val="clear" w:color="auto" w:fill="auto"/>
          </w:tcPr>
          <w:p w14:paraId="58945C91"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考試院函，為修正「公務人員高等考試三級考試暨普通考試規則」第三條、第七條、第十二條條文及第二條附表一、第四條附表三、附表四，請查照案。</w:t>
            </w:r>
          </w:p>
        </w:tc>
        <w:tc>
          <w:tcPr>
            <w:tcW w:w="1747" w:type="dxa"/>
            <w:shd w:val="clear" w:color="auto" w:fill="auto"/>
          </w:tcPr>
          <w:p w14:paraId="4EB019B1"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考試院 110.12.17 （10-4-14）</w:t>
            </w:r>
          </w:p>
        </w:tc>
        <w:tc>
          <w:tcPr>
            <w:tcW w:w="1701" w:type="dxa"/>
            <w:vMerge/>
            <w:shd w:val="clear" w:color="auto" w:fill="auto"/>
          </w:tcPr>
          <w:p w14:paraId="54D66E2C" w14:textId="77777777" w:rsidR="00EB3514" w:rsidRDefault="00EB3514" w:rsidP="00EC13B7">
            <w:pPr>
              <w:rPr>
                <w:rFonts w:ascii="標楷體" w:hAnsi="標楷體"/>
              </w:rPr>
            </w:pPr>
          </w:p>
        </w:tc>
        <w:tc>
          <w:tcPr>
            <w:tcW w:w="1984" w:type="dxa"/>
            <w:vMerge/>
            <w:shd w:val="clear" w:color="auto" w:fill="auto"/>
          </w:tcPr>
          <w:p w14:paraId="414D63C7"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778554DD" w14:textId="77777777" w:rsidTr="00EC13B7">
        <w:tc>
          <w:tcPr>
            <w:tcW w:w="709" w:type="dxa"/>
            <w:shd w:val="clear" w:color="auto" w:fill="auto"/>
          </w:tcPr>
          <w:p w14:paraId="13D48273"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23</w:t>
            </w:r>
          </w:p>
        </w:tc>
        <w:tc>
          <w:tcPr>
            <w:tcW w:w="2648" w:type="dxa"/>
            <w:shd w:val="clear" w:color="auto" w:fill="auto"/>
          </w:tcPr>
          <w:p w14:paraId="5A9D2FC5"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司法院函送「智慧財產及商業法院辦理商業事件期限規則」，請查照案。</w:t>
            </w:r>
          </w:p>
        </w:tc>
        <w:tc>
          <w:tcPr>
            <w:tcW w:w="1747" w:type="dxa"/>
            <w:shd w:val="clear" w:color="auto" w:fill="auto"/>
          </w:tcPr>
          <w:p w14:paraId="5B3E8908"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091BEA66" w14:textId="77777777" w:rsidR="00EB3514" w:rsidRDefault="00EB3514" w:rsidP="00EC13B7">
            <w:pPr>
              <w:rPr>
                <w:rFonts w:ascii="標楷體" w:hAnsi="標楷體"/>
              </w:rPr>
            </w:pPr>
          </w:p>
        </w:tc>
        <w:tc>
          <w:tcPr>
            <w:tcW w:w="1984" w:type="dxa"/>
            <w:vMerge/>
            <w:shd w:val="clear" w:color="auto" w:fill="auto"/>
          </w:tcPr>
          <w:p w14:paraId="0EFC1383"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03EE008E" w14:textId="77777777" w:rsidTr="00EC13B7">
        <w:tc>
          <w:tcPr>
            <w:tcW w:w="709" w:type="dxa"/>
            <w:shd w:val="clear" w:color="auto" w:fill="auto"/>
          </w:tcPr>
          <w:p w14:paraId="51159F0A"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24</w:t>
            </w:r>
          </w:p>
        </w:tc>
        <w:tc>
          <w:tcPr>
            <w:tcW w:w="2648" w:type="dxa"/>
            <w:shd w:val="clear" w:color="auto" w:fill="auto"/>
          </w:tcPr>
          <w:p w14:paraId="45832D1B"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司法院函，為修正「司法院大法官審理案件法施行細則」部分條文，請查照案。</w:t>
            </w:r>
          </w:p>
        </w:tc>
        <w:tc>
          <w:tcPr>
            <w:tcW w:w="1747" w:type="dxa"/>
            <w:shd w:val="clear" w:color="auto" w:fill="auto"/>
          </w:tcPr>
          <w:p w14:paraId="546642EB"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7222109A" w14:textId="77777777" w:rsidR="00EB3514" w:rsidRDefault="00EB3514" w:rsidP="00EC13B7">
            <w:pPr>
              <w:rPr>
                <w:rFonts w:ascii="標楷體" w:hAnsi="標楷體"/>
              </w:rPr>
            </w:pPr>
          </w:p>
        </w:tc>
        <w:tc>
          <w:tcPr>
            <w:tcW w:w="1984" w:type="dxa"/>
            <w:vMerge/>
            <w:shd w:val="clear" w:color="auto" w:fill="auto"/>
          </w:tcPr>
          <w:p w14:paraId="1FE3DEFB"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2EF98324" w14:textId="77777777" w:rsidTr="00EC13B7">
        <w:tc>
          <w:tcPr>
            <w:tcW w:w="709" w:type="dxa"/>
            <w:shd w:val="clear" w:color="auto" w:fill="auto"/>
          </w:tcPr>
          <w:p w14:paraId="5C97F1FE"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25</w:t>
            </w:r>
          </w:p>
        </w:tc>
        <w:tc>
          <w:tcPr>
            <w:tcW w:w="2648" w:type="dxa"/>
            <w:shd w:val="clear" w:color="auto" w:fill="auto"/>
          </w:tcPr>
          <w:p w14:paraId="4C2B9622"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司法院函送「憲法法庭審理規則」，請查照案。</w:t>
            </w:r>
          </w:p>
        </w:tc>
        <w:tc>
          <w:tcPr>
            <w:tcW w:w="1747" w:type="dxa"/>
            <w:shd w:val="clear" w:color="auto" w:fill="auto"/>
          </w:tcPr>
          <w:p w14:paraId="3F2B6FAB"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0067BA62" w14:textId="77777777" w:rsidR="00EB3514" w:rsidRDefault="00EB3514" w:rsidP="00EC13B7">
            <w:pPr>
              <w:rPr>
                <w:rFonts w:ascii="標楷體" w:hAnsi="標楷體"/>
              </w:rPr>
            </w:pPr>
          </w:p>
        </w:tc>
        <w:tc>
          <w:tcPr>
            <w:tcW w:w="1984" w:type="dxa"/>
            <w:vMerge/>
            <w:shd w:val="clear" w:color="auto" w:fill="auto"/>
          </w:tcPr>
          <w:p w14:paraId="2665EB1D"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5F089F17" w14:textId="77777777" w:rsidTr="00EC13B7">
        <w:tc>
          <w:tcPr>
            <w:tcW w:w="709" w:type="dxa"/>
            <w:shd w:val="clear" w:color="auto" w:fill="auto"/>
          </w:tcPr>
          <w:p w14:paraId="3528C882"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26</w:t>
            </w:r>
          </w:p>
        </w:tc>
        <w:tc>
          <w:tcPr>
            <w:tcW w:w="2648" w:type="dxa"/>
            <w:shd w:val="clear" w:color="auto" w:fill="auto"/>
          </w:tcPr>
          <w:p w14:paraId="78A0E130"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司法院函送「憲法訴訟案件書狀及卷內文書公開辦法」，請查照案。</w:t>
            </w:r>
          </w:p>
        </w:tc>
        <w:tc>
          <w:tcPr>
            <w:tcW w:w="1747" w:type="dxa"/>
            <w:shd w:val="clear" w:color="auto" w:fill="auto"/>
          </w:tcPr>
          <w:p w14:paraId="4EEBF6F5"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4D6DED0B" w14:textId="77777777" w:rsidR="00EB3514" w:rsidRDefault="00EB3514" w:rsidP="00EC13B7">
            <w:pPr>
              <w:rPr>
                <w:rFonts w:ascii="標楷體" w:hAnsi="標楷體"/>
              </w:rPr>
            </w:pPr>
          </w:p>
        </w:tc>
        <w:tc>
          <w:tcPr>
            <w:tcW w:w="1984" w:type="dxa"/>
            <w:vMerge/>
            <w:shd w:val="clear" w:color="auto" w:fill="auto"/>
          </w:tcPr>
          <w:p w14:paraId="0D2BA93F"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26A382E7" w14:textId="77777777" w:rsidTr="00EC13B7">
        <w:tc>
          <w:tcPr>
            <w:tcW w:w="709" w:type="dxa"/>
            <w:shd w:val="clear" w:color="auto" w:fill="auto"/>
          </w:tcPr>
          <w:p w14:paraId="68CC20F3"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27</w:t>
            </w:r>
          </w:p>
        </w:tc>
        <w:tc>
          <w:tcPr>
            <w:tcW w:w="2648" w:type="dxa"/>
            <w:shd w:val="clear" w:color="auto" w:fill="auto"/>
          </w:tcPr>
          <w:p w14:paraId="7A19042F"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司法院函送「司法院主管法律扶助財團法人誠</w:t>
            </w:r>
            <w:r w:rsidRPr="0015453C">
              <w:rPr>
                <w:rFonts w:hAnsi="標楷體" w:hint="eastAsia"/>
                <w:kern w:val="0"/>
                <w:sz w:val="24"/>
              </w:rPr>
              <w:lastRenderedPageBreak/>
              <w:t>信經營指導原則」，請查照案。</w:t>
            </w:r>
          </w:p>
        </w:tc>
        <w:tc>
          <w:tcPr>
            <w:tcW w:w="1747" w:type="dxa"/>
            <w:shd w:val="clear" w:color="auto" w:fill="auto"/>
          </w:tcPr>
          <w:p w14:paraId="2CC26D38"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lastRenderedPageBreak/>
              <w:t xml:space="preserve">司法院 110.12.17 </w:t>
            </w:r>
            <w:r w:rsidRPr="00023A3F">
              <w:rPr>
                <w:rFonts w:hAnsi="標楷體" w:hint="eastAsia"/>
                <w:kern w:val="0"/>
                <w:sz w:val="24"/>
              </w:rPr>
              <w:lastRenderedPageBreak/>
              <w:t>（10-4-14）</w:t>
            </w:r>
          </w:p>
        </w:tc>
        <w:tc>
          <w:tcPr>
            <w:tcW w:w="1701" w:type="dxa"/>
            <w:vMerge/>
            <w:shd w:val="clear" w:color="auto" w:fill="auto"/>
          </w:tcPr>
          <w:p w14:paraId="39E4D7C8" w14:textId="77777777" w:rsidR="00EB3514" w:rsidRDefault="00EB3514" w:rsidP="00EC13B7">
            <w:pPr>
              <w:rPr>
                <w:rFonts w:ascii="標楷體" w:hAnsi="標楷體"/>
              </w:rPr>
            </w:pPr>
          </w:p>
        </w:tc>
        <w:tc>
          <w:tcPr>
            <w:tcW w:w="1984" w:type="dxa"/>
            <w:vMerge/>
            <w:shd w:val="clear" w:color="auto" w:fill="auto"/>
          </w:tcPr>
          <w:p w14:paraId="1B36F6B7"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2FC6CF3D" w14:textId="77777777" w:rsidTr="00EC13B7">
        <w:tc>
          <w:tcPr>
            <w:tcW w:w="709" w:type="dxa"/>
            <w:shd w:val="clear" w:color="auto" w:fill="auto"/>
          </w:tcPr>
          <w:p w14:paraId="69E1A923"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lastRenderedPageBreak/>
              <w:t>28</w:t>
            </w:r>
          </w:p>
        </w:tc>
        <w:tc>
          <w:tcPr>
            <w:tcW w:w="2648" w:type="dxa"/>
            <w:shd w:val="clear" w:color="auto" w:fill="auto"/>
          </w:tcPr>
          <w:p w14:paraId="1122A006"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司法院、考試院函，為修正「法官遷調改任辦法」，請查照案。</w:t>
            </w:r>
          </w:p>
        </w:tc>
        <w:tc>
          <w:tcPr>
            <w:tcW w:w="1747" w:type="dxa"/>
            <w:shd w:val="clear" w:color="auto" w:fill="auto"/>
          </w:tcPr>
          <w:p w14:paraId="7861C6C4" w14:textId="77777777" w:rsidR="00EB3514" w:rsidRPr="00023A3F" w:rsidRDefault="00EB3514" w:rsidP="00EC13B7">
            <w:pPr>
              <w:pStyle w:val="01"/>
              <w:spacing w:line="300" w:lineRule="exact"/>
              <w:jc w:val="left"/>
              <w:rPr>
                <w:rFonts w:hAnsi="標楷體"/>
                <w:kern w:val="0"/>
                <w:sz w:val="24"/>
              </w:rPr>
            </w:pPr>
            <w:r w:rsidRPr="00992D0C">
              <w:rPr>
                <w:rFonts w:hAnsi="標楷體" w:hint="eastAsia"/>
                <w:spacing w:val="-20"/>
                <w:kern w:val="0"/>
                <w:sz w:val="24"/>
              </w:rPr>
              <w:t>司法院、考試院</w:t>
            </w:r>
            <w:r w:rsidRPr="00023A3F">
              <w:rPr>
                <w:rFonts w:hAnsi="標楷體" w:hint="eastAsia"/>
                <w:kern w:val="0"/>
                <w:sz w:val="24"/>
              </w:rPr>
              <w:t xml:space="preserve"> 110.12.17 （10-4-14）</w:t>
            </w:r>
          </w:p>
        </w:tc>
        <w:tc>
          <w:tcPr>
            <w:tcW w:w="1701" w:type="dxa"/>
            <w:vMerge/>
            <w:shd w:val="clear" w:color="auto" w:fill="auto"/>
          </w:tcPr>
          <w:p w14:paraId="5A133D12" w14:textId="77777777" w:rsidR="00EB3514" w:rsidRDefault="00EB3514" w:rsidP="00EC13B7">
            <w:pPr>
              <w:rPr>
                <w:rFonts w:ascii="標楷體" w:hAnsi="標楷體"/>
              </w:rPr>
            </w:pPr>
          </w:p>
        </w:tc>
        <w:tc>
          <w:tcPr>
            <w:tcW w:w="1984" w:type="dxa"/>
            <w:vMerge/>
            <w:shd w:val="clear" w:color="auto" w:fill="auto"/>
          </w:tcPr>
          <w:p w14:paraId="2F1ABCB9"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5F793A1F" w14:textId="77777777" w:rsidTr="00EC13B7">
        <w:tc>
          <w:tcPr>
            <w:tcW w:w="709" w:type="dxa"/>
            <w:shd w:val="clear" w:color="auto" w:fill="auto"/>
          </w:tcPr>
          <w:p w14:paraId="79091C51"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29</w:t>
            </w:r>
          </w:p>
        </w:tc>
        <w:tc>
          <w:tcPr>
            <w:tcW w:w="2648" w:type="dxa"/>
            <w:shd w:val="clear" w:color="auto" w:fill="auto"/>
          </w:tcPr>
          <w:p w14:paraId="6D90425D"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法務部函，為修正「法務部處務規程」部分條文，請查照案。</w:t>
            </w:r>
          </w:p>
        </w:tc>
        <w:tc>
          <w:tcPr>
            <w:tcW w:w="1747" w:type="dxa"/>
            <w:shd w:val="clear" w:color="auto" w:fill="auto"/>
          </w:tcPr>
          <w:p w14:paraId="524EDC33"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法務部 110.12.17 （10-4-14）</w:t>
            </w:r>
          </w:p>
        </w:tc>
        <w:tc>
          <w:tcPr>
            <w:tcW w:w="1701" w:type="dxa"/>
            <w:vMerge/>
            <w:shd w:val="clear" w:color="auto" w:fill="auto"/>
          </w:tcPr>
          <w:p w14:paraId="36627874" w14:textId="77777777" w:rsidR="00EB3514" w:rsidRDefault="00EB3514" w:rsidP="00EC13B7">
            <w:pPr>
              <w:rPr>
                <w:rFonts w:ascii="標楷體" w:hAnsi="標楷體"/>
              </w:rPr>
            </w:pPr>
          </w:p>
        </w:tc>
        <w:tc>
          <w:tcPr>
            <w:tcW w:w="1984" w:type="dxa"/>
            <w:vMerge/>
            <w:shd w:val="clear" w:color="auto" w:fill="auto"/>
          </w:tcPr>
          <w:p w14:paraId="7AB3D181"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34FBFE71" w14:textId="77777777" w:rsidTr="00EC13B7">
        <w:tc>
          <w:tcPr>
            <w:tcW w:w="709" w:type="dxa"/>
            <w:shd w:val="clear" w:color="auto" w:fill="auto"/>
          </w:tcPr>
          <w:p w14:paraId="48B7A5A2"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30</w:t>
            </w:r>
          </w:p>
        </w:tc>
        <w:tc>
          <w:tcPr>
            <w:tcW w:w="2648" w:type="dxa"/>
            <w:shd w:val="clear" w:color="auto" w:fill="auto"/>
          </w:tcPr>
          <w:p w14:paraId="485A00AF"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法務部函，為修正「法務部編制表」，請查照案。</w:t>
            </w:r>
          </w:p>
        </w:tc>
        <w:tc>
          <w:tcPr>
            <w:tcW w:w="1747" w:type="dxa"/>
            <w:shd w:val="clear" w:color="auto" w:fill="auto"/>
          </w:tcPr>
          <w:p w14:paraId="3FD90254"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法務部 110.12.17 （10-4-14）</w:t>
            </w:r>
          </w:p>
        </w:tc>
        <w:tc>
          <w:tcPr>
            <w:tcW w:w="1701" w:type="dxa"/>
            <w:vMerge/>
            <w:shd w:val="clear" w:color="auto" w:fill="auto"/>
          </w:tcPr>
          <w:p w14:paraId="033B38AC" w14:textId="77777777" w:rsidR="00EB3514" w:rsidRDefault="00EB3514" w:rsidP="00EC13B7">
            <w:pPr>
              <w:rPr>
                <w:rFonts w:ascii="標楷體" w:hAnsi="標楷體"/>
              </w:rPr>
            </w:pPr>
          </w:p>
        </w:tc>
        <w:tc>
          <w:tcPr>
            <w:tcW w:w="1984" w:type="dxa"/>
            <w:vMerge/>
            <w:shd w:val="clear" w:color="auto" w:fill="auto"/>
          </w:tcPr>
          <w:p w14:paraId="11F9BE08"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2094BF31" w14:textId="77777777" w:rsidTr="00EC13B7">
        <w:tc>
          <w:tcPr>
            <w:tcW w:w="709" w:type="dxa"/>
            <w:shd w:val="clear" w:color="auto" w:fill="auto"/>
          </w:tcPr>
          <w:p w14:paraId="425D151C"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31</w:t>
            </w:r>
          </w:p>
        </w:tc>
        <w:tc>
          <w:tcPr>
            <w:tcW w:w="2648" w:type="dxa"/>
            <w:shd w:val="clear" w:color="auto" w:fill="auto"/>
          </w:tcPr>
          <w:p w14:paraId="07FFA7C5"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監察院函，為修正「監察院訴願審議委員會組織規程」第二條及第五條條文，請查照案。</w:t>
            </w:r>
          </w:p>
        </w:tc>
        <w:tc>
          <w:tcPr>
            <w:tcW w:w="1747" w:type="dxa"/>
            <w:shd w:val="clear" w:color="auto" w:fill="auto"/>
          </w:tcPr>
          <w:p w14:paraId="75D3E6D0"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監察院 110.12.17 （10-4-14）</w:t>
            </w:r>
          </w:p>
        </w:tc>
        <w:tc>
          <w:tcPr>
            <w:tcW w:w="1701" w:type="dxa"/>
            <w:vMerge/>
            <w:shd w:val="clear" w:color="auto" w:fill="auto"/>
          </w:tcPr>
          <w:p w14:paraId="5D4AA6E2" w14:textId="77777777" w:rsidR="00EB3514" w:rsidRDefault="00EB3514" w:rsidP="00EC13B7">
            <w:pPr>
              <w:rPr>
                <w:rFonts w:ascii="標楷體" w:hAnsi="標楷體"/>
              </w:rPr>
            </w:pPr>
          </w:p>
        </w:tc>
        <w:tc>
          <w:tcPr>
            <w:tcW w:w="1984" w:type="dxa"/>
            <w:vMerge/>
            <w:shd w:val="clear" w:color="auto" w:fill="auto"/>
          </w:tcPr>
          <w:p w14:paraId="13F1068B"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4788708F" w14:textId="77777777" w:rsidTr="00EC13B7">
        <w:tc>
          <w:tcPr>
            <w:tcW w:w="709" w:type="dxa"/>
            <w:shd w:val="clear" w:color="auto" w:fill="auto"/>
          </w:tcPr>
          <w:p w14:paraId="0577733A"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32</w:t>
            </w:r>
          </w:p>
        </w:tc>
        <w:tc>
          <w:tcPr>
            <w:tcW w:w="2648" w:type="dxa"/>
            <w:shd w:val="clear" w:color="auto" w:fill="auto"/>
          </w:tcPr>
          <w:p w14:paraId="528C22EE"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監察院函，為修正「監察院監察委員紀律委員會設置辦法」第三條、第四條及第九條條文，請查照案。</w:t>
            </w:r>
          </w:p>
        </w:tc>
        <w:tc>
          <w:tcPr>
            <w:tcW w:w="1747" w:type="dxa"/>
            <w:shd w:val="clear" w:color="auto" w:fill="auto"/>
          </w:tcPr>
          <w:p w14:paraId="6524DA67"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監察院 110.12.17 （10-4-14）</w:t>
            </w:r>
          </w:p>
        </w:tc>
        <w:tc>
          <w:tcPr>
            <w:tcW w:w="1701" w:type="dxa"/>
            <w:vMerge/>
            <w:shd w:val="clear" w:color="auto" w:fill="auto"/>
          </w:tcPr>
          <w:p w14:paraId="51DB885E" w14:textId="77777777" w:rsidR="00EB3514" w:rsidRDefault="00EB3514" w:rsidP="00EC13B7">
            <w:pPr>
              <w:rPr>
                <w:rFonts w:ascii="標楷體" w:hAnsi="標楷體"/>
              </w:rPr>
            </w:pPr>
          </w:p>
        </w:tc>
        <w:tc>
          <w:tcPr>
            <w:tcW w:w="1984" w:type="dxa"/>
            <w:vMerge/>
            <w:shd w:val="clear" w:color="auto" w:fill="auto"/>
          </w:tcPr>
          <w:p w14:paraId="6E0B6E04"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18860F8E" w14:textId="77777777" w:rsidTr="00EC13B7">
        <w:tc>
          <w:tcPr>
            <w:tcW w:w="709" w:type="dxa"/>
            <w:shd w:val="clear" w:color="auto" w:fill="auto"/>
          </w:tcPr>
          <w:p w14:paraId="5853075F"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33</w:t>
            </w:r>
          </w:p>
        </w:tc>
        <w:tc>
          <w:tcPr>
            <w:tcW w:w="2648" w:type="dxa"/>
            <w:shd w:val="clear" w:color="auto" w:fill="auto"/>
          </w:tcPr>
          <w:p w14:paraId="044EB729" w14:textId="77777777" w:rsidR="00EB3514" w:rsidRPr="0015453C" w:rsidRDefault="00EB3514" w:rsidP="00EC13B7">
            <w:pPr>
              <w:pStyle w:val="01"/>
              <w:spacing w:line="260" w:lineRule="exact"/>
              <w:rPr>
                <w:rFonts w:hAnsi="標楷體"/>
                <w:kern w:val="0"/>
                <w:sz w:val="24"/>
              </w:rPr>
            </w:pPr>
            <w:r w:rsidRPr="0015453C">
              <w:rPr>
                <w:rFonts w:hAnsi="標楷體" w:hint="eastAsia"/>
                <w:kern w:val="0"/>
                <w:sz w:val="24"/>
              </w:rPr>
              <w:t>行政院函，為修正「資通安全管理法施行細則」第六條、第七條及第十三條條文等6項法規，請查照案。</w:t>
            </w:r>
          </w:p>
        </w:tc>
        <w:tc>
          <w:tcPr>
            <w:tcW w:w="1747" w:type="dxa"/>
            <w:shd w:val="clear" w:color="auto" w:fill="auto"/>
          </w:tcPr>
          <w:p w14:paraId="5AD545BB" w14:textId="77777777" w:rsidR="00EB3514" w:rsidRPr="00023A3F" w:rsidRDefault="00EB3514" w:rsidP="00EC13B7">
            <w:pPr>
              <w:pStyle w:val="01"/>
              <w:spacing w:line="300" w:lineRule="exact"/>
              <w:jc w:val="left"/>
              <w:rPr>
                <w:rFonts w:hAnsi="標楷體"/>
                <w:kern w:val="0"/>
                <w:sz w:val="24"/>
              </w:rPr>
            </w:pPr>
            <w:r w:rsidRPr="00023A3F">
              <w:rPr>
                <w:rFonts w:hAnsi="標楷體" w:hint="eastAsia"/>
                <w:kern w:val="0"/>
                <w:sz w:val="24"/>
              </w:rPr>
              <w:t>行政院 110.12.17 （10-4-14）</w:t>
            </w:r>
          </w:p>
        </w:tc>
        <w:tc>
          <w:tcPr>
            <w:tcW w:w="1701" w:type="dxa"/>
            <w:vMerge/>
            <w:shd w:val="clear" w:color="auto" w:fill="auto"/>
          </w:tcPr>
          <w:p w14:paraId="42E10CB9" w14:textId="77777777" w:rsidR="00EB3514" w:rsidRDefault="00EB3514" w:rsidP="00EC13B7">
            <w:pPr>
              <w:rPr>
                <w:rFonts w:ascii="標楷體" w:hAnsi="標楷體"/>
              </w:rPr>
            </w:pPr>
          </w:p>
        </w:tc>
        <w:tc>
          <w:tcPr>
            <w:tcW w:w="1984" w:type="dxa"/>
            <w:vMerge/>
            <w:shd w:val="clear" w:color="auto" w:fill="auto"/>
          </w:tcPr>
          <w:p w14:paraId="4EB1DD5D"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EB3514" w:rsidRPr="005042CE" w14:paraId="2A78B2E3" w14:textId="77777777" w:rsidTr="00EC13B7">
        <w:tc>
          <w:tcPr>
            <w:tcW w:w="709" w:type="dxa"/>
            <w:shd w:val="clear" w:color="auto" w:fill="auto"/>
          </w:tcPr>
          <w:p w14:paraId="6A0F7B19"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r>
              <w:rPr>
                <w:rFonts w:ascii="標楷體" w:eastAsia="標楷體" w:hAnsi="標楷體"/>
                <w:b/>
                <w:spacing w:val="-20"/>
              </w:rPr>
              <w:t>4</w:t>
            </w:r>
          </w:p>
        </w:tc>
        <w:tc>
          <w:tcPr>
            <w:tcW w:w="2648" w:type="dxa"/>
            <w:shd w:val="clear" w:color="auto" w:fill="auto"/>
          </w:tcPr>
          <w:p w14:paraId="6EF256FB" w14:textId="77777777" w:rsidR="00EB3514" w:rsidRDefault="00EB3514" w:rsidP="00EC13B7">
            <w:pPr>
              <w:pStyle w:val="01"/>
              <w:spacing w:line="260" w:lineRule="exact"/>
            </w:pPr>
            <w:r w:rsidRPr="00F452A2">
              <w:rPr>
                <w:rFonts w:hAnsi="標楷體" w:hint="eastAsia"/>
                <w:kern w:val="0"/>
                <w:sz w:val="24"/>
              </w:rPr>
              <w:t>考試院函，為修正「考試院及所屬機關提供政府資訊收費標準」第三條附表，請查照案。</w:t>
            </w:r>
          </w:p>
        </w:tc>
        <w:tc>
          <w:tcPr>
            <w:tcW w:w="1747" w:type="dxa"/>
            <w:shd w:val="clear" w:color="auto" w:fill="auto"/>
          </w:tcPr>
          <w:p w14:paraId="61FFC069" w14:textId="77777777" w:rsidR="00EB3514" w:rsidRDefault="00EB3514" w:rsidP="00EC13B7">
            <w:pPr>
              <w:pStyle w:val="01"/>
              <w:spacing w:line="300" w:lineRule="exact"/>
              <w:jc w:val="left"/>
              <w:rPr>
                <w:rFonts w:hAnsi="標楷體"/>
              </w:rPr>
            </w:pPr>
            <w:r w:rsidRPr="00F452A2">
              <w:rPr>
                <w:rFonts w:hAnsi="標楷體" w:hint="eastAsia"/>
                <w:kern w:val="0"/>
                <w:sz w:val="24"/>
              </w:rPr>
              <w:t>考試院 111.05.13 （10-5-12）</w:t>
            </w:r>
          </w:p>
        </w:tc>
        <w:tc>
          <w:tcPr>
            <w:tcW w:w="1701" w:type="dxa"/>
            <w:shd w:val="clear" w:color="auto" w:fill="auto"/>
          </w:tcPr>
          <w:p w14:paraId="2B856545" w14:textId="77777777" w:rsidR="00EB3514" w:rsidRPr="00F452A2" w:rsidRDefault="00EB3514" w:rsidP="00EC13B7">
            <w:pPr>
              <w:pStyle w:val="01"/>
              <w:spacing w:line="300" w:lineRule="exact"/>
              <w:jc w:val="left"/>
              <w:rPr>
                <w:rFonts w:hAnsi="標楷體"/>
                <w:kern w:val="0"/>
                <w:sz w:val="24"/>
              </w:rPr>
            </w:pPr>
            <w:r w:rsidRPr="00F452A2">
              <w:rPr>
                <w:rFonts w:hAnsi="標楷體" w:hint="eastAsia"/>
                <w:kern w:val="0"/>
                <w:sz w:val="24"/>
              </w:rPr>
              <w:t>司法及法制</w:t>
            </w:r>
          </w:p>
        </w:tc>
        <w:tc>
          <w:tcPr>
            <w:tcW w:w="1984" w:type="dxa"/>
            <w:vMerge w:val="restart"/>
            <w:shd w:val="clear" w:color="auto" w:fill="auto"/>
          </w:tcPr>
          <w:p w14:paraId="378ADBD6" w14:textId="77777777" w:rsidR="00EB3514" w:rsidRPr="005A1F7C"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65207D6D"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sidRPr="005A1F7C">
              <w:rPr>
                <w:rFonts w:ascii="標楷體" w:eastAsia="標楷體" w:hAnsi="標楷體" w:hint="eastAsia"/>
              </w:rPr>
              <w:t>.</w:t>
            </w:r>
            <w:r w:rsidRPr="005B0D4B">
              <w:rPr>
                <w:rFonts w:ascii="標楷體" w:eastAsia="標楷體" w:hAnsi="標楷體" w:hint="eastAsia"/>
              </w:rPr>
              <w:t>院會</w:t>
            </w:r>
            <w:r>
              <w:rPr>
                <w:rFonts w:ascii="標楷體" w:eastAsia="標楷體" w:hAnsi="標楷體"/>
              </w:rPr>
              <w:t>112</w:t>
            </w:r>
            <w:r w:rsidRPr="005B0D4B">
              <w:rPr>
                <w:rFonts w:ascii="標楷體" w:eastAsia="標楷體" w:hAnsi="標楷體"/>
              </w:rPr>
              <w:t>.</w:t>
            </w:r>
            <w:r>
              <w:rPr>
                <w:rFonts w:ascii="標楷體" w:eastAsia="標楷體" w:hAnsi="標楷體" w:hint="eastAsia"/>
              </w:rPr>
              <w:t>1</w:t>
            </w:r>
            <w:r>
              <w:rPr>
                <w:rFonts w:ascii="標楷體" w:eastAsia="標楷體" w:hAnsi="標楷體"/>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w:t>
            </w:r>
            <w:r>
              <w:rPr>
                <w:rFonts w:ascii="標楷體" w:eastAsia="標楷體" w:hAnsi="標楷體"/>
              </w:rPr>
              <w:t>5</w:t>
            </w:r>
            <w:r w:rsidRPr="005B0D4B">
              <w:rPr>
                <w:rFonts w:ascii="標楷體" w:eastAsia="標楷體" w:hAnsi="標楷體"/>
              </w:rPr>
              <w:t>）</w:t>
            </w:r>
            <w:r w:rsidRPr="005B0D4B">
              <w:rPr>
                <w:rFonts w:ascii="標楷體" w:eastAsia="標楷體" w:hAnsi="標楷體" w:hint="eastAsia"/>
              </w:rPr>
              <w:t>准予備查。</w:t>
            </w:r>
          </w:p>
        </w:tc>
      </w:tr>
      <w:tr w:rsidR="00EB3514" w:rsidRPr="005042CE" w14:paraId="7DDA821C" w14:textId="77777777" w:rsidTr="00EC13B7">
        <w:tc>
          <w:tcPr>
            <w:tcW w:w="709" w:type="dxa"/>
            <w:shd w:val="clear" w:color="auto" w:fill="auto"/>
          </w:tcPr>
          <w:p w14:paraId="737384B4" w14:textId="77777777" w:rsidR="00EB3514" w:rsidRDefault="00EB3514"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r>
              <w:rPr>
                <w:rFonts w:ascii="標楷體" w:eastAsia="標楷體" w:hAnsi="標楷體"/>
                <w:b/>
                <w:spacing w:val="-20"/>
              </w:rPr>
              <w:t>5</w:t>
            </w:r>
          </w:p>
        </w:tc>
        <w:tc>
          <w:tcPr>
            <w:tcW w:w="2648" w:type="dxa"/>
            <w:shd w:val="clear" w:color="auto" w:fill="auto"/>
          </w:tcPr>
          <w:p w14:paraId="31B6F037" w14:textId="77777777" w:rsidR="00EB3514" w:rsidRDefault="00EB3514" w:rsidP="00EC13B7">
            <w:pPr>
              <w:pStyle w:val="01"/>
              <w:spacing w:line="260" w:lineRule="exact"/>
            </w:pPr>
            <w:r w:rsidRPr="00F452A2">
              <w:rPr>
                <w:rFonts w:hAnsi="標楷體" w:hint="eastAsia"/>
                <w:kern w:val="0"/>
                <w:sz w:val="24"/>
              </w:rPr>
              <w:t>考試院函，為修正「公務人員高等考試二級考試規則」第七條、第十一條條文及第二條附表一、第四條附表二，請查照案。</w:t>
            </w:r>
          </w:p>
        </w:tc>
        <w:tc>
          <w:tcPr>
            <w:tcW w:w="1747" w:type="dxa"/>
            <w:shd w:val="clear" w:color="auto" w:fill="auto"/>
          </w:tcPr>
          <w:p w14:paraId="522A4D83" w14:textId="77777777" w:rsidR="00EB3514" w:rsidRDefault="00EB3514" w:rsidP="00EC13B7">
            <w:pPr>
              <w:pStyle w:val="01"/>
              <w:spacing w:line="300" w:lineRule="exact"/>
              <w:jc w:val="left"/>
              <w:rPr>
                <w:rFonts w:hAnsi="標楷體"/>
              </w:rPr>
            </w:pPr>
            <w:r w:rsidRPr="00F452A2">
              <w:rPr>
                <w:rFonts w:hAnsi="標楷體" w:hint="eastAsia"/>
                <w:kern w:val="0"/>
                <w:sz w:val="24"/>
              </w:rPr>
              <w:t>考試院 111.05.20 （10-5-13）</w:t>
            </w:r>
          </w:p>
        </w:tc>
        <w:tc>
          <w:tcPr>
            <w:tcW w:w="1701" w:type="dxa"/>
            <w:shd w:val="clear" w:color="auto" w:fill="auto"/>
          </w:tcPr>
          <w:p w14:paraId="3BEC8B22" w14:textId="77777777" w:rsidR="00EB3514" w:rsidRPr="00F452A2" w:rsidRDefault="00EB3514" w:rsidP="00EC13B7">
            <w:pPr>
              <w:pStyle w:val="01"/>
              <w:spacing w:line="300" w:lineRule="exact"/>
              <w:jc w:val="left"/>
              <w:rPr>
                <w:rFonts w:hAnsi="標楷體"/>
                <w:kern w:val="0"/>
                <w:sz w:val="24"/>
              </w:rPr>
            </w:pPr>
            <w:r w:rsidRPr="00F452A2">
              <w:rPr>
                <w:rFonts w:hAnsi="標楷體" w:hint="eastAsia"/>
                <w:kern w:val="0"/>
                <w:sz w:val="24"/>
              </w:rPr>
              <w:t>司法及法制</w:t>
            </w:r>
          </w:p>
        </w:tc>
        <w:tc>
          <w:tcPr>
            <w:tcW w:w="1984" w:type="dxa"/>
            <w:vMerge/>
            <w:shd w:val="clear" w:color="auto" w:fill="auto"/>
          </w:tcPr>
          <w:p w14:paraId="7CA26A72" w14:textId="77777777" w:rsidR="00EB3514" w:rsidRDefault="00EB3514" w:rsidP="00EC13B7">
            <w:pPr>
              <w:kinsoku w:val="0"/>
              <w:overflowPunct w:val="0"/>
              <w:autoSpaceDE w:val="0"/>
              <w:autoSpaceDN w:val="0"/>
              <w:snapToGrid w:val="0"/>
              <w:spacing w:line="260" w:lineRule="exact"/>
              <w:ind w:left="240" w:hangingChars="100" w:hanging="240"/>
              <w:rPr>
                <w:rFonts w:ascii="標楷體" w:eastAsia="標楷體" w:hAnsi="標楷體"/>
              </w:rPr>
            </w:pPr>
          </w:p>
        </w:tc>
      </w:tr>
      <w:bookmarkEnd w:id="93"/>
      <w:bookmarkEnd w:id="94"/>
      <w:bookmarkEnd w:id="95"/>
      <w:bookmarkEnd w:id="96"/>
      <w:bookmarkEnd w:id="114"/>
      <w:bookmarkEnd w:id="115"/>
      <w:bookmarkEnd w:id="191"/>
    </w:tbl>
    <w:p w14:paraId="1C568763" w14:textId="77777777" w:rsidR="00EB3514" w:rsidRPr="00BA2116" w:rsidRDefault="00EB3514" w:rsidP="00EC13B7">
      <w:pPr>
        <w:widowControl/>
        <w:rPr>
          <w:color w:val="000000" w:themeColor="text1"/>
        </w:rPr>
      </w:pPr>
    </w:p>
    <w:p w14:paraId="0DCF0A4F" w14:textId="77777777" w:rsidR="00EB3514" w:rsidRDefault="00EB3514" w:rsidP="00216C08">
      <w:pPr>
        <w:spacing w:line="360" w:lineRule="exact"/>
        <w:jc w:val="both"/>
        <w:rPr>
          <w:rFonts w:ascii="標楷體" w:eastAsia="標楷體" w:hAnsi="標楷體"/>
          <w:color w:val="000000" w:themeColor="text1"/>
        </w:rPr>
        <w:sectPr w:rsidR="00EB3514" w:rsidSect="00EB3514">
          <w:pgSz w:w="11906" w:h="16838" w:code="9"/>
          <w:pgMar w:top="993" w:right="1701" w:bottom="1134" w:left="1701" w:header="851" w:footer="992" w:gutter="0"/>
          <w:cols w:space="425"/>
          <w:docGrid w:type="lines" w:linePitch="360"/>
        </w:sectPr>
      </w:pPr>
    </w:p>
    <w:p w14:paraId="57AD8F9C" w14:textId="77777777" w:rsidR="00EB3514" w:rsidRDefault="00EB3514" w:rsidP="00C82C27">
      <w:pPr>
        <w:spacing w:line="360" w:lineRule="exact"/>
        <w:ind w:left="240" w:hangingChars="100" w:hanging="240"/>
        <w:jc w:val="both"/>
        <w:rPr>
          <w:rFonts w:ascii="標楷體" w:eastAsia="標楷體" w:hAnsi="標楷體"/>
          <w:color w:val="000000" w:themeColor="text1"/>
        </w:rPr>
        <w:sectPr w:rsidR="00EB3514" w:rsidSect="00EB3514">
          <w:type w:val="continuous"/>
          <w:pgSz w:w="11906" w:h="16838" w:code="9"/>
          <w:pgMar w:top="993" w:right="1701" w:bottom="1134" w:left="1701" w:header="851" w:footer="992" w:gutter="0"/>
          <w:cols w:space="425"/>
          <w:docGrid w:type="lines" w:linePitch="360"/>
        </w:sectPr>
      </w:pPr>
    </w:p>
    <w:p w14:paraId="1C65A3B5" w14:textId="77777777" w:rsidR="00AE6B82" w:rsidRPr="002A20DA" w:rsidRDefault="00AE6B82" w:rsidP="004726FC">
      <w:pPr>
        <w:pStyle w:val="1"/>
        <w:spacing w:afterLines="50" w:after="180" w:line="520" w:lineRule="exact"/>
        <w:rPr>
          <w:rFonts w:ascii="標楷體" w:hAnsi="標楷體"/>
          <w:color w:val="FF0000"/>
          <w:sz w:val="32"/>
          <w:szCs w:val="32"/>
        </w:rPr>
      </w:pPr>
      <w:bookmarkStart w:id="192" w:name="_Toc42534102"/>
      <w:bookmarkStart w:id="193" w:name="_Toc96350503"/>
      <w:bookmarkStart w:id="194" w:name="_Toc510167633"/>
      <w:bookmarkStart w:id="195" w:name="_Toc1401030"/>
      <w:bookmarkStart w:id="196" w:name="_Toc386796865"/>
      <w:bookmarkStart w:id="197" w:name="_Toc386797105"/>
      <w:bookmarkStart w:id="198" w:name="_Toc455152583"/>
      <w:bookmarkStart w:id="199" w:name="_Toc457395185"/>
      <w:bookmarkStart w:id="200" w:name="_Toc457395282"/>
      <w:bookmarkStart w:id="201" w:name="_Toc472666429"/>
      <w:bookmarkStart w:id="202" w:name="_Toc516496363"/>
      <w:bookmarkStart w:id="203" w:name="_Toc516496478"/>
      <w:bookmarkStart w:id="204" w:name="_Toc516496842"/>
      <w:bookmarkStart w:id="205" w:name="_Toc517947584"/>
      <w:bookmarkStart w:id="206" w:name="_Toc5719411"/>
      <w:r w:rsidRPr="002A20DA">
        <w:rPr>
          <w:rFonts w:ascii="標楷體" w:hAnsi="標楷體"/>
          <w:color w:val="000000" w:themeColor="text1"/>
          <w:szCs w:val="28"/>
        </w:rPr>
        <w:lastRenderedPageBreak/>
        <w:t>肆、</w:t>
      </w:r>
      <w:r w:rsidRPr="002A20DA">
        <w:rPr>
          <w:rFonts w:ascii="標楷體" w:hAnsi="標楷體" w:hint="eastAsia"/>
          <w:color w:val="000000" w:themeColor="text1"/>
          <w:szCs w:val="28"/>
        </w:rPr>
        <w:t>本會期院會通過之議案(含逕付二讀案)262案</w:t>
      </w:r>
      <w:bookmarkEnd w:id="192"/>
      <w:bookmarkEnd w:id="193"/>
    </w:p>
    <w:p w14:paraId="02462475" w14:textId="77777777" w:rsidR="00AE6B82" w:rsidRPr="002A20DA" w:rsidRDefault="00AE6B82" w:rsidP="008C5896">
      <w:pPr>
        <w:pStyle w:val="-f1"/>
        <w:tabs>
          <w:tab w:val="left" w:pos="4395"/>
        </w:tabs>
        <w:kinsoku w:val="0"/>
        <w:topLinePunct/>
        <w:spacing w:before="180" w:after="180" w:line="400" w:lineRule="exact"/>
        <w:ind w:leftChars="128" w:left="307" w:firstLine="567"/>
        <w:textAlignment w:val="top"/>
        <w:outlineLvl w:val="9"/>
        <w:rPr>
          <w:b w:val="0"/>
          <w:color w:val="000000" w:themeColor="text1"/>
        </w:rPr>
      </w:pPr>
      <w:bookmarkStart w:id="207" w:name="_Toc510167634"/>
      <w:bookmarkEnd w:id="194"/>
      <w:bookmarkEnd w:id="195"/>
      <w:r w:rsidRPr="002A20DA">
        <w:rPr>
          <w:rFonts w:ascii="標楷體" w:hAnsi="標楷體"/>
          <w:b w:val="0"/>
          <w:color w:val="000000" w:themeColor="text1"/>
          <w:sz w:val="28"/>
          <w:szCs w:val="28"/>
        </w:rPr>
        <w:t>本會期，院會通過本會審竣提報之法律案</w:t>
      </w:r>
      <w:r w:rsidRPr="002A20DA">
        <w:rPr>
          <w:rFonts w:ascii="標楷體" w:hAnsi="標楷體" w:hint="eastAsia"/>
          <w:b w:val="0"/>
          <w:color w:val="000000" w:themeColor="text1"/>
          <w:sz w:val="28"/>
          <w:szCs w:val="28"/>
        </w:rPr>
        <w:t>1</w:t>
      </w:r>
      <w:r w:rsidRPr="002A20DA">
        <w:rPr>
          <w:rFonts w:ascii="標楷體" w:hAnsi="標楷體"/>
          <w:b w:val="0"/>
          <w:color w:val="000000" w:themeColor="text1"/>
          <w:sz w:val="28"/>
          <w:szCs w:val="28"/>
        </w:rPr>
        <w:t>1</w:t>
      </w:r>
      <w:r w:rsidRPr="002A20DA">
        <w:rPr>
          <w:rFonts w:ascii="標楷體" w:hAnsi="標楷體" w:hint="eastAsia"/>
          <w:b w:val="0"/>
          <w:color w:val="000000" w:themeColor="text1"/>
          <w:sz w:val="28"/>
          <w:szCs w:val="28"/>
        </w:rPr>
        <w:t>2</w:t>
      </w:r>
      <w:r w:rsidRPr="002A20DA">
        <w:rPr>
          <w:rFonts w:ascii="標楷體" w:hAnsi="標楷體"/>
          <w:b w:val="0"/>
          <w:color w:val="000000" w:themeColor="text1"/>
          <w:sz w:val="28"/>
          <w:szCs w:val="28"/>
        </w:rPr>
        <w:t>案(組織法</w:t>
      </w:r>
      <w:r w:rsidRPr="002A20DA">
        <w:rPr>
          <w:rFonts w:ascii="標楷體" w:hAnsi="標楷體" w:hint="eastAsia"/>
          <w:b w:val="0"/>
          <w:color w:val="000000" w:themeColor="text1"/>
          <w:sz w:val="28"/>
          <w:szCs w:val="28"/>
        </w:rPr>
        <w:t>22</w:t>
      </w:r>
      <w:r w:rsidRPr="002A20DA">
        <w:rPr>
          <w:rFonts w:ascii="標楷體" w:hAnsi="標楷體"/>
          <w:b w:val="0"/>
          <w:color w:val="000000" w:themeColor="text1"/>
          <w:sz w:val="28"/>
          <w:szCs w:val="28"/>
        </w:rPr>
        <w:t>案、作用法</w:t>
      </w:r>
      <w:r w:rsidRPr="002A20DA">
        <w:rPr>
          <w:rFonts w:ascii="標楷體" w:hAnsi="標楷體" w:hint="eastAsia"/>
          <w:b w:val="0"/>
          <w:color w:val="000000" w:themeColor="text1"/>
          <w:sz w:val="28"/>
          <w:szCs w:val="28"/>
        </w:rPr>
        <w:t>90</w:t>
      </w:r>
      <w:r w:rsidRPr="002A20DA">
        <w:rPr>
          <w:rFonts w:ascii="標楷體" w:hAnsi="標楷體"/>
          <w:b w:val="0"/>
          <w:color w:val="000000" w:themeColor="text1"/>
          <w:sz w:val="28"/>
          <w:szCs w:val="28"/>
        </w:rPr>
        <w:t>案)</w:t>
      </w:r>
      <w:r w:rsidRPr="002A20DA">
        <w:rPr>
          <w:rFonts w:ascii="標楷體" w:hAnsi="標楷體" w:hint="eastAsia"/>
          <w:b w:val="0"/>
          <w:color w:val="000000" w:themeColor="text1"/>
          <w:sz w:val="28"/>
          <w:szCs w:val="28"/>
        </w:rPr>
        <w:t>、</w:t>
      </w:r>
      <w:r w:rsidRPr="002A20DA">
        <w:rPr>
          <w:rFonts w:ascii="標楷體" w:hAnsi="標楷體"/>
          <w:b w:val="0"/>
          <w:color w:val="000000" w:themeColor="text1"/>
          <w:sz w:val="28"/>
          <w:szCs w:val="28"/>
        </w:rPr>
        <w:t>預</w:t>
      </w:r>
      <w:r w:rsidRPr="002A20DA">
        <w:rPr>
          <w:rFonts w:ascii="標楷體" w:hAnsi="標楷體" w:hint="eastAsia"/>
          <w:b w:val="0"/>
          <w:color w:val="000000" w:themeColor="text1"/>
          <w:sz w:val="28"/>
          <w:szCs w:val="28"/>
        </w:rPr>
        <w:t>（</w:t>
      </w:r>
      <w:r w:rsidRPr="002A20DA">
        <w:rPr>
          <w:rFonts w:ascii="標楷體" w:hAnsi="標楷體"/>
          <w:b w:val="0"/>
          <w:color w:val="000000" w:themeColor="text1"/>
          <w:sz w:val="28"/>
          <w:szCs w:val="28"/>
        </w:rPr>
        <w:t>決</w:t>
      </w:r>
      <w:r w:rsidRPr="002A20DA">
        <w:rPr>
          <w:rFonts w:ascii="標楷體" w:hAnsi="標楷體" w:hint="eastAsia"/>
          <w:b w:val="0"/>
          <w:color w:val="000000" w:themeColor="text1"/>
          <w:sz w:val="28"/>
          <w:szCs w:val="28"/>
        </w:rPr>
        <w:t>）</w:t>
      </w:r>
      <w:r w:rsidRPr="002A20DA">
        <w:rPr>
          <w:rFonts w:ascii="標楷體" w:hAnsi="標楷體"/>
          <w:b w:val="0"/>
          <w:color w:val="000000" w:themeColor="text1"/>
          <w:sz w:val="28"/>
          <w:szCs w:val="28"/>
        </w:rPr>
        <w:t>算案</w:t>
      </w:r>
      <w:r w:rsidRPr="002A20DA">
        <w:rPr>
          <w:rFonts w:ascii="標楷體" w:hAnsi="標楷體" w:hint="eastAsia"/>
          <w:b w:val="0"/>
          <w:color w:val="000000" w:themeColor="text1"/>
          <w:sz w:val="28"/>
          <w:szCs w:val="28"/>
        </w:rPr>
        <w:t>115</w:t>
      </w:r>
      <w:r w:rsidRPr="002A20DA">
        <w:rPr>
          <w:rFonts w:ascii="標楷體" w:hAnsi="標楷體"/>
          <w:b w:val="0"/>
          <w:color w:val="000000" w:themeColor="text1"/>
          <w:sz w:val="28"/>
          <w:szCs w:val="28"/>
        </w:rPr>
        <w:t>案</w:t>
      </w:r>
      <w:r w:rsidRPr="002A20DA">
        <w:rPr>
          <w:rFonts w:ascii="標楷體" w:hAnsi="標楷體" w:hint="eastAsia"/>
          <w:b w:val="0"/>
          <w:color w:val="000000" w:themeColor="text1"/>
          <w:sz w:val="28"/>
          <w:szCs w:val="28"/>
        </w:rPr>
        <w:t>、行政命令案35案</w:t>
      </w:r>
      <w:r w:rsidRPr="002A20DA">
        <w:rPr>
          <w:rFonts w:ascii="標楷體" w:hAnsi="標楷體"/>
          <w:b w:val="0"/>
          <w:color w:val="000000" w:themeColor="text1"/>
          <w:sz w:val="28"/>
          <w:szCs w:val="28"/>
        </w:rPr>
        <w:t>，合計</w:t>
      </w:r>
      <w:r w:rsidRPr="002A20DA">
        <w:rPr>
          <w:rFonts w:ascii="標楷體" w:hAnsi="標楷體" w:hint="eastAsia"/>
          <w:b w:val="0"/>
          <w:color w:val="000000" w:themeColor="text1"/>
          <w:sz w:val="28"/>
          <w:szCs w:val="28"/>
        </w:rPr>
        <w:t>262</w:t>
      </w:r>
      <w:r w:rsidRPr="002A20DA">
        <w:rPr>
          <w:rFonts w:ascii="標楷體" w:hAnsi="標楷體"/>
          <w:b w:val="0"/>
          <w:color w:val="000000" w:themeColor="text1"/>
          <w:sz w:val="28"/>
          <w:szCs w:val="28"/>
        </w:rPr>
        <w:t>案，詳如下列各表：</w:t>
      </w:r>
      <w:bookmarkEnd w:id="207"/>
    </w:p>
    <w:p w14:paraId="57F15DD7" w14:textId="77777777" w:rsidR="00AE6B82" w:rsidRPr="002A20DA" w:rsidRDefault="00AE6B82" w:rsidP="007015C7">
      <w:pPr>
        <w:pStyle w:val="2"/>
        <w:numPr>
          <w:ilvl w:val="0"/>
          <w:numId w:val="18"/>
        </w:numPr>
        <w:kinsoku w:val="0"/>
        <w:overflowPunct w:val="0"/>
        <w:spacing w:beforeLines="50" w:before="180" w:afterLines="50" w:after="180"/>
        <w:ind w:leftChars="0"/>
        <w:rPr>
          <w:rFonts w:ascii="標楷體" w:hAnsi="標楷體"/>
          <w:b/>
          <w:color w:val="000000" w:themeColor="text1"/>
          <w:szCs w:val="28"/>
        </w:rPr>
      </w:pPr>
      <w:bookmarkStart w:id="208" w:name="_Toc42534103"/>
      <w:bookmarkStart w:id="209" w:name="_Toc96350504"/>
      <w:r w:rsidRPr="002A20DA">
        <w:rPr>
          <w:rStyle w:val="af1"/>
          <w:rFonts w:ascii="標楷體" w:hAnsi="標楷體"/>
          <w:b/>
          <w:color w:val="000000" w:themeColor="text1"/>
          <w:szCs w:val="28"/>
          <w:u w:val="none"/>
        </w:rPr>
        <w:t>法律案</w:t>
      </w:r>
      <w:r w:rsidRPr="002A20DA">
        <w:rPr>
          <w:rStyle w:val="af1"/>
          <w:rFonts w:ascii="標楷體" w:hAnsi="標楷體" w:hint="eastAsia"/>
          <w:b/>
          <w:color w:val="000000" w:themeColor="text1"/>
          <w:szCs w:val="28"/>
          <w:u w:val="none"/>
        </w:rPr>
        <w:t>1</w:t>
      </w:r>
      <w:r w:rsidRPr="002A20DA">
        <w:rPr>
          <w:rStyle w:val="af1"/>
          <w:rFonts w:ascii="標楷體" w:hAnsi="標楷體"/>
          <w:b/>
          <w:color w:val="000000" w:themeColor="text1"/>
          <w:szCs w:val="28"/>
          <w:u w:val="none"/>
        </w:rPr>
        <w:t>1</w:t>
      </w:r>
      <w:r w:rsidRPr="002A20DA">
        <w:rPr>
          <w:rStyle w:val="af1"/>
          <w:rFonts w:ascii="標楷體" w:hAnsi="標楷體" w:hint="eastAsia"/>
          <w:b/>
          <w:color w:val="000000" w:themeColor="text1"/>
          <w:szCs w:val="28"/>
          <w:u w:val="none"/>
        </w:rPr>
        <w:t>2</w:t>
      </w:r>
      <w:r w:rsidRPr="002A20DA">
        <w:rPr>
          <w:rFonts w:ascii="標楷體" w:hAnsi="標楷體"/>
          <w:b/>
          <w:color w:val="000000" w:themeColor="text1"/>
          <w:szCs w:val="28"/>
        </w:rPr>
        <w:t>案</w:t>
      </w:r>
      <w:bookmarkStart w:id="210" w:name="_Toc386796866"/>
      <w:bookmarkStart w:id="211" w:name="_Toc386797106"/>
      <w:bookmarkStart w:id="212" w:name="_Toc455152584"/>
      <w:bookmarkStart w:id="213" w:name="_Toc457395186"/>
      <w:bookmarkStart w:id="214" w:name="_Toc472666430"/>
      <w:bookmarkEnd w:id="196"/>
      <w:bookmarkEnd w:id="197"/>
      <w:bookmarkEnd w:id="198"/>
      <w:bookmarkEnd w:id="199"/>
      <w:bookmarkEnd w:id="200"/>
      <w:bookmarkEnd w:id="201"/>
      <w:bookmarkEnd w:id="202"/>
      <w:bookmarkEnd w:id="203"/>
      <w:bookmarkEnd w:id="204"/>
      <w:bookmarkEnd w:id="205"/>
      <w:bookmarkEnd w:id="206"/>
      <w:r w:rsidRPr="002A20DA">
        <w:rPr>
          <w:rFonts w:ascii="標楷體" w:hAnsi="標楷體" w:hint="eastAsia"/>
          <w:b/>
          <w:color w:val="000000" w:themeColor="text1"/>
          <w:szCs w:val="28"/>
        </w:rPr>
        <w:t>（</w:t>
      </w:r>
      <w:r w:rsidRPr="002A20DA">
        <w:rPr>
          <w:rFonts w:ascii="標楷體" w:hAnsi="標楷體"/>
          <w:b/>
          <w:color w:val="000000" w:themeColor="text1"/>
          <w:szCs w:val="28"/>
        </w:rPr>
        <w:t>並咨請總統公布</w:t>
      </w:r>
      <w:r w:rsidRPr="002A20DA">
        <w:rPr>
          <w:rFonts w:ascii="標楷體" w:hAnsi="標楷體" w:hint="eastAsia"/>
          <w:b/>
          <w:color w:val="000000" w:themeColor="text1"/>
          <w:szCs w:val="28"/>
        </w:rPr>
        <w:t>）</w:t>
      </w:r>
      <w:bookmarkEnd w:id="208"/>
      <w:bookmarkEnd w:id="209"/>
    </w:p>
    <w:p w14:paraId="61A9E9EE" w14:textId="77777777" w:rsidR="00AE6B82" w:rsidRPr="002A20DA" w:rsidRDefault="00AE6B82" w:rsidP="007932B9">
      <w:pPr>
        <w:pStyle w:val="3"/>
        <w:kinsoku w:val="0"/>
        <w:overflowPunct w:val="0"/>
        <w:spacing w:beforeLines="100" w:before="360" w:afterLines="100" w:after="360" w:line="260" w:lineRule="exact"/>
        <w:ind w:left="912" w:firstLineChars="250" w:firstLine="701"/>
        <w:rPr>
          <w:rStyle w:val="af1"/>
          <w:rFonts w:ascii="標楷體" w:hAnsi="標楷體"/>
          <w:b/>
          <w:color w:val="000000" w:themeColor="text1"/>
          <w:szCs w:val="28"/>
          <w:u w:val="none"/>
        </w:rPr>
      </w:pPr>
      <w:bookmarkStart w:id="215" w:name="_Toc516496364"/>
      <w:bookmarkStart w:id="216" w:name="_Toc516496479"/>
      <w:bookmarkStart w:id="217" w:name="_Toc516496843"/>
      <w:bookmarkStart w:id="218" w:name="_Toc517947585"/>
      <w:bookmarkStart w:id="219" w:name="_Toc5719412"/>
      <w:bookmarkStart w:id="220" w:name="_Toc42534104"/>
      <w:bookmarkStart w:id="221" w:name="_Toc96350505"/>
      <w:r w:rsidRPr="002A20DA">
        <w:rPr>
          <w:rStyle w:val="af1"/>
          <w:rFonts w:ascii="標楷體" w:hAnsi="標楷體" w:hint="eastAsia"/>
          <w:b/>
          <w:color w:val="000000" w:themeColor="text1"/>
          <w:szCs w:val="28"/>
          <w:u w:val="none"/>
        </w:rPr>
        <w:t>一、</w:t>
      </w:r>
      <w:r w:rsidRPr="002A20DA">
        <w:rPr>
          <w:rStyle w:val="af1"/>
          <w:rFonts w:ascii="標楷體" w:hAnsi="標楷體"/>
          <w:b/>
          <w:color w:val="000000" w:themeColor="text1"/>
          <w:szCs w:val="28"/>
          <w:u w:val="none"/>
        </w:rPr>
        <w:t>組織法</w:t>
      </w:r>
      <w:bookmarkEnd w:id="210"/>
      <w:bookmarkEnd w:id="211"/>
      <w:bookmarkEnd w:id="212"/>
      <w:bookmarkEnd w:id="213"/>
      <w:bookmarkEnd w:id="214"/>
      <w:bookmarkEnd w:id="215"/>
      <w:bookmarkEnd w:id="216"/>
      <w:bookmarkEnd w:id="217"/>
      <w:bookmarkEnd w:id="218"/>
      <w:bookmarkEnd w:id="219"/>
      <w:bookmarkEnd w:id="220"/>
      <w:r w:rsidRPr="002A20DA">
        <w:rPr>
          <w:rStyle w:val="af1"/>
          <w:rFonts w:ascii="標楷體" w:hAnsi="標楷體" w:hint="eastAsia"/>
          <w:b/>
          <w:color w:val="000000" w:themeColor="text1"/>
          <w:szCs w:val="28"/>
          <w:u w:val="none"/>
        </w:rPr>
        <w:t>22案</w:t>
      </w:r>
      <w:bookmarkEnd w:id="221"/>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57"/>
        <w:gridCol w:w="1512"/>
        <w:gridCol w:w="1536"/>
        <w:gridCol w:w="1320"/>
        <w:gridCol w:w="1735"/>
        <w:gridCol w:w="1107"/>
      </w:tblGrid>
      <w:tr w:rsidR="00AE6B82" w:rsidRPr="002A20DA" w14:paraId="52E9DCEA" w14:textId="77777777" w:rsidTr="00EC13B7">
        <w:trPr>
          <w:trHeight w:val="653"/>
        </w:trPr>
        <w:tc>
          <w:tcPr>
            <w:tcW w:w="511" w:type="dxa"/>
            <w:vMerge w:val="restart"/>
          </w:tcPr>
          <w:p w14:paraId="4E8044B9"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序號</w:t>
            </w:r>
          </w:p>
        </w:tc>
        <w:tc>
          <w:tcPr>
            <w:tcW w:w="1157" w:type="dxa"/>
            <w:vMerge w:val="restart"/>
          </w:tcPr>
          <w:p w14:paraId="29D95150" w14:textId="77777777" w:rsidR="00AE6B82" w:rsidRPr="002A20DA" w:rsidRDefault="00AE6B82" w:rsidP="00EC13B7">
            <w:pPr>
              <w:kinsoku w:val="0"/>
              <w:overflowPunct w:val="0"/>
              <w:spacing w:line="300" w:lineRule="exact"/>
              <w:ind w:rightChars="13" w:right="31"/>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議案名稱</w:t>
            </w:r>
          </w:p>
        </w:tc>
        <w:tc>
          <w:tcPr>
            <w:tcW w:w="1512" w:type="dxa"/>
            <w:vMerge w:val="restart"/>
          </w:tcPr>
          <w:p w14:paraId="11113751" w14:textId="77777777" w:rsidR="00AE6B82" w:rsidRPr="002A20DA" w:rsidRDefault="00AE6B82" w:rsidP="00EC13B7">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2A20DA">
              <w:rPr>
                <w:rFonts w:ascii="標楷體" w:eastAsia="標楷體" w:hAnsi="標楷體"/>
                <w:b/>
                <w:color w:val="000000"/>
                <w:spacing w:val="-20"/>
                <w:szCs w:val="22"/>
              </w:rPr>
              <w:t>提案委員或機關</w:t>
            </w:r>
          </w:p>
          <w:p w14:paraId="5C83DC51" w14:textId="77777777" w:rsidR="00AE6B82" w:rsidRPr="002A20DA" w:rsidRDefault="00AE6B82"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院會交付日期</w:t>
            </w:r>
          </w:p>
          <w:p w14:paraId="49A7EA9D" w14:textId="77777777" w:rsidR="00AE6B82" w:rsidRPr="002A20DA" w:rsidRDefault="00AE6B82"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(會次)</w:t>
            </w:r>
          </w:p>
        </w:tc>
        <w:tc>
          <w:tcPr>
            <w:tcW w:w="1536" w:type="dxa"/>
            <w:vMerge w:val="restart"/>
          </w:tcPr>
          <w:p w14:paraId="49E0650C" w14:textId="77777777" w:rsidR="00AE6B82" w:rsidRPr="002A20DA" w:rsidRDefault="00AE6B82"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審查情形日期</w:t>
            </w:r>
            <w:r w:rsidRPr="002A20DA">
              <w:rPr>
                <w:rFonts w:ascii="標楷體" w:eastAsia="標楷體" w:hAnsi="標楷體" w:hint="eastAsia"/>
                <w:b/>
                <w:color w:val="000000"/>
                <w:spacing w:val="-20"/>
                <w:szCs w:val="22"/>
              </w:rPr>
              <w:t xml:space="preserve"> </w:t>
            </w:r>
          </w:p>
          <w:p w14:paraId="4091594C" w14:textId="77777777" w:rsidR="00AE6B82" w:rsidRPr="002A20DA" w:rsidRDefault="00AE6B82"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(會次)</w:t>
            </w:r>
          </w:p>
        </w:tc>
        <w:tc>
          <w:tcPr>
            <w:tcW w:w="1320" w:type="dxa"/>
            <w:vMerge w:val="restart"/>
          </w:tcPr>
          <w:p w14:paraId="231B8D95" w14:textId="77777777" w:rsidR="00AE6B82" w:rsidRPr="002A20DA" w:rsidRDefault="00AE6B82"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院會三讀通過</w:t>
            </w:r>
          </w:p>
          <w:p w14:paraId="73133FDA" w14:textId="77777777" w:rsidR="00AE6B82" w:rsidRPr="002A20DA" w:rsidRDefault="00AE6B82"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日期(會次)</w:t>
            </w:r>
            <w:r w:rsidRPr="002A20DA">
              <w:rPr>
                <w:rFonts w:ascii="標楷體" w:eastAsia="標楷體" w:hAnsi="標楷體" w:hint="eastAsia"/>
                <w:b/>
                <w:color w:val="000000"/>
                <w:spacing w:val="-20"/>
                <w:szCs w:val="22"/>
              </w:rPr>
              <w:t>、</w:t>
            </w:r>
          </w:p>
          <w:p w14:paraId="44858D46" w14:textId="77777777" w:rsidR="00AE6B82" w:rsidRPr="002A20DA" w:rsidRDefault="00AE6B82" w:rsidP="00EC13B7">
            <w:pPr>
              <w:kinsoku w:val="0"/>
              <w:overflowPunct w:val="0"/>
              <w:spacing w:line="300" w:lineRule="exact"/>
              <w:ind w:leftChars="-45" w:left="-108"/>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咨請總統公布法律案名稱</w:t>
            </w:r>
          </w:p>
        </w:tc>
        <w:tc>
          <w:tcPr>
            <w:tcW w:w="1735" w:type="dxa"/>
          </w:tcPr>
          <w:p w14:paraId="528992AA"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hint="eastAsia"/>
                <w:b/>
                <w:color w:val="000000"/>
                <w:spacing w:val="-20"/>
                <w:szCs w:val="22"/>
              </w:rPr>
              <w:t>本院</w:t>
            </w:r>
            <w:r w:rsidRPr="002A20DA">
              <w:rPr>
                <w:rFonts w:ascii="標楷體" w:eastAsia="標楷體" w:hAnsi="標楷體"/>
                <w:b/>
                <w:color w:val="000000"/>
                <w:spacing w:val="-20"/>
                <w:szCs w:val="22"/>
              </w:rPr>
              <w:t>咨</w:t>
            </w:r>
            <w:r w:rsidRPr="002A20DA">
              <w:rPr>
                <w:rFonts w:ascii="標楷體" w:eastAsia="標楷體" w:hAnsi="標楷體" w:hint="eastAsia"/>
                <w:b/>
                <w:color w:val="000000"/>
                <w:spacing w:val="-20"/>
                <w:szCs w:val="22"/>
              </w:rPr>
              <w:t>文</w:t>
            </w:r>
          </w:p>
          <w:p w14:paraId="02CC749B"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日期及文號</w:t>
            </w:r>
          </w:p>
        </w:tc>
        <w:tc>
          <w:tcPr>
            <w:tcW w:w="1107" w:type="dxa"/>
            <w:vMerge w:val="restart"/>
          </w:tcPr>
          <w:p w14:paraId="78A2008C"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總統府</w:t>
            </w:r>
          </w:p>
          <w:p w14:paraId="79FBFB6F"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公報</w:t>
            </w:r>
          </w:p>
        </w:tc>
      </w:tr>
      <w:tr w:rsidR="00AE6B82" w:rsidRPr="002A20DA" w14:paraId="5BCB3D04" w14:textId="77777777" w:rsidTr="00EC13B7">
        <w:trPr>
          <w:trHeight w:val="629"/>
        </w:trPr>
        <w:tc>
          <w:tcPr>
            <w:tcW w:w="511" w:type="dxa"/>
            <w:vMerge/>
          </w:tcPr>
          <w:p w14:paraId="70CCE62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p>
        </w:tc>
        <w:tc>
          <w:tcPr>
            <w:tcW w:w="1157" w:type="dxa"/>
            <w:vMerge/>
          </w:tcPr>
          <w:p w14:paraId="7FA57A1E" w14:textId="77777777" w:rsidR="00AE6B82" w:rsidRPr="002A20DA" w:rsidRDefault="00AE6B82"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512" w:type="dxa"/>
            <w:vMerge/>
          </w:tcPr>
          <w:p w14:paraId="0A4AD41A" w14:textId="77777777" w:rsidR="00AE6B82" w:rsidRPr="002A20DA" w:rsidRDefault="00AE6B82" w:rsidP="00EC13B7">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536" w:type="dxa"/>
            <w:vMerge/>
          </w:tcPr>
          <w:p w14:paraId="73B79F04" w14:textId="77777777" w:rsidR="00AE6B82" w:rsidRPr="002A20DA" w:rsidRDefault="00AE6B82"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665C57C8"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tcPr>
          <w:p w14:paraId="7FA09341"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總統公布</w:t>
            </w:r>
          </w:p>
          <w:p w14:paraId="4E3E31A1"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日期及文號</w:t>
            </w:r>
          </w:p>
        </w:tc>
        <w:tc>
          <w:tcPr>
            <w:tcW w:w="1107" w:type="dxa"/>
            <w:vMerge/>
          </w:tcPr>
          <w:p w14:paraId="4302C1A2"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r>
      <w:tr w:rsidR="00AE6B82" w:rsidRPr="002A20DA" w14:paraId="06C8041C" w14:textId="77777777" w:rsidTr="00EC13B7">
        <w:trPr>
          <w:trHeight w:val="645"/>
        </w:trPr>
        <w:tc>
          <w:tcPr>
            <w:tcW w:w="511" w:type="dxa"/>
          </w:tcPr>
          <w:p w14:paraId="1EF0A22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w:t>
            </w:r>
          </w:p>
        </w:tc>
        <w:tc>
          <w:tcPr>
            <w:tcW w:w="1157" w:type="dxa"/>
          </w:tcPr>
          <w:p w14:paraId="1088F0D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1.法務部法醫研究所組織法第二條及第五條條文修正草案</w:t>
            </w:r>
          </w:p>
        </w:tc>
        <w:tc>
          <w:tcPr>
            <w:tcW w:w="1512" w:type="dxa"/>
          </w:tcPr>
          <w:p w14:paraId="708BE63B"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 xml:space="preserve">行政院 109.09.18 </w:t>
            </w:r>
          </w:p>
          <w:p w14:paraId="420C50E2"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（10-2-1）</w:t>
            </w:r>
          </w:p>
        </w:tc>
        <w:tc>
          <w:tcPr>
            <w:tcW w:w="1536" w:type="dxa"/>
            <w:vMerge w:val="restart"/>
          </w:tcPr>
          <w:p w14:paraId="6D87B3D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本會111.12.12</w:t>
            </w:r>
          </w:p>
          <w:p w14:paraId="0A0BDCE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(10-6-26)審查完竣，不須交由黨團協商。</w:t>
            </w:r>
          </w:p>
        </w:tc>
        <w:tc>
          <w:tcPr>
            <w:tcW w:w="1320" w:type="dxa"/>
            <w:vMerge w:val="restart"/>
          </w:tcPr>
          <w:p w14:paraId="04259B8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31CD34B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2.27</w:t>
            </w:r>
          </w:p>
          <w:p w14:paraId="286BDE58"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 xml:space="preserve"> </w:t>
            </w:r>
          </w:p>
          <w:p w14:paraId="4D3DA099"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spacing w:val="-20"/>
                <w:kern w:val="0"/>
                <w:szCs w:val="22"/>
              </w:rPr>
              <w:t>三讀修正第二條及第五條條文</w:t>
            </w:r>
          </w:p>
        </w:tc>
        <w:tc>
          <w:tcPr>
            <w:tcW w:w="1735" w:type="dxa"/>
            <w:vMerge w:val="restart"/>
          </w:tcPr>
          <w:p w14:paraId="5046E42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112年1月9日台立院議字第1110704892號</w:t>
            </w:r>
          </w:p>
          <w:p w14:paraId="4AAA719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07D4C97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112年1月13日</w:t>
            </w:r>
          </w:p>
          <w:p w14:paraId="094257C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華總一義字第11200002881號</w:t>
            </w:r>
          </w:p>
        </w:tc>
        <w:tc>
          <w:tcPr>
            <w:tcW w:w="1107" w:type="dxa"/>
            <w:vMerge w:val="restart"/>
          </w:tcPr>
          <w:p w14:paraId="512EADA2"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第7640號</w:t>
            </w:r>
          </w:p>
        </w:tc>
      </w:tr>
      <w:tr w:rsidR="00AE6B82" w:rsidRPr="002A20DA" w14:paraId="51640AFB" w14:textId="77777777" w:rsidTr="00EC13B7">
        <w:trPr>
          <w:trHeight w:val="645"/>
        </w:trPr>
        <w:tc>
          <w:tcPr>
            <w:tcW w:w="511" w:type="dxa"/>
          </w:tcPr>
          <w:p w14:paraId="42525AF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w:t>
            </w:r>
          </w:p>
        </w:tc>
        <w:tc>
          <w:tcPr>
            <w:tcW w:w="1157" w:type="dxa"/>
          </w:tcPr>
          <w:p w14:paraId="6C79C4A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2.法務部法醫研究所組織法第二條及第五條條文修正草案</w:t>
            </w:r>
          </w:p>
        </w:tc>
        <w:tc>
          <w:tcPr>
            <w:tcW w:w="1512" w:type="dxa"/>
          </w:tcPr>
          <w:p w14:paraId="1679F03F"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 xml:space="preserve">委員萬美玲等23人 109.09.25 </w:t>
            </w:r>
          </w:p>
          <w:p w14:paraId="5F024F91"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（10-2-2）</w:t>
            </w:r>
          </w:p>
        </w:tc>
        <w:tc>
          <w:tcPr>
            <w:tcW w:w="1536" w:type="dxa"/>
            <w:vMerge/>
          </w:tcPr>
          <w:p w14:paraId="76B34DB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57B9F9E4"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14B47C8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6B19A1E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3723E1EC" w14:textId="77777777" w:rsidTr="00EC13B7">
        <w:trPr>
          <w:trHeight w:val="645"/>
        </w:trPr>
        <w:tc>
          <w:tcPr>
            <w:tcW w:w="511" w:type="dxa"/>
          </w:tcPr>
          <w:p w14:paraId="06061BB9"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w:t>
            </w:r>
          </w:p>
        </w:tc>
        <w:tc>
          <w:tcPr>
            <w:tcW w:w="1157" w:type="dxa"/>
          </w:tcPr>
          <w:p w14:paraId="3362483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3.法務部法醫研究所組織法第二條條文修正草案</w:t>
            </w:r>
          </w:p>
        </w:tc>
        <w:tc>
          <w:tcPr>
            <w:tcW w:w="1512" w:type="dxa"/>
          </w:tcPr>
          <w:p w14:paraId="5C7884A6"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20"/>
                <w:kern w:val="0"/>
                <w:szCs w:val="22"/>
              </w:rPr>
              <w:t xml:space="preserve">時代力量黨團 </w:t>
            </w:r>
            <w:r w:rsidRPr="002A20DA">
              <w:rPr>
                <w:rFonts w:ascii="標楷體" w:eastAsia="標楷體" w:hAnsi="標楷體" w:hint="eastAsia"/>
                <w:color w:val="000000"/>
                <w:spacing w:val="-10"/>
                <w:kern w:val="0"/>
                <w:szCs w:val="22"/>
              </w:rPr>
              <w:t xml:space="preserve">109.10.23 </w:t>
            </w:r>
          </w:p>
          <w:p w14:paraId="1685B005"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（10-2-4）</w:t>
            </w:r>
          </w:p>
        </w:tc>
        <w:tc>
          <w:tcPr>
            <w:tcW w:w="1536" w:type="dxa"/>
            <w:vMerge/>
          </w:tcPr>
          <w:p w14:paraId="21BE6FE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21D6F031"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4DC95F6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415D662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6EE094B0" w14:textId="77777777" w:rsidTr="00EC13B7">
        <w:trPr>
          <w:trHeight w:val="645"/>
        </w:trPr>
        <w:tc>
          <w:tcPr>
            <w:tcW w:w="511" w:type="dxa"/>
          </w:tcPr>
          <w:p w14:paraId="769EDDB8"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4</w:t>
            </w:r>
          </w:p>
        </w:tc>
        <w:tc>
          <w:tcPr>
            <w:tcW w:w="1157" w:type="dxa"/>
          </w:tcPr>
          <w:p w14:paraId="47ACC48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4.法務部法醫研究所組織法第二條條文修正草案</w:t>
            </w:r>
          </w:p>
        </w:tc>
        <w:tc>
          <w:tcPr>
            <w:tcW w:w="1512" w:type="dxa"/>
          </w:tcPr>
          <w:p w14:paraId="49FBF2B7"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委員黃世杰等20人 111.03.11 </w:t>
            </w:r>
          </w:p>
          <w:p w14:paraId="619B2C7F"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（10-5-3）</w:t>
            </w:r>
          </w:p>
        </w:tc>
        <w:tc>
          <w:tcPr>
            <w:tcW w:w="1536" w:type="dxa"/>
            <w:vMerge/>
          </w:tcPr>
          <w:p w14:paraId="1906F20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3A80EED5"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7F5742DB"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51ACD7D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001F4ABB" w14:textId="77777777" w:rsidTr="00EC13B7">
        <w:trPr>
          <w:trHeight w:val="279"/>
        </w:trPr>
        <w:tc>
          <w:tcPr>
            <w:tcW w:w="511" w:type="dxa"/>
          </w:tcPr>
          <w:p w14:paraId="38B51860"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p>
        </w:tc>
        <w:tc>
          <w:tcPr>
            <w:tcW w:w="1157" w:type="dxa"/>
          </w:tcPr>
          <w:p w14:paraId="1674FF3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5</w:t>
            </w:r>
            <w:r w:rsidRPr="002A20DA">
              <w:rPr>
                <w:rFonts w:ascii="標楷體" w:eastAsia="標楷體" w:hAnsi="標楷體"/>
                <w:color w:val="000000"/>
                <w:kern w:val="0"/>
                <w:szCs w:val="22"/>
              </w:rPr>
              <w:t>.法務部法醫研究所組織法第二條及第五條條</w:t>
            </w:r>
            <w:r w:rsidRPr="002A20DA">
              <w:rPr>
                <w:rFonts w:ascii="標楷體" w:eastAsia="標楷體" w:hAnsi="標楷體"/>
                <w:color w:val="000000"/>
                <w:kern w:val="0"/>
                <w:szCs w:val="22"/>
              </w:rPr>
              <w:lastRenderedPageBreak/>
              <w:t>文修正草案</w:t>
            </w:r>
          </w:p>
        </w:tc>
        <w:tc>
          <w:tcPr>
            <w:tcW w:w="1512" w:type="dxa"/>
          </w:tcPr>
          <w:p w14:paraId="216F500D" w14:textId="037D7CE5" w:rsidR="00AE6B82" w:rsidRPr="002A20DA" w:rsidRDefault="00554462" w:rsidP="00EC13B7">
            <w:pPr>
              <w:kinsoku w:val="0"/>
              <w:overflowPunct w:val="0"/>
              <w:adjustRightInd w:val="0"/>
              <w:snapToGrid w:val="0"/>
              <w:spacing w:line="300" w:lineRule="exact"/>
              <w:rPr>
                <w:rFonts w:ascii="標楷體" w:eastAsia="標楷體" w:hAnsi="標楷體"/>
                <w:color w:val="000000"/>
                <w:spacing w:val="-10"/>
                <w:kern w:val="0"/>
                <w:szCs w:val="22"/>
              </w:rPr>
            </w:pPr>
            <w:r>
              <w:rPr>
                <w:rFonts w:ascii="標楷體" w:eastAsia="標楷體" w:hAnsi="標楷體" w:hint="eastAsia"/>
                <w:color w:val="000000"/>
                <w:spacing w:val="-10"/>
                <w:kern w:val="0"/>
                <w:szCs w:val="22"/>
              </w:rPr>
              <w:lastRenderedPageBreak/>
              <w:t>台灣</w:t>
            </w:r>
            <w:r w:rsidR="00AE6B82" w:rsidRPr="002A20DA">
              <w:rPr>
                <w:rFonts w:ascii="標楷體" w:eastAsia="標楷體" w:hAnsi="標楷體"/>
                <w:color w:val="000000"/>
                <w:spacing w:val="-10"/>
                <w:kern w:val="0"/>
                <w:szCs w:val="22"/>
              </w:rPr>
              <w:t xml:space="preserve">民眾黨黨團 111.03.18 </w:t>
            </w:r>
          </w:p>
          <w:p w14:paraId="465EB44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（10-5-4）</w:t>
            </w:r>
          </w:p>
        </w:tc>
        <w:tc>
          <w:tcPr>
            <w:tcW w:w="1536" w:type="dxa"/>
            <w:vMerge/>
          </w:tcPr>
          <w:p w14:paraId="3A35D790"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3E9B80C3"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6EA77D52"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2A7FB3B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4E06D2CF" w14:textId="77777777" w:rsidTr="00EC13B7">
        <w:trPr>
          <w:trHeight w:val="645"/>
        </w:trPr>
        <w:tc>
          <w:tcPr>
            <w:tcW w:w="511" w:type="dxa"/>
          </w:tcPr>
          <w:p w14:paraId="4B829F1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6</w:t>
            </w:r>
          </w:p>
        </w:tc>
        <w:tc>
          <w:tcPr>
            <w:tcW w:w="1157" w:type="dxa"/>
          </w:tcPr>
          <w:p w14:paraId="6D1DB67A"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6</w:t>
            </w:r>
            <w:r w:rsidRPr="002A20DA">
              <w:rPr>
                <w:rFonts w:ascii="標楷體" w:eastAsia="標楷體" w:hAnsi="標楷體"/>
                <w:color w:val="000000"/>
                <w:kern w:val="0"/>
                <w:szCs w:val="22"/>
              </w:rPr>
              <w:t>.法務部法醫研究所組織法第二條及第五條條文修正草案</w:t>
            </w:r>
          </w:p>
        </w:tc>
        <w:tc>
          <w:tcPr>
            <w:tcW w:w="1512" w:type="dxa"/>
          </w:tcPr>
          <w:p w14:paraId="27EE6A59"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委員伍麗華Saidhai‧</w:t>
            </w:r>
          </w:p>
          <w:p w14:paraId="00728DE9"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Tahovecahe等17人 111.05.20 </w:t>
            </w:r>
          </w:p>
          <w:p w14:paraId="45BAD24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（10-5-13）</w:t>
            </w:r>
          </w:p>
        </w:tc>
        <w:tc>
          <w:tcPr>
            <w:tcW w:w="1536" w:type="dxa"/>
            <w:vMerge/>
          </w:tcPr>
          <w:p w14:paraId="2B20BA5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21997FC9"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18C8163E"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4F0A024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6F296CF8" w14:textId="77777777" w:rsidTr="00EC13B7">
        <w:trPr>
          <w:trHeight w:val="645"/>
        </w:trPr>
        <w:tc>
          <w:tcPr>
            <w:tcW w:w="511" w:type="dxa"/>
          </w:tcPr>
          <w:p w14:paraId="76D227B0"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p>
        </w:tc>
        <w:tc>
          <w:tcPr>
            <w:tcW w:w="1157" w:type="dxa"/>
          </w:tcPr>
          <w:p w14:paraId="774978A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1.法務部司法官學院組織法第二條及第八條條文修正草案</w:t>
            </w:r>
          </w:p>
        </w:tc>
        <w:tc>
          <w:tcPr>
            <w:tcW w:w="1512" w:type="dxa"/>
          </w:tcPr>
          <w:p w14:paraId="58A5B5B1"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 xml:space="preserve">行政院 109.09.18 </w:t>
            </w:r>
          </w:p>
          <w:p w14:paraId="68383538"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（10-2-1）</w:t>
            </w:r>
          </w:p>
        </w:tc>
        <w:tc>
          <w:tcPr>
            <w:tcW w:w="1536" w:type="dxa"/>
            <w:vMerge w:val="restart"/>
          </w:tcPr>
          <w:p w14:paraId="4F5E911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本會111.12.12</w:t>
            </w:r>
          </w:p>
          <w:p w14:paraId="79F100D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(10-6-26)審查完竣，不須交由黨團協商。</w:t>
            </w:r>
          </w:p>
        </w:tc>
        <w:tc>
          <w:tcPr>
            <w:tcW w:w="1320" w:type="dxa"/>
            <w:vMerge w:val="restart"/>
          </w:tcPr>
          <w:p w14:paraId="2DB9F7A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525E4FFA"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2.27</w:t>
            </w:r>
          </w:p>
          <w:p w14:paraId="072F1E43"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 xml:space="preserve"> </w:t>
            </w:r>
          </w:p>
          <w:p w14:paraId="35A8AE28"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spacing w:val="-20"/>
                <w:kern w:val="0"/>
                <w:szCs w:val="22"/>
              </w:rPr>
              <w:t>三讀修正第二條及第八條條文</w:t>
            </w:r>
          </w:p>
        </w:tc>
        <w:tc>
          <w:tcPr>
            <w:tcW w:w="1735" w:type="dxa"/>
            <w:vMerge w:val="restart"/>
          </w:tcPr>
          <w:p w14:paraId="232E08C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112年1月9日台立院議字第1110704894號</w:t>
            </w:r>
          </w:p>
          <w:p w14:paraId="38128DE2"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p w14:paraId="3AD9F2A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112年1月13日</w:t>
            </w:r>
          </w:p>
          <w:p w14:paraId="563F3C3F"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color w:val="000000"/>
                <w:spacing w:val="-20"/>
                <w:szCs w:val="22"/>
              </w:rPr>
              <w:t>華總一義字第11200002891號</w:t>
            </w:r>
          </w:p>
        </w:tc>
        <w:tc>
          <w:tcPr>
            <w:tcW w:w="1107" w:type="dxa"/>
            <w:vMerge w:val="restart"/>
          </w:tcPr>
          <w:p w14:paraId="52F72A95"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第7640號</w:t>
            </w:r>
          </w:p>
        </w:tc>
      </w:tr>
      <w:tr w:rsidR="00AE6B82" w:rsidRPr="002A20DA" w14:paraId="7B8B117D" w14:textId="77777777" w:rsidTr="00EC13B7">
        <w:trPr>
          <w:trHeight w:val="645"/>
        </w:trPr>
        <w:tc>
          <w:tcPr>
            <w:tcW w:w="511" w:type="dxa"/>
          </w:tcPr>
          <w:p w14:paraId="234653F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w:t>
            </w:r>
          </w:p>
        </w:tc>
        <w:tc>
          <w:tcPr>
            <w:tcW w:w="1157" w:type="dxa"/>
          </w:tcPr>
          <w:p w14:paraId="5C0F031D"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2.</w:t>
            </w:r>
            <w:r w:rsidRPr="002A20DA">
              <w:rPr>
                <w:rFonts w:ascii="標楷體" w:eastAsia="標楷體" w:hAnsi="標楷體"/>
                <w:color w:val="000000"/>
                <w:kern w:val="0"/>
                <w:szCs w:val="22"/>
              </w:rPr>
              <w:t>法務部司法官學院組織法第二條條文修正草案</w:t>
            </w:r>
          </w:p>
        </w:tc>
        <w:tc>
          <w:tcPr>
            <w:tcW w:w="1512" w:type="dxa"/>
          </w:tcPr>
          <w:p w14:paraId="46F76313"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委員黃世杰等19人 111.03.11 </w:t>
            </w:r>
          </w:p>
          <w:p w14:paraId="1BA0AD31"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（10-5-3）</w:t>
            </w:r>
          </w:p>
        </w:tc>
        <w:tc>
          <w:tcPr>
            <w:tcW w:w="1536" w:type="dxa"/>
            <w:vMerge/>
          </w:tcPr>
          <w:p w14:paraId="7E20E9B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4FB42006"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4C3D65B6"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6A73E7A8"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308C7479" w14:textId="77777777" w:rsidTr="00EC13B7">
        <w:trPr>
          <w:trHeight w:val="645"/>
        </w:trPr>
        <w:tc>
          <w:tcPr>
            <w:tcW w:w="511" w:type="dxa"/>
          </w:tcPr>
          <w:p w14:paraId="212AD31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9</w:t>
            </w:r>
          </w:p>
        </w:tc>
        <w:tc>
          <w:tcPr>
            <w:tcW w:w="1157" w:type="dxa"/>
          </w:tcPr>
          <w:p w14:paraId="02F1A5D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.法務部司法官學院組織法第二條及第八條條文修正草案</w:t>
            </w:r>
          </w:p>
        </w:tc>
        <w:tc>
          <w:tcPr>
            <w:tcW w:w="1512" w:type="dxa"/>
          </w:tcPr>
          <w:p w14:paraId="0B736287" w14:textId="3BF04D4F" w:rsidR="00AE6B82" w:rsidRPr="002A20DA" w:rsidRDefault="00554462" w:rsidP="00EC13B7">
            <w:pPr>
              <w:kinsoku w:val="0"/>
              <w:overflowPunct w:val="0"/>
              <w:adjustRightInd w:val="0"/>
              <w:snapToGrid w:val="0"/>
              <w:spacing w:line="300" w:lineRule="exact"/>
              <w:rPr>
                <w:rFonts w:ascii="標楷體" w:eastAsia="標楷體" w:hAnsi="標楷體"/>
                <w:color w:val="000000"/>
                <w:spacing w:val="-10"/>
                <w:kern w:val="0"/>
                <w:szCs w:val="22"/>
              </w:rPr>
            </w:pPr>
            <w:r>
              <w:rPr>
                <w:rFonts w:ascii="標楷體" w:eastAsia="標楷體" w:hAnsi="標楷體" w:hint="eastAsia"/>
                <w:color w:val="000000"/>
                <w:spacing w:val="-10"/>
                <w:kern w:val="0"/>
                <w:szCs w:val="22"/>
              </w:rPr>
              <w:t>台灣</w:t>
            </w:r>
            <w:r w:rsidR="00AE6B82" w:rsidRPr="002A20DA">
              <w:rPr>
                <w:rFonts w:ascii="標楷體" w:eastAsia="標楷體" w:hAnsi="標楷體"/>
                <w:color w:val="000000"/>
                <w:spacing w:val="-10"/>
                <w:kern w:val="0"/>
                <w:szCs w:val="22"/>
              </w:rPr>
              <w:t xml:space="preserve">民眾黨黨團 111.03.18 </w:t>
            </w:r>
          </w:p>
          <w:p w14:paraId="64978479"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（10-5-4）</w:t>
            </w:r>
          </w:p>
        </w:tc>
        <w:tc>
          <w:tcPr>
            <w:tcW w:w="1536" w:type="dxa"/>
            <w:vMerge/>
          </w:tcPr>
          <w:p w14:paraId="23C205F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656BB47D"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6FF7FE7E"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17EB14DF"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205C18C9" w14:textId="77777777" w:rsidTr="00EC13B7">
        <w:trPr>
          <w:trHeight w:val="645"/>
        </w:trPr>
        <w:tc>
          <w:tcPr>
            <w:tcW w:w="511" w:type="dxa"/>
          </w:tcPr>
          <w:p w14:paraId="175D080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w:t>
            </w:r>
            <w:r w:rsidRPr="002A20DA">
              <w:rPr>
                <w:rFonts w:ascii="標楷體" w:eastAsia="標楷體" w:hAnsi="標楷體"/>
                <w:color w:val="000000"/>
                <w:spacing w:val="-20"/>
                <w:szCs w:val="22"/>
              </w:rPr>
              <w:t>0</w:t>
            </w:r>
          </w:p>
        </w:tc>
        <w:tc>
          <w:tcPr>
            <w:tcW w:w="1157" w:type="dxa"/>
          </w:tcPr>
          <w:p w14:paraId="670A6FC7"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4</w:t>
            </w:r>
            <w:r w:rsidRPr="002A20DA">
              <w:rPr>
                <w:rFonts w:ascii="標楷體" w:eastAsia="標楷體" w:hAnsi="標楷體"/>
                <w:color w:val="000000"/>
                <w:kern w:val="0"/>
                <w:szCs w:val="22"/>
              </w:rPr>
              <w:t>.法務部司法官學院組織法第二條及第八條條文修正草案</w:t>
            </w:r>
          </w:p>
        </w:tc>
        <w:tc>
          <w:tcPr>
            <w:tcW w:w="1512" w:type="dxa"/>
          </w:tcPr>
          <w:p w14:paraId="166F00B5"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委員伍麗華Saidhai‧</w:t>
            </w:r>
          </w:p>
          <w:p w14:paraId="3B7AEA4F"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Tahovecahe等16人 111.05.20 </w:t>
            </w:r>
          </w:p>
          <w:p w14:paraId="757BA845"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（10-5-13）</w:t>
            </w:r>
          </w:p>
        </w:tc>
        <w:tc>
          <w:tcPr>
            <w:tcW w:w="1536" w:type="dxa"/>
            <w:vMerge/>
          </w:tcPr>
          <w:p w14:paraId="23F35B86"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20" w:type="dxa"/>
            <w:vMerge/>
          </w:tcPr>
          <w:p w14:paraId="4A0AF247"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20FD7C6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3799BFB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7DA5E499" w14:textId="77777777" w:rsidTr="00EC13B7">
        <w:trPr>
          <w:trHeight w:val="645"/>
        </w:trPr>
        <w:tc>
          <w:tcPr>
            <w:tcW w:w="511" w:type="dxa"/>
          </w:tcPr>
          <w:p w14:paraId="082F99E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w:t>
            </w:r>
            <w:r w:rsidRPr="002A20DA">
              <w:rPr>
                <w:rFonts w:ascii="標楷體" w:eastAsia="標楷體" w:hAnsi="標楷體"/>
                <w:color w:val="000000"/>
                <w:spacing w:val="-20"/>
                <w:szCs w:val="22"/>
              </w:rPr>
              <w:t>1</w:t>
            </w:r>
          </w:p>
        </w:tc>
        <w:tc>
          <w:tcPr>
            <w:tcW w:w="1157" w:type="dxa"/>
          </w:tcPr>
          <w:p w14:paraId="2531212B"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少年矯正學校設置及教育實施通則第四十六條條文修正草案</w:t>
            </w:r>
          </w:p>
        </w:tc>
        <w:tc>
          <w:tcPr>
            <w:tcW w:w="1512" w:type="dxa"/>
          </w:tcPr>
          <w:p w14:paraId="68D2431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委員黃世杰等20人 111.11.04 </w:t>
            </w:r>
          </w:p>
          <w:p w14:paraId="6563B1D9"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（10-6-6）</w:t>
            </w:r>
          </w:p>
        </w:tc>
        <w:tc>
          <w:tcPr>
            <w:tcW w:w="1536" w:type="dxa"/>
          </w:tcPr>
          <w:p w14:paraId="3CAAC76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本會111.12.12</w:t>
            </w:r>
          </w:p>
          <w:p w14:paraId="7EB0474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(10-6-26)審查完竣，不須交由黨團協商。</w:t>
            </w:r>
          </w:p>
        </w:tc>
        <w:tc>
          <w:tcPr>
            <w:tcW w:w="1320" w:type="dxa"/>
          </w:tcPr>
          <w:p w14:paraId="4BAC5E77"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2EB0E10F"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2.27</w:t>
            </w:r>
          </w:p>
          <w:p w14:paraId="52B6D08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 xml:space="preserve"> </w:t>
            </w:r>
          </w:p>
          <w:p w14:paraId="4A6A5083"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spacing w:val="-20"/>
                <w:kern w:val="0"/>
                <w:szCs w:val="22"/>
              </w:rPr>
              <w:t>三讀修正第四十六條條文</w:t>
            </w:r>
          </w:p>
        </w:tc>
        <w:tc>
          <w:tcPr>
            <w:tcW w:w="1735" w:type="dxa"/>
          </w:tcPr>
          <w:p w14:paraId="6B9F956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112年1月9日台立院議字第1110704932號</w:t>
            </w:r>
          </w:p>
          <w:p w14:paraId="64331B6E"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p w14:paraId="17B03FC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112年1月13日</w:t>
            </w:r>
          </w:p>
          <w:p w14:paraId="5F8B6F96"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color w:val="000000"/>
                <w:spacing w:val="-20"/>
                <w:szCs w:val="22"/>
              </w:rPr>
              <w:t>華總一義字第11200002901號</w:t>
            </w:r>
          </w:p>
        </w:tc>
        <w:tc>
          <w:tcPr>
            <w:tcW w:w="1107" w:type="dxa"/>
          </w:tcPr>
          <w:p w14:paraId="0344B37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第7640號</w:t>
            </w:r>
          </w:p>
        </w:tc>
      </w:tr>
      <w:tr w:rsidR="00AE6B82" w:rsidRPr="002A20DA" w14:paraId="3370D213" w14:textId="77777777" w:rsidTr="00EC13B7">
        <w:trPr>
          <w:trHeight w:val="645"/>
        </w:trPr>
        <w:tc>
          <w:tcPr>
            <w:tcW w:w="511" w:type="dxa"/>
          </w:tcPr>
          <w:p w14:paraId="603FB1E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w:t>
            </w:r>
            <w:r w:rsidRPr="002A20DA">
              <w:rPr>
                <w:rFonts w:ascii="標楷體" w:eastAsia="標楷體" w:hAnsi="標楷體"/>
                <w:color w:val="000000"/>
                <w:spacing w:val="-20"/>
                <w:szCs w:val="22"/>
              </w:rPr>
              <w:t>2</w:t>
            </w:r>
          </w:p>
        </w:tc>
        <w:tc>
          <w:tcPr>
            <w:tcW w:w="1157" w:type="dxa"/>
          </w:tcPr>
          <w:p w14:paraId="0698C01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1.</w:t>
            </w:r>
            <w:r w:rsidRPr="002A20DA">
              <w:rPr>
                <w:rFonts w:ascii="標楷體" w:eastAsia="標楷體" w:hAnsi="標楷體"/>
                <w:color w:val="000000"/>
                <w:kern w:val="0"/>
                <w:szCs w:val="22"/>
              </w:rPr>
              <w:t>少年觀護所設置及實施通則第二條</w:t>
            </w:r>
            <w:r w:rsidRPr="002A20DA">
              <w:rPr>
                <w:rFonts w:ascii="標楷體" w:eastAsia="標楷體" w:hAnsi="標楷體"/>
                <w:color w:val="000000"/>
                <w:kern w:val="0"/>
                <w:szCs w:val="22"/>
              </w:rPr>
              <w:lastRenderedPageBreak/>
              <w:t>條文修正草案</w:t>
            </w:r>
          </w:p>
        </w:tc>
        <w:tc>
          <w:tcPr>
            <w:tcW w:w="1512" w:type="dxa"/>
          </w:tcPr>
          <w:p w14:paraId="2D0EE02B"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lastRenderedPageBreak/>
              <w:t xml:space="preserve">委員黃世杰等22人 111.11.04 </w:t>
            </w:r>
          </w:p>
          <w:p w14:paraId="2EBA9DF9"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（10-6-6）</w:t>
            </w:r>
          </w:p>
        </w:tc>
        <w:tc>
          <w:tcPr>
            <w:tcW w:w="1536" w:type="dxa"/>
            <w:vMerge w:val="restart"/>
          </w:tcPr>
          <w:p w14:paraId="484B36D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本會111.12.12</w:t>
            </w:r>
          </w:p>
          <w:p w14:paraId="0882D63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(10-6-26)審查完竣，不須交由黨團協商。</w:t>
            </w:r>
          </w:p>
        </w:tc>
        <w:tc>
          <w:tcPr>
            <w:tcW w:w="1320" w:type="dxa"/>
            <w:vMerge w:val="restart"/>
          </w:tcPr>
          <w:p w14:paraId="1E606069"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725F559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2.27</w:t>
            </w:r>
          </w:p>
          <w:p w14:paraId="4E644E16"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 xml:space="preserve"> </w:t>
            </w:r>
          </w:p>
          <w:p w14:paraId="79148B1D"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spacing w:val="-20"/>
                <w:kern w:val="0"/>
                <w:szCs w:val="22"/>
              </w:rPr>
              <w:t>三讀修正第</w:t>
            </w:r>
            <w:r w:rsidRPr="002A20DA">
              <w:rPr>
                <w:rFonts w:ascii="標楷體" w:eastAsia="標楷體" w:hAnsi="標楷體" w:hint="eastAsia"/>
                <w:spacing w:val="-20"/>
                <w:kern w:val="0"/>
                <w:szCs w:val="22"/>
              </w:rPr>
              <w:lastRenderedPageBreak/>
              <w:t>二條條文</w:t>
            </w:r>
          </w:p>
        </w:tc>
        <w:tc>
          <w:tcPr>
            <w:tcW w:w="1735" w:type="dxa"/>
            <w:vMerge w:val="restart"/>
          </w:tcPr>
          <w:p w14:paraId="2429D1A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112年1月9日台立院議字第1110704935號</w:t>
            </w:r>
          </w:p>
          <w:p w14:paraId="735D69F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61B6B7D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112年1月13日</w:t>
            </w:r>
          </w:p>
          <w:p w14:paraId="39B88DC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華總一義字第11200002911號</w:t>
            </w:r>
          </w:p>
        </w:tc>
        <w:tc>
          <w:tcPr>
            <w:tcW w:w="1107" w:type="dxa"/>
            <w:vMerge w:val="restart"/>
          </w:tcPr>
          <w:p w14:paraId="7824B641"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第7640號</w:t>
            </w:r>
          </w:p>
        </w:tc>
      </w:tr>
      <w:tr w:rsidR="00AE6B82" w:rsidRPr="002A20DA" w14:paraId="093AB198" w14:textId="77777777" w:rsidTr="00EC13B7">
        <w:trPr>
          <w:trHeight w:val="645"/>
        </w:trPr>
        <w:tc>
          <w:tcPr>
            <w:tcW w:w="511" w:type="dxa"/>
          </w:tcPr>
          <w:p w14:paraId="0A38037D"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1</w:t>
            </w:r>
            <w:r w:rsidRPr="002A20DA">
              <w:rPr>
                <w:rFonts w:ascii="標楷體" w:eastAsia="標楷體" w:hAnsi="標楷體"/>
                <w:color w:val="000000"/>
                <w:spacing w:val="-20"/>
                <w:szCs w:val="22"/>
              </w:rPr>
              <w:t>3</w:t>
            </w:r>
          </w:p>
        </w:tc>
        <w:tc>
          <w:tcPr>
            <w:tcW w:w="1157" w:type="dxa"/>
          </w:tcPr>
          <w:p w14:paraId="21EA8B0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2.少年觀護所設置及實施通則第二條條文修正草案</w:t>
            </w:r>
          </w:p>
        </w:tc>
        <w:tc>
          <w:tcPr>
            <w:tcW w:w="1512" w:type="dxa"/>
          </w:tcPr>
          <w:p w14:paraId="3DE57E37"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委員林宜瑾等18人 111.11.25 </w:t>
            </w:r>
          </w:p>
          <w:p w14:paraId="2827CD9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（10-6-9）</w:t>
            </w:r>
          </w:p>
        </w:tc>
        <w:tc>
          <w:tcPr>
            <w:tcW w:w="1536" w:type="dxa"/>
            <w:vMerge/>
          </w:tcPr>
          <w:p w14:paraId="1A05CF07" w14:textId="77777777" w:rsidR="00AE6B82" w:rsidRPr="002A20DA" w:rsidRDefault="00AE6B82"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6BE3FE7B"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735" w:type="dxa"/>
            <w:vMerge/>
          </w:tcPr>
          <w:p w14:paraId="24A6A4B4"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107" w:type="dxa"/>
            <w:vMerge/>
          </w:tcPr>
          <w:p w14:paraId="28095626"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r>
      <w:tr w:rsidR="00AE6B82" w:rsidRPr="002A20DA" w14:paraId="6254734E" w14:textId="77777777" w:rsidTr="00EC13B7">
        <w:trPr>
          <w:trHeight w:val="645"/>
        </w:trPr>
        <w:tc>
          <w:tcPr>
            <w:tcW w:w="511" w:type="dxa"/>
          </w:tcPr>
          <w:p w14:paraId="2BBBDA2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14</w:t>
            </w:r>
          </w:p>
        </w:tc>
        <w:tc>
          <w:tcPr>
            <w:tcW w:w="1157" w:type="dxa"/>
          </w:tcPr>
          <w:p w14:paraId="60ABE98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1.國家運動科學中心設置條例草案</w:t>
            </w:r>
          </w:p>
        </w:tc>
        <w:tc>
          <w:tcPr>
            <w:tcW w:w="1512" w:type="dxa"/>
          </w:tcPr>
          <w:p w14:paraId="3E2A82BC"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行政院 111.09.23 </w:t>
            </w:r>
          </w:p>
          <w:p w14:paraId="7FE643F4"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（10-6-1）</w:t>
            </w:r>
          </w:p>
        </w:tc>
        <w:tc>
          <w:tcPr>
            <w:tcW w:w="1536" w:type="dxa"/>
            <w:vMerge w:val="restart"/>
          </w:tcPr>
          <w:p w14:paraId="3FC9E9C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1.本會、教育及文化委員會聯席會111.12.5</w:t>
            </w:r>
          </w:p>
          <w:p w14:paraId="401AD7D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(10-6-1)審查完竣，須交由黨團協商。</w:t>
            </w:r>
          </w:p>
          <w:p w14:paraId="60D7AE7E" w14:textId="77777777" w:rsidR="00AE6B82" w:rsidRPr="002A20DA" w:rsidRDefault="00AE6B82" w:rsidP="00EC13B7">
            <w:pPr>
              <w:kinsoku w:val="0"/>
              <w:topLinePunct/>
              <w:autoSpaceDE w:val="0"/>
              <w:autoSpaceDN w:val="0"/>
              <w:spacing w:line="300" w:lineRule="exact"/>
              <w:rPr>
                <w:rFonts w:ascii="標楷體" w:eastAsia="標楷體" w:hAnsi="標楷體"/>
                <w:b/>
                <w:color w:val="000000"/>
                <w:spacing w:val="-20"/>
                <w:szCs w:val="22"/>
              </w:rPr>
            </w:pPr>
            <w:r w:rsidRPr="002A20DA">
              <w:rPr>
                <w:rFonts w:ascii="標楷體" w:eastAsia="標楷體" w:hAnsi="標楷體" w:hint="eastAsia"/>
                <w:spacing w:val="-20"/>
                <w:kern w:val="0"/>
                <w:szCs w:val="22"/>
              </w:rPr>
              <w:t>2.111.12.30黨團協商。</w:t>
            </w:r>
          </w:p>
        </w:tc>
        <w:tc>
          <w:tcPr>
            <w:tcW w:w="1320" w:type="dxa"/>
            <w:vMerge w:val="restart"/>
          </w:tcPr>
          <w:p w14:paraId="4D4E11FB"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4714ADD7"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10</w:t>
            </w:r>
          </w:p>
          <w:p w14:paraId="7F5DDAE8"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5</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4EA3F34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spacing w:val="-20"/>
                <w:kern w:val="0"/>
                <w:szCs w:val="22"/>
              </w:rPr>
              <w:t>三讀制定國家運動科學中心設置條例</w:t>
            </w:r>
          </w:p>
        </w:tc>
        <w:tc>
          <w:tcPr>
            <w:tcW w:w="1735" w:type="dxa"/>
            <w:vMerge w:val="restart"/>
          </w:tcPr>
          <w:p w14:paraId="6BE1EBD0" w14:textId="77777777" w:rsidR="008025BE" w:rsidRDefault="008025BE" w:rsidP="008025BE">
            <w:pPr>
              <w:kinsoku w:val="0"/>
              <w:overflowPunct w:val="0"/>
              <w:spacing w:line="300" w:lineRule="exact"/>
              <w:rPr>
                <w:rFonts w:ascii="標楷體" w:eastAsia="標楷體" w:hAnsi="標楷體"/>
                <w:color w:val="000000" w:themeColor="text1"/>
                <w:spacing w:val="-20"/>
                <w:szCs w:val="22"/>
              </w:rPr>
            </w:pPr>
            <w:r>
              <w:rPr>
                <w:rFonts w:ascii="標楷體" w:eastAsia="標楷體" w:hAnsi="標楷體" w:hint="eastAsia"/>
                <w:color w:val="000000" w:themeColor="text1"/>
                <w:spacing w:val="-20"/>
              </w:rPr>
              <w:t>112年2月2日 台立院議字第1120700153號</w:t>
            </w:r>
          </w:p>
          <w:p w14:paraId="552076E8" w14:textId="77777777" w:rsidR="008025BE" w:rsidRDefault="008025BE" w:rsidP="008025BE">
            <w:pPr>
              <w:kinsoku w:val="0"/>
              <w:overflowPunct w:val="0"/>
              <w:spacing w:line="300" w:lineRule="exact"/>
              <w:rPr>
                <w:rFonts w:ascii="標楷體" w:eastAsia="標楷體" w:hAnsi="標楷體"/>
                <w:color w:val="000000" w:themeColor="text1"/>
                <w:spacing w:val="-20"/>
              </w:rPr>
            </w:pPr>
          </w:p>
          <w:p w14:paraId="02B82A49" w14:textId="6832577A" w:rsidR="00AE6B82" w:rsidRPr="002A20DA" w:rsidRDefault="008025BE" w:rsidP="008025BE">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rPr>
              <w:t>112年2月8日華總一義字第11200009151號</w:t>
            </w:r>
          </w:p>
        </w:tc>
        <w:tc>
          <w:tcPr>
            <w:tcW w:w="1107" w:type="dxa"/>
            <w:vMerge w:val="restart"/>
          </w:tcPr>
          <w:p w14:paraId="6E3AD6EF" w14:textId="69526682" w:rsidR="00AE6B82" w:rsidRPr="002A20DA" w:rsidRDefault="008025BE" w:rsidP="008025BE">
            <w:pPr>
              <w:kinsoku w:val="0"/>
              <w:overflowPunct w:val="0"/>
              <w:spacing w:line="300" w:lineRule="exact"/>
              <w:ind w:leftChars="-17" w:left="-3" w:hangingChars="19" w:hanging="38"/>
              <w:rPr>
                <w:rFonts w:ascii="標楷體" w:eastAsia="標楷體" w:hAnsi="標楷體"/>
                <w:color w:val="000000"/>
                <w:spacing w:val="-20"/>
                <w:szCs w:val="22"/>
              </w:rPr>
            </w:pPr>
            <w:r>
              <w:rPr>
                <w:rFonts w:ascii="標楷體" w:eastAsia="標楷體" w:hAnsi="標楷體" w:hint="eastAsia"/>
                <w:color w:val="000000" w:themeColor="text1"/>
                <w:spacing w:val="-20"/>
                <w:kern w:val="0"/>
              </w:rPr>
              <w:t>第7645號</w:t>
            </w:r>
          </w:p>
        </w:tc>
      </w:tr>
      <w:tr w:rsidR="00AE6B82" w:rsidRPr="002A20DA" w14:paraId="0085D049" w14:textId="77777777" w:rsidTr="00EC13B7">
        <w:trPr>
          <w:trHeight w:val="645"/>
        </w:trPr>
        <w:tc>
          <w:tcPr>
            <w:tcW w:w="511" w:type="dxa"/>
          </w:tcPr>
          <w:p w14:paraId="5CD8581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15</w:t>
            </w:r>
          </w:p>
        </w:tc>
        <w:tc>
          <w:tcPr>
            <w:tcW w:w="1157" w:type="dxa"/>
          </w:tcPr>
          <w:p w14:paraId="72B7711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2.國家運動科學中心設置條例草案</w:t>
            </w:r>
          </w:p>
        </w:tc>
        <w:tc>
          <w:tcPr>
            <w:tcW w:w="1512" w:type="dxa"/>
          </w:tcPr>
          <w:p w14:paraId="027B9027"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台灣民眾黨黨團 111.09.23 </w:t>
            </w:r>
          </w:p>
          <w:p w14:paraId="5955CC35"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（10-6-1）</w:t>
            </w:r>
          </w:p>
        </w:tc>
        <w:tc>
          <w:tcPr>
            <w:tcW w:w="1536" w:type="dxa"/>
            <w:vMerge/>
          </w:tcPr>
          <w:p w14:paraId="4B87F542" w14:textId="77777777" w:rsidR="00AE6B82" w:rsidRPr="002A20DA" w:rsidRDefault="00AE6B82"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39D8B3F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497C5C5A"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42EFB1D3"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r w:rsidR="00AE6B82" w:rsidRPr="002A20DA" w14:paraId="59FDADEA" w14:textId="77777777" w:rsidTr="00EC13B7">
        <w:trPr>
          <w:trHeight w:val="645"/>
        </w:trPr>
        <w:tc>
          <w:tcPr>
            <w:tcW w:w="511" w:type="dxa"/>
          </w:tcPr>
          <w:p w14:paraId="289431D3"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16</w:t>
            </w:r>
          </w:p>
        </w:tc>
        <w:tc>
          <w:tcPr>
            <w:tcW w:w="1157" w:type="dxa"/>
          </w:tcPr>
          <w:p w14:paraId="5848330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3.國家運動科學中心設置條例草案</w:t>
            </w:r>
          </w:p>
        </w:tc>
        <w:tc>
          <w:tcPr>
            <w:tcW w:w="1512" w:type="dxa"/>
          </w:tcPr>
          <w:p w14:paraId="64DBAFC2"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委員黃國書等19人 111.09.30 </w:t>
            </w:r>
          </w:p>
          <w:p w14:paraId="5AF29DCF"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（10-6-2）</w:t>
            </w:r>
          </w:p>
        </w:tc>
        <w:tc>
          <w:tcPr>
            <w:tcW w:w="1536" w:type="dxa"/>
            <w:vMerge/>
          </w:tcPr>
          <w:p w14:paraId="289D0377" w14:textId="77777777" w:rsidR="00AE6B82" w:rsidRPr="002A20DA" w:rsidRDefault="00AE6B82"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2A9AA9F9"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0A7782B6"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25DE3E03"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r w:rsidR="00AE6B82" w:rsidRPr="002A20DA" w14:paraId="5DF8B00F" w14:textId="77777777" w:rsidTr="00EC13B7">
        <w:trPr>
          <w:trHeight w:val="645"/>
        </w:trPr>
        <w:tc>
          <w:tcPr>
            <w:tcW w:w="511" w:type="dxa"/>
          </w:tcPr>
          <w:p w14:paraId="7405C60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17</w:t>
            </w:r>
          </w:p>
        </w:tc>
        <w:tc>
          <w:tcPr>
            <w:tcW w:w="1157" w:type="dxa"/>
          </w:tcPr>
          <w:p w14:paraId="1C8A89C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4.國家運動科學中心設置條例草案</w:t>
            </w:r>
          </w:p>
        </w:tc>
        <w:tc>
          <w:tcPr>
            <w:tcW w:w="1512" w:type="dxa"/>
          </w:tcPr>
          <w:p w14:paraId="09D38629"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委員林宜瑾等20人 111.10.07 </w:t>
            </w:r>
          </w:p>
          <w:p w14:paraId="12CE8C98"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（10-6-3）</w:t>
            </w:r>
          </w:p>
        </w:tc>
        <w:tc>
          <w:tcPr>
            <w:tcW w:w="1536" w:type="dxa"/>
            <w:vMerge/>
          </w:tcPr>
          <w:p w14:paraId="18F45174" w14:textId="77777777" w:rsidR="00AE6B82" w:rsidRPr="002A20DA" w:rsidRDefault="00AE6B82"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6FE58563"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533B1449"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1C860EF6"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r w:rsidR="00AE6B82" w:rsidRPr="002A20DA" w14:paraId="537B4A9F" w14:textId="77777777" w:rsidTr="00EC13B7">
        <w:trPr>
          <w:trHeight w:val="645"/>
        </w:trPr>
        <w:tc>
          <w:tcPr>
            <w:tcW w:w="511" w:type="dxa"/>
          </w:tcPr>
          <w:p w14:paraId="28870E3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18</w:t>
            </w:r>
          </w:p>
        </w:tc>
        <w:tc>
          <w:tcPr>
            <w:tcW w:w="1157" w:type="dxa"/>
          </w:tcPr>
          <w:p w14:paraId="6039E50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5.國家運動科學中心設置條例草案</w:t>
            </w:r>
          </w:p>
        </w:tc>
        <w:tc>
          <w:tcPr>
            <w:tcW w:w="1512" w:type="dxa"/>
          </w:tcPr>
          <w:p w14:paraId="2813C6C3"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委員</w:t>
            </w:r>
            <w:r w:rsidRPr="002A20DA">
              <w:rPr>
                <w:rFonts w:ascii="標楷體" w:eastAsia="標楷體" w:hAnsi="標楷體" w:hint="eastAsia"/>
                <w:spacing w:val="-20"/>
                <w:kern w:val="0"/>
                <w:szCs w:val="22"/>
              </w:rPr>
              <w:t>張廖萬堅</w:t>
            </w:r>
            <w:r w:rsidRPr="002A20DA">
              <w:rPr>
                <w:rFonts w:ascii="標楷體" w:eastAsia="標楷體" w:hAnsi="標楷體" w:hint="eastAsia"/>
                <w:color w:val="000000"/>
                <w:spacing w:val="-10"/>
                <w:kern w:val="0"/>
                <w:szCs w:val="22"/>
              </w:rPr>
              <w:t xml:space="preserve">等21人 111.10.28 </w:t>
            </w:r>
          </w:p>
          <w:p w14:paraId="19BCE76E"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（10-6-5）</w:t>
            </w:r>
          </w:p>
        </w:tc>
        <w:tc>
          <w:tcPr>
            <w:tcW w:w="1536" w:type="dxa"/>
            <w:vMerge/>
          </w:tcPr>
          <w:p w14:paraId="7F073076" w14:textId="77777777" w:rsidR="00AE6B82" w:rsidRPr="002A20DA" w:rsidRDefault="00AE6B82" w:rsidP="00EC13B7">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51DB2656"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5F5A9AAA"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31EC5B67"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r w:rsidR="00AE6B82" w:rsidRPr="002A20DA" w14:paraId="229E4A60" w14:textId="77777777" w:rsidTr="00EC13B7">
        <w:trPr>
          <w:trHeight w:val="645"/>
        </w:trPr>
        <w:tc>
          <w:tcPr>
            <w:tcW w:w="511" w:type="dxa"/>
          </w:tcPr>
          <w:p w14:paraId="3BEA8530"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19</w:t>
            </w:r>
          </w:p>
        </w:tc>
        <w:tc>
          <w:tcPr>
            <w:tcW w:w="1157" w:type="dxa"/>
          </w:tcPr>
          <w:p w14:paraId="2F044A98"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6.國家運動科學中心設置條例草案</w:t>
            </w:r>
          </w:p>
        </w:tc>
        <w:tc>
          <w:tcPr>
            <w:tcW w:w="1512" w:type="dxa"/>
          </w:tcPr>
          <w:p w14:paraId="52AE7FFC"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 xml:space="preserve">委員吳思瑤等26人 111.12.09 </w:t>
            </w:r>
          </w:p>
          <w:p w14:paraId="0B70CD6D"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（10-6-11）</w:t>
            </w:r>
          </w:p>
        </w:tc>
        <w:tc>
          <w:tcPr>
            <w:tcW w:w="1536" w:type="dxa"/>
          </w:tcPr>
          <w:p w14:paraId="0185912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1.院會111.12.09</w:t>
            </w:r>
          </w:p>
          <w:p w14:paraId="7C1DAA9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-11）逕付二讀，與相關提案併案協商。</w:t>
            </w:r>
          </w:p>
          <w:p w14:paraId="1925D8D2" w14:textId="77777777" w:rsidR="00AE6B82" w:rsidRPr="002A20DA" w:rsidRDefault="00AE6B82" w:rsidP="00EC13B7">
            <w:pPr>
              <w:kinsoku w:val="0"/>
              <w:topLinePunct/>
              <w:autoSpaceDE w:val="0"/>
              <w:autoSpaceDN w:val="0"/>
              <w:spacing w:line="300" w:lineRule="exact"/>
              <w:rPr>
                <w:rFonts w:ascii="標楷體" w:eastAsia="標楷體" w:hAnsi="標楷體"/>
                <w:szCs w:val="22"/>
              </w:rPr>
            </w:pPr>
            <w:r w:rsidRPr="002A20DA">
              <w:rPr>
                <w:rFonts w:ascii="標楷體" w:eastAsia="標楷體" w:hAnsi="標楷體" w:hint="eastAsia"/>
                <w:spacing w:val="-20"/>
                <w:kern w:val="0"/>
                <w:szCs w:val="22"/>
              </w:rPr>
              <w:t>2.111.12.30黨團協商。</w:t>
            </w:r>
          </w:p>
        </w:tc>
        <w:tc>
          <w:tcPr>
            <w:tcW w:w="1320" w:type="dxa"/>
            <w:vMerge/>
          </w:tcPr>
          <w:p w14:paraId="5BFBA24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5F8CEA76"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3C0B8FF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r w:rsidR="00AE6B82" w:rsidRPr="002A20DA" w14:paraId="24AF4A35" w14:textId="77777777" w:rsidTr="00EC13B7">
        <w:trPr>
          <w:trHeight w:val="645"/>
        </w:trPr>
        <w:tc>
          <w:tcPr>
            <w:tcW w:w="511" w:type="dxa"/>
          </w:tcPr>
          <w:p w14:paraId="2D980A5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20</w:t>
            </w:r>
          </w:p>
        </w:tc>
        <w:tc>
          <w:tcPr>
            <w:tcW w:w="1157" w:type="dxa"/>
          </w:tcPr>
          <w:p w14:paraId="3CD1475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7.國家運動科學中心設置條例草案</w:t>
            </w:r>
          </w:p>
        </w:tc>
        <w:tc>
          <w:tcPr>
            <w:tcW w:w="1512" w:type="dxa"/>
          </w:tcPr>
          <w:p w14:paraId="43AA434C"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20"/>
                <w:kern w:val="0"/>
                <w:szCs w:val="22"/>
              </w:rPr>
              <w:t xml:space="preserve">時代力量黨團 </w:t>
            </w:r>
            <w:r w:rsidRPr="002A20DA">
              <w:rPr>
                <w:rFonts w:ascii="標楷體" w:eastAsia="標楷體" w:hAnsi="標楷體" w:hint="eastAsia"/>
                <w:color w:val="000000"/>
                <w:spacing w:val="-10"/>
                <w:kern w:val="0"/>
                <w:szCs w:val="22"/>
              </w:rPr>
              <w:t xml:space="preserve">111.12.09 </w:t>
            </w:r>
          </w:p>
          <w:p w14:paraId="75E49605"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（10-6-11）</w:t>
            </w:r>
          </w:p>
        </w:tc>
        <w:tc>
          <w:tcPr>
            <w:tcW w:w="1536" w:type="dxa"/>
          </w:tcPr>
          <w:p w14:paraId="5D5C2EB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1.院會111.12.09</w:t>
            </w:r>
          </w:p>
          <w:p w14:paraId="3479B1F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-11）逕付二讀，與相關提案併案協商。</w:t>
            </w:r>
          </w:p>
          <w:p w14:paraId="3BAC6DFA" w14:textId="77777777" w:rsidR="00AE6B82" w:rsidRPr="002A20DA" w:rsidRDefault="00AE6B82" w:rsidP="00EC13B7">
            <w:pPr>
              <w:kinsoku w:val="0"/>
              <w:topLinePunct/>
              <w:autoSpaceDE w:val="0"/>
              <w:autoSpaceDN w:val="0"/>
              <w:spacing w:line="300" w:lineRule="exact"/>
              <w:rPr>
                <w:rFonts w:ascii="標楷體" w:eastAsia="標楷體" w:hAnsi="標楷體"/>
                <w:szCs w:val="22"/>
              </w:rPr>
            </w:pPr>
            <w:r w:rsidRPr="002A20DA">
              <w:rPr>
                <w:rFonts w:ascii="標楷體" w:eastAsia="標楷體" w:hAnsi="標楷體" w:hint="eastAsia"/>
                <w:spacing w:val="-20"/>
                <w:kern w:val="0"/>
                <w:szCs w:val="22"/>
              </w:rPr>
              <w:t>2.111.12.30黨團協商。</w:t>
            </w:r>
          </w:p>
        </w:tc>
        <w:tc>
          <w:tcPr>
            <w:tcW w:w="1320" w:type="dxa"/>
            <w:vMerge/>
          </w:tcPr>
          <w:p w14:paraId="6103DA39"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6BD7A4B5"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4AD69217"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r w:rsidR="00AE6B82" w:rsidRPr="002A20DA" w14:paraId="0E8A9E8A" w14:textId="77777777" w:rsidTr="00EC13B7">
        <w:trPr>
          <w:trHeight w:val="645"/>
        </w:trPr>
        <w:tc>
          <w:tcPr>
            <w:tcW w:w="511" w:type="dxa"/>
          </w:tcPr>
          <w:p w14:paraId="73BEA28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21</w:t>
            </w:r>
          </w:p>
        </w:tc>
        <w:tc>
          <w:tcPr>
            <w:tcW w:w="1157" w:type="dxa"/>
          </w:tcPr>
          <w:p w14:paraId="736DF59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8.國家運動科學中心設置條例草案</w:t>
            </w:r>
          </w:p>
        </w:tc>
        <w:tc>
          <w:tcPr>
            <w:tcW w:w="1512" w:type="dxa"/>
          </w:tcPr>
          <w:p w14:paraId="5C74DA35"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 xml:space="preserve">委員賴品妤等17人 111.12.16 </w:t>
            </w:r>
          </w:p>
          <w:p w14:paraId="09E4106E"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（10-6-12）</w:t>
            </w:r>
          </w:p>
        </w:tc>
        <w:tc>
          <w:tcPr>
            <w:tcW w:w="1536" w:type="dxa"/>
          </w:tcPr>
          <w:p w14:paraId="0D56F20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1.院會111.12.16</w:t>
            </w:r>
          </w:p>
          <w:p w14:paraId="5B8FB48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-12）逕付二讀，與相關提案併案協商。</w:t>
            </w:r>
          </w:p>
          <w:p w14:paraId="330CC162" w14:textId="77777777" w:rsidR="00AE6B82" w:rsidRPr="002A20DA" w:rsidRDefault="00AE6B82" w:rsidP="00EC13B7">
            <w:pPr>
              <w:kinsoku w:val="0"/>
              <w:topLinePunct/>
              <w:autoSpaceDE w:val="0"/>
              <w:autoSpaceDN w:val="0"/>
              <w:spacing w:line="300" w:lineRule="exact"/>
              <w:rPr>
                <w:rFonts w:ascii="標楷體" w:eastAsia="標楷體" w:hAnsi="標楷體"/>
                <w:szCs w:val="22"/>
              </w:rPr>
            </w:pPr>
            <w:r w:rsidRPr="002A20DA">
              <w:rPr>
                <w:rFonts w:ascii="標楷體" w:eastAsia="標楷體" w:hAnsi="標楷體" w:hint="eastAsia"/>
                <w:spacing w:val="-20"/>
                <w:kern w:val="0"/>
                <w:szCs w:val="22"/>
              </w:rPr>
              <w:lastRenderedPageBreak/>
              <w:t>2.111.12.30黨團協商。</w:t>
            </w:r>
          </w:p>
        </w:tc>
        <w:tc>
          <w:tcPr>
            <w:tcW w:w="1320" w:type="dxa"/>
            <w:vMerge/>
          </w:tcPr>
          <w:p w14:paraId="0B63A47F"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08AA5217"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091BE771"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r w:rsidR="00AE6B82" w:rsidRPr="002A20DA" w14:paraId="437FB7E2" w14:textId="77777777" w:rsidTr="00EC13B7">
        <w:trPr>
          <w:trHeight w:val="645"/>
        </w:trPr>
        <w:tc>
          <w:tcPr>
            <w:tcW w:w="511" w:type="dxa"/>
          </w:tcPr>
          <w:p w14:paraId="76F0C85B"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22</w:t>
            </w:r>
          </w:p>
        </w:tc>
        <w:tc>
          <w:tcPr>
            <w:tcW w:w="1157" w:type="dxa"/>
          </w:tcPr>
          <w:p w14:paraId="0E433C0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9.國家運動科學中心設置條例草案</w:t>
            </w:r>
          </w:p>
        </w:tc>
        <w:tc>
          <w:tcPr>
            <w:tcW w:w="1512" w:type="dxa"/>
          </w:tcPr>
          <w:p w14:paraId="44639544"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 xml:space="preserve">委員范雲等18人 111.12.02 </w:t>
            </w:r>
          </w:p>
          <w:p w14:paraId="3B6223AD"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10"/>
                <w:kern w:val="0"/>
                <w:szCs w:val="22"/>
              </w:rPr>
              <w:t>（10-6-10）</w:t>
            </w:r>
          </w:p>
        </w:tc>
        <w:tc>
          <w:tcPr>
            <w:tcW w:w="1536" w:type="dxa"/>
          </w:tcPr>
          <w:p w14:paraId="3EFF72B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1.院會111.12.16</w:t>
            </w:r>
          </w:p>
          <w:p w14:paraId="68E1ED7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（10-6-12）自司法及法制、教育及文化兩委員會抽出逕付二讀，與相關提案併案協商。</w:t>
            </w:r>
          </w:p>
          <w:p w14:paraId="3E60C806" w14:textId="77777777" w:rsidR="00AE6B82" w:rsidRPr="002A20DA" w:rsidRDefault="00AE6B82" w:rsidP="00EC13B7">
            <w:pPr>
              <w:kinsoku w:val="0"/>
              <w:topLinePunct/>
              <w:autoSpaceDE w:val="0"/>
              <w:autoSpaceDN w:val="0"/>
              <w:spacing w:line="300" w:lineRule="exact"/>
              <w:rPr>
                <w:rFonts w:ascii="標楷體" w:eastAsia="標楷體" w:hAnsi="標楷體"/>
                <w:szCs w:val="22"/>
              </w:rPr>
            </w:pPr>
            <w:r w:rsidRPr="002A20DA">
              <w:rPr>
                <w:rFonts w:ascii="標楷體" w:eastAsia="標楷體" w:hAnsi="標楷體" w:hint="eastAsia"/>
                <w:spacing w:val="-20"/>
                <w:kern w:val="0"/>
                <w:szCs w:val="22"/>
              </w:rPr>
              <w:t>2.111.12.30黨團協商。</w:t>
            </w:r>
          </w:p>
        </w:tc>
        <w:tc>
          <w:tcPr>
            <w:tcW w:w="1320" w:type="dxa"/>
            <w:vMerge/>
          </w:tcPr>
          <w:p w14:paraId="21E67270"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735" w:type="dxa"/>
            <w:vMerge/>
          </w:tcPr>
          <w:p w14:paraId="20C0E78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c>
          <w:tcPr>
            <w:tcW w:w="1107" w:type="dxa"/>
            <w:vMerge/>
          </w:tcPr>
          <w:p w14:paraId="237E689B"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p>
        </w:tc>
      </w:tr>
    </w:tbl>
    <w:p w14:paraId="15BE2E13" w14:textId="77777777" w:rsidR="00AE6B82" w:rsidRPr="002A20DA" w:rsidRDefault="00AE6B82" w:rsidP="00EC13B7">
      <w:pPr>
        <w:pStyle w:val="3"/>
        <w:kinsoku w:val="0"/>
        <w:overflowPunct w:val="0"/>
        <w:spacing w:beforeLines="150" w:before="540" w:afterLines="100" w:after="360" w:line="260" w:lineRule="exact"/>
        <w:ind w:left="912" w:firstLineChars="250" w:firstLine="701"/>
        <w:rPr>
          <w:rStyle w:val="af1"/>
          <w:rFonts w:ascii="標楷體" w:hAnsi="標楷體"/>
          <w:b/>
          <w:color w:val="000000" w:themeColor="text1"/>
          <w:szCs w:val="28"/>
          <w:u w:val="none"/>
        </w:rPr>
      </w:pPr>
      <w:bookmarkStart w:id="222" w:name="_Toc96350506"/>
      <w:bookmarkStart w:id="223" w:name="_Toc386796869"/>
      <w:bookmarkStart w:id="224" w:name="_Toc386797109"/>
      <w:bookmarkStart w:id="225" w:name="_Toc455152586"/>
      <w:bookmarkStart w:id="226" w:name="_Toc457395188"/>
      <w:bookmarkStart w:id="227" w:name="_Toc472666432"/>
      <w:bookmarkStart w:id="228" w:name="_Toc516496366"/>
      <w:bookmarkStart w:id="229" w:name="_Toc516496481"/>
      <w:bookmarkStart w:id="230" w:name="_Toc516496845"/>
      <w:bookmarkStart w:id="231" w:name="_Toc517947587"/>
      <w:bookmarkStart w:id="232" w:name="_Toc5719414"/>
      <w:bookmarkStart w:id="233" w:name="_Toc42534106"/>
      <w:r w:rsidRPr="002A20DA">
        <w:rPr>
          <w:rStyle w:val="af1"/>
          <w:rFonts w:ascii="標楷體" w:hAnsi="標楷體" w:hint="eastAsia"/>
          <w:b/>
          <w:color w:val="000000" w:themeColor="text1"/>
          <w:szCs w:val="28"/>
          <w:u w:val="none"/>
        </w:rPr>
        <w:t>二</w:t>
      </w:r>
      <w:r w:rsidRPr="002A20DA">
        <w:rPr>
          <w:rStyle w:val="af1"/>
          <w:rFonts w:ascii="標楷體" w:hAnsi="標楷體"/>
          <w:b/>
          <w:color w:val="000000" w:themeColor="text1"/>
          <w:szCs w:val="28"/>
          <w:u w:val="none"/>
        </w:rPr>
        <w:t>、</w:t>
      </w:r>
      <w:r w:rsidRPr="002A20DA">
        <w:rPr>
          <w:rStyle w:val="af1"/>
          <w:rFonts w:ascii="標楷體" w:hAnsi="標楷體" w:hint="eastAsia"/>
          <w:b/>
          <w:color w:val="000000" w:themeColor="text1"/>
          <w:szCs w:val="28"/>
          <w:u w:val="none"/>
        </w:rPr>
        <w:t>作用法90</w:t>
      </w:r>
      <w:r w:rsidRPr="002A20DA">
        <w:rPr>
          <w:rStyle w:val="af1"/>
          <w:rFonts w:ascii="標楷體" w:hAnsi="標楷體"/>
          <w:b/>
          <w:color w:val="000000" w:themeColor="text1"/>
          <w:szCs w:val="28"/>
          <w:u w:val="none"/>
        </w:rPr>
        <w:t>案</w:t>
      </w:r>
      <w:bookmarkEnd w:id="22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AE6B82" w:rsidRPr="002A20DA" w14:paraId="3128BBF4" w14:textId="77777777" w:rsidTr="00EC13B7">
        <w:trPr>
          <w:trHeight w:val="600"/>
        </w:trPr>
        <w:tc>
          <w:tcPr>
            <w:tcW w:w="511" w:type="dxa"/>
            <w:vMerge w:val="restart"/>
          </w:tcPr>
          <w:p w14:paraId="3BFA41A1"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序號</w:t>
            </w:r>
          </w:p>
        </w:tc>
        <w:tc>
          <w:tcPr>
            <w:tcW w:w="1111" w:type="dxa"/>
            <w:vMerge w:val="restart"/>
          </w:tcPr>
          <w:p w14:paraId="0AB49635" w14:textId="77777777" w:rsidR="00AE6B82" w:rsidRPr="002A20DA" w:rsidRDefault="00AE6B82" w:rsidP="00EC13B7">
            <w:pPr>
              <w:kinsoku w:val="0"/>
              <w:overflowPunct w:val="0"/>
              <w:spacing w:line="300" w:lineRule="exact"/>
              <w:ind w:rightChars="13" w:right="31"/>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議案名稱</w:t>
            </w:r>
          </w:p>
        </w:tc>
        <w:tc>
          <w:tcPr>
            <w:tcW w:w="1545" w:type="dxa"/>
            <w:vMerge w:val="restart"/>
          </w:tcPr>
          <w:p w14:paraId="4CF32520" w14:textId="77777777" w:rsidR="00AE6B82" w:rsidRPr="002A20DA" w:rsidRDefault="00AE6B82" w:rsidP="00EC13B7">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2A20DA">
              <w:rPr>
                <w:rFonts w:ascii="標楷體" w:eastAsia="標楷體" w:hAnsi="標楷體"/>
                <w:b/>
                <w:color w:val="000000"/>
                <w:spacing w:val="-20"/>
                <w:szCs w:val="22"/>
              </w:rPr>
              <w:t>提案委員或機關</w:t>
            </w:r>
          </w:p>
          <w:p w14:paraId="26E42D78" w14:textId="77777777" w:rsidR="00AE6B82" w:rsidRPr="002A20DA" w:rsidRDefault="00AE6B82"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院會交付日期</w:t>
            </w:r>
          </w:p>
          <w:p w14:paraId="1AB11D34" w14:textId="77777777" w:rsidR="00AE6B82" w:rsidRPr="002A20DA" w:rsidRDefault="00AE6B82" w:rsidP="00EC13B7">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(會次)</w:t>
            </w:r>
          </w:p>
        </w:tc>
        <w:tc>
          <w:tcPr>
            <w:tcW w:w="1536" w:type="dxa"/>
            <w:vMerge w:val="restart"/>
          </w:tcPr>
          <w:p w14:paraId="17BA07BE" w14:textId="77777777" w:rsidR="00AE6B82" w:rsidRPr="002A20DA" w:rsidRDefault="00AE6B82"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審查情形日期</w:t>
            </w:r>
            <w:r w:rsidRPr="002A20DA">
              <w:rPr>
                <w:rFonts w:ascii="標楷體" w:eastAsia="標楷體" w:hAnsi="標楷體" w:hint="eastAsia"/>
                <w:b/>
                <w:color w:val="000000"/>
                <w:spacing w:val="-20"/>
                <w:szCs w:val="22"/>
              </w:rPr>
              <w:t xml:space="preserve"> </w:t>
            </w:r>
          </w:p>
          <w:p w14:paraId="56C7D22C" w14:textId="77777777" w:rsidR="00AE6B82" w:rsidRPr="002A20DA" w:rsidRDefault="00AE6B82"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(會次)</w:t>
            </w:r>
          </w:p>
        </w:tc>
        <w:tc>
          <w:tcPr>
            <w:tcW w:w="1387" w:type="dxa"/>
            <w:vMerge w:val="restart"/>
          </w:tcPr>
          <w:p w14:paraId="4AD6CD22" w14:textId="77777777" w:rsidR="00AE6B82" w:rsidRPr="002A20DA" w:rsidRDefault="00AE6B82"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院會三讀通過</w:t>
            </w:r>
          </w:p>
          <w:p w14:paraId="2D886174" w14:textId="77777777" w:rsidR="00AE6B82" w:rsidRPr="002A20DA" w:rsidRDefault="00AE6B82" w:rsidP="00EC13B7">
            <w:pPr>
              <w:kinsoku w:val="0"/>
              <w:overflowPunct w:val="0"/>
              <w:spacing w:line="300" w:lineRule="exact"/>
              <w:ind w:leftChars="-45" w:hangingChars="54" w:hanging="108"/>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日期(會次)</w:t>
            </w:r>
            <w:r w:rsidRPr="002A20DA">
              <w:rPr>
                <w:rFonts w:ascii="標楷體" w:eastAsia="標楷體" w:hAnsi="標楷體" w:hint="eastAsia"/>
                <w:b/>
                <w:color w:val="000000"/>
                <w:spacing w:val="-20"/>
                <w:szCs w:val="22"/>
              </w:rPr>
              <w:t>、</w:t>
            </w:r>
          </w:p>
          <w:p w14:paraId="640F5948" w14:textId="77777777" w:rsidR="00AE6B82" w:rsidRPr="002A20DA" w:rsidRDefault="00AE6B82" w:rsidP="00EC13B7">
            <w:pPr>
              <w:kinsoku w:val="0"/>
              <w:overflowPunct w:val="0"/>
              <w:spacing w:line="300" w:lineRule="exact"/>
              <w:ind w:leftChars="-45" w:left="-108"/>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咨請總統公布法律案名稱</w:t>
            </w:r>
          </w:p>
        </w:tc>
        <w:tc>
          <w:tcPr>
            <w:tcW w:w="1683" w:type="dxa"/>
          </w:tcPr>
          <w:p w14:paraId="3BE11D90"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hint="eastAsia"/>
                <w:b/>
                <w:color w:val="000000"/>
                <w:spacing w:val="-20"/>
                <w:szCs w:val="22"/>
              </w:rPr>
              <w:t>本院</w:t>
            </w:r>
            <w:r w:rsidRPr="002A20DA">
              <w:rPr>
                <w:rFonts w:ascii="標楷體" w:eastAsia="標楷體" w:hAnsi="標楷體"/>
                <w:b/>
                <w:color w:val="000000"/>
                <w:spacing w:val="-20"/>
                <w:szCs w:val="22"/>
              </w:rPr>
              <w:t>咨</w:t>
            </w:r>
            <w:r w:rsidRPr="002A20DA">
              <w:rPr>
                <w:rFonts w:ascii="標楷體" w:eastAsia="標楷體" w:hAnsi="標楷體" w:hint="eastAsia"/>
                <w:b/>
                <w:color w:val="000000"/>
                <w:spacing w:val="-20"/>
                <w:szCs w:val="22"/>
              </w:rPr>
              <w:t>文</w:t>
            </w:r>
          </w:p>
          <w:p w14:paraId="4637E133"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日期及文號</w:t>
            </w:r>
          </w:p>
        </w:tc>
        <w:tc>
          <w:tcPr>
            <w:tcW w:w="1105" w:type="dxa"/>
            <w:vMerge w:val="restart"/>
          </w:tcPr>
          <w:p w14:paraId="68C72ABB"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總統府</w:t>
            </w:r>
          </w:p>
          <w:p w14:paraId="3BBF3388"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公報</w:t>
            </w:r>
          </w:p>
        </w:tc>
      </w:tr>
      <w:tr w:rsidR="00AE6B82" w:rsidRPr="002A20DA" w14:paraId="4838FCB0" w14:textId="77777777" w:rsidTr="00EC13B7">
        <w:trPr>
          <w:trHeight w:val="600"/>
        </w:trPr>
        <w:tc>
          <w:tcPr>
            <w:tcW w:w="511" w:type="dxa"/>
            <w:vMerge/>
          </w:tcPr>
          <w:p w14:paraId="02BF476D"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c>
          <w:tcPr>
            <w:tcW w:w="1111" w:type="dxa"/>
            <w:vMerge/>
          </w:tcPr>
          <w:p w14:paraId="7F23D485" w14:textId="77777777" w:rsidR="00AE6B82" w:rsidRPr="002A20DA" w:rsidRDefault="00AE6B82" w:rsidP="00EC13B7">
            <w:pPr>
              <w:kinsoku w:val="0"/>
              <w:overflowPunct w:val="0"/>
              <w:spacing w:line="300" w:lineRule="exact"/>
              <w:ind w:rightChars="13" w:right="31"/>
              <w:jc w:val="center"/>
              <w:rPr>
                <w:rFonts w:ascii="標楷體" w:eastAsia="標楷體" w:hAnsi="標楷體"/>
                <w:b/>
                <w:color w:val="000000"/>
                <w:spacing w:val="-20"/>
                <w:szCs w:val="22"/>
              </w:rPr>
            </w:pPr>
          </w:p>
        </w:tc>
        <w:tc>
          <w:tcPr>
            <w:tcW w:w="1545" w:type="dxa"/>
            <w:vMerge/>
          </w:tcPr>
          <w:p w14:paraId="1C9CEDCE" w14:textId="77777777" w:rsidR="00AE6B82" w:rsidRPr="002A20DA" w:rsidRDefault="00AE6B82" w:rsidP="00EC13B7">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p>
        </w:tc>
        <w:tc>
          <w:tcPr>
            <w:tcW w:w="1536" w:type="dxa"/>
            <w:vMerge/>
          </w:tcPr>
          <w:p w14:paraId="4B5BA937" w14:textId="77777777" w:rsidR="00AE6B82" w:rsidRPr="002A20DA" w:rsidRDefault="00AE6B82" w:rsidP="00EC13B7">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p>
        </w:tc>
        <w:tc>
          <w:tcPr>
            <w:tcW w:w="1387" w:type="dxa"/>
            <w:vMerge/>
          </w:tcPr>
          <w:p w14:paraId="1677715C" w14:textId="77777777" w:rsidR="00AE6B82" w:rsidRPr="002A20DA" w:rsidRDefault="00AE6B82" w:rsidP="00EC13B7">
            <w:pPr>
              <w:kinsoku w:val="0"/>
              <w:overflowPunct w:val="0"/>
              <w:spacing w:line="300" w:lineRule="exact"/>
              <w:ind w:leftChars="-45" w:hangingChars="54" w:hanging="108"/>
              <w:jc w:val="center"/>
              <w:rPr>
                <w:rFonts w:ascii="標楷體" w:eastAsia="標楷體" w:hAnsi="標楷體"/>
                <w:b/>
                <w:color w:val="000000"/>
                <w:spacing w:val="-20"/>
                <w:szCs w:val="22"/>
              </w:rPr>
            </w:pPr>
          </w:p>
        </w:tc>
        <w:tc>
          <w:tcPr>
            <w:tcW w:w="1683" w:type="dxa"/>
          </w:tcPr>
          <w:p w14:paraId="7F4489BF"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總統公布</w:t>
            </w:r>
          </w:p>
          <w:p w14:paraId="03654E7D"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r w:rsidRPr="002A20DA">
              <w:rPr>
                <w:rFonts w:ascii="標楷體" w:eastAsia="標楷體" w:hAnsi="標楷體"/>
                <w:b/>
                <w:color w:val="000000"/>
                <w:spacing w:val="-20"/>
                <w:szCs w:val="22"/>
              </w:rPr>
              <w:t>日期及文號</w:t>
            </w:r>
          </w:p>
        </w:tc>
        <w:tc>
          <w:tcPr>
            <w:tcW w:w="1105" w:type="dxa"/>
            <w:vMerge/>
          </w:tcPr>
          <w:p w14:paraId="6080CCAD" w14:textId="77777777" w:rsidR="00AE6B82" w:rsidRPr="002A20DA" w:rsidRDefault="00AE6B82" w:rsidP="00EC13B7">
            <w:pPr>
              <w:kinsoku w:val="0"/>
              <w:overflowPunct w:val="0"/>
              <w:spacing w:line="300" w:lineRule="exact"/>
              <w:jc w:val="center"/>
              <w:rPr>
                <w:rFonts w:ascii="標楷體" w:eastAsia="標楷體" w:hAnsi="標楷體"/>
                <w:b/>
                <w:color w:val="000000"/>
                <w:spacing w:val="-20"/>
                <w:szCs w:val="22"/>
              </w:rPr>
            </w:pPr>
          </w:p>
        </w:tc>
      </w:tr>
      <w:tr w:rsidR="00AE6B82" w:rsidRPr="002A20DA" w14:paraId="0F7B1A82" w14:textId="77777777" w:rsidTr="00EC13B7">
        <w:trPr>
          <w:trHeight w:val="600"/>
        </w:trPr>
        <w:tc>
          <w:tcPr>
            <w:tcW w:w="511" w:type="dxa"/>
          </w:tcPr>
          <w:p w14:paraId="4D42BEB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w:t>
            </w:r>
          </w:p>
        </w:tc>
        <w:tc>
          <w:tcPr>
            <w:tcW w:w="1111" w:type="dxa"/>
          </w:tcPr>
          <w:p w14:paraId="149C012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刑事訴訟法部分條文修正草案</w:t>
            </w:r>
          </w:p>
        </w:tc>
        <w:tc>
          <w:tcPr>
            <w:tcW w:w="1545" w:type="dxa"/>
          </w:tcPr>
          <w:p w14:paraId="3FE3DF66"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30"/>
                <w:kern w:val="0"/>
                <w:szCs w:val="22"/>
              </w:rPr>
              <w:t xml:space="preserve">司法院、行政院 </w:t>
            </w:r>
            <w:r w:rsidRPr="002A20DA">
              <w:rPr>
                <w:rFonts w:ascii="標楷體" w:eastAsia="標楷體" w:hAnsi="標楷體" w:hint="eastAsia"/>
                <w:color w:val="000000"/>
                <w:spacing w:val="-10"/>
                <w:kern w:val="0"/>
                <w:szCs w:val="22"/>
              </w:rPr>
              <w:t xml:space="preserve">111.09.23 </w:t>
            </w:r>
          </w:p>
          <w:p w14:paraId="23FE1D6E"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spacing w:val="-10"/>
                <w:kern w:val="0"/>
                <w:szCs w:val="22"/>
              </w:rPr>
              <w:t>（10-6-1）</w:t>
            </w:r>
          </w:p>
        </w:tc>
        <w:tc>
          <w:tcPr>
            <w:tcW w:w="1536" w:type="dxa"/>
          </w:tcPr>
          <w:p w14:paraId="66BBC27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本會111.10.19</w:t>
            </w:r>
          </w:p>
          <w:p w14:paraId="4C20A10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(10-6-7)審查完竣，不須交由黨團協商。</w:t>
            </w:r>
          </w:p>
        </w:tc>
        <w:tc>
          <w:tcPr>
            <w:tcW w:w="1387" w:type="dxa"/>
          </w:tcPr>
          <w:p w14:paraId="1ACE7A2A"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7E3150F4"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15</w:t>
            </w:r>
          </w:p>
          <w:p w14:paraId="44FBAD9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7</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063EFA3C"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spacing w:val="-20"/>
                <w:kern w:val="0"/>
                <w:szCs w:val="22"/>
              </w:rPr>
              <w:t>三讀增訂四百八十一條之一至四百八十一條之七條文；並修正第四百八十一條條文</w:t>
            </w:r>
          </w:p>
        </w:tc>
        <w:tc>
          <w:tcPr>
            <w:tcW w:w="1683" w:type="dxa"/>
          </w:tcPr>
          <w:p w14:paraId="39127FC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111年11月23日台立院議字第1110704001號</w:t>
            </w:r>
          </w:p>
          <w:p w14:paraId="15BBCC2F"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6094DBF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111年11月30日華總一義字第11100101111號</w:t>
            </w:r>
          </w:p>
        </w:tc>
        <w:tc>
          <w:tcPr>
            <w:tcW w:w="1105" w:type="dxa"/>
          </w:tcPr>
          <w:p w14:paraId="49C7C270"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第7632號</w:t>
            </w:r>
          </w:p>
        </w:tc>
      </w:tr>
      <w:tr w:rsidR="00AE6B82" w:rsidRPr="002A20DA" w14:paraId="344E7318" w14:textId="77777777" w:rsidTr="00EC13B7">
        <w:trPr>
          <w:trHeight w:val="600"/>
        </w:trPr>
        <w:tc>
          <w:tcPr>
            <w:tcW w:w="511" w:type="dxa"/>
          </w:tcPr>
          <w:p w14:paraId="00B49C3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w:t>
            </w:r>
          </w:p>
        </w:tc>
        <w:tc>
          <w:tcPr>
            <w:tcW w:w="1111" w:type="dxa"/>
          </w:tcPr>
          <w:p w14:paraId="2BD972D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刑事訴訟法施行法增訂第七條之二十三條文草案</w:t>
            </w:r>
          </w:p>
        </w:tc>
        <w:tc>
          <w:tcPr>
            <w:tcW w:w="1545" w:type="dxa"/>
          </w:tcPr>
          <w:p w14:paraId="5016CCC3"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hint="eastAsia"/>
                <w:color w:val="000000"/>
                <w:spacing w:val="-30"/>
                <w:kern w:val="0"/>
                <w:szCs w:val="22"/>
              </w:rPr>
              <w:t xml:space="preserve">司法院、行政院 </w:t>
            </w:r>
            <w:r w:rsidRPr="002A20DA">
              <w:rPr>
                <w:rFonts w:ascii="標楷體" w:eastAsia="標楷體" w:hAnsi="標楷體" w:hint="eastAsia"/>
                <w:color w:val="000000"/>
                <w:spacing w:val="-10"/>
                <w:kern w:val="0"/>
                <w:szCs w:val="22"/>
              </w:rPr>
              <w:t xml:space="preserve">111.09.23 </w:t>
            </w:r>
          </w:p>
          <w:p w14:paraId="15BA3E74"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spacing w:val="-10"/>
                <w:kern w:val="0"/>
                <w:szCs w:val="22"/>
              </w:rPr>
              <w:t>（10-6-1）</w:t>
            </w:r>
          </w:p>
        </w:tc>
        <w:tc>
          <w:tcPr>
            <w:tcW w:w="1536" w:type="dxa"/>
          </w:tcPr>
          <w:p w14:paraId="24FAAFA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本會111.10.19</w:t>
            </w:r>
          </w:p>
          <w:p w14:paraId="40304B8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(10-6-7)審查完竣，不須交由黨團協商。</w:t>
            </w:r>
          </w:p>
        </w:tc>
        <w:tc>
          <w:tcPr>
            <w:tcW w:w="1387" w:type="dxa"/>
          </w:tcPr>
          <w:p w14:paraId="17CED2B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74775BD2"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15</w:t>
            </w:r>
          </w:p>
          <w:p w14:paraId="220A8C37"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7</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09B1D674" w14:textId="77777777" w:rsidR="00AE6B82" w:rsidRPr="002A20DA" w:rsidRDefault="00AE6B82" w:rsidP="00EC13B7">
            <w:pPr>
              <w:kinsoku w:val="0"/>
              <w:overflowPunct w:val="0"/>
              <w:spacing w:line="300" w:lineRule="exact"/>
              <w:rPr>
                <w:rFonts w:ascii="標楷體" w:eastAsia="標楷體" w:hAnsi="標楷體"/>
                <w:b/>
                <w:color w:val="000000"/>
                <w:spacing w:val="-20"/>
                <w:szCs w:val="22"/>
              </w:rPr>
            </w:pPr>
            <w:r w:rsidRPr="002A20DA">
              <w:rPr>
                <w:rFonts w:ascii="標楷體" w:eastAsia="標楷體" w:hAnsi="標楷體" w:hint="eastAsia"/>
                <w:spacing w:val="-20"/>
                <w:kern w:val="0"/>
                <w:szCs w:val="22"/>
              </w:rPr>
              <w:t>三讀增訂第七條之十四條文</w:t>
            </w:r>
          </w:p>
        </w:tc>
        <w:tc>
          <w:tcPr>
            <w:tcW w:w="1683" w:type="dxa"/>
          </w:tcPr>
          <w:p w14:paraId="067CC3A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111年11月23日台立院議字第1110704004號</w:t>
            </w:r>
          </w:p>
          <w:p w14:paraId="7B6AE19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4E5E3F3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111年11月30日華總一義字第11100101121號</w:t>
            </w:r>
          </w:p>
        </w:tc>
        <w:tc>
          <w:tcPr>
            <w:tcW w:w="1105" w:type="dxa"/>
          </w:tcPr>
          <w:p w14:paraId="10AC1280"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第7632號</w:t>
            </w:r>
          </w:p>
        </w:tc>
      </w:tr>
      <w:tr w:rsidR="00AE6B82" w:rsidRPr="002A20DA" w14:paraId="52F13D08" w14:textId="77777777" w:rsidTr="00EC13B7">
        <w:trPr>
          <w:trHeight w:val="600"/>
        </w:trPr>
        <w:tc>
          <w:tcPr>
            <w:tcW w:w="511" w:type="dxa"/>
          </w:tcPr>
          <w:p w14:paraId="40A23B3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w:t>
            </w:r>
          </w:p>
        </w:tc>
        <w:tc>
          <w:tcPr>
            <w:tcW w:w="1111" w:type="dxa"/>
          </w:tcPr>
          <w:p w14:paraId="2AC631C7"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專門職業及技術人員轉任公務人員條例修正草案</w:t>
            </w:r>
          </w:p>
        </w:tc>
        <w:tc>
          <w:tcPr>
            <w:tcW w:w="1545" w:type="dxa"/>
          </w:tcPr>
          <w:p w14:paraId="10706AC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考試院 110.12.17 </w:t>
            </w:r>
          </w:p>
          <w:p w14:paraId="43BBF7DB"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（10-4-14）</w:t>
            </w:r>
          </w:p>
          <w:p w14:paraId="1D20579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p>
        </w:tc>
        <w:tc>
          <w:tcPr>
            <w:tcW w:w="1536" w:type="dxa"/>
          </w:tcPr>
          <w:p w14:paraId="7CCC025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1.本會111.10.26</w:t>
            </w:r>
          </w:p>
          <w:p w14:paraId="39825A9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(10-6-10)報告及詢答完畢，另定期繼續審查。</w:t>
            </w:r>
          </w:p>
          <w:p w14:paraId="58DAE38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2.本會111.11.28</w:t>
            </w:r>
          </w:p>
          <w:p w14:paraId="60573EC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(10-6-21)審查完竣，不須交由黨團協商。</w:t>
            </w:r>
          </w:p>
        </w:tc>
        <w:tc>
          <w:tcPr>
            <w:tcW w:w="1387" w:type="dxa"/>
          </w:tcPr>
          <w:p w14:paraId="0E1053DA"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236D99D4"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9</w:t>
            </w:r>
          </w:p>
          <w:p w14:paraId="3EB3265E"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79D3C182"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三讀修正專門職業及技術人員轉任公務人員條例</w:t>
            </w:r>
          </w:p>
        </w:tc>
        <w:tc>
          <w:tcPr>
            <w:tcW w:w="1683" w:type="dxa"/>
          </w:tcPr>
          <w:p w14:paraId="4BB37E8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111年12月21日台立院議字第1110704505號</w:t>
            </w:r>
          </w:p>
          <w:p w14:paraId="4008F27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324A32F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111年12月28日華總一義字第11100110021號</w:t>
            </w:r>
          </w:p>
        </w:tc>
        <w:tc>
          <w:tcPr>
            <w:tcW w:w="1105" w:type="dxa"/>
          </w:tcPr>
          <w:p w14:paraId="6391297B"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第7636號</w:t>
            </w:r>
          </w:p>
        </w:tc>
      </w:tr>
      <w:tr w:rsidR="00AE6B82" w:rsidRPr="002A20DA" w14:paraId="6284ED51" w14:textId="77777777" w:rsidTr="00EC13B7">
        <w:trPr>
          <w:trHeight w:val="600"/>
        </w:trPr>
        <w:tc>
          <w:tcPr>
            <w:tcW w:w="511" w:type="dxa"/>
          </w:tcPr>
          <w:p w14:paraId="0BBF449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4</w:t>
            </w:r>
          </w:p>
        </w:tc>
        <w:tc>
          <w:tcPr>
            <w:tcW w:w="1111" w:type="dxa"/>
          </w:tcPr>
          <w:p w14:paraId="43B6D87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1.公務人員個人專戶制退休資遣撫卹法草案</w:t>
            </w:r>
          </w:p>
        </w:tc>
        <w:tc>
          <w:tcPr>
            <w:tcW w:w="1545" w:type="dxa"/>
          </w:tcPr>
          <w:p w14:paraId="589AA93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考試院 111.04.01 </w:t>
            </w:r>
          </w:p>
          <w:p w14:paraId="4059887B"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（10-5-6）</w:t>
            </w:r>
          </w:p>
          <w:p w14:paraId="45D59BB1"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p>
        </w:tc>
        <w:tc>
          <w:tcPr>
            <w:tcW w:w="1536" w:type="dxa"/>
            <w:vMerge w:val="restart"/>
          </w:tcPr>
          <w:p w14:paraId="2EC2BA4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1.第1-2案</w:t>
            </w:r>
          </w:p>
          <w:p w14:paraId="7F72167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本會111.4.11</w:t>
            </w:r>
          </w:p>
          <w:p w14:paraId="56D545D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(10-5-11)報告及詢答完畢，另定期繼續審查。</w:t>
            </w:r>
          </w:p>
          <w:p w14:paraId="4EE575A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2.第1-2案</w:t>
            </w:r>
          </w:p>
          <w:p w14:paraId="53DFE0C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本會111.4.28舉行「</w:t>
            </w:r>
            <w:r w:rsidRPr="002A20DA">
              <w:rPr>
                <w:rFonts w:ascii="標楷體" w:eastAsia="標楷體" w:hAnsi="標楷體" w:hint="eastAsia"/>
                <w:spacing w:val="-20"/>
                <w:kern w:val="0"/>
                <w:szCs w:val="22"/>
              </w:rPr>
              <w:t>新進公教人員個人專戶制退撫制度</w:t>
            </w:r>
            <w:r w:rsidRPr="002A20DA">
              <w:rPr>
                <w:rFonts w:ascii="標楷體" w:eastAsia="標楷體" w:hAnsi="標楷體"/>
                <w:spacing w:val="-20"/>
                <w:kern w:val="0"/>
                <w:szCs w:val="22"/>
              </w:rPr>
              <w:t>」公聽會。</w:t>
            </w:r>
          </w:p>
          <w:p w14:paraId="4EC04E2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3.第1-6案</w:t>
            </w:r>
          </w:p>
          <w:p w14:paraId="4283DA2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本會111.5.9</w:t>
            </w:r>
          </w:p>
          <w:p w14:paraId="5755FBA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(10-5-17)審查完竣，須交由黨團協商。</w:t>
            </w:r>
          </w:p>
          <w:p w14:paraId="18A38FC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4.111.12.2黨團協商。</w:t>
            </w:r>
          </w:p>
          <w:p w14:paraId="55CEBC6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5.111.12.13</w:t>
            </w:r>
            <w:r w:rsidRPr="002A20DA">
              <w:rPr>
                <w:rFonts w:ascii="標楷體" w:eastAsia="標楷體" w:hAnsi="標楷體" w:hint="eastAsia"/>
                <w:spacing w:val="-20"/>
                <w:kern w:val="0"/>
                <w:szCs w:val="22"/>
              </w:rPr>
              <w:t>黨團協商。</w:t>
            </w:r>
          </w:p>
          <w:p w14:paraId="771E745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6.111.12.15黨團協商。</w:t>
            </w:r>
          </w:p>
        </w:tc>
        <w:tc>
          <w:tcPr>
            <w:tcW w:w="1387" w:type="dxa"/>
            <w:vMerge w:val="restart"/>
          </w:tcPr>
          <w:p w14:paraId="6662EF6C"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7C87E1C4"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.16</w:t>
            </w:r>
          </w:p>
          <w:p w14:paraId="03ED0CC0"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 xml:space="preserve"> </w:t>
            </w:r>
          </w:p>
          <w:p w14:paraId="380ECEA2"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三讀制定公務人員個人專戶制退休資遣撫卹法</w:t>
            </w:r>
          </w:p>
        </w:tc>
        <w:tc>
          <w:tcPr>
            <w:tcW w:w="1683" w:type="dxa"/>
            <w:vMerge w:val="restart"/>
          </w:tcPr>
          <w:p w14:paraId="2B19EF2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112年1月5日台立院議字第1110704714號</w:t>
            </w:r>
          </w:p>
          <w:p w14:paraId="1CF7630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599F23E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112年1月11日</w:t>
            </w:r>
          </w:p>
          <w:p w14:paraId="4930B09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華總一義字第11200001531號</w:t>
            </w:r>
          </w:p>
        </w:tc>
        <w:tc>
          <w:tcPr>
            <w:tcW w:w="1105" w:type="dxa"/>
            <w:vMerge w:val="restart"/>
          </w:tcPr>
          <w:p w14:paraId="6BF2F3EE"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第7639號</w:t>
            </w:r>
          </w:p>
        </w:tc>
      </w:tr>
      <w:tr w:rsidR="00AE6B82" w:rsidRPr="002A20DA" w14:paraId="7F336CD1" w14:textId="77777777" w:rsidTr="00EC13B7">
        <w:trPr>
          <w:trHeight w:val="600"/>
        </w:trPr>
        <w:tc>
          <w:tcPr>
            <w:tcW w:w="511" w:type="dxa"/>
          </w:tcPr>
          <w:p w14:paraId="20912002"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p>
        </w:tc>
        <w:tc>
          <w:tcPr>
            <w:tcW w:w="1111" w:type="dxa"/>
          </w:tcPr>
          <w:p w14:paraId="7A85AF8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2.公務人員個人專戶制退休資遣撫卹法草案</w:t>
            </w:r>
          </w:p>
        </w:tc>
        <w:tc>
          <w:tcPr>
            <w:tcW w:w="1545" w:type="dxa"/>
          </w:tcPr>
          <w:p w14:paraId="75AD020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委員范雲</w:t>
            </w:r>
          </w:p>
          <w:p w14:paraId="0934855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等17人 111.04.01 </w:t>
            </w:r>
          </w:p>
          <w:p w14:paraId="3EED162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（10-5-6）</w:t>
            </w:r>
          </w:p>
        </w:tc>
        <w:tc>
          <w:tcPr>
            <w:tcW w:w="1536" w:type="dxa"/>
            <w:vMerge/>
          </w:tcPr>
          <w:p w14:paraId="2876C58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6F85C30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998F48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BEAF12E"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D26BAD9" w14:textId="77777777" w:rsidTr="00EC13B7">
        <w:trPr>
          <w:trHeight w:val="600"/>
        </w:trPr>
        <w:tc>
          <w:tcPr>
            <w:tcW w:w="511" w:type="dxa"/>
          </w:tcPr>
          <w:p w14:paraId="72E2788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p>
        </w:tc>
        <w:tc>
          <w:tcPr>
            <w:tcW w:w="1111" w:type="dxa"/>
          </w:tcPr>
          <w:p w14:paraId="75377EFA"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3.公務人員個人專戶制退休資遣撫卹法草案</w:t>
            </w:r>
          </w:p>
        </w:tc>
        <w:tc>
          <w:tcPr>
            <w:tcW w:w="1545" w:type="dxa"/>
          </w:tcPr>
          <w:p w14:paraId="6D0F413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spacing w:val="-20"/>
                <w:kern w:val="0"/>
                <w:szCs w:val="22"/>
              </w:rPr>
              <w:t>張廖萬堅</w:t>
            </w:r>
            <w:r w:rsidRPr="002A20DA">
              <w:rPr>
                <w:rFonts w:ascii="標楷體" w:eastAsia="標楷體" w:hAnsi="標楷體"/>
                <w:kern w:val="0"/>
                <w:szCs w:val="22"/>
              </w:rPr>
              <w:t xml:space="preserve">等20人 111.04.22 </w:t>
            </w:r>
          </w:p>
          <w:p w14:paraId="7D45D9A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7BBCEE6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1A12F1E9"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63D7414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53F0EFA7"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28D371BF" w14:textId="77777777" w:rsidTr="00EC13B7">
        <w:trPr>
          <w:trHeight w:val="600"/>
        </w:trPr>
        <w:tc>
          <w:tcPr>
            <w:tcW w:w="511" w:type="dxa"/>
          </w:tcPr>
          <w:p w14:paraId="31DB073A"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p>
        </w:tc>
        <w:tc>
          <w:tcPr>
            <w:tcW w:w="1111" w:type="dxa"/>
          </w:tcPr>
          <w:p w14:paraId="3AB1013B"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4</w:t>
            </w:r>
            <w:r w:rsidRPr="002A20DA">
              <w:rPr>
                <w:rFonts w:ascii="標楷體" w:eastAsia="標楷體" w:hAnsi="標楷體"/>
                <w:color w:val="000000"/>
                <w:kern w:val="0"/>
                <w:szCs w:val="22"/>
              </w:rPr>
              <w:t>.公務人員個人專戶制退休資遣撫卹法草案</w:t>
            </w:r>
          </w:p>
        </w:tc>
        <w:tc>
          <w:tcPr>
            <w:tcW w:w="1545" w:type="dxa"/>
          </w:tcPr>
          <w:p w14:paraId="3389010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委員郭國文等1</w:t>
            </w:r>
            <w:r w:rsidRPr="002A20DA">
              <w:rPr>
                <w:rFonts w:ascii="標楷體" w:eastAsia="標楷體" w:hAnsi="標楷體" w:hint="eastAsia"/>
                <w:kern w:val="0"/>
                <w:szCs w:val="22"/>
              </w:rPr>
              <w:t>9</w:t>
            </w:r>
            <w:r w:rsidRPr="002A20DA">
              <w:rPr>
                <w:rFonts w:ascii="標楷體" w:eastAsia="標楷體" w:hAnsi="標楷體"/>
                <w:kern w:val="0"/>
                <w:szCs w:val="22"/>
              </w:rPr>
              <w:t xml:space="preserve">人 111.04.22 </w:t>
            </w:r>
          </w:p>
          <w:p w14:paraId="29F89BF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4185393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2EEFBF1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E82378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499515F"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1A3901ED" w14:textId="77777777" w:rsidTr="00EC13B7">
        <w:trPr>
          <w:trHeight w:val="600"/>
        </w:trPr>
        <w:tc>
          <w:tcPr>
            <w:tcW w:w="511" w:type="dxa"/>
          </w:tcPr>
          <w:p w14:paraId="52BF63C2"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w:t>
            </w:r>
          </w:p>
        </w:tc>
        <w:tc>
          <w:tcPr>
            <w:tcW w:w="1111" w:type="dxa"/>
          </w:tcPr>
          <w:p w14:paraId="1362EC3C"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5.公務人員個人專戶制退休資遣撫卹法草案</w:t>
            </w:r>
          </w:p>
        </w:tc>
        <w:tc>
          <w:tcPr>
            <w:tcW w:w="1545" w:type="dxa"/>
          </w:tcPr>
          <w:p w14:paraId="550D7CB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委員鄭正鈐等19人 111.05.06 </w:t>
            </w:r>
          </w:p>
          <w:p w14:paraId="01760D7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28EF3C5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7CE997BC"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86F085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6A099CC"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2615562" w14:textId="77777777" w:rsidTr="00EC13B7">
        <w:trPr>
          <w:trHeight w:val="600"/>
        </w:trPr>
        <w:tc>
          <w:tcPr>
            <w:tcW w:w="511" w:type="dxa"/>
          </w:tcPr>
          <w:p w14:paraId="180B9A4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9</w:t>
            </w:r>
          </w:p>
        </w:tc>
        <w:tc>
          <w:tcPr>
            <w:tcW w:w="1111" w:type="dxa"/>
          </w:tcPr>
          <w:p w14:paraId="102A134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6.公務人員個人專戶制退休資遣撫卹法草案</w:t>
            </w:r>
          </w:p>
        </w:tc>
        <w:tc>
          <w:tcPr>
            <w:tcW w:w="1545" w:type="dxa"/>
          </w:tcPr>
          <w:p w14:paraId="39312AF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委員吳斯懷等16人 111.05.06 </w:t>
            </w:r>
          </w:p>
          <w:p w14:paraId="2E4AC9E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062FAFC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6E7651F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C34065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2E410B3"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7E9C9BF" w14:textId="77777777" w:rsidTr="00EC13B7">
        <w:trPr>
          <w:trHeight w:val="600"/>
        </w:trPr>
        <w:tc>
          <w:tcPr>
            <w:tcW w:w="511" w:type="dxa"/>
          </w:tcPr>
          <w:p w14:paraId="6B15467A"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10</w:t>
            </w:r>
          </w:p>
        </w:tc>
        <w:tc>
          <w:tcPr>
            <w:tcW w:w="1111" w:type="dxa"/>
          </w:tcPr>
          <w:p w14:paraId="2A3D97CD"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7</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公務人員個人專戶制退休資遣撫卹法草案</w:t>
            </w:r>
          </w:p>
        </w:tc>
        <w:tc>
          <w:tcPr>
            <w:tcW w:w="1545" w:type="dxa"/>
          </w:tcPr>
          <w:p w14:paraId="17F54B7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委員游毓蘭等16人 111.11.18 </w:t>
            </w:r>
          </w:p>
          <w:p w14:paraId="385C223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（10-6-8）</w:t>
            </w:r>
          </w:p>
        </w:tc>
        <w:tc>
          <w:tcPr>
            <w:tcW w:w="1536" w:type="dxa"/>
          </w:tcPr>
          <w:p w14:paraId="41987A1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1.院會111.11.18</w:t>
            </w:r>
          </w:p>
          <w:p w14:paraId="1191428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-8）逕付二讀，與相關提案併案協商。</w:t>
            </w:r>
          </w:p>
          <w:p w14:paraId="0CB17A3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2.111.12.2黨團協商。</w:t>
            </w:r>
          </w:p>
          <w:p w14:paraId="0FAAC65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3.111.12.13黨團協商。</w:t>
            </w:r>
          </w:p>
          <w:p w14:paraId="25886F3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4.111.12.15黨團協商。</w:t>
            </w:r>
          </w:p>
        </w:tc>
        <w:tc>
          <w:tcPr>
            <w:tcW w:w="1387" w:type="dxa"/>
            <w:vMerge/>
          </w:tcPr>
          <w:p w14:paraId="7E2083B9"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06A471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8372DED"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2D512AD" w14:textId="77777777" w:rsidTr="00EC13B7">
        <w:trPr>
          <w:trHeight w:val="600"/>
        </w:trPr>
        <w:tc>
          <w:tcPr>
            <w:tcW w:w="511" w:type="dxa"/>
          </w:tcPr>
          <w:p w14:paraId="2EED666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11</w:t>
            </w:r>
          </w:p>
        </w:tc>
        <w:tc>
          <w:tcPr>
            <w:tcW w:w="1111" w:type="dxa"/>
          </w:tcPr>
          <w:p w14:paraId="647E31D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1.公務人員退休資遣撫卹法第九十三條及第九十五條條</w:t>
            </w:r>
            <w:r w:rsidRPr="002A20DA">
              <w:rPr>
                <w:rFonts w:ascii="標楷體" w:eastAsia="標楷體" w:hAnsi="標楷體"/>
                <w:color w:val="000000"/>
                <w:kern w:val="0"/>
                <w:szCs w:val="22"/>
              </w:rPr>
              <w:lastRenderedPageBreak/>
              <w:t>文修正草案</w:t>
            </w:r>
          </w:p>
        </w:tc>
        <w:tc>
          <w:tcPr>
            <w:tcW w:w="1545" w:type="dxa"/>
          </w:tcPr>
          <w:p w14:paraId="584BF12E"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lastRenderedPageBreak/>
              <w:t xml:space="preserve">考試院 111.04.01 </w:t>
            </w:r>
          </w:p>
          <w:p w14:paraId="74706240"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（10-5-6）</w:t>
            </w:r>
          </w:p>
          <w:p w14:paraId="16762AB6"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p>
        </w:tc>
        <w:tc>
          <w:tcPr>
            <w:tcW w:w="1536" w:type="dxa"/>
            <w:vMerge w:val="restart"/>
          </w:tcPr>
          <w:p w14:paraId="4E514C8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1.第1案</w:t>
            </w:r>
          </w:p>
          <w:p w14:paraId="1FF1AAA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本會111.4.11</w:t>
            </w:r>
          </w:p>
          <w:p w14:paraId="152D0A8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(10-5-11)報告及詢答完畢，另定期繼續審查。</w:t>
            </w:r>
          </w:p>
          <w:p w14:paraId="7BF8F36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2.第1案</w:t>
            </w:r>
          </w:p>
          <w:p w14:paraId="189E3F3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lastRenderedPageBreak/>
              <w:t>本會111.4.28舉行「</w:t>
            </w:r>
            <w:r w:rsidRPr="002A20DA">
              <w:rPr>
                <w:rFonts w:ascii="標楷體" w:eastAsia="標楷體" w:hAnsi="標楷體" w:hint="eastAsia"/>
                <w:spacing w:val="-20"/>
                <w:kern w:val="0"/>
                <w:szCs w:val="22"/>
              </w:rPr>
              <w:t>新進公教人員個人專戶制退撫制度</w:t>
            </w:r>
            <w:r w:rsidRPr="002A20DA">
              <w:rPr>
                <w:rFonts w:ascii="標楷體" w:eastAsia="標楷體" w:hAnsi="標楷體"/>
                <w:spacing w:val="-20"/>
                <w:kern w:val="0"/>
                <w:szCs w:val="22"/>
              </w:rPr>
              <w:t>」公聽會。</w:t>
            </w:r>
          </w:p>
          <w:p w14:paraId="09EAD1A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3.第1-4案</w:t>
            </w:r>
          </w:p>
          <w:p w14:paraId="1079DCD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本會111.5.9</w:t>
            </w:r>
          </w:p>
          <w:p w14:paraId="2E1B0B6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(10-5-17)審查完竣，須交由黨團協商。</w:t>
            </w:r>
          </w:p>
          <w:p w14:paraId="5E90AD8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4.111.12.2黨團協商。</w:t>
            </w:r>
          </w:p>
          <w:p w14:paraId="6F5E08B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5.111.12.13</w:t>
            </w:r>
            <w:r w:rsidRPr="002A20DA">
              <w:rPr>
                <w:rFonts w:ascii="標楷體" w:eastAsia="標楷體" w:hAnsi="標楷體" w:hint="eastAsia"/>
                <w:spacing w:val="-20"/>
                <w:kern w:val="0"/>
                <w:szCs w:val="22"/>
              </w:rPr>
              <w:t>黨團協商。</w:t>
            </w:r>
          </w:p>
          <w:p w14:paraId="0580DA7B" w14:textId="77777777" w:rsidR="00AE6B82" w:rsidRPr="002A20DA" w:rsidRDefault="00AE6B82" w:rsidP="00EC13B7">
            <w:pPr>
              <w:topLinePunct/>
              <w:autoSpaceDE w:val="0"/>
              <w:autoSpaceDN w:val="0"/>
              <w:spacing w:line="260" w:lineRule="exact"/>
              <w:rPr>
                <w:rFonts w:ascii="標楷體" w:eastAsia="標楷體" w:hAnsi="標楷體"/>
                <w:spacing w:val="-20"/>
                <w:kern w:val="0"/>
                <w:szCs w:val="22"/>
              </w:rPr>
            </w:pPr>
            <w:r w:rsidRPr="002A20DA">
              <w:rPr>
                <w:rFonts w:ascii="標楷體" w:eastAsia="標楷體" w:hAnsi="標楷體" w:hint="eastAsia"/>
                <w:spacing w:val="-20"/>
                <w:kern w:val="0"/>
                <w:szCs w:val="22"/>
              </w:rPr>
              <w:t>6.111.12.15黨團協商。</w:t>
            </w:r>
          </w:p>
        </w:tc>
        <w:tc>
          <w:tcPr>
            <w:tcW w:w="1387" w:type="dxa"/>
            <w:vMerge w:val="restart"/>
          </w:tcPr>
          <w:p w14:paraId="3B4A422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院會</w:t>
            </w:r>
          </w:p>
          <w:p w14:paraId="2AD9999B"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.16</w:t>
            </w:r>
          </w:p>
          <w:p w14:paraId="78E6A04E"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 xml:space="preserve"> </w:t>
            </w:r>
          </w:p>
          <w:p w14:paraId="42A0B7B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三讀修正第九十三條及第九十五條</w:t>
            </w:r>
            <w:r w:rsidRPr="002A20DA">
              <w:rPr>
                <w:rFonts w:ascii="標楷體" w:eastAsia="標楷體" w:hAnsi="標楷體" w:hint="eastAsia"/>
                <w:spacing w:val="-20"/>
                <w:kern w:val="0"/>
                <w:szCs w:val="22"/>
              </w:rPr>
              <w:lastRenderedPageBreak/>
              <w:t>條文</w:t>
            </w:r>
          </w:p>
        </w:tc>
        <w:tc>
          <w:tcPr>
            <w:tcW w:w="1683" w:type="dxa"/>
            <w:vMerge w:val="restart"/>
          </w:tcPr>
          <w:p w14:paraId="2AB59A9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112年1月5日台立院議字第1110704718號</w:t>
            </w:r>
          </w:p>
          <w:p w14:paraId="13F9416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5C4F6B2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112年1月11日</w:t>
            </w:r>
          </w:p>
          <w:p w14:paraId="6DCF9E3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w:t>
            </w:r>
            <w:r w:rsidRPr="002A20DA">
              <w:rPr>
                <w:rFonts w:ascii="標楷體" w:eastAsia="標楷體" w:hAnsi="標楷體" w:hint="eastAsia"/>
                <w:color w:val="000000"/>
                <w:spacing w:val="-20"/>
                <w:szCs w:val="22"/>
              </w:rPr>
              <w:lastRenderedPageBreak/>
              <w:t>11200001561號</w:t>
            </w:r>
          </w:p>
        </w:tc>
        <w:tc>
          <w:tcPr>
            <w:tcW w:w="1105" w:type="dxa"/>
            <w:vMerge w:val="restart"/>
          </w:tcPr>
          <w:p w14:paraId="50F5DABB"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第7639號</w:t>
            </w:r>
          </w:p>
        </w:tc>
      </w:tr>
      <w:tr w:rsidR="00AE6B82" w:rsidRPr="002A20DA" w14:paraId="72B619FF" w14:textId="77777777" w:rsidTr="00EC13B7">
        <w:trPr>
          <w:trHeight w:val="600"/>
        </w:trPr>
        <w:tc>
          <w:tcPr>
            <w:tcW w:w="511" w:type="dxa"/>
          </w:tcPr>
          <w:p w14:paraId="433A290D"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12</w:t>
            </w:r>
          </w:p>
        </w:tc>
        <w:tc>
          <w:tcPr>
            <w:tcW w:w="1111" w:type="dxa"/>
          </w:tcPr>
          <w:p w14:paraId="2945A607"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2</w:t>
            </w:r>
            <w:r w:rsidRPr="002A20DA">
              <w:rPr>
                <w:rFonts w:ascii="標楷體" w:eastAsia="標楷體" w:hAnsi="標楷體"/>
                <w:color w:val="000000"/>
                <w:kern w:val="0"/>
                <w:szCs w:val="22"/>
              </w:rPr>
              <w:t>.公務人員退休資遣撫卹法第九十三條及第九十五條條文修正草案</w:t>
            </w:r>
          </w:p>
        </w:tc>
        <w:tc>
          <w:tcPr>
            <w:tcW w:w="1545" w:type="dxa"/>
          </w:tcPr>
          <w:p w14:paraId="6FFF1DE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spacing w:val="-20"/>
                <w:kern w:val="0"/>
                <w:szCs w:val="22"/>
              </w:rPr>
              <w:t>張廖萬堅</w:t>
            </w:r>
            <w:r w:rsidRPr="002A20DA">
              <w:rPr>
                <w:rFonts w:ascii="標楷體" w:eastAsia="標楷體" w:hAnsi="標楷體"/>
                <w:kern w:val="0"/>
                <w:szCs w:val="22"/>
              </w:rPr>
              <w:t xml:space="preserve">等20人 111.04.22 </w:t>
            </w:r>
          </w:p>
          <w:p w14:paraId="292B0C1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737AF0C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4E73946D"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311F1F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27B63F3"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97DF832" w14:textId="77777777" w:rsidTr="00EC13B7">
        <w:trPr>
          <w:trHeight w:val="600"/>
        </w:trPr>
        <w:tc>
          <w:tcPr>
            <w:tcW w:w="511" w:type="dxa"/>
          </w:tcPr>
          <w:p w14:paraId="4F1038BB"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13</w:t>
            </w:r>
          </w:p>
        </w:tc>
        <w:tc>
          <w:tcPr>
            <w:tcW w:w="1111" w:type="dxa"/>
          </w:tcPr>
          <w:p w14:paraId="3C5D49C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.公務人員退休資遣撫卹法第九十三條及第九十五條條文修正草案</w:t>
            </w:r>
          </w:p>
        </w:tc>
        <w:tc>
          <w:tcPr>
            <w:tcW w:w="1545" w:type="dxa"/>
          </w:tcPr>
          <w:p w14:paraId="61E3599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委員郭國文等1</w:t>
            </w:r>
            <w:r w:rsidRPr="002A20DA">
              <w:rPr>
                <w:rFonts w:ascii="標楷體" w:eastAsia="標楷體" w:hAnsi="標楷體" w:hint="eastAsia"/>
                <w:kern w:val="0"/>
                <w:szCs w:val="22"/>
              </w:rPr>
              <w:t>9</w:t>
            </w:r>
            <w:r w:rsidRPr="002A20DA">
              <w:rPr>
                <w:rFonts w:ascii="標楷體" w:eastAsia="標楷體" w:hAnsi="標楷體"/>
                <w:kern w:val="0"/>
                <w:szCs w:val="22"/>
              </w:rPr>
              <w:t xml:space="preserve">人 111.04.22 </w:t>
            </w:r>
          </w:p>
          <w:p w14:paraId="69EFCB1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2F4F332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0C6969E9"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310B8D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3907FA6"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9521EC9" w14:textId="77777777" w:rsidTr="00EC13B7">
        <w:trPr>
          <w:trHeight w:val="600"/>
        </w:trPr>
        <w:tc>
          <w:tcPr>
            <w:tcW w:w="511" w:type="dxa"/>
          </w:tcPr>
          <w:p w14:paraId="40A7576D"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14</w:t>
            </w:r>
          </w:p>
        </w:tc>
        <w:tc>
          <w:tcPr>
            <w:tcW w:w="1111" w:type="dxa"/>
          </w:tcPr>
          <w:p w14:paraId="6ED1D27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4</w:t>
            </w:r>
            <w:r w:rsidRPr="002A20DA">
              <w:rPr>
                <w:rFonts w:ascii="標楷體" w:eastAsia="標楷體" w:hAnsi="標楷體"/>
                <w:color w:val="000000"/>
                <w:kern w:val="0"/>
                <w:szCs w:val="22"/>
              </w:rPr>
              <w:t>.公務人員退休資遣撫卹法第九十三條及第九十五條條文修正草案</w:t>
            </w:r>
          </w:p>
        </w:tc>
        <w:tc>
          <w:tcPr>
            <w:tcW w:w="1545" w:type="dxa"/>
          </w:tcPr>
          <w:p w14:paraId="02838E8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委員吳斯懷等16人 111.05.06 </w:t>
            </w:r>
          </w:p>
          <w:p w14:paraId="0BFF713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61A6155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3B8E298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57DB022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7EF1054"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42FF0F15" w14:textId="77777777" w:rsidTr="00EC13B7">
        <w:trPr>
          <w:trHeight w:val="600"/>
        </w:trPr>
        <w:tc>
          <w:tcPr>
            <w:tcW w:w="511" w:type="dxa"/>
          </w:tcPr>
          <w:p w14:paraId="5E73EEAB"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15</w:t>
            </w:r>
          </w:p>
        </w:tc>
        <w:tc>
          <w:tcPr>
            <w:tcW w:w="1111" w:type="dxa"/>
          </w:tcPr>
          <w:p w14:paraId="2097F47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5</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公務人員退休資遣撫卹法第九十三條及第九十五條條文修正草案</w:t>
            </w:r>
          </w:p>
        </w:tc>
        <w:tc>
          <w:tcPr>
            <w:tcW w:w="1545" w:type="dxa"/>
          </w:tcPr>
          <w:p w14:paraId="0089FA4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hint="eastAsia"/>
                <w:kern w:val="0"/>
                <w:szCs w:val="22"/>
              </w:rPr>
              <w:t xml:space="preserve">許智傑等19人 </w:t>
            </w:r>
            <w:r w:rsidRPr="002A20DA">
              <w:rPr>
                <w:rFonts w:ascii="標楷體" w:eastAsia="標楷體" w:hAnsi="標楷體"/>
                <w:kern w:val="0"/>
                <w:szCs w:val="22"/>
              </w:rPr>
              <w:t>111.05.</w:t>
            </w:r>
            <w:r w:rsidRPr="002A20DA">
              <w:rPr>
                <w:rFonts w:ascii="標楷體" w:eastAsia="標楷體" w:hAnsi="標楷體" w:hint="eastAsia"/>
                <w:kern w:val="0"/>
                <w:szCs w:val="22"/>
              </w:rPr>
              <w:t>27</w:t>
            </w:r>
            <w:r w:rsidRPr="002A20DA">
              <w:rPr>
                <w:rFonts w:ascii="標楷體" w:eastAsia="標楷體" w:hAnsi="標楷體"/>
                <w:kern w:val="0"/>
                <w:szCs w:val="22"/>
              </w:rPr>
              <w:t xml:space="preserve"> </w:t>
            </w:r>
          </w:p>
          <w:p w14:paraId="48536476"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（10-5-14）</w:t>
            </w:r>
          </w:p>
        </w:tc>
        <w:tc>
          <w:tcPr>
            <w:tcW w:w="1536" w:type="dxa"/>
          </w:tcPr>
          <w:p w14:paraId="4241E79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1.院會111.05.27</w:t>
            </w:r>
          </w:p>
          <w:p w14:paraId="755DB62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（10-5-14）逕付二讀，與相關提案併案協商。</w:t>
            </w:r>
          </w:p>
          <w:p w14:paraId="27213E5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2.111.12.2黨團協商。</w:t>
            </w:r>
          </w:p>
          <w:p w14:paraId="4161A9E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w:t>
            </w:r>
            <w:r w:rsidRPr="002A20DA">
              <w:rPr>
                <w:rFonts w:ascii="標楷體" w:eastAsia="標楷體" w:hAnsi="標楷體"/>
                <w:spacing w:val="-20"/>
                <w:kern w:val="0"/>
                <w:szCs w:val="22"/>
              </w:rPr>
              <w:t>.111.12</w:t>
            </w:r>
            <w:r w:rsidRPr="002A20DA">
              <w:rPr>
                <w:rFonts w:ascii="標楷體" w:eastAsia="標楷體" w:hAnsi="標楷體" w:hint="eastAsia"/>
                <w:spacing w:val="-20"/>
                <w:kern w:val="0"/>
                <w:szCs w:val="22"/>
              </w:rPr>
              <w:t>.</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黨團協商。</w:t>
            </w:r>
          </w:p>
          <w:p w14:paraId="5ABF1CD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4</w:t>
            </w:r>
            <w:r w:rsidRPr="002A20DA">
              <w:rPr>
                <w:rFonts w:ascii="標楷體" w:eastAsia="標楷體" w:hAnsi="標楷體" w:hint="eastAsia"/>
                <w:spacing w:val="-20"/>
                <w:kern w:val="0"/>
                <w:szCs w:val="22"/>
              </w:rPr>
              <w:t>.111.12.15黨團協商。</w:t>
            </w:r>
          </w:p>
        </w:tc>
        <w:tc>
          <w:tcPr>
            <w:tcW w:w="1387" w:type="dxa"/>
            <w:vMerge/>
          </w:tcPr>
          <w:p w14:paraId="70C33B59"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0CC8C93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DDBC41C"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1C01AC4E" w14:textId="77777777" w:rsidTr="00EC13B7">
        <w:trPr>
          <w:trHeight w:val="600"/>
        </w:trPr>
        <w:tc>
          <w:tcPr>
            <w:tcW w:w="511" w:type="dxa"/>
          </w:tcPr>
          <w:p w14:paraId="4DF2793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16</w:t>
            </w:r>
          </w:p>
        </w:tc>
        <w:tc>
          <w:tcPr>
            <w:tcW w:w="1111" w:type="dxa"/>
          </w:tcPr>
          <w:p w14:paraId="6A20EBA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6</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公務人員退休資遣撫卹法第九十三條及第九十五條條文修正草案</w:t>
            </w:r>
          </w:p>
        </w:tc>
        <w:tc>
          <w:tcPr>
            <w:tcW w:w="1545" w:type="dxa"/>
          </w:tcPr>
          <w:p w14:paraId="0BFC3F4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委員鄭正鈐等19人 111.05.13 </w:t>
            </w:r>
          </w:p>
          <w:p w14:paraId="67136A3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（10-5-12）</w:t>
            </w:r>
          </w:p>
        </w:tc>
        <w:tc>
          <w:tcPr>
            <w:tcW w:w="1536" w:type="dxa"/>
          </w:tcPr>
          <w:p w14:paraId="6EDDC1E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1.院會111.11.15</w:t>
            </w:r>
          </w:p>
          <w:p w14:paraId="4C6393A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（10-6-7）自司法及法制委員會抽出逕付二讀，與相關提案併案協商。</w:t>
            </w:r>
          </w:p>
          <w:p w14:paraId="232543D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2.111.12.2黨團協商。</w:t>
            </w:r>
          </w:p>
          <w:p w14:paraId="67A9645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3.111.12.13黨</w:t>
            </w:r>
            <w:r w:rsidRPr="002A20DA">
              <w:rPr>
                <w:rFonts w:ascii="標楷體" w:eastAsia="標楷體" w:hAnsi="標楷體" w:hint="eastAsia"/>
                <w:spacing w:val="-20"/>
                <w:kern w:val="0"/>
                <w:szCs w:val="22"/>
              </w:rPr>
              <w:lastRenderedPageBreak/>
              <w:t>團協商。</w:t>
            </w:r>
          </w:p>
          <w:p w14:paraId="687ACBB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4.111.12.15黨團協商。</w:t>
            </w:r>
          </w:p>
        </w:tc>
        <w:tc>
          <w:tcPr>
            <w:tcW w:w="1387" w:type="dxa"/>
            <w:vMerge/>
          </w:tcPr>
          <w:p w14:paraId="49E55C0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F09709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831DD40"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A3AF628" w14:textId="77777777" w:rsidTr="00EC13B7">
        <w:trPr>
          <w:trHeight w:val="600"/>
        </w:trPr>
        <w:tc>
          <w:tcPr>
            <w:tcW w:w="511" w:type="dxa"/>
          </w:tcPr>
          <w:p w14:paraId="073BEDD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17</w:t>
            </w:r>
          </w:p>
        </w:tc>
        <w:tc>
          <w:tcPr>
            <w:tcW w:w="1111" w:type="dxa"/>
          </w:tcPr>
          <w:p w14:paraId="211F880D"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7</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公務人員退休資遣撫卹法第九十三條及第九十五條條文修正草案</w:t>
            </w:r>
          </w:p>
        </w:tc>
        <w:tc>
          <w:tcPr>
            <w:tcW w:w="1545" w:type="dxa"/>
          </w:tcPr>
          <w:p w14:paraId="51B330B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委員游毓蘭等17人 111.11.18 </w:t>
            </w:r>
          </w:p>
          <w:p w14:paraId="6261B09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（10-6-8）</w:t>
            </w:r>
          </w:p>
        </w:tc>
        <w:tc>
          <w:tcPr>
            <w:tcW w:w="1536" w:type="dxa"/>
          </w:tcPr>
          <w:p w14:paraId="58C0098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1.院會111.11.18</w:t>
            </w:r>
          </w:p>
          <w:p w14:paraId="5A39C81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-8）逕付二讀，與相關提案併案協商。</w:t>
            </w:r>
          </w:p>
          <w:p w14:paraId="75BD407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2.111.12.2黨團協商。</w:t>
            </w:r>
          </w:p>
          <w:p w14:paraId="785E0A1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3.111.12.13黨團協商。</w:t>
            </w:r>
          </w:p>
          <w:p w14:paraId="4AB5E28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4.111.12.15黨團協商。</w:t>
            </w:r>
          </w:p>
        </w:tc>
        <w:tc>
          <w:tcPr>
            <w:tcW w:w="1387" w:type="dxa"/>
            <w:vMerge/>
          </w:tcPr>
          <w:p w14:paraId="3EBF5A16"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DEFD50F"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4CD7CD7"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5FFDE00" w14:textId="77777777" w:rsidTr="00EC13B7">
        <w:trPr>
          <w:trHeight w:val="600"/>
        </w:trPr>
        <w:tc>
          <w:tcPr>
            <w:tcW w:w="511" w:type="dxa"/>
          </w:tcPr>
          <w:p w14:paraId="23024343"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18</w:t>
            </w:r>
          </w:p>
        </w:tc>
        <w:tc>
          <w:tcPr>
            <w:tcW w:w="1111" w:type="dxa"/>
          </w:tcPr>
          <w:p w14:paraId="28DB15F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1.公立學校教職員個人專戶制退休資遣撫卹條例草案</w:t>
            </w:r>
          </w:p>
        </w:tc>
        <w:tc>
          <w:tcPr>
            <w:tcW w:w="1545" w:type="dxa"/>
          </w:tcPr>
          <w:p w14:paraId="77E585A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行政院 111.04.01 </w:t>
            </w:r>
          </w:p>
          <w:p w14:paraId="3B45665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（10-5-6）</w:t>
            </w:r>
          </w:p>
        </w:tc>
        <w:tc>
          <w:tcPr>
            <w:tcW w:w="1536" w:type="dxa"/>
            <w:vMerge w:val="restart"/>
          </w:tcPr>
          <w:p w14:paraId="70739EB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1.第1-2案</w:t>
            </w:r>
          </w:p>
          <w:p w14:paraId="1E9D02D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本會、教育及文化委員會聯席會111.4.13</w:t>
            </w:r>
          </w:p>
          <w:p w14:paraId="0883A23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（10-5-2）報告及詢答完畢，另定期繼續審查。</w:t>
            </w:r>
          </w:p>
          <w:p w14:paraId="3CF3E2B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2.第1-2案</w:t>
            </w:r>
          </w:p>
          <w:p w14:paraId="734D572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本會111.4.28舉行「</w:t>
            </w:r>
            <w:r w:rsidRPr="002A20DA">
              <w:rPr>
                <w:rFonts w:ascii="標楷體" w:eastAsia="標楷體" w:hAnsi="標楷體" w:hint="eastAsia"/>
                <w:spacing w:val="-20"/>
                <w:kern w:val="0"/>
                <w:szCs w:val="22"/>
              </w:rPr>
              <w:t>新進公教人員個人專戶制退撫制度</w:t>
            </w:r>
            <w:r w:rsidRPr="002A20DA">
              <w:rPr>
                <w:rFonts w:ascii="標楷體" w:eastAsia="標楷體" w:hAnsi="標楷體"/>
                <w:spacing w:val="-20"/>
                <w:kern w:val="0"/>
                <w:szCs w:val="22"/>
              </w:rPr>
              <w:t>」公聽會。</w:t>
            </w:r>
          </w:p>
          <w:p w14:paraId="79164B3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3.第1-7案</w:t>
            </w:r>
          </w:p>
          <w:p w14:paraId="6751409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本會、教育及文化委員會聯席會111.5.26</w:t>
            </w:r>
          </w:p>
          <w:p w14:paraId="3327F48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(10-5-4)審查完竣，須交由黨團協商。</w:t>
            </w:r>
          </w:p>
          <w:p w14:paraId="1EDD2C8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4.111.12.2黨團協商。</w:t>
            </w:r>
          </w:p>
          <w:p w14:paraId="2600E03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5.111.12.13</w:t>
            </w:r>
            <w:r w:rsidRPr="002A20DA">
              <w:rPr>
                <w:rFonts w:ascii="標楷體" w:eastAsia="標楷體" w:hAnsi="標楷體" w:hint="eastAsia"/>
                <w:spacing w:val="-20"/>
                <w:kern w:val="0"/>
                <w:szCs w:val="22"/>
              </w:rPr>
              <w:t>黨團協商。</w:t>
            </w:r>
          </w:p>
          <w:p w14:paraId="0AA6CD9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6.111.12.15黨團協商。</w:t>
            </w:r>
          </w:p>
        </w:tc>
        <w:tc>
          <w:tcPr>
            <w:tcW w:w="1387" w:type="dxa"/>
            <w:vMerge w:val="restart"/>
          </w:tcPr>
          <w:p w14:paraId="3C2AD0E2"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519C4791"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.16</w:t>
            </w:r>
          </w:p>
          <w:p w14:paraId="73725ADE"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 xml:space="preserve"> </w:t>
            </w:r>
          </w:p>
          <w:p w14:paraId="0514E4A6"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三讀制定公立學校教職員個人專戶制退休資遣撫卹條例</w:t>
            </w:r>
          </w:p>
        </w:tc>
        <w:tc>
          <w:tcPr>
            <w:tcW w:w="1683" w:type="dxa"/>
            <w:vMerge w:val="restart"/>
          </w:tcPr>
          <w:p w14:paraId="0D945A4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112年1月5日台立院議字第1110704721號</w:t>
            </w:r>
          </w:p>
          <w:p w14:paraId="0F58CC9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5CAE3C9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112年1月11日</w:t>
            </w:r>
          </w:p>
          <w:p w14:paraId="23571E0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華總一義字第11200001541號</w:t>
            </w:r>
          </w:p>
        </w:tc>
        <w:tc>
          <w:tcPr>
            <w:tcW w:w="1105" w:type="dxa"/>
            <w:vMerge w:val="restart"/>
          </w:tcPr>
          <w:p w14:paraId="6027128F"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第7639號</w:t>
            </w:r>
          </w:p>
        </w:tc>
      </w:tr>
      <w:tr w:rsidR="00AE6B82" w:rsidRPr="002A20DA" w14:paraId="6254C0B0" w14:textId="77777777" w:rsidTr="00EC13B7">
        <w:trPr>
          <w:trHeight w:val="600"/>
        </w:trPr>
        <w:tc>
          <w:tcPr>
            <w:tcW w:w="511" w:type="dxa"/>
          </w:tcPr>
          <w:p w14:paraId="53F48EF9"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19</w:t>
            </w:r>
          </w:p>
        </w:tc>
        <w:tc>
          <w:tcPr>
            <w:tcW w:w="1111" w:type="dxa"/>
          </w:tcPr>
          <w:p w14:paraId="681DD2A7"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2.公立學校教職員個人專戶制退休資遣撫卹條例草案</w:t>
            </w:r>
          </w:p>
        </w:tc>
        <w:tc>
          <w:tcPr>
            <w:tcW w:w="1545" w:type="dxa"/>
          </w:tcPr>
          <w:p w14:paraId="5B27359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委員范雲</w:t>
            </w:r>
          </w:p>
          <w:p w14:paraId="0A3FFBC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等18人 111.04.01 </w:t>
            </w:r>
          </w:p>
          <w:p w14:paraId="53AA1EC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（10-5-6）</w:t>
            </w:r>
          </w:p>
        </w:tc>
        <w:tc>
          <w:tcPr>
            <w:tcW w:w="1536" w:type="dxa"/>
            <w:vMerge/>
          </w:tcPr>
          <w:p w14:paraId="406AFE2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63A4D37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550758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AB8E5CD"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4EDC3E19" w14:textId="77777777" w:rsidTr="00EC13B7">
        <w:trPr>
          <w:trHeight w:val="600"/>
        </w:trPr>
        <w:tc>
          <w:tcPr>
            <w:tcW w:w="511" w:type="dxa"/>
          </w:tcPr>
          <w:p w14:paraId="68710A42"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20</w:t>
            </w:r>
          </w:p>
        </w:tc>
        <w:tc>
          <w:tcPr>
            <w:tcW w:w="1111" w:type="dxa"/>
          </w:tcPr>
          <w:p w14:paraId="53A37C8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3.公立學校教職員個人專戶制退休資遣撫卹條例草案</w:t>
            </w:r>
          </w:p>
        </w:tc>
        <w:tc>
          <w:tcPr>
            <w:tcW w:w="1545" w:type="dxa"/>
          </w:tcPr>
          <w:p w14:paraId="41EC951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spacing w:val="-20"/>
                <w:kern w:val="0"/>
                <w:szCs w:val="22"/>
              </w:rPr>
              <w:t>張廖萬堅</w:t>
            </w:r>
            <w:r w:rsidRPr="002A20DA">
              <w:rPr>
                <w:rFonts w:ascii="標楷體" w:eastAsia="標楷體" w:hAnsi="標楷體"/>
                <w:kern w:val="0"/>
                <w:szCs w:val="22"/>
              </w:rPr>
              <w:t xml:space="preserve">等20人 111.04.22 </w:t>
            </w:r>
          </w:p>
          <w:p w14:paraId="2C1F811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4FA8605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0984D5A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8053EA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C41AED1"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296FF3E" w14:textId="77777777" w:rsidTr="00EC13B7">
        <w:trPr>
          <w:trHeight w:val="600"/>
        </w:trPr>
        <w:tc>
          <w:tcPr>
            <w:tcW w:w="511" w:type="dxa"/>
          </w:tcPr>
          <w:p w14:paraId="72472B6E"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21</w:t>
            </w:r>
          </w:p>
        </w:tc>
        <w:tc>
          <w:tcPr>
            <w:tcW w:w="1111" w:type="dxa"/>
          </w:tcPr>
          <w:p w14:paraId="2F5A1FC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4</w:t>
            </w:r>
            <w:r w:rsidRPr="002A20DA">
              <w:rPr>
                <w:rFonts w:ascii="標楷體" w:eastAsia="標楷體" w:hAnsi="標楷體"/>
                <w:color w:val="000000"/>
                <w:kern w:val="0"/>
                <w:szCs w:val="22"/>
              </w:rPr>
              <w:t>.公立學校教職員個人專戶制退休資遣撫卹條例草案</w:t>
            </w:r>
          </w:p>
        </w:tc>
        <w:tc>
          <w:tcPr>
            <w:tcW w:w="1545" w:type="dxa"/>
          </w:tcPr>
          <w:p w14:paraId="2F8323F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委員郭國文等1</w:t>
            </w:r>
            <w:r w:rsidRPr="002A20DA">
              <w:rPr>
                <w:rFonts w:ascii="標楷體" w:eastAsia="標楷體" w:hAnsi="標楷體" w:hint="eastAsia"/>
                <w:kern w:val="0"/>
                <w:szCs w:val="22"/>
              </w:rPr>
              <w:t>9</w:t>
            </w:r>
            <w:r w:rsidRPr="002A20DA">
              <w:rPr>
                <w:rFonts w:ascii="標楷體" w:eastAsia="標楷體" w:hAnsi="標楷體"/>
                <w:kern w:val="0"/>
                <w:szCs w:val="22"/>
              </w:rPr>
              <w:t xml:space="preserve">人 111.04.22 </w:t>
            </w:r>
          </w:p>
          <w:p w14:paraId="550867F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3E8869E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1252DB1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0FAAFE7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DF09BD5"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02D813B" w14:textId="77777777" w:rsidTr="00EC13B7">
        <w:trPr>
          <w:trHeight w:val="600"/>
        </w:trPr>
        <w:tc>
          <w:tcPr>
            <w:tcW w:w="511" w:type="dxa"/>
          </w:tcPr>
          <w:p w14:paraId="75CA9E39"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22</w:t>
            </w:r>
          </w:p>
        </w:tc>
        <w:tc>
          <w:tcPr>
            <w:tcW w:w="1111" w:type="dxa"/>
          </w:tcPr>
          <w:p w14:paraId="7924F37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5.公立學校教職員個人專戶制退休資遣撫卹條例草案</w:t>
            </w:r>
          </w:p>
        </w:tc>
        <w:tc>
          <w:tcPr>
            <w:tcW w:w="1545" w:type="dxa"/>
          </w:tcPr>
          <w:p w14:paraId="199CBEE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委員鄭正鈐等21人 111.04.29 </w:t>
            </w:r>
          </w:p>
          <w:p w14:paraId="2D55417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（10-5-10）</w:t>
            </w:r>
          </w:p>
        </w:tc>
        <w:tc>
          <w:tcPr>
            <w:tcW w:w="1536" w:type="dxa"/>
            <w:vMerge/>
          </w:tcPr>
          <w:p w14:paraId="3ABD7B5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1231EE9C"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09B920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B3D77E7"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88D83F5" w14:textId="77777777" w:rsidTr="00EC13B7">
        <w:trPr>
          <w:trHeight w:val="600"/>
        </w:trPr>
        <w:tc>
          <w:tcPr>
            <w:tcW w:w="511" w:type="dxa"/>
          </w:tcPr>
          <w:p w14:paraId="7CC383A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23</w:t>
            </w:r>
          </w:p>
        </w:tc>
        <w:tc>
          <w:tcPr>
            <w:tcW w:w="1111" w:type="dxa"/>
          </w:tcPr>
          <w:p w14:paraId="739DB777"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6.公立學校教職員個人專戶</w:t>
            </w:r>
            <w:r w:rsidRPr="002A20DA">
              <w:rPr>
                <w:rFonts w:ascii="標楷體" w:eastAsia="標楷體" w:hAnsi="標楷體"/>
                <w:color w:val="000000"/>
                <w:kern w:val="0"/>
                <w:szCs w:val="22"/>
              </w:rPr>
              <w:lastRenderedPageBreak/>
              <w:t>制退休資遣撫卹條例草案</w:t>
            </w:r>
          </w:p>
        </w:tc>
        <w:tc>
          <w:tcPr>
            <w:tcW w:w="1545" w:type="dxa"/>
          </w:tcPr>
          <w:p w14:paraId="0494335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lastRenderedPageBreak/>
              <w:t xml:space="preserve">委員吳斯懷等16人 111.05.06 </w:t>
            </w:r>
          </w:p>
          <w:p w14:paraId="4483364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78C5095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3A0360FC"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EAC876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BD43F4F"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94D1B31" w14:textId="77777777" w:rsidTr="00EC13B7">
        <w:trPr>
          <w:trHeight w:val="600"/>
        </w:trPr>
        <w:tc>
          <w:tcPr>
            <w:tcW w:w="511" w:type="dxa"/>
          </w:tcPr>
          <w:p w14:paraId="380C01B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24</w:t>
            </w:r>
          </w:p>
        </w:tc>
        <w:tc>
          <w:tcPr>
            <w:tcW w:w="1111" w:type="dxa"/>
          </w:tcPr>
          <w:p w14:paraId="3FAA3CF8"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7.公立學校教職員個人專戶制退休資遣撫卹條例草案</w:t>
            </w:r>
          </w:p>
        </w:tc>
        <w:tc>
          <w:tcPr>
            <w:tcW w:w="1545" w:type="dxa"/>
          </w:tcPr>
          <w:p w14:paraId="00F1C32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委員林宜瑾等21人 111.05.06 </w:t>
            </w:r>
          </w:p>
          <w:p w14:paraId="55D74B9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3F7C873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275C7C10"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21029F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6125918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EA6293A" w14:textId="77777777" w:rsidTr="00EC13B7">
        <w:trPr>
          <w:trHeight w:val="600"/>
        </w:trPr>
        <w:tc>
          <w:tcPr>
            <w:tcW w:w="511" w:type="dxa"/>
          </w:tcPr>
          <w:p w14:paraId="1E19329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25</w:t>
            </w:r>
          </w:p>
        </w:tc>
        <w:tc>
          <w:tcPr>
            <w:tcW w:w="1111" w:type="dxa"/>
          </w:tcPr>
          <w:p w14:paraId="47B7AF2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8</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公立學校教職員個人專戶制退休資遣撫卹條例草案</w:t>
            </w:r>
          </w:p>
        </w:tc>
        <w:tc>
          <w:tcPr>
            <w:tcW w:w="1545" w:type="dxa"/>
          </w:tcPr>
          <w:p w14:paraId="6CC6C67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委員林奕華等16人 111.09.30</w:t>
            </w:r>
          </w:p>
          <w:p w14:paraId="20B829D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（10-6-2）</w:t>
            </w:r>
          </w:p>
        </w:tc>
        <w:tc>
          <w:tcPr>
            <w:tcW w:w="1536" w:type="dxa"/>
          </w:tcPr>
          <w:p w14:paraId="5429943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1.院會111.0</w:t>
            </w:r>
            <w:r w:rsidRPr="002A20DA">
              <w:rPr>
                <w:rFonts w:ascii="標楷體" w:eastAsia="標楷體" w:hAnsi="標楷體"/>
                <w:spacing w:val="-20"/>
                <w:kern w:val="0"/>
                <w:szCs w:val="22"/>
              </w:rPr>
              <w:t>9</w:t>
            </w:r>
            <w:r w:rsidRPr="002A20DA">
              <w:rPr>
                <w:rFonts w:ascii="標楷體" w:eastAsia="標楷體" w:hAnsi="標楷體" w:hint="eastAsia"/>
                <w:spacing w:val="-20"/>
                <w:kern w:val="0"/>
                <w:szCs w:val="22"/>
              </w:rPr>
              <w:t>.30</w:t>
            </w:r>
          </w:p>
          <w:p w14:paraId="5A26DE0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-2）逕付二讀，與相關提案併案協商。</w:t>
            </w:r>
          </w:p>
          <w:p w14:paraId="2020EEF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2.111.12.2黨團協商。</w:t>
            </w:r>
          </w:p>
          <w:p w14:paraId="2A7D331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3.111.12.13黨團協商。</w:t>
            </w:r>
          </w:p>
          <w:p w14:paraId="201D77E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4.111.12.15黨團協商。</w:t>
            </w:r>
          </w:p>
        </w:tc>
        <w:tc>
          <w:tcPr>
            <w:tcW w:w="1387" w:type="dxa"/>
            <w:vMerge/>
          </w:tcPr>
          <w:p w14:paraId="258ED45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3757A4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CE1D49B"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230743E6" w14:textId="77777777" w:rsidTr="00EC13B7">
        <w:trPr>
          <w:trHeight w:val="600"/>
        </w:trPr>
        <w:tc>
          <w:tcPr>
            <w:tcW w:w="511" w:type="dxa"/>
          </w:tcPr>
          <w:p w14:paraId="47889E1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26</w:t>
            </w:r>
          </w:p>
        </w:tc>
        <w:tc>
          <w:tcPr>
            <w:tcW w:w="1111" w:type="dxa"/>
          </w:tcPr>
          <w:p w14:paraId="5F24BFBA"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9</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公立學校教職員個人專戶制退休資遣撫卹條例草案</w:t>
            </w:r>
          </w:p>
        </w:tc>
        <w:tc>
          <w:tcPr>
            <w:tcW w:w="1545" w:type="dxa"/>
          </w:tcPr>
          <w:p w14:paraId="1FDC1C56"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委員游毓蘭等16人 111.11.18 </w:t>
            </w:r>
          </w:p>
          <w:p w14:paraId="5A37D9F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（10-6-8）</w:t>
            </w:r>
          </w:p>
        </w:tc>
        <w:tc>
          <w:tcPr>
            <w:tcW w:w="1536" w:type="dxa"/>
          </w:tcPr>
          <w:p w14:paraId="2BB0F66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1.院會111.11.18</w:t>
            </w:r>
          </w:p>
          <w:p w14:paraId="3EEA817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-8）逕付二讀，與相關提案併案協商。</w:t>
            </w:r>
          </w:p>
          <w:p w14:paraId="4574E80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2.111.12.2黨團協商。</w:t>
            </w:r>
          </w:p>
          <w:p w14:paraId="30F71B4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3.111.12.13黨團協商。</w:t>
            </w:r>
          </w:p>
          <w:p w14:paraId="12DF5E5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4.111.12.15黨團協商。</w:t>
            </w:r>
          </w:p>
        </w:tc>
        <w:tc>
          <w:tcPr>
            <w:tcW w:w="1387" w:type="dxa"/>
            <w:vMerge/>
          </w:tcPr>
          <w:p w14:paraId="1E333C19"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E9554A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1DDBF7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340C21B0" w14:textId="77777777" w:rsidTr="00EC13B7">
        <w:trPr>
          <w:trHeight w:val="600"/>
        </w:trPr>
        <w:tc>
          <w:tcPr>
            <w:tcW w:w="511" w:type="dxa"/>
          </w:tcPr>
          <w:p w14:paraId="68C4983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27</w:t>
            </w:r>
          </w:p>
        </w:tc>
        <w:tc>
          <w:tcPr>
            <w:tcW w:w="1111" w:type="dxa"/>
          </w:tcPr>
          <w:p w14:paraId="5910184C"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1.公立學校教職員退休資遣撫卹條例第九十八條及第一百條條文修正草案</w:t>
            </w:r>
          </w:p>
        </w:tc>
        <w:tc>
          <w:tcPr>
            <w:tcW w:w="1545" w:type="dxa"/>
          </w:tcPr>
          <w:p w14:paraId="5980FCCA"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 xml:space="preserve">行政院 111.04.01 </w:t>
            </w:r>
          </w:p>
          <w:p w14:paraId="446EC1C6" w14:textId="77777777" w:rsidR="00AE6B82" w:rsidRPr="002A20DA" w:rsidRDefault="00AE6B82" w:rsidP="00EC13B7">
            <w:pPr>
              <w:kinsoku w:val="0"/>
              <w:overflowPunct w:val="0"/>
              <w:adjustRightInd w:val="0"/>
              <w:snapToGrid w:val="0"/>
              <w:spacing w:line="300" w:lineRule="exact"/>
              <w:rPr>
                <w:rFonts w:ascii="標楷體" w:eastAsia="標楷體" w:hAnsi="標楷體"/>
                <w:color w:val="000000"/>
                <w:spacing w:val="-10"/>
                <w:kern w:val="0"/>
                <w:szCs w:val="22"/>
              </w:rPr>
            </w:pPr>
            <w:r w:rsidRPr="002A20DA">
              <w:rPr>
                <w:rFonts w:ascii="標楷體" w:eastAsia="標楷體" w:hAnsi="標楷體"/>
                <w:color w:val="000000"/>
                <w:spacing w:val="-10"/>
                <w:kern w:val="0"/>
                <w:szCs w:val="22"/>
              </w:rPr>
              <w:t>（10-5-6）</w:t>
            </w:r>
          </w:p>
        </w:tc>
        <w:tc>
          <w:tcPr>
            <w:tcW w:w="1536" w:type="dxa"/>
            <w:vMerge w:val="restart"/>
          </w:tcPr>
          <w:p w14:paraId="680CB47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1.第1案</w:t>
            </w:r>
          </w:p>
          <w:p w14:paraId="4A7392B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本會、教育及文化委員會聯席會111.4.13</w:t>
            </w:r>
          </w:p>
          <w:p w14:paraId="4ED068B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（10-5-2）報告及詢答完畢，另定期繼續審查。</w:t>
            </w:r>
          </w:p>
          <w:p w14:paraId="2C4F414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2.第1案</w:t>
            </w:r>
          </w:p>
          <w:p w14:paraId="7788FF9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本會111.4.28舉行「</w:t>
            </w:r>
            <w:r w:rsidRPr="002A20DA">
              <w:rPr>
                <w:rFonts w:ascii="標楷體" w:eastAsia="標楷體" w:hAnsi="標楷體" w:hint="eastAsia"/>
                <w:spacing w:val="-20"/>
                <w:kern w:val="0"/>
                <w:szCs w:val="22"/>
              </w:rPr>
              <w:t>新進公教人員個人專戶制退撫制度</w:t>
            </w:r>
            <w:r w:rsidRPr="002A20DA">
              <w:rPr>
                <w:rFonts w:ascii="標楷體" w:eastAsia="標楷體" w:hAnsi="標楷體"/>
                <w:spacing w:val="-20"/>
                <w:kern w:val="0"/>
                <w:szCs w:val="22"/>
              </w:rPr>
              <w:t>」公聽會。</w:t>
            </w:r>
          </w:p>
          <w:p w14:paraId="5DC2FF4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3.第1-5案</w:t>
            </w:r>
          </w:p>
          <w:p w14:paraId="1CC9221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本會、教育及文化委員會聯席</w:t>
            </w:r>
            <w:r w:rsidRPr="002A20DA">
              <w:rPr>
                <w:rFonts w:ascii="標楷體" w:eastAsia="標楷體" w:hAnsi="標楷體" w:hint="eastAsia"/>
                <w:spacing w:val="-20"/>
                <w:kern w:val="0"/>
                <w:szCs w:val="22"/>
              </w:rPr>
              <w:lastRenderedPageBreak/>
              <w:t>會111.5.26</w:t>
            </w:r>
          </w:p>
          <w:p w14:paraId="6B2D7C2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(10-5-4)審查完竣，須交由黨團協商。</w:t>
            </w:r>
          </w:p>
          <w:p w14:paraId="4B01066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4.111.12.2黨團協商。</w:t>
            </w:r>
          </w:p>
          <w:p w14:paraId="015EE78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5.111.12.13</w:t>
            </w:r>
            <w:r w:rsidRPr="002A20DA">
              <w:rPr>
                <w:rFonts w:ascii="標楷體" w:eastAsia="標楷體" w:hAnsi="標楷體" w:hint="eastAsia"/>
                <w:spacing w:val="-20"/>
                <w:kern w:val="0"/>
                <w:szCs w:val="22"/>
              </w:rPr>
              <w:t>黨團協商。</w:t>
            </w:r>
          </w:p>
          <w:p w14:paraId="30E5A8B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6.111.12.15黨團協商。</w:t>
            </w:r>
          </w:p>
        </w:tc>
        <w:tc>
          <w:tcPr>
            <w:tcW w:w="1387" w:type="dxa"/>
            <w:vMerge w:val="restart"/>
          </w:tcPr>
          <w:p w14:paraId="75858F67"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院會</w:t>
            </w:r>
          </w:p>
          <w:p w14:paraId="1FDB467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.16</w:t>
            </w:r>
          </w:p>
          <w:p w14:paraId="3A2BE009"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 xml:space="preserve"> </w:t>
            </w:r>
          </w:p>
          <w:p w14:paraId="403E7CB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三讀修正第九十八條及第一百條條文</w:t>
            </w:r>
          </w:p>
        </w:tc>
        <w:tc>
          <w:tcPr>
            <w:tcW w:w="1683" w:type="dxa"/>
            <w:vMerge w:val="restart"/>
          </w:tcPr>
          <w:p w14:paraId="3842F18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112年1月5日台立院議字第1110704725號</w:t>
            </w:r>
          </w:p>
          <w:p w14:paraId="7B380C8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30464E85"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112年1月11日</w:t>
            </w:r>
          </w:p>
          <w:p w14:paraId="143F214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華總一義字第11200001571號</w:t>
            </w:r>
          </w:p>
        </w:tc>
        <w:tc>
          <w:tcPr>
            <w:tcW w:w="1105" w:type="dxa"/>
            <w:vMerge w:val="restart"/>
          </w:tcPr>
          <w:p w14:paraId="54ED70C5"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第7639號</w:t>
            </w:r>
          </w:p>
        </w:tc>
      </w:tr>
      <w:tr w:rsidR="00AE6B82" w:rsidRPr="002A20DA" w14:paraId="54BF55D3" w14:textId="77777777" w:rsidTr="00EC13B7">
        <w:trPr>
          <w:trHeight w:val="600"/>
        </w:trPr>
        <w:tc>
          <w:tcPr>
            <w:tcW w:w="511" w:type="dxa"/>
          </w:tcPr>
          <w:p w14:paraId="50753AE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28</w:t>
            </w:r>
          </w:p>
        </w:tc>
        <w:tc>
          <w:tcPr>
            <w:tcW w:w="1111" w:type="dxa"/>
          </w:tcPr>
          <w:p w14:paraId="3C615ADA"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2</w:t>
            </w:r>
            <w:r w:rsidRPr="002A20DA">
              <w:rPr>
                <w:rFonts w:ascii="標楷體" w:eastAsia="標楷體" w:hAnsi="標楷體"/>
                <w:color w:val="000000"/>
                <w:kern w:val="0"/>
                <w:szCs w:val="22"/>
              </w:rPr>
              <w:t>.公立學校教職員退休資遣撫卹條例第九十八條及第一百條條文修正草案</w:t>
            </w:r>
          </w:p>
        </w:tc>
        <w:tc>
          <w:tcPr>
            <w:tcW w:w="1545" w:type="dxa"/>
          </w:tcPr>
          <w:p w14:paraId="7DE73A1A"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spacing w:val="-20"/>
                <w:kern w:val="0"/>
                <w:szCs w:val="22"/>
              </w:rPr>
              <w:t>張廖萬堅</w:t>
            </w:r>
            <w:r w:rsidRPr="002A20DA">
              <w:rPr>
                <w:rFonts w:ascii="標楷體" w:eastAsia="標楷體" w:hAnsi="標楷體"/>
                <w:kern w:val="0"/>
                <w:szCs w:val="22"/>
              </w:rPr>
              <w:t xml:space="preserve">等20人 111.04.22 </w:t>
            </w:r>
          </w:p>
          <w:p w14:paraId="2AAD00A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49FE5D8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3E570EF6"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CE5C41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59F8BB5"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3FF47AC9" w14:textId="77777777" w:rsidTr="00EC13B7">
        <w:trPr>
          <w:trHeight w:val="600"/>
        </w:trPr>
        <w:tc>
          <w:tcPr>
            <w:tcW w:w="511" w:type="dxa"/>
          </w:tcPr>
          <w:p w14:paraId="4B4C6CE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29</w:t>
            </w:r>
          </w:p>
        </w:tc>
        <w:tc>
          <w:tcPr>
            <w:tcW w:w="1111" w:type="dxa"/>
          </w:tcPr>
          <w:p w14:paraId="4DFA86F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.公立學校教職員退休資遣撫卹條例第九十八條及第一百條條文修正草案</w:t>
            </w:r>
          </w:p>
        </w:tc>
        <w:tc>
          <w:tcPr>
            <w:tcW w:w="1545" w:type="dxa"/>
          </w:tcPr>
          <w:p w14:paraId="1F17F87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委員郭國文等1</w:t>
            </w:r>
            <w:r w:rsidRPr="002A20DA">
              <w:rPr>
                <w:rFonts w:ascii="標楷體" w:eastAsia="標楷體" w:hAnsi="標楷體" w:hint="eastAsia"/>
                <w:kern w:val="0"/>
                <w:szCs w:val="22"/>
              </w:rPr>
              <w:t>9</w:t>
            </w:r>
            <w:r w:rsidRPr="002A20DA">
              <w:rPr>
                <w:rFonts w:ascii="標楷體" w:eastAsia="標楷體" w:hAnsi="標楷體"/>
                <w:kern w:val="0"/>
                <w:szCs w:val="22"/>
              </w:rPr>
              <w:t xml:space="preserve">人 111.04.22 </w:t>
            </w:r>
          </w:p>
          <w:p w14:paraId="75A48F9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4524F52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35DD079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B784D4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513A2D9B"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AAB9A43" w14:textId="77777777" w:rsidTr="00EC13B7">
        <w:trPr>
          <w:trHeight w:val="600"/>
        </w:trPr>
        <w:tc>
          <w:tcPr>
            <w:tcW w:w="511" w:type="dxa"/>
          </w:tcPr>
          <w:p w14:paraId="211744F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30</w:t>
            </w:r>
          </w:p>
        </w:tc>
        <w:tc>
          <w:tcPr>
            <w:tcW w:w="1111" w:type="dxa"/>
          </w:tcPr>
          <w:p w14:paraId="14BC95D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4</w:t>
            </w:r>
            <w:r w:rsidRPr="002A20DA">
              <w:rPr>
                <w:rFonts w:ascii="標楷體" w:eastAsia="標楷體" w:hAnsi="標楷體"/>
                <w:color w:val="000000"/>
                <w:kern w:val="0"/>
                <w:szCs w:val="22"/>
              </w:rPr>
              <w:t>.公立學校教職員退休資遣撫卹條例第九十八條及第一百條條文修正草案</w:t>
            </w:r>
          </w:p>
        </w:tc>
        <w:tc>
          <w:tcPr>
            <w:tcW w:w="1545" w:type="dxa"/>
          </w:tcPr>
          <w:p w14:paraId="21CC123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委員鄭正鈐等22人 111.04.29 </w:t>
            </w:r>
          </w:p>
          <w:p w14:paraId="2CE4D1E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（10-5-10）</w:t>
            </w:r>
          </w:p>
        </w:tc>
        <w:tc>
          <w:tcPr>
            <w:tcW w:w="1536" w:type="dxa"/>
            <w:vMerge/>
          </w:tcPr>
          <w:p w14:paraId="61547A2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00DF2D1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0CD0CB88"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11CD887"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BB2FF58" w14:textId="77777777" w:rsidTr="00EC13B7">
        <w:trPr>
          <w:trHeight w:val="600"/>
        </w:trPr>
        <w:tc>
          <w:tcPr>
            <w:tcW w:w="511" w:type="dxa"/>
          </w:tcPr>
          <w:p w14:paraId="7449A4A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31</w:t>
            </w:r>
          </w:p>
        </w:tc>
        <w:tc>
          <w:tcPr>
            <w:tcW w:w="1111" w:type="dxa"/>
          </w:tcPr>
          <w:p w14:paraId="483E69D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5</w:t>
            </w:r>
            <w:r w:rsidRPr="002A20DA">
              <w:rPr>
                <w:rFonts w:ascii="標楷體" w:eastAsia="標楷體" w:hAnsi="標楷體"/>
                <w:color w:val="000000"/>
                <w:kern w:val="0"/>
                <w:szCs w:val="22"/>
              </w:rPr>
              <w:t>.公立學校教職員退休資遣撫卹條例第九十八條及第一百條條文修正草案</w:t>
            </w:r>
          </w:p>
        </w:tc>
        <w:tc>
          <w:tcPr>
            <w:tcW w:w="1545" w:type="dxa"/>
          </w:tcPr>
          <w:p w14:paraId="1D70435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委員吳斯懷等16人 111.05.06 </w:t>
            </w:r>
          </w:p>
          <w:p w14:paraId="76D42456"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4382FF3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138694B7"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D03E3E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94A1FCF"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33D2DD20" w14:textId="77777777" w:rsidTr="00EC13B7">
        <w:trPr>
          <w:trHeight w:val="600"/>
        </w:trPr>
        <w:tc>
          <w:tcPr>
            <w:tcW w:w="511" w:type="dxa"/>
          </w:tcPr>
          <w:p w14:paraId="1CFAC72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32</w:t>
            </w:r>
          </w:p>
        </w:tc>
        <w:tc>
          <w:tcPr>
            <w:tcW w:w="1111" w:type="dxa"/>
          </w:tcPr>
          <w:p w14:paraId="5BB8256C"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6</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公立學校教職員退休資遣撫卹條例第九十八條及第一百條條文修正草案</w:t>
            </w:r>
          </w:p>
        </w:tc>
        <w:tc>
          <w:tcPr>
            <w:tcW w:w="1545" w:type="dxa"/>
          </w:tcPr>
          <w:p w14:paraId="428087C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委員游毓蘭等17人 111.11.18 </w:t>
            </w:r>
          </w:p>
          <w:p w14:paraId="57E604E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（10-6-8）</w:t>
            </w:r>
          </w:p>
        </w:tc>
        <w:tc>
          <w:tcPr>
            <w:tcW w:w="1536" w:type="dxa"/>
          </w:tcPr>
          <w:p w14:paraId="2E571EC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1.院會111.11.18</w:t>
            </w:r>
          </w:p>
          <w:p w14:paraId="5F44CB1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-8）逕付二讀，與相關提案併案協商。</w:t>
            </w:r>
          </w:p>
          <w:p w14:paraId="6D2F91B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2.111.12.2黨團協商。</w:t>
            </w:r>
          </w:p>
          <w:p w14:paraId="54F6C07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3.111.12.13黨團協商。</w:t>
            </w:r>
          </w:p>
          <w:p w14:paraId="1942C07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4.111.12.15黨團協商。</w:t>
            </w:r>
          </w:p>
        </w:tc>
        <w:tc>
          <w:tcPr>
            <w:tcW w:w="1387" w:type="dxa"/>
            <w:vMerge/>
          </w:tcPr>
          <w:p w14:paraId="30DD8AC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E21414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1CD1B32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453C40FF" w14:textId="77777777" w:rsidTr="00EC13B7">
        <w:trPr>
          <w:trHeight w:val="600"/>
        </w:trPr>
        <w:tc>
          <w:tcPr>
            <w:tcW w:w="511" w:type="dxa"/>
          </w:tcPr>
          <w:p w14:paraId="3B79D510"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33</w:t>
            </w:r>
          </w:p>
        </w:tc>
        <w:tc>
          <w:tcPr>
            <w:tcW w:w="1111" w:type="dxa"/>
          </w:tcPr>
          <w:p w14:paraId="4BEFA8B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7</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公立學校教職員退休資遣撫卹條例第九十八條及第一百條條文修正草案</w:t>
            </w:r>
          </w:p>
        </w:tc>
        <w:tc>
          <w:tcPr>
            <w:tcW w:w="1545" w:type="dxa"/>
          </w:tcPr>
          <w:p w14:paraId="44296A5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委員林奕華等16人 111.12.09 </w:t>
            </w:r>
          </w:p>
          <w:p w14:paraId="03E2A73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（10-6-11）</w:t>
            </w:r>
          </w:p>
        </w:tc>
        <w:tc>
          <w:tcPr>
            <w:tcW w:w="1536" w:type="dxa"/>
          </w:tcPr>
          <w:p w14:paraId="2934ACC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院會111.12.09</w:t>
            </w:r>
          </w:p>
          <w:p w14:paraId="64D483E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-11）逕付二讀，與相關提案併案協商。</w:t>
            </w:r>
          </w:p>
          <w:p w14:paraId="47D48D8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.111.12.13黨團協商。</w:t>
            </w:r>
          </w:p>
          <w:p w14:paraId="4045793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3</w:t>
            </w:r>
            <w:r w:rsidRPr="002A20DA">
              <w:rPr>
                <w:rFonts w:ascii="標楷體" w:eastAsia="標楷體" w:hAnsi="標楷體" w:hint="eastAsia"/>
                <w:spacing w:val="-20"/>
                <w:kern w:val="0"/>
                <w:szCs w:val="22"/>
              </w:rPr>
              <w:t>.111.12.15黨團協商。</w:t>
            </w:r>
          </w:p>
        </w:tc>
        <w:tc>
          <w:tcPr>
            <w:tcW w:w="1387" w:type="dxa"/>
            <w:vMerge/>
          </w:tcPr>
          <w:p w14:paraId="4448D7CD"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98BA79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DAA3190"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2C070F90" w14:textId="77777777" w:rsidTr="00EC13B7">
        <w:trPr>
          <w:trHeight w:val="600"/>
        </w:trPr>
        <w:tc>
          <w:tcPr>
            <w:tcW w:w="511" w:type="dxa"/>
          </w:tcPr>
          <w:p w14:paraId="33964EC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34</w:t>
            </w:r>
          </w:p>
        </w:tc>
        <w:tc>
          <w:tcPr>
            <w:tcW w:w="1111" w:type="dxa"/>
          </w:tcPr>
          <w:p w14:paraId="28580CF8" w14:textId="77777777" w:rsidR="00AE6B82" w:rsidRPr="002A20DA" w:rsidRDefault="00AE6B82" w:rsidP="00EC13B7">
            <w:pPr>
              <w:kinsoku w:val="0"/>
              <w:overflowPunct w:val="0"/>
              <w:spacing w:line="300" w:lineRule="exact"/>
              <w:ind w:rightChars="-45" w:right="-108"/>
              <w:rPr>
                <w:rFonts w:ascii="Calibri" w:hAnsi="標楷體"/>
                <w:szCs w:val="22"/>
              </w:rPr>
            </w:pPr>
            <w:r w:rsidRPr="002A20DA">
              <w:rPr>
                <w:rFonts w:ascii="標楷體" w:eastAsia="標楷體" w:hAnsi="標楷體"/>
                <w:color w:val="000000"/>
                <w:kern w:val="0"/>
                <w:szCs w:val="22"/>
              </w:rPr>
              <w:t>公教人員保險法部分條文修</w:t>
            </w:r>
            <w:r w:rsidRPr="002A20DA">
              <w:rPr>
                <w:rFonts w:ascii="標楷體" w:eastAsia="標楷體" w:hAnsi="標楷體"/>
                <w:color w:val="000000"/>
                <w:kern w:val="0"/>
                <w:szCs w:val="22"/>
              </w:rPr>
              <w:lastRenderedPageBreak/>
              <w:t>正草案</w:t>
            </w:r>
          </w:p>
        </w:tc>
        <w:tc>
          <w:tcPr>
            <w:tcW w:w="1545" w:type="dxa"/>
          </w:tcPr>
          <w:p w14:paraId="54F64B2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color w:val="000000"/>
                <w:spacing w:val="-30"/>
                <w:kern w:val="0"/>
                <w:szCs w:val="22"/>
              </w:rPr>
              <w:lastRenderedPageBreak/>
              <w:t xml:space="preserve">考試院、行政院 </w:t>
            </w:r>
            <w:r w:rsidRPr="002A20DA">
              <w:rPr>
                <w:rFonts w:ascii="標楷體" w:eastAsia="標楷體" w:hAnsi="標楷體"/>
                <w:kern w:val="0"/>
                <w:szCs w:val="22"/>
              </w:rPr>
              <w:t xml:space="preserve">111.04.01 </w:t>
            </w:r>
          </w:p>
          <w:p w14:paraId="07AEE95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（10-5-6）</w:t>
            </w:r>
          </w:p>
          <w:p w14:paraId="5C39BED0"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p>
        </w:tc>
        <w:tc>
          <w:tcPr>
            <w:tcW w:w="1536" w:type="dxa"/>
          </w:tcPr>
          <w:p w14:paraId="2E5A0B1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1.本會111.4.11</w:t>
            </w:r>
          </w:p>
          <w:p w14:paraId="4F68C09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(10-5-11)報告</w:t>
            </w:r>
            <w:r w:rsidRPr="002A20DA">
              <w:rPr>
                <w:rFonts w:ascii="標楷體" w:eastAsia="標楷體" w:hAnsi="標楷體" w:hint="eastAsia"/>
                <w:spacing w:val="-20"/>
                <w:kern w:val="0"/>
                <w:szCs w:val="22"/>
              </w:rPr>
              <w:lastRenderedPageBreak/>
              <w:t>及詢答完畢，另定期繼續審查。</w:t>
            </w:r>
          </w:p>
          <w:p w14:paraId="00B1E43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w:t>
            </w:r>
            <w:r w:rsidRPr="002A20DA">
              <w:rPr>
                <w:rFonts w:ascii="標楷體" w:eastAsia="標楷體" w:hAnsi="標楷體"/>
                <w:spacing w:val="-20"/>
                <w:kern w:val="0"/>
                <w:szCs w:val="22"/>
              </w:rPr>
              <w:t>.本會111.4.28舉行「</w:t>
            </w:r>
            <w:r w:rsidRPr="002A20DA">
              <w:rPr>
                <w:rFonts w:ascii="標楷體" w:eastAsia="標楷體" w:hAnsi="標楷體" w:hint="eastAsia"/>
                <w:spacing w:val="-20"/>
                <w:kern w:val="0"/>
                <w:szCs w:val="22"/>
              </w:rPr>
              <w:t>新進公教人員個人專戶制退撫制度</w:t>
            </w:r>
            <w:r w:rsidRPr="002A20DA">
              <w:rPr>
                <w:rFonts w:ascii="標楷體" w:eastAsia="標楷體" w:hAnsi="標楷體"/>
                <w:spacing w:val="-20"/>
                <w:kern w:val="0"/>
                <w:szCs w:val="22"/>
              </w:rPr>
              <w:t>」公聽會。</w:t>
            </w:r>
          </w:p>
          <w:p w14:paraId="438BABC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3.本會111.5.9</w:t>
            </w:r>
          </w:p>
          <w:p w14:paraId="604AB15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(10-5-17)審查完竣，須交由黨團協商。</w:t>
            </w:r>
          </w:p>
          <w:p w14:paraId="2C81273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4.111.12.2</w:t>
            </w:r>
            <w:r w:rsidRPr="002A20DA">
              <w:rPr>
                <w:rFonts w:ascii="標楷體" w:eastAsia="標楷體" w:hAnsi="標楷體" w:hint="eastAsia"/>
                <w:spacing w:val="-20"/>
                <w:kern w:val="0"/>
                <w:szCs w:val="22"/>
              </w:rPr>
              <w:t>黨團協商。</w:t>
            </w:r>
          </w:p>
          <w:p w14:paraId="71C9A0E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5.111.12.13</w:t>
            </w:r>
            <w:r w:rsidRPr="002A20DA">
              <w:rPr>
                <w:rFonts w:ascii="標楷體" w:eastAsia="標楷體" w:hAnsi="標楷體" w:hint="eastAsia"/>
                <w:spacing w:val="-20"/>
                <w:kern w:val="0"/>
                <w:szCs w:val="22"/>
              </w:rPr>
              <w:t>黨團協商。</w:t>
            </w:r>
          </w:p>
          <w:p w14:paraId="5F2E7B6F" w14:textId="77777777" w:rsidR="00AE6B82" w:rsidRPr="002A20DA" w:rsidRDefault="00AE6B82" w:rsidP="00EC13B7">
            <w:pPr>
              <w:kinsoku w:val="0"/>
              <w:topLinePunct/>
              <w:autoSpaceDE w:val="0"/>
              <w:autoSpaceDN w:val="0"/>
              <w:spacing w:line="300" w:lineRule="exact"/>
              <w:rPr>
                <w:rFonts w:ascii="標楷體" w:eastAsia="標楷體" w:hAnsi="標楷體"/>
                <w:color w:val="000000"/>
                <w:kern w:val="0"/>
                <w:szCs w:val="22"/>
              </w:rPr>
            </w:pPr>
            <w:r w:rsidRPr="002A20DA">
              <w:rPr>
                <w:rFonts w:ascii="標楷體" w:eastAsia="標楷體" w:hAnsi="標楷體" w:hint="eastAsia"/>
                <w:spacing w:val="-20"/>
                <w:kern w:val="0"/>
                <w:szCs w:val="22"/>
              </w:rPr>
              <w:t>6.111.12.15黨團協</w:t>
            </w:r>
            <w:r w:rsidRPr="002A20DA">
              <w:rPr>
                <w:rFonts w:ascii="標楷體" w:eastAsia="標楷體" w:hAnsi="標楷體" w:hint="eastAsia"/>
                <w:color w:val="000000"/>
                <w:kern w:val="0"/>
                <w:szCs w:val="22"/>
              </w:rPr>
              <w:t>商</w:t>
            </w:r>
            <w:r w:rsidRPr="002A20DA">
              <w:rPr>
                <w:rFonts w:ascii="標楷體" w:eastAsia="標楷體" w:hAnsi="標楷體" w:hint="eastAsia"/>
                <w:spacing w:val="-20"/>
                <w:kern w:val="0"/>
                <w:szCs w:val="22"/>
              </w:rPr>
              <w:t>。</w:t>
            </w:r>
          </w:p>
        </w:tc>
        <w:tc>
          <w:tcPr>
            <w:tcW w:w="1387" w:type="dxa"/>
          </w:tcPr>
          <w:p w14:paraId="1542301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院會</w:t>
            </w:r>
          </w:p>
          <w:p w14:paraId="273C736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.16</w:t>
            </w:r>
          </w:p>
          <w:p w14:paraId="5523BFA2"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 xml:space="preserve"> </w:t>
            </w:r>
          </w:p>
          <w:p w14:paraId="577B90CD"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三讀增訂第六條之一；並修正第八條、第十六條、第二十一條、第二十七條及第五十一條條文</w:t>
            </w:r>
          </w:p>
        </w:tc>
        <w:tc>
          <w:tcPr>
            <w:tcW w:w="1683" w:type="dxa"/>
          </w:tcPr>
          <w:p w14:paraId="3A6EF85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112年1月5日台立院議字第1110704727號</w:t>
            </w:r>
          </w:p>
          <w:p w14:paraId="4E3A02B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2286E98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112年1月11日</w:t>
            </w:r>
          </w:p>
          <w:p w14:paraId="2CBA42C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華總一義字第11200001551號</w:t>
            </w:r>
          </w:p>
        </w:tc>
        <w:tc>
          <w:tcPr>
            <w:tcW w:w="1105" w:type="dxa"/>
          </w:tcPr>
          <w:p w14:paraId="00A09880"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第7639號</w:t>
            </w:r>
          </w:p>
        </w:tc>
      </w:tr>
      <w:tr w:rsidR="00AE6B82" w:rsidRPr="002A20DA" w14:paraId="7AA71409" w14:textId="77777777" w:rsidTr="00EC13B7">
        <w:trPr>
          <w:trHeight w:val="600"/>
        </w:trPr>
        <w:tc>
          <w:tcPr>
            <w:tcW w:w="511" w:type="dxa"/>
          </w:tcPr>
          <w:p w14:paraId="25ECCF79"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3</w:t>
            </w:r>
            <w:r w:rsidRPr="002A20DA">
              <w:rPr>
                <w:rFonts w:ascii="標楷體" w:eastAsia="標楷體" w:hAnsi="標楷體"/>
                <w:color w:val="000000"/>
                <w:spacing w:val="-20"/>
                <w:szCs w:val="22"/>
              </w:rPr>
              <w:t>5</w:t>
            </w:r>
          </w:p>
        </w:tc>
        <w:tc>
          <w:tcPr>
            <w:tcW w:w="1111" w:type="dxa"/>
          </w:tcPr>
          <w:p w14:paraId="08E010D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1.</w:t>
            </w:r>
            <w:r w:rsidRPr="002A20DA">
              <w:rPr>
                <w:rFonts w:ascii="標楷體" w:eastAsia="標楷體" w:hAnsi="標楷體"/>
                <w:color w:val="000000"/>
                <w:kern w:val="0"/>
                <w:szCs w:val="22"/>
              </w:rPr>
              <w:t>鄉鎮市調解條例部分條文修正草案</w:t>
            </w:r>
          </w:p>
        </w:tc>
        <w:tc>
          <w:tcPr>
            <w:tcW w:w="1545" w:type="dxa"/>
          </w:tcPr>
          <w:p w14:paraId="16F3BD7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委員黃世杰等20人 111.11.04 </w:t>
            </w:r>
          </w:p>
          <w:p w14:paraId="1FB7A7BA"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（10-6-6）</w:t>
            </w:r>
          </w:p>
        </w:tc>
        <w:tc>
          <w:tcPr>
            <w:tcW w:w="1536" w:type="dxa"/>
            <w:vMerge w:val="restart"/>
          </w:tcPr>
          <w:p w14:paraId="63AA5C94" w14:textId="77777777" w:rsidR="00AE6B82" w:rsidRPr="002A20DA" w:rsidRDefault="00AE6B82" w:rsidP="00115BA3">
            <w:pPr>
              <w:kinsoku w:val="0"/>
              <w:overflowPunct w:val="0"/>
              <w:spacing w:line="300" w:lineRule="exact"/>
              <w:ind w:leftChars="-32" w:left="1" w:hangingChars="39" w:hanging="78"/>
              <w:rPr>
                <w:rFonts w:ascii="標楷體" w:eastAsia="標楷體" w:hAnsi="標楷體"/>
                <w:spacing w:val="-20"/>
                <w:kern w:val="0"/>
                <w:szCs w:val="22"/>
              </w:rPr>
            </w:pPr>
            <w:r w:rsidRPr="002A20DA">
              <w:rPr>
                <w:rFonts w:ascii="標楷體" w:eastAsia="標楷體" w:hAnsi="標楷體" w:hint="eastAsia"/>
                <w:spacing w:val="-20"/>
                <w:kern w:val="0"/>
                <w:szCs w:val="22"/>
              </w:rPr>
              <w:t>本會111.12.12</w:t>
            </w:r>
          </w:p>
          <w:p w14:paraId="19AE7F55" w14:textId="77777777" w:rsidR="00AE6B82" w:rsidRPr="002A20DA" w:rsidRDefault="00AE6B82" w:rsidP="00EC13B7">
            <w:pPr>
              <w:kinsoku w:val="0"/>
              <w:overflowPunct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(10-6-26)審查完竣，不須交由黨團協商。</w:t>
            </w:r>
          </w:p>
        </w:tc>
        <w:tc>
          <w:tcPr>
            <w:tcW w:w="1387" w:type="dxa"/>
            <w:vMerge w:val="restart"/>
          </w:tcPr>
          <w:p w14:paraId="5657AEB4"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7CD60C86"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2.27</w:t>
            </w:r>
          </w:p>
          <w:p w14:paraId="3AAB686A"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 xml:space="preserve"> </w:t>
            </w:r>
          </w:p>
          <w:p w14:paraId="5CD18E89"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三讀修正第三條、第六條、笫九條及第三十二條條文</w:t>
            </w:r>
          </w:p>
        </w:tc>
        <w:tc>
          <w:tcPr>
            <w:tcW w:w="1683" w:type="dxa"/>
            <w:vMerge w:val="restart"/>
          </w:tcPr>
          <w:p w14:paraId="6E560A6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112年1月9日台立院議字第1110704938號</w:t>
            </w:r>
          </w:p>
          <w:p w14:paraId="75DA6CE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578FF4F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112年1月13日</w:t>
            </w:r>
          </w:p>
          <w:p w14:paraId="48B6747D"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華總一義字第11200002921號</w:t>
            </w:r>
          </w:p>
        </w:tc>
        <w:tc>
          <w:tcPr>
            <w:tcW w:w="1105" w:type="dxa"/>
            <w:vMerge w:val="restart"/>
          </w:tcPr>
          <w:p w14:paraId="1A9FAC70"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第7640號</w:t>
            </w:r>
          </w:p>
        </w:tc>
      </w:tr>
      <w:tr w:rsidR="00AE6B82" w:rsidRPr="002A20DA" w14:paraId="1573AAFB" w14:textId="77777777" w:rsidTr="00EC13B7">
        <w:trPr>
          <w:trHeight w:val="600"/>
        </w:trPr>
        <w:tc>
          <w:tcPr>
            <w:tcW w:w="511" w:type="dxa"/>
          </w:tcPr>
          <w:p w14:paraId="76B884D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w:t>
            </w:r>
            <w:r w:rsidRPr="002A20DA">
              <w:rPr>
                <w:rFonts w:ascii="標楷體" w:eastAsia="標楷體" w:hAnsi="標楷體"/>
                <w:color w:val="000000"/>
                <w:spacing w:val="-20"/>
                <w:szCs w:val="22"/>
              </w:rPr>
              <w:t>6</w:t>
            </w:r>
          </w:p>
        </w:tc>
        <w:tc>
          <w:tcPr>
            <w:tcW w:w="1111" w:type="dxa"/>
          </w:tcPr>
          <w:p w14:paraId="1FCC475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2</w:t>
            </w:r>
            <w:r w:rsidRPr="002A20DA">
              <w:rPr>
                <w:rFonts w:ascii="標楷體" w:eastAsia="標楷體" w:hAnsi="標楷體"/>
                <w:color w:val="000000"/>
                <w:kern w:val="0"/>
                <w:szCs w:val="22"/>
              </w:rPr>
              <w:t>.鄉鎮市調解條例部分條文修正草案</w:t>
            </w:r>
          </w:p>
        </w:tc>
        <w:tc>
          <w:tcPr>
            <w:tcW w:w="1545" w:type="dxa"/>
          </w:tcPr>
          <w:p w14:paraId="7AD92FAA"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委員林宜瑾等18人 111.11.25 </w:t>
            </w:r>
          </w:p>
          <w:p w14:paraId="790677E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（10-6-9）</w:t>
            </w:r>
          </w:p>
        </w:tc>
        <w:tc>
          <w:tcPr>
            <w:tcW w:w="1536" w:type="dxa"/>
            <w:vMerge/>
          </w:tcPr>
          <w:p w14:paraId="0832CF8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20505C9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5FBD71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69770124"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44DCEF0E" w14:textId="77777777" w:rsidTr="00EC13B7">
        <w:trPr>
          <w:trHeight w:val="600"/>
        </w:trPr>
        <w:tc>
          <w:tcPr>
            <w:tcW w:w="511" w:type="dxa"/>
          </w:tcPr>
          <w:p w14:paraId="11731E0D"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color w:val="000000"/>
                <w:spacing w:val="-20"/>
                <w:szCs w:val="22"/>
              </w:rPr>
              <w:t>37</w:t>
            </w:r>
          </w:p>
        </w:tc>
        <w:tc>
          <w:tcPr>
            <w:tcW w:w="1111" w:type="dxa"/>
          </w:tcPr>
          <w:p w14:paraId="08549B6A"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戒治處分執行條例第十八條條文修正草案</w:t>
            </w:r>
          </w:p>
        </w:tc>
        <w:tc>
          <w:tcPr>
            <w:tcW w:w="1545" w:type="dxa"/>
          </w:tcPr>
          <w:p w14:paraId="30DAD7F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委員黃世杰等20人 111.03.11 </w:t>
            </w:r>
          </w:p>
          <w:p w14:paraId="569B3FB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（10-5-3）</w:t>
            </w:r>
          </w:p>
        </w:tc>
        <w:tc>
          <w:tcPr>
            <w:tcW w:w="1536" w:type="dxa"/>
          </w:tcPr>
          <w:p w14:paraId="1CE869C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本會111.12.12</w:t>
            </w:r>
          </w:p>
          <w:p w14:paraId="1B2E113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(10-6-26)審查完竣，不須交由黨團協商。</w:t>
            </w:r>
          </w:p>
        </w:tc>
        <w:tc>
          <w:tcPr>
            <w:tcW w:w="1387" w:type="dxa"/>
          </w:tcPr>
          <w:p w14:paraId="5158423A"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41F1889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2.27</w:t>
            </w:r>
          </w:p>
          <w:p w14:paraId="6A1189FA"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 xml:space="preserve"> </w:t>
            </w:r>
          </w:p>
          <w:p w14:paraId="3DE7317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三讀修正第十八條條文</w:t>
            </w:r>
          </w:p>
        </w:tc>
        <w:tc>
          <w:tcPr>
            <w:tcW w:w="1683" w:type="dxa"/>
          </w:tcPr>
          <w:p w14:paraId="6961361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112年1月9日台立院議字第1110704947號</w:t>
            </w:r>
          </w:p>
          <w:p w14:paraId="5164C90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227FEB2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112年1月13日</w:t>
            </w:r>
          </w:p>
          <w:p w14:paraId="206C1A9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華總一義字第11200002931號</w:t>
            </w:r>
          </w:p>
        </w:tc>
        <w:tc>
          <w:tcPr>
            <w:tcW w:w="1105" w:type="dxa"/>
          </w:tcPr>
          <w:p w14:paraId="6E4414C0"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第7640號</w:t>
            </w:r>
          </w:p>
        </w:tc>
      </w:tr>
      <w:tr w:rsidR="00AE6B82" w:rsidRPr="002A20DA" w14:paraId="7CF4CAD2" w14:textId="77777777" w:rsidTr="00EC13B7">
        <w:trPr>
          <w:trHeight w:val="600"/>
        </w:trPr>
        <w:tc>
          <w:tcPr>
            <w:tcW w:w="511" w:type="dxa"/>
          </w:tcPr>
          <w:p w14:paraId="6ACBB5BD"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w:t>
            </w:r>
            <w:r w:rsidRPr="002A20DA">
              <w:rPr>
                <w:rFonts w:ascii="標楷體" w:eastAsia="標楷體" w:hAnsi="標楷體"/>
                <w:color w:val="000000"/>
                <w:spacing w:val="-20"/>
                <w:szCs w:val="22"/>
              </w:rPr>
              <w:t>8</w:t>
            </w:r>
          </w:p>
        </w:tc>
        <w:tc>
          <w:tcPr>
            <w:tcW w:w="1111" w:type="dxa"/>
          </w:tcPr>
          <w:p w14:paraId="240802B5"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公設辯護人條例第七條條文修正草案</w:t>
            </w:r>
          </w:p>
        </w:tc>
        <w:tc>
          <w:tcPr>
            <w:tcW w:w="1545" w:type="dxa"/>
          </w:tcPr>
          <w:p w14:paraId="625C94B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委員黃世杰等21人 111.11.04 </w:t>
            </w:r>
          </w:p>
          <w:p w14:paraId="14C2552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（10-6-6）</w:t>
            </w:r>
          </w:p>
        </w:tc>
        <w:tc>
          <w:tcPr>
            <w:tcW w:w="1536" w:type="dxa"/>
          </w:tcPr>
          <w:p w14:paraId="7E4A5C43" w14:textId="77777777" w:rsidR="00AE6B82" w:rsidRPr="002A20DA" w:rsidRDefault="00AE6B82" w:rsidP="00115BA3">
            <w:pPr>
              <w:kinsoku w:val="0"/>
              <w:overflowPunct w:val="0"/>
              <w:spacing w:line="300" w:lineRule="exact"/>
              <w:ind w:leftChars="-15" w:hangingChars="18" w:hanging="36"/>
              <w:rPr>
                <w:rFonts w:ascii="標楷體" w:eastAsia="標楷體" w:hAnsi="標楷體"/>
                <w:spacing w:val="-20"/>
                <w:kern w:val="0"/>
                <w:szCs w:val="22"/>
              </w:rPr>
            </w:pPr>
            <w:r w:rsidRPr="002A20DA">
              <w:rPr>
                <w:rFonts w:ascii="標楷體" w:eastAsia="標楷體" w:hAnsi="標楷體" w:hint="eastAsia"/>
                <w:spacing w:val="-20"/>
                <w:kern w:val="0"/>
                <w:szCs w:val="22"/>
              </w:rPr>
              <w:t>本會111.12.12</w:t>
            </w:r>
          </w:p>
          <w:p w14:paraId="05C26A08"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(10-6-26)審查完竣，不須交由黨團協商。</w:t>
            </w:r>
          </w:p>
        </w:tc>
        <w:tc>
          <w:tcPr>
            <w:tcW w:w="1387" w:type="dxa"/>
          </w:tcPr>
          <w:p w14:paraId="0E6A79C5"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25CE2B46"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2.27</w:t>
            </w:r>
          </w:p>
          <w:p w14:paraId="715ED273"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-13)</w:t>
            </w:r>
            <w:r w:rsidRPr="002A20DA">
              <w:rPr>
                <w:rFonts w:ascii="標楷體" w:eastAsia="標楷體" w:hAnsi="標楷體" w:hint="eastAsia"/>
                <w:spacing w:val="-20"/>
                <w:kern w:val="0"/>
                <w:szCs w:val="22"/>
              </w:rPr>
              <w:t xml:space="preserve"> </w:t>
            </w:r>
          </w:p>
          <w:p w14:paraId="5DBC848E"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三讀修正第七條條文</w:t>
            </w:r>
          </w:p>
        </w:tc>
        <w:tc>
          <w:tcPr>
            <w:tcW w:w="1683" w:type="dxa"/>
          </w:tcPr>
          <w:p w14:paraId="2436225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112年1月9日台立院議字第1110704958號</w:t>
            </w:r>
          </w:p>
          <w:p w14:paraId="4BCF320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p w14:paraId="66BEFDA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112年1月13日</w:t>
            </w:r>
          </w:p>
          <w:p w14:paraId="4815B19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r w:rsidRPr="002A20DA">
              <w:rPr>
                <w:rFonts w:ascii="標楷體" w:eastAsia="標楷體" w:hAnsi="標楷體" w:hint="eastAsia"/>
                <w:color w:val="000000"/>
                <w:spacing w:val="-20"/>
                <w:szCs w:val="22"/>
              </w:rPr>
              <w:t>華總一義字第11200002941號</w:t>
            </w:r>
          </w:p>
        </w:tc>
        <w:tc>
          <w:tcPr>
            <w:tcW w:w="1105" w:type="dxa"/>
          </w:tcPr>
          <w:p w14:paraId="034B5B28"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r w:rsidRPr="002A20DA">
              <w:rPr>
                <w:rFonts w:ascii="標楷體" w:eastAsia="標楷體" w:hAnsi="標楷體" w:hint="eastAsia"/>
                <w:color w:val="000000"/>
                <w:spacing w:val="-20"/>
                <w:szCs w:val="22"/>
              </w:rPr>
              <w:t>第7640號</w:t>
            </w:r>
          </w:p>
        </w:tc>
      </w:tr>
      <w:tr w:rsidR="00AE6B82" w:rsidRPr="002A20DA" w14:paraId="48A2172D" w14:textId="77777777" w:rsidTr="00EC13B7">
        <w:trPr>
          <w:trHeight w:val="600"/>
        </w:trPr>
        <w:tc>
          <w:tcPr>
            <w:tcW w:w="511" w:type="dxa"/>
          </w:tcPr>
          <w:p w14:paraId="5615CA7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3</w:t>
            </w:r>
            <w:r w:rsidRPr="002A20DA">
              <w:rPr>
                <w:rFonts w:ascii="標楷體" w:eastAsia="標楷體" w:hAnsi="標楷體"/>
                <w:color w:val="000000"/>
                <w:spacing w:val="-20"/>
                <w:szCs w:val="22"/>
              </w:rPr>
              <w:t>9</w:t>
            </w:r>
          </w:p>
        </w:tc>
        <w:tc>
          <w:tcPr>
            <w:tcW w:w="1111" w:type="dxa"/>
          </w:tcPr>
          <w:p w14:paraId="1D04D82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1.中華民國刑法部分條文修正草案</w:t>
            </w:r>
          </w:p>
        </w:tc>
        <w:tc>
          <w:tcPr>
            <w:tcW w:w="1545" w:type="dxa"/>
          </w:tcPr>
          <w:p w14:paraId="5DE4137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color w:val="000000"/>
                <w:spacing w:val="-30"/>
                <w:kern w:val="0"/>
                <w:szCs w:val="22"/>
              </w:rPr>
              <w:t xml:space="preserve">行政院、司法院 </w:t>
            </w:r>
            <w:r w:rsidRPr="002A20DA">
              <w:rPr>
                <w:rFonts w:ascii="標楷體" w:eastAsia="標楷體" w:hAnsi="標楷體"/>
                <w:kern w:val="0"/>
                <w:szCs w:val="22"/>
              </w:rPr>
              <w:t xml:space="preserve">111.05.06 </w:t>
            </w:r>
          </w:p>
          <w:p w14:paraId="11CCE11B"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（10-5-11）</w:t>
            </w:r>
          </w:p>
        </w:tc>
        <w:tc>
          <w:tcPr>
            <w:tcW w:w="1536" w:type="dxa"/>
            <w:vMerge w:val="restart"/>
          </w:tcPr>
          <w:p w14:paraId="7BE486D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1.第2案</w:t>
            </w:r>
          </w:p>
          <w:p w14:paraId="09161BF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本會109.10.8舉行「科技偵查手段引發人權爭議」公聽會。</w:t>
            </w:r>
          </w:p>
          <w:p w14:paraId="303B59D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2.第1-27案</w:t>
            </w:r>
          </w:p>
          <w:p w14:paraId="6FF2BD7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本會111.5.23</w:t>
            </w:r>
          </w:p>
          <w:p w14:paraId="4E5C2E3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(10-5-20)審查完竣，須交由黨團協商。</w:t>
            </w:r>
          </w:p>
          <w:p w14:paraId="4165CAA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3.111.11.9黨團協商。</w:t>
            </w:r>
          </w:p>
          <w:p w14:paraId="791D086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4.111.12.22黨團協商。</w:t>
            </w:r>
          </w:p>
          <w:p w14:paraId="69D7D15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5.112.1.4</w:t>
            </w:r>
            <w:r w:rsidRPr="002A20DA">
              <w:rPr>
                <w:rFonts w:ascii="標楷體" w:eastAsia="標楷體" w:hAnsi="標楷體" w:hint="eastAsia"/>
                <w:spacing w:val="-20"/>
                <w:kern w:val="0"/>
                <w:szCs w:val="22"/>
              </w:rPr>
              <w:t>黨團協商。</w:t>
            </w:r>
          </w:p>
          <w:p w14:paraId="17872843" w14:textId="77777777" w:rsidR="00AE6B82" w:rsidRPr="002A20DA" w:rsidRDefault="00AE6B82" w:rsidP="00EC13B7">
            <w:pPr>
              <w:kinsoku w:val="0"/>
              <w:topLinePunct/>
              <w:autoSpaceDE w:val="0"/>
              <w:autoSpaceDN w:val="0"/>
              <w:spacing w:line="300" w:lineRule="exact"/>
              <w:rPr>
                <w:rFonts w:ascii="標楷體" w:hAnsi="標楷體"/>
                <w:spacing w:val="-10"/>
                <w:szCs w:val="22"/>
              </w:rPr>
            </w:pP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.112.1.</w:t>
            </w:r>
            <w:r w:rsidRPr="002A20DA">
              <w:rPr>
                <w:rFonts w:ascii="標楷體" w:eastAsia="標楷體" w:hAnsi="標楷體" w:hint="eastAsia"/>
                <w:spacing w:val="-20"/>
                <w:kern w:val="0"/>
                <w:szCs w:val="22"/>
              </w:rPr>
              <w:t>5黨團協商。</w:t>
            </w:r>
          </w:p>
        </w:tc>
        <w:tc>
          <w:tcPr>
            <w:tcW w:w="1387" w:type="dxa"/>
            <w:vMerge w:val="restart"/>
          </w:tcPr>
          <w:p w14:paraId="37205F84"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院會</w:t>
            </w:r>
          </w:p>
          <w:p w14:paraId="6FFD283C"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.7</w:t>
            </w:r>
          </w:p>
          <w:p w14:paraId="5DFD8B78"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4</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62DC563B"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三讀增訂第二十八章之一章名及第三百十九條</w:t>
            </w:r>
            <w:r w:rsidRPr="002A20DA">
              <w:rPr>
                <w:rFonts w:ascii="標楷體" w:eastAsia="標楷體" w:hAnsi="標楷體" w:hint="eastAsia"/>
                <w:spacing w:val="-20"/>
                <w:kern w:val="0"/>
                <w:szCs w:val="22"/>
              </w:rPr>
              <w:lastRenderedPageBreak/>
              <w:t>之一至第三百十九條之六條文；並修正第十條及第九十一條之一條文</w:t>
            </w:r>
          </w:p>
        </w:tc>
        <w:tc>
          <w:tcPr>
            <w:tcW w:w="1683" w:type="dxa"/>
            <w:vMerge w:val="restart"/>
          </w:tcPr>
          <w:p w14:paraId="39E4F4E5" w14:textId="77777777" w:rsidR="00AE6B82" w:rsidRDefault="00AE6B82" w:rsidP="00EC13B7">
            <w:pPr>
              <w:kinsoku w:val="0"/>
              <w:overflowPunct w:val="0"/>
              <w:spacing w:line="300" w:lineRule="exact"/>
              <w:rPr>
                <w:rFonts w:ascii="標楷體" w:eastAsia="標楷體" w:hAnsi="標楷體"/>
                <w:color w:val="000000" w:themeColor="text1"/>
                <w:spacing w:val="-20"/>
              </w:rPr>
            </w:pPr>
            <w:r w:rsidRPr="00BF4BFA">
              <w:rPr>
                <w:rFonts w:ascii="標楷體" w:eastAsia="標楷體" w:hAnsi="標楷體" w:hint="eastAsia"/>
                <w:color w:val="000000" w:themeColor="text1"/>
                <w:spacing w:val="-30"/>
              </w:rPr>
              <w:lastRenderedPageBreak/>
              <w:t xml:space="preserve">112年 1月 30日 </w:t>
            </w:r>
            <w:r w:rsidRPr="00C24D6D">
              <w:rPr>
                <w:rFonts w:ascii="標楷體" w:eastAsia="標楷體" w:hAnsi="標楷體" w:hint="eastAsia"/>
                <w:color w:val="000000" w:themeColor="text1"/>
                <w:spacing w:val="-20"/>
              </w:rPr>
              <w:t>台立院議字第1120700051號</w:t>
            </w:r>
          </w:p>
          <w:p w14:paraId="3A71341F" w14:textId="77777777" w:rsidR="00AE6B82" w:rsidRDefault="00AE6B82" w:rsidP="00EC13B7">
            <w:pPr>
              <w:kinsoku w:val="0"/>
              <w:overflowPunct w:val="0"/>
              <w:spacing w:line="300" w:lineRule="exact"/>
              <w:rPr>
                <w:rFonts w:ascii="標楷體" w:eastAsia="標楷體" w:hAnsi="標楷體"/>
                <w:color w:val="000000"/>
                <w:spacing w:val="-20"/>
                <w:szCs w:val="22"/>
              </w:rPr>
            </w:pPr>
          </w:p>
          <w:p w14:paraId="1F93B868" w14:textId="0B369067" w:rsidR="006C2F38" w:rsidRPr="002A20DA" w:rsidRDefault="006C2F38" w:rsidP="00EC13B7">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kern w:val="0"/>
              </w:rPr>
              <w:t>112年2月8日華總一義字第11200007241號</w:t>
            </w:r>
          </w:p>
        </w:tc>
        <w:tc>
          <w:tcPr>
            <w:tcW w:w="1105" w:type="dxa"/>
            <w:vMerge w:val="restart"/>
          </w:tcPr>
          <w:p w14:paraId="01161EA3" w14:textId="4B71C813" w:rsidR="00AE6B82" w:rsidRPr="002A20DA" w:rsidRDefault="006C2F38" w:rsidP="006C2F38">
            <w:pPr>
              <w:kinsoku w:val="0"/>
              <w:overflowPunct w:val="0"/>
              <w:spacing w:line="300" w:lineRule="exact"/>
              <w:ind w:leftChars="-16" w:hangingChars="19" w:hanging="38"/>
              <w:jc w:val="both"/>
              <w:rPr>
                <w:rFonts w:ascii="標楷體" w:eastAsia="標楷體" w:hAnsi="標楷體"/>
                <w:color w:val="000000"/>
                <w:spacing w:val="-20"/>
                <w:szCs w:val="22"/>
              </w:rPr>
            </w:pPr>
            <w:r>
              <w:rPr>
                <w:rFonts w:ascii="標楷體" w:eastAsia="標楷體" w:hAnsi="標楷體" w:hint="eastAsia"/>
                <w:color w:val="000000" w:themeColor="text1"/>
                <w:spacing w:val="-20"/>
                <w:kern w:val="0"/>
              </w:rPr>
              <w:t>第7645號</w:t>
            </w:r>
          </w:p>
        </w:tc>
      </w:tr>
      <w:tr w:rsidR="00AE6B82" w:rsidRPr="002A20DA" w14:paraId="411E1321" w14:textId="77777777" w:rsidTr="00EC13B7">
        <w:trPr>
          <w:trHeight w:val="600"/>
        </w:trPr>
        <w:tc>
          <w:tcPr>
            <w:tcW w:w="511" w:type="dxa"/>
          </w:tcPr>
          <w:p w14:paraId="0D5FE987"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color w:val="000000"/>
                <w:spacing w:val="-20"/>
                <w:szCs w:val="22"/>
              </w:rPr>
              <w:t>40</w:t>
            </w:r>
          </w:p>
        </w:tc>
        <w:tc>
          <w:tcPr>
            <w:tcW w:w="1111" w:type="dxa"/>
          </w:tcPr>
          <w:p w14:paraId="338E864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2.中華民國刑法第三百十五</w:t>
            </w:r>
            <w:r w:rsidRPr="002A20DA">
              <w:rPr>
                <w:rFonts w:ascii="標楷體" w:eastAsia="標楷體" w:hAnsi="標楷體"/>
                <w:color w:val="000000"/>
                <w:kern w:val="0"/>
                <w:szCs w:val="22"/>
              </w:rPr>
              <w:lastRenderedPageBreak/>
              <w:t>條之一條文修正草案</w:t>
            </w:r>
          </w:p>
        </w:tc>
        <w:tc>
          <w:tcPr>
            <w:tcW w:w="1545" w:type="dxa"/>
          </w:tcPr>
          <w:p w14:paraId="7DC15DE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lastRenderedPageBreak/>
              <w:t xml:space="preserve">委員李貴敏等19人 109.04.10 </w:t>
            </w:r>
          </w:p>
          <w:p w14:paraId="7E3B5AA6"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（10-1-8）</w:t>
            </w:r>
          </w:p>
        </w:tc>
        <w:tc>
          <w:tcPr>
            <w:tcW w:w="1536" w:type="dxa"/>
            <w:vMerge/>
          </w:tcPr>
          <w:p w14:paraId="4611914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2B00590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764D09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1A20ECA"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F61166E" w14:textId="77777777" w:rsidTr="00EC13B7">
        <w:trPr>
          <w:trHeight w:val="600"/>
        </w:trPr>
        <w:tc>
          <w:tcPr>
            <w:tcW w:w="511" w:type="dxa"/>
          </w:tcPr>
          <w:p w14:paraId="39D0B839"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4</w:t>
            </w:r>
            <w:r w:rsidRPr="002A20DA">
              <w:rPr>
                <w:rFonts w:ascii="標楷體" w:eastAsia="標楷體" w:hAnsi="標楷體"/>
                <w:color w:val="000000"/>
                <w:spacing w:val="-20"/>
                <w:szCs w:val="22"/>
              </w:rPr>
              <w:t>1</w:t>
            </w:r>
          </w:p>
        </w:tc>
        <w:tc>
          <w:tcPr>
            <w:tcW w:w="1111" w:type="dxa"/>
          </w:tcPr>
          <w:p w14:paraId="173842D8"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3.中華民國刑法第五條條文修正草案</w:t>
            </w:r>
          </w:p>
        </w:tc>
        <w:tc>
          <w:tcPr>
            <w:tcW w:w="1545" w:type="dxa"/>
          </w:tcPr>
          <w:p w14:paraId="64690DAA"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hint="eastAsia"/>
                <w:kern w:val="0"/>
                <w:szCs w:val="22"/>
              </w:rPr>
              <w:t>葉</w:t>
            </w:r>
            <w:r w:rsidRPr="002A20DA">
              <w:rPr>
                <w:rFonts w:ascii="標楷體" w:eastAsia="標楷體" w:hAnsi="標楷體"/>
                <w:kern w:val="0"/>
                <w:szCs w:val="22"/>
              </w:rPr>
              <w:t xml:space="preserve">毓蘭等18人 109.10.06 </w:t>
            </w:r>
          </w:p>
          <w:p w14:paraId="2D3E319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（10-2-3）</w:t>
            </w:r>
          </w:p>
        </w:tc>
        <w:tc>
          <w:tcPr>
            <w:tcW w:w="1536" w:type="dxa"/>
            <w:vMerge/>
          </w:tcPr>
          <w:p w14:paraId="46021B5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9E0BBFD"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D98C6C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90DBEE5"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B5FE609" w14:textId="77777777" w:rsidTr="00EC13B7">
        <w:trPr>
          <w:trHeight w:val="600"/>
        </w:trPr>
        <w:tc>
          <w:tcPr>
            <w:tcW w:w="511" w:type="dxa"/>
          </w:tcPr>
          <w:p w14:paraId="7AA65F7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color w:val="000000"/>
                <w:spacing w:val="-20"/>
                <w:szCs w:val="22"/>
              </w:rPr>
              <w:t>42</w:t>
            </w:r>
          </w:p>
        </w:tc>
        <w:tc>
          <w:tcPr>
            <w:tcW w:w="1111" w:type="dxa"/>
          </w:tcPr>
          <w:p w14:paraId="5BAA1D0B"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4.中華民國刑法第三百十五條之一條文修正草案</w:t>
            </w:r>
          </w:p>
        </w:tc>
        <w:tc>
          <w:tcPr>
            <w:tcW w:w="1545" w:type="dxa"/>
          </w:tcPr>
          <w:p w14:paraId="282918B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民眾黨黨團 110.09.17 </w:t>
            </w:r>
          </w:p>
          <w:p w14:paraId="4BA62FF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w:t>
            </w:r>
          </w:p>
        </w:tc>
        <w:tc>
          <w:tcPr>
            <w:tcW w:w="1536" w:type="dxa"/>
            <w:vMerge/>
          </w:tcPr>
          <w:p w14:paraId="418C2BB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397602C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F54F9A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9F9B34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67C5C1A" w14:textId="77777777" w:rsidTr="00EC13B7">
        <w:trPr>
          <w:trHeight w:val="600"/>
        </w:trPr>
        <w:tc>
          <w:tcPr>
            <w:tcW w:w="511" w:type="dxa"/>
          </w:tcPr>
          <w:p w14:paraId="2908E47A"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4</w:t>
            </w:r>
            <w:r w:rsidRPr="002A20DA">
              <w:rPr>
                <w:rFonts w:ascii="標楷體" w:eastAsia="標楷體" w:hAnsi="標楷體"/>
                <w:color w:val="000000"/>
                <w:spacing w:val="-20"/>
                <w:szCs w:val="22"/>
              </w:rPr>
              <w:t>3</w:t>
            </w:r>
          </w:p>
        </w:tc>
        <w:tc>
          <w:tcPr>
            <w:tcW w:w="1111" w:type="dxa"/>
          </w:tcPr>
          <w:p w14:paraId="5531E3E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5.中華民國刑法增訂部分條文草案</w:t>
            </w:r>
          </w:p>
        </w:tc>
        <w:tc>
          <w:tcPr>
            <w:tcW w:w="1545" w:type="dxa"/>
          </w:tcPr>
          <w:p w14:paraId="75FFF41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委員林昶佐等19人 110.11.05 </w:t>
            </w:r>
          </w:p>
          <w:p w14:paraId="77452AB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（10-4-8）</w:t>
            </w:r>
          </w:p>
        </w:tc>
        <w:tc>
          <w:tcPr>
            <w:tcW w:w="1536" w:type="dxa"/>
            <w:vMerge/>
          </w:tcPr>
          <w:p w14:paraId="3385A100"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287E5F15"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312798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6CDF6A8"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5208A17" w14:textId="77777777" w:rsidTr="00EC13B7">
        <w:trPr>
          <w:trHeight w:val="600"/>
        </w:trPr>
        <w:tc>
          <w:tcPr>
            <w:tcW w:w="511" w:type="dxa"/>
          </w:tcPr>
          <w:p w14:paraId="4BE63FD0"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4</w:t>
            </w:r>
            <w:r w:rsidRPr="002A20DA">
              <w:rPr>
                <w:rFonts w:ascii="標楷體" w:eastAsia="標楷體" w:hAnsi="標楷體"/>
                <w:color w:val="000000"/>
                <w:spacing w:val="-20"/>
                <w:szCs w:val="22"/>
              </w:rPr>
              <w:t>4</w:t>
            </w:r>
          </w:p>
        </w:tc>
        <w:tc>
          <w:tcPr>
            <w:tcW w:w="1111" w:type="dxa"/>
          </w:tcPr>
          <w:p w14:paraId="5B2AFDC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6.中華民國刑法第十條、第十六章之二章名及第二百三十六條之一條文修正草案</w:t>
            </w:r>
          </w:p>
        </w:tc>
        <w:tc>
          <w:tcPr>
            <w:tcW w:w="1545" w:type="dxa"/>
          </w:tcPr>
          <w:p w14:paraId="1B55C43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委員高嘉瑜等17人 110.11.05 </w:t>
            </w:r>
          </w:p>
          <w:p w14:paraId="4455F39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（10-4-8）</w:t>
            </w:r>
          </w:p>
        </w:tc>
        <w:tc>
          <w:tcPr>
            <w:tcW w:w="1536" w:type="dxa"/>
            <w:vMerge/>
          </w:tcPr>
          <w:p w14:paraId="306E8767"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1B4D3FF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D9B3CB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7745653"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033E902" w14:textId="77777777" w:rsidTr="00EC13B7">
        <w:trPr>
          <w:trHeight w:val="600"/>
        </w:trPr>
        <w:tc>
          <w:tcPr>
            <w:tcW w:w="511" w:type="dxa"/>
          </w:tcPr>
          <w:p w14:paraId="5C5E6953"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4</w:t>
            </w:r>
            <w:r w:rsidRPr="002A20DA">
              <w:rPr>
                <w:rFonts w:ascii="標楷體" w:eastAsia="標楷體" w:hAnsi="標楷體"/>
                <w:color w:val="000000"/>
                <w:spacing w:val="-20"/>
                <w:szCs w:val="22"/>
              </w:rPr>
              <w:t>5</w:t>
            </w:r>
          </w:p>
        </w:tc>
        <w:tc>
          <w:tcPr>
            <w:tcW w:w="1111" w:type="dxa"/>
          </w:tcPr>
          <w:p w14:paraId="2CFB6E3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7.中華民國刑法增訂第二百三十五條之一條文草案</w:t>
            </w:r>
          </w:p>
        </w:tc>
        <w:tc>
          <w:tcPr>
            <w:tcW w:w="1545" w:type="dxa"/>
          </w:tcPr>
          <w:p w14:paraId="44C1193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hint="eastAsia"/>
                <w:kern w:val="0"/>
                <w:szCs w:val="22"/>
              </w:rPr>
              <w:t>葉</w:t>
            </w:r>
            <w:r w:rsidRPr="002A20DA">
              <w:rPr>
                <w:rFonts w:ascii="標楷體" w:eastAsia="標楷體" w:hAnsi="標楷體"/>
                <w:kern w:val="0"/>
                <w:szCs w:val="22"/>
              </w:rPr>
              <w:t xml:space="preserve">毓蘭等16人 110.11.05 </w:t>
            </w:r>
          </w:p>
          <w:p w14:paraId="3EF21566"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（10-4-8）</w:t>
            </w:r>
          </w:p>
        </w:tc>
        <w:tc>
          <w:tcPr>
            <w:tcW w:w="1536" w:type="dxa"/>
            <w:vMerge/>
          </w:tcPr>
          <w:p w14:paraId="682BB48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6FB9B45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249A11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1DB5BD82"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7D4B81F" w14:textId="77777777" w:rsidTr="00EC13B7">
        <w:trPr>
          <w:trHeight w:val="600"/>
        </w:trPr>
        <w:tc>
          <w:tcPr>
            <w:tcW w:w="511" w:type="dxa"/>
          </w:tcPr>
          <w:p w14:paraId="427EE830"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4</w:t>
            </w:r>
            <w:r w:rsidRPr="002A20DA">
              <w:rPr>
                <w:rFonts w:ascii="標楷體" w:eastAsia="標楷體" w:hAnsi="標楷體"/>
                <w:color w:val="000000"/>
                <w:spacing w:val="-20"/>
                <w:szCs w:val="22"/>
              </w:rPr>
              <w:t>6</w:t>
            </w:r>
          </w:p>
        </w:tc>
        <w:tc>
          <w:tcPr>
            <w:tcW w:w="1111" w:type="dxa"/>
          </w:tcPr>
          <w:p w14:paraId="199E59F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8.中華民國刑法增訂第二百三十一條之二條文草案</w:t>
            </w:r>
          </w:p>
        </w:tc>
        <w:tc>
          <w:tcPr>
            <w:tcW w:w="1545" w:type="dxa"/>
          </w:tcPr>
          <w:p w14:paraId="6AED70F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委員賴士葆等17人 110.11.05 </w:t>
            </w:r>
          </w:p>
          <w:p w14:paraId="32132AE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（10-4-8）</w:t>
            </w:r>
          </w:p>
        </w:tc>
        <w:tc>
          <w:tcPr>
            <w:tcW w:w="1536" w:type="dxa"/>
            <w:vMerge/>
          </w:tcPr>
          <w:p w14:paraId="2461362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40687C3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0373483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8A54854"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2F10881F" w14:textId="77777777" w:rsidTr="00EC13B7">
        <w:trPr>
          <w:trHeight w:val="600"/>
        </w:trPr>
        <w:tc>
          <w:tcPr>
            <w:tcW w:w="511" w:type="dxa"/>
          </w:tcPr>
          <w:p w14:paraId="36A875F9"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4</w:t>
            </w:r>
            <w:r w:rsidRPr="002A20DA">
              <w:rPr>
                <w:rFonts w:ascii="標楷體" w:eastAsia="標楷體" w:hAnsi="標楷體"/>
                <w:color w:val="000000"/>
                <w:spacing w:val="-20"/>
                <w:szCs w:val="22"/>
              </w:rPr>
              <w:t>7</w:t>
            </w:r>
          </w:p>
        </w:tc>
        <w:tc>
          <w:tcPr>
            <w:tcW w:w="1111" w:type="dxa"/>
          </w:tcPr>
          <w:p w14:paraId="77C29CE8"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9.中華民國刑法增訂第二百三十五條之一條文草案</w:t>
            </w:r>
          </w:p>
        </w:tc>
        <w:tc>
          <w:tcPr>
            <w:tcW w:w="1545" w:type="dxa"/>
          </w:tcPr>
          <w:p w14:paraId="000A6D1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委員蘇巧慧等28人 110.11.12 </w:t>
            </w:r>
          </w:p>
          <w:p w14:paraId="2B08BCB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（10-4-9）</w:t>
            </w:r>
          </w:p>
        </w:tc>
        <w:tc>
          <w:tcPr>
            <w:tcW w:w="1536" w:type="dxa"/>
            <w:vMerge/>
          </w:tcPr>
          <w:p w14:paraId="093B8CE6"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4C99165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7F9F53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B405BDA"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230745AF" w14:textId="77777777" w:rsidTr="00EC13B7">
        <w:trPr>
          <w:trHeight w:val="600"/>
        </w:trPr>
        <w:tc>
          <w:tcPr>
            <w:tcW w:w="511" w:type="dxa"/>
          </w:tcPr>
          <w:p w14:paraId="2842E382"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4</w:t>
            </w:r>
            <w:r w:rsidRPr="002A20DA">
              <w:rPr>
                <w:rFonts w:ascii="標楷體" w:eastAsia="標楷體" w:hAnsi="標楷體"/>
                <w:color w:val="000000"/>
                <w:spacing w:val="-20"/>
                <w:szCs w:val="22"/>
              </w:rPr>
              <w:t>8</w:t>
            </w:r>
          </w:p>
        </w:tc>
        <w:tc>
          <w:tcPr>
            <w:tcW w:w="1111" w:type="dxa"/>
          </w:tcPr>
          <w:p w14:paraId="291EA85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10.中華民國刑法第三百十</w:t>
            </w:r>
            <w:r w:rsidRPr="002A20DA">
              <w:rPr>
                <w:rFonts w:ascii="標楷體" w:eastAsia="標楷體" w:hAnsi="標楷體"/>
                <w:color w:val="000000"/>
                <w:kern w:val="0"/>
                <w:szCs w:val="22"/>
              </w:rPr>
              <w:lastRenderedPageBreak/>
              <w:t>五條之一及第三百十五條之二條文修正草案</w:t>
            </w:r>
          </w:p>
        </w:tc>
        <w:tc>
          <w:tcPr>
            <w:tcW w:w="1545" w:type="dxa"/>
          </w:tcPr>
          <w:p w14:paraId="182C578A"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lastRenderedPageBreak/>
              <w:t xml:space="preserve">委員王定宇等18人 110.11.26 </w:t>
            </w:r>
          </w:p>
          <w:p w14:paraId="7827055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（10-4-11）</w:t>
            </w:r>
          </w:p>
        </w:tc>
        <w:tc>
          <w:tcPr>
            <w:tcW w:w="1536" w:type="dxa"/>
            <w:vMerge/>
          </w:tcPr>
          <w:p w14:paraId="0C060F37"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F8274A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AC1923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5F14261E"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2E14574F" w14:textId="77777777" w:rsidTr="00EC13B7">
        <w:trPr>
          <w:trHeight w:val="600"/>
        </w:trPr>
        <w:tc>
          <w:tcPr>
            <w:tcW w:w="511" w:type="dxa"/>
          </w:tcPr>
          <w:p w14:paraId="69091CEB"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4</w:t>
            </w:r>
            <w:r w:rsidRPr="002A20DA">
              <w:rPr>
                <w:rFonts w:ascii="標楷體" w:eastAsia="標楷體" w:hAnsi="標楷體"/>
                <w:color w:val="000000"/>
                <w:spacing w:val="-20"/>
                <w:szCs w:val="22"/>
              </w:rPr>
              <w:t>9</w:t>
            </w:r>
          </w:p>
        </w:tc>
        <w:tc>
          <w:tcPr>
            <w:tcW w:w="1111" w:type="dxa"/>
          </w:tcPr>
          <w:p w14:paraId="1DA7551D"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11.中華民國刑法增訂第二百三十五條之一條文草案</w:t>
            </w:r>
          </w:p>
        </w:tc>
        <w:tc>
          <w:tcPr>
            <w:tcW w:w="1545" w:type="dxa"/>
          </w:tcPr>
          <w:p w14:paraId="3779090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委員謝衣</w:t>
            </w:r>
            <w:r w:rsidRPr="002A20DA">
              <w:rPr>
                <w:rFonts w:ascii="標楷體" w:eastAsia="標楷體" w:hAnsi="標楷體" w:hint="eastAsia"/>
                <w:kern w:val="0"/>
                <w:szCs w:val="22"/>
              </w:rPr>
              <w:t>鳯等</w:t>
            </w:r>
            <w:r w:rsidRPr="002A20DA">
              <w:rPr>
                <w:rFonts w:ascii="標楷體" w:eastAsia="標楷體" w:hAnsi="標楷體"/>
                <w:kern w:val="0"/>
                <w:szCs w:val="22"/>
              </w:rPr>
              <w:t xml:space="preserve">16人 110.11.26 </w:t>
            </w:r>
          </w:p>
          <w:p w14:paraId="395C6D6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（10-4-11）</w:t>
            </w:r>
          </w:p>
        </w:tc>
        <w:tc>
          <w:tcPr>
            <w:tcW w:w="1536" w:type="dxa"/>
            <w:vMerge/>
          </w:tcPr>
          <w:p w14:paraId="29DD8E57"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33AA607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A44A72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6CD53CB"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7AB92FB" w14:textId="77777777" w:rsidTr="00EC13B7">
        <w:trPr>
          <w:trHeight w:val="600"/>
        </w:trPr>
        <w:tc>
          <w:tcPr>
            <w:tcW w:w="511" w:type="dxa"/>
          </w:tcPr>
          <w:p w14:paraId="5D662CE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0</w:t>
            </w:r>
          </w:p>
        </w:tc>
        <w:tc>
          <w:tcPr>
            <w:tcW w:w="1111" w:type="dxa"/>
          </w:tcPr>
          <w:p w14:paraId="33D513B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12.中華民國刑法增訂第二百二十二條之一條文草案</w:t>
            </w:r>
          </w:p>
        </w:tc>
        <w:tc>
          <w:tcPr>
            <w:tcW w:w="1545" w:type="dxa"/>
          </w:tcPr>
          <w:p w14:paraId="106190F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委員林德福等19人 110.11.26 </w:t>
            </w:r>
          </w:p>
          <w:p w14:paraId="0A02625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（10-4-11）</w:t>
            </w:r>
          </w:p>
        </w:tc>
        <w:tc>
          <w:tcPr>
            <w:tcW w:w="1536" w:type="dxa"/>
            <w:vMerge/>
          </w:tcPr>
          <w:p w14:paraId="18846A7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2AF4570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ABB898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798B02E"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1F6F58A6" w14:textId="77777777" w:rsidTr="00EC13B7">
        <w:trPr>
          <w:trHeight w:val="600"/>
        </w:trPr>
        <w:tc>
          <w:tcPr>
            <w:tcW w:w="511" w:type="dxa"/>
          </w:tcPr>
          <w:p w14:paraId="5C32587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1</w:t>
            </w:r>
          </w:p>
        </w:tc>
        <w:tc>
          <w:tcPr>
            <w:tcW w:w="1111" w:type="dxa"/>
          </w:tcPr>
          <w:p w14:paraId="12797AD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13.中華民國刑法增訂部分條文草案</w:t>
            </w:r>
          </w:p>
        </w:tc>
        <w:tc>
          <w:tcPr>
            <w:tcW w:w="1545" w:type="dxa"/>
          </w:tcPr>
          <w:p w14:paraId="596981B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委員高嘉瑜等25人 110.12.03 </w:t>
            </w:r>
          </w:p>
          <w:p w14:paraId="3FA2F30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（10-4-12）</w:t>
            </w:r>
          </w:p>
        </w:tc>
        <w:tc>
          <w:tcPr>
            <w:tcW w:w="1536" w:type="dxa"/>
            <w:vMerge/>
          </w:tcPr>
          <w:p w14:paraId="6951EBF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06D66B2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6ADA6E45"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58C52D7F"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8B0DD01" w14:textId="77777777" w:rsidTr="00EC13B7">
        <w:trPr>
          <w:trHeight w:val="600"/>
        </w:trPr>
        <w:tc>
          <w:tcPr>
            <w:tcW w:w="511" w:type="dxa"/>
          </w:tcPr>
          <w:p w14:paraId="0DA8A748"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2</w:t>
            </w:r>
          </w:p>
        </w:tc>
        <w:tc>
          <w:tcPr>
            <w:tcW w:w="1111" w:type="dxa"/>
          </w:tcPr>
          <w:p w14:paraId="1A2639D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14.中華民國刑法增訂第十六章之二、第二百三十六條之一及第二百三十六條之二條文草案</w:t>
            </w:r>
          </w:p>
        </w:tc>
        <w:tc>
          <w:tcPr>
            <w:tcW w:w="1545" w:type="dxa"/>
          </w:tcPr>
          <w:p w14:paraId="4786C2C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委員羅致政等18人 110.12.03 </w:t>
            </w:r>
          </w:p>
          <w:p w14:paraId="17EB30E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（10-4-12）</w:t>
            </w:r>
          </w:p>
        </w:tc>
        <w:tc>
          <w:tcPr>
            <w:tcW w:w="1536" w:type="dxa"/>
            <w:vMerge/>
          </w:tcPr>
          <w:p w14:paraId="34C0A567"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D9627D3"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6482A77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35F4398"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B7288AA" w14:textId="77777777" w:rsidTr="00EC13B7">
        <w:trPr>
          <w:trHeight w:val="600"/>
        </w:trPr>
        <w:tc>
          <w:tcPr>
            <w:tcW w:w="511" w:type="dxa"/>
          </w:tcPr>
          <w:p w14:paraId="341B77C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3</w:t>
            </w:r>
          </w:p>
        </w:tc>
        <w:tc>
          <w:tcPr>
            <w:tcW w:w="1111" w:type="dxa"/>
          </w:tcPr>
          <w:p w14:paraId="1CD0113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15.中華民國刑法增訂第二百二十一條之一條文草案</w:t>
            </w:r>
          </w:p>
        </w:tc>
        <w:tc>
          <w:tcPr>
            <w:tcW w:w="1545" w:type="dxa"/>
          </w:tcPr>
          <w:p w14:paraId="7530929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委員莊瑞雄等18人 110.12.10 </w:t>
            </w:r>
          </w:p>
          <w:p w14:paraId="637391A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（10-4-13）</w:t>
            </w:r>
          </w:p>
        </w:tc>
        <w:tc>
          <w:tcPr>
            <w:tcW w:w="1536" w:type="dxa"/>
            <w:vMerge/>
          </w:tcPr>
          <w:p w14:paraId="63A695F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08D3313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912FB3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583B7133"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FA18A75" w14:textId="77777777" w:rsidTr="00EC13B7">
        <w:trPr>
          <w:trHeight w:val="600"/>
        </w:trPr>
        <w:tc>
          <w:tcPr>
            <w:tcW w:w="511" w:type="dxa"/>
          </w:tcPr>
          <w:p w14:paraId="73F1EB79"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4</w:t>
            </w:r>
          </w:p>
        </w:tc>
        <w:tc>
          <w:tcPr>
            <w:tcW w:w="1111" w:type="dxa"/>
          </w:tcPr>
          <w:p w14:paraId="22E37BC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16.中華民國刑法增訂第三百十五條之四及第三百十五條之五條文草案</w:t>
            </w:r>
          </w:p>
        </w:tc>
        <w:tc>
          <w:tcPr>
            <w:tcW w:w="1545" w:type="dxa"/>
          </w:tcPr>
          <w:p w14:paraId="0C0FDCF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委員洪孟楷等20人 110.12.17 </w:t>
            </w:r>
          </w:p>
          <w:p w14:paraId="579C52C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（10-4-14）</w:t>
            </w:r>
          </w:p>
        </w:tc>
        <w:tc>
          <w:tcPr>
            <w:tcW w:w="1536" w:type="dxa"/>
            <w:vMerge/>
          </w:tcPr>
          <w:p w14:paraId="2321A4B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CB7FDC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990AA1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5DD92D0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4AC735EE" w14:textId="77777777" w:rsidTr="00EC13B7">
        <w:trPr>
          <w:trHeight w:val="600"/>
        </w:trPr>
        <w:tc>
          <w:tcPr>
            <w:tcW w:w="511" w:type="dxa"/>
          </w:tcPr>
          <w:p w14:paraId="2349A2B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5</w:t>
            </w:r>
          </w:p>
        </w:tc>
        <w:tc>
          <w:tcPr>
            <w:tcW w:w="1111" w:type="dxa"/>
          </w:tcPr>
          <w:p w14:paraId="5AF3214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17.中華民國刑法</w:t>
            </w:r>
            <w:r w:rsidRPr="002A20DA">
              <w:rPr>
                <w:rFonts w:ascii="標楷體" w:eastAsia="標楷體" w:hAnsi="標楷體"/>
                <w:color w:val="000000"/>
                <w:kern w:val="0"/>
                <w:szCs w:val="22"/>
              </w:rPr>
              <w:lastRenderedPageBreak/>
              <w:t>增訂部分條文草案</w:t>
            </w:r>
          </w:p>
        </w:tc>
        <w:tc>
          <w:tcPr>
            <w:tcW w:w="1545" w:type="dxa"/>
          </w:tcPr>
          <w:p w14:paraId="3C4FF3B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lastRenderedPageBreak/>
              <w:t xml:space="preserve">民眾黨黨團 110.12.24 </w:t>
            </w:r>
          </w:p>
          <w:p w14:paraId="6244737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（10-4-15）</w:t>
            </w:r>
          </w:p>
        </w:tc>
        <w:tc>
          <w:tcPr>
            <w:tcW w:w="1536" w:type="dxa"/>
            <w:vMerge/>
          </w:tcPr>
          <w:p w14:paraId="770D7AF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B33F395"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314737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29EA25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14E60DF5" w14:textId="77777777" w:rsidTr="00EC13B7">
        <w:trPr>
          <w:trHeight w:val="600"/>
        </w:trPr>
        <w:tc>
          <w:tcPr>
            <w:tcW w:w="511" w:type="dxa"/>
          </w:tcPr>
          <w:p w14:paraId="576CC03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5</w:t>
            </w:r>
            <w:r w:rsidRPr="002A20DA">
              <w:rPr>
                <w:rFonts w:ascii="標楷體" w:eastAsia="標楷體" w:hAnsi="標楷體"/>
                <w:color w:val="000000"/>
                <w:spacing w:val="-20"/>
                <w:szCs w:val="22"/>
              </w:rPr>
              <w:t>6</w:t>
            </w:r>
          </w:p>
        </w:tc>
        <w:tc>
          <w:tcPr>
            <w:tcW w:w="1111" w:type="dxa"/>
          </w:tcPr>
          <w:p w14:paraId="0216757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18.中華民國刑法增訂第三百十五條之四條文草案</w:t>
            </w:r>
          </w:p>
        </w:tc>
        <w:tc>
          <w:tcPr>
            <w:tcW w:w="1545" w:type="dxa"/>
          </w:tcPr>
          <w:p w14:paraId="32A42EC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民眾黨黨團 110.12.24 </w:t>
            </w:r>
          </w:p>
          <w:p w14:paraId="5FA2F05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（10-4-15）</w:t>
            </w:r>
          </w:p>
        </w:tc>
        <w:tc>
          <w:tcPr>
            <w:tcW w:w="1536" w:type="dxa"/>
            <w:vMerge/>
          </w:tcPr>
          <w:p w14:paraId="08EA3F7A"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1D91DBF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FAFCEB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16995F34"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D4E4934" w14:textId="77777777" w:rsidTr="00EC13B7">
        <w:trPr>
          <w:trHeight w:val="600"/>
        </w:trPr>
        <w:tc>
          <w:tcPr>
            <w:tcW w:w="511" w:type="dxa"/>
          </w:tcPr>
          <w:p w14:paraId="58B22F18"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7</w:t>
            </w:r>
          </w:p>
        </w:tc>
        <w:tc>
          <w:tcPr>
            <w:tcW w:w="1111" w:type="dxa"/>
          </w:tcPr>
          <w:p w14:paraId="46C5834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19.中華民國刑法部分條文修正草案</w:t>
            </w:r>
          </w:p>
        </w:tc>
        <w:tc>
          <w:tcPr>
            <w:tcW w:w="1545" w:type="dxa"/>
          </w:tcPr>
          <w:p w14:paraId="224B548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color w:val="000000"/>
                <w:spacing w:val="-20"/>
                <w:kern w:val="0"/>
                <w:szCs w:val="22"/>
              </w:rPr>
              <w:t xml:space="preserve">時代力量黨團 </w:t>
            </w:r>
            <w:r w:rsidRPr="002A20DA">
              <w:rPr>
                <w:rFonts w:ascii="標楷體" w:eastAsia="標楷體" w:hAnsi="標楷體"/>
                <w:kern w:val="0"/>
                <w:szCs w:val="22"/>
              </w:rPr>
              <w:t xml:space="preserve">110.12.24 </w:t>
            </w:r>
          </w:p>
          <w:p w14:paraId="3EF5946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（10-4-15）</w:t>
            </w:r>
          </w:p>
        </w:tc>
        <w:tc>
          <w:tcPr>
            <w:tcW w:w="1536" w:type="dxa"/>
            <w:vMerge/>
          </w:tcPr>
          <w:p w14:paraId="6E4C294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7AD9A45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0A83C74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C809E85"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18262E8" w14:textId="77777777" w:rsidTr="00EC13B7">
        <w:trPr>
          <w:trHeight w:val="600"/>
        </w:trPr>
        <w:tc>
          <w:tcPr>
            <w:tcW w:w="511" w:type="dxa"/>
          </w:tcPr>
          <w:p w14:paraId="6F5B378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8</w:t>
            </w:r>
          </w:p>
        </w:tc>
        <w:tc>
          <w:tcPr>
            <w:tcW w:w="1111" w:type="dxa"/>
          </w:tcPr>
          <w:p w14:paraId="196DA4E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20.中華民國刑法部分條文修正草案</w:t>
            </w:r>
          </w:p>
        </w:tc>
        <w:tc>
          <w:tcPr>
            <w:tcW w:w="1545" w:type="dxa"/>
          </w:tcPr>
          <w:p w14:paraId="1E5B5B8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委員林楚茵等18人 111.03.18 </w:t>
            </w:r>
          </w:p>
          <w:p w14:paraId="31D3135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（10-5-4）</w:t>
            </w:r>
          </w:p>
        </w:tc>
        <w:tc>
          <w:tcPr>
            <w:tcW w:w="1536" w:type="dxa"/>
            <w:vMerge/>
          </w:tcPr>
          <w:p w14:paraId="0999235C"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2EE297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5BA4235"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58A9BA9"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0CC52B2D" w14:textId="77777777" w:rsidTr="00EC13B7">
        <w:trPr>
          <w:trHeight w:val="600"/>
        </w:trPr>
        <w:tc>
          <w:tcPr>
            <w:tcW w:w="511" w:type="dxa"/>
          </w:tcPr>
          <w:p w14:paraId="1219472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5</w:t>
            </w:r>
            <w:r w:rsidRPr="002A20DA">
              <w:rPr>
                <w:rFonts w:ascii="標楷體" w:eastAsia="標楷體" w:hAnsi="標楷體"/>
                <w:color w:val="000000"/>
                <w:spacing w:val="-20"/>
                <w:szCs w:val="22"/>
              </w:rPr>
              <w:t>9</w:t>
            </w:r>
          </w:p>
        </w:tc>
        <w:tc>
          <w:tcPr>
            <w:tcW w:w="1111" w:type="dxa"/>
          </w:tcPr>
          <w:p w14:paraId="6ECC94F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21.中華民國刑法部分條文修正草案</w:t>
            </w:r>
          </w:p>
        </w:tc>
        <w:tc>
          <w:tcPr>
            <w:tcW w:w="1545" w:type="dxa"/>
          </w:tcPr>
          <w:p w14:paraId="397AA43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委員何欣純等17人 111.03.18 </w:t>
            </w:r>
          </w:p>
          <w:p w14:paraId="30FB851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（10-5-4）</w:t>
            </w:r>
          </w:p>
        </w:tc>
        <w:tc>
          <w:tcPr>
            <w:tcW w:w="1536" w:type="dxa"/>
            <w:vMerge/>
          </w:tcPr>
          <w:p w14:paraId="3C2E71E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CD509A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3E132B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163CD3C"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37EA0ED7" w14:textId="77777777" w:rsidTr="00EC13B7">
        <w:trPr>
          <w:trHeight w:val="600"/>
        </w:trPr>
        <w:tc>
          <w:tcPr>
            <w:tcW w:w="511" w:type="dxa"/>
          </w:tcPr>
          <w:p w14:paraId="03160F8E"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color w:val="000000"/>
                <w:spacing w:val="-20"/>
                <w:szCs w:val="22"/>
              </w:rPr>
              <w:t>60</w:t>
            </w:r>
          </w:p>
        </w:tc>
        <w:tc>
          <w:tcPr>
            <w:tcW w:w="1111" w:type="dxa"/>
          </w:tcPr>
          <w:p w14:paraId="005F6287"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22.中華民國刑法部分條文修正草案</w:t>
            </w:r>
          </w:p>
        </w:tc>
        <w:tc>
          <w:tcPr>
            <w:tcW w:w="1545" w:type="dxa"/>
          </w:tcPr>
          <w:p w14:paraId="6653816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委員劉建國等17人 111.04.15 </w:t>
            </w:r>
          </w:p>
          <w:p w14:paraId="2C982B46"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（10-5-8）</w:t>
            </w:r>
          </w:p>
        </w:tc>
        <w:tc>
          <w:tcPr>
            <w:tcW w:w="1536" w:type="dxa"/>
            <w:vMerge/>
          </w:tcPr>
          <w:p w14:paraId="64C0E45C"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70585A5"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09E4FE2F"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0F8127D"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8B5AACF" w14:textId="77777777" w:rsidTr="00EC13B7">
        <w:trPr>
          <w:trHeight w:val="600"/>
        </w:trPr>
        <w:tc>
          <w:tcPr>
            <w:tcW w:w="511" w:type="dxa"/>
          </w:tcPr>
          <w:p w14:paraId="2948283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1</w:t>
            </w:r>
          </w:p>
        </w:tc>
        <w:tc>
          <w:tcPr>
            <w:tcW w:w="1111" w:type="dxa"/>
          </w:tcPr>
          <w:p w14:paraId="503CC01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23.中華民國刑法部分條文修正草案</w:t>
            </w:r>
          </w:p>
        </w:tc>
        <w:tc>
          <w:tcPr>
            <w:tcW w:w="1545" w:type="dxa"/>
          </w:tcPr>
          <w:p w14:paraId="45A13B7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委員劉世芳等22人 111.04.22 </w:t>
            </w:r>
          </w:p>
          <w:p w14:paraId="5572542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1E12A6B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4C93B3A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59608F7F"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686DD5F3"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21854FD4" w14:textId="77777777" w:rsidTr="00EC13B7">
        <w:trPr>
          <w:trHeight w:val="600"/>
        </w:trPr>
        <w:tc>
          <w:tcPr>
            <w:tcW w:w="511" w:type="dxa"/>
          </w:tcPr>
          <w:p w14:paraId="4C66B7BE"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2</w:t>
            </w:r>
          </w:p>
        </w:tc>
        <w:tc>
          <w:tcPr>
            <w:tcW w:w="1111" w:type="dxa"/>
          </w:tcPr>
          <w:p w14:paraId="1BA3C71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24.中華民國刑法部分條文修正草案</w:t>
            </w:r>
          </w:p>
        </w:tc>
        <w:tc>
          <w:tcPr>
            <w:tcW w:w="1545" w:type="dxa"/>
          </w:tcPr>
          <w:p w14:paraId="751AB49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委員王美惠等18人 111.04.29 </w:t>
            </w:r>
          </w:p>
          <w:p w14:paraId="1C8F1E3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（10-5-10）</w:t>
            </w:r>
          </w:p>
        </w:tc>
        <w:tc>
          <w:tcPr>
            <w:tcW w:w="1536" w:type="dxa"/>
            <w:vMerge/>
          </w:tcPr>
          <w:p w14:paraId="3987B6B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267A73C9"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2B8BAE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3E77521"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C46AB35" w14:textId="77777777" w:rsidTr="00EC13B7">
        <w:trPr>
          <w:trHeight w:val="600"/>
        </w:trPr>
        <w:tc>
          <w:tcPr>
            <w:tcW w:w="511" w:type="dxa"/>
          </w:tcPr>
          <w:p w14:paraId="12542D8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3</w:t>
            </w:r>
          </w:p>
        </w:tc>
        <w:tc>
          <w:tcPr>
            <w:tcW w:w="1111" w:type="dxa"/>
          </w:tcPr>
          <w:p w14:paraId="4262EEF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25.中華民國刑法第三百十五條之一及第三百六十二條之一條文修正草案</w:t>
            </w:r>
          </w:p>
        </w:tc>
        <w:tc>
          <w:tcPr>
            <w:tcW w:w="1545" w:type="dxa"/>
          </w:tcPr>
          <w:p w14:paraId="6875E3D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委員洪孟楷等16人 111.05.06 </w:t>
            </w:r>
          </w:p>
          <w:p w14:paraId="0DB2FA8A"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2642398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5A5CF20"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5507EBB8"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BEADDAB"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5A01F82" w14:textId="77777777" w:rsidTr="00EC13B7">
        <w:trPr>
          <w:trHeight w:val="600"/>
        </w:trPr>
        <w:tc>
          <w:tcPr>
            <w:tcW w:w="511" w:type="dxa"/>
          </w:tcPr>
          <w:p w14:paraId="6E22F208"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4</w:t>
            </w:r>
          </w:p>
        </w:tc>
        <w:tc>
          <w:tcPr>
            <w:tcW w:w="1111" w:type="dxa"/>
          </w:tcPr>
          <w:p w14:paraId="4DAC1EC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26.中華民國刑法部分條文修正草案</w:t>
            </w:r>
          </w:p>
        </w:tc>
        <w:tc>
          <w:tcPr>
            <w:tcW w:w="1545" w:type="dxa"/>
          </w:tcPr>
          <w:p w14:paraId="5F24CA1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委員范雲</w:t>
            </w:r>
          </w:p>
          <w:p w14:paraId="21690D5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等22人 111.05.13 </w:t>
            </w:r>
          </w:p>
          <w:p w14:paraId="5630FB7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（10-5-12）</w:t>
            </w:r>
          </w:p>
        </w:tc>
        <w:tc>
          <w:tcPr>
            <w:tcW w:w="1536" w:type="dxa"/>
            <w:vMerge/>
          </w:tcPr>
          <w:p w14:paraId="302D28E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4F860F3D"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65036648"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E77D12A"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5588FBFB" w14:textId="77777777" w:rsidTr="00EC13B7">
        <w:trPr>
          <w:trHeight w:val="600"/>
        </w:trPr>
        <w:tc>
          <w:tcPr>
            <w:tcW w:w="511" w:type="dxa"/>
          </w:tcPr>
          <w:p w14:paraId="4AE5A39B"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5</w:t>
            </w:r>
          </w:p>
        </w:tc>
        <w:tc>
          <w:tcPr>
            <w:tcW w:w="1111" w:type="dxa"/>
          </w:tcPr>
          <w:p w14:paraId="66C241EE"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w:t>
            </w:r>
            <w:r w:rsidRPr="002A20DA">
              <w:rPr>
                <w:rFonts w:ascii="標楷體" w:eastAsia="標楷體" w:hAnsi="標楷體" w:hint="eastAsia"/>
                <w:color w:val="000000"/>
                <w:kern w:val="0"/>
                <w:szCs w:val="22"/>
              </w:rPr>
              <w:t>7</w:t>
            </w:r>
            <w:r w:rsidRPr="002A20DA">
              <w:rPr>
                <w:rFonts w:ascii="標楷體" w:eastAsia="標楷體" w:hAnsi="標楷體"/>
                <w:color w:val="000000"/>
                <w:kern w:val="0"/>
                <w:szCs w:val="22"/>
              </w:rPr>
              <w:t>.中華民國刑法增訂部分</w:t>
            </w:r>
            <w:r w:rsidRPr="002A20DA">
              <w:rPr>
                <w:rFonts w:ascii="標楷體" w:eastAsia="標楷體" w:hAnsi="標楷體"/>
                <w:color w:val="000000"/>
                <w:kern w:val="0"/>
                <w:szCs w:val="22"/>
              </w:rPr>
              <w:lastRenderedPageBreak/>
              <w:t>條文草案</w:t>
            </w:r>
          </w:p>
        </w:tc>
        <w:tc>
          <w:tcPr>
            <w:tcW w:w="1545" w:type="dxa"/>
          </w:tcPr>
          <w:p w14:paraId="4568326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lastRenderedPageBreak/>
              <w:t xml:space="preserve">委員洪孟楷等16人 111.05.20 </w:t>
            </w:r>
          </w:p>
          <w:p w14:paraId="4961BB2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（10-5-13）</w:t>
            </w:r>
          </w:p>
        </w:tc>
        <w:tc>
          <w:tcPr>
            <w:tcW w:w="1536" w:type="dxa"/>
            <w:vMerge/>
          </w:tcPr>
          <w:p w14:paraId="4555DA67"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09A87857"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F1D49B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1A0EBF5"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7B3C411" w14:textId="77777777" w:rsidTr="00EC13B7">
        <w:trPr>
          <w:trHeight w:val="600"/>
        </w:trPr>
        <w:tc>
          <w:tcPr>
            <w:tcW w:w="511" w:type="dxa"/>
          </w:tcPr>
          <w:p w14:paraId="0337AE32"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6</w:t>
            </w:r>
            <w:r w:rsidRPr="002A20DA">
              <w:rPr>
                <w:rFonts w:ascii="標楷體" w:eastAsia="標楷體" w:hAnsi="標楷體"/>
                <w:color w:val="000000"/>
                <w:spacing w:val="-20"/>
                <w:szCs w:val="22"/>
              </w:rPr>
              <w:t>6</w:t>
            </w:r>
          </w:p>
        </w:tc>
        <w:tc>
          <w:tcPr>
            <w:tcW w:w="1111" w:type="dxa"/>
          </w:tcPr>
          <w:p w14:paraId="0A2257C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2</w:t>
            </w:r>
            <w:r w:rsidRPr="002A20DA">
              <w:rPr>
                <w:rFonts w:ascii="標楷體" w:eastAsia="標楷體" w:hAnsi="標楷體"/>
                <w:color w:val="000000"/>
                <w:kern w:val="0"/>
                <w:szCs w:val="22"/>
              </w:rPr>
              <w:t>8.中華民國刑法部分條文修正草案</w:t>
            </w:r>
          </w:p>
        </w:tc>
        <w:tc>
          <w:tcPr>
            <w:tcW w:w="1545" w:type="dxa"/>
          </w:tcPr>
          <w:p w14:paraId="628D6BAB"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w:t>
            </w:r>
            <w:r w:rsidRPr="002A20DA">
              <w:rPr>
                <w:rFonts w:ascii="標楷體" w:eastAsia="標楷體" w:hAnsi="標楷體" w:hint="eastAsia"/>
                <w:kern w:val="0"/>
                <w:szCs w:val="22"/>
              </w:rPr>
              <w:t>張其祿</w:t>
            </w:r>
            <w:r w:rsidRPr="002A20DA">
              <w:rPr>
                <w:rFonts w:ascii="標楷體" w:eastAsia="標楷體" w:hAnsi="標楷體"/>
                <w:kern w:val="0"/>
                <w:szCs w:val="22"/>
              </w:rPr>
              <w:t>等18人</w:t>
            </w:r>
            <w:r w:rsidRPr="002A20DA">
              <w:rPr>
                <w:rFonts w:ascii="標楷體" w:eastAsia="標楷體" w:hAnsi="標楷體" w:hint="eastAsia"/>
                <w:kern w:val="0"/>
                <w:szCs w:val="22"/>
              </w:rPr>
              <w:t xml:space="preserve"> </w:t>
            </w:r>
            <w:r w:rsidRPr="002A20DA">
              <w:rPr>
                <w:rFonts w:ascii="標楷體" w:eastAsia="標楷體" w:hAnsi="標楷體"/>
                <w:kern w:val="0"/>
                <w:szCs w:val="22"/>
              </w:rPr>
              <w:t xml:space="preserve">111.09.23 </w:t>
            </w:r>
          </w:p>
          <w:p w14:paraId="666866C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（10-6-1）</w:t>
            </w:r>
          </w:p>
        </w:tc>
        <w:tc>
          <w:tcPr>
            <w:tcW w:w="1536" w:type="dxa"/>
          </w:tcPr>
          <w:p w14:paraId="4E3D131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1.院會111.0</w:t>
            </w:r>
            <w:r w:rsidRPr="002A20DA">
              <w:rPr>
                <w:rFonts w:ascii="標楷體" w:eastAsia="標楷體" w:hAnsi="標楷體"/>
                <w:spacing w:val="-20"/>
                <w:kern w:val="0"/>
                <w:szCs w:val="22"/>
              </w:rPr>
              <w:t>9</w:t>
            </w:r>
            <w:r w:rsidRPr="002A20DA">
              <w:rPr>
                <w:rFonts w:ascii="標楷體" w:eastAsia="標楷體" w:hAnsi="標楷體" w:hint="eastAsia"/>
                <w:spacing w:val="-20"/>
                <w:kern w:val="0"/>
                <w:szCs w:val="22"/>
              </w:rPr>
              <w:t>.2</w:t>
            </w:r>
            <w:r w:rsidRPr="002A20DA">
              <w:rPr>
                <w:rFonts w:ascii="標楷體" w:eastAsia="標楷體" w:hAnsi="標楷體"/>
                <w:spacing w:val="-20"/>
                <w:kern w:val="0"/>
                <w:szCs w:val="22"/>
              </w:rPr>
              <w:t>3</w:t>
            </w:r>
          </w:p>
          <w:p w14:paraId="1812A89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-1）逕付二讀，與相關提案併案協商。</w:t>
            </w:r>
          </w:p>
          <w:p w14:paraId="1EDB2C2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2.111.11.9黨團協商。</w:t>
            </w:r>
          </w:p>
          <w:p w14:paraId="593AD3C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3.111.12.22黨團協商。</w:t>
            </w:r>
          </w:p>
          <w:p w14:paraId="40DC395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4.112.1.4黨團協商。</w:t>
            </w:r>
          </w:p>
          <w:p w14:paraId="5B8F83BC" w14:textId="77777777" w:rsidR="00AE6B82" w:rsidRPr="002A20DA" w:rsidRDefault="00AE6B82" w:rsidP="00EC13B7">
            <w:pPr>
              <w:kinsoku w:val="0"/>
              <w:topLinePunct/>
              <w:autoSpaceDE w:val="0"/>
              <w:autoSpaceDN w:val="0"/>
              <w:spacing w:line="300" w:lineRule="exact"/>
              <w:rPr>
                <w:rFonts w:ascii="標楷體" w:eastAsia="標楷體" w:hAnsi="標楷體"/>
                <w:szCs w:val="22"/>
              </w:rPr>
            </w:pPr>
            <w:r w:rsidRPr="002A20DA">
              <w:rPr>
                <w:rFonts w:ascii="標楷體" w:eastAsia="標楷體" w:hAnsi="標楷體" w:hint="eastAsia"/>
                <w:spacing w:val="-20"/>
                <w:kern w:val="0"/>
                <w:szCs w:val="22"/>
              </w:rPr>
              <w:t>5.112.1.5黨團協商。</w:t>
            </w:r>
          </w:p>
        </w:tc>
        <w:tc>
          <w:tcPr>
            <w:tcW w:w="1387" w:type="dxa"/>
            <w:vMerge/>
          </w:tcPr>
          <w:p w14:paraId="2BBD9CB0"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2430DA2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12E4904"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875CA6D" w14:textId="77777777" w:rsidTr="00EC13B7">
        <w:trPr>
          <w:trHeight w:val="600"/>
        </w:trPr>
        <w:tc>
          <w:tcPr>
            <w:tcW w:w="511" w:type="dxa"/>
          </w:tcPr>
          <w:p w14:paraId="7675A10E"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7</w:t>
            </w:r>
          </w:p>
        </w:tc>
        <w:tc>
          <w:tcPr>
            <w:tcW w:w="1111" w:type="dxa"/>
          </w:tcPr>
          <w:p w14:paraId="19B09C6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2</w:t>
            </w:r>
            <w:r w:rsidRPr="002A20DA">
              <w:rPr>
                <w:rFonts w:ascii="標楷體" w:eastAsia="標楷體" w:hAnsi="標楷體"/>
                <w:color w:val="000000"/>
                <w:kern w:val="0"/>
                <w:szCs w:val="22"/>
              </w:rPr>
              <w:t>9.</w:t>
            </w:r>
            <w:r w:rsidRPr="002A20DA">
              <w:rPr>
                <w:rFonts w:ascii="標楷體" w:eastAsia="標楷體" w:hAnsi="標楷體" w:hint="eastAsia"/>
                <w:color w:val="000000"/>
                <w:kern w:val="0"/>
                <w:szCs w:val="22"/>
              </w:rPr>
              <w:t>中華民國刑法第三百十五條之二條文修正草案</w:t>
            </w:r>
          </w:p>
        </w:tc>
        <w:tc>
          <w:tcPr>
            <w:tcW w:w="1545" w:type="dxa"/>
          </w:tcPr>
          <w:p w14:paraId="276E1C0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委員高嘉瑜等20人 111.09.30</w:t>
            </w:r>
          </w:p>
          <w:p w14:paraId="4635F9E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（10-6-2）</w:t>
            </w:r>
          </w:p>
        </w:tc>
        <w:tc>
          <w:tcPr>
            <w:tcW w:w="1536" w:type="dxa"/>
          </w:tcPr>
          <w:p w14:paraId="1FC0159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1.院會111.0</w:t>
            </w:r>
            <w:r w:rsidRPr="002A20DA">
              <w:rPr>
                <w:rFonts w:ascii="標楷體" w:eastAsia="標楷體" w:hAnsi="標楷體"/>
                <w:spacing w:val="-20"/>
                <w:kern w:val="0"/>
                <w:szCs w:val="22"/>
              </w:rPr>
              <w:t>9</w:t>
            </w:r>
            <w:r w:rsidRPr="002A20DA">
              <w:rPr>
                <w:rFonts w:ascii="標楷體" w:eastAsia="標楷體" w:hAnsi="標楷體" w:hint="eastAsia"/>
                <w:spacing w:val="-20"/>
                <w:kern w:val="0"/>
                <w:szCs w:val="22"/>
              </w:rPr>
              <w:t>.30</w:t>
            </w:r>
          </w:p>
          <w:p w14:paraId="2708139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-2）逕付二讀，與相關提案併案協商。</w:t>
            </w:r>
          </w:p>
          <w:p w14:paraId="7BE3B53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2.111.11.9黨團協商。</w:t>
            </w:r>
          </w:p>
          <w:p w14:paraId="69ABA50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3.111.12.22黨團協商。</w:t>
            </w:r>
          </w:p>
          <w:p w14:paraId="78E77B5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4.112.1.4黨團協商。</w:t>
            </w:r>
          </w:p>
          <w:p w14:paraId="6373014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5.112.1.5黨團協商。</w:t>
            </w:r>
          </w:p>
        </w:tc>
        <w:tc>
          <w:tcPr>
            <w:tcW w:w="1387" w:type="dxa"/>
            <w:vMerge/>
          </w:tcPr>
          <w:p w14:paraId="4E060BBD"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58FD3BE8"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5F022DA"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C386A37" w14:textId="77777777" w:rsidTr="00EC13B7">
        <w:trPr>
          <w:trHeight w:val="600"/>
        </w:trPr>
        <w:tc>
          <w:tcPr>
            <w:tcW w:w="511" w:type="dxa"/>
          </w:tcPr>
          <w:p w14:paraId="09E3B182"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8</w:t>
            </w:r>
          </w:p>
        </w:tc>
        <w:tc>
          <w:tcPr>
            <w:tcW w:w="1111" w:type="dxa"/>
          </w:tcPr>
          <w:p w14:paraId="7F1D900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0.</w:t>
            </w:r>
            <w:r w:rsidRPr="002A20DA">
              <w:rPr>
                <w:rFonts w:ascii="標楷體" w:eastAsia="標楷體" w:hAnsi="標楷體" w:hint="eastAsia"/>
                <w:color w:val="000000"/>
                <w:kern w:val="0"/>
                <w:szCs w:val="22"/>
              </w:rPr>
              <w:t>中華民國刑法部分條文修正草案</w:t>
            </w:r>
          </w:p>
        </w:tc>
        <w:tc>
          <w:tcPr>
            <w:tcW w:w="1545" w:type="dxa"/>
          </w:tcPr>
          <w:p w14:paraId="2C2A770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委員游毓蘭等20人 111.10.07</w:t>
            </w:r>
          </w:p>
          <w:p w14:paraId="7424A9A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（10-6-3）</w:t>
            </w:r>
          </w:p>
        </w:tc>
        <w:tc>
          <w:tcPr>
            <w:tcW w:w="1536" w:type="dxa"/>
          </w:tcPr>
          <w:p w14:paraId="3D8D0CF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1.院會111.10.07</w:t>
            </w:r>
          </w:p>
          <w:p w14:paraId="67361F8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-3）逕付二讀，與相關提案併案協商。</w:t>
            </w:r>
          </w:p>
          <w:p w14:paraId="2264CE7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2.111.11.9黨團協商。</w:t>
            </w:r>
          </w:p>
          <w:p w14:paraId="10529E0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3.111.12.22黨團協商。</w:t>
            </w:r>
          </w:p>
          <w:p w14:paraId="4C86303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4.112.1.4黨團協商。</w:t>
            </w:r>
          </w:p>
          <w:p w14:paraId="52F573F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5.112.1.5黨團協商。</w:t>
            </w:r>
          </w:p>
        </w:tc>
        <w:tc>
          <w:tcPr>
            <w:tcW w:w="1387" w:type="dxa"/>
            <w:vMerge/>
          </w:tcPr>
          <w:p w14:paraId="2D6FBD5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2BF0221"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64C171D2"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169C2391" w14:textId="77777777" w:rsidTr="00EC13B7">
        <w:trPr>
          <w:trHeight w:val="600"/>
        </w:trPr>
        <w:tc>
          <w:tcPr>
            <w:tcW w:w="511" w:type="dxa"/>
          </w:tcPr>
          <w:p w14:paraId="4B4FB38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6</w:t>
            </w:r>
            <w:r w:rsidRPr="002A20DA">
              <w:rPr>
                <w:rFonts w:ascii="標楷體" w:eastAsia="標楷體" w:hAnsi="標楷體"/>
                <w:color w:val="000000"/>
                <w:spacing w:val="-20"/>
                <w:szCs w:val="22"/>
              </w:rPr>
              <w:t>9</w:t>
            </w:r>
          </w:p>
        </w:tc>
        <w:tc>
          <w:tcPr>
            <w:tcW w:w="1111" w:type="dxa"/>
          </w:tcPr>
          <w:p w14:paraId="4BA6D2C0"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1.</w:t>
            </w:r>
            <w:r w:rsidRPr="002A20DA">
              <w:rPr>
                <w:rFonts w:ascii="標楷體" w:eastAsia="標楷體" w:hAnsi="標楷體" w:hint="eastAsia"/>
                <w:color w:val="000000"/>
                <w:kern w:val="0"/>
                <w:szCs w:val="22"/>
              </w:rPr>
              <w:t>中華民國刑法部分條文修正草案</w:t>
            </w:r>
          </w:p>
        </w:tc>
        <w:tc>
          <w:tcPr>
            <w:tcW w:w="1545" w:type="dxa"/>
          </w:tcPr>
          <w:p w14:paraId="59EFFCFF"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委員萬美玲等22人 111.10.14</w:t>
            </w:r>
          </w:p>
          <w:p w14:paraId="66C9960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（10-6-4）</w:t>
            </w:r>
          </w:p>
        </w:tc>
        <w:tc>
          <w:tcPr>
            <w:tcW w:w="1536" w:type="dxa"/>
          </w:tcPr>
          <w:p w14:paraId="5E8D911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1.院會111.10.14</w:t>
            </w:r>
          </w:p>
          <w:p w14:paraId="7804E81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-4）逕付二讀，與相關提案併案協商。</w:t>
            </w:r>
          </w:p>
          <w:p w14:paraId="6F47A88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2.111.11.9黨</w:t>
            </w:r>
            <w:r w:rsidRPr="002A20DA">
              <w:rPr>
                <w:rFonts w:ascii="標楷體" w:eastAsia="標楷體" w:hAnsi="標楷體" w:hint="eastAsia"/>
                <w:spacing w:val="-20"/>
                <w:kern w:val="0"/>
                <w:szCs w:val="22"/>
              </w:rPr>
              <w:lastRenderedPageBreak/>
              <w:t>團協商。</w:t>
            </w:r>
          </w:p>
          <w:p w14:paraId="2B19CAB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3.111.12.22黨團協商。</w:t>
            </w:r>
          </w:p>
          <w:p w14:paraId="1782AFD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4.112.1.4黨團協商。</w:t>
            </w:r>
          </w:p>
          <w:p w14:paraId="0B9F968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5.112.1.5黨團協商。</w:t>
            </w:r>
          </w:p>
        </w:tc>
        <w:tc>
          <w:tcPr>
            <w:tcW w:w="1387" w:type="dxa"/>
            <w:vMerge/>
          </w:tcPr>
          <w:p w14:paraId="045E9C5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C9FE97B"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5DCCD88B"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1AA01FA0" w14:textId="77777777" w:rsidTr="00EC13B7">
        <w:trPr>
          <w:trHeight w:val="600"/>
        </w:trPr>
        <w:tc>
          <w:tcPr>
            <w:tcW w:w="511" w:type="dxa"/>
          </w:tcPr>
          <w:p w14:paraId="7F0D27B2"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7</w:t>
            </w:r>
            <w:r w:rsidRPr="002A20DA">
              <w:rPr>
                <w:rFonts w:ascii="標楷體" w:eastAsia="標楷體" w:hAnsi="標楷體"/>
                <w:color w:val="000000"/>
                <w:spacing w:val="-20"/>
                <w:szCs w:val="22"/>
              </w:rPr>
              <w:t>0</w:t>
            </w:r>
          </w:p>
        </w:tc>
        <w:tc>
          <w:tcPr>
            <w:tcW w:w="1111" w:type="dxa"/>
          </w:tcPr>
          <w:p w14:paraId="36B8D67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2.</w:t>
            </w:r>
            <w:r w:rsidRPr="002A20DA">
              <w:rPr>
                <w:rFonts w:ascii="標楷體" w:eastAsia="標楷體" w:hAnsi="標楷體" w:hint="eastAsia"/>
                <w:color w:val="000000"/>
                <w:kern w:val="0"/>
                <w:szCs w:val="22"/>
              </w:rPr>
              <w:t>中華民國刑法部分條文修正草案</w:t>
            </w:r>
          </w:p>
        </w:tc>
        <w:tc>
          <w:tcPr>
            <w:tcW w:w="1545" w:type="dxa"/>
          </w:tcPr>
          <w:p w14:paraId="6C0793C6"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color w:val="000000"/>
                <w:spacing w:val="-20"/>
                <w:kern w:val="0"/>
                <w:szCs w:val="22"/>
              </w:rPr>
              <w:t xml:space="preserve">時代力量黨團 </w:t>
            </w:r>
            <w:r w:rsidRPr="002A20DA">
              <w:rPr>
                <w:rFonts w:ascii="標楷體" w:eastAsia="標楷體" w:hAnsi="標楷體" w:hint="eastAsia"/>
                <w:kern w:val="0"/>
                <w:szCs w:val="22"/>
              </w:rPr>
              <w:t xml:space="preserve">111.10.28 </w:t>
            </w:r>
          </w:p>
          <w:p w14:paraId="79BD1441"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（10-6-5）</w:t>
            </w:r>
          </w:p>
        </w:tc>
        <w:tc>
          <w:tcPr>
            <w:tcW w:w="1536" w:type="dxa"/>
          </w:tcPr>
          <w:p w14:paraId="65BEEF3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1.院會111.10.28</w:t>
            </w:r>
          </w:p>
          <w:p w14:paraId="68ECA0B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-5）逕付二讀，與相關提案併案協商。</w:t>
            </w:r>
          </w:p>
          <w:p w14:paraId="58DF91F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2.111.11.9黨團協商。</w:t>
            </w:r>
          </w:p>
          <w:p w14:paraId="13EF444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3.111.12.22黨團協商。</w:t>
            </w:r>
          </w:p>
          <w:p w14:paraId="5D1B8E0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4.112.1.4黨團協商。</w:t>
            </w:r>
          </w:p>
          <w:p w14:paraId="0524261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5.112.1.5黨團協商。</w:t>
            </w:r>
          </w:p>
        </w:tc>
        <w:tc>
          <w:tcPr>
            <w:tcW w:w="1387" w:type="dxa"/>
            <w:vMerge/>
          </w:tcPr>
          <w:p w14:paraId="56D5224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9900DC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66D4FEE"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62895076" w14:textId="77777777" w:rsidTr="00EC13B7">
        <w:trPr>
          <w:trHeight w:val="600"/>
        </w:trPr>
        <w:tc>
          <w:tcPr>
            <w:tcW w:w="511" w:type="dxa"/>
          </w:tcPr>
          <w:p w14:paraId="0BE9FF8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1</w:t>
            </w:r>
          </w:p>
        </w:tc>
        <w:tc>
          <w:tcPr>
            <w:tcW w:w="1111" w:type="dxa"/>
          </w:tcPr>
          <w:p w14:paraId="2AFC1BE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3.</w:t>
            </w:r>
            <w:r w:rsidRPr="002A20DA">
              <w:rPr>
                <w:rFonts w:ascii="標楷體" w:eastAsia="標楷體" w:hAnsi="標楷體" w:hint="eastAsia"/>
                <w:color w:val="000000"/>
                <w:kern w:val="0"/>
                <w:szCs w:val="22"/>
              </w:rPr>
              <w:t>中華民國刑法部分條文修正草案</w:t>
            </w:r>
          </w:p>
        </w:tc>
        <w:tc>
          <w:tcPr>
            <w:tcW w:w="1545" w:type="dxa"/>
          </w:tcPr>
          <w:p w14:paraId="24C6780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委員李昆澤等19人 111.11.11 </w:t>
            </w:r>
          </w:p>
          <w:p w14:paraId="6CF796F5"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（10-6-7）</w:t>
            </w:r>
          </w:p>
        </w:tc>
        <w:tc>
          <w:tcPr>
            <w:tcW w:w="1536" w:type="dxa"/>
          </w:tcPr>
          <w:p w14:paraId="71671CD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院會111.11.11</w:t>
            </w:r>
          </w:p>
          <w:p w14:paraId="1BCACE1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-7）逕付二讀，與相關提案併案協商。</w:t>
            </w:r>
          </w:p>
          <w:p w14:paraId="4E51C5D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.111.12.22黨團協商。</w:t>
            </w:r>
          </w:p>
          <w:p w14:paraId="321F8F6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3.112.1.4黨團協商。</w:t>
            </w:r>
          </w:p>
          <w:p w14:paraId="7FCCB15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4.112.1.5黨團協商。</w:t>
            </w:r>
          </w:p>
        </w:tc>
        <w:tc>
          <w:tcPr>
            <w:tcW w:w="1387" w:type="dxa"/>
            <w:vMerge/>
          </w:tcPr>
          <w:p w14:paraId="6ABC316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50C0B56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0BFC20F7"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C9F7A62" w14:textId="77777777" w:rsidTr="00EC13B7">
        <w:trPr>
          <w:trHeight w:val="600"/>
        </w:trPr>
        <w:tc>
          <w:tcPr>
            <w:tcW w:w="511" w:type="dxa"/>
          </w:tcPr>
          <w:p w14:paraId="48E0A991"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2</w:t>
            </w:r>
          </w:p>
        </w:tc>
        <w:tc>
          <w:tcPr>
            <w:tcW w:w="1111" w:type="dxa"/>
          </w:tcPr>
          <w:p w14:paraId="6DD5EC53"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w:t>
            </w:r>
            <w:r w:rsidRPr="002A20DA">
              <w:rPr>
                <w:rFonts w:ascii="標楷體" w:eastAsia="標楷體" w:hAnsi="標楷體"/>
                <w:color w:val="000000"/>
                <w:kern w:val="0"/>
                <w:szCs w:val="22"/>
              </w:rPr>
              <w:t>4.</w:t>
            </w:r>
            <w:r w:rsidRPr="002A20DA">
              <w:rPr>
                <w:rFonts w:ascii="標楷體" w:eastAsia="標楷體" w:hAnsi="標楷體" w:hint="eastAsia"/>
                <w:color w:val="000000"/>
                <w:kern w:val="0"/>
                <w:szCs w:val="22"/>
              </w:rPr>
              <w:t>中華民國刑法增訂第三百十九條之一條文草案</w:t>
            </w:r>
          </w:p>
        </w:tc>
        <w:tc>
          <w:tcPr>
            <w:tcW w:w="1545" w:type="dxa"/>
          </w:tcPr>
          <w:p w14:paraId="42D8256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委員范雲等20人 111.11.18 </w:t>
            </w:r>
          </w:p>
          <w:p w14:paraId="791F1CE8"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（10-6-8）</w:t>
            </w:r>
          </w:p>
        </w:tc>
        <w:tc>
          <w:tcPr>
            <w:tcW w:w="1536" w:type="dxa"/>
          </w:tcPr>
          <w:p w14:paraId="39A4D73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院會111.11.18</w:t>
            </w:r>
          </w:p>
          <w:p w14:paraId="03E1E27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w:t>
            </w:r>
            <w:r w:rsidRPr="002A20DA">
              <w:rPr>
                <w:rFonts w:ascii="標楷體" w:eastAsia="標楷體" w:hAnsi="標楷體"/>
                <w:spacing w:val="-20"/>
                <w:kern w:val="0"/>
                <w:szCs w:val="22"/>
              </w:rPr>
              <w:t>6</w:t>
            </w:r>
            <w:r w:rsidRPr="002A20DA">
              <w:rPr>
                <w:rFonts w:ascii="標楷體" w:eastAsia="標楷體" w:hAnsi="標楷體" w:hint="eastAsia"/>
                <w:spacing w:val="-20"/>
                <w:kern w:val="0"/>
                <w:szCs w:val="22"/>
              </w:rPr>
              <w:t>-8）逕付二讀，與相關提案併案協商。</w:t>
            </w:r>
          </w:p>
          <w:p w14:paraId="0BB944D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.111.12.22黨團協商。</w:t>
            </w:r>
          </w:p>
          <w:p w14:paraId="5D920D7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3.112.1.4黨團協商。</w:t>
            </w:r>
          </w:p>
          <w:p w14:paraId="471BA4FC"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4.112.1.5黨團協商。</w:t>
            </w:r>
          </w:p>
        </w:tc>
        <w:tc>
          <w:tcPr>
            <w:tcW w:w="1387" w:type="dxa"/>
            <w:vMerge/>
          </w:tcPr>
          <w:p w14:paraId="0A954313"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B3AD61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B3508CD" w14:textId="77777777" w:rsidR="00AE6B82" w:rsidRPr="002A20DA" w:rsidRDefault="00AE6B82" w:rsidP="00EC13B7">
            <w:pPr>
              <w:kinsoku w:val="0"/>
              <w:overflowPunct w:val="0"/>
              <w:spacing w:line="300" w:lineRule="exact"/>
              <w:jc w:val="both"/>
              <w:rPr>
                <w:rFonts w:ascii="標楷體" w:eastAsia="標楷體" w:hAnsi="標楷體"/>
                <w:color w:val="000000"/>
                <w:spacing w:val="-20"/>
                <w:szCs w:val="22"/>
              </w:rPr>
            </w:pPr>
          </w:p>
        </w:tc>
      </w:tr>
      <w:tr w:rsidR="00AE6B82" w:rsidRPr="002A20DA" w14:paraId="7233731A" w14:textId="77777777" w:rsidTr="00EC13B7">
        <w:trPr>
          <w:trHeight w:val="600"/>
        </w:trPr>
        <w:tc>
          <w:tcPr>
            <w:tcW w:w="511" w:type="dxa"/>
          </w:tcPr>
          <w:p w14:paraId="0D27009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3</w:t>
            </w:r>
          </w:p>
        </w:tc>
        <w:tc>
          <w:tcPr>
            <w:tcW w:w="1111" w:type="dxa"/>
          </w:tcPr>
          <w:p w14:paraId="2C4F0FA7" w14:textId="156BDC6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中華民國刑法施行法增訂第九條之四條文草案</w:t>
            </w:r>
          </w:p>
        </w:tc>
        <w:tc>
          <w:tcPr>
            <w:tcW w:w="1545" w:type="dxa"/>
          </w:tcPr>
          <w:p w14:paraId="70184F3C" w14:textId="77777777" w:rsidR="00AE6B82" w:rsidRPr="002A20DA" w:rsidRDefault="00AE6B82" w:rsidP="00EC13B7">
            <w:pPr>
              <w:kinsoku w:val="0"/>
              <w:topLinePunct/>
              <w:spacing w:line="300" w:lineRule="exact"/>
              <w:rPr>
                <w:rFonts w:ascii="標楷體" w:eastAsia="標楷體" w:hAnsi="標楷體"/>
                <w:color w:val="000000"/>
                <w:kern w:val="0"/>
                <w:szCs w:val="22"/>
              </w:rPr>
            </w:pPr>
            <w:r w:rsidRPr="002A20DA">
              <w:rPr>
                <w:rFonts w:ascii="標楷體" w:eastAsia="標楷體" w:hAnsi="標楷體"/>
                <w:color w:val="000000"/>
                <w:spacing w:val="-30"/>
                <w:kern w:val="0"/>
                <w:szCs w:val="22"/>
              </w:rPr>
              <w:t xml:space="preserve">行政院、司法院 </w:t>
            </w:r>
            <w:r w:rsidRPr="002A20DA">
              <w:rPr>
                <w:rFonts w:ascii="標楷體" w:eastAsia="標楷體" w:hAnsi="標楷體"/>
                <w:color w:val="000000"/>
                <w:kern w:val="0"/>
                <w:szCs w:val="22"/>
              </w:rPr>
              <w:t xml:space="preserve">111.05.06 </w:t>
            </w:r>
          </w:p>
          <w:p w14:paraId="6FA49B44" w14:textId="77777777" w:rsidR="00AE6B82" w:rsidRPr="002A20DA" w:rsidRDefault="00AE6B82" w:rsidP="00EC13B7">
            <w:pPr>
              <w:rPr>
                <w:rFonts w:ascii="標楷體" w:hAnsi="標楷體"/>
                <w:szCs w:val="22"/>
              </w:rPr>
            </w:pPr>
            <w:r w:rsidRPr="002A20DA">
              <w:rPr>
                <w:rFonts w:ascii="標楷體" w:eastAsia="標楷體" w:hAnsi="標楷體"/>
                <w:color w:val="000000"/>
                <w:kern w:val="0"/>
                <w:szCs w:val="22"/>
              </w:rPr>
              <w:t>（10-5-11）</w:t>
            </w:r>
          </w:p>
        </w:tc>
        <w:tc>
          <w:tcPr>
            <w:tcW w:w="1536" w:type="dxa"/>
          </w:tcPr>
          <w:p w14:paraId="18E5844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1.本會111.5.23</w:t>
            </w:r>
          </w:p>
          <w:p w14:paraId="380F718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(10-5-20)審查完竣，須交由黨團協商。</w:t>
            </w:r>
          </w:p>
          <w:p w14:paraId="43831F8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2.111.11.9黨團協商。</w:t>
            </w:r>
          </w:p>
          <w:p w14:paraId="185E90C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3.111.12.22黨團協商。</w:t>
            </w:r>
          </w:p>
          <w:p w14:paraId="7EE52EB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4.112.1.4</w:t>
            </w:r>
            <w:r w:rsidRPr="002A20DA">
              <w:rPr>
                <w:rFonts w:ascii="標楷體" w:eastAsia="標楷體" w:hAnsi="標楷體" w:hint="eastAsia"/>
                <w:spacing w:val="-20"/>
                <w:kern w:val="0"/>
                <w:szCs w:val="22"/>
              </w:rPr>
              <w:t>黨團協商。</w:t>
            </w:r>
          </w:p>
          <w:p w14:paraId="393DBEBB" w14:textId="77777777" w:rsidR="00AE6B82" w:rsidRPr="002A20DA" w:rsidRDefault="00AE6B82" w:rsidP="00EC13B7">
            <w:pPr>
              <w:kinsoku w:val="0"/>
              <w:topLinePunct/>
              <w:autoSpaceDE w:val="0"/>
              <w:autoSpaceDN w:val="0"/>
              <w:spacing w:line="300" w:lineRule="exact"/>
              <w:rPr>
                <w:rFonts w:ascii="標楷體" w:hAnsi="標楷體"/>
                <w:szCs w:val="22"/>
              </w:rPr>
            </w:pPr>
            <w:r w:rsidRPr="002A20DA">
              <w:rPr>
                <w:rFonts w:ascii="標楷體" w:eastAsia="標楷體" w:hAnsi="標楷體" w:hint="eastAsia"/>
                <w:spacing w:val="-20"/>
                <w:kern w:val="0"/>
                <w:szCs w:val="22"/>
              </w:rPr>
              <w:t>5</w:t>
            </w:r>
            <w:r w:rsidRPr="002A20DA">
              <w:rPr>
                <w:rFonts w:ascii="標楷體" w:eastAsia="標楷體" w:hAnsi="標楷體"/>
                <w:spacing w:val="-20"/>
                <w:kern w:val="0"/>
                <w:szCs w:val="22"/>
              </w:rPr>
              <w:t>.112.1.</w:t>
            </w:r>
            <w:r w:rsidRPr="002A20DA">
              <w:rPr>
                <w:rFonts w:ascii="標楷體" w:eastAsia="標楷體" w:hAnsi="標楷體" w:hint="eastAsia"/>
                <w:spacing w:val="-20"/>
                <w:kern w:val="0"/>
                <w:szCs w:val="22"/>
              </w:rPr>
              <w:t>5黨團協商。</w:t>
            </w:r>
          </w:p>
        </w:tc>
        <w:tc>
          <w:tcPr>
            <w:tcW w:w="1387" w:type="dxa"/>
          </w:tcPr>
          <w:p w14:paraId="10CAD1D8"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lastRenderedPageBreak/>
              <w:t>院會</w:t>
            </w:r>
          </w:p>
          <w:p w14:paraId="4FE11100"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.7</w:t>
            </w:r>
          </w:p>
          <w:p w14:paraId="08561C6C"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4</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6A8D1287"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三讀增訂第九條之四條</w:t>
            </w:r>
            <w:r w:rsidRPr="002A20DA">
              <w:rPr>
                <w:rFonts w:ascii="標楷體" w:eastAsia="標楷體" w:hAnsi="標楷體" w:hint="eastAsia"/>
                <w:spacing w:val="-20"/>
                <w:kern w:val="0"/>
                <w:szCs w:val="22"/>
              </w:rPr>
              <w:lastRenderedPageBreak/>
              <w:t>文</w:t>
            </w:r>
          </w:p>
        </w:tc>
        <w:tc>
          <w:tcPr>
            <w:tcW w:w="1683" w:type="dxa"/>
          </w:tcPr>
          <w:p w14:paraId="410CC732" w14:textId="77777777" w:rsidR="00AE6B82" w:rsidRDefault="00AE6B82" w:rsidP="00EC13B7">
            <w:pPr>
              <w:kinsoku w:val="0"/>
              <w:overflowPunct w:val="0"/>
              <w:spacing w:line="300" w:lineRule="exact"/>
              <w:rPr>
                <w:rFonts w:ascii="標楷體" w:eastAsia="標楷體" w:hAnsi="標楷體"/>
                <w:color w:val="000000" w:themeColor="text1"/>
                <w:spacing w:val="-20"/>
              </w:rPr>
            </w:pPr>
            <w:r w:rsidRPr="00BF4BFA">
              <w:rPr>
                <w:rFonts w:ascii="標楷體" w:eastAsia="標楷體" w:hAnsi="標楷體" w:hint="eastAsia"/>
                <w:color w:val="000000" w:themeColor="text1"/>
                <w:spacing w:val="-30"/>
              </w:rPr>
              <w:lastRenderedPageBreak/>
              <w:t xml:space="preserve">112年 1月 30日 </w:t>
            </w:r>
            <w:r w:rsidRPr="00C24D6D">
              <w:rPr>
                <w:rFonts w:ascii="標楷體" w:eastAsia="標楷體" w:hAnsi="標楷體" w:hint="eastAsia"/>
                <w:color w:val="000000" w:themeColor="text1"/>
                <w:spacing w:val="-20"/>
              </w:rPr>
              <w:t>台立院議字第1120700054號</w:t>
            </w:r>
          </w:p>
          <w:p w14:paraId="2B94C1ED" w14:textId="77777777" w:rsidR="00AE6B82" w:rsidRDefault="00AE6B82" w:rsidP="00EC13B7">
            <w:pPr>
              <w:kinsoku w:val="0"/>
              <w:overflowPunct w:val="0"/>
              <w:spacing w:line="300" w:lineRule="exact"/>
              <w:rPr>
                <w:rFonts w:ascii="標楷體" w:eastAsia="標楷體" w:hAnsi="標楷體"/>
                <w:color w:val="000000"/>
                <w:spacing w:val="-20"/>
                <w:szCs w:val="22"/>
              </w:rPr>
            </w:pPr>
          </w:p>
          <w:p w14:paraId="22429033" w14:textId="0F132C13" w:rsidR="00384414" w:rsidRPr="002A20DA" w:rsidRDefault="00384414" w:rsidP="00EC13B7">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kern w:val="0"/>
              </w:rPr>
              <w:t>112年2月8日華</w:t>
            </w:r>
            <w:r>
              <w:rPr>
                <w:rFonts w:ascii="標楷體" w:eastAsia="標楷體" w:hAnsi="標楷體" w:hint="eastAsia"/>
                <w:color w:val="000000" w:themeColor="text1"/>
                <w:spacing w:val="-20"/>
                <w:kern w:val="0"/>
              </w:rPr>
              <w:lastRenderedPageBreak/>
              <w:t>總一義字第11200007251號</w:t>
            </w:r>
          </w:p>
        </w:tc>
        <w:tc>
          <w:tcPr>
            <w:tcW w:w="1105" w:type="dxa"/>
          </w:tcPr>
          <w:p w14:paraId="6EA2AF7E" w14:textId="0C42482F" w:rsidR="00AE6B82" w:rsidRPr="002A20DA" w:rsidRDefault="00384414" w:rsidP="00EC13B7">
            <w:pPr>
              <w:kinsoku w:val="0"/>
              <w:overflowPunct w:val="0"/>
              <w:spacing w:line="300" w:lineRule="exact"/>
              <w:jc w:val="both"/>
              <w:rPr>
                <w:rFonts w:ascii="標楷體" w:eastAsia="標楷體" w:hAnsi="標楷體"/>
                <w:color w:val="000000"/>
                <w:spacing w:val="-20"/>
                <w:szCs w:val="22"/>
              </w:rPr>
            </w:pPr>
            <w:r>
              <w:rPr>
                <w:rFonts w:ascii="標楷體" w:eastAsia="標楷體" w:hAnsi="標楷體" w:hint="eastAsia"/>
                <w:color w:val="000000" w:themeColor="text1"/>
                <w:spacing w:val="-20"/>
                <w:kern w:val="0"/>
              </w:rPr>
              <w:lastRenderedPageBreak/>
              <w:t>第7645號</w:t>
            </w:r>
          </w:p>
        </w:tc>
      </w:tr>
      <w:tr w:rsidR="00AE6B82" w:rsidRPr="002A20DA" w14:paraId="6A1339C4" w14:textId="77777777" w:rsidTr="00EC13B7">
        <w:trPr>
          <w:trHeight w:val="600"/>
        </w:trPr>
        <w:tc>
          <w:tcPr>
            <w:tcW w:w="511" w:type="dxa"/>
          </w:tcPr>
          <w:p w14:paraId="3AD38FE0"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7</w:t>
            </w:r>
            <w:r w:rsidRPr="002A20DA">
              <w:rPr>
                <w:rFonts w:ascii="標楷體" w:eastAsia="標楷體" w:hAnsi="標楷體"/>
                <w:color w:val="000000"/>
                <w:spacing w:val="-20"/>
                <w:szCs w:val="22"/>
              </w:rPr>
              <w:t>4</w:t>
            </w:r>
          </w:p>
        </w:tc>
        <w:tc>
          <w:tcPr>
            <w:tcW w:w="1111" w:type="dxa"/>
          </w:tcPr>
          <w:p w14:paraId="61435FB6"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1.犯罪被害人保護法修正草案</w:t>
            </w:r>
          </w:p>
        </w:tc>
        <w:tc>
          <w:tcPr>
            <w:tcW w:w="1545" w:type="dxa"/>
          </w:tcPr>
          <w:p w14:paraId="70BBB31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行政院 111.03.18 </w:t>
            </w:r>
          </w:p>
          <w:p w14:paraId="6BD166DE"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（10-5-4）</w:t>
            </w:r>
          </w:p>
        </w:tc>
        <w:tc>
          <w:tcPr>
            <w:tcW w:w="1536" w:type="dxa"/>
            <w:vMerge w:val="restart"/>
          </w:tcPr>
          <w:p w14:paraId="5B644EC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1.第1-4案</w:t>
            </w:r>
          </w:p>
          <w:p w14:paraId="32300DE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111.4.25、27</w:t>
            </w:r>
          </w:p>
          <w:p w14:paraId="789315C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(10-5-14)報告及詢答完畢，另定期繼續審查。</w:t>
            </w:r>
          </w:p>
          <w:p w14:paraId="3DB8A8C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2.第1-7案</w:t>
            </w:r>
          </w:p>
          <w:p w14:paraId="70308B0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本會111.5.12</w:t>
            </w:r>
          </w:p>
          <w:p w14:paraId="11525B1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(10-5-18)審查完竣，須交由黨團協商。</w:t>
            </w:r>
          </w:p>
          <w:p w14:paraId="1F7E642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3.111.11.9黨團協商。</w:t>
            </w:r>
          </w:p>
          <w:p w14:paraId="4ED4958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4.111.12.22黨團協商。</w:t>
            </w:r>
          </w:p>
          <w:p w14:paraId="4C79AE8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5.112.1.4</w:t>
            </w:r>
            <w:r w:rsidRPr="002A20DA">
              <w:rPr>
                <w:rFonts w:ascii="標楷體" w:eastAsia="標楷體" w:hAnsi="標楷體" w:hint="eastAsia"/>
                <w:spacing w:val="-20"/>
                <w:kern w:val="0"/>
                <w:szCs w:val="22"/>
              </w:rPr>
              <w:t>黨團協商。</w:t>
            </w:r>
          </w:p>
          <w:p w14:paraId="7328E08E"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.112.1.</w:t>
            </w:r>
            <w:r w:rsidRPr="002A20DA">
              <w:rPr>
                <w:rFonts w:ascii="標楷體" w:eastAsia="標楷體" w:hAnsi="標楷體" w:hint="eastAsia"/>
                <w:spacing w:val="-20"/>
                <w:kern w:val="0"/>
                <w:szCs w:val="22"/>
              </w:rPr>
              <w:t>5黨團協商。</w:t>
            </w:r>
          </w:p>
        </w:tc>
        <w:tc>
          <w:tcPr>
            <w:tcW w:w="1387" w:type="dxa"/>
            <w:vMerge w:val="restart"/>
          </w:tcPr>
          <w:p w14:paraId="023BA94A"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45DA3F8B"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.7</w:t>
            </w:r>
          </w:p>
          <w:p w14:paraId="60C49229"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4</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7028177E"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三讀名稱修正為「犯罪被害人權益保障法」；並修正全文</w:t>
            </w:r>
          </w:p>
        </w:tc>
        <w:tc>
          <w:tcPr>
            <w:tcW w:w="1683" w:type="dxa"/>
            <w:vMerge w:val="restart"/>
          </w:tcPr>
          <w:p w14:paraId="4D1A2C7E" w14:textId="77777777" w:rsidR="00AE6B82" w:rsidRDefault="00AE6B82" w:rsidP="00EC13B7">
            <w:pPr>
              <w:kinsoku w:val="0"/>
              <w:overflowPunct w:val="0"/>
              <w:spacing w:line="300" w:lineRule="exact"/>
              <w:rPr>
                <w:rFonts w:ascii="標楷體" w:eastAsia="標楷體" w:hAnsi="標楷體"/>
                <w:color w:val="000000" w:themeColor="text1"/>
                <w:spacing w:val="-20"/>
              </w:rPr>
            </w:pPr>
            <w:r w:rsidRPr="00BF4BFA">
              <w:rPr>
                <w:rFonts w:ascii="標楷體" w:eastAsia="標楷體" w:hAnsi="標楷體" w:hint="eastAsia"/>
                <w:color w:val="000000" w:themeColor="text1"/>
                <w:spacing w:val="-30"/>
              </w:rPr>
              <w:t xml:space="preserve">112年 1月 30日 </w:t>
            </w:r>
            <w:r w:rsidRPr="00306C3C">
              <w:rPr>
                <w:rFonts w:ascii="標楷體" w:eastAsia="標楷體" w:hAnsi="標楷體" w:hint="eastAsia"/>
                <w:color w:val="000000" w:themeColor="text1"/>
                <w:spacing w:val="-20"/>
              </w:rPr>
              <w:t>台立院議字第1120700059號</w:t>
            </w:r>
          </w:p>
          <w:p w14:paraId="765AB60D" w14:textId="77777777" w:rsidR="00AE6B82" w:rsidRDefault="00AE6B82" w:rsidP="00EC13B7">
            <w:pPr>
              <w:kinsoku w:val="0"/>
              <w:overflowPunct w:val="0"/>
              <w:spacing w:line="300" w:lineRule="exact"/>
              <w:rPr>
                <w:rFonts w:ascii="標楷體" w:eastAsia="標楷體" w:hAnsi="標楷體"/>
                <w:color w:val="000000"/>
                <w:spacing w:val="-20"/>
                <w:szCs w:val="22"/>
              </w:rPr>
            </w:pPr>
          </w:p>
          <w:p w14:paraId="16B0BB5C" w14:textId="77777777" w:rsidR="00384414" w:rsidRDefault="00384414" w:rsidP="00384414">
            <w:pPr>
              <w:kinsoku w:val="0"/>
              <w:overflowPunct w:val="0"/>
              <w:spacing w:line="300" w:lineRule="exact"/>
              <w:rPr>
                <w:rFonts w:ascii="標楷體" w:eastAsia="標楷體" w:hAnsi="標楷體"/>
                <w:color w:val="000000" w:themeColor="text1"/>
                <w:spacing w:val="-20"/>
                <w:szCs w:val="22"/>
              </w:rPr>
            </w:pPr>
          </w:p>
          <w:p w14:paraId="0029B106" w14:textId="15108168" w:rsidR="00384414" w:rsidRPr="002A20DA" w:rsidRDefault="00384414" w:rsidP="00384414">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kern w:val="0"/>
              </w:rPr>
              <w:t>112年2月8日華總一義字第11200007261號</w:t>
            </w:r>
          </w:p>
        </w:tc>
        <w:tc>
          <w:tcPr>
            <w:tcW w:w="1105" w:type="dxa"/>
            <w:vMerge w:val="restart"/>
          </w:tcPr>
          <w:p w14:paraId="5A78DF16" w14:textId="31FBFEC4" w:rsidR="00AE6B82" w:rsidRPr="002A20DA" w:rsidRDefault="00384414" w:rsidP="00EC13B7">
            <w:pPr>
              <w:kinsoku w:val="0"/>
              <w:overflowPunct w:val="0"/>
              <w:spacing w:line="300" w:lineRule="exact"/>
              <w:jc w:val="both"/>
              <w:rPr>
                <w:rFonts w:ascii="標楷體" w:eastAsia="標楷體" w:hAnsi="標楷體"/>
                <w:color w:val="000000"/>
                <w:spacing w:val="-20"/>
                <w:szCs w:val="22"/>
              </w:rPr>
            </w:pPr>
            <w:r w:rsidRPr="00384414">
              <w:rPr>
                <w:rFonts w:ascii="標楷體" w:eastAsia="標楷體" w:hAnsi="標楷體" w:hint="eastAsia"/>
                <w:color w:val="000000"/>
                <w:spacing w:val="-20"/>
                <w:kern w:val="0"/>
              </w:rPr>
              <w:t>第7645號</w:t>
            </w:r>
          </w:p>
        </w:tc>
      </w:tr>
      <w:tr w:rsidR="00AE6B82" w:rsidRPr="002A20DA" w14:paraId="106A5977" w14:textId="77777777" w:rsidTr="00EC13B7">
        <w:trPr>
          <w:trHeight w:val="600"/>
        </w:trPr>
        <w:tc>
          <w:tcPr>
            <w:tcW w:w="511" w:type="dxa"/>
          </w:tcPr>
          <w:p w14:paraId="7E9BF63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5</w:t>
            </w:r>
          </w:p>
        </w:tc>
        <w:tc>
          <w:tcPr>
            <w:tcW w:w="1111" w:type="dxa"/>
          </w:tcPr>
          <w:p w14:paraId="40413F9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2.犯罪被害人保護法第十二條條文修正草案</w:t>
            </w:r>
          </w:p>
        </w:tc>
        <w:tc>
          <w:tcPr>
            <w:tcW w:w="1545" w:type="dxa"/>
          </w:tcPr>
          <w:p w14:paraId="2230A8AB"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委員萬美玲等22人 109.09.25 </w:t>
            </w:r>
          </w:p>
          <w:p w14:paraId="3FC37FCA"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（10-2-2）</w:t>
            </w:r>
          </w:p>
        </w:tc>
        <w:tc>
          <w:tcPr>
            <w:tcW w:w="1536" w:type="dxa"/>
            <w:vMerge/>
          </w:tcPr>
          <w:p w14:paraId="4A0A2FCA"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03D83632"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8A3DF8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61C2FCD5"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1A1B1951" w14:textId="77777777" w:rsidTr="00EC13B7">
        <w:trPr>
          <w:trHeight w:val="600"/>
        </w:trPr>
        <w:tc>
          <w:tcPr>
            <w:tcW w:w="511" w:type="dxa"/>
          </w:tcPr>
          <w:p w14:paraId="5AF6D4CA"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6</w:t>
            </w:r>
          </w:p>
        </w:tc>
        <w:tc>
          <w:tcPr>
            <w:tcW w:w="1111" w:type="dxa"/>
          </w:tcPr>
          <w:p w14:paraId="4A4E29D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3.犯罪被害人保護法修正草案</w:t>
            </w:r>
          </w:p>
        </w:tc>
        <w:tc>
          <w:tcPr>
            <w:tcW w:w="1545" w:type="dxa"/>
          </w:tcPr>
          <w:p w14:paraId="33A70800"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委員王婉諭等31人 109.10.23 </w:t>
            </w:r>
          </w:p>
          <w:p w14:paraId="29EAB00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（10-2-4）</w:t>
            </w:r>
          </w:p>
        </w:tc>
        <w:tc>
          <w:tcPr>
            <w:tcW w:w="1536" w:type="dxa"/>
            <w:vMerge/>
          </w:tcPr>
          <w:p w14:paraId="2B6F058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5D3507B4"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56756C8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1D1D66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2EE18E7A" w14:textId="77777777" w:rsidTr="00EC13B7">
        <w:trPr>
          <w:trHeight w:val="600"/>
        </w:trPr>
        <w:tc>
          <w:tcPr>
            <w:tcW w:w="511" w:type="dxa"/>
          </w:tcPr>
          <w:p w14:paraId="1CA7017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7</w:t>
            </w:r>
          </w:p>
        </w:tc>
        <w:tc>
          <w:tcPr>
            <w:tcW w:w="1111" w:type="dxa"/>
          </w:tcPr>
          <w:p w14:paraId="4DF0A958"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4.犯罪被害人保護法修正草案</w:t>
            </w:r>
          </w:p>
        </w:tc>
        <w:tc>
          <w:tcPr>
            <w:tcW w:w="1545" w:type="dxa"/>
          </w:tcPr>
          <w:p w14:paraId="249D70C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委員吳玉琴等22人 110.10.08 </w:t>
            </w:r>
          </w:p>
          <w:p w14:paraId="46FB898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（10-4-4）</w:t>
            </w:r>
          </w:p>
        </w:tc>
        <w:tc>
          <w:tcPr>
            <w:tcW w:w="1536" w:type="dxa"/>
            <w:vMerge/>
          </w:tcPr>
          <w:p w14:paraId="3AD7218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6A2F42EA"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226EE4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1A905A3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7DB7F7B0" w14:textId="77777777" w:rsidTr="00EC13B7">
        <w:trPr>
          <w:trHeight w:val="600"/>
        </w:trPr>
        <w:tc>
          <w:tcPr>
            <w:tcW w:w="511" w:type="dxa"/>
          </w:tcPr>
          <w:p w14:paraId="1E23B56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8</w:t>
            </w:r>
          </w:p>
        </w:tc>
        <w:tc>
          <w:tcPr>
            <w:tcW w:w="1111" w:type="dxa"/>
          </w:tcPr>
          <w:p w14:paraId="5AF2735A"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5.犯罪被害人保護法第三十條條文修正草案</w:t>
            </w:r>
          </w:p>
        </w:tc>
        <w:tc>
          <w:tcPr>
            <w:tcW w:w="1545" w:type="dxa"/>
          </w:tcPr>
          <w:p w14:paraId="22401C1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委員劉世芳等23人 111.04.22 </w:t>
            </w:r>
          </w:p>
          <w:p w14:paraId="108344E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（10-5-9）</w:t>
            </w:r>
          </w:p>
        </w:tc>
        <w:tc>
          <w:tcPr>
            <w:tcW w:w="1536" w:type="dxa"/>
            <w:vMerge/>
          </w:tcPr>
          <w:p w14:paraId="16F70685"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1DC1E36D"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23E8E8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4EEF19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599D1416" w14:textId="77777777" w:rsidTr="00EC13B7">
        <w:trPr>
          <w:trHeight w:val="600"/>
        </w:trPr>
        <w:tc>
          <w:tcPr>
            <w:tcW w:w="511" w:type="dxa"/>
          </w:tcPr>
          <w:p w14:paraId="15A60B1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7</w:t>
            </w:r>
            <w:r w:rsidRPr="002A20DA">
              <w:rPr>
                <w:rFonts w:ascii="標楷體" w:eastAsia="標楷體" w:hAnsi="標楷體"/>
                <w:color w:val="000000"/>
                <w:spacing w:val="-20"/>
                <w:szCs w:val="22"/>
              </w:rPr>
              <w:t>9</w:t>
            </w:r>
          </w:p>
        </w:tc>
        <w:tc>
          <w:tcPr>
            <w:tcW w:w="1111" w:type="dxa"/>
          </w:tcPr>
          <w:p w14:paraId="1E04E18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6.犯罪被害人保護法修正草案</w:t>
            </w:r>
          </w:p>
        </w:tc>
        <w:tc>
          <w:tcPr>
            <w:tcW w:w="1545" w:type="dxa"/>
          </w:tcPr>
          <w:p w14:paraId="3C4BCB6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台灣民眾黨黨團 111.04.29 </w:t>
            </w:r>
          </w:p>
          <w:p w14:paraId="42C741CD"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（10-5-10）</w:t>
            </w:r>
          </w:p>
        </w:tc>
        <w:tc>
          <w:tcPr>
            <w:tcW w:w="1536" w:type="dxa"/>
            <w:vMerge/>
          </w:tcPr>
          <w:p w14:paraId="71343A53"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7BAE6EB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6DDA90B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4ED95E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54102D11" w14:textId="77777777" w:rsidTr="00EC13B7">
        <w:trPr>
          <w:trHeight w:val="600"/>
        </w:trPr>
        <w:tc>
          <w:tcPr>
            <w:tcW w:w="511" w:type="dxa"/>
          </w:tcPr>
          <w:p w14:paraId="7A18875A"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w:t>
            </w:r>
            <w:r w:rsidRPr="002A20DA">
              <w:rPr>
                <w:rFonts w:ascii="標楷體" w:eastAsia="標楷體" w:hAnsi="標楷體"/>
                <w:color w:val="000000"/>
                <w:spacing w:val="-20"/>
                <w:szCs w:val="22"/>
              </w:rPr>
              <w:t>0</w:t>
            </w:r>
          </w:p>
        </w:tc>
        <w:tc>
          <w:tcPr>
            <w:tcW w:w="1111" w:type="dxa"/>
          </w:tcPr>
          <w:p w14:paraId="1A0D6F19"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7.犯罪被害人保護法增訂部分條文草案</w:t>
            </w:r>
          </w:p>
        </w:tc>
        <w:tc>
          <w:tcPr>
            <w:tcW w:w="1545" w:type="dxa"/>
          </w:tcPr>
          <w:p w14:paraId="106BDF0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委員范雲等</w:t>
            </w:r>
          </w:p>
          <w:p w14:paraId="155824A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18人 111.05.06 </w:t>
            </w:r>
          </w:p>
          <w:p w14:paraId="7182DFF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（10-5-11）</w:t>
            </w:r>
          </w:p>
        </w:tc>
        <w:tc>
          <w:tcPr>
            <w:tcW w:w="1536" w:type="dxa"/>
            <w:vMerge/>
          </w:tcPr>
          <w:p w14:paraId="44D75455"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387" w:type="dxa"/>
            <w:vMerge/>
          </w:tcPr>
          <w:p w14:paraId="13CB2AE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439BA94"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65B7B7B9"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421EFA0C" w14:textId="77777777" w:rsidTr="00EC13B7">
        <w:trPr>
          <w:trHeight w:val="600"/>
        </w:trPr>
        <w:tc>
          <w:tcPr>
            <w:tcW w:w="511" w:type="dxa"/>
          </w:tcPr>
          <w:p w14:paraId="0B9DBE7E"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w:t>
            </w:r>
            <w:r w:rsidRPr="002A20DA">
              <w:rPr>
                <w:rFonts w:ascii="標楷體" w:eastAsia="標楷體" w:hAnsi="標楷體"/>
                <w:color w:val="000000"/>
                <w:spacing w:val="-20"/>
                <w:szCs w:val="22"/>
              </w:rPr>
              <w:t>1</w:t>
            </w:r>
          </w:p>
        </w:tc>
        <w:tc>
          <w:tcPr>
            <w:tcW w:w="1111" w:type="dxa"/>
          </w:tcPr>
          <w:p w14:paraId="3DA1AF08"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8</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犯罪被害人保護法修正草案</w:t>
            </w:r>
          </w:p>
        </w:tc>
        <w:tc>
          <w:tcPr>
            <w:tcW w:w="1545" w:type="dxa"/>
          </w:tcPr>
          <w:p w14:paraId="7EC495C7"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 xml:space="preserve">委員葉毓蘭等16人 </w:t>
            </w:r>
            <w:r w:rsidRPr="002A20DA">
              <w:rPr>
                <w:rFonts w:ascii="標楷體" w:eastAsia="標楷體" w:hAnsi="標楷體"/>
                <w:kern w:val="0"/>
                <w:szCs w:val="22"/>
              </w:rPr>
              <w:t>1</w:t>
            </w:r>
            <w:r w:rsidRPr="002A20DA">
              <w:rPr>
                <w:rFonts w:ascii="標楷體" w:eastAsia="標楷體" w:hAnsi="標楷體" w:hint="eastAsia"/>
                <w:kern w:val="0"/>
                <w:szCs w:val="22"/>
              </w:rPr>
              <w:t>11.05.20</w:t>
            </w:r>
            <w:r w:rsidRPr="002A20DA">
              <w:rPr>
                <w:rFonts w:ascii="標楷體" w:eastAsia="標楷體" w:hAnsi="標楷體"/>
                <w:kern w:val="0"/>
                <w:szCs w:val="22"/>
              </w:rPr>
              <w:t xml:space="preserve"> </w:t>
            </w:r>
          </w:p>
          <w:p w14:paraId="56B2E542"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（10-5-13）</w:t>
            </w:r>
          </w:p>
        </w:tc>
        <w:tc>
          <w:tcPr>
            <w:tcW w:w="1536" w:type="dxa"/>
          </w:tcPr>
          <w:p w14:paraId="2811F975"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1.院會111.05.20</w:t>
            </w:r>
          </w:p>
          <w:p w14:paraId="549BC73B"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（10-5-13）逕付二讀，與相關提案併案協商。</w:t>
            </w:r>
          </w:p>
          <w:p w14:paraId="7737187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2.111.11.9黨團協商。</w:t>
            </w:r>
          </w:p>
          <w:p w14:paraId="17B1AA7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3.111.12.22黨</w:t>
            </w:r>
            <w:r w:rsidRPr="002A20DA">
              <w:rPr>
                <w:rFonts w:ascii="標楷體" w:eastAsia="標楷體" w:hAnsi="標楷體" w:hint="eastAsia"/>
                <w:spacing w:val="-20"/>
                <w:kern w:val="0"/>
                <w:szCs w:val="22"/>
              </w:rPr>
              <w:lastRenderedPageBreak/>
              <w:t>團協商。</w:t>
            </w:r>
          </w:p>
          <w:p w14:paraId="15E5D4E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4.112.1.4黨團協商。</w:t>
            </w:r>
          </w:p>
          <w:p w14:paraId="2D2464F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5.112.1.5黨團協商。</w:t>
            </w:r>
          </w:p>
        </w:tc>
        <w:tc>
          <w:tcPr>
            <w:tcW w:w="1387" w:type="dxa"/>
            <w:vMerge/>
          </w:tcPr>
          <w:p w14:paraId="6841945E"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36E5CF0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94473E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037AA88D" w14:textId="77777777" w:rsidTr="00EC13B7">
        <w:trPr>
          <w:trHeight w:val="600"/>
        </w:trPr>
        <w:tc>
          <w:tcPr>
            <w:tcW w:w="511" w:type="dxa"/>
          </w:tcPr>
          <w:p w14:paraId="396B80BE"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8</w:t>
            </w:r>
            <w:r w:rsidRPr="002A20DA">
              <w:rPr>
                <w:rFonts w:ascii="標楷體" w:eastAsia="標楷體" w:hAnsi="標楷體"/>
                <w:color w:val="000000"/>
                <w:spacing w:val="-20"/>
                <w:szCs w:val="22"/>
              </w:rPr>
              <w:t>2</w:t>
            </w:r>
          </w:p>
        </w:tc>
        <w:tc>
          <w:tcPr>
            <w:tcW w:w="1111" w:type="dxa"/>
          </w:tcPr>
          <w:p w14:paraId="6C36BF7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9</w:t>
            </w:r>
            <w:r w:rsidRPr="002A20DA">
              <w:rPr>
                <w:rFonts w:ascii="標楷體" w:eastAsia="標楷體" w:hAnsi="標楷體"/>
                <w:color w:val="000000"/>
                <w:kern w:val="0"/>
                <w:szCs w:val="22"/>
              </w:rPr>
              <w:t>.</w:t>
            </w:r>
            <w:r w:rsidRPr="002A20DA">
              <w:rPr>
                <w:rFonts w:ascii="標楷體" w:eastAsia="標楷體" w:hAnsi="標楷體" w:hint="eastAsia"/>
                <w:color w:val="000000"/>
                <w:kern w:val="0"/>
                <w:szCs w:val="22"/>
              </w:rPr>
              <w:t>犯罪被害人保護法第二十九條之一條文修正草案</w:t>
            </w:r>
          </w:p>
        </w:tc>
        <w:tc>
          <w:tcPr>
            <w:tcW w:w="1545" w:type="dxa"/>
          </w:tcPr>
          <w:p w14:paraId="0B5BBB75" w14:textId="77777777" w:rsidR="00AE6B82" w:rsidRPr="002A20DA" w:rsidRDefault="00AE6B82" w:rsidP="00EC13B7">
            <w:pPr>
              <w:adjustRightInd w:val="0"/>
              <w:snapToGrid w:val="0"/>
              <w:spacing w:line="260" w:lineRule="exact"/>
              <w:rPr>
                <w:rFonts w:ascii="標楷體" w:eastAsia="標楷體" w:hAnsi="標楷體"/>
                <w:szCs w:val="22"/>
              </w:rPr>
            </w:pPr>
            <w:r w:rsidRPr="002A20DA">
              <w:rPr>
                <w:rFonts w:ascii="標楷體" w:eastAsia="標楷體" w:hAnsi="標楷體" w:hint="eastAsia"/>
                <w:kern w:val="0"/>
                <w:szCs w:val="22"/>
              </w:rPr>
              <w:t xml:space="preserve">委員林宜瑾等17人 </w:t>
            </w:r>
            <w:r w:rsidRPr="002A20DA">
              <w:rPr>
                <w:rFonts w:ascii="標楷體" w:eastAsia="標楷體" w:hAnsi="標楷體"/>
                <w:kern w:val="0"/>
                <w:szCs w:val="22"/>
              </w:rPr>
              <w:t>1</w:t>
            </w:r>
            <w:r w:rsidRPr="002A20DA">
              <w:rPr>
                <w:rFonts w:ascii="標楷體" w:eastAsia="標楷體" w:hAnsi="標楷體" w:hint="eastAsia"/>
                <w:kern w:val="0"/>
                <w:szCs w:val="22"/>
              </w:rPr>
              <w:t>11.12.23</w:t>
            </w:r>
            <w:r w:rsidRPr="002A20DA">
              <w:rPr>
                <w:rFonts w:ascii="標楷體" w:eastAsia="標楷體" w:hAnsi="標楷體"/>
                <w:kern w:val="0"/>
                <w:szCs w:val="22"/>
              </w:rPr>
              <w:t xml:space="preserve"> </w:t>
            </w:r>
            <w:r w:rsidRPr="002A20DA">
              <w:rPr>
                <w:rFonts w:ascii="標楷體" w:eastAsia="標楷體" w:hAnsi="標楷體" w:hint="eastAsia"/>
                <w:kern w:val="0"/>
                <w:szCs w:val="22"/>
              </w:rPr>
              <w:t>（10-</w:t>
            </w:r>
            <w:r w:rsidRPr="002A20DA">
              <w:rPr>
                <w:rFonts w:ascii="標楷體" w:eastAsia="標楷體" w:hAnsi="標楷體"/>
                <w:kern w:val="0"/>
                <w:szCs w:val="22"/>
              </w:rPr>
              <w:t>6</w:t>
            </w:r>
            <w:r w:rsidRPr="002A20DA">
              <w:rPr>
                <w:rFonts w:ascii="標楷體" w:eastAsia="標楷體" w:hAnsi="標楷體" w:hint="eastAsia"/>
                <w:kern w:val="0"/>
                <w:szCs w:val="22"/>
              </w:rPr>
              <w:t>-13）</w:t>
            </w:r>
          </w:p>
        </w:tc>
        <w:tc>
          <w:tcPr>
            <w:tcW w:w="1536" w:type="dxa"/>
          </w:tcPr>
          <w:p w14:paraId="593323C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院會111.12.23</w:t>
            </w:r>
          </w:p>
          <w:p w14:paraId="19F0BD4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（10-6-13）逕付二讀，與相關提案併案協商。</w:t>
            </w:r>
          </w:p>
          <w:p w14:paraId="4399E572"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2</w:t>
            </w:r>
            <w:r w:rsidRPr="002A20DA">
              <w:rPr>
                <w:rFonts w:ascii="標楷體" w:eastAsia="標楷體" w:hAnsi="標楷體" w:hint="eastAsia"/>
                <w:spacing w:val="-20"/>
                <w:kern w:val="0"/>
                <w:szCs w:val="22"/>
              </w:rPr>
              <w:t>.112.1.4黨團協商。</w:t>
            </w:r>
          </w:p>
          <w:p w14:paraId="0204170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3.112.1.5黨團協商。</w:t>
            </w:r>
          </w:p>
        </w:tc>
        <w:tc>
          <w:tcPr>
            <w:tcW w:w="1387" w:type="dxa"/>
            <w:vMerge/>
          </w:tcPr>
          <w:p w14:paraId="71F49F31"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508BFC5C"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55D330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68695CFE" w14:textId="77777777" w:rsidTr="00EC13B7">
        <w:trPr>
          <w:trHeight w:val="600"/>
        </w:trPr>
        <w:tc>
          <w:tcPr>
            <w:tcW w:w="511" w:type="dxa"/>
          </w:tcPr>
          <w:p w14:paraId="13A0CE0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w:t>
            </w:r>
            <w:r w:rsidRPr="002A20DA">
              <w:rPr>
                <w:rFonts w:ascii="標楷體" w:eastAsia="標楷體" w:hAnsi="標楷體"/>
                <w:color w:val="000000"/>
                <w:spacing w:val="-20"/>
                <w:szCs w:val="22"/>
              </w:rPr>
              <w:t>3</w:t>
            </w:r>
          </w:p>
        </w:tc>
        <w:tc>
          <w:tcPr>
            <w:tcW w:w="1111" w:type="dxa"/>
          </w:tcPr>
          <w:p w14:paraId="1B0C2A0D" w14:textId="77777777" w:rsidR="00AE6B82" w:rsidRPr="002A20DA" w:rsidRDefault="00AE6B82" w:rsidP="00EC13B7">
            <w:pPr>
              <w:kinsoku w:val="0"/>
              <w:overflowPunct w:val="0"/>
              <w:spacing w:line="300" w:lineRule="exact"/>
              <w:ind w:rightChars="-45" w:right="-108"/>
              <w:rPr>
                <w:rFonts w:ascii="Calibri" w:hAnsi="Calibri"/>
                <w:szCs w:val="22"/>
              </w:rPr>
            </w:pPr>
            <w:r w:rsidRPr="002A20DA">
              <w:rPr>
                <w:rFonts w:ascii="標楷體" w:eastAsia="標楷體" w:hAnsi="標楷體" w:hint="eastAsia"/>
                <w:color w:val="000000"/>
                <w:kern w:val="0"/>
                <w:szCs w:val="22"/>
              </w:rPr>
              <w:t>智慧財產案件審理法修正草案</w:t>
            </w:r>
          </w:p>
        </w:tc>
        <w:tc>
          <w:tcPr>
            <w:tcW w:w="1545" w:type="dxa"/>
          </w:tcPr>
          <w:p w14:paraId="3CB5E9D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color w:val="000000"/>
                <w:spacing w:val="-30"/>
                <w:kern w:val="0"/>
                <w:szCs w:val="22"/>
              </w:rPr>
              <w:t xml:space="preserve">司法院、行政院 </w:t>
            </w:r>
            <w:r w:rsidRPr="002A20DA">
              <w:rPr>
                <w:rFonts w:ascii="標楷體" w:eastAsia="標楷體" w:hAnsi="標楷體" w:hint="eastAsia"/>
                <w:kern w:val="0"/>
                <w:szCs w:val="22"/>
              </w:rPr>
              <w:t xml:space="preserve">111.10.28 </w:t>
            </w:r>
          </w:p>
          <w:p w14:paraId="29D8FB5B" w14:textId="77777777" w:rsidR="00AE6B82" w:rsidRPr="002A20DA" w:rsidRDefault="00AE6B82" w:rsidP="00EC13B7">
            <w:pPr>
              <w:adjustRightInd w:val="0"/>
              <w:snapToGrid w:val="0"/>
              <w:spacing w:line="260" w:lineRule="exact"/>
              <w:rPr>
                <w:rFonts w:ascii="標楷體" w:hAnsi="標楷體"/>
                <w:szCs w:val="22"/>
              </w:rPr>
            </w:pPr>
            <w:r w:rsidRPr="002A20DA">
              <w:rPr>
                <w:rFonts w:ascii="標楷體" w:eastAsia="標楷體" w:hAnsi="標楷體" w:hint="eastAsia"/>
                <w:kern w:val="0"/>
                <w:szCs w:val="22"/>
              </w:rPr>
              <w:t>（10-6-5）</w:t>
            </w:r>
          </w:p>
        </w:tc>
        <w:tc>
          <w:tcPr>
            <w:tcW w:w="1536" w:type="dxa"/>
          </w:tcPr>
          <w:p w14:paraId="042F9D84"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1.本會、經濟委員會聯席會111.12.21</w:t>
            </w:r>
          </w:p>
          <w:p w14:paraId="31BA810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（10-6-2）報告及詢答完畢，另定期繼續審查。</w:t>
            </w:r>
          </w:p>
          <w:p w14:paraId="5AF5E773"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2.本會、經濟委員會聯席會111.12.26</w:t>
            </w:r>
          </w:p>
          <w:p w14:paraId="26BD202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(10-6-3)審查完竣，不須交由黨團協商。</w:t>
            </w:r>
          </w:p>
        </w:tc>
        <w:tc>
          <w:tcPr>
            <w:tcW w:w="1387" w:type="dxa"/>
          </w:tcPr>
          <w:p w14:paraId="4087A8A0"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2F5CD2E6"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12</w:t>
            </w:r>
          </w:p>
          <w:p w14:paraId="1713940E"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5</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 xml:space="preserve"> </w:t>
            </w:r>
          </w:p>
          <w:p w14:paraId="65239009"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三讀修正智慧財產案件審理法</w:t>
            </w:r>
          </w:p>
        </w:tc>
        <w:tc>
          <w:tcPr>
            <w:tcW w:w="1683" w:type="dxa"/>
          </w:tcPr>
          <w:p w14:paraId="3064F7B4" w14:textId="77777777" w:rsidR="00384414" w:rsidRDefault="00384414" w:rsidP="00384414">
            <w:pPr>
              <w:kinsoku w:val="0"/>
              <w:overflowPunct w:val="0"/>
              <w:spacing w:line="300" w:lineRule="exact"/>
              <w:rPr>
                <w:rFonts w:ascii="標楷體" w:eastAsia="標楷體" w:hAnsi="標楷體"/>
                <w:color w:val="000000" w:themeColor="text1"/>
                <w:spacing w:val="-20"/>
                <w:szCs w:val="22"/>
              </w:rPr>
            </w:pPr>
            <w:r>
              <w:rPr>
                <w:rFonts w:ascii="標楷體" w:eastAsia="標楷體" w:hAnsi="標楷體" w:hint="eastAsia"/>
                <w:color w:val="000000" w:themeColor="text1"/>
                <w:spacing w:val="-20"/>
              </w:rPr>
              <w:t>112年2月4日 台立院議字第1120700156號</w:t>
            </w:r>
          </w:p>
          <w:p w14:paraId="2C7F701C" w14:textId="77777777" w:rsidR="00384414" w:rsidRDefault="00384414" w:rsidP="00384414">
            <w:pPr>
              <w:kinsoku w:val="0"/>
              <w:overflowPunct w:val="0"/>
              <w:spacing w:line="300" w:lineRule="exact"/>
              <w:rPr>
                <w:rFonts w:ascii="標楷體" w:eastAsia="標楷體" w:hAnsi="標楷體"/>
                <w:color w:val="000000" w:themeColor="text1"/>
                <w:spacing w:val="-20"/>
              </w:rPr>
            </w:pPr>
          </w:p>
          <w:p w14:paraId="205996E4" w14:textId="2FFCB319" w:rsidR="00AE6B82" w:rsidRPr="002A20DA" w:rsidRDefault="00384414" w:rsidP="00384414">
            <w:pPr>
              <w:kinsoku w:val="0"/>
              <w:overflowPunct w:val="0"/>
              <w:spacing w:line="300" w:lineRule="exact"/>
              <w:rPr>
                <w:rFonts w:ascii="標楷體" w:eastAsia="標楷體" w:hAnsi="標楷體"/>
                <w:color w:val="000000"/>
                <w:spacing w:val="-20"/>
                <w:szCs w:val="22"/>
              </w:rPr>
            </w:pPr>
            <w:r>
              <w:rPr>
                <w:rFonts w:ascii="標楷體" w:eastAsia="標楷體" w:hAnsi="標楷體" w:hint="eastAsia"/>
                <w:color w:val="000000" w:themeColor="text1"/>
                <w:spacing w:val="-20"/>
                <w:kern w:val="0"/>
              </w:rPr>
              <w:t>112年2月15日華總一義字第11200010201號</w:t>
            </w:r>
          </w:p>
        </w:tc>
        <w:tc>
          <w:tcPr>
            <w:tcW w:w="1105" w:type="dxa"/>
          </w:tcPr>
          <w:p w14:paraId="27FE78B4" w14:textId="1B45A116" w:rsidR="00AE6B82" w:rsidRPr="002A20DA" w:rsidRDefault="00384414" w:rsidP="00384414">
            <w:pPr>
              <w:kinsoku w:val="0"/>
              <w:overflowPunct w:val="0"/>
              <w:spacing w:line="300" w:lineRule="exact"/>
              <w:ind w:leftChars="-28" w:left="-1" w:hangingChars="33" w:hanging="66"/>
              <w:rPr>
                <w:rFonts w:ascii="標楷體" w:eastAsia="標楷體" w:hAnsi="標楷體"/>
                <w:color w:val="000000"/>
                <w:spacing w:val="-20"/>
                <w:szCs w:val="22"/>
              </w:rPr>
            </w:pPr>
            <w:r>
              <w:rPr>
                <w:rFonts w:ascii="標楷體" w:eastAsia="標楷體" w:hAnsi="標楷體" w:hint="eastAsia"/>
                <w:color w:val="000000" w:themeColor="text1"/>
                <w:spacing w:val="-20"/>
                <w:kern w:val="0"/>
              </w:rPr>
              <w:t>第7646號</w:t>
            </w:r>
          </w:p>
        </w:tc>
      </w:tr>
      <w:tr w:rsidR="00AE6B82" w:rsidRPr="002A20DA" w14:paraId="3DA8DF1B" w14:textId="77777777" w:rsidTr="00EC13B7">
        <w:trPr>
          <w:trHeight w:val="600"/>
        </w:trPr>
        <w:tc>
          <w:tcPr>
            <w:tcW w:w="511" w:type="dxa"/>
          </w:tcPr>
          <w:p w14:paraId="2D2160AE"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84</w:t>
            </w:r>
          </w:p>
        </w:tc>
        <w:tc>
          <w:tcPr>
            <w:tcW w:w="1111" w:type="dxa"/>
          </w:tcPr>
          <w:p w14:paraId="7486B5F8"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1.公務人員任用法第二十二條條文修正草案</w:t>
            </w:r>
          </w:p>
        </w:tc>
        <w:tc>
          <w:tcPr>
            <w:tcW w:w="1545" w:type="dxa"/>
          </w:tcPr>
          <w:p w14:paraId="6EFFE539"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考試院 111.09.23 </w:t>
            </w:r>
          </w:p>
          <w:p w14:paraId="6A09BEE7"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（10-6-1）</w:t>
            </w:r>
          </w:p>
        </w:tc>
        <w:tc>
          <w:tcPr>
            <w:tcW w:w="1536" w:type="dxa"/>
            <w:vMerge w:val="restart"/>
          </w:tcPr>
          <w:p w14:paraId="12EDA63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w:t>
            </w:r>
            <w:r w:rsidRPr="000A6D1E">
              <w:rPr>
                <w:rFonts w:ascii="標楷體" w:eastAsia="標楷體" w:hAnsi="標楷體" w:hint="eastAsia"/>
                <w:spacing w:val="-30"/>
                <w:kern w:val="0"/>
                <w:szCs w:val="22"/>
              </w:rPr>
              <w:t>第</w:t>
            </w:r>
            <w:r w:rsidRPr="000A6D1E">
              <w:rPr>
                <w:rFonts w:ascii="標楷體" w:eastAsia="標楷體" w:hAnsi="標楷體" w:hint="eastAsia"/>
                <w:spacing w:val="-50"/>
                <w:kern w:val="0"/>
                <w:szCs w:val="22"/>
              </w:rPr>
              <w:t>1、2、</w:t>
            </w:r>
            <w:r w:rsidRPr="00D4625D">
              <w:rPr>
                <w:rFonts w:ascii="標楷體" w:eastAsia="標楷體" w:hAnsi="標楷體" w:hint="eastAsia"/>
                <w:spacing w:val="-40"/>
                <w:kern w:val="0"/>
                <w:szCs w:val="22"/>
              </w:rPr>
              <w:t>4-6案</w:t>
            </w:r>
          </w:p>
          <w:p w14:paraId="420E8750"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本會111.10.26</w:t>
            </w:r>
          </w:p>
          <w:p w14:paraId="4269E12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(10-6-10)報告及詢答完畢，另定期繼續審查。</w:t>
            </w:r>
          </w:p>
          <w:p w14:paraId="72EF6DE1"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2.第1-7案</w:t>
            </w:r>
          </w:p>
          <w:p w14:paraId="6657535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本會111.11.28</w:t>
            </w:r>
          </w:p>
          <w:p w14:paraId="3F24FB2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(10-6-21)審查完竣，須交由黨團協商。</w:t>
            </w:r>
          </w:p>
          <w:p w14:paraId="08C4237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3.111.12.29黨團協商。</w:t>
            </w:r>
          </w:p>
          <w:p w14:paraId="679188A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4.112.1.4</w:t>
            </w:r>
            <w:r w:rsidRPr="002A20DA">
              <w:rPr>
                <w:rFonts w:ascii="標楷體" w:eastAsia="標楷體" w:hAnsi="標楷體" w:hint="eastAsia"/>
                <w:spacing w:val="-20"/>
                <w:kern w:val="0"/>
                <w:szCs w:val="22"/>
              </w:rPr>
              <w:t>黨團協商。</w:t>
            </w:r>
          </w:p>
          <w:p w14:paraId="55359676"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5</w:t>
            </w:r>
            <w:r w:rsidRPr="002A20DA">
              <w:rPr>
                <w:rFonts w:ascii="標楷體" w:eastAsia="標楷體" w:hAnsi="標楷體"/>
                <w:spacing w:val="-20"/>
                <w:kern w:val="0"/>
                <w:szCs w:val="22"/>
              </w:rPr>
              <w:t>.112.1.</w:t>
            </w:r>
            <w:r w:rsidRPr="002A20DA">
              <w:rPr>
                <w:rFonts w:ascii="標楷體" w:eastAsia="標楷體" w:hAnsi="標楷體" w:hint="eastAsia"/>
                <w:spacing w:val="-20"/>
                <w:kern w:val="0"/>
                <w:szCs w:val="22"/>
              </w:rPr>
              <w:t>5黨團協商。</w:t>
            </w:r>
          </w:p>
          <w:p w14:paraId="03DA147F"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112.1.</w:t>
            </w:r>
            <w:r w:rsidRPr="002A20DA">
              <w:rPr>
                <w:rFonts w:ascii="標楷體" w:eastAsia="標楷體" w:hAnsi="標楷體" w:hint="eastAsia"/>
                <w:spacing w:val="-20"/>
                <w:kern w:val="0"/>
                <w:szCs w:val="22"/>
              </w:rPr>
              <w:t>11黨團協商。</w:t>
            </w:r>
          </w:p>
        </w:tc>
        <w:tc>
          <w:tcPr>
            <w:tcW w:w="1387" w:type="dxa"/>
            <w:vMerge w:val="restart"/>
          </w:tcPr>
          <w:p w14:paraId="605107A1"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院會</w:t>
            </w:r>
          </w:p>
          <w:p w14:paraId="1F9E8DDF"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w:t>
            </w:r>
            <w:r w:rsidRPr="002A20DA">
              <w:rPr>
                <w:rFonts w:ascii="標楷體" w:eastAsia="標楷體" w:hAnsi="標楷體" w:hint="eastAsia"/>
                <w:spacing w:val="-20"/>
                <w:kern w:val="0"/>
                <w:szCs w:val="22"/>
              </w:rPr>
              <w:t>12</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w:t>
            </w:r>
            <w:r w:rsidRPr="002A20DA">
              <w:rPr>
                <w:rFonts w:ascii="標楷體" w:eastAsia="標楷體" w:hAnsi="標楷體" w:hint="eastAsia"/>
                <w:spacing w:val="-20"/>
                <w:kern w:val="0"/>
                <w:szCs w:val="22"/>
              </w:rPr>
              <w:t>1</w:t>
            </w:r>
            <w:r w:rsidRPr="002A20DA">
              <w:rPr>
                <w:rFonts w:ascii="標楷體" w:eastAsia="標楷體" w:hAnsi="標楷體"/>
                <w:spacing w:val="-20"/>
                <w:kern w:val="0"/>
                <w:szCs w:val="22"/>
              </w:rPr>
              <w:t>9</w:t>
            </w:r>
          </w:p>
          <w:p w14:paraId="20B56A72"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spacing w:val="-20"/>
                <w:kern w:val="0"/>
                <w:szCs w:val="22"/>
              </w:rPr>
              <w:t>(10-</w:t>
            </w:r>
            <w:r w:rsidRPr="002A20DA">
              <w:rPr>
                <w:rFonts w:ascii="標楷體" w:eastAsia="標楷體" w:hAnsi="標楷體" w:hint="eastAsia"/>
                <w:spacing w:val="-20"/>
                <w:kern w:val="0"/>
                <w:szCs w:val="22"/>
              </w:rPr>
              <w:t>6</w:t>
            </w:r>
            <w:r w:rsidRPr="002A20DA">
              <w:rPr>
                <w:rFonts w:ascii="標楷體" w:eastAsia="標楷體" w:hAnsi="標楷體"/>
                <w:spacing w:val="-20"/>
                <w:kern w:val="0"/>
                <w:szCs w:val="22"/>
              </w:rPr>
              <w:t>-16)</w:t>
            </w:r>
            <w:r w:rsidRPr="002A20DA">
              <w:rPr>
                <w:rFonts w:ascii="標楷體" w:eastAsia="標楷體" w:hAnsi="標楷體" w:hint="eastAsia"/>
                <w:spacing w:val="-20"/>
                <w:kern w:val="0"/>
                <w:szCs w:val="22"/>
              </w:rPr>
              <w:t xml:space="preserve"> </w:t>
            </w:r>
          </w:p>
          <w:p w14:paraId="6AC1675C" w14:textId="77777777" w:rsidR="00AE6B82" w:rsidRPr="002A20DA" w:rsidRDefault="00AE6B82" w:rsidP="00EC13B7">
            <w:pPr>
              <w:kinsoku w:val="0"/>
              <w:overflowPunct w:val="0"/>
              <w:spacing w:line="300" w:lineRule="exact"/>
              <w:rPr>
                <w:rFonts w:ascii="標楷體" w:eastAsia="標楷體" w:hAnsi="標楷體"/>
                <w:spacing w:val="-20"/>
                <w:kern w:val="0"/>
                <w:szCs w:val="22"/>
              </w:rPr>
            </w:pPr>
            <w:r w:rsidRPr="002A20DA">
              <w:rPr>
                <w:rFonts w:ascii="標楷體" w:eastAsia="標楷體" w:hAnsi="標楷體" w:hint="eastAsia"/>
                <w:spacing w:val="-20"/>
                <w:kern w:val="0"/>
                <w:szCs w:val="22"/>
              </w:rPr>
              <w:t>三讀修正第二十二條條文</w:t>
            </w:r>
          </w:p>
        </w:tc>
        <w:tc>
          <w:tcPr>
            <w:tcW w:w="1683" w:type="dxa"/>
            <w:vMerge w:val="restart"/>
          </w:tcPr>
          <w:p w14:paraId="114D443A" w14:textId="77777777" w:rsidR="00ED3D01" w:rsidRPr="00ED3D01" w:rsidRDefault="00ED3D01" w:rsidP="00ED3D01">
            <w:pPr>
              <w:kinsoku w:val="0"/>
              <w:overflowPunct w:val="0"/>
              <w:spacing w:line="300" w:lineRule="exact"/>
              <w:rPr>
                <w:rFonts w:ascii="標楷體" w:eastAsia="標楷體" w:hAnsi="標楷體"/>
                <w:color w:val="000000"/>
                <w:spacing w:val="-20"/>
                <w:szCs w:val="22"/>
              </w:rPr>
            </w:pPr>
            <w:r w:rsidRPr="00ED3D01">
              <w:rPr>
                <w:rFonts w:ascii="標楷體" w:eastAsia="標楷體" w:hAnsi="標楷體" w:hint="eastAsia"/>
                <w:color w:val="000000"/>
                <w:spacing w:val="-20"/>
                <w:szCs w:val="22"/>
              </w:rPr>
              <w:t>112年2月6日 台立院議字第1120700190號</w:t>
            </w:r>
          </w:p>
          <w:p w14:paraId="5C3F226F" w14:textId="77777777" w:rsidR="00ED3D01" w:rsidRPr="00ED3D01" w:rsidRDefault="00ED3D01" w:rsidP="00ED3D01">
            <w:pPr>
              <w:kinsoku w:val="0"/>
              <w:overflowPunct w:val="0"/>
              <w:spacing w:line="300" w:lineRule="exact"/>
              <w:rPr>
                <w:rFonts w:ascii="標楷體" w:eastAsia="標楷體" w:hAnsi="標楷體"/>
                <w:color w:val="000000"/>
                <w:spacing w:val="-20"/>
                <w:szCs w:val="22"/>
              </w:rPr>
            </w:pPr>
          </w:p>
          <w:p w14:paraId="18A72D5C" w14:textId="7D18F375" w:rsidR="00AE6B82" w:rsidRPr="002A20DA" w:rsidRDefault="00ED3D01" w:rsidP="00ED3D01">
            <w:pPr>
              <w:kinsoku w:val="0"/>
              <w:overflowPunct w:val="0"/>
              <w:spacing w:line="300" w:lineRule="exact"/>
              <w:rPr>
                <w:rFonts w:ascii="標楷體" w:eastAsia="標楷體" w:hAnsi="標楷體"/>
                <w:color w:val="000000"/>
                <w:spacing w:val="-20"/>
                <w:szCs w:val="22"/>
              </w:rPr>
            </w:pPr>
            <w:r w:rsidRPr="00ED3D01">
              <w:rPr>
                <w:rFonts w:ascii="標楷體" w:eastAsia="標楷體" w:hAnsi="標楷體" w:hint="eastAsia"/>
                <w:color w:val="000000"/>
                <w:spacing w:val="-20"/>
                <w:kern w:val="0"/>
                <w:szCs w:val="22"/>
              </w:rPr>
              <w:t>112年2月15日華總一義字第11200010671號</w:t>
            </w:r>
          </w:p>
        </w:tc>
        <w:tc>
          <w:tcPr>
            <w:tcW w:w="1105" w:type="dxa"/>
            <w:vMerge w:val="restart"/>
          </w:tcPr>
          <w:p w14:paraId="6083DC57" w14:textId="4FD1EF2D" w:rsidR="00AE6B82" w:rsidRPr="002A20DA" w:rsidRDefault="00ED3D01" w:rsidP="00ED3D01">
            <w:pPr>
              <w:kinsoku w:val="0"/>
              <w:overflowPunct w:val="0"/>
              <w:spacing w:line="300" w:lineRule="exact"/>
              <w:ind w:leftChars="-27" w:left="1" w:hangingChars="33" w:hanging="66"/>
              <w:rPr>
                <w:rFonts w:ascii="標楷體" w:eastAsia="標楷體" w:hAnsi="標楷體"/>
                <w:color w:val="000000"/>
                <w:spacing w:val="-20"/>
                <w:szCs w:val="22"/>
              </w:rPr>
            </w:pPr>
            <w:r w:rsidRPr="00ED3D01">
              <w:rPr>
                <w:rFonts w:ascii="標楷體" w:eastAsia="標楷體" w:hAnsi="標楷體" w:hint="eastAsia"/>
                <w:color w:val="000000"/>
                <w:spacing w:val="-20"/>
                <w:kern w:val="0"/>
              </w:rPr>
              <w:t>第7646號</w:t>
            </w:r>
          </w:p>
        </w:tc>
      </w:tr>
      <w:tr w:rsidR="00AE6B82" w:rsidRPr="002A20DA" w14:paraId="091EF25B" w14:textId="77777777" w:rsidTr="00EC13B7">
        <w:trPr>
          <w:trHeight w:val="600"/>
        </w:trPr>
        <w:tc>
          <w:tcPr>
            <w:tcW w:w="511" w:type="dxa"/>
          </w:tcPr>
          <w:p w14:paraId="1283DF0F"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85</w:t>
            </w:r>
          </w:p>
        </w:tc>
        <w:tc>
          <w:tcPr>
            <w:tcW w:w="1111" w:type="dxa"/>
          </w:tcPr>
          <w:p w14:paraId="68110A87"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2.公務人員任用法第二十二條條文修正草案</w:t>
            </w:r>
          </w:p>
        </w:tc>
        <w:tc>
          <w:tcPr>
            <w:tcW w:w="1545" w:type="dxa"/>
          </w:tcPr>
          <w:p w14:paraId="70CDD33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委員蔡易餘等23人 110.11.12 </w:t>
            </w:r>
          </w:p>
          <w:p w14:paraId="232C5CE4"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（10-4-9）</w:t>
            </w:r>
          </w:p>
        </w:tc>
        <w:tc>
          <w:tcPr>
            <w:tcW w:w="1536" w:type="dxa"/>
            <w:vMerge/>
          </w:tcPr>
          <w:p w14:paraId="77F458F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7406CAA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43998CD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74BCC6A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4DEA3E4E" w14:textId="77777777" w:rsidTr="00EC13B7">
        <w:trPr>
          <w:trHeight w:val="600"/>
        </w:trPr>
        <w:tc>
          <w:tcPr>
            <w:tcW w:w="511" w:type="dxa"/>
          </w:tcPr>
          <w:p w14:paraId="03444B5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86</w:t>
            </w:r>
          </w:p>
        </w:tc>
        <w:tc>
          <w:tcPr>
            <w:tcW w:w="1111" w:type="dxa"/>
          </w:tcPr>
          <w:p w14:paraId="6E0A86D1"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3.公務人員任用法第二十二條條文修正草案</w:t>
            </w:r>
          </w:p>
        </w:tc>
        <w:tc>
          <w:tcPr>
            <w:tcW w:w="1545" w:type="dxa"/>
          </w:tcPr>
          <w:p w14:paraId="24E2EDB3"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委員鄭天財</w:t>
            </w:r>
          </w:p>
          <w:p w14:paraId="2C8FBAFB" w14:textId="1A87E6A5"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hint="eastAsia"/>
                <w:kern w:val="0"/>
                <w:szCs w:val="22"/>
              </w:rPr>
              <w:t>Sra Kacaw</w:t>
            </w:r>
            <w:r w:rsidR="0084735E" w:rsidRPr="002A20DA">
              <w:rPr>
                <w:rFonts w:ascii="標楷體" w:eastAsia="標楷體" w:hAnsi="標楷體" w:hint="eastAsia"/>
                <w:kern w:val="0"/>
                <w:szCs w:val="22"/>
              </w:rPr>
              <w:t>等</w:t>
            </w:r>
            <w:r w:rsidRPr="002A20DA">
              <w:rPr>
                <w:rFonts w:ascii="標楷體" w:eastAsia="標楷體" w:hAnsi="標楷體" w:hint="eastAsia"/>
                <w:kern w:val="0"/>
                <w:szCs w:val="22"/>
              </w:rPr>
              <w:t xml:space="preserve">17人 111.10.28 </w:t>
            </w:r>
          </w:p>
          <w:p w14:paraId="2104EECD"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hint="eastAsia"/>
                <w:kern w:val="0"/>
                <w:szCs w:val="22"/>
              </w:rPr>
              <w:t>（10-6-5）</w:t>
            </w:r>
          </w:p>
        </w:tc>
        <w:tc>
          <w:tcPr>
            <w:tcW w:w="1536" w:type="dxa"/>
            <w:vMerge/>
          </w:tcPr>
          <w:p w14:paraId="5549EA1D"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0FA74AD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FEF71C0"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FEBA37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5459F92B" w14:textId="77777777" w:rsidTr="00EC13B7">
        <w:trPr>
          <w:trHeight w:val="600"/>
        </w:trPr>
        <w:tc>
          <w:tcPr>
            <w:tcW w:w="511" w:type="dxa"/>
          </w:tcPr>
          <w:p w14:paraId="2E6513C6"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87</w:t>
            </w:r>
          </w:p>
        </w:tc>
        <w:tc>
          <w:tcPr>
            <w:tcW w:w="1111" w:type="dxa"/>
          </w:tcPr>
          <w:p w14:paraId="76B459C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4.</w:t>
            </w:r>
            <w:r w:rsidRPr="002A20DA">
              <w:rPr>
                <w:rFonts w:ascii="標楷體" w:eastAsia="標楷體" w:hAnsi="標楷體"/>
                <w:color w:val="000000"/>
                <w:kern w:val="0"/>
                <w:szCs w:val="22"/>
              </w:rPr>
              <w:t>公務人員任用法增訂第十八條之二條文草案</w:t>
            </w:r>
          </w:p>
        </w:tc>
        <w:tc>
          <w:tcPr>
            <w:tcW w:w="1545" w:type="dxa"/>
          </w:tcPr>
          <w:p w14:paraId="7FE653F4"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委員許智傑等18人 110.12.24 </w:t>
            </w:r>
          </w:p>
          <w:p w14:paraId="422FBE49"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（10-4-15）</w:t>
            </w:r>
          </w:p>
        </w:tc>
        <w:tc>
          <w:tcPr>
            <w:tcW w:w="1536" w:type="dxa"/>
            <w:vMerge/>
          </w:tcPr>
          <w:p w14:paraId="3CA3E018"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75D8CFEF"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19ADEE26"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4095F80E"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110515E1" w14:textId="77777777" w:rsidTr="00EC13B7">
        <w:trPr>
          <w:trHeight w:val="600"/>
        </w:trPr>
        <w:tc>
          <w:tcPr>
            <w:tcW w:w="511" w:type="dxa"/>
          </w:tcPr>
          <w:p w14:paraId="1AB8B66C"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lastRenderedPageBreak/>
              <w:t>88</w:t>
            </w:r>
          </w:p>
        </w:tc>
        <w:tc>
          <w:tcPr>
            <w:tcW w:w="1111" w:type="dxa"/>
          </w:tcPr>
          <w:p w14:paraId="3B3B11DF"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5</w:t>
            </w:r>
            <w:r w:rsidRPr="002A20DA">
              <w:rPr>
                <w:rFonts w:ascii="標楷體" w:eastAsia="標楷體" w:hAnsi="標楷體"/>
                <w:color w:val="000000"/>
                <w:kern w:val="0"/>
                <w:szCs w:val="22"/>
              </w:rPr>
              <w:t>.公務人員任用法第二十八條條文修正草案</w:t>
            </w:r>
          </w:p>
        </w:tc>
        <w:tc>
          <w:tcPr>
            <w:tcW w:w="1545" w:type="dxa"/>
          </w:tcPr>
          <w:p w14:paraId="64295A2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委員王定宇等19人 111.04.08 </w:t>
            </w:r>
          </w:p>
          <w:p w14:paraId="217532BC"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（10-5-7）</w:t>
            </w:r>
          </w:p>
        </w:tc>
        <w:tc>
          <w:tcPr>
            <w:tcW w:w="1536" w:type="dxa"/>
            <w:vMerge/>
          </w:tcPr>
          <w:p w14:paraId="28282D97"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2869C4C9"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CAF1F12"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6547DD6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73C209CB" w14:textId="77777777" w:rsidTr="00EC13B7">
        <w:trPr>
          <w:trHeight w:val="600"/>
        </w:trPr>
        <w:tc>
          <w:tcPr>
            <w:tcW w:w="511" w:type="dxa"/>
          </w:tcPr>
          <w:p w14:paraId="0B251655"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89</w:t>
            </w:r>
          </w:p>
        </w:tc>
        <w:tc>
          <w:tcPr>
            <w:tcW w:w="1111" w:type="dxa"/>
          </w:tcPr>
          <w:p w14:paraId="28D67A32"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hint="eastAsia"/>
                <w:color w:val="000000"/>
                <w:kern w:val="0"/>
                <w:szCs w:val="22"/>
              </w:rPr>
              <w:t>6</w:t>
            </w:r>
            <w:r w:rsidRPr="002A20DA">
              <w:rPr>
                <w:rFonts w:ascii="標楷體" w:eastAsia="標楷體" w:hAnsi="標楷體"/>
                <w:color w:val="000000"/>
                <w:kern w:val="0"/>
                <w:szCs w:val="22"/>
              </w:rPr>
              <w:t>.公務人員任用法第二十八條條文修正草案</w:t>
            </w:r>
          </w:p>
        </w:tc>
        <w:tc>
          <w:tcPr>
            <w:tcW w:w="1545" w:type="dxa"/>
          </w:tcPr>
          <w:p w14:paraId="471A964C"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kern w:val="0"/>
                <w:szCs w:val="22"/>
              </w:rPr>
              <w:t xml:space="preserve">台灣民眾黨黨團 111.09.23 </w:t>
            </w:r>
          </w:p>
          <w:p w14:paraId="6204BC0C"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（10-6-1）</w:t>
            </w:r>
          </w:p>
        </w:tc>
        <w:tc>
          <w:tcPr>
            <w:tcW w:w="1536" w:type="dxa"/>
            <w:vMerge/>
          </w:tcPr>
          <w:p w14:paraId="6AAEFB6A"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55EFF04B"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70E23E77"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3283578A"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r w:rsidR="00AE6B82" w:rsidRPr="002A20DA" w14:paraId="3319A942" w14:textId="77777777" w:rsidTr="00EC13B7">
        <w:trPr>
          <w:trHeight w:val="600"/>
        </w:trPr>
        <w:tc>
          <w:tcPr>
            <w:tcW w:w="511" w:type="dxa"/>
          </w:tcPr>
          <w:p w14:paraId="75FEA794" w14:textId="77777777" w:rsidR="00AE6B82" w:rsidRPr="002A20DA" w:rsidRDefault="00AE6B82" w:rsidP="00EC13B7">
            <w:pPr>
              <w:kinsoku w:val="0"/>
              <w:overflowPunct w:val="0"/>
              <w:spacing w:line="300" w:lineRule="exact"/>
              <w:jc w:val="center"/>
              <w:rPr>
                <w:rFonts w:ascii="標楷體" w:eastAsia="標楷體" w:hAnsi="標楷體"/>
                <w:color w:val="000000"/>
                <w:spacing w:val="-20"/>
                <w:szCs w:val="22"/>
              </w:rPr>
            </w:pPr>
            <w:r w:rsidRPr="002A20DA">
              <w:rPr>
                <w:rFonts w:ascii="標楷體" w:eastAsia="標楷體" w:hAnsi="標楷體" w:hint="eastAsia"/>
                <w:color w:val="000000"/>
                <w:spacing w:val="-20"/>
                <w:szCs w:val="22"/>
              </w:rPr>
              <w:t>90</w:t>
            </w:r>
          </w:p>
        </w:tc>
        <w:tc>
          <w:tcPr>
            <w:tcW w:w="1111" w:type="dxa"/>
          </w:tcPr>
          <w:p w14:paraId="456FDC44" w14:textId="77777777" w:rsidR="00AE6B82" w:rsidRPr="002A20DA" w:rsidRDefault="00AE6B82" w:rsidP="00EC13B7">
            <w:pPr>
              <w:kinsoku w:val="0"/>
              <w:overflowPunct w:val="0"/>
              <w:spacing w:line="300" w:lineRule="exact"/>
              <w:ind w:rightChars="-45" w:right="-108"/>
              <w:rPr>
                <w:rFonts w:ascii="標楷體" w:eastAsia="標楷體" w:hAnsi="標楷體"/>
                <w:color w:val="000000"/>
                <w:kern w:val="0"/>
                <w:szCs w:val="22"/>
              </w:rPr>
            </w:pPr>
            <w:r w:rsidRPr="002A20DA">
              <w:rPr>
                <w:rFonts w:ascii="標楷體" w:eastAsia="標楷體" w:hAnsi="標楷體"/>
                <w:color w:val="000000"/>
                <w:kern w:val="0"/>
                <w:szCs w:val="22"/>
              </w:rPr>
              <w:t>7.公務人員任用法第二十八條條文修正草案</w:t>
            </w:r>
          </w:p>
        </w:tc>
        <w:tc>
          <w:tcPr>
            <w:tcW w:w="1545" w:type="dxa"/>
          </w:tcPr>
          <w:p w14:paraId="6F61EE26" w14:textId="77777777" w:rsidR="00AE6B82" w:rsidRPr="002A20DA" w:rsidRDefault="00AE6B82" w:rsidP="00EC13B7">
            <w:pPr>
              <w:adjustRightInd w:val="0"/>
              <w:snapToGrid w:val="0"/>
              <w:spacing w:line="260" w:lineRule="exact"/>
              <w:rPr>
                <w:rFonts w:ascii="標楷體" w:eastAsia="標楷體" w:hAnsi="標楷體"/>
                <w:kern w:val="0"/>
                <w:szCs w:val="22"/>
              </w:rPr>
            </w:pPr>
            <w:r w:rsidRPr="002A20DA">
              <w:rPr>
                <w:rFonts w:ascii="標楷體" w:eastAsia="標楷體" w:hAnsi="標楷體"/>
                <w:color w:val="000000"/>
                <w:spacing w:val="-20"/>
                <w:kern w:val="0"/>
                <w:szCs w:val="22"/>
              </w:rPr>
              <w:t xml:space="preserve">時代力量黨團 </w:t>
            </w:r>
            <w:r w:rsidRPr="002A20DA">
              <w:rPr>
                <w:rFonts w:ascii="標楷體" w:eastAsia="標楷體" w:hAnsi="標楷體"/>
                <w:kern w:val="0"/>
                <w:szCs w:val="22"/>
              </w:rPr>
              <w:t xml:space="preserve">111.11.11 </w:t>
            </w:r>
          </w:p>
          <w:p w14:paraId="1AFA12A8" w14:textId="77777777" w:rsidR="00AE6B82" w:rsidRPr="002A20DA" w:rsidRDefault="00AE6B82" w:rsidP="00EC13B7">
            <w:pPr>
              <w:adjustRightInd w:val="0"/>
              <w:snapToGrid w:val="0"/>
              <w:spacing w:line="260" w:lineRule="exact"/>
              <w:rPr>
                <w:rFonts w:ascii="標楷體" w:eastAsia="標楷體" w:hAnsi="標楷體"/>
                <w:color w:val="000000"/>
                <w:kern w:val="0"/>
                <w:szCs w:val="22"/>
              </w:rPr>
            </w:pPr>
            <w:r w:rsidRPr="002A20DA">
              <w:rPr>
                <w:rFonts w:ascii="標楷體" w:eastAsia="標楷體" w:hAnsi="標楷體"/>
                <w:kern w:val="0"/>
                <w:szCs w:val="22"/>
              </w:rPr>
              <w:t>（10-6-7）</w:t>
            </w:r>
          </w:p>
        </w:tc>
        <w:tc>
          <w:tcPr>
            <w:tcW w:w="1536" w:type="dxa"/>
            <w:vMerge/>
          </w:tcPr>
          <w:p w14:paraId="06AA6B69" w14:textId="77777777" w:rsidR="00AE6B82" w:rsidRPr="002A20DA" w:rsidRDefault="00AE6B82" w:rsidP="00EC13B7">
            <w:pPr>
              <w:kinsoku w:val="0"/>
              <w:topLinePunct/>
              <w:autoSpaceDE w:val="0"/>
              <w:autoSpaceDN w:val="0"/>
              <w:spacing w:line="300" w:lineRule="exact"/>
              <w:rPr>
                <w:rFonts w:ascii="標楷體" w:eastAsia="標楷體" w:hAnsi="標楷體"/>
                <w:spacing w:val="-20"/>
                <w:kern w:val="0"/>
                <w:szCs w:val="22"/>
              </w:rPr>
            </w:pPr>
          </w:p>
        </w:tc>
        <w:tc>
          <w:tcPr>
            <w:tcW w:w="1387" w:type="dxa"/>
            <w:vMerge/>
          </w:tcPr>
          <w:p w14:paraId="52E74D58" w14:textId="77777777" w:rsidR="00AE6B82" w:rsidRPr="002A20DA" w:rsidRDefault="00AE6B82" w:rsidP="00EC13B7">
            <w:pPr>
              <w:kinsoku w:val="0"/>
              <w:overflowPunct w:val="0"/>
              <w:spacing w:line="300" w:lineRule="exact"/>
              <w:rPr>
                <w:rFonts w:ascii="標楷體" w:eastAsia="標楷體" w:hAnsi="標楷體"/>
                <w:spacing w:val="-20"/>
                <w:kern w:val="0"/>
                <w:szCs w:val="22"/>
              </w:rPr>
            </w:pPr>
          </w:p>
        </w:tc>
        <w:tc>
          <w:tcPr>
            <w:tcW w:w="1683" w:type="dxa"/>
            <w:vMerge/>
          </w:tcPr>
          <w:p w14:paraId="0E8F1DA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c>
          <w:tcPr>
            <w:tcW w:w="1105" w:type="dxa"/>
            <w:vMerge/>
          </w:tcPr>
          <w:p w14:paraId="2370A293" w14:textId="77777777" w:rsidR="00AE6B82" w:rsidRPr="002A20DA" w:rsidRDefault="00AE6B82" w:rsidP="00EC13B7">
            <w:pPr>
              <w:kinsoku w:val="0"/>
              <w:overflowPunct w:val="0"/>
              <w:spacing w:line="300" w:lineRule="exact"/>
              <w:rPr>
                <w:rFonts w:ascii="標楷體" w:eastAsia="標楷體" w:hAnsi="標楷體"/>
                <w:color w:val="000000"/>
                <w:spacing w:val="-20"/>
                <w:szCs w:val="22"/>
              </w:rPr>
            </w:pPr>
          </w:p>
        </w:tc>
      </w:tr>
    </w:tbl>
    <w:p w14:paraId="7A7F2A3B" w14:textId="77777777" w:rsidR="00AE6B82" w:rsidRPr="002A20DA" w:rsidRDefault="00AE6B82" w:rsidP="00151C5E">
      <w:pPr>
        <w:rPr>
          <w:color w:val="000000" w:themeColor="text1"/>
        </w:rPr>
      </w:pPr>
    </w:p>
    <w:p w14:paraId="7B8410CB" w14:textId="77777777" w:rsidR="00AE6B82" w:rsidRPr="002A20DA" w:rsidRDefault="00AE6B82" w:rsidP="007015C7">
      <w:pPr>
        <w:pStyle w:val="2"/>
        <w:numPr>
          <w:ilvl w:val="0"/>
          <w:numId w:val="18"/>
        </w:numPr>
        <w:kinsoku w:val="0"/>
        <w:overflowPunct w:val="0"/>
        <w:spacing w:beforeLines="100" w:before="360" w:afterLines="100" w:after="360" w:line="260" w:lineRule="exact"/>
        <w:ind w:leftChars="0"/>
        <w:rPr>
          <w:rFonts w:ascii="標楷體" w:hAnsi="標楷體"/>
          <w:b/>
          <w:color w:val="000000" w:themeColor="text1"/>
          <w:szCs w:val="28"/>
        </w:rPr>
      </w:pPr>
      <w:r w:rsidRPr="002A20DA">
        <w:rPr>
          <w:rFonts w:ascii="標楷體" w:hAnsi="標楷體"/>
          <w:b/>
          <w:color w:val="000000" w:themeColor="text1"/>
          <w:szCs w:val="28"/>
        </w:rPr>
        <w:t>預</w:t>
      </w:r>
      <w:r w:rsidRPr="002A20DA">
        <w:rPr>
          <w:rFonts w:ascii="標楷體" w:hAnsi="標楷體" w:hint="eastAsia"/>
          <w:b/>
          <w:color w:val="000000" w:themeColor="text1"/>
          <w:szCs w:val="28"/>
        </w:rPr>
        <w:t>(</w:t>
      </w:r>
      <w:r w:rsidRPr="002A20DA">
        <w:rPr>
          <w:rFonts w:ascii="標楷體" w:hAnsi="標楷體"/>
          <w:b/>
          <w:color w:val="000000" w:themeColor="text1"/>
          <w:szCs w:val="28"/>
        </w:rPr>
        <w:t>決</w:t>
      </w:r>
      <w:r w:rsidRPr="002A20DA">
        <w:rPr>
          <w:rFonts w:ascii="標楷體" w:hAnsi="標楷體" w:hint="eastAsia"/>
          <w:b/>
          <w:color w:val="000000" w:themeColor="text1"/>
          <w:szCs w:val="28"/>
        </w:rPr>
        <w:t>)</w:t>
      </w:r>
      <w:r w:rsidRPr="002A20DA">
        <w:rPr>
          <w:rFonts w:ascii="標楷體" w:hAnsi="標楷體"/>
          <w:b/>
          <w:color w:val="000000" w:themeColor="text1"/>
          <w:szCs w:val="28"/>
        </w:rPr>
        <w:t>算案</w:t>
      </w:r>
      <w:bookmarkEnd w:id="223"/>
      <w:bookmarkEnd w:id="224"/>
      <w:r w:rsidRPr="002A20DA">
        <w:rPr>
          <w:rFonts w:ascii="標楷體" w:hAnsi="標楷體" w:hint="eastAsia"/>
          <w:b/>
          <w:color w:val="000000" w:themeColor="text1"/>
          <w:szCs w:val="28"/>
        </w:rPr>
        <w:t>115</w:t>
      </w:r>
      <w:r w:rsidRPr="002A20DA">
        <w:rPr>
          <w:rFonts w:ascii="標楷體" w:hAnsi="標楷體"/>
          <w:b/>
          <w:color w:val="000000" w:themeColor="text1"/>
          <w:szCs w:val="28"/>
        </w:rPr>
        <w:t>案</w:t>
      </w:r>
      <w:bookmarkEnd w:id="225"/>
      <w:bookmarkEnd w:id="226"/>
      <w:bookmarkEnd w:id="227"/>
      <w:bookmarkEnd w:id="228"/>
      <w:bookmarkEnd w:id="229"/>
      <w:bookmarkEnd w:id="230"/>
      <w:bookmarkEnd w:id="231"/>
      <w:bookmarkEnd w:id="232"/>
      <w:bookmarkEnd w:id="233"/>
    </w:p>
    <w:p w14:paraId="1485233A" w14:textId="77777777" w:rsidR="00AE6B82" w:rsidRPr="002A20DA" w:rsidRDefault="00AE6B82" w:rsidP="00E4229D">
      <w:pPr>
        <w:pStyle w:val="3"/>
        <w:kinsoku w:val="0"/>
        <w:overflowPunct w:val="0"/>
        <w:spacing w:beforeLines="100" w:before="360" w:afterLines="100" w:after="360" w:line="260" w:lineRule="exact"/>
        <w:ind w:left="912" w:firstLineChars="250" w:firstLine="701"/>
        <w:rPr>
          <w:rFonts w:ascii="標楷體" w:hAnsi="標楷體"/>
          <w:b/>
          <w:color w:val="000000" w:themeColor="text1"/>
          <w:szCs w:val="28"/>
        </w:rPr>
      </w:pPr>
      <w:r w:rsidRPr="002A20DA">
        <w:rPr>
          <w:rFonts w:ascii="標楷體" w:hAnsi="標楷體" w:hint="eastAsia"/>
          <w:b/>
          <w:color w:val="000000" w:themeColor="text1"/>
          <w:szCs w:val="28"/>
        </w:rPr>
        <w:t>一</w:t>
      </w:r>
      <w:r w:rsidRPr="002A20DA">
        <w:rPr>
          <w:rFonts w:ascii="標楷體" w:hAnsi="標楷體"/>
          <w:b/>
          <w:color w:val="000000" w:themeColor="text1"/>
          <w:szCs w:val="28"/>
        </w:rPr>
        <w:t>、</w:t>
      </w:r>
      <w:r w:rsidRPr="002A20DA">
        <w:rPr>
          <w:rFonts w:ascii="標楷體" w:hAnsi="標楷體"/>
          <w:b/>
          <w:szCs w:val="28"/>
        </w:rPr>
        <w:t>總預算案</w:t>
      </w:r>
      <w:r w:rsidRPr="002A20DA">
        <w:rPr>
          <w:rFonts w:ascii="標楷體" w:hAnsi="標楷體" w:hint="eastAsia"/>
          <w:b/>
          <w:szCs w:val="28"/>
        </w:rPr>
        <w:t>2</w:t>
      </w:r>
      <w:r w:rsidRPr="002A20DA">
        <w:rPr>
          <w:rFonts w:ascii="標楷體" w:hAnsi="標楷體"/>
          <w:b/>
          <w:szCs w:val="28"/>
        </w:rPr>
        <w:t>案</w:t>
      </w:r>
    </w:p>
    <w:tbl>
      <w:tblPr>
        <w:tblW w:w="8873"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1"/>
        <w:gridCol w:w="2058"/>
        <w:gridCol w:w="1664"/>
        <w:gridCol w:w="1493"/>
        <w:gridCol w:w="1538"/>
        <w:gridCol w:w="1539"/>
      </w:tblGrid>
      <w:tr w:rsidR="00AE6B82" w:rsidRPr="002A20DA" w14:paraId="43BDECDF" w14:textId="77777777" w:rsidTr="00EC13B7">
        <w:tc>
          <w:tcPr>
            <w:tcW w:w="581" w:type="dxa"/>
            <w:shd w:val="clear" w:color="auto" w:fill="auto"/>
          </w:tcPr>
          <w:p w14:paraId="52A515B3" w14:textId="77777777" w:rsidR="00AE6B82" w:rsidRPr="002A20DA" w:rsidRDefault="00AE6B82" w:rsidP="00EC13B7">
            <w:pPr>
              <w:spacing w:line="300" w:lineRule="exact"/>
              <w:jc w:val="center"/>
              <w:rPr>
                <w:rFonts w:ascii="標楷體" w:eastAsia="標楷體" w:hAnsi="標楷體"/>
                <w:b/>
                <w:spacing w:val="-20"/>
                <w:szCs w:val="22"/>
              </w:rPr>
            </w:pPr>
            <w:r w:rsidRPr="002A20DA">
              <w:rPr>
                <w:rFonts w:ascii="標楷體" w:eastAsia="標楷體" w:hAnsi="標楷體"/>
                <w:b/>
                <w:spacing w:val="-20"/>
                <w:szCs w:val="22"/>
              </w:rPr>
              <w:t>序號</w:t>
            </w:r>
          </w:p>
        </w:tc>
        <w:tc>
          <w:tcPr>
            <w:tcW w:w="2058" w:type="dxa"/>
            <w:shd w:val="clear" w:color="auto" w:fill="auto"/>
          </w:tcPr>
          <w:p w14:paraId="223E659F" w14:textId="77777777" w:rsidR="00AE6B82" w:rsidRPr="002A20DA" w:rsidRDefault="00AE6B82" w:rsidP="00EC13B7">
            <w:pPr>
              <w:spacing w:line="300" w:lineRule="exact"/>
              <w:jc w:val="center"/>
              <w:rPr>
                <w:rFonts w:ascii="標楷體" w:eastAsia="標楷體" w:hAnsi="標楷體"/>
                <w:b/>
                <w:spacing w:val="-20"/>
                <w:szCs w:val="22"/>
              </w:rPr>
            </w:pPr>
            <w:r w:rsidRPr="002A20DA">
              <w:rPr>
                <w:rFonts w:ascii="標楷體" w:eastAsia="標楷體" w:hAnsi="標楷體"/>
                <w:b/>
                <w:spacing w:val="-20"/>
                <w:szCs w:val="22"/>
              </w:rPr>
              <w:t>議案名稱</w:t>
            </w:r>
          </w:p>
        </w:tc>
        <w:tc>
          <w:tcPr>
            <w:tcW w:w="1664" w:type="dxa"/>
            <w:shd w:val="clear" w:color="auto" w:fill="auto"/>
          </w:tcPr>
          <w:p w14:paraId="4ECD4653" w14:textId="77777777" w:rsidR="00AE6B82" w:rsidRPr="002A20DA" w:rsidRDefault="00AE6B82" w:rsidP="00EC13B7">
            <w:pPr>
              <w:tabs>
                <w:tab w:val="left" w:pos="441"/>
                <w:tab w:val="left" w:pos="681"/>
                <w:tab w:val="left" w:pos="966"/>
              </w:tabs>
              <w:spacing w:line="300" w:lineRule="exact"/>
              <w:ind w:rightChars="-3" w:right="-7"/>
              <w:rPr>
                <w:rFonts w:ascii="標楷體" w:eastAsia="標楷體" w:hAnsi="標楷體"/>
                <w:b/>
                <w:spacing w:val="-20"/>
                <w:szCs w:val="22"/>
              </w:rPr>
            </w:pPr>
            <w:r w:rsidRPr="002A20DA">
              <w:rPr>
                <w:rFonts w:ascii="標楷體" w:eastAsia="標楷體" w:hAnsi="標楷體"/>
                <w:b/>
                <w:spacing w:val="-20"/>
                <w:szCs w:val="22"/>
              </w:rPr>
              <w:t>提案機關、院會交付日期(會次)</w:t>
            </w:r>
          </w:p>
        </w:tc>
        <w:tc>
          <w:tcPr>
            <w:tcW w:w="1493" w:type="dxa"/>
            <w:shd w:val="clear" w:color="auto" w:fill="auto"/>
          </w:tcPr>
          <w:p w14:paraId="340FB585" w14:textId="77777777" w:rsidR="00AE6B82" w:rsidRPr="002A20DA" w:rsidRDefault="00AE6B82" w:rsidP="00EC13B7">
            <w:pPr>
              <w:spacing w:line="300" w:lineRule="exact"/>
              <w:jc w:val="center"/>
              <w:rPr>
                <w:rFonts w:ascii="標楷體" w:eastAsia="標楷體" w:hAnsi="標楷體"/>
                <w:b/>
                <w:spacing w:val="-20"/>
                <w:szCs w:val="22"/>
              </w:rPr>
            </w:pPr>
            <w:r w:rsidRPr="002A20DA">
              <w:rPr>
                <w:rFonts w:ascii="標楷體" w:eastAsia="標楷體" w:hAnsi="標楷體"/>
                <w:b/>
                <w:spacing w:val="-20"/>
                <w:szCs w:val="22"/>
              </w:rPr>
              <w:t>審查委員會</w:t>
            </w:r>
          </w:p>
          <w:p w14:paraId="59B38136" w14:textId="77777777" w:rsidR="00AE6B82" w:rsidRPr="002A20DA" w:rsidRDefault="00AE6B82" w:rsidP="00EC13B7">
            <w:pPr>
              <w:spacing w:line="300" w:lineRule="exact"/>
              <w:jc w:val="center"/>
              <w:rPr>
                <w:rFonts w:ascii="標楷體" w:eastAsia="標楷體" w:hAnsi="標楷體"/>
                <w:b/>
                <w:spacing w:val="-20"/>
                <w:szCs w:val="22"/>
              </w:rPr>
            </w:pPr>
            <w:r w:rsidRPr="002A20DA">
              <w:rPr>
                <w:rFonts w:ascii="標楷體" w:eastAsia="標楷體" w:hAnsi="標楷體" w:hint="eastAsia"/>
                <w:b/>
                <w:spacing w:val="-20"/>
                <w:szCs w:val="22"/>
              </w:rPr>
              <w:t>院會說明人</w:t>
            </w:r>
          </w:p>
        </w:tc>
        <w:tc>
          <w:tcPr>
            <w:tcW w:w="3077" w:type="dxa"/>
            <w:gridSpan w:val="2"/>
            <w:shd w:val="clear" w:color="auto" w:fill="auto"/>
          </w:tcPr>
          <w:p w14:paraId="5670E2E9" w14:textId="0D34E375" w:rsidR="00AE6B82" w:rsidRPr="002A20DA" w:rsidRDefault="00AE6B82" w:rsidP="00A40337">
            <w:pPr>
              <w:spacing w:line="300" w:lineRule="exact"/>
              <w:jc w:val="center"/>
              <w:rPr>
                <w:rFonts w:ascii="標楷體" w:eastAsia="標楷體" w:hAnsi="標楷體"/>
                <w:b/>
                <w:spacing w:val="-20"/>
                <w:szCs w:val="22"/>
              </w:rPr>
            </w:pPr>
            <w:r w:rsidRPr="002A20DA">
              <w:rPr>
                <w:rFonts w:ascii="標楷體" w:eastAsia="標楷體" w:hAnsi="標楷體" w:hint="eastAsia"/>
                <w:b/>
                <w:spacing w:val="-20"/>
                <w:szCs w:val="22"/>
              </w:rPr>
              <w:t>審</w:t>
            </w:r>
            <w:r w:rsidR="00A40337">
              <w:rPr>
                <w:rFonts w:ascii="標楷體" w:eastAsia="標楷體" w:hAnsi="標楷體" w:hint="eastAsia"/>
                <w:b/>
                <w:spacing w:val="-20"/>
                <w:szCs w:val="22"/>
              </w:rPr>
              <w:t>議</w:t>
            </w:r>
            <w:r w:rsidRPr="002A20DA">
              <w:rPr>
                <w:rFonts w:ascii="標楷體" w:eastAsia="標楷體" w:hAnsi="標楷體"/>
                <w:b/>
                <w:spacing w:val="-20"/>
                <w:szCs w:val="22"/>
              </w:rPr>
              <w:t>情形</w:t>
            </w:r>
          </w:p>
        </w:tc>
      </w:tr>
      <w:tr w:rsidR="00AE6B82" w:rsidRPr="002A20DA" w14:paraId="60B0C7D0" w14:textId="77777777" w:rsidTr="00EC13B7">
        <w:tc>
          <w:tcPr>
            <w:tcW w:w="581" w:type="dxa"/>
            <w:vMerge w:val="restart"/>
            <w:shd w:val="clear" w:color="auto" w:fill="auto"/>
          </w:tcPr>
          <w:p w14:paraId="6834F3E3" w14:textId="77777777" w:rsidR="00AE6B82" w:rsidRPr="002A20DA" w:rsidRDefault="00AE6B82" w:rsidP="00EC13B7">
            <w:pPr>
              <w:adjustRightInd w:val="0"/>
              <w:snapToGrid w:val="0"/>
              <w:spacing w:line="260" w:lineRule="exact"/>
              <w:jc w:val="center"/>
              <w:rPr>
                <w:rFonts w:ascii="標楷體" w:eastAsia="標楷體" w:hAnsi="標楷體"/>
                <w:b/>
              </w:rPr>
            </w:pPr>
            <w:r w:rsidRPr="002A20DA">
              <w:rPr>
                <w:rFonts w:ascii="標楷體" w:eastAsia="標楷體" w:hAnsi="標楷體" w:hint="eastAsia"/>
                <w:b/>
              </w:rPr>
              <w:t>1</w:t>
            </w:r>
          </w:p>
        </w:tc>
        <w:tc>
          <w:tcPr>
            <w:tcW w:w="2058" w:type="dxa"/>
            <w:vMerge w:val="restart"/>
            <w:shd w:val="clear" w:color="auto" w:fill="auto"/>
          </w:tcPr>
          <w:p w14:paraId="527D333D" w14:textId="3A4B60FF" w:rsidR="00AE6B82" w:rsidRPr="002A20DA" w:rsidRDefault="00AE6B82" w:rsidP="00EC13B7">
            <w:pPr>
              <w:spacing w:line="260" w:lineRule="exact"/>
              <w:ind w:leftChars="-45" w:left="-108" w:rightChars="-45" w:right="-108"/>
              <w:rPr>
                <w:rFonts w:ascii="標楷體" w:eastAsia="標楷體" w:hAnsi="標楷體"/>
                <w:kern w:val="0"/>
              </w:rPr>
            </w:pPr>
            <w:r w:rsidRPr="002A20DA">
              <w:rPr>
                <w:rFonts w:ascii="標楷體" w:eastAsia="標楷體" w:hAnsi="標楷體" w:hint="eastAsia"/>
                <w:kern w:val="0"/>
              </w:rPr>
              <w:t>中華民國111年度中央政府總預算案（附屬單位預算及綜計表-營業及非營業部分）</w:t>
            </w:r>
          </w:p>
        </w:tc>
        <w:tc>
          <w:tcPr>
            <w:tcW w:w="1664" w:type="dxa"/>
            <w:vMerge w:val="restart"/>
            <w:shd w:val="clear" w:color="auto" w:fill="auto"/>
          </w:tcPr>
          <w:p w14:paraId="28239AF4" w14:textId="77777777" w:rsidR="00AE6B82" w:rsidRPr="002A20DA" w:rsidRDefault="00AE6B82" w:rsidP="00EC13B7">
            <w:pPr>
              <w:spacing w:line="260" w:lineRule="exact"/>
              <w:ind w:rightChars="-45" w:right="-108"/>
              <w:rPr>
                <w:rFonts w:ascii="標楷體" w:eastAsia="標楷體" w:hAnsi="標楷體"/>
                <w:kern w:val="0"/>
              </w:rPr>
            </w:pPr>
            <w:r w:rsidRPr="002A20DA">
              <w:rPr>
                <w:rFonts w:ascii="標楷體" w:eastAsia="標楷體" w:hAnsi="標楷體" w:hint="eastAsia"/>
                <w:kern w:val="0"/>
              </w:rPr>
              <w:t xml:space="preserve">行政院 </w:t>
            </w:r>
          </w:p>
          <w:p w14:paraId="78FC5CC7" w14:textId="77777777" w:rsidR="00AE6B82" w:rsidRPr="002A20DA" w:rsidRDefault="00AE6B82" w:rsidP="00EC13B7">
            <w:pPr>
              <w:spacing w:line="260" w:lineRule="exact"/>
              <w:ind w:rightChars="-45" w:right="-108"/>
              <w:rPr>
                <w:rFonts w:ascii="標楷體" w:eastAsia="標楷體" w:hAnsi="標楷體"/>
                <w:kern w:val="0"/>
              </w:rPr>
            </w:pPr>
            <w:r w:rsidRPr="002A20DA">
              <w:rPr>
                <w:rFonts w:ascii="標楷體" w:eastAsia="標楷體" w:hAnsi="標楷體" w:hint="eastAsia"/>
                <w:kern w:val="0"/>
              </w:rPr>
              <w:t>110.10.22 （10-4-6）</w:t>
            </w:r>
          </w:p>
        </w:tc>
        <w:tc>
          <w:tcPr>
            <w:tcW w:w="1493" w:type="dxa"/>
            <w:vMerge w:val="restart"/>
            <w:shd w:val="clear" w:color="auto" w:fill="auto"/>
          </w:tcPr>
          <w:p w14:paraId="04802BD8" w14:textId="77777777" w:rsidR="00AE6B82" w:rsidRPr="002A20DA" w:rsidRDefault="00AE6B82" w:rsidP="00EC13B7">
            <w:pPr>
              <w:spacing w:line="260" w:lineRule="exact"/>
              <w:rPr>
                <w:rFonts w:ascii="標楷體" w:eastAsia="標楷體" w:hAnsi="標楷體"/>
                <w:kern w:val="0"/>
              </w:rPr>
            </w:pPr>
            <w:r w:rsidRPr="002A20DA">
              <w:rPr>
                <w:rFonts w:ascii="標楷體" w:eastAsia="標楷體" w:hAnsi="標楷體" w:hint="eastAsia"/>
                <w:kern w:val="0"/>
              </w:rPr>
              <w:t>司法及法制</w:t>
            </w:r>
          </w:p>
          <w:p w14:paraId="441EA029" w14:textId="77777777" w:rsidR="00AE6B82" w:rsidRPr="002A20DA" w:rsidRDefault="00AE6B82" w:rsidP="00EC13B7">
            <w:pPr>
              <w:spacing w:line="260" w:lineRule="exact"/>
              <w:rPr>
                <w:rFonts w:ascii="標楷體" w:eastAsia="標楷體" w:hAnsi="標楷體"/>
                <w:kern w:val="0"/>
              </w:rPr>
            </w:pPr>
            <w:r w:rsidRPr="002A20DA">
              <w:rPr>
                <w:rFonts w:ascii="標楷體" w:eastAsia="標楷體" w:hAnsi="標楷體" w:hint="eastAsia"/>
                <w:kern w:val="0"/>
              </w:rPr>
              <w:t>黃召集委員世杰</w:t>
            </w:r>
          </w:p>
        </w:tc>
        <w:tc>
          <w:tcPr>
            <w:tcW w:w="1538" w:type="dxa"/>
            <w:shd w:val="clear" w:color="auto" w:fill="auto"/>
          </w:tcPr>
          <w:p w14:paraId="65F3228E"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110.11.1、</w:t>
            </w:r>
          </w:p>
          <w:p w14:paraId="3B817D60"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110.11.3</w:t>
            </w:r>
          </w:p>
          <w:p w14:paraId="71B392E8"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（10-4-9）</w:t>
            </w:r>
          </w:p>
          <w:p w14:paraId="1117AF9E"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審竣111年度中央政府總預算案附屬單位預算非營業部分關於考試院考選部主管「考選業務基金」收支部分，須交由黨團協商。</w:t>
            </w:r>
          </w:p>
        </w:tc>
        <w:tc>
          <w:tcPr>
            <w:tcW w:w="1539" w:type="dxa"/>
            <w:vMerge w:val="restart"/>
            <w:shd w:val="clear" w:color="auto" w:fill="auto"/>
          </w:tcPr>
          <w:p w14:paraId="54B8F213" w14:textId="77777777" w:rsidR="00AE6B82" w:rsidRPr="0075364A" w:rsidRDefault="00AE6B82" w:rsidP="00B401A8">
            <w:pPr>
              <w:kinsoku w:val="0"/>
              <w:wordWrap w:val="0"/>
              <w:overflowPunct w:val="0"/>
              <w:autoSpaceDE w:val="0"/>
              <w:autoSpaceDN w:val="0"/>
              <w:spacing w:line="260" w:lineRule="exact"/>
              <w:rPr>
                <w:rFonts w:ascii="標楷體" w:eastAsia="標楷體" w:hAnsi="標楷體"/>
                <w:spacing w:val="-10"/>
                <w:kern w:val="0"/>
                <w:szCs w:val="22"/>
              </w:rPr>
            </w:pPr>
            <w:r w:rsidRPr="0075364A">
              <w:rPr>
                <w:rFonts w:ascii="標楷體" w:eastAsia="標楷體" w:hAnsi="標楷體" w:hint="eastAsia"/>
                <w:spacing w:val="-10"/>
                <w:kern w:val="0"/>
                <w:szCs w:val="22"/>
              </w:rPr>
              <w:t>1.111.5.6黨團協商。</w:t>
            </w:r>
          </w:p>
          <w:p w14:paraId="562BAD26" w14:textId="77777777" w:rsidR="00AE6B82" w:rsidRPr="0075364A" w:rsidRDefault="00AE6B82" w:rsidP="00B401A8">
            <w:pPr>
              <w:kinsoku w:val="0"/>
              <w:wordWrap w:val="0"/>
              <w:overflowPunct w:val="0"/>
              <w:autoSpaceDE w:val="0"/>
              <w:autoSpaceDN w:val="0"/>
              <w:spacing w:line="260" w:lineRule="exact"/>
              <w:rPr>
                <w:rFonts w:ascii="標楷體" w:eastAsia="標楷體" w:hAnsi="標楷體"/>
                <w:spacing w:val="-10"/>
                <w:kern w:val="0"/>
                <w:szCs w:val="22"/>
              </w:rPr>
            </w:pPr>
            <w:r w:rsidRPr="0075364A">
              <w:rPr>
                <w:rFonts w:ascii="標楷體" w:eastAsia="標楷體" w:hAnsi="標楷體" w:hint="eastAsia"/>
                <w:spacing w:val="-10"/>
                <w:kern w:val="0"/>
                <w:szCs w:val="22"/>
              </w:rPr>
              <w:t>2.111.5.20黨團協商。</w:t>
            </w:r>
          </w:p>
          <w:p w14:paraId="649E7A5F" w14:textId="77777777" w:rsidR="00AE6B82" w:rsidRPr="0075364A" w:rsidRDefault="00AE6B82" w:rsidP="00B401A8">
            <w:pPr>
              <w:kinsoku w:val="0"/>
              <w:wordWrap w:val="0"/>
              <w:overflowPunct w:val="0"/>
              <w:autoSpaceDE w:val="0"/>
              <w:autoSpaceDN w:val="0"/>
              <w:spacing w:line="260" w:lineRule="exact"/>
              <w:rPr>
                <w:rFonts w:ascii="標楷體" w:eastAsia="標楷體" w:hAnsi="標楷體"/>
                <w:spacing w:val="-10"/>
                <w:kern w:val="0"/>
                <w:szCs w:val="22"/>
              </w:rPr>
            </w:pPr>
            <w:r w:rsidRPr="0075364A">
              <w:rPr>
                <w:rFonts w:ascii="標楷體" w:eastAsia="標楷體" w:hAnsi="標楷體" w:hint="eastAsia"/>
                <w:spacing w:val="-10"/>
                <w:kern w:val="0"/>
                <w:szCs w:val="22"/>
              </w:rPr>
              <w:t>3.111.5.23黨團協商。</w:t>
            </w:r>
          </w:p>
          <w:p w14:paraId="2EC97A1C" w14:textId="77777777" w:rsidR="00AE6B82" w:rsidRPr="0075364A" w:rsidRDefault="00AE6B82" w:rsidP="00B401A8">
            <w:pPr>
              <w:kinsoku w:val="0"/>
              <w:wordWrap w:val="0"/>
              <w:overflowPunct w:val="0"/>
              <w:autoSpaceDE w:val="0"/>
              <w:autoSpaceDN w:val="0"/>
              <w:spacing w:line="260" w:lineRule="exact"/>
              <w:rPr>
                <w:rFonts w:ascii="標楷體" w:eastAsia="標楷體" w:hAnsi="標楷體"/>
                <w:spacing w:val="-10"/>
                <w:kern w:val="0"/>
                <w:szCs w:val="22"/>
              </w:rPr>
            </w:pPr>
            <w:r w:rsidRPr="0075364A">
              <w:rPr>
                <w:rFonts w:ascii="標楷體" w:eastAsia="標楷體" w:hAnsi="標楷體" w:hint="eastAsia"/>
                <w:spacing w:val="-10"/>
                <w:kern w:val="0"/>
                <w:szCs w:val="22"/>
              </w:rPr>
              <w:t>4</w:t>
            </w:r>
            <w:r w:rsidRPr="0075364A">
              <w:rPr>
                <w:rFonts w:ascii="標楷體" w:eastAsia="標楷體" w:hAnsi="標楷體"/>
                <w:spacing w:val="-10"/>
                <w:kern w:val="0"/>
                <w:szCs w:val="22"/>
              </w:rPr>
              <w:t>.</w:t>
            </w:r>
            <w:r w:rsidRPr="0075364A">
              <w:rPr>
                <w:rFonts w:ascii="標楷體" w:eastAsia="標楷體" w:hAnsi="標楷體" w:hint="eastAsia"/>
                <w:spacing w:val="-10"/>
                <w:kern w:val="0"/>
                <w:szCs w:val="22"/>
              </w:rPr>
              <w:t>111.5.2</w:t>
            </w:r>
            <w:r w:rsidRPr="0075364A">
              <w:rPr>
                <w:rFonts w:ascii="標楷體" w:eastAsia="標楷體" w:hAnsi="標楷體"/>
                <w:spacing w:val="-10"/>
                <w:kern w:val="0"/>
                <w:szCs w:val="22"/>
              </w:rPr>
              <w:t>5</w:t>
            </w:r>
            <w:r w:rsidRPr="0075364A">
              <w:rPr>
                <w:rFonts w:ascii="標楷體" w:eastAsia="標楷體" w:hAnsi="標楷體" w:hint="eastAsia"/>
                <w:spacing w:val="-10"/>
                <w:kern w:val="0"/>
                <w:szCs w:val="22"/>
              </w:rPr>
              <w:t>黨團協商。</w:t>
            </w:r>
          </w:p>
          <w:p w14:paraId="025E57B9" w14:textId="77777777" w:rsidR="00AE6B82" w:rsidRPr="0075364A" w:rsidRDefault="00AE6B82" w:rsidP="00B401A8">
            <w:pPr>
              <w:kinsoku w:val="0"/>
              <w:wordWrap w:val="0"/>
              <w:overflowPunct w:val="0"/>
              <w:autoSpaceDE w:val="0"/>
              <w:autoSpaceDN w:val="0"/>
              <w:spacing w:line="260" w:lineRule="exact"/>
              <w:rPr>
                <w:rFonts w:ascii="標楷體" w:eastAsia="標楷體" w:hAnsi="標楷體"/>
                <w:spacing w:val="-10"/>
                <w:kern w:val="0"/>
                <w:szCs w:val="22"/>
              </w:rPr>
            </w:pPr>
            <w:r w:rsidRPr="0075364A">
              <w:rPr>
                <w:rFonts w:ascii="標楷體" w:eastAsia="標楷體" w:hAnsi="標楷體" w:hint="eastAsia"/>
                <w:spacing w:val="-10"/>
                <w:kern w:val="0"/>
                <w:szCs w:val="22"/>
              </w:rPr>
              <w:t>5</w:t>
            </w:r>
            <w:r w:rsidRPr="0075364A">
              <w:rPr>
                <w:rFonts w:ascii="標楷體" w:eastAsia="標楷體" w:hAnsi="標楷體"/>
                <w:spacing w:val="-10"/>
                <w:kern w:val="0"/>
                <w:szCs w:val="22"/>
              </w:rPr>
              <w:t>.</w:t>
            </w:r>
            <w:r w:rsidRPr="0075364A">
              <w:rPr>
                <w:rFonts w:ascii="標楷體" w:eastAsia="標楷體" w:hAnsi="標楷體" w:hint="eastAsia"/>
                <w:spacing w:val="-10"/>
                <w:kern w:val="0"/>
                <w:szCs w:val="22"/>
              </w:rPr>
              <w:t>111.5.26黨團協商。</w:t>
            </w:r>
          </w:p>
          <w:p w14:paraId="7857F59F" w14:textId="77777777" w:rsidR="00AE6B82" w:rsidRPr="0075364A" w:rsidRDefault="00AE6B82" w:rsidP="00B401A8">
            <w:pPr>
              <w:kinsoku w:val="0"/>
              <w:wordWrap w:val="0"/>
              <w:overflowPunct w:val="0"/>
              <w:autoSpaceDE w:val="0"/>
              <w:autoSpaceDN w:val="0"/>
              <w:spacing w:line="260" w:lineRule="exact"/>
              <w:rPr>
                <w:rFonts w:ascii="標楷體" w:eastAsia="標楷體" w:hAnsi="標楷體"/>
                <w:spacing w:val="-10"/>
                <w:kern w:val="0"/>
                <w:szCs w:val="22"/>
              </w:rPr>
            </w:pPr>
            <w:r w:rsidRPr="0075364A">
              <w:rPr>
                <w:rFonts w:ascii="標楷體" w:eastAsia="標楷體" w:hAnsi="標楷體" w:hint="eastAsia"/>
                <w:spacing w:val="-10"/>
                <w:kern w:val="0"/>
                <w:szCs w:val="22"/>
              </w:rPr>
              <w:t>6.院會111.12.2（10-6-10）三讀通過。</w:t>
            </w:r>
          </w:p>
          <w:p w14:paraId="6176D56A" w14:textId="77777777" w:rsidR="00AE6B82" w:rsidRPr="0075364A" w:rsidRDefault="00AE6B82" w:rsidP="00B401A8">
            <w:pPr>
              <w:kinsoku w:val="0"/>
              <w:wordWrap w:val="0"/>
              <w:overflowPunct w:val="0"/>
              <w:autoSpaceDE w:val="0"/>
              <w:autoSpaceDN w:val="0"/>
              <w:snapToGrid w:val="0"/>
              <w:spacing w:line="300" w:lineRule="exact"/>
              <w:rPr>
                <w:rFonts w:ascii="標楷體" w:eastAsia="標楷體" w:hAnsi="標楷體"/>
                <w:spacing w:val="-10"/>
                <w:szCs w:val="22"/>
              </w:rPr>
            </w:pPr>
            <w:r w:rsidRPr="0075364A">
              <w:rPr>
                <w:rFonts w:ascii="標楷體" w:eastAsia="標楷體" w:hAnsi="標楷體" w:hint="eastAsia"/>
                <w:spacing w:val="-10"/>
                <w:szCs w:val="22"/>
              </w:rPr>
              <w:t>7.本院咨文</w:t>
            </w:r>
          </w:p>
          <w:p w14:paraId="26E62FA2" w14:textId="56722F78" w:rsidR="00AE6B82" w:rsidRPr="0075364A" w:rsidRDefault="00AE6B82" w:rsidP="00B401A8">
            <w:pPr>
              <w:kinsoku w:val="0"/>
              <w:wordWrap w:val="0"/>
              <w:overflowPunct w:val="0"/>
              <w:autoSpaceDE w:val="0"/>
              <w:autoSpaceDN w:val="0"/>
              <w:snapToGrid w:val="0"/>
              <w:spacing w:line="300" w:lineRule="exact"/>
              <w:rPr>
                <w:rFonts w:ascii="標楷體" w:eastAsia="標楷體" w:hAnsi="標楷體"/>
                <w:spacing w:val="-10"/>
                <w:szCs w:val="22"/>
              </w:rPr>
            </w:pPr>
            <w:r w:rsidRPr="0075364A">
              <w:rPr>
                <w:rFonts w:ascii="標楷體" w:eastAsia="標楷體" w:hAnsi="標楷體" w:hint="eastAsia"/>
                <w:spacing w:val="-10"/>
                <w:szCs w:val="22"/>
              </w:rPr>
              <w:t>日期及文號：111年12月21日台立院議字第1110704413號</w:t>
            </w:r>
            <w:r w:rsidR="00B401A8">
              <w:rPr>
                <w:rFonts w:ascii="標楷體" w:eastAsia="標楷體" w:hAnsi="標楷體" w:hint="eastAsia"/>
                <w:spacing w:val="-10"/>
                <w:szCs w:val="22"/>
              </w:rPr>
              <w:t>。</w:t>
            </w:r>
          </w:p>
          <w:p w14:paraId="67BE1172" w14:textId="77777777" w:rsidR="00AE6B82" w:rsidRPr="0075364A" w:rsidRDefault="00AE6B82" w:rsidP="00B401A8">
            <w:pPr>
              <w:kinsoku w:val="0"/>
              <w:wordWrap w:val="0"/>
              <w:overflowPunct w:val="0"/>
              <w:autoSpaceDE w:val="0"/>
              <w:autoSpaceDN w:val="0"/>
              <w:snapToGrid w:val="0"/>
              <w:spacing w:line="300" w:lineRule="exact"/>
              <w:rPr>
                <w:rFonts w:ascii="標楷體" w:eastAsia="標楷體" w:hAnsi="標楷體"/>
                <w:spacing w:val="-10"/>
                <w:szCs w:val="22"/>
              </w:rPr>
            </w:pPr>
            <w:r w:rsidRPr="0075364A">
              <w:rPr>
                <w:rFonts w:ascii="標楷體" w:eastAsia="標楷體" w:hAnsi="標楷體" w:hint="eastAsia"/>
                <w:spacing w:val="-10"/>
                <w:szCs w:val="22"/>
              </w:rPr>
              <w:t>8.總統公布日期及文號，總統府公報：</w:t>
            </w:r>
          </w:p>
          <w:p w14:paraId="01B03A14" w14:textId="1725A65E" w:rsidR="00AE6B82" w:rsidRPr="0075364A" w:rsidRDefault="00AE6B82" w:rsidP="00B401A8">
            <w:pPr>
              <w:kinsoku w:val="0"/>
              <w:wordWrap w:val="0"/>
              <w:overflowPunct w:val="0"/>
              <w:autoSpaceDE w:val="0"/>
              <w:autoSpaceDN w:val="0"/>
              <w:snapToGrid w:val="0"/>
              <w:spacing w:line="300" w:lineRule="exact"/>
              <w:rPr>
                <w:rFonts w:ascii="標楷體" w:eastAsia="標楷體" w:hAnsi="標楷體"/>
                <w:b/>
                <w:spacing w:val="-10"/>
                <w:szCs w:val="22"/>
              </w:rPr>
            </w:pPr>
            <w:r w:rsidRPr="0075364A">
              <w:rPr>
                <w:rFonts w:ascii="標楷體" w:eastAsia="標楷體" w:hAnsi="標楷體" w:hint="eastAsia"/>
                <w:spacing w:val="-10"/>
                <w:szCs w:val="22"/>
              </w:rPr>
              <w:t>111年12月28日華總一經字第1110010999</w:t>
            </w:r>
            <w:r w:rsidRPr="0075364A">
              <w:rPr>
                <w:rFonts w:ascii="標楷體" w:eastAsia="標楷體" w:hAnsi="標楷體" w:hint="eastAsia"/>
                <w:spacing w:val="-10"/>
                <w:szCs w:val="22"/>
              </w:rPr>
              <w:lastRenderedPageBreak/>
              <w:t>1號，第7636號</w:t>
            </w:r>
            <w:r w:rsidR="0075364A" w:rsidRPr="0075364A">
              <w:rPr>
                <w:rFonts w:ascii="標楷體" w:eastAsia="標楷體" w:hAnsi="標楷體" w:hint="eastAsia"/>
                <w:spacing w:val="-10"/>
                <w:szCs w:val="22"/>
              </w:rPr>
              <w:t>。</w:t>
            </w:r>
          </w:p>
        </w:tc>
      </w:tr>
      <w:tr w:rsidR="00AE6B82" w:rsidRPr="002A20DA" w14:paraId="6E2925B2" w14:textId="77777777" w:rsidTr="00EC13B7">
        <w:tc>
          <w:tcPr>
            <w:tcW w:w="581" w:type="dxa"/>
            <w:vMerge/>
            <w:shd w:val="clear" w:color="auto" w:fill="auto"/>
          </w:tcPr>
          <w:p w14:paraId="78EE5964" w14:textId="77777777" w:rsidR="00AE6B82" w:rsidRPr="002A20DA" w:rsidRDefault="00AE6B82" w:rsidP="00EC13B7">
            <w:pPr>
              <w:spacing w:line="300" w:lineRule="exact"/>
              <w:jc w:val="center"/>
              <w:rPr>
                <w:rFonts w:ascii="標楷體" w:eastAsia="標楷體" w:hAnsi="標楷體"/>
                <w:b/>
                <w:spacing w:val="-20"/>
                <w:szCs w:val="22"/>
              </w:rPr>
            </w:pPr>
          </w:p>
        </w:tc>
        <w:tc>
          <w:tcPr>
            <w:tcW w:w="2058" w:type="dxa"/>
            <w:vMerge/>
            <w:shd w:val="clear" w:color="auto" w:fill="auto"/>
          </w:tcPr>
          <w:p w14:paraId="6AE85892" w14:textId="77777777" w:rsidR="00AE6B82" w:rsidRPr="002A20DA" w:rsidRDefault="00AE6B82" w:rsidP="00EC13B7">
            <w:pPr>
              <w:spacing w:line="300" w:lineRule="exact"/>
              <w:jc w:val="center"/>
              <w:rPr>
                <w:rFonts w:ascii="標楷體" w:eastAsia="標楷體" w:hAnsi="標楷體"/>
                <w:b/>
                <w:spacing w:val="-20"/>
                <w:szCs w:val="22"/>
              </w:rPr>
            </w:pPr>
          </w:p>
        </w:tc>
        <w:tc>
          <w:tcPr>
            <w:tcW w:w="1664" w:type="dxa"/>
            <w:vMerge/>
            <w:shd w:val="clear" w:color="auto" w:fill="auto"/>
          </w:tcPr>
          <w:p w14:paraId="6E9AD3FE" w14:textId="77777777" w:rsidR="00AE6B82" w:rsidRPr="002A20DA" w:rsidRDefault="00AE6B82" w:rsidP="00EC13B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44C3BA53" w14:textId="77777777" w:rsidR="00AE6B82" w:rsidRPr="002A20DA" w:rsidRDefault="00AE6B82" w:rsidP="00EC13B7">
            <w:pPr>
              <w:spacing w:line="300" w:lineRule="exact"/>
              <w:jc w:val="center"/>
              <w:rPr>
                <w:rFonts w:ascii="標楷體" w:eastAsia="標楷體" w:hAnsi="標楷體"/>
                <w:b/>
                <w:spacing w:val="-20"/>
                <w:szCs w:val="22"/>
              </w:rPr>
            </w:pPr>
          </w:p>
        </w:tc>
        <w:tc>
          <w:tcPr>
            <w:tcW w:w="1538" w:type="dxa"/>
            <w:shd w:val="clear" w:color="auto" w:fill="auto"/>
          </w:tcPr>
          <w:p w14:paraId="23CFD028"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110.11.1、</w:t>
            </w:r>
          </w:p>
          <w:p w14:paraId="76714560"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110.11.3</w:t>
            </w:r>
          </w:p>
          <w:p w14:paraId="727F7293"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（10-4-9）</w:t>
            </w:r>
          </w:p>
          <w:p w14:paraId="1E5B779A"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審竣111年度中央政府總預算案附屬單位預算非營業部分關於考試院銓敘部主管「公務人員退休撫卹基金」收支部分，須交</w:t>
            </w:r>
            <w:r w:rsidRPr="002A20DA">
              <w:rPr>
                <w:rFonts w:ascii="標楷體" w:eastAsia="標楷體" w:hAnsi="標楷體" w:hint="eastAsia"/>
                <w:kern w:val="0"/>
              </w:rPr>
              <w:lastRenderedPageBreak/>
              <w:t>由黨團協商。</w:t>
            </w:r>
          </w:p>
        </w:tc>
        <w:tc>
          <w:tcPr>
            <w:tcW w:w="1539" w:type="dxa"/>
            <w:vMerge/>
            <w:shd w:val="clear" w:color="auto" w:fill="auto"/>
          </w:tcPr>
          <w:p w14:paraId="36080EB6" w14:textId="77777777" w:rsidR="00AE6B82" w:rsidRPr="002A20DA" w:rsidRDefault="00AE6B82" w:rsidP="00EC13B7">
            <w:pPr>
              <w:spacing w:line="300" w:lineRule="exact"/>
              <w:jc w:val="center"/>
              <w:rPr>
                <w:rFonts w:ascii="標楷體" w:eastAsia="標楷體" w:hAnsi="標楷體"/>
                <w:b/>
                <w:spacing w:val="-20"/>
                <w:szCs w:val="22"/>
              </w:rPr>
            </w:pPr>
          </w:p>
        </w:tc>
      </w:tr>
      <w:tr w:rsidR="00AE6B82" w:rsidRPr="002A20DA" w14:paraId="34134EA9" w14:textId="77777777" w:rsidTr="00EC13B7">
        <w:tc>
          <w:tcPr>
            <w:tcW w:w="581" w:type="dxa"/>
            <w:vMerge/>
            <w:shd w:val="clear" w:color="auto" w:fill="auto"/>
          </w:tcPr>
          <w:p w14:paraId="3B9805BD" w14:textId="77777777" w:rsidR="00AE6B82" w:rsidRPr="002A20DA" w:rsidRDefault="00AE6B82" w:rsidP="00EC13B7">
            <w:pPr>
              <w:spacing w:line="300" w:lineRule="exact"/>
              <w:jc w:val="center"/>
              <w:rPr>
                <w:rFonts w:ascii="標楷體" w:eastAsia="標楷體" w:hAnsi="標楷體"/>
                <w:b/>
                <w:spacing w:val="-20"/>
                <w:szCs w:val="22"/>
              </w:rPr>
            </w:pPr>
          </w:p>
        </w:tc>
        <w:tc>
          <w:tcPr>
            <w:tcW w:w="2058" w:type="dxa"/>
            <w:vMerge/>
            <w:shd w:val="clear" w:color="auto" w:fill="auto"/>
          </w:tcPr>
          <w:p w14:paraId="5221090A" w14:textId="77777777" w:rsidR="00AE6B82" w:rsidRPr="002A20DA" w:rsidRDefault="00AE6B82" w:rsidP="00EC13B7">
            <w:pPr>
              <w:spacing w:line="300" w:lineRule="exact"/>
              <w:jc w:val="center"/>
              <w:rPr>
                <w:rFonts w:ascii="標楷體" w:eastAsia="標楷體" w:hAnsi="標楷體"/>
                <w:b/>
                <w:spacing w:val="-20"/>
                <w:szCs w:val="22"/>
              </w:rPr>
            </w:pPr>
          </w:p>
        </w:tc>
        <w:tc>
          <w:tcPr>
            <w:tcW w:w="1664" w:type="dxa"/>
            <w:vMerge/>
            <w:shd w:val="clear" w:color="auto" w:fill="auto"/>
          </w:tcPr>
          <w:p w14:paraId="58649541" w14:textId="77777777" w:rsidR="00AE6B82" w:rsidRPr="002A20DA" w:rsidRDefault="00AE6B82" w:rsidP="00EC13B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25BEC98A" w14:textId="77777777" w:rsidR="00AE6B82" w:rsidRPr="002A20DA" w:rsidRDefault="00AE6B82" w:rsidP="00EC13B7">
            <w:pPr>
              <w:spacing w:line="300" w:lineRule="exact"/>
              <w:jc w:val="center"/>
              <w:rPr>
                <w:rFonts w:ascii="標楷體" w:eastAsia="標楷體" w:hAnsi="標楷體"/>
                <w:b/>
                <w:spacing w:val="-20"/>
                <w:szCs w:val="22"/>
              </w:rPr>
            </w:pPr>
          </w:p>
        </w:tc>
        <w:tc>
          <w:tcPr>
            <w:tcW w:w="1538" w:type="dxa"/>
            <w:shd w:val="clear" w:color="auto" w:fill="auto"/>
          </w:tcPr>
          <w:p w14:paraId="23466E54"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110.11.15、</w:t>
            </w:r>
          </w:p>
          <w:p w14:paraId="60035306"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110.11.17</w:t>
            </w:r>
          </w:p>
          <w:p w14:paraId="7A94E418"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（10-4-12）</w:t>
            </w:r>
          </w:p>
          <w:p w14:paraId="3CFF6188"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審竣111年度中央政府總預算案附屬單位預算非營業部分關於行政院主管「促進轉型正義基金」收支部分，須交由黨團協商。</w:t>
            </w:r>
          </w:p>
        </w:tc>
        <w:tc>
          <w:tcPr>
            <w:tcW w:w="1539" w:type="dxa"/>
            <w:vMerge/>
            <w:shd w:val="clear" w:color="auto" w:fill="auto"/>
          </w:tcPr>
          <w:p w14:paraId="2C4D7F24" w14:textId="77777777" w:rsidR="00AE6B82" w:rsidRPr="002A20DA" w:rsidRDefault="00AE6B82" w:rsidP="00EC13B7">
            <w:pPr>
              <w:spacing w:line="300" w:lineRule="exact"/>
              <w:jc w:val="center"/>
              <w:rPr>
                <w:rFonts w:ascii="標楷體" w:eastAsia="標楷體" w:hAnsi="標楷體"/>
                <w:b/>
                <w:spacing w:val="-20"/>
                <w:szCs w:val="22"/>
              </w:rPr>
            </w:pPr>
          </w:p>
        </w:tc>
      </w:tr>
      <w:tr w:rsidR="00AE6B82" w:rsidRPr="002A20DA" w14:paraId="46E58222" w14:textId="77777777" w:rsidTr="00EC13B7">
        <w:tc>
          <w:tcPr>
            <w:tcW w:w="581" w:type="dxa"/>
            <w:vMerge/>
            <w:shd w:val="clear" w:color="auto" w:fill="auto"/>
          </w:tcPr>
          <w:p w14:paraId="63BD8747" w14:textId="77777777" w:rsidR="00AE6B82" w:rsidRPr="002A20DA" w:rsidRDefault="00AE6B82" w:rsidP="00EC13B7">
            <w:pPr>
              <w:spacing w:line="300" w:lineRule="exact"/>
              <w:jc w:val="center"/>
              <w:rPr>
                <w:rFonts w:ascii="標楷體" w:eastAsia="標楷體" w:hAnsi="標楷體"/>
                <w:b/>
                <w:spacing w:val="-20"/>
                <w:szCs w:val="22"/>
              </w:rPr>
            </w:pPr>
          </w:p>
        </w:tc>
        <w:tc>
          <w:tcPr>
            <w:tcW w:w="2058" w:type="dxa"/>
            <w:vMerge/>
            <w:shd w:val="clear" w:color="auto" w:fill="auto"/>
          </w:tcPr>
          <w:p w14:paraId="78FB9F7B" w14:textId="77777777" w:rsidR="00AE6B82" w:rsidRPr="002A20DA" w:rsidRDefault="00AE6B82" w:rsidP="00EC13B7">
            <w:pPr>
              <w:spacing w:line="300" w:lineRule="exact"/>
              <w:jc w:val="center"/>
              <w:rPr>
                <w:rFonts w:ascii="標楷體" w:eastAsia="標楷體" w:hAnsi="標楷體"/>
                <w:b/>
                <w:spacing w:val="-20"/>
                <w:szCs w:val="22"/>
              </w:rPr>
            </w:pPr>
          </w:p>
        </w:tc>
        <w:tc>
          <w:tcPr>
            <w:tcW w:w="1664" w:type="dxa"/>
            <w:vMerge/>
            <w:shd w:val="clear" w:color="auto" w:fill="auto"/>
          </w:tcPr>
          <w:p w14:paraId="68223914" w14:textId="77777777" w:rsidR="00AE6B82" w:rsidRPr="002A20DA" w:rsidRDefault="00AE6B82" w:rsidP="00EC13B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val="restart"/>
            <w:shd w:val="clear" w:color="auto" w:fill="auto"/>
          </w:tcPr>
          <w:p w14:paraId="03F496CD" w14:textId="77777777" w:rsidR="00AE6B82" w:rsidRPr="002A20DA" w:rsidRDefault="00AE6B82" w:rsidP="00EC13B7">
            <w:pPr>
              <w:spacing w:line="260" w:lineRule="exact"/>
              <w:rPr>
                <w:rFonts w:ascii="標楷體" w:eastAsia="標楷體" w:hAnsi="標楷體"/>
                <w:kern w:val="0"/>
              </w:rPr>
            </w:pPr>
            <w:r w:rsidRPr="002A20DA">
              <w:rPr>
                <w:rFonts w:ascii="標楷體" w:eastAsia="標楷體" w:hAnsi="標楷體" w:hint="eastAsia"/>
                <w:kern w:val="0"/>
              </w:rPr>
              <w:t>司法及法制</w:t>
            </w:r>
          </w:p>
          <w:p w14:paraId="5949E47A" w14:textId="77777777" w:rsidR="00AE6B82" w:rsidRPr="002A20DA" w:rsidRDefault="00AE6B82" w:rsidP="00EC13B7">
            <w:pPr>
              <w:spacing w:line="300" w:lineRule="exact"/>
              <w:rPr>
                <w:rFonts w:ascii="標楷體" w:eastAsia="標楷體" w:hAnsi="標楷體"/>
                <w:b/>
                <w:spacing w:val="-20"/>
                <w:szCs w:val="22"/>
              </w:rPr>
            </w:pPr>
            <w:r w:rsidRPr="002A20DA">
              <w:rPr>
                <w:rFonts w:ascii="標楷體" w:eastAsia="標楷體" w:hAnsi="標楷體" w:hint="eastAsia"/>
                <w:kern w:val="0"/>
              </w:rPr>
              <w:t>葉召集委員毓蘭</w:t>
            </w:r>
          </w:p>
        </w:tc>
        <w:tc>
          <w:tcPr>
            <w:tcW w:w="1538" w:type="dxa"/>
            <w:shd w:val="clear" w:color="auto" w:fill="auto"/>
          </w:tcPr>
          <w:p w14:paraId="02CF0A65"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110.11.8、</w:t>
            </w:r>
          </w:p>
          <w:p w14:paraId="5BCE71A6"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110.11.10</w:t>
            </w:r>
          </w:p>
          <w:p w14:paraId="19EAC68D"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（10-4-11）</w:t>
            </w:r>
          </w:p>
          <w:p w14:paraId="5ECFC026"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審竣111年度中央政府總預算案附屬單位預算非營業部分關於行政院人事行政總處主管「中央公教人員急難救助基金」收支部分，須交由黨團協商。</w:t>
            </w:r>
          </w:p>
        </w:tc>
        <w:tc>
          <w:tcPr>
            <w:tcW w:w="1539" w:type="dxa"/>
            <w:vMerge/>
            <w:shd w:val="clear" w:color="auto" w:fill="auto"/>
          </w:tcPr>
          <w:p w14:paraId="630B6318" w14:textId="77777777" w:rsidR="00AE6B82" w:rsidRPr="002A20DA" w:rsidRDefault="00AE6B82" w:rsidP="00EC13B7">
            <w:pPr>
              <w:spacing w:line="300" w:lineRule="exact"/>
              <w:jc w:val="center"/>
              <w:rPr>
                <w:rFonts w:ascii="標楷體" w:eastAsia="標楷體" w:hAnsi="標楷體"/>
                <w:b/>
                <w:spacing w:val="-20"/>
                <w:szCs w:val="22"/>
              </w:rPr>
            </w:pPr>
          </w:p>
        </w:tc>
      </w:tr>
      <w:tr w:rsidR="00AE6B82" w:rsidRPr="002A20DA" w14:paraId="65D92828" w14:textId="77777777" w:rsidTr="00EC13B7">
        <w:tc>
          <w:tcPr>
            <w:tcW w:w="581" w:type="dxa"/>
            <w:vMerge/>
            <w:shd w:val="clear" w:color="auto" w:fill="auto"/>
          </w:tcPr>
          <w:p w14:paraId="6DBE3A33" w14:textId="77777777" w:rsidR="00AE6B82" w:rsidRPr="002A20DA" w:rsidRDefault="00AE6B82" w:rsidP="00EC13B7">
            <w:pPr>
              <w:spacing w:line="300" w:lineRule="exact"/>
              <w:jc w:val="center"/>
              <w:rPr>
                <w:rFonts w:ascii="標楷體" w:eastAsia="標楷體" w:hAnsi="標楷體"/>
                <w:b/>
                <w:spacing w:val="-20"/>
                <w:szCs w:val="22"/>
              </w:rPr>
            </w:pPr>
          </w:p>
        </w:tc>
        <w:tc>
          <w:tcPr>
            <w:tcW w:w="2058" w:type="dxa"/>
            <w:vMerge/>
            <w:shd w:val="clear" w:color="auto" w:fill="auto"/>
          </w:tcPr>
          <w:p w14:paraId="35CBAD4A" w14:textId="77777777" w:rsidR="00AE6B82" w:rsidRPr="002A20DA" w:rsidRDefault="00AE6B82" w:rsidP="00EC13B7">
            <w:pPr>
              <w:spacing w:line="300" w:lineRule="exact"/>
              <w:jc w:val="center"/>
              <w:rPr>
                <w:rFonts w:ascii="標楷體" w:eastAsia="標楷體" w:hAnsi="標楷體"/>
                <w:b/>
                <w:spacing w:val="-20"/>
                <w:szCs w:val="22"/>
              </w:rPr>
            </w:pPr>
          </w:p>
        </w:tc>
        <w:tc>
          <w:tcPr>
            <w:tcW w:w="1664" w:type="dxa"/>
            <w:vMerge/>
            <w:shd w:val="clear" w:color="auto" w:fill="auto"/>
          </w:tcPr>
          <w:p w14:paraId="61C3C5F9" w14:textId="77777777" w:rsidR="00AE6B82" w:rsidRPr="002A20DA" w:rsidRDefault="00AE6B82" w:rsidP="00EC13B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2E8ED659" w14:textId="77777777" w:rsidR="00AE6B82" w:rsidRPr="002A20DA" w:rsidRDefault="00AE6B82" w:rsidP="00EC13B7">
            <w:pPr>
              <w:spacing w:line="300" w:lineRule="exact"/>
              <w:jc w:val="center"/>
              <w:rPr>
                <w:rFonts w:ascii="標楷體" w:eastAsia="標楷體" w:hAnsi="標楷體"/>
                <w:b/>
                <w:spacing w:val="-20"/>
                <w:szCs w:val="22"/>
              </w:rPr>
            </w:pPr>
          </w:p>
        </w:tc>
        <w:tc>
          <w:tcPr>
            <w:tcW w:w="1538" w:type="dxa"/>
            <w:shd w:val="clear" w:color="auto" w:fill="auto"/>
          </w:tcPr>
          <w:p w14:paraId="38C1D598"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szCs w:val="22"/>
              </w:rPr>
              <w:t>1</w:t>
            </w:r>
            <w:r w:rsidRPr="002A20DA">
              <w:rPr>
                <w:rFonts w:ascii="標楷體" w:eastAsia="標楷體" w:hAnsi="標楷體" w:hint="eastAsia"/>
                <w:kern w:val="0"/>
              </w:rPr>
              <w:t>10.11.24</w:t>
            </w:r>
          </w:p>
          <w:p w14:paraId="7F2C0A12"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（10-4-15）</w:t>
            </w:r>
          </w:p>
          <w:p w14:paraId="578B5D48"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、110.12.20</w:t>
            </w:r>
          </w:p>
          <w:p w14:paraId="18868008"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（10-4-20）</w:t>
            </w:r>
          </w:p>
          <w:p w14:paraId="7AEA6375"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審竣111年度中央政府總預算案附屬單位預算非營業部分關於法務部主管「法務部矯正機關作業基金」收支部分，須交由黨團協商。</w:t>
            </w:r>
          </w:p>
        </w:tc>
        <w:tc>
          <w:tcPr>
            <w:tcW w:w="1539" w:type="dxa"/>
            <w:vMerge/>
            <w:shd w:val="clear" w:color="auto" w:fill="auto"/>
          </w:tcPr>
          <w:p w14:paraId="0CF67452" w14:textId="77777777" w:rsidR="00AE6B82" w:rsidRPr="002A20DA" w:rsidRDefault="00AE6B82" w:rsidP="00EC13B7">
            <w:pPr>
              <w:spacing w:line="300" w:lineRule="exact"/>
              <w:jc w:val="center"/>
              <w:rPr>
                <w:rFonts w:ascii="標楷體" w:eastAsia="標楷體" w:hAnsi="標楷體"/>
                <w:b/>
                <w:spacing w:val="-20"/>
                <w:szCs w:val="22"/>
              </w:rPr>
            </w:pPr>
          </w:p>
        </w:tc>
      </w:tr>
      <w:tr w:rsidR="00AE6B82" w:rsidRPr="002A20DA" w14:paraId="54C49664" w14:textId="77777777" w:rsidTr="00EC13B7">
        <w:tc>
          <w:tcPr>
            <w:tcW w:w="581" w:type="dxa"/>
            <w:vMerge/>
            <w:shd w:val="clear" w:color="auto" w:fill="auto"/>
          </w:tcPr>
          <w:p w14:paraId="56E6737A" w14:textId="77777777" w:rsidR="00AE6B82" w:rsidRPr="002A20DA" w:rsidRDefault="00AE6B82" w:rsidP="00EC13B7">
            <w:pPr>
              <w:spacing w:line="300" w:lineRule="exact"/>
              <w:jc w:val="center"/>
              <w:rPr>
                <w:rFonts w:ascii="標楷體" w:eastAsia="標楷體" w:hAnsi="標楷體"/>
                <w:b/>
                <w:spacing w:val="-20"/>
                <w:szCs w:val="22"/>
              </w:rPr>
            </w:pPr>
          </w:p>
        </w:tc>
        <w:tc>
          <w:tcPr>
            <w:tcW w:w="2058" w:type="dxa"/>
            <w:vMerge/>
            <w:shd w:val="clear" w:color="auto" w:fill="auto"/>
          </w:tcPr>
          <w:p w14:paraId="61E8ED34" w14:textId="77777777" w:rsidR="00AE6B82" w:rsidRPr="002A20DA" w:rsidRDefault="00AE6B82" w:rsidP="00EC13B7">
            <w:pPr>
              <w:spacing w:line="300" w:lineRule="exact"/>
              <w:jc w:val="center"/>
              <w:rPr>
                <w:rFonts w:ascii="標楷體" w:eastAsia="標楷體" w:hAnsi="標楷體"/>
                <w:b/>
                <w:spacing w:val="-20"/>
                <w:szCs w:val="22"/>
              </w:rPr>
            </w:pPr>
          </w:p>
        </w:tc>
        <w:tc>
          <w:tcPr>
            <w:tcW w:w="1664" w:type="dxa"/>
            <w:vMerge/>
            <w:shd w:val="clear" w:color="auto" w:fill="auto"/>
          </w:tcPr>
          <w:p w14:paraId="3FE0D495" w14:textId="77777777" w:rsidR="00AE6B82" w:rsidRPr="002A20DA" w:rsidRDefault="00AE6B82" w:rsidP="00EC13B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2F48392A" w14:textId="77777777" w:rsidR="00AE6B82" w:rsidRPr="002A20DA" w:rsidRDefault="00AE6B82" w:rsidP="00EC13B7">
            <w:pPr>
              <w:spacing w:line="300" w:lineRule="exact"/>
              <w:jc w:val="center"/>
              <w:rPr>
                <w:rFonts w:ascii="標楷體" w:eastAsia="標楷體" w:hAnsi="標楷體"/>
                <w:b/>
                <w:spacing w:val="-20"/>
                <w:szCs w:val="22"/>
              </w:rPr>
            </w:pPr>
          </w:p>
        </w:tc>
        <w:tc>
          <w:tcPr>
            <w:tcW w:w="1538" w:type="dxa"/>
            <w:shd w:val="clear" w:color="auto" w:fill="auto"/>
          </w:tcPr>
          <w:p w14:paraId="00C5BC5B"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110.11.24</w:t>
            </w:r>
          </w:p>
          <w:p w14:paraId="3CD79619"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（10-4-15）</w:t>
            </w:r>
          </w:p>
          <w:p w14:paraId="35A608E9"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、110.12.20</w:t>
            </w:r>
          </w:p>
          <w:p w14:paraId="3DB0B10E"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（10-4-20）</w:t>
            </w:r>
          </w:p>
          <w:p w14:paraId="3E853AD5" w14:textId="77777777" w:rsidR="00AE6B82" w:rsidRPr="002A20DA" w:rsidRDefault="00AE6B82" w:rsidP="00EC13B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w:t>
            </w:r>
            <w:r w:rsidRPr="002A20DA">
              <w:rPr>
                <w:rFonts w:ascii="標楷體" w:eastAsia="標楷體" w:hAnsi="標楷體" w:hint="eastAsia"/>
                <w:color w:val="000000"/>
                <w:kern w:val="0"/>
              </w:rPr>
              <w:t>111年度中央政府總預算案附屬單位預算非</w:t>
            </w:r>
            <w:r w:rsidRPr="002A20DA">
              <w:rPr>
                <w:rFonts w:ascii="標楷體" w:eastAsia="標楷體" w:hAnsi="標楷體" w:hint="eastAsia"/>
                <w:color w:val="000000"/>
                <w:kern w:val="0"/>
              </w:rPr>
              <w:lastRenderedPageBreak/>
              <w:t>營業部分關於法務部主管「毒品防制基金」收支部分</w:t>
            </w:r>
            <w:r w:rsidRPr="002A20DA">
              <w:rPr>
                <w:rFonts w:ascii="標楷體" w:eastAsia="標楷體" w:hAnsi="標楷體" w:hint="eastAsia"/>
                <w:kern w:val="0"/>
              </w:rPr>
              <w:t>，須交由黨團協商。</w:t>
            </w:r>
          </w:p>
        </w:tc>
        <w:tc>
          <w:tcPr>
            <w:tcW w:w="1539" w:type="dxa"/>
            <w:vMerge/>
            <w:shd w:val="clear" w:color="auto" w:fill="auto"/>
          </w:tcPr>
          <w:p w14:paraId="182EC191" w14:textId="77777777" w:rsidR="00AE6B82" w:rsidRPr="002A20DA" w:rsidRDefault="00AE6B82" w:rsidP="00EC13B7">
            <w:pPr>
              <w:spacing w:line="300" w:lineRule="exact"/>
              <w:jc w:val="center"/>
              <w:rPr>
                <w:rFonts w:ascii="標楷體" w:eastAsia="標楷體" w:hAnsi="標楷體"/>
                <w:b/>
                <w:spacing w:val="-20"/>
                <w:szCs w:val="22"/>
              </w:rPr>
            </w:pPr>
          </w:p>
        </w:tc>
      </w:tr>
      <w:tr w:rsidR="00F52C97" w:rsidRPr="002A20DA" w14:paraId="12B21857" w14:textId="77777777" w:rsidTr="00EC13B7">
        <w:tc>
          <w:tcPr>
            <w:tcW w:w="581" w:type="dxa"/>
            <w:vMerge w:val="restart"/>
            <w:shd w:val="clear" w:color="auto" w:fill="auto"/>
          </w:tcPr>
          <w:p w14:paraId="14CA5572" w14:textId="77777777" w:rsidR="00F52C97" w:rsidRPr="002A20DA" w:rsidRDefault="00F52C97" w:rsidP="00F52C97">
            <w:pPr>
              <w:spacing w:line="300" w:lineRule="exact"/>
              <w:jc w:val="center"/>
              <w:rPr>
                <w:rFonts w:ascii="標楷體" w:eastAsia="標楷體" w:hAnsi="標楷體"/>
                <w:b/>
                <w:spacing w:val="-20"/>
                <w:szCs w:val="22"/>
              </w:rPr>
            </w:pPr>
            <w:r w:rsidRPr="002A20DA">
              <w:rPr>
                <w:rFonts w:ascii="標楷體" w:eastAsia="標楷體" w:hAnsi="標楷體" w:hint="eastAsia"/>
                <w:b/>
                <w:spacing w:val="-20"/>
                <w:szCs w:val="22"/>
              </w:rPr>
              <w:lastRenderedPageBreak/>
              <w:t>2</w:t>
            </w:r>
          </w:p>
        </w:tc>
        <w:tc>
          <w:tcPr>
            <w:tcW w:w="2058" w:type="dxa"/>
            <w:vMerge w:val="restart"/>
            <w:shd w:val="clear" w:color="auto" w:fill="auto"/>
          </w:tcPr>
          <w:p w14:paraId="313CA518" w14:textId="77777777" w:rsidR="00F52C97" w:rsidRPr="002A20DA" w:rsidRDefault="00F52C97" w:rsidP="00F52C97">
            <w:pPr>
              <w:spacing w:line="260" w:lineRule="exact"/>
              <w:ind w:leftChars="-45" w:left="-108" w:rightChars="-45" w:right="-108"/>
              <w:rPr>
                <w:rFonts w:ascii="Calibri" w:hAnsi="Calibri"/>
                <w:szCs w:val="22"/>
              </w:rPr>
            </w:pPr>
            <w:r w:rsidRPr="002A20DA">
              <w:rPr>
                <w:rFonts w:ascii="標楷體" w:eastAsia="標楷體" w:hAnsi="標楷體" w:hint="eastAsia"/>
                <w:kern w:val="0"/>
                <w:szCs w:val="22"/>
              </w:rPr>
              <w:t>中華民國11</w:t>
            </w:r>
            <w:r w:rsidRPr="002A20DA">
              <w:rPr>
                <w:rFonts w:ascii="標楷體" w:eastAsia="標楷體" w:hAnsi="標楷體"/>
                <w:kern w:val="0"/>
                <w:szCs w:val="22"/>
              </w:rPr>
              <w:t>2</w:t>
            </w:r>
            <w:r w:rsidRPr="002A20DA">
              <w:rPr>
                <w:rFonts w:ascii="標楷體" w:eastAsia="標楷體" w:hAnsi="標楷體" w:hint="eastAsia"/>
                <w:kern w:val="0"/>
                <w:szCs w:val="22"/>
              </w:rPr>
              <w:t>年度中央政府總預算案（公務預算</w:t>
            </w:r>
            <w:r w:rsidRPr="002A20DA">
              <w:rPr>
                <w:rFonts w:ascii="標楷體" w:eastAsia="標楷體" w:hAnsi="標楷體"/>
                <w:kern w:val="0"/>
                <w:szCs w:val="22"/>
              </w:rPr>
              <w:t>部分</w:t>
            </w:r>
            <w:r w:rsidRPr="002A20DA">
              <w:rPr>
                <w:rFonts w:ascii="標楷體" w:eastAsia="標楷體" w:hAnsi="標楷體" w:hint="eastAsia"/>
                <w:kern w:val="0"/>
                <w:szCs w:val="22"/>
              </w:rPr>
              <w:t>）</w:t>
            </w:r>
          </w:p>
        </w:tc>
        <w:tc>
          <w:tcPr>
            <w:tcW w:w="1664" w:type="dxa"/>
            <w:vMerge w:val="restart"/>
            <w:shd w:val="clear" w:color="auto" w:fill="auto"/>
          </w:tcPr>
          <w:p w14:paraId="7E9669C6" w14:textId="77777777" w:rsidR="00F52C97" w:rsidRPr="002A20DA" w:rsidRDefault="00F52C97" w:rsidP="00F52C97">
            <w:pPr>
              <w:spacing w:line="260" w:lineRule="exact"/>
              <w:ind w:rightChars="-45" w:right="-108"/>
              <w:rPr>
                <w:rFonts w:ascii="標楷體" w:eastAsia="標楷體" w:hAnsi="標楷體"/>
                <w:kern w:val="0"/>
                <w:szCs w:val="22"/>
              </w:rPr>
            </w:pPr>
            <w:r w:rsidRPr="002A20DA">
              <w:rPr>
                <w:rFonts w:ascii="標楷體" w:eastAsia="標楷體" w:hAnsi="標楷體" w:hint="eastAsia"/>
                <w:kern w:val="0"/>
                <w:szCs w:val="22"/>
              </w:rPr>
              <w:t xml:space="preserve">行政院 </w:t>
            </w:r>
          </w:p>
          <w:p w14:paraId="6B64CBE2" w14:textId="77777777" w:rsidR="00F52C97" w:rsidRPr="002A20DA" w:rsidRDefault="00F52C97" w:rsidP="00F52C97">
            <w:pPr>
              <w:spacing w:line="260" w:lineRule="exact"/>
              <w:ind w:rightChars="-45" w:right="-108"/>
              <w:rPr>
                <w:rFonts w:ascii="標楷體" w:hAnsi="標楷體"/>
                <w:b/>
                <w:szCs w:val="22"/>
              </w:rPr>
            </w:pPr>
            <w:r w:rsidRPr="002A20DA">
              <w:rPr>
                <w:rFonts w:ascii="標楷體" w:eastAsia="標楷體" w:hAnsi="標楷體" w:hint="eastAsia"/>
                <w:kern w:val="0"/>
                <w:szCs w:val="22"/>
              </w:rPr>
              <w:t>1</w:t>
            </w:r>
            <w:r w:rsidRPr="002A20DA">
              <w:rPr>
                <w:rFonts w:ascii="標楷體" w:eastAsia="標楷體" w:hAnsi="標楷體"/>
                <w:kern w:val="0"/>
                <w:szCs w:val="22"/>
              </w:rPr>
              <w:t>11</w:t>
            </w:r>
            <w:r w:rsidRPr="002A20DA">
              <w:rPr>
                <w:rFonts w:ascii="標楷體" w:eastAsia="標楷體" w:hAnsi="標楷體" w:hint="eastAsia"/>
                <w:kern w:val="0"/>
                <w:szCs w:val="22"/>
              </w:rPr>
              <w:t>.</w:t>
            </w:r>
            <w:r w:rsidRPr="002A20DA">
              <w:rPr>
                <w:rFonts w:ascii="標楷體" w:eastAsia="標楷體" w:hAnsi="標楷體"/>
                <w:kern w:val="0"/>
                <w:szCs w:val="22"/>
              </w:rPr>
              <w:t>0</w:t>
            </w:r>
            <w:r w:rsidRPr="002A20DA">
              <w:rPr>
                <w:rFonts w:ascii="標楷體" w:eastAsia="標楷體" w:hAnsi="標楷體" w:hint="eastAsia"/>
                <w:kern w:val="0"/>
                <w:szCs w:val="22"/>
              </w:rPr>
              <w:t>9.</w:t>
            </w:r>
            <w:r w:rsidRPr="002A20DA">
              <w:rPr>
                <w:rFonts w:ascii="標楷體" w:eastAsia="標楷體" w:hAnsi="標楷體"/>
                <w:kern w:val="0"/>
                <w:szCs w:val="22"/>
              </w:rPr>
              <w:t>23</w:t>
            </w:r>
            <w:r w:rsidRPr="002A20DA">
              <w:rPr>
                <w:rFonts w:ascii="標楷體" w:eastAsia="標楷體" w:hAnsi="標楷體" w:hint="eastAsia"/>
                <w:kern w:val="0"/>
                <w:szCs w:val="22"/>
              </w:rPr>
              <w:t xml:space="preserve"> （10-6-1）</w:t>
            </w:r>
          </w:p>
        </w:tc>
        <w:tc>
          <w:tcPr>
            <w:tcW w:w="1493" w:type="dxa"/>
            <w:vMerge w:val="restart"/>
            <w:shd w:val="clear" w:color="auto" w:fill="auto"/>
          </w:tcPr>
          <w:p w14:paraId="14EEA027"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司法及法制</w:t>
            </w:r>
          </w:p>
          <w:p w14:paraId="2182C62C"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陳召集委員歐珀</w:t>
            </w:r>
          </w:p>
        </w:tc>
        <w:tc>
          <w:tcPr>
            <w:tcW w:w="1538" w:type="dxa"/>
            <w:shd w:val="clear" w:color="auto" w:fill="auto"/>
          </w:tcPr>
          <w:p w14:paraId="30F93CD5"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111.10.20</w:t>
            </w:r>
          </w:p>
          <w:p w14:paraId="649F8FB8"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（10-6-8）</w:t>
            </w:r>
          </w:p>
          <w:p w14:paraId="5859659A"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、111.11.2</w:t>
            </w:r>
          </w:p>
          <w:p w14:paraId="789BA407"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（10-6-11）</w:t>
            </w:r>
          </w:p>
          <w:p w14:paraId="05F08DA4"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審竣考試院及所屬主管收支部分，須交由黨團協商。</w:t>
            </w:r>
          </w:p>
        </w:tc>
        <w:tc>
          <w:tcPr>
            <w:tcW w:w="1539" w:type="dxa"/>
            <w:vMerge w:val="restart"/>
            <w:shd w:val="clear" w:color="auto" w:fill="auto"/>
          </w:tcPr>
          <w:p w14:paraId="4ACA5FC2" w14:textId="77777777" w:rsidR="00F52C97" w:rsidRPr="00753E0D" w:rsidRDefault="00F52C97" w:rsidP="00F52C9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1</w:t>
            </w:r>
            <w:r w:rsidRPr="00753E0D">
              <w:rPr>
                <w:rFonts w:ascii="標楷體" w:eastAsia="標楷體" w:hAnsi="標楷體"/>
                <w:kern w:val="0"/>
                <w:szCs w:val="22"/>
              </w:rPr>
              <w:t>.112.1.</w:t>
            </w:r>
            <w:r w:rsidRPr="00753E0D">
              <w:rPr>
                <w:rFonts w:ascii="標楷體" w:eastAsia="標楷體" w:hAnsi="標楷體" w:hint="eastAsia"/>
                <w:kern w:val="0"/>
                <w:szCs w:val="22"/>
              </w:rPr>
              <w:t>6黨團協商。</w:t>
            </w:r>
          </w:p>
          <w:p w14:paraId="50C879F4" w14:textId="77777777" w:rsidR="00F52C97" w:rsidRPr="00753E0D" w:rsidRDefault="00F52C97" w:rsidP="00F52C9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2.112.1.9黨團協商。</w:t>
            </w:r>
          </w:p>
          <w:p w14:paraId="35FB75BC" w14:textId="77777777" w:rsidR="00F52C97" w:rsidRPr="00753E0D" w:rsidRDefault="00F52C97" w:rsidP="00F52C9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hint="eastAsia"/>
                <w:kern w:val="0"/>
                <w:szCs w:val="22"/>
              </w:rPr>
              <w:t>3.112.1.10黨團協商。</w:t>
            </w:r>
          </w:p>
          <w:p w14:paraId="0AE07CF3" w14:textId="77777777" w:rsidR="00F52C97" w:rsidRDefault="00F52C97" w:rsidP="00F52C97">
            <w:pPr>
              <w:kinsoku w:val="0"/>
              <w:overflowPunct w:val="0"/>
              <w:autoSpaceDE w:val="0"/>
              <w:autoSpaceDN w:val="0"/>
              <w:spacing w:line="260" w:lineRule="exact"/>
              <w:rPr>
                <w:rFonts w:ascii="標楷體" w:eastAsia="標楷體" w:hAnsi="標楷體"/>
                <w:kern w:val="0"/>
                <w:szCs w:val="22"/>
              </w:rPr>
            </w:pPr>
            <w:r w:rsidRPr="00753E0D">
              <w:rPr>
                <w:rFonts w:ascii="標楷體" w:eastAsia="標楷體" w:hAnsi="標楷體"/>
                <w:kern w:val="0"/>
                <w:szCs w:val="22"/>
              </w:rPr>
              <w:t>4.</w:t>
            </w:r>
            <w:r w:rsidRPr="00753E0D">
              <w:rPr>
                <w:rFonts w:ascii="標楷體" w:eastAsia="標楷體" w:hAnsi="標楷體" w:hint="eastAsia"/>
                <w:kern w:val="0"/>
                <w:szCs w:val="22"/>
              </w:rPr>
              <w:t>院會11</w:t>
            </w:r>
            <w:r w:rsidRPr="00753E0D">
              <w:rPr>
                <w:rFonts w:ascii="標楷體" w:eastAsia="標楷體" w:hAnsi="標楷體"/>
                <w:kern w:val="0"/>
                <w:szCs w:val="22"/>
              </w:rPr>
              <w:t>2</w:t>
            </w:r>
            <w:r w:rsidRPr="00753E0D">
              <w:rPr>
                <w:rFonts w:ascii="標楷體" w:eastAsia="標楷體" w:hAnsi="標楷體" w:hint="eastAsia"/>
                <w:kern w:val="0"/>
                <w:szCs w:val="22"/>
              </w:rPr>
              <w:t>.1.</w:t>
            </w:r>
            <w:r w:rsidRPr="00753E0D">
              <w:rPr>
                <w:rFonts w:ascii="標楷體" w:eastAsia="標楷體" w:hAnsi="標楷體"/>
                <w:kern w:val="0"/>
                <w:szCs w:val="22"/>
              </w:rPr>
              <w:t>19</w:t>
            </w:r>
            <w:r w:rsidRPr="00753E0D">
              <w:rPr>
                <w:rFonts w:ascii="標楷體" w:eastAsia="標楷體" w:hAnsi="標楷體" w:hint="eastAsia"/>
                <w:kern w:val="0"/>
                <w:szCs w:val="22"/>
              </w:rPr>
              <w:t>（10-6-1</w:t>
            </w:r>
            <w:r w:rsidRPr="00753E0D">
              <w:rPr>
                <w:rFonts w:ascii="標楷體" w:eastAsia="標楷體" w:hAnsi="標楷體"/>
                <w:kern w:val="0"/>
                <w:szCs w:val="22"/>
              </w:rPr>
              <w:t>6</w:t>
            </w:r>
            <w:r w:rsidRPr="00753E0D">
              <w:rPr>
                <w:rFonts w:ascii="標楷體" w:eastAsia="標楷體" w:hAnsi="標楷體" w:hint="eastAsia"/>
                <w:kern w:val="0"/>
                <w:szCs w:val="22"/>
              </w:rPr>
              <w:t>）三讀通過。</w:t>
            </w:r>
          </w:p>
          <w:p w14:paraId="61262CF9" w14:textId="77777777" w:rsidR="00F52C97" w:rsidRPr="00B7221E" w:rsidRDefault="00F52C97" w:rsidP="00F52C97">
            <w:pPr>
              <w:kinsoku w:val="0"/>
              <w:topLinePunct/>
              <w:autoSpaceDE w:val="0"/>
              <w:autoSpaceDN w:val="0"/>
              <w:snapToGrid w:val="0"/>
              <w:spacing w:line="260" w:lineRule="exact"/>
              <w:ind w:leftChars="-17" w:rightChars="-24" w:right="-58" w:hangingChars="17" w:hanging="41"/>
              <w:jc w:val="both"/>
              <w:rPr>
                <w:rFonts w:ascii="標楷體" w:eastAsia="標楷體" w:hAnsi="標楷體"/>
                <w:spacing w:val="-10"/>
                <w:szCs w:val="22"/>
              </w:rPr>
            </w:pPr>
            <w:r>
              <w:rPr>
                <w:rFonts w:ascii="標楷體" w:eastAsia="標楷體" w:hAnsi="標楷體" w:hint="eastAsia"/>
                <w:szCs w:val="22"/>
              </w:rPr>
              <w:t>5.</w:t>
            </w:r>
            <w:r w:rsidRPr="00B7221E">
              <w:rPr>
                <w:rFonts w:ascii="標楷體" w:eastAsia="標楷體" w:hAnsi="標楷體" w:hint="eastAsia"/>
                <w:spacing w:val="-10"/>
                <w:szCs w:val="22"/>
              </w:rPr>
              <w:t>本院咨文日期及文號： 112年02月10日台立院議字第1120700193號。</w:t>
            </w:r>
          </w:p>
          <w:p w14:paraId="0FA39C5B" w14:textId="10983D3A" w:rsidR="00F52C97" w:rsidRPr="002A20DA" w:rsidRDefault="00F52C97" w:rsidP="00F52C97">
            <w:pPr>
              <w:kinsoku w:val="0"/>
              <w:topLinePunct/>
              <w:autoSpaceDE w:val="0"/>
              <w:autoSpaceDN w:val="0"/>
              <w:spacing w:line="260" w:lineRule="exact"/>
              <w:ind w:left="-17"/>
              <w:jc w:val="both"/>
              <w:rPr>
                <w:rFonts w:ascii="標楷體" w:eastAsia="標楷體" w:hAnsi="標楷體"/>
                <w:color w:val="000000"/>
                <w:kern w:val="0"/>
                <w:szCs w:val="22"/>
              </w:rPr>
            </w:pPr>
            <w:r w:rsidRPr="00B7221E">
              <w:rPr>
                <w:rFonts w:ascii="標楷體" w:eastAsia="標楷體" w:hAnsi="標楷體" w:hint="eastAsia"/>
                <w:spacing w:val="-10"/>
                <w:szCs w:val="22"/>
              </w:rPr>
              <w:t>6.總統公布日期及文號，總統府公報：112年2月16日華總一經字第11200012431號，第7647號。</w:t>
            </w:r>
          </w:p>
        </w:tc>
      </w:tr>
      <w:tr w:rsidR="00F52C97" w:rsidRPr="002A20DA" w14:paraId="4A53A81E" w14:textId="77777777" w:rsidTr="00EC13B7">
        <w:tc>
          <w:tcPr>
            <w:tcW w:w="581" w:type="dxa"/>
            <w:vMerge/>
            <w:shd w:val="clear" w:color="auto" w:fill="auto"/>
          </w:tcPr>
          <w:p w14:paraId="555C8DCE" w14:textId="77777777" w:rsidR="00F52C97" w:rsidRPr="002A20DA" w:rsidRDefault="00F52C97" w:rsidP="00F52C97">
            <w:pPr>
              <w:spacing w:line="300" w:lineRule="exact"/>
              <w:jc w:val="center"/>
              <w:rPr>
                <w:rFonts w:ascii="標楷體" w:eastAsia="標楷體" w:hAnsi="標楷體"/>
                <w:b/>
                <w:spacing w:val="-20"/>
                <w:szCs w:val="22"/>
              </w:rPr>
            </w:pPr>
          </w:p>
        </w:tc>
        <w:tc>
          <w:tcPr>
            <w:tcW w:w="2058" w:type="dxa"/>
            <w:vMerge/>
            <w:shd w:val="clear" w:color="auto" w:fill="auto"/>
          </w:tcPr>
          <w:p w14:paraId="5AB90D9F" w14:textId="77777777" w:rsidR="00F52C97" w:rsidRPr="002A20DA" w:rsidRDefault="00F52C97" w:rsidP="00F52C97">
            <w:pPr>
              <w:spacing w:line="300" w:lineRule="exact"/>
              <w:jc w:val="center"/>
              <w:rPr>
                <w:rFonts w:ascii="標楷體" w:eastAsia="標楷體" w:hAnsi="標楷體"/>
                <w:b/>
                <w:spacing w:val="-20"/>
                <w:szCs w:val="22"/>
              </w:rPr>
            </w:pPr>
          </w:p>
        </w:tc>
        <w:tc>
          <w:tcPr>
            <w:tcW w:w="1664" w:type="dxa"/>
            <w:vMerge/>
            <w:shd w:val="clear" w:color="auto" w:fill="auto"/>
          </w:tcPr>
          <w:p w14:paraId="084C7B49" w14:textId="77777777" w:rsidR="00F52C97" w:rsidRPr="002A20DA" w:rsidRDefault="00F52C97" w:rsidP="00F52C9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79224FEC" w14:textId="77777777" w:rsidR="00F52C97" w:rsidRPr="002A20DA" w:rsidRDefault="00F52C97" w:rsidP="00F52C97">
            <w:pPr>
              <w:autoSpaceDE w:val="0"/>
              <w:autoSpaceDN w:val="0"/>
              <w:spacing w:line="260" w:lineRule="exact"/>
              <w:jc w:val="both"/>
              <w:rPr>
                <w:rFonts w:ascii="標楷體" w:eastAsia="標楷體" w:hAnsi="標楷體"/>
                <w:kern w:val="0"/>
              </w:rPr>
            </w:pPr>
          </w:p>
        </w:tc>
        <w:tc>
          <w:tcPr>
            <w:tcW w:w="1538" w:type="dxa"/>
            <w:shd w:val="clear" w:color="auto" w:fill="auto"/>
          </w:tcPr>
          <w:p w14:paraId="3460F79D"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kern w:val="0"/>
              </w:rPr>
              <w:t>111.11.17</w:t>
            </w:r>
          </w:p>
          <w:p w14:paraId="070804A6"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（10-6-17）</w:t>
            </w:r>
          </w:p>
          <w:p w14:paraId="59A71A23"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審竣立法院主管收支部分，須交由黨團協商。</w:t>
            </w:r>
          </w:p>
        </w:tc>
        <w:tc>
          <w:tcPr>
            <w:tcW w:w="1539" w:type="dxa"/>
            <w:vMerge/>
            <w:shd w:val="clear" w:color="auto" w:fill="auto"/>
          </w:tcPr>
          <w:p w14:paraId="7AA295A4" w14:textId="77777777" w:rsidR="00F52C97" w:rsidRPr="002A20DA" w:rsidRDefault="00F52C97" w:rsidP="00F52C97">
            <w:pPr>
              <w:spacing w:line="300" w:lineRule="exact"/>
              <w:jc w:val="center"/>
              <w:rPr>
                <w:rFonts w:ascii="標楷體" w:eastAsia="標楷體" w:hAnsi="標楷體"/>
                <w:b/>
                <w:spacing w:val="-20"/>
                <w:szCs w:val="22"/>
              </w:rPr>
            </w:pPr>
          </w:p>
        </w:tc>
      </w:tr>
      <w:tr w:rsidR="00F52C97" w:rsidRPr="002A20DA" w14:paraId="6D8C5CFA" w14:textId="77777777" w:rsidTr="00EC13B7">
        <w:tc>
          <w:tcPr>
            <w:tcW w:w="581" w:type="dxa"/>
            <w:vMerge/>
            <w:shd w:val="clear" w:color="auto" w:fill="auto"/>
          </w:tcPr>
          <w:p w14:paraId="06656456" w14:textId="77777777" w:rsidR="00F52C97" w:rsidRPr="002A20DA" w:rsidRDefault="00F52C97" w:rsidP="00F52C97">
            <w:pPr>
              <w:spacing w:line="300" w:lineRule="exact"/>
              <w:jc w:val="center"/>
              <w:rPr>
                <w:rFonts w:ascii="標楷體" w:eastAsia="標楷體" w:hAnsi="標楷體"/>
                <w:b/>
                <w:spacing w:val="-20"/>
                <w:szCs w:val="22"/>
              </w:rPr>
            </w:pPr>
          </w:p>
        </w:tc>
        <w:tc>
          <w:tcPr>
            <w:tcW w:w="2058" w:type="dxa"/>
            <w:vMerge/>
            <w:shd w:val="clear" w:color="auto" w:fill="auto"/>
          </w:tcPr>
          <w:p w14:paraId="7AC6FE1F" w14:textId="77777777" w:rsidR="00F52C97" w:rsidRPr="002A20DA" w:rsidRDefault="00F52C97" w:rsidP="00F52C97">
            <w:pPr>
              <w:spacing w:line="300" w:lineRule="exact"/>
              <w:jc w:val="center"/>
              <w:rPr>
                <w:rFonts w:ascii="標楷體" w:eastAsia="標楷體" w:hAnsi="標楷體"/>
                <w:b/>
                <w:spacing w:val="-20"/>
                <w:szCs w:val="22"/>
              </w:rPr>
            </w:pPr>
          </w:p>
        </w:tc>
        <w:tc>
          <w:tcPr>
            <w:tcW w:w="1664" w:type="dxa"/>
            <w:vMerge/>
            <w:shd w:val="clear" w:color="auto" w:fill="auto"/>
          </w:tcPr>
          <w:p w14:paraId="3F0FE505" w14:textId="77777777" w:rsidR="00F52C97" w:rsidRPr="002A20DA" w:rsidRDefault="00F52C97" w:rsidP="00F52C9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5FD1D119" w14:textId="77777777" w:rsidR="00F52C97" w:rsidRPr="002A20DA" w:rsidRDefault="00F52C97" w:rsidP="00F52C97">
            <w:pPr>
              <w:autoSpaceDE w:val="0"/>
              <w:autoSpaceDN w:val="0"/>
              <w:spacing w:line="260" w:lineRule="exact"/>
              <w:jc w:val="both"/>
              <w:rPr>
                <w:rFonts w:ascii="標楷體" w:eastAsia="標楷體" w:hAnsi="標楷體"/>
                <w:kern w:val="0"/>
              </w:rPr>
            </w:pPr>
          </w:p>
        </w:tc>
        <w:tc>
          <w:tcPr>
            <w:tcW w:w="1538" w:type="dxa"/>
            <w:shd w:val="clear" w:color="auto" w:fill="auto"/>
          </w:tcPr>
          <w:p w14:paraId="0F4F9596"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111.11.14</w:t>
            </w:r>
          </w:p>
          <w:p w14:paraId="7B2A4560"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（10-6-15）</w:t>
            </w:r>
          </w:p>
          <w:p w14:paraId="1FB46252"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、111.12.8</w:t>
            </w:r>
          </w:p>
          <w:p w14:paraId="662CB3BC"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（10-6-25）</w:t>
            </w:r>
          </w:p>
          <w:p w14:paraId="5BF82C3B"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審竣司法院及所屬主管收支部分，須交由黨團協商。</w:t>
            </w:r>
          </w:p>
        </w:tc>
        <w:tc>
          <w:tcPr>
            <w:tcW w:w="1539" w:type="dxa"/>
            <w:vMerge/>
            <w:shd w:val="clear" w:color="auto" w:fill="auto"/>
          </w:tcPr>
          <w:p w14:paraId="5AC5B3B7" w14:textId="77777777" w:rsidR="00F52C97" w:rsidRPr="002A20DA" w:rsidRDefault="00F52C97" w:rsidP="00F52C97">
            <w:pPr>
              <w:spacing w:line="300" w:lineRule="exact"/>
              <w:jc w:val="center"/>
              <w:rPr>
                <w:rFonts w:ascii="標楷體" w:eastAsia="標楷體" w:hAnsi="標楷體"/>
                <w:b/>
                <w:spacing w:val="-20"/>
                <w:szCs w:val="22"/>
              </w:rPr>
            </w:pPr>
          </w:p>
        </w:tc>
      </w:tr>
      <w:tr w:rsidR="00F52C97" w:rsidRPr="002A20DA" w14:paraId="62F2F0E5" w14:textId="77777777" w:rsidTr="00EC13B7">
        <w:tc>
          <w:tcPr>
            <w:tcW w:w="581" w:type="dxa"/>
            <w:vMerge/>
            <w:shd w:val="clear" w:color="auto" w:fill="auto"/>
          </w:tcPr>
          <w:p w14:paraId="3CD7D96F" w14:textId="77777777" w:rsidR="00F52C97" w:rsidRPr="002A20DA" w:rsidRDefault="00F52C97" w:rsidP="00F52C97">
            <w:pPr>
              <w:spacing w:line="300" w:lineRule="exact"/>
              <w:jc w:val="center"/>
              <w:rPr>
                <w:rFonts w:ascii="標楷體" w:eastAsia="標楷體" w:hAnsi="標楷體"/>
                <w:b/>
                <w:spacing w:val="-20"/>
                <w:szCs w:val="22"/>
              </w:rPr>
            </w:pPr>
          </w:p>
        </w:tc>
        <w:tc>
          <w:tcPr>
            <w:tcW w:w="2058" w:type="dxa"/>
            <w:vMerge/>
            <w:shd w:val="clear" w:color="auto" w:fill="auto"/>
          </w:tcPr>
          <w:p w14:paraId="3FBD3F7B" w14:textId="77777777" w:rsidR="00F52C97" w:rsidRPr="002A20DA" w:rsidRDefault="00F52C97" w:rsidP="00F52C97">
            <w:pPr>
              <w:spacing w:line="300" w:lineRule="exact"/>
              <w:jc w:val="center"/>
              <w:rPr>
                <w:rFonts w:ascii="標楷體" w:eastAsia="標楷體" w:hAnsi="標楷體"/>
                <w:b/>
                <w:spacing w:val="-20"/>
                <w:szCs w:val="22"/>
              </w:rPr>
            </w:pPr>
          </w:p>
        </w:tc>
        <w:tc>
          <w:tcPr>
            <w:tcW w:w="1664" w:type="dxa"/>
            <w:vMerge/>
            <w:shd w:val="clear" w:color="auto" w:fill="auto"/>
          </w:tcPr>
          <w:p w14:paraId="5A392873" w14:textId="77777777" w:rsidR="00F52C97" w:rsidRPr="002A20DA" w:rsidRDefault="00F52C97" w:rsidP="00F52C9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5DD1AAA7" w14:textId="77777777" w:rsidR="00F52C97" w:rsidRPr="002A20DA" w:rsidRDefault="00F52C97" w:rsidP="00F52C97">
            <w:pPr>
              <w:spacing w:line="300" w:lineRule="exact"/>
              <w:jc w:val="center"/>
              <w:rPr>
                <w:rFonts w:ascii="標楷體" w:eastAsia="標楷體" w:hAnsi="標楷體"/>
                <w:b/>
                <w:spacing w:val="-20"/>
                <w:szCs w:val="22"/>
              </w:rPr>
            </w:pPr>
          </w:p>
        </w:tc>
        <w:tc>
          <w:tcPr>
            <w:tcW w:w="1538" w:type="dxa"/>
            <w:shd w:val="clear" w:color="auto" w:fill="auto"/>
          </w:tcPr>
          <w:p w14:paraId="4F8CB191" w14:textId="77777777" w:rsidR="00F52C97" w:rsidRPr="002A20DA" w:rsidRDefault="00F52C97" w:rsidP="00F52C97">
            <w:pPr>
              <w:autoSpaceDE w:val="0"/>
              <w:autoSpaceDN w:val="0"/>
              <w:spacing w:line="260" w:lineRule="exact"/>
              <w:jc w:val="both"/>
              <w:rPr>
                <w:rFonts w:ascii="標楷體" w:eastAsia="標楷體" w:hAnsi="標楷體"/>
                <w:kern w:val="0"/>
                <w:szCs w:val="22"/>
              </w:rPr>
            </w:pPr>
            <w:r w:rsidRPr="002A20DA">
              <w:rPr>
                <w:rFonts w:ascii="標楷體" w:eastAsia="標楷體" w:hAnsi="標楷體" w:hint="eastAsia"/>
                <w:kern w:val="0"/>
                <w:szCs w:val="22"/>
              </w:rPr>
              <w:t>111.12.15</w:t>
            </w:r>
          </w:p>
          <w:p w14:paraId="6384ECE7" w14:textId="77777777" w:rsidR="00F52C97" w:rsidRPr="002A20DA" w:rsidRDefault="00F52C97" w:rsidP="00F52C97">
            <w:pPr>
              <w:autoSpaceDE w:val="0"/>
              <w:autoSpaceDN w:val="0"/>
              <w:spacing w:line="260" w:lineRule="exact"/>
              <w:jc w:val="both"/>
              <w:rPr>
                <w:rFonts w:ascii="標楷體" w:eastAsia="標楷體" w:hAnsi="標楷體"/>
                <w:kern w:val="0"/>
                <w:szCs w:val="22"/>
              </w:rPr>
            </w:pPr>
            <w:r w:rsidRPr="002A20DA">
              <w:rPr>
                <w:rFonts w:ascii="標楷體" w:eastAsia="標楷體" w:hAnsi="標楷體" w:hint="eastAsia"/>
                <w:kern w:val="0"/>
                <w:szCs w:val="22"/>
              </w:rPr>
              <w:t>（10-6-27）審竣總統府主管（不含中央研究院）收支部分，須交由黨團協商。</w:t>
            </w:r>
          </w:p>
        </w:tc>
        <w:tc>
          <w:tcPr>
            <w:tcW w:w="1539" w:type="dxa"/>
            <w:vMerge/>
            <w:shd w:val="clear" w:color="auto" w:fill="auto"/>
          </w:tcPr>
          <w:p w14:paraId="7D8142F7" w14:textId="77777777" w:rsidR="00F52C97" w:rsidRPr="002A20DA" w:rsidRDefault="00F52C97" w:rsidP="00F52C97">
            <w:pPr>
              <w:spacing w:line="300" w:lineRule="exact"/>
              <w:jc w:val="center"/>
              <w:rPr>
                <w:rFonts w:ascii="標楷體" w:eastAsia="標楷體" w:hAnsi="標楷體"/>
                <w:b/>
                <w:spacing w:val="-20"/>
                <w:szCs w:val="22"/>
              </w:rPr>
            </w:pPr>
          </w:p>
        </w:tc>
      </w:tr>
      <w:tr w:rsidR="00F52C97" w:rsidRPr="002A20DA" w14:paraId="78D46F54" w14:textId="77777777" w:rsidTr="00EC13B7">
        <w:tc>
          <w:tcPr>
            <w:tcW w:w="581" w:type="dxa"/>
            <w:vMerge/>
            <w:shd w:val="clear" w:color="auto" w:fill="auto"/>
          </w:tcPr>
          <w:p w14:paraId="1D106213" w14:textId="77777777" w:rsidR="00F52C97" w:rsidRPr="002A20DA" w:rsidRDefault="00F52C97" w:rsidP="00F52C97">
            <w:pPr>
              <w:spacing w:line="300" w:lineRule="exact"/>
              <w:jc w:val="center"/>
              <w:rPr>
                <w:rFonts w:ascii="標楷體" w:eastAsia="標楷體" w:hAnsi="標楷體"/>
                <w:b/>
                <w:spacing w:val="-20"/>
                <w:szCs w:val="22"/>
              </w:rPr>
            </w:pPr>
          </w:p>
        </w:tc>
        <w:tc>
          <w:tcPr>
            <w:tcW w:w="2058" w:type="dxa"/>
            <w:vMerge/>
            <w:shd w:val="clear" w:color="auto" w:fill="auto"/>
          </w:tcPr>
          <w:p w14:paraId="188F476D" w14:textId="77777777" w:rsidR="00F52C97" w:rsidRPr="002A20DA" w:rsidRDefault="00F52C97" w:rsidP="00F52C97">
            <w:pPr>
              <w:spacing w:line="300" w:lineRule="exact"/>
              <w:jc w:val="center"/>
              <w:rPr>
                <w:rFonts w:ascii="標楷體" w:eastAsia="標楷體" w:hAnsi="標楷體"/>
                <w:b/>
                <w:spacing w:val="-20"/>
                <w:szCs w:val="22"/>
              </w:rPr>
            </w:pPr>
          </w:p>
        </w:tc>
        <w:tc>
          <w:tcPr>
            <w:tcW w:w="1664" w:type="dxa"/>
            <w:vMerge/>
            <w:shd w:val="clear" w:color="auto" w:fill="auto"/>
          </w:tcPr>
          <w:p w14:paraId="4BB3CFE1" w14:textId="77777777" w:rsidR="00F52C97" w:rsidRPr="002A20DA" w:rsidRDefault="00F52C97" w:rsidP="00F52C9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val="restart"/>
            <w:shd w:val="clear" w:color="auto" w:fill="auto"/>
          </w:tcPr>
          <w:p w14:paraId="4C3AB5D1" w14:textId="77777777" w:rsidR="00F52C97" w:rsidRPr="002A20DA" w:rsidRDefault="00F52C97" w:rsidP="00F52C97">
            <w:pPr>
              <w:spacing w:line="260" w:lineRule="exact"/>
              <w:rPr>
                <w:rFonts w:ascii="標楷體" w:eastAsia="標楷體" w:hAnsi="標楷體"/>
                <w:kern w:val="0"/>
                <w:szCs w:val="22"/>
              </w:rPr>
            </w:pPr>
            <w:r w:rsidRPr="002A20DA">
              <w:rPr>
                <w:rFonts w:ascii="標楷體" w:eastAsia="標楷體" w:hAnsi="標楷體" w:hint="eastAsia"/>
                <w:kern w:val="0"/>
                <w:szCs w:val="22"/>
              </w:rPr>
              <w:t>司法及法制</w:t>
            </w:r>
          </w:p>
          <w:p w14:paraId="035DECEB" w14:textId="77777777" w:rsidR="00F52C97" w:rsidRPr="002A20DA" w:rsidRDefault="00F52C97" w:rsidP="00F52C97">
            <w:pPr>
              <w:spacing w:line="260" w:lineRule="exact"/>
              <w:rPr>
                <w:rFonts w:ascii="標楷體" w:eastAsia="標楷體" w:hAnsi="標楷體"/>
                <w:b/>
                <w:spacing w:val="-20"/>
                <w:szCs w:val="22"/>
              </w:rPr>
            </w:pPr>
            <w:r w:rsidRPr="002A20DA">
              <w:rPr>
                <w:rFonts w:ascii="標楷體" w:eastAsia="標楷體" w:hAnsi="標楷體" w:hint="eastAsia"/>
                <w:kern w:val="0"/>
                <w:szCs w:val="22"/>
              </w:rPr>
              <w:t>林召集委員思銘</w:t>
            </w:r>
          </w:p>
        </w:tc>
        <w:tc>
          <w:tcPr>
            <w:tcW w:w="1538" w:type="dxa"/>
            <w:shd w:val="clear" w:color="auto" w:fill="auto"/>
          </w:tcPr>
          <w:p w14:paraId="4556AC9E"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111.11.7</w:t>
            </w:r>
          </w:p>
          <w:p w14:paraId="2928FA8C"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（10-6-12）</w:t>
            </w:r>
          </w:p>
          <w:p w14:paraId="24209BD6"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、111.11.30</w:t>
            </w:r>
          </w:p>
          <w:p w14:paraId="12072574" w14:textId="77777777" w:rsidR="00F52C97" w:rsidRPr="002A20DA" w:rsidRDefault="00F52C97" w:rsidP="00F52C97">
            <w:pPr>
              <w:autoSpaceDE w:val="0"/>
              <w:autoSpaceDN w:val="0"/>
              <w:spacing w:line="260" w:lineRule="exact"/>
              <w:jc w:val="both"/>
              <w:rPr>
                <w:rFonts w:ascii="標楷體" w:eastAsia="標楷體" w:hAnsi="標楷體"/>
                <w:kern w:val="0"/>
                <w:szCs w:val="22"/>
              </w:rPr>
            </w:pPr>
            <w:r w:rsidRPr="002A20DA">
              <w:rPr>
                <w:rFonts w:ascii="標楷體" w:eastAsia="標楷體" w:hAnsi="標楷體" w:hint="eastAsia"/>
                <w:kern w:val="0"/>
              </w:rPr>
              <w:t>（10-6-22）</w:t>
            </w:r>
          </w:p>
          <w:p w14:paraId="37349C46"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szCs w:val="22"/>
              </w:rPr>
              <w:t>審竣監察院主管（不含審計部及所屬）收支部分，須交由黨團協商。</w:t>
            </w:r>
          </w:p>
        </w:tc>
        <w:tc>
          <w:tcPr>
            <w:tcW w:w="1539" w:type="dxa"/>
            <w:vMerge/>
            <w:shd w:val="clear" w:color="auto" w:fill="auto"/>
          </w:tcPr>
          <w:p w14:paraId="785BE7B1" w14:textId="77777777" w:rsidR="00F52C97" w:rsidRPr="002A20DA" w:rsidRDefault="00F52C97" w:rsidP="00F52C97">
            <w:pPr>
              <w:spacing w:line="300" w:lineRule="exact"/>
              <w:jc w:val="center"/>
              <w:rPr>
                <w:rFonts w:ascii="標楷體" w:eastAsia="標楷體" w:hAnsi="標楷體"/>
                <w:b/>
                <w:spacing w:val="-20"/>
                <w:szCs w:val="22"/>
              </w:rPr>
            </w:pPr>
          </w:p>
        </w:tc>
      </w:tr>
      <w:tr w:rsidR="00F52C97" w:rsidRPr="002A20DA" w14:paraId="1C8D6F8D" w14:textId="77777777" w:rsidTr="00EC13B7">
        <w:tc>
          <w:tcPr>
            <w:tcW w:w="581" w:type="dxa"/>
            <w:vMerge/>
            <w:shd w:val="clear" w:color="auto" w:fill="auto"/>
          </w:tcPr>
          <w:p w14:paraId="08BFD770" w14:textId="77777777" w:rsidR="00F52C97" w:rsidRPr="002A20DA" w:rsidRDefault="00F52C97" w:rsidP="00F52C97">
            <w:pPr>
              <w:spacing w:line="300" w:lineRule="exact"/>
              <w:jc w:val="center"/>
              <w:rPr>
                <w:rFonts w:ascii="標楷體" w:eastAsia="標楷體" w:hAnsi="標楷體"/>
                <w:b/>
                <w:spacing w:val="-20"/>
                <w:szCs w:val="22"/>
              </w:rPr>
            </w:pPr>
          </w:p>
        </w:tc>
        <w:tc>
          <w:tcPr>
            <w:tcW w:w="2058" w:type="dxa"/>
            <w:vMerge/>
            <w:shd w:val="clear" w:color="auto" w:fill="auto"/>
          </w:tcPr>
          <w:p w14:paraId="42B8A925" w14:textId="77777777" w:rsidR="00F52C97" w:rsidRPr="002A20DA" w:rsidRDefault="00F52C97" w:rsidP="00F52C97">
            <w:pPr>
              <w:spacing w:line="300" w:lineRule="exact"/>
              <w:jc w:val="center"/>
              <w:rPr>
                <w:rFonts w:ascii="標楷體" w:eastAsia="標楷體" w:hAnsi="標楷體"/>
                <w:b/>
                <w:spacing w:val="-20"/>
                <w:szCs w:val="22"/>
              </w:rPr>
            </w:pPr>
          </w:p>
        </w:tc>
        <w:tc>
          <w:tcPr>
            <w:tcW w:w="1664" w:type="dxa"/>
            <w:vMerge/>
            <w:shd w:val="clear" w:color="auto" w:fill="auto"/>
          </w:tcPr>
          <w:p w14:paraId="413DD8E4" w14:textId="77777777" w:rsidR="00F52C97" w:rsidRPr="002A20DA" w:rsidRDefault="00F52C97" w:rsidP="00F52C9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7CB6849B" w14:textId="77777777" w:rsidR="00F52C97" w:rsidRPr="002A20DA" w:rsidRDefault="00F52C97" w:rsidP="00F52C97">
            <w:pPr>
              <w:spacing w:line="300" w:lineRule="exact"/>
              <w:jc w:val="center"/>
              <w:rPr>
                <w:rFonts w:ascii="標楷體" w:eastAsia="標楷體" w:hAnsi="標楷體"/>
                <w:b/>
                <w:spacing w:val="-20"/>
                <w:szCs w:val="22"/>
              </w:rPr>
            </w:pPr>
          </w:p>
        </w:tc>
        <w:tc>
          <w:tcPr>
            <w:tcW w:w="1538" w:type="dxa"/>
            <w:shd w:val="clear" w:color="auto" w:fill="auto"/>
          </w:tcPr>
          <w:p w14:paraId="010A3017"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111.11.10</w:t>
            </w:r>
          </w:p>
          <w:p w14:paraId="7EE3868B"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（10-6-14）</w:t>
            </w:r>
          </w:p>
          <w:p w14:paraId="79AD786E"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、111.12.1</w:t>
            </w:r>
          </w:p>
          <w:p w14:paraId="0EF21BF6" w14:textId="77777777" w:rsidR="00F52C97" w:rsidRPr="002A20DA" w:rsidRDefault="00F52C97" w:rsidP="00F52C97">
            <w:pPr>
              <w:autoSpaceDE w:val="0"/>
              <w:autoSpaceDN w:val="0"/>
              <w:spacing w:line="260" w:lineRule="exact"/>
              <w:jc w:val="both"/>
              <w:rPr>
                <w:rFonts w:ascii="標楷體" w:eastAsia="標楷體" w:hAnsi="標楷體"/>
                <w:kern w:val="0"/>
                <w:szCs w:val="22"/>
              </w:rPr>
            </w:pPr>
            <w:r w:rsidRPr="002A20DA">
              <w:rPr>
                <w:rFonts w:ascii="標楷體" w:eastAsia="標楷體" w:hAnsi="標楷體" w:hint="eastAsia"/>
                <w:kern w:val="0"/>
              </w:rPr>
              <w:t>（10-6-23）</w:t>
            </w:r>
          </w:p>
          <w:p w14:paraId="7927538D"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szCs w:val="22"/>
              </w:rPr>
              <w:t>審竣法務部及所屬主管收支部分，須</w:t>
            </w:r>
            <w:r w:rsidRPr="002A20DA">
              <w:rPr>
                <w:rFonts w:ascii="標楷體" w:eastAsia="標楷體" w:hAnsi="標楷體" w:hint="eastAsia"/>
                <w:kern w:val="0"/>
                <w:szCs w:val="22"/>
              </w:rPr>
              <w:lastRenderedPageBreak/>
              <w:t>交由黨團協商。</w:t>
            </w:r>
          </w:p>
        </w:tc>
        <w:tc>
          <w:tcPr>
            <w:tcW w:w="1539" w:type="dxa"/>
            <w:vMerge/>
            <w:shd w:val="clear" w:color="auto" w:fill="auto"/>
          </w:tcPr>
          <w:p w14:paraId="74BD4859" w14:textId="77777777" w:rsidR="00F52C97" w:rsidRPr="002A20DA" w:rsidRDefault="00F52C97" w:rsidP="00F52C97">
            <w:pPr>
              <w:spacing w:line="300" w:lineRule="exact"/>
              <w:jc w:val="center"/>
              <w:rPr>
                <w:rFonts w:ascii="標楷體" w:eastAsia="標楷體" w:hAnsi="標楷體"/>
                <w:b/>
                <w:spacing w:val="-20"/>
                <w:szCs w:val="22"/>
              </w:rPr>
            </w:pPr>
          </w:p>
        </w:tc>
      </w:tr>
      <w:tr w:rsidR="00F52C97" w:rsidRPr="002A20DA" w14:paraId="7F5F120C" w14:textId="77777777" w:rsidTr="00EC13B7">
        <w:tc>
          <w:tcPr>
            <w:tcW w:w="581" w:type="dxa"/>
            <w:vMerge/>
            <w:shd w:val="clear" w:color="auto" w:fill="auto"/>
          </w:tcPr>
          <w:p w14:paraId="78FD3961" w14:textId="77777777" w:rsidR="00F52C97" w:rsidRPr="002A20DA" w:rsidRDefault="00F52C97" w:rsidP="00F52C97">
            <w:pPr>
              <w:spacing w:line="300" w:lineRule="exact"/>
              <w:jc w:val="center"/>
              <w:rPr>
                <w:rFonts w:ascii="標楷體" w:eastAsia="標楷體" w:hAnsi="標楷體"/>
                <w:b/>
                <w:spacing w:val="-20"/>
                <w:szCs w:val="22"/>
              </w:rPr>
            </w:pPr>
          </w:p>
        </w:tc>
        <w:tc>
          <w:tcPr>
            <w:tcW w:w="2058" w:type="dxa"/>
            <w:vMerge/>
            <w:shd w:val="clear" w:color="auto" w:fill="auto"/>
          </w:tcPr>
          <w:p w14:paraId="258F312E" w14:textId="77777777" w:rsidR="00F52C97" w:rsidRPr="002A20DA" w:rsidRDefault="00F52C97" w:rsidP="00F52C97">
            <w:pPr>
              <w:spacing w:line="300" w:lineRule="exact"/>
              <w:jc w:val="center"/>
              <w:rPr>
                <w:rFonts w:ascii="標楷體" w:eastAsia="標楷體" w:hAnsi="標楷體"/>
                <w:b/>
                <w:spacing w:val="-20"/>
                <w:szCs w:val="22"/>
              </w:rPr>
            </w:pPr>
          </w:p>
        </w:tc>
        <w:tc>
          <w:tcPr>
            <w:tcW w:w="1664" w:type="dxa"/>
            <w:vMerge/>
            <w:shd w:val="clear" w:color="auto" w:fill="auto"/>
          </w:tcPr>
          <w:p w14:paraId="015E7DC4" w14:textId="77777777" w:rsidR="00F52C97" w:rsidRPr="002A20DA" w:rsidRDefault="00F52C97" w:rsidP="00F52C97">
            <w:pPr>
              <w:tabs>
                <w:tab w:val="left" w:pos="441"/>
                <w:tab w:val="left" w:pos="681"/>
                <w:tab w:val="left" w:pos="966"/>
              </w:tabs>
              <w:spacing w:line="300" w:lineRule="exact"/>
              <w:ind w:rightChars="-3" w:right="-7"/>
              <w:rPr>
                <w:rFonts w:ascii="標楷體" w:eastAsia="標楷體" w:hAnsi="標楷體"/>
                <w:b/>
                <w:spacing w:val="-20"/>
                <w:szCs w:val="22"/>
              </w:rPr>
            </w:pPr>
          </w:p>
        </w:tc>
        <w:tc>
          <w:tcPr>
            <w:tcW w:w="1493" w:type="dxa"/>
            <w:vMerge/>
            <w:shd w:val="clear" w:color="auto" w:fill="auto"/>
          </w:tcPr>
          <w:p w14:paraId="210B89B1" w14:textId="77777777" w:rsidR="00F52C97" w:rsidRPr="002A20DA" w:rsidRDefault="00F52C97" w:rsidP="00F52C97">
            <w:pPr>
              <w:spacing w:line="300" w:lineRule="exact"/>
              <w:jc w:val="center"/>
              <w:rPr>
                <w:rFonts w:ascii="標楷體" w:eastAsia="標楷體" w:hAnsi="標楷體"/>
                <w:b/>
                <w:spacing w:val="-20"/>
                <w:szCs w:val="22"/>
              </w:rPr>
            </w:pPr>
          </w:p>
        </w:tc>
        <w:tc>
          <w:tcPr>
            <w:tcW w:w="1538" w:type="dxa"/>
            <w:shd w:val="clear" w:color="auto" w:fill="auto"/>
          </w:tcPr>
          <w:p w14:paraId="52AE1BB3"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111.11.16</w:t>
            </w:r>
          </w:p>
          <w:p w14:paraId="7C69838B"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（10-6-16）</w:t>
            </w:r>
          </w:p>
          <w:p w14:paraId="76E86806"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rPr>
              <w:t>、111.12.7</w:t>
            </w:r>
          </w:p>
          <w:p w14:paraId="4CEBAA30" w14:textId="77777777" w:rsidR="00F52C97" w:rsidRPr="002A20DA" w:rsidRDefault="00F52C97" w:rsidP="00F52C97">
            <w:pPr>
              <w:autoSpaceDE w:val="0"/>
              <w:autoSpaceDN w:val="0"/>
              <w:spacing w:line="260" w:lineRule="exact"/>
              <w:jc w:val="both"/>
              <w:rPr>
                <w:rFonts w:ascii="標楷體" w:eastAsia="標楷體" w:hAnsi="標楷體"/>
                <w:kern w:val="0"/>
                <w:szCs w:val="22"/>
              </w:rPr>
            </w:pPr>
            <w:r w:rsidRPr="002A20DA">
              <w:rPr>
                <w:rFonts w:ascii="標楷體" w:eastAsia="標楷體" w:hAnsi="標楷體" w:hint="eastAsia"/>
                <w:kern w:val="0"/>
              </w:rPr>
              <w:t>（10-6-24）</w:t>
            </w:r>
          </w:p>
          <w:p w14:paraId="07ECBE98" w14:textId="77777777" w:rsidR="00F52C97" w:rsidRPr="002A20DA" w:rsidRDefault="00F52C97" w:rsidP="00F52C97">
            <w:pPr>
              <w:autoSpaceDE w:val="0"/>
              <w:autoSpaceDN w:val="0"/>
              <w:spacing w:line="260" w:lineRule="exact"/>
              <w:jc w:val="both"/>
              <w:rPr>
                <w:rFonts w:ascii="標楷體" w:eastAsia="標楷體" w:hAnsi="標楷體"/>
                <w:kern w:val="0"/>
              </w:rPr>
            </w:pPr>
            <w:r w:rsidRPr="002A20DA">
              <w:rPr>
                <w:rFonts w:ascii="標楷體" w:eastAsia="標楷體" w:hAnsi="標楷體" w:hint="eastAsia"/>
                <w:kern w:val="0"/>
                <w:szCs w:val="22"/>
              </w:rPr>
              <w:t>審竣行政院人事行政總處及所屬主管收支部分，須交由黨團協商。</w:t>
            </w:r>
          </w:p>
        </w:tc>
        <w:tc>
          <w:tcPr>
            <w:tcW w:w="1539" w:type="dxa"/>
            <w:vMerge/>
            <w:shd w:val="clear" w:color="auto" w:fill="auto"/>
          </w:tcPr>
          <w:p w14:paraId="205887D1" w14:textId="77777777" w:rsidR="00F52C97" w:rsidRPr="002A20DA" w:rsidRDefault="00F52C97" w:rsidP="00F52C97">
            <w:pPr>
              <w:spacing w:line="300" w:lineRule="exact"/>
              <w:jc w:val="center"/>
              <w:rPr>
                <w:rFonts w:ascii="標楷體" w:eastAsia="標楷體" w:hAnsi="標楷體"/>
                <w:b/>
                <w:spacing w:val="-20"/>
                <w:szCs w:val="22"/>
              </w:rPr>
            </w:pPr>
          </w:p>
        </w:tc>
      </w:tr>
    </w:tbl>
    <w:p w14:paraId="7D444E3E" w14:textId="77777777" w:rsidR="00AE6B82" w:rsidRPr="002A20DA" w:rsidRDefault="00AE6B82" w:rsidP="00EC13B7"/>
    <w:p w14:paraId="407A9257" w14:textId="77777777" w:rsidR="00AE6B82" w:rsidRDefault="00AE6B82" w:rsidP="00E4229D">
      <w:pPr>
        <w:pStyle w:val="3"/>
        <w:kinsoku w:val="0"/>
        <w:overflowPunct w:val="0"/>
        <w:spacing w:beforeLines="100" w:before="360" w:afterLines="100" w:after="360" w:line="260" w:lineRule="exact"/>
        <w:ind w:left="912" w:firstLineChars="250" w:firstLine="701"/>
        <w:rPr>
          <w:rFonts w:ascii="標楷體" w:hAnsi="標楷體"/>
          <w:b/>
          <w:color w:val="000000" w:themeColor="text1"/>
          <w:szCs w:val="28"/>
        </w:rPr>
      </w:pPr>
      <w:r w:rsidRPr="002A20DA">
        <w:rPr>
          <w:rFonts w:ascii="標楷體" w:hAnsi="標楷體" w:hint="eastAsia"/>
          <w:b/>
          <w:color w:val="000000" w:themeColor="text1"/>
          <w:szCs w:val="28"/>
        </w:rPr>
        <w:t>二、財團法人4</w:t>
      </w:r>
      <w:r w:rsidRPr="002A20DA">
        <w:rPr>
          <w:rFonts w:ascii="標楷體" w:hAnsi="標楷體"/>
          <w:b/>
          <w:color w:val="000000" w:themeColor="text1"/>
          <w:szCs w:val="28"/>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E6B82" w:rsidRPr="003443A2" w14:paraId="4BDBFFA9" w14:textId="77777777" w:rsidTr="00EC13B7">
        <w:tc>
          <w:tcPr>
            <w:tcW w:w="656" w:type="dxa"/>
            <w:shd w:val="clear" w:color="auto" w:fill="auto"/>
          </w:tcPr>
          <w:p w14:paraId="394CEA26"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b/>
                <w:color w:val="000000"/>
                <w:spacing w:val="-20"/>
                <w:szCs w:val="22"/>
                <w:lang w:eastAsia="ko-KR"/>
              </w:rPr>
              <w:t>序號</w:t>
            </w:r>
          </w:p>
        </w:tc>
        <w:tc>
          <w:tcPr>
            <w:tcW w:w="2694" w:type="dxa"/>
            <w:shd w:val="clear" w:color="auto" w:fill="auto"/>
          </w:tcPr>
          <w:p w14:paraId="56BF85C6"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b/>
                <w:color w:val="000000"/>
                <w:spacing w:val="-20"/>
                <w:szCs w:val="22"/>
                <w:lang w:eastAsia="ko-KR"/>
              </w:rPr>
              <w:t>議案名稱</w:t>
            </w:r>
          </w:p>
        </w:tc>
        <w:tc>
          <w:tcPr>
            <w:tcW w:w="1701" w:type="dxa"/>
            <w:shd w:val="clear" w:color="auto" w:fill="auto"/>
          </w:tcPr>
          <w:p w14:paraId="0C7BF232" w14:textId="77777777" w:rsidR="00AE6B82" w:rsidRPr="003443A2" w:rsidRDefault="00AE6B82"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3443A2">
              <w:rPr>
                <w:rFonts w:ascii="標楷體" w:eastAsia="標楷體" w:hAnsi="標楷體"/>
                <w:b/>
                <w:color w:val="000000"/>
                <w:spacing w:val="-20"/>
                <w:szCs w:val="22"/>
                <w:lang w:eastAsia="ko-KR"/>
              </w:rPr>
              <w:t>提案機關、院會交付日期(會次)</w:t>
            </w:r>
          </w:p>
        </w:tc>
        <w:tc>
          <w:tcPr>
            <w:tcW w:w="1701" w:type="dxa"/>
            <w:shd w:val="clear" w:color="auto" w:fill="auto"/>
          </w:tcPr>
          <w:p w14:paraId="0A0725E9"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b/>
                <w:color w:val="000000"/>
                <w:spacing w:val="-20"/>
                <w:szCs w:val="22"/>
                <w:lang w:eastAsia="ko-KR"/>
              </w:rPr>
              <w:t>審查委員會</w:t>
            </w:r>
          </w:p>
        </w:tc>
        <w:tc>
          <w:tcPr>
            <w:tcW w:w="1984" w:type="dxa"/>
            <w:shd w:val="clear" w:color="auto" w:fill="auto"/>
          </w:tcPr>
          <w:p w14:paraId="4F460288"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AE6B82" w:rsidRPr="003443A2" w14:paraId="58A4EEF1" w14:textId="77777777" w:rsidTr="00EC13B7">
        <w:tc>
          <w:tcPr>
            <w:tcW w:w="656" w:type="dxa"/>
            <w:shd w:val="clear" w:color="auto" w:fill="auto"/>
          </w:tcPr>
          <w:p w14:paraId="51EBD195"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1</w:t>
            </w:r>
          </w:p>
        </w:tc>
        <w:tc>
          <w:tcPr>
            <w:tcW w:w="2694" w:type="dxa"/>
            <w:shd w:val="clear" w:color="auto" w:fill="auto"/>
          </w:tcPr>
          <w:p w14:paraId="5ED41D24" w14:textId="77777777" w:rsidR="00AE6B82" w:rsidRPr="003443A2" w:rsidRDefault="00AE6B82" w:rsidP="00EC13B7">
            <w:pPr>
              <w:spacing w:line="260" w:lineRule="exact"/>
              <w:jc w:val="both"/>
              <w:rPr>
                <w:rFonts w:ascii="標楷體" w:eastAsia="標楷體" w:hAnsi="標楷體"/>
                <w:kern w:val="0"/>
                <w:szCs w:val="22"/>
              </w:rPr>
            </w:pPr>
            <w:r w:rsidRPr="003443A2">
              <w:rPr>
                <w:rFonts w:ascii="標楷體" w:eastAsia="標楷體" w:hAnsi="標楷體"/>
                <w:kern w:val="0"/>
                <w:szCs w:val="22"/>
              </w:rPr>
              <w:t>司法院函送財團法人法律扶助基金會109年度決算書案。</w:t>
            </w:r>
          </w:p>
        </w:tc>
        <w:tc>
          <w:tcPr>
            <w:tcW w:w="1701" w:type="dxa"/>
            <w:shd w:val="clear" w:color="auto" w:fill="auto"/>
          </w:tcPr>
          <w:p w14:paraId="0A6ECA05" w14:textId="77777777" w:rsidR="00AE6B82" w:rsidRPr="003443A2" w:rsidRDefault="00AE6B82" w:rsidP="00EC13B7">
            <w:pPr>
              <w:spacing w:line="300" w:lineRule="exact"/>
              <w:rPr>
                <w:rFonts w:ascii="標楷體" w:eastAsia="標楷體" w:hAnsi="標楷體"/>
                <w:kern w:val="0"/>
                <w:szCs w:val="22"/>
              </w:rPr>
            </w:pPr>
            <w:r w:rsidRPr="003443A2">
              <w:rPr>
                <w:rFonts w:ascii="標楷體" w:eastAsia="標楷體" w:hAnsi="標楷體"/>
                <w:kern w:val="0"/>
                <w:szCs w:val="22"/>
              </w:rPr>
              <w:t>司法院 110.09.24 （10-4-2）</w:t>
            </w:r>
          </w:p>
        </w:tc>
        <w:tc>
          <w:tcPr>
            <w:tcW w:w="1701" w:type="dxa"/>
            <w:shd w:val="clear" w:color="auto" w:fill="auto"/>
          </w:tcPr>
          <w:p w14:paraId="5748D06C" w14:textId="77777777" w:rsidR="00AE6B82" w:rsidRPr="003443A2" w:rsidRDefault="00AE6B82" w:rsidP="00EC13B7">
            <w:pPr>
              <w:spacing w:line="300" w:lineRule="exact"/>
              <w:jc w:val="both"/>
              <w:rPr>
                <w:rFonts w:ascii="標楷體" w:eastAsia="標楷體" w:hAnsi="標楷體"/>
                <w:kern w:val="0"/>
                <w:szCs w:val="22"/>
              </w:rPr>
            </w:pPr>
            <w:r w:rsidRPr="003443A2">
              <w:rPr>
                <w:rFonts w:ascii="標楷體" w:eastAsia="標楷體" w:hAnsi="標楷體"/>
                <w:kern w:val="0"/>
                <w:szCs w:val="22"/>
              </w:rPr>
              <w:t>司法及法制</w:t>
            </w:r>
          </w:p>
        </w:tc>
        <w:tc>
          <w:tcPr>
            <w:tcW w:w="1984" w:type="dxa"/>
            <w:vMerge w:val="restart"/>
            <w:shd w:val="clear" w:color="auto" w:fill="auto"/>
          </w:tcPr>
          <w:p w14:paraId="1F709854" w14:textId="77777777"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t>1.已逾決算法第28條所定審議期限，依規定提報院會存查。</w:t>
            </w:r>
          </w:p>
          <w:p w14:paraId="3D9080DE" w14:textId="77777777"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t>2.院會</w:t>
            </w:r>
            <w:r w:rsidRPr="006573F0">
              <w:rPr>
                <w:rFonts w:ascii="標楷體" w:eastAsia="標楷體" w:hAnsi="標楷體"/>
                <w:spacing w:val="-10"/>
                <w:szCs w:val="22"/>
              </w:rPr>
              <w:t>111.</w:t>
            </w:r>
            <w:r w:rsidRPr="006573F0">
              <w:rPr>
                <w:rFonts w:ascii="標楷體" w:eastAsia="標楷體" w:hAnsi="標楷體" w:hint="eastAsia"/>
                <w:spacing w:val="-10"/>
                <w:szCs w:val="22"/>
              </w:rPr>
              <w:t>11</w:t>
            </w:r>
            <w:r w:rsidRPr="006573F0">
              <w:rPr>
                <w:rFonts w:ascii="標楷體" w:eastAsia="標楷體" w:hAnsi="標楷體"/>
                <w:spacing w:val="-10"/>
                <w:szCs w:val="22"/>
              </w:rPr>
              <w:t>.</w:t>
            </w:r>
            <w:r w:rsidRPr="006573F0">
              <w:rPr>
                <w:rFonts w:ascii="標楷體" w:eastAsia="標楷體" w:hAnsi="標楷體" w:hint="eastAsia"/>
                <w:spacing w:val="-10"/>
                <w:szCs w:val="22"/>
              </w:rPr>
              <w:t>25</w:t>
            </w:r>
          </w:p>
          <w:p w14:paraId="6BACA0E2" w14:textId="77777777" w:rsidR="00AE6B82" w:rsidRPr="006573F0" w:rsidRDefault="00AE6B82" w:rsidP="00B401A8">
            <w:pPr>
              <w:kinsoku w:val="0"/>
              <w:wordWrap w:val="0"/>
              <w:overflowPunct w:val="0"/>
              <w:autoSpaceDE w:val="0"/>
              <w:autoSpaceDN w:val="0"/>
              <w:snapToGrid w:val="0"/>
              <w:spacing w:line="260" w:lineRule="exact"/>
              <w:ind w:leftChars="78" w:left="233" w:hangingChars="21" w:hanging="46"/>
              <w:rPr>
                <w:rFonts w:ascii="標楷體" w:eastAsia="標楷體" w:hAnsi="標楷體"/>
                <w:b/>
                <w:color w:val="000000"/>
                <w:spacing w:val="-10"/>
                <w:szCs w:val="22"/>
              </w:rPr>
            </w:pPr>
            <w:r w:rsidRPr="006573F0">
              <w:rPr>
                <w:rFonts w:ascii="標楷體" w:eastAsia="標楷體" w:hAnsi="標楷體"/>
                <w:spacing w:val="-10"/>
                <w:szCs w:val="22"/>
              </w:rPr>
              <w:t>（10-</w:t>
            </w:r>
            <w:r w:rsidRPr="006573F0">
              <w:rPr>
                <w:rFonts w:ascii="標楷體" w:eastAsia="標楷體" w:hAnsi="標楷體" w:hint="eastAsia"/>
                <w:spacing w:val="-10"/>
                <w:szCs w:val="22"/>
              </w:rPr>
              <w:t>6</w:t>
            </w:r>
            <w:r w:rsidRPr="006573F0">
              <w:rPr>
                <w:rFonts w:ascii="標楷體" w:eastAsia="標楷體" w:hAnsi="標楷體"/>
                <w:spacing w:val="-10"/>
                <w:szCs w:val="22"/>
              </w:rPr>
              <w:t>-</w:t>
            </w:r>
            <w:r w:rsidRPr="006573F0">
              <w:rPr>
                <w:rFonts w:ascii="標楷體" w:eastAsia="標楷體" w:hAnsi="標楷體" w:hint="eastAsia"/>
                <w:spacing w:val="-10"/>
                <w:szCs w:val="22"/>
              </w:rPr>
              <w:t>9</w:t>
            </w:r>
            <w:r w:rsidRPr="006573F0">
              <w:rPr>
                <w:rFonts w:ascii="標楷體" w:eastAsia="標楷體" w:hAnsi="標楷體"/>
                <w:spacing w:val="-10"/>
                <w:szCs w:val="22"/>
              </w:rPr>
              <w:t>）</w:t>
            </w:r>
            <w:r w:rsidRPr="006573F0">
              <w:rPr>
                <w:rFonts w:ascii="標楷體" w:eastAsia="標楷體" w:hAnsi="標楷體" w:hint="eastAsia"/>
                <w:spacing w:val="-10"/>
                <w:szCs w:val="22"/>
              </w:rPr>
              <w:t>准予備查</w:t>
            </w:r>
            <w:r w:rsidRPr="006573F0">
              <w:rPr>
                <w:rFonts w:ascii="標楷體" w:eastAsia="標楷體" w:hAnsi="標楷體"/>
                <w:spacing w:val="-10"/>
                <w:szCs w:val="22"/>
              </w:rPr>
              <w:t>。</w:t>
            </w:r>
          </w:p>
        </w:tc>
      </w:tr>
      <w:tr w:rsidR="00AE6B82" w:rsidRPr="003443A2" w14:paraId="2A43E403" w14:textId="77777777" w:rsidTr="00EC13B7">
        <w:tc>
          <w:tcPr>
            <w:tcW w:w="656" w:type="dxa"/>
            <w:shd w:val="clear" w:color="auto" w:fill="auto"/>
          </w:tcPr>
          <w:p w14:paraId="4A6F82AB"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2</w:t>
            </w:r>
          </w:p>
        </w:tc>
        <w:tc>
          <w:tcPr>
            <w:tcW w:w="2694" w:type="dxa"/>
            <w:shd w:val="clear" w:color="auto" w:fill="auto"/>
          </w:tcPr>
          <w:p w14:paraId="32F4C246" w14:textId="77777777" w:rsidR="00AE6B82" w:rsidRPr="003443A2" w:rsidRDefault="00AE6B82" w:rsidP="00EC13B7">
            <w:pPr>
              <w:spacing w:line="260" w:lineRule="exact"/>
              <w:jc w:val="both"/>
              <w:rPr>
                <w:rFonts w:ascii="標楷體" w:eastAsia="標楷體" w:hAnsi="標楷體"/>
                <w:kern w:val="0"/>
                <w:szCs w:val="22"/>
              </w:rPr>
            </w:pPr>
            <w:r w:rsidRPr="003443A2">
              <w:rPr>
                <w:rFonts w:ascii="標楷體" w:eastAsia="標楷體" w:hAnsi="標楷體"/>
                <w:kern w:val="0"/>
                <w:szCs w:val="22"/>
              </w:rPr>
              <w:t>法務部函送財團法人臺灣更生保護會、財團法人福建更生保護會及財團法人犯罪被害人保護協會109年度決算書案。</w:t>
            </w:r>
          </w:p>
        </w:tc>
        <w:tc>
          <w:tcPr>
            <w:tcW w:w="1701" w:type="dxa"/>
            <w:shd w:val="clear" w:color="auto" w:fill="auto"/>
          </w:tcPr>
          <w:p w14:paraId="72CDBD56" w14:textId="77777777" w:rsidR="00AE6B82" w:rsidRPr="003443A2" w:rsidRDefault="00AE6B82" w:rsidP="00EC13B7">
            <w:pPr>
              <w:spacing w:line="300" w:lineRule="exact"/>
              <w:rPr>
                <w:rFonts w:ascii="標楷體" w:eastAsia="標楷體" w:hAnsi="標楷體"/>
                <w:kern w:val="0"/>
                <w:szCs w:val="22"/>
              </w:rPr>
            </w:pPr>
            <w:r w:rsidRPr="003443A2">
              <w:rPr>
                <w:rFonts w:ascii="標楷體" w:eastAsia="標楷體" w:hAnsi="標楷體"/>
                <w:kern w:val="0"/>
                <w:szCs w:val="22"/>
              </w:rPr>
              <w:t>法務部 110.11.19 （10-4-10）</w:t>
            </w:r>
          </w:p>
        </w:tc>
        <w:tc>
          <w:tcPr>
            <w:tcW w:w="1701" w:type="dxa"/>
            <w:shd w:val="clear" w:color="auto" w:fill="auto"/>
          </w:tcPr>
          <w:p w14:paraId="59E57823" w14:textId="77777777" w:rsidR="00AE6B82" w:rsidRPr="003443A2" w:rsidRDefault="00AE6B82" w:rsidP="00EC13B7">
            <w:pPr>
              <w:spacing w:line="300" w:lineRule="exact"/>
              <w:jc w:val="both"/>
              <w:rPr>
                <w:rFonts w:ascii="標楷體" w:eastAsia="標楷體" w:hAnsi="標楷體"/>
                <w:kern w:val="0"/>
                <w:szCs w:val="22"/>
              </w:rPr>
            </w:pPr>
            <w:r w:rsidRPr="003443A2">
              <w:rPr>
                <w:rFonts w:ascii="標楷體" w:eastAsia="標楷體" w:hAnsi="標楷體"/>
                <w:kern w:val="0"/>
                <w:szCs w:val="22"/>
              </w:rPr>
              <w:t>司法及法制</w:t>
            </w:r>
          </w:p>
        </w:tc>
        <w:tc>
          <w:tcPr>
            <w:tcW w:w="1984" w:type="dxa"/>
            <w:vMerge/>
            <w:shd w:val="clear" w:color="auto" w:fill="auto"/>
          </w:tcPr>
          <w:p w14:paraId="533EC622" w14:textId="77777777" w:rsidR="00AE6B82" w:rsidRPr="006573F0" w:rsidRDefault="00AE6B82" w:rsidP="00B401A8">
            <w:pPr>
              <w:kinsoku w:val="0"/>
              <w:wordWrap w:val="0"/>
              <w:overflowPunct w:val="0"/>
              <w:autoSpaceDE w:val="0"/>
              <w:autoSpaceDN w:val="0"/>
              <w:snapToGrid w:val="0"/>
              <w:spacing w:line="300" w:lineRule="exact"/>
              <w:jc w:val="center"/>
              <w:rPr>
                <w:rFonts w:ascii="標楷體" w:eastAsia="標楷體" w:hAnsi="標楷體"/>
                <w:b/>
                <w:color w:val="000000"/>
                <w:spacing w:val="-10"/>
                <w:szCs w:val="22"/>
              </w:rPr>
            </w:pPr>
          </w:p>
        </w:tc>
      </w:tr>
      <w:tr w:rsidR="00AE6B82" w:rsidRPr="003443A2" w14:paraId="7F75BFD7" w14:textId="77777777" w:rsidTr="00EC13B7">
        <w:tc>
          <w:tcPr>
            <w:tcW w:w="656" w:type="dxa"/>
            <w:shd w:val="clear" w:color="auto" w:fill="auto"/>
          </w:tcPr>
          <w:p w14:paraId="098F22E1"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rPr>
            </w:pPr>
            <w:r w:rsidRPr="003443A2">
              <w:rPr>
                <w:rFonts w:ascii="標楷體" w:eastAsia="標楷體" w:hAnsi="標楷體" w:hint="eastAsia"/>
                <w:b/>
                <w:color w:val="000000"/>
                <w:spacing w:val="-20"/>
                <w:szCs w:val="22"/>
              </w:rPr>
              <w:t>3</w:t>
            </w:r>
          </w:p>
        </w:tc>
        <w:tc>
          <w:tcPr>
            <w:tcW w:w="2694" w:type="dxa"/>
            <w:shd w:val="clear" w:color="auto" w:fill="auto"/>
          </w:tcPr>
          <w:p w14:paraId="5339D8C5" w14:textId="77777777" w:rsidR="00AE6B82" w:rsidRPr="003443A2" w:rsidRDefault="00AE6B82" w:rsidP="00EC13B7">
            <w:pPr>
              <w:kinsoku w:val="0"/>
              <w:topLinePunct/>
              <w:autoSpaceDE w:val="0"/>
              <w:autoSpaceDN w:val="0"/>
              <w:adjustRightInd w:val="0"/>
              <w:snapToGrid w:val="0"/>
              <w:spacing w:line="300" w:lineRule="exact"/>
              <w:jc w:val="both"/>
              <w:rPr>
                <w:rFonts w:ascii="Calibri" w:hAnsi="Calibri"/>
                <w:szCs w:val="22"/>
              </w:rPr>
            </w:pPr>
            <w:r w:rsidRPr="003443A2">
              <w:rPr>
                <w:rFonts w:ascii="標楷體" w:eastAsia="標楷體" w:hAnsi="標楷體"/>
                <w:color w:val="000000"/>
                <w:kern w:val="0"/>
                <w:szCs w:val="22"/>
              </w:rPr>
              <w:t>法務部函送財團法人臺灣更生保護會、財團法人福建更生保護會及財團法人犯罪被害人保護協會112年度預算書案。</w:t>
            </w:r>
          </w:p>
        </w:tc>
        <w:tc>
          <w:tcPr>
            <w:tcW w:w="1701" w:type="dxa"/>
            <w:shd w:val="clear" w:color="auto" w:fill="auto"/>
          </w:tcPr>
          <w:p w14:paraId="6D3DDEE5" w14:textId="77777777" w:rsidR="00AE6B82" w:rsidRPr="003443A2"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3443A2">
              <w:rPr>
                <w:rFonts w:ascii="標楷體" w:eastAsia="標楷體" w:hAnsi="標楷體"/>
                <w:color w:val="000000"/>
                <w:kern w:val="0"/>
                <w:szCs w:val="22"/>
              </w:rPr>
              <w:t xml:space="preserve">法務部 111.09.30 </w:t>
            </w:r>
          </w:p>
          <w:p w14:paraId="799CF584" w14:textId="77777777" w:rsidR="00AE6B82" w:rsidRPr="003443A2" w:rsidRDefault="00AE6B82" w:rsidP="00EC13B7">
            <w:pPr>
              <w:kinsoku w:val="0"/>
              <w:topLinePunct/>
              <w:autoSpaceDE w:val="0"/>
              <w:autoSpaceDN w:val="0"/>
              <w:adjustRightInd w:val="0"/>
              <w:snapToGrid w:val="0"/>
              <w:spacing w:line="300" w:lineRule="exact"/>
              <w:rPr>
                <w:rFonts w:ascii="標楷體" w:hAnsi="標楷體"/>
                <w:szCs w:val="22"/>
              </w:rPr>
            </w:pPr>
            <w:r w:rsidRPr="003443A2">
              <w:rPr>
                <w:rFonts w:ascii="標楷體" w:eastAsia="標楷體" w:hAnsi="標楷體"/>
                <w:color w:val="000000"/>
                <w:kern w:val="0"/>
                <w:szCs w:val="22"/>
              </w:rPr>
              <w:t>（10-6-2）</w:t>
            </w:r>
          </w:p>
        </w:tc>
        <w:tc>
          <w:tcPr>
            <w:tcW w:w="1701" w:type="dxa"/>
            <w:shd w:val="clear" w:color="auto" w:fill="auto"/>
          </w:tcPr>
          <w:p w14:paraId="1583D2C0" w14:textId="77777777" w:rsidR="00AE6B82" w:rsidRPr="003443A2" w:rsidRDefault="00AE6B82" w:rsidP="00EC13B7">
            <w:pPr>
              <w:spacing w:line="300" w:lineRule="exact"/>
              <w:jc w:val="both"/>
              <w:rPr>
                <w:rFonts w:ascii="標楷體" w:eastAsia="標楷體" w:hAnsi="標楷體"/>
                <w:kern w:val="0"/>
                <w:szCs w:val="22"/>
              </w:rPr>
            </w:pPr>
            <w:r w:rsidRPr="003443A2">
              <w:rPr>
                <w:rFonts w:ascii="標楷體" w:eastAsia="標楷體" w:hAnsi="標楷體"/>
                <w:kern w:val="0"/>
                <w:szCs w:val="22"/>
              </w:rPr>
              <w:t>司法及法制</w:t>
            </w:r>
          </w:p>
        </w:tc>
        <w:tc>
          <w:tcPr>
            <w:tcW w:w="1984" w:type="dxa"/>
            <w:shd w:val="clear" w:color="auto" w:fill="auto"/>
          </w:tcPr>
          <w:p w14:paraId="7D38C4B9" w14:textId="77777777"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t>1.本會111.11.10</w:t>
            </w:r>
          </w:p>
          <w:p w14:paraId="2EA12D6A" w14:textId="77777777" w:rsidR="006573F0" w:rsidRDefault="00AE6B82" w:rsidP="00B401A8">
            <w:pPr>
              <w:kinsoku w:val="0"/>
              <w:wordWrap w:val="0"/>
              <w:overflowPunct w:val="0"/>
              <w:autoSpaceDE w:val="0"/>
              <w:autoSpaceDN w:val="0"/>
              <w:snapToGrid w:val="0"/>
              <w:spacing w:line="260" w:lineRule="exact"/>
              <w:ind w:leftChars="78" w:left="233" w:hangingChars="21" w:hanging="46"/>
              <w:rPr>
                <w:rFonts w:ascii="標楷體" w:eastAsia="標楷體" w:hAnsi="標楷體"/>
                <w:spacing w:val="-10"/>
                <w:szCs w:val="22"/>
              </w:rPr>
            </w:pPr>
            <w:r w:rsidRPr="006573F0">
              <w:rPr>
                <w:rFonts w:ascii="標楷體" w:eastAsia="標楷體" w:hAnsi="標楷體" w:hint="eastAsia"/>
                <w:spacing w:val="-10"/>
                <w:szCs w:val="22"/>
              </w:rPr>
              <w:t>（10-6-14）、</w:t>
            </w:r>
          </w:p>
          <w:p w14:paraId="774DED5F" w14:textId="477A01BB" w:rsidR="00AE6B82" w:rsidRPr="006573F0" w:rsidRDefault="00AE6B82" w:rsidP="00B401A8">
            <w:pPr>
              <w:kinsoku w:val="0"/>
              <w:wordWrap w:val="0"/>
              <w:overflowPunct w:val="0"/>
              <w:autoSpaceDE w:val="0"/>
              <w:autoSpaceDN w:val="0"/>
              <w:snapToGrid w:val="0"/>
              <w:spacing w:line="260" w:lineRule="exact"/>
              <w:ind w:leftChars="78" w:left="229" w:hangingChars="21" w:hanging="42"/>
              <w:rPr>
                <w:rFonts w:ascii="標楷體" w:eastAsia="標楷體" w:hAnsi="標楷體"/>
                <w:spacing w:val="-10"/>
                <w:szCs w:val="22"/>
              </w:rPr>
            </w:pPr>
            <w:r w:rsidRPr="006573F0">
              <w:rPr>
                <w:rFonts w:ascii="標楷體" w:eastAsia="標楷體" w:hAnsi="標楷體" w:hint="eastAsia"/>
                <w:spacing w:val="-20"/>
                <w:szCs w:val="22"/>
              </w:rPr>
              <w:t>111.12.1</w:t>
            </w:r>
            <w:r w:rsidRPr="006573F0">
              <w:rPr>
                <w:rFonts w:ascii="標楷體" w:eastAsia="標楷體" w:hAnsi="標楷體" w:hint="eastAsia"/>
                <w:spacing w:val="-10"/>
                <w:szCs w:val="22"/>
              </w:rPr>
              <w:t>（10-6-23）審查完竣，不須交由黨團協商。</w:t>
            </w:r>
          </w:p>
          <w:p w14:paraId="03985F89" w14:textId="77777777"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t>2.院會</w:t>
            </w:r>
            <w:r w:rsidRPr="006573F0">
              <w:rPr>
                <w:rFonts w:ascii="標楷體" w:eastAsia="標楷體" w:hAnsi="標楷體"/>
                <w:spacing w:val="-10"/>
                <w:szCs w:val="22"/>
              </w:rPr>
              <w:t>111.</w:t>
            </w:r>
            <w:r w:rsidRPr="006573F0">
              <w:rPr>
                <w:rFonts w:ascii="標楷體" w:eastAsia="標楷體" w:hAnsi="標楷體" w:hint="eastAsia"/>
                <w:spacing w:val="-10"/>
                <w:szCs w:val="22"/>
              </w:rPr>
              <w:t>12</w:t>
            </w:r>
            <w:r w:rsidRPr="006573F0">
              <w:rPr>
                <w:rFonts w:ascii="標楷體" w:eastAsia="標楷體" w:hAnsi="標楷體"/>
                <w:spacing w:val="-10"/>
                <w:szCs w:val="22"/>
              </w:rPr>
              <w:t>.</w:t>
            </w:r>
            <w:r w:rsidRPr="006573F0">
              <w:rPr>
                <w:rFonts w:ascii="標楷體" w:eastAsia="標楷體" w:hAnsi="標楷體" w:hint="eastAsia"/>
                <w:spacing w:val="-10"/>
                <w:szCs w:val="22"/>
              </w:rPr>
              <w:t>20</w:t>
            </w:r>
          </w:p>
          <w:p w14:paraId="0795AE5D" w14:textId="77777777" w:rsidR="00AE6B82" w:rsidRPr="006573F0" w:rsidRDefault="00AE6B82" w:rsidP="00B401A8">
            <w:pPr>
              <w:kinsoku w:val="0"/>
              <w:wordWrap w:val="0"/>
              <w:overflowPunct w:val="0"/>
              <w:autoSpaceDE w:val="0"/>
              <w:autoSpaceDN w:val="0"/>
              <w:snapToGrid w:val="0"/>
              <w:spacing w:line="260" w:lineRule="exact"/>
              <w:ind w:leftChars="78" w:left="233" w:hangingChars="21" w:hanging="46"/>
              <w:rPr>
                <w:rFonts w:ascii="標楷體" w:eastAsia="標楷體" w:hAnsi="標楷體"/>
                <w:spacing w:val="-10"/>
                <w:szCs w:val="22"/>
              </w:rPr>
            </w:pPr>
            <w:r w:rsidRPr="006573F0">
              <w:rPr>
                <w:rFonts w:ascii="標楷體" w:eastAsia="標楷體" w:hAnsi="標楷體"/>
                <w:spacing w:val="-10"/>
                <w:szCs w:val="22"/>
              </w:rPr>
              <w:t>（10-</w:t>
            </w:r>
            <w:r w:rsidRPr="006573F0">
              <w:rPr>
                <w:rFonts w:ascii="標楷體" w:eastAsia="標楷體" w:hAnsi="標楷體" w:hint="eastAsia"/>
                <w:spacing w:val="-10"/>
                <w:szCs w:val="22"/>
              </w:rPr>
              <w:t>6</w:t>
            </w:r>
            <w:r w:rsidRPr="006573F0">
              <w:rPr>
                <w:rFonts w:ascii="標楷體" w:eastAsia="標楷體" w:hAnsi="標楷體"/>
                <w:spacing w:val="-10"/>
                <w:szCs w:val="22"/>
              </w:rPr>
              <w:t>-</w:t>
            </w:r>
            <w:r w:rsidRPr="006573F0">
              <w:rPr>
                <w:rFonts w:ascii="標楷體" w:eastAsia="標楷體" w:hAnsi="標楷體" w:hint="eastAsia"/>
                <w:spacing w:val="-10"/>
                <w:szCs w:val="22"/>
              </w:rPr>
              <w:t>12</w:t>
            </w:r>
            <w:r w:rsidRPr="006573F0">
              <w:rPr>
                <w:rFonts w:ascii="標楷體" w:eastAsia="標楷體" w:hAnsi="標楷體"/>
                <w:spacing w:val="-10"/>
                <w:szCs w:val="22"/>
              </w:rPr>
              <w:t>）</w:t>
            </w:r>
            <w:r w:rsidRPr="006573F0">
              <w:rPr>
                <w:rFonts w:ascii="標楷體" w:eastAsia="標楷體" w:hAnsi="標楷體" w:hint="eastAsia"/>
                <w:spacing w:val="-10"/>
                <w:szCs w:val="22"/>
              </w:rPr>
              <w:t>三讀通過</w:t>
            </w:r>
            <w:r w:rsidRPr="006573F0">
              <w:rPr>
                <w:rFonts w:ascii="標楷體" w:eastAsia="標楷體" w:hAnsi="標楷體"/>
                <w:spacing w:val="-10"/>
                <w:szCs w:val="22"/>
              </w:rPr>
              <w:t>。</w:t>
            </w:r>
          </w:p>
          <w:p w14:paraId="144EE3FB" w14:textId="7757A4A3"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t>3</w:t>
            </w:r>
            <w:r w:rsidRPr="006573F0">
              <w:rPr>
                <w:rFonts w:ascii="標楷體" w:eastAsia="標楷體" w:hAnsi="標楷體"/>
                <w:spacing w:val="-10"/>
                <w:szCs w:val="22"/>
              </w:rPr>
              <w:t>.</w:t>
            </w:r>
            <w:r w:rsidRPr="006573F0">
              <w:rPr>
                <w:rFonts w:ascii="標楷體" w:eastAsia="標楷體" w:hAnsi="標楷體" w:hint="eastAsia"/>
                <w:spacing w:val="-10"/>
                <w:szCs w:val="22"/>
              </w:rPr>
              <w:t>本院咨文日期及文號：111年12月28日台立院議字第1110704730號</w:t>
            </w:r>
            <w:r w:rsidR="006573F0">
              <w:rPr>
                <w:rFonts w:ascii="標楷體" w:eastAsia="標楷體" w:hAnsi="標楷體" w:hint="eastAsia"/>
                <w:spacing w:val="-10"/>
                <w:szCs w:val="22"/>
              </w:rPr>
              <w:t>。</w:t>
            </w:r>
          </w:p>
          <w:p w14:paraId="318CBE85" w14:textId="4E2BE8F1"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hAnsi="標楷體"/>
                <w:spacing w:val="-10"/>
                <w:szCs w:val="22"/>
              </w:rPr>
            </w:pPr>
            <w:r w:rsidRPr="006573F0">
              <w:rPr>
                <w:rFonts w:ascii="標楷體" w:eastAsia="標楷體" w:hAnsi="標楷體" w:hint="eastAsia"/>
                <w:spacing w:val="-10"/>
                <w:szCs w:val="22"/>
              </w:rPr>
              <w:t>4.總統公布日期及文號，總統府公報：112年1月4日華總一經字第11100112341號，第7638號</w:t>
            </w:r>
            <w:r w:rsidR="006573F0">
              <w:rPr>
                <w:rFonts w:ascii="標楷體" w:eastAsia="標楷體" w:hAnsi="標楷體" w:hint="eastAsia"/>
                <w:spacing w:val="-10"/>
                <w:szCs w:val="22"/>
              </w:rPr>
              <w:t>。</w:t>
            </w:r>
          </w:p>
        </w:tc>
      </w:tr>
      <w:tr w:rsidR="00AE6B82" w:rsidRPr="003443A2" w14:paraId="3FCB0329" w14:textId="77777777" w:rsidTr="00EC13B7">
        <w:tc>
          <w:tcPr>
            <w:tcW w:w="656" w:type="dxa"/>
            <w:shd w:val="clear" w:color="auto" w:fill="auto"/>
          </w:tcPr>
          <w:p w14:paraId="634D9EE7" w14:textId="77777777" w:rsidR="00AE6B82" w:rsidRPr="003443A2"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rPr>
            </w:pPr>
            <w:r w:rsidRPr="003443A2">
              <w:rPr>
                <w:rFonts w:ascii="標楷體" w:eastAsia="標楷體" w:hAnsi="標楷體" w:hint="eastAsia"/>
                <w:b/>
                <w:color w:val="000000"/>
                <w:spacing w:val="-20"/>
                <w:szCs w:val="22"/>
              </w:rPr>
              <w:t>4</w:t>
            </w:r>
          </w:p>
        </w:tc>
        <w:tc>
          <w:tcPr>
            <w:tcW w:w="2694" w:type="dxa"/>
            <w:shd w:val="clear" w:color="auto" w:fill="auto"/>
          </w:tcPr>
          <w:p w14:paraId="33D5F13D" w14:textId="77777777" w:rsidR="00AE6B82" w:rsidRPr="003443A2" w:rsidRDefault="00AE6B82" w:rsidP="00EC13B7">
            <w:pPr>
              <w:kinsoku w:val="0"/>
              <w:topLinePunct/>
              <w:autoSpaceDE w:val="0"/>
              <w:autoSpaceDN w:val="0"/>
              <w:adjustRightInd w:val="0"/>
              <w:snapToGrid w:val="0"/>
              <w:spacing w:line="300" w:lineRule="exact"/>
              <w:jc w:val="both"/>
              <w:rPr>
                <w:rFonts w:ascii="Calibri" w:hAnsi="Calibri"/>
                <w:szCs w:val="22"/>
              </w:rPr>
            </w:pPr>
            <w:r w:rsidRPr="003443A2">
              <w:rPr>
                <w:rFonts w:ascii="標楷體" w:eastAsia="標楷體" w:hAnsi="標楷體"/>
                <w:color w:val="000000"/>
                <w:kern w:val="0"/>
                <w:szCs w:val="22"/>
              </w:rPr>
              <w:t>司法院函送財團法人法律扶助基金會112年度預算書案。</w:t>
            </w:r>
          </w:p>
        </w:tc>
        <w:tc>
          <w:tcPr>
            <w:tcW w:w="1701" w:type="dxa"/>
            <w:shd w:val="clear" w:color="auto" w:fill="auto"/>
          </w:tcPr>
          <w:p w14:paraId="31948B86" w14:textId="77777777" w:rsidR="00AE6B82" w:rsidRPr="003443A2"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3443A2">
              <w:rPr>
                <w:rFonts w:ascii="標楷體" w:eastAsia="標楷體" w:hAnsi="標楷體"/>
                <w:color w:val="000000"/>
                <w:kern w:val="0"/>
                <w:szCs w:val="22"/>
              </w:rPr>
              <w:t xml:space="preserve">司法院 111.09.30 </w:t>
            </w:r>
          </w:p>
          <w:p w14:paraId="2AB96FC5" w14:textId="77777777" w:rsidR="00AE6B82" w:rsidRPr="003443A2" w:rsidRDefault="00AE6B82" w:rsidP="00EC13B7">
            <w:pPr>
              <w:kinsoku w:val="0"/>
              <w:topLinePunct/>
              <w:autoSpaceDE w:val="0"/>
              <w:autoSpaceDN w:val="0"/>
              <w:adjustRightInd w:val="0"/>
              <w:snapToGrid w:val="0"/>
              <w:spacing w:line="300" w:lineRule="exact"/>
              <w:rPr>
                <w:rFonts w:ascii="標楷體" w:hAnsi="標楷體"/>
                <w:szCs w:val="22"/>
              </w:rPr>
            </w:pPr>
            <w:r w:rsidRPr="003443A2">
              <w:rPr>
                <w:rFonts w:ascii="標楷體" w:eastAsia="標楷體" w:hAnsi="標楷體"/>
                <w:color w:val="000000"/>
                <w:kern w:val="0"/>
                <w:szCs w:val="22"/>
              </w:rPr>
              <w:t>（10-6-2）</w:t>
            </w:r>
          </w:p>
        </w:tc>
        <w:tc>
          <w:tcPr>
            <w:tcW w:w="1701" w:type="dxa"/>
            <w:shd w:val="clear" w:color="auto" w:fill="auto"/>
          </w:tcPr>
          <w:p w14:paraId="2701951C" w14:textId="77777777" w:rsidR="00AE6B82" w:rsidRPr="003443A2" w:rsidRDefault="00AE6B82" w:rsidP="00EC13B7">
            <w:pPr>
              <w:spacing w:line="300" w:lineRule="exact"/>
              <w:jc w:val="both"/>
              <w:rPr>
                <w:rFonts w:ascii="標楷體" w:eastAsia="標楷體" w:hAnsi="標楷體"/>
                <w:kern w:val="0"/>
                <w:szCs w:val="22"/>
              </w:rPr>
            </w:pPr>
            <w:r w:rsidRPr="003443A2">
              <w:rPr>
                <w:rFonts w:ascii="標楷體" w:eastAsia="標楷體" w:hAnsi="標楷體"/>
                <w:kern w:val="0"/>
                <w:szCs w:val="22"/>
              </w:rPr>
              <w:t>司法及法制</w:t>
            </w:r>
          </w:p>
        </w:tc>
        <w:tc>
          <w:tcPr>
            <w:tcW w:w="1984" w:type="dxa"/>
            <w:shd w:val="clear" w:color="auto" w:fill="auto"/>
          </w:tcPr>
          <w:p w14:paraId="02C22406" w14:textId="77777777"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t>1.本會111.11.14</w:t>
            </w:r>
          </w:p>
          <w:p w14:paraId="5DCDA170" w14:textId="77777777" w:rsidR="009D6006" w:rsidRDefault="00AE6B82" w:rsidP="00B401A8">
            <w:pPr>
              <w:kinsoku w:val="0"/>
              <w:wordWrap w:val="0"/>
              <w:overflowPunct w:val="0"/>
              <w:autoSpaceDE w:val="0"/>
              <w:autoSpaceDN w:val="0"/>
              <w:snapToGrid w:val="0"/>
              <w:spacing w:line="260" w:lineRule="exact"/>
              <w:ind w:leftChars="78" w:left="233" w:hangingChars="21" w:hanging="46"/>
              <w:rPr>
                <w:rFonts w:ascii="標楷體" w:eastAsia="標楷體" w:hAnsi="標楷體"/>
                <w:spacing w:val="-10"/>
                <w:szCs w:val="22"/>
              </w:rPr>
            </w:pPr>
            <w:r w:rsidRPr="006573F0">
              <w:rPr>
                <w:rFonts w:ascii="標楷體" w:eastAsia="標楷體" w:hAnsi="標楷體" w:hint="eastAsia"/>
                <w:spacing w:val="-10"/>
                <w:szCs w:val="22"/>
              </w:rPr>
              <w:t>（10-6-15）、</w:t>
            </w:r>
          </w:p>
          <w:p w14:paraId="4EC0785A" w14:textId="2039A076" w:rsidR="00AE6B82" w:rsidRPr="006573F0" w:rsidRDefault="00AE6B82" w:rsidP="00B401A8">
            <w:pPr>
              <w:kinsoku w:val="0"/>
              <w:wordWrap w:val="0"/>
              <w:overflowPunct w:val="0"/>
              <w:autoSpaceDE w:val="0"/>
              <w:autoSpaceDN w:val="0"/>
              <w:snapToGrid w:val="0"/>
              <w:spacing w:line="260" w:lineRule="exact"/>
              <w:ind w:leftChars="78" w:left="233" w:hangingChars="21" w:hanging="46"/>
              <w:rPr>
                <w:rFonts w:ascii="標楷體" w:eastAsia="標楷體" w:hAnsi="標楷體"/>
                <w:spacing w:val="-10"/>
                <w:szCs w:val="22"/>
              </w:rPr>
            </w:pPr>
            <w:r w:rsidRPr="006573F0">
              <w:rPr>
                <w:rFonts w:ascii="標楷體" w:eastAsia="標楷體" w:hAnsi="標楷體" w:hint="eastAsia"/>
                <w:spacing w:val="-10"/>
                <w:szCs w:val="22"/>
              </w:rPr>
              <w:t>111.12.8（10-6-25）審查完竣，不須交由黨團協商。</w:t>
            </w:r>
          </w:p>
          <w:p w14:paraId="48D5F354" w14:textId="77777777"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lastRenderedPageBreak/>
              <w:t>2.院會</w:t>
            </w:r>
            <w:r w:rsidRPr="006573F0">
              <w:rPr>
                <w:rFonts w:ascii="標楷體" w:eastAsia="標楷體" w:hAnsi="標楷體"/>
                <w:spacing w:val="-10"/>
                <w:szCs w:val="22"/>
              </w:rPr>
              <w:t>111.</w:t>
            </w:r>
            <w:r w:rsidRPr="006573F0">
              <w:rPr>
                <w:rFonts w:ascii="標楷體" w:eastAsia="標楷體" w:hAnsi="標楷體" w:hint="eastAsia"/>
                <w:spacing w:val="-10"/>
                <w:szCs w:val="22"/>
              </w:rPr>
              <w:t>12</w:t>
            </w:r>
            <w:r w:rsidRPr="006573F0">
              <w:rPr>
                <w:rFonts w:ascii="標楷體" w:eastAsia="標楷體" w:hAnsi="標楷體"/>
                <w:spacing w:val="-10"/>
                <w:szCs w:val="22"/>
              </w:rPr>
              <w:t>.</w:t>
            </w:r>
            <w:r w:rsidRPr="006573F0">
              <w:rPr>
                <w:rFonts w:ascii="標楷體" w:eastAsia="標楷體" w:hAnsi="標楷體" w:hint="eastAsia"/>
                <w:spacing w:val="-10"/>
                <w:szCs w:val="22"/>
              </w:rPr>
              <w:t>20</w:t>
            </w:r>
          </w:p>
          <w:p w14:paraId="52E4C72A" w14:textId="77777777" w:rsidR="00AE6B82" w:rsidRPr="006573F0" w:rsidRDefault="00AE6B82" w:rsidP="00B401A8">
            <w:pPr>
              <w:kinsoku w:val="0"/>
              <w:wordWrap w:val="0"/>
              <w:overflowPunct w:val="0"/>
              <w:autoSpaceDE w:val="0"/>
              <w:autoSpaceDN w:val="0"/>
              <w:snapToGrid w:val="0"/>
              <w:spacing w:line="260" w:lineRule="exact"/>
              <w:ind w:leftChars="78" w:left="233" w:hangingChars="21" w:hanging="46"/>
              <w:rPr>
                <w:rFonts w:ascii="標楷體" w:eastAsia="標楷體" w:hAnsi="標楷體"/>
                <w:spacing w:val="-10"/>
                <w:szCs w:val="22"/>
              </w:rPr>
            </w:pPr>
            <w:r w:rsidRPr="006573F0">
              <w:rPr>
                <w:rFonts w:ascii="標楷體" w:eastAsia="標楷體" w:hAnsi="標楷體"/>
                <w:spacing w:val="-10"/>
                <w:szCs w:val="22"/>
              </w:rPr>
              <w:t>（10-</w:t>
            </w:r>
            <w:r w:rsidRPr="006573F0">
              <w:rPr>
                <w:rFonts w:ascii="標楷體" w:eastAsia="標楷體" w:hAnsi="標楷體" w:hint="eastAsia"/>
                <w:spacing w:val="-10"/>
                <w:szCs w:val="22"/>
              </w:rPr>
              <w:t>6</w:t>
            </w:r>
            <w:r w:rsidRPr="006573F0">
              <w:rPr>
                <w:rFonts w:ascii="標楷體" w:eastAsia="標楷體" w:hAnsi="標楷體"/>
                <w:spacing w:val="-10"/>
                <w:szCs w:val="22"/>
              </w:rPr>
              <w:t>-</w:t>
            </w:r>
            <w:r w:rsidRPr="006573F0">
              <w:rPr>
                <w:rFonts w:ascii="標楷體" w:eastAsia="標楷體" w:hAnsi="標楷體" w:hint="eastAsia"/>
                <w:spacing w:val="-10"/>
                <w:szCs w:val="22"/>
              </w:rPr>
              <w:t>12</w:t>
            </w:r>
            <w:r w:rsidRPr="006573F0">
              <w:rPr>
                <w:rFonts w:ascii="標楷體" w:eastAsia="標楷體" w:hAnsi="標楷體"/>
                <w:spacing w:val="-10"/>
                <w:szCs w:val="22"/>
              </w:rPr>
              <w:t>）</w:t>
            </w:r>
            <w:r w:rsidRPr="006573F0">
              <w:rPr>
                <w:rFonts w:ascii="標楷體" w:eastAsia="標楷體" w:hAnsi="標楷體" w:hint="eastAsia"/>
                <w:spacing w:val="-10"/>
                <w:szCs w:val="22"/>
              </w:rPr>
              <w:t>三讀通過</w:t>
            </w:r>
            <w:r w:rsidRPr="006573F0">
              <w:rPr>
                <w:rFonts w:ascii="標楷體" w:eastAsia="標楷體" w:hAnsi="標楷體"/>
                <w:spacing w:val="-10"/>
                <w:szCs w:val="22"/>
              </w:rPr>
              <w:t>。</w:t>
            </w:r>
          </w:p>
          <w:p w14:paraId="2DB97472" w14:textId="65C8D511"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spacing w:val="-10"/>
                <w:szCs w:val="22"/>
              </w:rPr>
            </w:pPr>
            <w:r w:rsidRPr="006573F0">
              <w:rPr>
                <w:rFonts w:ascii="標楷體" w:eastAsia="標楷體" w:hAnsi="標楷體" w:hint="eastAsia"/>
                <w:spacing w:val="-10"/>
                <w:szCs w:val="22"/>
              </w:rPr>
              <w:t>3</w:t>
            </w:r>
            <w:r w:rsidRPr="006573F0">
              <w:rPr>
                <w:rFonts w:ascii="標楷體" w:eastAsia="標楷體" w:hAnsi="標楷體"/>
                <w:spacing w:val="-10"/>
                <w:szCs w:val="22"/>
              </w:rPr>
              <w:t>.</w:t>
            </w:r>
            <w:r w:rsidRPr="006573F0">
              <w:rPr>
                <w:rFonts w:ascii="標楷體" w:eastAsia="標楷體" w:hAnsi="標楷體" w:hint="eastAsia"/>
                <w:spacing w:val="-10"/>
                <w:szCs w:val="22"/>
              </w:rPr>
              <w:t>本院咨文日期及文號：111年12月28日台立院議字第1110704732號</w:t>
            </w:r>
            <w:r w:rsidR="006573F0">
              <w:rPr>
                <w:rFonts w:ascii="標楷體" w:eastAsia="標楷體" w:hAnsi="標楷體" w:hint="eastAsia"/>
                <w:spacing w:val="-10"/>
                <w:szCs w:val="22"/>
              </w:rPr>
              <w:t>。</w:t>
            </w:r>
          </w:p>
          <w:p w14:paraId="3EB4F941" w14:textId="19B6C32D" w:rsidR="00AE6B82" w:rsidRPr="006573F0" w:rsidRDefault="00AE6B82" w:rsidP="00B401A8">
            <w:pPr>
              <w:kinsoku w:val="0"/>
              <w:wordWrap w:val="0"/>
              <w:overflowPunct w:val="0"/>
              <w:autoSpaceDE w:val="0"/>
              <w:autoSpaceDN w:val="0"/>
              <w:snapToGrid w:val="0"/>
              <w:spacing w:line="260" w:lineRule="exact"/>
              <w:ind w:left="220" w:hangingChars="100" w:hanging="220"/>
              <w:rPr>
                <w:rFonts w:ascii="標楷體" w:eastAsia="標楷體" w:hAnsi="標楷體"/>
                <w:color w:val="000000"/>
                <w:spacing w:val="-10"/>
                <w:kern w:val="0"/>
                <w:szCs w:val="22"/>
              </w:rPr>
            </w:pPr>
            <w:r w:rsidRPr="006573F0">
              <w:rPr>
                <w:rFonts w:ascii="標楷體" w:eastAsia="標楷體" w:hAnsi="標楷體" w:hint="eastAsia"/>
                <w:spacing w:val="-10"/>
                <w:szCs w:val="22"/>
              </w:rPr>
              <w:t>4.總統公布日期及文號，總統府公報：112年1月4日華總一經字第11100112351號，第7638號</w:t>
            </w:r>
            <w:r w:rsidR="006573F0">
              <w:rPr>
                <w:rFonts w:ascii="標楷體" w:eastAsia="標楷體" w:hAnsi="標楷體" w:hint="eastAsia"/>
                <w:spacing w:val="-10"/>
                <w:szCs w:val="22"/>
              </w:rPr>
              <w:t>。</w:t>
            </w:r>
          </w:p>
        </w:tc>
      </w:tr>
    </w:tbl>
    <w:p w14:paraId="6A451FD9" w14:textId="77777777" w:rsidR="00AE6B82" w:rsidRPr="003443A2" w:rsidRDefault="00AE6B82" w:rsidP="00EC13B7"/>
    <w:p w14:paraId="78E3AD82" w14:textId="77777777" w:rsidR="00AE6B82" w:rsidRPr="002A20DA" w:rsidRDefault="00AE6B82" w:rsidP="0030501C">
      <w:pPr>
        <w:pStyle w:val="3"/>
        <w:kinsoku w:val="0"/>
        <w:overflowPunct w:val="0"/>
        <w:spacing w:beforeLines="100" w:before="360" w:afterLines="100" w:after="360" w:line="260" w:lineRule="exact"/>
        <w:ind w:left="912" w:firstLineChars="250" w:firstLine="701"/>
        <w:rPr>
          <w:rFonts w:ascii="標楷體" w:hAnsi="標楷體"/>
          <w:b/>
          <w:color w:val="000000" w:themeColor="text1"/>
          <w:szCs w:val="28"/>
        </w:rPr>
      </w:pPr>
      <w:r w:rsidRPr="002A20DA">
        <w:rPr>
          <w:rFonts w:ascii="標楷體" w:hAnsi="標楷體" w:hint="eastAsia"/>
          <w:b/>
          <w:color w:val="000000" w:themeColor="text1"/>
          <w:szCs w:val="28"/>
        </w:rPr>
        <w:t>三、預算凍結案109</w:t>
      </w:r>
      <w:r w:rsidRPr="002A20DA">
        <w:rPr>
          <w:rFonts w:ascii="標楷體" w:hAnsi="標楷體"/>
          <w:b/>
          <w:color w:val="000000" w:themeColor="text1"/>
          <w:szCs w:val="28"/>
        </w:rPr>
        <w:t>案</w:t>
      </w:r>
    </w:p>
    <w:p w14:paraId="518440B9" w14:textId="77777777" w:rsidR="00AE6B82" w:rsidRPr="002A20DA" w:rsidRDefault="00AE6B82" w:rsidP="00D96730">
      <w:pPr>
        <w:keepNext/>
        <w:spacing w:beforeLines="100" w:before="360" w:afterLines="100" w:after="360" w:line="260" w:lineRule="exact"/>
        <w:ind w:firstLineChars="759" w:firstLine="2127"/>
        <w:outlineLvl w:val="2"/>
        <w:rPr>
          <w:rFonts w:ascii="標楷體" w:eastAsia="標楷體" w:hAnsi="標楷體"/>
          <w:b/>
          <w:bCs/>
          <w:sz w:val="28"/>
          <w:szCs w:val="28"/>
        </w:rPr>
      </w:pPr>
      <w:r w:rsidRPr="002A20DA">
        <w:rPr>
          <w:rFonts w:ascii="標楷體" w:eastAsia="標楷體" w:hAnsi="標楷體"/>
          <w:b/>
          <w:sz w:val="28"/>
          <w:szCs w:val="28"/>
        </w:rPr>
        <w:t>(</w:t>
      </w:r>
      <w:r w:rsidRPr="002A20DA">
        <w:rPr>
          <w:rFonts w:ascii="標楷體" w:eastAsia="標楷體" w:hAnsi="標楷體"/>
          <w:b/>
          <w:bCs/>
          <w:sz w:val="28"/>
          <w:szCs w:val="28"/>
        </w:rPr>
        <w:t>一</w:t>
      </w:r>
      <w:r w:rsidRPr="002A20DA">
        <w:rPr>
          <w:rFonts w:ascii="標楷體" w:eastAsia="標楷體" w:hAnsi="標楷體" w:hint="eastAsia"/>
          <w:b/>
          <w:sz w:val="28"/>
          <w:szCs w:val="28"/>
        </w:rPr>
        <w:t>)</w:t>
      </w:r>
      <w:r w:rsidRPr="002A20DA">
        <w:rPr>
          <w:rFonts w:ascii="標楷體" w:eastAsia="標楷體" w:hAnsi="標楷體"/>
          <w:b/>
          <w:bCs/>
          <w:sz w:val="28"/>
          <w:szCs w:val="28"/>
        </w:rPr>
        <w:t>總統府（含國家安全會議</w:t>
      </w:r>
      <w:r w:rsidRPr="002A20DA">
        <w:rPr>
          <w:rFonts w:ascii="標楷體" w:eastAsia="標楷體" w:hAnsi="標楷體" w:hint="eastAsia"/>
          <w:b/>
          <w:bCs/>
          <w:sz w:val="28"/>
          <w:szCs w:val="28"/>
        </w:rPr>
        <w:t>、國史館</w:t>
      </w:r>
      <w:r w:rsidRPr="002A20DA">
        <w:rPr>
          <w:rFonts w:ascii="標楷體" w:eastAsia="標楷體" w:hAnsi="標楷體"/>
          <w:b/>
          <w:bCs/>
          <w:sz w:val="28"/>
          <w:szCs w:val="28"/>
        </w:rPr>
        <w:t>）</w:t>
      </w:r>
      <w:r w:rsidRPr="002A20DA">
        <w:rPr>
          <w:rFonts w:ascii="標楷體" w:eastAsia="標楷體" w:hAnsi="標楷體" w:hint="eastAsia"/>
          <w:b/>
          <w:bCs/>
          <w:sz w:val="28"/>
          <w:szCs w:val="28"/>
        </w:rPr>
        <w:t>5</w:t>
      </w:r>
      <w:r w:rsidRPr="002A20DA">
        <w:rPr>
          <w:rFonts w:ascii="標楷體" w:eastAsia="標楷體" w:hAnsi="標楷體"/>
          <w:b/>
          <w:bCs/>
          <w:sz w:val="28"/>
          <w:szCs w:val="28"/>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E6B82" w:rsidRPr="002A20DA" w14:paraId="392D3E5E" w14:textId="77777777" w:rsidTr="00EC13B7">
        <w:tc>
          <w:tcPr>
            <w:tcW w:w="656" w:type="dxa"/>
            <w:shd w:val="clear" w:color="auto" w:fill="auto"/>
          </w:tcPr>
          <w:p w14:paraId="59B3D3A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序號</w:t>
            </w:r>
          </w:p>
        </w:tc>
        <w:tc>
          <w:tcPr>
            <w:tcW w:w="2694" w:type="dxa"/>
            <w:shd w:val="clear" w:color="auto" w:fill="auto"/>
          </w:tcPr>
          <w:p w14:paraId="62CB43FF"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議案名稱</w:t>
            </w:r>
          </w:p>
        </w:tc>
        <w:tc>
          <w:tcPr>
            <w:tcW w:w="1701" w:type="dxa"/>
            <w:shd w:val="clear" w:color="auto" w:fill="auto"/>
          </w:tcPr>
          <w:p w14:paraId="2AFC6C6C" w14:textId="77777777" w:rsidR="00AE6B82" w:rsidRPr="002A20DA" w:rsidRDefault="00AE6B82"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2A20DA">
              <w:rPr>
                <w:rFonts w:ascii="標楷體" w:eastAsia="標楷體" w:hAnsi="標楷體"/>
                <w:b/>
                <w:color w:val="000000"/>
                <w:spacing w:val="-20"/>
                <w:szCs w:val="22"/>
              </w:rPr>
              <w:t>提案機關、院會交付日期(會次)</w:t>
            </w:r>
          </w:p>
        </w:tc>
        <w:tc>
          <w:tcPr>
            <w:tcW w:w="1701" w:type="dxa"/>
            <w:shd w:val="clear" w:color="auto" w:fill="auto"/>
          </w:tcPr>
          <w:p w14:paraId="30D83C7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交付</w:t>
            </w:r>
            <w:r w:rsidRPr="002A20DA">
              <w:rPr>
                <w:rFonts w:ascii="標楷體" w:eastAsia="標楷體" w:hAnsi="標楷體"/>
                <w:b/>
                <w:color w:val="000000"/>
                <w:spacing w:val="-20"/>
                <w:szCs w:val="22"/>
                <w:lang w:eastAsia="ko-KR"/>
              </w:rPr>
              <w:t>委員會</w:t>
            </w:r>
          </w:p>
        </w:tc>
        <w:tc>
          <w:tcPr>
            <w:tcW w:w="1984" w:type="dxa"/>
            <w:shd w:val="clear" w:color="auto" w:fill="auto"/>
          </w:tcPr>
          <w:p w14:paraId="72942A72" w14:textId="5D8F0813" w:rsidR="00AE6B82" w:rsidRPr="002A20DA"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AE6B82" w:rsidRPr="009D6006" w14:paraId="2722C901" w14:textId="77777777" w:rsidTr="00EC13B7">
        <w:tc>
          <w:tcPr>
            <w:tcW w:w="656" w:type="dxa"/>
            <w:shd w:val="clear" w:color="auto" w:fill="auto"/>
          </w:tcPr>
          <w:p w14:paraId="17BE65C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w:t>
            </w:r>
          </w:p>
        </w:tc>
        <w:tc>
          <w:tcPr>
            <w:tcW w:w="2694" w:type="dxa"/>
            <w:shd w:val="clear" w:color="auto" w:fill="auto"/>
          </w:tcPr>
          <w:p w14:paraId="7E54588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總統府函，為111年度中央政府總預算決議，檢送決議（一）至（四）、（十三）及（十四）預算凍結書面報告，請查照案。</w:t>
            </w:r>
          </w:p>
        </w:tc>
        <w:tc>
          <w:tcPr>
            <w:tcW w:w="1701" w:type="dxa"/>
            <w:shd w:val="clear" w:color="auto" w:fill="auto"/>
          </w:tcPr>
          <w:p w14:paraId="04D4A12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總統府 111.04.08 </w:t>
            </w:r>
          </w:p>
          <w:p w14:paraId="6C3685D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02B8956C"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7E48F25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w:t>
            </w:r>
            <w:r w:rsidRPr="009D6006">
              <w:rPr>
                <w:rFonts w:ascii="標楷體" w:eastAsia="標楷體" w:hAnsi="標楷體"/>
                <w:spacing w:val="-10"/>
                <w:kern w:val="0"/>
                <w:szCs w:val="22"/>
              </w:rPr>
              <w:t>2</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15</w:t>
            </w:r>
          </w:p>
          <w:p w14:paraId="4F854CC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(10-6-27)准予備查，提報院會。</w:t>
            </w:r>
          </w:p>
          <w:p w14:paraId="47DFF53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.12.30</w:t>
            </w:r>
          </w:p>
          <w:p w14:paraId="75CF274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4)准予備查。</w:t>
            </w:r>
          </w:p>
        </w:tc>
      </w:tr>
      <w:tr w:rsidR="00AE6B82" w:rsidRPr="009D6006" w14:paraId="1EBD9443" w14:textId="77777777" w:rsidTr="00EC13B7">
        <w:tc>
          <w:tcPr>
            <w:tcW w:w="656" w:type="dxa"/>
            <w:shd w:val="clear" w:color="auto" w:fill="auto"/>
          </w:tcPr>
          <w:p w14:paraId="7C85E8BA"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w:t>
            </w:r>
          </w:p>
        </w:tc>
        <w:tc>
          <w:tcPr>
            <w:tcW w:w="2694" w:type="dxa"/>
            <w:shd w:val="clear" w:color="auto" w:fill="auto"/>
          </w:tcPr>
          <w:p w14:paraId="383E1EB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國家安全會議函，為111年度中央政府總預算決議，檢送歲出第1款第2項決議（一）凍結「一般行政」20萬元書面報告，請查照案。</w:t>
            </w:r>
          </w:p>
        </w:tc>
        <w:tc>
          <w:tcPr>
            <w:tcW w:w="1701" w:type="dxa"/>
            <w:shd w:val="clear" w:color="auto" w:fill="auto"/>
          </w:tcPr>
          <w:p w14:paraId="422CD86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國家安全會議 111.05.13 </w:t>
            </w:r>
          </w:p>
          <w:p w14:paraId="4D76A84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（10-5-12）</w:t>
            </w:r>
          </w:p>
        </w:tc>
        <w:tc>
          <w:tcPr>
            <w:tcW w:w="1701" w:type="dxa"/>
            <w:shd w:val="clear" w:color="auto" w:fill="auto"/>
          </w:tcPr>
          <w:p w14:paraId="5C239DB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D66461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w:t>
            </w:r>
            <w:r w:rsidRPr="009D6006">
              <w:rPr>
                <w:rFonts w:ascii="標楷體" w:eastAsia="標楷體" w:hAnsi="標楷體"/>
                <w:spacing w:val="-10"/>
                <w:kern w:val="0"/>
                <w:szCs w:val="22"/>
              </w:rPr>
              <w:t>2</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15</w:t>
            </w:r>
          </w:p>
          <w:p w14:paraId="379C3E5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(10-6-27)准予動支，提報院會。</w:t>
            </w:r>
          </w:p>
          <w:p w14:paraId="00117DB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.12.30</w:t>
            </w:r>
          </w:p>
          <w:p w14:paraId="3A104F43" w14:textId="77777777" w:rsidR="00AE6B82" w:rsidRPr="009D6006" w:rsidRDefault="00AE6B82" w:rsidP="00EC13B7">
            <w:pPr>
              <w:autoSpaceDE w:val="0"/>
              <w:autoSpaceDN w:val="0"/>
              <w:snapToGrid w:val="0"/>
              <w:spacing w:line="260" w:lineRule="exact"/>
              <w:rPr>
                <w:rFonts w:ascii="標楷體" w:hAnsi="標楷體"/>
                <w:spacing w:val="-1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4)准予備查。</w:t>
            </w:r>
          </w:p>
        </w:tc>
      </w:tr>
      <w:tr w:rsidR="00AE6B82" w:rsidRPr="009D6006" w14:paraId="19A7C5FE" w14:textId="77777777" w:rsidTr="00EC13B7">
        <w:tc>
          <w:tcPr>
            <w:tcW w:w="656" w:type="dxa"/>
            <w:shd w:val="clear" w:color="auto" w:fill="auto"/>
          </w:tcPr>
          <w:p w14:paraId="69ED8410"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3</w:t>
            </w:r>
          </w:p>
        </w:tc>
        <w:tc>
          <w:tcPr>
            <w:tcW w:w="2694" w:type="dxa"/>
            <w:shd w:val="clear" w:color="auto" w:fill="auto"/>
          </w:tcPr>
          <w:p w14:paraId="57F03CB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國家安全會議函，為111年度中央政府總預算決議，檢送歲出第1款第2項決議（二）凍結「諮詢研究業務」50萬元書面報告，請查照案。</w:t>
            </w:r>
          </w:p>
        </w:tc>
        <w:tc>
          <w:tcPr>
            <w:tcW w:w="1701" w:type="dxa"/>
            <w:shd w:val="clear" w:color="auto" w:fill="auto"/>
          </w:tcPr>
          <w:p w14:paraId="36562FB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國家安全會議 111.05.13 </w:t>
            </w:r>
          </w:p>
          <w:p w14:paraId="237072C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（10-5-12）</w:t>
            </w:r>
          </w:p>
        </w:tc>
        <w:tc>
          <w:tcPr>
            <w:tcW w:w="1701" w:type="dxa"/>
            <w:shd w:val="clear" w:color="auto" w:fill="auto"/>
          </w:tcPr>
          <w:p w14:paraId="2BEF9E6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29C76B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w:t>
            </w:r>
            <w:r w:rsidRPr="009D6006">
              <w:rPr>
                <w:rFonts w:ascii="標楷體" w:eastAsia="標楷體" w:hAnsi="標楷體"/>
                <w:spacing w:val="-10"/>
                <w:kern w:val="0"/>
                <w:szCs w:val="22"/>
              </w:rPr>
              <w:t>2</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15</w:t>
            </w:r>
          </w:p>
          <w:p w14:paraId="67820A4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(10-6-27)准予動支，提報院會。</w:t>
            </w:r>
          </w:p>
          <w:p w14:paraId="02D1963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.12.30</w:t>
            </w:r>
          </w:p>
          <w:p w14:paraId="3D7DAEC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4)准予備查。</w:t>
            </w:r>
          </w:p>
        </w:tc>
      </w:tr>
      <w:tr w:rsidR="00AE6B82" w:rsidRPr="009D6006" w14:paraId="1704D15A" w14:textId="77777777" w:rsidTr="00EC13B7">
        <w:tc>
          <w:tcPr>
            <w:tcW w:w="656" w:type="dxa"/>
            <w:shd w:val="clear" w:color="auto" w:fill="auto"/>
          </w:tcPr>
          <w:p w14:paraId="546371BF"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4</w:t>
            </w:r>
          </w:p>
        </w:tc>
        <w:tc>
          <w:tcPr>
            <w:tcW w:w="2694" w:type="dxa"/>
            <w:shd w:val="clear" w:color="auto" w:fill="auto"/>
          </w:tcPr>
          <w:p w14:paraId="060F896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國史館函，為111年度中央政府總預算決議，檢送「一般行政」預算凍結書面報告，請查照案。</w:t>
            </w:r>
          </w:p>
        </w:tc>
        <w:tc>
          <w:tcPr>
            <w:tcW w:w="1701" w:type="dxa"/>
            <w:shd w:val="clear" w:color="auto" w:fill="auto"/>
          </w:tcPr>
          <w:p w14:paraId="1D15EB5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國史館 111.04.29 </w:t>
            </w:r>
          </w:p>
          <w:p w14:paraId="6CF121D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（10-5-10）</w:t>
            </w:r>
          </w:p>
        </w:tc>
        <w:tc>
          <w:tcPr>
            <w:tcW w:w="1701" w:type="dxa"/>
            <w:shd w:val="clear" w:color="auto" w:fill="auto"/>
          </w:tcPr>
          <w:p w14:paraId="79AB533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CA58FB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w:t>
            </w:r>
            <w:r w:rsidRPr="009D6006">
              <w:rPr>
                <w:rFonts w:ascii="標楷體" w:eastAsia="標楷體" w:hAnsi="標楷體"/>
                <w:spacing w:val="-10"/>
                <w:kern w:val="0"/>
                <w:szCs w:val="22"/>
              </w:rPr>
              <w:t>2</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15</w:t>
            </w:r>
          </w:p>
          <w:p w14:paraId="36868A9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spacing w:val="-10"/>
                <w:kern w:val="0"/>
                <w:szCs w:val="22"/>
              </w:rPr>
              <w:t>(10-6-27)</w:t>
            </w:r>
            <w:r w:rsidRPr="009D6006">
              <w:rPr>
                <w:rFonts w:ascii="標楷體" w:eastAsia="標楷體" w:hAnsi="標楷體" w:hint="eastAsia"/>
                <w:spacing w:val="-10"/>
                <w:kern w:val="0"/>
                <w:szCs w:val="22"/>
              </w:rPr>
              <w:t>准予備查，提報院會。</w:t>
            </w:r>
          </w:p>
          <w:p w14:paraId="627F7E0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.12.30</w:t>
            </w:r>
          </w:p>
          <w:p w14:paraId="50137F3B" w14:textId="77777777" w:rsidR="00AE6B82" w:rsidRPr="009D6006" w:rsidRDefault="00AE6B82" w:rsidP="00EC13B7">
            <w:pPr>
              <w:autoSpaceDE w:val="0"/>
              <w:autoSpaceDN w:val="0"/>
              <w:snapToGrid w:val="0"/>
              <w:spacing w:line="260" w:lineRule="exact"/>
              <w:rPr>
                <w:rFonts w:ascii="標楷體" w:hAnsi="標楷體"/>
                <w:spacing w:val="-1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4)准予備查。</w:t>
            </w:r>
          </w:p>
        </w:tc>
      </w:tr>
      <w:tr w:rsidR="00AE6B82" w:rsidRPr="009D6006" w14:paraId="78EEFE76" w14:textId="77777777" w:rsidTr="00EC13B7">
        <w:tc>
          <w:tcPr>
            <w:tcW w:w="656" w:type="dxa"/>
            <w:shd w:val="clear" w:color="auto" w:fill="auto"/>
          </w:tcPr>
          <w:p w14:paraId="2EE03826"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5</w:t>
            </w:r>
          </w:p>
        </w:tc>
        <w:tc>
          <w:tcPr>
            <w:tcW w:w="2694" w:type="dxa"/>
            <w:shd w:val="clear" w:color="auto" w:fill="auto"/>
          </w:tcPr>
          <w:p w14:paraId="6AD6C419"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國史館函，為111年度中央政府總預算決議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檢送決議（二）預算凍結</w:t>
            </w:r>
            <w:r w:rsidRPr="002A20DA">
              <w:rPr>
                <w:rFonts w:ascii="標楷體" w:eastAsia="標楷體" w:hAnsi="標楷體"/>
                <w:color w:val="000000"/>
                <w:kern w:val="0"/>
                <w:szCs w:val="22"/>
              </w:rPr>
              <w:lastRenderedPageBreak/>
              <w:t>書面報告，請查照案。</w:t>
            </w:r>
          </w:p>
        </w:tc>
        <w:tc>
          <w:tcPr>
            <w:tcW w:w="1701" w:type="dxa"/>
            <w:shd w:val="clear" w:color="auto" w:fill="auto"/>
          </w:tcPr>
          <w:p w14:paraId="4C2DD90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國史館 111.04.29 </w:t>
            </w:r>
          </w:p>
          <w:p w14:paraId="15ECF68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（10-5-10）</w:t>
            </w:r>
          </w:p>
        </w:tc>
        <w:tc>
          <w:tcPr>
            <w:tcW w:w="1701" w:type="dxa"/>
            <w:shd w:val="clear" w:color="auto" w:fill="auto"/>
          </w:tcPr>
          <w:p w14:paraId="3EBA905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63FC6F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w:t>
            </w:r>
            <w:r w:rsidRPr="009D6006">
              <w:rPr>
                <w:rFonts w:ascii="標楷體" w:eastAsia="標楷體" w:hAnsi="標楷體"/>
                <w:spacing w:val="-10"/>
                <w:kern w:val="0"/>
                <w:szCs w:val="22"/>
              </w:rPr>
              <w:t>2</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15</w:t>
            </w:r>
          </w:p>
          <w:p w14:paraId="27C0295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spacing w:val="-10"/>
                <w:kern w:val="0"/>
                <w:szCs w:val="22"/>
              </w:rPr>
              <w:t>(10-6-27)</w:t>
            </w:r>
            <w:r w:rsidRPr="009D6006">
              <w:rPr>
                <w:rFonts w:ascii="標楷體" w:eastAsia="標楷體" w:hAnsi="標楷體" w:hint="eastAsia"/>
                <w:spacing w:val="-10"/>
                <w:kern w:val="0"/>
                <w:szCs w:val="22"/>
              </w:rPr>
              <w:t>准予備查，提報院會。</w:t>
            </w:r>
          </w:p>
          <w:p w14:paraId="11FF29B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.12.30</w:t>
            </w:r>
          </w:p>
          <w:p w14:paraId="04EFA73A" w14:textId="77777777" w:rsidR="00AE6B82" w:rsidRPr="009D6006" w:rsidRDefault="00AE6B82" w:rsidP="00EC13B7">
            <w:pPr>
              <w:autoSpaceDE w:val="0"/>
              <w:autoSpaceDN w:val="0"/>
              <w:snapToGrid w:val="0"/>
              <w:spacing w:line="260" w:lineRule="exact"/>
              <w:rPr>
                <w:rFonts w:ascii="標楷體" w:hAnsi="標楷體"/>
                <w:spacing w:val="-1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4)准予備查。</w:t>
            </w:r>
          </w:p>
        </w:tc>
      </w:tr>
    </w:tbl>
    <w:p w14:paraId="03A4DD06" w14:textId="77777777" w:rsidR="00AE6B82" w:rsidRPr="002A20DA" w:rsidRDefault="00AE6B82" w:rsidP="00D96730">
      <w:pPr>
        <w:keepNext/>
        <w:spacing w:beforeLines="100" w:before="360" w:afterLines="100" w:after="360" w:line="260" w:lineRule="exact"/>
        <w:ind w:firstLineChars="759" w:firstLine="2127"/>
        <w:outlineLvl w:val="2"/>
        <w:rPr>
          <w:rFonts w:ascii="標楷體" w:eastAsia="標楷體" w:hAnsi="標楷體"/>
          <w:b/>
          <w:bCs/>
          <w:sz w:val="28"/>
          <w:szCs w:val="28"/>
        </w:rPr>
      </w:pPr>
      <w:r w:rsidRPr="002A20DA">
        <w:rPr>
          <w:rFonts w:ascii="標楷體" w:eastAsia="標楷體" w:hAnsi="標楷體"/>
          <w:b/>
          <w:sz w:val="28"/>
          <w:szCs w:val="28"/>
        </w:rPr>
        <w:lastRenderedPageBreak/>
        <w:t>(</w:t>
      </w:r>
      <w:r w:rsidRPr="002A20DA">
        <w:rPr>
          <w:rFonts w:ascii="標楷體" w:eastAsia="標楷體" w:hAnsi="標楷體"/>
          <w:b/>
          <w:bCs/>
          <w:sz w:val="28"/>
          <w:szCs w:val="28"/>
        </w:rPr>
        <w:t>二</w:t>
      </w:r>
      <w:r w:rsidRPr="002A20DA">
        <w:rPr>
          <w:rFonts w:ascii="標楷體" w:eastAsia="標楷體" w:hAnsi="標楷體" w:hint="eastAsia"/>
          <w:b/>
          <w:sz w:val="28"/>
          <w:szCs w:val="28"/>
        </w:rPr>
        <w:t>)</w:t>
      </w:r>
      <w:r w:rsidRPr="002A20DA">
        <w:rPr>
          <w:rFonts w:ascii="標楷體" w:eastAsia="標楷體" w:hAnsi="標楷體"/>
          <w:b/>
          <w:bCs/>
          <w:sz w:val="28"/>
          <w:szCs w:val="28"/>
        </w:rPr>
        <w:t>行政院</w:t>
      </w:r>
      <w:r w:rsidRPr="002A20DA">
        <w:rPr>
          <w:rFonts w:ascii="標楷體" w:eastAsia="標楷體" w:hAnsi="標楷體" w:hint="eastAsia"/>
          <w:b/>
          <w:bCs/>
          <w:sz w:val="28"/>
          <w:szCs w:val="28"/>
        </w:rPr>
        <w:t>2</w:t>
      </w:r>
      <w:r w:rsidRPr="002A20DA">
        <w:rPr>
          <w:rFonts w:ascii="標楷體" w:eastAsia="標楷體" w:hAnsi="標楷體"/>
          <w:b/>
          <w:bCs/>
          <w:sz w:val="28"/>
          <w:szCs w:val="28"/>
        </w:rPr>
        <w:t>6案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E6B82" w:rsidRPr="002A20DA" w14:paraId="742F2B3C" w14:textId="77777777" w:rsidTr="00EC13B7">
        <w:tc>
          <w:tcPr>
            <w:tcW w:w="656" w:type="dxa"/>
            <w:shd w:val="clear" w:color="auto" w:fill="auto"/>
          </w:tcPr>
          <w:p w14:paraId="66BFCEDF"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序號</w:t>
            </w:r>
          </w:p>
        </w:tc>
        <w:tc>
          <w:tcPr>
            <w:tcW w:w="2694" w:type="dxa"/>
            <w:shd w:val="clear" w:color="auto" w:fill="auto"/>
          </w:tcPr>
          <w:p w14:paraId="67703AD8"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議案名稱</w:t>
            </w:r>
          </w:p>
        </w:tc>
        <w:tc>
          <w:tcPr>
            <w:tcW w:w="1701" w:type="dxa"/>
            <w:shd w:val="clear" w:color="auto" w:fill="auto"/>
          </w:tcPr>
          <w:p w14:paraId="578E57A5" w14:textId="77777777" w:rsidR="00AE6B82" w:rsidRPr="002A20DA" w:rsidRDefault="00AE6B82"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2A20DA">
              <w:rPr>
                <w:rFonts w:ascii="標楷體" w:eastAsia="標楷體" w:hAnsi="標楷體"/>
                <w:b/>
                <w:color w:val="000000"/>
                <w:spacing w:val="-20"/>
                <w:szCs w:val="22"/>
              </w:rPr>
              <w:t>提案機關、院會交付日期(會次)</w:t>
            </w:r>
          </w:p>
        </w:tc>
        <w:tc>
          <w:tcPr>
            <w:tcW w:w="1701" w:type="dxa"/>
            <w:shd w:val="clear" w:color="auto" w:fill="auto"/>
          </w:tcPr>
          <w:p w14:paraId="0AC5335B"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交付</w:t>
            </w:r>
            <w:r w:rsidRPr="002A20DA">
              <w:rPr>
                <w:rFonts w:ascii="標楷體" w:eastAsia="標楷體" w:hAnsi="標楷體"/>
                <w:b/>
                <w:color w:val="000000"/>
                <w:spacing w:val="-20"/>
                <w:szCs w:val="22"/>
                <w:lang w:eastAsia="ko-KR"/>
              </w:rPr>
              <w:t>委員會</w:t>
            </w:r>
          </w:p>
        </w:tc>
        <w:tc>
          <w:tcPr>
            <w:tcW w:w="1984" w:type="dxa"/>
            <w:shd w:val="clear" w:color="auto" w:fill="auto"/>
          </w:tcPr>
          <w:p w14:paraId="4A4FD870" w14:textId="3C343F18" w:rsidR="00AE6B82" w:rsidRPr="002A20DA"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AE6B82" w:rsidRPr="009D6006" w14:paraId="01C90249" w14:textId="77777777" w:rsidTr="00EC13B7">
        <w:tc>
          <w:tcPr>
            <w:tcW w:w="656" w:type="dxa"/>
            <w:shd w:val="clear" w:color="auto" w:fill="auto"/>
          </w:tcPr>
          <w:p w14:paraId="509A81E0"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w:t>
            </w:r>
          </w:p>
        </w:tc>
        <w:tc>
          <w:tcPr>
            <w:tcW w:w="2694" w:type="dxa"/>
            <w:shd w:val="clear" w:color="auto" w:fill="auto"/>
          </w:tcPr>
          <w:p w14:paraId="5275499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為111年度中央政府總預算決議，檢送該部通過決議（一）凍結第1目「一般行政」50萬元書面報告，請查照案。</w:t>
            </w:r>
          </w:p>
        </w:tc>
        <w:tc>
          <w:tcPr>
            <w:tcW w:w="1701" w:type="dxa"/>
            <w:shd w:val="clear" w:color="auto" w:fill="auto"/>
          </w:tcPr>
          <w:p w14:paraId="7893F55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F374D1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6795406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63D4691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66D15221"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0748989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071312E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10B3AB7F" w14:textId="77777777" w:rsidTr="00EC13B7">
        <w:tc>
          <w:tcPr>
            <w:tcW w:w="656" w:type="dxa"/>
            <w:shd w:val="clear" w:color="auto" w:fill="auto"/>
          </w:tcPr>
          <w:p w14:paraId="1769603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p>
        </w:tc>
        <w:tc>
          <w:tcPr>
            <w:tcW w:w="2694" w:type="dxa"/>
            <w:shd w:val="clear" w:color="auto" w:fill="auto"/>
          </w:tcPr>
          <w:p w14:paraId="409E0D6E"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為111年度中央政府總預算決議，檢送該部通過決議（二）凍結第2目「法務行政」200萬元書面報告，請查照案。</w:t>
            </w:r>
          </w:p>
        </w:tc>
        <w:tc>
          <w:tcPr>
            <w:tcW w:w="1701" w:type="dxa"/>
            <w:shd w:val="clear" w:color="auto" w:fill="auto"/>
          </w:tcPr>
          <w:p w14:paraId="0A761CD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703C27F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4ED5DE6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7DC1438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7A48310F"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3E8F147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21026F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5E4DBE15" w14:textId="77777777" w:rsidTr="00EC13B7">
        <w:tc>
          <w:tcPr>
            <w:tcW w:w="656" w:type="dxa"/>
            <w:shd w:val="clear" w:color="auto" w:fill="auto"/>
          </w:tcPr>
          <w:p w14:paraId="57C6F1D7"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3</w:t>
            </w:r>
          </w:p>
        </w:tc>
        <w:tc>
          <w:tcPr>
            <w:tcW w:w="2694" w:type="dxa"/>
            <w:shd w:val="clear" w:color="auto" w:fill="auto"/>
          </w:tcPr>
          <w:p w14:paraId="0638A29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為111年度中央政府總預算決議，檢送該部通過決議（三）凍結第2目「法務行政」項下「業務費」之「大陸地區旅費」20％書面報告，請查照案。</w:t>
            </w:r>
          </w:p>
        </w:tc>
        <w:tc>
          <w:tcPr>
            <w:tcW w:w="1701" w:type="dxa"/>
            <w:shd w:val="clear" w:color="auto" w:fill="auto"/>
          </w:tcPr>
          <w:p w14:paraId="45C3554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71AA478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C86C04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88AA96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0A928155"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31785F5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71EE4EB1"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29EE51EA" w14:textId="77777777" w:rsidTr="00EC13B7">
        <w:tc>
          <w:tcPr>
            <w:tcW w:w="656" w:type="dxa"/>
            <w:shd w:val="clear" w:color="auto" w:fill="auto"/>
          </w:tcPr>
          <w:p w14:paraId="6782071D"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4</w:t>
            </w:r>
          </w:p>
        </w:tc>
        <w:tc>
          <w:tcPr>
            <w:tcW w:w="2694" w:type="dxa"/>
            <w:shd w:val="clear" w:color="auto" w:fill="auto"/>
          </w:tcPr>
          <w:p w14:paraId="0257DB6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為111年度中央政府總預算決議，檢送該部通過決議（四）凍結第2目「法務行政」項下「業務費」中「國外旅費」20％書面報告，請查照案。</w:t>
            </w:r>
          </w:p>
        </w:tc>
        <w:tc>
          <w:tcPr>
            <w:tcW w:w="1701" w:type="dxa"/>
            <w:shd w:val="clear" w:color="auto" w:fill="auto"/>
          </w:tcPr>
          <w:p w14:paraId="7F8989A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A73FB6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E80A6DD"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88E3D3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23CEFAB0"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5674030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3BA45219"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04E7F53E" w14:textId="77777777" w:rsidTr="00EC13B7">
        <w:tc>
          <w:tcPr>
            <w:tcW w:w="656" w:type="dxa"/>
            <w:shd w:val="clear" w:color="auto" w:fill="auto"/>
          </w:tcPr>
          <w:p w14:paraId="36C946C4"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5</w:t>
            </w:r>
          </w:p>
        </w:tc>
        <w:tc>
          <w:tcPr>
            <w:tcW w:w="2694" w:type="dxa"/>
            <w:shd w:val="clear" w:color="auto" w:fill="auto"/>
          </w:tcPr>
          <w:p w14:paraId="62AC8EF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為111年度中央政府總預算決議，檢送該部通過決議（五）凍結第3目「一般建築及設備」第1節「其他設備」100萬元書面報告，請查照案。</w:t>
            </w:r>
          </w:p>
        </w:tc>
        <w:tc>
          <w:tcPr>
            <w:tcW w:w="1701" w:type="dxa"/>
            <w:shd w:val="clear" w:color="auto" w:fill="auto"/>
          </w:tcPr>
          <w:p w14:paraId="10F66C2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8A10C9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356D85B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5B00E3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0E1EC939"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4E1A56B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637E71FD"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749E4F61" w14:textId="77777777" w:rsidTr="00EC13B7">
        <w:tc>
          <w:tcPr>
            <w:tcW w:w="656" w:type="dxa"/>
            <w:shd w:val="clear" w:color="auto" w:fill="auto"/>
          </w:tcPr>
          <w:p w14:paraId="51B80870"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6</w:t>
            </w:r>
          </w:p>
        </w:tc>
        <w:tc>
          <w:tcPr>
            <w:tcW w:w="2694" w:type="dxa"/>
            <w:shd w:val="clear" w:color="auto" w:fill="auto"/>
          </w:tcPr>
          <w:p w14:paraId="1C28A461"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為111年度中央政府總預算決議，檢送該部通過決議（六）凍結第5目「司法科技業務」20萬元書面報告，請查照案。</w:t>
            </w:r>
          </w:p>
        </w:tc>
        <w:tc>
          <w:tcPr>
            <w:tcW w:w="1701" w:type="dxa"/>
            <w:shd w:val="clear" w:color="auto" w:fill="auto"/>
          </w:tcPr>
          <w:p w14:paraId="5E36E21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7A8CB02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024E7E3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84BF64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35346295"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-5-20)准予動支，提報院會</w:t>
            </w:r>
            <w:r w:rsidRPr="009D6006">
              <w:rPr>
                <w:rFonts w:ascii="標楷體" w:eastAsia="標楷體" w:hAnsi="標楷體"/>
                <w:spacing w:val="-10"/>
                <w:kern w:val="0"/>
                <w:szCs w:val="22"/>
              </w:rPr>
              <w:t>。</w:t>
            </w:r>
          </w:p>
          <w:p w14:paraId="35B6B59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3D620673"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08DB4F8C" w14:textId="77777777" w:rsidTr="00EC13B7">
        <w:tc>
          <w:tcPr>
            <w:tcW w:w="656" w:type="dxa"/>
            <w:shd w:val="clear" w:color="auto" w:fill="auto"/>
          </w:tcPr>
          <w:p w14:paraId="785821C3"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7</w:t>
            </w:r>
          </w:p>
        </w:tc>
        <w:tc>
          <w:tcPr>
            <w:tcW w:w="2694" w:type="dxa"/>
            <w:shd w:val="clear" w:color="auto" w:fill="auto"/>
          </w:tcPr>
          <w:p w14:paraId="68143AD6"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w:t>
            </w:r>
            <w:r w:rsidRPr="002A20DA">
              <w:rPr>
                <w:rFonts w:ascii="標楷體" w:eastAsia="標楷體" w:hAnsi="標楷體"/>
                <w:color w:val="000000"/>
                <w:kern w:val="0"/>
                <w:szCs w:val="22"/>
              </w:rPr>
              <w:lastRenderedPageBreak/>
              <w:t>央政府總預算決議，檢送該部通過決議（二十八）凍結第1目「一般行政」項下「基本行政工作維持」中「業務費」200萬元書面報告，請查照案。</w:t>
            </w:r>
          </w:p>
        </w:tc>
        <w:tc>
          <w:tcPr>
            <w:tcW w:w="1701" w:type="dxa"/>
            <w:shd w:val="clear" w:color="auto" w:fill="auto"/>
          </w:tcPr>
          <w:p w14:paraId="6B220D7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法務部 </w:t>
            </w:r>
            <w:r w:rsidRPr="002A20DA">
              <w:rPr>
                <w:rFonts w:ascii="標楷體" w:eastAsia="標楷體" w:hAnsi="標楷體"/>
                <w:color w:val="000000"/>
                <w:kern w:val="0"/>
                <w:szCs w:val="22"/>
              </w:rPr>
              <w:lastRenderedPageBreak/>
              <w:t xml:space="preserve">111.04.22 </w:t>
            </w:r>
          </w:p>
          <w:p w14:paraId="146B736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793658D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司法及法制</w:t>
            </w:r>
          </w:p>
        </w:tc>
        <w:tc>
          <w:tcPr>
            <w:tcW w:w="1984" w:type="dxa"/>
            <w:shd w:val="clear" w:color="auto" w:fill="auto"/>
          </w:tcPr>
          <w:p w14:paraId="34FAC23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12FA7681"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2DA0EC4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1947F10"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25459DC5" w14:textId="77777777" w:rsidTr="00EC13B7">
        <w:tc>
          <w:tcPr>
            <w:tcW w:w="656" w:type="dxa"/>
            <w:shd w:val="clear" w:color="auto" w:fill="auto"/>
          </w:tcPr>
          <w:p w14:paraId="60877351"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8</w:t>
            </w:r>
          </w:p>
        </w:tc>
        <w:tc>
          <w:tcPr>
            <w:tcW w:w="2694" w:type="dxa"/>
            <w:shd w:val="clear" w:color="auto" w:fill="auto"/>
          </w:tcPr>
          <w:p w14:paraId="475FD2E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為111年度中央政府總預算決議，檢送該部通過決議（二十九）凍結第2目「法務行政」50萬元書面報告，請查照案。</w:t>
            </w:r>
          </w:p>
        </w:tc>
        <w:tc>
          <w:tcPr>
            <w:tcW w:w="1701" w:type="dxa"/>
            <w:shd w:val="clear" w:color="auto" w:fill="auto"/>
          </w:tcPr>
          <w:p w14:paraId="4229BD2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64A82F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038E4879"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47EF32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15438EB7"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-5-20)准予動支，提報院會</w:t>
            </w:r>
            <w:r w:rsidRPr="009D6006">
              <w:rPr>
                <w:rFonts w:ascii="標楷體" w:eastAsia="標楷體" w:hAnsi="標楷體"/>
                <w:spacing w:val="-10"/>
                <w:kern w:val="0"/>
                <w:szCs w:val="22"/>
              </w:rPr>
              <w:t>。</w:t>
            </w:r>
          </w:p>
          <w:p w14:paraId="5BC6D10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754CFAFC"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2440F469" w14:textId="77777777" w:rsidTr="00EC13B7">
        <w:tc>
          <w:tcPr>
            <w:tcW w:w="656" w:type="dxa"/>
            <w:shd w:val="clear" w:color="auto" w:fill="auto"/>
          </w:tcPr>
          <w:p w14:paraId="7AC24AB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9</w:t>
            </w:r>
          </w:p>
        </w:tc>
        <w:tc>
          <w:tcPr>
            <w:tcW w:w="2694" w:type="dxa"/>
            <w:shd w:val="clear" w:color="auto" w:fill="auto"/>
          </w:tcPr>
          <w:p w14:paraId="0AB9E2A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為111年度中央政府總預算決議，檢送該部通過決議（三十）凍結第2目「法務行政」50萬元書面報告，請查照案。</w:t>
            </w:r>
          </w:p>
        </w:tc>
        <w:tc>
          <w:tcPr>
            <w:tcW w:w="1701" w:type="dxa"/>
            <w:shd w:val="clear" w:color="auto" w:fill="auto"/>
          </w:tcPr>
          <w:p w14:paraId="183981F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713C351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DCD114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F1C1ED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64D70BD8"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28EE481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58508667"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5CA29156" w14:textId="77777777" w:rsidTr="00EC13B7">
        <w:tc>
          <w:tcPr>
            <w:tcW w:w="656" w:type="dxa"/>
            <w:shd w:val="clear" w:color="auto" w:fill="auto"/>
          </w:tcPr>
          <w:p w14:paraId="6AED358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10</w:t>
            </w:r>
          </w:p>
        </w:tc>
        <w:tc>
          <w:tcPr>
            <w:tcW w:w="2694" w:type="dxa"/>
            <w:shd w:val="clear" w:color="auto" w:fill="auto"/>
          </w:tcPr>
          <w:p w14:paraId="292CB1DA"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為111年度中央政府總預算決議，檢送該部通過決議（三十一）凍結第5目「司法科技業務」20萬元書面報告，請查照案。</w:t>
            </w:r>
          </w:p>
        </w:tc>
        <w:tc>
          <w:tcPr>
            <w:tcW w:w="1701" w:type="dxa"/>
            <w:shd w:val="clear" w:color="auto" w:fill="auto"/>
          </w:tcPr>
          <w:p w14:paraId="32AFB84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1A3CA16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309D08E"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A92980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74DF001C"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-5-20)准予動支，提報院會</w:t>
            </w:r>
            <w:r w:rsidRPr="009D6006">
              <w:rPr>
                <w:rFonts w:ascii="標楷體" w:eastAsia="標楷體" w:hAnsi="標楷體"/>
                <w:spacing w:val="-10"/>
                <w:kern w:val="0"/>
                <w:szCs w:val="22"/>
              </w:rPr>
              <w:t>。</w:t>
            </w:r>
          </w:p>
          <w:p w14:paraId="2A141B8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6070A624"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586FC296" w14:textId="77777777" w:rsidTr="00EC13B7">
        <w:tc>
          <w:tcPr>
            <w:tcW w:w="656" w:type="dxa"/>
            <w:shd w:val="clear" w:color="auto" w:fill="auto"/>
          </w:tcPr>
          <w:p w14:paraId="63AE7D69"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11</w:t>
            </w:r>
          </w:p>
        </w:tc>
        <w:tc>
          <w:tcPr>
            <w:tcW w:w="2694" w:type="dxa"/>
            <w:shd w:val="clear" w:color="auto" w:fill="auto"/>
          </w:tcPr>
          <w:p w14:paraId="380E17E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為111年度中央政府總預算決議，檢送司法官學院通過決議（一）凍結第1目「一般行政」16萬8千元書面報告，請查照案。</w:t>
            </w:r>
          </w:p>
        </w:tc>
        <w:tc>
          <w:tcPr>
            <w:tcW w:w="1701" w:type="dxa"/>
            <w:shd w:val="clear" w:color="auto" w:fill="auto"/>
          </w:tcPr>
          <w:p w14:paraId="0FB9102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49AD8A5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1A06A0C"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211044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01DF1C27"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6747A24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4229CB79"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5E0F0559" w14:textId="77777777" w:rsidTr="00EC13B7">
        <w:tc>
          <w:tcPr>
            <w:tcW w:w="656" w:type="dxa"/>
            <w:shd w:val="clear" w:color="auto" w:fill="auto"/>
          </w:tcPr>
          <w:p w14:paraId="5288E855"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12</w:t>
            </w:r>
          </w:p>
        </w:tc>
        <w:tc>
          <w:tcPr>
            <w:tcW w:w="2694" w:type="dxa"/>
            <w:shd w:val="clear" w:color="auto" w:fill="auto"/>
          </w:tcPr>
          <w:p w14:paraId="6945D7A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為111年度中央政府總預算決議，檢送司法官學院通過決議（二）凍結第2目「司法人員訓練」項下「司法官訓練業務」10萬元書面報告，請查照案。</w:t>
            </w:r>
          </w:p>
        </w:tc>
        <w:tc>
          <w:tcPr>
            <w:tcW w:w="1701" w:type="dxa"/>
            <w:shd w:val="clear" w:color="auto" w:fill="auto"/>
          </w:tcPr>
          <w:p w14:paraId="376FD6A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88B619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762CE22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2EC163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261DB438"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5C97999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3EEB259E"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2D2960A8" w14:textId="77777777" w:rsidTr="00EC13B7">
        <w:tc>
          <w:tcPr>
            <w:tcW w:w="656" w:type="dxa"/>
            <w:shd w:val="clear" w:color="auto" w:fill="auto"/>
          </w:tcPr>
          <w:p w14:paraId="014D1734"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13</w:t>
            </w:r>
          </w:p>
        </w:tc>
        <w:tc>
          <w:tcPr>
            <w:tcW w:w="2694" w:type="dxa"/>
            <w:shd w:val="clear" w:color="auto" w:fill="auto"/>
          </w:tcPr>
          <w:p w14:paraId="057FE0A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為111年度中央政府總預算決議，檢送廉政署通過決議（一）凍結第2目「廉政業務」100萬元書面報告，請查照案。</w:t>
            </w:r>
          </w:p>
        </w:tc>
        <w:tc>
          <w:tcPr>
            <w:tcW w:w="1701" w:type="dxa"/>
            <w:shd w:val="clear" w:color="auto" w:fill="auto"/>
          </w:tcPr>
          <w:p w14:paraId="15D9904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680C89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59B5C45"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42F76D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3BEF03A7"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5B6BE69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55796520"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5DE64FAF" w14:textId="77777777" w:rsidTr="00EC13B7">
        <w:tc>
          <w:tcPr>
            <w:tcW w:w="656" w:type="dxa"/>
            <w:shd w:val="clear" w:color="auto" w:fill="auto"/>
          </w:tcPr>
          <w:p w14:paraId="276DD351"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14</w:t>
            </w:r>
          </w:p>
        </w:tc>
        <w:tc>
          <w:tcPr>
            <w:tcW w:w="2694" w:type="dxa"/>
            <w:shd w:val="clear" w:color="auto" w:fill="auto"/>
          </w:tcPr>
          <w:p w14:paraId="3B508C7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為111年度中央政府總預算決議，檢送廉政署通過決議（五）</w:t>
            </w:r>
            <w:r w:rsidRPr="002A20DA">
              <w:rPr>
                <w:rFonts w:ascii="標楷體" w:eastAsia="標楷體" w:hAnsi="標楷體"/>
                <w:color w:val="000000"/>
                <w:kern w:val="0"/>
                <w:szCs w:val="22"/>
              </w:rPr>
              <w:lastRenderedPageBreak/>
              <w:t>凍結第2目「廉政業務」項下「辦理貪瀆預防業務」60萬元書面報告，請查照案。</w:t>
            </w:r>
          </w:p>
        </w:tc>
        <w:tc>
          <w:tcPr>
            <w:tcW w:w="1701" w:type="dxa"/>
            <w:shd w:val="clear" w:color="auto" w:fill="auto"/>
          </w:tcPr>
          <w:p w14:paraId="1C287F8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法務部 111.04.22 </w:t>
            </w:r>
          </w:p>
          <w:p w14:paraId="58B0310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7A55F07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DF63ED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7AD6DBC8"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1FBA81A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510C3F54"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4EE9D5EC" w14:textId="77777777" w:rsidTr="00EC13B7">
        <w:tc>
          <w:tcPr>
            <w:tcW w:w="656" w:type="dxa"/>
            <w:shd w:val="clear" w:color="auto" w:fill="auto"/>
          </w:tcPr>
          <w:p w14:paraId="678BC211"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15</w:t>
            </w:r>
          </w:p>
        </w:tc>
        <w:tc>
          <w:tcPr>
            <w:tcW w:w="2694" w:type="dxa"/>
            <w:shd w:val="clear" w:color="auto" w:fill="auto"/>
          </w:tcPr>
          <w:p w14:paraId="77A0E9A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為111年度中央政府總預算決議，檢送廉政署通過決議（六）凍結第2目「廉政業務」項下「辦理貪瀆及相關犯罪案件調查與督導業務」100萬元書面報告，請查照案。</w:t>
            </w:r>
          </w:p>
        </w:tc>
        <w:tc>
          <w:tcPr>
            <w:tcW w:w="1701" w:type="dxa"/>
            <w:shd w:val="clear" w:color="auto" w:fill="auto"/>
          </w:tcPr>
          <w:p w14:paraId="73319A7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0FEBFF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581805C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CA29E5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75A0B9BB"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-5-20)准予動支，提報院會</w:t>
            </w:r>
            <w:r w:rsidRPr="009D6006">
              <w:rPr>
                <w:rFonts w:ascii="標楷體" w:eastAsia="標楷體" w:hAnsi="標楷體"/>
                <w:spacing w:val="-10"/>
                <w:kern w:val="0"/>
                <w:szCs w:val="22"/>
              </w:rPr>
              <w:t>。</w:t>
            </w:r>
          </w:p>
          <w:p w14:paraId="3202242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7310718"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1B181B3E" w14:textId="77777777" w:rsidTr="00EC13B7">
        <w:tc>
          <w:tcPr>
            <w:tcW w:w="656" w:type="dxa"/>
            <w:shd w:val="clear" w:color="auto" w:fill="auto"/>
          </w:tcPr>
          <w:p w14:paraId="7BC08D08"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16</w:t>
            </w:r>
          </w:p>
        </w:tc>
        <w:tc>
          <w:tcPr>
            <w:tcW w:w="2694" w:type="dxa"/>
            <w:shd w:val="clear" w:color="auto" w:fill="auto"/>
          </w:tcPr>
          <w:p w14:paraId="24EF64FE"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為111年度中央政府總預算決議，檢送矯正署及所屬通過決議（一）凍結第2目「矯正業務」50萬元書面報告，請查照案。</w:t>
            </w:r>
          </w:p>
        </w:tc>
        <w:tc>
          <w:tcPr>
            <w:tcW w:w="1701" w:type="dxa"/>
            <w:shd w:val="clear" w:color="auto" w:fill="auto"/>
          </w:tcPr>
          <w:p w14:paraId="0F022C2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6163CF3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4D1274E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81AE98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1B7CC6D1"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-5-20)准予動支，提報院會</w:t>
            </w:r>
            <w:r w:rsidRPr="009D6006">
              <w:rPr>
                <w:rFonts w:ascii="標楷體" w:eastAsia="標楷體" w:hAnsi="標楷體"/>
                <w:spacing w:val="-10"/>
                <w:kern w:val="0"/>
                <w:szCs w:val="22"/>
              </w:rPr>
              <w:t>。</w:t>
            </w:r>
          </w:p>
          <w:p w14:paraId="1CE4084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731F840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1D4BE446" w14:textId="77777777" w:rsidTr="00EC13B7">
        <w:tc>
          <w:tcPr>
            <w:tcW w:w="656" w:type="dxa"/>
            <w:shd w:val="clear" w:color="auto" w:fill="auto"/>
          </w:tcPr>
          <w:p w14:paraId="06D9DD30"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17</w:t>
            </w:r>
          </w:p>
        </w:tc>
        <w:tc>
          <w:tcPr>
            <w:tcW w:w="2694" w:type="dxa"/>
            <w:shd w:val="clear" w:color="auto" w:fill="auto"/>
          </w:tcPr>
          <w:p w14:paraId="6F072EB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為111年度中央政府總預算決議，檢送矯正署及所屬通過決議（二）凍結第2目「矯正業務」項下「辦理矯正行政業務」中「業務費」之「大陸地區旅費」20％書面報告，請查照案。</w:t>
            </w:r>
          </w:p>
        </w:tc>
        <w:tc>
          <w:tcPr>
            <w:tcW w:w="1701" w:type="dxa"/>
            <w:shd w:val="clear" w:color="auto" w:fill="auto"/>
          </w:tcPr>
          <w:p w14:paraId="0198DA4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5FF9E87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11584347"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219A72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2D2E4B07"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6401067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660DEB1"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355CD4FA" w14:textId="77777777" w:rsidTr="00EC13B7">
        <w:tc>
          <w:tcPr>
            <w:tcW w:w="656" w:type="dxa"/>
            <w:shd w:val="clear" w:color="auto" w:fill="auto"/>
          </w:tcPr>
          <w:p w14:paraId="03811F36"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18</w:t>
            </w:r>
          </w:p>
        </w:tc>
        <w:tc>
          <w:tcPr>
            <w:tcW w:w="2694" w:type="dxa"/>
            <w:shd w:val="clear" w:color="auto" w:fill="auto"/>
          </w:tcPr>
          <w:p w14:paraId="0B96FC9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為111年度中央政府總預算決議，檢送行政執行署及所屬通過決議（一）凍結第3目「執行案件處理」項下「辦理執行業務」30萬元書面報告，請查照案。</w:t>
            </w:r>
          </w:p>
        </w:tc>
        <w:tc>
          <w:tcPr>
            <w:tcW w:w="1701" w:type="dxa"/>
            <w:shd w:val="clear" w:color="auto" w:fill="auto"/>
          </w:tcPr>
          <w:p w14:paraId="3A63DEA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24618B4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4D29F29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D4D9BF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0564791F"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7A87447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3259AD5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7F241521" w14:textId="77777777" w:rsidTr="00EC13B7">
        <w:tc>
          <w:tcPr>
            <w:tcW w:w="656" w:type="dxa"/>
            <w:shd w:val="clear" w:color="auto" w:fill="auto"/>
          </w:tcPr>
          <w:p w14:paraId="45634EE4"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19</w:t>
            </w:r>
          </w:p>
        </w:tc>
        <w:tc>
          <w:tcPr>
            <w:tcW w:w="2694" w:type="dxa"/>
            <w:shd w:val="clear" w:color="auto" w:fill="auto"/>
          </w:tcPr>
          <w:p w14:paraId="0DD6530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為111年度中央政府總預算決議，檢送臺灣高等檢察署通過決議（一）凍結第2目「檢察業務」50萬元書面報告，請查照案。</w:t>
            </w:r>
          </w:p>
        </w:tc>
        <w:tc>
          <w:tcPr>
            <w:tcW w:w="1701" w:type="dxa"/>
            <w:shd w:val="clear" w:color="auto" w:fill="auto"/>
          </w:tcPr>
          <w:p w14:paraId="723BF0F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0098CB4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00BBA45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99C318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3825463F"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-5-20)准予動支，提報院會</w:t>
            </w:r>
            <w:r w:rsidRPr="009D6006">
              <w:rPr>
                <w:rFonts w:ascii="標楷體" w:eastAsia="標楷體" w:hAnsi="標楷體"/>
                <w:spacing w:val="-10"/>
                <w:kern w:val="0"/>
                <w:szCs w:val="22"/>
              </w:rPr>
              <w:t>。</w:t>
            </w:r>
          </w:p>
          <w:p w14:paraId="0904B89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529C98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75544CC0" w14:textId="77777777" w:rsidTr="00EC13B7">
        <w:tc>
          <w:tcPr>
            <w:tcW w:w="656" w:type="dxa"/>
            <w:shd w:val="clear" w:color="auto" w:fill="auto"/>
          </w:tcPr>
          <w:p w14:paraId="264B86D4"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20</w:t>
            </w:r>
          </w:p>
        </w:tc>
        <w:tc>
          <w:tcPr>
            <w:tcW w:w="2694" w:type="dxa"/>
            <w:shd w:val="clear" w:color="auto" w:fill="auto"/>
          </w:tcPr>
          <w:p w14:paraId="3A8045F6"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法務部函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為111年度中央政府總預算決議，檢送調查局通過決議（一）凍結第1目「一般行政」100萬元書面報告，請查照案。</w:t>
            </w:r>
          </w:p>
        </w:tc>
        <w:tc>
          <w:tcPr>
            <w:tcW w:w="1701" w:type="dxa"/>
            <w:shd w:val="clear" w:color="auto" w:fill="auto"/>
          </w:tcPr>
          <w:p w14:paraId="6608CB2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法務部 111.04.22 </w:t>
            </w:r>
          </w:p>
          <w:p w14:paraId="7A6585E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3CE013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111C48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本會111.5.23</w:t>
            </w:r>
          </w:p>
          <w:p w14:paraId="11ADE45D" w14:textId="77777777" w:rsidR="00AE6B82" w:rsidRPr="009D6006" w:rsidRDefault="00AE6B82" w:rsidP="00EC13B7">
            <w:pPr>
              <w:topLinePunct/>
              <w:autoSpaceDE w:val="0"/>
              <w:autoSpaceDN w:val="0"/>
              <w:adjustRightInd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-5-20)准予備查，提報院會</w:t>
            </w:r>
            <w:r w:rsidRPr="009D6006">
              <w:rPr>
                <w:rFonts w:ascii="標楷體" w:eastAsia="標楷體" w:hAnsi="標楷體"/>
                <w:spacing w:val="-10"/>
                <w:kern w:val="0"/>
                <w:szCs w:val="22"/>
              </w:rPr>
              <w:t>。</w:t>
            </w:r>
          </w:p>
          <w:p w14:paraId="571E6B6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450BEB7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4DD2DB97" w14:textId="77777777" w:rsidTr="00EC13B7">
        <w:tc>
          <w:tcPr>
            <w:tcW w:w="656" w:type="dxa"/>
            <w:shd w:val="clear" w:color="auto" w:fill="auto"/>
          </w:tcPr>
          <w:p w14:paraId="3E1167D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r w:rsidRPr="002A20DA">
              <w:rPr>
                <w:rFonts w:ascii="標楷體" w:eastAsia="標楷體" w:hAnsi="標楷體"/>
                <w:b/>
                <w:color w:val="000000"/>
                <w:szCs w:val="22"/>
              </w:rPr>
              <w:t>1</w:t>
            </w:r>
          </w:p>
        </w:tc>
        <w:tc>
          <w:tcPr>
            <w:tcW w:w="2694" w:type="dxa"/>
            <w:shd w:val="clear" w:color="auto" w:fill="auto"/>
          </w:tcPr>
          <w:p w14:paraId="3CCAB53F"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為111年度中央政府總</w:t>
            </w:r>
            <w:r w:rsidRPr="002A20DA">
              <w:rPr>
                <w:rFonts w:ascii="標楷體" w:eastAsia="標楷體" w:hAnsi="標楷體"/>
                <w:szCs w:val="22"/>
              </w:rPr>
              <w:lastRenderedPageBreak/>
              <w:t>預算決議，檢送決議（三）「公教人員婚喪生育及子女教育補助」預算凍結500萬元書面報告，請查照案。</w:t>
            </w:r>
          </w:p>
        </w:tc>
        <w:tc>
          <w:tcPr>
            <w:tcW w:w="1701" w:type="dxa"/>
            <w:shd w:val="clear" w:color="auto" w:fill="auto"/>
          </w:tcPr>
          <w:p w14:paraId="4798068E" w14:textId="77777777" w:rsidR="00AE6B82" w:rsidRPr="002A20DA" w:rsidRDefault="00AE6B82" w:rsidP="00EC13B7">
            <w:pPr>
              <w:spacing w:line="260" w:lineRule="exact"/>
              <w:rPr>
                <w:rFonts w:ascii="標楷體" w:eastAsia="標楷體" w:hAnsi="標楷體"/>
                <w:szCs w:val="22"/>
              </w:rPr>
            </w:pPr>
            <w:r w:rsidRPr="002A20DA">
              <w:rPr>
                <w:rFonts w:ascii="標楷體" w:eastAsia="標楷體" w:hAnsi="標楷體"/>
                <w:szCs w:val="22"/>
              </w:rPr>
              <w:lastRenderedPageBreak/>
              <w:t>行政院人事行</w:t>
            </w:r>
            <w:r w:rsidRPr="002A20DA">
              <w:rPr>
                <w:rFonts w:ascii="標楷體" w:eastAsia="標楷體" w:hAnsi="標楷體"/>
                <w:szCs w:val="22"/>
              </w:rPr>
              <w:lastRenderedPageBreak/>
              <w:t>政總處</w:t>
            </w:r>
          </w:p>
          <w:p w14:paraId="2E40592B" w14:textId="77777777" w:rsidR="00AE6B82" w:rsidRPr="002A20DA" w:rsidRDefault="00AE6B82" w:rsidP="00EC13B7">
            <w:pPr>
              <w:spacing w:line="260" w:lineRule="exact"/>
              <w:rPr>
                <w:rFonts w:ascii="標楷體" w:eastAsia="標楷體" w:hAnsi="標楷體"/>
                <w:szCs w:val="22"/>
              </w:rPr>
            </w:pPr>
            <w:r w:rsidRPr="002A20DA">
              <w:rPr>
                <w:rFonts w:ascii="標楷體" w:eastAsia="標楷體" w:hAnsi="標楷體"/>
                <w:szCs w:val="22"/>
              </w:rPr>
              <w:t>111.03.04</w:t>
            </w:r>
          </w:p>
          <w:p w14:paraId="75A98974" w14:textId="77777777" w:rsidR="00AE6B82" w:rsidRPr="002A20DA" w:rsidRDefault="00AE6B82" w:rsidP="00EC13B7">
            <w:pPr>
              <w:spacing w:line="260" w:lineRule="exact"/>
              <w:rPr>
                <w:rFonts w:ascii="標楷體" w:eastAsia="標楷體" w:hAnsi="標楷體"/>
                <w:szCs w:val="22"/>
              </w:rPr>
            </w:pPr>
            <w:r w:rsidRPr="002A20DA">
              <w:rPr>
                <w:rFonts w:ascii="標楷體" w:eastAsia="標楷體" w:hAnsi="標楷體"/>
                <w:szCs w:val="22"/>
              </w:rPr>
              <w:t>（10-5-2）</w:t>
            </w:r>
          </w:p>
        </w:tc>
        <w:tc>
          <w:tcPr>
            <w:tcW w:w="1701" w:type="dxa"/>
            <w:shd w:val="clear" w:color="auto" w:fill="auto"/>
          </w:tcPr>
          <w:p w14:paraId="040B283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司法及法制</w:t>
            </w:r>
          </w:p>
        </w:tc>
        <w:tc>
          <w:tcPr>
            <w:tcW w:w="1984" w:type="dxa"/>
            <w:shd w:val="clear" w:color="auto" w:fill="auto"/>
          </w:tcPr>
          <w:p w14:paraId="3B13AB2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本會111.10.12</w:t>
            </w:r>
          </w:p>
          <w:p w14:paraId="7C9A3F8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(10-6-5)准予備查，提報院會。</w:t>
            </w:r>
          </w:p>
          <w:p w14:paraId="4483ECA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28</w:t>
            </w:r>
          </w:p>
          <w:p w14:paraId="141A3E4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5</w:t>
            </w:r>
            <w:r w:rsidRPr="009D6006">
              <w:rPr>
                <w:rFonts w:ascii="標楷體" w:eastAsia="標楷體" w:hAnsi="標楷體" w:hint="eastAsia"/>
                <w:spacing w:val="-10"/>
                <w:kern w:val="0"/>
                <w:szCs w:val="22"/>
              </w:rPr>
              <w:t>)准予備查。</w:t>
            </w:r>
          </w:p>
        </w:tc>
      </w:tr>
      <w:tr w:rsidR="00AE6B82" w:rsidRPr="009D6006" w14:paraId="7FCB3554" w14:textId="77777777" w:rsidTr="00EC13B7">
        <w:tc>
          <w:tcPr>
            <w:tcW w:w="656" w:type="dxa"/>
            <w:shd w:val="clear" w:color="auto" w:fill="auto"/>
          </w:tcPr>
          <w:p w14:paraId="2D3F0E7E"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2</w:t>
            </w:r>
            <w:r w:rsidRPr="002A20DA">
              <w:rPr>
                <w:rFonts w:ascii="標楷體" w:eastAsia="標楷體" w:hAnsi="標楷體"/>
                <w:b/>
                <w:color w:val="000000"/>
                <w:szCs w:val="22"/>
              </w:rPr>
              <w:t>2</w:t>
            </w:r>
          </w:p>
        </w:tc>
        <w:tc>
          <w:tcPr>
            <w:tcW w:w="2694" w:type="dxa"/>
            <w:shd w:val="clear" w:color="auto" w:fill="auto"/>
          </w:tcPr>
          <w:p w14:paraId="671BBB0F"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hint="eastAsia"/>
                <w:szCs w:val="22"/>
              </w:rPr>
              <w:t>為111年度中央政府總預算決議，檢送公務人力發展學院決議（二）「國外旅費」預算凍結20％書面報告，請查照案。</w:t>
            </w:r>
          </w:p>
        </w:tc>
        <w:tc>
          <w:tcPr>
            <w:tcW w:w="1701" w:type="dxa"/>
            <w:shd w:val="clear" w:color="auto" w:fill="auto"/>
          </w:tcPr>
          <w:p w14:paraId="2DE40CA3" w14:textId="77777777" w:rsidR="00AE6B82" w:rsidRPr="002A20DA" w:rsidRDefault="00AE6B82" w:rsidP="00EC13B7">
            <w:pPr>
              <w:spacing w:line="260" w:lineRule="exact"/>
              <w:rPr>
                <w:rFonts w:ascii="標楷體" w:eastAsia="標楷體" w:hAnsi="標楷體"/>
                <w:szCs w:val="22"/>
              </w:rPr>
            </w:pPr>
            <w:r w:rsidRPr="002A20DA">
              <w:rPr>
                <w:rFonts w:ascii="標楷體" w:eastAsia="標楷體" w:hAnsi="標楷體" w:hint="eastAsia"/>
                <w:szCs w:val="22"/>
              </w:rPr>
              <w:t>行政院人事行政總處</w:t>
            </w:r>
          </w:p>
          <w:p w14:paraId="20C5890E" w14:textId="77777777" w:rsidR="00AE6B82" w:rsidRPr="002A20DA" w:rsidRDefault="00AE6B82" w:rsidP="00EC13B7">
            <w:pPr>
              <w:spacing w:line="260" w:lineRule="exact"/>
              <w:rPr>
                <w:rFonts w:ascii="標楷體" w:eastAsia="標楷體" w:hAnsi="標楷體"/>
                <w:szCs w:val="22"/>
              </w:rPr>
            </w:pPr>
            <w:r w:rsidRPr="002A20DA">
              <w:rPr>
                <w:rFonts w:ascii="標楷體" w:eastAsia="標楷體" w:hAnsi="標楷體" w:hint="eastAsia"/>
                <w:szCs w:val="22"/>
              </w:rPr>
              <w:t>111.03.11</w:t>
            </w:r>
          </w:p>
          <w:p w14:paraId="5527AEA2" w14:textId="77777777" w:rsidR="00AE6B82" w:rsidRPr="002A20DA" w:rsidRDefault="00AE6B82" w:rsidP="00EC13B7">
            <w:pPr>
              <w:spacing w:line="260" w:lineRule="exact"/>
              <w:rPr>
                <w:rFonts w:ascii="標楷體" w:eastAsia="標楷體" w:hAnsi="標楷體"/>
                <w:szCs w:val="22"/>
              </w:rPr>
            </w:pPr>
            <w:r w:rsidRPr="002A20DA">
              <w:rPr>
                <w:rFonts w:ascii="標楷體" w:eastAsia="標楷體" w:hAnsi="標楷體" w:hint="eastAsia"/>
                <w:szCs w:val="22"/>
              </w:rPr>
              <w:t>（10-5-3）</w:t>
            </w:r>
          </w:p>
        </w:tc>
        <w:tc>
          <w:tcPr>
            <w:tcW w:w="1701" w:type="dxa"/>
            <w:shd w:val="clear" w:color="auto" w:fill="auto"/>
          </w:tcPr>
          <w:p w14:paraId="6E6360CE"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7585A48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本會111.10.12</w:t>
            </w:r>
          </w:p>
          <w:p w14:paraId="2305222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(10-6-5)准予備查，提報院會。</w:t>
            </w:r>
          </w:p>
          <w:p w14:paraId="16FC606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28</w:t>
            </w:r>
          </w:p>
          <w:p w14:paraId="6B0A28C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5</w:t>
            </w:r>
            <w:r w:rsidRPr="009D6006">
              <w:rPr>
                <w:rFonts w:ascii="標楷體" w:eastAsia="標楷體" w:hAnsi="標楷體" w:hint="eastAsia"/>
                <w:spacing w:val="-10"/>
                <w:kern w:val="0"/>
                <w:szCs w:val="22"/>
              </w:rPr>
              <w:t>)准予備查。</w:t>
            </w:r>
          </w:p>
        </w:tc>
      </w:tr>
      <w:tr w:rsidR="00AE6B82" w:rsidRPr="009D6006" w14:paraId="480D1586" w14:textId="77777777" w:rsidTr="00EC13B7">
        <w:tc>
          <w:tcPr>
            <w:tcW w:w="656" w:type="dxa"/>
            <w:shd w:val="clear" w:color="auto" w:fill="auto"/>
          </w:tcPr>
          <w:p w14:paraId="31C9CC08"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r w:rsidRPr="002A20DA">
              <w:rPr>
                <w:rFonts w:ascii="標楷體" w:eastAsia="標楷體" w:hAnsi="標楷體"/>
                <w:b/>
                <w:color w:val="000000"/>
                <w:szCs w:val="22"/>
              </w:rPr>
              <w:t>3</w:t>
            </w:r>
          </w:p>
        </w:tc>
        <w:tc>
          <w:tcPr>
            <w:tcW w:w="2694" w:type="dxa"/>
            <w:shd w:val="clear" w:color="auto" w:fill="auto"/>
          </w:tcPr>
          <w:p w14:paraId="25A513C4"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為111年度中央政府總預算決議，檢送決議（一）「智慧創新人事服務」預算凍結770萬元書面報告，請查照案。</w:t>
            </w:r>
          </w:p>
        </w:tc>
        <w:tc>
          <w:tcPr>
            <w:tcW w:w="1701" w:type="dxa"/>
            <w:shd w:val="clear" w:color="auto" w:fill="auto"/>
          </w:tcPr>
          <w:p w14:paraId="48F41D45"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行政院人事行政總處 </w:t>
            </w:r>
          </w:p>
          <w:p w14:paraId="5813BC74"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111.03.04 </w:t>
            </w:r>
          </w:p>
          <w:p w14:paraId="0831868F"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（10-5-2）</w:t>
            </w:r>
          </w:p>
        </w:tc>
        <w:tc>
          <w:tcPr>
            <w:tcW w:w="1701" w:type="dxa"/>
            <w:shd w:val="clear" w:color="auto" w:fill="auto"/>
          </w:tcPr>
          <w:p w14:paraId="6F03DC4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227C40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本會111.10.12</w:t>
            </w:r>
          </w:p>
          <w:p w14:paraId="4A9807C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(10-6-5)准予動支，提報院會。</w:t>
            </w:r>
          </w:p>
          <w:p w14:paraId="4570135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28</w:t>
            </w:r>
          </w:p>
          <w:p w14:paraId="77A31FE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5</w:t>
            </w:r>
            <w:r w:rsidRPr="009D6006">
              <w:rPr>
                <w:rFonts w:ascii="標楷體" w:eastAsia="標楷體" w:hAnsi="標楷體" w:hint="eastAsia"/>
                <w:spacing w:val="-10"/>
                <w:kern w:val="0"/>
                <w:szCs w:val="22"/>
              </w:rPr>
              <w:t>)准予備查。</w:t>
            </w:r>
          </w:p>
        </w:tc>
      </w:tr>
      <w:tr w:rsidR="00AE6B82" w:rsidRPr="009D6006" w14:paraId="2FFB80DD" w14:textId="77777777" w:rsidTr="00EC13B7">
        <w:tc>
          <w:tcPr>
            <w:tcW w:w="656" w:type="dxa"/>
            <w:shd w:val="clear" w:color="auto" w:fill="auto"/>
          </w:tcPr>
          <w:p w14:paraId="38FF9FB4"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r w:rsidRPr="002A20DA">
              <w:rPr>
                <w:rFonts w:ascii="標楷體" w:eastAsia="標楷體" w:hAnsi="標楷體"/>
                <w:b/>
                <w:color w:val="000000"/>
                <w:szCs w:val="22"/>
              </w:rPr>
              <w:t>4</w:t>
            </w:r>
          </w:p>
        </w:tc>
        <w:tc>
          <w:tcPr>
            <w:tcW w:w="2694" w:type="dxa"/>
            <w:shd w:val="clear" w:color="auto" w:fill="auto"/>
          </w:tcPr>
          <w:p w14:paraId="419E970E"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為111年度中央政府總預算決議，檢送決議（二）「國外旅費」預算凍結20％書面報告，請查照案。</w:t>
            </w:r>
          </w:p>
        </w:tc>
        <w:tc>
          <w:tcPr>
            <w:tcW w:w="1701" w:type="dxa"/>
            <w:shd w:val="clear" w:color="auto" w:fill="auto"/>
          </w:tcPr>
          <w:p w14:paraId="7C15C5AE"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行政院人事行政總處 </w:t>
            </w:r>
          </w:p>
          <w:p w14:paraId="6A4D9CFE"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111.03.04 </w:t>
            </w:r>
          </w:p>
          <w:p w14:paraId="3E8CB4FC"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（10-5-2）</w:t>
            </w:r>
          </w:p>
        </w:tc>
        <w:tc>
          <w:tcPr>
            <w:tcW w:w="1701" w:type="dxa"/>
            <w:shd w:val="clear" w:color="auto" w:fill="auto"/>
          </w:tcPr>
          <w:p w14:paraId="3707F2ED"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6FF3D9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本會111.10.12</w:t>
            </w:r>
          </w:p>
          <w:p w14:paraId="48EAE5B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(10-6-5)准予動支，提報院會。</w:t>
            </w:r>
          </w:p>
          <w:p w14:paraId="767B236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28</w:t>
            </w:r>
          </w:p>
          <w:p w14:paraId="6D09E74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5</w:t>
            </w:r>
            <w:r w:rsidRPr="009D6006">
              <w:rPr>
                <w:rFonts w:ascii="標楷體" w:eastAsia="標楷體" w:hAnsi="標楷體" w:hint="eastAsia"/>
                <w:spacing w:val="-10"/>
                <w:kern w:val="0"/>
                <w:szCs w:val="22"/>
              </w:rPr>
              <w:t>)准予備查。</w:t>
            </w:r>
          </w:p>
        </w:tc>
      </w:tr>
      <w:tr w:rsidR="00AE6B82" w:rsidRPr="009D6006" w14:paraId="4F1A7343" w14:textId="77777777" w:rsidTr="00EC13B7">
        <w:tc>
          <w:tcPr>
            <w:tcW w:w="656" w:type="dxa"/>
            <w:shd w:val="clear" w:color="auto" w:fill="auto"/>
          </w:tcPr>
          <w:p w14:paraId="5E8B7CE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r w:rsidRPr="002A20DA">
              <w:rPr>
                <w:rFonts w:ascii="標楷體" w:eastAsia="標楷體" w:hAnsi="標楷體"/>
                <w:b/>
                <w:color w:val="000000"/>
                <w:szCs w:val="22"/>
              </w:rPr>
              <w:t>5</w:t>
            </w:r>
          </w:p>
        </w:tc>
        <w:tc>
          <w:tcPr>
            <w:tcW w:w="2694" w:type="dxa"/>
            <w:shd w:val="clear" w:color="auto" w:fill="auto"/>
          </w:tcPr>
          <w:p w14:paraId="28442D06"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為111年度中央政府總預算決議，檢送決議（二十八）「資訊服務費」預算凍結200萬元書面報告，請查照案。</w:t>
            </w:r>
          </w:p>
        </w:tc>
        <w:tc>
          <w:tcPr>
            <w:tcW w:w="1701" w:type="dxa"/>
            <w:shd w:val="clear" w:color="auto" w:fill="auto"/>
          </w:tcPr>
          <w:p w14:paraId="5A7FF700"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行政院人事行政總處 </w:t>
            </w:r>
          </w:p>
          <w:p w14:paraId="7A33A133"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111.03.04 </w:t>
            </w:r>
          </w:p>
          <w:p w14:paraId="29BC1871"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（10-5-2）</w:t>
            </w:r>
          </w:p>
        </w:tc>
        <w:tc>
          <w:tcPr>
            <w:tcW w:w="1701" w:type="dxa"/>
            <w:shd w:val="clear" w:color="auto" w:fill="auto"/>
          </w:tcPr>
          <w:p w14:paraId="300264B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66DEAD2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本會111.10.12</w:t>
            </w:r>
          </w:p>
          <w:p w14:paraId="07A48D0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(10-6-5)准予動支，提報院會。</w:t>
            </w:r>
          </w:p>
          <w:p w14:paraId="4EC213D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28</w:t>
            </w:r>
          </w:p>
          <w:p w14:paraId="067EF21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5</w:t>
            </w:r>
            <w:r w:rsidRPr="009D6006">
              <w:rPr>
                <w:rFonts w:ascii="標楷體" w:eastAsia="標楷體" w:hAnsi="標楷體" w:hint="eastAsia"/>
                <w:spacing w:val="-10"/>
                <w:kern w:val="0"/>
                <w:szCs w:val="22"/>
              </w:rPr>
              <w:t>)准予備查。</w:t>
            </w:r>
          </w:p>
        </w:tc>
      </w:tr>
      <w:tr w:rsidR="00AE6B82" w:rsidRPr="009D6006" w14:paraId="5999B3EE" w14:textId="77777777" w:rsidTr="00EC13B7">
        <w:tc>
          <w:tcPr>
            <w:tcW w:w="656" w:type="dxa"/>
            <w:shd w:val="clear" w:color="auto" w:fill="auto"/>
          </w:tcPr>
          <w:p w14:paraId="44C4A46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r w:rsidRPr="002A20DA">
              <w:rPr>
                <w:rFonts w:ascii="標楷體" w:eastAsia="標楷體" w:hAnsi="標楷體"/>
                <w:b/>
                <w:color w:val="000000"/>
                <w:szCs w:val="22"/>
              </w:rPr>
              <w:t>6</w:t>
            </w:r>
          </w:p>
        </w:tc>
        <w:tc>
          <w:tcPr>
            <w:tcW w:w="2694" w:type="dxa"/>
            <w:shd w:val="clear" w:color="auto" w:fill="auto"/>
          </w:tcPr>
          <w:p w14:paraId="46E52106"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為111年度中央政府總預算決議，檢送公務人力發展學院決議（一）「人力資源研究發展」預算凍結50萬元書面報告，請查照案。</w:t>
            </w:r>
          </w:p>
        </w:tc>
        <w:tc>
          <w:tcPr>
            <w:tcW w:w="1701" w:type="dxa"/>
            <w:shd w:val="clear" w:color="auto" w:fill="auto"/>
          </w:tcPr>
          <w:p w14:paraId="5F30AFD4"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行政院人事行政總處 </w:t>
            </w:r>
          </w:p>
          <w:p w14:paraId="69D6513F"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 xml:space="preserve">111.03.18 </w:t>
            </w:r>
          </w:p>
          <w:p w14:paraId="5DF7DA0B" w14:textId="77777777" w:rsidR="00AE6B82" w:rsidRPr="002A20DA" w:rsidRDefault="00AE6B82" w:rsidP="00EC13B7">
            <w:pPr>
              <w:spacing w:line="260" w:lineRule="exact"/>
              <w:jc w:val="both"/>
              <w:rPr>
                <w:rFonts w:ascii="標楷體" w:eastAsia="標楷體" w:hAnsi="標楷體"/>
                <w:szCs w:val="22"/>
              </w:rPr>
            </w:pPr>
            <w:r w:rsidRPr="002A20DA">
              <w:rPr>
                <w:rFonts w:ascii="標楷體" w:eastAsia="標楷體" w:hAnsi="標楷體"/>
                <w:szCs w:val="22"/>
              </w:rPr>
              <w:t>（10-5-4）</w:t>
            </w:r>
          </w:p>
        </w:tc>
        <w:tc>
          <w:tcPr>
            <w:tcW w:w="1701" w:type="dxa"/>
            <w:shd w:val="clear" w:color="auto" w:fill="auto"/>
          </w:tcPr>
          <w:p w14:paraId="0874B10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7FB791D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本會111.10.12</w:t>
            </w:r>
          </w:p>
          <w:p w14:paraId="40629F1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(10-6-5)准予動支，提報院會。</w:t>
            </w:r>
          </w:p>
          <w:p w14:paraId="227E72B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28</w:t>
            </w:r>
          </w:p>
          <w:p w14:paraId="6803171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5</w:t>
            </w:r>
            <w:r w:rsidRPr="009D6006">
              <w:rPr>
                <w:rFonts w:ascii="標楷體" w:eastAsia="標楷體" w:hAnsi="標楷體" w:hint="eastAsia"/>
                <w:spacing w:val="-10"/>
                <w:kern w:val="0"/>
                <w:szCs w:val="22"/>
              </w:rPr>
              <w:t>)准予備查。</w:t>
            </w:r>
          </w:p>
        </w:tc>
      </w:tr>
    </w:tbl>
    <w:p w14:paraId="7898A4D9" w14:textId="77777777" w:rsidR="00AE6B82" w:rsidRPr="002A20DA" w:rsidRDefault="00AE6B82" w:rsidP="00D96730">
      <w:pPr>
        <w:keepNext/>
        <w:spacing w:beforeLines="100" w:before="360" w:afterLines="100" w:after="360" w:line="260" w:lineRule="exact"/>
        <w:ind w:firstLineChars="759" w:firstLine="2127"/>
        <w:outlineLvl w:val="2"/>
        <w:rPr>
          <w:rFonts w:ascii="標楷體" w:eastAsia="標楷體" w:hAnsi="標楷體"/>
          <w:b/>
          <w:bCs/>
          <w:sz w:val="28"/>
          <w:szCs w:val="28"/>
        </w:rPr>
      </w:pPr>
      <w:r w:rsidRPr="002A20DA">
        <w:rPr>
          <w:rFonts w:ascii="標楷體" w:eastAsia="標楷體" w:hAnsi="標楷體"/>
          <w:b/>
          <w:sz w:val="28"/>
          <w:szCs w:val="28"/>
        </w:rPr>
        <w:t>(</w:t>
      </w:r>
      <w:r w:rsidRPr="002A20DA">
        <w:rPr>
          <w:rFonts w:ascii="標楷體" w:eastAsia="標楷體" w:hAnsi="標楷體" w:hint="eastAsia"/>
          <w:b/>
          <w:bCs/>
          <w:sz w:val="28"/>
          <w:szCs w:val="28"/>
        </w:rPr>
        <w:t>三</w:t>
      </w:r>
      <w:r w:rsidRPr="002A20DA">
        <w:rPr>
          <w:rFonts w:ascii="標楷體" w:eastAsia="標楷體" w:hAnsi="標楷體" w:hint="eastAsia"/>
          <w:b/>
          <w:sz w:val="28"/>
          <w:szCs w:val="28"/>
        </w:rPr>
        <w:t>)</w:t>
      </w:r>
      <w:r w:rsidRPr="002A20DA">
        <w:rPr>
          <w:rFonts w:ascii="標楷體" w:eastAsia="標楷體" w:hAnsi="標楷體" w:hint="eastAsia"/>
          <w:b/>
          <w:bCs/>
          <w:sz w:val="28"/>
          <w:szCs w:val="28"/>
        </w:rPr>
        <w:t>立</w:t>
      </w:r>
      <w:r w:rsidRPr="002A20DA">
        <w:rPr>
          <w:rFonts w:ascii="標楷體" w:eastAsia="標楷體" w:hAnsi="標楷體"/>
          <w:b/>
          <w:bCs/>
          <w:sz w:val="28"/>
          <w:szCs w:val="28"/>
        </w:rPr>
        <w:t>法院</w:t>
      </w:r>
      <w:r w:rsidRPr="002A20DA">
        <w:rPr>
          <w:rFonts w:ascii="標楷體" w:eastAsia="標楷體" w:hAnsi="標楷體" w:hint="eastAsia"/>
          <w:b/>
          <w:bCs/>
          <w:sz w:val="28"/>
          <w:szCs w:val="28"/>
        </w:rPr>
        <w:t>32</w:t>
      </w:r>
      <w:r w:rsidRPr="002A20DA">
        <w:rPr>
          <w:rFonts w:ascii="標楷體" w:eastAsia="標楷體" w:hAnsi="標楷體"/>
          <w:b/>
          <w:bCs/>
          <w:sz w:val="28"/>
          <w:szCs w:val="28"/>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E6B82" w:rsidRPr="002A20DA" w14:paraId="74B9D2BB" w14:textId="77777777" w:rsidTr="00EC13B7">
        <w:tc>
          <w:tcPr>
            <w:tcW w:w="656" w:type="dxa"/>
            <w:shd w:val="clear" w:color="auto" w:fill="auto"/>
          </w:tcPr>
          <w:p w14:paraId="12F90E8C"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序號</w:t>
            </w:r>
          </w:p>
        </w:tc>
        <w:tc>
          <w:tcPr>
            <w:tcW w:w="2694" w:type="dxa"/>
            <w:shd w:val="clear" w:color="auto" w:fill="auto"/>
          </w:tcPr>
          <w:p w14:paraId="77AFD21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議案名稱</w:t>
            </w:r>
          </w:p>
        </w:tc>
        <w:tc>
          <w:tcPr>
            <w:tcW w:w="1701" w:type="dxa"/>
            <w:shd w:val="clear" w:color="auto" w:fill="auto"/>
          </w:tcPr>
          <w:p w14:paraId="2F1CD11F" w14:textId="77777777" w:rsidR="00AE6B82" w:rsidRPr="002A20DA" w:rsidRDefault="00AE6B82"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2A20DA">
              <w:rPr>
                <w:rFonts w:ascii="標楷體" w:eastAsia="標楷體" w:hAnsi="標楷體"/>
                <w:b/>
                <w:color w:val="000000"/>
                <w:spacing w:val="-20"/>
                <w:szCs w:val="22"/>
              </w:rPr>
              <w:t>提案機關、院會交付日期(會次)</w:t>
            </w:r>
          </w:p>
        </w:tc>
        <w:tc>
          <w:tcPr>
            <w:tcW w:w="1701" w:type="dxa"/>
            <w:shd w:val="clear" w:color="auto" w:fill="auto"/>
          </w:tcPr>
          <w:p w14:paraId="7F8F4E6D"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交付</w:t>
            </w:r>
            <w:r w:rsidRPr="002A20DA">
              <w:rPr>
                <w:rFonts w:ascii="標楷體" w:eastAsia="標楷體" w:hAnsi="標楷體"/>
                <w:b/>
                <w:color w:val="000000"/>
                <w:spacing w:val="-20"/>
                <w:szCs w:val="22"/>
                <w:lang w:eastAsia="ko-KR"/>
              </w:rPr>
              <w:t>委員會</w:t>
            </w:r>
          </w:p>
        </w:tc>
        <w:tc>
          <w:tcPr>
            <w:tcW w:w="1984" w:type="dxa"/>
            <w:shd w:val="clear" w:color="auto" w:fill="auto"/>
          </w:tcPr>
          <w:p w14:paraId="37C0A655" w14:textId="44B18BA8" w:rsidR="00AE6B82" w:rsidRPr="002A20DA"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AE6B82" w:rsidRPr="009D6006" w14:paraId="76D31C6D" w14:textId="77777777" w:rsidTr="00EC13B7">
        <w:tc>
          <w:tcPr>
            <w:tcW w:w="656" w:type="dxa"/>
            <w:shd w:val="clear" w:color="auto" w:fill="auto"/>
          </w:tcPr>
          <w:p w14:paraId="17D6578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w:t>
            </w:r>
          </w:p>
        </w:tc>
        <w:tc>
          <w:tcPr>
            <w:tcW w:w="2694" w:type="dxa"/>
            <w:shd w:val="clear" w:color="auto" w:fill="auto"/>
          </w:tcPr>
          <w:p w14:paraId="14E9B3B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立法院秘書長函，為111年度中央政府總預算決議，檢送本院單位預算決議（一）凍結歲出預算100萬元書面報告，請查照案。</w:t>
            </w:r>
          </w:p>
        </w:tc>
        <w:tc>
          <w:tcPr>
            <w:tcW w:w="1701" w:type="dxa"/>
            <w:shd w:val="clear" w:color="auto" w:fill="auto"/>
          </w:tcPr>
          <w:p w14:paraId="64A1024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111.04.29 </w:t>
            </w:r>
          </w:p>
          <w:p w14:paraId="0FE0FC2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（10-5-10）</w:t>
            </w:r>
          </w:p>
        </w:tc>
        <w:tc>
          <w:tcPr>
            <w:tcW w:w="1701" w:type="dxa"/>
            <w:shd w:val="clear" w:color="auto" w:fill="auto"/>
          </w:tcPr>
          <w:p w14:paraId="4535BA35"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93567E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50DF20C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1AF8ECF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5AA7EA4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68555A0A" w14:textId="77777777" w:rsidTr="00EC13B7">
        <w:tc>
          <w:tcPr>
            <w:tcW w:w="656" w:type="dxa"/>
            <w:shd w:val="clear" w:color="auto" w:fill="auto"/>
          </w:tcPr>
          <w:p w14:paraId="1BF666C1"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w:t>
            </w:r>
          </w:p>
        </w:tc>
        <w:tc>
          <w:tcPr>
            <w:tcW w:w="2694" w:type="dxa"/>
            <w:shd w:val="clear" w:color="auto" w:fill="auto"/>
          </w:tcPr>
          <w:p w14:paraId="56D0B5F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立法院秘書長函，為111年度中央政府總預算決議，檢送本院單位預算決議（二）凍結預算100萬元書面報告，請查照</w:t>
            </w:r>
            <w:r w:rsidRPr="002A20DA">
              <w:rPr>
                <w:rFonts w:ascii="標楷體" w:eastAsia="標楷體" w:hAnsi="標楷體"/>
                <w:color w:val="000000"/>
                <w:kern w:val="0"/>
                <w:szCs w:val="22"/>
              </w:rPr>
              <w:lastRenderedPageBreak/>
              <w:t>案。</w:t>
            </w:r>
          </w:p>
        </w:tc>
        <w:tc>
          <w:tcPr>
            <w:tcW w:w="1701" w:type="dxa"/>
            <w:shd w:val="clear" w:color="auto" w:fill="auto"/>
          </w:tcPr>
          <w:p w14:paraId="1FE23D0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立法院秘書長 111.04.22 </w:t>
            </w:r>
          </w:p>
          <w:p w14:paraId="454CA73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28B6AE43"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348014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7C66D35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-17)准予動支，提報院會。</w:t>
            </w:r>
          </w:p>
          <w:p w14:paraId="0FC5BD4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2FFBC22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6E724339" w14:textId="77777777" w:rsidTr="00EC13B7">
        <w:tc>
          <w:tcPr>
            <w:tcW w:w="656" w:type="dxa"/>
            <w:shd w:val="clear" w:color="auto" w:fill="auto"/>
          </w:tcPr>
          <w:p w14:paraId="2D6C3116"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lastRenderedPageBreak/>
              <w:t>3</w:t>
            </w:r>
          </w:p>
        </w:tc>
        <w:tc>
          <w:tcPr>
            <w:tcW w:w="2694" w:type="dxa"/>
            <w:shd w:val="clear" w:color="auto" w:fill="auto"/>
          </w:tcPr>
          <w:p w14:paraId="2AA3F1B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立法院秘書長函，為111年度中央政府總預算決議，檢送本院單位預算決議（三）預算凍結書面報告，請查照案。</w:t>
            </w:r>
          </w:p>
        </w:tc>
        <w:tc>
          <w:tcPr>
            <w:tcW w:w="1701" w:type="dxa"/>
            <w:shd w:val="clear" w:color="auto" w:fill="auto"/>
          </w:tcPr>
          <w:p w14:paraId="6E7C88F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111.05.20 </w:t>
            </w:r>
          </w:p>
          <w:p w14:paraId="3AA042C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（10-5-13）</w:t>
            </w:r>
          </w:p>
        </w:tc>
        <w:tc>
          <w:tcPr>
            <w:tcW w:w="1701" w:type="dxa"/>
            <w:shd w:val="clear" w:color="auto" w:fill="auto"/>
          </w:tcPr>
          <w:p w14:paraId="312DAED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09A62C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7DCD186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402D2D2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202960C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0452F5D0" w14:textId="77777777" w:rsidTr="00EC13B7">
        <w:tc>
          <w:tcPr>
            <w:tcW w:w="656" w:type="dxa"/>
            <w:shd w:val="clear" w:color="auto" w:fill="auto"/>
          </w:tcPr>
          <w:p w14:paraId="3089E3DC"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4</w:t>
            </w:r>
          </w:p>
        </w:tc>
        <w:tc>
          <w:tcPr>
            <w:tcW w:w="2694" w:type="dxa"/>
            <w:shd w:val="clear" w:color="auto" w:fill="auto"/>
          </w:tcPr>
          <w:p w14:paraId="34F73608"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立法院秘書長函，為111年度中央政府總預算決議，檢送本院單位預算決議（四）凍結「一般行政」項下「基本行政工作維持」之「業務費」10萬元書面報告，請查照案。</w:t>
            </w:r>
          </w:p>
        </w:tc>
        <w:tc>
          <w:tcPr>
            <w:tcW w:w="1701" w:type="dxa"/>
            <w:shd w:val="clear" w:color="auto" w:fill="auto"/>
          </w:tcPr>
          <w:p w14:paraId="0AE092D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111.04.22 </w:t>
            </w:r>
          </w:p>
          <w:p w14:paraId="646E3C5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740CACB7"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54AD8A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43662EF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4225CC8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3F24DD8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F886500" w14:textId="77777777" w:rsidTr="00EC13B7">
        <w:tc>
          <w:tcPr>
            <w:tcW w:w="656" w:type="dxa"/>
            <w:shd w:val="clear" w:color="auto" w:fill="auto"/>
          </w:tcPr>
          <w:p w14:paraId="7DACCC67"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5</w:t>
            </w:r>
          </w:p>
        </w:tc>
        <w:tc>
          <w:tcPr>
            <w:tcW w:w="2694" w:type="dxa"/>
            <w:shd w:val="clear" w:color="auto" w:fill="auto"/>
          </w:tcPr>
          <w:p w14:paraId="692A933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立法院秘書長函，為111年度中央政府總預算決議，檢送本院單位預算決議（五）凍結「設施及機械設備養護費」10萬元書面報告，請查照案。</w:t>
            </w:r>
          </w:p>
        </w:tc>
        <w:tc>
          <w:tcPr>
            <w:tcW w:w="1701" w:type="dxa"/>
            <w:shd w:val="clear" w:color="auto" w:fill="auto"/>
          </w:tcPr>
          <w:p w14:paraId="215D776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111.04.22 </w:t>
            </w:r>
          </w:p>
          <w:p w14:paraId="19B956A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763ED22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63123CC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4DB260C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4F36AA5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7F32EBA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C3D9A36" w14:textId="77777777" w:rsidTr="00EC13B7">
        <w:tc>
          <w:tcPr>
            <w:tcW w:w="656" w:type="dxa"/>
            <w:shd w:val="clear" w:color="auto" w:fill="auto"/>
          </w:tcPr>
          <w:p w14:paraId="0E97955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6</w:t>
            </w:r>
          </w:p>
        </w:tc>
        <w:tc>
          <w:tcPr>
            <w:tcW w:w="2694" w:type="dxa"/>
            <w:shd w:val="clear" w:color="auto" w:fill="auto"/>
          </w:tcPr>
          <w:p w14:paraId="684899A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立法院秘書長函，為111年度中央政府總預算決議，檢送歲出部分決議（六）第1目「一般行政」項下「基本行政工作維持」中「業務費」之「國外旅費」凍結20％書面報告，請查照案。</w:t>
            </w:r>
          </w:p>
        </w:tc>
        <w:tc>
          <w:tcPr>
            <w:tcW w:w="1701" w:type="dxa"/>
            <w:shd w:val="clear" w:color="auto" w:fill="auto"/>
          </w:tcPr>
          <w:p w14:paraId="443C336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111.04.15 </w:t>
            </w:r>
          </w:p>
          <w:p w14:paraId="548BC63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（10-5-8）</w:t>
            </w:r>
          </w:p>
        </w:tc>
        <w:tc>
          <w:tcPr>
            <w:tcW w:w="1701" w:type="dxa"/>
            <w:shd w:val="clear" w:color="auto" w:fill="auto"/>
          </w:tcPr>
          <w:p w14:paraId="113EF0E3"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6ABF8F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7E7A5CD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37497B4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190B295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10F7916" w14:textId="77777777" w:rsidTr="00EC13B7">
        <w:tc>
          <w:tcPr>
            <w:tcW w:w="656" w:type="dxa"/>
            <w:shd w:val="clear" w:color="auto" w:fill="auto"/>
          </w:tcPr>
          <w:p w14:paraId="4251FEE1"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7</w:t>
            </w:r>
          </w:p>
        </w:tc>
        <w:tc>
          <w:tcPr>
            <w:tcW w:w="2694" w:type="dxa"/>
            <w:shd w:val="clear" w:color="auto" w:fill="auto"/>
          </w:tcPr>
          <w:p w14:paraId="5EABE1D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立法院秘書長函，為111年度中央政府總預算決議，檢送本院單位預算決議（七）凍結「雜項設備費」50萬元書面報告，請查照案。</w:t>
            </w:r>
          </w:p>
        </w:tc>
        <w:tc>
          <w:tcPr>
            <w:tcW w:w="1701" w:type="dxa"/>
            <w:shd w:val="clear" w:color="auto" w:fill="auto"/>
          </w:tcPr>
          <w:p w14:paraId="0303E8B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111.05.06 </w:t>
            </w:r>
          </w:p>
          <w:p w14:paraId="4803BF1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（10-5-11）</w:t>
            </w:r>
          </w:p>
        </w:tc>
        <w:tc>
          <w:tcPr>
            <w:tcW w:w="1701" w:type="dxa"/>
            <w:shd w:val="clear" w:color="auto" w:fill="auto"/>
          </w:tcPr>
          <w:p w14:paraId="52C6FD45"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6EF331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11877F8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-17)准予動支，提報院會。</w:t>
            </w:r>
          </w:p>
          <w:p w14:paraId="1633274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4377414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F44640A" w14:textId="77777777" w:rsidTr="00EC13B7">
        <w:tc>
          <w:tcPr>
            <w:tcW w:w="656" w:type="dxa"/>
            <w:shd w:val="clear" w:color="auto" w:fill="auto"/>
          </w:tcPr>
          <w:p w14:paraId="59A52159"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8</w:t>
            </w:r>
          </w:p>
        </w:tc>
        <w:tc>
          <w:tcPr>
            <w:tcW w:w="2694" w:type="dxa"/>
            <w:shd w:val="clear" w:color="auto" w:fill="auto"/>
          </w:tcPr>
          <w:p w14:paraId="2EFD43C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立法院秘書長函，為111年度中央政府總預算決議，檢送歲出部分決議（八）「對學生之獎助」預算凍結15萬元書面報告，請查照案。</w:t>
            </w:r>
          </w:p>
        </w:tc>
        <w:tc>
          <w:tcPr>
            <w:tcW w:w="1701" w:type="dxa"/>
            <w:shd w:val="clear" w:color="auto" w:fill="auto"/>
          </w:tcPr>
          <w:p w14:paraId="451EDB9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111.04.01 </w:t>
            </w:r>
          </w:p>
          <w:p w14:paraId="4BDB6B6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（10-5-6）</w:t>
            </w:r>
          </w:p>
        </w:tc>
        <w:tc>
          <w:tcPr>
            <w:tcW w:w="1701" w:type="dxa"/>
            <w:shd w:val="clear" w:color="auto" w:fill="auto"/>
          </w:tcPr>
          <w:p w14:paraId="3BB41AB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770F50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1376047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3196E03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042374C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6C50A128" w14:textId="77777777" w:rsidTr="00EC13B7">
        <w:tc>
          <w:tcPr>
            <w:tcW w:w="656" w:type="dxa"/>
            <w:shd w:val="clear" w:color="auto" w:fill="auto"/>
          </w:tcPr>
          <w:p w14:paraId="5DBEBABC"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9</w:t>
            </w:r>
          </w:p>
        </w:tc>
        <w:tc>
          <w:tcPr>
            <w:tcW w:w="2694" w:type="dxa"/>
            <w:shd w:val="clear" w:color="auto" w:fill="auto"/>
          </w:tcPr>
          <w:p w14:paraId="790E95B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立法院秘書長函，為111年度中央政府總預算決議，檢送本院單位預算決議（九）預算凍結書面報告，請查照案。</w:t>
            </w:r>
          </w:p>
        </w:tc>
        <w:tc>
          <w:tcPr>
            <w:tcW w:w="1701" w:type="dxa"/>
            <w:shd w:val="clear" w:color="auto" w:fill="auto"/>
          </w:tcPr>
          <w:p w14:paraId="3F934C8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111.05.20 </w:t>
            </w:r>
          </w:p>
          <w:p w14:paraId="10EB9B0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（10-5-13）</w:t>
            </w:r>
          </w:p>
        </w:tc>
        <w:tc>
          <w:tcPr>
            <w:tcW w:w="1701" w:type="dxa"/>
            <w:shd w:val="clear" w:color="auto" w:fill="auto"/>
          </w:tcPr>
          <w:p w14:paraId="39A6458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AC6803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6C32C4C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72B4FD7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246C5DA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1C73D22A" w14:textId="77777777" w:rsidTr="00EC13B7">
        <w:tc>
          <w:tcPr>
            <w:tcW w:w="656" w:type="dxa"/>
            <w:shd w:val="clear" w:color="auto" w:fill="auto"/>
          </w:tcPr>
          <w:p w14:paraId="6C437A28"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10</w:t>
            </w:r>
          </w:p>
        </w:tc>
        <w:tc>
          <w:tcPr>
            <w:tcW w:w="2694" w:type="dxa"/>
            <w:shd w:val="clear" w:color="auto" w:fill="auto"/>
          </w:tcPr>
          <w:p w14:paraId="73B24FD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w:t>
            </w:r>
            <w:r w:rsidRPr="002A20DA">
              <w:rPr>
                <w:rFonts w:ascii="標楷體" w:eastAsia="標楷體" w:hAnsi="標楷體"/>
                <w:color w:val="000000"/>
                <w:kern w:val="0"/>
                <w:szCs w:val="22"/>
              </w:rPr>
              <w:lastRenderedPageBreak/>
              <w:t>年度中央政府總預算決議，檢送本院單位預算決議（十）凍結「一般行政」項下「資訊管理業務」100萬元書面報告，請查照案。</w:t>
            </w:r>
          </w:p>
        </w:tc>
        <w:tc>
          <w:tcPr>
            <w:tcW w:w="1701" w:type="dxa"/>
            <w:shd w:val="clear" w:color="auto" w:fill="auto"/>
          </w:tcPr>
          <w:p w14:paraId="1AAD8F9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立法院秘書長 </w:t>
            </w:r>
            <w:r w:rsidRPr="002A20DA">
              <w:rPr>
                <w:rFonts w:ascii="標楷體" w:eastAsia="標楷體" w:hAnsi="標楷體"/>
                <w:color w:val="000000"/>
                <w:kern w:val="0"/>
                <w:szCs w:val="22"/>
              </w:rPr>
              <w:lastRenderedPageBreak/>
              <w:t xml:space="preserve">111.09.30 </w:t>
            </w:r>
          </w:p>
          <w:p w14:paraId="0F6AA5B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0965369B"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司法及法制</w:t>
            </w:r>
          </w:p>
        </w:tc>
        <w:tc>
          <w:tcPr>
            <w:tcW w:w="1984" w:type="dxa"/>
            <w:shd w:val="clear" w:color="auto" w:fill="auto"/>
          </w:tcPr>
          <w:p w14:paraId="0AEC7DD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2DA4C7B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258FC30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1739B8D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FD4B498" w14:textId="77777777" w:rsidTr="00EC13B7">
        <w:tc>
          <w:tcPr>
            <w:tcW w:w="656" w:type="dxa"/>
            <w:shd w:val="clear" w:color="auto" w:fill="auto"/>
          </w:tcPr>
          <w:p w14:paraId="22525D7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lastRenderedPageBreak/>
              <w:t>11</w:t>
            </w:r>
          </w:p>
        </w:tc>
        <w:tc>
          <w:tcPr>
            <w:tcW w:w="2694" w:type="dxa"/>
            <w:shd w:val="clear" w:color="auto" w:fill="auto"/>
          </w:tcPr>
          <w:p w14:paraId="4CD9622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立法院秘書長函，為111年度中央政府總預算決議，檢送本院單位預算決議（十一）凍結第1目「一般行政」項下「資訊管理業務」100萬元書面報告，請查照案。</w:t>
            </w:r>
          </w:p>
        </w:tc>
        <w:tc>
          <w:tcPr>
            <w:tcW w:w="1701" w:type="dxa"/>
            <w:shd w:val="clear" w:color="auto" w:fill="auto"/>
          </w:tcPr>
          <w:p w14:paraId="4A97083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111.05.13 </w:t>
            </w:r>
          </w:p>
          <w:p w14:paraId="1F224F7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（10-5-12）</w:t>
            </w:r>
          </w:p>
        </w:tc>
        <w:tc>
          <w:tcPr>
            <w:tcW w:w="1701" w:type="dxa"/>
            <w:shd w:val="clear" w:color="auto" w:fill="auto"/>
          </w:tcPr>
          <w:p w14:paraId="024E5D6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361C02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2814CD6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41185B8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5E7C40F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4C31342F" w14:textId="77777777" w:rsidTr="00EC13B7">
        <w:tc>
          <w:tcPr>
            <w:tcW w:w="656" w:type="dxa"/>
            <w:shd w:val="clear" w:color="auto" w:fill="auto"/>
          </w:tcPr>
          <w:p w14:paraId="7E2110E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12</w:t>
            </w:r>
          </w:p>
        </w:tc>
        <w:tc>
          <w:tcPr>
            <w:tcW w:w="2694" w:type="dxa"/>
            <w:shd w:val="clear" w:color="auto" w:fill="auto"/>
          </w:tcPr>
          <w:p w14:paraId="55920DB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立法院秘書長函，為111年度中央政府總預算決議，檢送本院單位預算決議（十二）凍結「一般行政」項下「資訊管理業務」50萬元書面報告，請查照案。</w:t>
            </w:r>
          </w:p>
        </w:tc>
        <w:tc>
          <w:tcPr>
            <w:tcW w:w="1701" w:type="dxa"/>
            <w:shd w:val="clear" w:color="auto" w:fill="auto"/>
          </w:tcPr>
          <w:p w14:paraId="5F23F36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013C8CE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0AF76540"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FF3F31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5CC25A9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271B2EA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58DA5D1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62185955" w14:textId="77777777" w:rsidTr="00EC13B7">
        <w:tc>
          <w:tcPr>
            <w:tcW w:w="656" w:type="dxa"/>
            <w:shd w:val="clear" w:color="auto" w:fill="auto"/>
          </w:tcPr>
          <w:p w14:paraId="16ABD534"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13</w:t>
            </w:r>
          </w:p>
        </w:tc>
        <w:tc>
          <w:tcPr>
            <w:tcW w:w="2694" w:type="dxa"/>
            <w:shd w:val="clear" w:color="auto" w:fill="auto"/>
          </w:tcPr>
          <w:p w14:paraId="591EF578"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立法院秘書長函，為111年度中央政府總預算決議，檢送本院單位預算決議（十三）凍結「一般行政」項下「資訊管理業務」50萬元書面報告，請查照案。</w:t>
            </w:r>
          </w:p>
        </w:tc>
        <w:tc>
          <w:tcPr>
            <w:tcW w:w="1701" w:type="dxa"/>
            <w:shd w:val="clear" w:color="auto" w:fill="auto"/>
          </w:tcPr>
          <w:p w14:paraId="13BBE4A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2A40596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01B3744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C7FAA4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28B4E06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3E12BCF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6FE93EB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71601080" w14:textId="77777777" w:rsidTr="00EC13B7">
        <w:tc>
          <w:tcPr>
            <w:tcW w:w="656" w:type="dxa"/>
            <w:shd w:val="clear" w:color="auto" w:fill="auto"/>
          </w:tcPr>
          <w:p w14:paraId="5B28042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14</w:t>
            </w:r>
          </w:p>
        </w:tc>
        <w:tc>
          <w:tcPr>
            <w:tcW w:w="2694" w:type="dxa"/>
            <w:shd w:val="clear" w:color="auto" w:fill="auto"/>
          </w:tcPr>
          <w:p w14:paraId="2933D95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立法院秘書長函，為111年度中央政府總預算決議，檢送本院單位預算決議（十四）凍結「一般行政」項下「資訊管理業務」50萬元書面報告，請查照案。</w:t>
            </w:r>
          </w:p>
        </w:tc>
        <w:tc>
          <w:tcPr>
            <w:tcW w:w="1701" w:type="dxa"/>
            <w:shd w:val="clear" w:color="auto" w:fill="auto"/>
          </w:tcPr>
          <w:p w14:paraId="452650B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69F2B84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1F950A3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3B581D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55433F9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0FEA806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324DE53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76DF622" w14:textId="77777777" w:rsidTr="00EC13B7">
        <w:tc>
          <w:tcPr>
            <w:tcW w:w="656" w:type="dxa"/>
            <w:shd w:val="clear" w:color="auto" w:fill="auto"/>
          </w:tcPr>
          <w:p w14:paraId="0D65F950"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15</w:t>
            </w:r>
          </w:p>
        </w:tc>
        <w:tc>
          <w:tcPr>
            <w:tcW w:w="2694" w:type="dxa"/>
            <w:shd w:val="clear" w:color="auto" w:fill="auto"/>
          </w:tcPr>
          <w:p w14:paraId="1C1A1A74"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立法院秘書長函，為111年度中央政府總預算決議，檢送本院單位預算決議（十五）凍結「一般行政」項下「資訊管理業務」50萬元書面報告，請查照案。</w:t>
            </w:r>
          </w:p>
        </w:tc>
        <w:tc>
          <w:tcPr>
            <w:tcW w:w="1701" w:type="dxa"/>
            <w:shd w:val="clear" w:color="auto" w:fill="auto"/>
          </w:tcPr>
          <w:p w14:paraId="307583F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2753B06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50A36949"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80AF7C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47CF5F9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7993BBD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339ADF1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6937DE07" w14:textId="77777777" w:rsidTr="00EC13B7">
        <w:tc>
          <w:tcPr>
            <w:tcW w:w="656" w:type="dxa"/>
            <w:shd w:val="clear" w:color="auto" w:fill="auto"/>
          </w:tcPr>
          <w:p w14:paraId="308862B3"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16</w:t>
            </w:r>
          </w:p>
        </w:tc>
        <w:tc>
          <w:tcPr>
            <w:tcW w:w="2694" w:type="dxa"/>
            <w:shd w:val="clear" w:color="auto" w:fill="auto"/>
          </w:tcPr>
          <w:p w14:paraId="7B3F398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立法院秘書長函，為111年度中央政府總預算決議，檢送本院單位預算決議（十六）凍結「資訊服務費」200萬元書面報告，請查照案。</w:t>
            </w:r>
          </w:p>
        </w:tc>
        <w:tc>
          <w:tcPr>
            <w:tcW w:w="1701" w:type="dxa"/>
            <w:shd w:val="clear" w:color="auto" w:fill="auto"/>
          </w:tcPr>
          <w:p w14:paraId="438EDB5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5A8176A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33B149D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36ABC4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20C5132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437DB86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4919434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74C14357" w14:textId="77777777" w:rsidTr="00EC13B7">
        <w:tc>
          <w:tcPr>
            <w:tcW w:w="656" w:type="dxa"/>
            <w:shd w:val="clear" w:color="auto" w:fill="auto"/>
          </w:tcPr>
          <w:p w14:paraId="1F4D9274"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lastRenderedPageBreak/>
              <w:t>17</w:t>
            </w:r>
          </w:p>
        </w:tc>
        <w:tc>
          <w:tcPr>
            <w:tcW w:w="2694" w:type="dxa"/>
            <w:shd w:val="clear" w:color="auto" w:fill="auto"/>
          </w:tcPr>
          <w:p w14:paraId="7DF832C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立法院秘書長函，為111年度中央政府總預算決議，檢送本院單位預算決議（十七）凍結「委員問政業務」50萬元書面報告，請查照案。</w:t>
            </w:r>
          </w:p>
        </w:tc>
        <w:tc>
          <w:tcPr>
            <w:tcW w:w="1701" w:type="dxa"/>
            <w:shd w:val="clear" w:color="auto" w:fill="auto"/>
          </w:tcPr>
          <w:p w14:paraId="35C1A0F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111.04.22 </w:t>
            </w:r>
          </w:p>
          <w:p w14:paraId="6048EA1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68493D55"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CC2E2E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3B88CAB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09D654F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7E85F97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40E7303E" w14:textId="77777777" w:rsidTr="00EC13B7">
        <w:tc>
          <w:tcPr>
            <w:tcW w:w="656" w:type="dxa"/>
            <w:shd w:val="clear" w:color="auto" w:fill="auto"/>
          </w:tcPr>
          <w:p w14:paraId="35416874"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18</w:t>
            </w:r>
          </w:p>
        </w:tc>
        <w:tc>
          <w:tcPr>
            <w:tcW w:w="2694" w:type="dxa"/>
            <w:shd w:val="clear" w:color="auto" w:fill="auto"/>
          </w:tcPr>
          <w:p w14:paraId="2950E9C2"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立法院秘書長函，為111年度中央政府總預算決議，檢送本院單位預算決議（十八）凍結「委員會館」項下「業務費」50萬元書面報告，請查照案。</w:t>
            </w:r>
          </w:p>
        </w:tc>
        <w:tc>
          <w:tcPr>
            <w:tcW w:w="1701" w:type="dxa"/>
            <w:shd w:val="clear" w:color="auto" w:fill="auto"/>
          </w:tcPr>
          <w:p w14:paraId="2024731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111.05.06 </w:t>
            </w:r>
          </w:p>
          <w:p w14:paraId="3161363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（10-5-11）</w:t>
            </w:r>
          </w:p>
        </w:tc>
        <w:tc>
          <w:tcPr>
            <w:tcW w:w="1701" w:type="dxa"/>
            <w:shd w:val="clear" w:color="auto" w:fill="auto"/>
          </w:tcPr>
          <w:p w14:paraId="7969C08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690C187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10137F3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5703859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3D27F4C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2784D2D" w14:textId="77777777" w:rsidTr="00EC13B7">
        <w:tc>
          <w:tcPr>
            <w:tcW w:w="656" w:type="dxa"/>
            <w:shd w:val="clear" w:color="auto" w:fill="auto"/>
          </w:tcPr>
          <w:p w14:paraId="00329737"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19</w:t>
            </w:r>
          </w:p>
        </w:tc>
        <w:tc>
          <w:tcPr>
            <w:tcW w:w="2694" w:type="dxa"/>
            <w:shd w:val="clear" w:color="auto" w:fill="auto"/>
          </w:tcPr>
          <w:p w14:paraId="2FDFC08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立法院秘書長函，為111年度中央政府總預算決議，檢送本院單位預算決議（十九）凍結「委員研究室」項下「業務費」50萬元書面報告，請查照案。</w:t>
            </w:r>
          </w:p>
        </w:tc>
        <w:tc>
          <w:tcPr>
            <w:tcW w:w="1701" w:type="dxa"/>
            <w:shd w:val="clear" w:color="auto" w:fill="auto"/>
          </w:tcPr>
          <w:p w14:paraId="35EA6AB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111.05.06 </w:t>
            </w:r>
          </w:p>
          <w:p w14:paraId="7D0DBF8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（10-5-11）</w:t>
            </w:r>
          </w:p>
        </w:tc>
        <w:tc>
          <w:tcPr>
            <w:tcW w:w="1701" w:type="dxa"/>
            <w:shd w:val="clear" w:color="auto" w:fill="auto"/>
          </w:tcPr>
          <w:p w14:paraId="1378B8D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956F4A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37F3A20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-17)准予動支，提報院會。</w:t>
            </w:r>
          </w:p>
          <w:p w14:paraId="189AA7D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0026257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E8A9BC3" w14:textId="77777777" w:rsidTr="00EC13B7">
        <w:tc>
          <w:tcPr>
            <w:tcW w:w="656" w:type="dxa"/>
            <w:shd w:val="clear" w:color="auto" w:fill="auto"/>
          </w:tcPr>
          <w:p w14:paraId="6C35965B"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20</w:t>
            </w:r>
          </w:p>
        </w:tc>
        <w:tc>
          <w:tcPr>
            <w:tcW w:w="2694" w:type="dxa"/>
            <w:shd w:val="clear" w:color="auto" w:fill="auto"/>
          </w:tcPr>
          <w:p w14:paraId="5ED61592"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立法院秘書長函，為111年度中央政府總預算決議，檢送本院單位預算決議（二十）「議事業務」預算凍結20萬元書面報告，請查照案。</w:t>
            </w:r>
          </w:p>
        </w:tc>
        <w:tc>
          <w:tcPr>
            <w:tcW w:w="1701" w:type="dxa"/>
            <w:shd w:val="clear" w:color="auto" w:fill="auto"/>
          </w:tcPr>
          <w:p w14:paraId="56066D4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4F9A7A6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7456C42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FB07E0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70E005F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5D52E29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4FCBF53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704147DF" w14:textId="77777777" w:rsidTr="00EC13B7">
        <w:tc>
          <w:tcPr>
            <w:tcW w:w="656" w:type="dxa"/>
            <w:shd w:val="clear" w:color="auto" w:fill="auto"/>
          </w:tcPr>
          <w:p w14:paraId="068679CF"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21</w:t>
            </w:r>
          </w:p>
        </w:tc>
        <w:tc>
          <w:tcPr>
            <w:tcW w:w="2694" w:type="dxa"/>
            <w:shd w:val="clear" w:color="auto" w:fill="auto"/>
          </w:tcPr>
          <w:p w14:paraId="6FFBB83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立法院秘書長函，為111年度中央政府總預算決議，檢送本院單位預算決議（二十一）「議事業務」預算凍結20萬元書面報告，請查照案。</w:t>
            </w:r>
          </w:p>
        </w:tc>
        <w:tc>
          <w:tcPr>
            <w:tcW w:w="1701" w:type="dxa"/>
            <w:shd w:val="clear" w:color="auto" w:fill="auto"/>
          </w:tcPr>
          <w:p w14:paraId="26D7E54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4383F55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3868D47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8AABCD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391BF42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00733B4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5FB650A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669C8497" w14:textId="77777777" w:rsidTr="00EC13B7">
        <w:tc>
          <w:tcPr>
            <w:tcW w:w="656" w:type="dxa"/>
            <w:shd w:val="clear" w:color="auto" w:fill="auto"/>
          </w:tcPr>
          <w:p w14:paraId="136F3192"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22</w:t>
            </w:r>
          </w:p>
        </w:tc>
        <w:tc>
          <w:tcPr>
            <w:tcW w:w="2694" w:type="dxa"/>
            <w:shd w:val="clear" w:color="auto" w:fill="auto"/>
          </w:tcPr>
          <w:p w14:paraId="2BCD75B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立法院秘書長函，為111年度中央政府總預算決議，檢送本院單位預算決議（二十二）「議事業務」預算凍結20萬元書面報告，請查照案。</w:t>
            </w:r>
          </w:p>
        </w:tc>
        <w:tc>
          <w:tcPr>
            <w:tcW w:w="1701" w:type="dxa"/>
            <w:shd w:val="clear" w:color="auto" w:fill="auto"/>
          </w:tcPr>
          <w:p w14:paraId="042AF3B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7ED43FF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2FA7D9ED"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5602D3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65B47CB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58204B9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6A01EAE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EB6A52E" w14:textId="77777777" w:rsidTr="00EC13B7">
        <w:tc>
          <w:tcPr>
            <w:tcW w:w="656" w:type="dxa"/>
            <w:shd w:val="clear" w:color="auto" w:fill="auto"/>
          </w:tcPr>
          <w:p w14:paraId="1D97804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23</w:t>
            </w:r>
          </w:p>
        </w:tc>
        <w:tc>
          <w:tcPr>
            <w:tcW w:w="2694" w:type="dxa"/>
            <w:shd w:val="clear" w:color="auto" w:fill="auto"/>
          </w:tcPr>
          <w:p w14:paraId="5821F5F1"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立法院秘書長函，為111年度中央政府總預算決議，檢送本院單位預算決議（二十三）「議事業務」預算凍結20萬元書面報告，請查照案。</w:t>
            </w:r>
          </w:p>
        </w:tc>
        <w:tc>
          <w:tcPr>
            <w:tcW w:w="1701" w:type="dxa"/>
            <w:shd w:val="clear" w:color="auto" w:fill="auto"/>
          </w:tcPr>
          <w:p w14:paraId="29E514F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546114B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2B64FFBC"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CB392C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7013DBE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44E8ECF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36D684E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1B88FC1A" w14:textId="77777777" w:rsidTr="00EC13B7">
        <w:tc>
          <w:tcPr>
            <w:tcW w:w="656" w:type="dxa"/>
            <w:shd w:val="clear" w:color="auto" w:fill="auto"/>
          </w:tcPr>
          <w:p w14:paraId="1FEBC62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24</w:t>
            </w:r>
          </w:p>
        </w:tc>
        <w:tc>
          <w:tcPr>
            <w:tcW w:w="2694" w:type="dxa"/>
            <w:shd w:val="clear" w:color="auto" w:fill="auto"/>
          </w:tcPr>
          <w:p w14:paraId="331E9ED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w:t>
            </w:r>
            <w:r w:rsidRPr="002A20DA">
              <w:rPr>
                <w:rFonts w:ascii="標楷體" w:eastAsia="標楷體" w:hAnsi="標楷體"/>
                <w:color w:val="000000"/>
                <w:kern w:val="0"/>
                <w:szCs w:val="22"/>
              </w:rPr>
              <w:lastRenderedPageBreak/>
              <w:t>決議（二十四）「議事業務」項下「委員會議事」中「業務費」預算凍結20萬元書面報告，請查照案。</w:t>
            </w:r>
          </w:p>
        </w:tc>
        <w:tc>
          <w:tcPr>
            <w:tcW w:w="1701" w:type="dxa"/>
            <w:shd w:val="clear" w:color="auto" w:fill="auto"/>
          </w:tcPr>
          <w:p w14:paraId="38C0669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立法院秘書長 111.09.30 </w:t>
            </w:r>
          </w:p>
          <w:p w14:paraId="482B6E9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453E6D3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6F1F44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0B356BA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1B7015C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35FF3B0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0447A6D2" w14:textId="77777777" w:rsidTr="00EC13B7">
        <w:tc>
          <w:tcPr>
            <w:tcW w:w="656" w:type="dxa"/>
            <w:shd w:val="clear" w:color="auto" w:fill="auto"/>
          </w:tcPr>
          <w:p w14:paraId="713C228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lastRenderedPageBreak/>
              <w:t>25</w:t>
            </w:r>
          </w:p>
        </w:tc>
        <w:tc>
          <w:tcPr>
            <w:tcW w:w="2694" w:type="dxa"/>
            <w:shd w:val="clear" w:color="auto" w:fill="auto"/>
          </w:tcPr>
          <w:p w14:paraId="2B05478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立法院秘書長函，為111年度中央政府總預算決議，檢送本院單位預算決議（二十五）凍結第4目「立法諮詢業務」項下20萬元書面報告，請查照案。</w:t>
            </w:r>
          </w:p>
        </w:tc>
        <w:tc>
          <w:tcPr>
            <w:tcW w:w="1701" w:type="dxa"/>
            <w:shd w:val="clear" w:color="auto" w:fill="auto"/>
          </w:tcPr>
          <w:p w14:paraId="049689D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111.04.29 </w:t>
            </w:r>
          </w:p>
          <w:p w14:paraId="1E320D7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（10-5-10）</w:t>
            </w:r>
          </w:p>
        </w:tc>
        <w:tc>
          <w:tcPr>
            <w:tcW w:w="1701" w:type="dxa"/>
            <w:shd w:val="clear" w:color="auto" w:fill="auto"/>
          </w:tcPr>
          <w:p w14:paraId="013B4F59"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B5FB6E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01F80D1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241AFC8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3A55AFD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42D9F87" w14:textId="77777777" w:rsidTr="00EC13B7">
        <w:tc>
          <w:tcPr>
            <w:tcW w:w="656" w:type="dxa"/>
            <w:shd w:val="clear" w:color="auto" w:fill="auto"/>
          </w:tcPr>
          <w:p w14:paraId="4BD7865A"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26</w:t>
            </w:r>
          </w:p>
        </w:tc>
        <w:tc>
          <w:tcPr>
            <w:tcW w:w="2694" w:type="dxa"/>
            <w:shd w:val="clear" w:color="auto" w:fill="auto"/>
          </w:tcPr>
          <w:p w14:paraId="264A1026"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立法院秘書長函，為111年度中央政府總預算決議，檢送歲出部分決議（二十六）第5目「國會圖書業務」預算凍結400萬元書面報告，請查照案。</w:t>
            </w:r>
          </w:p>
        </w:tc>
        <w:tc>
          <w:tcPr>
            <w:tcW w:w="1701" w:type="dxa"/>
            <w:shd w:val="clear" w:color="auto" w:fill="auto"/>
          </w:tcPr>
          <w:p w14:paraId="025A596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111.04.08 </w:t>
            </w:r>
          </w:p>
          <w:p w14:paraId="5F245E7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1149E9B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B979EB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62B1BEA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57EB1DF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71EAB4F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4E828FE5" w14:textId="77777777" w:rsidTr="00EC13B7">
        <w:tc>
          <w:tcPr>
            <w:tcW w:w="656" w:type="dxa"/>
            <w:shd w:val="clear" w:color="auto" w:fill="auto"/>
          </w:tcPr>
          <w:p w14:paraId="754DED9C"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27</w:t>
            </w:r>
          </w:p>
        </w:tc>
        <w:tc>
          <w:tcPr>
            <w:tcW w:w="2694" w:type="dxa"/>
            <w:shd w:val="clear" w:color="auto" w:fill="auto"/>
          </w:tcPr>
          <w:p w14:paraId="49A1654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立法院秘書長函，為111年度中央政府總預算決議，檢送本院單位預算決議（二十七）凍結第6目「公報業務」項下「公報行政」中「業務費」之「委辦費」100萬元書面報告，請查照案。</w:t>
            </w:r>
          </w:p>
        </w:tc>
        <w:tc>
          <w:tcPr>
            <w:tcW w:w="1701" w:type="dxa"/>
            <w:shd w:val="clear" w:color="auto" w:fill="auto"/>
          </w:tcPr>
          <w:p w14:paraId="4FB6DB9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111.05.20 </w:t>
            </w:r>
          </w:p>
          <w:p w14:paraId="3513DDD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（10-5-13）</w:t>
            </w:r>
          </w:p>
        </w:tc>
        <w:tc>
          <w:tcPr>
            <w:tcW w:w="1701" w:type="dxa"/>
            <w:shd w:val="clear" w:color="auto" w:fill="auto"/>
          </w:tcPr>
          <w:p w14:paraId="56317537"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26A941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0DC06A1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29B384A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66F48AE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2DB61201" w14:textId="77777777" w:rsidTr="00EC13B7">
        <w:tc>
          <w:tcPr>
            <w:tcW w:w="656" w:type="dxa"/>
            <w:shd w:val="clear" w:color="auto" w:fill="auto"/>
          </w:tcPr>
          <w:p w14:paraId="01D73051"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28</w:t>
            </w:r>
          </w:p>
        </w:tc>
        <w:tc>
          <w:tcPr>
            <w:tcW w:w="2694" w:type="dxa"/>
            <w:shd w:val="clear" w:color="auto" w:fill="auto"/>
          </w:tcPr>
          <w:p w14:paraId="37654B06"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立法院秘書長函，為111年度中央政府總預算決議，檢送本院單位預算決議（二十八）凍結「營建工程」20萬元書面報告，請查照案。</w:t>
            </w:r>
          </w:p>
        </w:tc>
        <w:tc>
          <w:tcPr>
            <w:tcW w:w="1701" w:type="dxa"/>
            <w:shd w:val="clear" w:color="auto" w:fill="auto"/>
          </w:tcPr>
          <w:p w14:paraId="43FBF67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111.04.22 </w:t>
            </w:r>
          </w:p>
          <w:p w14:paraId="342B9A3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（10-5-9）</w:t>
            </w:r>
          </w:p>
        </w:tc>
        <w:tc>
          <w:tcPr>
            <w:tcW w:w="1701" w:type="dxa"/>
            <w:shd w:val="clear" w:color="auto" w:fill="auto"/>
          </w:tcPr>
          <w:p w14:paraId="07C8C99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CE9640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60AECAF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2CAD339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0BA0AA6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56A11C5D" w14:textId="77777777" w:rsidTr="00EC13B7">
        <w:tc>
          <w:tcPr>
            <w:tcW w:w="656" w:type="dxa"/>
            <w:shd w:val="clear" w:color="auto" w:fill="auto"/>
          </w:tcPr>
          <w:p w14:paraId="3CDD6902"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29</w:t>
            </w:r>
          </w:p>
        </w:tc>
        <w:tc>
          <w:tcPr>
            <w:tcW w:w="2694" w:type="dxa"/>
            <w:shd w:val="clear" w:color="auto" w:fill="auto"/>
          </w:tcPr>
          <w:p w14:paraId="151257D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立法院秘書長函，為111年度中央政府總預算決議，檢送本院單位預算決議（二十九）凍結「一般建築及設備」項下「其他設備」100萬元書面報告，請查照案。</w:t>
            </w:r>
          </w:p>
        </w:tc>
        <w:tc>
          <w:tcPr>
            <w:tcW w:w="1701" w:type="dxa"/>
            <w:shd w:val="clear" w:color="auto" w:fill="auto"/>
          </w:tcPr>
          <w:p w14:paraId="7BC1362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111.09.30 </w:t>
            </w:r>
          </w:p>
          <w:p w14:paraId="3E46C4C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（10-6-2）</w:t>
            </w:r>
          </w:p>
        </w:tc>
        <w:tc>
          <w:tcPr>
            <w:tcW w:w="1701" w:type="dxa"/>
            <w:shd w:val="clear" w:color="auto" w:fill="auto"/>
          </w:tcPr>
          <w:p w14:paraId="3BF85EC3"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2582F7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4C21ACC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42EEA2F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57EDBE0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6CA928CB" w14:textId="77777777" w:rsidTr="00EC13B7">
        <w:tc>
          <w:tcPr>
            <w:tcW w:w="656" w:type="dxa"/>
            <w:shd w:val="clear" w:color="auto" w:fill="auto"/>
          </w:tcPr>
          <w:p w14:paraId="7DCA1098"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30</w:t>
            </w:r>
          </w:p>
        </w:tc>
        <w:tc>
          <w:tcPr>
            <w:tcW w:w="2694" w:type="dxa"/>
            <w:shd w:val="clear" w:color="auto" w:fill="auto"/>
          </w:tcPr>
          <w:p w14:paraId="4BEB9E3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立法院秘書長函，為111年度中央政府總預算決議，檢送本院單位預算決議（五十）凍結第1目「一般行政」50萬元書面報告，請查照案。</w:t>
            </w:r>
          </w:p>
        </w:tc>
        <w:tc>
          <w:tcPr>
            <w:tcW w:w="1701" w:type="dxa"/>
            <w:shd w:val="clear" w:color="auto" w:fill="auto"/>
          </w:tcPr>
          <w:p w14:paraId="2922704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111.05.06 </w:t>
            </w:r>
          </w:p>
          <w:p w14:paraId="293A907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（10-5-11）</w:t>
            </w:r>
          </w:p>
        </w:tc>
        <w:tc>
          <w:tcPr>
            <w:tcW w:w="1701" w:type="dxa"/>
            <w:shd w:val="clear" w:color="auto" w:fill="auto"/>
          </w:tcPr>
          <w:p w14:paraId="46C4E6F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ADC90D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4AADEB3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-17)准予動支，提報院會。</w:t>
            </w:r>
          </w:p>
          <w:p w14:paraId="0D2565A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6EB9E59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3702AD5F" w14:textId="77777777" w:rsidTr="00EC13B7">
        <w:tc>
          <w:tcPr>
            <w:tcW w:w="656" w:type="dxa"/>
            <w:shd w:val="clear" w:color="auto" w:fill="auto"/>
          </w:tcPr>
          <w:p w14:paraId="308EDF4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31</w:t>
            </w:r>
          </w:p>
        </w:tc>
        <w:tc>
          <w:tcPr>
            <w:tcW w:w="2694" w:type="dxa"/>
            <w:shd w:val="clear" w:color="auto" w:fill="auto"/>
          </w:tcPr>
          <w:p w14:paraId="741826B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w:t>
            </w:r>
            <w:r w:rsidRPr="002A20DA">
              <w:rPr>
                <w:rFonts w:ascii="標楷體" w:eastAsia="標楷體" w:hAnsi="標楷體"/>
                <w:color w:val="000000"/>
                <w:kern w:val="0"/>
                <w:szCs w:val="22"/>
              </w:rPr>
              <w:lastRenderedPageBreak/>
              <w:t>年度中央政府總預算決議，檢送歲出部分決議（五十一）第4目項下「預算諮詢業務」中「業務費」預算凍結10萬元書面報告，請查照案。</w:t>
            </w:r>
          </w:p>
        </w:tc>
        <w:tc>
          <w:tcPr>
            <w:tcW w:w="1701" w:type="dxa"/>
            <w:shd w:val="clear" w:color="auto" w:fill="auto"/>
          </w:tcPr>
          <w:p w14:paraId="5D9233B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立法院秘書長 </w:t>
            </w:r>
            <w:r w:rsidRPr="002A20DA">
              <w:rPr>
                <w:rFonts w:ascii="標楷體" w:eastAsia="標楷體" w:hAnsi="標楷體"/>
                <w:color w:val="000000"/>
                <w:kern w:val="0"/>
                <w:szCs w:val="22"/>
              </w:rPr>
              <w:lastRenderedPageBreak/>
              <w:t xml:space="preserve">111.04.01 </w:t>
            </w:r>
          </w:p>
          <w:p w14:paraId="4CD6C96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（10-5-6）</w:t>
            </w:r>
          </w:p>
        </w:tc>
        <w:tc>
          <w:tcPr>
            <w:tcW w:w="1701" w:type="dxa"/>
            <w:shd w:val="clear" w:color="auto" w:fill="auto"/>
          </w:tcPr>
          <w:p w14:paraId="66FA1B2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司法及法制</w:t>
            </w:r>
          </w:p>
        </w:tc>
        <w:tc>
          <w:tcPr>
            <w:tcW w:w="1984" w:type="dxa"/>
            <w:shd w:val="clear" w:color="auto" w:fill="auto"/>
          </w:tcPr>
          <w:p w14:paraId="23F1C9F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0DDD03A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72E22D7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69F6AAC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r w:rsidR="00AE6B82" w:rsidRPr="009D6006" w14:paraId="75B5DAE3" w14:textId="77777777" w:rsidTr="00EC13B7">
        <w:tc>
          <w:tcPr>
            <w:tcW w:w="656" w:type="dxa"/>
            <w:shd w:val="clear" w:color="auto" w:fill="auto"/>
          </w:tcPr>
          <w:p w14:paraId="7CC1F2D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lastRenderedPageBreak/>
              <w:t>32</w:t>
            </w:r>
          </w:p>
        </w:tc>
        <w:tc>
          <w:tcPr>
            <w:tcW w:w="2694" w:type="dxa"/>
            <w:shd w:val="clear" w:color="auto" w:fill="auto"/>
          </w:tcPr>
          <w:p w14:paraId="378F3B4A"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立法院秘書長函，為111年度中央政府總預算決議，檢送本院單位預算決議（五十二）凍結第6目「公報業務」項下「公報行政」200萬元書面報告，請查照案。</w:t>
            </w:r>
          </w:p>
        </w:tc>
        <w:tc>
          <w:tcPr>
            <w:tcW w:w="1701" w:type="dxa"/>
            <w:shd w:val="clear" w:color="auto" w:fill="auto"/>
          </w:tcPr>
          <w:p w14:paraId="0CE25D7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立法院秘書長 111.05.13 </w:t>
            </w:r>
          </w:p>
          <w:p w14:paraId="6328D1C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（10-5-12）</w:t>
            </w:r>
          </w:p>
        </w:tc>
        <w:tc>
          <w:tcPr>
            <w:tcW w:w="1701" w:type="dxa"/>
            <w:shd w:val="clear" w:color="auto" w:fill="auto"/>
          </w:tcPr>
          <w:p w14:paraId="3003E169"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FEB3C2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1.本會111.11.17</w:t>
            </w:r>
          </w:p>
          <w:p w14:paraId="1E6EA6A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-17)准予備查，提報院會。</w:t>
            </w:r>
          </w:p>
          <w:p w14:paraId="15FC981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w:t>
            </w:r>
            <w:r w:rsidRPr="009D6006">
              <w:rPr>
                <w:rFonts w:ascii="標楷體" w:eastAsia="標楷體" w:hAnsi="標楷體"/>
                <w:spacing w:val="-10"/>
                <w:kern w:val="0"/>
                <w:szCs w:val="22"/>
              </w:rPr>
              <w:t>2</w:t>
            </w:r>
          </w:p>
          <w:p w14:paraId="16632CA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-10)准予備查。</w:t>
            </w:r>
          </w:p>
        </w:tc>
      </w:tr>
    </w:tbl>
    <w:p w14:paraId="5C9B21D6" w14:textId="77777777" w:rsidR="00AE6B82" w:rsidRPr="002A20DA" w:rsidRDefault="00AE6B82" w:rsidP="00D96730">
      <w:pPr>
        <w:keepNext/>
        <w:spacing w:beforeLines="100" w:before="360" w:afterLines="100" w:after="360" w:line="260" w:lineRule="exact"/>
        <w:ind w:firstLineChars="759" w:firstLine="2127"/>
        <w:outlineLvl w:val="2"/>
        <w:rPr>
          <w:rFonts w:ascii="標楷體" w:eastAsia="標楷體" w:hAnsi="標楷體"/>
          <w:b/>
          <w:bCs/>
          <w:sz w:val="28"/>
          <w:szCs w:val="28"/>
        </w:rPr>
      </w:pPr>
      <w:r w:rsidRPr="002A20DA">
        <w:rPr>
          <w:rFonts w:ascii="標楷體" w:eastAsia="標楷體" w:hAnsi="標楷體"/>
          <w:b/>
          <w:sz w:val="28"/>
          <w:szCs w:val="28"/>
        </w:rPr>
        <w:t>(</w:t>
      </w:r>
      <w:r w:rsidRPr="002A20DA">
        <w:rPr>
          <w:rFonts w:ascii="標楷體" w:eastAsia="標楷體" w:hAnsi="標楷體" w:hint="eastAsia"/>
          <w:b/>
          <w:bCs/>
          <w:sz w:val="28"/>
          <w:szCs w:val="28"/>
        </w:rPr>
        <w:t>四</w:t>
      </w:r>
      <w:r w:rsidRPr="002A20DA">
        <w:rPr>
          <w:rFonts w:ascii="標楷體" w:eastAsia="標楷體" w:hAnsi="標楷體" w:hint="eastAsia"/>
          <w:b/>
          <w:sz w:val="28"/>
          <w:szCs w:val="28"/>
        </w:rPr>
        <w:t>)</w:t>
      </w:r>
      <w:r w:rsidRPr="002A20DA">
        <w:rPr>
          <w:rFonts w:ascii="標楷體" w:eastAsia="標楷體" w:hAnsi="標楷體"/>
          <w:b/>
          <w:bCs/>
          <w:sz w:val="28"/>
          <w:szCs w:val="28"/>
        </w:rPr>
        <w:t>司法院17案</w:t>
      </w:r>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2693"/>
        <w:gridCol w:w="1701"/>
        <w:gridCol w:w="1701"/>
        <w:gridCol w:w="1985"/>
      </w:tblGrid>
      <w:tr w:rsidR="00AE6B82" w:rsidRPr="002A20DA" w14:paraId="218D5F36" w14:textId="77777777" w:rsidTr="00EC13B7">
        <w:tc>
          <w:tcPr>
            <w:tcW w:w="709" w:type="dxa"/>
            <w:shd w:val="clear" w:color="auto" w:fill="auto"/>
          </w:tcPr>
          <w:p w14:paraId="466DF3D2"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序號</w:t>
            </w:r>
          </w:p>
        </w:tc>
        <w:tc>
          <w:tcPr>
            <w:tcW w:w="2693" w:type="dxa"/>
            <w:shd w:val="clear" w:color="auto" w:fill="auto"/>
          </w:tcPr>
          <w:p w14:paraId="032F9A68"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議案名稱</w:t>
            </w:r>
          </w:p>
        </w:tc>
        <w:tc>
          <w:tcPr>
            <w:tcW w:w="1701" w:type="dxa"/>
            <w:shd w:val="clear" w:color="auto" w:fill="auto"/>
          </w:tcPr>
          <w:p w14:paraId="54433676" w14:textId="77777777" w:rsidR="00AE6B82" w:rsidRPr="002A20DA" w:rsidRDefault="00AE6B82"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2A20DA">
              <w:rPr>
                <w:rFonts w:ascii="標楷體" w:eastAsia="標楷體" w:hAnsi="標楷體"/>
                <w:b/>
                <w:color w:val="000000"/>
                <w:spacing w:val="-20"/>
                <w:szCs w:val="22"/>
              </w:rPr>
              <w:t>提案機關、院會交付日期(會次)</w:t>
            </w:r>
          </w:p>
        </w:tc>
        <w:tc>
          <w:tcPr>
            <w:tcW w:w="1701" w:type="dxa"/>
            <w:shd w:val="clear" w:color="auto" w:fill="auto"/>
          </w:tcPr>
          <w:p w14:paraId="318D2CE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交付</w:t>
            </w:r>
            <w:r w:rsidRPr="002A20DA">
              <w:rPr>
                <w:rFonts w:ascii="標楷體" w:eastAsia="標楷體" w:hAnsi="標楷體"/>
                <w:b/>
                <w:color w:val="000000"/>
                <w:spacing w:val="-20"/>
                <w:szCs w:val="22"/>
                <w:lang w:eastAsia="ko-KR"/>
              </w:rPr>
              <w:t>委員會</w:t>
            </w:r>
          </w:p>
        </w:tc>
        <w:tc>
          <w:tcPr>
            <w:tcW w:w="1985" w:type="dxa"/>
            <w:shd w:val="clear" w:color="auto" w:fill="auto"/>
          </w:tcPr>
          <w:p w14:paraId="10016BB3" w14:textId="3EB5642C" w:rsidR="00AE6B82" w:rsidRPr="002A20DA"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AE6B82" w:rsidRPr="009D6006" w14:paraId="75BA2B3A" w14:textId="77777777" w:rsidTr="00EC13B7">
        <w:tc>
          <w:tcPr>
            <w:tcW w:w="709" w:type="dxa"/>
            <w:shd w:val="clear" w:color="auto" w:fill="auto"/>
          </w:tcPr>
          <w:p w14:paraId="478A6266"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w:t>
            </w:r>
          </w:p>
        </w:tc>
        <w:tc>
          <w:tcPr>
            <w:tcW w:w="2693" w:type="dxa"/>
            <w:shd w:val="clear" w:color="auto" w:fill="auto"/>
          </w:tcPr>
          <w:p w14:paraId="22EDBD58"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w:t>
            </w:r>
            <w:r w:rsidRPr="002A20DA">
              <w:rPr>
                <w:rFonts w:ascii="標楷體" w:eastAsia="標楷體" w:hAnsi="標楷體" w:hint="eastAsia"/>
                <w:color w:val="000000"/>
                <w:kern w:val="0"/>
                <w:szCs w:val="22"/>
              </w:rPr>
              <w:t>一</w:t>
            </w:r>
            <w:r w:rsidRPr="002A20DA">
              <w:rPr>
                <w:rFonts w:ascii="標楷體" w:eastAsia="標楷體" w:hAnsi="標楷體"/>
                <w:color w:val="000000"/>
                <w:kern w:val="0"/>
                <w:szCs w:val="22"/>
              </w:rPr>
              <w:t>）預算凍結書面報告，請查照案。</w:t>
            </w:r>
          </w:p>
        </w:tc>
        <w:tc>
          <w:tcPr>
            <w:tcW w:w="1701" w:type="dxa"/>
            <w:shd w:val="clear" w:color="auto" w:fill="auto"/>
          </w:tcPr>
          <w:p w14:paraId="1585AE1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4474690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40EDB54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7A50B4D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0537927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3FFA0B8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769964B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0DF4F81E" w14:textId="77777777" w:rsidTr="00EC13B7">
        <w:tc>
          <w:tcPr>
            <w:tcW w:w="709" w:type="dxa"/>
            <w:shd w:val="clear" w:color="auto" w:fill="auto"/>
          </w:tcPr>
          <w:p w14:paraId="0219536C"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p>
        </w:tc>
        <w:tc>
          <w:tcPr>
            <w:tcW w:w="2693" w:type="dxa"/>
            <w:shd w:val="clear" w:color="auto" w:fill="auto"/>
          </w:tcPr>
          <w:p w14:paraId="20A219B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檢送歲出第4款第1項決議（二）預算凍結書面報告，請查照案。</w:t>
            </w:r>
          </w:p>
        </w:tc>
        <w:tc>
          <w:tcPr>
            <w:tcW w:w="1701" w:type="dxa"/>
            <w:shd w:val="clear" w:color="auto" w:fill="auto"/>
          </w:tcPr>
          <w:p w14:paraId="05C2811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11E0266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5F2D1FD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612B7BA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5C34B6B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6D52C25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AF6ED2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75399622" w14:textId="77777777" w:rsidTr="00EC13B7">
        <w:tc>
          <w:tcPr>
            <w:tcW w:w="709" w:type="dxa"/>
            <w:shd w:val="clear" w:color="auto" w:fill="auto"/>
          </w:tcPr>
          <w:p w14:paraId="09DF4F8C"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3</w:t>
            </w:r>
          </w:p>
        </w:tc>
        <w:tc>
          <w:tcPr>
            <w:tcW w:w="2693" w:type="dxa"/>
            <w:shd w:val="clear" w:color="auto" w:fill="auto"/>
          </w:tcPr>
          <w:p w14:paraId="56FB6D9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檢送歲出第4款第1項決議（三）預算凍結書面報告，請查照案。</w:t>
            </w:r>
          </w:p>
        </w:tc>
        <w:tc>
          <w:tcPr>
            <w:tcW w:w="1701" w:type="dxa"/>
            <w:shd w:val="clear" w:color="auto" w:fill="auto"/>
          </w:tcPr>
          <w:p w14:paraId="06A95CB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2A564D7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4BE6B38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6C82586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5F87164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5C6E832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6A93A9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24C0C49F" w14:textId="77777777" w:rsidTr="00EC13B7">
        <w:tc>
          <w:tcPr>
            <w:tcW w:w="709" w:type="dxa"/>
            <w:shd w:val="clear" w:color="auto" w:fill="auto"/>
          </w:tcPr>
          <w:p w14:paraId="3D418A0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4</w:t>
            </w:r>
          </w:p>
        </w:tc>
        <w:tc>
          <w:tcPr>
            <w:tcW w:w="2693" w:type="dxa"/>
            <w:shd w:val="clear" w:color="auto" w:fill="auto"/>
          </w:tcPr>
          <w:p w14:paraId="16598CD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hint="eastAsia"/>
                <w:color w:val="000000"/>
                <w:kern w:val="0"/>
                <w:szCs w:val="22"/>
              </w:rPr>
              <w:t>司法院函，為111年度中央政府總預算決議，檢送歲出第4款第1項決議(四)預算凍結書面報告，請查照案。</w:t>
            </w:r>
          </w:p>
        </w:tc>
        <w:tc>
          <w:tcPr>
            <w:tcW w:w="1701" w:type="dxa"/>
            <w:shd w:val="clear" w:color="auto" w:fill="auto"/>
          </w:tcPr>
          <w:p w14:paraId="047D84A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 xml:space="preserve">司法院 111.04.15 </w:t>
            </w:r>
          </w:p>
          <w:p w14:paraId="5E55CA8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（10-5-8）</w:t>
            </w:r>
          </w:p>
        </w:tc>
        <w:tc>
          <w:tcPr>
            <w:tcW w:w="1701" w:type="dxa"/>
            <w:shd w:val="clear" w:color="auto" w:fill="auto"/>
          </w:tcPr>
          <w:p w14:paraId="1C46DC0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司法及法制</w:t>
            </w:r>
          </w:p>
        </w:tc>
        <w:tc>
          <w:tcPr>
            <w:tcW w:w="1985" w:type="dxa"/>
            <w:shd w:val="clear" w:color="auto" w:fill="auto"/>
          </w:tcPr>
          <w:p w14:paraId="6572F91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06CAC25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2B8D8AE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70165B7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65FE8FC9" w14:textId="77777777" w:rsidTr="00EC13B7">
        <w:tc>
          <w:tcPr>
            <w:tcW w:w="709" w:type="dxa"/>
            <w:shd w:val="clear" w:color="auto" w:fill="auto"/>
          </w:tcPr>
          <w:p w14:paraId="1243C522"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5</w:t>
            </w:r>
          </w:p>
        </w:tc>
        <w:tc>
          <w:tcPr>
            <w:tcW w:w="2693" w:type="dxa"/>
            <w:shd w:val="clear" w:color="auto" w:fill="auto"/>
          </w:tcPr>
          <w:p w14:paraId="4CEE53C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，檢</w:t>
            </w:r>
            <w:r w:rsidRPr="002A20DA">
              <w:rPr>
                <w:rFonts w:ascii="標楷體" w:eastAsia="標楷體" w:hAnsi="標楷體"/>
                <w:color w:val="000000"/>
                <w:kern w:val="0"/>
                <w:szCs w:val="22"/>
              </w:rPr>
              <w:t>送歲出第4款第1項決議（五）預算凍結書面報告，請查照案。</w:t>
            </w:r>
          </w:p>
        </w:tc>
        <w:tc>
          <w:tcPr>
            <w:tcW w:w="1701" w:type="dxa"/>
            <w:shd w:val="clear" w:color="auto" w:fill="auto"/>
          </w:tcPr>
          <w:p w14:paraId="6E10325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7E67E68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7304C33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18C1983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55F8D58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4624D00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0D4D353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2D5D5515" w14:textId="77777777" w:rsidTr="00EC13B7">
        <w:tc>
          <w:tcPr>
            <w:tcW w:w="709" w:type="dxa"/>
            <w:shd w:val="clear" w:color="auto" w:fill="auto"/>
          </w:tcPr>
          <w:p w14:paraId="71DEFCF1"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6</w:t>
            </w:r>
          </w:p>
        </w:tc>
        <w:tc>
          <w:tcPr>
            <w:tcW w:w="2693" w:type="dxa"/>
            <w:shd w:val="clear" w:color="auto" w:fill="auto"/>
          </w:tcPr>
          <w:p w14:paraId="129A8B1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w:t>
            </w:r>
            <w:r w:rsidRPr="002A20DA">
              <w:rPr>
                <w:rFonts w:ascii="標楷體" w:eastAsia="標楷體" w:hAnsi="標楷體"/>
                <w:color w:val="000000"/>
                <w:kern w:val="0"/>
                <w:szCs w:val="22"/>
              </w:rPr>
              <w:lastRenderedPageBreak/>
              <w:t>（六）預算凍結書面報告，請查照案。</w:t>
            </w:r>
          </w:p>
        </w:tc>
        <w:tc>
          <w:tcPr>
            <w:tcW w:w="1701" w:type="dxa"/>
            <w:shd w:val="clear" w:color="auto" w:fill="auto"/>
          </w:tcPr>
          <w:p w14:paraId="4DD777D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司法院 111.04.08 </w:t>
            </w:r>
          </w:p>
          <w:p w14:paraId="5E1CE4D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15850539"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2B2616C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6F43A2A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10C4F2B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6EA0E42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0B867B56" w14:textId="77777777" w:rsidTr="00EC13B7">
        <w:tc>
          <w:tcPr>
            <w:tcW w:w="709" w:type="dxa"/>
            <w:shd w:val="clear" w:color="auto" w:fill="auto"/>
          </w:tcPr>
          <w:p w14:paraId="7095C0F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7</w:t>
            </w:r>
          </w:p>
        </w:tc>
        <w:tc>
          <w:tcPr>
            <w:tcW w:w="2693" w:type="dxa"/>
            <w:shd w:val="clear" w:color="auto" w:fill="auto"/>
          </w:tcPr>
          <w:p w14:paraId="3C19E39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檢送歲出第4款第1項決議（三十九）預算凍結書面報告，請查照案。</w:t>
            </w:r>
          </w:p>
        </w:tc>
        <w:tc>
          <w:tcPr>
            <w:tcW w:w="1701" w:type="dxa"/>
            <w:shd w:val="clear" w:color="auto" w:fill="auto"/>
          </w:tcPr>
          <w:p w14:paraId="483CA92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5A32888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5FAC557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7157BFC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4E65E1D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(10-5-21）准予動支，提報院會</w:t>
            </w:r>
            <w:r w:rsidRPr="009D6006">
              <w:rPr>
                <w:rFonts w:ascii="標楷體" w:eastAsia="標楷體" w:hAnsi="標楷體"/>
                <w:spacing w:val="-10"/>
                <w:kern w:val="0"/>
                <w:szCs w:val="22"/>
              </w:rPr>
              <w:t>。</w:t>
            </w:r>
          </w:p>
          <w:p w14:paraId="3595716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412D8CF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12758FE7" w14:textId="77777777" w:rsidTr="00EC13B7">
        <w:tc>
          <w:tcPr>
            <w:tcW w:w="709" w:type="dxa"/>
            <w:shd w:val="clear" w:color="auto" w:fill="auto"/>
          </w:tcPr>
          <w:p w14:paraId="41365946"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8</w:t>
            </w:r>
          </w:p>
        </w:tc>
        <w:tc>
          <w:tcPr>
            <w:tcW w:w="2693" w:type="dxa"/>
            <w:shd w:val="clear" w:color="auto" w:fill="auto"/>
          </w:tcPr>
          <w:p w14:paraId="5D0BB3C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hint="eastAsia"/>
                <w:color w:val="000000"/>
                <w:kern w:val="0"/>
                <w:szCs w:val="22"/>
              </w:rPr>
              <w:t>司法院函，為111年度中央政府總預算決議，檢送歲出第4款第1項決議（四十）預算凍結書面報告，請查照案。</w:t>
            </w:r>
          </w:p>
        </w:tc>
        <w:tc>
          <w:tcPr>
            <w:tcW w:w="1701" w:type="dxa"/>
            <w:shd w:val="clear" w:color="auto" w:fill="auto"/>
          </w:tcPr>
          <w:p w14:paraId="24FC17C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 xml:space="preserve">司法院 111.04.15 </w:t>
            </w:r>
          </w:p>
          <w:p w14:paraId="762A1D1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（10-5-8）</w:t>
            </w:r>
          </w:p>
        </w:tc>
        <w:tc>
          <w:tcPr>
            <w:tcW w:w="1701" w:type="dxa"/>
            <w:shd w:val="clear" w:color="auto" w:fill="auto"/>
          </w:tcPr>
          <w:p w14:paraId="48ABD539"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司法及法制</w:t>
            </w:r>
          </w:p>
        </w:tc>
        <w:tc>
          <w:tcPr>
            <w:tcW w:w="1985" w:type="dxa"/>
            <w:shd w:val="clear" w:color="auto" w:fill="auto"/>
          </w:tcPr>
          <w:p w14:paraId="031FD6E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77853F8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4DE2FA6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17AE3D6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484C86B6" w14:textId="77777777" w:rsidTr="00EC13B7">
        <w:tc>
          <w:tcPr>
            <w:tcW w:w="709" w:type="dxa"/>
            <w:shd w:val="clear" w:color="auto" w:fill="auto"/>
          </w:tcPr>
          <w:p w14:paraId="431E4658"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9</w:t>
            </w:r>
          </w:p>
        </w:tc>
        <w:tc>
          <w:tcPr>
            <w:tcW w:w="2693" w:type="dxa"/>
            <w:shd w:val="clear" w:color="auto" w:fill="auto"/>
          </w:tcPr>
          <w:p w14:paraId="7B7D64F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檢送歲出第4款第1項決議（四十一）預算凍結書面報告，請查照案。</w:t>
            </w:r>
          </w:p>
        </w:tc>
        <w:tc>
          <w:tcPr>
            <w:tcW w:w="1701" w:type="dxa"/>
            <w:shd w:val="clear" w:color="auto" w:fill="auto"/>
          </w:tcPr>
          <w:p w14:paraId="1498925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111.05.13 </w:t>
            </w:r>
          </w:p>
          <w:p w14:paraId="3C329EE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（10-5-12）</w:t>
            </w:r>
          </w:p>
        </w:tc>
        <w:tc>
          <w:tcPr>
            <w:tcW w:w="1701" w:type="dxa"/>
            <w:shd w:val="clear" w:color="auto" w:fill="auto"/>
          </w:tcPr>
          <w:p w14:paraId="7D07879E"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24EAA7F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593A9A6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38423BE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6002037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1A1F40C1" w14:textId="77777777" w:rsidTr="00EC13B7">
        <w:tc>
          <w:tcPr>
            <w:tcW w:w="709" w:type="dxa"/>
            <w:shd w:val="clear" w:color="auto" w:fill="auto"/>
          </w:tcPr>
          <w:p w14:paraId="3AD8C5B7"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t>1</w:t>
            </w:r>
            <w:r w:rsidRPr="002A20DA">
              <w:rPr>
                <w:rFonts w:ascii="標楷體" w:eastAsia="標楷體" w:hAnsi="標楷體" w:hint="eastAsia"/>
                <w:b/>
                <w:color w:val="000000"/>
                <w:szCs w:val="22"/>
              </w:rPr>
              <w:t>0</w:t>
            </w:r>
          </w:p>
        </w:tc>
        <w:tc>
          <w:tcPr>
            <w:tcW w:w="2693" w:type="dxa"/>
            <w:shd w:val="clear" w:color="auto" w:fill="auto"/>
          </w:tcPr>
          <w:p w14:paraId="2925CFE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檢送歲出第4款第1項決議（四十二）預算凍結書面報告，請查照案。</w:t>
            </w:r>
          </w:p>
        </w:tc>
        <w:tc>
          <w:tcPr>
            <w:tcW w:w="1701" w:type="dxa"/>
            <w:shd w:val="clear" w:color="auto" w:fill="auto"/>
          </w:tcPr>
          <w:p w14:paraId="2AA5A34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111.05.13 </w:t>
            </w:r>
          </w:p>
          <w:p w14:paraId="2F75331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（10-5-12）</w:t>
            </w:r>
          </w:p>
        </w:tc>
        <w:tc>
          <w:tcPr>
            <w:tcW w:w="1701" w:type="dxa"/>
            <w:shd w:val="clear" w:color="auto" w:fill="auto"/>
          </w:tcPr>
          <w:p w14:paraId="3E357C2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24E7CD1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6BB4A42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0C0B5FF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2B6D45E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4427D866" w14:textId="77777777" w:rsidTr="00EC13B7">
        <w:tc>
          <w:tcPr>
            <w:tcW w:w="709" w:type="dxa"/>
            <w:shd w:val="clear" w:color="auto" w:fill="auto"/>
          </w:tcPr>
          <w:p w14:paraId="3C03E86E"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t>1</w:t>
            </w:r>
            <w:r w:rsidRPr="002A20DA">
              <w:rPr>
                <w:rFonts w:ascii="標楷體" w:eastAsia="標楷體" w:hAnsi="標楷體" w:hint="eastAsia"/>
                <w:b/>
                <w:color w:val="000000"/>
                <w:szCs w:val="22"/>
              </w:rPr>
              <w:t>1</w:t>
            </w:r>
          </w:p>
        </w:tc>
        <w:tc>
          <w:tcPr>
            <w:tcW w:w="2693" w:type="dxa"/>
            <w:shd w:val="clear" w:color="auto" w:fill="auto"/>
          </w:tcPr>
          <w:p w14:paraId="7CF8A64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檢送歲出第4款第1項決議（四十三）預算凍結書面報告，請查照案。</w:t>
            </w:r>
          </w:p>
        </w:tc>
        <w:tc>
          <w:tcPr>
            <w:tcW w:w="1701" w:type="dxa"/>
            <w:shd w:val="clear" w:color="auto" w:fill="auto"/>
          </w:tcPr>
          <w:p w14:paraId="6A0F648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6B90898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22F9BF6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623018C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6A34302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6F287DD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7F7199D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464BBEA0" w14:textId="77777777" w:rsidTr="00EC13B7">
        <w:tc>
          <w:tcPr>
            <w:tcW w:w="709" w:type="dxa"/>
            <w:shd w:val="clear" w:color="auto" w:fill="auto"/>
          </w:tcPr>
          <w:p w14:paraId="47A58E4E"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t>1</w:t>
            </w:r>
            <w:r w:rsidRPr="002A20DA">
              <w:rPr>
                <w:rFonts w:ascii="標楷體" w:eastAsia="標楷體" w:hAnsi="標楷體" w:hint="eastAsia"/>
                <w:b/>
                <w:color w:val="000000"/>
                <w:szCs w:val="22"/>
              </w:rPr>
              <w:t>2</w:t>
            </w:r>
          </w:p>
        </w:tc>
        <w:tc>
          <w:tcPr>
            <w:tcW w:w="2693" w:type="dxa"/>
            <w:shd w:val="clear" w:color="auto" w:fill="auto"/>
          </w:tcPr>
          <w:p w14:paraId="35512A9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司法院函，為111年度中央政府總預算決議，檢送歲出第4款第1項決議（四十四）預算凍結書面報告，請查照案。</w:t>
            </w:r>
          </w:p>
        </w:tc>
        <w:tc>
          <w:tcPr>
            <w:tcW w:w="1701" w:type="dxa"/>
            <w:shd w:val="clear" w:color="auto" w:fill="auto"/>
          </w:tcPr>
          <w:p w14:paraId="05DBBE0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111.05.06 </w:t>
            </w:r>
          </w:p>
          <w:p w14:paraId="5A16880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（10-5-11）</w:t>
            </w:r>
          </w:p>
        </w:tc>
        <w:tc>
          <w:tcPr>
            <w:tcW w:w="1701" w:type="dxa"/>
            <w:shd w:val="clear" w:color="auto" w:fill="auto"/>
          </w:tcPr>
          <w:p w14:paraId="2D6C90A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38F69EB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68341EA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(10-5-21）准予動支，提報院會</w:t>
            </w:r>
            <w:r w:rsidRPr="009D6006">
              <w:rPr>
                <w:rFonts w:ascii="標楷體" w:eastAsia="標楷體" w:hAnsi="標楷體"/>
                <w:spacing w:val="-10"/>
                <w:kern w:val="0"/>
                <w:szCs w:val="22"/>
              </w:rPr>
              <w:t>。</w:t>
            </w:r>
          </w:p>
          <w:p w14:paraId="3289121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4F88986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33C2B4F0" w14:textId="77777777" w:rsidTr="00EC13B7">
        <w:tc>
          <w:tcPr>
            <w:tcW w:w="709" w:type="dxa"/>
            <w:shd w:val="clear" w:color="auto" w:fill="auto"/>
          </w:tcPr>
          <w:p w14:paraId="62DCC8B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t>1</w:t>
            </w:r>
            <w:r w:rsidRPr="002A20DA">
              <w:rPr>
                <w:rFonts w:ascii="標楷體" w:eastAsia="標楷體" w:hAnsi="標楷體" w:hint="eastAsia"/>
                <w:b/>
                <w:color w:val="000000"/>
                <w:szCs w:val="22"/>
              </w:rPr>
              <w:t>3</w:t>
            </w:r>
          </w:p>
        </w:tc>
        <w:tc>
          <w:tcPr>
            <w:tcW w:w="2693" w:type="dxa"/>
            <w:shd w:val="clear" w:color="auto" w:fill="auto"/>
          </w:tcPr>
          <w:p w14:paraId="4B0D8826"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檢送歲出第4款第1項決議（四十五）預算凍結書面報告，請查照案。</w:t>
            </w:r>
          </w:p>
        </w:tc>
        <w:tc>
          <w:tcPr>
            <w:tcW w:w="1701" w:type="dxa"/>
            <w:shd w:val="clear" w:color="auto" w:fill="auto"/>
          </w:tcPr>
          <w:p w14:paraId="612CE7F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12CB66C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2033237C"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64E5063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412B5DD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(10-5-21）准予動支，提報院會</w:t>
            </w:r>
            <w:r w:rsidRPr="009D6006">
              <w:rPr>
                <w:rFonts w:ascii="標楷體" w:eastAsia="標楷體" w:hAnsi="標楷體"/>
                <w:spacing w:val="-10"/>
                <w:kern w:val="0"/>
                <w:szCs w:val="22"/>
              </w:rPr>
              <w:t>。</w:t>
            </w:r>
          </w:p>
          <w:p w14:paraId="37BBEB5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3F40CB4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68364928" w14:textId="77777777" w:rsidTr="00EC13B7">
        <w:tc>
          <w:tcPr>
            <w:tcW w:w="709" w:type="dxa"/>
            <w:shd w:val="clear" w:color="auto" w:fill="auto"/>
          </w:tcPr>
          <w:p w14:paraId="4FA42EB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t>1</w:t>
            </w:r>
            <w:r w:rsidRPr="002A20DA">
              <w:rPr>
                <w:rFonts w:ascii="標楷體" w:eastAsia="標楷體" w:hAnsi="標楷體" w:hint="eastAsia"/>
                <w:b/>
                <w:color w:val="000000"/>
                <w:szCs w:val="22"/>
              </w:rPr>
              <w:t>4</w:t>
            </w:r>
          </w:p>
        </w:tc>
        <w:tc>
          <w:tcPr>
            <w:tcW w:w="2693" w:type="dxa"/>
            <w:shd w:val="clear" w:color="auto" w:fill="auto"/>
          </w:tcPr>
          <w:p w14:paraId="68A1AA1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司法院函，為111年度中央政府總預算決議，檢送歲出第4款第1項決議（四十六）預算凍結書面報告，請查照案。</w:t>
            </w:r>
          </w:p>
        </w:tc>
        <w:tc>
          <w:tcPr>
            <w:tcW w:w="1701" w:type="dxa"/>
            <w:shd w:val="clear" w:color="auto" w:fill="auto"/>
          </w:tcPr>
          <w:p w14:paraId="1D069B8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111.05.06 </w:t>
            </w:r>
          </w:p>
          <w:p w14:paraId="218A6BB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（10-5-11）</w:t>
            </w:r>
          </w:p>
        </w:tc>
        <w:tc>
          <w:tcPr>
            <w:tcW w:w="1701" w:type="dxa"/>
            <w:shd w:val="clear" w:color="auto" w:fill="auto"/>
          </w:tcPr>
          <w:p w14:paraId="5652BF6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3F863C5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1BC5D8F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1020F27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5B019EC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2E663947" w14:textId="77777777" w:rsidTr="00EC13B7">
        <w:tc>
          <w:tcPr>
            <w:tcW w:w="709" w:type="dxa"/>
            <w:shd w:val="clear" w:color="auto" w:fill="auto"/>
          </w:tcPr>
          <w:p w14:paraId="05A17B32"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t>1</w:t>
            </w:r>
            <w:r w:rsidRPr="002A20DA">
              <w:rPr>
                <w:rFonts w:ascii="標楷體" w:eastAsia="標楷體" w:hAnsi="標楷體" w:hint="eastAsia"/>
                <w:b/>
                <w:color w:val="000000"/>
                <w:szCs w:val="22"/>
              </w:rPr>
              <w:t>5</w:t>
            </w:r>
          </w:p>
        </w:tc>
        <w:tc>
          <w:tcPr>
            <w:tcW w:w="2693" w:type="dxa"/>
            <w:shd w:val="clear" w:color="auto" w:fill="auto"/>
          </w:tcPr>
          <w:p w14:paraId="1EFFE3B7"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檢送歲出第4款第8項決議</w:t>
            </w:r>
            <w:r w:rsidRPr="002A20DA">
              <w:rPr>
                <w:rFonts w:ascii="標楷體" w:eastAsia="標楷體" w:hAnsi="標楷體"/>
                <w:color w:val="000000"/>
                <w:kern w:val="0"/>
                <w:szCs w:val="22"/>
              </w:rPr>
              <w:lastRenderedPageBreak/>
              <w:t>（一）預算凍結書面報告，請查照案。</w:t>
            </w:r>
          </w:p>
        </w:tc>
        <w:tc>
          <w:tcPr>
            <w:tcW w:w="1701" w:type="dxa"/>
            <w:shd w:val="clear" w:color="auto" w:fill="auto"/>
          </w:tcPr>
          <w:p w14:paraId="59CF9FF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司法院 111.04.08 </w:t>
            </w:r>
          </w:p>
          <w:p w14:paraId="0D37F72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3711971E"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38DF2EB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651013F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34DBFE9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76C2E8B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0FD3E280" w14:textId="77777777" w:rsidTr="00EC13B7">
        <w:tc>
          <w:tcPr>
            <w:tcW w:w="709" w:type="dxa"/>
            <w:shd w:val="clear" w:color="auto" w:fill="auto"/>
          </w:tcPr>
          <w:p w14:paraId="22B0243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lastRenderedPageBreak/>
              <w:t>1</w:t>
            </w:r>
            <w:r w:rsidRPr="002A20DA">
              <w:rPr>
                <w:rFonts w:ascii="標楷體" w:eastAsia="標楷體" w:hAnsi="標楷體" w:hint="eastAsia"/>
                <w:b/>
                <w:color w:val="000000"/>
                <w:szCs w:val="22"/>
              </w:rPr>
              <w:t>6</w:t>
            </w:r>
          </w:p>
        </w:tc>
        <w:tc>
          <w:tcPr>
            <w:tcW w:w="2693" w:type="dxa"/>
            <w:shd w:val="clear" w:color="auto" w:fill="auto"/>
          </w:tcPr>
          <w:p w14:paraId="5A6B5B5A"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檢送歲出第4款第10項決議（一）預算凍結書面報告，請查照案。</w:t>
            </w:r>
          </w:p>
        </w:tc>
        <w:tc>
          <w:tcPr>
            <w:tcW w:w="1701" w:type="dxa"/>
            <w:shd w:val="clear" w:color="auto" w:fill="auto"/>
          </w:tcPr>
          <w:p w14:paraId="639C7D0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0576A1D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332B4C1C"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1F139EF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4EC57C6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0942A17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5C38F31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r w:rsidR="00AE6B82" w:rsidRPr="009D6006" w14:paraId="3564250C" w14:textId="77777777" w:rsidTr="00EC13B7">
        <w:tc>
          <w:tcPr>
            <w:tcW w:w="709" w:type="dxa"/>
            <w:shd w:val="clear" w:color="auto" w:fill="auto"/>
          </w:tcPr>
          <w:p w14:paraId="4EA5141A"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b/>
                <w:color w:val="000000"/>
                <w:szCs w:val="22"/>
              </w:rPr>
              <w:t>1</w:t>
            </w:r>
            <w:r w:rsidRPr="002A20DA">
              <w:rPr>
                <w:rFonts w:ascii="標楷體" w:eastAsia="標楷體" w:hAnsi="標楷體" w:hint="eastAsia"/>
                <w:b/>
                <w:color w:val="000000"/>
                <w:szCs w:val="22"/>
              </w:rPr>
              <w:t>7</w:t>
            </w:r>
          </w:p>
        </w:tc>
        <w:tc>
          <w:tcPr>
            <w:tcW w:w="2693" w:type="dxa"/>
            <w:shd w:val="clear" w:color="auto" w:fill="auto"/>
          </w:tcPr>
          <w:p w14:paraId="2E010DDA"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司法院函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檢送歲出第4款第10項決議（二）預算凍結書面報告，請查照案。</w:t>
            </w:r>
          </w:p>
        </w:tc>
        <w:tc>
          <w:tcPr>
            <w:tcW w:w="1701" w:type="dxa"/>
            <w:shd w:val="clear" w:color="auto" w:fill="auto"/>
          </w:tcPr>
          <w:p w14:paraId="797D26F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司法院 111.04.08 </w:t>
            </w:r>
          </w:p>
          <w:p w14:paraId="514C58C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78F680C3"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5" w:type="dxa"/>
            <w:shd w:val="clear" w:color="auto" w:fill="auto"/>
          </w:tcPr>
          <w:p w14:paraId="23B6BB1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本會111.5.25</w:t>
            </w:r>
          </w:p>
          <w:p w14:paraId="3433495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(10-5-21）准予備查，提報院會</w:t>
            </w:r>
            <w:r w:rsidRPr="009D6006">
              <w:rPr>
                <w:rFonts w:ascii="標楷體" w:eastAsia="標楷體" w:hAnsi="標楷體"/>
                <w:spacing w:val="-10"/>
                <w:kern w:val="0"/>
                <w:szCs w:val="22"/>
              </w:rPr>
              <w:t>。</w:t>
            </w:r>
          </w:p>
          <w:p w14:paraId="2E90E04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9</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23</w:t>
            </w:r>
          </w:p>
          <w:p w14:paraId="06F9BA1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w:t>
            </w:r>
            <w:r w:rsidRPr="009D6006">
              <w:rPr>
                <w:rFonts w:ascii="標楷體" w:eastAsia="標楷體" w:hAnsi="標楷體" w:hint="eastAsia"/>
                <w:spacing w:val="-10"/>
                <w:kern w:val="0"/>
                <w:szCs w:val="22"/>
              </w:rPr>
              <w:t>)准予備查。</w:t>
            </w:r>
          </w:p>
        </w:tc>
      </w:tr>
    </w:tbl>
    <w:p w14:paraId="5DEE1566" w14:textId="77777777" w:rsidR="00AE6B82" w:rsidRPr="002A20DA" w:rsidRDefault="00AE6B82" w:rsidP="00D96730">
      <w:pPr>
        <w:keepNext/>
        <w:spacing w:beforeLines="100" w:before="360" w:afterLines="100" w:after="360" w:line="260" w:lineRule="exact"/>
        <w:ind w:firstLineChars="759" w:firstLine="2127"/>
        <w:outlineLvl w:val="2"/>
        <w:rPr>
          <w:rFonts w:ascii="標楷體" w:eastAsia="標楷體" w:hAnsi="標楷體"/>
          <w:b/>
          <w:sz w:val="28"/>
          <w:szCs w:val="28"/>
        </w:rPr>
      </w:pPr>
      <w:r w:rsidRPr="002A20DA">
        <w:rPr>
          <w:rFonts w:ascii="標楷體" w:eastAsia="標楷體" w:hAnsi="標楷體"/>
          <w:b/>
          <w:sz w:val="28"/>
          <w:szCs w:val="28"/>
        </w:rPr>
        <w:t>(</w:t>
      </w:r>
      <w:r w:rsidRPr="002A20DA">
        <w:rPr>
          <w:rFonts w:ascii="標楷體" w:eastAsia="標楷體" w:hAnsi="標楷體" w:hint="eastAsia"/>
          <w:b/>
          <w:sz w:val="28"/>
          <w:szCs w:val="28"/>
        </w:rPr>
        <w:t>五)</w:t>
      </w:r>
      <w:r w:rsidRPr="002A20DA">
        <w:rPr>
          <w:rFonts w:ascii="標楷體" w:eastAsia="標楷體" w:hAnsi="標楷體"/>
          <w:b/>
          <w:sz w:val="28"/>
          <w:szCs w:val="28"/>
        </w:rPr>
        <w:t>考試院</w:t>
      </w:r>
      <w:r w:rsidRPr="002A20DA">
        <w:rPr>
          <w:rFonts w:ascii="標楷體" w:eastAsia="標楷體" w:hAnsi="標楷體" w:hint="eastAsia"/>
          <w:b/>
          <w:sz w:val="28"/>
          <w:szCs w:val="28"/>
        </w:rPr>
        <w:t>21</w:t>
      </w:r>
      <w:r w:rsidRPr="002A20DA">
        <w:rPr>
          <w:rFonts w:ascii="標楷體" w:eastAsia="標楷體" w:hAnsi="標楷體"/>
          <w:b/>
          <w:sz w:val="28"/>
          <w:szCs w:val="28"/>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E6B82" w:rsidRPr="002A20DA" w14:paraId="7279B884" w14:textId="77777777" w:rsidTr="00EC13B7">
        <w:tc>
          <w:tcPr>
            <w:tcW w:w="656" w:type="dxa"/>
            <w:shd w:val="clear" w:color="auto" w:fill="auto"/>
          </w:tcPr>
          <w:p w14:paraId="11B7D44E"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序號</w:t>
            </w:r>
          </w:p>
        </w:tc>
        <w:tc>
          <w:tcPr>
            <w:tcW w:w="2694" w:type="dxa"/>
            <w:shd w:val="clear" w:color="auto" w:fill="auto"/>
          </w:tcPr>
          <w:p w14:paraId="54587D8A"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議案名稱</w:t>
            </w:r>
          </w:p>
        </w:tc>
        <w:tc>
          <w:tcPr>
            <w:tcW w:w="1701" w:type="dxa"/>
            <w:shd w:val="clear" w:color="auto" w:fill="auto"/>
          </w:tcPr>
          <w:p w14:paraId="61D502BA" w14:textId="77777777" w:rsidR="00AE6B82" w:rsidRPr="002A20DA" w:rsidRDefault="00AE6B82"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2A20DA">
              <w:rPr>
                <w:rFonts w:ascii="標楷體" w:eastAsia="標楷體" w:hAnsi="標楷體"/>
                <w:b/>
                <w:color w:val="000000"/>
                <w:spacing w:val="-20"/>
                <w:szCs w:val="22"/>
              </w:rPr>
              <w:t>提案機關、院會交付日期(會次)</w:t>
            </w:r>
          </w:p>
        </w:tc>
        <w:tc>
          <w:tcPr>
            <w:tcW w:w="1701" w:type="dxa"/>
            <w:shd w:val="clear" w:color="auto" w:fill="auto"/>
          </w:tcPr>
          <w:p w14:paraId="43D6937B"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交付</w:t>
            </w:r>
            <w:r w:rsidRPr="002A20DA">
              <w:rPr>
                <w:rFonts w:ascii="標楷體" w:eastAsia="標楷體" w:hAnsi="標楷體"/>
                <w:b/>
                <w:color w:val="000000"/>
                <w:spacing w:val="-20"/>
                <w:szCs w:val="22"/>
                <w:lang w:eastAsia="ko-KR"/>
              </w:rPr>
              <w:t>委員會</w:t>
            </w:r>
          </w:p>
        </w:tc>
        <w:tc>
          <w:tcPr>
            <w:tcW w:w="1984" w:type="dxa"/>
            <w:shd w:val="clear" w:color="auto" w:fill="auto"/>
          </w:tcPr>
          <w:p w14:paraId="19E49D78" w14:textId="15B711E9" w:rsidR="00AE6B82" w:rsidRPr="002A20DA"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AE6B82" w:rsidRPr="002A20DA" w14:paraId="104FFE6D" w14:textId="77777777" w:rsidTr="00EC13B7">
        <w:tc>
          <w:tcPr>
            <w:tcW w:w="656" w:type="dxa"/>
            <w:shd w:val="clear" w:color="auto" w:fill="auto"/>
          </w:tcPr>
          <w:p w14:paraId="42A89B6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w:t>
            </w:r>
          </w:p>
        </w:tc>
        <w:tc>
          <w:tcPr>
            <w:tcW w:w="2694" w:type="dxa"/>
            <w:shd w:val="clear" w:color="auto" w:fill="auto"/>
          </w:tcPr>
          <w:p w14:paraId="595FD859"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考試院函，為111年度中央政府總預算決議，檢送凍結該院「一般行政」500萬元書面報告，請查照案。</w:t>
            </w:r>
          </w:p>
        </w:tc>
        <w:tc>
          <w:tcPr>
            <w:tcW w:w="1701" w:type="dxa"/>
            <w:shd w:val="clear" w:color="auto" w:fill="auto"/>
          </w:tcPr>
          <w:p w14:paraId="4CFBC52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考試院 111.04.01 </w:t>
            </w:r>
          </w:p>
          <w:p w14:paraId="71C7DF9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（10-5-6）</w:t>
            </w:r>
          </w:p>
        </w:tc>
        <w:tc>
          <w:tcPr>
            <w:tcW w:w="1701" w:type="dxa"/>
            <w:shd w:val="clear" w:color="auto" w:fill="auto"/>
          </w:tcPr>
          <w:p w14:paraId="1BDA271C"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B1B22E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7B17E26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5E561A8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2844B06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6E2FD62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3C3675B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12DC8E70" w14:textId="77777777" w:rsidTr="00EC13B7">
        <w:tc>
          <w:tcPr>
            <w:tcW w:w="656" w:type="dxa"/>
            <w:shd w:val="clear" w:color="auto" w:fill="auto"/>
          </w:tcPr>
          <w:p w14:paraId="67E04D7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p>
        </w:tc>
        <w:tc>
          <w:tcPr>
            <w:tcW w:w="2694" w:type="dxa"/>
            <w:shd w:val="clear" w:color="auto" w:fill="auto"/>
          </w:tcPr>
          <w:p w14:paraId="230A004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考試院函，為111年度中央政府總預算決議，檢送凍結該院「議事業務」10％專案報告，請查照案。</w:t>
            </w:r>
          </w:p>
        </w:tc>
        <w:tc>
          <w:tcPr>
            <w:tcW w:w="1701" w:type="dxa"/>
            <w:shd w:val="clear" w:color="auto" w:fill="auto"/>
          </w:tcPr>
          <w:p w14:paraId="51B9FA1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考試院 111.04.01 </w:t>
            </w:r>
          </w:p>
          <w:p w14:paraId="66BC0AB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（10-5-6）</w:t>
            </w:r>
          </w:p>
        </w:tc>
        <w:tc>
          <w:tcPr>
            <w:tcW w:w="1701" w:type="dxa"/>
            <w:shd w:val="clear" w:color="auto" w:fill="auto"/>
          </w:tcPr>
          <w:p w14:paraId="56F3D77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639DA08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31256DD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(10-6-8)報告及詢答完畢，另定期繼續審查。</w:t>
            </w:r>
          </w:p>
          <w:p w14:paraId="03F4579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4FD0AD9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(10-6-11)准予動支，提報院會</w:t>
            </w:r>
            <w:r w:rsidRPr="009D6006">
              <w:rPr>
                <w:rFonts w:ascii="標楷體" w:eastAsia="標楷體" w:hAnsi="標楷體"/>
                <w:spacing w:val="-10"/>
                <w:kern w:val="0"/>
                <w:szCs w:val="22"/>
              </w:rPr>
              <w:t>。</w:t>
            </w:r>
          </w:p>
          <w:p w14:paraId="13A172F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33C4758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304B1BA2" w14:textId="77777777" w:rsidTr="00EC13B7">
        <w:tc>
          <w:tcPr>
            <w:tcW w:w="656" w:type="dxa"/>
            <w:shd w:val="clear" w:color="auto" w:fill="auto"/>
          </w:tcPr>
          <w:p w14:paraId="3251177C"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3</w:t>
            </w:r>
          </w:p>
        </w:tc>
        <w:tc>
          <w:tcPr>
            <w:tcW w:w="2694" w:type="dxa"/>
            <w:shd w:val="clear" w:color="auto" w:fill="auto"/>
          </w:tcPr>
          <w:p w14:paraId="6BFEBDB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考試院函，為111年度中央政府總預算決議，檢送凍結該院「法制業務」項下「法制作業及法規編印」5萬元書面報告，請查照案。</w:t>
            </w:r>
          </w:p>
        </w:tc>
        <w:tc>
          <w:tcPr>
            <w:tcW w:w="1701" w:type="dxa"/>
            <w:shd w:val="clear" w:color="auto" w:fill="auto"/>
          </w:tcPr>
          <w:p w14:paraId="26C2301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考試院 111.04.01 </w:t>
            </w:r>
          </w:p>
          <w:p w14:paraId="02BBA4D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（10-5-6）</w:t>
            </w:r>
          </w:p>
        </w:tc>
        <w:tc>
          <w:tcPr>
            <w:tcW w:w="1701" w:type="dxa"/>
            <w:shd w:val="clear" w:color="auto" w:fill="auto"/>
          </w:tcPr>
          <w:p w14:paraId="73AEC42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2A92C4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7F13505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22FD0EB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6129591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0A4AC6E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71BE658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568F56C5" w14:textId="77777777" w:rsidTr="00EC13B7">
        <w:tc>
          <w:tcPr>
            <w:tcW w:w="656" w:type="dxa"/>
            <w:shd w:val="clear" w:color="auto" w:fill="auto"/>
          </w:tcPr>
          <w:p w14:paraId="4C6FD2E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4</w:t>
            </w:r>
          </w:p>
        </w:tc>
        <w:tc>
          <w:tcPr>
            <w:tcW w:w="2694" w:type="dxa"/>
            <w:shd w:val="clear" w:color="auto" w:fill="auto"/>
          </w:tcPr>
          <w:p w14:paraId="78FB5CA1"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考試院函，為111年度中央政府總預算決議，檢送凍結該院「施政業務</w:t>
            </w:r>
            <w:r w:rsidRPr="002A20DA">
              <w:rPr>
                <w:rFonts w:ascii="標楷體" w:eastAsia="標楷體" w:hAnsi="標楷體"/>
                <w:color w:val="000000"/>
                <w:kern w:val="0"/>
                <w:szCs w:val="22"/>
              </w:rPr>
              <w:lastRenderedPageBreak/>
              <w:t>及督導」30萬元書面報告，請查照案。</w:t>
            </w:r>
          </w:p>
        </w:tc>
        <w:tc>
          <w:tcPr>
            <w:tcW w:w="1701" w:type="dxa"/>
            <w:shd w:val="clear" w:color="auto" w:fill="auto"/>
          </w:tcPr>
          <w:p w14:paraId="5E1D95D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考試院 111.04.01 </w:t>
            </w:r>
          </w:p>
          <w:p w14:paraId="3009E44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（10-5-6）</w:t>
            </w:r>
          </w:p>
        </w:tc>
        <w:tc>
          <w:tcPr>
            <w:tcW w:w="1701" w:type="dxa"/>
            <w:shd w:val="clear" w:color="auto" w:fill="auto"/>
          </w:tcPr>
          <w:p w14:paraId="0687076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532E5B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0CA2556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w:t>
            </w:r>
            <w:r w:rsidRPr="009D6006">
              <w:rPr>
                <w:rFonts w:ascii="標楷體" w:eastAsia="標楷體" w:hAnsi="標楷體" w:hint="eastAsia"/>
                <w:spacing w:val="-10"/>
                <w:kern w:val="0"/>
                <w:szCs w:val="22"/>
              </w:rPr>
              <w:lastRenderedPageBreak/>
              <w:t>續處理。</w:t>
            </w:r>
          </w:p>
          <w:p w14:paraId="4AB3EAD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73446B4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22D47FB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4D33C81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4D4AF7CE" w14:textId="77777777" w:rsidTr="00EC13B7">
        <w:tc>
          <w:tcPr>
            <w:tcW w:w="656" w:type="dxa"/>
            <w:shd w:val="clear" w:color="auto" w:fill="auto"/>
          </w:tcPr>
          <w:p w14:paraId="5400A38C"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5</w:t>
            </w:r>
          </w:p>
        </w:tc>
        <w:tc>
          <w:tcPr>
            <w:tcW w:w="2694" w:type="dxa"/>
            <w:shd w:val="clear" w:color="auto" w:fill="auto"/>
          </w:tcPr>
          <w:p w14:paraId="378F25D9"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hint="eastAsia"/>
                <w:color w:val="000000"/>
                <w:kern w:val="0"/>
                <w:szCs w:val="22"/>
              </w:rPr>
              <w:t>考選部函，為111年度中央政府總預算決議，檢送該部決議（一）預算凍結書面報告，請查照案。</w:t>
            </w:r>
          </w:p>
        </w:tc>
        <w:tc>
          <w:tcPr>
            <w:tcW w:w="1701" w:type="dxa"/>
            <w:shd w:val="clear" w:color="auto" w:fill="auto"/>
          </w:tcPr>
          <w:p w14:paraId="09ABD69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 xml:space="preserve">考選部 111.04.15 </w:t>
            </w:r>
          </w:p>
          <w:p w14:paraId="20533F4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（10-5-8）</w:t>
            </w:r>
          </w:p>
        </w:tc>
        <w:tc>
          <w:tcPr>
            <w:tcW w:w="1701" w:type="dxa"/>
            <w:shd w:val="clear" w:color="auto" w:fill="auto"/>
          </w:tcPr>
          <w:p w14:paraId="34AEA4DD"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司法及法制</w:t>
            </w:r>
          </w:p>
        </w:tc>
        <w:tc>
          <w:tcPr>
            <w:tcW w:w="1984" w:type="dxa"/>
            <w:shd w:val="clear" w:color="auto" w:fill="auto"/>
          </w:tcPr>
          <w:p w14:paraId="2AF77C9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7374741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559592A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66271E6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05C62F3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1F0CE8C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13425FB2" w14:textId="77777777" w:rsidTr="00EC13B7">
        <w:tc>
          <w:tcPr>
            <w:tcW w:w="656" w:type="dxa"/>
            <w:shd w:val="clear" w:color="auto" w:fill="auto"/>
          </w:tcPr>
          <w:p w14:paraId="501167B0"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6</w:t>
            </w:r>
          </w:p>
        </w:tc>
        <w:tc>
          <w:tcPr>
            <w:tcW w:w="2694" w:type="dxa"/>
            <w:shd w:val="clear" w:color="auto" w:fill="auto"/>
          </w:tcPr>
          <w:p w14:paraId="46C39A36"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hint="eastAsia"/>
                <w:color w:val="000000"/>
                <w:kern w:val="0"/>
                <w:szCs w:val="22"/>
              </w:rPr>
              <w:t>考選部函，為111年度中央政府總預算決議，檢送該部決議（二）第2目「考試業務研究改進」凍結50萬元書面報告，請查照案。</w:t>
            </w:r>
          </w:p>
        </w:tc>
        <w:tc>
          <w:tcPr>
            <w:tcW w:w="1701" w:type="dxa"/>
            <w:shd w:val="clear" w:color="auto" w:fill="auto"/>
          </w:tcPr>
          <w:p w14:paraId="58FFEA3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 xml:space="preserve">考選部 111.04.15 </w:t>
            </w:r>
          </w:p>
          <w:p w14:paraId="6CC8858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（10-5-8）</w:t>
            </w:r>
          </w:p>
        </w:tc>
        <w:tc>
          <w:tcPr>
            <w:tcW w:w="1701" w:type="dxa"/>
            <w:shd w:val="clear" w:color="auto" w:fill="auto"/>
          </w:tcPr>
          <w:p w14:paraId="63B7BEE5"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司法及法制</w:t>
            </w:r>
          </w:p>
        </w:tc>
        <w:tc>
          <w:tcPr>
            <w:tcW w:w="1984" w:type="dxa"/>
            <w:shd w:val="clear" w:color="auto" w:fill="auto"/>
          </w:tcPr>
          <w:p w14:paraId="1B23473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336FAB4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5E0B63C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76002CC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7FC2937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669F95C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69A16D4B" w14:textId="77777777" w:rsidTr="00EC13B7">
        <w:tc>
          <w:tcPr>
            <w:tcW w:w="656" w:type="dxa"/>
            <w:shd w:val="clear" w:color="auto" w:fill="auto"/>
          </w:tcPr>
          <w:p w14:paraId="745DE60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7</w:t>
            </w:r>
          </w:p>
        </w:tc>
        <w:tc>
          <w:tcPr>
            <w:tcW w:w="2694" w:type="dxa"/>
            <w:shd w:val="clear" w:color="auto" w:fill="auto"/>
          </w:tcPr>
          <w:p w14:paraId="514FC8B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hint="eastAsia"/>
                <w:color w:val="000000"/>
                <w:kern w:val="0"/>
                <w:szCs w:val="22"/>
              </w:rPr>
              <w:t>考選部函，為111年度中央政府總預算決議，檢送該部決議（三）預算凍結書面報告，請查照案。</w:t>
            </w:r>
          </w:p>
        </w:tc>
        <w:tc>
          <w:tcPr>
            <w:tcW w:w="1701" w:type="dxa"/>
            <w:shd w:val="clear" w:color="auto" w:fill="auto"/>
          </w:tcPr>
          <w:p w14:paraId="7CD399F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 xml:space="preserve">考選部 111.04.15 </w:t>
            </w:r>
          </w:p>
          <w:p w14:paraId="5CC5E31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（10-5-8）</w:t>
            </w:r>
          </w:p>
        </w:tc>
        <w:tc>
          <w:tcPr>
            <w:tcW w:w="1701" w:type="dxa"/>
            <w:shd w:val="clear" w:color="auto" w:fill="auto"/>
          </w:tcPr>
          <w:p w14:paraId="2EA5745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司法及法制</w:t>
            </w:r>
          </w:p>
        </w:tc>
        <w:tc>
          <w:tcPr>
            <w:tcW w:w="1984" w:type="dxa"/>
            <w:shd w:val="clear" w:color="auto" w:fill="auto"/>
          </w:tcPr>
          <w:p w14:paraId="1C6E2EE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4A09942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6C85864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597CC05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21EB70C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6052F58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4AB05B8D" w14:textId="77777777" w:rsidTr="00EC13B7">
        <w:tc>
          <w:tcPr>
            <w:tcW w:w="656" w:type="dxa"/>
            <w:shd w:val="clear" w:color="auto" w:fill="auto"/>
          </w:tcPr>
          <w:p w14:paraId="70EAB3C1"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8</w:t>
            </w:r>
          </w:p>
        </w:tc>
        <w:tc>
          <w:tcPr>
            <w:tcW w:w="2694" w:type="dxa"/>
            <w:shd w:val="clear" w:color="auto" w:fill="auto"/>
          </w:tcPr>
          <w:p w14:paraId="76FEE75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為111年度中央政府總預算決議，檢送該部決議（一）凍結「基本行政工作維持」中「業務費」之「國外旅費」30％書面報告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2BFD50D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301415E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0D996D8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20AA9E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7E24098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478E9CB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451F117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53EECFA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0BA16BC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25DC9B3E" w14:textId="77777777" w:rsidTr="00EC13B7">
        <w:tc>
          <w:tcPr>
            <w:tcW w:w="656" w:type="dxa"/>
            <w:shd w:val="clear" w:color="auto" w:fill="auto"/>
          </w:tcPr>
          <w:p w14:paraId="6AB51B25"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9</w:t>
            </w:r>
          </w:p>
        </w:tc>
        <w:tc>
          <w:tcPr>
            <w:tcW w:w="2694" w:type="dxa"/>
            <w:shd w:val="clear" w:color="auto" w:fill="auto"/>
          </w:tcPr>
          <w:p w14:paraId="40DF3C00"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為111年度中央政府總預算決議，檢送該部決議（二）凍結「人事法制及銓敘」100萬元書面報告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4F0D928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56BA5C2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466DC5E4"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7C4D9C7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4879270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(10-6-8)報告及詢答完畢，另定期繼續審查。</w:t>
            </w:r>
          </w:p>
          <w:p w14:paraId="6ADAF34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6CB3224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(10-6-11)准予動支，提報院會</w:t>
            </w:r>
            <w:r w:rsidRPr="009D6006">
              <w:rPr>
                <w:rFonts w:ascii="標楷體" w:eastAsia="標楷體" w:hAnsi="標楷體"/>
                <w:spacing w:val="-10"/>
                <w:kern w:val="0"/>
                <w:szCs w:val="22"/>
              </w:rPr>
              <w:t>。</w:t>
            </w:r>
          </w:p>
          <w:p w14:paraId="2F3644C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4FF9311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38D2B953" w14:textId="77777777" w:rsidTr="00EC13B7">
        <w:tc>
          <w:tcPr>
            <w:tcW w:w="656" w:type="dxa"/>
            <w:shd w:val="clear" w:color="auto" w:fill="auto"/>
          </w:tcPr>
          <w:p w14:paraId="1B3C5E3C"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10</w:t>
            </w:r>
          </w:p>
        </w:tc>
        <w:tc>
          <w:tcPr>
            <w:tcW w:w="2694" w:type="dxa"/>
            <w:shd w:val="clear" w:color="auto" w:fill="auto"/>
          </w:tcPr>
          <w:p w14:paraId="75F7ECE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為111年度中央政府總預算決議，檢送該部決議（三）凍結「一般建築及設備」100萬元書面報告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434924B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6812CB4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340E8A70"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CE1C46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6C3780F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285BB21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60CBE9E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09D9430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6EEDEE0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5B3A4C71" w14:textId="77777777" w:rsidTr="00EC13B7">
        <w:tc>
          <w:tcPr>
            <w:tcW w:w="656" w:type="dxa"/>
            <w:shd w:val="clear" w:color="auto" w:fill="auto"/>
          </w:tcPr>
          <w:p w14:paraId="071C7302"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11</w:t>
            </w:r>
          </w:p>
        </w:tc>
        <w:tc>
          <w:tcPr>
            <w:tcW w:w="2694" w:type="dxa"/>
            <w:shd w:val="clear" w:color="auto" w:fill="auto"/>
          </w:tcPr>
          <w:p w14:paraId="6974BCA3"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為111年度中央政府總預算決議，檢送該部決議（四）凍結「補助公教人員保險事務經費」50萬元書面報告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3E7599C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409A061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6FE9930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6EBA3D1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79C7B67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7DB0A65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7CEB063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5F5B44E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4B6E22C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1ED66D8F" w14:textId="77777777" w:rsidTr="00EC13B7">
        <w:tc>
          <w:tcPr>
            <w:tcW w:w="656" w:type="dxa"/>
            <w:shd w:val="clear" w:color="auto" w:fill="auto"/>
          </w:tcPr>
          <w:p w14:paraId="669384CF"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12</w:t>
            </w:r>
          </w:p>
        </w:tc>
        <w:tc>
          <w:tcPr>
            <w:tcW w:w="2694" w:type="dxa"/>
            <w:shd w:val="clear" w:color="auto" w:fill="auto"/>
          </w:tcPr>
          <w:p w14:paraId="445AD968"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為111年度中央政府總預算決議，檢送該部決議（五）凍結「公務人員退休撫卹管理」50萬元書面報告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6C534D4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52C9CA6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2267CC2F"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310E1F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39B9B81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24D831C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14F9C36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4CCB38A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2B48B1B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63ACDE20" w14:textId="77777777" w:rsidTr="00EC13B7">
        <w:tc>
          <w:tcPr>
            <w:tcW w:w="656" w:type="dxa"/>
            <w:shd w:val="clear" w:color="auto" w:fill="auto"/>
          </w:tcPr>
          <w:p w14:paraId="2335C3A5"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13</w:t>
            </w:r>
          </w:p>
        </w:tc>
        <w:tc>
          <w:tcPr>
            <w:tcW w:w="2694" w:type="dxa"/>
            <w:shd w:val="clear" w:color="auto" w:fill="auto"/>
          </w:tcPr>
          <w:p w14:paraId="609F495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為111年度中央政府總預算決議，檢送該部決議（六）凍結「公務人員退休業務」30萬元書面報告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59CE4602"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596090A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689AD712"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739BD6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1D241FE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0DE830E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1FA8641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1A15526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3F05FC4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74080932" w14:textId="77777777" w:rsidTr="00EC13B7">
        <w:tc>
          <w:tcPr>
            <w:tcW w:w="656" w:type="dxa"/>
            <w:shd w:val="clear" w:color="auto" w:fill="auto"/>
          </w:tcPr>
          <w:p w14:paraId="79D26EC1"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14</w:t>
            </w:r>
          </w:p>
        </w:tc>
        <w:tc>
          <w:tcPr>
            <w:tcW w:w="2694" w:type="dxa"/>
            <w:shd w:val="clear" w:color="auto" w:fill="auto"/>
          </w:tcPr>
          <w:p w14:paraId="18EFC8FE"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檢送該部決議（十二）凍結「資訊系統之使用及管理」50萬元書面報告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41FE7AE3"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5ABD1C4C"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23F3748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DCA9F4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714E76F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6A3780D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6E572D3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216DB6A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0903DB7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290C1E89" w14:textId="77777777" w:rsidTr="00EC13B7">
        <w:tc>
          <w:tcPr>
            <w:tcW w:w="656" w:type="dxa"/>
            <w:shd w:val="clear" w:color="auto" w:fill="auto"/>
          </w:tcPr>
          <w:p w14:paraId="7355CB9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15</w:t>
            </w:r>
          </w:p>
        </w:tc>
        <w:tc>
          <w:tcPr>
            <w:tcW w:w="2694" w:type="dxa"/>
            <w:shd w:val="clear" w:color="auto" w:fill="auto"/>
          </w:tcPr>
          <w:p w14:paraId="3D70F0AB"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w:t>
            </w:r>
            <w:r w:rsidRPr="002A20DA">
              <w:rPr>
                <w:rFonts w:ascii="標楷體" w:eastAsia="標楷體" w:hAnsi="標楷體"/>
                <w:color w:val="000000"/>
                <w:kern w:val="0"/>
                <w:szCs w:val="22"/>
              </w:rPr>
              <w:lastRenderedPageBreak/>
              <w:t>送該部決議（十三）凍結「資訊系統之使用及管理」中「業務費」之「資訊服務費」100萬元書面報告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30CDB79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 xml:space="preserve">銓敘部 111.04.08 </w:t>
            </w:r>
          </w:p>
          <w:p w14:paraId="5F093C8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（10-5-7）</w:t>
            </w:r>
          </w:p>
        </w:tc>
        <w:tc>
          <w:tcPr>
            <w:tcW w:w="1701" w:type="dxa"/>
            <w:shd w:val="clear" w:color="auto" w:fill="auto"/>
          </w:tcPr>
          <w:p w14:paraId="0062E52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lastRenderedPageBreak/>
              <w:t>司法及法制</w:t>
            </w:r>
          </w:p>
        </w:tc>
        <w:tc>
          <w:tcPr>
            <w:tcW w:w="1984" w:type="dxa"/>
            <w:shd w:val="clear" w:color="auto" w:fill="auto"/>
          </w:tcPr>
          <w:p w14:paraId="6CFCC24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37B727B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w:t>
            </w:r>
            <w:r w:rsidRPr="009D6006">
              <w:rPr>
                <w:rFonts w:ascii="標楷體" w:eastAsia="標楷體" w:hAnsi="標楷體" w:hint="eastAsia"/>
                <w:spacing w:val="-10"/>
                <w:kern w:val="0"/>
                <w:szCs w:val="22"/>
              </w:rPr>
              <w:lastRenderedPageBreak/>
              <w:t>續處理。</w:t>
            </w:r>
          </w:p>
          <w:p w14:paraId="087A952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61B9E46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337CCD7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55E40E7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0F09682B" w14:textId="77777777" w:rsidTr="00EC13B7">
        <w:tc>
          <w:tcPr>
            <w:tcW w:w="656" w:type="dxa"/>
            <w:shd w:val="clear" w:color="auto" w:fill="auto"/>
          </w:tcPr>
          <w:p w14:paraId="50FC3ACC"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16</w:t>
            </w:r>
          </w:p>
        </w:tc>
        <w:tc>
          <w:tcPr>
            <w:tcW w:w="2694" w:type="dxa"/>
            <w:shd w:val="clear" w:color="auto" w:fill="auto"/>
          </w:tcPr>
          <w:p w14:paraId="7768737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檢送該部決議（十四）凍結「資訊系統之使用及管理」200萬元書面報告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7D22370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24A6EF2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33306CC7"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63C9D31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50B3765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0FD0AE4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53BB4B4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534419C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769D63C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20AC24A3" w14:textId="77777777" w:rsidTr="00EC13B7">
        <w:tc>
          <w:tcPr>
            <w:tcW w:w="656" w:type="dxa"/>
            <w:shd w:val="clear" w:color="auto" w:fill="auto"/>
          </w:tcPr>
          <w:p w14:paraId="76EDE6CD"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17</w:t>
            </w:r>
          </w:p>
        </w:tc>
        <w:tc>
          <w:tcPr>
            <w:tcW w:w="2694" w:type="dxa"/>
            <w:shd w:val="clear" w:color="auto" w:fill="auto"/>
          </w:tcPr>
          <w:p w14:paraId="1FBC349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檢送該部決議（十五）凍結「人事法制及銓敘」5％書面報告</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請查照案。</w:t>
            </w:r>
          </w:p>
        </w:tc>
        <w:tc>
          <w:tcPr>
            <w:tcW w:w="1701" w:type="dxa"/>
            <w:shd w:val="clear" w:color="auto" w:fill="auto"/>
          </w:tcPr>
          <w:p w14:paraId="123B6BD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0CA4D3C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2A5E17E5"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76C77D6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5E23217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04C71FC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661BF24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592B9DA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794D2C5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7DCEB796" w14:textId="77777777" w:rsidTr="00EC13B7">
        <w:tc>
          <w:tcPr>
            <w:tcW w:w="656" w:type="dxa"/>
            <w:shd w:val="clear" w:color="auto" w:fill="auto"/>
          </w:tcPr>
          <w:p w14:paraId="070638E4"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18</w:t>
            </w:r>
          </w:p>
        </w:tc>
        <w:tc>
          <w:tcPr>
            <w:tcW w:w="2694" w:type="dxa"/>
            <w:shd w:val="clear" w:color="auto" w:fill="auto"/>
          </w:tcPr>
          <w:p w14:paraId="14C134B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檢送該部決議（十六）凍結「人事法制及銓敘」30萬元書面報告，請查照案。</w:t>
            </w:r>
          </w:p>
        </w:tc>
        <w:tc>
          <w:tcPr>
            <w:tcW w:w="1701" w:type="dxa"/>
            <w:shd w:val="clear" w:color="auto" w:fill="auto"/>
          </w:tcPr>
          <w:p w14:paraId="5310C2B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450B1669"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5567A6DD"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04795BA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3EBD062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74A2F29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2A42846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54DEE1C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058942A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5D7F491E" w14:textId="77777777" w:rsidTr="00EC13B7">
        <w:tc>
          <w:tcPr>
            <w:tcW w:w="656" w:type="dxa"/>
            <w:shd w:val="clear" w:color="auto" w:fill="auto"/>
          </w:tcPr>
          <w:p w14:paraId="7E65FB29"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19</w:t>
            </w:r>
          </w:p>
        </w:tc>
        <w:tc>
          <w:tcPr>
            <w:tcW w:w="2694" w:type="dxa"/>
            <w:shd w:val="clear" w:color="auto" w:fill="auto"/>
          </w:tcPr>
          <w:p w14:paraId="296155E6"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銓敘部函</w:t>
            </w:r>
            <w:r w:rsidRPr="002A20DA">
              <w:rPr>
                <w:rFonts w:ascii="標楷體" w:eastAsia="標楷體" w:hAnsi="標楷體" w:hint="eastAsia"/>
                <w:color w:val="000000"/>
                <w:kern w:val="0"/>
                <w:szCs w:val="22"/>
              </w:rPr>
              <w:t>，</w:t>
            </w:r>
            <w:r w:rsidRPr="002A20DA">
              <w:rPr>
                <w:rFonts w:ascii="標楷體" w:eastAsia="標楷體" w:hAnsi="標楷體"/>
                <w:color w:val="000000"/>
                <w:kern w:val="0"/>
                <w:szCs w:val="22"/>
              </w:rPr>
              <w:t>為111年度中央政府總預算決議，檢送預算凍結書面報告，請查照案。</w:t>
            </w:r>
          </w:p>
        </w:tc>
        <w:tc>
          <w:tcPr>
            <w:tcW w:w="1701" w:type="dxa"/>
            <w:shd w:val="clear" w:color="auto" w:fill="auto"/>
          </w:tcPr>
          <w:p w14:paraId="162911B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銓敘部 111.04.08 </w:t>
            </w:r>
          </w:p>
          <w:p w14:paraId="4099D6C0"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（10-5-7）</w:t>
            </w:r>
          </w:p>
        </w:tc>
        <w:tc>
          <w:tcPr>
            <w:tcW w:w="1701" w:type="dxa"/>
            <w:shd w:val="clear" w:color="auto" w:fill="auto"/>
          </w:tcPr>
          <w:p w14:paraId="68D056D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BA0872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786E494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(10-6-8)報告及詢答完畢，另定期繼續處理。</w:t>
            </w:r>
          </w:p>
          <w:p w14:paraId="39FDD54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59ECC0E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(10-6-11)准予備查，提報院會</w:t>
            </w:r>
            <w:r w:rsidRPr="009D6006">
              <w:rPr>
                <w:rFonts w:ascii="標楷體" w:eastAsia="標楷體" w:hAnsi="標楷體"/>
                <w:spacing w:val="-10"/>
                <w:kern w:val="0"/>
                <w:szCs w:val="22"/>
              </w:rPr>
              <w:t>。</w:t>
            </w:r>
          </w:p>
          <w:p w14:paraId="6AB1B7F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3EEB21D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5D8FC19C" w14:textId="77777777" w:rsidTr="00EC13B7">
        <w:tc>
          <w:tcPr>
            <w:tcW w:w="656" w:type="dxa"/>
            <w:shd w:val="clear" w:color="auto" w:fill="auto"/>
          </w:tcPr>
          <w:p w14:paraId="7724ED52"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20</w:t>
            </w:r>
          </w:p>
        </w:tc>
        <w:tc>
          <w:tcPr>
            <w:tcW w:w="2694" w:type="dxa"/>
            <w:shd w:val="clear" w:color="auto" w:fill="auto"/>
          </w:tcPr>
          <w:p w14:paraId="5EB1526E"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公務人員保障暨培訓委員會函，為111年度中央政府總預算決議，檢送決議（四）「保障暨培訓」預算凍結5萬元書面報告，請查照案。</w:t>
            </w:r>
          </w:p>
        </w:tc>
        <w:tc>
          <w:tcPr>
            <w:tcW w:w="1701" w:type="dxa"/>
            <w:shd w:val="clear" w:color="auto" w:fill="auto"/>
          </w:tcPr>
          <w:p w14:paraId="53B438AD"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公務人員保障暨培訓委員會 111.03.18 </w:t>
            </w:r>
          </w:p>
          <w:p w14:paraId="43EF2235"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（10-5-4）</w:t>
            </w:r>
          </w:p>
        </w:tc>
        <w:tc>
          <w:tcPr>
            <w:tcW w:w="1701" w:type="dxa"/>
            <w:shd w:val="clear" w:color="auto" w:fill="auto"/>
          </w:tcPr>
          <w:p w14:paraId="4800318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A7905E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1FE50E9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(10-6-8)報告及詢答完畢，另定期繼續審查。</w:t>
            </w:r>
          </w:p>
          <w:p w14:paraId="316CB6B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32AAE68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(10-6-11)准予動支，提報院會</w:t>
            </w:r>
            <w:r w:rsidRPr="009D6006">
              <w:rPr>
                <w:rFonts w:ascii="標楷體" w:eastAsia="標楷體" w:hAnsi="標楷體"/>
                <w:spacing w:val="-10"/>
                <w:kern w:val="0"/>
                <w:szCs w:val="22"/>
              </w:rPr>
              <w:t>。</w:t>
            </w:r>
          </w:p>
          <w:p w14:paraId="615B4EB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06E6C13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lastRenderedPageBreak/>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r w:rsidR="00AE6B82" w:rsidRPr="002A20DA" w14:paraId="5E6984FC" w14:textId="77777777" w:rsidTr="00EC13B7">
        <w:tc>
          <w:tcPr>
            <w:tcW w:w="656" w:type="dxa"/>
            <w:shd w:val="clear" w:color="auto" w:fill="auto"/>
          </w:tcPr>
          <w:p w14:paraId="6F035AF4"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21</w:t>
            </w:r>
          </w:p>
        </w:tc>
        <w:tc>
          <w:tcPr>
            <w:tcW w:w="2694" w:type="dxa"/>
            <w:shd w:val="clear" w:color="auto" w:fill="auto"/>
          </w:tcPr>
          <w:p w14:paraId="6EC5484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公務人員保障暨培訓委員會函，為111年度中央政府總預算決議，檢送決議（五）「保障暨培訓」預算凍結50萬元書面報告，請查照案。</w:t>
            </w:r>
          </w:p>
        </w:tc>
        <w:tc>
          <w:tcPr>
            <w:tcW w:w="1701" w:type="dxa"/>
            <w:shd w:val="clear" w:color="auto" w:fill="auto"/>
          </w:tcPr>
          <w:p w14:paraId="217400B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公務人員保障暨培訓委員會 111.03.18 </w:t>
            </w:r>
          </w:p>
          <w:p w14:paraId="7A4BB28F"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（10-5-4）</w:t>
            </w:r>
          </w:p>
        </w:tc>
        <w:tc>
          <w:tcPr>
            <w:tcW w:w="1701" w:type="dxa"/>
            <w:shd w:val="clear" w:color="auto" w:fill="auto"/>
          </w:tcPr>
          <w:p w14:paraId="450E087E"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hint="eastAsia"/>
                <w:color w:val="000000"/>
                <w:kern w:val="0"/>
                <w:szCs w:val="22"/>
              </w:rPr>
              <w:t>司法及法制</w:t>
            </w:r>
          </w:p>
        </w:tc>
        <w:tc>
          <w:tcPr>
            <w:tcW w:w="1984" w:type="dxa"/>
            <w:shd w:val="clear" w:color="auto" w:fill="auto"/>
          </w:tcPr>
          <w:p w14:paraId="46689D0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111.10.20</w:t>
            </w:r>
          </w:p>
          <w:p w14:paraId="365C9B1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(10-6-8)報告及詢答完畢，另定期繼續審查。</w:t>
            </w:r>
          </w:p>
          <w:p w14:paraId="19B685C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2.本會111.11.2</w:t>
            </w:r>
          </w:p>
          <w:p w14:paraId="0A3683D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(10-6-11)准予動支，提報院會</w:t>
            </w:r>
            <w:r w:rsidRPr="009D6006">
              <w:rPr>
                <w:rFonts w:ascii="標楷體" w:eastAsia="標楷體" w:hAnsi="標楷體"/>
                <w:spacing w:val="-10"/>
                <w:kern w:val="0"/>
                <w:szCs w:val="22"/>
              </w:rPr>
              <w:t>。</w:t>
            </w:r>
          </w:p>
          <w:p w14:paraId="686C046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w:t>
            </w:r>
            <w:r w:rsidRPr="009D6006">
              <w:rPr>
                <w:rFonts w:ascii="標楷體" w:eastAsia="標楷體" w:hAnsi="標楷體"/>
                <w:spacing w:val="-10"/>
                <w:kern w:val="0"/>
                <w:szCs w:val="22"/>
              </w:rPr>
              <w:t>.</w:t>
            </w:r>
            <w:r w:rsidRPr="009D6006">
              <w:rPr>
                <w:rFonts w:ascii="標楷體" w:eastAsia="標楷體" w:hAnsi="標楷體" w:hint="eastAsia"/>
                <w:spacing w:val="-10"/>
                <w:kern w:val="0"/>
                <w:szCs w:val="22"/>
              </w:rPr>
              <w:t>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.11.18</w:t>
            </w:r>
          </w:p>
          <w:p w14:paraId="12F1B99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-8)准予備查。</w:t>
            </w:r>
          </w:p>
        </w:tc>
      </w:tr>
    </w:tbl>
    <w:p w14:paraId="111F9B0E" w14:textId="77777777" w:rsidR="00AE6B82" w:rsidRPr="002A20DA" w:rsidRDefault="00AE6B82" w:rsidP="00D96730">
      <w:pPr>
        <w:keepNext/>
        <w:spacing w:beforeLines="100" w:before="360" w:afterLines="100" w:after="360" w:line="260" w:lineRule="exact"/>
        <w:ind w:firstLineChars="759" w:firstLine="2127"/>
        <w:outlineLvl w:val="2"/>
        <w:rPr>
          <w:rFonts w:ascii="標楷體" w:eastAsia="標楷體" w:hAnsi="標楷體"/>
          <w:b/>
          <w:sz w:val="28"/>
          <w:szCs w:val="28"/>
        </w:rPr>
      </w:pPr>
      <w:r w:rsidRPr="002A20DA">
        <w:rPr>
          <w:rFonts w:ascii="標楷體" w:eastAsia="標楷體" w:hAnsi="標楷體"/>
          <w:b/>
          <w:sz w:val="28"/>
          <w:szCs w:val="28"/>
        </w:rPr>
        <w:t>(</w:t>
      </w:r>
      <w:r w:rsidRPr="002A20DA">
        <w:rPr>
          <w:rFonts w:ascii="標楷體" w:eastAsia="標楷體" w:hAnsi="標楷體" w:hint="eastAsia"/>
          <w:b/>
          <w:sz w:val="28"/>
          <w:szCs w:val="28"/>
        </w:rPr>
        <w:t>六)</w:t>
      </w:r>
      <w:r w:rsidRPr="002A20DA">
        <w:rPr>
          <w:rFonts w:ascii="標楷體" w:eastAsia="標楷體" w:hAnsi="標楷體"/>
          <w:b/>
          <w:sz w:val="28"/>
          <w:szCs w:val="28"/>
        </w:rPr>
        <w:t>監察院</w:t>
      </w:r>
      <w:r w:rsidRPr="002A20DA">
        <w:rPr>
          <w:rFonts w:ascii="標楷體" w:eastAsia="標楷體" w:hAnsi="標楷體" w:hint="eastAsia"/>
          <w:b/>
          <w:sz w:val="28"/>
          <w:szCs w:val="28"/>
        </w:rPr>
        <w:t>8</w:t>
      </w:r>
      <w:r w:rsidRPr="002A20DA">
        <w:rPr>
          <w:rFonts w:ascii="標楷體" w:eastAsia="標楷體" w:hAnsi="標楷體"/>
          <w:b/>
          <w:sz w:val="28"/>
          <w:szCs w:val="28"/>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E6B82" w:rsidRPr="002A20DA" w14:paraId="6FEC7ED6" w14:textId="77777777" w:rsidTr="00EC13B7">
        <w:tc>
          <w:tcPr>
            <w:tcW w:w="656" w:type="dxa"/>
            <w:shd w:val="clear" w:color="auto" w:fill="auto"/>
          </w:tcPr>
          <w:p w14:paraId="048C23F5"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序號</w:t>
            </w:r>
          </w:p>
        </w:tc>
        <w:tc>
          <w:tcPr>
            <w:tcW w:w="2694" w:type="dxa"/>
            <w:shd w:val="clear" w:color="auto" w:fill="auto"/>
          </w:tcPr>
          <w:p w14:paraId="0F4C2681"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b/>
                <w:color w:val="000000"/>
                <w:spacing w:val="-20"/>
                <w:szCs w:val="22"/>
                <w:lang w:eastAsia="ko-KR"/>
              </w:rPr>
              <w:t>議案名稱</w:t>
            </w:r>
          </w:p>
        </w:tc>
        <w:tc>
          <w:tcPr>
            <w:tcW w:w="1701" w:type="dxa"/>
            <w:shd w:val="clear" w:color="auto" w:fill="auto"/>
          </w:tcPr>
          <w:p w14:paraId="776DD4B0" w14:textId="77777777" w:rsidR="00AE6B82" w:rsidRPr="002A20DA" w:rsidRDefault="00AE6B82" w:rsidP="00EC13B7">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2A20DA">
              <w:rPr>
                <w:rFonts w:ascii="標楷體" w:eastAsia="標楷體" w:hAnsi="標楷體"/>
                <w:b/>
                <w:color w:val="000000"/>
                <w:spacing w:val="-20"/>
                <w:szCs w:val="22"/>
              </w:rPr>
              <w:t>提案機關、院會交付日期(會次)</w:t>
            </w:r>
          </w:p>
        </w:tc>
        <w:tc>
          <w:tcPr>
            <w:tcW w:w="1701" w:type="dxa"/>
            <w:shd w:val="clear" w:color="auto" w:fill="auto"/>
          </w:tcPr>
          <w:p w14:paraId="4B855C1F" w14:textId="77777777" w:rsidR="00AE6B82" w:rsidRPr="002A20DA" w:rsidRDefault="00AE6B82"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A20DA">
              <w:rPr>
                <w:rFonts w:ascii="標楷體" w:eastAsia="標楷體" w:hAnsi="標楷體" w:hint="eastAsia"/>
                <w:b/>
                <w:color w:val="000000"/>
                <w:spacing w:val="-20"/>
                <w:szCs w:val="22"/>
              </w:rPr>
              <w:t>交付</w:t>
            </w:r>
            <w:r w:rsidRPr="002A20DA">
              <w:rPr>
                <w:rFonts w:ascii="標楷體" w:eastAsia="標楷體" w:hAnsi="標楷體"/>
                <w:b/>
                <w:color w:val="000000"/>
                <w:spacing w:val="-20"/>
                <w:szCs w:val="22"/>
                <w:lang w:eastAsia="ko-KR"/>
              </w:rPr>
              <w:t>委員會</w:t>
            </w:r>
          </w:p>
        </w:tc>
        <w:tc>
          <w:tcPr>
            <w:tcW w:w="1984" w:type="dxa"/>
            <w:shd w:val="clear" w:color="auto" w:fill="auto"/>
          </w:tcPr>
          <w:p w14:paraId="562BF896" w14:textId="54A5B53A" w:rsidR="00AE6B82" w:rsidRPr="002A20DA" w:rsidRDefault="00217131" w:rsidP="00EC13B7">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3443A2">
              <w:rPr>
                <w:rFonts w:ascii="標楷體" w:eastAsia="標楷體" w:hAnsi="標楷體" w:hint="eastAsia"/>
                <w:b/>
                <w:color w:val="000000"/>
                <w:spacing w:val="-20"/>
                <w:szCs w:val="22"/>
              </w:rPr>
              <w:t>審議</w:t>
            </w:r>
            <w:r w:rsidRPr="003443A2">
              <w:rPr>
                <w:rFonts w:ascii="標楷體" w:eastAsia="標楷體" w:hAnsi="標楷體"/>
                <w:b/>
                <w:color w:val="000000"/>
                <w:spacing w:val="-20"/>
                <w:szCs w:val="22"/>
                <w:lang w:eastAsia="ko-KR"/>
              </w:rPr>
              <w:t>情形</w:t>
            </w:r>
          </w:p>
        </w:tc>
      </w:tr>
      <w:tr w:rsidR="00AE6B82" w:rsidRPr="009D6006" w14:paraId="3E0E3DCE" w14:textId="77777777" w:rsidTr="00EC13B7">
        <w:tc>
          <w:tcPr>
            <w:tcW w:w="656" w:type="dxa"/>
            <w:shd w:val="clear" w:color="auto" w:fill="auto"/>
          </w:tcPr>
          <w:p w14:paraId="5ECACA9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1</w:t>
            </w:r>
          </w:p>
        </w:tc>
        <w:tc>
          <w:tcPr>
            <w:tcW w:w="2694" w:type="dxa"/>
            <w:shd w:val="clear" w:color="auto" w:fill="auto"/>
          </w:tcPr>
          <w:p w14:paraId="24CB87AF"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監察院函，為111年度中央政府總預算決議，檢送決議（一）預算凍結書面報告，請查照案。</w:t>
            </w:r>
          </w:p>
        </w:tc>
        <w:tc>
          <w:tcPr>
            <w:tcW w:w="1701" w:type="dxa"/>
            <w:shd w:val="clear" w:color="auto" w:fill="auto"/>
          </w:tcPr>
          <w:p w14:paraId="2F210337"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2085292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2F8789CA"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7DBDEA1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79C9664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3E66161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6D6AA89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2FD30EE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4EEEE68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r w:rsidR="00AE6B82" w:rsidRPr="009D6006" w14:paraId="167BB645" w14:textId="77777777" w:rsidTr="00EC13B7">
        <w:tc>
          <w:tcPr>
            <w:tcW w:w="656" w:type="dxa"/>
            <w:shd w:val="clear" w:color="auto" w:fill="auto"/>
          </w:tcPr>
          <w:p w14:paraId="4365D83C"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2</w:t>
            </w:r>
          </w:p>
        </w:tc>
        <w:tc>
          <w:tcPr>
            <w:tcW w:w="2694" w:type="dxa"/>
            <w:shd w:val="clear" w:color="auto" w:fill="auto"/>
          </w:tcPr>
          <w:p w14:paraId="35254BD1"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監察院函，為111年度中央政府總預算決議，檢送決議（二）預算凍結書面報告，請查照案。</w:t>
            </w:r>
          </w:p>
        </w:tc>
        <w:tc>
          <w:tcPr>
            <w:tcW w:w="1701" w:type="dxa"/>
            <w:shd w:val="clear" w:color="auto" w:fill="auto"/>
          </w:tcPr>
          <w:p w14:paraId="72DA587B"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3D81526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25442798"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2AFBFB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6B59E27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725197B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3F353E7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78A9202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0B42A33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r w:rsidR="00AE6B82" w:rsidRPr="009D6006" w14:paraId="67B556F8" w14:textId="77777777" w:rsidTr="00EC13B7">
        <w:tc>
          <w:tcPr>
            <w:tcW w:w="656" w:type="dxa"/>
            <w:shd w:val="clear" w:color="auto" w:fill="auto"/>
          </w:tcPr>
          <w:p w14:paraId="230C2745"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3</w:t>
            </w:r>
          </w:p>
        </w:tc>
        <w:tc>
          <w:tcPr>
            <w:tcW w:w="2694" w:type="dxa"/>
            <w:shd w:val="clear" w:color="auto" w:fill="auto"/>
          </w:tcPr>
          <w:p w14:paraId="244B505E"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監察院函，為111年度中央政府總預算決議，檢送決議（三）預算凍結書面報告，請查照案。</w:t>
            </w:r>
          </w:p>
        </w:tc>
        <w:tc>
          <w:tcPr>
            <w:tcW w:w="1701" w:type="dxa"/>
            <w:shd w:val="clear" w:color="auto" w:fill="auto"/>
          </w:tcPr>
          <w:p w14:paraId="7856F8D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3B964ADE"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0FC307FC"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816002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0F10951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0A343A5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10AE20A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0327576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174FB3E7"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r w:rsidR="00AE6B82" w:rsidRPr="009D6006" w14:paraId="26228F2D" w14:textId="77777777" w:rsidTr="00EC13B7">
        <w:tc>
          <w:tcPr>
            <w:tcW w:w="656" w:type="dxa"/>
            <w:shd w:val="clear" w:color="auto" w:fill="auto"/>
          </w:tcPr>
          <w:p w14:paraId="32D665D3"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4</w:t>
            </w:r>
          </w:p>
        </w:tc>
        <w:tc>
          <w:tcPr>
            <w:tcW w:w="2694" w:type="dxa"/>
            <w:shd w:val="clear" w:color="auto" w:fill="auto"/>
          </w:tcPr>
          <w:p w14:paraId="660D218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監察院函，為111年度中央政府總預算決議，檢送決議（四）預算凍結書面報告，請查照案。</w:t>
            </w:r>
          </w:p>
        </w:tc>
        <w:tc>
          <w:tcPr>
            <w:tcW w:w="1701" w:type="dxa"/>
            <w:shd w:val="clear" w:color="auto" w:fill="auto"/>
          </w:tcPr>
          <w:p w14:paraId="20CCE62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6FA64E6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5A1A4591"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3CEBB39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3955F250"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313DB8F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27ED7D4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5CECB4D5"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7FE2429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r w:rsidR="00AE6B82" w:rsidRPr="009D6006" w14:paraId="09766B24" w14:textId="77777777" w:rsidTr="00EC13B7">
        <w:tc>
          <w:tcPr>
            <w:tcW w:w="656" w:type="dxa"/>
            <w:shd w:val="clear" w:color="auto" w:fill="auto"/>
          </w:tcPr>
          <w:p w14:paraId="16DB7ADB"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lastRenderedPageBreak/>
              <w:t>5</w:t>
            </w:r>
          </w:p>
        </w:tc>
        <w:tc>
          <w:tcPr>
            <w:tcW w:w="2694" w:type="dxa"/>
            <w:shd w:val="clear" w:color="auto" w:fill="auto"/>
          </w:tcPr>
          <w:p w14:paraId="7D04DE4D"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監察院函，為111年度中央政府總預算決議，檢送決議（五）預算凍結書面報告，請查照案。</w:t>
            </w:r>
          </w:p>
        </w:tc>
        <w:tc>
          <w:tcPr>
            <w:tcW w:w="1701" w:type="dxa"/>
            <w:shd w:val="clear" w:color="auto" w:fill="auto"/>
          </w:tcPr>
          <w:p w14:paraId="3ED1196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76C82768"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779CBA50"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52A480E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0BF10E4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39BDB22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3D676AE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437C6A92"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1711304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r w:rsidR="00AE6B82" w:rsidRPr="009D6006" w14:paraId="20AD7C96" w14:textId="77777777" w:rsidTr="00EC13B7">
        <w:tc>
          <w:tcPr>
            <w:tcW w:w="656" w:type="dxa"/>
            <w:shd w:val="clear" w:color="auto" w:fill="auto"/>
          </w:tcPr>
          <w:p w14:paraId="1EF8F8E8"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6</w:t>
            </w:r>
          </w:p>
        </w:tc>
        <w:tc>
          <w:tcPr>
            <w:tcW w:w="2694" w:type="dxa"/>
            <w:shd w:val="clear" w:color="auto" w:fill="auto"/>
          </w:tcPr>
          <w:p w14:paraId="507191EE"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監察院函，為111年度中央政府總預算決議，檢送決議（六）預算凍結書面報告，請查照案。</w:t>
            </w:r>
          </w:p>
        </w:tc>
        <w:tc>
          <w:tcPr>
            <w:tcW w:w="1701" w:type="dxa"/>
            <w:shd w:val="clear" w:color="auto" w:fill="auto"/>
          </w:tcPr>
          <w:p w14:paraId="2FF8336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5FD8A506"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153FB046"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475A1FC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678217E4"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04DB76A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72646D16"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11B9E59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23A8E03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r w:rsidR="00AE6B82" w:rsidRPr="009D6006" w14:paraId="7391D930" w14:textId="77777777" w:rsidTr="00EC13B7">
        <w:tc>
          <w:tcPr>
            <w:tcW w:w="656" w:type="dxa"/>
            <w:shd w:val="clear" w:color="auto" w:fill="auto"/>
          </w:tcPr>
          <w:p w14:paraId="3A915697"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7</w:t>
            </w:r>
          </w:p>
        </w:tc>
        <w:tc>
          <w:tcPr>
            <w:tcW w:w="2694" w:type="dxa"/>
            <w:shd w:val="clear" w:color="auto" w:fill="auto"/>
          </w:tcPr>
          <w:p w14:paraId="74B3BF5C"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監察院函，為111年度中央政府總預算決議，檢送決議（七）預算凍結書面報告，請查照案。</w:t>
            </w:r>
          </w:p>
        </w:tc>
        <w:tc>
          <w:tcPr>
            <w:tcW w:w="1701" w:type="dxa"/>
            <w:shd w:val="clear" w:color="auto" w:fill="auto"/>
          </w:tcPr>
          <w:p w14:paraId="2EC12AD4"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4394CAF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3E3BA8FE"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11CEFFC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4D363CAB"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34C256BF"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1E86A31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2E2AC088"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3928F6D3"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r w:rsidR="00AE6B82" w:rsidRPr="009D6006" w14:paraId="12E9D385" w14:textId="77777777" w:rsidTr="00EC13B7">
        <w:tc>
          <w:tcPr>
            <w:tcW w:w="656" w:type="dxa"/>
            <w:shd w:val="clear" w:color="auto" w:fill="auto"/>
          </w:tcPr>
          <w:p w14:paraId="3D45ECCA" w14:textId="77777777" w:rsidR="00AE6B82" w:rsidRPr="002A20DA" w:rsidRDefault="00AE6B82" w:rsidP="00EC13B7">
            <w:pPr>
              <w:kinsoku w:val="0"/>
              <w:topLinePunct/>
              <w:adjustRightInd w:val="0"/>
              <w:snapToGrid w:val="0"/>
              <w:spacing w:line="300" w:lineRule="exact"/>
              <w:jc w:val="center"/>
              <w:rPr>
                <w:rFonts w:ascii="標楷體" w:eastAsia="標楷體" w:hAnsi="標楷體"/>
                <w:b/>
                <w:color w:val="000000"/>
                <w:szCs w:val="22"/>
              </w:rPr>
            </w:pPr>
            <w:r w:rsidRPr="002A20DA">
              <w:rPr>
                <w:rFonts w:ascii="標楷體" w:eastAsia="標楷體" w:hAnsi="標楷體" w:hint="eastAsia"/>
                <w:b/>
                <w:color w:val="000000"/>
                <w:szCs w:val="22"/>
              </w:rPr>
              <w:t>8</w:t>
            </w:r>
          </w:p>
        </w:tc>
        <w:tc>
          <w:tcPr>
            <w:tcW w:w="2694" w:type="dxa"/>
            <w:shd w:val="clear" w:color="auto" w:fill="auto"/>
          </w:tcPr>
          <w:p w14:paraId="3E99E005" w14:textId="77777777" w:rsidR="00AE6B82" w:rsidRPr="002A20DA" w:rsidRDefault="00AE6B82" w:rsidP="00EC13B7">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A20DA">
              <w:rPr>
                <w:rFonts w:ascii="標楷體" w:eastAsia="標楷體" w:hAnsi="標楷體"/>
                <w:color w:val="000000"/>
                <w:kern w:val="0"/>
                <w:szCs w:val="22"/>
              </w:rPr>
              <w:t>監察院函，為111年度中央政府總預算決議，檢送決議（三十三）預算凍結書面報告，請查照案。</w:t>
            </w:r>
          </w:p>
        </w:tc>
        <w:tc>
          <w:tcPr>
            <w:tcW w:w="1701" w:type="dxa"/>
            <w:shd w:val="clear" w:color="auto" w:fill="auto"/>
          </w:tcPr>
          <w:p w14:paraId="3033E31A"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 xml:space="preserve">監察院 111.10.07 </w:t>
            </w:r>
          </w:p>
          <w:p w14:paraId="519C3AA1" w14:textId="77777777" w:rsidR="00AE6B82" w:rsidRPr="002A20DA" w:rsidRDefault="00AE6B82" w:rsidP="00EC13B7">
            <w:pPr>
              <w:kinsoku w:val="0"/>
              <w:topLinePunct/>
              <w:autoSpaceDE w:val="0"/>
              <w:autoSpaceDN w:val="0"/>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（10-6-3）</w:t>
            </w:r>
          </w:p>
        </w:tc>
        <w:tc>
          <w:tcPr>
            <w:tcW w:w="1701" w:type="dxa"/>
            <w:shd w:val="clear" w:color="auto" w:fill="auto"/>
          </w:tcPr>
          <w:p w14:paraId="718218B0" w14:textId="77777777" w:rsidR="00AE6B82" w:rsidRPr="002A20DA" w:rsidRDefault="00AE6B82" w:rsidP="00EC13B7">
            <w:pPr>
              <w:kinsoku w:val="0"/>
              <w:topLinePunct/>
              <w:adjustRightInd w:val="0"/>
              <w:snapToGrid w:val="0"/>
              <w:spacing w:line="300" w:lineRule="exact"/>
              <w:rPr>
                <w:rFonts w:ascii="標楷體" w:eastAsia="標楷體" w:hAnsi="標楷體"/>
                <w:color w:val="000000"/>
                <w:kern w:val="0"/>
                <w:szCs w:val="22"/>
              </w:rPr>
            </w:pPr>
            <w:r w:rsidRPr="002A20DA">
              <w:rPr>
                <w:rFonts w:ascii="標楷體" w:eastAsia="標楷體" w:hAnsi="標楷體"/>
                <w:color w:val="000000"/>
                <w:kern w:val="0"/>
                <w:szCs w:val="22"/>
              </w:rPr>
              <w:t>司法及法制</w:t>
            </w:r>
          </w:p>
        </w:tc>
        <w:tc>
          <w:tcPr>
            <w:tcW w:w="1984" w:type="dxa"/>
            <w:shd w:val="clear" w:color="auto" w:fill="auto"/>
          </w:tcPr>
          <w:p w14:paraId="26FA0EDA"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1.本會</w:t>
            </w:r>
            <w:r w:rsidRPr="009D6006">
              <w:rPr>
                <w:rFonts w:ascii="標楷體" w:eastAsia="標楷體" w:hAnsi="標楷體"/>
                <w:spacing w:val="-10"/>
                <w:kern w:val="0"/>
                <w:szCs w:val="22"/>
              </w:rPr>
              <w:t>111.11.</w:t>
            </w:r>
            <w:r w:rsidRPr="009D6006">
              <w:rPr>
                <w:rFonts w:ascii="標楷體" w:eastAsia="標楷體" w:hAnsi="標楷體" w:hint="eastAsia"/>
                <w:spacing w:val="-10"/>
                <w:kern w:val="0"/>
                <w:szCs w:val="22"/>
              </w:rPr>
              <w:t>7</w:t>
            </w:r>
          </w:p>
          <w:p w14:paraId="62187EDC"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(10-6-12)另定期繼續審查。</w:t>
            </w:r>
          </w:p>
          <w:p w14:paraId="60C7AA91"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2.本會111.11.30</w:t>
            </w:r>
          </w:p>
          <w:p w14:paraId="66E7650D"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(10-6-22)准予動支，提報院會。</w:t>
            </w:r>
          </w:p>
          <w:p w14:paraId="561C7E89"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3.院會1</w:t>
            </w:r>
            <w:r w:rsidRPr="009D6006">
              <w:rPr>
                <w:rFonts w:ascii="標楷體" w:eastAsia="標楷體" w:hAnsi="標楷體"/>
                <w:spacing w:val="-10"/>
                <w:kern w:val="0"/>
                <w:szCs w:val="22"/>
              </w:rPr>
              <w:t>11</w:t>
            </w:r>
            <w:r w:rsidRPr="009D6006">
              <w:rPr>
                <w:rFonts w:ascii="標楷體" w:eastAsia="標楷體" w:hAnsi="標楷體" w:hint="eastAsia"/>
                <w:spacing w:val="-10"/>
                <w:kern w:val="0"/>
                <w:szCs w:val="22"/>
              </w:rPr>
              <w:t>.12.9</w:t>
            </w:r>
          </w:p>
          <w:p w14:paraId="1E2F2D4E" w14:textId="77777777" w:rsidR="00AE6B82" w:rsidRPr="009D6006" w:rsidRDefault="00AE6B82" w:rsidP="00EC13B7">
            <w:pPr>
              <w:autoSpaceDE w:val="0"/>
              <w:autoSpaceDN w:val="0"/>
              <w:snapToGrid w:val="0"/>
              <w:spacing w:line="260" w:lineRule="exact"/>
              <w:rPr>
                <w:rFonts w:ascii="標楷體" w:eastAsia="標楷體" w:hAnsi="標楷體"/>
                <w:spacing w:val="-10"/>
                <w:kern w:val="0"/>
                <w:szCs w:val="22"/>
              </w:rPr>
            </w:pP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10</w:t>
            </w:r>
            <w:r w:rsidRPr="009D6006">
              <w:rPr>
                <w:rFonts w:ascii="標楷體" w:eastAsia="標楷體" w:hAnsi="標楷體" w:hint="eastAsia"/>
                <w:spacing w:val="-10"/>
                <w:kern w:val="0"/>
                <w:szCs w:val="22"/>
              </w:rPr>
              <w:t>-</w:t>
            </w:r>
            <w:r w:rsidRPr="009D6006">
              <w:rPr>
                <w:rFonts w:ascii="標楷體" w:eastAsia="標楷體" w:hAnsi="標楷體"/>
                <w:spacing w:val="-10"/>
                <w:kern w:val="0"/>
                <w:szCs w:val="22"/>
              </w:rPr>
              <w:t>6</w:t>
            </w:r>
            <w:r w:rsidRPr="009D6006">
              <w:rPr>
                <w:rFonts w:ascii="標楷體" w:eastAsia="標楷體" w:hAnsi="標楷體" w:hint="eastAsia"/>
                <w:spacing w:val="-10"/>
                <w:kern w:val="0"/>
                <w:szCs w:val="22"/>
              </w:rPr>
              <w:t>-11)准予備查。</w:t>
            </w:r>
          </w:p>
        </w:tc>
      </w:tr>
    </w:tbl>
    <w:p w14:paraId="2F64420D" w14:textId="77777777" w:rsidR="00AE6B82" w:rsidRPr="002A20DA" w:rsidRDefault="00AE6B82" w:rsidP="00EC13B7"/>
    <w:p w14:paraId="3446B10F" w14:textId="77777777" w:rsidR="00AE6B82" w:rsidRDefault="00AE6B82" w:rsidP="007015C7">
      <w:pPr>
        <w:pStyle w:val="2"/>
        <w:numPr>
          <w:ilvl w:val="0"/>
          <w:numId w:val="18"/>
        </w:numPr>
        <w:kinsoku w:val="0"/>
        <w:overflowPunct w:val="0"/>
        <w:spacing w:beforeLines="100" w:before="360" w:afterLines="100" w:after="360" w:line="260" w:lineRule="exact"/>
        <w:ind w:leftChars="0"/>
        <w:rPr>
          <w:rStyle w:val="af1"/>
          <w:rFonts w:ascii="標楷體" w:hAnsi="標楷體"/>
          <w:b/>
          <w:color w:val="000000" w:themeColor="text1"/>
          <w:szCs w:val="28"/>
          <w:u w:val="none"/>
        </w:rPr>
      </w:pPr>
      <w:r w:rsidRPr="002A20DA">
        <w:rPr>
          <w:rStyle w:val="af1"/>
          <w:rFonts w:ascii="標楷體" w:hAnsi="標楷體" w:hint="eastAsia"/>
          <w:b/>
          <w:color w:val="000000" w:themeColor="text1"/>
          <w:szCs w:val="28"/>
          <w:u w:val="none"/>
        </w:rPr>
        <w:t>行政命令案35案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AE6B82" w:rsidRPr="005042CE" w14:paraId="22E469DF" w14:textId="77777777" w:rsidTr="00EC13B7">
        <w:tc>
          <w:tcPr>
            <w:tcW w:w="709" w:type="dxa"/>
            <w:shd w:val="clear" w:color="auto" w:fill="auto"/>
          </w:tcPr>
          <w:p w14:paraId="1703591B" w14:textId="77777777" w:rsidR="00AE6B82" w:rsidRPr="005042CE" w:rsidRDefault="00AE6B82" w:rsidP="00EC13B7">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14:paraId="767E0D50" w14:textId="77777777" w:rsidR="00AE6B82" w:rsidRPr="005042CE" w:rsidRDefault="00AE6B82" w:rsidP="00EC13B7">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14:paraId="5CD1B238" w14:textId="77777777" w:rsidR="00AE6B82" w:rsidRPr="005042CE" w:rsidRDefault="00AE6B82" w:rsidP="00EC13B7">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14:paraId="73AEE76E" w14:textId="77777777" w:rsidR="00AE6B82" w:rsidRPr="005042CE" w:rsidRDefault="00AE6B82" w:rsidP="00EC13B7">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14:paraId="17F1660B" w14:textId="1D70759D" w:rsidR="00AE6B82" w:rsidRPr="005042CE" w:rsidRDefault="00AE6B82" w:rsidP="00983BA3">
            <w:pPr>
              <w:kinsoku w:val="0"/>
              <w:overflowPunct w:val="0"/>
              <w:spacing w:line="300" w:lineRule="exact"/>
              <w:jc w:val="center"/>
              <w:rPr>
                <w:rFonts w:ascii="標楷體" w:eastAsia="標楷體" w:hAnsi="標楷體"/>
                <w:b/>
                <w:spacing w:val="-20"/>
              </w:rPr>
            </w:pPr>
            <w:r>
              <w:rPr>
                <w:rFonts w:ascii="標楷體" w:eastAsia="標楷體" w:hAnsi="標楷體"/>
                <w:b/>
                <w:spacing w:val="-20"/>
              </w:rPr>
              <w:t>審</w:t>
            </w:r>
            <w:r w:rsidR="00983BA3">
              <w:rPr>
                <w:rFonts w:ascii="標楷體" w:eastAsia="標楷體" w:hAnsi="標楷體" w:hint="eastAsia"/>
                <w:b/>
                <w:spacing w:val="-20"/>
              </w:rPr>
              <w:t>議</w:t>
            </w:r>
            <w:r w:rsidRPr="005042CE">
              <w:rPr>
                <w:rFonts w:ascii="標楷體" w:eastAsia="標楷體" w:hAnsi="標楷體"/>
                <w:b/>
                <w:spacing w:val="-20"/>
              </w:rPr>
              <w:t>情形</w:t>
            </w:r>
          </w:p>
        </w:tc>
      </w:tr>
      <w:tr w:rsidR="00AE6B82" w:rsidRPr="005042CE" w14:paraId="32109EE0" w14:textId="77777777" w:rsidTr="00EC13B7">
        <w:tc>
          <w:tcPr>
            <w:tcW w:w="709" w:type="dxa"/>
            <w:shd w:val="clear" w:color="auto" w:fill="auto"/>
          </w:tcPr>
          <w:p w14:paraId="2FBE5A7E" w14:textId="77777777" w:rsidR="00AE6B82" w:rsidRPr="005042CE"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48" w:type="dxa"/>
            <w:shd w:val="clear" w:color="auto" w:fill="auto"/>
          </w:tcPr>
          <w:p w14:paraId="34A25C61" w14:textId="77777777" w:rsidR="00AE6B82" w:rsidRPr="00F141CA" w:rsidRDefault="00AE6B82" w:rsidP="00EC13B7">
            <w:pPr>
              <w:pStyle w:val="01"/>
              <w:spacing w:line="260" w:lineRule="exact"/>
            </w:pPr>
            <w:r w:rsidRPr="005A1F7C">
              <w:rPr>
                <w:rFonts w:hAnsi="標楷體"/>
                <w:kern w:val="0"/>
                <w:sz w:val="24"/>
              </w:rPr>
              <w:t>國防部函，為修正「國防醫學院組織規程」第五條、第八條及第九條條文，請查照案。</w:t>
            </w:r>
          </w:p>
        </w:tc>
        <w:tc>
          <w:tcPr>
            <w:tcW w:w="1747" w:type="dxa"/>
            <w:shd w:val="clear" w:color="auto" w:fill="auto"/>
          </w:tcPr>
          <w:p w14:paraId="53BECF73" w14:textId="77777777" w:rsidR="00AE6B82" w:rsidRPr="005A1F7C" w:rsidRDefault="00AE6B82" w:rsidP="00EC13B7">
            <w:pPr>
              <w:pStyle w:val="01"/>
              <w:spacing w:line="300" w:lineRule="exact"/>
              <w:jc w:val="left"/>
              <w:rPr>
                <w:rFonts w:hAnsi="標楷體"/>
                <w:kern w:val="0"/>
                <w:sz w:val="24"/>
              </w:rPr>
            </w:pPr>
            <w:r w:rsidRPr="005A1F7C">
              <w:rPr>
                <w:rFonts w:hAnsi="標楷體"/>
                <w:kern w:val="0"/>
                <w:sz w:val="24"/>
              </w:rPr>
              <w:t>國防部 110.12.17 （10-4-14）</w:t>
            </w:r>
          </w:p>
        </w:tc>
        <w:tc>
          <w:tcPr>
            <w:tcW w:w="1701" w:type="dxa"/>
            <w:shd w:val="clear" w:color="auto" w:fill="auto"/>
          </w:tcPr>
          <w:p w14:paraId="5A29634A" w14:textId="77777777" w:rsidR="00AE6B82" w:rsidRPr="005A1F7C" w:rsidRDefault="00AE6B82" w:rsidP="00EC13B7">
            <w:pPr>
              <w:pStyle w:val="01"/>
              <w:spacing w:line="300" w:lineRule="exact"/>
              <w:rPr>
                <w:rFonts w:hAnsi="標楷體"/>
                <w:kern w:val="0"/>
                <w:sz w:val="24"/>
              </w:rPr>
            </w:pPr>
            <w:r w:rsidRPr="005A1F7C">
              <w:rPr>
                <w:rFonts w:hAnsi="標楷體"/>
                <w:kern w:val="0"/>
                <w:sz w:val="24"/>
              </w:rPr>
              <w:t>司法及法制、外交及國防</w:t>
            </w:r>
          </w:p>
        </w:tc>
        <w:tc>
          <w:tcPr>
            <w:tcW w:w="1984" w:type="dxa"/>
            <w:shd w:val="clear" w:color="auto" w:fill="auto"/>
          </w:tcPr>
          <w:p w14:paraId="00D2F909"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14:paraId="38A87801"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b/>
                <w:spacing w:val="-20"/>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AE6B82" w:rsidRPr="005042CE" w14:paraId="2A1EAB76" w14:textId="77777777" w:rsidTr="00EC13B7">
        <w:tc>
          <w:tcPr>
            <w:tcW w:w="709" w:type="dxa"/>
            <w:shd w:val="clear" w:color="auto" w:fill="auto"/>
          </w:tcPr>
          <w:p w14:paraId="42ABB484" w14:textId="77777777" w:rsidR="00AE6B82" w:rsidRPr="005042CE"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48" w:type="dxa"/>
            <w:shd w:val="clear" w:color="auto" w:fill="auto"/>
          </w:tcPr>
          <w:p w14:paraId="50390E2F" w14:textId="77777777" w:rsidR="00AE6B82" w:rsidRPr="00F141CA" w:rsidRDefault="00AE6B82" w:rsidP="00EC13B7">
            <w:pPr>
              <w:pStyle w:val="01"/>
              <w:spacing w:line="260" w:lineRule="exact"/>
            </w:pPr>
            <w:r w:rsidRPr="005A1F7C">
              <w:rPr>
                <w:rFonts w:hAnsi="標楷體"/>
                <w:kern w:val="0"/>
                <w:sz w:val="24"/>
              </w:rPr>
              <w:t>內政部函，為修正「內政部警政署保安警察第三總隊編制表」，請查</w:t>
            </w:r>
            <w:r w:rsidRPr="005A1F7C">
              <w:rPr>
                <w:rFonts w:hAnsi="標楷體"/>
                <w:kern w:val="0"/>
                <w:sz w:val="24"/>
              </w:rPr>
              <w:lastRenderedPageBreak/>
              <w:t>照案。</w:t>
            </w:r>
          </w:p>
        </w:tc>
        <w:tc>
          <w:tcPr>
            <w:tcW w:w="1747" w:type="dxa"/>
            <w:shd w:val="clear" w:color="auto" w:fill="auto"/>
          </w:tcPr>
          <w:p w14:paraId="37E1FFEF" w14:textId="77777777" w:rsidR="00AE6B82" w:rsidRPr="005A1F7C" w:rsidRDefault="00AE6B82" w:rsidP="00EC13B7">
            <w:pPr>
              <w:pStyle w:val="01"/>
              <w:spacing w:line="300" w:lineRule="exact"/>
              <w:jc w:val="left"/>
              <w:rPr>
                <w:rFonts w:hAnsi="標楷體"/>
                <w:kern w:val="0"/>
                <w:sz w:val="24"/>
              </w:rPr>
            </w:pPr>
            <w:r w:rsidRPr="005A1F7C">
              <w:rPr>
                <w:rFonts w:hAnsi="標楷體"/>
                <w:kern w:val="0"/>
                <w:sz w:val="24"/>
              </w:rPr>
              <w:lastRenderedPageBreak/>
              <w:t xml:space="preserve">內政部 110.12.17 </w:t>
            </w:r>
            <w:r w:rsidRPr="005A1F7C">
              <w:rPr>
                <w:rFonts w:hAnsi="標楷體"/>
                <w:kern w:val="0"/>
                <w:sz w:val="24"/>
              </w:rPr>
              <w:lastRenderedPageBreak/>
              <w:t>（10-4-14）</w:t>
            </w:r>
          </w:p>
        </w:tc>
        <w:tc>
          <w:tcPr>
            <w:tcW w:w="1701" w:type="dxa"/>
            <w:shd w:val="clear" w:color="auto" w:fill="auto"/>
          </w:tcPr>
          <w:p w14:paraId="74244C03" w14:textId="77777777" w:rsidR="00AE6B82" w:rsidRPr="005A1F7C" w:rsidRDefault="00AE6B82" w:rsidP="00EC13B7">
            <w:pPr>
              <w:pStyle w:val="01"/>
              <w:spacing w:line="300" w:lineRule="exact"/>
              <w:jc w:val="left"/>
              <w:rPr>
                <w:rFonts w:hAnsi="標楷體"/>
                <w:kern w:val="0"/>
                <w:sz w:val="24"/>
              </w:rPr>
            </w:pPr>
            <w:r w:rsidRPr="005A1F7C">
              <w:rPr>
                <w:rFonts w:hAnsi="標楷體"/>
                <w:kern w:val="0"/>
                <w:sz w:val="24"/>
              </w:rPr>
              <w:lastRenderedPageBreak/>
              <w:t>司法及法制、內政</w:t>
            </w:r>
          </w:p>
        </w:tc>
        <w:tc>
          <w:tcPr>
            <w:tcW w:w="1984" w:type="dxa"/>
            <w:shd w:val="clear" w:color="auto" w:fill="auto"/>
          </w:tcPr>
          <w:p w14:paraId="2F850747"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w:t>
            </w:r>
            <w:r w:rsidRPr="005A1F7C">
              <w:rPr>
                <w:rFonts w:ascii="標楷體" w:eastAsia="標楷體" w:hAnsi="標楷體" w:hint="eastAsia"/>
              </w:rPr>
              <w:lastRenderedPageBreak/>
              <w:t>限，依規定提報院會存查。</w:t>
            </w:r>
          </w:p>
          <w:p w14:paraId="1D74EFC2" w14:textId="77777777" w:rsidR="00AE6B82" w:rsidRPr="001C588E"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AE6B82" w:rsidRPr="005042CE" w14:paraId="39C5DD6E" w14:textId="77777777" w:rsidTr="00EC13B7">
        <w:tc>
          <w:tcPr>
            <w:tcW w:w="709" w:type="dxa"/>
            <w:shd w:val="clear" w:color="auto" w:fill="auto"/>
          </w:tcPr>
          <w:p w14:paraId="75A49A5E" w14:textId="77777777" w:rsidR="00AE6B82" w:rsidRPr="005042CE"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lastRenderedPageBreak/>
              <w:t>3</w:t>
            </w:r>
          </w:p>
        </w:tc>
        <w:tc>
          <w:tcPr>
            <w:tcW w:w="2648" w:type="dxa"/>
            <w:shd w:val="clear" w:color="auto" w:fill="auto"/>
          </w:tcPr>
          <w:p w14:paraId="46C2F372" w14:textId="77777777" w:rsidR="00AE6B82" w:rsidRPr="0000730A" w:rsidRDefault="00AE6B82" w:rsidP="00EC13B7">
            <w:pPr>
              <w:pStyle w:val="01"/>
              <w:spacing w:line="260" w:lineRule="exact"/>
            </w:pPr>
            <w:r w:rsidRPr="005A1F7C">
              <w:rPr>
                <w:rFonts w:hAnsi="標楷體"/>
                <w:kern w:val="0"/>
                <w:sz w:val="24"/>
              </w:rPr>
              <w:t>行政院主計總處函，為修正「主計機構編制訂定及人員任免遷調辦法」部分條文，請查照案。</w:t>
            </w:r>
          </w:p>
        </w:tc>
        <w:tc>
          <w:tcPr>
            <w:tcW w:w="1747" w:type="dxa"/>
            <w:shd w:val="clear" w:color="auto" w:fill="auto"/>
          </w:tcPr>
          <w:p w14:paraId="40023A73" w14:textId="77777777" w:rsidR="00AE6B82" w:rsidRPr="005A1F7C" w:rsidRDefault="00AE6B82" w:rsidP="00EC13B7">
            <w:pPr>
              <w:pStyle w:val="01"/>
              <w:spacing w:line="300" w:lineRule="exact"/>
              <w:jc w:val="left"/>
              <w:rPr>
                <w:rFonts w:hAnsi="標楷體"/>
                <w:kern w:val="0"/>
                <w:sz w:val="24"/>
              </w:rPr>
            </w:pPr>
            <w:r w:rsidRPr="005A1F7C">
              <w:rPr>
                <w:rFonts w:hAnsi="標楷體"/>
                <w:spacing w:val="-20"/>
                <w:kern w:val="0"/>
                <w:sz w:val="24"/>
              </w:rPr>
              <w:t>行政院主計總處</w:t>
            </w:r>
            <w:r w:rsidRPr="005A1F7C">
              <w:rPr>
                <w:rFonts w:hAnsi="標楷體"/>
                <w:kern w:val="0"/>
                <w:sz w:val="24"/>
              </w:rPr>
              <w:t xml:space="preserve"> 110.10.08 （10-4-4）</w:t>
            </w:r>
          </w:p>
        </w:tc>
        <w:tc>
          <w:tcPr>
            <w:tcW w:w="1701" w:type="dxa"/>
            <w:shd w:val="clear" w:color="auto" w:fill="auto"/>
          </w:tcPr>
          <w:p w14:paraId="3089260B" w14:textId="77777777" w:rsidR="00AE6B82" w:rsidRPr="005A1F7C" w:rsidRDefault="00AE6B82" w:rsidP="00EC13B7">
            <w:pPr>
              <w:pStyle w:val="01"/>
              <w:spacing w:line="300" w:lineRule="exact"/>
              <w:jc w:val="left"/>
              <w:rPr>
                <w:rFonts w:hAnsi="標楷體"/>
                <w:kern w:val="0"/>
                <w:sz w:val="24"/>
              </w:rPr>
            </w:pPr>
            <w:r w:rsidRPr="005A1F7C">
              <w:rPr>
                <w:rFonts w:hAnsi="標楷體"/>
                <w:kern w:val="0"/>
                <w:sz w:val="24"/>
              </w:rPr>
              <w:t>司法及法制、財政</w:t>
            </w:r>
          </w:p>
        </w:tc>
        <w:tc>
          <w:tcPr>
            <w:tcW w:w="1984" w:type="dxa"/>
            <w:vMerge w:val="restart"/>
            <w:shd w:val="clear" w:color="auto" w:fill="auto"/>
          </w:tcPr>
          <w:p w14:paraId="18854CCA"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14:paraId="4CDF9E39" w14:textId="77777777" w:rsidR="00AE6B82" w:rsidRPr="001C588E"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AE6B82" w:rsidRPr="005042CE" w14:paraId="7B2B070A" w14:textId="77777777" w:rsidTr="00EC13B7">
        <w:tc>
          <w:tcPr>
            <w:tcW w:w="709" w:type="dxa"/>
            <w:shd w:val="clear" w:color="auto" w:fill="auto"/>
          </w:tcPr>
          <w:p w14:paraId="76CC8DF0" w14:textId="77777777" w:rsidR="00AE6B82" w:rsidRPr="005042CE"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48" w:type="dxa"/>
            <w:shd w:val="clear" w:color="auto" w:fill="auto"/>
          </w:tcPr>
          <w:p w14:paraId="206E2D3F" w14:textId="77777777" w:rsidR="00AE6B82" w:rsidRPr="00F141CA" w:rsidRDefault="00AE6B82" w:rsidP="00EC13B7">
            <w:pPr>
              <w:pStyle w:val="01"/>
              <w:spacing w:line="260" w:lineRule="exact"/>
            </w:pPr>
            <w:r w:rsidRPr="005A1F7C">
              <w:rPr>
                <w:rFonts w:hAnsi="標楷體"/>
                <w:kern w:val="0"/>
                <w:sz w:val="24"/>
              </w:rPr>
              <w:t>財政部函，為修正「財政部財政資訊中心編制表」，請查照案。</w:t>
            </w:r>
          </w:p>
        </w:tc>
        <w:tc>
          <w:tcPr>
            <w:tcW w:w="1747" w:type="dxa"/>
            <w:shd w:val="clear" w:color="auto" w:fill="auto"/>
          </w:tcPr>
          <w:p w14:paraId="3DCA8382" w14:textId="77777777" w:rsidR="00AE6B82" w:rsidRPr="005A1F7C" w:rsidRDefault="00AE6B82" w:rsidP="00EC13B7">
            <w:pPr>
              <w:pStyle w:val="01"/>
              <w:spacing w:line="300" w:lineRule="exact"/>
              <w:jc w:val="left"/>
              <w:rPr>
                <w:rFonts w:hAnsi="標楷體"/>
                <w:kern w:val="0"/>
                <w:sz w:val="24"/>
              </w:rPr>
            </w:pPr>
            <w:r w:rsidRPr="005A1F7C">
              <w:rPr>
                <w:rFonts w:hAnsi="標楷體"/>
                <w:kern w:val="0"/>
                <w:sz w:val="24"/>
              </w:rPr>
              <w:t>財政部 110.12.17 （10-4-14）</w:t>
            </w:r>
          </w:p>
        </w:tc>
        <w:tc>
          <w:tcPr>
            <w:tcW w:w="1701" w:type="dxa"/>
            <w:shd w:val="clear" w:color="auto" w:fill="auto"/>
          </w:tcPr>
          <w:p w14:paraId="1D23DFDB" w14:textId="77777777" w:rsidR="00AE6B82" w:rsidRPr="005A1F7C" w:rsidRDefault="00AE6B82" w:rsidP="00EC13B7">
            <w:pPr>
              <w:pStyle w:val="01"/>
              <w:spacing w:line="300" w:lineRule="exact"/>
              <w:jc w:val="left"/>
              <w:rPr>
                <w:rFonts w:hAnsi="標楷體"/>
                <w:kern w:val="0"/>
                <w:sz w:val="24"/>
              </w:rPr>
            </w:pPr>
            <w:r w:rsidRPr="005A1F7C">
              <w:rPr>
                <w:rFonts w:hAnsi="標楷體"/>
                <w:kern w:val="0"/>
                <w:sz w:val="24"/>
              </w:rPr>
              <w:t>司法及法制、財政</w:t>
            </w:r>
          </w:p>
        </w:tc>
        <w:tc>
          <w:tcPr>
            <w:tcW w:w="1984" w:type="dxa"/>
            <w:vMerge/>
            <w:shd w:val="clear" w:color="auto" w:fill="auto"/>
          </w:tcPr>
          <w:p w14:paraId="044F8EEF" w14:textId="77777777" w:rsidR="00AE6B82" w:rsidRDefault="00AE6B82" w:rsidP="00EC13B7">
            <w:pPr>
              <w:kinsoku w:val="0"/>
              <w:overflowPunct w:val="0"/>
              <w:spacing w:line="300" w:lineRule="exact"/>
              <w:rPr>
                <w:rFonts w:ascii="標楷體" w:eastAsia="標楷體" w:hAnsi="標楷體"/>
                <w:b/>
                <w:spacing w:val="-20"/>
              </w:rPr>
            </w:pPr>
          </w:p>
        </w:tc>
      </w:tr>
      <w:tr w:rsidR="00AE6B82" w:rsidRPr="005042CE" w14:paraId="1C7B28BF" w14:textId="77777777" w:rsidTr="00EC13B7">
        <w:tc>
          <w:tcPr>
            <w:tcW w:w="709" w:type="dxa"/>
            <w:shd w:val="clear" w:color="auto" w:fill="auto"/>
          </w:tcPr>
          <w:p w14:paraId="3CBA0EE2"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48" w:type="dxa"/>
            <w:shd w:val="clear" w:color="auto" w:fill="auto"/>
          </w:tcPr>
          <w:p w14:paraId="48D9BE81" w14:textId="77777777" w:rsidR="00AE6B82" w:rsidRDefault="00AE6B82" w:rsidP="00EC13B7">
            <w:pPr>
              <w:pStyle w:val="01"/>
              <w:spacing w:line="260" w:lineRule="exact"/>
            </w:pPr>
            <w:r w:rsidRPr="004A0BFE">
              <w:rPr>
                <w:rFonts w:hAnsi="標楷體" w:hint="eastAsia"/>
                <w:kern w:val="0"/>
                <w:sz w:val="24"/>
              </w:rPr>
              <w:t>法務部函，為修正「檢察官倫理規範」部分條文，請查照案。</w:t>
            </w:r>
          </w:p>
        </w:tc>
        <w:tc>
          <w:tcPr>
            <w:tcW w:w="1747" w:type="dxa"/>
            <w:shd w:val="clear" w:color="auto" w:fill="auto"/>
          </w:tcPr>
          <w:p w14:paraId="646E42DD" w14:textId="77777777" w:rsidR="00AE6B82" w:rsidRPr="004A0BFE" w:rsidRDefault="00AE6B82" w:rsidP="00EC13B7">
            <w:pPr>
              <w:pStyle w:val="01"/>
              <w:spacing w:line="300" w:lineRule="exact"/>
              <w:jc w:val="left"/>
              <w:rPr>
                <w:rFonts w:hAnsi="標楷體"/>
                <w:kern w:val="0"/>
                <w:sz w:val="24"/>
              </w:rPr>
            </w:pPr>
            <w:r w:rsidRPr="004A0BFE">
              <w:rPr>
                <w:rFonts w:hAnsi="標楷體" w:hint="eastAsia"/>
                <w:kern w:val="0"/>
                <w:sz w:val="24"/>
              </w:rPr>
              <w:t>法務部 110.04.09 （10-3-7）</w:t>
            </w:r>
          </w:p>
        </w:tc>
        <w:tc>
          <w:tcPr>
            <w:tcW w:w="1701" w:type="dxa"/>
            <w:shd w:val="clear" w:color="auto" w:fill="auto"/>
          </w:tcPr>
          <w:p w14:paraId="7507F69E"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val="restart"/>
            <w:shd w:val="clear" w:color="auto" w:fill="auto"/>
          </w:tcPr>
          <w:p w14:paraId="4D8CFF89" w14:textId="77777777" w:rsidR="00AE6B82" w:rsidRPr="009C45CB"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1.</w:t>
            </w:r>
            <w:r w:rsidRPr="00087095">
              <w:rPr>
                <w:rFonts w:ascii="標楷體" w:eastAsia="標楷體" w:hAnsi="標楷體" w:hint="eastAsia"/>
              </w:rPr>
              <w:t>院會</w:t>
            </w:r>
            <w:r>
              <w:rPr>
                <w:rFonts w:ascii="標楷體" w:eastAsia="標楷體" w:hAnsi="標楷體" w:hint="eastAsia"/>
              </w:rPr>
              <w:t>111.3.</w:t>
            </w:r>
            <w:r w:rsidRPr="00087095">
              <w:rPr>
                <w:rFonts w:ascii="標楷體" w:eastAsia="標楷體" w:hAnsi="標楷體" w:hint="eastAsia"/>
              </w:rPr>
              <w:t>4（10-5-2）展延。</w:t>
            </w:r>
          </w:p>
          <w:p w14:paraId="35341997"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2AC68222" w14:textId="77777777" w:rsidR="00AE6B82" w:rsidRPr="003C5856" w:rsidRDefault="00AE6B82" w:rsidP="00EC13B7">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3</w:t>
            </w:r>
            <w:r w:rsidRPr="005A1F7C">
              <w:rPr>
                <w:rFonts w:ascii="標楷體" w:eastAsia="標楷體" w:hAnsi="標楷體" w:hint="eastAsia"/>
              </w:rPr>
              <w:t>.</w:t>
            </w:r>
            <w:r w:rsidRPr="009C45CB">
              <w:rPr>
                <w:rFonts w:ascii="標楷體" w:eastAsia="標楷體" w:hAnsi="標楷體" w:hint="eastAsia"/>
                <w:w w:val="90"/>
              </w:rPr>
              <w:t>院會</w:t>
            </w:r>
            <w:r w:rsidRPr="009C45CB">
              <w:rPr>
                <w:rFonts w:ascii="標楷體" w:eastAsia="標楷體" w:hAnsi="標楷體"/>
                <w:w w:val="90"/>
              </w:rPr>
              <w:t>111.</w:t>
            </w:r>
            <w:r w:rsidRPr="009C45CB">
              <w:rPr>
                <w:rFonts w:ascii="標楷體" w:eastAsia="標楷體" w:hAnsi="標楷體" w:hint="eastAsia"/>
                <w:w w:val="90"/>
              </w:rPr>
              <w:t>11</w:t>
            </w:r>
            <w:r w:rsidRPr="009C45CB">
              <w:rPr>
                <w:rFonts w:ascii="標楷體" w:eastAsia="標楷體" w:hAnsi="標楷體"/>
                <w:w w:val="90"/>
              </w:rPr>
              <w:t>.2</w:t>
            </w:r>
            <w:r w:rsidRPr="009C45CB">
              <w:rPr>
                <w:rFonts w:ascii="標楷體" w:eastAsia="標楷體" w:hAnsi="標楷體" w:hint="eastAsia"/>
                <w:w w:val="90"/>
              </w:rPr>
              <w:t>5</w:t>
            </w:r>
            <w:r w:rsidRPr="009C45CB">
              <w:rPr>
                <w:rFonts w:ascii="標楷體" w:eastAsia="標楷體" w:hAnsi="標楷體"/>
                <w:w w:val="90"/>
              </w:rPr>
              <w:t>（</w:t>
            </w:r>
            <w:r w:rsidRPr="009C45CB">
              <w:rPr>
                <w:rFonts w:ascii="標楷體" w:eastAsia="標楷體" w:hAnsi="標楷體" w:hint="eastAsia"/>
                <w:w w:val="90"/>
              </w:rPr>
              <w:t>10</w:t>
            </w:r>
            <w:r w:rsidRPr="009C45CB">
              <w:rPr>
                <w:rFonts w:ascii="標楷體" w:eastAsia="標楷體" w:hAnsi="標楷體"/>
                <w:w w:val="90"/>
              </w:rPr>
              <w:t>-6</w:t>
            </w:r>
            <w:r w:rsidRPr="009C45CB">
              <w:rPr>
                <w:rFonts w:ascii="標楷體" w:eastAsia="標楷體" w:hAnsi="標楷體" w:hint="eastAsia"/>
                <w:w w:val="90"/>
              </w:rPr>
              <w:t>-9</w:t>
            </w:r>
            <w:r w:rsidRPr="009C45CB">
              <w:rPr>
                <w:rFonts w:ascii="標楷體" w:eastAsia="標楷體" w:hAnsi="標楷體"/>
                <w:w w:val="90"/>
              </w:rPr>
              <w:t>）</w:t>
            </w:r>
            <w:r w:rsidRPr="009C45CB">
              <w:rPr>
                <w:rFonts w:ascii="標楷體" w:eastAsia="標楷體" w:hAnsi="標楷體" w:hint="eastAsia"/>
                <w:w w:val="90"/>
              </w:rPr>
              <w:t>准予備查。</w:t>
            </w:r>
          </w:p>
        </w:tc>
      </w:tr>
      <w:tr w:rsidR="00AE6B82" w:rsidRPr="005042CE" w14:paraId="6B7CA1EC" w14:textId="77777777" w:rsidTr="00EC13B7">
        <w:tc>
          <w:tcPr>
            <w:tcW w:w="709" w:type="dxa"/>
            <w:shd w:val="clear" w:color="auto" w:fill="auto"/>
          </w:tcPr>
          <w:p w14:paraId="3BD6EB6C"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48" w:type="dxa"/>
            <w:shd w:val="clear" w:color="auto" w:fill="auto"/>
          </w:tcPr>
          <w:p w14:paraId="3F126560" w14:textId="77777777" w:rsidR="00AE6B82" w:rsidRPr="004A0BFE" w:rsidRDefault="00AE6B82" w:rsidP="00EC13B7">
            <w:pPr>
              <w:pStyle w:val="01"/>
              <w:spacing w:line="260" w:lineRule="exact"/>
              <w:rPr>
                <w:rFonts w:hAnsi="標楷體"/>
                <w:kern w:val="0"/>
                <w:sz w:val="24"/>
              </w:rPr>
            </w:pPr>
            <w:r w:rsidRPr="004A0BFE">
              <w:rPr>
                <w:rFonts w:hAnsi="標楷體" w:hint="eastAsia"/>
                <w:kern w:val="0"/>
                <w:sz w:val="24"/>
              </w:rPr>
              <w:t>行政院、司法院函送「少年偏差行為預防及輔導辦法」，請查照案。</w:t>
            </w:r>
          </w:p>
        </w:tc>
        <w:tc>
          <w:tcPr>
            <w:tcW w:w="1747" w:type="dxa"/>
            <w:shd w:val="clear" w:color="auto" w:fill="auto"/>
          </w:tcPr>
          <w:p w14:paraId="3FC7F73B" w14:textId="77777777" w:rsidR="00AE6B82" w:rsidRPr="004A0BFE" w:rsidRDefault="00AE6B82" w:rsidP="00EC13B7">
            <w:pPr>
              <w:pStyle w:val="01"/>
              <w:spacing w:line="300" w:lineRule="exact"/>
              <w:jc w:val="left"/>
              <w:rPr>
                <w:rFonts w:hAnsi="標楷體"/>
                <w:kern w:val="0"/>
                <w:sz w:val="24"/>
              </w:rPr>
            </w:pPr>
            <w:r w:rsidRPr="000C5CD1">
              <w:rPr>
                <w:rFonts w:hAnsi="標楷體" w:cs="Times New Roman" w:hint="eastAsia"/>
                <w:color w:val="000000"/>
                <w:w w:val="90"/>
                <w:kern w:val="0"/>
                <w:sz w:val="24"/>
                <w:szCs w:val="24"/>
              </w:rPr>
              <w:t>行政院、司法院</w:t>
            </w:r>
            <w:r w:rsidRPr="004A0BFE">
              <w:rPr>
                <w:rFonts w:hAnsi="標楷體" w:hint="eastAsia"/>
                <w:kern w:val="0"/>
                <w:sz w:val="24"/>
              </w:rPr>
              <w:t xml:space="preserve"> 110.04.23 （10-3-9）</w:t>
            </w:r>
          </w:p>
        </w:tc>
        <w:tc>
          <w:tcPr>
            <w:tcW w:w="1701" w:type="dxa"/>
            <w:shd w:val="clear" w:color="auto" w:fill="auto"/>
          </w:tcPr>
          <w:p w14:paraId="756466BA"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27C5D4AC" w14:textId="77777777" w:rsidR="00AE6B82" w:rsidRPr="003C5856" w:rsidRDefault="00AE6B82" w:rsidP="00EC13B7">
            <w:pPr>
              <w:kinsoku w:val="0"/>
              <w:overflowPunct w:val="0"/>
              <w:spacing w:line="300" w:lineRule="exact"/>
              <w:rPr>
                <w:rFonts w:ascii="標楷體" w:eastAsia="標楷體" w:hAnsi="標楷體"/>
                <w:spacing w:val="-20"/>
              </w:rPr>
            </w:pPr>
          </w:p>
        </w:tc>
      </w:tr>
      <w:tr w:rsidR="00AE6B82" w:rsidRPr="005042CE" w14:paraId="1E4B2E26" w14:textId="77777777" w:rsidTr="00EC13B7">
        <w:tc>
          <w:tcPr>
            <w:tcW w:w="709" w:type="dxa"/>
            <w:shd w:val="clear" w:color="auto" w:fill="auto"/>
          </w:tcPr>
          <w:p w14:paraId="275CD9F7"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48" w:type="dxa"/>
            <w:shd w:val="clear" w:color="auto" w:fill="auto"/>
          </w:tcPr>
          <w:p w14:paraId="30229CB1" w14:textId="77777777" w:rsidR="00AE6B82" w:rsidRPr="004A0BFE" w:rsidRDefault="00AE6B82" w:rsidP="00EC13B7">
            <w:pPr>
              <w:pStyle w:val="01"/>
              <w:spacing w:line="260" w:lineRule="exact"/>
              <w:rPr>
                <w:rFonts w:hAnsi="標楷體"/>
                <w:kern w:val="0"/>
                <w:sz w:val="24"/>
              </w:rPr>
            </w:pPr>
            <w:r w:rsidRPr="004A0BFE">
              <w:rPr>
                <w:rFonts w:hAnsi="標楷體" w:hint="eastAsia"/>
                <w:kern w:val="0"/>
                <w:sz w:val="24"/>
              </w:rPr>
              <w:t>司法院函，為修正「法官服務紀錄良好證明核發辦法」第四條、第五條及第八條條文，請查照案。</w:t>
            </w:r>
          </w:p>
        </w:tc>
        <w:tc>
          <w:tcPr>
            <w:tcW w:w="1747" w:type="dxa"/>
            <w:shd w:val="clear" w:color="auto" w:fill="auto"/>
          </w:tcPr>
          <w:p w14:paraId="3AE2027A" w14:textId="77777777" w:rsidR="00AE6B82" w:rsidRPr="004A0BFE" w:rsidRDefault="00AE6B82" w:rsidP="00EC13B7">
            <w:pPr>
              <w:pStyle w:val="01"/>
              <w:spacing w:line="300" w:lineRule="exact"/>
              <w:jc w:val="left"/>
              <w:rPr>
                <w:rFonts w:hAnsi="標楷體"/>
                <w:kern w:val="0"/>
                <w:sz w:val="24"/>
              </w:rPr>
            </w:pPr>
            <w:r w:rsidRPr="004A0BFE">
              <w:rPr>
                <w:rFonts w:hAnsi="標楷體" w:hint="eastAsia"/>
                <w:kern w:val="0"/>
                <w:sz w:val="24"/>
              </w:rPr>
              <w:t>司法院 110.04.30 （10-3-10）</w:t>
            </w:r>
          </w:p>
        </w:tc>
        <w:tc>
          <w:tcPr>
            <w:tcW w:w="1701" w:type="dxa"/>
            <w:shd w:val="clear" w:color="auto" w:fill="auto"/>
          </w:tcPr>
          <w:p w14:paraId="0B85C370"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25A74D3F" w14:textId="77777777" w:rsidR="00AE6B82" w:rsidRPr="003C5856" w:rsidRDefault="00AE6B82" w:rsidP="00EC13B7">
            <w:pPr>
              <w:kinsoku w:val="0"/>
              <w:overflowPunct w:val="0"/>
              <w:spacing w:line="300" w:lineRule="exact"/>
              <w:rPr>
                <w:rFonts w:ascii="標楷體" w:eastAsia="標楷體" w:hAnsi="標楷體"/>
                <w:spacing w:val="-20"/>
              </w:rPr>
            </w:pPr>
          </w:p>
        </w:tc>
      </w:tr>
      <w:tr w:rsidR="00AE6B82" w:rsidRPr="005042CE" w14:paraId="387D9914" w14:textId="77777777" w:rsidTr="00EC13B7">
        <w:tc>
          <w:tcPr>
            <w:tcW w:w="709" w:type="dxa"/>
            <w:shd w:val="clear" w:color="auto" w:fill="auto"/>
          </w:tcPr>
          <w:p w14:paraId="45362D7D"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48" w:type="dxa"/>
            <w:shd w:val="clear" w:color="auto" w:fill="auto"/>
          </w:tcPr>
          <w:p w14:paraId="4A7BEB67" w14:textId="77777777" w:rsidR="00AE6B82" w:rsidRPr="004A0BFE" w:rsidRDefault="00AE6B82" w:rsidP="00EC13B7">
            <w:pPr>
              <w:pStyle w:val="01"/>
              <w:spacing w:line="260" w:lineRule="exact"/>
              <w:rPr>
                <w:rFonts w:hAnsi="標楷體"/>
                <w:kern w:val="0"/>
                <w:sz w:val="24"/>
              </w:rPr>
            </w:pPr>
            <w:r w:rsidRPr="004A0BFE">
              <w:rPr>
                <w:rFonts w:hAnsi="標楷體" w:hint="eastAsia"/>
                <w:kern w:val="0"/>
                <w:sz w:val="24"/>
              </w:rPr>
              <w:t>考試院、行政院函，為修正「公務人員執行職務意外傷亡慰問金發給辦法」部分條文，請查照案。</w:t>
            </w:r>
          </w:p>
        </w:tc>
        <w:tc>
          <w:tcPr>
            <w:tcW w:w="1747" w:type="dxa"/>
            <w:shd w:val="clear" w:color="auto" w:fill="auto"/>
          </w:tcPr>
          <w:p w14:paraId="0F02A3D7" w14:textId="77777777" w:rsidR="00AE6B82" w:rsidRPr="004A0BFE" w:rsidRDefault="00AE6B82" w:rsidP="00EC13B7">
            <w:pPr>
              <w:pStyle w:val="01"/>
              <w:spacing w:line="300" w:lineRule="exact"/>
              <w:jc w:val="left"/>
              <w:rPr>
                <w:rFonts w:hAnsi="標楷體"/>
                <w:kern w:val="0"/>
                <w:sz w:val="24"/>
              </w:rPr>
            </w:pPr>
            <w:r w:rsidRPr="000C5CD1">
              <w:rPr>
                <w:rFonts w:hAnsi="標楷體" w:cs="Times New Roman" w:hint="eastAsia"/>
                <w:color w:val="000000"/>
                <w:w w:val="90"/>
                <w:kern w:val="0"/>
                <w:sz w:val="24"/>
                <w:szCs w:val="24"/>
              </w:rPr>
              <w:t>考試院、行政院</w:t>
            </w:r>
            <w:r w:rsidRPr="004A0BFE">
              <w:rPr>
                <w:rFonts w:hAnsi="標楷體" w:hint="eastAsia"/>
                <w:kern w:val="0"/>
                <w:sz w:val="24"/>
              </w:rPr>
              <w:t xml:space="preserve"> 110.05.07 （10-3-11）</w:t>
            </w:r>
          </w:p>
        </w:tc>
        <w:tc>
          <w:tcPr>
            <w:tcW w:w="1701" w:type="dxa"/>
            <w:shd w:val="clear" w:color="auto" w:fill="auto"/>
          </w:tcPr>
          <w:p w14:paraId="73542547"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7E26FB24" w14:textId="77777777" w:rsidR="00AE6B82" w:rsidRPr="003C5856" w:rsidRDefault="00AE6B82" w:rsidP="00EC13B7">
            <w:pPr>
              <w:kinsoku w:val="0"/>
              <w:overflowPunct w:val="0"/>
              <w:spacing w:line="300" w:lineRule="exact"/>
              <w:rPr>
                <w:rFonts w:ascii="標楷體" w:eastAsia="標楷體" w:hAnsi="標楷體"/>
                <w:spacing w:val="-20"/>
              </w:rPr>
            </w:pPr>
          </w:p>
        </w:tc>
      </w:tr>
      <w:tr w:rsidR="00AE6B82" w:rsidRPr="005042CE" w14:paraId="3301C85E" w14:textId="77777777" w:rsidTr="00EC13B7">
        <w:tc>
          <w:tcPr>
            <w:tcW w:w="709" w:type="dxa"/>
            <w:shd w:val="clear" w:color="auto" w:fill="auto"/>
          </w:tcPr>
          <w:p w14:paraId="456657A0"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48" w:type="dxa"/>
            <w:shd w:val="clear" w:color="auto" w:fill="auto"/>
          </w:tcPr>
          <w:p w14:paraId="023C7A48" w14:textId="77777777" w:rsidR="00AE6B82" w:rsidRPr="004A0BFE" w:rsidRDefault="00AE6B82" w:rsidP="00EC13B7">
            <w:pPr>
              <w:pStyle w:val="01"/>
              <w:spacing w:line="260" w:lineRule="exact"/>
              <w:rPr>
                <w:rFonts w:hAnsi="標楷體"/>
                <w:kern w:val="0"/>
                <w:sz w:val="24"/>
              </w:rPr>
            </w:pPr>
            <w:r w:rsidRPr="004A0BFE">
              <w:rPr>
                <w:rFonts w:hAnsi="標楷體" w:hint="eastAsia"/>
                <w:kern w:val="0"/>
                <w:sz w:val="24"/>
              </w:rPr>
              <w:t>行政院函，為修正「毒品戒癮治療實施辦法及完成治療認定標準」，請查照案。</w:t>
            </w:r>
          </w:p>
        </w:tc>
        <w:tc>
          <w:tcPr>
            <w:tcW w:w="1747" w:type="dxa"/>
            <w:shd w:val="clear" w:color="auto" w:fill="auto"/>
          </w:tcPr>
          <w:p w14:paraId="652BD7DF" w14:textId="77777777" w:rsidR="00AE6B82" w:rsidRPr="004A0BFE" w:rsidRDefault="00AE6B82" w:rsidP="00EC13B7">
            <w:pPr>
              <w:pStyle w:val="01"/>
              <w:spacing w:line="300" w:lineRule="exact"/>
              <w:jc w:val="left"/>
              <w:rPr>
                <w:rFonts w:hAnsi="標楷體"/>
                <w:kern w:val="0"/>
                <w:sz w:val="24"/>
              </w:rPr>
            </w:pPr>
            <w:r w:rsidRPr="004A0BFE">
              <w:rPr>
                <w:rFonts w:hAnsi="標楷體" w:hint="eastAsia"/>
                <w:kern w:val="0"/>
                <w:sz w:val="24"/>
              </w:rPr>
              <w:t>行政院 110.05.21 （10-3-13）</w:t>
            </w:r>
          </w:p>
        </w:tc>
        <w:tc>
          <w:tcPr>
            <w:tcW w:w="1701" w:type="dxa"/>
            <w:shd w:val="clear" w:color="auto" w:fill="auto"/>
          </w:tcPr>
          <w:p w14:paraId="5E057D4C"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13A4C40C" w14:textId="77777777" w:rsidR="00AE6B82" w:rsidRPr="003C5856" w:rsidRDefault="00AE6B82" w:rsidP="00EC13B7">
            <w:pPr>
              <w:kinsoku w:val="0"/>
              <w:overflowPunct w:val="0"/>
              <w:spacing w:line="300" w:lineRule="exact"/>
              <w:rPr>
                <w:rFonts w:ascii="標楷體" w:eastAsia="標楷體" w:hAnsi="標楷體"/>
                <w:spacing w:val="-20"/>
              </w:rPr>
            </w:pPr>
          </w:p>
        </w:tc>
      </w:tr>
      <w:tr w:rsidR="00AE6B82" w:rsidRPr="005042CE" w14:paraId="3B820257" w14:textId="77777777" w:rsidTr="00EC13B7">
        <w:tc>
          <w:tcPr>
            <w:tcW w:w="709" w:type="dxa"/>
            <w:shd w:val="clear" w:color="auto" w:fill="auto"/>
          </w:tcPr>
          <w:p w14:paraId="667086FA"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0</w:t>
            </w:r>
          </w:p>
        </w:tc>
        <w:tc>
          <w:tcPr>
            <w:tcW w:w="2648" w:type="dxa"/>
            <w:shd w:val="clear" w:color="auto" w:fill="auto"/>
          </w:tcPr>
          <w:p w14:paraId="05F713F1" w14:textId="77777777" w:rsidR="00AE6B82" w:rsidRPr="004A0BFE" w:rsidRDefault="00AE6B82" w:rsidP="00EC13B7">
            <w:pPr>
              <w:pStyle w:val="01"/>
              <w:spacing w:line="260" w:lineRule="exact"/>
              <w:rPr>
                <w:rFonts w:hAnsi="標楷體"/>
                <w:kern w:val="0"/>
                <w:sz w:val="24"/>
              </w:rPr>
            </w:pPr>
            <w:r w:rsidRPr="004A0BFE">
              <w:rPr>
                <w:rFonts w:hAnsi="標楷體" w:hint="eastAsia"/>
                <w:kern w:val="0"/>
                <w:sz w:val="24"/>
              </w:rPr>
              <w:t>法務部函送「檢察機關辦理查獲毒品判決確定前銷燬作業辦法」，請查照案。</w:t>
            </w:r>
          </w:p>
        </w:tc>
        <w:tc>
          <w:tcPr>
            <w:tcW w:w="1747" w:type="dxa"/>
            <w:shd w:val="clear" w:color="auto" w:fill="auto"/>
          </w:tcPr>
          <w:p w14:paraId="72C4C656" w14:textId="77777777" w:rsidR="00AE6B82" w:rsidRPr="004A0BFE" w:rsidRDefault="00AE6B82" w:rsidP="00EC13B7">
            <w:pPr>
              <w:pStyle w:val="01"/>
              <w:spacing w:line="300" w:lineRule="exact"/>
              <w:jc w:val="left"/>
              <w:rPr>
                <w:rFonts w:hAnsi="標楷體"/>
                <w:kern w:val="0"/>
                <w:sz w:val="24"/>
              </w:rPr>
            </w:pPr>
            <w:r w:rsidRPr="004A0BFE">
              <w:rPr>
                <w:rFonts w:hAnsi="標楷體" w:hint="eastAsia"/>
                <w:kern w:val="0"/>
                <w:sz w:val="24"/>
              </w:rPr>
              <w:t>法務部 110.05.21 （10-3-13）</w:t>
            </w:r>
          </w:p>
        </w:tc>
        <w:tc>
          <w:tcPr>
            <w:tcW w:w="1701" w:type="dxa"/>
            <w:shd w:val="clear" w:color="auto" w:fill="auto"/>
          </w:tcPr>
          <w:p w14:paraId="01F9BD85"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14:paraId="64E8368F" w14:textId="77777777" w:rsidR="00AE6B82" w:rsidRPr="003C5856" w:rsidRDefault="00AE6B82" w:rsidP="00EC13B7">
            <w:pPr>
              <w:kinsoku w:val="0"/>
              <w:overflowPunct w:val="0"/>
              <w:spacing w:line="300" w:lineRule="exact"/>
              <w:rPr>
                <w:rFonts w:ascii="標楷體" w:eastAsia="標楷體" w:hAnsi="標楷體"/>
                <w:spacing w:val="-20"/>
              </w:rPr>
            </w:pPr>
          </w:p>
        </w:tc>
      </w:tr>
      <w:tr w:rsidR="00AE6B82" w:rsidRPr="005042CE" w14:paraId="17336909" w14:textId="77777777" w:rsidTr="00EC13B7">
        <w:tc>
          <w:tcPr>
            <w:tcW w:w="709" w:type="dxa"/>
            <w:shd w:val="clear" w:color="auto" w:fill="auto"/>
          </w:tcPr>
          <w:p w14:paraId="05A08DCA"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1</w:t>
            </w:r>
          </w:p>
        </w:tc>
        <w:tc>
          <w:tcPr>
            <w:tcW w:w="2648" w:type="dxa"/>
            <w:shd w:val="clear" w:color="auto" w:fill="auto"/>
          </w:tcPr>
          <w:p w14:paraId="7B6C2B1D" w14:textId="77777777" w:rsidR="00AE6B82" w:rsidRPr="004A0BFE" w:rsidRDefault="00AE6B82" w:rsidP="00EC13B7">
            <w:pPr>
              <w:pStyle w:val="01"/>
              <w:spacing w:line="260" w:lineRule="exact"/>
              <w:rPr>
                <w:rFonts w:hAnsi="標楷體"/>
                <w:kern w:val="0"/>
                <w:sz w:val="24"/>
              </w:rPr>
            </w:pPr>
            <w:r w:rsidRPr="004A0BFE">
              <w:rPr>
                <w:rFonts w:hAnsi="標楷體" w:hint="eastAsia"/>
                <w:kern w:val="0"/>
                <w:sz w:val="24"/>
              </w:rPr>
              <w:t>海洋委員會函，為修正「國家海洋研究院編制表」，請查照案。</w:t>
            </w:r>
          </w:p>
        </w:tc>
        <w:tc>
          <w:tcPr>
            <w:tcW w:w="1747" w:type="dxa"/>
            <w:shd w:val="clear" w:color="auto" w:fill="auto"/>
          </w:tcPr>
          <w:p w14:paraId="7FBEE23B" w14:textId="77777777" w:rsidR="00AE6B82" w:rsidRPr="004A0BFE" w:rsidRDefault="00AE6B82" w:rsidP="00EC13B7">
            <w:pPr>
              <w:pStyle w:val="01"/>
              <w:spacing w:line="300" w:lineRule="exact"/>
              <w:jc w:val="left"/>
              <w:rPr>
                <w:rFonts w:hAnsi="標楷體"/>
                <w:kern w:val="0"/>
                <w:sz w:val="24"/>
              </w:rPr>
            </w:pPr>
            <w:r w:rsidRPr="004A0BFE">
              <w:rPr>
                <w:rFonts w:hAnsi="標楷體" w:hint="eastAsia"/>
                <w:kern w:val="0"/>
                <w:sz w:val="24"/>
              </w:rPr>
              <w:t>海洋委員會 110.04.23 （10-3-9）</w:t>
            </w:r>
          </w:p>
        </w:tc>
        <w:tc>
          <w:tcPr>
            <w:tcW w:w="1701" w:type="dxa"/>
            <w:shd w:val="clear" w:color="auto" w:fill="auto"/>
          </w:tcPr>
          <w:p w14:paraId="58F9E473"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司法及法制、內政</w:t>
            </w:r>
          </w:p>
        </w:tc>
        <w:tc>
          <w:tcPr>
            <w:tcW w:w="1984" w:type="dxa"/>
            <w:vMerge w:val="restart"/>
            <w:shd w:val="clear" w:color="auto" w:fill="auto"/>
          </w:tcPr>
          <w:p w14:paraId="05BDE2BA" w14:textId="77777777" w:rsidR="00AE6B82" w:rsidRPr="00C03D95"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C03D95">
              <w:rPr>
                <w:rFonts w:ascii="標楷體" w:eastAsia="標楷體" w:hAnsi="標楷體" w:hint="eastAsia"/>
              </w:rPr>
              <w:t>1.</w:t>
            </w:r>
            <w:r w:rsidRPr="00087095">
              <w:rPr>
                <w:rFonts w:ascii="標楷體" w:eastAsia="標楷體" w:hAnsi="標楷體" w:hint="eastAsia"/>
              </w:rPr>
              <w:t>院會</w:t>
            </w:r>
            <w:r>
              <w:rPr>
                <w:rFonts w:ascii="標楷體" w:eastAsia="標楷體" w:hAnsi="標楷體" w:hint="eastAsia"/>
              </w:rPr>
              <w:t>111.</w:t>
            </w:r>
            <w:r w:rsidRPr="00087095">
              <w:rPr>
                <w:rFonts w:ascii="標楷體" w:eastAsia="標楷體" w:hAnsi="標楷體" w:hint="eastAsia"/>
              </w:rPr>
              <w:t>3.18（10-5-4）展延。</w:t>
            </w:r>
          </w:p>
          <w:p w14:paraId="60AFAFF7"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4EFE91FD" w14:textId="77777777" w:rsidR="00AE6B82" w:rsidRPr="003C5856" w:rsidRDefault="00AE6B82" w:rsidP="00EC13B7">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3</w:t>
            </w:r>
            <w:r w:rsidRPr="005A1F7C">
              <w:rPr>
                <w:rFonts w:ascii="標楷體" w:eastAsia="標楷體" w:hAnsi="標楷體" w:hint="eastAsia"/>
              </w:rPr>
              <w:t>.</w:t>
            </w:r>
            <w:r w:rsidRPr="00C03D95">
              <w:rPr>
                <w:rFonts w:ascii="標楷體" w:eastAsia="標楷體" w:hAnsi="標楷體" w:hint="eastAsia"/>
                <w:w w:val="90"/>
              </w:rPr>
              <w:t>院會</w:t>
            </w:r>
            <w:r w:rsidRPr="00C03D95">
              <w:rPr>
                <w:rFonts w:ascii="標楷體" w:eastAsia="標楷體" w:hAnsi="標楷體"/>
                <w:w w:val="90"/>
              </w:rPr>
              <w:t>111.</w:t>
            </w:r>
            <w:r w:rsidRPr="00C03D95">
              <w:rPr>
                <w:rFonts w:ascii="標楷體" w:eastAsia="標楷體" w:hAnsi="標楷體" w:hint="eastAsia"/>
                <w:w w:val="90"/>
              </w:rPr>
              <w:t>11</w:t>
            </w:r>
            <w:r w:rsidRPr="00C03D95">
              <w:rPr>
                <w:rFonts w:ascii="標楷體" w:eastAsia="標楷體" w:hAnsi="標楷體"/>
                <w:w w:val="90"/>
              </w:rPr>
              <w:t>.2</w:t>
            </w:r>
            <w:r w:rsidRPr="00C03D95">
              <w:rPr>
                <w:rFonts w:ascii="標楷體" w:eastAsia="標楷體" w:hAnsi="標楷體" w:hint="eastAsia"/>
                <w:w w:val="90"/>
              </w:rPr>
              <w:t>5</w:t>
            </w:r>
            <w:r w:rsidRPr="00C03D95">
              <w:rPr>
                <w:rFonts w:ascii="標楷體" w:eastAsia="標楷體" w:hAnsi="標楷體"/>
                <w:w w:val="90"/>
              </w:rPr>
              <w:t>（</w:t>
            </w:r>
            <w:r w:rsidRPr="00C03D95">
              <w:rPr>
                <w:rFonts w:ascii="標楷體" w:eastAsia="標楷體" w:hAnsi="標楷體" w:hint="eastAsia"/>
                <w:w w:val="90"/>
              </w:rPr>
              <w:t>10</w:t>
            </w:r>
            <w:r w:rsidRPr="00C03D95">
              <w:rPr>
                <w:rFonts w:ascii="標楷體" w:eastAsia="標楷體" w:hAnsi="標楷體"/>
                <w:w w:val="90"/>
              </w:rPr>
              <w:t>-6</w:t>
            </w:r>
            <w:r w:rsidRPr="00C03D95">
              <w:rPr>
                <w:rFonts w:ascii="標楷體" w:eastAsia="標楷體" w:hAnsi="標楷體" w:hint="eastAsia"/>
                <w:w w:val="90"/>
              </w:rPr>
              <w:t>-9</w:t>
            </w:r>
            <w:r w:rsidRPr="00C03D95">
              <w:rPr>
                <w:rFonts w:ascii="標楷體" w:eastAsia="標楷體" w:hAnsi="標楷體"/>
                <w:w w:val="90"/>
              </w:rPr>
              <w:t>）</w:t>
            </w:r>
            <w:r w:rsidRPr="00C03D95">
              <w:rPr>
                <w:rFonts w:ascii="標楷體" w:eastAsia="標楷體" w:hAnsi="標楷體" w:hint="eastAsia"/>
                <w:w w:val="90"/>
              </w:rPr>
              <w:t>准予備查。</w:t>
            </w:r>
          </w:p>
        </w:tc>
      </w:tr>
      <w:tr w:rsidR="00AE6B82" w:rsidRPr="005042CE" w14:paraId="49DBBB16" w14:textId="77777777" w:rsidTr="00EC13B7">
        <w:tc>
          <w:tcPr>
            <w:tcW w:w="709" w:type="dxa"/>
            <w:shd w:val="clear" w:color="auto" w:fill="auto"/>
          </w:tcPr>
          <w:p w14:paraId="2A5134BE"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2</w:t>
            </w:r>
          </w:p>
        </w:tc>
        <w:tc>
          <w:tcPr>
            <w:tcW w:w="2648" w:type="dxa"/>
            <w:shd w:val="clear" w:color="auto" w:fill="auto"/>
          </w:tcPr>
          <w:p w14:paraId="086138E4" w14:textId="77777777" w:rsidR="00AE6B82" w:rsidRPr="004A0BFE" w:rsidRDefault="00AE6B82" w:rsidP="00EC13B7">
            <w:pPr>
              <w:pStyle w:val="01"/>
              <w:spacing w:line="260" w:lineRule="exact"/>
              <w:rPr>
                <w:rFonts w:hAnsi="標楷體"/>
                <w:kern w:val="0"/>
                <w:sz w:val="24"/>
              </w:rPr>
            </w:pPr>
            <w:r w:rsidRPr="004A0BFE">
              <w:rPr>
                <w:rFonts w:hAnsi="標楷體" w:hint="eastAsia"/>
                <w:kern w:val="0"/>
                <w:sz w:val="24"/>
              </w:rPr>
              <w:t>海洋委員會函，為修正「海洋委員會海巡署艦隊分署編制表」，並自107年4月28日生效，請查照案。</w:t>
            </w:r>
          </w:p>
        </w:tc>
        <w:tc>
          <w:tcPr>
            <w:tcW w:w="1747" w:type="dxa"/>
            <w:shd w:val="clear" w:color="auto" w:fill="auto"/>
          </w:tcPr>
          <w:p w14:paraId="14D02A78" w14:textId="77777777" w:rsidR="00AE6B82" w:rsidRPr="004A0BFE" w:rsidRDefault="00AE6B82" w:rsidP="00EC13B7">
            <w:pPr>
              <w:pStyle w:val="01"/>
              <w:spacing w:line="300" w:lineRule="exact"/>
              <w:jc w:val="left"/>
              <w:rPr>
                <w:rFonts w:hAnsi="標楷體"/>
                <w:kern w:val="0"/>
                <w:sz w:val="24"/>
              </w:rPr>
            </w:pPr>
            <w:r w:rsidRPr="004A0BFE">
              <w:rPr>
                <w:rFonts w:hAnsi="標楷體" w:hint="eastAsia"/>
                <w:kern w:val="0"/>
                <w:sz w:val="24"/>
              </w:rPr>
              <w:t>海洋委員會 110.04.23 （10-3-9）</w:t>
            </w:r>
          </w:p>
        </w:tc>
        <w:tc>
          <w:tcPr>
            <w:tcW w:w="1701" w:type="dxa"/>
            <w:shd w:val="clear" w:color="auto" w:fill="auto"/>
          </w:tcPr>
          <w:p w14:paraId="10F9F472" w14:textId="77777777" w:rsidR="00AE6B82" w:rsidRPr="00C03D95" w:rsidRDefault="00AE6B82" w:rsidP="00EC13B7">
            <w:pPr>
              <w:pStyle w:val="01"/>
              <w:spacing w:line="300" w:lineRule="exact"/>
              <w:jc w:val="left"/>
              <w:rPr>
                <w:rFonts w:hAnsi="標楷體"/>
                <w:kern w:val="0"/>
                <w:sz w:val="24"/>
              </w:rPr>
            </w:pPr>
            <w:r w:rsidRPr="00C03D95">
              <w:rPr>
                <w:rFonts w:hAnsi="標楷體" w:hint="eastAsia"/>
                <w:kern w:val="0"/>
                <w:sz w:val="24"/>
              </w:rPr>
              <w:t>司法及法制、內政</w:t>
            </w:r>
          </w:p>
        </w:tc>
        <w:tc>
          <w:tcPr>
            <w:tcW w:w="1984" w:type="dxa"/>
            <w:vMerge/>
            <w:shd w:val="clear" w:color="auto" w:fill="auto"/>
          </w:tcPr>
          <w:p w14:paraId="60236B64" w14:textId="77777777" w:rsidR="00AE6B82" w:rsidRPr="003C5856" w:rsidRDefault="00AE6B82" w:rsidP="00EC13B7">
            <w:pPr>
              <w:kinsoku w:val="0"/>
              <w:overflowPunct w:val="0"/>
              <w:spacing w:line="300" w:lineRule="exact"/>
              <w:rPr>
                <w:rFonts w:ascii="標楷體" w:eastAsia="標楷體" w:hAnsi="標楷體"/>
                <w:spacing w:val="-20"/>
              </w:rPr>
            </w:pPr>
          </w:p>
        </w:tc>
      </w:tr>
      <w:tr w:rsidR="00AE6B82" w:rsidRPr="005042CE" w14:paraId="5834ABDB" w14:textId="77777777" w:rsidTr="00EC13B7">
        <w:tc>
          <w:tcPr>
            <w:tcW w:w="709" w:type="dxa"/>
            <w:shd w:val="clear" w:color="auto" w:fill="auto"/>
          </w:tcPr>
          <w:p w14:paraId="0DA51A14"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48" w:type="dxa"/>
            <w:shd w:val="clear" w:color="auto" w:fill="auto"/>
          </w:tcPr>
          <w:p w14:paraId="11E63800" w14:textId="77777777" w:rsidR="00AE6B82" w:rsidRPr="00AF6E59" w:rsidRDefault="00AE6B82" w:rsidP="00EC13B7">
            <w:pPr>
              <w:pStyle w:val="01"/>
              <w:spacing w:line="260" w:lineRule="exact"/>
              <w:rPr>
                <w:rFonts w:hAnsi="標楷體"/>
                <w:kern w:val="0"/>
                <w:sz w:val="24"/>
              </w:rPr>
            </w:pPr>
            <w:r w:rsidRPr="00AF6E59">
              <w:rPr>
                <w:rFonts w:hAnsi="標楷體" w:hint="eastAsia"/>
                <w:kern w:val="0"/>
                <w:sz w:val="24"/>
              </w:rPr>
              <w:t>司法院函送「憲法訴訟書狀使用科技設備傳送辦法」，請查照案。</w:t>
            </w:r>
          </w:p>
        </w:tc>
        <w:tc>
          <w:tcPr>
            <w:tcW w:w="1747" w:type="dxa"/>
            <w:shd w:val="clear" w:color="auto" w:fill="auto"/>
          </w:tcPr>
          <w:p w14:paraId="47FF1D75" w14:textId="77777777" w:rsidR="00AE6B82" w:rsidRPr="00AF6E59" w:rsidRDefault="00AE6B82" w:rsidP="00EC13B7">
            <w:pPr>
              <w:pStyle w:val="01"/>
              <w:spacing w:line="300" w:lineRule="exact"/>
              <w:jc w:val="left"/>
              <w:rPr>
                <w:rFonts w:hAnsi="標楷體"/>
                <w:kern w:val="0"/>
                <w:sz w:val="24"/>
              </w:rPr>
            </w:pPr>
            <w:r w:rsidRPr="00AF6E59">
              <w:rPr>
                <w:rFonts w:hAnsi="標楷體" w:hint="eastAsia"/>
                <w:kern w:val="0"/>
                <w:sz w:val="24"/>
              </w:rPr>
              <w:t>司法院 111.03.18 （10-5-4）</w:t>
            </w:r>
          </w:p>
        </w:tc>
        <w:tc>
          <w:tcPr>
            <w:tcW w:w="1701" w:type="dxa"/>
            <w:shd w:val="clear" w:color="auto" w:fill="auto"/>
          </w:tcPr>
          <w:p w14:paraId="2119F9F5" w14:textId="77777777" w:rsidR="00AE6B82" w:rsidRPr="00AF6E59" w:rsidRDefault="00AE6B82" w:rsidP="00EC13B7">
            <w:pPr>
              <w:pStyle w:val="01"/>
              <w:spacing w:line="300" w:lineRule="exact"/>
              <w:jc w:val="left"/>
              <w:rPr>
                <w:rFonts w:hAnsi="標楷體"/>
                <w:kern w:val="0"/>
                <w:sz w:val="24"/>
              </w:rPr>
            </w:pPr>
            <w:r w:rsidRPr="00AF6E59">
              <w:rPr>
                <w:rFonts w:hAnsi="標楷體" w:hint="eastAsia"/>
                <w:kern w:val="0"/>
                <w:sz w:val="24"/>
              </w:rPr>
              <w:t>司法及法制</w:t>
            </w:r>
          </w:p>
        </w:tc>
        <w:tc>
          <w:tcPr>
            <w:tcW w:w="1984" w:type="dxa"/>
            <w:vMerge w:val="restart"/>
            <w:shd w:val="clear" w:color="auto" w:fill="auto"/>
          </w:tcPr>
          <w:p w14:paraId="7C96E76B"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4438F5A6" w14:textId="77777777" w:rsidR="00AE6B82" w:rsidRPr="003C5856" w:rsidRDefault="00AE6B82" w:rsidP="00EC13B7">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lastRenderedPageBreak/>
              <w:t>2</w:t>
            </w:r>
            <w:r w:rsidRPr="005A1F7C">
              <w:rPr>
                <w:rFonts w:ascii="標楷體" w:eastAsia="標楷體" w:hAnsi="標楷體" w:hint="eastAsia"/>
              </w:rPr>
              <w:t>.</w:t>
            </w:r>
            <w:r w:rsidRPr="001601C5">
              <w:rPr>
                <w:rFonts w:ascii="標楷體" w:eastAsia="標楷體" w:hAnsi="標楷體" w:hint="eastAsia"/>
                <w:w w:val="90"/>
              </w:rPr>
              <w:t>院會</w:t>
            </w:r>
            <w:r w:rsidRPr="001601C5">
              <w:rPr>
                <w:rFonts w:ascii="標楷體" w:eastAsia="標楷體" w:hAnsi="標楷體"/>
                <w:w w:val="90"/>
              </w:rPr>
              <w:t>111.</w:t>
            </w:r>
            <w:r w:rsidRPr="001601C5">
              <w:rPr>
                <w:rFonts w:ascii="標楷體" w:eastAsia="標楷體" w:hAnsi="標楷體" w:hint="eastAsia"/>
                <w:w w:val="90"/>
              </w:rPr>
              <w:t>11</w:t>
            </w:r>
            <w:r w:rsidRPr="001601C5">
              <w:rPr>
                <w:rFonts w:ascii="標楷體" w:eastAsia="標楷體" w:hAnsi="標楷體"/>
                <w:w w:val="90"/>
              </w:rPr>
              <w:t>.2</w:t>
            </w:r>
            <w:r w:rsidRPr="001601C5">
              <w:rPr>
                <w:rFonts w:ascii="標楷體" w:eastAsia="標楷體" w:hAnsi="標楷體" w:hint="eastAsia"/>
                <w:w w:val="90"/>
              </w:rPr>
              <w:t>5</w:t>
            </w:r>
            <w:r w:rsidRPr="001601C5">
              <w:rPr>
                <w:rFonts w:ascii="標楷體" w:eastAsia="標楷體" w:hAnsi="標楷體"/>
                <w:w w:val="90"/>
              </w:rPr>
              <w:t>（</w:t>
            </w:r>
            <w:r w:rsidRPr="001601C5">
              <w:rPr>
                <w:rFonts w:ascii="標楷體" w:eastAsia="標楷體" w:hAnsi="標楷體" w:hint="eastAsia"/>
                <w:w w:val="90"/>
              </w:rPr>
              <w:t>10</w:t>
            </w:r>
            <w:r w:rsidRPr="001601C5">
              <w:rPr>
                <w:rFonts w:ascii="標楷體" w:eastAsia="標楷體" w:hAnsi="標楷體"/>
                <w:w w:val="90"/>
              </w:rPr>
              <w:t>-6</w:t>
            </w:r>
            <w:r w:rsidRPr="001601C5">
              <w:rPr>
                <w:rFonts w:ascii="標楷體" w:eastAsia="標楷體" w:hAnsi="標楷體" w:hint="eastAsia"/>
                <w:w w:val="90"/>
              </w:rPr>
              <w:t>-9</w:t>
            </w:r>
            <w:r w:rsidRPr="001601C5">
              <w:rPr>
                <w:rFonts w:ascii="標楷體" w:eastAsia="標楷體" w:hAnsi="標楷體"/>
                <w:w w:val="90"/>
              </w:rPr>
              <w:t>）</w:t>
            </w:r>
            <w:r w:rsidRPr="001601C5">
              <w:rPr>
                <w:rFonts w:ascii="標楷體" w:eastAsia="標楷體" w:hAnsi="標楷體" w:hint="eastAsia"/>
                <w:w w:val="90"/>
              </w:rPr>
              <w:t>准予備查。</w:t>
            </w:r>
          </w:p>
        </w:tc>
      </w:tr>
      <w:tr w:rsidR="00AE6B82" w:rsidRPr="005042CE" w14:paraId="3449F972" w14:textId="77777777" w:rsidTr="00EC13B7">
        <w:tc>
          <w:tcPr>
            <w:tcW w:w="709" w:type="dxa"/>
            <w:shd w:val="clear" w:color="auto" w:fill="auto"/>
          </w:tcPr>
          <w:p w14:paraId="77B1E67E"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2648" w:type="dxa"/>
            <w:shd w:val="clear" w:color="auto" w:fill="auto"/>
          </w:tcPr>
          <w:p w14:paraId="7EE46C3A" w14:textId="77777777" w:rsidR="00AE6B82" w:rsidRPr="00AF6E59" w:rsidRDefault="00AE6B82" w:rsidP="00EC13B7">
            <w:pPr>
              <w:pStyle w:val="01"/>
              <w:spacing w:line="260" w:lineRule="exact"/>
              <w:rPr>
                <w:rFonts w:hAnsi="標楷體"/>
                <w:kern w:val="0"/>
                <w:sz w:val="24"/>
              </w:rPr>
            </w:pPr>
            <w:r w:rsidRPr="00AF6E59">
              <w:rPr>
                <w:rFonts w:hAnsi="標楷體" w:hint="eastAsia"/>
                <w:kern w:val="0"/>
                <w:sz w:val="24"/>
              </w:rPr>
              <w:t>司法院函，為修正「法</w:t>
            </w:r>
            <w:r w:rsidRPr="00AF6E59">
              <w:rPr>
                <w:rFonts w:hAnsi="標楷體" w:hint="eastAsia"/>
                <w:kern w:val="0"/>
                <w:sz w:val="24"/>
              </w:rPr>
              <w:lastRenderedPageBreak/>
              <w:t>庭席位布置規則」第十二條條文及第二條附圖二、附圖二之一、附圖三，請查照案。</w:t>
            </w:r>
          </w:p>
        </w:tc>
        <w:tc>
          <w:tcPr>
            <w:tcW w:w="1747" w:type="dxa"/>
            <w:shd w:val="clear" w:color="auto" w:fill="auto"/>
          </w:tcPr>
          <w:p w14:paraId="1C18E209" w14:textId="77777777" w:rsidR="00AE6B82" w:rsidRPr="00AF6E59" w:rsidRDefault="00AE6B82" w:rsidP="00EC13B7">
            <w:pPr>
              <w:pStyle w:val="01"/>
              <w:spacing w:line="300" w:lineRule="exact"/>
              <w:jc w:val="left"/>
              <w:rPr>
                <w:rFonts w:hAnsi="標楷體"/>
                <w:kern w:val="0"/>
                <w:sz w:val="24"/>
              </w:rPr>
            </w:pPr>
            <w:r w:rsidRPr="00AF6E59">
              <w:rPr>
                <w:rFonts w:hAnsi="標楷體" w:hint="eastAsia"/>
                <w:kern w:val="0"/>
                <w:sz w:val="24"/>
              </w:rPr>
              <w:lastRenderedPageBreak/>
              <w:t xml:space="preserve">司法院 </w:t>
            </w:r>
            <w:r w:rsidRPr="00AF6E59">
              <w:rPr>
                <w:rFonts w:hAnsi="標楷體" w:hint="eastAsia"/>
                <w:kern w:val="0"/>
                <w:sz w:val="24"/>
              </w:rPr>
              <w:lastRenderedPageBreak/>
              <w:t>111.04.15 （10-5-8）</w:t>
            </w:r>
          </w:p>
        </w:tc>
        <w:tc>
          <w:tcPr>
            <w:tcW w:w="1701" w:type="dxa"/>
            <w:shd w:val="clear" w:color="auto" w:fill="auto"/>
          </w:tcPr>
          <w:p w14:paraId="01A43B94" w14:textId="77777777" w:rsidR="00AE6B82" w:rsidRPr="00AF6E59" w:rsidRDefault="00AE6B82" w:rsidP="00EC13B7">
            <w:pPr>
              <w:pStyle w:val="01"/>
              <w:spacing w:line="300" w:lineRule="exact"/>
              <w:jc w:val="left"/>
              <w:rPr>
                <w:rFonts w:hAnsi="標楷體"/>
                <w:kern w:val="0"/>
                <w:sz w:val="24"/>
              </w:rPr>
            </w:pPr>
            <w:r w:rsidRPr="00AF6E59">
              <w:rPr>
                <w:rFonts w:hAnsi="標楷體" w:hint="eastAsia"/>
                <w:kern w:val="0"/>
                <w:sz w:val="24"/>
              </w:rPr>
              <w:lastRenderedPageBreak/>
              <w:t>司法及法制</w:t>
            </w:r>
          </w:p>
        </w:tc>
        <w:tc>
          <w:tcPr>
            <w:tcW w:w="1984" w:type="dxa"/>
            <w:vMerge/>
            <w:shd w:val="clear" w:color="auto" w:fill="auto"/>
          </w:tcPr>
          <w:p w14:paraId="148E5B1C" w14:textId="77777777" w:rsidR="00AE6B82" w:rsidRPr="003C5856" w:rsidRDefault="00AE6B82" w:rsidP="00EC13B7">
            <w:pPr>
              <w:kinsoku w:val="0"/>
              <w:overflowPunct w:val="0"/>
              <w:spacing w:line="300" w:lineRule="exact"/>
              <w:rPr>
                <w:rFonts w:ascii="標楷體" w:eastAsia="標楷體" w:hAnsi="標楷體"/>
                <w:spacing w:val="-20"/>
              </w:rPr>
            </w:pPr>
          </w:p>
        </w:tc>
      </w:tr>
      <w:tr w:rsidR="00AE6B82" w:rsidRPr="005042CE" w14:paraId="32293C02" w14:textId="77777777" w:rsidTr="00EC13B7">
        <w:tc>
          <w:tcPr>
            <w:tcW w:w="709" w:type="dxa"/>
            <w:shd w:val="clear" w:color="auto" w:fill="auto"/>
          </w:tcPr>
          <w:p w14:paraId="14F35934"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lastRenderedPageBreak/>
              <w:t>15</w:t>
            </w:r>
          </w:p>
        </w:tc>
        <w:tc>
          <w:tcPr>
            <w:tcW w:w="2648" w:type="dxa"/>
            <w:shd w:val="clear" w:color="auto" w:fill="auto"/>
          </w:tcPr>
          <w:p w14:paraId="56B1E65C" w14:textId="77777777" w:rsidR="00AE6B82" w:rsidRDefault="00AE6B82" w:rsidP="00EC13B7">
            <w:pPr>
              <w:pStyle w:val="01"/>
              <w:spacing w:line="260" w:lineRule="exact"/>
            </w:pPr>
            <w:r w:rsidRPr="002367CB">
              <w:rPr>
                <w:rFonts w:hAnsi="標楷體" w:hint="eastAsia"/>
                <w:kern w:val="0"/>
                <w:sz w:val="24"/>
              </w:rPr>
              <w:t>交通部函，為修正「中華郵政股份有限公司非資位現職人員退休撫卹辦法」部分條文，請查照案。</w:t>
            </w:r>
          </w:p>
        </w:tc>
        <w:tc>
          <w:tcPr>
            <w:tcW w:w="1747" w:type="dxa"/>
            <w:shd w:val="clear" w:color="auto" w:fill="auto"/>
          </w:tcPr>
          <w:p w14:paraId="01DF3E0A" w14:textId="77777777" w:rsidR="00AE6B82" w:rsidRDefault="00AE6B82" w:rsidP="00EC13B7">
            <w:pPr>
              <w:pStyle w:val="01"/>
              <w:spacing w:line="300" w:lineRule="exact"/>
              <w:jc w:val="left"/>
              <w:rPr>
                <w:rFonts w:hAnsi="標楷體"/>
              </w:rPr>
            </w:pPr>
            <w:r w:rsidRPr="002367CB">
              <w:rPr>
                <w:rFonts w:hAnsi="標楷體" w:hint="eastAsia"/>
                <w:kern w:val="0"/>
                <w:sz w:val="24"/>
              </w:rPr>
              <w:t>交通部 111.03.11 （10-5-3）</w:t>
            </w:r>
          </w:p>
        </w:tc>
        <w:tc>
          <w:tcPr>
            <w:tcW w:w="1701" w:type="dxa"/>
            <w:shd w:val="clear" w:color="auto" w:fill="auto"/>
          </w:tcPr>
          <w:p w14:paraId="6C5BC2EC" w14:textId="77777777" w:rsidR="00AE6B82" w:rsidRDefault="00AE6B82" w:rsidP="00EC13B7">
            <w:pPr>
              <w:pStyle w:val="01"/>
              <w:spacing w:line="300" w:lineRule="exact"/>
              <w:jc w:val="left"/>
              <w:rPr>
                <w:rFonts w:hAnsi="標楷體"/>
              </w:rPr>
            </w:pPr>
            <w:r w:rsidRPr="002367CB">
              <w:rPr>
                <w:rFonts w:hAnsi="標楷體" w:hint="eastAsia"/>
                <w:kern w:val="0"/>
                <w:sz w:val="24"/>
              </w:rPr>
              <w:t>司法及法制、交通</w:t>
            </w:r>
          </w:p>
        </w:tc>
        <w:tc>
          <w:tcPr>
            <w:tcW w:w="1984" w:type="dxa"/>
            <w:shd w:val="clear" w:color="auto" w:fill="auto"/>
          </w:tcPr>
          <w:p w14:paraId="1751C7E8"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376ED68A" w14:textId="77777777" w:rsidR="00AE6B82" w:rsidRPr="003C5856" w:rsidRDefault="00AE6B82" w:rsidP="00EC13B7">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2</w:t>
            </w:r>
            <w:r w:rsidRPr="005A1F7C">
              <w:rPr>
                <w:rFonts w:ascii="標楷體" w:eastAsia="標楷體" w:hAnsi="標楷體" w:hint="eastAsia"/>
              </w:rPr>
              <w:t>.</w:t>
            </w:r>
            <w:r w:rsidRPr="005B0D4B">
              <w:rPr>
                <w:rFonts w:ascii="標楷體" w:eastAsia="標楷體" w:hAnsi="標楷體" w:hint="eastAsia"/>
              </w:rPr>
              <w:t>院會</w:t>
            </w:r>
            <w:r w:rsidRPr="005B0D4B">
              <w:rPr>
                <w:rFonts w:ascii="標楷體" w:eastAsia="標楷體" w:hAnsi="標楷體"/>
              </w:rPr>
              <w:t>111.</w:t>
            </w:r>
            <w:r w:rsidRPr="005B0D4B">
              <w:rPr>
                <w:rFonts w:ascii="標楷體" w:eastAsia="標楷體" w:hAnsi="標楷體" w:hint="eastAsia"/>
              </w:rPr>
              <w:t>12</w:t>
            </w:r>
            <w:r w:rsidRPr="005B0D4B">
              <w:rPr>
                <w:rFonts w:ascii="標楷體" w:eastAsia="標楷體" w:hAnsi="標楷體"/>
              </w:rPr>
              <w:t>.2（</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-10</w:t>
            </w:r>
            <w:r w:rsidRPr="005B0D4B">
              <w:rPr>
                <w:rFonts w:ascii="標楷體" w:eastAsia="標楷體" w:hAnsi="標楷體"/>
              </w:rPr>
              <w:t>）</w:t>
            </w:r>
            <w:r w:rsidRPr="005B0D4B">
              <w:rPr>
                <w:rFonts w:ascii="標楷體" w:eastAsia="標楷體" w:hAnsi="標楷體" w:hint="eastAsia"/>
              </w:rPr>
              <w:t>准予備查。</w:t>
            </w:r>
          </w:p>
        </w:tc>
      </w:tr>
      <w:tr w:rsidR="00AE6B82" w:rsidRPr="005042CE" w14:paraId="25F85248" w14:textId="77777777" w:rsidTr="00EC13B7">
        <w:tc>
          <w:tcPr>
            <w:tcW w:w="709" w:type="dxa"/>
            <w:shd w:val="clear" w:color="auto" w:fill="auto"/>
          </w:tcPr>
          <w:p w14:paraId="72EFE454"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16</w:t>
            </w:r>
          </w:p>
        </w:tc>
        <w:tc>
          <w:tcPr>
            <w:tcW w:w="2648" w:type="dxa"/>
            <w:shd w:val="clear" w:color="auto" w:fill="auto"/>
          </w:tcPr>
          <w:p w14:paraId="78174EEB" w14:textId="77777777" w:rsidR="00AE6B82" w:rsidRDefault="00AE6B82" w:rsidP="00EC13B7">
            <w:pPr>
              <w:pStyle w:val="01"/>
              <w:spacing w:line="260" w:lineRule="exact"/>
            </w:pPr>
            <w:r w:rsidRPr="00980156">
              <w:rPr>
                <w:rFonts w:hAnsi="標楷體" w:hint="eastAsia"/>
                <w:kern w:val="0"/>
                <w:sz w:val="24"/>
              </w:rPr>
              <w:t>行政院環境保護署函，為修正「行政院環境保護署環境影響評估審查委員會組織規程」第四條及第十一條條文，請查照案。</w:t>
            </w:r>
          </w:p>
        </w:tc>
        <w:tc>
          <w:tcPr>
            <w:tcW w:w="1747" w:type="dxa"/>
            <w:shd w:val="clear" w:color="auto" w:fill="auto"/>
          </w:tcPr>
          <w:p w14:paraId="313B767F" w14:textId="77777777" w:rsidR="00AE6B82" w:rsidRDefault="00AE6B82" w:rsidP="00EC13B7">
            <w:pPr>
              <w:pStyle w:val="01"/>
              <w:spacing w:line="300" w:lineRule="exact"/>
              <w:jc w:val="left"/>
              <w:rPr>
                <w:rFonts w:hAnsi="標楷體"/>
              </w:rPr>
            </w:pPr>
            <w:r w:rsidRPr="00980156">
              <w:rPr>
                <w:rFonts w:hAnsi="標楷體" w:hint="eastAsia"/>
                <w:kern w:val="0"/>
                <w:sz w:val="24"/>
              </w:rPr>
              <w:t>行政院環境保護署 110.03.12 （10-3-3）</w:t>
            </w:r>
          </w:p>
        </w:tc>
        <w:tc>
          <w:tcPr>
            <w:tcW w:w="1701" w:type="dxa"/>
            <w:shd w:val="clear" w:color="auto" w:fill="auto"/>
          </w:tcPr>
          <w:p w14:paraId="513DB9FB" w14:textId="77777777" w:rsidR="00AE6B82" w:rsidRDefault="00AE6B82" w:rsidP="00EC13B7">
            <w:pPr>
              <w:pStyle w:val="01"/>
              <w:spacing w:line="300" w:lineRule="exact"/>
              <w:jc w:val="left"/>
              <w:rPr>
                <w:rFonts w:hAnsi="標楷體"/>
              </w:rPr>
            </w:pPr>
            <w:r w:rsidRPr="00980156">
              <w:rPr>
                <w:rFonts w:hAnsi="標楷體" w:hint="eastAsia"/>
                <w:kern w:val="0"/>
                <w:sz w:val="24"/>
              </w:rPr>
              <w:t>司法及法制、社會福利及衛生環境</w:t>
            </w:r>
          </w:p>
        </w:tc>
        <w:tc>
          <w:tcPr>
            <w:tcW w:w="1984" w:type="dxa"/>
            <w:shd w:val="clear" w:color="auto" w:fill="auto"/>
          </w:tcPr>
          <w:p w14:paraId="4814B5D7"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216F01">
              <w:rPr>
                <w:rFonts w:ascii="標楷體" w:eastAsia="標楷體" w:hAnsi="標楷體" w:hint="eastAsia"/>
              </w:rPr>
              <w:t>院會</w:t>
            </w:r>
            <w:r>
              <w:rPr>
                <w:rFonts w:ascii="標楷體" w:eastAsia="標楷體" w:hAnsi="標楷體" w:hint="eastAsia"/>
              </w:rPr>
              <w:t>111.3</w:t>
            </w:r>
            <w:r>
              <w:rPr>
                <w:rFonts w:ascii="標楷體" w:eastAsia="標楷體" w:hAnsi="標楷體"/>
              </w:rPr>
              <w:t>.4</w:t>
            </w:r>
            <w:r w:rsidRPr="00216F01">
              <w:rPr>
                <w:rFonts w:ascii="標楷體" w:eastAsia="標楷體" w:hAnsi="標楷體" w:hint="eastAsia"/>
              </w:rPr>
              <w:t>（</w:t>
            </w:r>
            <w:r>
              <w:rPr>
                <w:rFonts w:ascii="標楷體" w:eastAsia="標楷體" w:hAnsi="標楷體" w:hint="eastAsia"/>
              </w:rPr>
              <w:t>10-5-</w:t>
            </w:r>
            <w:r>
              <w:rPr>
                <w:rFonts w:ascii="標楷體" w:eastAsia="標楷體" w:hAnsi="標楷體"/>
              </w:rPr>
              <w:t>2</w:t>
            </w:r>
            <w:r w:rsidRPr="00216F01">
              <w:rPr>
                <w:rFonts w:ascii="標楷體" w:eastAsia="標楷體" w:hAnsi="標楷體" w:hint="eastAsia"/>
              </w:rPr>
              <w:t>）展延</w:t>
            </w:r>
            <w:r w:rsidRPr="005A1F7C">
              <w:rPr>
                <w:rFonts w:ascii="標楷體" w:eastAsia="標楷體" w:hAnsi="標楷體" w:hint="eastAsia"/>
              </w:rPr>
              <w:t>。</w:t>
            </w:r>
          </w:p>
          <w:p w14:paraId="5D90C2E9"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Pr="005A1F7C">
              <w:rPr>
                <w:rFonts w:ascii="標楷體" w:eastAsia="標楷體" w:hAnsi="標楷體" w:hint="eastAsia"/>
              </w:rPr>
              <w:t>已逾立法院職權行使法第61條所定審查期限，依規定提報院會存查。</w:t>
            </w:r>
          </w:p>
          <w:p w14:paraId="15923B44"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rPr>
              <w:t>3</w:t>
            </w:r>
            <w:r w:rsidRPr="005A1F7C">
              <w:rPr>
                <w:rFonts w:ascii="標楷體" w:eastAsia="標楷體" w:hAnsi="標楷體" w:hint="eastAsia"/>
              </w:rPr>
              <w:t>.</w:t>
            </w:r>
            <w:r w:rsidRPr="005B0D4B">
              <w:rPr>
                <w:rFonts w:ascii="標楷體" w:eastAsia="標楷體" w:hAnsi="標楷體" w:hint="eastAsia"/>
              </w:rPr>
              <w:t>院會</w:t>
            </w:r>
            <w:r w:rsidRPr="005B0D4B">
              <w:rPr>
                <w:rFonts w:ascii="標楷體" w:eastAsia="標楷體" w:hAnsi="標楷體"/>
              </w:rPr>
              <w:t>111.</w:t>
            </w:r>
            <w:r w:rsidRPr="005B0D4B">
              <w:rPr>
                <w:rFonts w:ascii="標楷體" w:eastAsia="標楷體" w:hAnsi="標楷體" w:hint="eastAsia"/>
              </w:rPr>
              <w:t>12</w:t>
            </w:r>
            <w:r>
              <w:rPr>
                <w:rFonts w:ascii="標楷體" w:eastAsia="標楷體" w:hAnsi="標楷體"/>
              </w:rPr>
              <w:t>.</w:t>
            </w:r>
            <w:r>
              <w:rPr>
                <w:rFonts w:ascii="標楷體" w:eastAsia="標楷體" w:hAnsi="標楷體" w:hint="eastAsia"/>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-11</w:t>
            </w:r>
            <w:r w:rsidRPr="005B0D4B">
              <w:rPr>
                <w:rFonts w:ascii="標楷體" w:eastAsia="標楷體" w:hAnsi="標楷體"/>
              </w:rPr>
              <w:t>）</w:t>
            </w:r>
            <w:r w:rsidRPr="005B0D4B">
              <w:rPr>
                <w:rFonts w:ascii="標楷體" w:eastAsia="標楷體" w:hAnsi="標楷體" w:hint="eastAsia"/>
              </w:rPr>
              <w:t>准予備查。</w:t>
            </w:r>
          </w:p>
        </w:tc>
      </w:tr>
      <w:tr w:rsidR="00AE6B82" w:rsidRPr="005042CE" w14:paraId="2E091EC8" w14:textId="77777777" w:rsidTr="00EC13B7">
        <w:tc>
          <w:tcPr>
            <w:tcW w:w="709" w:type="dxa"/>
            <w:shd w:val="clear" w:color="auto" w:fill="auto"/>
          </w:tcPr>
          <w:p w14:paraId="42795EEF"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17</w:t>
            </w:r>
          </w:p>
        </w:tc>
        <w:tc>
          <w:tcPr>
            <w:tcW w:w="2648" w:type="dxa"/>
            <w:shd w:val="clear" w:color="auto" w:fill="auto"/>
          </w:tcPr>
          <w:p w14:paraId="453BDB4E"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司法院函，為修正「司法院人事審議委員會委員遴選辦法」部分條文，請查照案。</w:t>
            </w:r>
          </w:p>
        </w:tc>
        <w:tc>
          <w:tcPr>
            <w:tcW w:w="1747" w:type="dxa"/>
            <w:shd w:val="clear" w:color="auto" w:fill="auto"/>
          </w:tcPr>
          <w:p w14:paraId="24590911"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110.10.08 （10-4-4）</w:t>
            </w:r>
          </w:p>
        </w:tc>
        <w:tc>
          <w:tcPr>
            <w:tcW w:w="1701" w:type="dxa"/>
            <w:vMerge w:val="restart"/>
            <w:shd w:val="clear" w:color="auto" w:fill="auto"/>
          </w:tcPr>
          <w:p w14:paraId="06BDA0D4" w14:textId="77777777" w:rsidR="00AE6B82" w:rsidRDefault="00AE6B82" w:rsidP="00EC13B7">
            <w:pPr>
              <w:pStyle w:val="01"/>
              <w:spacing w:line="300" w:lineRule="exact"/>
              <w:jc w:val="left"/>
              <w:rPr>
                <w:rFonts w:hAnsi="標楷體"/>
              </w:rPr>
            </w:pPr>
            <w:r w:rsidRPr="00023A3F">
              <w:rPr>
                <w:rFonts w:hAnsi="標楷體" w:hint="eastAsia"/>
                <w:kern w:val="0"/>
                <w:sz w:val="24"/>
              </w:rPr>
              <w:t>司法及法制</w:t>
            </w:r>
          </w:p>
        </w:tc>
        <w:tc>
          <w:tcPr>
            <w:tcW w:w="1984" w:type="dxa"/>
            <w:vMerge w:val="restart"/>
            <w:shd w:val="clear" w:color="auto" w:fill="auto"/>
          </w:tcPr>
          <w:p w14:paraId="33CF9BB7"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216F01">
              <w:rPr>
                <w:rFonts w:ascii="標楷體" w:eastAsia="標楷體" w:hAnsi="標楷體" w:hint="eastAsia"/>
              </w:rPr>
              <w:t>院會</w:t>
            </w:r>
            <w:r>
              <w:rPr>
                <w:rFonts w:ascii="標楷體" w:eastAsia="標楷體" w:hAnsi="標楷體" w:hint="eastAsia"/>
              </w:rPr>
              <w:t>111.9</w:t>
            </w:r>
            <w:r>
              <w:rPr>
                <w:rFonts w:ascii="標楷體" w:eastAsia="標楷體" w:hAnsi="標楷體"/>
              </w:rPr>
              <w:t>.</w:t>
            </w:r>
            <w:r>
              <w:rPr>
                <w:rFonts w:ascii="標楷體" w:eastAsia="標楷體" w:hAnsi="標楷體" w:hint="eastAsia"/>
              </w:rPr>
              <w:t>23</w:t>
            </w:r>
            <w:r w:rsidRPr="00216F01">
              <w:rPr>
                <w:rFonts w:ascii="標楷體" w:eastAsia="標楷體" w:hAnsi="標楷體" w:hint="eastAsia"/>
              </w:rPr>
              <w:t>（</w:t>
            </w:r>
            <w:r>
              <w:rPr>
                <w:rFonts w:ascii="標楷體" w:eastAsia="標楷體" w:hAnsi="標楷體" w:hint="eastAsia"/>
              </w:rPr>
              <w:t>10-6-1</w:t>
            </w:r>
            <w:r w:rsidRPr="00216F01">
              <w:rPr>
                <w:rFonts w:ascii="標楷體" w:eastAsia="標楷體" w:hAnsi="標楷體" w:hint="eastAsia"/>
              </w:rPr>
              <w:t>）展延</w:t>
            </w:r>
            <w:r>
              <w:rPr>
                <w:rFonts w:ascii="標楷體" w:eastAsia="標楷體" w:hAnsi="標楷體" w:hint="eastAsia"/>
              </w:rPr>
              <w:t>。</w:t>
            </w:r>
          </w:p>
          <w:p w14:paraId="3E9585E2"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Pr="005A1F7C">
              <w:rPr>
                <w:rFonts w:ascii="標楷體" w:eastAsia="標楷體" w:hAnsi="標楷體" w:hint="eastAsia"/>
              </w:rPr>
              <w:t>已逾立法院職權行使法第61條所定審查期限，依規定提報院會存查。</w:t>
            </w:r>
          </w:p>
          <w:p w14:paraId="093E171B"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rPr>
              <w:t>3</w:t>
            </w:r>
            <w:r w:rsidRPr="005A1F7C">
              <w:rPr>
                <w:rFonts w:ascii="標楷體" w:eastAsia="標楷體" w:hAnsi="標楷體" w:hint="eastAsia"/>
              </w:rPr>
              <w:t>.</w:t>
            </w:r>
            <w:r w:rsidRPr="005B0D4B">
              <w:rPr>
                <w:rFonts w:ascii="標楷體" w:eastAsia="標楷體" w:hAnsi="標楷體" w:hint="eastAsia"/>
              </w:rPr>
              <w:t>院會</w:t>
            </w:r>
            <w:r>
              <w:rPr>
                <w:rFonts w:ascii="標楷體" w:eastAsia="標楷體" w:hAnsi="標楷體"/>
              </w:rPr>
              <w:t>11</w:t>
            </w:r>
            <w:r>
              <w:rPr>
                <w:rFonts w:ascii="標楷體" w:eastAsia="標楷體" w:hAnsi="標楷體" w:hint="eastAsia"/>
              </w:rPr>
              <w:t>2</w:t>
            </w:r>
            <w:r w:rsidRPr="005B0D4B">
              <w:rPr>
                <w:rFonts w:ascii="標楷體" w:eastAsia="標楷體" w:hAnsi="標楷體"/>
              </w:rPr>
              <w:t>.</w:t>
            </w:r>
            <w:r>
              <w:rPr>
                <w:rFonts w:ascii="標楷體" w:eastAsia="標楷體" w:hAnsi="標楷體" w:hint="eastAsia"/>
              </w:rPr>
              <w:t>1</w:t>
            </w:r>
            <w:r>
              <w:rPr>
                <w:rFonts w:ascii="標楷體" w:eastAsia="標楷體" w:hAnsi="標楷體"/>
              </w:rPr>
              <w:t>.</w:t>
            </w:r>
            <w:r>
              <w:rPr>
                <w:rFonts w:ascii="標楷體" w:eastAsia="標楷體" w:hAnsi="標楷體" w:hint="eastAsia"/>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-15</w:t>
            </w:r>
            <w:r w:rsidRPr="005B0D4B">
              <w:rPr>
                <w:rFonts w:ascii="標楷體" w:eastAsia="標楷體" w:hAnsi="標楷體"/>
              </w:rPr>
              <w:t>）</w:t>
            </w:r>
            <w:r w:rsidRPr="005B0D4B">
              <w:rPr>
                <w:rFonts w:ascii="標楷體" w:eastAsia="標楷體" w:hAnsi="標楷體" w:hint="eastAsia"/>
              </w:rPr>
              <w:t>准予備查。</w:t>
            </w:r>
          </w:p>
        </w:tc>
      </w:tr>
      <w:tr w:rsidR="00AE6B82" w:rsidRPr="005042CE" w14:paraId="3CDBF2A4" w14:textId="77777777" w:rsidTr="00EC13B7">
        <w:tc>
          <w:tcPr>
            <w:tcW w:w="709" w:type="dxa"/>
            <w:shd w:val="clear" w:color="auto" w:fill="auto"/>
          </w:tcPr>
          <w:p w14:paraId="2EEEAC6F"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18</w:t>
            </w:r>
          </w:p>
        </w:tc>
        <w:tc>
          <w:tcPr>
            <w:tcW w:w="2648" w:type="dxa"/>
            <w:shd w:val="clear" w:color="auto" w:fill="auto"/>
          </w:tcPr>
          <w:p w14:paraId="1559E6A2"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司法院、行政院函送「傳染病流行疫情嚴重期間司法程序特別條例之傳染病流行疫情嚴重期間及施行地區」，請查照案。</w:t>
            </w:r>
          </w:p>
        </w:tc>
        <w:tc>
          <w:tcPr>
            <w:tcW w:w="1747" w:type="dxa"/>
            <w:shd w:val="clear" w:color="auto" w:fill="auto"/>
          </w:tcPr>
          <w:p w14:paraId="34F19331" w14:textId="77777777" w:rsidR="00AE6B82" w:rsidRPr="00023A3F" w:rsidRDefault="00AE6B82" w:rsidP="00EC13B7">
            <w:pPr>
              <w:pStyle w:val="01"/>
              <w:spacing w:line="300" w:lineRule="exact"/>
              <w:jc w:val="left"/>
              <w:rPr>
                <w:rFonts w:hAnsi="標楷體"/>
                <w:kern w:val="0"/>
                <w:sz w:val="24"/>
              </w:rPr>
            </w:pPr>
            <w:r w:rsidRPr="00992D0C">
              <w:rPr>
                <w:rFonts w:hAnsi="標楷體" w:hint="eastAsia"/>
                <w:spacing w:val="-20"/>
                <w:kern w:val="0"/>
                <w:sz w:val="24"/>
              </w:rPr>
              <w:t>司法院、行政院</w:t>
            </w:r>
            <w:r w:rsidRPr="00023A3F">
              <w:rPr>
                <w:rFonts w:hAnsi="標楷體" w:hint="eastAsia"/>
                <w:kern w:val="0"/>
                <w:sz w:val="24"/>
              </w:rPr>
              <w:t xml:space="preserve"> 110.11.26 （10-4-11）</w:t>
            </w:r>
          </w:p>
        </w:tc>
        <w:tc>
          <w:tcPr>
            <w:tcW w:w="1701" w:type="dxa"/>
            <w:vMerge/>
            <w:shd w:val="clear" w:color="auto" w:fill="auto"/>
          </w:tcPr>
          <w:p w14:paraId="32A89D70" w14:textId="77777777" w:rsidR="00AE6B82" w:rsidRDefault="00AE6B82" w:rsidP="00EC13B7">
            <w:pPr>
              <w:rPr>
                <w:rFonts w:ascii="標楷體" w:hAnsi="標楷體"/>
              </w:rPr>
            </w:pPr>
          </w:p>
        </w:tc>
        <w:tc>
          <w:tcPr>
            <w:tcW w:w="1984" w:type="dxa"/>
            <w:vMerge/>
            <w:shd w:val="clear" w:color="auto" w:fill="auto"/>
          </w:tcPr>
          <w:p w14:paraId="09AC94FA" w14:textId="77777777" w:rsidR="00AE6B82" w:rsidRDefault="00AE6B82" w:rsidP="00EC13B7">
            <w:pPr>
              <w:rPr>
                <w:rFonts w:ascii="標楷體" w:hAnsi="標楷體"/>
              </w:rPr>
            </w:pPr>
          </w:p>
        </w:tc>
      </w:tr>
      <w:tr w:rsidR="00AE6B82" w:rsidRPr="005042CE" w14:paraId="0F1A96A1" w14:textId="77777777" w:rsidTr="00EC13B7">
        <w:tc>
          <w:tcPr>
            <w:tcW w:w="709" w:type="dxa"/>
            <w:shd w:val="clear" w:color="auto" w:fill="auto"/>
          </w:tcPr>
          <w:p w14:paraId="5CF863C7"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19</w:t>
            </w:r>
          </w:p>
        </w:tc>
        <w:tc>
          <w:tcPr>
            <w:tcW w:w="2648" w:type="dxa"/>
            <w:shd w:val="clear" w:color="auto" w:fill="auto"/>
          </w:tcPr>
          <w:p w14:paraId="4018C034"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司法院函送「司法事務官甄審及訓練辦法」，請查照案。</w:t>
            </w:r>
          </w:p>
        </w:tc>
        <w:tc>
          <w:tcPr>
            <w:tcW w:w="1747" w:type="dxa"/>
            <w:shd w:val="clear" w:color="auto" w:fill="auto"/>
          </w:tcPr>
          <w:p w14:paraId="10926ED9"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5CB33A25" w14:textId="77777777" w:rsidR="00AE6B82" w:rsidRDefault="00AE6B82" w:rsidP="00EC13B7">
            <w:pPr>
              <w:rPr>
                <w:rFonts w:ascii="標楷體" w:hAnsi="標楷體"/>
              </w:rPr>
            </w:pPr>
          </w:p>
        </w:tc>
        <w:tc>
          <w:tcPr>
            <w:tcW w:w="1984" w:type="dxa"/>
            <w:vMerge/>
            <w:shd w:val="clear" w:color="auto" w:fill="auto"/>
          </w:tcPr>
          <w:p w14:paraId="62CA89F0"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1D9D400A" w14:textId="77777777" w:rsidTr="00EC13B7">
        <w:tc>
          <w:tcPr>
            <w:tcW w:w="709" w:type="dxa"/>
            <w:shd w:val="clear" w:color="auto" w:fill="auto"/>
          </w:tcPr>
          <w:p w14:paraId="0A115B2F"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20</w:t>
            </w:r>
          </w:p>
        </w:tc>
        <w:tc>
          <w:tcPr>
            <w:tcW w:w="2648" w:type="dxa"/>
            <w:shd w:val="clear" w:color="auto" w:fill="auto"/>
          </w:tcPr>
          <w:p w14:paraId="56E3D27F"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司法院函，為修正「法院特約通譯約聘辦法」，請查照案。</w:t>
            </w:r>
          </w:p>
        </w:tc>
        <w:tc>
          <w:tcPr>
            <w:tcW w:w="1747" w:type="dxa"/>
            <w:shd w:val="clear" w:color="auto" w:fill="auto"/>
          </w:tcPr>
          <w:p w14:paraId="7D0F235B"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48CC565D" w14:textId="77777777" w:rsidR="00AE6B82" w:rsidRDefault="00AE6B82" w:rsidP="00EC13B7">
            <w:pPr>
              <w:rPr>
                <w:rFonts w:ascii="標楷體" w:hAnsi="標楷體"/>
              </w:rPr>
            </w:pPr>
          </w:p>
        </w:tc>
        <w:tc>
          <w:tcPr>
            <w:tcW w:w="1984" w:type="dxa"/>
            <w:vMerge/>
            <w:shd w:val="clear" w:color="auto" w:fill="auto"/>
          </w:tcPr>
          <w:p w14:paraId="621A14CF"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793426FF" w14:textId="77777777" w:rsidTr="00EC13B7">
        <w:tc>
          <w:tcPr>
            <w:tcW w:w="709" w:type="dxa"/>
            <w:shd w:val="clear" w:color="auto" w:fill="auto"/>
          </w:tcPr>
          <w:p w14:paraId="34AE7642"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21</w:t>
            </w:r>
          </w:p>
        </w:tc>
        <w:tc>
          <w:tcPr>
            <w:tcW w:w="2648" w:type="dxa"/>
            <w:shd w:val="clear" w:color="auto" w:fill="auto"/>
          </w:tcPr>
          <w:p w14:paraId="23FB856A"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司法院函送「國民參與審判制度概要說明書及候選國民法官調查表應記載事項準則」，請查照案。</w:t>
            </w:r>
          </w:p>
        </w:tc>
        <w:tc>
          <w:tcPr>
            <w:tcW w:w="1747" w:type="dxa"/>
            <w:shd w:val="clear" w:color="auto" w:fill="auto"/>
          </w:tcPr>
          <w:p w14:paraId="0339F945"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621C83A9" w14:textId="77777777" w:rsidR="00AE6B82" w:rsidRDefault="00AE6B82" w:rsidP="00EC13B7">
            <w:pPr>
              <w:rPr>
                <w:rFonts w:ascii="標楷體" w:hAnsi="標楷體"/>
              </w:rPr>
            </w:pPr>
          </w:p>
        </w:tc>
        <w:tc>
          <w:tcPr>
            <w:tcW w:w="1984" w:type="dxa"/>
            <w:vMerge/>
            <w:shd w:val="clear" w:color="auto" w:fill="auto"/>
          </w:tcPr>
          <w:p w14:paraId="7AF3E20E"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7EC62B6A" w14:textId="77777777" w:rsidTr="00EC13B7">
        <w:tc>
          <w:tcPr>
            <w:tcW w:w="709" w:type="dxa"/>
            <w:shd w:val="clear" w:color="auto" w:fill="auto"/>
          </w:tcPr>
          <w:p w14:paraId="60C904D6"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22</w:t>
            </w:r>
          </w:p>
        </w:tc>
        <w:tc>
          <w:tcPr>
            <w:tcW w:w="2648" w:type="dxa"/>
            <w:shd w:val="clear" w:color="auto" w:fill="auto"/>
          </w:tcPr>
          <w:p w14:paraId="1ACB7DDB"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考試院函，為修正「公務人員高等考試三級考試暨普通考試規則」第三條、第七條、第十二條條文及第二條附表一、第四條附表三、附表四，請查照案。</w:t>
            </w:r>
          </w:p>
        </w:tc>
        <w:tc>
          <w:tcPr>
            <w:tcW w:w="1747" w:type="dxa"/>
            <w:shd w:val="clear" w:color="auto" w:fill="auto"/>
          </w:tcPr>
          <w:p w14:paraId="0BA7F48E"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考試院 110.12.17 （10-4-14）</w:t>
            </w:r>
          </w:p>
        </w:tc>
        <w:tc>
          <w:tcPr>
            <w:tcW w:w="1701" w:type="dxa"/>
            <w:vMerge/>
            <w:shd w:val="clear" w:color="auto" w:fill="auto"/>
          </w:tcPr>
          <w:p w14:paraId="455DB5B1" w14:textId="77777777" w:rsidR="00AE6B82" w:rsidRDefault="00AE6B82" w:rsidP="00EC13B7">
            <w:pPr>
              <w:rPr>
                <w:rFonts w:ascii="標楷體" w:hAnsi="標楷體"/>
              </w:rPr>
            </w:pPr>
          </w:p>
        </w:tc>
        <w:tc>
          <w:tcPr>
            <w:tcW w:w="1984" w:type="dxa"/>
            <w:vMerge/>
            <w:shd w:val="clear" w:color="auto" w:fill="auto"/>
          </w:tcPr>
          <w:p w14:paraId="3710136E"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138CF31E" w14:textId="77777777" w:rsidTr="00EC13B7">
        <w:tc>
          <w:tcPr>
            <w:tcW w:w="709" w:type="dxa"/>
            <w:shd w:val="clear" w:color="auto" w:fill="auto"/>
          </w:tcPr>
          <w:p w14:paraId="137C7427"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23</w:t>
            </w:r>
          </w:p>
        </w:tc>
        <w:tc>
          <w:tcPr>
            <w:tcW w:w="2648" w:type="dxa"/>
            <w:shd w:val="clear" w:color="auto" w:fill="auto"/>
          </w:tcPr>
          <w:p w14:paraId="2880AC59"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司法院函送「智慧財產及商業法院辦理商業事</w:t>
            </w:r>
            <w:r w:rsidRPr="0015453C">
              <w:rPr>
                <w:rFonts w:hAnsi="標楷體" w:hint="eastAsia"/>
                <w:kern w:val="0"/>
                <w:sz w:val="24"/>
              </w:rPr>
              <w:lastRenderedPageBreak/>
              <w:t>件期限規則」，請查照案。</w:t>
            </w:r>
          </w:p>
        </w:tc>
        <w:tc>
          <w:tcPr>
            <w:tcW w:w="1747" w:type="dxa"/>
            <w:shd w:val="clear" w:color="auto" w:fill="auto"/>
          </w:tcPr>
          <w:p w14:paraId="6B60A44D"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lastRenderedPageBreak/>
              <w:t xml:space="preserve">司法院 110.12.17 </w:t>
            </w:r>
            <w:r w:rsidRPr="00023A3F">
              <w:rPr>
                <w:rFonts w:hAnsi="標楷體" w:hint="eastAsia"/>
                <w:kern w:val="0"/>
                <w:sz w:val="24"/>
              </w:rPr>
              <w:lastRenderedPageBreak/>
              <w:t>（10-4-14）</w:t>
            </w:r>
          </w:p>
        </w:tc>
        <w:tc>
          <w:tcPr>
            <w:tcW w:w="1701" w:type="dxa"/>
            <w:vMerge/>
            <w:shd w:val="clear" w:color="auto" w:fill="auto"/>
          </w:tcPr>
          <w:p w14:paraId="758C133C" w14:textId="77777777" w:rsidR="00AE6B82" w:rsidRDefault="00AE6B82" w:rsidP="00EC13B7">
            <w:pPr>
              <w:rPr>
                <w:rFonts w:ascii="標楷體" w:hAnsi="標楷體"/>
              </w:rPr>
            </w:pPr>
          </w:p>
        </w:tc>
        <w:tc>
          <w:tcPr>
            <w:tcW w:w="1984" w:type="dxa"/>
            <w:vMerge/>
            <w:shd w:val="clear" w:color="auto" w:fill="auto"/>
          </w:tcPr>
          <w:p w14:paraId="19CAC8FB"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666E1551" w14:textId="77777777" w:rsidTr="00EC13B7">
        <w:tc>
          <w:tcPr>
            <w:tcW w:w="709" w:type="dxa"/>
            <w:shd w:val="clear" w:color="auto" w:fill="auto"/>
          </w:tcPr>
          <w:p w14:paraId="215786A4"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lastRenderedPageBreak/>
              <w:t>24</w:t>
            </w:r>
          </w:p>
        </w:tc>
        <w:tc>
          <w:tcPr>
            <w:tcW w:w="2648" w:type="dxa"/>
            <w:shd w:val="clear" w:color="auto" w:fill="auto"/>
          </w:tcPr>
          <w:p w14:paraId="35D4F2A8"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司法院函，為修正「司法院大法官審理案件法施行細則」部分條文，請查照案。</w:t>
            </w:r>
          </w:p>
        </w:tc>
        <w:tc>
          <w:tcPr>
            <w:tcW w:w="1747" w:type="dxa"/>
            <w:shd w:val="clear" w:color="auto" w:fill="auto"/>
          </w:tcPr>
          <w:p w14:paraId="456DEFE5"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25990E5E" w14:textId="77777777" w:rsidR="00AE6B82" w:rsidRDefault="00AE6B82" w:rsidP="00EC13B7">
            <w:pPr>
              <w:rPr>
                <w:rFonts w:ascii="標楷體" w:hAnsi="標楷體"/>
              </w:rPr>
            </w:pPr>
          </w:p>
        </w:tc>
        <w:tc>
          <w:tcPr>
            <w:tcW w:w="1984" w:type="dxa"/>
            <w:vMerge/>
            <w:shd w:val="clear" w:color="auto" w:fill="auto"/>
          </w:tcPr>
          <w:p w14:paraId="7BC8EE62"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79E33A49" w14:textId="77777777" w:rsidTr="00EC13B7">
        <w:tc>
          <w:tcPr>
            <w:tcW w:w="709" w:type="dxa"/>
            <w:shd w:val="clear" w:color="auto" w:fill="auto"/>
          </w:tcPr>
          <w:p w14:paraId="2834BE09"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25</w:t>
            </w:r>
          </w:p>
        </w:tc>
        <w:tc>
          <w:tcPr>
            <w:tcW w:w="2648" w:type="dxa"/>
            <w:shd w:val="clear" w:color="auto" w:fill="auto"/>
          </w:tcPr>
          <w:p w14:paraId="0A6B318B"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司法院函送「憲法法庭審理規則」，請查照案。</w:t>
            </w:r>
          </w:p>
        </w:tc>
        <w:tc>
          <w:tcPr>
            <w:tcW w:w="1747" w:type="dxa"/>
            <w:shd w:val="clear" w:color="auto" w:fill="auto"/>
          </w:tcPr>
          <w:p w14:paraId="4D5865E8"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534A48E6" w14:textId="77777777" w:rsidR="00AE6B82" w:rsidRDefault="00AE6B82" w:rsidP="00EC13B7">
            <w:pPr>
              <w:rPr>
                <w:rFonts w:ascii="標楷體" w:hAnsi="標楷體"/>
              </w:rPr>
            </w:pPr>
          </w:p>
        </w:tc>
        <w:tc>
          <w:tcPr>
            <w:tcW w:w="1984" w:type="dxa"/>
            <w:vMerge/>
            <w:shd w:val="clear" w:color="auto" w:fill="auto"/>
          </w:tcPr>
          <w:p w14:paraId="63DB94AA"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65D20511" w14:textId="77777777" w:rsidTr="00EC13B7">
        <w:tc>
          <w:tcPr>
            <w:tcW w:w="709" w:type="dxa"/>
            <w:shd w:val="clear" w:color="auto" w:fill="auto"/>
          </w:tcPr>
          <w:p w14:paraId="1D3FFE61"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26</w:t>
            </w:r>
          </w:p>
        </w:tc>
        <w:tc>
          <w:tcPr>
            <w:tcW w:w="2648" w:type="dxa"/>
            <w:shd w:val="clear" w:color="auto" w:fill="auto"/>
          </w:tcPr>
          <w:p w14:paraId="3B0E8C75"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司法院函送「憲法訴訟案件書狀及卷內文書公開辦法」，請查照案。</w:t>
            </w:r>
          </w:p>
        </w:tc>
        <w:tc>
          <w:tcPr>
            <w:tcW w:w="1747" w:type="dxa"/>
            <w:shd w:val="clear" w:color="auto" w:fill="auto"/>
          </w:tcPr>
          <w:p w14:paraId="382F2757"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04050F59" w14:textId="77777777" w:rsidR="00AE6B82" w:rsidRDefault="00AE6B82" w:rsidP="00EC13B7">
            <w:pPr>
              <w:rPr>
                <w:rFonts w:ascii="標楷體" w:hAnsi="標楷體"/>
              </w:rPr>
            </w:pPr>
          </w:p>
        </w:tc>
        <w:tc>
          <w:tcPr>
            <w:tcW w:w="1984" w:type="dxa"/>
            <w:vMerge/>
            <w:shd w:val="clear" w:color="auto" w:fill="auto"/>
          </w:tcPr>
          <w:p w14:paraId="512A7B89"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0DF58359" w14:textId="77777777" w:rsidTr="00EC13B7">
        <w:tc>
          <w:tcPr>
            <w:tcW w:w="709" w:type="dxa"/>
            <w:shd w:val="clear" w:color="auto" w:fill="auto"/>
          </w:tcPr>
          <w:p w14:paraId="45195643"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27</w:t>
            </w:r>
          </w:p>
        </w:tc>
        <w:tc>
          <w:tcPr>
            <w:tcW w:w="2648" w:type="dxa"/>
            <w:shd w:val="clear" w:color="auto" w:fill="auto"/>
          </w:tcPr>
          <w:p w14:paraId="780F1031"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司法院函送「司法院主管法律扶助財團法人誠信經營指導原則」，請查照案。</w:t>
            </w:r>
          </w:p>
        </w:tc>
        <w:tc>
          <w:tcPr>
            <w:tcW w:w="1747" w:type="dxa"/>
            <w:shd w:val="clear" w:color="auto" w:fill="auto"/>
          </w:tcPr>
          <w:p w14:paraId="74ED2F6B"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14:paraId="4A411362" w14:textId="77777777" w:rsidR="00AE6B82" w:rsidRDefault="00AE6B82" w:rsidP="00EC13B7">
            <w:pPr>
              <w:rPr>
                <w:rFonts w:ascii="標楷體" w:hAnsi="標楷體"/>
              </w:rPr>
            </w:pPr>
          </w:p>
        </w:tc>
        <w:tc>
          <w:tcPr>
            <w:tcW w:w="1984" w:type="dxa"/>
            <w:vMerge/>
            <w:shd w:val="clear" w:color="auto" w:fill="auto"/>
          </w:tcPr>
          <w:p w14:paraId="3D9165A7"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614000BF" w14:textId="77777777" w:rsidTr="00EC13B7">
        <w:tc>
          <w:tcPr>
            <w:tcW w:w="709" w:type="dxa"/>
            <w:shd w:val="clear" w:color="auto" w:fill="auto"/>
          </w:tcPr>
          <w:p w14:paraId="1EBCB258"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28</w:t>
            </w:r>
          </w:p>
        </w:tc>
        <w:tc>
          <w:tcPr>
            <w:tcW w:w="2648" w:type="dxa"/>
            <w:shd w:val="clear" w:color="auto" w:fill="auto"/>
          </w:tcPr>
          <w:p w14:paraId="4812989C"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司法院、考試院函，為修正「法官遷調改任辦法」，請查照案。</w:t>
            </w:r>
          </w:p>
        </w:tc>
        <w:tc>
          <w:tcPr>
            <w:tcW w:w="1747" w:type="dxa"/>
            <w:shd w:val="clear" w:color="auto" w:fill="auto"/>
          </w:tcPr>
          <w:p w14:paraId="0C756CD2" w14:textId="77777777" w:rsidR="00AE6B82" w:rsidRPr="00023A3F" w:rsidRDefault="00AE6B82" w:rsidP="00EC13B7">
            <w:pPr>
              <w:pStyle w:val="01"/>
              <w:spacing w:line="300" w:lineRule="exact"/>
              <w:jc w:val="left"/>
              <w:rPr>
                <w:rFonts w:hAnsi="標楷體"/>
                <w:kern w:val="0"/>
                <w:sz w:val="24"/>
              </w:rPr>
            </w:pPr>
            <w:r w:rsidRPr="00992D0C">
              <w:rPr>
                <w:rFonts w:hAnsi="標楷體" w:hint="eastAsia"/>
                <w:spacing w:val="-20"/>
                <w:kern w:val="0"/>
                <w:sz w:val="24"/>
              </w:rPr>
              <w:t xml:space="preserve">司法院、考試院 </w:t>
            </w:r>
            <w:r w:rsidRPr="00023A3F">
              <w:rPr>
                <w:rFonts w:hAnsi="標楷體" w:hint="eastAsia"/>
                <w:kern w:val="0"/>
                <w:sz w:val="24"/>
              </w:rPr>
              <w:t>110.12.17 （10-4-14）</w:t>
            </w:r>
          </w:p>
        </w:tc>
        <w:tc>
          <w:tcPr>
            <w:tcW w:w="1701" w:type="dxa"/>
            <w:vMerge/>
            <w:shd w:val="clear" w:color="auto" w:fill="auto"/>
          </w:tcPr>
          <w:p w14:paraId="0FDC6718" w14:textId="77777777" w:rsidR="00AE6B82" w:rsidRDefault="00AE6B82" w:rsidP="00EC13B7">
            <w:pPr>
              <w:rPr>
                <w:rFonts w:ascii="標楷體" w:hAnsi="標楷體"/>
              </w:rPr>
            </w:pPr>
          </w:p>
        </w:tc>
        <w:tc>
          <w:tcPr>
            <w:tcW w:w="1984" w:type="dxa"/>
            <w:vMerge/>
            <w:shd w:val="clear" w:color="auto" w:fill="auto"/>
          </w:tcPr>
          <w:p w14:paraId="156BBD0B"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59ADF2EA" w14:textId="77777777" w:rsidTr="00EC13B7">
        <w:tc>
          <w:tcPr>
            <w:tcW w:w="709" w:type="dxa"/>
            <w:shd w:val="clear" w:color="auto" w:fill="auto"/>
          </w:tcPr>
          <w:p w14:paraId="6F69909A"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29</w:t>
            </w:r>
          </w:p>
        </w:tc>
        <w:tc>
          <w:tcPr>
            <w:tcW w:w="2648" w:type="dxa"/>
            <w:shd w:val="clear" w:color="auto" w:fill="auto"/>
          </w:tcPr>
          <w:p w14:paraId="3FDD4F65"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法務部函，為修正「法務部處務規程」部分條文，請查照案。</w:t>
            </w:r>
          </w:p>
        </w:tc>
        <w:tc>
          <w:tcPr>
            <w:tcW w:w="1747" w:type="dxa"/>
            <w:shd w:val="clear" w:color="auto" w:fill="auto"/>
          </w:tcPr>
          <w:p w14:paraId="283B9B74"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法務部 110.12.17 （10-4-14）</w:t>
            </w:r>
          </w:p>
        </w:tc>
        <w:tc>
          <w:tcPr>
            <w:tcW w:w="1701" w:type="dxa"/>
            <w:vMerge/>
            <w:shd w:val="clear" w:color="auto" w:fill="auto"/>
          </w:tcPr>
          <w:p w14:paraId="11C768BE" w14:textId="77777777" w:rsidR="00AE6B82" w:rsidRDefault="00AE6B82" w:rsidP="00EC13B7">
            <w:pPr>
              <w:rPr>
                <w:rFonts w:ascii="標楷體" w:hAnsi="標楷體"/>
              </w:rPr>
            </w:pPr>
          </w:p>
        </w:tc>
        <w:tc>
          <w:tcPr>
            <w:tcW w:w="1984" w:type="dxa"/>
            <w:vMerge/>
            <w:shd w:val="clear" w:color="auto" w:fill="auto"/>
          </w:tcPr>
          <w:p w14:paraId="2A09EBF6"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76DBD7B9" w14:textId="77777777" w:rsidTr="00EC13B7">
        <w:tc>
          <w:tcPr>
            <w:tcW w:w="709" w:type="dxa"/>
            <w:shd w:val="clear" w:color="auto" w:fill="auto"/>
          </w:tcPr>
          <w:p w14:paraId="014CDDD8"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30</w:t>
            </w:r>
          </w:p>
        </w:tc>
        <w:tc>
          <w:tcPr>
            <w:tcW w:w="2648" w:type="dxa"/>
            <w:shd w:val="clear" w:color="auto" w:fill="auto"/>
          </w:tcPr>
          <w:p w14:paraId="7CE74AFB"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法務部函，為修正「法務部編制表」，請查照案。</w:t>
            </w:r>
          </w:p>
        </w:tc>
        <w:tc>
          <w:tcPr>
            <w:tcW w:w="1747" w:type="dxa"/>
            <w:shd w:val="clear" w:color="auto" w:fill="auto"/>
          </w:tcPr>
          <w:p w14:paraId="50348322"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法務部 110.12.17 （10-4-14）</w:t>
            </w:r>
          </w:p>
        </w:tc>
        <w:tc>
          <w:tcPr>
            <w:tcW w:w="1701" w:type="dxa"/>
            <w:vMerge/>
            <w:shd w:val="clear" w:color="auto" w:fill="auto"/>
          </w:tcPr>
          <w:p w14:paraId="09978FCA" w14:textId="77777777" w:rsidR="00AE6B82" w:rsidRDefault="00AE6B82" w:rsidP="00EC13B7">
            <w:pPr>
              <w:rPr>
                <w:rFonts w:ascii="標楷體" w:hAnsi="標楷體"/>
              </w:rPr>
            </w:pPr>
          </w:p>
        </w:tc>
        <w:tc>
          <w:tcPr>
            <w:tcW w:w="1984" w:type="dxa"/>
            <w:vMerge/>
            <w:shd w:val="clear" w:color="auto" w:fill="auto"/>
          </w:tcPr>
          <w:p w14:paraId="1673E318"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565DB2A7" w14:textId="77777777" w:rsidTr="00EC13B7">
        <w:tc>
          <w:tcPr>
            <w:tcW w:w="709" w:type="dxa"/>
            <w:shd w:val="clear" w:color="auto" w:fill="auto"/>
          </w:tcPr>
          <w:p w14:paraId="6AEFC366"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31</w:t>
            </w:r>
          </w:p>
        </w:tc>
        <w:tc>
          <w:tcPr>
            <w:tcW w:w="2648" w:type="dxa"/>
            <w:shd w:val="clear" w:color="auto" w:fill="auto"/>
          </w:tcPr>
          <w:p w14:paraId="0B280F2D"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監察院函，為修正「監察院訴願審議委員會組織規程」第二條及第五條條文，請查照案。</w:t>
            </w:r>
          </w:p>
        </w:tc>
        <w:tc>
          <w:tcPr>
            <w:tcW w:w="1747" w:type="dxa"/>
            <w:shd w:val="clear" w:color="auto" w:fill="auto"/>
          </w:tcPr>
          <w:p w14:paraId="1ADAF336"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監察院 110.12.17 （10-4-14）</w:t>
            </w:r>
          </w:p>
        </w:tc>
        <w:tc>
          <w:tcPr>
            <w:tcW w:w="1701" w:type="dxa"/>
            <w:vMerge/>
            <w:shd w:val="clear" w:color="auto" w:fill="auto"/>
          </w:tcPr>
          <w:p w14:paraId="5CB12B7E" w14:textId="77777777" w:rsidR="00AE6B82" w:rsidRDefault="00AE6B82" w:rsidP="00EC13B7">
            <w:pPr>
              <w:rPr>
                <w:rFonts w:ascii="標楷體" w:hAnsi="標楷體"/>
              </w:rPr>
            </w:pPr>
          </w:p>
        </w:tc>
        <w:tc>
          <w:tcPr>
            <w:tcW w:w="1984" w:type="dxa"/>
            <w:vMerge/>
            <w:shd w:val="clear" w:color="auto" w:fill="auto"/>
          </w:tcPr>
          <w:p w14:paraId="13DE688D"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1607B2FC" w14:textId="77777777" w:rsidTr="00EC13B7">
        <w:tc>
          <w:tcPr>
            <w:tcW w:w="709" w:type="dxa"/>
            <w:shd w:val="clear" w:color="auto" w:fill="auto"/>
          </w:tcPr>
          <w:p w14:paraId="639B8ACE"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32</w:t>
            </w:r>
          </w:p>
        </w:tc>
        <w:tc>
          <w:tcPr>
            <w:tcW w:w="2648" w:type="dxa"/>
            <w:shd w:val="clear" w:color="auto" w:fill="auto"/>
          </w:tcPr>
          <w:p w14:paraId="6128EE61"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監察院函，為修正「監察院監察委員紀律委員會設置辦法」第三條、第四條及第九條條文，請查照案。</w:t>
            </w:r>
          </w:p>
        </w:tc>
        <w:tc>
          <w:tcPr>
            <w:tcW w:w="1747" w:type="dxa"/>
            <w:shd w:val="clear" w:color="auto" w:fill="auto"/>
          </w:tcPr>
          <w:p w14:paraId="7A4DEE81"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監察院 110.12.17 （10-4-14）</w:t>
            </w:r>
          </w:p>
        </w:tc>
        <w:tc>
          <w:tcPr>
            <w:tcW w:w="1701" w:type="dxa"/>
            <w:vMerge/>
            <w:shd w:val="clear" w:color="auto" w:fill="auto"/>
          </w:tcPr>
          <w:p w14:paraId="1AC3C0F4" w14:textId="77777777" w:rsidR="00AE6B82" w:rsidRDefault="00AE6B82" w:rsidP="00EC13B7">
            <w:pPr>
              <w:rPr>
                <w:rFonts w:ascii="標楷體" w:hAnsi="標楷體"/>
              </w:rPr>
            </w:pPr>
          </w:p>
        </w:tc>
        <w:tc>
          <w:tcPr>
            <w:tcW w:w="1984" w:type="dxa"/>
            <w:vMerge/>
            <w:shd w:val="clear" w:color="auto" w:fill="auto"/>
          </w:tcPr>
          <w:p w14:paraId="62CE0E4E"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456FA369" w14:textId="77777777" w:rsidTr="00EC13B7">
        <w:tc>
          <w:tcPr>
            <w:tcW w:w="709" w:type="dxa"/>
            <w:shd w:val="clear" w:color="auto" w:fill="auto"/>
          </w:tcPr>
          <w:p w14:paraId="406A2F8F"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33</w:t>
            </w:r>
          </w:p>
        </w:tc>
        <w:tc>
          <w:tcPr>
            <w:tcW w:w="2648" w:type="dxa"/>
            <w:shd w:val="clear" w:color="auto" w:fill="auto"/>
          </w:tcPr>
          <w:p w14:paraId="44AF5BC3" w14:textId="77777777" w:rsidR="00AE6B82" w:rsidRPr="0015453C" w:rsidRDefault="00AE6B82" w:rsidP="00EC13B7">
            <w:pPr>
              <w:pStyle w:val="01"/>
              <w:spacing w:line="260" w:lineRule="exact"/>
              <w:rPr>
                <w:rFonts w:hAnsi="標楷體"/>
                <w:kern w:val="0"/>
                <w:sz w:val="24"/>
              </w:rPr>
            </w:pPr>
            <w:r w:rsidRPr="0015453C">
              <w:rPr>
                <w:rFonts w:hAnsi="標楷體" w:hint="eastAsia"/>
                <w:kern w:val="0"/>
                <w:sz w:val="24"/>
              </w:rPr>
              <w:t>行政院函，為修正「資通安全管理法施行細則」第六條、第七條及第十三條條文等6項法規，請查照案。</w:t>
            </w:r>
          </w:p>
        </w:tc>
        <w:tc>
          <w:tcPr>
            <w:tcW w:w="1747" w:type="dxa"/>
            <w:shd w:val="clear" w:color="auto" w:fill="auto"/>
          </w:tcPr>
          <w:p w14:paraId="16602760" w14:textId="77777777" w:rsidR="00AE6B82" w:rsidRPr="00023A3F" w:rsidRDefault="00AE6B82" w:rsidP="00EC13B7">
            <w:pPr>
              <w:pStyle w:val="01"/>
              <w:spacing w:line="300" w:lineRule="exact"/>
              <w:jc w:val="left"/>
              <w:rPr>
                <w:rFonts w:hAnsi="標楷體"/>
                <w:kern w:val="0"/>
                <w:sz w:val="24"/>
              </w:rPr>
            </w:pPr>
            <w:r w:rsidRPr="00023A3F">
              <w:rPr>
                <w:rFonts w:hAnsi="標楷體" w:hint="eastAsia"/>
                <w:kern w:val="0"/>
                <w:sz w:val="24"/>
              </w:rPr>
              <w:t>行政院 110.12.17 （10-4-14）</w:t>
            </w:r>
          </w:p>
        </w:tc>
        <w:tc>
          <w:tcPr>
            <w:tcW w:w="1701" w:type="dxa"/>
            <w:vMerge/>
            <w:shd w:val="clear" w:color="auto" w:fill="auto"/>
          </w:tcPr>
          <w:p w14:paraId="01D3580F" w14:textId="77777777" w:rsidR="00AE6B82" w:rsidRDefault="00AE6B82" w:rsidP="00EC13B7">
            <w:pPr>
              <w:rPr>
                <w:rFonts w:ascii="標楷體" w:hAnsi="標楷體"/>
              </w:rPr>
            </w:pPr>
          </w:p>
        </w:tc>
        <w:tc>
          <w:tcPr>
            <w:tcW w:w="1984" w:type="dxa"/>
            <w:vMerge/>
            <w:shd w:val="clear" w:color="auto" w:fill="auto"/>
          </w:tcPr>
          <w:p w14:paraId="23E5E42F"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r w:rsidR="00AE6B82" w:rsidRPr="005042CE" w14:paraId="687A2116" w14:textId="77777777" w:rsidTr="00EC13B7">
        <w:tc>
          <w:tcPr>
            <w:tcW w:w="709" w:type="dxa"/>
            <w:shd w:val="clear" w:color="auto" w:fill="auto"/>
          </w:tcPr>
          <w:p w14:paraId="66DCD6CC"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r>
              <w:rPr>
                <w:rFonts w:ascii="標楷體" w:eastAsia="標楷體" w:hAnsi="標楷體"/>
                <w:b/>
                <w:spacing w:val="-20"/>
              </w:rPr>
              <w:t>4</w:t>
            </w:r>
          </w:p>
        </w:tc>
        <w:tc>
          <w:tcPr>
            <w:tcW w:w="2648" w:type="dxa"/>
            <w:shd w:val="clear" w:color="auto" w:fill="auto"/>
          </w:tcPr>
          <w:p w14:paraId="41294047" w14:textId="77777777" w:rsidR="00AE6B82" w:rsidRDefault="00AE6B82" w:rsidP="00EC13B7">
            <w:pPr>
              <w:pStyle w:val="01"/>
              <w:spacing w:line="260" w:lineRule="exact"/>
            </w:pPr>
            <w:r w:rsidRPr="00F452A2">
              <w:rPr>
                <w:rFonts w:hAnsi="標楷體" w:hint="eastAsia"/>
                <w:kern w:val="0"/>
                <w:sz w:val="24"/>
              </w:rPr>
              <w:t>考試院函，為修正「考試院及所屬機關提供政府資訊收費標準」第三條附表，請查照案。</w:t>
            </w:r>
          </w:p>
        </w:tc>
        <w:tc>
          <w:tcPr>
            <w:tcW w:w="1747" w:type="dxa"/>
            <w:shd w:val="clear" w:color="auto" w:fill="auto"/>
          </w:tcPr>
          <w:p w14:paraId="6693BA68" w14:textId="77777777" w:rsidR="00AE6B82" w:rsidRDefault="00AE6B82" w:rsidP="00EC13B7">
            <w:pPr>
              <w:pStyle w:val="01"/>
              <w:spacing w:line="300" w:lineRule="exact"/>
              <w:jc w:val="left"/>
              <w:rPr>
                <w:rFonts w:hAnsi="標楷體"/>
              </w:rPr>
            </w:pPr>
            <w:r w:rsidRPr="00F452A2">
              <w:rPr>
                <w:rFonts w:hAnsi="標楷體" w:hint="eastAsia"/>
                <w:kern w:val="0"/>
                <w:sz w:val="24"/>
              </w:rPr>
              <w:t>考試院 111.05.13 （10-5-12）</w:t>
            </w:r>
          </w:p>
        </w:tc>
        <w:tc>
          <w:tcPr>
            <w:tcW w:w="1701" w:type="dxa"/>
            <w:shd w:val="clear" w:color="auto" w:fill="auto"/>
          </w:tcPr>
          <w:p w14:paraId="4C632715" w14:textId="77777777" w:rsidR="00AE6B82" w:rsidRPr="00F452A2" w:rsidRDefault="00AE6B82" w:rsidP="00EC13B7">
            <w:pPr>
              <w:pStyle w:val="01"/>
              <w:spacing w:line="300" w:lineRule="exact"/>
              <w:jc w:val="left"/>
              <w:rPr>
                <w:rFonts w:hAnsi="標楷體"/>
                <w:kern w:val="0"/>
                <w:sz w:val="24"/>
              </w:rPr>
            </w:pPr>
            <w:r w:rsidRPr="00F452A2">
              <w:rPr>
                <w:rFonts w:hAnsi="標楷體" w:hint="eastAsia"/>
                <w:kern w:val="0"/>
                <w:sz w:val="24"/>
              </w:rPr>
              <w:t>司法及法制</w:t>
            </w:r>
          </w:p>
        </w:tc>
        <w:tc>
          <w:tcPr>
            <w:tcW w:w="1984" w:type="dxa"/>
            <w:vMerge w:val="restart"/>
            <w:shd w:val="clear" w:color="auto" w:fill="auto"/>
          </w:tcPr>
          <w:p w14:paraId="12DF41C6" w14:textId="77777777" w:rsidR="00AE6B82" w:rsidRPr="005A1F7C"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19EB070C"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sidRPr="005A1F7C">
              <w:rPr>
                <w:rFonts w:ascii="標楷體" w:eastAsia="標楷體" w:hAnsi="標楷體" w:hint="eastAsia"/>
              </w:rPr>
              <w:t>.</w:t>
            </w:r>
            <w:r w:rsidRPr="005B0D4B">
              <w:rPr>
                <w:rFonts w:ascii="標楷體" w:eastAsia="標楷體" w:hAnsi="標楷體" w:hint="eastAsia"/>
              </w:rPr>
              <w:t>院會</w:t>
            </w:r>
            <w:r>
              <w:rPr>
                <w:rFonts w:ascii="標楷體" w:eastAsia="標楷體" w:hAnsi="標楷體"/>
              </w:rPr>
              <w:t>112</w:t>
            </w:r>
            <w:r w:rsidRPr="005B0D4B">
              <w:rPr>
                <w:rFonts w:ascii="標楷體" w:eastAsia="標楷體" w:hAnsi="標楷體"/>
              </w:rPr>
              <w:t>.</w:t>
            </w:r>
            <w:r>
              <w:rPr>
                <w:rFonts w:ascii="標楷體" w:eastAsia="標楷體" w:hAnsi="標楷體" w:hint="eastAsia"/>
              </w:rPr>
              <w:t>1</w:t>
            </w:r>
            <w:r>
              <w:rPr>
                <w:rFonts w:ascii="標楷體" w:eastAsia="標楷體" w:hAnsi="標楷體"/>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w:t>
            </w:r>
            <w:r>
              <w:rPr>
                <w:rFonts w:ascii="標楷體" w:eastAsia="標楷體" w:hAnsi="標楷體"/>
              </w:rPr>
              <w:t>5</w:t>
            </w:r>
            <w:r w:rsidRPr="005B0D4B">
              <w:rPr>
                <w:rFonts w:ascii="標楷體" w:eastAsia="標楷體" w:hAnsi="標楷體"/>
              </w:rPr>
              <w:t>）</w:t>
            </w:r>
            <w:r w:rsidRPr="005B0D4B">
              <w:rPr>
                <w:rFonts w:ascii="標楷體" w:eastAsia="標楷體" w:hAnsi="標楷體" w:hint="eastAsia"/>
              </w:rPr>
              <w:t>准予備查。</w:t>
            </w:r>
          </w:p>
        </w:tc>
      </w:tr>
      <w:tr w:rsidR="00AE6B82" w:rsidRPr="005042CE" w14:paraId="7CCCFC02" w14:textId="77777777" w:rsidTr="00EC13B7">
        <w:tc>
          <w:tcPr>
            <w:tcW w:w="709" w:type="dxa"/>
            <w:shd w:val="clear" w:color="auto" w:fill="auto"/>
          </w:tcPr>
          <w:p w14:paraId="30543F01" w14:textId="77777777" w:rsidR="00AE6B82" w:rsidRDefault="00AE6B82" w:rsidP="00EC13B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r>
              <w:rPr>
                <w:rFonts w:ascii="標楷體" w:eastAsia="標楷體" w:hAnsi="標楷體"/>
                <w:b/>
                <w:spacing w:val="-20"/>
              </w:rPr>
              <w:t>5</w:t>
            </w:r>
          </w:p>
        </w:tc>
        <w:tc>
          <w:tcPr>
            <w:tcW w:w="2648" w:type="dxa"/>
            <w:shd w:val="clear" w:color="auto" w:fill="auto"/>
          </w:tcPr>
          <w:p w14:paraId="2B01E66D" w14:textId="77777777" w:rsidR="00AE6B82" w:rsidRDefault="00AE6B82" w:rsidP="00EC13B7">
            <w:pPr>
              <w:pStyle w:val="01"/>
              <w:spacing w:line="260" w:lineRule="exact"/>
            </w:pPr>
            <w:r w:rsidRPr="00F452A2">
              <w:rPr>
                <w:rFonts w:hAnsi="標楷體" w:hint="eastAsia"/>
                <w:kern w:val="0"/>
                <w:sz w:val="24"/>
              </w:rPr>
              <w:t>考試院函，為修正「公務人員高等考試二級考試規則」第七條、第十一條條文及第二條附表一、第四條附表二，請查照案。</w:t>
            </w:r>
          </w:p>
        </w:tc>
        <w:tc>
          <w:tcPr>
            <w:tcW w:w="1747" w:type="dxa"/>
            <w:shd w:val="clear" w:color="auto" w:fill="auto"/>
          </w:tcPr>
          <w:p w14:paraId="02F1AE01" w14:textId="77777777" w:rsidR="00AE6B82" w:rsidRDefault="00AE6B82" w:rsidP="00EC13B7">
            <w:pPr>
              <w:pStyle w:val="01"/>
              <w:spacing w:line="300" w:lineRule="exact"/>
              <w:jc w:val="left"/>
              <w:rPr>
                <w:rFonts w:hAnsi="標楷體"/>
              </w:rPr>
            </w:pPr>
            <w:r w:rsidRPr="00F452A2">
              <w:rPr>
                <w:rFonts w:hAnsi="標楷體" w:hint="eastAsia"/>
                <w:kern w:val="0"/>
                <w:sz w:val="24"/>
              </w:rPr>
              <w:t>考試院 111.05.20 （10-5-13）</w:t>
            </w:r>
          </w:p>
        </w:tc>
        <w:tc>
          <w:tcPr>
            <w:tcW w:w="1701" w:type="dxa"/>
            <w:shd w:val="clear" w:color="auto" w:fill="auto"/>
          </w:tcPr>
          <w:p w14:paraId="0CAD1E01" w14:textId="77777777" w:rsidR="00AE6B82" w:rsidRPr="00F452A2" w:rsidRDefault="00AE6B82" w:rsidP="00EC13B7">
            <w:pPr>
              <w:pStyle w:val="01"/>
              <w:spacing w:line="300" w:lineRule="exact"/>
              <w:jc w:val="left"/>
              <w:rPr>
                <w:rFonts w:hAnsi="標楷體"/>
                <w:kern w:val="0"/>
                <w:sz w:val="24"/>
              </w:rPr>
            </w:pPr>
            <w:r w:rsidRPr="00F452A2">
              <w:rPr>
                <w:rFonts w:hAnsi="標楷體" w:hint="eastAsia"/>
                <w:kern w:val="0"/>
                <w:sz w:val="24"/>
              </w:rPr>
              <w:t>司法及法制</w:t>
            </w:r>
          </w:p>
        </w:tc>
        <w:tc>
          <w:tcPr>
            <w:tcW w:w="1984" w:type="dxa"/>
            <w:vMerge/>
            <w:shd w:val="clear" w:color="auto" w:fill="auto"/>
          </w:tcPr>
          <w:p w14:paraId="6864C456" w14:textId="77777777" w:rsidR="00AE6B82" w:rsidRDefault="00AE6B82" w:rsidP="00EC13B7">
            <w:pPr>
              <w:kinsoku w:val="0"/>
              <w:overflowPunct w:val="0"/>
              <w:autoSpaceDE w:val="0"/>
              <w:autoSpaceDN w:val="0"/>
              <w:snapToGrid w:val="0"/>
              <w:spacing w:line="260" w:lineRule="exact"/>
              <w:ind w:left="240" w:hangingChars="100" w:hanging="240"/>
              <w:rPr>
                <w:rFonts w:ascii="標楷體" w:eastAsia="標楷體" w:hAnsi="標楷體"/>
              </w:rPr>
            </w:pPr>
          </w:p>
        </w:tc>
      </w:tr>
    </w:tbl>
    <w:p w14:paraId="5EECD568" w14:textId="77777777" w:rsidR="00AE6B82" w:rsidRDefault="00AE6B82" w:rsidP="00EC13B7"/>
    <w:p w14:paraId="3EC3DA36" w14:textId="77777777" w:rsidR="00AE6B82" w:rsidRPr="004C47C1" w:rsidRDefault="00AE6B82" w:rsidP="00EC13B7"/>
    <w:p w14:paraId="7A9724E0" w14:textId="77777777" w:rsidR="00AE6B82" w:rsidRDefault="00AE6B82" w:rsidP="00EC13B7"/>
    <w:p w14:paraId="136EAEB9" w14:textId="77777777" w:rsidR="00AE6B82" w:rsidRPr="00BA2116" w:rsidRDefault="00AE6B82">
      <w:pPr>
        <w:widowControl/>
        <w:rPr>
          <w:color w:val="000000" w:themeColor="text1"/>
        </w:rPr>
      </w:pPr>
      <w:r w:rsidRPr="00BA2116">
        <w:rPr>
          <w:color w:val="000000" w:themeColor="text1"/>
        </w:rPr>
        <w:br w:type="page"/>
      </w:r>
    </w:p>
    <w:p w14:paraId="18140D21" w14:textId="77777777" w:rsidR="00EC13B7" w:rsidRDefault="00EC13B7" w:rsidP="00C82C27">
      <w:pPr>
        <w:spacing w:line="360" w:lineRule="exact"/>
        <w:ind w:left="240" w:hangingChars="100" w:hanging="240"/>
        <w:jc w:val="both"/>
        <w:rPr>
          <w:rFonts w:ascii="標楷體" w:eastAsia="標楷體" w:hAnsi="標楷體"/>
          <w:color w:val="000000" w:themeColor="text1"/>
        </w:rPr>
        <w:sectPr w:rsidR="00EC13B7" w:rsidSect="00EB3514">
          <w:pgSz w:w="11906" w:h="16838" w:code="9"/>
          <w:pgMar w:top="993" w:right="1701" w:bottom="1134" w:left="1701" w:header="851" w:footer="992" w:gutter="0"/>
          <w:cols w:space="425"/>
          <w:docGrid w:type="lines" w:linePitch="360"/>
        </w:sectPr>
      </w:pPr>
    </w:p>
    <w:p w14:paraId="0E338E96" w14:textId="77777777" w:rsidR="00EC13B7" w:rsidRPr="00BA2116" w:rsidRDefault="00EC13B7" w:rsidP="00E7497A">
      <w:pPr>
        <w:keepNext/>
        <w:kinsoku w:val="0"/>
        <w:topLinePunct/>
        <w:snapToGrid w:val="0"/>
        <w:spacing w:beforeLines="100" w:before="360" w:afterLines="50" w:after="180" w:line="520" w:lineRule="exact"/>
        <w:jc w:val="both"/>
        <w:outlineLvl w:val="0"/>
        <w:rPr>
          <w:rFonts w:ascii="標楷體" w:eastAsia="標楷體" w:hAnsi="標楷體"/>
          <w:b/>
          <w:bCs/>
          <w:color w:val="000000" w:themeColor="text1"/>
          <w:kern w:val="52"/>
          <w:sz w:val="28"/>
          <w:szCs w:val="28"/>
        </w:rPr>
      </w:pPr>
      <w:bookmarkStart w:id="234" w:name="_Toc42586646"/>
      <w:bookmarkStart w:id="235" w:name="_Toc96350513"/>
      <w:r w:rsidRPr="00BA2116">
        <w:rPr>
          <w:rFonts w:ascii="標楷體" w:eastAsia="標楷體" w:hAnsi="標楷體" w:hint="eastAsia"/>
          <w:b/>
          <w:bCs/>
          <w:color w:val="000000" w:themeColor="text1"/>
          <w:kern w:val="52"/>
          <w:sz w:val="28"/>
          <w:szCs w:val="28"/>
        </w:rPr>
        <w:lastRenderedPageBreak/>
        <w:t>伍</w:t>
      </w:r>
      <w:r w:rsidRPr="00BA2116">
        <w:rPr>
          <w:rFonts w:ascii="標楷體" w:eastAsia="標楷體" w:hAnsi="標楷體"/>
          <w:b/>
          <w:bCs/>
          <w:color w:val="000000" w:themeColor="text1"/>
          <w:kern w:val="52"/>
          <w:sz w:val="28"/>
          <w:szCs w:val="28"/>
        </w:rPr>
        <w:t>、尚待院會審議之議案</w:t>
      </w:r>
      <w:r>
        <w:rPr>
          <w:rFonts w:ascii="標楷體" w:eastAsia="標楷體" w:hAnsi="標楷體" w:hint="eastAsia"/>
          <w:b/>
          <w:bCs/>
          <w:color w:val="000000" w:themeColor="text1"/>
          <w:kern w:val="52"/>
          <w:sz w:val="28"/>
          <w:szCs w:val="28"/>
        </w:rPr>
        <w:t>53</w:t>
      </w:r>
      <w:r w:rsidRPr="00BA2116">
        <w:rPr>
          <w:rFonts w:ascii="標楷體" w:eastAsia="標楷體" w:hAnsi="標楷體"/>
          <w:b/>
          <w:bCs/>
          <w:color w:val="000000" w:themeColor="text1"/>
          <w:kern w:val="52"/>
          <w:sz w:val="28"/>
          <w:szCs w:val="28"/>
        </w:rPr>
        <w:t>案</w:t>
      </w:r>
    </w:p>
    <w:p w14:paraId="6AF1BB46" w14:textId="77777777" w:rsidR="00EC13B7" w:rsidRPr="00BA2116" w:rsidRDefault="00EC13B7" w:rsidP="00E7497A">
      <w:pPr>
        <w:keepNext/>
        <w:tabs>
          <w:tab w:val="left" w:pos="709"/>
          <w:tab w:val="left" w:pos="5954"/>
        </w:tabs>
        <w:kinsoku w:val="0"/>
        <w:topLinePunct/>
        <w:adjustRightInd w:val="0"/>
        <w:snapToGrid w:val="0"/>
        <w:spacing w:beforeLines="50" w:before="180" w:afterLines="50" w:after="180" w:line="400" w:lineRule="exact"/>
        <w:ind w:leftChars="128" w:left="307" w:firstLine="567"/>
        <w:jc w:val="both"/>
        <w:rPr>
          <w:rFonts w:ascii="標楷體" w:eastAsia="標楷體" w:hAnsi="標楷體"/>
          <w:bCs/>
          <w:color w:val="000000" w:themeColor="text1"/>
          <w:kern w:val="52"/>
          <w:sz w:val="28"/>
          <w:szCs w:val="28"/>
        </w:rPr>
      </w:pPr>
      <w:r w:rsidRPr="00BA2116">
        <w:rPr>
          <w:rFonts w:ascii="標楷體" w:eastAsia="標楷體" w:hAnsi="標楷體"/>
          <w:bCs/>
          <w:color w:val="000000" w:themeColor="text1"/>
          <w:kern w:val="52"/>
          <w:sz w:val="28"/>
          <w:szCs w:val="28"/>
        </w:rPr>
        <w:t>本會審竣，尚待院會審議之法律案</w:t>
      </w:r>
      <w:r>
        <w:rPr>
          <w:rFonts w:ascii="標楷體" w:eastAsia="標楷體" w:hAnsi="標楷體" w:hint="eastAsia"/>
          <w:bCs/>
          <w:color w:val="000000" w:themeColor="text1"/>
          <w:kern w:val="52"/>
          <w:sz w:val="28"/>
          <w:szCs w:val="28"/>
        </w:rPr>
        <w:t>49</w:t>
      </w:r>
      <w:r w:rsidRPr="00BA2116">
        <w:rPr>
          <w:rFonts w:ascii="標楷體" w:eastAsia="標楷體" w:hAnsi="標楷體"/>
          <w:bCs/>
          <w:color w:val="000000" w:themeColor="text1"/>
          <w:kern w:val="52"/>
          <w:sz w:val="28"/>
          <w:szCs w:val="28"/>
        </w:rPr>
        <w:t>案(</w:t>
      </w:r>
      <w:r>
        <w:rPr>
          <w:rFonts w:ascii="標楷體" w:eastAsia="標楷體" w:hAnsi="標楷體" w:hint="eastAsia"/>
          <w:bCs/>
          <w:color w:val="000000" w:themeColor="text1"/>
          <w:kern w:val="52"/>
          <w:sz w:val="28"/>
          <w:szCs w:val="28"/>
        </w:rPr>
        <w:t>組織法8案、作用法41案</w:t>
      </w:r>
      <w:r w:rsidRPr="00BA2116">
        <w:rPr>
          <w:rFonts w:ascii="標楷體" w:eastAsia="標楷體" w:hAnsi="標楷體"/>
          <w:bCs/>
          <w:color w:val="000000" w:themeColor="text1"/>
          <w:kern w:val="52"/>
          <w:sz w:val="28"/>
          <w:szCs w:val="28"/>
        </w:rPr>
        <w:t>)</w:t>
      </w:r>
      <w:r w:rsidRPr="00BA2116">
        <w:rPr>
          <w:rFonts w:ascii="標楷體" w:eastAsia="標楷體" w:hAnsi="標楷體" w:hint="eastAsia"/>
          <w:bCs/>
          <w:color w:val="000000" w:themeColor="text1"/>
          <w:kern w:val="52"/>
          <w:sz w:val="28"/>
          <w:szCs w:val="28"/>
        </w:rPr>
        <w:t>、</w:t>
      </w:r>
      <w:r w:rsidRPr="00BA2116">
        <w:rPr>
          <w:rFonts w:ascii="標楷體" w:eastAsia="標楷體" w:hAnsi="標楷體"/>
          <w:bCs/>
          <w:color w:val="000000" w:themeColor="text1"/>
          <w:kern w:val="52"/>
          <w:sz w:val="28"/>
          <w:szCs w:val="28"/>
        </w:rPr>
        <w:t>預</w:t>
      </w:r>
      <w:r w:rsidRPr="00BA2116">
        <w:rPr>
          <w:rFonts w:ascii="標楷體" w:eastAsia="標楷體" w:hAnsi="標楷體" w:hint="eastAsia"/>
          <w:bCs/>
          <w:color w:val="000000" w:themeColor="text1"/>
          <w:kern w:val="52"/>
          <w:sz w:val="28"/>
          <w:szCs w:val="28"/>
        </w:rPr>
        <w:t>（決）</w:t>
      </w:r>
      <w:r w:rsidRPr="00BA2116">
        <w:rPr>
          <w:rFonts w:ascii="標楷體" w:eastAsia="標楷體" w:hAnsi="標楷體"/>
          <w:bCs/>
          <w:color w:val="000000" w:themeColor="text1"/>
          <w:kern w:val="52"/>
          <w:sz w:val="28"/>
          <w:szCs w:val="28"/>
        </w:rPr>
        <w:t>算</w:t>
      </w:r>
      <w:r w:rsidRPr="00A67BE5">
        <w:rPr>
          <w:rFonts w:ascii="標楷體" w:eastAsia="標楷體" w:hAnsi="標楷體"/>
          <w:bCs/>
          <w:color w:val="000000" w:themeColor="text1"/>
          <w:kern w:val="52"/>
          <w:sz w:val="28"/>
          <w:szCs w:val="28"/>
        </w:rPr>
        <w:t>案</w:t>
      </w:r>
      <w:r w:rsidRPr="00A67BE5">
        <w:rPr>
          <w:rFonts w:ascii="標楷體" w:eastAsia="標楷體" w:hAnsi="標楷體" w:hint="eastAsia"/>
          <w:bCs/>
          <w:color w:val="000000" w:themeColor="text1"/>
          <w:kern w:val="52"/>
          <w:sz w:val="28"/>
          <w:szCs w:val="28"/>
        </w:rPr>
        <w:t>4</w:t>
      </w:r>
      <w:r w:rsidRPr="00A67BE5">
        <w:rPr>
          <w:rFonts w:ascii="標楷體" w:eastAsia="標楷體" w:hAnsi="標楷體"/>
          <w:bCs/>
          <w:color w:val="000000" w:themeColor="text1"/>
          <w:kern w:val="52"/>
          <w:sz w:val="28"/>
          <w:szCs w:val="28"/>
        </w:rPr>
        <w:t>案，合計</w:t>
      </w:r>
      <w:r w:rsidRPr="00A67BE5">
        <w:rPr>
          <w:rFonts w:ascii="標楷體" w:eastAsia="標楷體" w:hAnsi="標楷體" w:hint="eastAsia"/>
          <w:bCs/>
          <w:color w:val="000000" w:themeColor="text1"/>
          <w:kern w:val="52"/>
          <w:sz w:val="28"/>
          <w:szCs w:val="28"/>
        </w:rPr>
        <w:t>53</w:t>
      </w:r>
      <w:r w:rsidRPr="00BA2116">
        <w:rPr>
          <w:rFonts w:ascii="標楷體" w:eastAsia="標楷體" w:hAnsi="標楷體"/>
          <w:bCs/>
          <w:color w:val="000000" w:themeColor="text1"/>
          <w:kern w:val="52"/>
          <w:sz w:val="28"/>
          <w:szCs w:val="28"/>
        </w:rPr>
        <w:t>案，詳如下列各表：</w:t>
      </w:r>
    </w:p>
    <w:p w14:paraId="56AA61C4" w14:textId="77777777" w:rsidR="00EC13B7" w:rsidRDefault="00EC13B7" w:rsidP="00EC13B7">
      <w:pPr>
        <w:pStyle w:val="2"/>
        <w:kinsoku w:val="0"/>
        <w:overflowPunct w:val="0"/>
        <w:spacing w:beforeLines="50" w:before="180" w:afterLines="50" w:after="180"/>
        <w:ind w:leftChars="0" w:left="1464" w:hanging="864"/>
        <w:rPr>
          <w:rFonts w:ascii="標楷體" w:hAnsi="標楷體"/>
          <w:b/>
          <w:bCs w:val="0"/>
          <w:color w:val="000000" w:themeColor="text1"/>
          <w:szCs w:val="36"/>
        </w:rPr>
      </w:pPr>
      <w:r w:rsidRPr="00BA2116">
        <w:rPr>
          <w:rFonts w:ascii="標楷體" w:hAnsi="標楷體"/>
          <w:b/>
          <w:color w:val="000000" w:themeColor="text1"/>
          <w:szCs w:val="28"/>
        </w:rPr>
        <w:t>［壹］</w:t>
      </w:r>
      <w:r w:rsidRPr="00BA2116">
        <w:rPr>
          <w:rFonts w:ascii="標楷體" w:hAnsi="標楷體" w:hint="eastAsia"/>
          <w:b/>
          <w:color w:val="000000" w:themeColor="text1"/>
          <w:szCs w:val="36"/>
        </w:rPr>
        <w:t>法律</w:t>
      </w:r>
      <w:r w:rsidRPr="00BA2116">
        <w:rPr>
          <w:rFonts w:ascii="標楷體" w:hAnsi="標楷體"/>
          <w:b/>
          <w:color w:val="000000" w:themeColor="text1"/>
          <w:szCs w:val="36"/>
        </w:rPr>
        <w:t>案</w:t>
      </w:r>
      <w:r>
        <w:rPr>
          <w:rFonts w:ascii="標楷體" w:hAnsi="標楷體" w:hint="eastAsia"/>
          <w:b/>
          <w:color w:val="000000" w:themeColor="text1"/>
          <w:szCs w:val="36"/>
        </w:rPr>
        <w:t>49</w:t>
      </w:r>
      <w:r w:rsidRPr="00BA2116">
        <w:rPr>
          <w:rFonts w:ascii="標楷體" w:hAnsi="標楷體"/>
          <w:b/>
          <w:color w:val="000000" w:themeColor="text1"/>
          <w:szCs w:val="36"/>
        </w:rPr>
        <w:t>案</w:t>
      </w:r>
    </w:p>
    <w:p w14:paraId="6175876C" w14:textId="77777777" w:rsidR="00EC13B7" w:rsidRDefault="00EC13B7" w:rsidP="00EC13B7">
      <w:pPr>
        <w:pStyle w:val="3"/>
        <w:kinsoku w:val="0"/>
        <w:overflowPunct w:val="0"/>
        <w:spacing w:beforeLines="100" w:before="360" w:afterLines="100" w:after="360" w:line="260" w:lineRule="exact"/>
        <w:ind w:left="912" w:firstLineChars="250" w:firstLine="701"/>
        <w:rPr>
          <w:rFonts w:ascii="標楷體" w:hAnsi="標楷體"/>
          <w:b/>
          <w:color w:val="000000" w:themeColor="text1"/>
        </w:rPr>
      </w:pPr>
      <w:r w:rsidRPr="00BA2116">
        <w:rPr>
          <w:rFonts w:ascii="標楷體" w:hAnsi="標楷體" w:hint="eastAsia"/>
          <w:b/>
          <w:color w:val="000000" w:themeColor="text1"/>
        </w:rPr>
        <w:t>一、</w:t>
      </w:r>
      <w:r>
        <w:rPr>
          <w:rFonts w:ascii="標楷體" w:hAnsi="標楷體" w:hint="eastAsia"/>
          <w:b/>
          <w:color w:val="000000" w:themeColor="text1"/>
        </w:rPr>
        <w:t>組織法8案</w:t>
      </w:r>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2099"/>
        <w:gridCol w:w="1870"/>
      </w:tblGrid>
      <w:tr w:rsidR="00EC13B7" w:rsidRPr="00A67BE5" w14:paraId="671B626D" w14:textId="77777777" w:rsidTr="00EC13B7">
        <w:tc>
          <w:tcPr>
            <w:tcW w:w="709" w:type="dxa"/>
          </w:tcPr>
          <w:p w14:paraId="74D937A9"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序號</w:t>
            </w:r>
          </w:p>
        </w:tc>
        <w:tc>
          <w:tcPr>
            <w:tcW w:w="1909" w:type="dxa"/>
          </w:tcPr>
          <w:p w14:paraId="4C395125"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議案名稱</w:t>
            </w:r>
          </w:p>
        </w:tc>
        <w:tc>
          <w:tcPr>
            <w:tcW w:w="1918" w:type="dxa"/>
          </w:tcPr>
          <w:p w14:paraId="4DEAD0EE"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提案委員或機關</w:t>
            </w:r>
          </w:p>
          <w:p w14:paraId="445E2828"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院會交付日期</w:t>
            </w:r>
          </w:p>
          <w:p w14:paraId="6B375D5F"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（會次）</w:t>
            </w:r>
          </w:p>
        </w:tc>
        <w:tc>
          <w:tcPr>
            <w:tcW w:w="2099" w:type="dxa"/>
          </w:tcPr>
          <w:p w14:paraId="4605F35B"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審查委員會</w:t>
            </w:r>
          </w:p>
          <w:p w14:paraId="6D55CEFC"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院會說明人</w:t>
            </w:r>
          </w:p>
        </w:tc>
        <w:tc>
          <w:tcPr>
            <w:tcW w:w="1870" w:type="dxa"/>
          </w:tcPr>
          <w:p w14:paraId="0FF28D17"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審查情形</w:t>
            </w:r>
          </w:p>
        </w:tc>
      </w:tr>
      <w:tr w:rsidR="00EC13B7" w:rsidRPr="00A67BE5" w14:paraId="268848DF" w14:textId="77777777" w:rsidTr="00EC13B7">
        <w:tc>
          <w:tcPr>
            <w:tcW w:w="709" w:type="dxa"/>
          </w:tcPr>
          <w:p w14:paraId="209BDCD8"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1</w:t>
            </w:r>
          </w:p>
        </w:tc>
        <w:tc>
          <w:tcPr>
            <w:tcW w:w="1909" w:type="dxa"/>
          </w:tcPr>
          <w:p w14:paraId="16741DDE"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w:t>
            </w:r>
            <w:r w:rsidRPr="00A67BE5">
              <w:rPr>
                <w:rFonts w:ascii="標楷體" w:eastAsia="標楷體" w:hAnsi="標楷體"/>
                <w:color w:val="000000"/>
                <w:kern w:val="0"/>
              </w:rPr>
              <w:t>廢止「少年輔育院條例」</w:t>
            </w:r>
          </w:p>
        </w:tc>
        <w:tc>
          <w:tcPr>
            <w:tcW w:w="1918" w:type="dxa"/>
          </w:tcPr>
          <w:p w14:paraId="7FAA877D"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行政院 110.12.17 </w:t>
            </w:r>
          </w:p>
          <w:p w14:paraId="4C1CCF4E"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（10-4-14）</w:t>
            </w:r>
          </w:p>
        </w:tc>
        <w:tc>
          <w:tcPr>
            <w:tcW w:w="2099" w:type="dxa"/>
            <w:vMerge w:val="restart"/>
          </w:tcPr>
          <w:p w14:paraId="0849B7C9"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司法及法制</w:t>
            </w:r>
          </w:p>
          <w:p w14:paraId="0F1C4256" w14:textId="77777777" w:rsidR="00EC13B7" w:rsidRPr="00A67BE5" w:rsidRDefault="00EC13B7" w:rsidP="00EC13B7">
            <w:pPr>
              <w:rPr>
                <w:rFonts w:ascii="標楷體" w:hAnsi="標楷體"/>
              </w:rPr>
            </w:pPr>
            <w:r w:rsidRPr="00A67BE5">
              <w:rPr>
                <w:rFonts w:ascii="標楷體" w:eastAsia="標楷體" w:hAnsi="標楷體" w:hint="eastAsia"/>
                <w:color w:val="000000"/>
                <w:kern w:val="0"/>
              </w:rPr>
              <w:t>陳召集委員歐珀</w:t>
            </w:r>
          </w:p>
        </w:tc>
        <w:tc>
          <w:tcPr>
            <w:tcW w:w="1870" w:type="dxa"/>
            <w:vMerge w:val="restart"/>
          </w:tcPr>
          <w:p w14:paraId="4A298614"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本會111.12.29</w:t>
            </w:r>
          </w:p>
          <w:p w14:paraId="360986E1" w14:textId="77777777" w:rsidR="00EC13B7" w:rsidRPr="00A67BE5" w:rsidRDefault="00EC13B7" w:rsidP="00EC13B7">
            <w:pPr>
              <w:kinsoku w:val="0"/>
              <w:wordWrap w:val="0"/>
              <w:adjustRightInd w:val="0"/>
              <w:snapToGrid w:val="0"/>
              <w:spacing w:line="300" w:lineRule="exact"/>
              <w:jc w:val="both"/>
              <w:rPr>
                <w:rFonts w:ascii="標楷體" w:eastAsia="標楷體" w:hAnsi="標楷體"/>
                <w:b/>
                <w:color w:val="000000"/>
              </w:rPr>
            </w:pPr>
            <w:r w:rsidRPr="00A67BE5">
              <w:rPr>
                <w:rFonts w:ascii="標楷體" w:eastAsia="標楷體" w:hAnsi="標楷體" w:hint="eastAsia"/>
                <w:color w:val="000000"/>
                <w:kern w:val="0"/>
              </w:rPr>
              <w:t>(10-6-30)審查完竣，不須交由黨團協商。</w:t>
            </w:r>
          </w:p>
        </w:tc>
      </w:tr>
      <w:tr w:rsidR="00EC13B7" w:rsidRPr="00A67BE5" w14:paraId="569A3D0D" w14:textId="77777777" w:rsidTr="00EC13B7">
        <w:tc>
          <w:tcPr>
            <w:tcW w:w="709" w:type="dxa"/>
          </w:tcPr>
          <w:p w14:paraId="55605266"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2</w:t>
            </w:r>
          </w:p>
        </w:tc>
        <w:tc>
          <w:tcPr>
            <w:tcW w:w="1909" w:type="dxa"/>
          </w:tcPr>
          <w:p w14:paraId="6B460684"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2.廢止「少年輔育院條例」</w:t>
            </w:r>
          </w:p>
        </w:tc>
        <w:tc>
          <w:tcPr>
            <w:tcW w:w="1918" w:type="dxa"/>
          </w:tcPr>
          <w:p w14:paraId="7874F2A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委員許智傑等18人 111.05.27 </w:t>
            </w:r>
          </w:p>
          <w:p w14:paraId="398D144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（10-5-14）</w:t>
            </w:r>
          </w:p>
        </w:tc>
        <w:tc>
          <w:tcPr>
            <w:tcW w:w="2099" w:type="dxa"/>
            <w:vMerge/>
          </w:tcPr>
          <w:p w14:paraId="744FE97E" w14:textId="77777777" w:rsidR="00EC13B7" w:rsidRPr="00A67BE5" w:rsidRDefault="00EC13B7" w:rsidP="00EC13B7">
            <w:pPr>
              <w:rPr>
                <w:rFonts w:ascii="標楷體" w:hAnsi="標楷體"/>
              </w:rPr>
            </w:pPr>
          </w:p>
        </w:tc>
        <w:tc>
          <w:tcPr>
            <w:tcW w:w="1870" w:type="dxa"/>
            <w:vMerge/>
          </w:tcPr>
          <w:p w14:paraId="38BD70B9"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p>
        </w:tc>
      </w:tr>
      <w:tr w:rsidR="00EC13B7" w:rsidRPr="00A67BE5" w14:paraId="2C290BA9" w14:textId="77777777" w:rsidTr="00EC13B7">
        <w:tc>
          <w:tcPr>
            <w:tcW w:w="709" w:type="dxa"/>
          </w:tcPr>
          <w:p w14:paraId="7624FF60"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3</w:t>
            </w:r>
          </w:p>
        </w:tc>
        <w:tc>
          <w:tcPr>
            <w:tcW w:w="1909" w:type="dxa"/>
          </w:tcPr>
          <w:p w14:paraId="0465F60C"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1.廢止「考銓處組織條例」</w:t>
            </w:r>
          </w:p>
        </w:tc>
        <w:tc>
          <w:tcPr>
            <w:tcW w:w="1918" w:type="dxa"/>
          </w:tcPr>
          <w:p w14:paraId="569CDAB0"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考試院 111.12.09 </w:t>
            </w:r>
          </w:p>
          <w:p w14:paraId="5A7E71D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（10-6-11）</w:t>
            </w:r>
          </w:p>
        </w:tc>
        <w:tc>
          <w:tcPr>
            <w:tcW w:w="2099" w:type="dxa"/>
            <w:vMerge w:val="restart"/>
          </w:tcPr>
          <w:p w14:paraId="3FE2587D"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司法及法制</w:t>
            </w:r>
          </w:p>
          <w:p w14:paraId="69699843" w14:textId="77777777" w:rsidR="00EC13B7" w:rsidRPr="00A67BE5" w:rsidRDefault="00EC13B7" w:rsidP="00EC13B7">
            <w:pPr>
              <w:rPr>
                <w:rFonts w:ascii="標楷體" w:hAnsi="標楷體"/>
              </w:rPr>
            </w:pPr>
            <w:r w:rsidRPr="00A67BE5">
              <w:rPr>
                <w:rFonts w:ascii="標楷體" w:eastAsia="標楷體" w:hAnsi="標楷體" w:hint="eastAsia"/>
                <w:color w:val="000000"/>
                <w:kern w:val="0"/>
              </w:rPr>
              <w:t>陳召集委員歐珀</w:t>
            </w:r>
          </w:p>
        </w:tc>
        <w:tc>
          <w:tcPr>
            <w:tcW w:w="1870" w:type="dxa"/>
            <w:vMerge w:val="restart"/>
          </w:tcPr>
          <w:p w14:paraId="13032EEA"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本會111.12.29</w:t>
            </w:r>
          </w:p>
          <w:p w14:paraId="7C2B820C" w14:textId="77777777" w:rsidR="00EC13B7" w:rsidRPr="00A67BE5" w:rsidRDefault="00EC13B7" w:rsidP="00EC13B7">
            <w:pPr>
              <w:kinsoku w:val="0"/>
              <w:wordWrap w:val="0"/>
              <w:adjustRightInd w:val="0"/>
              <w:snapToGrid w:val="0"/>
              <w:spacing w:line="300" w:lineRule="exact"/>
              <w:jc w:val="both"/>
              <w:rPr>
                <w:rFonts w:ascii="標楷體" w:eastAsia="標楷體" w:hAnsi="標楷體"/>
                <w:b/>
                <w:color w:val="000000"/>
              </w:rPr>
            </w:pPr>
            <w:r w:rsidRPr="00A67BE5">
              <w:rPr>
                <w:rFonts w:ascii="標楷體" w:eastAsia="標楷體" w:hAnsi="標楷體" w:hint="eastAsia"/>
                <w:color w:val="000000"/>
                <w:kern w:val="0"/>
              </w:rPr>
              <w:t>(10-6-30)審查完竣，不須交由黨團協商。</w:t>
            </w:r>
          </w:p>
        </w:tc>
      </w:tr>
      <w:tr w:rsidR="00EC13B7" w:rsidRPr="00A67BE5" w14:paraId="6592D624" w14:textId="77777777" w:rsidTr="00EC13B7">
        <w:tc>
          <w:tcPr>
            <w:tcW w:w="709" w:type="dxa"/>
          </w:tcPr>
          <w:p w14:paraId="3DB10B44"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4</w:t>
            </w:r>
          </w:p>
        </w:tc>
        <w:tc>
          <w:tcPr>
            <w:tcW w:w="1909" w:type="dxa"/>
          </w:tcPr>
          <w:p w14:paraId="4C0A045F"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2.</w:t>
            </w:r>
            <w:r w:rsidRPr="00A67BE5">
              <w:rPr>
                <w:rFonts w:ascii="標楷體" w:eastAsia="標楷體" w:hAnsi="標楷體"/>
                <w:color w:val="000000"/>
                <w:kern w:val="0"/>
              </w:rPr>
              <w:t>廢止「考銓處組織條例」</w:t>
            </w:r>
          </w:p>
        </w:tc>
        <w:tc>
          <w:tcPr>
            <w:tcW w:w="1918" w:type="dxa"/>
          </w:tcPr>
          <w:p w14:paraId="3756941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委員江永昌等23人 111.05.06 </w:t>
            </w:r>
          </w:p>
          <w:p w14:paraId="0F7C1F8F"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（10-5-11）</w:t>
            </w:r>
          </w:p>
        </w:tc>
        <w:tc>
          <w:tcPr>
            <w:tcW w:w="2099" w:type="dxa"/>
            <w:vMerge/>
          </w:tcPr>
          <w:p w14:paraId="27D36553" w14:textId="77777777" w:rsidR="00EC13B7" w:rsidRPr="00A67BE5" w:rsidRDefault="00EC13B7" w:rsidP="00EC13B7">
            <w:pPr>
              <w:rPr>
                <w:rFonts w:ascii="標楷體" w:hAnsi="標楷體"/>
              </w:rPr>
            </w:pPr>
          </w:p>
        </w:tc>
        <w:tc>
          <w:tcPr>
            <w:tcW w:w="1870" w:type="dxa"/>
            <w:vMerge/>
          </w:tcPr>
          <w:p w14:paraId="73E2F9B7"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p>
        </w:tc>
      </w:tr>
      <w:tr w:rsidR="00EC13B7" w:rsidRPr="00A67BE5" w14:paraId="3814BBF6" w14:textId="77777777" w:rsidTr="00EC13B7">
        <w:tc>
          <w:tcPr>
            <w:tcW w:w="709" w:type="dxa"/>
          </w:tcPr>
          <w:p w14:paraId="4D2E1C3D"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5</w:t>
            </w:r>
          </w:p>
        </w:tc>
        <w:tc>
          <w:tcPr>
            <w:tcW w:w="1909" w:type="dxa"/>
          </w:tcPr>
          <w:p w14:paraId="7CFE1EFB"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3</w:t>
            </w:r>
            <w:r w:rsidRPr="00A67BE5">
              <w:rPr>
                <w:rFonts w:ascii="標楷體" w:eastAsia="標楷體" w:hAnsi="標楷體"/>
                <w:color w:val="000000"/>
                <w:kern w:val="0"/>
              </w:rPr>
              <w:t>.廢止「考銓處組織條例」</w:t>
            </w:r>
          </w:p>
        </w:tc>
        <w:tc>
          <w:tcPr>
            <w:tcW w:w="1918" w:type="dxa"/>
          </w:tcPr>
          <w:p w14:paraId="3BF786AF"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委員林宜瑾等18人 111.11.25 </w:t>
            </w:r>
          </w:p>
          <w:p w14:paraId="21F6B90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（10-6-9）</w:t>
            </w:r>
          </w:p>
        </w:tc>
        <w:tc>
          <w:tcPr>
            <w:tcW w:w="2099" w:type="dxa"/>
            <w:vMerge/>
          </w:tcPr>
          <w:p w14:paraId="1124DFAB" w14:textId="77777777" w:rsidR="00EC13B7" w:rsidRPr="00A67BE5" w:rsidRDefault="00EC13B7" w:rsidP="00EC13B7">
            <w:pPr>
              <w:rPr>
                <w:rFonts w:ascii="標楷體" w:hAnsi="標楷體"/>
              </w:rPr>
            </w:pPr>
          </w:p>
        </w:tc>
        <w:tc>
          <w:tcPr>
            <w:tcW w:w="1870" w:type="dxa"/>
            <w:vMerge/>
          </w:tcPr>
          <w:p w14:paraId="4EA55758"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p>
        </w:tc>
      </w:tr>
      <w:tr w:rsidR="00EC13B7" w:rsidRPr="00A67BE5" w14:paraId="618084A6" w14:textId="77777777" w:rsidTr="00EC13B7">
        <w:tc>
          <w:tcPr>
            <w:tcW w:w="709" w:type="dxa"/>
          </w:tcPr>
          <w:p w14:paraId="0E7BA2EA"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6</w:t>
            </w:r>
          </w:p>
        </w:tc>
        <w:tc>
          <w:tcPr>
            <w:tcW w:w="1909" w:type="dxa"/>
          </w:tcPr>
          <w:p w14:paraId="3825969E"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1.廢止「監察院監察委員行署組織條例」</w:t>
            </w:r>
          </w:p>
        </w:tc>
        <w:tc>
          <w:tcPr>
            <w:tcW w:w="1918" w:type="dxa"/>
          </w:tcPr>
          <w:p w14:paraId="150FFA4D" w14:textId="5E5C4339" w:rsidR="00EC13B7" w:rsidRPr="00A67BE5" w:rsidRDefault="00DA20CC" w:rsidP="00EC13B7">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台灣</w:t>
            </w:r>
            <w:r w:rsidR="00EC13B7" w:rsidRPr="00A67BE5">
              <w:rPr>
                <w:rFonts w:ascii="標楷體" w:eastAsia="標楷體" w:hAnsi="標楷體" w:hint="eastAsia"/>
                <w:color w:val="000000"/>
                <w:kern w:val="0"/>
              </w:rPr>
              <w:t xml:space="preserve">民眾黨黨團 109.04.24 </w:t>
            </w:r>
          </w:p>
          <w:p w14:paraId="210219B7"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（10-1-10）</w:t>
            </w:r>
          </w:p>
        </w:tc>
        <w:tc>
          <w:tcPr>
            <w:tcW w:w="2099" w:type="dxa"/>
            <w:vMerge w:val="restart"/>
          </w:tcPr>
          <w:p w14:paraId="68A14EB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司法及法制</w:t>
            </w:r>
          </w:p>
          <w:p w14:paraId="0F564031" w14:textId="77777777" w:rsidR="00EC13B7" w:rsidRPr="00A67BE5" w:rsidRDefault="00EC13B7" w:rsidP="00EC13B7">
            <w:pPr>
              <w:rPr>
                <w:rFonts w:ascii="標楷體"/>
              </w:rPr>
            </w:pPr>
            <w:r w:rsidRPr="00A67BE5">
              <w:rPr>
                <w:rFonts w:ascii="標楷體" w:eastAsia="標楷體" w:hAnsi="標楷體" w:hint="eastAsia"/>
                <w:color w:val="000000"/>
                <w:kern w:val="0"/>
              </w:rPr>
              <w:t>陳召集委員歐珀</w:t>
            </w:r>
          </w:p>
        </w:tc>
        <w:tc>
          <w:tcPr>
            <w:tcW w:w="1870" w:type="dxa"/>
            <w:vMerge w:val="restart"/>
          </w:tcPr>
          <w:p w14:paraId="7AE94C9F"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本會111.12.29</w:t>
            </w:r>
          </w:p>
          <w:p w14:paraId="632D7223" w14:textId="77777777" w:rsidR="00EC13B7" w:rsidRPr="00A67BE5" w:rsidRDefault="00EC13B7" w:rsidP="00EC13B7">
            <w:pPr>
              <w:kinsoku w:val="0"/>
              <w:wordWrap w:val="0"/>
              <w:adjustRightInd w:val="0"/>
              <w:snapToGrid w:val="0"/>
              <w:spacing w:line="300" w:lineRule="exact"/>
              <w:jc w:val="both"/>
              <w:rPr>
                <w:rFonts w:ascii="標楷體" w:eastAsia="標楷體" w:hAnsi="標楷體"/>
                <w:b/>
                <w:color w:val="000000"/>
              </w:rPr>
            </w:pPr>
            <w:r w:rsidRPr="00A67BE5">
              <w:rPr>
                <w:rFonts w:ascii="標楷體" w:eastAsia="標楷體" w:hAnsi="標楷體" w:hint="eastAsia"/>
                <w:color w:val="000000"/>
                <w:kern w:val="0"/>
              </w:rPr>
              <w:t>(10-6-30)審查完竣，不須交由黨團協商。</w:t>
            </w:r>
          </w:p>
        </w:tc>
      </w:tr>
      <w:tr w:rsidR="00EC13B7" w:rsidRPr="00A67BE5" w14:paraId="7AEC9B55" w14:textId="77777777" w:rsidTr="00EC13B7">
        <w:tc>
          <w:tcPr>
            <w:tcW w:w="709" w:type="dxa"/>
          </w:tcPr>
          <w:p w14:paraId="1A6DCFA4"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7</w:t>
            </w:r>
          </w:p>
        </w:tc>
        <w:tc>
          <w:tcPr>
            <w:tcW w:w="1909" w:type="dxa"/>
          </w:tcPr>
          <w:p w14:paraId="01C3794F"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2.廢止「監察院監察委員行署組織條例」</w:t>
            </w:r>
          </w:p>
        </w:tc>
        <w:tc>
          <w:tcPr>
            <w:tcW w:w="1918" w:type="dxa"/>
          </w:tcPr>
          <w:p w14:paraId="43117E0D"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委員邱志偉等18人 109.10.06 </w:t>
            </w:r>
          </w:p>
          <w:p w14:paraId="111D94F7"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（10-2-3）</w:t>
            </w:r>
          </w:p>
        </w:tc>
        <w:tc>
          <w:tcPr>
            <w:tcW w:w="2099" w:type="dxa"/>
            <w:vMerge/>
          </w:tcPr>
          <w:p w14:paraId="36E882DA" w14:textId="77777777" w:rsidR="00EC13B7" w:rsidRPr="00A67BE5" w:rsidRDefault="00EC13B7" w:rsidP="00EC13B7">
            <w:pPr>
              <w:rPr>
                <w:rFonts w:ascii="標楷體"/>
              </w:rPr>
            </w:pPr>
          </w:p>
        </w:tc>
        <w:tc>
          <w:tcPr>
            <w:tcW w:w="1870" w:type="dxa"/>
            <w:vMerge/>
          </w:tcPr>
          <w:p w14:paraId="10F0A4BD"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p>
        </w:tc>
      </w:tr>
      <w:tr w:rsidR="00EC13B7" w:rsidRPr="00A67BE5" w14:paraId="4F775DC0" w14:textId="77777777" w:rsidTr="00EC13B7">
        <w:tc>
          <w:tcPr>
            <w:tcW w:w="709" w:type="dxa"/>
          </w:tcPr>
          <w:p w14:paraId="62100051"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rPr>
            </w:pPr>
            <w:r w:rsidRPr="00A67BE5">
              <w:rPr>
                <w:rFonts w:ascii="標楷體" w:eastAsia="標楷體" w:hAnsi="標楷體" w:hint="eastAsia"/>
                <w:color w:val="000000"/>
              </w:rPr>
              <w:t>8</w:t>
            </w:r>
          </w:p>
        </w:tc>
        <w:tc>
          <w:tcPr>
            <w:tcW w:w="1909" w:type="dxa"/>
          </w:tcPr>
          <w:p w14:paraId="1AE907C2"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3.廢止「監察院監察委員行署組織條例」</w:t>
            </w:r>
          </w:p>
        </w:tc>
        <w:tc>
          <w:tcPr>
            <w:tcW w:w="1918" w:type="dxa"/>
          </w:tcPr>
          <w:p w14:paraId="78DB594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委員鄭運鵬等16人 111.12.09 </w:t>
            </w:r>
          </w:p>
          <w:p w14:paraId="11FC83F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（10-6-11）</w:t>
            </w:r>
          </w:p>
        </w:tc>
        <w:tc>
          <w:tcPr>
            <w:tcW w:w="2099" w:type="dxa"/>
            <w:vMerge/>
          </w:tcPr>
          <w:p w14:paraId="1F5F2A65" w14:textId="77777777" w:rsidR="00EC13B7" w:rsidRPr="00A67BE5" w:rsidRDefault="00EC13B7" w:rsidP="00EC13B7">
            <w:pPr>
              <w:rPr>
                <w:rFonts w:ascii="標楷體" w:hAnsi="標楷體"/>
              </w:rPr>
            </w:pPr>
          </w:p>
        </w:tc>
        <w:tc>
          <w:tcPr>
            <w:tcW w:w="1870" w:type="dxa"/>
            <w:vMerge/>
          </w:tcPr>
          <w:p w14:paraId="20EA16BF"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p>
        </w:tc>
      </w:tr>
    </w:tbl>
    <w:p w14:paraId="315469B7" w14:textId="77777777" w:rsidR="00EC13B7" w:rsidRDefault="00EC13B7">
      <w:pPr>
        <w:widowControl/>
        <w:rPr>
          <w:rFonts w:ascii="標楷體" w:eastAsia="標楷體" w:hAnsi="標楷體"/>
          <w:b/>
          <w:color w:val="000000" w:themeColor="text1"/>
          <w:sz w:val="28"/>
          <w:szCs w:val="36"/>
        </w:rPr>
      </w:pPr>
    </w:p>
    <w:p w14:paraId="0E685897" w14:textId="77777777" w:rsidR="00EC13B7" w:rsidRPr="00E804A4" w:rsidRDefault="00EC13B7" w:rsidP="00EC13B7">
      <w:pPr>
        <w:pStyle w:val="3"/>
        <w:kinsoku w:val="0"/>
        <w:overflowPunct w:val="0"/>
        <w:spacing w:beforeLines="100" w:before="360" w:afterLines="100" w:after="360" w:line="260" w:lineRule="exact"/>
        <w:ind w:left="912" w:firstLineChars="250" w:firstLine="701"/>
        <w:rPr>
          <w:rFonts w:ascii="標楷體" w:hAnsi="標楷體"/>
          <w:b/>
          <w:color w:val="000000" w:themeColor="text1"/>
        </w:rPr>
      </w:pPr>
      <w:r w:rsidRPr="00E804A4">
        <w:rPr>
          <w:rFonts w:ascii="標楷體" w:hAnsi="標楷體" w:hint="eastAsia"/>
          <w:b/>
          <w:color w:val="000000" w:themeColor="text1"/>
        </w:rPr>
        <w:lastRenderedPageBreak/>
        <w:t>二、</w:t>
      </w:r>
      <w:r w:rsidRPr="00E804A4">
        <w:rPr>
          <w:rFonts w:ascii="標楷體" w:hAnsi="標楷體"/>
          <w:b/>
          <w:color w:val="000000" w:themeColor="text1"/>
        </w:rPr>
        <w:t>作用法</w:t>
      </w:r>
      <w:r w:rsidRPr="00E804A4">
        <w:rPr>
          <w:rStyle w:val="af1"/>
          <w:rFonts w:ascii="標楷體" w:hAnsi="標楷體" w:hint="eastAsia"/>
          <w:color w:val="000000" w:themeColor="text1"/>
          <w:szCs w:val="28"/>
          <w:u w:val="none"/>
        </w:rPr>
        <w:t>41</w:t>
      </w:r>
      <w:r w:rsidRPr="00E804A4">
        <w:rPr>
          <w:rFonts w:ascii="標楷體" w:hAnsi="標楷體"/>
          <w:b/>
          <w:color w:val="000000" w:themeColor="text1"/>
        </w:rPr>
        <w:t>案</w:t>
      </w:r>
    </w:p>
    <w:tbl>
      <w:tblPr>
        <w:tblW w:w="8483" w:type="dxa"/>
        <w:tblInd w:w="108"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09"/>
        <w:gridCol w:w="1909"/>
        <w:gridCol w:w="1918"/>
        <w:gridCol w:w="2085"/>
        <w:gridCol w:w="1862"/>
      </w:tblGrid>
      <w:tr w:rsidR="00EC13B7" w:rsidRPr="00A67BE5" w14:paraId="7C7A26C0" w14:textId="77777777" w:rsidTr="00EC13B7">
        <w:tc>
          <w:tcPr>
            <w:tcW w:w="709" w:type="dxa"/>
          </w:tcPr>
          <w:p w14:paraId="541B5ACB"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序號</w:t>
            </w:r>
          </w:p>
        </w:tc>
        <w:tc>
          <w:tcPr>
            <w:tcW w:w="1909" w:type="dxa"/>
          </w:tcPr>
          <w:p w14:paraId="3876F197"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議案名稱</w:t>
            </w:r>
          </w:p>
        </w:tc>
        <w:tc>
          <w:tcPr>
            <w:tcW w:w="1918" w:type="dxa"/>
          </w:tcPr>
          <w:p w14:paraId="461F1183"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提案委員或機關</w:t>
            </w:r>
          </w:p>
          <w:p w14:paraId="30EF9865"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院會交付日期</w:t>
            </w:r>
          </w:p>
          <w:p w14:paraId="72B6314E"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（會次）</w:t>
            </w:r>
          </w:p>
        </w:tc>
        <w:tc>
          <w:tcPr>
            <w:tcW w:w="2085" w:type="dxa"/>
          </w:tcPr>
          <w:p w14:paraId="528E7CA3"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審查委員會</w:t>
            </w:r>
          </w:p>
          <w:p w14:paraId="3F506A6F"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院會說明人</w:t>
            </w:r>
          </w:p>
        </w:tc>
        <w:tc>
          <w:tcPr>
            <w:tcW w:w="1862" w:type="dxa"/>
          </w:tcPr>
          <w:p w14:paraId="0B0FE969" w14:textId="77777777" w:rsidR="00EC13B7" w:rsidRPr="00A67BE5" w:rsidRDefault="00EC13B7" w:rsidP="00EC13B7">
            <w:pPr>
              <w:kinsoku w:val="0"/>
              <w:topLinePunct/>
              <w:adjustRightInd w:val="0"/>
              <w:snapToGrid w:val="0"/>
              <w:spacing w:line="300" w:lineRule="exact"/>
              <w:jc w:val="center"/>
              <w:rPr>
                <w:rFonts w:ascii="標楷體" w:eastAsia="標楷體" w:hAnsi="標楷體"/>
                <w:b/>
                <w:color w:val="000000"/>
              </w:rPr>
            </w:pPr>
            <w:r w:rsidRPr="00A67BE5">
              <w:rPr>
                <w:rFonts w:ascii="標楷體" w:eastAsia="標楷體" w:hAnsi="標楷體"/>
                <w:b/>
                <w:color w:val="000000"/>
              </w:rPr>
              <w:t>審查情形</w:t>
            </w:r>
          </w:p>
        </w:tc>
      </w:tr>
      <w:tr w:rsidR="00EC13B7" w:rsidRPr="00A67BE5" w14:paraId="15A0F7D2" w14:textId="77777777" w:rsidTr="00EC13B7">
        <w:tc>
          <w:tcPr>
            <w:tcW w:w="709" w:type="dxa"/>
          </w:tcPr>
          <w:p w14:paraId="752D8A22"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w:t>
            </w:r>
          </w:p>
        </w:tc>
        <w:tc>
          <w:tcPr>
            <w:tcW w:w="1909" w:type="dxa"/>
          </w:tcPr>
          <w:p w14:paraId="6F193A40"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民法第二百零七條條文修正草案</w:t>
            </w:r>
          </w:p>
        </w:tc>
        <w:tc>
          <w:tcPr>
            <w:tcW w:w="1918" w:type="dxa"/>
          </w:tcPr>
          <w:p w14:paraId="35DCABDA"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委員李貴敏等31人 109.03.06 </w:t>
            </w:r>
          </w:p>
          <w:p w14:paraId="6DB994BF"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（10-1-3）</w:t>
            </w:r>
          </w:p>
        </w:tc>
        <w:tc>
          <w:tcPr>
            <w:tcW w:w="2085" w:type="dxa"/>
          </w:tcPr>
          <w:p w14:paraId="038C595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3A4B9B65"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李召集委員貴敏</w:t>
            </w:r>
          </w:p>
        </w:tc>
        <w:tc>
          <w:tcPr>
            <w:tcW w:w="1862" w:type="dxa"/>
          </w:tcPr>
          <w:p w14:paraId="01954E28"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1.本會</w:t>
            </w:r>
            <w:r w:rsidRPr="00A67BE5">
              <w:rPr>
                <w:rFonts w:ascii="標楷體" w:eastAsia="標楷體" w:hAnsi="標楷體" w:hint="eastAsia"/>
                <w:color w:val="000000"/>
                <w:spacing w:val="-10"/>
                <w:kern w:val="0"/>
              </w:rPr>
              <w:t>109.4.22</w:t>
            </w:r>
            <w:r w:rsidRPr="00A67BE5">
              <w:rPr>
                <w:rFonts w:ascii="標楷體" w:eastAsia="標楷體" w:hAnsi="標楷體" w:hint="eastAsia"/>
                <w:color w:val="000000"/>
                <w:kern w:val="0"/>
              </w:rPr>
              <w:t>(10-1-18)審查完竣，須交由黨團協商。</w:t>
            </w:r>
          </w:p>
          <w:p w14:paraId="57E40D8D"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2.109.10.30黨團協商。</w:t>
            </w:r>
          </w:p>
          <w:p w14:paraId="62E8BCD4"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3.109.12.17黨團協商。</w:t>
            </w:r>
          </w:p>
        </w:tc>
      </w:tr>
      <w:tr w:rsidR="00EC13B7" w:rsidRPr="00A67BE5" w14:paraId="55F10230" w14:textId="77777777" w:rsidTr="00EC13B7">
        <w:tc>
          <w:tcPr>
            <w:tcW w:w="709" w:type="dxa"/>
          </w:tcPr>
          <w:p w14:paraId="5B4FEEDB"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w:t>
            </w:r>
          </w:p>
        </w:tc>
        <w:tc>
          <w:tcPr>
            <w:tcW w:w="1909" w:type="dxa"/>
          </w:tcPr>
          <w:p w14:paraId="248B30E9"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刑事陪審法草案</w:t>
            </w:r>
          </w:p>
        </w:tc>
        <w:tc>
          <w:tcPr>
            <w:tcW w:w="1918" w:type="dxa"/>
          </w:tcPr>
          <w:p w14:paraId="0AE01CF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時代力量黨團</w:t>
            </w:r>
          </w:p>
          <w:p w14:paraId="52C3B35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109.03.20 </w:t>
            </w:r>
          </w:p>
          <w:p w14:paraId="38C36C9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（10-1-5）</w:t>
            </w:r>
          </w:p>
        </w:tc>
        <w:tc>
          <w:tcPr>
            <w:tcW w:w="2085" w:type="dxa"/>
          </w:tcPr>
          <w:p w14:paraId="3C28C25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02B4E212"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周召集委員春米</w:t>
            </w:r>
          </w:p>
        </w:tc>
        <w:tc>
          <w:tcPr>
            <w:tcW w:w="1862" w:type="dxa"/>
          </w:tcPr>
          <w:p w14:paraId="70518B2D"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1.本會</w:t>
            </w:r>
            <w:r w:rsidRPr="00A67BE5">
              <w:rPr>
                <w:rFonts w:ascii="標楷體" w:eastAsia="標楷體" w:hAnsi="標楷體" w:hint="eastAsia"/>
                <w:color w:val="000000"/>
                <w:spacing w:val="-10"/>
                <w:kern w:val="0"/>
              </w:rPr>
              <w:t>109.4.23</w:t>
            </w:r>
            <w:r w:rsidRPr="00A67BE5">
              <w:rPr>
                <w:rFonts w:ascii="標楷體" w:eastAsia="標楷體" w:hAnsi="標楷體" w:hint="eastAsia"/>
                <w:color w:val="000000"/>
                <w:kern w:val="0"/>
              </w:rPr>
              <w:t>舉行「提升司法公信-最符合國人期待之審判制度為何？人民參與刑事審判應何去何從？」公聽會。</w:t>
            </w:r>
          </w:p>
          <w:p w14:paraId="035537DD"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2.本會</w:t>
            </w:r>
            <w:r w:rsidRPr="00A67BE5">
              <w:rPr>
                <w:rFonts w:ascii="標楷體" w:eastAsia="標楷體" w:hAnsi="標楷體" w:hint="eastAsia"/>
                <w:color w:val="000000"/>
                <w:spacing w:val="-10"/>
                <w:kern w:val="0"/>
              </w:rPr>
              <w:t>109.4.27</w:t>
            </w:r>
            <w:r w:rsidRPr="00A67BE5">
              <w:rPr>
                <w:rFonts w:ascii="標楷體" w:eastAsia="標楷體" w:hAnsi="標楷體" w:hint="eastAsia"/>
                <w:color w:val="000000"/>
                <w:kern w:val="0"/>
              </w:rPr>
              <w:t>(10-1-19)另定期繼續審查。</w:t>
            </w:r>
          </w:p>
          <w:p w14:paraId="774CBCB9"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3.本會</w:t>
            </w:r>
            <w:r w:rsidRPr="00A67BE5">
              <w:rPr>
                <w:rFonts w:ascii="標楷體" w:eastAsia="標楷體" w:hAnsi="標楷體" w:hint="eastAsia"/>
                <w:color w:val="000000"/>
                <w:spacing w:val="-10"/>
                <w:kern w:val="0"/>
              </w:rPr>
              <w:t>109.4.29</w:t>
            </w:r>
            <w:r w:rsidRPr="00A67BE5">
              <w:rPr>
                <w:rFonts w:ascii="標楷體" w:eastAsia="標楷體" w:hAnsi="標楷體" w:hint="eastAsia"/>
                <w:color w:val="000000"/>
                <w:kern w:val="0"/>
              </w:rPr>
              <w:t>(10-1-20)審查完竣，須交由黨團協商。</w:t>
            </w:r>
          </w:p>
        </w:tc>
      </w:tr>
      <w:tr w:rsidR="00EC13B7" w:rsidRPr="00A67BE5" w14:paraId="38CB3D11" w14:textId="77777777" w:rsidTr="00EC13B7">
        <w:tc>
          <w:tcPr>
            <w:tcW w:w="709" w:type="dxa"/>
          </w:tcPr>
          <w:p w14:paraId="19EDDB75"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w:t>
            </w:r>
          </w:p>
        </w:tc>
        <w:tc>
          <w:tcPr>
            <w:tcW w:w="1909" w:type="dxa"/>
          </w:tcPr>
          <w:p w14:paraId="5508E02F"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1.中華民國刑法第二百三十五條條文修正草案</w:t>
            </w:r>
          </w:p>
        </w:tc>
        <w:tc>
          <w:tcPr>
            <w:tcW w:w="1918" w:type="dxa"/>
          </w:tcPr>
          <w:p w14:paraId="508D4C4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委員李貴敏等20人 109.04.10 </w:t>
            </w:r>
          </w:p>
          <w:p w14:paraId="57B34A0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（10-1-8）</w:t>
            </w:r>
          </w:p>
        </w:tc>
        <w:tc>
          <w:tcPr>
            <w:tcW w:w="2085" w:type="dxa"/>
            <w:vMerge w:val="restart"/>
          </w:tcPr>
          <w:p w14:paraId="142AF3E3"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4EDB180A"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李召集委員貴敏</w:t>
            </w:r>
          </w:p>
        </w:tc>
        <w:tc>
          <w:tcPr>
            <w:tcW w:w="1862" w:type="dxa"/>
            <w:vMerge w:val="restart"/>
          </w:tcPr>
          <w:p w14:paraId="463629E6"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1.本會</w:t>
            </w:r>
            <w:r w:rsidRPr="00A67BE5">
              <w:rPr>
                <w:rFonts w:ascii="標楷體" w:eastAsia="標楷體" w:hAnsi="標楷體" w:hint="eastAsia"/>
                <w:color w:val="000000"/>
                <w:spacing w:val="-10"/>
                <w:kern w:val="0"/>
              </w:rPr>
              <w:t>109.5.20</w:t>
            </w:r>
            <w:r w:rsidRPr="00A67BE5">
              <w:rPr>
                <w:rFonts w:ascii="標楷體" w:eastAsia="標楷體" w:hAnsi="標楷體" w:hint="eastAsia"/>
                <w:color w:val="000000"/>
                <w:kern w:val="0"/>
              </w:rPr>
              <w:t>(10-1-28)審查完竣，須交由黨團協商。</w:t>
            </w:r>
          </w:p>
          <w:p w14:paraId="26F23678"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2.109.10.30黨團協商。</w:t>
            </w:r>
          </w:p>
          <w:p w14:paraId="3520723C"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3.109.12.17黨團協商。</w:t>
            </w:r>
          </w:p>
        </w:tc>
      </w:tr>
      <w:tr w:rsidR="00EC13B7" w:rsidRPr="00A67BE5" w14:paraId="45A4886A" w14:textId="77777777" w:rsidTr="00EC13B7">
        <w:tc>
          <w:tcPr>
            <w:tcW w:w="709" w:type="dxa"/>
          </w:tcPr>
          <w:p w14:paraId="67F283C6"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4</w:t>
            </w:r>
          </w:p>
        </w:tc>
        <w:tc>
          <w:tcPr>
            <w:tcW w:w="1909" w:type="dxa"/>
          </w:tcPr>
          <w:p w14:paraId="5DB63186"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2.中華民國刑法第二百三十五條條文修正草案</w:t>
            </w:r>
          </w:p>
        </w:tc>
        <w:tc>
          <w:tcPr>
            <w:tcW w:w="1918" w:type="dxa"/>
          </w:tcPr>
          <w:p w14:paraId="3196BF6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委員吳怡玎等19人 109.04.17 </w:t>
            </w:r>
          </w:p>
          <w:p w14:paraId="7F3A2843"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（10-1-9）</w:t>
            </w:r>
          </w:p>
        </w:tc>
        <w:tc>
          <w:tcPr>
            <w:tcW w:w="2085" w:type="dxa"/>
            <w:vMerge/>
          </w:tcPr>
          <w:p w14:paraId="75277B9C"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06BE17D2"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0F5E93CC" w14:textId="77777777" w:rsidTr="00EC13B7">
        <w:tc>
          <w:tcPr>
            <w:tcW w:w="709" w:type="dxa"/>
          </w:tcPr>
          <w:p w14:paraId="54121C07"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5</w:t>
            </w:r>
          </w:p>
        </w:tc>
        <w:tc>
          <w:tcPr>
            <w:tcW w:w="1909" w:type="dxa"/>
          </w:tcPr>
          <w:p w14:paraId="55CA2A5C"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3.中華民國刑法第二百三十一條之二及第二百三十五條條文修正草案</w:t>
            </w:r>
          </w:p>
        </w:tc>
        <w:tc>
          <w:tcPr>
            <w:tcW w:w="1918" w:type="dxa"/>
          </w:tcPr>
          <w:p w14:paraId="47C7E1E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委員呂玉玲等23人 109.04.24 </w:t>
            </w:r>
          </w:p>
          <w:p w14:paraId="5A31B2D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（10-1-10）</w:t>
            </w:r>
          </w:p>
        </w:tc>
        <w:tc>
          <w:tcPr>
            <w:tcW w:w="2085" w:type="dxa"/>
            <w:vMerge/>
          </w:tcPr>
          <w:p w14:paraId="3FA66866"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6DFFF4C8"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47C4CC72" w14:textId="77777777" w:rsidTr="00EC13B7">
        <w:tc>
          <w:tcPr>
            <w:tcW w:w="709" w:type="dxa"/>
          </w:tcPr>
          <w:p w14:paraId="3A58A565"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6</w:t>
            </w:r>
          </w:p>
        </w:tc>
        <w:tc>
          <w:tcPr>
            <w:tcW w:w="1909" w:type="dxa"/>
          </w:tcPr>
          <w:p w14:paraId="75CDD494"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1.公務人員訓練進修法部分條文</w:t>
            </w:r>
            <w:r w:rsidRPr="00A67BE5">
              <w:rPr>
                <w:rFonts w:ascii="標楷體" w:eastAsia="標楷體" w:hAnsi="標楷體" w:hint="eastAsia"/>
                <w:color w:val="000000"/>
                <w:kern w:val="0"/>
              </w:rPr>
              <w:lastRenderedPageBreak/>
              <w:t>修正草案</w:t>
            </w:r>
          </w:p>
        </w:tc>
        <w:tc>
          <w:tcPr>
            <w:tcW w:w="1918" w:type="dxa"/>
          </w:tcPr>
          <w:p w14:paraId="7461172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lastRenderedPageBreak/>
              <w:t xml:space="preserve">考試院 109.09.18 </w:t>
            </w:r>
          </w:p>
          <w:p w14:paraId="4BC1B72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lastRenderedPageBreak/>
              <w:t>（10-2-1）</w:t>
            </w:r>
          </w:p>
        </w:tc>
        <w:tc>
          <w:tcPr>
            <w:tcW w:w="2085" w:type="dxa"/>
            <w:vMerge w:val="restart"/>
          </w:tcPr>
          <w:p w14:paraId="619BABAE"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lastRenderedPageBreak/>
              <w:t>司法及法制</w:t>
            </w:r>
          </w:p>
          <w:p w14:paraId="2C16169E"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葉召集委員毓蘭</w:t>
            </w:r>
          </w:p>
        </w:tc>
        <w:tc>
          <w:tcPr>
            <w:tcW w:w="1862" w:type="dxa"/>
            <w:vMerge w:val="restart"/>
          </w:tcPr>
          <w:p w14:paraId="666E6E28"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1.本會</w:t>
            </w:r>
            <w:r w:rsidRPr="00A67BE5">
              <w:rPr>
                <w:rFonts w:ascii="標楷體" w:eastAsia="標楷體" w:hAnsi="標楷體" w:hint="eastAsia"/>
                <w:color w:val="000000"/>
                <w:spacing w:val="-10"/>
                <w:kern w:val="0"/>
              </w:rPr>
              <w:t>110.4.29</w:t>
            </w:r>
            <w:r w:rsidRPr="00A67BE5">
              <w:rPr>
                <w:rFonts w:ascii="標楷體" w:eastAsia="標楷體" w:hAnsi="標楷體" w:hint="eastAsia"/>
                <w:color w:val="000000"/>
                <w:kern w:val="0"/>
              </w:rPr>
              <w:t>(10-3-15)審</w:t>
            </w:r>
            <w:r w:rsidRPr="00A67BE5">
              <w:rPr>
                <w:rFonts w:ascii="標楷體" w:eastAsia="標楷體" w:hAnsi="標楷體" w:hint="eastAsia"/>
                <w:color w:val="000000"/>
                <w:kern w:val="0"/>
              </w:rPr>
              <w:lastRenderedPageBreak/>
              <w:t>查完竣，須交由黨團協商。</w:t>
            </w:r>
          </w:p>
          <w:p w14:paraId="3584EEAA"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2.110.5.13黨團協商。</w:t>
            </w:r>
          </w:p>
        </w:tc>
      </w:tr>
      <w:tr w:rsidR="00EC13B7" w:rsidRPr="00A67BE5" w14:paraId="691E991B" w14:textId="77777777" w:rsidTr="00EC13B7">
        <w:tc>
          <w:tcPr>
            <w:tcW w:w="709" w:type="dxa"/>
          </w:tcPr>
          <w:p w14:paraId="63E3FF56"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lastRenderedPageBreak/>
              <w:t>7</w:t>
            </w:r>
          </w:p>
        </w:tc>
        <w:tc>
          <w:tcPr>
            <w:tcW w:w="1909" w:type="dxa"/>
          </w:tcPr>
          <w:p w14:paraId="3CC782D9"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2.公務人員訓練進修法第十條條文修正草案</w:t>
            </w:r>
          </w:p>
        </w:tc>
        <w:tc>
          <w:tcPr>
            <w:tcW w:w="1918" w:type="dxa"/>
          </w:tcPr>
          <w:p w14:paraId="4CF39B4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委員萬美玲等20人 110.03.26 </w:t>
            </w:r>
          </w:p>
          <w:p w14:paraId="38996BA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（10-3-5）</w:t>
            </w:r>
          </w:p>
        </w:tc>
        <w:tc>
          <w:tcPr>
            <w:tcW w:w="2085" w:type="dxa"/>
            <w:vMerge/>
          </w:tcPr>
          <w:p w14:paraId="70C2E217"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7F688E0E"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32A128AB" w14:textId="77777777" w:rsidTr="00EC13B7">
        <w:tc>
          <w:tcPr>
            <w:tcW w:w="709" w:type="dxa"/>
          </w:tcPr>
          <w:p w14:paraId="55E4A1E9"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8</w:t>
            </w:r>
          </w:p>
        </w:tc>
        <w:tc>
          <w:tcPr>
            <w:tcW w:w="1909" w:type="dxa"/>
          </w:tcPr>
          <w:p w14:paraId="3F244036"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1.中華民國刑法第四十七條及第四十八條條文修正草案</w:t>
            </w:r>
          </w:p>
        </w:tc>
        <w:tc>
          <w:tcPr>
            <w:tcW w:w="1918" w:type="dxa"/>
          </w:tcPr>
          <w:p w14:paraId="6CC025EA"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行政院、司法院 110.02.26 </w:t>
            </w:r>
          </w:p>
          <w:p w14:paraId="227B7B1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（10-3-1）</w:t>
            </w:r>
          </w:p>
        </w:tc>
        <w:tc>
          <w:tcPr>
            <w:tcW w:w="2085" w:type="dxa"/>
            <w:vMerge w:val="restart"/>
          </w:tcPr>
          <w:p w14:paraId="762E0F92"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60185BA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葉召集委員毓蘭</w:t>
            </w:r>
          </w:p>
        </w:tc>
        <w:tc>
          <w:tcPr>
            <w:tcW w:w="1862" w:type="dxa"/>
            <w:vMerge w:val="restart"/>
          </w:tcPr>
          <w:p w14:paraId="2181338B"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本會110.5.12</w:t>
            </w:r>
          </w:p>
          <w:p w14:paraId="74A32A78"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(10-3-17)審查完竣，須交由黨團協商。</w:t>
            </w:r>
          </w:p>
        </w:tc>
      </w:tr>
      <w:tr w:rsidR="00EC13B7" w:rsidRPr="00A67BE5" w14:paraId="210C76FB" w14:textId="77777777" w:rsidTr="00EC13B7">
        <w:tc>
          <w:tcPr>
            <w:tcW w:w="709" w:type="dxa"/>
          </w:tcPr>
          <w:p w14:paraId="6BA1F153"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9</w:t>
            </w:r>
          </w:p>
        </w:tc>
        <w:tc>
          <w:tcPr>
            <w:tcW w:w="1909" w:type="dxa"/>
          </w:tcPr>
          <w:p w14:paraId="3EB3E8C0"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2.中華民國刑法刪除第四十八條條文草案</w:t>
            </w:r>
          </w:p>
        </w:tc>
        <w:tc>
          <w:tcPr>
            <w:tcW w:w="1918" w:type="dxa"/>
          </w:tcPr>
          <w:p w14:paraId="16F4E14C"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委員陳明文等18人 109.05.29 </w:t>
            </w:r>
          </w:p>
          <w:p w14:paraId="4B73E86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（10-1-15）</w:t>
            </w:r>
          </w:p>
        </w:tc>
        <w:tc>
          <w:tcPr>
            <w:tcW w:w="2085" w:type="dxa"/>
            <w:vMerge/>
          </w:tcPr>
          <w:p w14:paraId="38A71E9E"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7E4E6883"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7037D16A" w14:textId="77777777" w:rsidTr="00EC13B7">
        <w:tc>
          <w:tcPr>
            <w:tcW w:w="709" w:type="dxa"/>
          </w:tcPr>
          <w:p w14:paraId="763D4BBB"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10</w:t>
            </w:r>
          </w:p>
        </w:tc>
        <w:tc>
          <w:tcPr>
            <w:tcW w:w="1909" w:type="dxa"/>
          </w:tcPr>
          <w:p w14:paraId="288F28E4"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3.中華民國刑法第四十七條、第四十八條及第六十七條條文修正草案</w:t>
            </w:r>
          </w:p>
        </w:tc>
        <w:tc>
          <w:tcPr>
            <w:tcW w:w="1918" w:type="dxa"/>
          </w:tcPr>
          <w:p w14:paraId="1720724C"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委員蔡易餘等20人 109.12.04 </w:t>
            </w:r>
          </w:p>
          <w:p w14:paraId="52CD7B5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（10-2-6）</w:t>
            </w:r>
          </w:p>
        </w:tc>
        <w:tc>
          <w:tcPr>
            <w:tcW w:w="2085" w:type="dxa"/>
            <w:vMerge/>
          </w:tcPr>
          <w:p w14:paraId="3000A4A0"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23B84B91"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79C43725" w14:textId="77777777" w:rsidTr="00EC13B7">
        <w:tc>
          <w:tcPr>
            <w:tcW w:w="709" w:type="dxa"/>
          </w:tcPr>
          <w:p w14:paraId="2869C43F"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11</w:t>
            </w:r>
          </w:p>
        </w:tc>
        <w:tc>
          <w:tcPr>
            <w:tcW w:w="1909" w:type="dxa"/>
          </w:tcPr>
          <w:p w14:paraId="7C9A7EB9"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4.中華民國刑法刪除第四十八條條文草案</w:t>
            </w:r>
          </w:p>
        </w:tc>
        <w:tc>
          <w:tcPr>
            <w:tcW w:w="1918" w:type="dxa"/>
          </w:tcPr>
          <w:p w14:paraId="4DFC773E"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委員林楚茵等20人 </w:t>
            </w:r>
          </w:p>
          <w:p w14:paraId="69775F0F"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110.03.12 </w:t>
            </w:r>
          </w:p>
          <w:p w14:paraId="2386C4FA"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（10-3-3）</w:t>
            </w:r>
          </w:p>
        </w:tc>
        <w:tc>
          <w:tcPr>
            <w:tcW w:w="2085" w:type="dxa"/>
            <w:vMerge/>
          </w:tcPr>
          <w:p w14:paraId="043F6E56"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10787F9C"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247ACAB5" w14:textId="77777777" w:rsidTr="00EC13B7">
        <w:tc>
          <w:tcPr>
            <w:tcW w:w="709" w:type="dxa"/>
          </w:tcPr>
          <w:p w14:paraId="77847E79"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12</w:t>
            </w:r>
          </w:p>
        </w:tc>
        <w:tc>
          <w:tcPr>
            <w:tcW w:w="1909" w:type="dxa"/>
          </w:tcPr>
          <w:p w14:paraId="30F4E7DC"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5.中華民國刑法第四十七條及第四十八條條文修正草案</w:t>
            </w:r>
          </w:p>
        </w:tc>
        <w:tc>
          <w:tcPr>
            <w:tcW w:w="1918" w:type="dxa"/>
          </w:tcPr>
          <w:p w14:paraId="3E6FBF29"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委員萬美玲等18人 110.04.06 </w:t>
            </w:r>
          </w:p>
          <w:p w14:paraId="6005525F"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（10-3-6）</w:t>
            </w:r>
          </w:p>
        </w:tc>
        <w:tc>
          <w:tcPr>
            <w:tcW w:w="2085" w:type="dxa"/>
            <w:vMerge/>
          </w:tcPr>
          <w:p w14:paraId="4735F57B"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7C1749E5"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5D344ED7" w14:textId="77777777" w:rsidTr="00EC13B7">
        <w:tc>
          <w:tcPr>
            <w:tcW w:w="709" w:type="dxa"/>
          </w:tcPr>
          <w:p w14:paraId="15BF469E"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13</w:t>
            </w:r>
          </w:p>
        </w:tc>
        <w:tc>
          <w:tcPr>
            <w:tcW w:w="1909" w:type="dxa"/>
          </w:tcPr>
          <w:p w14:paraId="6604CC1A"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6.中華民國刑法第四十七條及第四十八條條文修正草案</w:t>
            </w:r>
          </w:p>
        </w:tc>
        <w:tc>
          <w:tcPr>
            <w:tcW w:w="1918" w:type="dxa"/>
          </w:tcPr>
          <w:p w14:paraId="6116DDD5"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民眾黨黨團 110.04.30 </w:t>
            </w:r>
          </w:p>
          <w:p w14:paraId="45490CC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（10-3-10）</w:t>
            </w:r>
          </w:p>
        </w:tc>
        <w:tc>
          <w:tcPr>
            <w:tcW w:w="2085" w:type="dxa"/>
            <w:vMerge/>
          </w:tcPr>
          <w:p w14:paraId="1E7CAE7A"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303E32EC"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60925257" w14:textId="77777777" w:rsidTr="00EC13B7">
        <w:tc>
          <w:tcPr>
            <w:tcW w:w="709" w:type="dxa"/>
          </w:tcPr>
          <w:p w14:paraId="3AC17668"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14</w:t>
            </w:r>
          </w:p>
        </w:tc>
        <w:tc>
          <w:tcPr>
            <w:tcW w:w="1909" w:type="dxa"/>
          </w:tcPr>
          <w:p w14:paraId="2AE847A1"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1.民事訴訟法部分條文修正草案</w:t>
            </w:r>
          </w:p>
        </w:tc>
        <w:tc>
          <w:tcPr>
            <w:tcW w:w="1918" w:type="dxa"/>
          </w:tcPr>
          <w:p w14:paraId="2C10A8C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司法院 109.09.25 </w:t>
            </w:r>
          </w:p>
          <w:p w14:paraId="1627CA77"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（10-2-2）</w:t>
            </w:r>
          </w:p>
        </w:tc>
        <w:tc>
          <w:tcPr>
            <w:tcW w:w="2085" w:type="dxa"/>
            <w:vMerge w:val="restart"/>
          </w:tcPr>
          <w:p w14:paraId="0F8EE77D"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785358FC"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黃召集委員世杰</w:t>
            </w:r>
          </w:p>
        </w:tc>
        <w:tc>
          <w:tcPr>
            <w:tcW w:w="1862" w:type="dxa"/>
            <w:vMerge w:val="restart"/>
          </w:tcPr>
          <w:p w14:paraId="3089ACB1"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1.本會110.10.18(10-4-5)審查完竣，須交由黨團協商。</w:t>
            </w:r>
          </w:p>
          <w:p w14:paraId="2CB2C091"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2.110.11.17黨團協商。</w:t>
            </w:r>
          </w:p>
        </w:tc>
      </w:tr>
      <w:tr w:rsidR="00EC13B7" w:rsidRPr="00A67BE5" w14:paraId="533F4177" w14:textId="77777777" w:rsidTr="00EC13B7">
        <w:tc>
          <w:tcPr>
            <w:tcW w:w="709" w:type="dxa"/>
          </w:tcPr>
          <w:p w14:paraId="686DC160"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15</w:t>
            </w:r>
          </w:p>
        </w:tc>
        <w:tc>
          <w:tcPr>
            <w:tcW w:w="1909" w:type="dxa"/>
          </w:tcPr>
          <w:p w14:paraId="55A05DAF"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2.民事訴訟法第三百二十四條、第三百四十條及第三百六十三條條文修正草案</w:t>
            </w:r>
          </w:p>
        </w:tc>
        <w:tc>
          <w:tcPr>
            <w:tcW w:w="1918" w:type="dxa"/>
          </w:tcPr>
          <w:p w14:paraId="0436EC4D"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委員蔡易餘等16人 109.12.11 </w:t>
            </w:r>
          </w:p>
          <w:p w14:paraId="4A1404C3"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（10-2-7）</w:t>
            </w:r>
          </w:p>
        </w:tc>
        <w:tc>
          <w:tcPr>
            <w:tcW w:w="2085" w:type="dxa"/>
            <w:vMerge/>
          </w:tcPr>
          <w:p w14:paraId="7D078EEB"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1862" w:type="dxa"/>
            <w:vMerge/>
          </w:tcPr>
          <w:p w14:paraId="2602C4A9"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EC13B7" w:rsidRPr="00A67BE5" w14:paraId="4D679933" w14:textId="77777777" w:rsidTr="00EC13B7">
        <w:tc>
          <w:tcPr>
            <w:tcW w:w="709" w:type="dxa"/>
          </w:tcPr>
          <w:p w14:paraId="3CBF434E"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16</w:t>
            </w:r>
          </w:p>
        </w:tc>
        <w:tc>
          <w:tcPr>
            <w:tcW w:w="1909" w:type="dxa"/>
          </w:tcPr>
          <w:p w14:paraId="1085CF58"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民事訴訟法施行法第四條之二及第十二條條文修正草案</w:t>
            </w:r>
          </w:p>
        </w:tc>
        <w:tc>
          <w:tcPr>
            <w:tcW w:w="1918" w:type="dxa"/>
          </w:tcPr>
          <w:p w14:paraId="78702BCC"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司法院 109.09.25 </w:t>
            </w:r>
          </w:p>
          <w:p w14:paraId="024D203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（10-2-2）</w:t>
            </w:r>
          </w:p>
        </w:tc>
        <w:tc>
          <w:tcPr>
            <w:tcW w:w="2085" w:type="dxa"/>
          </w:tcPr>
          <w:p w14:paraId="63DA394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45D4E57D"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黃召集委員世杰</w:t>
            </w:r>
          </w:p>
        </w:tc>
        <w:tc>
          <w:tcPr>
            <w:tcW w:w="1862" w:type="dxa"/>
          </w:tcPr>
          <w:p w14:paraId="1374C4D4"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1.本會110.10.18(10-4-5)審查完竣，須交由黨團協商。</w:t>
            </w:r>
          </w:p>
          <w:p w14:paraId="01AFB962"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2.110.11.17黨團協商。</w:t>
            </w:r>
          </w:p>
        </w:tc>
      </w:tr>
      <w:tr w:rsidR="00EC13B7" w:rsidRPr="00A67BE5" w14:paraId="2588E7F8" w14:textId="77777777" w:rsidTr="00EC13B7">
        <w:trPr>
          <w:trHeight w:val="1333"/>
        </w:trPr>
        <w:tc>
          <w:tcPr>
            <w:tcW w:w="709" w:type="dxa"/>
          </w:tcPr>
          <w:p w14:paraId="1A6D2701"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lastRenderedPageBreak/>
              <w:t>17</w:t>
            </w:r>
          </w:p>
        </w:tc>
        <w:tc>
          <w:tcPr>
            <w:tcW w:w="1909" w:type="dxa"/>
          </w:tcPr>
          <w:p w14:paraId="687E03F0"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1.陸海空軍刑法部分條文修正草案</w:t>
            </w:r>
          </w:p>
        </w:tc>
        <w:tc>
          <w:tcPr>
            <w:tcW w:w="1918" w:type="dxa"/>
          </w:tcPr>
          <w:p w14:paraId="4569FF5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行政院 110.05.14 </w:t>
            </w:r>
          </w:p>
          <w:p w14:paraId="0E751DFF"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（10-3-12）</w:t>
            </w:r>
          </w:p>
        </w:tc>
        <w:tc>
          <w:tcPr>
            <w:tcW w:w="2085" w:type="dxa"/>
            <w:vMerge w:val="restart"/>
          </w:tcPr>
          <w:p w14:paraId="3E0C895E" w14:textId="77777777" w:rsidR="00EC13B7" w:rsidRDefault="00EC13B7" w:rsidP="00EC13B7">
            <w:pPr>
              <w:adjustRightInd w:val="0"/>
              <w:snapToGrid w:val="0"/>
              <w:spacing w:line="260" w:lineRule="exact"/>
              <w:rPr>
                <w:rFonts w:ascii="標楷體" w:eastAsia="標楷體" w:hAnsi="標楷體"/>
                <w:kern w:val="0"/>
              </w:rPr>
            </w:pPr>
            <w:r w:rsidRPr="00A67BE5">
              <w:rPr>
                <w:rFonts w:ascii="標楷體" w:eastAsia="標楷體" w:hAnsi="標楷體" w:hint="eastAsia"/>
                <w:kern w:val="0"/>
              </w:rPr>
              <w:t>司法及法制、</w:t>
            </w:r>
          </w:p>
          <w:p w14:paraId="01FEAACD" w14:textId="77777777" w:rsidR="00EC13B7" w:rsidRPr="00A67BE5" w:rsidRDefault="00EC13B7" w:rsidP="00EC13B7">
            <w:pPr>
              <w:adjustRightInd w:val="0"/>
              <w:snapToGrid w:val="0"/>
              <w:spacing w:line="260" w:lineRule="exact"/>
              <w:rPr>
                <w:rFonts w:ascii="標楷體" w:eastAsia="標楷體" w:hAnsi="標楷體"/>
                <w:kern w:val="0"/>
              </w:rPr>
            </w:pPr>
            <w:r w:rsidRPr="00A67BE5">
              <w:rPr>
                <w:rFonts w:ascii="標楷體" w:eastAsia="標楷體" w:hAnsi="標楷體" w:hint="eastAsia"/>
                <w:kern w:val="0"/>
              </w:rPr>
              <w:t>外交及國防</w:t>
            </w:r>
          </w:p>
          <w:p w14:paraId="21EB312C" w14:textId="77777777" w:rsidR="00EC13B7" w:rsidRPr="00A67BE5" w:rsidRDefault="00EC13B7" w:rsidP="00EC13B7">
            <w:pPr>
              <w:rPr>
                <w:rFonts w:ascii="標楷體" w:hAnsi="標楷體"/>
              </w:rPr>
            </w:pPr>
            <w:r w:rsidRPr="00A67BE5">
              <w:rPr>
                <w:rFonts w:ascii="標楷體" w:eastAsia="標楷體" w:hAnsi="標楷體" w:hint="eastAsia"/>
                <w:kern w:val="0"/>
              </w:rPr>
              <w:t>黃召集委員世杰</w:t>
            </w:r>
          </w:p>
        </w:tc>
        <w:tc>
          <w:tcPr>
            <w:tcW w:w="1862" w:type="dxa"/>
            <w:vMerge w:val="restart"/>
          </w:tcPr>
          <w:p w14:paraId="56CA2F64" w14:textId="77777777" w:rsidR="00EC13B7" w:rsidRPr="00A67BE5" w:rsidRDefault="00EC13B7" w:rsidP="00EC13B7">
            <w:pPr>
              <w:kinsoku w:val="0"/>
              <w:wordWrap w:val="0"/>
              <w:adjustRightInd w:val="0"/>
              <w:snapToGrid w:val="0"/>
              <w:spacing w:line="300" w:lineRule="exact"/>
              <w:jc w:val="both"/>
              <w:rPr>
                <w:rFonts w:ascii="標楷體" w:hAnsi="標楷體"/>
              </w:rPr>
            </w:pPr>
            <w:r w:rsidRPr="00A67BE5">
              <w:rPr>
                <w:rFonts w:ascii="標楷體" w:eastAsia="標楷體" w:hAnsi="標楷體" w:hint="eastAsia"/>
                <w:color w:val="000000"/>
                <w:spacing w:val="-10"/>
                <w:kern w:val="0"/>
              </w:rPr>
              <w:t>聯席會111.5.11(10-5-1)</w:t>
            </w:r>
            <w:r w:rsidRPr="00A67BE5">
              <w:rPr>
                <w:rFonts w:ascii="標楷體" w:eastAsia="標楷體" w:hAnsi="標楷體" w:hint="eastAsia"/>
                <w:color w:val="000000"/>
                <w:kern w:val="0"/>
              </w:rPr>
              <w:t>審查完竣，須交由黨團協商。</w:t>
            </w:r>
          </w:p>
        </w:tc>
      </w:tr>
      <w:tr w:rsidR="00EC13B7" w:rsidRPr="00A67BE5" w14:paraId="75A4C429" w14:textId="77777777" w:rsidTr="00EC13B7">
        <w:trPr>
          <w:trHeight w:val="1333"/>
        </w:trPr>
        <w:tc>
          <w:tcPr>
            <w:tcW w:w="709" w:type="dxa"/>
          </w:tcPr>
          <w:p w14:paraId="1037EA5E"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18</w:t>
            </w:r>
          </w:p>
        </w:tc>
        <w:tc>
          <w:tcPr>
            <w:tcW w:w="1909" w:type="dxa"/>
          </w:tcPr>
          <w:p w14:paraId="4C26C062"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2.陸海空軍刑法第十條、第二十條及第二十二條條文修正草案</w:t>
            </w:r>
          </w:p>
        </w:tc>
        <w:tc>
          <w:tcPr>
            <w:tcW w:w="1918" w:type="dxa"/>
          </w:tcPr>
          <w:p w14:paraId="05AF5E33"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委員劉世芳等20人 110.05.31 </w:t>
            </w:r>
          </w:p>
          <w:p w14:paraId="33BD81E7"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（10-3-14）</w:t>
            </w:r>
          </w:p>
        </w:tc>
        <w:tc>
          <w:tcPr>
            <w:tcW w:w="2085" w:type="dxa"/>
            <w:vMerge/>
          </w:tcPr>
          <w:p w14:paraId="082D3750" w14:textId="77777777" w:rsidR="00EC13B7" w:rsidRPr="00A67BE5" w:rsidRDefault="00EC13B7" w:rsidP="00EC13B7">
            <w:pPr>
              <w:rPr>
                <w:rFonts w:ascii="標楷體" w:hAnsi="標楷體"/>
              </w:rPr>
            </w:pPr>
          </w:p>
        </w:tc>
        <w:tc>
          <w:tcPr>
            <w:tcW w:w="1862" w:type="dxa"/>
            <w:vMerge/>
          </w:tcPr>
          <w:p w14:paraId="49AFBAF9" w14:textId="77777777" w:rsidR="00EC13B7" w:rsidRPr="00A67BE5" w:rsidRDefault="00EC13B7" w:rsidP="00EC13B7">
            <w:pPr>
              <w:rPr>
                <w:rFonts w:ascii="標楷體" w:hAnsi="標楷體"/>
              </w:rPr>
            </w:pPr>
          </w:p>
        </w:tc>
      </w:tr>
      <w:tr w:rsidR="00EC13B7" w:rsidRPr="00A67BE5" w14:paraId="28A9AD5D" w14:textId="77777777" w:rsidTr="00EC13B7">
        <w:trPr>
          <w:trHeight w:val="1333"/>
        </w:trPr>
        <w:tc>
          <w:tcPr>
            <w:tcW w:w="709" w:type="dxa"/>
          </w:tcPr>
          <w:p w14:paraId="4D0653B4"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19</w:t>
            </w:r>
          </w:p>
        </w:tc>
        <w:tc>
          <w:tcPr>
            <w:tcW w:w="1909" w:type="dxa"/>
          </w:tcPr>
          <w:p w14:paraId="06C5EF25"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3.陸海空軍刑法部分條文修正草案</w:t>
            </w:r>
          </w:p>
        </w:tc>
        <w:tc>
          <w:tcPr>
            <w:tcW w:w="1918" w:type="dxa"/>
          </w:tcPr>
          <w:p w14:paraId="72740E3E"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委員羅致政等16人 110.09.17 </w:t>
            </w:r>
          </w:p>
          <w:p w14:paraId="69535C6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（10-4-1）</w:t>
            </w:r>
          </w:p>
        </w:tc>
        <w:tc>
          <w:tcPr>
            <w:tcW w:w="2085" w:type="dxa"/>
            <w:vMerge/>
          </w:tcPr>
          <w:p w14:paraId="3E0BD8D2" w14:textId="77777777" w:rsidR="00EC13B7" w:rsidRPr="00A67BE5" w:rsidRDefault="00EC13B7" w:rsidP="00EC13B7">
            <w:pPr>
              <w:rPr>
                <w:rFonts w:ascii="標楷體" w:hAnsi="標楷體"/>
              </w:rPr>
            </w:pPr>
          </w:p>
        </w:tc>
        <w:tc>
          <w:tcPr>
            <w:tcW w:w="1862" w:type="dxa"/>
            <w:vMerge/>
          </w:tcPr>
          <w:p w14:paraId="6789B31F" w14:textId="77777777" w:rsidR="00EC13B7" w:rsidRPr="00A67BE5" w:rsidRDefault="00EC13B7" w:rsidP="00EC13B7">
            <w:pPr>
              <w:rPr>
                <w:rFonts w:ascii="標楷體" w:hAnsi="標楷體"/>
              </w:rPr>
            </w:pPr>
          </w:p>
        </w:tc>
      </w:tr>
      <w:tr w:rsidR="00EC13B7" w:rsidRPr="00A67BE5" w14:paraId="5B502752" w14:textId="77777777" w:rsidTr="00EC13B7">
        <w:trPr>
          <w:trHeight w:val="1044"/>
        </w:trPr>
        <w:tc>
          <w:tcPr>
            <w:tcW w:w="709" w:type="dxa"/>
          </w:tcPr>
          <w:p w14:paraId="106CA15B"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20</w:t>
            </w:r>
          </w:p>
        </w:tc>
        <w:tc>
          <w:tcPr>
            <w:tcW w:w="1909" w:type="dxa"/>
          </w:tcPr>
          <w:p w14:paraId="3276C7FF"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4.陸海空軍刑法部分條文修正草案</w:t>
            </w:r>
          </w:p>
        </w:tc>
        <w:tc>
          <w:tcPr>
            <w:tcW w:w="1918" w:type="dxa"/>
          </w:tcPr>
          <w:p w14:paraId="11E3545C"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時代力量黨團 110.11.26 </w:t>
            </w:r>
          </w:p>
          <w:p w14:paraId="59281547"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（10-4-11）</w:t>
            </w:r>
          </w:p>
        </w:tc>
        <w:tc>
          <w:tcPr>
            <w:tcW w:w="2085" w:type="dxa"/>
            <w:vMerge/>
          </w:tcPr>
          <w:p w14:paraId="71C5260C" w14:textId="77777777" w:rsidR="00EC13B7" w:rsidRPr="00A67BE5" w:rsidRDefault="00EC13B7" w:rsidP="00EC13B7">
            <w:pPr>
              <w:rPr>
                <w:rFonts w:ascii="標楷體" w:hAnsi="標楷體"/>
              </w:rPr>
            </w:pPr>
          </w:p>
        </w:tc>
        <w:tc>
          <w:tcPr>
            <w:tcW w:w="1862" w:type="dxa"/>
            <w:vMerge/>
          </w:tcPr>
          <w:p w14:paraId="335191B9" w14:textId="77777777" w:rsidR="00EC13B7" w:rsidRPr="00A67BE5" w:rsidRDefault="00EC13B7" w:rsidP="00EC13B7">
            <w:pPr>
              <w:rPr>
                <w:rFonts w:ascii="標楷體" w:hAnsi="標楷體"/>
              </w:rPr>
            </w:pPr>
          </w:p>
        </w:tc>
      </w:tr>
      <w:tr w:rsidR="00EC13B7" w:rsidRPr="00A67BE5" w14:paraId="4B1439C4" w14:textId="77777777" w:rsidTr="00EC13B7">
        <w:trPr>
          <w:trHeight w:val="1134"/>
        </w:trPr>
        <w:tc>
          <w:tcPr>
            <w:tcW w:w="709" w:type="dxa"/>
          </w:tcPr>
          <w:p w14:paraId="2D0148B6"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21</w:t>
            </w:r>
          </w:p>
        </w:tc>
        <w:tc>
          <w:tcPr>
            <w:tcW w:w="1909" w:type="dxa"/>
          </w:tcPr>
          <w:p w14:paraId="254F3261"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5.陸海空軍刑法部分條文修正草案</w:t>
            </w:r>
          </w:p>
        </w:tc>
        <w:tc>
          <w:tcPr>
            <w:tcW w:w="1918" w:type="dxa"/>
          </w:tcPr>
          <w:p w14:paraId="6A4C78E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民眾黨黨團 111.04.08 </w:t>
            </w:r>
          </w:p>
          <w:p w14:paraId="12C7CCB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（10-5-7）</w:t>
            </w:r>
          </w:p>
        </w:tc>
        <w:tc>
          <w:tcPr>
            <w:tcW w:w="2085" w:type="dxa"/>
            <w:vMerge/>
          </w:tcPr>
          <w:p w14:paraId="1605D0FE" w14:textId="77777777" w:rsidR="00EC13B7" w:rsidRPr="00A67BE5" w:rsidRDefault="00EC13B7" w:rsidP="00EC13B7">
            <w:pPr>
              <w:rPr>
                <w:rFonts w:ascii="標楷體" w:hAnsi="標楷體"/>
              </w:rPr>
            </w:pPr>
          </w:p>
        </w:tc>
        <w:tc>
          <w:tcPr>
            <w:tcW w:w="1862" w:type="dxa"/>
            <w:vMerge/>
          </w:tcPr>
          <w:p w14:paraId="782F5672" w14:textId="77777777" w:rsidR="00EC13B7" w:rsidRPr="00A67BE5" w:rsidRDefault="00EC13B7" w:rsidP="00EC13B7">
            <w:pPr>
              <w:rPr>
                <w:rFonts w:ascii="標楷體" w:hAnsi="標楷體"/>
              </w:rPr>
            </w:pPr>
          </w:p>
        </w:tc>
      </w:tr>
      <w:tr w:rsidR="00EC13B7" w:rsidRPr="00A67BE5" w14:paraId="7EAD3678" w14:textId="77777777" w:rsidTr="00EC13B7">
        <w:trPr>
          <w:trHeight w:val="1333"/>
        </w:trPr>
        <w:tc>
          <w:tcPr>
            <w:tcW w:w="709" w:type="dxa"/>
          </w:tcPr>
          <w:p w14:paraId="61F8F2D6"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22</w:t>
            </w:r>
          </w:p>
        </w:tc>
        <w:tc>
          <w:tcPr>
            <w:tcW w:w="1909" w:type="dxa"/>
          </w:tcPr>
          <w:p w14:paraId="2688E565"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1.司法院釋字第七四八號解釋施行法第二十條條文修正草案</w:t>
            </w:r>
          </w:p>
        </w:tc>
        <w:tc>
          <w:tcPr>
            <w:tcW w:w="1918" w:type="dxa"/>
          </w:tcPr>
          <w:p w14:paraId="6CD50B83"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委員范雲等</w:t>
            </w:r>
          </w:p>
          <w:p w14:paraId="442786C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20人 109.12.24 </w:t>
            </w:r>
          </w:p>
          <w:p w14:paraId="3B6AEA4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（10-2-9）</w:t>
            </w:r>
          </w:p>
        </w:tc>
        <w:tc>
          <w:tcPr>
            <w:tcW w:w="2085" w:type="dxa"/>
            <w:vMerge w:val="restart"/>
          </w:tcPr>
          <w:p w14:paraId="0FAB233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33724135" w14:textId="77777777" w:rsidR="00EC13B7" w:rsidRPr="00A67BE5" w:rsidRDefault="00EC13B7" w:rsidP="00EC13B7">
            <w:pPr>
              <w:rPr>
                <w:rFonts w:ascii="標楷體" w:hAnsi="標楷體"/>
              </w:rPr>
            </w:pPr>
            <w:r w:rsidRPr="00A67BE5">
              <w:rPr>
                <w:rFonts w:ascii="標楷體" w:eastAsia="標楷體" w:hAnsi="標楷體" w:hint="eastAsia"/>
                <w:color w:val="000000"/>
                <w:kern w:val="0"/>
              </w:rPr>
              <w:t>黃召集委員世杰</w:t>
            </w:r>
          </w:p>
        </w:tc>
        <w:tc>
          <w:tcPr>
            <w:tcW w:w="1862" w:type="dxa"/>
            <w:vMerge w:val="restart"/>
          </w:tcPr>
          <w:p w14:paraId="413C5463"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本會111.5.12</w:t>
            </w:r>
          </w:p>
          <w:p w14:paraId="427E3467" w14:textId="77777777" w:rsidR="00EC13B7" w:rsidRPr="00A67BE5" w:rsidRDefault="00EC13B7" w:rsidP="00EC13B7">
            <w:pPr>
              <w:kinsoku w:val="0"/>
              <w:wordWrap w:val="0"/>
              <w:adjustRightInd w:val="0"/>
              <w:snapToGrid w:val="0"/>
              <w:spacing w:line="300" w:lineRule="exact"/>
              <w:jc w:val="both"/>
              <w:rPr>
                <w:rFonts w:ascii="標楷體" w:hAnsi="標楷體"/>
              </w:rPr>
            </w:pPr>
            <w:r w:rsidRPr="00A67BE5">
              <w:rPr>
                <w:rFonts w:ascii="標楷體" w:eastAsia="標楷體" w:hAnsi="標楷體" w:hint="eastAsia"/>
                <w:color w:val="000000"/>
                <w:kern w:val="0"/>
              </w:rPr>
              <w:t>(10-5-18)審查完竣，須交由黨團協商。</w:t>
            </w:r>
          </w:p>
        </w:tc>
      </w:tr>
      <w:tr w:rsidR="00EC13B7" w:rsidRPr="00A67BE5" w14:paraId="3B0A9A45" w14:textId="77777777" w:rsidTr="00EC13B7">
        <w:trPr>
          <w:trHeight w:val="1333"/>
        </w:trPr>
        <w:tc>
          <w:tcPr>
            <w:tcW w:w="709" w:type="dxa"/>
          </w:tcPr>
          <w:p w14:paraId="560F9EBE"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23</w:t>
            </w:r>
          </w:p>
        </w:tc>
        <w:tc>
          <w:tcPr>
            <w:tcW w:w="1909" w:type="dxa"/>
          </w:tcPr>
          <w:p w14:paraId="3049B052"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2.司法院釋字第七四八號解釋施行法第二十條條文修正草案</w:t>
            </w:r>
          </w:p>
        </w:tc>
        <w:tc>
          <w:tcPr>
            <w:tcW w:w="1918" w:type="dxa"/>
          </w:tcPr>
          <w:p w14:paraId="15FE16B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時代力量黨團 110.04.16 </w:t>
            </w:r>
          </w:p>
          <w:p w14:paraId="4FB9B3DB"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（10-3-8）</w:t>
            </w:r>
          </w:p>
        </w:tc>
        <w:tc>
          <w:tcPr>
            <w:tcW w:w="2085" w:type="dxa"/>
            <w:vMerge/>
          </w:tcPr>
          <w:p w14:paraId="2235C8CE" w14:textId="77777777" w:rsidR="00EC13B7" w:rsidRPr="00A67BE5" w:rsidRDefault="00EC13B7" w:rsidP="00EC13B7">
            <w:pPr>
              <w:rPr>
                <w:rFonts w:ascii="標楷體" w:hAnsi="標楷體"/>
              </w:rPr>
            </w:pPr>
          </w:p>
        </w:tc>
        <w:tc>
          <w:tcPr>
            <w:tcW w:w="1862" w:type="dxa"/>
            <w:vMerge/>
          </w:tcPr>
          <w:p w14:paraId="04653E10" w14:textId="77777777" w:rsidR="00EC13B7" w:rsidRPr="00A67BE5" w:rsidRDefault="00EC13B7" w:rsidP="00EC13B7">
            <w:pPr>
              <w:rPr>
                <w:rFonts w:ascii="標楷體" w:hAnsi="標楷體"/>
              </w:rPr>
            </w:pPr>
          </w:p>
        </w:tc>
      </w:tr>
      <w:tr w:rsidR="00EC13B7" w:rsidRPr="00A67BE5" w14:paraId="562922E8" w14:textId="77777777" w:rsidTr="00EC13B7">
        <w:trPr>
          <w:trHeight w:val="1333"/>
        </w:trPr>
        <w:tc>
          <w:tcPr>
            <w:tcW w:w="709" w:type="dxa"/>
          </w:tcPr>
          <w:p w14:paraId="20CD1439"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24</w:t>
            </w:r>
          </w:p>
        </w:tc>
        <w:tc>
          <w:tcPr>
            <w:tcW w:w="1909" w:type="dxa"/>
          </w:tcPr>
          <w:p w14:paraId="768D894C"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3.司法院釋字第七四八號解釋施行法第二十條條文修正草案</w:t>
            </w:r>
          </w:p>
        </w:tc>
        <w:tc>
          <w:tcPr>
            <w:tcW w:w="1918" w:type="dxa"/>
          </w:tcPr>
          <w:p w14:paraId="2ED92A7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民眾黨黨團 110.04.23 </w:t>
            </w:r>
          </w:p>
          <w:p w14:paraId="5C3EC27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（10-3-9）</w:t>
            </w:r>
          </w:p>
        </w:tc>
        <w:tc>
          <w:tcPr>
            <w:tcW w:w="2085" w:type="dxa"/>
            <w:vMerge/>
          </w:tcPr>
          <w:p w14:paraId="6EB721A6" w14:textId="77777777" w:rsidR="00EC13B7" w:rsidRPr="00A67BE5" w:rsidRDefault="00EC13B7" w:rsidP="00EC13B7">
            <w:pPr>
              <w:rPr>
                <w:rFonts w:ascii="標楷體" w:hAnsi="標楷體"/>
              </w:rPr>
            </w:pPr>
          </w:p>
        </w:tc>
        <w:tc>
          <w:tcPr>
            <w:tcW w:w="1862" w:type="dxa"/>
            <w:vMerge/>
          </w:tcPr>
          <w:p w14:paraId="0292D605" w14:textId="77777777" w:rsidR="00EC13B7" w:rsidRPr="00A67BE5" w:rsidRDefault="00EC13B7" w:rsidP="00EC13B7">
            <w:pPr>
              <w:rPr>
                <w:rFonts w:ascii="標楷體" w:hAnsi="標楷體"/>
              </w:rPr>
            </w:pPr>
          </w:p>
        </w:tc>
      </w:tr>
      <w:tr w:rsidR="00EC13B7" w:rsidRPr="00A67BE5" w14:paraId="456C16D9" w14:textId="77777777" w:rsidTr="00EC13B7">
        <w:trPr>
          <w:trHeight w:val="1333"/>
        </w:trPr>
        <w:tc>
          <w:tcPr>
            <w:tcW w:w="709" w:type="dxa"/>
          </w:tcPr>
          <w:p w14:paraId="032CF4C1"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25</w:t>
            </w:r>
          </w:p>
        </w:tc>
        <w:tc>
          <w:tcPr>
            <w:tcW w:w="1909" w:type="dxa"/>
          </w:tcPr>
          <w:p w14:paraId="6EB64BC1"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4.司法院釋字第七四八號解釋施行法第二十條條文修正草案</w:t>
            </w:r>
          </w:p>
        </w:tc>
        <w:tc>
          <w:tcPr>
            <w:tcW w:w="1918" w:type="dxa"/>
          </w:tcPr>
          <w:p w14:paraId="62851B6E"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委員鄭麗文等17人 110.05.21 </w:t>
            </w:r>
          </w:p>
          <w:p w14:paraId="277A4685"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（10-3-13）</w:t>
            </w:r>
          </w:p>
        </w:tc>
        <w:tc>
          <w:tcPr>
            <w:tcW w:w="2085" w:type="dxa"/>
            <w:vMerge/>
          </w:tcPr>
          <w:p w14:paraId="18F023F3" w14:textId="77777777" w:rsidR="00EC13B7" w:rsidRPr="00A67BE5" w:rsidRDefault="00EC13B7" w:rsidP="00EC13B7">
            <w:pPr>
              <w:rPr>
                <w:rFonts w:ascii="標楷體" w:hAnsi="標楷體"/>
              </w:rPr>
            </w:pPr>
          </w:p>
        </w:tc>
        <w:tc>
          <w:tcPr>
            <w:tcW w:w="1862" w:type="dxa"/>
            <w:vMerge/>
          </w:tcPr>
          <w:p w14:paraId="4F9FEDA1" w14:textId="77777777" w:rsidR="00EC13B7" w:rsidRPr="00A67BE5" w:rsidRDefault="00EC13B7" w:rsidP="00EC13B7">
            <w:pPr>
              <w:rPr>
                <w:rFonts w:ascii="標楷體" w:hAnsi="標楷體"/>
              </w:rPr>
            </w:pPr>
          </w:p>
        </w:tc>
      </w:tr>
      <w:tr w:rsidR="00EC13B7" w:rsidRPr="00A67BE5" w14:paraId="4EF77EA0" w14:textId="77777777" w:rsidTr="00EC13B7">
        <w:trPr>
          <w:trHeight w:val="1333"/>
        </w:trPr>
        <w:tc>
          <w:tcPr>
            <w:tcW w:w="709" w:type="dxa"/>
          </w:tcPr>
          <w:p w14:paraId="5EB5691C"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26</w:t>
            </w:r>
          </w:p>
        </w:tc>
        <w:tc>
          <w:tcPr>
            <w:tcW w:w="1909" w:type="dxa"/>
          </w:tcPr>
          <w:p w14:paraId="708E2EAF"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5.司法院釋字第七四八號解釋施行法第二十條條文修正草案</w:t>
            </w:r>
          </w:p>
        </w:tc>
        <w:tc>
          <w:tcPr>
            <w:tcW w:w="1918" w:type="dxa"/>
          </w:tcPr>
          <w:p w14:paraId="19A1F5C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委員林昶佐等16人 111.04.22 </w:t>
            </w:r>
          </w:p>
          <w:p w14:paraId="755E6CB1" w14:textId="77777777" w:rsidR="00EC13B7" w:rsidRPr="00A67BE5" w:rsidRDefault="00EC13B7" w:rsidP="00EC13B7">
            <w:pPr>
              <w:kinsoku w:val="0"/>
              <w:topLinePunct/>
              <w:spacing w:line="300" w:lineRule="exact"/>
              <w:rPr>
                <w:rFonts w:ascii="標楷體" w:hAnsi="標楷體"/>
              </w:rPr>
            </w:pPr>
            <w:r w:rsidRPr="00A67BE5">
              <w:rPr>
                <w:rFonts w:ascii="標楷體" w:eastAsia="標楷體" w:hAnsi="標楷體"/>
                <w:color w:val="000000"/>
                <w:kern w:val="0"/>
              </w:rPr>
              <w:t>（10-5-9）</w:t>
            </w:r>
          </w:p>
        </w:tc>
        <w:tc>
          <w:tcPr>
            <w:tcW w:w="2085" w:type="dxa"/>
            <w:vMerge/>
          </w:tcPr>
          <w:p w14:paraId="427CB23E" w14:textId="77777777" w:rsidR="00EC13B7" w:rsidRPr="00A67BE5" w:rsidRDefault="00EC13B7" w:rsidP="00EC13B7">
            <w:pPr>
              <w:rPr>
                <w:rFonts w:ascii="標楷體" w:hAnsi="標楷體"/>
              </w:rPr>
            </w:pPr>
          </w:p>
        </w:tc>
        <w:tc>
          <w:tcPr>
            <w:tcW w:w="1862" w:type="dxa"/>
            <w:vMerge/>
          </w:tcPr>
          <w:p w14:paraId="44CEDCC0" w14:textId="77777777" w:rsidR="00EC13B7" w:rsidRPr="00A67BE5" w:rsidRDefault="00EC13B7" w:rsidP="00EC13B7">
            <w:pPr>
              <w:rPr>
                <w:rFonts w:ascii="標楷體" w:hAnsi="標楷體"/>
              </w:rPr>
            </w:pPr>
          </w:p>
        </w:tc>
      </w:tr>
      <w:tr w:rsidR="00EC13B7" w:rsidRPr="00A67BE5" w14:paraId="0EA67A74" w14:textId="77777777" w:rsidTr="00EC13B7">
        <w:trPr>
          <w:trHeight w:val="1333"/>
        </w:trPr>
        <w:tc>
          <w:tcPr>
            <w:tcW w:w="709" w:type="dxa"/>
          </w:tcPr>
          <w:p w14:paraId="07C1A7E8"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lastRenderedPageBreak/>
              <w:t>27</w:t>
            </w:r>
          </w:p>
        </w:tc>
        <w:tc>
          <w:tcPr>
            <w:tcW w:w="1909" w:type="dxa"/>
          </w:tcPr>
          <w:p w14:paraId="2B531259" w14:textId="77777777" w:rsidR="00EC13B7" w:rsidRPr="00A67BE5" w:rsidRDefault="00EC13B7" w:rsidP="00EC13B7">
            <w:pPr>
              <w:kinsoku w:val="0"/>
              <w:topLinePunct/>
              <w:adjustRightInd w:val="0"/>
              <w:snapToGrid w:val="0"/>
              <w:spacing w:line="300" w:lineRule="exact"/>
              <w:jc w:val="both"/>
            </w:pPr>
            <w:r w:rsidRPr="00A67BE5">
              <w:rPr>
                <w:rFonts w:ascii="標楷體" w:eastAsia="標楷體" w:hAnsi="標楷體" w:hint="eastAsia"/>
                <w:color w:val="000000"/>
                <w:kern w:val="0"/>
              </w:rPr>
              <w:t>1.學校法人及其所屬私立學校教職員退休撫卹離職資遣條例第十六條之一條文修正草案</w:t>
            </w:r>
          </w:p>
        </w:tc>
        <w:tc>
          <w:tcPr>
            <w:tcW w:w="1918" w:type="dxa"/>
          </w:tcPr>
          <w:p w14:paraId="2CF3BA79"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 xml:space="preserve">委員溫玉霞等19人 109.12.18 </w:t>
            </w:r>
          </w:p>
          <w:p w14:paraId="1D457B2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（10-2-8）</w:t>
            </w:r>
          </w:p>
        </w:tc>
        <w:tc>
          <w:tcPr>
            <w:tcW w:w="2085" w:type="dxa"/>
            <w:vMerge w:val="restart"/>
          </w:tcPr>
          <w:p w14:paraId="0D91DCFD" w14:textId="77777777" w:rsidR="00EC13B7"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2FD77F4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教育及文化</w:t>
            </w:r>
          </w:p>
          <w:p w14:paraId="793A5E18" w14:textId="77777777" w:rsidR="00EC13B7" w:rsidRPr="00A67BE5" w:rsidRDefault="00EC13B7" w:rsidP="00EC13B7">
            <w:pPr>
              <w:kinsoku w:val="0"/>
              <w:topLinePunct/>
              <w:spacing w:line="300" w:lineRule="exact"/>
              <w:rPr>
                <w:rFonts w:ascii="標楷體" w:hAnsi="標楷體"/>
              </w:rPr>
            </w:pPr>
            <w:r w:rsidRPr="00A67BE5">
              <w:rPr>
                <w:rFonts w:ascii="標楷體" w:eastAsia="標楷體" w:hAnsi="標楷體" w:hint="eastAsia"/>
                <w:color w:val="000000"/>
                <w:kern w:val="0"/>
              </w:rPr>
              <w:t>陳召集委員以信</w:t>
            </w:r>
          </w:p>
        </w:tc>
        <w:tc>
          <w:tcPr>
            <w:tcW w:w="1862" w:type="dxa"/>
            <w:vMerge w:val="restart"/>
          </w:tcPr>
          <w:p w14:paraId="4F38AB5D"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spacing w:val="-10"/>
                <w:kern w:val="0"/>
              </w:rPr>
            </w:pPr>
            <w:r w:rsidRPr="00A67BE5">
              <w:rPr>
                <w:rFonts w:ascii="標楷體" w:eastAsia="標楷體" w:hAnsi="標楷體" w:hint="eastAsia"/>
                <w:color w:val="000000"/>
                <w:spacing w:val="-10"/>
                <w:kern w:val="0"/>
              </w:rPr>
              <w:t>聯席會111.5.18</w:t>
            </w:r>
          </w:p>
          <w:p w14:paraId="4C12F74F" w14:textId="77777777" w:rsidR="00EC13B7" w:rsidRPr="00A67BE5" w:rsidRDefault="00EC13B7" w:rsidP="00EC13B7">
            <w:pPr>
              <w:kinsoku w:val="0"/>
              <w:wordWrap w:val="0"/>
              <w:adjustRightInd w:val="0"/>
              <w:snapToGrid w:val="0"/>
              <w:spacing w:line="300" w:lineRule="exact"/>
              <w:jc w:val="both"/>
              <w:rPr>
                <w:rFonts w:ascii="標楷體" w:hAnsi="標楷體"/>
              </w:rPr>
            </w:pPr>
            <w:r w:rsidRPr="00A67BE5">
              <w:rPr>
                <w:rFonts w:ascii="標楷體" w:eastAsia="標楷體" w:hAnsi="標楷體" w:hint="eastAsia"/>
                <w:color w:val="000000"/>
                <w:spacing w:val="-10"/>
                <w:kern w:val="0"/>
              </w:rPr>
              <w:t>(10-5-3)</w:t>
            </w:r>
            <w:r w:rsidRPr="00A67BE5">
              <w:rPr>
                <w:rFonts w:ascii="標楷體" w:eastAsia="標楷體" w:hAnsi="標楷體" w:hint="eastAsia"/>
                <w:color w:val="000000"/>
                <w:kern w:val="0"/>
              </w:rPr>
              <w:t>審查完竣，須交由黨團協商。</w:t>
            </w:r>
          </w:p>
        </w:tc>
      </w:tr>
      <w:tr w:rsidR="00EC13B7" w:rsidRPr="00A67BE5" w14:paraId="20F6016D" w14:textId="77777777" w:rsidTr="00EC13B7">
        <w:trPr>
          <w:trHeight w:val="1333"/>
        </w:trPr>
        <w:tc>
          <w:tcPr>
            <w:tcW w:w="709" w:type="dxa"/>
          </w:tcPr>
          <w:p w14:paraId="23B46512"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28</w:t>
            </w:r>
          </w:p>
        </w:tc>
        <w:tc>
          <w:tcPr>
            <w:tcW w:w="1909" w:type="dxa"/>
          </w:tcPr>
          <w:p w14:paraId="5A962E77" w14:textId="77777777" w:rsidR="00EC13B7" w:rsidRPr="00A67BE5" w:rsidRDefault="00EC13B7" w:rsidP="00EC13B7">
            <w:pPr>
              <w:kinsoku w:val="0"/>
              <w:topLinePunct/>
              <w:adjustRightInd w:val="0"/>
              <w:snapToGrid w:val="0"/>
              <w:spacing w:line="300" w:lineRule="exact"/>
              <w:jc w:val="both"/>
              <w:rPr>
                <w:rFonts w:hAnsi="標楷體"/>
              </w:rPr>
            </w:pPr>
            <w:r w:rsidRPr="00A67BE5">
              <w:rPr>
                <w:rFonts w:ascii="標楷體" w:eastAsia="標楷體" w:hAnsi="標楷體" w:hint="eastAsia"/>
                <w:color w:val="000000"/>
                <w:kern w:val="0"/>
              </w:rPr>
              <w:t>2.</w:t>
            </w:r>
            <w:r w:rsidRPr="00A67BE5">
              <w:rPr>
                <w:rFonts w:ascii="標楷體" w:eastAsia="標楷體" w:hAnsi="標楷體"/>
                <w:color w:val="000000"/>
                <w:kern w:val="0"/>
              </w:rPr>
              <w:t>學校法人及其所屬私立學校教職員退休撫卹離職資遣條例第二十條及第二十五條條文修正草案</w:t>
            </w:r>
          </w:p>
        </w:tc>
        <w:tc>
          <w:tcPr>
            <w:tcW w:w="1918" w:type="dxa"/>
          </w:tcPr>
          <w:p w14:paraId="4E817DA5"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委員吳斯懷等16人 110.12.03 </w:t>
            </w:r>
          </w:p>
          <w:p w14:paraId="58BE0ACA"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（10-4-12）</w:t>
            </w:r>
          </w:p>
        </w:tc>
        <w:tc>
          <w:tcPr>
            <w:tcW w:w="2085" w:type="dxa"/>
            <w:vMerge/>
          </w:tcPr>
          <w:p w14:paraId="0DB0DE26" w14:textId="77777777" w:rsidR="00EC13B7" w:rsidRPr="00A67BE5" w:rsidRDefault="00EC13B7" w:rsidP="00EC13B7">
            <w:pPr>
              <w:rPr>
                <w:rFonts w:ascii="標楷體" w:hAnsi="標楷體"/>
              </w:rPr>
            </w:pPr>
          </w:p>
        </w:tc>
        <w:tc>
          <w:tcPr>
            <w:tcW w:w="1862" w:type="dxa"/>
            <w:vMerge/>
          </w:tcPr>
          <w:p w14:paraId="55470775" w14:textId="77777777" w:rsidR="00EC13B7" w:rsidRPr="00A67BE5" w:rsidRDefault="00EC13B7" w:rsidP="00EC13B7">
            <w:pPr>
              <w:rPr>
                <w:rFonts w:ascii="標楷體" w:hAnsi="標楷體"/>
              </w:rPr>
            </w:pPr>
          </w:p>
        </w:tc>
      </w:tr>
      <w:tr w:rsidR="00EC13B7" w:rsidRPr="00A67BE5" w14:paraId="4AC3EC05" w14:textId="77777777" w:rsidTr="00EC13B7">
        <w:trPr>
          <w:trHeight w:val="1333"/>
        </w:trPr>
        <w:tc>
          <w:tcPr>
            <w:tcW w:w="709" w:type="dxa"/>
          </w:tcPr>
          <w:p w14:paraId="18A177FC"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29</w:t>
            </w:r>
          </w:p>
        </w:tc>
        <w:tc>
          <w:tcPr>
            <w:tcW w:w="1909" w:type="dxa"/>
          </w:tcPr>
          <w:p w14:paraId="0584B9AB" w14:textId="77777777" w:rsidR="00EC13B7" w:rsidRPr="00A67BE5" w:rsidRDefault="00EC13B7" w:rsidP="00EC13B7">
            <w:pPr>
              <w:kinsoku w:val="0"/>
              <w:topLinePunct/>
              <w:adjustRightInd w:val="0"/>
              <w:snapToGrid w:val="0"/>
              <w:spacing w:line="300" w:lineRule="exact"/>
              <w:jc w:val="both"/>
              <w:rPr>
                <w:rFonts w:hAnsi="標楷體"/>
              </w:rPr>
            </w:pPr>
            <w:r w:rsidRPr="00A67BE5">
              <w:rPr>
                <w:rFonts w:ascii="標楷體" w:eastAsia="標楷體" w:hAnsi="標楷體" w:hint="eastAsia"/>
                <w:color w:val="000000"/>
                <w:kern w:val="0"/>
              </w:rPr>
              <w:t>3</w:t>
            </w:r>
            <w:r w:rsidRPr="00A67BE5">
              <w:rPr>
                <w:rFonts w:ascii="標楷體" w:eastAsia="標楷體" w:hAnsi="標楷體"/>
                <w:color w:val="000000"/>
                <w:kern w:val="0"/>
              </w:rPr>
              <w:t>.學校法人及其所屬私立學校教職員退休撫卹離職資遣條例第二十條及第二十五條條文修正草案</w:t>
            </w:r>
          </w:p>
        </w:tc>
        <w:tc>
          <w:tcPr>
            <w:tcW w:w="1918" w:type="dxa"/>
          </w:tcPr>
          <w:p w14:paraId="4FD394A9"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委員葉毓蘭等16人 111.03.18 </w:t>
            </w:r>
          </w:p>
          <w:p w14:paraId="02FAF270"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（10-5-4）</w:t>
            </w:r>
          </w:p>
        </w:tc>
        <w:tc>
          <w:tcPr>
            <w:tcW w:w="2085" w:type="dxa"/>
            <w:vMerge/>
          </w:tcPr>
          <w:p w14:paraId="70335A66" w14:textId="77777777" w:rsidR="00EC13B7" w:rsidRPr="00A67BE5" w:rsidRDefault="00EC13B7" w:rsidP="00EC13B7">
            <w:pPr>
              <w:rPr>
                <w:rFonts w:ascii="標楷體" w:hAnsi="標楷體"/>
              </w:rPr>
            </w:pPr>
          </w:p>
        </w:tc>
        <w:tc>
          <w:tcPr>
            <w:tcW w:w="1862" w:type="dxa"/>
            <w:vMerge/>
          </w:tcPr>
          <w:p w14:paraId="7D1FDF3C" w14:textId="77777777" w:rsidR="00EC13B7" w:rsidRPr="00A67BE5" w:rsidRDefault="00EC13B7" w:rsidP="00EC13B7">
            <w:pPr>
              <w:rPr>
                <w:rFonts w:ascii="標楷體" w:hAnsi="標楷體"/>
              </w:rPr>
            </w:pPr>
          </w:p>
        </w:tc>
      </w:tr>
      <w:tr w:rsidR="00EC13B7" w:rsidRPr="00A67BE5" w14:paraId="5A42E017" w14:textId="77777777" w:rsidTr="00EC13B7">
        <w:trPr>
          <w:trHeight w:val="1333"/>
        </w:trPr>
        <w:tc>
          <w:tcPr>
            <w:tcW w:w="709" w:type="dxa"/>
          </w:tcPr>
          <w:p w14:paraId="594252F5"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30</w:t>
            </w:r>
          </w:p>
        </w:tc>
        <w:tc>
          <w:tcPr>
            <w:tcW w:w="1909" w:type="dxa"/>
          </w:tcPr>
          <w:p w14:paraId="6075645B" w14:textId="77777777" w:rsidR="00EC13B7" w:rsidRPr="00A67BE5" w:rsidRDefault="00EC13B7" w:rsidP="00EC13B7">
            <w:pPr>
              <w:kinsoku w:val="0"/>
              <w:topLinePunct/>
              <w:adjustRightInd w:val="0"/>
              <w:snapToGrid w:val="0"/>
              <w:spacing w:line="300" w:lineRule="exact"/>
              <w:jc w:val="both"/>
              <w:rPr>
                <w:rFonts w:hAnsi="標楷體"/>
              </w:rPr>
            </w:pPr>
            <w:r w:rsidRPr="00A67BE5">
              <w:rPr>
                <w:rFonts w:ascii="標楷體" w:eastAsia="標楷體" w:hAnsi="標楷體" w:hint="eastAsia"/>
                <w:color w:val="000000"/>
                <w:kern w:val="0"/>
              </w:rPr>
              <w:t>4.</w:t>
            </w:r>
            <w:r w:rsidRPr="00A67BE5">
              <w:rPr>
                <w:rFonts w:ascii="標楷體" w:eastAsia="標楷體" w:hAnsi="標楷體"/>
                <w:color w:val="000000"/>
                <w:kern w:val="0"/>
              </w:rPr>
              <w:t>學校法人及其所屬私立學校教職員退休撫卹離職資遣條例第八條條文修正草案</w:t>
            </w:r>
          </w:p>
        </w:tc>
        <w:tc>
          <w:tcPr>
            <w:tcW w:w="1918" w:type="dxa"/>
          </w:tcPr>
          <w:p w14:paraId="1297F1B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委員賴品妤等16人 111.05.06 </w:t>
            </w:r>
          </w:p>
          <w:p w14:paraId="6A20E094"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（10-5-11）</w:t>
            </w:r>
          </w:p>
        </w:tc>
        <w:tc>
          <w:tcPr>
            <w:tcW w:w="2085" w:type="dxa"/>
            <w:vMerge/>
          </w:tcPr>
          <w:p w14:paraId="0A548B93" w14:textId="77777777" w:rsidR="00EC13B7" w:rsidRPr="00A67BE5" w:rsidRDefault="00EC13B7" w:rsidP="00EC13B7">
            <w:pPr>
              <w:rPr>
                <w:rFonts w:ascii="標楷體" w:hAnsi="標楷體"/>
              </w:rPr>
            </w:pPr>
          </w:p>
        </w:tc>
        <w:tc>
          <w:tcPr>
            <w:tcW w:w="1862" w:type="dxa"/>
            <w:vMerge/>
          </w:tcPr>
          <w:p w14:paraId="687B38E7" w14:textId="77777777" w:rsidR="00EC13B7" w:rsidRPr="00A67BE5" w:rsidRDefault="00EC13B7" w:rsidP="00EC13B7">
            <w:pPr>
              <w:rPr>
                <w:rFonts w:ascii="標楷體" w:hAnsi="標楷體"/>
              </w:rPr>
            </w:pPr>
          </w:p>
        </w:tc>
      </w:tr>
      <w:tr w:rsidR="00EC13B7" w:rsidRPr="00A67BE5" w14:paraId="6CBBED69" w14:textId="77777777" w:rsidTr="00EC13B7">
        <w:trPr>
          <w:trHeight w:val="1333"/>
        </w:trPr>
        <w:tc>
          <w:tcPr>
            <w:tcW w:w="709" w:type="dxa"/>
          </w:tcPr>
          <w:p w14:paraId="529BBAF4"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31</w:t>
            </w:r>
          </w:p>
        </w:tc>
        <w:tc>
          <w:tcPr>
            <w:tcW w:w="1909" w:type="dxa"/>
          </w:tcPr>
          <w:p w14:paraId="3B60125C"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1.</w:t>
            </w:r>
            <w:r w:rsidRPr="00A67BE5">
              <w:rPr>
                <w:rFonts w:ascii="標楷體" w:eastAsia="標楷體" w:hAnsi="標楷體"/>
                <w:color w:val="000000"/>
                <w:kern w:val="0"/>
              </w:rPr>
              <w:t>監察法部分條文修正草案</w:t>
            </w:r>
          </w:p>
        </w:tc>
        <w:tc>
          <w:tcPr>
            <w:tcW w:w="1918" w:type="dxa"/>
          </w:tcPr>
          <w:p w14:paraId="6FAD2697"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監察院 110.10.22 </w:t>
            </w:r>
          </w:p>
          <w:p w14:paraId="60AE6085"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（10-4-6）</w:t>
            </w:r>
          </w:p>
        </w:tc>
        <w:tc>
          <w:tcPr>
            <w:tcW w:w="2085" w:type="dxa"/>
            <w:vMerge w:val="restart"/>
          </w:tcPr>
          <w:p w14:paraId="1CB9BD4A"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hint="eastAsia"/>
                <w:color w:val="000000"/>
                <w:kern w:val="0"/>
              </w:rPr>
              <w:t>司法及法制</w:t>
            </w:r>
          </w:p>
          <w:p w14:paraId="1C9F73BC" w14:textId="77777777" w:rsidR="00EC13B7" w:rsidRPr="00A67BE5" w:rsidRDefault="00EC13B7" w:rsidP="00EC13B7">
            <w:pPr>
              <w:rPr>
                <w:rFonts w:ascii="標楷體" w:hAnsi="標楷體"/>
              </w:rPr>
            </w:pPr>
            <w:r w:rsidRPr="00A67BE5">
              <w:rPr>
                <w:rFonts w:ascii="標楷體" w:eastAsia="標楷體" w:hAnsi="標楷體" w:hint="eastAsia"/>
                <w:color w:val="000000"/>
                <w:kern w:val="0"/>
              </w:rPr>
              <w:t>黃召集委員世杰</w:t>
            </w:r>
          </w:p>
        </w:tc>
        <w:tc>
          <w:tcPr>
            <w:tcW w:w="1862" w:type="dxa"/>
            <w:vMerge w:val="restart"/>
          </w:tcPr>
          <w:p w14:paraId="2C27C173" w14:textId="77777777" w:rsidR="00EC13B7" w:rsidRPr="00A67BE5" w:rsidRDefault="00EC13B7"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本會111.5.26</w:t>
            </w:r>
          </w:p>
          <w:p w14:paraId="0C351D91" w14:textId="77777777" w:rsidR="00EC13B7" w:rsidRPr="00A67BE5" w:rsidRDefault="00EC13B7" w:rsidP="00EC13B7">
            <w:pPr>
              <w:kinsoku w:val="0"/>
              <w:wordWrap w:val="0"/>
              <w:adjustRightInd w:val="0"/>
              <w:snapToGrid w:val="0"/>
              <w:spacing w:line="300" w:lineRule="exact"/>
              <w:jc w:val="both"/>
              <w:rPr>
                <w:rFonts w:ascii="標楷體" w:hAnsi="標楷體"/>
              </w:rPr>
            </w:pPr>
            <w:r w:rsidRPr="00A67BE5">
              <w:rPr>
                <w:rFonts w:ascii="標楷體" w:eastAsia="標楷體" w:hAnsi="標楷體" w:hint="eastAsia"/>
                <w:color w:val="000000"/>
                <w:kern w:val="0"/>
              </w:rPr>
              <w:t>(10-5-22)審查完竣，須交由黨團協商。</w:t>
            </w:r>
          </w:p>
        </w:tc>
      </w:tr>
      <w:tr w:rsidR="00EC13B7" w:rsidRPr="00A67BE5" w14:paraId="356B53CB" w14:textId="77777777" w:rsidTr="00EC13B7">
        <w:trPr>
          <w:trHeight w:val="1333"/>
        </w:trPr>
        <w:tc>
          <w:tcPr>
            <w:tcW w:w="709" w:type="dxa"/>
          </w:tcPr>
          <w:p w14:paraId="008FB5A8"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32</w:t>
            </w:r>
          </w:p>
        </w:tc>
        <w:tc>
          <w:tcPr>
            <w:tcW w:w="1909" w:type="dxa"/>
          </w:tcPr>
          <w:p w14:paraId="24389FB6"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2.監察法部分條文修正草案</w:t>
            </w:r>
          </w:p>
        </w:tc>
        <w:tc>
          <w:tcPr>
            <w:tcW w:w="1918" w:type="dxa"/>
          </w:tcPr>
          <w:p w14:paraId="2B53CD01"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委員湯蕙禎等16人 111.03.11 </w:t>
            </w:r>
          </w:p>
          <w:p w14:paraId="48EC7412"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（10-5-3）</w:t>
            </w:r>
          </w:p>
        </w:tc>
        <w:tc>
          <w:tcPr>
            <w:tcW w:w="2085" w:type="dxa"/>
            <w:vMerge/>
          </w:tcPr>
          <w:p w14:paraId="322DAA6C" w14:textId="77777777" w:rsidR="00EC13B7" w:rsidRPr="00A67BE5" w:rsidRDefault="00EC13B7" w:rsidP="00EC13B7">
            <w:pPr>
              <w:rPr>
                <w:rFonts w:ascii="標楷體" w:hAnsi="標楷體"/>
              </w:rPr>
            </w:pPr>
          </w:p>
        </w:tc>
        <w:tc>
          <w:tcPr>
            <w:tcW w:w="1862" w:type="dxa"/>
            <w:vMerge/>
          </w:tcPr>
          <w:p w14:paraId="1CEFC528" w14:textId="77777777" w:rsidR="00EC13B7" w:rsidRPr="00A67BE5" w:rsidRDefault="00EC13B7" w:rsidP="00EC13B7">
            <w:pPr>
              <w:rPr>
                <w:rFonts w:ascii="標楷體" w:hAnsi="標楷體"/>
              </w:rPr>
            </w:pPr>
          </w:p>
        </w:tc>
      </w:tr>
      <w:tr w:rsidR="00EC13B7" w:rsidRPr="00A67BE5" w14:paraId="4934CC8F" w14:textId="77777777" w:rsidTr="00EC13B7">
        <w:trPr>
          <w:trHeight w:val="1333"/>
        </w:trPr>
        <w:tc>
          <w:tcPr>
            <w:tcW w:w="709" w:type="dxa"/>
          </w:tcPr>
          <w:p w14:paraId="717A586D"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33</w:t>
            </w:r>
          </w:p>
        </w:tc>
        <w:tc>
          <w:tcPr>
            <w:tcW w:w="1909" w:type="dxa"/>
          </w:tcPr>
          <w:p w14:paraId="7D9F4AF3"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1.憲法訴訟法部分條文修正草案</w:t>
            </w:r>
          </w:p>
        </w:tc>
        <w:tc>
          <w:tcPr>
            <w:tcW w:w="1918" w:type="dxa"/>
          </w:tcPr>
          <w:p w14:paraId="630B4822"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司法院 111.09.23 </w:t>
            </w:r>
          </w:p>
          <w:p w14:paraId="42DB23EE"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（10-6-1）</w:t>
            </w:r>
          </w:p>
        </w:tc>
        <w:tc>
          <w:tcPr>
            <w:tcW w:w="2085" w:type="dxa"/>
            <w:vMerge w:val="restart"/>
          </w:tcPr>
          <w:p w14:paraId="6BFE4AA8"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司法及法制</w:t>
            </w:r>
          </w:p>
          <w:p w14:paraId="15831023" w14:textId="77777777" w:rsidR="00EC13B7" w:rsidRPr="00A67BE5" w:rsidRDefault="00EC13B7" w:rsidP="00EC13B7">
            <w:pPr>
              <w:rPr>
                <w:rFonts w:ascii="標楷體" w:hAnsi="標楷體"/>
              </w:rPr>
            </w:pPr>
            <w:r w:rsidRPr="00A67BE5">
              <w:rPr>
                <w:rFonts w:ascii="標楷體" w:eastAsia="標楷體" w:hAnsi="標楷體" w:hint="eastAsia"/>
                <w:color w:val="000000"/>
                <w:kern w:val="0"/>
              </w:rPr>
              <w:t>陳召集委員歐珀</w:t>
            </w:r>
          </w:p>
        </w:tc>
        <w:tc>
          <w:tcPr>
            <w:tcW w:w="1862" w:type="dxa"/>
            <w:vMerge w:val="restart"/>
          </w:tcPr>
          <w:p w14:paraId="600EC0FD"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1.第1-5案</w:t>
            </w:r>
          </w:p>
          <w:p w14:paraId="310EA58B" w14:textId="77777777" w:rsidR="00EC13B7" w:rsidRPr="00A67BE5" w:rsidRDefault="00EC13B7" w:rsidP="00EC13B7">
            <w:pPr>
              <w:kinsoku w:val="0"/>
              <w:wordWrap w:val="0"/>
              <w:adjustRightInd w:val="0"/>
              <w:snapToGrid w:val="0"/>
              <w:spacing w:line="300" w:lineRule="exact"/>
              <w:ind w:leftChars="92" w:left="238" w:hangingChars="7" w:hanging="17"/>
              <w:jc w:val="both"/>
              <w:rPr>
                <w:rFonts w:ascii="標楷體" w:eastAsia="標楷體" w:hAnsi="標楷體"/>
                <w:color w:val="000000"/>
                <w:kern w:val="0"/>
              </w:rPr>
            </w:pPr>
            <w:r w:rsidRPr="00A67BE5">
              <w:rPr>
                <w:rFonts w:ascii="標楷體" w:eastAsia="標楷體" w:hAnsi="標楷體"/>
                <w:color w:val="000000"/>
                <w:kern w:val="0"/>
              </w:rPr>
              <w:t>本會111.10.19(10-6-7)報告及詢答完畢，另定期繼續審查。</w:t>
            </w:r>
          </w:p>
          <w:p w14:paraId="19F19419"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2.第1-5案</w:t>
            </w:r>
          </w:p>
          <w:p w14:paraId="63CB4B50" w14:textId="77777777" w:rsidR="00EC13B7" w:rsidRPr="00A67BE5" w:rsidRDefault="00EC13B7" w:rsidP="00EC13B7">
            <w:pPr>
              <w:kinsoku w:val="0"/>
              <w:wordWrap w:val="0"/>
              <w:adjustRightInd w:val="0"/>
              <w:snapToGrid w:val="0"/>
              <w:spacing w:line="300" w:lineRule="exact"/>
              <w:ind w:leftChars="92" w:left="238" w:hangingChars="7" w:hanging="17"/>
              <w:jc w:val="both"/>
              <w:rPr>
                <w:rFonts w:ascii="標楷體" w:eastAsia="標楷體" w:hAnsi="標楷體"/>
                <w:color w:val="000000"/>
                <w:kern w:val="0"/>
              </w:rPr>
            </w:pPr>
            <w:r w:rsidRPr="00A67BE5">
              <w:rPr>
                <w:rFonts w:ascii="標楷體" w:eastAsia="標楷體" w:hAnsi="標楷體"/>
                <w:color w:val="000000"/>
                <w:kern w:val="0"/>
              </w:rPr>
              <w:t>本會111.11.3舉行「憲法訴訟法部分條文修正草案」公聽會。</w:t>
            </w:r>
          </w:p>
          <w:p w14:paraId="091519CD" w14:textId="77777777" w:rsidR="00EC13B7" w:rsidRPr="00A67BE5" w:rsidRDefault="00EC13B7" w:rsidP="00EC13B7">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67BE5">
              <w:rPr>
                <w:rFonts w:ascii="標楷體" w:eastAsia="標楷體" w:hAnsi="標楷體" w:hint="eastAsia"/>
                <w:color w:val="000000"/>
                <w:kern w:val="0"/>
              </w:rPr>
              <w:t>3.第1-6案</w:t>
            </w:r>
          </w:p>
          <w:p w14:paraId="098B89DE" w14:textId="77777777" w:rsidR="00EC13B7" w:rsidRPr="00A67BE5" w:rsidRDefault="00EC13B7" w:rsidP="00EC13B7">
            <w:pPr>
              <w:kinsoku w:val="0"/>
              <w:wordWrap w:val="0"/>
              <w:adjustRightInd w:val="0"/>
              <w:snapToGrid w:val="0"/>
              <w:spacing w:line="300" w:lineRule="exact"/>
              <w:ind w:leftChars="92" w:left="238" w:hangingChars="7" w:hanging="17"/>
              <w:jc w:val="both"/>
              <w:rPr>
                <w:rFonts w:ascii="標楷體" w:hAnsi="標楷體"/>
              </w:rPr>
            </w:pPr>
            <w:r w:rsidRPr="00A67BE5">
              <w:rPr>
                <w:rFonts w:ascii="標楷體" w:eastAsia="標楷體" w:hAnsi="標楷體" w:hint="eastAsia"/>
                <w:color w:val="000000"/>
                <w:kern w:val="0"/>
              </w:rPr>
              <w:lastRenderedPageBreak/>
              <w:t>本會111.12.28(10-6-29)審查完竣，須交由黨團協商。</w:t>
            </w:r>
          </w:p>
        </w:tc>
      </w:tr>
      <w:tr w:rsidR="00EC13B7" w:rsidRPr="00A67BE5" w14:paraId="51E38E34" w14:textId="77777777" w:rsidTr="00EC13B7">
        <w:trPr>
          <w:trHeight w:val="1333"/>
        </w:trPr>
        <w:tc>
          <w:tcPr>
            <w:tcW w:w="709" w:type="dxa"/>
          </w:tcPr>
          <w:p w14:paraId="09986BA9"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34</w:t>
            </w:r>
          </w:p>
        </w:tc>
        <w:tc>
          <w:tcPr>
            <w:tcW w:w="1909" w:type="dxa"/>
          </w:tcPr>
          <w:p w14:paraId="3766E07A"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2.憲法訴訟法第四十九條及第九十五條條文修正草案</w:t>
            </w:r>
          </w:p>
        </w:tc>
        <w:tc>
          <w:tcPr>
            <w:tcW w:w="1918" w:type="dxa"/>
          </w:tcPr>
          <w:p w14:paraId="00BE7700"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委員鍾佳濱等17人 109.12.04 </w:t>
            </w:r>
          </w:p>
          <w:p w14:paraId="25E7E3D6"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（10-2-6）</w:t>
            </w:r>
          </w:p>
          <w:p w14:paraId="4C1C625B" w14:textId="77777777" w:rsidR="00EC13B7" w:rsidRPr="00A67BE5" w:rsidRDefault="00EC13B7" w:rsidP="00EC13B7">
            <w:pPr>
              <w:kinsoku w:val="0"/>
              <w:topLinePunct/>
              <w:spacing w:line="300" w:lineRule="exact"/>
              <w:rPr>
                <w:rFonts w:ascii="標楷體" w:eastAsia="標楷體" w:hAnsi="標楷體"/>
                <w:color w:val="000000"/>
                <w:kern w:val="0"/>
              </w:rPr>
            </w:pPr>
          </w:p>
        </w:tc>
        <w:tc>
          <w:tcPr>
            <w:tcW w:w="2085" w:type="dxa"/>
            <w:vMerge/>
          </w:tcPr>
          <w:p w14:paraId="77F62BB0" w14:textId="77777777" w:rsidR="00EC13B7" w:rsidRPr="00A67BE5" w:rsidRDefault="00EC13B7" w:rsidP="00EC13B7">
            <w:pPr>
              <w:rPr>
                <w:rFonts w:ascii="標楷體" w:hAnsi="標楷體"/>
              </w:rPr>
            </w:pPr>
          </w:p>
        </w:tc>
        <w:tc>
          <w:tcPr>
            <w:tcW w:w="1862" w:type="dxa"/>
            <w:vMerge/>
          </w:tcPr>
          <w:p w14:paraId="39F6F360" w14:textId="77777777" w:rsidR="00EC13B7" w:rsidRPr="00A67BE5" w:rsidRDefault="00EC13B7" w:rsidP="00EC13B7">
            <w:pPr>
              <w:rPr>
                <w:rFonts w:ascii="標楷體" w:hAnsi="標楷體"/>
              </w:rPr>
            </w:pPr>
          </w:p>
        </w:tc>
      </w:tr>
      <w:tr w:rsidR="00EC13B7" w:rsidRPr="00A67BE5" w14:paraId="7E5205A6" w14:textId="77777777" w:rsidTr="00EC13B7">
        <w:trPr>
          <w:trHeight w:val="1333"/>
        </w:trPr>
        <w:tc>
          <w:tcPr>
            <w:tcW w:w="709" w:type="dxa"/>
          </w:tcPr>
          <w:p w14:paraId="21D3430D"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35</w:t>
            </w:r>
          </w:p>
        </w:tc>
        <w:tc>
          <w:tcPr>
            <w:tcW w:w="1909" w:type="dxa"/>
          </w:tcPr>
          <w:p w14:paraId="40BFFB40"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3.憲法訴訟法部分條文修正草案</w:t>
            </w:r>
          </w:p>
        </w:tc>
        <w:tc>
          <w:tcPr>
            <w:tcW w:w="1918" w:type="dxa"/>
          </w:tcPr>
          <w:p w14:paraId="2016A290" w14:textId="29234100" w:rsidR="00EC13B7" w:rsidRPr="00A67BE5" w:rsidRDefault="00DA20CC" w:rsidP="00EC13B7">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台灣</w:t>
            </w:r>
            <w:r w:rsidR="00EC13B7" w:rsidRPr="00A67BE5">
              <w:rPr>
                <w:rFonts w:ascii="標楷體" w:eastAsia="標楷體" w:hAnsi="標楷體"/>
                <w:color w:val="000000"/>
                <w:kern w:val="0"/>
              </w:rPr>
              <w:t xml:space="preserve">民眾黨黨團 110.10.22 </w:t>
            </w:r>
          </w:p>
          <w:p w14:paraId="1F673FC3"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（10-4-6）</w:t>
            </w:r>
          </w:p>
        </w:tc>
        <w:tc>
          <w:tcPr>
            <w:tcW w:w="2085" w:type="dxa"/>
            <w:vMerge/>
          </w:tcPr>
          <w:p w14:paraId="5705E053" w14:textId="77777777" w:rsidR="00EC13B7" w:rsidRPr="00A67BE5" w:rsidRDefault="00EC13B7" w:rsidP="00EC13B7">
            <w:pPr>
              <w:rPr>
                <w:rFonts w:ascii="標楷體" w:hAnsi="標楷體"/>
              </w:rPr>
            </w:pPr>
          </w:p>
        </w:tc>
        <w:tc>
          <w:tcPr>
            <w:tcW w:w="1862" w:type="dxa"/>
            <w:vMerge/>
          </w:tcPr>
          <w:p w14:paraId="177BAABE" w14:textId="77777777" w:rsidR="00EC13B7" w:rsidRPr="00A67BE5" w:rsidRDefault="00EC13B7" w:rsidP="00EC13B7">
            <w:pPr>
              <w:rPr>
                <w:rFonts w:ascii="標楷體" w:hAnsi="標楷體"/>
              </w:rPr>
            </w:pPr>
          </w:p>
        </w:tc>
      </w:tr>
      <w:tr w:rsidR="00EC13B7" w:rsidRPr="00A67BE5" w14:paraId="21943A21" w14:textId="77777777" w:rsidTr="00EC13B7">
        <w:trPr>
          <w:trHeight w:val="1333"/>
        </w:trPr>
        <w:tc>
          <w:tcPr>
            <w:tcW w:w="709" w:type="dxa"/>
          </w:tcPr>
          <w:p w14:paraId="2BAFAE36"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lastRenderedPageBreak/>
              <w:t>36</w:t>
            </w:r>
          </w:p>
        </w:tc>
        <w:tc>
          <w:tcPr>
            <w:tcW w:w="1909" w:type="dxa"/>
          </w:tcPr>
          <w:p w14:paraId="0DBB1FAB"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4.憲法訴訟法第五十九條條文修正草案</w:t>
            </w:r>
          </w:p>
        </w:tc>
        <w:tc>
          <w:tcPr>
            <w:tcW w:w="1918" w:type="dxa"/>
          </w:tcPr>
          <w:p w14:paraId="5EBA92A0" w14:textId="45796554" w:rsidR="00EC13B7" w:rsidRPr="00A67BE5" w:rsidRDefault="00DA20CC" w:rsidP="00EC13B7">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台灣</w:t>
            </w:r>
            <w:r w:rsidR="00EC13B7" w:rsidRPr="00A67BE5">
              <w:rPr>
                <w:rFonts w:ascii="標楷體" w:eastAsia="標楷體" w:hAnsi="標楷體"/>
                <w:color w:val="000000"/>
                <w:kern w:val="0"/>
              </w:rPr>
              <w:t xml:space="preserve">民眾黨黨團 111.03.11 </w:t>
            </w:r>
          </w:p>
          <w:p w14:paraId="3697E41C"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（10-5-3）</w:t>
            </w:r>
          </w:p>
        </w:tc>
        <w:tc>
          <w:tcPr>
            <w:tcW w:w="2085" w:type="dxa"/>
            <w:vMerge/>
          </w:tcPr>
          <w:p w14:paraId="7C16D3CB" w14:textId="77777777" w:rsidR="00EC13B7" w:rsidRPr="00A67BE5" w:rsidRDefault="00EC13B7" w:rsidP="00EC13B7">
            <w:pPr>
              <w:rPr>
                <w:rFonts w:ascii="標楷體" w:hAnsi="標楷體"/>
              </w:rPr>
            </w:pPr>
          </w:p>
        </w:tc>
        <w:tc>
          <w:tcPr>
            <w:tcW w:w="1862" w:type="dxa"/>
            <w:vMerge/>
          </w:tcPr>
          <w:p w14:paraId="12C819D8" w14:textId="77777777" w:rsidR="00EC13B7" w:rsidRPr="00A67BE5" w:rsidRDefault="00EC13B7" w:rsidP="00EC13B7">
            <w:pPr>
              <w:rPr>
                <w:rFonts w:ascii="標楷體" w:hAnsi="標楷體"/>
              </w:rPr>
            </w:pPr>
          </w:p>
        </w:tc>
      </w:tr>
      <w:tr w:rsidR="00EC13B7" w:rsidRPr="00A67BE5" w14:paraId="30EB39C9" w14:textId="77777777" w:rsidTr="00EC13B7">
        <w:trPr>
          <w:trHeight w:val="1333"/>
        </w:trPr>
        <w:tc>
          <w:tcPr>
            <w:tcW w:w="709" w:type="dxa"/>
          </w:tcPr>
          <w:p w14:paraId="4E86C27A"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lastRenderedPageBreak/>
              <w:t>37</w:t>
            </w:r>
          </w:p>
        </w:tc>
        <w:tc>
          <w:tcPr>
            <w:tcW w:w="1909" w:type="dxa"/>
          </w:tcPr>
          <w:p w14:paraId="22DFAEE5"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5.憲法訴訟法第十九條之一及第三十條條文修正草案</w:t>
            </w:r>
          </w:p>
        </w:tc>
        <w:tc>
          <w:tcPr>
            <w:tcW w:w="1918" w:type="dxa"/>
          </w:tcPr>
          <w:p w14:paraId="7A45423B" w14:textId="230D51EF"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委員鄭天財</w:t>
            </w:r>
          </w:p>
          <w:p w14:paraId="4E0AD6BB" w14:textId="510CF9C4"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Sra Kacaw</w:t>
            </w:r>
            <w:r w:rsidR="0084735E" w:rsidRPr="00A67BE5">
              <w:rPr>
                <w:rFonts w:ascii="標楷體" w:eastAsia="標楷體" w:hAnsi="標楷體"/>
                <w:color w:val="000000"/>
                <w:kern w:val="0"/>
              </w:rPr>
              <w:t>等</w:t>
            </w:r>
          </w:p>
          <w:p w14:paraId="10DCA32C" w14:textId="3A005EBC"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16人 111.04.22 </w:t>
            </w:r>
          </w:p>
          <w:p w14:paraId="7B6C7D49"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（10-5-9）</w:t>
            </w:r>
          </w:p>
        </w:tc>
        <w:tc>
          <w:tcPr>
            <w:tcW w:w="2085" w:type="dxa"/>
            <w:vMerge/>
          </w:tcPr>
          <w:p w14:paraId="0C0F6377" w14:textId="77777777" w:rsidR="00EC13B7" w:rsidRPr="00A67BE5" w:rsidRDefault="00EC13B7" w:rsidP="00EC13B7">
            <w:pPr>
              <w:rPr>
                <w:rFonts w:ascii="標楷體" w:hAnsi="標楷體"/>
              </w:rPr>
            </w:pPr>
          </w:p>
        </w:tc>
        <w:tc>
          <w:tcPr>
            <w:tcW w:w="1862" w:type="dxa"/>
            <w:vMerge/>
          </w:tcPr>
          <w:p w14:paraId="45678F24" w14:textId="77777777" w:rsidR="00EC13B7" w:rsidRPr="00A67BE5" w:rsidRDefault="00EC13B7" w:rsidP="00EC13B7">
            <w:pPr>
              <w:rPr>
                <w:rFonts w:ascii="標楷體" w:hAnsi="標楷體"/>
              </w:rPr>
            </w:pPr>
          </w:p>
        </w:tc>
      </w:tr>
      <w:tr w:rsidR="00EC13B7" w:rsidRPr="00A67BE5" w14:paraId="56DD07D0" w14:textId="77777777" w:rsidTr="00EC13B7">
        <w:trPr>
          <w:trHeight w:val="1333"/>
        </w:trPr>
        <w:tc>
          <w:tcPr>
            <w:tcW w:w="709" w:type="dxa"/>
          </w:tcPr>
          <w:p w14:paraId="4B14A877" w14:textId="77777777" w:rsidR="00EC13B7" w:rsidRPr="00A67BE5" w:rsidRDefault="00EC13B7"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38</w:t>
            </w:r>
          </w:p>
        </w:tc>
        <w:tc>
          <w:tcPr>
            <w:tcW w:w="1909" w:type="dxa"/>
          </w:tcPr>
          <w:p w14:paraId="728FABE7" w14:textId="77777777" w:rsidR="00EC13B7" w:rsidRPr="00A67BE5" w:rsidRDefault="00EC13B7"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6.憲法訴訟法部分條文修正草案</w:t>
            </w:r>
          </w:p>
        </w:tc>
        <w:tc>
          <w:tcPr>
            <w:tcW w:w="1918" w:type="dxa"/>
          </w:tcPr>
          <w:p w14:paraId="0CC2B27C"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時代力量黨團 111.11.18 </w:t>
            </w:r>
          </w:p>
          <w:p w14:paraId="2445F260" w14:textId="77777777" w:rsidR="00EC13B7" w:rsidRPr="00A67BE5" w:rsidRDefault="00EC13B7"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（10-6-8）</w:t>
            </w:r>
          </w:p>
        </w:tc>
        <w:tc>
          <w:tcPr>
            <w:tcW w:w="2085" w:type="dxa"/>
            <w:vMerge/>
          </w:tcPr>
          <w:p w14:paraId="2A70109D" w14:textId="77777777" w:rsidR="00EC13B7" w:rsidRPr="00A67BE5" w:rsidRDefault="00EC13B7" w:rsidP="00EC13B7">
            <w:pPr>
              <w:rPr>
                <w:rFonts w:ascii="標楷體" w:hAnsi="標楷體"/>
              </w:rPr>
            </w:pPr>
          </w:p>
        </w:tc>
        <w:tc>
          <w:tcPr>
            <w:tcW w:w="1862" w:type="dxa"/>
            <w:vMerge/>
          </w:tcPr>
          <w:p w14:paraId="283A124E" w14:textId="77777777" w:rsidR="00EC13B7" w:rsidRPr="00A67BE5" w:rsidRDefault="00EC13B7" w:rsidP="00EC13B7">
            <w:pPr>
              <w:rPr>
                <w:rFonts w:ascii="標楷體" w:hAnsi="標楷體"/>
              </w:rPr>
            </w:pPr>
          </w:p>
        </w:tc>
      </w:tr>
      <w:tr w:rsidR="00AB281B" w:rsidRPr="00A67BE5" w14:paraId="44101C35" w14:textId="77777777" w:rsidTr="00EC13B7">
        <w:trPr>
          <w:trHeight w:val="1333"/>
        </w:trPr>
        <w:tc>
          <w:tcPr>
            <w:tcW w:w="709" w:type="dxa"/>
          </w:tcPr>
          <w:p w14:paraId="7881895B" w14:textId="77777777" w:rsidR="00AB281B" w:rsidRPr="00A67BE5" w:rsidRDefault="00AB281B"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39</w:t>
            </w:r>
          </w:p>
        </w:tc>
        <w:tc>
          <w:tcPr>
            <w:tcW w:w="1909" w:type="dxa"/>
          </w:tcPr>
          <w:p w14:paraId="1C7F5D40" w14:textId="77777777" w:rsidR="00AB281B" w:rsidRPr="00A67BE5" w:rsidRDefault="00AB281B"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1.廢止「竊盜犯贓物犯保安處分條例」</w:t>
            </w:r>
          </w:p>
        </w:tc>
        <w:tc>
          <w:tcPr>
            <w:tcW w:w="1918" w:type="dxa"/>
          </w:tcPr>
          <w:p w14:paraId="5D291705" w14:textId="77777777" w:rsidR="00AB281B" w:rsidRPr="00A67BE5" w:rsidRDefault="00AB281B"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委員許智傑等28人 110.12.24 </w:t>
            </w:r>
          </w:p>
          <w:p w14:paraId="0C65128E" w14:textId="77777777" w:rsidR="00AB281B" w:rsidRPr="00A67BE5" w:rsidRDefault="00AB281B"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（10-4-15）</w:t>
            </w:r>
          </w:p>
        </w:tc>
        <w:tc>
          <w:tcPr>
            <w:tcW w:w="2085" w:type="dxa"/>
            <w:vMerge w:val="restart"/>
          </w:tcPr>
          <w:p w14:paraId="1C858F1B" w14:textId="77777777" w:rsidR="00AB281B" w:rsidRPr="00A67BE5" w:rsidRDefault="00AB281B"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司法及法制</w:t>
            </w:r>
          </w:p>
          <w:p w14:paraId="69803273" w14:textId="77777777" w:rsidR="00AB281B" w:rsidRPr="00A67BE5" w:rsidRDefault="00AB281B" w:rsidP="00EC13B7">
            <w:pPr>
              <w:rPr>
                <w:rFonts w:ascii="標楷體" w:hAnsi="標楷體"/>
              </w:rPr>
            </w:pPr>
            <w:r w:rsidRPr="00A67BE5">
              <w:rPr>
                <w:rFonts w:ascii="標楷體" w:eastAsia="標楷體" w:hAnsi="標楷體" w:hint="eastAsia"/>
                <w:color w:val="000000"/>
                <w:kern w:val="0"/>
              </w:rPr>
              <w:t>陳召集委員歐珀</w:t>
            </w:r>
          </w:p>
          <w:p w14:paraId="4ACFB728" w14:textId="465B3009" w:rsidR="00AB281B" w:rsidRPr="00A67BE5" w:rsidRDefault="00AB281B" w:rsidP="00EC13B7">
            <w:pPr>
              <w:rPr>
                <w:rFonts w:ascii="標楷體" w:hAnsi="標楷體"/>
              </w:rPr>
            </w:pPr>
          </w:p>
        </w:tc>
        <w:tc>
          <w:tcPr>
            <w:tcW w:w="1862" w:type="dxa"/>
            <w:vMerge w:val="restart"/>
          </w:tcPr>
          <w:p w14:paraId="1DB243CA" w14:textId="77777777" w:rsidR="00AB281B" w:rsidRPr="00A67BE5" w:rsidRDefault="00AB281B" w:rsidP="00EC13B7">
            <w:pPr>
              <w:kinsoku w:val="0"/>
              <w:wordWrap w:val="0"/>
              <w:adjustRightInd w:val="0"/>
              <w:snapToGrid w:val="0"/>
              <w:spacing w:line="300" w:lineRule="exact"/>
              <w:jc w:val="both"/>
              <w:rPr>
                <w:rFonts w:ascii="標楷體" w:eastAsia="標楷體" w:hAnsi="標楷體"/>
                <w:color w:val="000000"/>
                <w:kern w:val="0"/>
              </w:rPr>
            </w:pPr>
            <w:r w:rsidRPr="00A67BE5">
              <w:rPr>
                <w:rFonts w:ascii="標楷體" w:eastAsia="標楷體" w:hAnsi="標楷體" w:hint="eastAsia"/>
                <w:color w:val="000000"/>
                <w:kern w:val="0"/>
              </w:rPr>
              <w:t>本會111.12.29</w:t>
            </w:r>
          </w:p>
          <w:p w14:paraId="6A8D2F29" w14:textId="77777777" w:rsidR="00AB281B" w:rsidRPr="00A67BE5" w:rsidRDefault="00AB281B" w:rsidP="00EC13B7">
            <w:pPr>
              <w:kinsoku w:val="0"/>
              <w:wordWrap w:val="0"/>
              <w:adjustRightInd w:val="0"/>
              <w:snapToGrid w:val="0"/>
              <w:spacing w:line="300" w:lineRule="exact"/>
              <w:jc w:val="both"/>
              <w:rPr>
                <w:rFonts w:ascii="標楷體" w:hAnsi="標楷體"/>
              </w:rPr>
            </w:pPr>
            <w:r w:rsidRPr="00A67BE5">
              <w:rPr>
                <w:rFonts w:ascii="標楷體" w:eastAsia="標楷體" w:hAnsi="標楷體" w:hint="eastAsia"/>
                <w:color w:val="000000"/>
                <w:kern w:val="0"/>
              </w:rPr>
              <w:t>(10-6-30)審查完竣，不須交由黨團協商。</w:t>
            </w:r>
          </w:p>
          <w:p w14:paraId="5ADF5015" w14:textId="28C2D1FE" w:rsidR="00AB281B" w:rsidRPr="00A67BE5" w:rsidRDefault="00AB281B" w:rsidP="00EC13B7">
            <w:pPr>
              <w:kinsoku w:val="0"/>
              <w:wordWrap w:val="0"/>
              <w:adjustRightInd w:val="0"/>
              <w:snapToGrid w:val="0"/>
              <w:spacing w:line="300" w:lineRule="exact"/>
              <w:jc w:val="both"/>
              <w:rPr>
                <w:rFonts w:ascii="標楷體" w:hAnsi="標楷體"/>
              </w:rPr>
            </w:pPr>
          </w:p>
        </w:tc>
      </w:tr>
      <w:tr w:rsidR="00AB281B" w:rsidRPr="00A67BE5" w14:paraId="30704F2E" w14:textId="77777777" w:rsidTr="00EC13B7">
        <w:trPr>
          <w:trHeight w:val="1333"/>
        </w:trPr>
        <w:tc>
          <w:tcPr>
            <w:tcW w:w="709" w:type="dxa"/>
          </w:tcPr>
          <w:p w14:paraId="3916EA48" w14:textId="77777777" w:rsidR="00AB281B" w:rsidRPr="00A67BE5" w:rsidRDefault="00AB281B"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40</w:t>
            </w:r>
          </w:p>
        </w:tc>
        <w:tc>
          <w:tcPr>
            <w:tcW w:w="1909" w:type="dxa"/>
          </w:tcPr>
          <w:p w14:paraId="3F269B81" w14:textId="77777777" w:rsidR="00AB281B" w:rsidRPr="00A67BE5" w:rsidRDefault="00AB281B"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2.廢止「竊盜犯贓物犯保安處分條例」</w:t>
            </w:r>
          </w:p>
        </w:tc>
        <w:tc>
          <w:tcPr>
            <w:tcW w:w="1918" w:type="dxa"/>
          </w:tcPr>
          <w:p w14:paraId="47288B6A" w14:textId="77777777" w:rsidR="00AB281B" w:rsidRPr="00A67BE5" w:rsidRDefault="00AB281B"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委員吳玉琴等19人 111.03.11 </w:t>
            </w:r>
          </w:p>
          <w:p w14:paraId="79793C65" w14:textId="77777777" w:rsidR="00AB281B" w:rsidRPr="00A67BE5" w:rsidRDefault="00AB281B"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（10-5-3）</w:t>
            </w:r>
          </w:p>
        </w:tc>
        <w:tc>
          <w:tcPr>
            <w:tcW w:w="2085" w:type="dxa"/>
            <w:vMerge/>
          </w:tcPr>
          <w:p w14:paraId="3B0ED532" w14:textId="410EA296" w:rsidR="00AB281B" w:rsidRPr="00A67BE5" w:rsidRDefault="00AB281B" w:rsidP="00EC13B7">
            <w:pPr>
              <w:rPr>
                <w:rFonts w:ascii="標楷體" w:hAnsi="標楷體"/>
              </w:rPr>
            </w:pPr>
          </w:p>
        </w:tc>
        <w:tc>
          <w:tcPr>
            <w:tcW w:w="1862" w:type="dxa"/>
            <w:vMerge/>
          </w:tcPr>
          <w:p w14:paraId="4315A539" w14:textId="7AC4CA2E" w:rsidR="00AB281B" w:rsidRPr="00A67BE5" w:rsidRDefault="00AB281B" w:rsidP="00EC13B7">
            <w:pPr>
              <w:kinsoku w:val="0"/>
              <w:wordWrap w:val="0"/>
              <w:adjustRightInd w:val="0"/>
              <w:snapToGrid w:val="0"/>
              <w:spacing w:line="300" w:lineRule="exact"/>
              <w:jc w:val="both"/>
              <w:rPr>
                <w:rFonts w:ascii="標楷體" w:hAnsi="標楷體"/>
              </w:rPr>
            </w:pPr>
          </w:p>
        </w:tc>
      </w:tr>
      <w:tr w:rsidR="00AB281B" w:rsidRPr="00A67BE5" w14:paraId="21CC55A1" w14:textId="77777777" w:rsidTr="00EC13B7">
        <w:trPr>
          <w:trHeight w:val="1333"/>
        </w:trPr>
        <w:tc>
          <w:tcPr>
            <w:tcW w:w="709" w:type="dxa"/>
          </w:tcPr>
          <w:p w14:paraId="5F9A5886" w14:textId="77777777" w:rsidR="00AB281B" w:rsidRPr="00A67BE5" w:rsidRDefault="00AB281B" w:rsidP="00EC13B7">
            <w:pPr>
              <w:kinsoku w:val="0"/>
              <w:topLinePunct/>
              <w:adjustRightInd w:val="0"/>
              <w:snapToGrid w:val="0"/>
              <w:spacing w:line="300" w:lineRule="exact"/>
              <w:jc w:val="center"/>
              <w:rPr>
                <w:rFonts w:ascii="標楷體" w:eastAsia="標楷體" w:hAnsi="標楷體"/>
                <w:color w:val="000000"/>
                <w:spacing w:val="-20"/>
                <w:kern w:val="0"/>
              </w:rPr>
            </w:pPr>
            <w:r w:rsidRPr="00A67BE5">
              <w:rPr>
                <w:rFonts w:ascii="標楷體" w:eastAsia="標楷體" w:hAnsi="標楷體" w:hint="eastAsia"/>
                <w:color w:val="000000"/>
                <w:spacing w:val="-20"/>
                <w:kern w:val="0"/>
              </w:rPr>
              <w:t>41</w:t>
            </w:r>
          </w:p>
        </w:tc>
        <w:tc>
          <w:tcPr>
            <w:tcW w:w="1909" w:type="dxa"/>
          </w:tcPr>
          <w:p w14:paraId="3F42EB17" w14:textId="77777777" w:rsidR="00AB281B" w:rsidRPr="00A67BE5" w:rsidRDefault="00AB281B" w:rsidP="00EC13B7">
            <w:pPr>
              <w:kinsoku w:val="0"/>
              <w:topLinePunct/>
              <w:adjustRightInd w:val="0"/>
              <w:snapToGrid w:val="0"/>
              <w:spacing w:line="300" w:lineRule="exact"/>
              <w:jc w:val="both"/>
              <w:rPr>
                <w:rFonts w:ascii="標楷體" w:eastAsia="標楷體" w:hAnsi="標楷體"/>
                <w:color w:val="000000"/>
                <w:kern w:val="0"/>
              </w:rPr>
            </w:pPr>
            <w:r w:rsidRPr="00A67BE5">
              <w:rPr>
                <w:rFonts w:ascii="標楷體" w:eastAsia="標楷體" w:hAnsi="標楷體"/>
                <w:color w:val="000000"/>
                <w:kern w:val="0"/>
              </w:rPr>
              <w:t>3.廢止「竊盜犯贓物犯保安處分條例</w:t>
            </w:r>
          </w:p>
        </w:tc>
        <w:tc>
          <w:tcPr>
            <w:tcW w:w="1918" w:type="dxa"/>
          </w:tcPr>
          <w:p w14:paraId="0541A61A" w14:textId="77777777" w:rsidR="00AB281B" w:rsidRPr="00A67BE5" w:rsidRDefault="00AB281B"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 xml:space="preserve">時代力量黨團 111.03.25 </w:t>
            </w:r>
          </w:p>
          <w:p w14:paraId="428DF7A1" w14:textId="77777777" w:rsidR="00AB281B" w:rsidRPr="00A67BE5" w:rsidRDefault="00AB281B" w:rsidP="00EC13B7">
            <w:pPr>
              <w:kinsoku w:val="0"/>
              <w:topLinePunct/>
              <w:spacing w:line="300" w:lineRule="exact"/>
              <w:rPr>
                <w:rFonts w:ascii="標楷體" w:eastAsia="標楷體" w:hAnsi="標楷體"/>
                <w:color w:val="000000"/>
                <w:kern w:val="0"/>
              </w:rPr>
            </w:pPr>
            <w:r w:rsidRPr="00A67BE5">
              <w:rPr>
                <w:rFonts w:ascii="標楷體" w:eastAsia="標楷體" w:hAnsi="標楷體"/>
                <w:color w:val="000000"/>
                <w:kern w:val="0"/>
              </w:rPr>
              <w:t>（10-5-5）</w:t>
            </w:r>
          </w:p>
        </w:tc>
        <w:tc>
          <w:tcPr>
            <w:tcW w:w="2085" w:type="dxa"/>
            <w:vMerge/>
          </w:tcPr>
          <w:p w14:paraId="502555CA" w14:textId="65E90A6C" w:rsidR="00AB281B" w:rsidRPr="00A67BE5" w:rsidRDefault="00AB281B" w:rsidP="00EC13B7">
            <w:pPr>
              <w:rPr>
                <w:rFonts w:ascii="標楷體" w:hAnsi="標楷體"/>
              </w:rPr>
            </w:pPr>
          </w:p>
        </w:tc>
        <w:tc>
          <w:tcPr>
            <w:tcW w:w="1862" w:type="dxa"/>
            <w:vMerge/>
          </w:tcPr>
          <w:p w14:paraId="47B264A8" w14:textId="70320017" w:rsidR="00AB281B" w:rsidRPr="00A67BE5" w:rsidRDefault="00AB281B" w:rsidP="00EC13B7">
            <w:pPr>
              <w:kinsoku w:val="0"/>
              <w:wordWrap w:val="0"/>
              <w:adjustRightInd w:val="0"/>
              <w:snapToGrid w:val="0"/>
              <w:spacing w:line="300" w:lineRule="exact"/>
              <w:jc w:val="both"/>
              <w:rPr>
                <w:rFonts w:ascii="標楷體" w:hAnsi="標楷體"/>
              </w:rPr>
            </w:pPr>
          </w:p>
        </w:tc>
      </w:tr>
    </w:tbl>
    <w:p w14:paraId="36FDB7BD" w14:textId="77777777" w:rsidR="00EC13B7" w:rsidRPr="00A67BE5" w:rsidRDefault="00EC13B7" w:rsidP="00E7497A">
      <w:pPr>
        <w:rPr>
          <w:color w:val="000000" w:themeColor="text1"/>
        </w:rPr>
      </w:pPr>
    </w:p>
    <w:p w14:paraId="3E7E949E" w14:textId="77777777" w:rsidR="00EC13B7" w:rsidRPr="00903E64" w:rsidRDefault="00EC13B7" w:rsidP="00EC13B7">
      <w:pPr>
        <w:pStyle w:val="2"/>
        <w:kinsoku w:val="0"/>
        <w:overflowPunct w:val="0"/>
        <w:spacing w:beforeLines="50" w:before="180" w:afterLines="50" w:after="180"/>
        <w:ind w:leftChars="0" w:left="1464" w:hanging="864"/>
        <w:rPr>
          <w:rFonts w:ascii="標楷體" w:hAnsi="標楷體"/>
          <w:b/>
          <w:bCs w:val="0"/>
          <w:color w:val="000000" w:themeColor="text1"/>
          <w:szCs w:val="28"/>
        </w:rPr>
      </w:pPr>
      <w:r w:rsidRPr="00BA2116">
        <w:rPr>
          <w:rFonts w:ascii="標楷體" w:hAnsi="標楷體"/>
          <w:b/>
          <w:color w:val="000000" w:themeColor="text1"/>
          <w:szCs w:val="28"/>
        </w:rPr>
        <w:t>［</w:t>
      </w:r>
      <w:r w:rsidRPr="00BA2116">
        <w:rPr>
          <w:rFonts w:ascii="標楷體" w:hAnsi="標楷體" w:hint="eastAsia"/>
          <w:b/>
          <w:color w:val="000000" w:themeColor="text1"/>
          <w:szCs w:val="28"/>
        </w:rPr>
        <w:t>貳</w:t>
      </w:r>
      <w:r w:rsidRPr="00BA2116">
        <w:rPr>
          <w:rFonts w:ascii="標楷體" w:hAnsi="標楷體"/>
          <w:b/>
          <w:color w:val="000000" w:themeColor="text1"/>
          <w:szCs w:val="28"/>
        </w:rPr>
        <w:t>］</w:t>
      </w:r>
      <w:r w:rsidRPr="00BA2116">
        <w:rPr>
          <w:rFonts w:ascii="標楷體" w:hAnsi="標楷體"/>
          <w:b/>
          <w:color w:val="000000" w:themeColor="text1"/>
        </w:rPr>
        <w:t>預</w:t>
      </w:r>
      <w:r w:rsidRPr="00BA2116">
        <w:rPr>
          <w:rFonts w:ascii="標楷體" w:hAnsi="標楷體" w:hint="eastAsia"/>
          <w:b/>
          <w:color w:val="000000" w:themeColor="text1"/>
        </w:rPr>
        <w:t>（決）</w:t>
      </w:r>
      <w:r w:rsidRPr="00BA2116">
        <w:rPr>
          <w:rFonts w:ascii="標楷體" w:hAnsi="標楷體"/>
          <w:b/>
          <w:color w:val="000000" w:themeColor="text1"/>
        </w:rPr>
        <w:t>算案</w:t>
      </w:r>
      <w:r>
        <w:rPr>
          <w:rFonts w:ascii="標楷體" w:hAnsi="標楷體" w:hint="eastAsia"/>
          <w:b/>
          <w:color w:val="000000" w:themeColor="text1"/>
        </w:rPr>
        <w:t>4</w:t>
      </w:r>
      <w:r w:rsidRPr="00903E64">
        <w:rPr>
          <w:rFonts w:ascii="標楷體" w:hAnsi="標楷體"/>
          <w:b/>
          <w:color w:val="000000" w:themeColor="text1"/>
          <w:szCs w:val="28"/>
        </w:rPr>
        <w:t>案</w:t>
      </w:r>
    </w:p>
    <w:p w14:paraId="19184BC4" w14:textId="54A38661" w:rsidR="00EC13B7" w:rsidRDefault="00EC13B7" w:rsidP="00EC13B7">
      <w:pPr>
        <w:pStyle w:val="3"/>
        <w:kinsoku w:val="0"/>
        <w:overflowPunct w:val="0"/>
        <w:spacing w:beforeLines="100" w:before="360" w:afterLines="100" w:after="360" w:line="260" w:lineRule="exact"/>
        <w:ind w:left="912" w:firstLineChars="250" w:firstLine="701"/>
        <w:rPr>
          <w:rFonts w:ascii="標楷體" w:hAnsi="標楷體"/>
          <w:b/>
          <w:color w:val="000000" w:themeColor="text1"/>
        </w:rPr>
      </w:pPr>
      <w:r>
        <w:rPr>
          <w:rFonts w:ascii="標楷體" w:hAnsi="標楷體" w:hint="eastAsia"/>
          <w:b/>
          <w:color w:val="000000" w:themeColor="text1"/>
        </w:rPr>
        <w:t>一</w:t>
      </w:r>
      <w:r w:rsidRPr="00BA2116">
        <w:rPr>
          <w:rFonts w:ascii="標楷體" w:hAnsi="標楷體" w:hint="eastAsia"/>
          <w:b/>
          <w:color w:val="000000" w:themeColor="text1"/>
        </w:rPr>
        <w:t>、</w:t>
      </w:r>
      <w:r>
        <w:rPr>
          <w:rFonts w:ascii="標楷體" w:hAnsi="標楷體" w:hint="eastAsia"/>
          <w:b/>
          <w:color w:val="000000" w:themeColor="text1"/>
        </w:rPr>
        <w:t>總預算案1案</w:t>
      </w:r>
    </w:p>
    <w:tbl>
      <w:tblPr>
        <w:tblW w:w="8700" w:type="dxa"/>
        <w:tblInd w:w="52"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23"/>
        <w:gridCol w:w="1843"/>
        <w:gridCol w:w="1687"/>
        <w:gridCol w:w="2009"/>
        <w:gridCol w:w="2538"/>
      </w:tblGrid>
      <w:tr w:rsidR="00EC13B7" w:rsidRPr="00C62D95" w14:paraId="6B8CD672" w14:textId="77777777" w:rsidTr="00001875">
        <w:tc>
          <w:tcPr>
            <w:tcW w:w="623" w:type="dxa"/>
            <w:hideMark/>
          </w:tcPr>
          <w:p w14:paraId="541F53ED" w14:textId="77777777" w:rsidR="00EC13B7" w:rsidRPr="00C62D95" w:rsidRDefault="00EC13B7" w:rsidP="00EC13B7">
            <w:pPr>
              <w:adjustRightInd w:val="0"/>
              <w:snapToGrid w:val="0"/>
              <w:spacing w:line="260" w:lineRule="exact"/>
              <w:jc w:val="center"/>
              <w:rPr>
                <w:rFonts w:ascii="標楷體" w:eastAsia="標楷體" w:hAnsi="標楷體"/>
                <w:b/>
              </w:rPr>
            </w:pPr>
            <w:r w:rsidRPr="00C62D95">
              <w:rPr>
                <w:rFonts w:ascii="標楷體" w:eastAsia="標楷體" w:hAnsi="標楷體" w:hint="eastAsia"/>
                <w:b/>
              </w:rPr>
              <w:t>序號</w:t>
            </w:r>
          </w:p>
        </w:tc>
        <w:tc>
          <w:tcPr>
            <w:tcW w:w="1843" w:type="dxa"/>
            <w:hideMark/>
          </w:tcPr>
          <w:p w14:paraId="50E38E01" w14:textId="77777777" w:rsidR="00EC13B7" w:rsidRPr="00C62D95" w:rsidRDefault="00EC13B7" w:rsidP="00EC13B7">
            <w:pPr>
              <w:spacing w:line="280" w:lineRule="exact"/>
              <w:ind w:leftChars="-45" w:left="-108" w:rightChars="-45" w:right="-108"/>
              <w:jc w:val="center"/>
              <w:rPr>
                <w:rFonts w:ascii="標楷體" w:eastAsia="標楷體" w:hAnsi="標楷體"/>
                <w:b/>
              </w:rPr>
            </w:pPr>
            <w:r w:rsidRPr="00C62D95">
              <w:rPr>
                <w:rFonts w:ascii="標楷體" w:eastAsia="標楷體" w:hAnsi="標楷體" w:hint="eastAsia"/>
                <w:b/>
              </w:rPr>
              <w:t>議案名稱</w:t>
            </w:r>
          </w:p>
        </w:tc>
        <w:tc>
          <w:tcPr>
            <w:tcW w:w="1687" w:type="dxa"/>
            <w:hideMark/>
          </w:tcPr>
          <w:p w14:paraId="4FF52A15" w14:textId="6E5200BA" w:rsidR="00EC13B7" w:rsidRPr="0031771F" w:rsidRDefault="00EC13B7" w:rsidP="00497CF8">
            <w:pPr>
              <w:tabs>
                <w:tab w:val="left" w:pos="441"/>
                <w:tab w:val="left" w:pos="681"/>
                <w:tab w:val="left" w:pos="966"/>
              </w:tabs>
              <w:spacing w:line="300" w:lineRule="exact"/>
              <w:ind w:leftChars="-8" w:left="1" w:rightChars="-3" w:right="-7" w:hangingChars="10" w:hanging="20"/>
              <w:rPr>
                <w:rFonts w:ascii="標楷體" w:eastAsia="標楷體" w:hAnsi="標楷體"/>
                <w:b/>
                <w:spacing w:val="-20"/>
              </w:rPr>
            </w:pPr>
            <w:r w:rsidRPr="00497CF8">
              <w:rPr>
                <w:rFonts w:ascii="標楷體" w:eastAsia="標楷體" w:hAnsi="標楷體" w:hint="eastAsia"/>
                <w:b/>
                <w:spacing w:val="-20"/>
                <w:szCs w:val="22"/>
              </w:rPr>
              <w:t>提案機關</w:t>
            </w:r>
            <w:r w:rsidR="0031771F" w:rsidRPr="00497CF8">
              <w:rPr>
                <w:rFonts w:ascii="標楷體" w:eastAsia="標楷體" w:hAnsi="標楷體" w:hint="eastAsia"/>
                <w:b/>
                <w:spacing w:val="-20"/>
                <w:szCs w:val="22"/>
              </w:rPr>
              <w:t>、</w:t>
            </w:r>
            <w:r w:rsidRPr="00497CF8">
              <w:rPr>
                <w:rFonts w:ascii="標楷體" w:eastAsia="標楷體" w:hAnsi="標楷體" w:hint="eastAsia"/>
                <w:b/>
                <w:spacing w:val="-20"/>
                <w:szCs w:val="22"/>
              </w:rPr>
              <w:t>院會</w:t>
            </w:r>
            <w:r w:rsidRPr="00497CF8">
              <w:rPr>
                <w:rFonts w:ascii="標楷體" w:eastAsia="標楷體" w:hAnsi="標楷體" w:hint="eastAsia"/>
                <w:b/>
                <w:spacing w:val="-30"/>
                <w:szCs w:val="22"/>
              </w:rPr>
              <w:t>交付日期（會次）</w:t>
            </w:r>
          </w:p>
        </w:tc>
        <w:tc>
          <w:tcPr>
            <w:tcW w:w="2009" w:type="dxa"/>
            <w:hideMark/>
          </w:tcPr>
          <w:p w14:paraId="0B5C3CD3" w14:textId="77777777" w:rsidR="00EC13B7" w:rsidRPr="00C62D95" w:rsidRDefault="00EC13B7" w:rsidP="00EC13B7">
            <w:pPr>
              <w:spacing w:line="300" w:lineRule="exact"/>
              <w:jc w:val="center"/>
              <w:rPr>
                <w:rFonts w:ascii="標楷體" w:eastAsia="標楷體" w:hAnsi="標楷體"/>
                <w:b/>
              </w:rPr>
            </w:pPr>
            <w:r w:rsidRPr="00C62D95">
              <w:rPr>
                <w:rFonts w:ascii="標楷體" w:eastAsia="標楷體" w:hAnsi="標楷體" w:hint="eastAsia"/>
                <w:b/>
              </w:rPr>
              <w:t>審查委員會</w:t>
            </w:r>
          </w:p>
          <w:p w14:paraId="6C963248" w14:textId="77777777" w:rsidR="00EC13B7" w:rsidRPr="00C62D95" w:rsidRDefault="00EC13B7" w:rsidP="00EC13B7">
            <w:pPr>
              <w:spacing w:line="300" w:lineRule="exact"/>
              <w:jc w:val="center"/>
              <w:rPr>
                <w:rFonts w:ascii="標楷體" w:eastAsia="標楷體" w:hAnsi="標楷體"/>
                <w:b/>
              </w:rPr>
            </w:pPr>
            <w:r w:rsidRPr="00C62D95">
              <w:rPr>
                <w:rFonts w:ascii="標楷體" w:eastAsia="標楷體" w:hAnsi="標楷體" w:hint="eastAsia"/>
                <w:b/>
              </w:rPr>
              <w:t>院會說明人</w:t>
            </w:r>
          </w:p>
        </w:tc>
        <w:tc>
          <w:tcPr>
            <w:tcW w:w="2538" w:type="dxa"/>
            <w:hideMark/>
          </w:tcPr>
          <w:p w14:paraId="5913E6DF" w14:textId="77777777" w:rsidR="00EC13B7" w:rsidRPr="00C62D95" w:rsidRDefault="00EC13B7" w:rsidP="00EC13B7">
            <w:pPr>
              <w:spacing w:line="260" w:lineRule="exact"/>
              <w:jc w:val="center"/>
              <w:rPr>
                <w:rFonts w:ascii="標楷體" w:eastAsia="標楷體" w:hAnsi="標楷體"/>
                <w:b/>
              </w:rPr>
            </w:pPr>
            <w:r w:rsidRPr="00C62D95">
              <w:rPr>
                <w:rFonts w:ascii="標楷體" w:eastAsia="標楷體" w:hAnsi="標楷體" w:hint="eastAsia"/>
                <w:b/>
              </w:rPr>
              <w:t>審查情形</w:t>
            </w:r>
          </w:p>
        </w:tc>
      </w:tr>
      <w:tr w:rsidR="00D52836" w:rsidRPr="00C62D95" w14:paraId="31392537" w14:textId="77777777" w:rsidTr="00001875">
        <w:tc>
          <w:tcPr>
            <w:tcW w:w="623" w:type="dxa"/>
            <w:vMerge w:val="restart"/>
            <w:hideMark/>
          </w:tcPr>
          <w:p w14:paraId="150BC0AA" w14:textId="77777777" w:rsidR="00D52836" w:rsidRPr="00C62D95" w:rsidRDefault="00D52836" w:rsidP="00EC13B7">
            <w:pPr>
              <w:adjustRightInd w:val="0"/>
              <w:snapToGrid w:val="0"/>
              <w:spacing w:line="260" w:lineRule="exact"/>
              <w:jc w:val="center"/>
              <w:rPr>
                <w:rFonts w:ascii="標楷體" w:eastAsia="標楷體" w:hAnsi="標楷體"/>
              </w:rPr>
            </w:pPr>
            <w:r w:rsidRPr="00C62D95">
              <w:rPr>
                <w:rFonts w:ascii="標楷體" w:eastAsia="標楷體" w:hAnsi="標楷體" w:hint="eastAsia"/>
              </w:rPr>
              <w:t>1</w:t>
            </w:r>
          </w:p>
        </w:tc>
        <w:tc>
          <w:tcPr>
            <w:tcW w:w="1843" w:type="dxa"/>
            <w:vMerge w:val="restart"/>
            <w:hideMark/>
          </w:tcPr>
          <w:p w14:paraId="7EEAE6F0" w14:textId="77777777" w:rsidR="00D52836" w:rsidRPr="00C62D95" w:rsidRDefault="00D52836" w:rsidP="005453F6">
            <w:pPr>
              <w:spacing w:line="260" w:lineRule="exact"/>
              <w:ind w:leftChars="-22" w:left="-36" w:rightChars="-50" w:right="-120" w:hangingChars="7" w:hanging="17"/>
            </w:pPr>
            <w:r w:rsidRPr="00C62D95">
              <w:rPr>
                <w:rFonts w:ascii="標楷體" w:eastAsia="標楷體" w:hAnsi="標楷體" w:hint="eastAsia"/>
                <w:kern w:val="0"/>
              </w:rPr>
              <w:t>中華民國112年度中央政府總預算案（附屬單位預算及綜計表－營業及非營業部分）</w:t>
            </w:r>
          </w:p>
        </w:tc>
        <w:tc>
          <w:tcPr>
            <w:tcW w:w="1687" w:type="dxa"/>
            <w:vMerge w:val="restart"/>
            <w:hideMark/>
          </w:tcPr>
          <w:p w14:paraId="14AA7356" w14:textId="77777777" w:rsidR="00D52836" w:rsidRPr="00C62D95" w:rsidRDefault="00D52836" w:rsidP="00EC13B7">
            <w:pPr>
              <w:spacing w:line="260" w:lineRule="exact"/>
              <w:ind w:rightChars="-45" w:right="-108"/>
              <w:rPr>
                <w:rFonts w:ascii="標楷體" w:eastAsia="標楷體" w:hAnsi="標楷體"/>
                <w:kern w:val="0"/>
              </w:rPr>
            </w:pPr>
            <w:r w:rsidRPr="00C62D95">
              <w:rPr>
                <w:rFonts w:ascii="標楷體" w:eastAsia="標楷體" w:hAnsi="標楷體" w:hint="eastAsia"/>
                <w:kern w:val="0"/>
              </w:rPr>
              <w:t xml:space="preserve">行政院 </w:t>
            </w:r>
          </w:p>
          <w:p w14:paraId="6A175E51" w14:textId="77777777" w:rsidR="00D52836" w:rsidRPr="00C62D95" w:rsidRDefault="00D52836" w:rsidP="00EC13B7">
            <w:pPr>
              <w:spacing w:line="260" w:lineRule="exact"/>
              <w:ind w:rightChars="-45" w:right="-108"/>
              <w:rPr>
                <w:rFonts w:ascii="標楷體" w:hAnsi="標楷體"/>
                <w:b/>
              </w:rPr>
            </w:pPr>
            <w:r w:rsidRPr="00C62D95">
              <w:rPr>
                <w:rFonts w:ascii="標楷體" w:eastAsia="標楷體" w:hAnsi="標楷體" w:hint="eastAsia"/>
                <w:kern w:val="0"/>
              </w:rPr>
              <w:t>111.09.23 （10-6-1）</w:t>
            </w:r>
          </w:p>
        </w:tc>
        <w:tc>
          <w:tcPr>
            <w:tcW w:w="2009" w:type="dxa"/>
            <w:vMerge w:val="restart"/>
            <w:hideMark/>
          </w:tcPr>
          <w:p w14:paraId="1D8A2C7C" w14:textId="77777777" w:rsidR="00D52836" w:rsidRPr="00C62D95" w:rsidRDefault="00D52836" w:rsidP="00EC13B7">
            <w:pPr>
              <w:spacing w:line="260" w:lineRule="exact"/>
              <w:rPr>
                <w:rFonts w:ascii="標楷體" w:eastAsia="標楷體" w:hAnsi="標楷體"/>
                <w:kern w:val="0"/>
              </w:rPr>
            </w:pPr>
            <w:r w:rsidRPr="00C62D95">
              <w:rPr>
                <w:rFonts w:ascii="標楷體" w:eastAsia="標楷體" w:hAnsi="標楷體" w:hint="eastAsia"/>
                <w:kern w:val="0"/>
              </w:rPr>
              <w:t>司法及法制</w:t>
            </w:r>
          </w:p>
          <w:p w14:paraId="58D94977" w14:textId="77777777" w:rsidR="00D52836" w:rsidRPr="00C62D95" w:rsidRDefault="00D52836" w:rsidP="00EC13B7">
            <w:pPr>
              <w:spacing w:line="260" w:lineRule="exact"/>
              <w:rPr>
                <w:rFonts w:ascii="標楷體" w:hAnsi="標楷體"/>
                <w:b/>
              </w:rPr>
            </w:pPr>
            <w:r w:rsidRPr="00C62D95">
              <w:rPr>
                <w:rFonts w:ascii="標楷體" w:eastAsia="標楷體" w:hAnsi="標楷體" w:hint="eastAsia"/>
                <w:kern w:val="0"/>
              </w:rPr>
              <w:t>陳召集委員歐珀</w:t>
            </w:r>
          </w:p>
        </w:tc>
        <w:tc>
          <w:tcPr>
            <w:tcW w:w="2538" w:type="dxa"/>
            <w:hideMark/>
          </w:tcPr>
          <w:p w14:paraId="01A423AD" w14:textId="206DACCD"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111.10.20（10-6-8）、</w:t>
            </w:r>
          </w:p>
          <w:p w14:paraId="4A6F479E" w14:textId="1216856E"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111.11.2（10-6-11）</w:t>
            </w:r>
          </w:p>
          <w:p w14:paraId="7DB20365" w14:textId="2A1B459D" w:rsidR="00D52836" w:rsidRPr="00C62D95" w:rsidRDefault="00D52836" w:rsidP="00D52836">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審竣考試院考選部主管「考選業務基金」收支部分，須交由黨團協商。</w:t>
            </w:r>
          </w:p>
        </w:tc>
      </w:tr>
      <w:tr w:rsidR="00D52836" w:rsidRPr="00C62D95" w14:paraId="1A96C8FB" w14:textId="77777777" w:rsidTr="00001875">
        <w:tc>
          <w:tcPr>
            <w:tcW w:w="623" w:type="dxa"/>
            <w:vMerge/>
            <w:vAlign w:val="center"/>
            <w:hideMark/>
          </w:tcPr>
          <w:p w14:paraId="78557BA1" w14:textId="77777777" w:rsidR="00D52836" w:rsidRPr="00C62D95" w:rsidRDefault="00D52836" w:rsidP="00EC13B7">
            <w:pPr>
              <w:widowControl/>
              <w:rPr>
                <w:rFonts w:ascii="標楷體" w:eastAsia="標楷體" w:hAnsi="標楷體"/>
              </w:rPr>
            </w:pPr>
          </w:p>
        </w:tc>
        <w:tc>
          <w:tcPr>
            <w:tcW w:w="1843" w:type="dxa"/>
            <w:vMerge/>
            <w:vAlign w:val="center"/>
            <w:hideMark/>
          </w:tcPr>
          <w:p w14:paraId="0274C8BA" w14:textId="77777777" w:rsidR="00D52836" w:rsidRPr="00C62D95" w:rsidRDefault="00D52836" w:rsidP="00EC13B7">
            <w:pPr>
              <w:widowControl/>
            </w:pPr>
          </w:p>
        </w:tc>
        <w:tc>
          <w:tcPr>
            <w:tcW w:w="1687" w:type="dxa"/>
            <w:vMerge/>
            <w:vAlign w:val="center"/>
            <w:hideMark/>
          </w:tcPr>
          <w:p w14:paraId="55453726" w14:textId="77777777" w:rsidR="00D52836" w:rsidRPr="00C62D95" w:rsidRDefault="00D52836" w:rsidP="00EC13B7">
            <w:pPr>
              <w:widowControl/>
              <w:rPr>
                <w:rFonts w:ascii="標楷體" w:hAnsi="標楷體"/>
                <w:b/>
              </w:rPr>
            </w:pPr>
          </w:p>
        </w:tc>
        <w:tc>
          <w:tcPr>
            <w:tcW w:w="2009" w:type="dxa"/>
            <w:vMerge/>
            <w:vAlign w:val="center"/>
            <w:hideMark/>
          </w:tcPr>
          <w:p w14:paraId="5B6193C2" w14:textId="77777777" w:rsidR="00D52836" w:rsidRPr="00C62D95" w:rsidRDefault="00D52836" w:rsidP="00EC13B7">
            <w:pPr>
              <w:widowControl/>
              <w:rPr>
                <w:rFonts w:ascii="標楷體" w:hAnsi="標楷體"/>
                <w:b/>
              </w:rPr>
            </w:pPr>
          </w:p>
        </w:tc>
        <w:tc>
          <w:tcPr>
            <w:tcW w:w="2538" w:type="dxa"/>
            <w:hideMark/>
          </w:tcPr>
          <w:p w14:paraId="32D7CEB7" w14:textId="68803B2C"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111.10.20（10-6-8）、</w:t>
            </w:r>
          </w:p>
          <w:p w14:paraId="6354CB15" w14:textId="7056034B"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111.11.2（10-6-11）</w:t>
            </w:r>
          </w:p>
          <w:p w14:paraId="3B49D5AB" w14:textId="46FFBE51" w:rsidR="00D52836" w:rsidRPr="00C62D95" w:rsidRDefault="00D52836" w:rsidP="00D52836">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審竣考試院銓敘部主管「公務人員退休撫</w:t>
            </w:r>
            <w:r w:rsidRPr="00C62D95">
              <w:rPr>
                <w:rFonts w:ascii="標楷體" w:eastAsia="標楷體" w:hAnsi="標楷體" w:hint="eastAsia"/>
                <w:kern w:val="0"/>
              </w:rPr>
              <w:lastRenderedPageBreak/>
              <w:t>卹基金」收支部分，須交由黨團協商。</w:t>
            </w:r>
          </w:p>
        </w:tc>
      </w:tr>
      <w:tr w:rsidR="00D52836" w:rsidRPr="00C62D95" w14:paraId="4F2D35C1" w14:textId="77777777" w:rsidTr="00001875">
        <w:tc>
          <w:tcPr>
            <w:tcW w:w="623" w:type="dxa"/>
            <w:vMerge/>
            <w:vAlign w:val="center"/>
            <w:hideMark/>
          </w:tcPr>
          <w:p w14:paraId="25A90014" w14:textId="77777777" w:rsidR="00D52836" w:rsidRPr="00C62D95" w:rsidRDefault="00D52836" w:rsidP="00EC13B7">
            <w:pPr>
              <w:widowControl/>
              <w:rPr>
                <w:rFonts w:ascii="標楷體" w:eastAsia="標楷體" w:hAnsi="標楷體"/>
              </w:rPr>
            </w:pPr>
          </w:p>
        </w:tc>
        <w:tc>
          <w:tcPr>
            <w:tcW w:w="1843" w:type="dxa"/>
            <w:vMerge/>
            <w:vAlign w:val="center"/>
            <w:hideMark/>
          </w:tcPr>
          <w:p w14:paraId="5F74D043" w14:textId="77777777" w:rsidR="00D52836" w:rsidRPr="00C62D95" w:rsidRDefault="00D52836" w:rsidP="00EC13B7">
            <w:pPr>
              <w:widowControl/>
            </w:pPr>
          </w:p>
        </w:tc>
        <w:tc>
          <w:tcPr>
            <w:tcW w:w="1687" w:type="dxa"/>
            <w:vMerge/>
            <w:vAlign w:val="center"/>
            <w:hideMark/>
          </w:tcPr>
          <w:p w14:paraId="1F6681BE" w14:textId="77777777" w:rsidR="00D52836" w:rsidRPr="00C62D95" w:rsidRDefault="00D52836" w:rsidP="00EC13B7">
            <w:pPr>
              <w:widowControl/>
              <w:rPr>
                <w:rFonts w:ascii="標楷體" w:hAnsi="標楷體"/>
                <w:b/>
              </w:rPr>
            </w:pPr>
          </w:p>
        </w:tc>
        <w:tc>
          <w:tcPr>
            <w:tcW w:w="2009" w:type="dxa"/>
            <w:vMerge w:val="restart"/>
            <w:hideMark/>
          </w:tcPr>
          <w:p w14:paraId="3A8C22FA" w14:textId="77777777" w:rsidR="00D52836" w:rsidRPr="00C62D95" w:rsidRDefault="00D52836" w:rsidP="00EC13B7">
            <w:pPr>
              <w:spacing w:line="260" w:lineRule="exact"/>
              <w:rPr>
                <w:rFonts w:ascii="標楷體" w:eastAsia="標楷體" w:hAnsi="標楷體"/>
                <w:kern w:val="0"/>
              </w:rPr>
            </w:pPr>
            <w:r w:rsidRPr="00C62D95">
              <w:rPr>
                <w:rFonts w:ascii="標楷體" w:eastAsia="標楷體" w:hAnsi="標楷體" w:hint="eastAsia"/>
                <w:kern w:val="0"/>
              </w:rPr>
              <w:t>司法及法制</w:t>
            </w:r>
          </w:p>
          <w:p w14:paraId="2D269934" w14:textId="77777777" w:rsidR="00D52836" w:rsidRPr="00C62D95" w:rsidRDefault="00D52836" w:rsidP="00EC13B7">
            <w:pPr>
              <w:spacing w:line="300" w:lineRule="exact"/>
              <w:rPr>
                <w:rFonts w:ascii="標楷體" w:eastAsia="標楷體" w:hAnsi="標楷體"/>
                <w:b/>
              </w:rPr>
            </w:pPr>
            <w:r w:rsidRPr="00C62D95">
              <w:rPr>
                <w:rFonts w:ascii="標楷體" w:eastAsia="標楷體" w:hAnsi="標楷體" w:hint="eastAsia"/>
                <w:kern w:val="0"/>
              </w:rPr>
              <w:t>林召集委員思銘</w:t>
            </w:r>
          </w:p>
        </w:tc>
        <w:tc>
          <w:tcPr>
            <w:tcW w:w="2538" w:type="dxa"/>
            <w:hideMark/>
          </w:tcPr>
          <w:p w14:paraId="3D009803" w14:textId="2950CA7C"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111.11.10（10-6-14）、</w:t>
            </w:r>
          </w:p>
          <w:p w14:paraId="53FDAC9E" w14:textId="77777777" w:rsidR="00D52836" w:rsidRDefault="00D52836" w:rsidP="00D52836">
            <w:pPr>
              <w:kinsoku w:val="0"/>
              <w:wordWrap w:val="0"/>
              <w:adjustRightInd w:val="0"/>
              <w:snapToGrid w:val="0"/>
              <w:spacing w:line="300" w:lineRule="exact"/>
              <w:ind w:leftChars="26" w:left="62"/>
              <w:jc w:val="both"/>
              <w:rPr>
                <w:rFonts w:ascii="標楷體" w:eastAsia="標楷體" w:hAnsi="標楷體"/>
                <w:kern w:val="0"/>
              </w:rPr>
            </w:pPr>
            <w:r w:rsidRPr="00C62D95">
              <w:rPr>
                <w:rFonts w:ascii="標楷體" w:eastAsia="標楷體" w:hAnsi="標楷體" w:hint="eastAsia"/>
                <w:kern w:val="0"/>
              </w:rPr>
              <w:t>111.12.1（10-6-23）</w:t>
            </w:r>
          </w:p>
          <w:p w14:paraId="12472A44" w14:textId="67E4EA4E" w:rsidR="00D52836" w:rsidRPr="00C62D95" w:rsidRDefault="00D52836" w:rsidP="00D52836">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審竣法務部主管「法務部矯正機關作業基金」收支部分，須交由黨團協商。</w:t>
            </w:r>
          </w:p>
        </w:tc>
      </w:tr>
      <w:tr w:rsidR="00D52836" w:rsidRPr="00C62D95" w14:paraId="6277DA34" w14:textId="77777777" w:rsidTr="00001875">
        <w:tc>
          <w:tcPr>
            <w:tcW w:w="623" w:type="dxa"/>
            <w:vMerge/>
            <w:vAlign w:val="center"/>
            <w:hideMark/>
          </w:tcPr>
          <w:p w14:paraId="14740D83" w14:textId="77777777" w:rsidR="00D52836" w:rsidRPr="00C62D95" w:rsidRDefault="00D52836" w:rsidP="00EC13B7">
            <w:pPr>
              <w:widowControl/>
              <w:rPr>
                <w:rFonts w:ascii="標楷體" w:eastAsia="標楷體" w:hAnsi="標楷體"/>
              </w:rPr>
            </w:pPr>
          </w:p>
        </w:tc>
        <w:tc>
          <w:tcPr>
            <w:tcW w:w="1843" w:type="dxa"/>
            <w:vMerge/>
            <w:vAlign w:val="center"/>
            <w:hideMark/>
          </w:tcPr>
          <w:p w14:paraId="43371509" w14:textId="77777777" w:rsidR="00D52836" w:rsidRPr="00C62D95" w:rsidRDefault="00D52836" w:rsidP="00EC13B7">
            <w:pPr>
              <w:widowControl/>
            </w:pPr>
          </w:p>
        </w:tc>
        <w:tc>
          <w:tcPr>
            <w:tcW w:w="1687" w:type="dxa"/>
            <w:vMerge/>
            <w:vAlign w:val="center"/>
            <w:hideMark/>
          </w:tcPr>
          <w:p w14:paraId="332EC7D2" w14:textId="77777777" w:rsidR="00D52836" w:rsidRPr="00C62D95" w:rsidRDefault="00D52836" w:rsidP="00EC13B7">
            <w:pPr>
              <w:widowControl/>
              <w:rPr>
                <w:rFonts w:ascii="標楷體" w:hAnsi="標楷體"/>
                <w:b/>
              </w:rPr>
            </w:pPr>
          </w:p>
        </w:tc>
        <w:tc>
          <w:tcPr>
            <w:tcW w:w="2009" w:type="dxa"/>
            <w:vMerge/>
            <w:vAlign w:val="center"/>
            <w:hideMark/>
          </w:tcPr>
          <w:p w14:paraId="24B49D0E" w14:textId="77777777" w:rsidR="00D52836" w:rsidRPr="00C62D95" w:rsidRDefault="00D52836" w:rsidP="00EC13B7">
            <w:pPr>
              <w:widowControl/>
              <w:rPr>
                <w:rFonts w:ascii="標楷體" w:eastAsia="標楷體" w:hAnsi="標楷體"/>
                <w:b/>
              </w:rPr>
            </w:pPr>
          </w:p>
        </w:tc>
        <w:tc>
          <w:tcPr>
            <w:tcW w:w="2538" w:type="dxa"/>
            <w:hideMark/>
          </w:tcPr>
          <w:p w14:paraId="786EBCEA" w14:textId="40AC13F8"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111.11.10（10-6-14）、</w:t>
            </w:r>
          </w:p>
          <w:p w14:paraId="3B563497" w14:textId="77777777" w:rsidR="00D52836" w:rsidRDefault="00D52836" w:rsidP="00D52836">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111.12.1（10-6-23）</w:t>
            </w:r>
          </w:p>
          <w:p w14:paraId="61004585" w14:textId="705D0358" w:rsidR="00D52836" w:rsidRPr="00C62D95" w:rsidRDefault="00D52836" w:rsidP="00D52836">
            <w:pPr>
              <w:autoSpaceDE w:val="0"/>
              <w:autoSpaceDN w:val="0"/>
              <w:spacing w:line="260" w:lineRule="exact"/>
              <w:jc w:val="both"/>
              <w:rPr>
                <w:rFonts w:ascii="標楷體" w:eastAsia="標楷體" w:hAnsi="標楷體"/>
                <w:color w:val="000000"/>
                <w:kern w:val="0"/>
              </w:rPr>
            </w:pPr>
            <w:r w:rsidRPr="00C62D95">
              <w:rPr>
                <w:rFonts w:ascii="標楷體" w:eastAsia="標楷體" w:hAnsi="標楷體" w:hint="eastAsia"/>
                <w:kern w:val="0"/>
              </w:rPr>
              <w:t>審竣法務部主管「毒品防制基金」收支部分，須交由黨團協商。</w:t>
            </w:r>
          </w:p>
        </w:tc>
      </w:tr>
      <w:tr w:rsidR="00D52836" w:rsidRPr="00C62D95" w14:paraId="270D74AB" w14:textId="77777777" w:rsidTr="00001875">
        <w:trPr>
          <w:trHeight w:val="1893"/>
        </w:trPr>
        <w:tc>
          <w:tcPr>
            <w:tcW w:w="623" w:type="dxa"/>
            <w:vMerge/>
            <w:vAlign w:val="center"/>
            <w:hideMark/>
          </w:tcPr>
          <w:p w14:paraId="2AFAE365" w14:textId="77777777" w:rsidR="00D52836" w:rsidRPr="00C62D95" w:rsidRDefault="00D52836" w:rsidP="00EC13B7">
            <w:pPr>
              <w:widowControl/>
              <w:rPr>
                <w:rFonts w:ascii="標楷體" w:eastAsia="標楷體" w:hAnsi="標楷體"/>
              </w:rPr>
            </w:pPr>
          </w:p>
        </w:tc>
        <w:tc>
          <w:tcPr>
            <w:tcW w:w="1843" w:type="dxa"/>
            <w:vMerge/>
            <w:vAlign w:val="center"/>
            <w:hideMark/>
          </w:tcPr>
          <w:p w14:paraId="75F25FBF" w14:textId="77777777" w:rsidR="00D52836" w:rsidRPr="00C62D95" w:rsidRDefault="00D52836" w:rsidP="00EC13B7">
            <w:pPr>
              <w:widowControl/>
            </w:pPr>
          </w:p>
        </w:tc>
        <w:tc>
          <w:tcPr>
            <w:tcW w:w="1687" w:type="dxa"/>
            <w:vMerge/>
            <w:vAlign w:val="center"/>
            <w:hideMark/>
          </w:tcPr>
          <w:p w14:paraId="6E501C38" w14:textId="77777777" w:rsidR="00D52836" w:rsidRPr="00C62D95" w:rsidRDefault="00D52836" w:rsidP="00EC13B7">
            <w:pPr>
              <w:widowControl/>
              <w:rPr>
                <w:rFonts w:ascii="標楷體" w:hAnsi="標楷體"/>
                <w:b/>
              </w:rPr>
            </w:pPr>
          </w:p>
        </w:tc>
        <w:tc>
          <w:tcPr>
            <w:tcW w:w="2009" w:type="dxa"/>
            <w:vMerge/>
            <w:vAlign w:val="center"/>
            <w:hideMark/>
          </w:tcPr>
          <w:p w14:paraId="125777AC" w14:textId="77777777" w:rsidR="00D52836" w:rsidRPr="00C62D95" w:rsidRDefault="00D52836" w:rsidP="00EC13B7">
            <w:pPr>
              <w:widowControl/>
              <w:rPr>
                <w:rFonts w:ascii="標楷體" w:eastAsia="標楷體" w:hAnsi="標楷體"/>
                <w:b/>
              </w:rPr>
            </w:pPr>
          </w:p>
        </w:tc>
        <w:tc>
          <w:tcPr>
            <w:tcW w:w="2538" w:type="dxa"/>
            <w:hideMark/>
          </w:tcPr>
          <w:p w14:paraId="38593BCF" w14:textId="237268B0"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111.11.16（10-6-16）、</w:t>
            </w:r>
          </w:p>
          <w:p w14:paraId="1DD108AC" w14:textId="54F7FB22" w:rsidR="00D52836" w:rsidRPr="00C62D95" w:rsidRDefault="00D52836" w:rsidP="00EC13B7">
            <w:pPr>
              <w:autoSpaceDE w:val="0"/>
              <w:autoSpaceDN w:val="0"/>
              <w:spacing w:line="260" w:lineRule="exact"/>
              <w:jc w:val="both"/>
              <w:rPr>
                <w:rFonts w:ascii="標楷體" w:eastAsia="標楷體" w:hAnsi="標楷體"/>
                <w:kern w:val="0"/>
              </w:rPr>
            </w:pPr>
            <w:r w:rsidRPr="00C62D95">
              <w:rPr>
                <w:rFonts w:ascii="標楷體" w:eastAsia="標楷體" w:hAnsi="標楷體" w:hint="eastAsia"/>
                <w:kern w:val="0"/>
              </w:rPr>
              <w:t>111.12.7（10-6-24）</w:t>
            </w:r>
          </w:p>
          <w:p w14:paraId="5C543F4E" w14:textId="77467CEE" w:rsidR="00D52836" w:rsidRPr="00C62D95" w:rsidRDefault="00D52836" w:rsidP="00D52836">
            <w:pPr>
              <w:kinsoku w:val="0"/>
              <w:wordWrap w:val="0"/>
              <w:adjustRightInd w:val="0"/>
              <w:snapToGrid w:val="0"/>
              <w:spacing w:line="300" w:lineRule="exact"/>
              <w:ind w:leftChars="26" w:left="62"/>
              <w:jc w:val="both"/>
              <w:rPr>
                <w:rFonts w:ascii="標楷體" w:eastAsia="標楷體" w:hAnsi="標楷體"/>
                <w:color w:val="000000"/>
                <w:kern w:val="0"/>
              </w:rPr>
            </w:pPr>
            <w:r w:rsidRPr="00C62D95">
              <w:rPr>
                <w:rFonts w:ascii="標楷體" w:eastAsia="標楷體" w:hAnsi="標楷體" w:hint="eastAsia"/>
                <w:kern w:val="0"/>
              </w:rPr>
              <w:t>審竣行政院人事行政總處主管「中央公教人員急難救助基金」收支部分，須交由黨團協商。</w:t>
            </w:r>
          </w:p>
        </w:tc>
      </w:tr>
    </w:tbl>
    <w:p w14:paraId="4A419C16" w14:textId="6D5F5001" w:rsidR="00EC13B7" w:rsidRPr="00783AAE" w:rsidRDefault="00EC13B7" w:rsidP="00EC13B7">
      <w:pPr>
        <w:pStyle w:val="3"/>
        <w:kinsoku w:val="0"/>
        <w:overflowPunct w:val="0"/>
        <w:spacing w:beforeLines="100" w:before="360" w:afterLines="100" w:after="360" w:line="260" w:lineRule="exact"/>
        <w:ind w:left="912" w:firstLineChars="250" w:firstLine="701"/>
        <w:rPr>
          <w:rFonts w:ascii="標楷體" w:hAnsi="標楷體"/>
          <w:b/>
          <w:color w:val="000000" w:themeColor="text1"/>
        </w:rPr>
      </w:pPr>
      <w:r w:rsidRPr="00783AAE">
        <w:rPr>
          <w:rFonts w:ascii="標楷體" w:hAnsi="標楷體" w:hint="eastAsia"/>
          <w:b/>
          <w:color w:val="000000" w:themeColor="text1"/>
        </w:rPr>
        <w:t>二、</w:t>
      </w:r>
      <w:r w:rsidRPr="00783AAE">
        <w:rPr>
          <w:rStyle w:val="af1"/>
          <w:b/>
          <w:color w:val="000000" w:themeColor="text1"/>
          <w:szCs w:val="28"/>
          <w:u w:val="none"/>
        </w:rPr>
        <w:t>財團法人</w:t>
      </w:r>
      <w:r w:rsidRPr="00783AAE">
        <w:rPr>
          <w:rFonts w:ascii="標楷體" w:hAnsi="標楷體" w:hint="eastAsia"/>
          <w:b/>
          <w:color w:val="000000" w:themeColor="text1"/>
        </w:rPr>
        <w:t>3</w:t>
      </w:r>
      <w:r w:rsidRPr="00783AAE">
        <w:rPr>
          <w:rFonts w:ascii="標楷體" w:hAnsi="標楷體"/>
          <w:b/>
          <w:color w:val="000000" w:themeColor="text1"/>
        </w:rPr>
        <w:t>案</w:t>
      </w:r>
    </w:p>
    <w:tbl>
      <w:tblPr>
        <w:tblW w:w="8624"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63"/>
        <w:gridCol w:w="1843"/>
        <w:gridCol w:w="1984"/>
        <w:gridCol w:w="1980"/>
        <w:gridCol w:w="2054"/>
      </w:tblGrid>
      <w:tr w:rsidR="00EC13B7" w:rsidRPr="00BA2116" w14:paraId="3C94A82F" w14:textId="77777777" w:rsidTr="00EC13B7">
        <w:trPr>
          <w:jc w:val="center"/>
        </w:trPr>
        <w:tc>
          <w:tcPr>
            <w:tcW w:w="763" w:type="dxa"/>
          </w:tcPr>
          <w:p w14:paraId="520DDB45" w14:textId="77777777" w:rsidR="00EC13B7" w:rsidRPr="00BA2116" w:rsidRDefault="00EC13B7"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序號</w:t>
            </w:r>
          </w:p>
        </w:tc>
        <w:tc>
          <w:tcPr>
            <w:tcW w:w="1843" w:type="dxa"/>
          </w:tcPr>
          <w:p w14:paraId="78A1D9C1" w14:textId="77777777" w:rsidR="00EC13B7" w:rsidRPr="00BA2116" w:rsidRDefault="00EC13B7"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tcPr>
          <w:p w14:paraId="0D563109" w14:textId="7FDBDD2B" w:rsidR="00EC13B7" w:rsidRPr="00BA2116" w:rsidRDefault="00EC13B7" w:rsidP="00994449">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提案機關</w:t>
            </w:r>
            <w:r w:rsidR="00994449">
              <w:rPr>
                <w:rFonts w:ascii="標楷體" w:eastAsia="標楷體" w:hAnsi="標楷體" w:hint="eastAsia"/>
                <w:b/>
                <w:color w:val="000000" w:themeColor="text1"/>
              </w:rPr>
              <w:t>、</w:t>
            </w:r>
            <w:r w:rsidRPr="00BA2116">
              <w:rPr>
                <w:rFonts w:ascii="標楷體" w:eastAsia="標楷體" w:hAnsi="標楷體"/>
                <w:b/>
                <w:color w:val="000000" w:themeColor="text1"/>
                <w:spacing w:val="-20"/>
              </w:rPr>
              <w:t>院會交付日期</w:t>
            </w:r>
            <w:r w:rsidRPr="00BA2116">
              <w:rPr>
                <w:rFonts w:ascii="標楷體" w:eastAsia="標楷體" w:hAnsi="標楷體"/>
                <w:b/>
                <w:color w:val="000000" w:themeColor="text1"/>
              </w:rPr>
              <w:t>（會次）</w:t>
            </w:r>
          </w:p>
        </w:tc>
        <w:tc>
          <w:tcPr>
            <w:tcW w:w="1980" w:type="dxa"/>
          </w:tcPr>
          <w:p w14:paraId="3EA3DB2B" w14:textId="77777777" w:rsidR="00EC13B7" w:rsidRPr="00BA2116" w:rsidRDefault="00EC13B7"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審查委員會</w:t>
            </w:r>
          </w:p>
          <w:p w14:paraId="2F1BE39A" w14:textId="77777777" w:rsidR="00EC13B7" w:rsidRPr="00BA2116" w:rsidRDefault="00EC13B7"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院會說明人</w:t>
            </w:r>
          </w:p>
        </w:tc>
        <w:tc>
          <w:tcPr>
            <w:tcW w:w="2054" w:type="dxa"/>
          </w:tcPr>
          <w:p w14:paraId="5BF762C3" w14:textId="77777777" w:rsidR="00EC13B7" w:rsidRPr="00BA2116" w:rsidRDefault="00EC13B7"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EC13B7" w:rsidRPr="00BA2116" w14:paraId="0ECE6BD7" w14:textId="77777777" w:rsidTr="00EC13B7">
        <w:trPr>
          <w:jc w:val="center"/>
        </w:trPr>
        <w:tc>
          <w:tcPr>
            <w:tcW w:w="763" w:type="dxa"/>
          </w:tcPr>
          <w:p w14:paraId="2E04E8A5" w14:textId="77777777" w:rsidR="00EC13B7" w:rsidRPr="00BA2116" w:rsidRDefault="00EC13B7" w:rsidP="00E7497A">
            <w:pPr>
              <w:kinsoku w:val="0"/>
              <w:topLinePunct/>
              <w:adjustRightInd w:val="0"/>
              <w:snapToGrid w:val="0"/>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1</w:t>
            </w:r>
          </w:p>
        </w:tc>
        <w:tc>
          <w:tcPr>
            <w:tcW w:w="1843" w:type="dxa"/>
          </w:tcPr>
          <w:p w14:paraId="0D5DC60E" w14:textId="77777777" w:rsidR="00EC13B7" w:rsidRPr="00BA2116" w:rsidRDefault="00EC13B7"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法務部函送財團法人臺灣更生保護會、財團法人福建更生保護會及財團法人犯罪被害人保護協會106年度預算書案。</w:t>
            </w:r>
          </w:p>
        </w:tc>
        <w:tc>
          <w:tcPr>
            <w:tcW w:w="1984" w:type="dxa"/>
          </w:tcPr>
          <w:p w14:paraId="6183BED5" w14:textId="77777777" w:rsidR="00EC13B7" w:rsidRPr="00BA2116" w:rsidRDefault="00EC13B7"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法務部105.09.13</w:t>
            </w:r>
          </w:p>
          <w:p w14:paraId="163CD09E" w14:textId="77777777" w:rsidR="00EC13B7" w:rsidRPr="00BA2116" w:rsidRDefault="00EC13B7"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（9-2-1）</w:t>
            </w:r>
          </w:p>
        </w:tc>
        <w:tc>
          <w:tcPr>
            <w:tcW w:w="1980" w:type="dxa"/>
          </w:tcPr>
          <w:p w14:paraId="361BEBB4" w14:textId="77777777" w:rsidR="00EC13B7" w:rsidRPr="00BA2116" w:rsidRDefault="00EC13B7"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682E3BF8" w14:textId="77777777" w:rsidR="00EC13B7" w:rsidRPr="00BA2116" w:rsidRDefault="00EC13B7"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許召集委員淑華</w:t>
            </w:r>
          </w:p>
          <w:p w14:paraId="50BF824B" w14:textId="77777777" w:rsidR="00EC13B7" w:rsidRPr="00BA2116" w:rsidRDefault="00EC13B7" w:rsidP="00E7497A">
            <w:pPr>
              <w:kinsoku w:val="0"/>
              <w:topLinePunct/>
              <w:adjustRightInd w:val="0"/>
              <w:snapToGrid w:val="0"/>
              <w:spacing w:line="300" w:lineRule="exact"/>
              <w:rPr>
                <w:rFonts w:ascii="標楷體" w:eastAsia="標楷體" w:hAnsi="標楷體"/>
                <w:color w:val="000000" w:themeColor="text1"/>
                <w:kern w:val="0"/>
              </w:rPr>
            </w:pPr>
          </w:p>
        </w:tc>
        <w:tc>
          <w:tcPr>
            <w:tcW w:w="2054" w:type="dxa"/>
          </w:tcPr>
          <w:p w14:paraId="5DF651FC" w14:textId="77777777" w:rsidR="00EC13B7" w:rsidRPr="00BA2116" w:rsidRDefault="00EC13B7" w:rsidP="00E7497A">
            <w:pPr>
              <w:kinsoku w:val="0"/>
              <w:wordWrap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本會105.12.19</w:t>
            </w:r>
          </w:p>
          <w:p w14:paraId="4DB4091D" w14:textId="77777777" w:rsidR="00EC13B7" w:rsidRPr="00BA2116" w:rsidRDefault="00EC13B7" w:rsidP="00E7497A">
            <w:pPr>
              <w:kinsoku w:val="0"/>
              <w:wordWrap w:val="0"/>
              <w:adjustRightInd w:val="0"/>
              <w:snapToGrid w:val="0"/>
              <w:spacing w:line="300" w:lineRule="exact"/>
              <w:rPr>
                <w:rFonts w:ascii="標楷體" w:eastAsia="標楷體" w:hAnsi="標楷體"/>
                <w:color w:val="000000" w:themeColor="text1"/>
              </w:rPr>
            </w:pPr>
            <w:r w:rsidRPr="00BA2116">
              <w:rPr>
                <w:rFonts w:ascii="標楷體" w:eastAsia="標楷體" w:hAnsi="標楷體" w:hint="eastAsia"/>
                <w:color w:val="000000" w:themeColor="text1"/>
                <w:kern w:val="0"/>
              </w:rPr>
              <w:t>（9-2-22）審查完竣，須交由黨團協商。</w:t>
            </w:r>
          </w:p>
        </w:tc>
      </w:tr>
      <w:tr w:rsidR="00EC13B7" w:rsidRPr="00BA2116" w14:paraId="07832327" w14:textId="77777777" w:rsidTr="00EC13B7">
        <w:trPr>
          <w:jc w:val="center"/>
        </w:trPr>
        <w:tc>
          <w:tcPr>
            <w:tcW w:w="763" w:type="dxa"/>
          </w:tcPr>
          <w:p w14:paraId="200BC377" w14:textId="77777777" w:rsidR="00EC13B7" w:rsidRPr="00BA2116" w:rsidRDefault="00EC13B7" w:rsidP="00E7497A">
            <w:pPr>
              <w:kinsoku w:val="0"/>
              <w:topLinePunct/>
              <w:adjustRightInd w:val="0"/>
              <w:snapToGrid w:val="0"/>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2</w:t>
            </w:r>
          </w:p>
        </w:tc>
        <w:tc>
          <w:tcPr>
            <w:tcW w:w="1843" w:type="dxa"/>
          </w:tcPr>
          <w:p w14:paraId="7E567415" w14:textId="77777777" w:rsidR="00EC13B7" w:rsidRPr="00BA2116" w:rsidRDefault="00EC13B7"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司法院函送財團法人法律扶助基金會110年度預算書案。</w:t>
            </w:r>
          </w:p>
        </w:tc>
        <w:tc>
          <w:tcPr>
            <w:tcW w:w="1984" w:type="dxa"/>
          </w:tcPr>
          <w:p w14:paraId="55B05140" w14:textId="77777777" w:rsidR="00EC13B7" w:rsidRPr="00BA2116" w:rsidRDefault="00EC13B7"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 109.10.06</w:t>
            </w:r>
          </w:p>
          <w:p w14:paraId="6829D565" w14:textId="77777777" w:rsidR="00EC13B7" w:rsidRPr="00BA2116" w:rsidRDefault="00EC13B7"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（10-2-3）</w:t>
            </w:r>
          </w:p>
        </w:tc>
        <w:tc>
          <w:tcPr>
            <w:tcW w:w="1980" w:type="dxa"/>
          </w:tcPr>
          <w:p w14:paraId="27EC7908" w14:textId="77777777" w:rsidR="00EC13B7" w:rsidRPr="00BA2116" w:rsidRDefault="00EC13B7"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35EBEC9E" w14:textId="77777777" w:rsidR="00EC13B7" w:rsidRPr="00BA2116" w:rsidRDefault="00EC13B7"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蔡</w:t>
            </w:r>
            <w:r w:rsidRPr="00BA2116">
              <w:rPr>
                <w:rFonts w:ascii="標楷體" w:eastAsia="標楷體" w:hAnsi="標楷體"/>
                <w:color w:val="000000" w:themeColor="text1"/>
                <w:kern w:val="0"/>
              </w:rPr>
              <w:t>召集委員</w:t>
            </w:r>
            <w:r w:rsidRPr="00BA2116">
              <w:rPr>
                <w:rFonts w:ascii="標楷體" w:eastAsia="標楷體" w:hAnsi="標楷體" w:hint="eastAsia"/>
                <w:color w:val="000000" w:themeColor="text1"/>
                <w:kern w:val="0"/>
              </w:rPr>
              <w:t>易餘</w:t>
            </w:r>
          </w:p>
        </w:tc>
        <w:tc>
          <w:tcPr>
            <w:tcW w:w="2054" w:type="dxa"/>
          </w:tcPr>
          <w:p w14:paraId="36E13288" w14:textId="77777777" w:rsidR="00EC13B7" w:rsidRPr="00BA2116" w:rsidRDefault="00EC13B7" w:rsidP="00E7497A">
            <w:pPr>
              <w:kinsoku w:val="0"/>
              <w:wordWrap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本會109.11.9、</w:t>
            </w:r>
          </w:p>
          <w:p w14:paraId="785C49AB" w14:textId="77777777" w:rsidR="00EC13B7" w:rsidRPr="00BA2116" w:rsidRDefault="00EC13B7" w:rsidP="00E7497A">
            <w:pPr>
              <w:kinsoku w:val="0"/>
              <w:wordWrap w:val="0"/>
              <w:adjustRightInd w:val="0"/>
              <w:snapToGrid w:val="0"/>
              <w:spacing w:line="300" w:lineRule="exact"/>
              <w:rPr>
                <w:rFonts w:ascii="標楷體" w:eastAsia="標楷體" w:hAnsi="標楷體"/>
                <w:color w:val="000000" w:themeColor="text1"/>
              </w:rPr>
            </w:pPr>
            <w:r w:rsidRPr="00BA2116">
              <w:rPr>
                <w:rFonts w:ascii="標楷體" w:eastAsia="標楷體" w:hAnsi="標楷體" w:hint="eastAsia"/>
                <w:color w:val="000000" w:themeColor="text1"/>
                <w:kern w:val="0"/>
              </w:rPr>
              <w:t>109.11.11（10-2-10）審查完竣，須交由黨團協商。</w:t>
            </w:r>
          </w:p>
        </w:tc>
      </w:tr>
      <w:tr w:rsidR="00EC13B7" w:rsidRPr="00BA2116" w14:paraId="48824BCB" w14:textId="77777777" w:rsidTr="00EC13B7">
        <w:trPr>
          <w:jc w:val="center"/>
        </w:trPr>
        <w:tc>
          <w:tcPr>
            <w:tcW w:w="763" w:type="dxa"/>
          </w:tcPr>
          <w:p w14:paraId="4CE856B9" w14:textId="77777777" w:rsidR="00EC13B7" w:rsidRPr="00BA2116" w:rsidRDefault="00EC13B7" w:rsidP="00E7497A">
            <w:pPr>
              <w:kinsoku w:val="0"/>
              <w:topLinePunct/>
              <w:adjustRightInd w:val="0"/>
              <w:snapToGrid w:val="0"/>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3</w:t>
            </w:r>
          </w:p>
        </w:tc>
        <w:tc>
          <w:tcPr>
            <w:tcW w:w="1843" w:type="dxa"/>
          </w:tcPr>
          <w:p w14:paraId="0853E2F5" w14:textId="77777777" w:rsidR="00EC13B7" w:rsidRPr="00BA2116" w:rsidRDefault="00EC13B7"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司法院函送財團法人法律扶助基金會111年度預算書案。</w:t>
            </w:r>
          </w:p>
        </w:tc>
        <w:tc>
          <w:tcPr>
            <w:tcW w:w="1984" w:type="dxa"/>
          </w:tcPr>
          <w:p w14:paraId="15368C20" w14:textId="77777777" w:rsidR="00EC13B7" w:rsidRPr="00BA2116" w:rsidRDefault="00EC13B7"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110.09.24 </w:t>
            </w:r>
          </w:p>
          <w:p w14:paraId="68AA6729" w14:textId="77777777" w:rsidR="00EC13B7" w:rsidRPr="00BA2116" w:rsidRDefault="00EC13B7"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（10-4-2）</w:t>
            </w:r>
          </w:p>
        </w:tc>
        <w:tc>
          <w:tcPr>
            <w:tcW w:w="1980" w:type="dxa"/>
          </w:tcPr>
          <w:p w14:paraId="6C44914B" w14:textId="77777777" w:rsidR="00EC13B7" w:rsidRPr="00BA2116" w:rsidRDefault="00EC13B7"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1D86DEB0" w14:textId="77777777" w:rsidR="00EC13B7" w:rsidRPr="00BA2116" w:rsidRDefault="00EC13B7"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tc>
        <w:tc>
          <w:tcPr>
            <w:tcW w:w="2054" w:type="dxa"/>
          </w:tcPr>
          <w:p w14:paraId="5A19C3E7" w14:textId="77777777" w:rsidR="00EC13B7" w:rsidRPr="00BA2116" w:rsidRDefault="00EC13B7" w:rsidP="00E7497A">
            <w:pPr>
              <w:kinsoku w:val="0"/>
              <w:wordWrap w:val="0"/>
              <w:adjustRightInd w:val="0"/>
              <w:snapToGrid w:val="0"/>
              <w:spacing w:line="300" w:lineRule="exact"/>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本會</w:t>
            </w:r>
            <w:r w:rsidRPr="00BA2116">
              <w:rPr>
                <w:rFonts w:ascii="標楷體" w:eastAsia="標楷體" w:hAnsi="標楷體" w:hint="eastAsia"/>
                <w:color w:val="000000" w:themeColor="text1"/>
                <w:spacing w:val="-10"/>
                <w:kern w:val="0"/>
              </w:rPr>
              <w:t>110.12.1、</w:t>
            </w:r>
          </w:p>
          <w:p w14:paraId="297D5713" w14:textId="77777777" w:rsidR="00EC13B7" w:rsidRPr="00BA2116" w:rsidRDefault="00EC13B7" w:rsidP="00E7497A">
            <w:pPr>
              <w:kinsoku w:val="0"/>
              <w:wordWrap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spacing w:val="-10"/>
                <w:kern w:val="0"/>
              </w:rPr>
              <w:t>110.12.</w:t>
            </w:r>
            <w:r w:rsidRPr="00BA2116">
              <w:rPr>
                <w:rFonts w:ascii="標楷體" w:eastAsia="標楷體" w:hAnsi="標楷體" w:hint="eastAsia"/>
                <w:color w:val="000000" w:themeColor="text1"/>
                <w:kern w:val="0"/>
              </w:rPr>
              <w:t>2（10-4-17）審查完竣，須交由黨團協商。</w:t>
            </w:r>
          </w:p>
        </w:tc>
      </w:tr>
    </w:tbl>
    <w:p w14:paraId="0F90D443" w14:textId="77777777" w:rsidR="00CB417E" w:rsidRDefault="00CB417E" w:rsidP="007932B9">
      <w:pPr>
        <w:pStyle w:val="1"/>
        <w:kinsoku w:val="0"/>
        <w:wordWrap w:val="0"/>
        <w:topLinePunct/>
        <w:snapToGrid w:val="0"/>
        <w:spacing w:beforeLines="100" w:before="360" w:afterLines="50" w:after="180" w:line="520" w:lineRule="exact"/>
        <w:jc w:val="left"/>
        <w:textAlignment w:val="top"/>
        <w:rPr>
          <w:rFonts w:ascii="標楷體" w:hAnsi="標楷體"/>
          <w:color w:val="000000" w:themeColor="text1"/>
          <w:szCs w:val="28"/>
        </w:rPr>
        <w:sectPr w:rsidR="00CB417E" w:rsidSect="00EC13B7">
          <w:footerReference w:type="even" r:id="rId12"/>
          <w:footerReference w:type="default" r:id="rId13"/>
          <w:pgSz w:w="11906" w:h="16838" w:code="9"/>
          <w:pgMar w:top="993" w:right="1701" w:bottom="1134" w:left="1701" w:header="851" w:footer="992" w:gutter="0"/>
          <w:cols w:space="425"/>
          <w:docGrid w:type="lines" w:linePitch="360"/>
        </w:sectPr>
      </w:pPr>
      <w:bookmarkStart w:id="236" w:name="_Toc510167673"/>
      <w:bookmarkStart w:id="237" w:name="_Toc1401054"/>
      <w:bookmarkStart w:id="238" w:name="_Toc96350520"/>
      <w:bookmarkEnd w:id="234"/>
      <w:bookmarkEnd w:id="235"/>
    </w:p>
    <w:p w14:paraId="37B74F5C" w14:textId="5ACD4304" w:rsidR="00EC13B7" w:rsidRPr="00026143" w:rsidRDefault="00EC13B7" w:rsidP="007932B9">
      <w:pPr>
        <w:pStyle w:val="1"/>
        <w:kinsoku w:val="0"/>
        <w:wordWrap w:val="0"/>
        <w:topLinePunct/>
        <w:snapToGrid w:val="0"/>
        <w:spacing w:beforeLines="100" w:before="360" w:afterLines="50" w:after="180" w:line="520" w:lineRule="exact"/>
        <w:jc w:val="left"/>
        <w:textAlignment w:val="top"/>
        <w:rPr>
          <w:rFonts w:ascii="標楷體" w:hAnsi="標楷體"/>
          <w:color w:val="000000" w:themeColor="text1"/>
          <w:szCs w:val="28"/>
        </w:rPr>
      </w:pPr>
      <w:r w:rsidRPr="00026143">
        <w:rPr>
          <w:rFonts w:ascii="標楷體" w:hAnsi="標楷體" w:hint="eastAsia"/>
          <w:color w:val="000000" w:themeColor="text1"/>
          <w:szCs w:val="28"/>
        </w:rPr>
        <w:lastRenderedPageBreak/>
        <w:t>陸</w:t>
      </w:r>
      <w:r w:rsidRPr="00026143">
        <w:rPr>
          <w:rFonts w:ascii="標楷體" w:hAnsi="標楷體"/>
          <w:color w:val="000000" w:themeColor="text1"/>
          <w:szCs w:val="28"/>
        </w:rPr>
        <w:t>、本會待</w:t>
      </w:r>
      <w:r w:rsidRPr="00026143">
        <w:rPr>
          <w:rFonts w:ascii="標楷體" w:hAnsi="標楷體" w:hint="eastAsia"/>
          <w:color w:val="000000" w:themeColor="text1"/>
        </w:rPr>
        <w:t>（</w:t>
      </w:r>
      <w:r w:rsidRPr="00026143">
        <w:rPr>
          <w:rFonts w:ascii="標楷體" w:hAnsi="標楷體"/>
          <w:color w:val="000000" w:themeColor="text1"/>
        </w:rPr>
        <w:t>繼續</w:t>
      </w:r>
      <w:r w:rsidRPr="00026143">
        <w:rPr>
          <w:rFonts w:ascii="標楷體" w:hAnsi="標楷體" w:hint="eastAsia"/>
          <w:color w:val="000000" w:themeColor="text1"/>
        </w:rPr>
        <w:t>）</w:t>
      </w:r>
      <w:r w:rsidRPr="00026143">
        <w:rPr>
          <w:rFonts w:ascii="標楷體" w:hAnsi="標楷體"/>
          <w:color w:val="000000" w:themeColor="text1"/>
          <w:szCs w:val="28"/>
        </w:rPr>
        <w:t>審查之議案</w:t>
      </w:r>
      <w:r w:rsidRPr="00026143">
        <w:rPr>
          <w:rFonts w:ascii="標楷體" w:hAnsi="標楷體" w:hint="eastAsia"/>
          <w:color w:val="000000" w:themeColor="text1"/>
          <w:szCs w:val="28"/>
        </w:rPr>
        <w:t>1</w:t>
      </w:r>
      <w:r w:rsidRPr="00026143">
        <w:rPr>
          <w:rFonts w:ascii="標楷體" w:hAnsi="標楷體"/>
          <w:color w:val="000000" w:themeColor="text1"/>
          <w:szCs w:val="28"/>
        </w:rPr>
        <w:t>,</w:t>
      </w:r>
      <w:r w:rsidRPr="00026143">
        <w:rPr>
          <w:rFonts w:ascii="標楷體" w:hAnsi="標楷體" w:hint="eastAsia"/>
          <w:color w:val="000000" w:themeColor="text1"/>
          <w:szCs w:val="28"/>
        </w:rPr>
        <w:t>236</w:t>
      </w:r>
      <w:r w:rsidRPr="00026143">
        <w:rPr>
          <w:rFonts w:ascii="標楷體" w:hAnsi="標楷體"/>
          <w:color w:val="000000" w:themeColor="text1"/>
          <w:szCs w:val="28"/>
        </w:rPr>
        <w:t>案</w:t>
      </w:r>
      <w:bookmarkEnd w:id="236"/>
      <w:bookmarkEnd w:id="237"/>
      <w:bookmarkEnd w:id="238"/>
    </w:p>
    <w:p w14:paraId="0E6C5990" w14:textId="77777777" w:rsidR="00EC13B7" w:rsidRPr="00026143" w:rsidRDefault="00EC13B7" w:rsidP="008C5896">
      <w:pPr>
        <w:pStyle w:val="-f1"/>
        <w:tabs>
          <w:tab w:val="left" w:pos="4395"/>
        </w:tabs>
        <w:kinsoku w:val="0"/>
        <w:topLinePunct/>
        <w:spacing w:before="180" w:after="180" w:line="400" w:lineRule="exact"/>
        <w:ind w:leftChars="128" w:left="307" w:firstLine="567"/>
        <w:textAlignment w:val="top"/>
        <w:outlineLvl w:val="9"/>
        <w:rPr>
          <w:rFonts w:ascii="標楷體" w:hAnsi="標楷體"/>
          <w:b w:val="0"/>
          <w:color w:val="000000" w:themeColor="text1"/>
          <w:sz w:val="28"/>
          <w:szCs w:val="28"/>
        </w:rPr>
      </w:pPr>
      <w:bookmarkStart w:id="239" w:name="_Toc510167674"/>
      <w:r w:rsidRPr="00026143">
        <w:rPr>
          <w:rFonts w:ascii="標楷體" w:hAnsi="標楷體"/>
          <w:b w:val="0"/>
          <w:color w:val="000000" w:themeColor="text1"/>
          <w:sz w:val="28"/>
          <w:szCs w:val="28"/>
        </w:rPr>
        <w:t>院會交付本會尚待(繼續)本會審查、處理之法律案</w:t>
      </w:r>
      <w:r w:rsidRPr="00026143">
        <w:rPr>
          <w:rFonts w:ascii="標楷體" w:hAnsi="標楷體" w:hint="eastAsia"/>
          <w:b w:val="0"/>
          <w:color w:val="000000" w:themeColor="text1"/>
          <w:sz w:val="28"/>
          <w:szCs w:val="28"/>
        </w:rPr>
        <w:t>9</w:t>
      </w:r>
      <w:r w:rsidRPr="00026143">
        <w:rPr>
          <w:rFonts w:ascii="標楷體" w:hAnsi="標楷體"/>
          <w:b w:val="0"/>
          <w:color w:val="000000" w:themeColor="text1"/>
          <w:sz w:val="28"/>
          <w:szCs w:val="28"/>
        </w:rPr>
        <w:t>27案</w:t>
      </w:r>
      <w:r w:rsidRPr="00026143">
        <w:rPr>
          <w:rFonts w:ascii="標楷體" w:hAnsi="標楷體" w:hint="eastAsia"/>
          <w:b w:val="0"/>
          <w:color w:val="000000" w:themeColor="text1"/>
          <w:sz w:val="28"/>
          <w:szCs w:val="28"/>
        </w:rPr>
        <w:t>(組織法2</w:t>
      </w:r>
      <w:r w:rsidRPr="00026143">
        <w:rPr>
          <w:rFonts w:ascii="標楷體" w:hAnsi="標楷體"/>
          <w:b w:val="0"/>
          <w:color w:val="000000" w:themeColor="text1"/>
          <w:sz w:val="28"/>
          <w:szCs w:val="28"/>
        </w:rPr>
        <w:t>75</w:t>
      </w:r>
      <w:r w:rsidRPr="00026143">
        <w:rPr>
          <w:rFonts w:ascii="標楷體" w:hAnsi="標楷體" w:hint="eastAsia"/>
          <w:b w:val="0"/>
          <w:color w:val="000000" w:themeColor="text1"/>
          <w:sz w:val="28"/>
          <w:szCs w:val="28"/>
        </w:rPr>
        <w:t>案、作用法6</w:t>
      </w:r>
      <w:r w:rsidRPr="00026143">
        <w:rPr>
          <w:rFonts w:ascii="標楷體" w:hAnsi="標楷體"/>
          <w:b w:val="0"/>
          <w:color w:val="000000" w:themeColor="text1"/>
          <w:sz w:val="28"/>
          <w:szCs w:val="28"/>
        </w:rPr>
        <w:t>52</w:t>
      </w:r>
      <w:r w:rsidRPr="00026143">
        <w:rPr>
          <w:rFonts w:ascii="標楷體" w:hAnsi="標楷體" w:hint="eastAsia"/>
          <w:b w:val="0"/>
          <w:color w:val="000000" w:themeColor="text1"/>
          <w:sz w:val="28"/>
          <w:szCs w:val="28"/>
        </w:rPr>
        <w:t>案)</w:t>
      </w:r>
      <w:r w:rsidRPr="00026143">
        <w:rPr>
          <w:rFonts w:ascii="標楷體" w:hAnsi="標楷體"/>
          <w:b w:val="0"/>
          <w:color w:val="000000" w:themeColor="text1"/>
          <w:sz w:val="28"/>
          <w:szCs w:val="28"/>
        </w:rPr>
        <w:t>、預</w:t>
      </w:r>
      <w:r w:rsidRPr="00026143">
        <w:rPr>
          <w:rFonts w:ascii="標楷體" w:hAnsi="標楷體" w:hint="eastAsia"/>
          <w:b w:val="0"/>
          <w:color w:val="000000" w:themeColor="text1"/>
          <w:sz w:val="28"/>
          <w:szCs w:val="28"/>
        </w:rPr>
        <w:t>（</w:t>
      </w:r>
      <w:r w:rsidRPr="00026143">
        <w:rPr>
          <w:rFonts w:ascii="標楷體" w:hAnsi="標楷體"/>
          <w:b w:val="0"/>
          <w:color w:val="000000" w:themeColor="text1"/>
          <w:sz w:val="28"/>
          <w:szCs w:val="28"/>
        </w:rPr>
        <w:t>決</w:t>
      </w:r>
      <w:r w:rsidRPr="00026143">
        <w:rPr>
          <w:rFonts w:ascii="標楷體" w:hAnsi="標楷體" w:hint="eastAsia"/>
          <w:b w:val="0"/>
          <w:color w:val="000000" w:themeColor="text1"/>
          <w:sz w:val="28"/>
          <w:szCs w:val="28"/>
        </w:rPr>
        <w:t>）</w:t>
      </w:r>
      <w:r w:rsidRPr="00026143">
        <w:rPr>
          <w:rFonts w:ascii="標楷體" w:hAnsi="標楷體"/>
          <w:b w:val="0"/>
          <w:color w:val="000000" w:themeColor="text1"/>
          <w:sz w:val="28"/>
          <w:szCs w:val="28"/>
        </w:rPr>
        <w:t>算案</w:t>
      </w:r>
      <w:r w:rsidRPr="00026143">
        <w:rPr>
          <w:rFonts w:ascii="標楷體" w:hAnsi="標楷體" w:hint="eastAsia"/>
          <w:b w:val="0"/>
          <w:color w:val="000000" w:themeColor="text1"/>
          <w:sz w:val="28"/>
          <w:szCs w:val="28"/>
        </w:rPr>
        <w:t>2</w:t>
      </w:r>
      <w:r w:rsidRPr="00026143">
        <w:rPr>
          <w:rFonts w:ascii="標楷體" w:hAnsi="標楷體"/>
          <w:b w:val="0"/>
          <w:color w:val="000000" w:themeColor="text1"/>
          <w:sz w:val="28"/>
          <w:szCs w:val="28"/>
        </w:rPr>
        <w:t>02案、行政命令案</w:t>
      </w:r>
      <w:r w:rsidRPr="00026143">
        <w:rPr>
          <w:rFonts w:ascii="標楷體" w:hAnsi="標楷體" w:hint="eastAsia"/>
          <w:b w:val="0"/>
          <w:color w:val="000000" w:themeColor="text1"/>
          <w:sz w:val="28"/>
          <w:szCs w:val="28"/>
        </w:rPr>
        <w:t>3</w:t>
      </w:r>
      <w:r w:rsidRPr="00026143">
        <w:rPr>
          <w:rFonts w:ascii="標楷體" w:hAnsi="標楷體"/>
          <w:b w:val="0"/>
          <w:color w:val="000000" w:themeColor="text1"/>
          <w:sz w:val="28"/>
          <w:szCs w:val="28"/>
        </w:rPr>
        <w:t>0案、立法院內規</w:t>
      </w:r>
      <w:r w:rsidRPr="00026143">
        <w:rPr>
          <w:rFonts w:ascii="標楷體" w:hAnsi="標楷體" w:hint="eastAsia"/>
          <w:b w:val="0"/>
          <w:color w:val="000000" w:themeColor="text1"/>
          <w:sz w:val="28"/>
          <w:szCs w:val="28"/>
        </w:rPr>
        <w:t>5</w:t>
      </w:r>
      <w:r w:rsidRPr="00026143">
        <w:rPr>
          <w:rFonts w:ascii="標楷體" w:hAnsi="標楷體"/>
          <w:b w:val="0"/>
          <w:color w:val="000000" w:themeColor="text1"/>
          <w:sz w:val="28"/>
          <w:szCs w:val="28"/>
        </w:rPr>
        <w:t>案、其他議案</w:t>
      </w:r>
      <w:r w:rsidRPr="00026143">
        <w:rPr>
          <w:rFonts w:ascii="標楷體" w:hAnsi="標楷體" w:hint="eastAsia"/>
          <w:b w:val="0"/>
          <w:color w:val="000000" w:themeColor="text1"/>
          <w:sz w:val="28"/>
          <w:szCs w:val="28"/>
        </w:rPr>
        <w:t>1</w:t>
      </w:r>
      <w:r w:rsidRPr="00026143">
        <w:rPr>
          <w:rFonts w:ascii="標楷體" w:hAnsi="標楷體"/>
          <w:b w:val="0"/>
          <w:color w:val="000000" w:themeColor="text1"/>
          <w:sz w:val="28"/>
          <w:szCs w:val="28"/>
        </w:rPr>
        <w:t>7案</w:t>
      </w:r>
      <w:r w:rsidRPr="00026143">
        <w:rPr>
          <w:rFonts w:ascii="標楷體" w:hAnsi="標楷體" w:hint="eastAsia"/>
          <w:b w:val="0"/>
          <w:color w:val="000000" w:themeColor="text1"/>
          <w:sz w:val="28"/>
          <w:szCs w:val="28"/>
        </w:rPr>
        <w:t>及人民請願案55案</w:t>
      </w:r>
      <w:r w:rsidRPr="00026143">
        <w:rPr>
          <w:rFonts w:ascii="標楷體" w:hAnsi="標楷體"/>
          <w:b w:val="0"/>
          <w:color w:val="000000" w:themeColor="text1"/>
          <w:sz w:val="28"/>
          <w:szCs w:val="28"/>
        </w:rPr>
        <w:t>，合計</w:t>
      </w:r>
      <w:r w:rsidRPr="008736D6">
        <w:rPr>
          <w:rFonts w:ascii="標楷體" w:hAnsi="標楷體" w:hint="eastAsia"/>
          <w:b w:val="0"/>
          <w:color w:val="000000" w:themeColor="text1"/>
          <w:sz w:val="28"/>
          <w:szCs w:val="28"/>
        </w:rPr>
        <w:t>1</w:t>
      </w:r>
      <w:r w:rsidRPr="008736D6">
        <w:rPr>
          <w:rFonts w:ascii="標楷體" w:hAnsi="標楷體"/>
          <w:b w:val="0"/>
          <w:color w:val="000000" w:themeColor="text1"/>
          <w:sz w:val="28"/>
          <w:szCs w:val="28"/>
        </w:rPr>
        <w:t>,</w:t>
      </w:r>
      <w:r w:rsidRPr="008736D6">
        <w:rPr>
          <w:rFonts w:ascii="標楷體" w:hAnsi="標楷體" w:hint="eastAsia"/>
          <w:b w:val="0"/>
          <w:color w:val="000000" w:themeColor="text1"/>
          <w:sz w:val="28"/>
          <w:szCs w:val="28"/>
        </w:rPr>
        <w:t>236</w:t>
      </w:r>
      <w:r w:rsidRPr="00026143">
        <w:rPr>
          <w:rFonts w:ascii="標楷體" w:hAnsi="標楷體"/>
          <w:b w:val="0"/>
          <w:color w:val="000000" w:themeColor="text1"/>
          <w:sz w:val="28"/>
          <w:szCs w:val="28"/>
        </w:rPr>
        <w:t>案，均詳如下列各表：</w:t>
      </w:r>
      <w:bookmarkEnd w:id="239"/>
    </w:p>
    <w:p w14:paraId="6DB49452" w14:textId="77777777" w:rsidR="00EC13B7" w:rsidRPr="00026143" w:rsidRDefault="00EC13B7" w:rsidP="007932B9">
      <w:pPr>
        <w:pStyle w:val="-f3"/>
        <w:kinsoku w:val="0"/>
        <w:wordWrap w:val="0"/>
        <w:topLinePunct/>
        <w:spacing w:beforeLines="150" w:before="540" w:after="180" w:line="260" w:lineRule="exact"/>
        <w:jc w:val="left"/>
        <w:textAlignment w:val="top"/>
        <w:rPr>
          <w:rFonts w:ascii="標楷體" w:hAnsi="標楷體"/>
          <w:color w:val="000000" w:themeColor="text1"/>
          <w:szCs w:val="28"/>
        </w:rPr>
      </w:pPr>
      <w:bookmarkStart w:id="240" w:name="_Toc351131485"/>
      <w:bookmarkStart w:id="241" w:name="_Toc350521148"/>
      <w:bookmarkStart w:id="242" w:name="_Toc350245059"/>
      <w:bookmarkStart w:id="243" w:name="_Toc346096258"/>
      <w:bookmarkStart w:id="244" w:name="_Toc344483000"/>
      <w:bookmarkStart w:id="245" w:name="_Toc343693197"/>
      <w:bookmarkStart w:id="246" w:name="_Toc342925421"/>
      <w:bookmarkStart w:id="247" w:name="_Toc342405350"/>
      <w:bookmarkStart w:id="248" w:name="_Toc341866872"/>
      <w:bookmarkStart w:id="249" w:name="_Toc341187102"/>
      <w:bookmarkStart w:id="250" w:name="_Toc340610969"/>
      <w:bookmarkStart w:id="251" w:name="_Toc327367279"/>
      <w:bookmarkStart w:id="252" w:name="_Toc328150076"/>
      <w:bookmarkStart w:id="253" w:name="_Toc333246338"/>
      <w:bookmarkStart w:id="254" w:name="_Toc336248592"/>
      <w:bookmarkStart w:id="255" w:name="_Toc337039707"/>
      <w:bookmarkStart w:id="256" w:name="_Toc337039819"/>
      <w:bookmarkStart w:id="257" w:name="_Toc337040833"/>
      <w:bookmarkStart w:id="258" w:name="_Toc338150503"/>
      <w:bookmarkStart w:id="259" w:name="_Toc338767524"/>
      <w:bookmarkStart w:id="260" w:name="_Toc339459236"/>
      <w:bookmarkStart w:id="261" w:name="_Toc339894276"/>
      <w:bookmarkStart w:id="262" w:name="_Toc352054384"/>
      <w:bookmarkStart w:id="263" w:name="_Toc352591156"/>
      <w:bookmarkStart w:id="264" w:name="_Toc353357977"/>
      <w:bookmarkStart w:id="265" w:name="_Toc354409928"/>
      <w:bookmarkStart w:id="266" w:name="_Toc355012901"/>
      <w:bookmarkStart w:id="267" w:name="_Toc355708554"/>
      <w:bookmarkStart w:id="268" w:name="_Toc356398149"/>
      <w:bookmarkStart w:id="269" w:name="_Toc356919245"/>
      <w:bookmarkStart w:id="270" w:name="_Toc357670167"/>
      <w:bookmarkStart w:id="271" w:name="_Toc361217324"/>
      <w:bookmarkStart w:id="272" w:name="_Toc362968384"/>
      <w:bookmarkStart w:id="273" w:name="_Toc428286952"/>
      <w:bookmarkStart w:id="274" w:name="_Toc510167675"/>
      <w:bookmarkStart w:id="275" w:name="_Toc1401055"/>
      <w:bookmarkStart w:id="276" w:name="_Toc96350521"/>
      <w:r w:rsidRPr="00026143">
        <w:rPr>
          <w:rFonts w:ascii="標楷體" w:hAnsi="標楷體"/>
          <w:color w:val="000000" w:themeColor="text1"/>
          <w:szCs w:val="28"/>
        </w:rPr>
        <w:t>〔壹〕法律案</w:t>
      </w:r>
      <w:r w:rsidRPr="00026143">
        <w:rPr>
          <w:rFonts w:ascii="標楷體" w:hAnsi="標楷體" w:hint="eastAsia"/>
          <w:color w:val="000000" w:themeColor="text1"/>
          <w:szCs w:val="28"/>
        </w:rPr>
        <w:t>9</w:t>
      </w:r>
      <w:r w:rsidRPr="00026143">
        <w:rPr>
          <w:rFonts w:ascii="標楷體" w:hAnsi="標楷體"/>
          <w:color w:val="000000" w:themeColor="text1"/>
          <w:szCs w:val="28"/>
        </w:rPr>
        <w:t>27案</w:t>
      </w:r>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p>
    <w:p w14:paraId="43AAF1AB" w14:textId="77777777" w:rsidR="00EC13B7" w:rsidRPr="00026143" w:rsidRDefault="00EC13B7" w:rsidP="007932B9">
      <w:pPr>
        <w:pStyle w:val="afffffc"/>
        <w:kinsoku w:val="0"/>
        <w:wordWrap w:val="0"/>
        <w:topLinePunct/>
        <w:spacing w:beforeLines="100" w:before="360" w:afterLines="100" w:after="360" w:line="260" w:lineRule="exact"/>
        <w:ind w:left="851"/>
        <w:jc w:val="left"/>
        <w:textAlignment w:val="top"/>
        <w:rPr>
          <w:color w:val="000000" w:themeColor="text1"/>
          <w:szCs w:val="28"/>
        </w:rPr>
      </w:pPr>
      <w:bookmarkStart w:id="277" w:name="_Toc361217325"/>
      <w:bookmarkStart w:id="278" w:name="_Toc362968385"/>
      <w:bookmarkStart w:id="279" w:name="_Toc428286953"/>
      <w:bookmarkStart w:id="280" w:name="_Toc510167676"/>
      <w:bookmarkStart w:id="281" w:name="_Toc1401056"/>
      <w:bookmarkStart w:id="282" w:name="_Toc96350522"/>
      <w:r w:rsidRPr="00026143">
        <w:rPr>
          <w:color w:val="000000" w:themeColor="text1"/>
          <w:szCs w:val="28"/>
        </w:rPr>
        <w:t>一、組織法</w:t>
      </w:r>
      <w:r w:rsidRPr="00026143">
        <w:rPr>
          <w:rFonts w:hint="eastAsia"/>
          <w:color w:val="000000" w:themeColor="text1"/>
          <w:szCs w:val="28"/>
        </w:rPr>
        <w:t>2</w:t>
      </w:r>
      <w:r w:rsidRPr="00026143">
        <w:rPr>
          <w:color w:val="000000" w:themeColor="text1"/>
          <w:szCs w:val="28"/>
        </w:rPr>
        <w:t>75案</w:t>
      </w:r>
      <w:bookmarkEnd w:id="277"/>
      <w:bookmarkEnd w:id="278"/>
      <w:bookmarkEnd w:id="279"/>
      <w:bookmarkEnd w:id="280"/>
      <w:bookmarkEnd w:id="281"/>
      <w:bookmarkEnd w:id="282"/>
    </w:p>
    <w:p w14:paraId="10060BE9"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283" w:name="_Toc361217326"/>
      <w:bookmarkStart w:id="284" w:name="_Toc362968386"/>
      <w:bookmarkStart w:id="285" w:name="_Toc428286954"/>
      <w:bookmarkStart w:id="286" w:name="_Toc510167677"/>
      <w:bookmarkStart w:id="287" w:name="_Toc1401057"/>
      <w:bookmarkStart w:id="288" w:name="_Toc96350523"/>
      <w:r w:rsidRPr="00026143">
        <w:rPr>
          <w:color w:val="000000" w:themeColor="text1"/>
        </w:rPr>
        <w:t>（一）總統府（含國家安全會議）</w:t>
      </w:r>
      <w:r w:rsidRPr="00026143">
        <w:rPr>
          <w:rFonts w:hint="eastAsia"/>
          <w:color w:val="000000" w:themeColor="text1"/>
        </w:rPr>
        <w:t>6</w:t>
      </w:r>
      <w:r w:rsidRPr="00026143">
        <w:rPr>
          <w:color w:val="000000" w:themeColor="text1"/>
        </w:rPr>
        <w:t>案</w:t>
      </w:r>
      <w:bookmarkEnd w:id="283"/>
      <w:bookmarkEnd w:id="284"/>
      <w:bookmarkEnd w:id="285"/>
      <w:bookmarkEnd w:id="286"/>
      <w:bookmarkEnd w:id="287"/>
      <w:bookmarkEnd w:id="288"/>
    </w:p>
    <w:tbl>
      <w:tblPr>
        <w:tblW w:w="861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18"/>
        <w:gridCol w:w="3076"/>
        <w:gridCol w:w="2043"/>
        <w:gridCol w:w="1554"/>
        <w:gridCol w:w="1422"/>
      </w:tblGrid>
      <w:tr w:rsidR="00EC13B7" w:rsidRPr="00026143" w14:paraId="187A4400" w14:textId="77777777" w:rsidTr="007932B9">
        <w:trPr>
          <w:jc w:val="center"/>
        </w:trPr>
        <w:tc>
          <w:tcPr>
            <w:tcW w:w="518" w:type="dxa"/>
            <w:shd w:val="clear" w:color="auto" w:fill="auto"/>
          </w:tcPr>
          <w:p w14:paraId="53039481"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3076" w:type="dxa"/>
            <w:shd w:val="clear" w:color="auto" w:fill="auto"/>
          </w:tcPr>
          <w:p w14:paraId="4B64EECE" w14:textId="77777777" w:rsidR="00EC13B7" w:rsidRPr="00026143" w:rsidRDefault="00EC13B7" w:rsidP="00C10740">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043" w:type="dxa"/>
            <w:shd w:val="clear" w:color="auto" w:fill="auto"/>
          </w:tcPr>
          <w:p w14:paraId="7A2A3BC9"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41447DE3"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7B9E4EA5"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554" w:type="dxa"/>
            <w:shd w:val="clear" w:color="auto" w:fill="auto"/>
          </w:tcPr>
          <w:p w14:paraId="033C0056"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422" w:type="dxa"/>
            <w:shd w:val="clear" w:color="auto" w:fill="auto"/>
          </w:tcPr>
          <w:p w14:paraId="2FE5A867"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FE2256E" w14:textId="77777777" w:rsidTr="007932B9">
        <w:trPr>
          <w:jc w:val="center"/>
        </w:trPr>
        <w:tc>
          <w:tcPr>
            <w:tcW w:w="518" w:type="dxa"/>
            <w:shd w:val="clear" w:color="auto" w:fill="auto"/>
          </w:tcPr>
          <w:p w14:paraId="258F708B" w14:textId="77777777" w:rsidR="00EC13B7" w:rsidRPr="00026143" w:rsidRDefault="00EC13B7" w:rsidP="007932B9">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w:t>
            </w:r>
          </w:p>
        </w:tc>
        <w:tc>
          <w:tcPr>
            <w:tcW w:w="3076" w:type="dxa"/>
            <w:shd w:val="clear" w:color="auto" w:fill="auto"/>
          </w:tcPr>
          <w:p w14:paraId="0ADD5559" w14:textId="77777777" w:rsidR="00EC13B7" w:rsidRPr="00026143" w:rsidRDefault="00EC13B7" w:rsidP="00C10740">
            <w:pPr>
              <w:kinsoku w:val="0"/>
              <w:wordWrap w:val="0"/>
              <w:topLinePunct/>
              <w:spacing w:line="300" w:lineRule="exact"/>
              <w:ind w:leftChars="50" w:left="120"/>
              <w:jc w:val="both"/>
              <w:rPr>
                <w:rFonts w:ascii="標楷體" w:eastAsia="標楷體" w:hAnsi="標楷體"/>
                <w:color w:val="000000" w:themeColor="text1"/>
              </w:rPr>
            </w:pPr>
            <w:r w:rsidRPr="00026143">
              <w:rPr>
                <w:rFonts w:ascii="標楷體" w:eastAsia="標楷體" w:hAnsi="標楷體" w:hint="eastAsia"/>
                <w:color w:val="000000" w:themeColor="text1"/>
              </w:rPr>
              <w:t>1.廢止「國父陵園管理委員會組織條例」（廢止重點：為配合中華民國總統府組織法第十七條修正草案刪除不合時宜且實際未成立的國父陵園管理委員會，爰廢止本條例。）</w:t>
            </w:r>
          </w:p>
        </w:tc>
        <w:tc>
          <w:tcPr>
            <w:tcW w:w="2043" w:type="dxa"/>
            <w:shd w:val="clear" w:color="auto" w:fill="auto"/>
          </w:tcPr>
          <w:p w14:paraId="681FEA6E"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委員賴品妤</w:t>
            </w:r>
          </w:p>
          <w:p w14:paraId="2B717985"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等16人</w:t>
            </w:r>
          </w:p>
          <w:p w14:paraId="3B4FAAF3"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109.04.24 </w:t>
            </w:r>
          </w:p>
          <w:p w14:paraId="7A5DF8A0"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（10-1-10）</w:t>
            </w:r>
          </w:p>
        </w:tc>
        <w:tc>
          <w:tcPr>
            <w:tcW w:w="1554" w:type="dxa"/>
            <w:shd w:val="clear" w:color="auto" w:fill="auto"/>
          </w:tcPr>
          <w:p w14:paraId="021815DA"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422" w:type="dxa"/>
            <w:shd w:val="clear" w:color="auto" w:fill="auto"/>
          </w:tcPr>
          <w:p w14:paraId="710B0C42"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66D4F25" w14:textId="77777777" w:rsidTr="007932B9">
        <w:trPr>
          <w:jc w:val="center"/>
        </w:trPr>
        <w:tc>
          <w:tcPr>
            <w:tcW w:w="518" w:type="dxa"/>
            <w:shd w:val="clear" w:color="auto" w:fill="auto"/>
          </w:tcPr>
          <w:p w14:paraId="31C2DBA2" w14:textId="77777777" w:rsidR="00EC13B7" w:rsidRPr="00026143" w:rsidRDefault="00EC13B7" w:rsidP="007932B9">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2</w:t>
            </w:r>
          </w:p>
        </w:tc>
        <w:tc>
          <w:tcPr>
            <w:tcW w:w="3076" w:type="dxa"/>
            <w:shd w:val="clear" w:color="auto" w:fill="auto"/>
          </w:tcPr>
          <w:p w14:paraId="1B709432" w14:textId="77777777" w:rsidR="00EC13B7" w:rsidRPr="00026143" w:rsidRDefault="00EC13B7" w:rsidP="00C10740">
            <w:pPr>
              <w:kinsoku w:val="0"/>
              <w:wordWrap w:val="0"/>
              <w:topLinePunct/>
              <w:spacing w:line="300" w:lineRule="exact"/>
              <w:ind w:leftChars="50" w:left="120"/>
              <w:jc w:val="both"/>
              <w:rPr>
                <w:rFonts w:ascii="標楷體" w:eastAsia="標楷體" w:hAnsi="標楷體"/>
                <w:color w:val="000000" w:themeColor="text1"/>
              </w:rPr>
            </w:pPr>
            <w:r w:rsidRPr="00026143">
              <w:rPr>
                <w:rFonts w:ascii="標楷體" w:eastAsia="標楷體" w:hAnsi="標楷體" w:hint="eastAsia"/>
                <w:color w:val="000000" w:themeColor="text1"/>
              </w:rPr>
              <w:t>2.廢止「國父陵園管理委員會組織條例」（廢止重點：為實現「轉型正義」之理念，應屏除「陵園」此種帝王意涵的封建、專制思維下的產物，爰廢止本條例。）</w:t>
            </w:r>
          </w:p>
        </w:tc>
        <w:tc>
          <w:tcPr>
            <w:tcW w:w="2043" w:type="dxa"/>
            <w:shd w:val="clear" w:color="auto" w:fill="auto"/>
          </w:tcPr>
          <w:p w14:paraId="48F1FA6F"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委員林俊憲</w:t>
            </w:r>
          </w:p>
          <w:p w14:paraId="06215DFA"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491EF7A4"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109.05.29 </w:t>
            </w:r>
          </w:p>
          <w:p w14:paraId="440F34C8"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（10-1-15）</w:t>
            </w:r>
          </w:p>
        </w:tc>
        <w:tc>
          <w:tcPr>
            <w:tcW w:w="1554" w:type="dxa"/>
            <w:shd w:val="clear" w:color="auto" w:fill="auto"/>
          </w:tcPr>
          <w:p w14:paraId="1668AD35"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422" w:type="dxa"/>
            <w:shd w:val="clear" w:color="auto" w:fill="auto"/>
          </w:tcPr>
          <w:p w14:paraId="48C987D8"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9BC4D70" w14:textId="77777777" w:rsidTr="007932B9">
        <w:trPr>
          <w:jc w:val="center"/>
        </w:trPr>
        <w:tc>
          <w:tcPr>
            <w:tcW w:w="518" w:type="dxa"/>
            <w:shd w:val="clear" w:color="auto" w:fill="auto"/>
          </w:tcPr>
          <w:p w14:paraId="5A822AF0" w14:textId="77777777" w:rsidR="00EC13B7" w:rsidRPr="00026143" w:rsidRDefault="00EC13B7" w:rsidP="007932B9">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3</w:t>
            </w:r>
          </w:p>
        </w:tc>
        <w:tc>
          <w:tcPr>
            <w:tcW w:w="3076" w:type="dxa"/>
            <w:shd w:val="clear" w:color="auto" w:fill="auto"/>
          </w:tcPr>
          <w:p w14:paraId="4EB613A0" w14:textId="77777777" w:rsidR="00EC13B7" w:rsidRPr="00026143" w:rsidRDefault="00EC13B7" w:rsidP="00C10740">
            <w:pPr>
              <w:kinsoku w:val="0"/>
              <w:wordWrap w:val="0"/>
              <w:topLinePunct/>
              <w:spacing w:line="300" w:lineRule="exact"/>
              <w:ind w:leftChars="50" w:left="120"/>
              <w:jc w:val="both"/>
              <w:rPr>
                <w:rFonts w:ascii="標楷體" w:eastAsia="標楷體" w:hAnsi="標楷體"/>
                <w:color w:val="000000" w:themeColor="text1"/>
              </w:rPr>
            </w:pPr>
            <w:r w:rsidRPr="00026143">
              <w:rPr>
                <w:rFonts w:ascii="標楷體" w:eastAsia="標楷體" w:hAnsi="標楷體" w:hint="eastAsia"/>
                <w:color w:val="000000" w:themeColor="text1"/>
              </w:rPr>
              <w:t>1.中華民國總統府組織法第十七條條文修正草案(修正重點：刪除不合時宜之國父陵園管理委員會設置規定。)</w:t>
            </w:r>
          </w:p>
        </w:tc>
        <w:tc>
          <w:tcPr>
            <w:tcW w:w="2043" w:type="dxa"/>
            <w:shd w:val="clear" w:color="auto" w:fill="auto"/>
          </w:tcPr>
          <w:p w14:paraId="3A1BC42E"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委員賴品妤</w:t>
            </w:r>
          </w:p>
          <w:p w14:paraId="5641F77F"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等17人</w:t>
            </w:r>
          </w:p>
          <w:p w14:paraId="3BC0945C"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109.05.01 </w:t>
            </w:r>
          </w:p>
          <w:p w14:paraId="6608635D"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（10-1-11）</w:t>
            </w:r>
          </w:p>
        </w:tc>
        <w:tc>
          <w:tcPr>
            <w:tcW w:w="1554" w:type="dxa"/>
            <w:shd w:val="clear" w:color="auto" w:fill="auto"/>
          </w:tcPr>
          <w:p w14:paraId="6AD8CDBC"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422" w:type="dxa"/>
            <w:shd w:val="clear" w:color="auto" w:fill="auto"/>
          </w:tcPr>
          <w:p w14:paraId="1A59952B"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107D3B1" w14:textId="77777777" w:rsidTr="007932B9">
        <w:trPr>
          <w:jc w:val="center"/>
        </w:trPr>
        <w:tc>
          <w:tcPr>
            <w:tcW w:w="518" w:type="dxa"/>
            <w:shd w:val="clear" w:color="auto" w:fill="auto"/>
          </w:tcPr>
          <w:p w14:paraId="47F3B214" w14:textId="77777777" w:rsidR="00EC13B7" w:rsidRPr="00026143" w:rsidRDefault="00EC13B7" w:rsidP="007932B9">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4</w:t>
            </w:r>
          </w:p>
        </w:tc>
        <w:tc>
          <w:tcPr>
            <w:tcW w:w="3076" w:type="dxa"/>
            <w:shd w:val="clear" w:color="auto" w:fill="auto"/>
          </w:tcPr>
          <w:p w14:paraId="6B0394C9" w14:textId="77777777" w:rsidR="00EC13B7" w:rsidRPr="00026143" w:rsidRDefault="00EC13B7" w:rsidP="00C10740">
            <w:pPr>
              <w:kinsoku w:val="0"/>
              <w:wordWrap w:val="0"/>
              <w:topLinePunct/>
              <w:spacing w:line="300" w:lineRule="exact"/>
              <w:ind w:leftChars="50" w:left="120"/>
              <w:jc w:val="both"/>
              <w:rPr>
                <w:rFonts w:ascii="標楷體" w:eastAsia="標楷體" w:hAnsi="標楷體"/>
                <w:color w:val="000000" w:themeColor="text1"/>
              </w:rPr>
            </w:pPr>
            <w:r w:rsidRPr="00026143">
              <w:rPr>
                <w:rFonts w:ascii="標楷體" w:eastAsia="標楷體" w:hAnsi="標楷體" w:hint="eastAsia"/>
                <w:color w:val="000000" w:themeColor="text1"/>
              </w:rPr>
              <w:t>2.中華民國總統府組織法第十七條條文修正草案（修正重點：刪除國父陵園管理委員會。)</w:t>
            </w:r>
          </w:p>
        </w:tc>
        <w:tc>
          <w:tcPr>
            <w:tcW w:w="2043" w:type="dxa"/>
            <w:shd w:val="clear" w:color="auto" w:fill="auto"/>
          </w:tcPr>
          <w:p w14:paraId="036FD5F7"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委員林俊憲</w:t>
            </w:r>
          </w:p>
          <w:p w14:paraId="74700A6B"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094C92BA"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109.05.29 </w:t>
            </w:r>
          </w:p>
          <w:p w14:paraId="59A593C1"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（10-1-15）</w:t>
            </w:r>
          </w:p>
        </w:tc>
        <w:tc>
          <w:tcPr>
            <w:tcW w:w="1554" w:type="dxa"/>
            <w:shd w:val="clear" w:color="auto" w:fill="auto"/>
          </w:tcPr>
          <w:p w14:paraId="40223711"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422" w:type="dxa"/>
            <w:shd w:val="clear" w:color="auto" w:fill="auto"/>
          </w:tcPr>
          <w:p w14:paraId="7BA76CDA"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D71D073" w14:textId="77777777" w:rsidTr="006D3DDC">
        <w:trPr>
          <w:jc w:val="center"/>
        </w:trPr>
        <w:tc>
          <w:tcPr>
            <w:tcW w:w="518" w:type="dxa"/>
            <w:shd w:val="clear" w:color="auto" w:fill="auto"/>
          </w:tcPr>
          <w:p w14:paraId="045107BE" w14:textId="77777777" w:rsidR="00EC13B7" w:rsidRPr="00026143" w:rsidRDefault="00EC13B7" w:rsidP="007932B9">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w:t>
            </w:r>
          </w:p>
        </w:tc>
        <w:tc>
          <w:tcPr>
            <w:tcW w:w="3076" w:type="dxa"/>
            <w:shd w:val="clear" w:color="auto" w:fill="auto"/>
          </w:tcPr>
          <w:p w14:paraId="33A2C0B7" w14:textId="77777777" w:rsidR="00EC13B7" w:rsidRPr="00026143" w:rsidRDefault="00EC13B7" w:rsidP="00C10740">
            <w:pPr>
              <w:kinsoku w:val="0"/>
              <w:wordWrap w:val="0"/>
              <w:topLinePunct/>
              <w:spacing w:line="300" w:lineRule="exact"/>
              <w:ind w:leftChars="50" w:left="120"/>
              <w:jc w:val="both"/>
              <w:rPr>
                <w:rFonts w:ascii="標楷體" w:eastAsia="標楷體" w:hAnsi="標楷體"/>
                <w:color w:val="000000" w:themeColor="text1"/>
              </w:rPr>
            </w:pPr>
            <w:r w:rsidRPr="00026143">
              <w:rPr>
                <w:rFonts w:ascii="標楷體" w:eastAsia="標楷體" w:hAnsi="標楷體" w:hint="eastAsia"/>
                <w:color w:val="000000" w:themeColor="text1"/>
              </w:rPr>
              <w:t>促進轉型正義外來政權統治原住民族時期原住民受損權利回復及補償條例草案（共20條。制定重點：</w:t>
            </w:r>
            <w:r w:rsidRPr="00026143">
              <w:rPr>
                <w:rFonts w:ascii="標楷體" w:eastAsia="標楷體" w:hAnsi="標楷體" w:hint="eastAsia"/>
                <w:color w:val="000000" w:themeColor="text1"/>
              </w:rPr>
              <w:lastRenderedPageBreak/>
              <w:t>為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2043" w:type="dxa"/>
            <w:shd w:val="clear" w:color="auto" w:fill="auto"/>
          </w:tcPr>
          <w:p w14:paraId="05C80B45"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委員廖國棟</w:t>
            </w:r>
          </w:p>
          <w:p w14:paraId="666500EC"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等21人 </w:t>
            </w:r>
          </w:p>
          <w:p w14:paraId="4BE15A0A"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110.10.08 </w:t>
            </w:r>
          </w:p>
          <w:p w14:paraId="1F481896"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（10-4-4）</w:t>
            </w:r>
          </w:p>
        </w:tc>
        <w:tc>
          <w:tcPr>
            <w:tcW w:w="1554" w:type="dxa"/>
            <w:shd w:val="clear" w:color="auto" w:fill="auto"/>
          </w:tcPr>
          <w:p w14:paraId="2BE3FC00"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422" w:type="dxa"/>
            <w:shd w:val="clear" w:color="auto" w:fill="auto"/>
          </w:tcPr>
          <w:p w14:paraId="644746BE"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001DB78" w14:textId="77777777" w:rsidTr="006D3DDC">
        <w:trPr>
          <w:jc w:val="center"/>
        </w:trPr>
        <w:tc>
          <w:tcPr>
            <w:tcW w:w="518" w:type="dxa"/>
            <w:shd w:val="clear" w:color="auto" w:fill="auto"/>
          </w:tcPr>
          <w:p w14:paraId="3256950F" w14:textId="77777777" w:rsidR="00EC13B7" w:rsidRPr="00026143" w:rsidRDefault="00EC13B7" w:rsidP="00B3339E">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lastRenderedPageBreak/>
              <w:t>6</w:t>
            </w:r>
          </w:p>
        </w:tc>
        <w:tc>
          <w:tcPr>
            <w:tcW w:w="3076" w:type="dxa"/>
            <w:shd w:val="clear" w:color="auto" w:fill="auto"/>
          </w:tcPr>
          <w:p w14:paraId="3EA12CA7" w14:textId="77777777" w:rsidR="00EC13B7" w:rsidRPr="00026143" w:rsidRDefault="00EC13B7" w:rsidP="00C10740">
            <w:pPr>
              <w:kinsoku w:val="0"/>
              <w:wordWrap w:val="0"/>
              <w:topLinePunct/>
              <w:spacing w:line="300" w:lineRule="exact"/>
              <w:ind w:leftChars="50" w:left="120"/>
              <w:jc w:val="both"/>
              <w:rPr>
                <w:rFonts w:ascii="標楷體" w:eastAsia="標楷體" w:hAnsi="標楷體"/>
                <w:color w:val="000000" w:themeColor="text1"/>
              </w:rPr>
            </w:pPr>
            <w:r w:rsidRPr="00026143">
              <w:rPr>
                <w:rFonts w:ascii="標楷體" w:eastAsia="標楷體" w:hAnsi="標楷體"/>
                <w:color w:val="000000" w:themeColor="text1"/>
              </w:rPr>
              <w:t>國史館歷任總統文物中心組織法草案(共5條。制定重點：國史館為執行我國歷任總統、副總統文物之典藏、研究、展示、推廣，特設總統文物中心。)</w:t>
            </w:r>
          </w:p>
        </w:tc>
        <w:tc>
          <w:tcPr>
            <w:tcW w:w="2043" w:type="dxa"/>
            <w:shd w:val="clear" w:color="auto" w:fill="auto"/>
          </w:tcPr>
          <w:p w14:paraId="483AD217" w14:textId="77777777" w:rsidR="00EC13B7" w:rsidRPr="00026143" w:rsidRDefault="00EC13B7" w:rsidP="00B3339E">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委員蘇治芬</w:t>
            </w:r>
          </w:p>
          <w:p w14:paraId="139AAAE1" w14:textId="77777777" w:rsidR="00EC13B7" w:rsidRPr="00026143" w:rsidRDefault="00EC13B7" w:rsidP="00B3339E">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等22人</w:t>
            </w:r>
          </w:p>
          <w:p w14:paraId="2F9A2A25" w14:textId="77777777" w:rsidR="00EC13B7" w:rsidRPr="00026143" w:rsidRDefault="00EC13B7" w:rsidP="00B3339E">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111.04.08</w:t>
            </w:r>
          </w:p>
          <w:p w14:paraId="484F8DF4" w14:textId="77777777" w:rsidR="00EC13B7" w:rsidRPr="00026143" w:rsidRDefault="00EC13B7" w:rsidP="00B3339E">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（10-5-7）</w:t>
            </w:r>
          </w:p>
        </w:tc>
        <w:tc>
          <w:tcPr>
            <w:tcW w:w="1554" w:type="dxa"/>
            <w:shd w:val="clear" w:color="auto" w:fill="auto"/>
          </w:tcPr>
          <w:p w14:paraId="2F05B28B" w14:textId="77777777" w:rsidR="00EC13B7" w:rsidRPr="00026143" w:rsidRDefault="00EC13B7" w:rsidP="00B3339E">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422" w:type="dxa"/>
            <w:shd w:val="clear" w:color="auto" w:fill="auto"/>
          </w:tcPr>
          <w:p w14:paraId="089F3D5D" w14:textId="77777777" w:rsidR="00EC13B7" w:rsidRPr="00026143" w:rsidRDefault="00EC13B7" w:rsidP="00B3339E">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424D7DC2" w14:textId="77777777" w:rsidR="00EC13B7" w:rsidRPr="00026143" w:rsidRDefault="00EC13B7" w:rsidP="007932B9">
      <w:pPr>
        <w:rPr>
          <w:color w:val="000000" w:themeColor="text1"/>
        </w:rPr>
      </w:pPr>
    </w:p>
    <w:p w14:paraId="31DE5C49" w14:textId="77777777" w:rsidR="00EC13B7" w:rsidRPr="00026143" w:rsidRDefault="00EC13B7" w:rsidP="007932B9">
      <w:pPr>
        <w:pStyle w:val="-40"/>
        <w:kinsoku w:val="0"/>
        <w:wordWrap w:val="0"/>
        <w:topLinePunct/>
        <w:spacing w:beforeLines="100" w:before="360" w:after="180" w:line="260" w:lineRule="exact"/>
        <w:ind w:left="1134"/>
        <w:jc w:val="left"/>
        <w:textAlignment w:val="top"/>
        <w:rPr>
          <w:color w:val="000000" w:themeColor="text1"/>
        </w:rPr>
      </w:pPr>
      <w:bookmarkStart w:id="289" w:name="_Toc96350524"/>
      <w:r w:rsidRPr="00026143">
        <w:rPr>
          <w:color w:val="000000" w:themeColor="text1"/>
        </w:rPr>
        <w:t>（二）行政院</w:t>
      </w:r>
      <w:r w:rsidRPr="00026143">
        <w:rPr>
          <w:rFonts w:hint="eastAsia"/>
          <w:color w:val="000000" w:themeColor="text1"/>
        </w:rPr>
        <w:t>2</w:t>
      </w:r>
      <w:r w:rsidRPr="00026143">
        <w:rPr>
          <w:color w:val="000000" w:themeColor="text1"/>
        </w:rPr>
        <w:t>46案</w:t>
      </w:r>
      <w:bookmarkEnd w:id="289"/>
    </w:p>
    <w:p w14:paraId="3A872A12" w14:textId="77777777" w:rsidR="00EC13B7" w:rsidRPr="00026143" w:rsidRDefault="00EC13B7" w:rsidP="007932B9">
      <w:pPr>
        <w:pStyle w:val="1-5"/>
        <w:kinsoku w:val="0"/>
        <w:wordWrap w:val="0"/>
        <w:topLinePunct/>
        <w:spacing w:beforeLines="100" w:before="360" w:after="180" w:line="260" w:lineRule="exact"/>
        <w:ind w:left="1418" w:firstLineChars="101" w:firstLine="283"/>
        <w:jc w:val="left"/>
        <w:textAlignment w:val="top"/>
        <w:rPr>
          <w:color w:val="000000" w:themeColor="text1"/>
        </w:rPr>
      </w:pPr>
      <w:bookmarkStart w:id="290" w:name="_Toc361217334"/>
      <w:bookmarkStart w:id="291" w:name="_Toc362968394"/>
      <w:bookmarkStart w:id="292" w:name="_Toc428286956"/>
      <w:bookmarkStart w:id="293" w:name="_Toc510167679"/>
      <w:bookmarkStart w:id="294" w:name="_Toc1401059"/>
      <w:bookmarkStart w:id="295" w:name="_Toc361217328"/>
      <w:bookmarkStart w:id="296" w:name="_Toc362968388"/>
      <w:r w:rsidRPr="00026143">
        <w:rPr>
          <w:color w:val="000000" w:themeColor="text1"/>
        </w:rPr>
        <w:t>1.本會審查</w:t>
      </w:r>
      <w:r w:rsidRPr="00026143">
        <w:rPr>
          <w:rFonts w:hint="eastAsia"/>
          <w:color w:val="000000" w:themeColor="text1"/>
        </w:rPr>
        <w:t>1</w:t>
      </w:r>
      <w:r w:rsidRPr="00026143">
        <w:rPr>
          <w:color w:val="000000" w:themeColor="text1"/>
        </w:rPr>
        <w:t>3案</w:t>
      </w:r>
      <w:bookmarkEnd w:id="290"/>
      <w:bookmarkEnd w:id="291"/>
      <w:bookmarkEnd w:id="292"/>
      <w:bookmarkEnd w:id="293"/>
      <w:bookmarkEnd w:id="294"/>
    </w:p>
    <w:p w14:paraId="6E65CE4D" w14:textId="77777777" w:rsidR="00EC13B7" w:rsidRPr="00026143" w:rsidRDefault="00EC13B7" w:rsidP="007932B9">
      <w:pPr>
        <w:pStyle w:val="1-6"/>
        <w:kinsoku w:val="0"/>
        <w:wordWrap w:val="0"/>
        <w:topLinePunct/>
        <w:spacing w:beforeLines="100" w:before="360" w:afterLines="100" w:after="360" w:line="300" w:lineRule="exact"/>
        <w:ind w:left="1701" w:firstLineChars="101" w:firstLine="283"/>
        <w:jc w:val="left"/>
        <w:textAlignment w:val="top"/>
        <w:rPr>
          <w:color w:val="000000" w:themeColor="text1"/>
        </w:rPr>
      </w:pPr>
      <w:bookmarkStart w:id="297" w:name="_Toc361217335"/>
      <w:bookmarkStart w:id="298" w:name="_Toc362968395"/>
      <w:bookmarkStart w:id="299" w:name="_Toc428286957"/>
      <w:bookmarkStart w:id="300" w:name="_Toc1401060"/>
      <w:r w:rsidRPr="00026143">
        <w:rPr>
          <w:color w:val="000000" w:themeColor="text1"/>
        </w:rPr>
        <w:t>（1）行政院院本部</w:t>
      </w:r>
      <w:r w:rsidRPr="00026143">
        <w:rPr>
          <w:rFonts w:hint="eastAsia"/>
          <w:color w:val="000000" w:themeColor="text1"/>
        </w:rPr>
        <w:t>9</w:t>
      </w:r>
      <w:r w:rsidRPr="00026143">
        <w:rPr>
          <w:color w:val="000000" w:themeColor="text1"/>
        </w:rPr>
        <w:t>案</w:t>
      </w:r>
      <w:bookmarkEnd w:id="297"/>
      <w:bookmarkEnd w:id="298"/>
      <w:bookmarkEnd w:id="299"/>
      <w:bookmarkEnd w:id="300"/>
    </w:p>
    <w:tbl>
      <w:tblPr>
        <w:tblW w:w="853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32"/>
        <w:gridCol w:w="3136"/>
        <w:gridCol w:w="1898"/>
        <w:gridCol w:w="1470"/>
        <w:gridCol w:w="1503"/>
      </w:tblGrid>
      <w:tr w:rsidR="00EC13B7" w:rsidRPr="00026143" w14:paraId="23A721A8" w14:textId="77777777" w:rsidTr="00EC13B7">
        <w:tc>
          <w:tcPr>
            <w:tcW w:w="532" w:type="dxa"/>
            <w:shd w:val="clear" w:color="auto" w:fill="auto"/>
            <w:hideMark/>
          </w:tcPr>
          <w:p w14:paraId="52A8510A"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3136" w:type="dxa"/>
            <w:shd w:val="clear" w:color="auto" w:fill="auto"/>
            <w:hideMark/>
          </w:tcPr>
          <w:p w14:paraId="1E39CA38" w14:textId="77777777" w:rsidR="00EC13B7" w:rsidRPr="00026143" w:rsidRDefault="00EC13B7" w:rsidP="00C10740">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898" w:type="dxa"/>
            <w:shd w:val="clear" w:color="auto" w:fill="auto"/>
            <w:hideMark/>
          </w:tcPr>
          <w:p w14:paraId="2A0F9B2A"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33C06569"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76FF4E19"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470" w:type="dxa"/>
            <w:shd w:val="clear" w:color="auto" w:fill="auto"/>
            <w:hideMark/>
          </w:tcPr>
          <w:p w14:paraId="3B6416EF"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503" w:type="dxa"/>
            <w:shd w:val="clear" w:color="auto" w:fill="auto"/>
            <w:hideMark/>
          </w:tcPr>
          <w:p w14:paraId="09D0A06D" w14:textId="77777777" w:rsidR="00EC13B7" w:rsidRPr="00026143" w:rsidRDefault="00EC13B7" w:rsidP="007932B9">
            <w:pPr>
              <w:kinsoku w:val="0"/>
              <w:topLinePunct/>
              <w:adjustRightInd w:val="0"/>
              <w:snapToGrid w:val="0"/>
              <w:spacing w:line="300" w:lineRule="exact"/>
              <w:jc w:val="both"/>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779CC105" w14:textId="77777777" w:rsidTr="00EC13B7">
        <w:tc>
          <w:tcPr>
            <w:tcW w:w="532" w:type="dxa"/>
            <w:shd w:val="clear" w:color="auto" w:fill="auto"/>
          </w:tcPr>
          <w:p w14:paraId="5DC2FC6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3136" w:type="dxa"/>
            <w:shd w:val="clear" w:color="auto" w:fill="auto"/>
          </w:tcPr>
          <w:p w14:paraId="1C58E09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促進轉型正義條例第二條條文修正草案(修正重點：增訂返還政府依臺灣省土地權利清理辦法第八條規定概不發還之土地為促轉會推動事項，以落實歷史轉型正義及憲法對原住民族人民財產之保護。)</w:t>
            </w:r>
          </w:p>
        </w:tc>
        <w:tc>
          <w:tcPr>
            <w:tcW w:w="1898" w:type="dxa"/>
            <w:shd w:val="clear" w:color="auto" w:fill="auto"/>
          </w:tcPr>
          <w:p w14:paraId="18ADDCE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委員鄭天財</w:t>
            </w:r>
          </w:p>
          <w:p w14:paraId="610032A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Sra Kacaw</w:t>
            </w:r>
          </w:p>
          <w:p w14:paraId="5FA50FD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等16人</w:t>
            </w:r>
          </w:p>
          <w:p w14:paraId="5A5E2BC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111.04.01 </w:t>
            </w:r>
          </w:p>
          <w:p w14:paraId="69C3899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（10-5-6）</w:t>
            </w:r>
          </w:p>
        </w:tc>
        <w:tc>
          <w:tcPr>
            <w:tcW w:w="1470" w:type="dxa"/>
            <w:shd w:val="clear" w:color="auto" w:fill="auto"/>
          </w:tcPr>
          <w:p w14:paraId="0D81C36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503" w:type="dxa"/>
            <w:shd w:val="clear" w:color="auto" w:fill="auto"/>
          </w:tcPr>
          <w:p w14:paraId="463197E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6260B42" w14:textId="77777777" w:rsidTr="00EC13B7">
        <w:tc>
          <w:tcPr>
            <w:tcW w:w="532" w:type="dxa"/>
            <w:shd w:val="clear" w:color="auto" w:fill="auto"/>
          </w:tcPr>
          <w:p w14:paraId="53A5C9B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3136" w:type="dxa"/>
            <w:shd w:val="clear" w:color="auto" w:fill="auto"/>
          </w:tcPr>
          <w:p w14:paraId="1A373BE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行政院組織法第九條條文修正草案（修正重點：於行政院下設立個人資料保護專責獨立主管機關「數位權與個人資料保護委員會」相當中央二級獨立機關。）</w:t>
            </w:r>
          </w:p>
        </w:tc>
        <w:tc>
          <w:tcPr>
            <w:tcW w:w="1898" w:type="dxa"/>
            <w:shd w:val="clear" w:color="auto" w:fill="auto"/>
          </w:tcPr>
          <w:p w14:paraId="5402EEE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委員鄭麗文</w:t>
            </w:r>
          </w:p>
          <w:p w14:paraId="0F930A4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等20人</w:t>
            </w:r>
          </w:p>
          <w:p w14:paraId="16FE05C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109.09.18 </w:t>
            </w:r>
          </w:p>
          <w:p w14:paraId="2A30A82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470" w:type="dxa"/>
            <w:shd w:val="clear" w:color="auto" w:fill="auto"/>
          </w:tcPr>
          <w:p w14:paraId="27AF48C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503" w:type="dxa"/>
            <w:shd w:val="clear" w:color="auto" w:fill="auto"/>
          </w:tcPr>
          <w:p w14:paraId="2B0411A7" w14:textId="7C6ADA7B" w:rsidR="00EC13B7" w:rsidRPr="00026143" w:rsidRDefault="00EC13B7" w:rsidP="0010583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本會109.12.7舉行「因應數位發展部成立，公、私部門資安人力建制及產業資源探討」公聽會。</w:t>
            </w:r>
          </w:p>
        </w:tc>
      </w:tr>
      <w:tr w:rsidR="00EC13B7" w:rsidRPr="00026143" w14:paraId="4B0C26F7" w14:textId="77777777" w:rsidTr="00EC13B7">
        <w:tc>
          <w:tcPr>
            <w:tcW w:w="532" w:type="dxa"/>
            <w:shd w:val="clear" w:color="auto" w:fill="auto"/>
          </w:tcPr>
          <w:p w14:paraId="0C8AC9C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3136" w:type="dxa"/>
            <w:shd w:val="clear" w:color="auto" w:fill="auto"/>
          </w:tcPr>
          <w:p w14:paraId="436BB93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行政院組織法增訂第十二條之一條文草案（增訂重點</w:t>
            </w:r>
            <w:r w:rsidRPr="00026143">
              <w:rPr>
                <w:rFonts w:ascii="標楷體" w:eastAsia="標楷體" w:hAnsi="標楷體"/>
                <w:color w:val="000000" w:themeColor="text1"/>
              </w:rPr>
              <w:lastRenderedPageBreak/>
              <w:t>：明定行政院各部、會、總處、行、院、獨立機關之政務首長及政務委員、院長、副院長、秘書長及發言人之總數之任一性別比例不得低於三分之一。）</w:t>
            </w:r>
          </w:p>
        </w:tc>
        <w:tc>
          <w:tcPr>
            <w:tcW w:w="1898" w:type="dxa"/>
            <w:shd w:val="clear" w:color="auto" w:fill="auto"/>
          </w:tcPr>
          <w:p w14:paraId="16ADA90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委員范雲</w:t>
            </w:r>
          </w:p>
          <w:p w14:paraId="1F3B66C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等19人</w:t>
            </w:r>
          </w:p>
          <w:p w14:paraId="44E2172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109.09.25 </w:t>
            </w:r>
          </w:p>
          <w:p w14:paraId="309F754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（10-2-2）</w:t>
            </w:r>
          </w:p>
        </w:tc>
        <w:tc>
          <w:tcPr>
            <w:tcW w:w="1470" w:type="dxa"/>
            <w:shd w:val="clear" w:color="auto" w:fill="auto"/>
          </w:tcPr>
          <w:p w14:paraId="7064236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503" w:type="dxa"/>
            <w:shd w:val="clear" w:color="auto" w:fill="auto"/>
          </w:tcPr>
          <w:p w14:paraId="4CAE053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CC61DCE" w14:textId="77777777" w:rsidTr="00EC13B7">
        <w:tc>
          <w:tcPr>
            <w:tcW w:w="532" w:type="dxa"/>
            <w:shd w:val="clear" w:color="auto" w:fill="auto"/>
          </w:tcPr>
          <w:p w14:paraId="2C3FACD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w:t>
            </w:r>
          </w:p>
        </w:tc>
        <w:tc>
          <w:tcPr>
            <w:tcW w:w="3136" w:type="dxa"/>
            <w:shd w:val="clear" w:color="auto" w:fill="auto"/>
          </w:tcPr>
          <w:p w14:paraId="21D6AF8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2.行政院組織法增訂第十二條之一條文草案(增訂重點：明訂本組織法內各政務首長、政務委員、院長、副院長、秘書長及發言人之總數之任一性別比例不得低於三分之一。)</w:t>
            </w:r>
          </w:p>
        </w:tc>
        <w:tc>
          <w:tcPr>
            <w:tcW w:w="1898" w:type="dxa"/>
            <w:shd w:val="clear" w:color="auto" w:fill="auto"/>
          </w:tcPr>
          <w:p w14:paraId="441814A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6ADCF8E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A456C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1453749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470" w:type="dxa"/>
            <w:shd w:val="clear" w:color="auto" w:fill="auto"/>
          </w:tcPr>
          <w:p w14:paraId="60AC2C2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503" w:type="dxa"/>
            <w:shd w:val="clear" w:color="auto" w:fill="auto"/>
          </w:tcPr>
          <w:p w14:paraId="4825CA1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F297D9C" w14:textId="77777777" w:rsidTr="00EC13B7">
        <w:tc>
          <w:tcPr>
            <w:tcW w:w="532" w:type="dxa"/>
            <w:shd w:val="clear" w:color="auto" w:fill="auto"/>
          </w:tcPr>
          <w:p w14:paraId="07725F0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3136" w:type="dxa"/>
            <w:shd w:val="clear" w:color="auto" w:fill="auto"/>
          </w:tcPr>
          <w:p w14:paraId="49B528E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行政院組織法第三條條文修正草案(修正重點：將「經濟及能源部」、「交通及建設部」及「環境資源部」之機關名稱分別修正為「經濟部」、「交通部」及「環境部」。)</w:t>
            </w:r>
          </w:p>
        </w:tc>
        <w:tc>
          <w:tcPr>
            <w:tcW w:w="1898" w:type="dxa"/>
            <w:shd w:val="clear" w:color="auto" w:fill="auto"/>
          </w:tcPr>
          <w:p w14:paraId="45EEDBB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行政院</w:t>
            </w:r>
          </w:p>
          <w:p w14:paraId="776FE55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 111.05.13 </w:t>
            </w:r>
          </w:p>
          <w:p w14:paraId="1ABEA0C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470" w:type="dxa"/>
            <w:shd w:val="clear" w:color="auto" w:fill="auto"/>
          </w:tcPr>
          <w:p w14:paraId="1E2B18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503" w:type="dxa"/>
            <w:shd w:val="clear" w:color="auto" w:fill="auto"/>
          </w:tcPr>
          <w:p w14:paraId="7665819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654E4F2" w14:textId="77777777" w:rsidTr="00EC13B7">
        <w:tc>
          <w:tcPr>
            <w:tcW w:w="532" w:type="dxa"/>
            <w:shd w:val="clear" w:color="auto" w:fill="auto"/>
          </w:tcPr>
          <w:p w14:paraId="65C497F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6</w:t>
            </w:r>
          </w:p>
        </w:tc>
        <w:tc>
          <w:tcPr>
            <w:tcW w:w="3136" w:type="dxa"/>
            <w:shd w:val="clear" w:color="auto" w:fill="auto"/>
          </w:tcPr>
          <w:p w14:paraId="4206FE2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Style w:val="010"/>
                <w:rFonts w:hAnsi="標楷體" w:cs="Times New Roman" w:hint="eastAsia"/>
                <w:color w:val="000000" w:themeColor="text1"/>
                <w:sz w:val="24"/>
                <w:szCs w:val="24"/>
              </w:rPr>
              <w:t>2.行政院組織法第三條條文修正草案(修正重點：將「經濟及能源部」、「交通及建設部」及「環境資源部」之機關名稱分別修正為「經濟部」、「交通部」及「環境部」。)</w:t>
            </w:r>
          </w:p>
        </w:tc>
        <w:tc>
          <w:tcPr>
            <w:tcW w:w="1898" w:type="dxa"/>
            <w:shd w:val="clear" w:color="auto" w:fill="auto"/>
          </w:tcPr>
          <w:p w14:paraId="2151F29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委員蔡易餘</w:t>
            </w:r>
          </w:p>
          <w:p w14:paraId="5FD385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等19人</w:t>
            </w:r>
          </w:p>
          <w:p w14:paraId="50C5F2D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550149B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470" w:type="dxa"/>
            <w:shd w:val="clear" w:color="auto" w:fill="auto"/>
          </w:tcPr>
          <w:p w14:paraId="2D74D84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503" w:type="dxa"/>
            <w:shd w:val="clear" w:color="auto" w:fill="auto"/>
          </w:tcPr>
          <w:p w14:paraId="7698FDF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BD84F85" w14:textId="77777777" w:rsidTr="00EC13B7">
        <w:tc>
          <w:tcPr>
            <w:tcW w:w="532" w:type="dxa"/>
            <w:shd w:val="clear" w:color="auto" w:fill="auto"/>
          </w:tcPr>
          <w:p w14:paraId="61DFF28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3136" w:type="dxa"/>
            <w:shd w:val="clear" w:color="auto" w:fill="auto"/>
          </w:tcPr>
          <w:p w14:paraId="6767097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3.行政院組織法第三條條文修正草案(修正重點：將「經濟及能源部」、「交通及建設部」及「環境資源部」之機關名稱分別修正為「經濟部」、「交通部」及「環境部」。)</w:t>
            </w:r>
          </w:p>
        </w:tc>
        <w:tc>
          <w:tcPr>
            <w:tcW w:w="1898" w:type="dxa"/>
            <w:shd w:val="clear" w:color="auto" w:fill="auto"/>
          </w:tcPr>
          <w:p w14:paraId="76E3FD5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2379DE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555BE1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111.11.11 </w:t>
            </w:r>
          </w:p>
          <w:p w14:paraId="156ADD7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（10-6-7）</w:t>
            </w:r>
          </w:p>
        </w:tc>
        <w:tc>
          <w:tcPr>
            <w:tcW w:w="1470" w:type="dxa"/>
            <w:shd w:val="clear" w:color="auto" w:fill="auto"/>
          </w:tcPr>
          <w:p w14:paraId="3FBFC96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503" w:type="dxa"/>
            <w:shd w:val="clear" w:color="auto" w:fill="auto"/>
          </w:tcPr>
          <w:p w14:paraId="3B9EF2E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C589BA4" w14:textId="77777777" w:rsidTr="00EC13B7">
        <w:tc>
          <w:tcPr>
            <w:tcW w:w="532" w:type="dxa"/>
            <w:shd w:val="clear" w:color="auto" w:fill="auto"/>
          </w:tcPr>
          <w:p w14:paraId="146F7A7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8</w:t>
            </w:r>
          </w:p>
        </w:tc>
        <w:tc>
          <w:tcPr>
            <w:tcW w:w="3136" w:type="dxa"/>
            <w:shd w:val="clear" w:color="auto" w:fill="auto"/>
          </w:tcPr>
          <w:p w14:paraId="13BAA05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義委員會，隸屬於行政院，為獨立機關；置委員十五人，由總統提名經立法院同意</w:t>
            </w:r>
            <w:r w:rsidRPr="00026143">
              <w:rPr>
                <w:rFonts w:ascii="標楷體" w:eastAsia="標楷體" w:hAnsi="標楷體" w:hint="eastAsia"/>
                <w:color w:val="000000" w:themeColor="text1"/>
              </w:rPr>
              <w:lastRenderedPageBreak/>
              <w:t>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898" w:type="dxa"/>
            <w:shd w:val="clear" w:color="auto" w:fill="auto"/>
          </w:tcPr>
          <w:p w14:paraId="79A70E4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委員孔文吉</w:t>
            </w:r>
          </w:p>
          <w:p w14:paraId="18DB118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等24人 </w:t>
            </w:r>
          </w:p>
          <w:p w14:paraId="273D601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109.10.23 </w:t>
            </w:r>
          </w:p>
          <w:p w14:paraId="789CDEB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（10-2-4）</w:t>
            </w:r>
          </w:p>
        </w:tc>
        <w:tc>
          <w:tcPr>
            <w:tcW w:w="1470" w:type="dxa"/>
            <w:shd w:val="clear" w:color="auto" w:fill="auto"/>
          </w:tcPr>
          <w:p w14:paraId="351A37A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503" w:type="dxa"/>
            <w:shd w:val="clear" w:color="auto" w:fill="auto"/>
          </w:tcPr>
          <w:p w14:paraId="49D5DBA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FAD4C1A" w14:textId="77777777" w:rsidTr="00EC13B7">
        <w:tc>
          <w:tcPr>
            <w:tcW w:w="532" w:type="dxa"/>
            <w:shd w:val="clear" w:color="auto" w:fill="auto"/>
          </w:tcPr>
          <w:p w14:paraId="5E57B3B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9</w:t>
            </w:r>
          </w:p>
        </w:tc>
        <w:tc>
          <w:tcPr>
            <w:tcW w:w="3136" w:type="dxa"/>
            <w:shd w:val="clear" w:color="auto" w:fill="auto"/>
          </w:tcPr>
          <w:p w14:paraId="6596B58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多元人權保障基金設置條例草案(</w:t>
            </w:r>
            <w:r w:rsidRPr="00026143">
              <w:rPr>
                <w:rFonts w:ascii="標楷體" w:eastAsia="標楷體" w:hAnsi="標楷體" w:hint="eastAsia"/>
                <w:color w:val="000000" w:themeColor="text1"/>
              </w:rPr>
              <w:t>共12條。</w:t>
            </w:r>
            <w:r w:rsidRPr="00026143">
              <w:rPr>
                <w:rFonts w:ascii="標楷體" w:eastAsia="標楷體" w:hAnsi="標楷體"/>
                <w:color w:val="000000" w:themeColor="text1"/>
              </w:rPr>
              <w:t>制定重點：為提升弱勢群體之人權保障、公民參與為目標，期望透過非政府組織深耕民主意識，爰</w:t>
            </w:r>
            <w:r w:rsidRPr="00026143">
              <w:rPr>
                <w:rFonts w:ascii="標楷體" w:eastAsia="標楷體" w:hAnsi="標楷體" w:hint="eastAsia"/>
                <w:color w:val="000000" w:themeColor="text1"/>
              </w:rPr>
              <w:t>制定</w:t>
            </w:r>
            <w:r w:rsidRPr="00026143">
              <w:rPr>
                <w:rFonts w:ascii="標楷體" w:eastAsia="標楷體" w:hAnsi="標楷體"/>
                <w:color w:val="000000" w:themeColor="text1"/>
              </w:rPr>
              <w:t>本條例。主管機關為行政院，本基金由多元人權保障基金管理委員會掌理。)</w:t>
            </w:r>
          </w:p>
        </w:tc>
        <w:tc>
          <w:tcPr>
            <w:tcW w:w="1898" w:type="dxa"/>
            <w:shd w:val="clear" w:color="auto" w:fill="auto"/>
          </w:tcPr>
          <w:p w14:paraId="61BF809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0AB42A2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3CC2984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470" w:type="dxa"/>
            <w:shd w:val="clear" w:color="auto" w:fill="auto"/>
          </w:tcPr>
          <w:p w14:paraId="1057A6E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503" w:type="dxa"/>
            <w:shd w:val="clear" w:color="auto" w:fill="auto"/>
          </w:tcPr>
          <w:p w14:paraId="0DAB4CC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364D6B2C" w14:textId="77777777" w:rsidR="00EC13B7" w:rsidRPr="00026143" w:rsidRDefault="00EC13B7" w:rsidP="007932B9">
      <w:pPr>
        <w:pStyle w:val="1-6"/>
        <w:kinsoku w:val="0"/>
        <w:wordWrap w:val="0"/>
        <w:topLinePunct/>
        <w:spacing w:beforeLines="100" w:before="360" w:afterLines="100" w:after="360" w:line="300" w:lineRule="exact"/>
        <w:ind w:left="1701" w:firstLineChars="101" w:firstLine="283"/>
        <w:jc w:val="left"/>
        <w:textAlignment w:val="top"/>
        <w:rPr>
          <w:color w:val="000000" w:themeColor="text1"/>
        </w:rPr>
      </w:pPr>
      <w:bookmarkStart w:id="301" w:name="_Toc361217336"/>
      <w:bookmarkStart w:id="302" w:name="_Toc362968396"/>
      <w:bookmarkStart w:id="303" w:name="_Toc428286958"/>
      <w:bookmarkStart w:id="304" w:name="_Toc1401061"/>
      <w:r w:rsidRPr="00026143">
        <w:rPr>
          <w:color w:val="000000" w:themeColor="text1"/>
        </w:rPr>
        <w:t>（2）法務部</w:t>
      </w:r>
      <w:r w:rsidRPr="00026143">
        <w:rPr>
          <w:rFonts w:hint="eastAsia"/>
          <w:color w:val="000000" w:themeColor="text1"/>
        </w:rPr>
        <w:t>4</w:t>
      </w:r>
      <w:r w:rsidRPr="00026143">
        <w:rPr>
          <w:color w:val="000000" w:themeColor="text1"/>
        </w:rPr>
        <w:t>案</w:t>
      </w:r>
      <w:bookmarkEnd w:id="301"/>
      <w:bookmarkEnd w:id="302"/>
      <w:bookmarkEnd w:id="303"/>
      <w:bookmarkEnd w:id="304"/>
    </w:p>
    <w:tbl>
      <w:tblPr>
        <w:tblW w:w="852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3182"/>
        <w:gridCol w:w="1984"/>
        <w:gridCol w:w="1418"/>
        <w:gridCol w:w="1409"/>
      </w:tblGrid>
      <w:tr w:rsidR="00EC13B7" w:rsidRPr="00026143" w14:paraId="6BB6ADC4" w14:textId="77777777" w:rsidTr="007932B9">
        <w:trPr>
          <w:jc w:val="center"/>
        </w:trPr>
        <w:tc>
          <w:tcPr>
            <w:tcW w:w="532" w:type="dxa"/>
            <w:shd w:val="clear" w:color="auto" w:fill="auto"/>
          </w:tcPr>
          <w:p w14:paraId="531535D9" w14:textId="77777777" w:rsidR="00EC13B7" w:rsidRPr="00026143" w:rsidRDefault="00EC13B7" w:rsidP="00DF284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3182" w:type="dxa"/>
            <w:shd w:val="clear" w:color="auto" w:fill="auto"/>
          </w:tcPr>
          <w:p w14:paraId="6FBFAEE1" w14:textId="77777777" w:rsidR="00EC13B7" w:rsidRPr="00026143" w:rsidRDefault="00EC13B7" w:rsidP="00DF2847">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84" w:type="dxa"/>
            <w:shd w:val="clear" w:color="auto" w:fill="auto"/>
          </w:tcPr>
          <w:p w14:paraId="27A4E0E8" w14:textId="77777777" w:rsidR="00EC13B7" w:rsidRPr="00026143" w:rsidRDefault="00EC13B7" w:rsidP="00DF2847">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7B54DECC" w14:textId="77777777" w:rsidR="00EC13B7" w:rsidRPr="00026143" w:rsidRDefault="00EC13B7" w:rsidP="00DF2847">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01F432FF" w14:textId="77777777" w:rsidR="00EC13B7" w:rsidRPr="00026143" w:rsidRDefault="00EC13B7" w:rsidP="00DF2847">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418" w:type="dxa"/>
            <w:shd w:val="clear" w:color="auto" w:fill="auto"/>
          </w:tcPr>
          <w:p w14:paraId="10550FEB" w14:textId="77777777" w:rsidR="00EC13B7" w:rsidRPr="00026143" w:rsidRDefault="00EC13B7" w:rsidP="00DF2847">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409" w:type="dxa"/>
            <w:shd w:val="clear" w:color="auto" w:fill="auto"/>
          </w:tcPr>
          <w:p w14:paraId="2A507574" w14:textId="77777777" w:rsidR="00EC13B7" w:rsidRPr="00026143" w:rsidRDefault="00EC13B7" w:rsidP="00DF2847">
            <w:pPr>
              <w:kinsoku w:val="0"/>
              <w:topLinePunct/>
              <w:adjustRightInd w:val="0"/>
              <w:snapToGrid w:val="0"/>
              <w:spacing w:line="300" w:lineRule="exact"/>
              <w:jc w:val="both"/>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0243916F" w14:textId="77777777" w:rsidTr="00BE2394">
        <w:trPr>
          <w:jc w:val="center"/>
        </w:trPr>
        <w:tc>
          <w:tcPr>
            <w:tcW w:w="532" w:type="dxa"/>
            <w:shd w:val="clear" w:color="auto" w:fill="auto"/>
          </w:tcPr>
          <w:p w14:paraId="5A35351B" w14:textId="77777777" w:rsidR="00EC13B7" w:rsidRPr="00026143" w:rsidRDefault="00EC13B7" w:rsidP="00DF2847">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w:t>
            </w:r>
          </w:p>
        </w:tc>
        <w:tc>
          <w:tcPr>
            <w:tcW w:w="3182" w:type="dxa"/>
            <w:shd w:val="clear" w:color="auto" w:fill="auto"/>
          </w:tcPr>
          <w:p w14:paraId="46434538" w14:textId="77777777" w:rsidR="00EC13B7" w:rsidRPr="00026143" w:rsidRDefault="00EC13B7" w:rsidP="00DF2847">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法務部組織法第六條條文修正草案（修正重點：由法務部設立司法精神醫療機構，辦理收容及監護有精神障礙或其他心智缺陷之受刑人及受保安處分者，其組織以法律定之。）</w:t>
            </w:r>
          </w:p>
        </w:tc>
        <w:tc>
          <w:tcPr>
            <w:tcW w:w="1984" w:type="dxa"/>
            <w:shd w:val="clear" w:color="auto" w:fill="auto"/>
          </w:tcPr>
          <w:p w14:paraId="1DC34B37"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委員謝衣鳯</w:t>
            </w:r>
          </w:p>
          <w:p w14:paraId="68293699"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19</w:t>
            </w:r>
            <w:r w:rsidRPr="00026143">
              <w:rPr>
                <w:rFonts w:ascii="標楷體" w:eastAsia="標楷體" w:hAnsi="標楷體" w:hint="eastAsia"/>
                <w:color w:val="000000" w:themeColor="text1"/>
              </w:rPr>
              <w:t>人</w:t>
            </w:r>
            <w:r w:rsidRPr="00026143">
              <w:rPr>
                <w:rFonts w:ascii="標楷體" w:eastAsia="標楷體" w:hAnsi="標楷體"/>
                <w:color w:val="000000" w:themeColor="text1"/>
              </w:rPr>
              <w:t xml:space="preserve"> </w:t>
            </w:r>
          </w:p>
          <w:p w14:paraId="10207F93"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109.05.15 </w:t>
            </w:r>
          </w:p>
          <w:p w14:paraId="49CAE4C5"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w:t>
            </w:r>
            <w:r w:rsidRPr="00026143">
              <w:rPr>
                <w:rFonts w:ascii="標楷體" w:eastAsia="標楷體" w:hAnsi="標楷體"/>
                <w:color w:val="000000" w:themeColor="text1"/>
              </w:rPr>
              <w:t>10-1-13</w:t>
            </w:r>
            <w:r w:rsidRPr="00026143">
              <w:rPr>
                <w:rFonts w:ascii="標楷體" w:eastAsia="標楷體" w:hAnsi="標楷體" w:hint="eastAsia"/>
                <w:color w:val="000000" w:themeColor="text1"/>
              </w:rPr>
              <w:t>）</w:t>
            </w:r>
          </w:p>
        </w:tc>
        <w:tc>
          <w:tcPr>
            <w:tcW w:w="1418" w:type="dxa"/>
            <w:shd w:val="clear" w:color="auto" w:fill="auto"/>
          </w:tcPr>
          <w:p w14:paraId="07B74684"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409" w:type="dxa"/>
            <w:shd w:val="clear" w:color="auto" w:fill="auto"/>
          </w:tcPr>
          <w:p w14:paraId="605B2BA6" w14:textId="4F655D94"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1.本會109.10.21舉行「勿讓思覺失調成為司法與治安破口-如何有效修法建構司法正</w:t>
            </w:r>
            <w:r w:rsidRPr="00026143">
              <w:rPr>
                <w:rFonts w:ascii="標楷體" w:eastAsia="標楷體" w:hAnsi="標楷體" w:hint="eastAsia"/>
                <w:color w:val="000000" w:themeColor="text1"/>
              </w:rPr>
              <w:lastRenderedPageBreak/>
              <w:t>義與社會安全網」公聽會。</w:t>
            </w:r>
          </w:p>
          <w:p w14:paraId="1DCAA5B3" w14:textId="6D472FAC"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2.本會110.10.14舉行「從屏東挖眼案看社會安全網破洞」公聽會。</w:t>
            </w:r>
          </w:p>
        </w:tc>
      </w:tr>
      <w:tr w:rsidR="00EC13B7" w:rsidRPr="00026143" w14:paraId="65441293" w14:textId="77777777" w:rsidTr="00BE2394">
        <w:trPr>
          <w:jc w:val="center"/>
        </w:trPr>
        <w:tc>
          <w:tcPr>
            <w:tcW w:w="532" w:type="dxa"/>
            <w:shd w:val="clear" w:color="auto" w:fill="auto"/>
          </w:tcPr>
          <w:p w14:paraId="752EF4C9" w14:textId="77777777" w:rsidR="00EC13B7" w:rsidRPr="00026143" w:rsidRDefault="00EC13B7" w:rsidP="00DF2847">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lastRenderedPageBreak/>
              <w:t>2</w:t>
            </w:r>
          </w:p>
        </w:tc>
        <w:tc>
          <w:tcPr>
            <w:tcW w:w="3182" w:type="dxa"/>
            <w:shd w:val="clear" w:color="auto" w:fill="auto"/>
          </w:tcPr>
          <w:p w14:paraId="2571BC55" w14:textId="77777777" w:rsidR="00EC13B7" w:rsidRPr="00026143" w:rsidRDefault="00EC13B7" w:rsidP="00DF2847">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984" w:type="dxa"/>
            <w:shd w:val="clear" w:color="auto" w:fill="auto"/>
          </w:tcPr>
          <w:p w14:paraId="1752D648"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委員沈發惠</w:t>
            </w:r>
          </w:p>
          <w:p w14:paraId="5FF353FB"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等19人 </w:t>
            </w:r>
          </w:p>
          <w:p w14:paraId="14E9BD7F"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109.09.18 </w:t>
            </w:r>
          </w:p>
          <w:p w14:paraId="66176788"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（10-2-1）</w:t>
            </w:r>
          </w:p>
        </w:tc>
        <w:tc>
          <w:tcPr>
            <w:tcW w:w="1418" w:type="dxa"/>
            <w:shd w:val="clear" w:color="auto" w:fill="auto"/>
          </w:tcPr>
          <w:p w14:paraId="2AEBC7AA"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409" w:type="dxa"/>
            <w:shd w:val="clear" w:color="auto" w:fill="auto"/>
          </w:tcPr>
          <w:p w14:paraId="325796E1" w14:textId="77777777" w:rsidR="00EC13B7" w:rsidRPr="00026143" w:rsidRDefault="00EC13B7" w:rsidP="00DF2847">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F1BBF39" w14:textId="77777777" w:rsidTr="00EC13B7">
        <w:trPr>
          <w:jc w:val="center"/>
        </w:trPr>
        <w:tc>
          <w:tcPr>
            <w:tcW w:w="532" w:type="dxa"/>
            <w:tcBorders>
              <w:bottom w:val="single" w:sz="6" w:space="0" w:color="auto"/>
            </w:tcBorders>
            <w:shd w:val="clear" w:color="auto" w:fill="auto"/>
          </w:tcPr>
          <w:p w14:paraId="7F896D43" w14:textId="77777777" w:rsidR="00EC13B7" w:rsidRPr="00026143" w:rsidRDefault="00EC13B7" w:rsidP="00DF2847">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3</w:t>
            </w:r>
          </w:p>
        </w:tc>
        <w:tc>
          <w:tcPr>
            <w:tcW w:w="3182" w:type="dxa"/>
            <w:tcBorders>
              <w:bottom w:val="single" w:sz="6" w:space="0" w:color="auto"/>
            </w:tcBorders>
            <w:shd w:val="clear" w:color="auto" w:fill="auto"/>
          </w:tcPr>
          <w:p w14:paraId="563197B4" w14:textId="77777777" w:rsidR="00EC13B7" w:rsidRPr="00026143" w:rsidRDefault="00EC13B7" w:rsidP="00DF2847">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台灣全球馬格尼茨基人權問責法草案(共8條。制定重點：推動我國與國際人權問責組織接軌，並建構有效之人權保障機制，明定法務部應設馬格尼茨基人權委員會，就「外國人」涉有本法規定之人權侵害案件予以調查之權責。)</w:t>
            </w:r>
          </w:p>
        </w:tc>
        <w:tc>
          <w:tcPr>
            <w:tcW w:w="1984" w:type="dxa"/>
            <w:tcBorders>
              <w:bottom w:val="single" w:sz="6" w:space="0" w:color="auto"/>
            </w:tcBorders>
            <w:shd w:val="clear" w:color="auto" w:fill="auto"/>
          </w:tcPr>
          <w:p w14:paraId="4795B1AD"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委員王定宇</w:t>
            </w:r>
          </w:p>
          <w:p w14:paraId="54CE1928"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1A7EF2C"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110.11.26 </w:t>
            </w:r>
          </w:p>
          <w:p w14:paraId="228F2415"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（10-4-11）</w:t>
            </w:r>
          </w:p>
        </w:tc>
        <w:tc>
          <w:tcPr>
            <w:tcW w:w="1418" w:type="dxa"/>
            <w:tcBorders>
              <w:bottom w:val="single" w:sz="6" w:space="0" w:color="auto"/>
            </w:tcBorders>
            <w:shd w:val="clear" w:color="auto" w:fill="auto"/>
          </w:tcPr>
          <w:p w14:paraId="6867FCD7"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409" w:type="dxa"/>
            <w:tcBorders>
              <w:bottom w:val="single" w:sz="6" w:space="0" w:color="auto"/>
            </w:tcBorders>
            <w:shd w:val="clear" w:color="auto" w:fill="auto"/>
          </w:tcPr>
          <w:p w14:paraId="785BA6D2" w14:textId="77777777" w:rsidR="00EC13B7" w:rsidRPr="00026143" w:rsidRDefault="00EC13B7" w:rsidP="00DF2847">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EE113AB" w14:textId="77777777" w:rsidTr="00EC13B7">
        <w:trPr>
          <w:jc w:val="center"/>
        </w:trPr>
        <w:tc>
          <w:tcPr>
            <w:tcW w:w="532" w:type="dxa"/>
            <w:tcBorders>
              <w:top w:val="single" w:sz="6" w:space="0" w:color="auto"/>
              <w:left w:val="single" w:sz="18" w:space="0" w:color="auto"/>
              <w:bottom w:val="single" w:sz="18" w:space="0" w:color="auto"/>
              <w:right w:val="single" w:sz="6" w:space="0" w:color="auto"/>
            </w:tcBorders>
            <w:shd w:val="clear" w:color="auto" w:fill="auto"/>
          </w:tcPr>
          <w:p w14:paraId="1683CE25" w14:textId="77777777" w:rsidR="00EC13B7" w:rsidRPr="00026143" w:rsidRDefault="00EC13B7" w:rsidP="00DF2847">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4</w:t>
            </w:r>
          </w:p>
        </w:tc>
        <w:tc>
          <w:tcPr>
            <w:tcW w:w="3182" w:type="dxa"/>
            <w:tcBorders>
              <w:top w:val="single" w:sz="6" w:space="0" w:color="auto"/>
              <w:left w:val="single" w:sz="6" w:space="0" w:color="auto"/>
              <w:bottom w:val="single" w:sz="18" w:space="0" w:color="auto"/>
              <w:right w:val="single" w:sz="6" w:space="0" w:color="auto"/>
            </w:tcBorders>
            <w:shd w:val="clear" w:color="auto" w:fill="auto"/>
          </w:tcPr>
          <w:p w14:paraId="59880C39" w14:textId="77777777" w:rsidR="00EC13B7" w:rsidRPr="00026143" w:rsidRDefault="00EC13B7" w:rsidP="00DF2847">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法務部司法官學院組織法第二條條文修正草案(修正重點：最高法院檢察署</w:t>
            </w:r>
            <w:r w:rsidRPr="00026143">
              <w:rPr>
                <w:rFonts w:ascii="標楷體" w:eastAsia="標楷體" w:hAnsi="標楷體" w:hint="eastAsia"/>
                <w:color w:val="000000" w:themeColor="text1"/>
              </w:rPr>
              <w:t>去法院化</w:t>
            </w:r>
            <w:r w:rsidRPr="00026143">
              <w:rPr>
                <w:rFonts w:ascii="標楷體" w:eastAsia="標楷體" w:hAnsi="標楷體"/>
                <w:color w:val="000000" w:themeColor="text1"/>
              </w:rPr>
              <w:t>更銜為最高檢察署。)</w:t>
            </w:r>
          </w:p>
        </w:tc>
        <w:tc>
          <w:tcPr>
            <w:tcW w:w="1984" w:type="dxa"/>
            <w:tcBorders>
              <w:top w:val="single" w:sz="6" w:space="0" w:color="auto"/>
              <w:left w:val="single" w:sz="6" w:space="0" w:color="auto"/>
              <w:bottom w:val="single" w:sz="18" w:space="0" w:color="auto"/>
              <w:right w:val="single" w:sz="6" w:space="0" w:color="auto"/>
            </w:tcBorders>
            <w:shd w:val="clear" w:color="auto" w:fill="auto"/>
          </w:tcPr>
          <w:p w14:paraId="5349DC0B"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委員游毓蘭</w:t>
            </w:r>
          </w:p>
          <w:p w14:paraId="538B7D11"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949E4AC"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111.12.16</w:t>
            </w:r>
          </w:p>
          <w:p w14:paraId="12D658C1"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（10-6-12）</w:t>
            </w:r>
          </w:p>
        </w:tc>
        <w:tc>
          <w:tcPr>
            <w:tcW w:w="1418" w:type="dxa"/>
            <w:tcBorders>
              <w:top w:val="single" w:sz="6" w:space="0" w:color="auto"/>
              <w:left w:val="single" w:sz="6" w:space="0" w:color="auto"/>
              <w:bottom w:val="single" w:sz="18" w:space="0" w:color="auto"/>
              <w:right w:val="single" w:sz="6" w:space="0" w:color="auto"/>
            </w:tcBorders>
            <w:shd w:val="clear" w:color="auto" w:fill="auto"/>
          </w:tcPr>
          <w:p w14:paraId="4417956B" w14:textId="77777777" w:rsidR="00EC13B7" w:rsidRPr="00026143" w:rsidRDefault="00EC13B7" w:rsidP="00DF2847">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409" w:type="dxa"/>
            <w:tcBorders>
              <w:top w:val="single" w:sz="6" w:space="0" w:color="auto"/>
              <w:left w:val="single" w:sz="6" w:space="0" w:color="auto"/>
              <w:bottom w:val="single" w:sz="18" w:space="0" w:color="auto"/>
              <w:right w:val="single" w:sz="18" w:space="0" w:color="auto"/>
            </w:tcBorders>
            <w:shd w:val="clear" w:color="auto" w:fill="auto"/>
          </w:tcPr>
          <w:p w14:paraId="57CBF147" w14:textId="77777777" w:rsidR="00EC13B7" w:rsidRPr="00026143" w:rsidRDefault="00EC13B7" w:rsidP="00DF2847">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尚未審查</w:t>
            </w:r>
          </w:p>
          <w:p w14:paraId="45F40E9A" w14:textId="77777777" w:rsidR="00EC13B7" w:rsidRPr="00026143" w:rsidRDefault="00EC13B7" w:rsidP="00DF2847">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(該議案業經第10屆第6會期第13次院會三讀修正)</w:t>
            </w:r>
          </w:p>
        </w:tc>
      </w:tr>
    </w:tbl>
    <w:p w14:paraId="5BBC6C46"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bookmarkStart w:id="305" w:name="_Toc428286960"/>
      <w:bookmarkStart w:id="306" w:name="_Toc510167680"/>
      <w:bookmarkStart w:id="307" w:name="_Toc1401063"/>
      <w:r w:rsidRPr="00026143">
        <w:rPr>
          <w:color w:val="000000" w:themeColor="text1"/>
        </w:rPr>
        <w:t>2.本會、內政委員會聯席審查</w:t>
      </w:r>
      <w:r w:rsidRPr="00026143">
        <w:rPr>
          <w:rFonts w:hint="eastAsia"/>
          <w:color w:val="000000" w:themeColor="text1"/>
        </w:rPr>
        <w:t>4</w:t>
      </w:r>
      <w:r w:rsidRPr="00026143">
        <w:rPr>
          <w:color w:val="000000" w:themeColor="text1"/>
        </w:rPr>
        <w:t>9</w:t>
      </w:r>
      <w:bookmarkEnd w:id="295"/>
      <w:bookmarkEnd w:id="296"/>
      <w:bookmarkEnd w:id="305"/>
      <w:bookmarkEnd w:id="306"/>
      <w:bookmarkEnd w:id="307"/>
      <w:r w:rsidRPr="00026143">
        <w:rPr>
          <w:color w:val="000000" w:themeColor="text1"/>
        </w:rPr>
        <w:t>案</w:t>
      </w:r>
    </w:p>
    <w:tbl>
      <w:tblPr>
        <w:tblW w:w="854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31"/>
        <w:gridCol w:w="2898"/>
        <w:gridCol w:w="2029"/>
        <w:gridCol w:w="1600"/>
        <w:gridCol w:w="1382"/>
      </w:tblGrid>
      <w:tr w:rsidR="00EC13B7" w:rsidRPr="00026143" w14:paraId="6FA4DA9B" w14:textId="77777777" w:rsidTr="002E7C10">
        <w:tc>
          <w:tcPr>
            <w:tcW w:w="631" w:type="dxa"/>
            <w:shd w:val="clear" w:color="auto" w:fill="auto"/>
          </w:tcPr>
          <w:p w14:paraId="66929B82" w14:textId="77777777" w:rsidR="00EC13B7" w:rsidRPr="00026143" w:rsidRDefault="00EC13B7" w:rsidP="00FB390D">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898" w:type="dxa"/>
            <w:shd w:val="clear" w:color="auto" w:fill="auto"/>
          </w:tcPr>
          <w:p w14:paraId="2164C184" w14:textId="77777777" w:rsidR="00EC13B7" w:rsidRPr="00026143" w:rsidRDefault="00EC13B7" w:rsidP="00FB390D">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029" w:type="dxa"/>
            <w:shd w:val="clear" w:color="auto" w:fill="auto"/>
          </w:tcPr>
          <w:p w14:paraId="31609F06" w14:textId="77777777" w:rsidR="00EC13B7" w:rsidRPr="00026143" w:rsidRDefault="00EC13B7" w:rsidP="00FB390D">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62C17A40" w14:textId="77777777" w:rsidR="00EC13B7" w:rsidRPr="00026143" w:rsidRDefault="00EC13B7" w:rsidP="00FB390D">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337BD79F" w14:textId="77777777" w:rsidR="00EC13B7" w:rsidRPr="00026143" w:rsidRDefault="00EC13B7" w:rsidP="00FB390D">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00" w:type="dxa"/>
            <w:shd w:val="clear" w:color="auto" w:fill="auto"/>
          </w:tcPr>
          <w:p w14:paraId="310BB798" w14:textId="77777777" w:rsidR="00EC13B7" w:rsidRPr="00026143" w:rsidRDefault="00EC13B7" w:rsidP="00FB390D">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382" w:type="dxa"/>
            <w:shd w:val="clear" w:color="auto" w:fill="auto"/>
          </w:tcPr>
          <w:p w14:paraId="298F0AFA" w14:textId="77777777" w:rsidR="00EC13B7" w:rsidRPr="00026143" w:rsidRDefault="00EC13B7" w:rsidP="00FB390D">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13E273A2" w14:textId="77777777" w:rsidTr="00AE12CD">
        <w:tc>
          <w:tcPr>
            <w:tcW w:w="631" w:type="dxa"/>
            <w:shd w:val="clear" w:color="auto" w:fill="auto"/>
          </w:tcPr>
          <w:p w14:paraId="22635895"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w:t>
            </w:r>
          </w:p>
        </w:tc>
        <w:tc>
          <w:tcPr>
            <w:tcW w:w="2898" w:type="dxa"/>
            <w:shd w:val="clear" w:color="auto" w:fill="auto"/>
          </w:tcPr>
          <w:p w14:paraId="584A11BC"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1.中央選舉委員會組織法部分條文修正草案（修正§1、2、6、9、13。修正重點：配合公民投票法及政黨法之規定，修正本法之立法目的、本會掌理事項、本會委員會議決議事項</w:t>
            </w:r>
            <w:r w:rsidRPr="00026143">
              <w:rPr>
                <w:rFonts w:ascii="標楷體" w:eastAsia="標楷體" w:hAnsi="標楷體"/>
                <w:color w:val="000000" w:themeColor="text1"/>
              </w:rPr>
              <w:lastRenderedPageBreak/>
              <w:t>範圍及辦理業務事項。）</w:t>
            </w:r>
          </w:p>
        </w:tc>
        <w:tc>
          <w:tcPr>
            <w:tcW w:w="2029" w:type="dxa"/>
            <w:shd w:val="clear" w:color="auto" w:fill="auto"/>
          </w:tcPr>
          <w:p w14:paraId="2C974FA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 xml:space="preserve">行政院 </w:t>
            </w:r>
          </w:p>
          <w:p w14:paraId="43D8C61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109.09.18 </w:t>
            </w:r>
          </w:p>
          <w:p w14:paraId="6E3522B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（10-2-1）</w:t>
            </w:r>
          </w:p>
        </w:tc>
        <w:tc>
          <w:tcPr>
            <w:tcW w:w="1600" w:type="dxa"/>
            <w:shd w:val="clear" w:color="auto" w:fill="auto"/>
          </w:tcPr>
          <w:p w14:paraId="0780F08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898AAE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6031C34" w14:textId="77777777" w:rsidTr="00AE12CD">
        <w:tc>
          <w:tcPr>
            <w:tcW w:w="631" w:type="dxa"/>
            <w:shd w:val="clear" w:color="auto" w:fill="auto"/>
          </w:tcPr>
          <w:p w14:paraId="717ADB66"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lastRenderedPageBreak/>
              <w:t>2</w:t>
            </w:r>
          </w:p>
        </w:tc>
        <w:tc>
          <w:tcPr>
            <w:tcW w:w="2898" w:type="dxa"/>
            <w:shd w:val="clear" w:color="auto" w:fill="auto"/>
          </w:tcPr>
          <w:p w14:paraId="113FD82F"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2029" w:type="dxa"/>
            <w:shd w:val="clear" w:color="auto" w:fill="auto"/>
          </w:tcPr>
          <w:p w14:paraId="59554DE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委員高嘉瑜</w:t>
            </w:r>
          </w:p>
          <w:p w14:paraId="389B688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3D06887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109.04.07 </w:t>
            </w:r>
          </w:p>
          <w:p w14:paraId="3EAE339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（10-1-7）</w:t>
            </w:r>
          </w:p>
        </w:tc>
        <w:tc>
          <w:tcPr>
            <w:tcW w:w="1600" w:type="dxa"/>
            <w:shd w:val="clear" w:color="auto" w:fill="auto"/>
          </w:tcPr>
          <w:p w14:paraId="3BFF0DF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42C68C5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97653E5" w14:textId="77777777" w:rsidTr="00AE12CD">
        <w:tc>
          <w:tcPr>
            <w:tcW w:w="631" w:type="dxa"/>
            <w:shd w:val="clear" w:color="auto" w:fill="auto"/>
          </w:tcPr>
          <w:p w14:paraId="505DE9FB"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3</w:t>
            </w:r>
          </w:p>
        </w:tc>
        <w:tc>
          <w:tcPr>
            <w:tcW w:w="2898" w:type="dxa"/>
            <w:shd w:val="clear" w:color="auto" w:fill="auto"/>
          </w:tcPr>
          <w:p w14:paraId="3DE61C06"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2029" w:type="dxa"/>
            <w:shd w:val="clear" w:color="auto" w:fill="auto"/>
          </w:tcPr>
          <w:p w14:paraId="3FCDE3D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委員沈發惠</w:t>
            </w:r>
          </w:p>
          <w:p w14:paraId="58AAFB9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28277B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109.04.07 </w:t>
            </w:r>
          </w:p>
          <w:p w14:paraId="5237999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（10-1-7）</w:t>
            </w:r>
          </w:p>
        </w:tc>
        <w:tc>
          <w:tcPr>
            <w:tcW w:w="1600" w:type="dxa"/>
            <w:shd w:val="clear" w:color="auto" w:fill="auto"/>
          </w:tcPr>
          <w:p w14:paraId="3A0C4E8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052EA4D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D7FCF72" w14:textId="77777777" w:rsidTr="00AE12CD">
        <w:tc>
          <w:tcPr>
            <w:tcW w:w="631" w:type="dxa"/>
            <w:shd w:val="clear" w:color="auto" w:fill="auto"/>
          </w:tcPr>
          <w:p w14:paraId="7B7D7432"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4</w:t>
            </w:r>
          </w:p>
        </w:tc>
        <w:tc>
          <w:tcPr>
            <w:tcW w:w="2898" w:type="dxa"/>
            <w:shd w:val="clear" w:color="auto" w:fill="auto"/>
          </w:tcPr>
          <w:p w14:paraId="16DF939C"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2029" w:type="dxa"/>
            <w:shd w:val="clear" w:color="auto" w:fill="auto"/>
          </w:tcPr>
          <w:p w14:paraId="1A2E7B7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委員江啟臣</w:t>
            </w:r>
          </w:p>
          <w:p w14:paraId="0442B1F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0DB1F34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109.04.24 </w:t>
            </w:r>
          </w:p>
          <w:p w14:paraId="7ECE942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（10-1-10）</w:t>
            </w:r>
          </w:p>
        </w:tc>
        <w:tc>
          <w:tcPr>
            <w:tcW w:w="1600" w:type="dxa"/>
            <w:shd w:val="clear" w:color="auto" w:fill="auto"/>
          </w:tcPr>
          <w:p w14:paraId="5616803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3840EAE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CEB6B3" w14:textId="77777777" w:rsidTr="00AE12CD">
        <w:tc>
          <w:tcPr>
            <w:tcW w:w="631" w:type="dxa"/>
            <w:shd w:val="clear" w:color="auto" w:fill="auto"/>
          </w:tcPr>
          <w:p w14:paraId="1B461F1C"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5</w:t>
            </w:r>
          </w:p>
        </w:tc>
        <w:tc>
          <w:tcPr>
            <w:tcW w:w="2898" w:type="dxa"/>
            <w:shd w:val="clear" w:color="auto" w:fill="auto"/>
          </w:tcPr>
          <w:p w14:paraId="6C242EB7"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中央選舉委員會組織法部分條文修正草案（修正§2、6、9、13。修正重點：新增中央選舉委員會之掌理事項增加公民投票事項法規制（訂）定、修正及廢止之擬訂；原中央選舉委員會掌理政黨補助金之發放予以刪除）</w:t>
            </w:r>
          </w:p>
        </w:tc>
        <w:tc>
          <w:tcPr>
            <w:tcW w:w="2029" w:type="dxa"/>
            <w:shd w:val="clear" w:color="auto" w:fill="auto"/>
          </w:tcPr>
          <w:p w14:paraId="43210F8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委員陳玉珍</w:t>
            </w:r>
          </w:p>
          <w:p w14:paraId="665C866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069DF72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751ED6F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（10-2-4）</w:t>
            </w:r>
          </w:p>
        </w:tc>
        <w:tc>
          <w:tcPr>
            <w:tcW w:w="1600" w:type="dxa"/>
            <w:shd w:val="clear" w:color="auto" w:fill="auto"/>
          </w:tcPr>
          <w:p w14:paraId="3B2AFA4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AD1845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95776E2" w14:textId="77777777" w:rsidTr="00AE12CD">
        <w:tc>
          <w:tcPr>
            <w:tcW w:w="631" w:type="dxa"/>
            <w:shd w:val="clear" w:color="auto" w:fill="auto"/>
          </w:tcPr>
          <w:p w14:paraId="5F43DAC0"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6</w:t>
            </w:r>
          </w:p>
        </w:tc>
        <w:tc>
          <w:tcPr>
            <w:tcW w:w="2898" w:type="dxa"/>
            <w:shd w:val="clear" w:color="auto" w:fill="auto"/>
          </w:tcPr>
          <w:p w14:paraId="492BDCE7"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6.中央選舉委員會組織法第三條條文修正草案（修正重點：規定選舉委員須一定人數具有原住民族身</w:t>
            </w:r>
            <w:r w:rsidRPr="00026143">
              <w:rPr>
                <w:rFonts w:ascii="標楷體" w:eastAsia="標楷體" w:hAnsi="標楷體"/>
                <w:color w:val="000000" w:themeColor="text1"/>
              </w:rPr>
              <w:lastRenderedPageBreak/>
              <w:t>分。）</w:t>
            </w:r>
          </w:p>
        </w:tc>
        <w:tc>
          <w:tcPr>
            <w:tcW w:w="2029" w:type="dxa"/>
            <w:shd w:val="clear" w:color="auto" w:fill="auto"/>
          </w:tcPr>
          <w:p w14:paraId="32C66C0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委員鄭天財</w:t>
            </w:r>
          </w:p>
          <w:p w14:paraId="012A0CE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Sra Kacaw</w:t>
            </w:r>
          </w:p>
          <w:p w14:paraId="453E9A2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0DAD34B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48CB642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（10-2-6）</w:t>
            </w:r>
          </w:p>
        </w:tc>
        <w:tc>
          <w:tcPr>
            <w:tcW w:w="1600" w:type="dxa"/>
            <w:shd w:val="clear" w:color="auto" w:fill="auto"/>
          </w:tcPr>
          <w:p w14:paraId="3DCD538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司法及法制、內政</w:t>
            </w:r>
          </w:p>
        </w:tc>
        <w:tc>
          <w:tcPr>
            <w:tcW w:w="1382" w:type="dxa"/>
            <w:shd w:val="clear" w:color="auto" w:fill="auto"/>
          </w:tcPr>
          <w:p w14:paraId="090A407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1995E8" w14:textId="77777777" w:rsidTr="00AE12CD">
        <w:tc>
          <w:tcPr>
            <w:tcW w:w="631" w:type="dxa"/>
            <w:shd w:val="clear" w:color="auto" w:fill="auto"/>
          </w:tcPr>
          <w:p w14:paraId="5B78A6A6"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lastRenderedPageBreak/>
              <w:t>7</w:t>
            </w:r>
          </w:p>
        </w:tc>
        <w:tc>
          <w:tcPr>
            <w:tcW w:w="2898" w:type="dxa"/>
            <w:shd w:val="clear" w:color="auto" w:fill="auto"/>
          </w:tcPr>
          <w:p w14:paraId="3E9E1362"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中央選舉委員會組織法第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2029" w:type="dxa"/>
            <w:shd w:val="clear" w:color="auto" w:fill="auto"/>
          </w:tcPr>
          <w:p w14:paraId="515A71B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委員陳秀</w:t>
            </w:r>
            <w:r w:rsidRPr="00026143">
              <w:rPr>
                <w:rFonts w:ascii="標楷體" w:eastAsia="標楷體" w:hAnsi="標楷體" w:hint="eastAsia"/>
                <w:color w:val="000000" w:themeColor="text1"/>
              </w:rPr>
              <w:t>寳</w:t>
            </w:r>
          </w:p>
          <w:p w14:paraId="15C94E8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18人 </w:t>
            </w:r>
          </w:p>
          <w:p w14:paraId="66D64AB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45FE094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（10-2-6）</w:t>
            </w:r>
          </w:p>
        </w:tc>
        <w:tc>
          <w:tcPr>
            <w:tcW w:w="1600" w:type="dxa"/>
            <w:shd w:val="clear" w:color="auto" w:fill="auto"/>
          </w:tcPr>
          <w:p w14:paraId="3DB5DF3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05417B0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E850514" w14:textId="77777777" w:rsidTr="00AE12CD">
        <w:tc>
          <w:tcPr>
            <w:tcW w:w="631" w:type="dxa"/>
            <w:shd w:val="clear" w:color="auto" w:fill="auto"/>
          </w:tcPr>
          <w:p w14:paraId="3C98C15E"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8</w:t>
            </w:r>
          </w:p>
        </w:tc>
        <w:tc>
          <w:tcPr>
            <w:tcW w:w="2898" w:type="dxa"/>
            <w:shd w:val="clear" w:color="auto" w:fill="auto"/>
          </w:tcPr>
          <w:p w14:paraId="4B3F160E"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8.中央選舉委員會組織法第二條條文修正草案（修正重點：刪除中央選舉委員會對於政黨競選費用補貼之職掌。）</w:t>
            </w:r>
          </w:p>
        </w:tc>
        <w:tc>
          <w:tcPr>
            <w:tcW w:w="2029" w:type="dxa"/>
            <w:shd w:val="clear" w:color="auto" w:fill="auto"/>
          </w:tcPr>
          <w:p w14:paraId="4E3DE7E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委員伍麗華</w:t>
            </w:r>
          </w:p>
          <w:p w14:paraId="37F7954A" w14:textId="77777777" w:rsidR="00EC13B7" w:rsidRPr="00026143" w:rsidRDefault="00EC13B7" w:rsidP="00FB390D">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30270D1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52D7FE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109.12.24 </w:t>
            </w:r>
          </w:p>
          <w:p w14:paraId="1D9066E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（10-2-9）</w:t>
            </w:r>
          </w:p>
        </w:tc>
        <w:tc>
          <w:tcPr>
            <w:tcW w:w="1600" w:type="dxa"/>
            <w:shd w:val="clear" w:color="auto" w:fill="auto"/>
          </w:tcPr>
          <w:p w14:paraId="47C8AFA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9070CD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63B978B" w14:textId="77777777" w:rsidTr="00AE12CD">
        <w:tc>
          <w:tcPr>
            <w:tcW w:w="631" w:type="dxa"/>
            <w:shd w:val="clear" w:color="auto" w:fill="auto"/>
          </w:tcPr>
          <w:p w14:paraId="702089BC"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9</w:t>
            </w:r>
          </w:p>
        </w:tc>
        <w:tc>
          <w:tcPr>
            <w:tcW w:w="2898" w:type="dxa"/>
            <w:shd w:val="clear" w:color="auto" w:fill="auto"/>
          </w:tcPr>
          <w:p w14:paraId="2B50D75A"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9.中央選舉委員會組織法第六條條文修正草案（修正重點：選舉、罷免及公民投票相關選務事項，涉及人民之重大基本權利，相關法規之解釋，自應經本會委員會議決議。）</w:t>
            </w:r>
          </w:p>
        </w:tc>
        <w:tc>
          <w:tcPr>
            <w:tcW w:w="2029" w:type="dxa"/>
            <w:shd w:val="clear" w:color="auto" w:fill="auto"/>
          </w:tcPr>
          <w:p w14:paraId="57625A7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73350E4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110.03.26 </w:t>
            </w:r>
          </w:p>
          <w:p w14:paraId="5571701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（10-3-5）</w:t>
            </w:r>
          </w:p>
        </w:tc>
        <w:tc>
          <w:tcPr>
            <w:tcW w:w="1600" w:type="dxa"/>
            <w:shd w:val="clear" w:color="auto" w:fill="auto"/>
          </w:tcPr>
          <w:p w14:paraId="7BE6FCE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6780E0C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4474E9" w14:textId="77777777" w:rsidTr="00AE12CD">
        <w:tc>
          <w:tcPr>
            <w:tcW w:w="631" w:type="dxa"/>
            <w:shd w:val="clear" w:color="auto" w:fill="auto"/>
          </w:tcPr>
          <w:p w14:paraId="47318F41"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10</w:t>
            </w:r>
          </w:p>
        </w:tc>
        <w:tc>
          <w:tcPr>
            <w:tcW w:w="2898" w:type="dxa"/>
            <w:shd w:val="clear" w:color="auto" w:fill="auto"/>
          </w:tcPr>
          <w:p w14:paraId="53518FB2"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中央選舉委員會組織法部分條文修正草案（修正§2、6、9、13；刪除§12。修正重點：配合公民投票法及政黨法之規定，修正該法之立法目的、中選會掌理事項及中選會委員會議決議事項範圍；修正中選會辦理業務事項。）</w:t>
            </w:r>
          </w:p>
        </w:tc>
        <w:tc>
          <w:tcPr>
            <w:tcW w:w="2029" w:type="dxa"/>
            <w:shd w:val="clear" w:color="auto" w:fill="auto"/>
          </w:tcPr>
          <w:p w14:paraId="7B028CC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委員羅美玲</w:t>
            </w:r>
          </w:p>
          <w:p w14:paraId="2BDEDA4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1F697E2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110.04.16 </w:t>
            </w:r>
          </w:p>
          <w:p w14:paraId="2D18C71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（10-3-8）</w:t>
            </w:r>
          </w:p>
        </w:tc>
        <w:tc>
          <w:tcPr>
            <w:tcW w:w="1600" w:type="dxa"/>
            <w:shd w:val="clear" w:color="auto" w:fill="auto"/>
          </w:tcPr>
          <w:p w14:paraId="2A9B07B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1884A89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6EF7E85" w14:textId="77777777" w:rsidTr="00AE12CD">
        <w:tc>
          <w:tcPr>
            <w:tcW w:w="631" w:type="dxa"/>
            <w:shd w:val="clear" w:color="auto" w:fill="auto"/>
          </w:tcPr>
          <w:p w14:paraId="4145D022"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11</w:t>
            </w:r>
          </w:p>
        </w:tc>
        <w:tc>
          <w:tcPr>
            <w:tcW w:w="2898" w:type="dxa"/>
            <w:shd w:val="clear" w:color="auto" w:fill="auto"/>
          </w:tcPr>
          <w:p w14:paraId="2E4E78C0"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11.中央選舉委員會組織法第三條條文修正草案(修正重點：中央選舉委員會委員應有具原住民身分者，至少一人。)</w:t>
            </w:r>
          </w:p>
        </w:tc>
        <w:tc>
          <w:tcPr>
            <w:tcW w:w="2029" w:type="dxa"/>
            <w:shd w:val="clear" w:color="auto" w:fill="auto"/>
          </w:tcPr>
          <w:p w14:paraId="137B33C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委員孔文吉</w:t>
            </w:r>
          </w:p>
          <w:p w14:paraId="787DD41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E3F950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110.11.12 </w:t>
            </w:r>
          </w:p>
          <w:p w14:paraId="38444F5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（10-4-9）</w:t>
            </w:r>
          </w:p>
        </w:tc>
        <w:tc>
          <w:tcPr>
            <w:tcW w:w="1600" w:type="dxa"/>
            <w:shd w:val="clear" w:color="auto" w:fill="auto"/>
          </w:tcPr>
          <w:p w14:paraId="2FA549E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310CF5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C90AD97" w14:textId="77777777" w:rsidTr="00AE12CD">
        <w:tc>
          <w:tcPr>
            <w:tcW w:w="631" w:type="dxa"/>
            <w:shd w:val="clear" w:color="auto" w:fill="auto"/>
          </w:tcPr>
          <w:p w14:paraId="0CD59175"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12</w:t>
            </w:r>
          </w:p>
        </w:tc>
        <w:tc>
          <w:tcPr>
            <w:tcW w:w="2898" w:type="dxa"/>
            <w:shd w:val="clear" w:color="auto" w:fill="auto"/>
          </w:tcPr>
          <w:p w14:paraId="7839E082"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12.中央選舉委員會組織法第一條、第九條及第十二條條文修正草案(修正重點：因應公民投票法有關公投之選政與選務合一歸於中央選舉委員會，負責公投相關法令之訂定、修正、廢止及執行，非僅公投選務之辦理，故作文</w:t>
            </w:r>
            <w:r w:rsidRPr="00026143">
              <w:rPr>
                <w:rFonts w:ascii="標楷體" w:eastAsia="標楷體" w:hAnsi="標楷體"/>
                <w:color w:val="000000" w:themeColor="text1"/>
              </w:rPr>
              <w:lastRenderedPageBreak/>
              <w:t>字修正，以區分中選會選舉罷免及公民投票選政與選務內容。)</w:t>
            </w:r>
          </w:p>
        </w:tc>
        <w:tc>
          <w:tcPr>
            <w:tcW w:w="2029" w:type="dxa"/>
            <w:shd w:val="clear" w:color="auto" w:fill="auto"/>
          </w:tcPr>
          <w:p w14:paraId="5F66E57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委員羅致政</w:t>
            </w:r>
          </w:p>
          <w:p w14:paraId="097E0B6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387597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111.03.11 </w:t>
            </w:r>
          </w:p>
          <w:p w14:paraId="3A7FD9D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（10-5-3）</w:t>
            </w:r>
          </w:p>
        </w:tc>
        <w:tc>
          <w:tcPr>
            <w:tcW w:w="1600" w:type="dxa"/>
            <w:shd w:val="clear" w:color="auto" w:fill="auto"/>
          </w:tcPr>
          <w:p w14:paraId="55D3C12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37A5BEA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3A9FA3D" w14:textId="77777777" w:rsidTr="00073E92">
        <w:tc>
          <w:tcPr>
            <w:tcW w:w="631" w:type="dxa"/>
            <w:shd w:val="clear" w:color="auto" w:fill="auto"/>
          </w:tcPr>
          <w:p w14:paraId="05606349"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13</w:t>
            </w:r>
          </w:p>
        </w:tc>
        <w:tc>
          <w:tcPr>
            <w:tcW w:w="2898" w:type="dxa"/>
            <w:shd w:val="clear" w:color="auto" w:fill="auto"/>
          </w:tcPr>
          <w:p w14:paraId="5DCD8A82"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13.中央選舉委員會組織法部分條文修正草案(修正§1、2、6、9、13；刪除§12。修正重點：修正中選會及其委員會執掌事項範圍及文字；明</w:t>
            </w:r>
            <w:r w:rsidRPr="00026143">
              <w:rPr>
                <w:rFonts w:ascii="標楷體" w:eastAsia="標楷體" w:hAnsi="標楷體" w:hint="eastAsia"/>
                <w:color w:val="000000" w:themeColor="text1"/>
              </w:rPr>
              <w:t>定</w:t>
            </w:r>
            <w:r w:rsidRPr="00026143">
              <w:rPr>
                <w:rFonts w:ascii="標楷體" w:eastAsia="標楷體" w:hAnsi="標楷體"/>
                <w:color w:val="000000" w:themeColor="text1"/>
              </w:rPr>
              <w:t>直轄市及縣（市）選舉委員會辦理直轄市、縣（市）長罷免，應迴避具有利益衝突之罷免案被罷免人、與其任命之政務人員等。)</w:t>
            </w:r>
          </w:p>
        </w:tc>
        <w:tc>
          <w:tcPr>
            <w:tcW w:w="2029" w:type="dxa"/>
            <w:shd w:val="clear" w:color="auto" w:fill="auto"/>
          </w:tcPr>
          <w:p w14:paraId="314796C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委員許智傑</w:t>
            </w:r>
          </w:p>
          <w:p w14:paraId="226F822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AE08DF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03B35CB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（10-6-8）</w:t>
            </w:r>
          </w:p>
        </w:tc>
        <w:tc>
          <w:tcPr>
            <w:tcW w:w="1600" w:type="dxa"/>
            <w:shd w:val="clear" w:color="auto" w:fill="auto"/>
          </w:tcPr>
          <w:p w14:paraId="12F837A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577C392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E3D4A9" w14:textId="77777777" w:rsidTr="00AE12CD">
        <w:tc>
          <w:tcPr>
            <w:tcW w:w="631" w:type="dxa"/>
            <w:shd w:val="clear" w:color="auto" w:fill="auto"/>
          </w:tcPr>
          <w:p w14:paraId="3AF1EB46"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14</w:t>
            </w:r>
          </w:p>
        </w:tc>
        <w:tc>
          <w:tcPr>
            <w:tcW w:w="2898" w:type="dxa"/>
            <w:shd w:val="clear" w:color="auto" w:fill="auto"/>
          </w:tcPr>
          <w:p w14:paraId="6DDBB298"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1.「內政部組織法修正草案」、「內政部消防署組織法草案」、「內政部國土管理署組織法草案」及「內政部國家公園署組織法草案」(修正及制定重點：配合行政院組織調整。)</w:t>
            </w:r>
          </w:p>
        </w:tc>
        <w:tc>
          <w:tcPr>
            <w:tcW w:w="2029" w:type="dxa"/>
            <w:shd w:val="clear" w:color="auto" w:fill="auto"/>
          </w:tcPr>
          <w:p w14:paraId="205F6D1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07E8557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772438E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（10-5-12）</w:t>
            </w:r>
          </w:p>
        </w:tc>
        <w:tc>
          <w:tcPr>
            <w:tcW w:w="1600" w:type="dxa"/>
            <w:shd w:val="clear" w:color="auto" w:fill="auto"/>
          </w:tcPr>
          <w:p w14:paraId="43A710D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B3DE0B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C055312" w14:textId="77777777" w:rsidTr="00AE12CD">
        <w:tc>
          <w:tcPr>
            <w:tcW w:w="631" w:type="dxa"/>
            <w:shd w:val="clear" w:color="auto" w:fill="auto"/>
          </w:tcPr>
          <w:p w14:paraId="3261FFC8"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15</w:t>
            </w:r>
          </w:p>
        </w:tc>
        <w:tc>
          <w:tcPr>
            <w:tcW w:w="2898" w:type="dxa"/>
            <w:shd w:val="clear" w:color="auto" w:fill="auto"/>
          </w:tcPr>
          <w:p w14:paraId="749E71D2"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2.內政部組織法第八條之四條文修正草案(修正重點：因應內政部移民署組改，修改條文相關名稱。)</w:t>
            </w:r>
          </w:p>
        </w:tc>
        <w:tc>
          <w:tcPr>
            <w:tcW w:w="2029" w:type="dxa"/>
            <w:shd w:val="clear" w:color="auto" w:fill="auto"/>
          </w:tcPr>
          <w:p w14:paraId="7D81812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委員羅美玲</w:t>
            </w:r>
          </w:p>
          <w:p w14:paraId="6C444C0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1325451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109.04.17 </w:t>
            </w:r>
          </w:p>
          <w:p w14:paraId="17D8652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（10-1-9）</w:t>
            </w:r>
          </w:p>
        </w:tc>
        <w:tc>
          <w:tcPr>
            <w:tcW w:w="1600" w:type="dxa"/>
            <w:shd w:val="clear" w:color="auto" w:fill="auto"/>
          </w:tcPr>
          <w:p w14:paraId="63ACCB2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6F97B8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735621" w14:textId="77777777" w:rsidTr="00AE12CD">
        <w:tc>
          <w:tcPr>
            <w:tcW w:w="631" w:type="dxa"/>
            <w:shd w:val="clear" w:color="auto" w:fill="auto"/>
          </w:tcPr>
          <w:p w14:paraId="5350AFC8"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16</w:t>
            </w:r>
          </w:p>
        </w:tc>
        <w:tc>
          <w:tcPr>
            <w:tcW w:w="2898" w:type="dxa"/>
            <w:shd w:val="clear" w:color="auto" w:fill="auto"/>
          </w:tcPr>
          <w:p w14:paraId="5974681E"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內政部組織法修正草案（修正§2~5、7；增訂§1、6；刪除原§2~4、8-1、9、16、17、20、20-1、21、22、23。修正重點：配合行政院組織法修正，復依中央行政機關組織基準法規定，內政部之組織應以法律定之，爰修正本法相關條文。）</w:t>
            </w:r>
          </w:p>
        </w:tc>
        <w:tc>
          <w:tcPr>
            <w:tcW w:w="2029" w:type="dxa"/>
            <w:shd w:val="clear" w:color="auto" w:fill="auto"/>
          </w:tcPr>
          <w:p w14:paraId="61CB264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委員沈發惠</w:t>
            </w:r>
          </w:p>
          <w:p w14:paraId="49887AC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3DA662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109.05.15 </w:t>
            </w:r>
          </w:p>
          <w:p w14:paraId="3C8EB64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（10-1-13）</w:t>
            </w:r>
          </w:p>
        </w:tc>
        <w:tc>
          <w:tcPr>
            <w:tcW w:w="1600" w:type="dxa"/>
            <w:shd w:val="clear" w:color="auto" w:fill="auto"/>
          </w:tcPr>
          <w:p w14:paraId="49F4554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3D79670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9C092C" w14:textId="77777777" w:rsidTr="00AE12CD">
        <w:tc>
          <w:tcPr>
            <w:tcW w:w="631" w:type="dxa"/>
            <w:shd w:val="clear" w:color="auto" w:fill="auto"/>
          </w:tcPr>
          <w:p w14:paraId="64BC2C38"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17</w:t>
            </w:r>
          </w:p>
        </w:tc>
        <w:tc>
          <w:tcPr>
            <w:tcW w:w="2898" w:type="dxa"/>
            <w:shd w:val="clear" w:color="auto" w:fill="auto"/>
          </w:tcPr>
          <w:p w14:paraId="21F9407B"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4.內政部組織法第十三條條文修正草案（修正重點：將「殘障」用詞修正為「身心障礙」。）</w:t>
            </w:r>
          </w:p>
        </w:tc>
        <w:tc>
          <w:tcPr>
            <w:tcW w:w="2029" w:type="dxa"/>
            <w:shd w:val="clear" w:color="auto" w:fill="auto"/>
          </w:tcPr>
          <w:p w14:paraId="722B63E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委員吳琪銘</w:t>
            </w:r>
          </w:p>
          <w:p w14:paraId="05A3AD9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7347679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155F42F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（10-2-6）</w:t>
            </w:r>
          </w:p>
        </w:tc>
        <w:tc>
          <w:tcPr>
            <w:tcW w:w="1600" w:type="dxa"/>
            <w:shd w:val="clear" w:color="auto" w:fill="auto"/>
          </w:tcPr>
          <w:p w14:paraId="0297B48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10F6440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F6B891D" w14:textId="77777777" w:rsidTr="00AE12CD">
        <w:tc>
          <w:tcPr>
            <w:tcW w:w="631" w:type="dxa"/>
            <w:shd w:val="clear" w:color="auto" w:fill="auto"/>
          </w:tcPr>
          <w:p w14:paraId="4718C4E9"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18</w:t>
            </w:r>
          </w:p>
        </w:tc>
        <w:tc>
          <w:tcPr>
            <w:tcW w:w="2898" w:type="dxa"/>
            <w:shd w:val="clear" w:color="auto" w:fill="auto"/>
          </w:tcPr>
          <w:p w14:paraId="1C46F603"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5.內政部組織法增訂第八條之五條文草案（增訂重點：增設內政部新住民事務署，完善入出境與國境管制工作與新住民事務事權。）</w:t>
            </w:r>
          </w:p>
        </w:tc>
        <w:tc>
          <w:tcPr>
            <w:tcW w:w="2029" w:type="dxa"/>
            <w:shd w:val="clear" w:color="auto" w:fill="auto"/>
          </w:tcPr>
          <w:p w14:paraId="6958A2F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委員羅美玲</w:t>
            </w:r>
          </w:p>
          <w:p w14:paraId="08718BD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070E9F5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7034CC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（10-2-6）</w:t>
            </w:r>
          </w:p>
        </w:tc>
        <w:tc>
          <w:tcPr>
            <w:tcW w:w="1600" w:type="dxa"/>
            <w:shd w:val="clear" w:color="auto" w:fill="auto"/>
          </w:tcPr>
          <w:p w14:paraId="34A46FE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2365474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12EE0B" w14:textId="77777777" w:rsidTr="00AE12CD">
        <w:tc>
          <w:tcPr>
            <w:tcW w:w="631" w:type="dxa"/>
            <w:shd w:val="clear" w:color="auto" w:fill="auto"/>
          </w:tcPr>
          <w:p w14:paraId="5B780B14"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19</w:t>
            </w:r>
          </w:p>
        </w:tc>
        <w:tc>
          <w:tcPr>
            <w:tcW w:w="2898" w:type="dxa"/>
            <w:shd w:val="clear" w:color="auto" w:fill="auto"/>
          </w:tcPr>
          <w:p w14:paraId="274DEDB0"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6.內政部組織法第八條之</w:t>
            </w:r>
            <w:r w:rsidRPr="00026143">
              <w:rPr>
                <w:rFonts w:ascii="標楷體" w:eastAsia="標楷體" w:hAnsi="標楷體"/>
                <w:color w:val="000000" w:themeColor="text1"/>
              </w:rPr>
              <w:lastRenderedPageBreak/>
              <w:t>一及第十三條條文修正草案（刪除§8-1；修正§13。修正重點：內政部兒童局之相關業務業已移交至衛生福利部社會家庭署，故刪除相關條文；法律上「殘障」一詞已統一正名為「身心障礙者」，本法亦應修正之。）</w:t>
            </w:r>
          </w:p>
        </w:tc>
        <w:tc>
          <w:tcPr>
            <w:tcW w:w="2029" w:type="dxa"/>
            <w:shd w:val="clear" w:color="auto" w:fill="auto"/>
          </w:tcPr>
          <w:p w14:paraId="73A4303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委員許智傑</w:t>
            </w:r>
          </w:p>
          <w:p w14:paraId="7CDB499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 xml:space="preserve">等25人 </w:t>
            </w:r>
          </w:p>
          <w:p w14:paraId="03A2C69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16A9C3F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（10-2-6）</w:t>
            </w:r>
          </w:p>
        </w:tc>
        <w:tc>
          <w:tcPr>
            <w:tcW w:w="1600" w:type="dxa"/>
            <w:shd w:val="clear" w:color="auto" w:fill="auto"/>
          </w:tcPr>
          <w:p w14:paraId="09CF68D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r w:rsidRPr="00026143">
              <w:rPr>
                <w:rFonts w:ascii="標楷體" w:eastAsia="標楷體" w:hAnsi="標楷體"/>
                <w:color w:val="000000" w:themeColor="text1"/>
              </w:rPr>
              <w:lastRenderedPageBreak/>
              <w:t>、內政</w:t>
            </w:r>
          </w:p>
        </w:tc>
        <w:tc>
          <w:tcPr>
            <w:tcW w:w="1382" w:type="dxa"/>
            <w:shd w:val="clear" w:color="auto" w:fill="auto"/>
          </w:tcPr>
          <w:p w14:paraId="74F4F97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尚未審查</w:t>
            </w:r>
          </w:p>
        </w:tc>
      </w:tr>
      <w:tr w:rsidR="00EC13B7" w:rsidRPr="00026143" w14:paraId="3C8DB176" w14:textId="77777777" w:rsidTr="00AE12CD">
        <w:tc>
          <w:tcPr>
            <w:tcW w:w="631" w:type="dxa"/>
            <w:shd w:val="clear" w:color="auto" w:fill="auto"/>
          </w:tcPr>
          <w:p w14:paraId="7243159A"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lastRenderedPageBreak/>
              <w:t>20</w:t>
            </w:r>
          </w:p>
        </w:tc>
        <w:tc>
          <w:tcPr>
            <w:tcW w:w="2898" w:type="dxa"/>
            <w:shd w:val="clear" w:color="auto" w:fill="auto"/>
          </w:tcPr>
          <w:p w14:paraId="12A0ADA8"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7.內政部組織法第十三條條文修正草案（修正重點：修正文字「殘障」改為「失能」。）</w:t>
            </w:r>
          </w:p>
        </w:tc>
        <w:tc>
          <w:tcPr>
            <w:tcW w:w="2029" w:type="dxa"/>
            <w:shd w:val="clear" w:color="auto" w:fill="auto"/>
          </w:tcPr>
          <w:p w14:paraId="3932D17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委員賴品妤</w:t>
            </w:r>
          </w:p>
          <w:p w14:paraId="6D9B588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7B9F8AF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110.05.21</w:t>
            </w:r>
          </w:p>
          <w:p w14:paraId="32A2AC1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（10-3-13）</w:t>
            </w:r>
          </w:p>
        </w:tc>
        <w:tc>
          <w:tcPr>
            <w:tcW w:w="1600" w:type="dxa"/>
            <w:shd w:val="clear" w:color="auto" w:fill="auto"/>
          </w:tcPr>
          <w:p w14:paraId="25B125D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1806162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503E72A" w14:textId="77777777" w:rsidTr="00AE12CD">
        <w:tc>
          <w:tcPr>
            <w:tcW w:w="631" w:type="dxa"/>
            <w:shd w:val="clear" w:color="auto" w:fill="auto"/>
          </w:tcPr>
          <w:p w14:paraId="22DDD209"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21</w:t>
            </w:r>
          </w:p>
        </w:tc>
        <w:tc>
          <w:tcPr>
            <w:tcW w:w="2898" w:type="dxa"/>
            <w:shd w:val="clear" w:color="auto" w:fill="auto"/>
          </w:tcPr>
          <w:p w14:paraId="32CF78C4"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8.內政部組織法刪除第八條之一條文草案(刪除重點：兒童局移撥併入至衛生福利部社會家庭署，故刪除該條文。)</w:t>
            </w:r>
          </w:p>
        </w:tc>
        <w:tc>
          <w:tcPr>
            <w:tcW w:w="2029" w:type="dxa"/>
            <w:shd w:val="clear" w:color="auto" w:fill="auto"/>
          </w:tcPr>
          <w:p w14:paraId="5C58B45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委員吳琪銘</w:t>
            </w:r>
          </w:p>
          <w:p w14:paraId="520B763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1CC2616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681EEB2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（10-4-7）</w:t>
            </w:r>
          </w:p>
        </w:tc>
        <w:tc>
          <w:tcPr>
            <w:tcW w:w="1600" w:type="dxa"/>
            <w:shd w:val="clear" w:color="auto" w:fill="auto"/>
          </w:tcPr>
          <w:p w14:paraId="05302F5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2495770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4A55F40" w14:textId="77777777" w:rsidTr="00AE12CD">
        <w:tc>
          <w:tcPr>
            <w:tcW w:w="631" w:type="dxa"/>
            <w:shd w:val="clear" w:color="auto" w:fill="auto"/>
          </w:tcPr>
          <w:p w14:paraId="51C802C2"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22</w:t>
            </w:r>
          </w:p>
        </w:tc>
        <w:tc>
          <w:tcPr>
            <w:tcW w:w="2898" w:type="dxa"/>
            <w:shd w:val="clear" w:color="auto" w:fill="auto"/>
          </w:tcPr>
          <w:p w14:paraId="011EB7C7"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9.內政部組織法刪除第八條之一條文草案(刪除重點：兒童局移撥至衛生福利部社會及家庭署，故刪除該條文。)</w:t>
            </w:r>
          </w:p>
        </w:tc>
        <w:tc>
          <w:tcPr>
            <w:tcW w:w="2029" w:type="dxa"/>
            <w:shd w:val="clear" w:color="auto" w:fill="auto"/>
          </w:tcPr>
          <w:p w14:paraId="127D04F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委員賴惠員</w:t>
            </w:r>
          </w:p>
          <w:p w14:paraId="61344FF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EEDCDE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110.11.12 </w:t>
            </w:r>
          </w:p>
          <w:p w14:paraId="7401EEF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（10-4-9）</w:t>
            </w:r>
          </w:p>
        </w:tc>
        <w:tc>
          <w:tcPr>
            <w:tcW w:w="1600" w:type="dxa"/>
            <w:shd w:val="clear" w:color="auto" w:fill="auto"/>
          </w:tcPr>
          <w:p w14:paraId="093A3D5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1A50464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437473F" w14:textId="77777777" w:rsidTr="00AE12CD">
        <w:tc>
          <w:tcPr>
            <w:tcW w:w="631" w:type="dxa"/>
            <w:shd w:val="clear" w:color="auto" w:fill="auto"/>
          </w:tcPr>
          <w:p w14:paraId="2743CFFA"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23</w:t>
            </w:r>
          </w:p>
        </w:tc>
        <w:tc>
          <w:tcPr>
            <w:tcW w:w="2898" w:type="dxa"/>
            <w:shd w:val="clear" w:color="auto" w:fill="auto"/>
          </w:tcPr>
          <w:p w14:paraId="6F8E665C"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10.內政部組織法修正草案(共7條。修正重點：配合行政院組織調整，另考量國家公園業務屬於生態環境維持及復育為主要設立目的，業務放入內政部似有疑義。)</w:t>
            </w:r>
          </w:p>
        </w:tc>
        <w:tc>
          <w:tcPr>
            <w:tcW w:w="2029" w:type="dxa"/>
            <w:shd w:val="clear" w:color="auto" w:fill="auto"/>
          </w:tcPr>
          <w:p w14:paraId="3E78F664" w14:textId="01E27DAE"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台灣民眾黨黨團 </w:t>
            </w:r>
          </w:p>
          <w:p w14:paraId="4191367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7AE4434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（10-5-14）</w:t>
            </w:r>
          </w:p>
        </w:tc>
        <w:tc>
          <w:tcPr>
            <w:tcW w:w="1600" w:type="dxa"/>
            <w:shd w:val="clear" w:color="auto" w:fill="auto"/>
          </w:tcPr>
          <w:p w14:paraId="21F6144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8738EB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E7C99BB" w14:textId="77777777" w:rsidTr="00073E92">
        <w:tc>
          <w:tcPr>
            <w:tcW w:w="631" w:type="dxa"/>
            <w:shd w:val="clear" w:color="auto" w:fill="auto"/>
          </w:tcPr>
          <w:p w14:paraId="57B4EF10"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24</w:t>
            </w:r>
          </w:p>
        </w:tc>
        <w:tc>
          <w:tcPr>
            <w:tcW w:w="2898" w:type="dxa"/>
            <w:shd w:val="clear" w:color="auto" w:fill="auto"/>
          </w:tcPr>
          <w:p w14:paraId="534414F9"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11.內政部組織法修正草案（共7條。修正重點：配合行政院組織調整。）</w:t>
            </w:r>
          </w:p>
        </w:tc>
        <w:tc>
          <w:tcPr>
            <w:tcW w:w="2029" w:type="dxa"/>
            <w:shd w:val="clear" w:color="auto" w:fill="auto"/>
          </w:tcPr>
          <w:p w14:paraId="75E57E5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委員王美惠</w:t>
            </w:r>
          </w:p>
          <w:p w14:paraId="002C4F9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等20人</w:t>
            </w:r>
          </w:p>
          <w:p w14:paraId="3EF6C72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1C42CE7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600" w:type="dxa"/>
            <w:shd w:val="clear" w:color="auto" w:fill="auto"/>
          </w:tcPr>
          <w:p w14:paraId="49F8061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4B0EB68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B81E6D9" w14:textId="77777777" w:rsidTr="00073E92">
        <w:tc>
          <w:tcPr>
            <w:tcW w:w="631" w:type="dxa"/>
            <w:shd w:val="clear" w:color="auto" w:fill="auto"/>
          </w:tcPr>
          <w:p w14:paraId="5D22621D"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25</w:t>
            </w:r>
          </w:p>
        </w:tc>
        <w:tc>
          <w:tcPr>
            <w:tcW w:w="2898" w:type="dxa"/>
            <w:shd w:val="clear" w:color="auto" w:fill="auto"/>
          </w:tcPr>
          <w:p w14:paraId="0B1AE1CF"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12.內政部組織法修正草案(共7條。修正重點：為配合行政院組織調整，爰依《行政院組織法》第三條及《中央行政機關組織基準法》第七條有關組織法規內容應包括事項等規定，提案修正。)</w:t>
            </w:r>
          </w:p>
        </w:tc>
        <w:tc>
          <w:tcPr>
            <w:tcW w:w="2029" w:type="dxa"/>
            <w:shd w:val="clear" w:color="auto" w:fill="auto"/>
          </w:tcPr>
          <w:p w14:paraId="21556B9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委員鄭天財</w:t>
            </w:r>
          </w:p>
          <w:p w14:paraId="650C30F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Sra Kacaw</w:t>
            </w:r>
          </w:p>
          <w:p w14:paraId="1FBFD37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1D20649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7EC0691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600" w:type="dxa"/>
            <w:shd w:val="clear" w:color="auto" w:fill="auto"/>
          </w:tcPr>
          <w:p w14:paraId="368DA9C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73B7C15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5A4F45A" w14:textId="77777777" w:rsidTr="00073E92">
        <w:tc>
          <w:tcPr>
            <w:tcW w:w="631" w:type="dxa"/>
            <w:shd w:val="clear" w:color="auto" w:fill="auto"/>
          </w:tcPr>
          <w:p w14:paraId="7181F98E"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26</w:t>
            </w:r>
          </w:p>
        </w:tc>
        <w:tc>
          <w:tcPr>
            <w:tcW w:w="2898" w:type="dxa"/>
            <w:shd w:val="clear" w:color="auto" w:fill="auto"/>
          </w:tcPr>
          <w:p w14:paraId="224FBDFD"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13.內政部組織法刪除第八條之一條文草案(刪除重點：鑑於內政部兒童局配合組織改造規劃，業務</w:t>
            </w:r>
            <w:r w:rsidRPr="00026143">
              <w:rPr>
                <w:rFonts w:ascii="標楷體" w:eastAsia="標楷體" w:hAnsi="標楷體"/>
                <w:color w:val="000000" w:themeColor="text1"/>
              </w:rPr>
              <w:lastRenderedPageBreak/>
              <w:t>已移撥衛生福利部社會及家庭署，爰提案刪除。)</w:t>
            </w:r>
          </w:p>
        </w:tc>
        <w:tc>
          <w:tcPr>
            <w:tcW w:w="2029" w:type="dxa"/>
            <w:shd w:val="clear" w:color="auto" w:fill="auto"/>
          </w:tcPr>
          <w:p w14:paraId="30EDAB23" w14:textId="77777777" w:rsidR="00400F42"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委員賴品妤</w:t>
            </w:r>
          </w:p>
          <w:p w14:paraId="55F06798" w14:textId="684888E5"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等18人</w:t>
            </w:r>
          </w:p>
          <w:p w14:paraId="7449CE2E" w14:textId="77777777" w:rsidR="00400F42"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02C328AF" w14:textId="1450A154"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（10-6-13）</w:t>
            </w:r>
          </w:p>
        </w:tc>
        <w:tc>
          <w:tcPr>
            <w:tcW w:w="1600" w:type="dxa"/>
            <w:shd w:val="clear" w:color="auto" w:fill="auto"/>
          </w:tcPr>
          <w:p w14:paraId="13FC7BB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582319E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A2BA145" w14:textId="77777777" w:rsidTr="00AE12CD">
        <w:tc>
          <w:tcPr>
            <w:tcW w:w="631" w:type="dxa"/>
            <w:shd w:val="clear" w:color="auto" w:fill="auto"/>
          </w:tcPr>
          <w:p w14:paraId="343F0733"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lastRenderedPageBreak/>
              <w:t>27</w:t>
            </w:r>
          </w:p>
        </w:tc>
        <w:tc>
          <w:tcPr>
            <w:tcW w:w="2898" w:type="dxa"/>
            <w:shd w:val="clear" w:color="auto" w:fill="auto"/>
          </w:tcPr>
          <w:p w14:paraId="7103F595"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2.內政部消防署組織條例第十四條條文修正草案（修正重點：消防人員於公務人員退休資遣撫卹法公布生效前辦理退休者，其所得替代率應比照國軍之規範。）</w:t>
            </w:r>
          </w:p>
        </w:tc>
        <w:tc>
          <w:tcPr>
            <w:tcW w:w="2029" w:type="dxa"/>
            <w:shd w:val="clear" w:color="auto" w:fill="auto"/>
          </w:tcPr>
          <w:p w14:paraId="3FF14EF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委員葉毓蘭</w:t>
            </w:r>
          </w:p>
          <w:p w14:paraId="276F1AB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C5FE4A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110.02.26 </w:t>
            </w:r>
          </w:p>
          <w:p w14:paraId="35D380C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（10-3-1）</w:t>
            </w:r>
          </w:p>
          <w:p w14:paraId="0E014A36" w14:textId="77777777" w:rsidR="00EC13B7" w:rsidRPr="00026143" w:rsidRDefault="00EC13B7" w:rsidP="00FB390D">
            <w:pPr>
              <w:kinsoku w:val="0"/>
              <w:topLinePunct/>
              <w:spacing w:line="300" w:lineRule="exact"/>
              <w:rPr>
                <w:rFonts w:ascii="標楷體" w:eastAsia="標楷體" w:hAnsi="標楷體"/>
                <w:color w:val="000000" w:themeColor="text1"/>
              </w:rPr>
            </w:pPr>
          </w:p>
        </w:tc>
        <w:tc>
          <w:tcPr>
            <w:tcW w:w="1600" w:type="dxa"/>
            <w:shd w:val="clear" w:color="auto" w:fill="auto"/>
          </w:tcPr>
          <w:p w14:paraId="6288B84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3211901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聯席會</w:t>
            </w:r>
          </w:p>
          <w:p w14:paraId="66D2CE6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110.10.27</w:t>
            </w:r>
          </w:p>
          <w:p w14:paraId="40460B4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（10-4-1）報告及詢答完畢，另定期繼續審查。</w:t>
            </w:r>
          </w:p>
        </w:tc>
      </w:tr>
      <w:tr w:rsidR="00EC13B7" w:rsidRPr="00026143" w14:paraId="6A7E93E3" w14:textId="77777777" w:rsidTr="00AE12CD">
        <w:tc>
          <w:tcPr>
            <w:tcW w:w="631" w:type="dxa"/>
            <w:shd w:val="clear" w:color="auto" w:fill="auto"/>
          </w:tcPr>
          <w:p w14:paraId="56D6C548"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28</w:t>
            </w:r>
          </w:p>
        </w:tc>
        <w:tc>
          <w:tcPr>
            <w:tcW w:w="2898" w:type="dxa"/>
            <w:shd w:val="clear" w:color="auto" w:fill="auto"/>
          </w:tcPr>
          <w:p w14:paraId="085B469B"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3.內政部消防署組織條例第十一條條文修正草案（修正重點：配合組織名稱變更，加工出口區修正為科技產業園區。）</w:t>
            </w:r>
          </w:p>
        </w:tc>
        <w:tc>
          <w:tcPr>
            <w:tcW w:w="2029" w:type="dxa"/>
            <w:shd w:val="clear" w:color="auto" w:fill="auto"/>
          </w:tcPr>
          <w:p w14:paraId="30B06DE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委員劉櫂豪</w:t>
            </w:r>
          </w:p>
          <w:p w14:paraId="7B75A06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A971C3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4222DFA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（10-3-10）</w:t>
            </w:r>
          </w:p>
        </w:tc>
        <w:tc>
          <w:tcPr>
            <w:tcW w:w="1600" w:type="dxa"/>
            <w:shd w:val="clear" w:color="auto" w:fill="auto"/>
          </w:tcPr>
          <w:p w14:paraId="4EEB93F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3E98335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聯席會</w:t>
            </w:r>
          </w:p>
          <w:p w14:paraId="6FF6447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110.10.27</w:t>
            </w:r>
          </w:p>
          <w:p w14:paraId="55AD0AA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（10-4-1）報告及詢答完畢，另定期繼續審查。</w:t>
            </w:r>
          </w:p>
        </w:tc>
      </w:tr>
      <w:tr w:rsidR="00EC13B7" w:rsidRPr="00026143" w14:paraId="1220E196" w14:textId="77777777" w:rsidTr="00073E92">
        <w:tc>
          <w:tcPr>
            <w:tcW w:w="631" w:type="dxa"/>
            <w:shd w:val="clear" w:color="auto" w:fill="auto"/>
          </w:tcPr>
          <w:p w14:paraId="14FC68E6"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29</w:t>
            </w:r>
          </w:p>
        </w:tc>
        <w:tc>
          <w:tcPr>
            <w:tcW w:w="2898" w:type="dxa"/>
            <w:shd w:val="clear" w:color="auto" w:fill="auto"/>
          </w:tcPr>
          <w:p w14:paraId="3250F594"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2.內政部國土管理署組織法草案（共7條。制定重點：內政部為辦理國土之規劃、利用、管理、建築管理與住宅、都市更新、都市基礎及下水道工程等業務，特設本署。）</w:t>
            </w:r>
          </w:p>
        </w:tc>
        <w:tc>
          <w:tcPr>
            <w:tcW w:w="2029" w:type="dxa"/>
            <w:shd w:val="clear" w:color="auto" w:fill="auto"/>
          </w:tcPr>
          <w:p w14:paraId="66EA072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委員鄭天財</w:t>
            </w:r>
          </w:p>
          <w:p w14:paraId="3B22567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Sra Kacaw</w:t>
            </w:r>
          </w:p>
          <w:p w14:paraId="2F5AE1A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等18人</w:t>
            </w:r>
          </w:p>
          <w:p w14:paraId="4C8F8AC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111.09.23 </w:t>
            </w:r>
          </w:p>
          <w:p w14:paraId="39CBB63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w:t>
            </w:r>
          </w:p>
        </w:tc>
        <w:tc>
          <w:tcPr>
            <w:tcW w:w="1600" w:type="dxa"/>
            <w:shd w:val="clear" w:color="auto" w:fill="auto"/>
          </w:tcPr>
          <w:p w14:paraId="571AC94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39A88C7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4373116" w14:textId="77777777" w:rsidTr="00073E92">
        <w:tc>
          <w:tcPr>
            <w:tcW w:w="631" w:type="dxa"/>
            <w:shd w:val="clear" w:color="auto" w:fill="auto"/>
          </w:tcPr>
          <w:p w14:paraId="127AE7C0"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30</w:t>
            </w:r>
          </w:p>
        </w:tc>
        <w:tc>
          <w:tcPr>
            <w:tcW w:w="2898" w:type="dxa"/>
            <w:shd w:val="clear" w:color="auto" w:fill="auto"/>
          </w:tcPr>
          <w:p w14:paraId="10196354"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w:t>
            </w:r>
            <w:r w:rsidRPr="00026143">
              <w:rPr>
                <w:rFonts w:ascii="標楷體" w:eastAsia="標楷體" w:hAnsi="標楷體"/>
                <w:color w:val="000000" w:themeColor="text1"/>
              </w:rPr>
              <w:t>.內政部國土管理署組織法草案(共7條。制定重點：內政部為辦理國土之規劃、利用、管理、建築管理與住宅、都市更新、都市基礎及下水道工程等業務，特設本署。）</w:t>
            </w:r>
          </w:p>
        </w:tc>
        <w:tc>
          <w:tcPr>
            <w:tcW w:w="2029" w:type="dxa"/>
            <w:shd w:val="clear" w:color="auto" w:fill="auto"/>
          </w:tcPr>
          <w:p w14:paraId="3904584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委員陳玉珍</w:t>
            </w:r>
          </w:p>
          <w:p w14:paraId="76BC19B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等18人</w:t>
            </w:r>
          </w:p>
          <w:p w14:paraId="2933BE4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41185F9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（10-6-6）</w:t>
            </w:r>
          </w:p>
        </w:tc>
        <w:tc>
          <w:tcPr>
            <w:tcW w:w="1600" w:type="dxa"/>
            <w:shd w:val="clear" w:color="auto" w:fill="auto"/>
          </w:tcPr>
          <w:p w14:paraId="5F1933D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64E5F00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688E42F" w14:textId="77777777" w:rsidTr="00073E92">
        <w:tc>
          <w:tcPr>
            <w:tcW w:w="631" w:type="dxa"/>
            <w:shd w:val="clear" w:color="auto" w:fill="auto"/>
          </w:tcPr>
          <w:p w14:paraId="3462F754"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31</w:t>
            </w:r>
          </w:p>
        </w:tc>
        <w:tc>
          <w:tcPr>
            <w:tcW w:w="2898" w:type="dxa"/>
            <w:shd w:val="clear" w:color="auto" w:fill="auto"/>
          </w:tcPr>
          <w:p w14:paraId="53B71F4A"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2.內政部國家公園署組織法草案(共10條。制定重點：配合行政院推動組織改造。)</w:t>
            </w:r>
          </w:p>
        </w:tc>
        <w:tc>
          <w:tcPr>
            <w:tcW w:w="2029" w:type="dxa"/>
            <w:shd w:val="clear" w:color="auto" w:fill="auto"/>
          </w:tcPr>
          <w:p w14:paraId="3338488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委員林奕華</w:t>
            </w:r>
          </w:p>
          <w:p w14:paraId="11442DE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7FA2BBB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2108DE9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600" w:type="dxa"/>
            <w:shd w:val="clear" w:color="auto" w:fill="auto"/>
          </w:tcPr>
          <w:p w14:paraId="6C4FD87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4E301B0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587A9CE" w14:textId="77777777" w:rsidTr="00073E92">
        <w:tc>
          <w:tcPr>
            <w:tcW w:w="631" w:type="dxa"/>
            <w:shd w:val="clear" w:color="auto" w:fill="auto"/>
          </w:tcPr>
          <w:p w14:paraId="6CA6AB59"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32</w:t>
            </w:r>
          </w:p>
        </w:tc>
        <w:tc>
          <w:tcPr>
            <w:tcW w:w="2898" w:type="dxa"/>
            <w:shd w:val="clear" w:color="auto" w:fill="auto"/>
          </w:tcPr>
          <w:p w14:paraId="51087216"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3.內政部國家公園署組織法草案（共7條。制定重點：為辦理國家公園、國家自然公園管理業務，特設本署。）</w:t>
            </w:r>
          </w:p>
        </w:tc>
        <w:tc>
          <w:tcPr>
            <w:tcW w:w="2029" w:type="dxa"/>
            <w:shd w:val="clear" w:color="auto" w:fill="auto"/>
          </w:tcPr>
          <w:p w14:paraId="4C0DA07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委員鄭天財</w:t>
            </w:r>
          </w:p>
          <w:p w14:paraId="41D1D35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Sra Kacaw</w:t>
            </w:r>
          </w:p>
          <w:p w14:paraId="29A58FD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等18人</w:t>
            </w:r>
          </w:p>
          <w:p w14:paraId="4F8BFFC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111.09.23 </w:t>
            </w:r>
          </w:p>
          <w:p w14:paraId="48E0328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w:t>
            </w:r>
          </w:p>
        </w:tc>
        <w:tc>
          <w:tcPr>
            <w:tcW w:w="1600" w:type="dxa"/>
            <w:shd w:val="clear" w:color="auto" w:fill="auto"/>
          </w:tcPr>
          <w:p w14:paraId="5BFE8E6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4FAAC65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C6604D5" w14:textId="77777777" w:rsidTr="00073E92">
        <w:tc>
          <w:tcPr>
            <w:tcW w:w="631" w:type="dxa"/>
            <w:shd w:val="clear" w:color="auto" w:fill="auto"/>
          </w:tcPr>
          <w:p w14:paraId="208A3880"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33</w:t>
            </w:r>
          </w:p>
        </w:tc>
        <w:tc>
          <w:tcPr>
            <w:tcW w:w="2898" w:type="dxa"/>
            <w:shd w:val="clear" w:color="auto" w:fill="auto"/>
          </w:tcPr>
          <w:p w14:paraId="71A65938"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4.內政部國家公園署組織法草案（共7條。制定重點：配合行政院組織調整。為辦理國家公園、國家自然公園、都會公園、濕地及海岸管理業務，特設國家公園署。）</w:t>
            </w:r>
          </w:p>
        </w:tc>
        <w:tc>
          <w:tcPr>
            <w:tcW w:w="2029" w:type="dxa"/>
            <w:shd w:val="clear" w:color="auto" w:fill="auto"/>
          </w:tcPr>
          <w:p w14:paraId="15B9A79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委員王美惠</w:t>
            </w:r>
          </w:p>
          <w:p w14:paraId="0E5E20A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4C1731E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30E2749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600" w:type="dxa"/>
            <w:shd w:val="clear" w:color="auto" w:fill="auto"/>
          </w:tcPr>
          <w:p w14:paraId="7A9E85A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2E79A97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AD5B23E" w14:textId="77777777" w:rsidTr="00073E92">
        <w:tc>
          <w:tcPr>
            <w:tcW w:w="631" w:type="dxa"/>
            <w:shd w:val="clear" w:color="auto" w:fill="auto"/>
          </w:tcPr>
          <w:p w14:paraId="40D41C5F"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lastRenderedPageBreak/>
              <w:t>34</w:t>
            </w:r>
          </w:p>
        </w:tc>
        <w:tc>
          <w:tcPr>
            <w:tcW w:w="2898" w:type="dxa"/>
            <w:shd w:val="clear" w:color="auto" w:fill="auto"/>
          </w:tcPr>
          <w:p w14:paraId="24513CCF"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5.內政部國家公園署組織法草案（共7條。制定重點：配合行政院組織調整，為辦理國家公園、國家自然公園、濕地及海岸管理業務，特設國家公園署。）</w:t>
            </w:r>
          </w:p>
        </w:tc>
        <w:tc>
          <w:tcPr>
            <w:tcW w:w="2029" w:type="dxa"/>
            <w:shd w:val="clear" w:color="auto" w:fill="auto"/>
          </w:tcPr>
          <w:p w14:paraId="5B9691F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委員黃國書</w:t>
            </w:r>
          </w:p>
          <w:p w14:paraId="3A697BA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等21人 </w:t>
            </w:r>
          </w:p>
          <w:p w14:paraId="7BB8A85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761F6ED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600" w:type="dxa"/>
            <w:shd w:val="clear" w:color="auto" w:fill="auto"/>
          </w:tcPr>
          <w:p w14:paraId="2EED235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5A70F78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EDE4126" w14:textId="77777777" w:rsidTr="00073E92">
        <w:tc>
          <w:tcPr>
            <w:tcW w:w="631" w:type="dxa"/>
            <w:shd w:val="clear" w:color="auto" w:fill="auto"/>
          </w:tcPr>
          <w:p w14:paraId="3323BC15"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35</w:t>
            </w:r>
          </w:p>
        </w:tc>
        <w:tc>
          <w:tcPr>
            <w:tcW w:w="2898" w:type="dxa"/>
            <w:shd w:val="clear" w:color="auto" w:fill="auto"/>
          </w:tcPr>
          <w:p w14:paraId="7CF33702"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6.內政部國家公園署組織法草案（共7條。制定重點：配合行政院組織調整，為辦理國家公園、國家自然公園、濕地及海岸管理業務，特設國家公園署。）</w:t>
            </w:r>
          </w:p>
        </w:tc>
        <w:tc>
          <w:tcPr>
            <w:tcW w:w="2029" w:type="dxa"/>
            <w:shd w:val="clear" w:color="auto" w:fill="auto"/>
          </w:tcPr>
          <w:p w14:paraId="19924F9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委員湯蕙禎</w:t>
            </w:r>
          </w:p>
          <w:p w14:paraId="1D037A0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296CCD7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4E12F1D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600" w:type="dxa"/>
            <w:shd w:val="clear" w:color="auto" w:fill="auto"/>
          </w:tcPr>
          <w:p w14:paraId="47D3E9D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382" w:type="dxa"/>
            <w:shd w:val="clear" w:color="auto" w:fill="auto"/>
          </w:tcPr>
          <w:p w14:paraId="27BED42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76DA27E" w14:textId="77777777" w:rsidTr="00073E92">
        <w:tc>
          <w:tcPr>
            <w:tcW w:w="631" w:type="dxa"/>
            <w:shd w:val="clear" w:color="auto" w:fill="auto"/>
          </w:tcPr>
          <w:p w14:paraId="0F762C3E"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36</w:t>
            </w:r>
          </w:p>
        </w:tc>
        <w:tc>
          <w:tcPr>
            <w:tcW w:w="2898" w:type="dxa"/>
            <w:shd w:val="clear" w:color="auto" w:fill="auto"/>
          </w:tcPr>
          <w:p w14:paraId="438C0D68"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7</w:t>
            </w:r>
            <w:r w:rsidRPr="00026143">
              <w:rPr>
                <w:rFonts w:ascii="標楷體" w:eastAsia="標楷體" w:hAnsi="標楷體"/>
                <w:color w:val="000000" w:themeColor="text1"/>
              </w:rPr>
              <w:t>.內政部國家公園署組織法草案(共7條。制定重點：內政部為辦理國家公園、國家自然公園、公園綠地、濕地保育及海岸管理業務，特設本署。）</w:t>
            </w:r>
          </w:p>
        </w:tc>
        <w:tc>
          <w:tcPr>
            <w:tcW w:w="2029" w:type="dxa"/>
            <w:shd w:val="clear" w:color="auto" w:fill="auto"/>
          </w:tcPr>
          <w:p w14:paraId="6EEB222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委員陳玉珍</w:t>
            </w:r>
          </w:p>
          <w:p w14:paraId="4D8AF88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76E421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0BEB4D4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（10-6-6）</w:t>
            </w:r>
          </w:p>
        </w:tc>
        <w:tc>
          <w:tcPr>
            <w:tcW w:w="1600" w:type="dxa"/>
            <w:shd w:val="clear" w:color="auto" w:fill="auto"/>
          </w:tcPr>
          <w:p w14:paraId="5D0017C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679CDA3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44E2024" w14:textId="77777777" w:rsidTr="00AE12CD">
        <w:tc>
          <w:tcPr>
            <w:tcW w:w="631" w:type="dxa"/>
            <w:shd w:val="clear" w:color="auto" w:fill="auto"/>
          </w:tcPr>
          <w:p w14:paraId="13FF7C11"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37</w:t>
            </w:r>
          </w:p>
        </w:tc>
        <w:tc>
          <w:tcPr>
            <w:tcW w:w="2898" w:type="dxa"/>
            <w:shd w:val="clear" w:color="auto" w:fill="auto"/>
          </w:tcPr>
          <w:p w14:paraId="4B4745CF"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1.內政部警政署組織法第二條、第五條及第六條條文修正草案（修正重點：增訂「保護組」及「社會保護警察總隊」，保障婦幼及弱勢安全等相關保護業務。）</w:t>
            </w:r>
          </w:p>
        </w:tc>
        <w:tc>
          <w:tcPr>
            <w:tcW w:w="2029" w:type="dxa"/>
            <w:shd w:val="clear" w:color="auto" w:fill="auto"/>
          </w:tcPr>
          <w:p w14:paraId="084DE16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委員葉毓蘭</w:t>
            </w:r>
          </w:p>
          <w:p w14:paraId="2ECDFA8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F10BE0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109.10.06 </w:t>
            </w:r>
          </w:p>
          <w:p w14:paraId="3057A44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（10-2-3）</w:t>
            </w:r>
          </w:p>
        </w:tc>
        <w:tc>
          <w:tcPr>
            <w:tcW w:w="1600" w:type="dxa"/>
            <w:shd w:val="clear" w:color="auto" w:fill="auto"/>
          </w:tcPr>
          <w:p w14:paraId="2D453FE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54B18F8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聯席會</w:t>
            </w:r>
          </w:p>
          <w:p w14:paraId="3ADB3B1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110.10.27</w:t>
            </w:r>
          </w:p>
          <w:p w14:paraId="07773C3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（10-4-1）報告及詢答完畢，另定期繼續審查。</w:t>
            </w:r>
          </w:p>
        </w:tc>
      </w:tr>
      <w:tr w:rsidR="00EC13B7" w:rsidRPr="00026143" w14:paraId="36FCF3EA" w14:textId="77777777" w:rsidTr="00AE12CD">
        <w:tc>
          <w:tcPr>
            <w:tcW w:w="631" w:type="dxa"/>
            <w:shd w:val="clear" w:color="auto" w:fill="auto"/>
          </w:tcPr>
          <w:p w14:paraId="4433B8DB"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38</w:t>
            </w:r>
          </w:p>
        </w:tc>
        <w:tc>
          <w:tcPr>
            <w:tcW w:w="2898" w:type="dxa"/>
            <w:shd w:val="clear" w:color="auto" w:fill="auto"/>
          </w:tcPr>
          <w:p w14:paraId="0F4770BE"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2.內政部警政署組織法第二條及第六條條文修正草案（修正重點：動保案件調查過程中，僅仰賴動物保護檢查員進行稽查，但因人力不足，且未具有司法調查權與偵查專業，故增設動物保護警察局。）</w:t>
            </w:r>
          </w:p>
        </w:tc>
        <w:tc>
          <w:tcPr>
            <w:tcW w:w="2029" w:type="dxa"/>
            <w:shd w:val="clear" w:color="auto" w:fill="auto"/>
          </w:tcPr>
          <w:p w14:paraId="42BCF1E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659A072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110.09.17 </w:t>
            </w:r>
          </w:p>
          <w:p w14:paraId="61127A1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（10-4-1）</w:t>
            </w:r>
          </w:p>
        </w:tc>
        <w:tc>
          <w:tcPr>
            <w:tcW w:w="1600" w:type="dxa"/>
            <w:shd w:val="clear" w:color="auto" w:fill="auto"/>
          </w:tcPr>
          <w:p w14:paraId="1CE3241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50EC6EB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聯席會</w:t>
            </w:r>
          </w:p>
          <w:p w14:paraId="1960D6C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110.10.27</w:t>
            </w:r>
          </w:p>
          <w:p w14:paraId="331B3CE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（10-4-1）報告及詢答完畢，另定期繼續審查。</w:t>
            </w:r>
          </w:p>
        </w:tc>
      </w:tr>
      <w:tr w:rsidR="00EC13B7" w:rsidRPr="00026143" w14:paraId="13B7DA05" w14:textId="77777777" w:rsidTr="00AE12CD">
        <w:tc>
          <w:tcPr>
            <w:tcW w:w="631" w:type="dxa"/>
            <w:shd w:val="clear" w:color="auto" w:fill="auto"/>
          </w:tcPr>
          <w:p w14:paraId="21262B1B"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39</w:t>
            </w:r>
          </w:p>
        </w:tc>
        <w:tc>
          <w:tcPr>
            <w:tcW w:w="2898" w:type="dxa"/>
            <w:shd w:val="clear" w:color="auto" w:fill="auto"/>
          </w:tcPr>
          <w:p w14:paraId="50506F24"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1.廢止「行政院大陸委員會組織條例」(廢止重點：「行政院大陸委員會」改制為「大陸委員會」，配合辦理廢止。)</w:t>
            </w:r>
          </w:p>
        </w:tc>
        <w:tc>
          <w:tcPr>
            <w:tcW w:w="2029" w:type="dxa"/>
            <w:shd w:val="clear" w:color="auto" w:fill="auto"/>
          </w:tcPr>
          <w:p w14:paraId="38C4AB1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6BE48A9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111.03.01 </w:t>
            </w:r>
          </w:p>
          <w:p w14:paraId="39A598A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（10-5-1）</w:t>
            </w:r>
          </w:p>
        </w:tc>
        <w:tc>
          <w:tcPr>
            <w:tcW w:w="1600" w:type="dxa"/>
            <w:shd w:val="clear" w:color="auto" w:fill="auto"/>
          </w:tcPr>
          <w:p w14:paraId="20DDF16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7D828867"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CD47A52" w14:textId="77777777" w:rsidTr="00AE12CD">
        <w:tc>
          <w:tcPr>
            <w:tcW w:w="631" w:type="dxa"/>
            <w:shd w:val="clear" w:color="auto" w:fill="auto"/>
          </w:tcPr>
          <w:p w14:paraId="0F33BC60"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40</w:t>
            </w:r>
          </w:p>
        </w:tc>
        <w:tc>
          <w:tcPr>
            <w:tcW w:w="2898" w:type="dxa"/>
            <w:shd w:val="clear" w:color="auto" w:fill="auto"/>
          </w:tcPr>
          <w:p w14:paraId="4ECE5816"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2.廢止「行政院大陸委員會組織條例」（廢止重點：大陸委員會組織法定自民國107年7月2日施行，並依「中央行政機關組織基準法」訂定該會組織法</w:t>
            </w:r>
            <w:r w:rsidRPr="00026143">
              <w:rPr>
                <w:rFonts w:ascii="標楷體" w:eastAsia="標楷體" w:hAnsi="標楷體"/>
                <w:color w:val="000000" w:themeColor="text1"/>
              </w:rPr>
              <w:lastRenderedPageBreak/>
              <w:t>規據以銜接適用。依「中央法規標準法」第二十一條第四款規定，原行政院大陸委員會組織法律已無適用之必要，應配合辦理廢止。）</w:t>
            </w:r>
          </w:p>
        </w:tc>
        <w:tc>
          <w:tcPr>
            <w:tcW w:w="2029" w:type="dxa"/>
            <w:shd w:val="clear" w:color="auto" w:fill="auto"/>
          </w:tcPr>
          <w:p w14:paraId="5D161A1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委員沈發惠</w:t>
            </w:r>
          </w:p>
          <w:p w14:paraId="33F38C8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1628B9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C918E9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（10-2-6）</w:t>
            </w:r>
          </w:p>
        </w:tc>
        <w:tc>
          <w:tcPr>
            <w:tcW w:w="1600" w:type="dxa"/>
            <w:shd w:val="clear" w:color="auto" w:fill="auto"/>
          </w:tcPr>
          <w:p w14:paraId="57194C2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008AEDE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1939F0" w14:textId="77777777" w:rsidTr="00AE12CD">
        <w:tc>
          <w:tcPr>
            <w:tcW w:w="631" w:type="dxa"/>
            <w:shd w:val="clear" w:color="auto" w:fill="auto"/>
          </w:tcPr>
          <w:p w14:paraId="2E6594BA"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lastRenderedPageBreak/>
              <w:t>41</w:t>
            </w:r>
          </w:p>
        </w:tc>
        <w:tc>
          <w:tcPr>
            <w:tcW w:w="2898" w:type="dxa"/>
            <w:shd w:val="clear" w:color="auto" w:fill="auto"/>
          </w:tcPr>
          <w:p w14:paraId="0A076908"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3.廢止「行政院大陸委員會組織條例」(廢止重點：大陸委員會組織法與行政院大陸委員會組織條例就同一事項重複規範，爰提案廢止。)</w:t>
            </w:r>
          </w:p>
        </w:tc>
        <w:tc>
          <w:tcPr>
            <w:tcW w:w="2029" w:type="dxa"/>
            <w:shd w:val="clear" w:color="auto" w:fill="auto"/>
          </w:tcPr>
          <w:p w14:paraId="595519F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委員江永昌</w:t>
            </w:r>
          </w:p>
          <w:p w14:paraId="30D3070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2AC27F8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02A21C0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（10-5-7）</w:t>
            </w:r>
          </w:p>
        </w:tc>
        <w:tc>
          <w:tcPr>
            <w:tcW w:w="1600" w:type="dxa"/>
            <w:shd w:val="clear" w:color="auto" w:fill="auto"/>
          </w:tcPr>
          <w:p w14:paraId="201B14A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49F46D7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1146E4" w14:textId="77777777" w:rsidTr="00AE12CD">
        <w:tc>
          <w:tcPr>
            <w:tcW w:w="631" w:type="dxa"/>
            <w:shd w:val="clear" w:color="auto" w:fill="auto"/>
          </w:tcPr>
          <w:p w14:paraId="7FD08ABE"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42</w:t>
            </w:r>
          </w:p>
        </w:tc>
        <w:tc>
          <w:tcPr>
            <w:tcW w:w="2898" w:type="dxa"/>
            <w:shd w:val="clear" w:color="auto" w:fill="auto"/>
          </w:tcPr>
          <w:p w14:paraId="7E67A410"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4.廢止「行政院大陸委員會組織條例」(廢止重點：行政院大陸委員會2018年正式更名為大陸委員會，爰提案廢止。)</w:t>
            </w:r>
          </w:p>
        </w:tc>
        <w:tc>
          <w:tcPr>
            <w:tcW w:w="2029" w:type="dxa"/>
            <w:shd w:val="clear" w:color="auto" w:fill="auto"/>
          </w:tcPr>
          <w:p w14:paraId="690E028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委員林昶佐</w:t>
            </w:r>
          </w:p>
          <w:p w14:paraId="5984EE7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BBCD56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76545EA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（10-5-13）</w:t>
            </w:r>
          </w:p>
        </w:tc>
        <w:tc>
          <w:tcPr>
            <w:tcW w:w="1600" w:type="dxa"/>
            <w:shd w:val="clear" w:color="auto" w:fill="auto"/>
          </w:tcPr>
          <w:p w14:paraId="1DC1403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19C9FD9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401647A" w14:textId="77777777" w:rsidTr="00AE12CD">
        <w:tc>
          <w:tcPr>
            <w:tcW w:w="631" w:type="dxa"/>
            <w:shd w:val="clear" w:color="auto" w:fill="auto"/>
          </w:tcPr>
          <w:p w14:paraId="32D980E8"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43</w:t>
            </w:r>
          </w:p>
        </w:tc>
        <w:tc>
          <w:tcPr>
            <w:tcW w:w="2898" w:type="dxa"/>
            <w:shd w:val="clear" w:color="auto" w:fill="auto"/>
          </w:tcPr>
          <w:p w14:paraId="5D33034B"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海洋委員會組織法第一條、第二條及第五條條文修正草案（修正重點：原屬農業委員會之漁業署納入海洋委員會之次級機關。）</w:t>
            </w:r>
          </w:p>
        </w:tc>
        <w:tc>
          <w:tcPr>
            <w:tcW w:w="2029" w:type="dxa"/>
            <w:shd w:val="clear" w:color="auto" w:fill="auto"/>
          </w:tcPr>
          <w:p w14:paraId="09124B3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委員賴瑞隆</w:t>
            </w:r>
          </w:p>
          <w:p w14:paraId="1DDD015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289E19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110.04.16 </w:t>
            </w:r>
          </w:p>
          <w:p w14:paraId="3EA130E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（10-3-8）</w:t>
            </w:r>
          </w:p>
        </w:tc>
        <w:tc>
          <w:tcPr>
            <w:tcW w:w="1600" w:type="dxa"/>
            <w:shd w:val="clear" w:color="auto" w:fill="auto"/>
          </w:tcPr>
          <w:p w14:paraId="48DE0B3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096071F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91CD18E" w14:textId="77777777" w:rsidTr="00AE12CD">
        <w:tc>
          <w:tcPr>
            <w:tcW w:w="631" w:type="dxa"/>
            <w:shd w:val="clear" w:color="auto" w:fill="auto"/>
          </w:tcPr>
          <w:p w14:paraId="5478824C"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44</w:t>
            </w:r>
          </w:p>
        </w:tc>
        <w:tc>
          <w:tcPr>
            <w:tcW w:w="2898" w:type="dxa"/>
            <w:shd w:val="clear" w:color="auto" w:fill="auto"/>
          </w:tcPr>
          <w:p w14:paraId="2E2B7F9E"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海洋委員會漁業署組織法草案（共8條。制定重點：為辦理漁業、漁港業務，特制定本法。）</w:t>
            </w:r>
          </w:p>
        </w:tc>
        <w:tc>
          <w:tcPr>
            <w:tcW w:w="2029" w:type="dxa"/>
            <w:shd w:val="clear" w:color="auto" w:fill="auto"/>
          </w:tcPr>
          <w:p w14:paraId="55CB9A5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委員賴瑞隆</w:t>
            </w:r>
          </w:p>
          <w:p w14:paraId="7EED533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719F8EF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110.04.16 </w:t>
            </w:r>
          </w:p>
          <w:p w14:paraId="113BCBE2"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（10-3-8）</w:t>
            </w:r>
          </w:p>
        </w:tc>
        <w:tc>
          <w:tcPr>
            <w:tcW w:w="1600" w:type="dxa"/>
            <w:shd w:val="clear" w:color="auto" w:fill="auto"/>
          </w:tcPr>
          <w:p w14:paraId="3E095B3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07FD3D1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11A11D" w14:textId="77777777" w:rsidTr="00AE12CD">
        <w:tc>
          <w:tcPr>
            <w:tcW w:w="631" w:type="dxa"/>
            <w:shd w:val="clear" w:color="auto" w:fill="auto"/>
          </w:tcPr>
          <w:p w14:paraId="019FEB4A"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45</w:t>
            </w:r>
          </w:p>
        </w:tc>
        <w:tc>
          <w:tcPr>
            <w:tcW w:w="2898" w:type="dxa"/>
            <w:shd w:val="clear" w:color="auto" w:fill="auto"/>
          </w:tcPr>
          <w:p w14:paraId="6F1219EC"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廢止「行政院原住民族委員會文化園區管理局組織條例」(廢止重點：「行政院原住民族委員會文化園區管理局」改制為「原住民族委員會原住民族文化發展中心」，爰廢止本條例。)</w:t>
            </w:r>
          </w:p>
        </w:tc>
        <w:tc>
          <w:tcPr>
            <w:tcW w:w="2029" w:type="dxa"/>
            <w:shd w:val="clear" w:color="auto" w:fill="auto"/>
          </w:tcPr>
          <w:p w14:paraId="24795AB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5E9AC82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111.03.01</w:t>
            </w:r>
          </w:p>
          <w:p w14:paraId="72FE0CB5"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（10-5-1）</w:t>
            </w:r>
          </w:p>
        </w:tc>
        <w:tc>
          <w:tcPr>
            <w:tcW w:w="1600" w:type="dxa"/>
            <w:shd w:val="clear" w:color="auto" w:fill="auto"/>
          </w:tcPr>
          <w:p w14:paraId="173A7BF6"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39B237C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56645B" w14:textId="77777777" w:rsidTr="00AE12CD">
        <w:tc>
          <w:tcPr>
            <w:tcW w:w="631" w:type="dxa"/>
            <w:shd w:val="clear" w:color="auto" w:fill="auto"/>
          </w:tcPr>
          <w:p w14:paraId="105E7947"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46</w:t>
            </w:r>
          </w:p>
        </w:tc>
        <w:tc>
          <w:tcPr>
            <w:tcW w:w="2898" w:type="dxa"/>
            <w:shd w:val="clear" w:color="auto" w:fill="auto"/>
          </w:tcPr>
          <w:p w14:paraId="135F64EC"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2.廢止「行政院原住民族委員會文化園區管理局組織條例」(廢止重點：配合組織調整。)</w:t>
            </w:r>
          </w:p>
        </w:tc>
        <w:tc>
          <w:tcPr>
            <w:tcW w:w="2029" w:type="dxa"/>
            <w:shd w:val="clear" w:color="auto" w:fill="auto"/>
          </w:tcPr>
          <w:p w14:paraId="4DAF7A3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委員伍麗華</w:t>
            </w:r>
          </w:p>
          <w:p w14:paraId="5FEF7613" w14:textId="77777777" w:rsidR="00EC13B7" w:rsidRPr="00026143" w:rsidRDefault="00EC13B7" w:rsidP="00FB390D">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0091B3A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70A61E6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2FEA391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（10-5-13）</w:t>
            </w:r>
          </w:p>
        </w:tc>
        <w:tc>
          <w:tcPr>
            <w:tcW w:w="1600" w:type="dxa"/>
            <w:shd w:val="clear" w:color="auto" w:fill="auto"/>
          </w:tcPr>
          <w:p w14:paraId="479D896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01AD81B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94E8F45" w14:textId="77777777" w:rsidTr="00AE12CD">
        <w:tc>
          <w:tcPr>
            <w:tcW w:w="631" w:type="dxa"/>
            <w:shd w:val="clear" w:color="auto" w:fill="auto"/>
          </w:tcPr>
          <w:p w14:paraId="2554E236"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47</w:t>
            </w:r>
          </w:p>
        </w:tc>
        <w:tc>
          <w:tcPr>
            <w:tcW w:w="2898" w:type="dxa"/>
            <w:shd w:val="clear" w:color="auto" w:fill="auto"/>
          </w:tcPr>
          <w:p w14:paraId="4476F26E"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原住民族委員會組織法增訂第五條之一條文草案(增訂重點：強化現行原住民族委員會土地管理處之功能執掌，故提升其位階，並將其改制為土地署。)</w:t>
            </w:r>
          </w:p>
        </w:tc>
        <w:tc>
          <w:tcPr>
            <w:tcW w:w="2029" w:type="dxa"/>
            <w:shd w:val="clear" w:color="auto" w:fill="auto"/>
          </w:tcPr>
          <w:p w14:paraId="223F445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委員鄭天財</w:t>
            </w:r>
          </w:p>
          <w:p w14:paraId="702EC54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Sra Kacaw</w:t>
            </w:r>
          </w:p>
          <w:p w14:paraId="4D52392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667BF1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351BF150"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（10-5-2）</w:t>
            </w:r>
          </w:p>
        </w:tc>
        <w:tc>
          <w:tcPr>
            <w:tcW w:w="1600" w:type="dxa"/>
            <w:shd w:val="clear" w:color="auto" w:fill="auto"/>
          </w:tcPr>
          <w:p w14:paraId="0C0556DE"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43E23D18"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7D920B0" w14:textId="77777777" w:rsidTr="00AE12CD">
        <w:tc>
          <w:tcPr>
            <w:tcW w:w="631" w:type="dxa"/>
            <w:shd w:val="clear" w:color="auto" w:fill="auto"/>
          </w:tcPr>
          <w:p w14:paraId="35DB23D5"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t>48</w:t>
            </w:r>
          </w:p>
        </w:tc>
        <w:tc>
          <w:tcPr>
            <w:tcW w:w="2898" w:type="dxa"/>
            <w:shd w:val="clear" w:color="auto" w:fill="auto"/>
          </w:tcPr>
          <w:p w14:paraId="32FA6D15"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原住民族委員會土地署組</w:t>
            </w:r>
            <w:r w:rsidRPr="00026143">
              <w:rPr>
                <w:rFonts w:ascii="標楷體" w:eastAsia="標楷體" w:hAnsi="標楷體"/>
                <w:color w:val="000000" w:themeColor="text1"/>
              </w:rPr>
              <w:lastRenderedPageBreak/>
              <w:t>織法草案(共7條。制定重點：為統一土地管理事權，將現行原住民族委員會各單位之土地相關業務統合歸本署掌理。)</w:t>
            </w:r>
          </w:p>
        </w:tc>
        <w:tc>
          <w:tcPr>
            <w:tcW w:w="2029" w:type="dxa"/>
            <w:shd w:val="clear" w:color="auto" w:fill="auto"/>
          </w:tcPr>
          <w:p w14:paraId="4C379C24"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委員鄭天財</w:t>
            </w:r>
          </w:p>
          <w:p w14:paraId="0C6DDEEF"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Sra Kacaw</w:t>
            </w:r>
          </w:p>
          <w:p w14:paraId="6E0E1FBC"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EE44FE1"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07D949D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（10-5-2）</w:t>
            </w:r>
          </w:p>
        </w:tc>
        <w:tc>
          <w:tcPr>
            <w:tcW w:w="1600" w:type="dxa"/>
            <w:shd w:val="clear" w:color="auto" w:fill="auto"/>
          </w:tcPr>
          <w:p w14:paraId="35F1EA6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r w:rsidRPr="00026143">
              <w:rPr>
                <w:rFonts w:ascii="標楷體" w:eastAsia="標楷體" w:hAnsi="標楷體"/>
                <w:color w:val="000000" w:themeColor="text1"/>
              </w:rPr>
              <w:lastRenderedPageBreak/>
              <w:t>、內政</w:t>
            </w:r>
          </w:p>
        </w:tc>
        <w:tc>
          <w:tcPr>
            <w:tcW w:w="1382" w:type="dxa"/>
            <w:shd w:val="clear" w:color="auto" w:fill="auto"/>
          </w:tcPr>
          <w:p w14:paraId="1CB99D6D"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尚未審查</w:t>
            </w:r>
          </w:p>
        </w:tc>
      </w:tr>
      <w:tr w:rsidR="00EC13B7" w:rsidRPr="00026143" w14:paraId="165530A9" w14:textId="77777777" w:rsidTr="00AE12CD">
        <w:tc>
          <w:tcPr>
            <w:tcW w:w="631" w:type="dxa"/>
            <w:shd w:val="clear" w:color="auto" w:fill="auto"/>
          </w:tcPr>
          <w:p w14:paraId="7FC7BB5A" w14:textId="77777777" w:rsidR="00EC13B7" w:rsidRPr="00026143" w:rsidRDefault="00EC13B7" w:rsidP="00FB390D">
            <w:pPr>
              <w:kinsoku w:val="0"/>
              <w:topLinePunct/>
              <w:spacing w:line="300" w:lineRule="exact"/>
              <w:jc w:val="center"/>
              <w:rPr>
                <w:rFonts w:ascii="標楷體" w:eastAsia="標楷體" w:hAnsi="標楷體"/>
                <w:color w:val="000000" w:themeColor="text1"/>
              </w:rPr>
            </w:pPr>
            <w:r w:rsidRPr="00026143">
              <w:rPr>
                <w:rFonts w:ascii="標楷體" w:hAnsi="標楷體"/>
              </w:rPr>
              <w:lastRenderedPageBreak/>
              <w:t>49</w:t>
            </w:r>
          </w:p>
        </w:tc>
        <w:tc>
          <w:tcPr>
            <w:tcW w:w="2898" w:type="dxa"/>
            <w:shd w:val="clear" w:color="auto" w:fill="auto"/>
          </w:tcPr>
          <w:p w14:paraId="2C6B6D79" w14:textId="77777777" w:rsidR="00EC13B7" w:rsidRPr="00026143" w:rsidRDefault="00EC13B7" w:rsidP="00FB390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原住民族土地及海域調查處理委員會組織法草案(共11條。制定重點：政府承認原住民族土地及自然資源權利，辦理原住民族土地之調查及處理，特制定本法，特設中央三級機關原住民族土地及海域調查處理委員會。)</w:t>
            </w:r>
          </w:p>
        </w:tc>
        <w:tc>
          <w:tcPr>
            <w:tcW w:w="2029" w:type="dxa"/>
            <w:shd w:val="clear" w:color="auto" w:fill="auto"/>
          </w:tcPr>
          <w:p w14:paraId="3053858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委員廖國棟</w:t>
            </w:r>
          </w:p>
          <w:p w14:paraId="0F35C22B"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1C669B5A"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27629A3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（10-5-14）</w:t>
            </w:r>
          </w:p>
        </w:tc>
        <w:tc>
          <w:tcPr>
            <w:tcW w:w="1600" w:type="dxa"/>
            <w:shd w:val="clear" w:color="auto" w:fill="auto"/>
          </w:tcPr>
          <w:p w14:paraId="0CC33DF9"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382" w:type="dxa"/>
            <w:shd w:val="clear" w:color="auto" w:fill="auto"/>
          </w:tcPr>
          <w:p w14:paraId="392D34F3" w14:textId="77777777" w:rsidR="00EC13B7" w:rsidRPr="00026143" w:rsidRDefault="00EC13B7" w:rsidP="00FB390D">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5D3889D3" w14:textId="77777777" w:rsidR="00EC13B7" w:rsidRPr="00026143" w:rsidRDefault="00EC13B7" w:rsidP="007932B9">
      <w:pPr>
        <w:pStyle w:val="1-5"/>
        <w:kinsoku w:val="0"/>
        <w:wordWrap w:val="0"/>
        <w:topLinePunct/>
        <w:spacing w:beforeLines="100" w:before="360" w:afterLines="100" w:after="360" w:line="300" w:lineRule="exact"/>
        <w:ind w:left="1418" w:firstLineChars="101" w:firstLine="283"/>
        <w:jc w:val="left"/>
        <w:textAlignment w:val="top"/>
        <w:rPr>
          <w:color w:val="000000" w:themeColor="text1"/>
        </w:rPr>
      </w:pPr>
      <w:bookmarkStart w:id="308" w:name="_Toc361217329"/>
      <w:bookmarkStart w:id="309" w:name="_Toc362968389"/>
      <w:bookmarkStart w:id="310" w:name="_Toc428286961"/>
      <w:bookmarkStart w:id="311" w:name="_Toc510167681"/>
      <w:bookmarkStart w:id="312" w:name="_Toc1401064"/>
      <w:r w:rsidRPr="00026143">
        <w:rPr>
          <w:color w:val="000000" w:themeColor="text1"/>
        </w:rPr>
        <w:t>3.本會、外交及國防委員會聯席審查</w:t>
      </w:r>
      <w:bookmarkEnd w:id="308"/>
      <w:bookmarkEnd w:id="309"/>
      <w:bookmarkEnd w:id="310"/>
      <w:bookmarkEnd w:id="311"/>
      <w:bookmarkEnd w:id="312"/>
      <w:r w:rsidRPr="00026143">
        <w:rPr>
          <w:rFonts w:hint="eastAsia"/>
          <w:color w:val="000000" w:themeColor="text1"/>
        </w:rPr>
        <w:t>6</w:t>
      </w:r>
      <w:r w:rsidRPr="00026143">
        <w:rPr>
          <w:color w:val="000000" w:themeColor="text1"/>
        </w:rPr>
        <w:t>案</w:t>
      </w:r>
    </w:p>
    <w:tbl>
      <w:tblPr>
        <w:tblW w:w="863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2996"/>
        <w:gridCol w:w="2124"/>
        <w:gridCol w:w="1721"/>
        <w:gridCol w:w="1260"/>
      </w:tblGrid>
      <w:tr w:rsidR="00EC13B7" w:rsidRPr="00026143" w14:paraId="1B2FC986" w14:textId="77777777" w:rsidTr="007932B9">
        <w:trPr>
          <w:jc w:val="center"/>
        </w:trPr>
        <w:tc>
          <w:tcPr>
            <w:tcW w:w="532" w:type="dxa"/>
            <w:shd w:val="clear" w:color="auto" w:fill="auto"/>
          </w:tcPr>
          <w:p w14:paraId="5D0C59F6"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996" w:type="dxa"/>
            <w:shd w:val="clear" w:color="auto" w:fill="auto"/>
          </w:tcPr>
          <w:p w14:paraId="3DE42B4D"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124" w:type="dxa"/>
            <w:shd w:val="clear" w:color="auto" w:fill="auto"/>
          </w:tcPr>
          <w:p w14:paraId="755E094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3395EC1D"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198FE4C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721" w:type="dxa"/>
            <w:shd w:val="clear" w:color="auto" w:fill="auto"/>
          </w:tcPr>
          <w:p w14:paraId="4048BB1A"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260" w:type="dxa"/>
            <w:shd w:val="clear" w:color="auto" w:fill="auto"/>
          </w:tcPr>
          <w:p w14:paraId="413EA43F"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D718E8B" w14:textId="77777777" w:rsidTr="006D3DDC">
        <w:trPr>
          <w:jc w:val="center"/>
        </w:trPr>
        <w:tc>
          <w:tcPr>
            <w:tcW w:w="532" w:type="dxa"/>
            <w:shd w:val="clear" w:color="auto" w:fill="auto"/>
          </w:tcPr>
          <w:p w14:paraId="1352DBD8"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996" w:type="dxa"/>
            <w:shd w:val="clear" w:color="auto" w:fill="auto"/>
          </w:tcPr>
          <w:p w14:paraId="6CC8AFDA"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2124" w:type="dxa"/>
            <w:shd w:val="clear" w:color="auto" w:fill="auto"/>
          </w:tcPr>
          <w:p w14:paraId="6A0F3BD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委員邱志偉</w:t>
            </w:r>
          </w:p>
          <w:p w14:paraId="6577E53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等19人 </w:t>
            </w:r>
          </w:p>
          <w:p w14:paraId="43A0A88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109.03.03 </w:t>
            </w:r>
          </w:p>
          <w:p w14:paraId="056EE69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（10-1-2）</w:t>
            </w:r>
          </w:p>
          <w:p w14:paraId="0A90FFA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p>
        </w:tc>
        <w:tc>
          <w:tcPr>
            <w:tcW w:w="1721" w:type="dxa"/>
            <w:shd w:val="clear" w:color="auto" w:fill="auto"/>
          </w:tcPr>
          <w:p w14:paraId="77AB95F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司法及法制、外交及國防</w:t>
            </w:r>
          </w:p>
        </w:tc>
        <w:tc>
          <w:tcPr>
            <w:tcW w:w="1260" w:type="dxa"/>
            <w:shd w:val="clear" w:color="auto" w:fill="auto"/>
          </w:tcPr>
          <w:p w14:paraId="0CA5BDDD"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12907B0" w14:textId="77777777" w:rsidTr="006D3DDC">
        <w:trPr>
          <w:jc w:val="center"/>
        </w:trPr>
        <w:tc>
          <w:tcPr>
            <w:tcW w:w="532" w:type="dxa"/>
            <w:shd w:val="clear" w:color="auto" w:fill="auto"/>
          </w:tcPr>
          <w:p w14:paraId="18763A5F"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996" w:type="dxa"/>
            <w:shd w:val="clear" w:color="auto" w:fill="auto"/>
          </w:tcPr>
          <w:p w14:paraId="0AAA1A1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僑務委員會組織法第四條條文修正草案（修正重點：調整各僑居國僑務委員人數限制，由原本90至180人修正為150至300人。）</w:t>
            </w:r>
          </w:p>
        </w:tc>
        <w:tc>
          <w:tcPr>
            <w:tcW w:w="2124" w:type="dxa"/>
            <w:shd w:val="clear" w:color="auto" w:fill="auto"/>
          </w:tcPr>
          <w:p w14:paraId="3AB8AEF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委員邱志偉</w:t>
            </w:r>
          </w:p>
          <w:p w14:paraId="5A1C165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0290CED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109.10.06 </w:t>
            </w:r>
          </w:p>
          <w:p w14:paraId="085B9E1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（10-2-3）</w:t>
            </w:r>
          </w:p>
        </w:tc>
        <w:tc>
          <w:tcPr>
            <w:tcW w:w="1721" w:type="dxa"/>
            <w:shd w:val="clear" w:color="auto" w:fill="auto"/>
          </w:tcPr>
          <w:p w14:paraId="3DCBC01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司法及法制、外交及國防</w:t>
            </w:r>
          </w:p>
        </w:tc>
        <w:tc>
          <w:tcPr>
            <w:tcW w:w="1260" w:type="dxa"/>
            <w:shd w:val="clear" w:color="auto" w:fill="auto"/>
          </w:tcPr>
          <w:p w14:paraId="4C9592A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6B8FF91" w14:textId="77777777" w:rsidTr="006D3DDC">
        <w:trPr>
          <w:jc w:val="center"/>
        </w:trPr>
        <w:tc>
          <w:tcPr>
            <w:tcW w:w="532" w:type="dxa"/>
            <w:shd w:val="clear" w:color="auto" w:fill="auto"/>
          </w:tcPr>
          <w:p w14:paraId="3E18A2AF"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996" w:type="dxa"/>
            <w:shd w:val="clear" w:color="auto" w:fill="auto"/>
          </w:tcPr>
          <w:p w14:paraId="5225F2C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外交部組織法第二條條文修正草案（修正重點：外交部應負起旅外國人急難的實際救助工作，而不是只有政策規劃及督導。）</w:t>
            </w:r>
          </w:p>
        </w:tc>
        <w:tc>
          <w:tcPr>
            <w:tcW w:w="2124" w:type="dxa"/>
            <w:shd w:val="clear" w:color="auto" w:fill="auto"/>
          </w:tcPr>
          <w:p w14:paraId="14E0C3D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委員溫玉霞</w:t>
            </w:r>
          </w:p>
          <w:p w14:paraId="0DC6FF3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63A3D4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234D5AC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721" w:type="dxa"/>
            <w:shd w:val="clear" w:color="auto" w:fill="auto"/>
          </w:tcPr>
          <w:p w14:paraId="69A1696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260" w:type="dxa"/>
            <w:shd w:val="clear" w:color="auto" w:fill="auto"/>
          </w:tcPr>
          <w:p w14:paraId="705562B7"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F6959C3" w14:textId="77777777" w:rsidTr="006D3DDC">
        <w:trPr>
          <w:jc w:val="center"/>
        </w:trPr>
        <w:tc>
          <w:tcPr>
            <w:tcW w:w="532" w:type="dxa"/>
            <w:shd w:val="clear" w:color="auto" w:fill="auto"/>
          </w:tcPr>
          <w:p w14:paraId="52312588"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996" w:type="dxa"/>
            <w:shd w:val="clear" w:color="auto" w:fill="auto"/>
          </w:tcPr>
          <w:p w14:paraId="4279B3AA"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軍中可疑事件調查及賠償條例草案(共</w:t>
            </w:r>
            <w:r w:rsidRPr="00026143">
              <w:rPr>
                <w:rFonts w:ascii="標楷體" w:eastAsia="標楷體" w:hAnsi="標楷體" w:hint="eastAsia"/>
                <w:color w:val="000000" w:themeColor="text1"/>
              </w:rPr>
              <w:t>五</w:t>
            </w:r>
            <w:r w:rsidRPr="00026143">
              <w:rPr>
                <w:rFonts w:ascii="標楷體" w:eastAsia="標楷體" w:hAnsi="標楷體"/>
                <w:color w:val="000000" w:themeColor="text1"/>
              </w:rPr>
              <w:t>章20條。制定重點：公正調查軍中不當處遇之可疑事件並給予賠償，以保障軍中人權、維護</w:t>
            </w:r>
            <w:r w:rsidRPr="00026143">
              <w:rPr>
                <w:rFonts w:ascii="標楷體" w:eastAsia="標楷體" w:hAnsi="標楷體"/>
                <w:color w:val="000000" w:themeColor="text1"/>
              </w:rPr>
              <w:lastRenderedPageBreak/>
              <w:t>正義及促進法治。本條例主管機關為軍中可疑事件調查委員會，隸屬於行政院。)</w:t>
            </w:r>
          </w:p>
        </w:tc>
        <w:tc>
          <w:tcPr>
            <w:tcW w:w="2124" w:type="dxa"/>
            <w:shd w:val="clear" w:color="auto" w:fill="auto"/>
          </w:tcPr>
          <w:p w14:paraId="51EE51C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3EC3408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638ED4E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721" w:type="dxa"/>
            <w:shd w:val="clear" w:color="auto" w:fill="auto"/>
          </w:tcPr>
          <w:p w14:paraId="798A90A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260" w:type="dxa"/>
            <w:shd w:val="clear" w:color="auto" w:fill="auto"/>
          </w:tcPr>
          <w:p w14:paraId="53DC8F11"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CBBF369" w14:textId="77777777" w:rsidTr="006D3DDC">
        <w:trPr>
          <w:jc w:val="center"/>
        </w:trPr>
        <w:tc>
          <w:tcPr>
            <w:tcW w:w="532" w:type="dxa"/>
            <w:shd w:val="clear" w:color="auto" w:fill="auto"/>
          </w:tcPr>
          <w:p w14:paraId="17A57ED6"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5</w:t>
            </w:r>
          </w:p>
        </w:tc>
        <w:tc>
          <w:tcPr>
            <w:tcW w:w="2996" w:type="dxa"/>
            <w:shd w:val="clear" w:color="auto" w:fill="auto"/>
          </w:tcPr>
          <w:p w14:paraId="42FF87EC"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廢止「外交部領事事務局組織條例」、「外交部外交領事人員講習所組織條例」及「駐外使領館組織條例」(廢止重點：配合外交部組織改造。)</w:t>
            </w:r>
          </w:p>
        </w:tc>
        <w:tc>
          <w:tcPr>
            <w:tcW w:w="2124" w:type="dxa"/>
            <w:shd w:val="clear" w:color="auto" w:fill="auto"/>
          </w:tcPr>
          <w:p w14:paraId="600E3AB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1CEF00A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17F8EAC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43537B2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721" w:type="dxa"/>
            <w:shd w:val="clear" w:color="auto" w:fill="auto"/>
          </w:tcPr>
          <w:p w14:paraId="74A977F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260" w:type="dxa"/>
            <w:shd w:val="clear" w:color="auto" w:fill="auto"/>
          </w:tcPr>
          <w:p w14:paraId="246C19EC"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p w14:paraId="622B287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〔該3條例業經院會（10-5-13</w:t>
            </w:r>
            <w:r w:rsidRPr="00026143">
              <w:rPr>
                <w:rFonts w:ascii="標楷體" w:eastAsia="標楷體" w:hAnsi="標楷體"/>
                <w:color w:val="000000" w:themeColor="text1"/>
              </w:rPr>
              <w:t>）</w:t>
            </w:r>
            <w:r w:rsidRPr="00026143">
              <w:rPr>
                <w:rFonts w:ascii="標楷體" w:eastAsia="標楷體" w:hAnsi="標楷體" w:hint="eastAsia"/>
                <w:color w:val="000000" w:themeColor="text1"/>
              </w:rPr>
              <w:t>通過廢止</w:t>
            </w:r>
            <w:r w:rsidRPr="00026143">
              <w:rPr>
                <w:rFonts w:ascii="標楷體" w:eastAsia="標楷體" w:hAnsi="標楷體"/>
                <w:color w:val="000000" w:themeColor="text1"/>
              </w:rPr>
              <w:t>。</w:t>
            </w:r>
            <w:r w:rsidRPr="00026143">
              <w:rPr>
                <w:rFonts w:ascii="標楷體" w:eastAsia="標楷體" w:hAnsi="標楷體" w:hint="eastAsia"/>
                <w:color w:val="000000" w:themeColor="text1"/>
              </w:rPr>
              <w:t>〕</w:t>
            </w:r>
          </w:p>
        </w:tc>
      </w:tr>
      <w:tr w:rsidR="00EC13B7" w:rsidRPr="00026143" w14:paraId="28AD02AD" w14:textId="77777777" w:rsidTr="00EC13B7">
        <w:trPr>
          <w:jc w:val="center"/>
        </w:trPr>
        <w:tc>
          <w:tcPr>
            <w:tcW w:w="532" w:type="dxa"/>
            <w:tcBorders>
              <w:top w:val="single" w:sz="6" w:space="0" w:color="auto"/>
              <w:left w:val="single" w:sz="18" w:space="0" w:color="auto"/>
              <w:bottom w:val="single" w:sz="18" w:space="0" w:color="auto"/>
              <w:right w:val="single" w:sz="6" w:space="0" w:color="auto"/>
            </w:tcBorders>
            <w:shd w:val="clear" w:color="auto" w:fill="auto"/>
          </w:tcPr>
          <w:p w14:paraId="4175D3FE"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bookmarkStart w:id="313" w:name="_Toc361217330"/>
            <w:bookmarkStart w:id="314" w:name="_Toc362968390"/>
            <w:bookmarkStart w:id="315" w:name="_Toc428286962"/>
            <w:bookmarkStart w:id="316" w:name="_Toc510167682"/>
            <w:bookmarkStart w:id="317" w:name="_Toc1401065"/>
            <w:r w:rsidRPr="00026143">
              <w:rPr>
                <w:rFonts w:ascii="標楷體" w:eastAsia="標楷體" w:hAnsi="標楷體"/>
                <w:color w:val="000000" w:themeColor="text1"/>
              </w:rPr>
              <w:t>6</w:t>
            </w:r>
          </w:p>
        </w:tc>
        <w:tc>
          <w:tcPr>
            <w:tcW w:w="2996" w:type="dxa"/>
            <w:tcBorders>
              <w:top w:val="single" w:sz="6" w:space="0" w:color="auto"/>
              <w:left w:val="single" w:sz="6" w:space="0" w:color="auto"/>
              <w:bottom w:val="single" w:sz="18" w:space="0" w:color="auto"/>
              <w:right w:val="single" w:sz="6" w:space="0" w:color="auto"/>
            </w:tcBorders>
            <w:shd w:val="clear" w:color="auto" w:fill="auto"/>
          </w:tcPr>
          <w:p w14:paraId="605290BC"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國軍退除役官兵輔導委員會組織法第二條條文修正草案(修正重點：國家對警消等退休執法人員照顧、保障應比照國軍退伍人員辦理，爰提案修正。)</w:t>
            </w:r>
          </w:p>
        </w:tc>
        <w:tc>
          <w:tcPr>
            <w:tcW w:w="2124" w:type="dxa"/>
            <w:tcBorders>
              <w:top w:val="single" w:sz="6" w:space="0" w:color="auto"/>
              <w:left w:val="single" w:sz="6" w:space="0" w:color="auto"/>
              <w:bottom w:val="single" w:sz="18" w:space="0" w:color="auto"/>
              <w:right w:val="single" w:sz="6" w:space="0" w:color="auto"/>
            </w:tcBorders>
            <w:shd w:val="clear" w:color="auto" w:fill="auto"/>
          </w:tcPr>
          <w:p w14:paraId="5A8777D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1A0DD43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等17人</w:t>
            </w:r>
          </w:p>
          <w:p w14:paraId="1F92282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111.11.04</w:t>
            </w:r>
          </w:p>
          <w:p w14:paraId="451B3D8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p w14:paraId="41144A5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p>
        </w:tc>
        <w:tc>
          <w:tcPr>
            <w:tcW w:w="1721" w:type="dxa"/>
            <w:tcBorders>
              <w:top w:val="single" w:sz="6" w:space="0" w:color="auto"/>
              <w:left w:val="single" w:sz="6" w:space="0" w:color="auto"/>
              <w:bottom w:val="single" w:sz="18" w:space="0" w:color="auto"/>
              <w:right w:val="single" w:sz="6" w:space="0" w:color="auto"/>
            </w:tcBorders>
            <w:shd w:val="clear" w:color="auto" w:fill="auto"/>
          </w:tcPr>
          <w:p w14:paraId="4274034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260" w:type="dxa"/>
            <w:tcBorders>
              <w:top w:val="single" w:sz="6" w:space="0" w:color="auto"/>
              <w:left w:val="single" w:sz="6" w:space="0" w:color="auto"/>
              <w:bottom w:val="single" w:sz="18" w:space="0" w:color="auto"/>
              <w:right w:val="single" w:sz="18" w:space="0" w:color="auto"/>
            </w:tcBorders>
            <w:shd w:val="clear" w:color="auto" w:fill="auto"/>
          </w:tcPr>
          <w:p w14:paraId="77AFA72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104C699D" w14:textId="77777777" w:rsidR="00EC13B7" w:rsidRPr="00026143" w:rsidRDefault="00EC13B7" w:rsidP="007932B9">
      <w:pPr>
        <w:pStyle w:val="1-5"/>
        <w:kinsoku w:val="0"/>
        <w:wordWrap w:val="0"/>
        <w:topLinePunct/>
        <w:spacing w:beforeLines="100" w:before="360" w:afterLines="100" w:after="360" w:line="300" w:lineRule="exact"/>
        <w:ind w:left="1418" w:firstLineChars="101" w:firstLine="283"/>
        <w:jc w:val="left"/>
        <w:textAlignment w:val="top"/>
        <w:rPr>
          <w:color w:val="000000" w:themeColor="text1"/>
          <w:shd w:val="clear" w:color="auto" w:fill="FFFFFF"/>
        </w:rPr>
      </w:pPr>
      <w:r w:rsidRPr="00026143">
        <w:rPr>
          <w:color w:val="000000" w:themeColor="text1"/>
          <w:shd w:val="clear" w:color="auto" w:fill="FFFFFF"/>
        </w:rPr>
        <w:t>4.本會、經濟委員會聯席審查</w:t>
      </w:r>
      <w:r w:rsidRPr="00026143">
        <w:rPr>
          <w:rFonts w:hint="eastAsia"/>
          <w:color w:val="000000" w:themeColor="text1"/>
          <w:shd w:val="clear" w:color="auto" w:fill="FFFFFF"/>
        </w:rPr>
        <w:t>62</w:t>
      </w:r>
      <w:r w:rsidRPr="00026143">
        <w:rPr>
          <w:color w:val="000000" w:themeColor="text1"/>
          <w:shd w:val="clear" w:color="auto" w:fill="FFFFFF"/>
        </w:rPr>
        <w:t>案</w:t>
      </w:r>
      <w:bookmarkEnd w:id="313"/>
      <w:bookmarkEnd w:id="314"/>
      <w:bookmarkEnd w:id="315"/>
      <w:bookmarkEnd w:id="316"/>
      <w:bookmarkEnd w:id="317"/>
    </w:p>
    <w:tbl>
      <w:tblPr>
        <w:tblW w:w="864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2926"/>
        <w:gridCol w:w="2179"/>
        <w:gridCol w:w="1701"/>
        <w:gridCol w:w="1309"/>
      </w:tblGrid>
      <w:tr w:rsidR="00EC13B7" w:rsidRPr="00026143" w14:paraId="7827B961" w14:textId="77777777" w:rsidTr="007932B9">
        <w:tc>
          <w:tcPr>
            <w:tcW w:w="532" w:type="dxa"/>
            <w:shd w:val="clear" w:color="auto" w:fill="auto"/>
          </w:tcPr>
          <w:p w14:paraId="5E7C597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926" w:type="dxa"/>
            <w:shd w:val="clear" w:color="auto" w:fill="auto"/>
          </w:tcPr>
          <w:p w14:paraId="638020BC"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179" w:type="dxa"/>
            <w:shd w:val="clear" w:color="auto" w:fill="auto"/>
          </w:tcPr>
          <w:p w14:paraId="4574C096"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2B0D10BC"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2F47D8C2"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701" w:type="dxa"/>
            <w:shd w:val="clear" w:color="auto" w:fill="auto"/>
          </w:tcPr>
          <w:p w14:paraId="725369D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309" w:type="dxa"/>
            <w:shd w:val="clear" w:color="auto" w:fill="auto"/>
          </w:tcPr>
          <w:p w14:paraId="0510FF88"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B23A0CB" w14:textId="77777777" w:rsidTr="00CA41AB">
        <w:tc>
          <w:tcPr>
            <w:tcW w:w="532" w:type="dxa"/>
            <w:shd w:val="clear" w:color="auto" w:fill="auto"/>
          </w:tcPr>
          <w:p w14:paraId="26FFA830"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w:t>
            </w:r>
          </w:p>
        </w:tc>
        <w:tc>
          <w:tcPr>
            <w:tcW w:w="2926" w:type="dxa"/>
            <w:shd w:val="clear" w:color="auto" w:fill="auto"/>
          </w:tcPr>
          <w:p w14:paraId="38E40D48"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1.雙語國家發展中心設置條例草案（共五章33條。制定重點：為推動雙語國家政策，成立具公法人性質之行政法人雙語國家發展中心，爰擬具本條例。）</w:t>
            </w:r>
          </w:p>
        </w:tc>
        <w:tc>
          <w:tcPr>
            <w:tcW w:w="2179" w:type="dxa"/>
            <w:shd w:val="clear" w:color="auto" w:fill="auto"/>
          </w:tcPr>
          <w:p w14:paraId="1FDE66D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行政院</w:t>
            </w:r>
          </w:p>
          <w:p w14:paraId="321B035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110.09.17</w:t>
            </w:r>
          </w:p>
          <w:p w14:paraId="515D03C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（10-4-1）</w:t>
            </w:r>
          </w:p>
          <w:p w14:paraId="78664F24" w14:textId="77777777" w:rsidR="00EC13B7" w:rsidRPr="00026143" w:rsidRDefault="00EC13B7" w:rsidP="00720BBE">
            <w:pPr>
              <w:kinsoku w:val="0"/>
              <w:topLinePunct/>
              <w:spacing w:line="300" w:lineRule="exact"/>
              <w:rPr>
                <w:rFonts w:ascii="標楷體" w:eastAsia="標楷體" w:hAnsi="標楷體"/>
                <w:color w:val="000000" w:themeColor="text1"/>
              </w:rPr>
            </w:pPr>
          </w:p>
        </w:tc>
        <w:tc>
          <w:tcPr>
            <w:tcW w:w="1701" w:type="dxa"/>
            <w:shd w:val="clear" w:color="auto" w:fill="auto"/>
          </w:tcPr>
          <w:p w14:paraId="07F7093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2B298DF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7438611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31F2D00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(10-6-1)報告及詢答完畢，另定期繼續審查。</w:t>
            </w:r>
          </w:p>
        </w:tc>
      </w:tr>
      <w:tr w:rsidR="00EC13B7" w:rsidRPr="00026143" w14:paraId="422EC872" w14:textId="77777777" w:rsidTr="00CA41AB">
        <w:tc>
          <w:tcPr>
            <w:tcW w:w="532" w:type="dxa"/>
            <w:shd w:val="clear" w:color="auto" w:fill="auto"/>
          </w:tcPr>
          <w:p w14:paraId="30DC5614"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w:t>
            </w:r>
          </w:p>
        </w:tc>
        <w:tc>
          <w:tcPr>
            <w:tcW w:w="2926" w:type="dxa"/>
            <w:shd w:val="clear" w:color="auto" w:fill="auto"/>
          </w:tcPr>
          <w:p w14:paraId="0FDEF7F0"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2.雙語國家發展中心設置條例草案(共五章33條。制定重點：為提升我國國民英語力，成立具公法人性質之行政法人雙語國家發展中心，爰擬具本條例。）</w:t>
            </w:r>
          </w:p>
        </w:tc>
        <w:tc>
          <w:tcPr>
            <w:tcW w:w="2179" w:type="dxa"/>
            <w:shd w:val="clear" w:color="auto" w:fill="auto"/>
          </w:tcPr>
          <w:p w14:paraId="77DA6E4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委員蔡易餘</w:t>
            </w:r>
          </w:p>
          <w:p w14:paraId="11C58D8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等17人</w:t>
            </w:r>
          </w:p>
          <w:p w14:paraId="62D472D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110.10.15</w:t>
            </w:r>
          </w:p>
          <w:p w14:paraId="0B46EF1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（10-4-6）</w:t>
            </w:r>
          </w:p>
          <w:p w14:paraId="3B4FDDD0" w14:textId="77777777" w:rsidR="00EC13B7" w:rsidRPr="00026143" w:rsidRDefault="00EC13B7" w:rsidP="00720BBE">
            <w:pPr>
              <w:kinsoku w:val="0"/>
              <w:topLinePunct/>
              <w:spacing w:line="300" w:lineRule="exact"/>
              <w:rPr>
                <w:rFonts w:ascii="標楷體" w:eastAsia="標楷體" w:hAnsi="標楷體"/>
                <w:color w:val="000000" w:themeColor="text1"/>
              </w:rPr>
            </w:pPr>
          </w:p>
        </w:tc>
        <w:tc>
          <w:tcPr>
            <w:tcW w:w="1701" w:type="dxa"/>
            <w:shd w:val="clear" w:color="auto" w:fill="auto"/>
          </w:tcPr>
          <w:p w14:paraId="01FD49D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6D063EF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23AAEB6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6F16365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(10-6-1)報告及詢答完畢，另定期繼續審查。</w:t>
            </w:r>
          </w:p>
        </w:tc>
      </w:tr>
      <w:tr w:rsidR="00EC13B7" w:rsidRPr="00026143" w14:paraId="519D0506" w14:textId="77777777" w:rsidTr="00CA41AB">
        <w:tc>
          <w:tcPr>
            <w:tcW w:w="532" w:type="dxa"/>
            <w:shd w:val="clear" w:color="auto" w:fill="auto"/>
          </w:tcPr>
          <w:p w14:paraId="17CCA38B"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w:t>
            </w:r>
          </w:p>
        </w:tc>
        <w:tc>
          <w:tcPr>
            <w:tcW w:w="2926" w:type="dxa"/>
            <w:shd w:val="clear" w:color="auto" w:fill="auto"/>
          </w:tcPr>
          <w:p w14:paraId="20AAD514"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3.雙語國家發展中心設置條例草案(共五章33條。制定重點：為提升雙語國家政策之整體推動成效，成立具公法人性質之行政法人雙語國家發展中心，爰擬具本條例。）</w:t>
            </w:r>
          </w:p>
        </w:tc>
        <w:tc>
          <w:tcPr>
            <w:tcW w:w="2179" w:type="dxa"/>
            <w:shd w:val="clear" w:color="auto" w:fill="auto"/>
          </w:tcPr>
          <w:p w14:paraId="54BD21F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委員何志偉</w:t>
            </w:r>
          </w:p>
          <w:p w14:paraId="76CD591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等18人</w:t>
            </w:r>
          </w:p>
          <w:p w14:paraId="3EE0EA4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110.11.05</w:t>
            </w:r>
          </w:p>
          <w:p w14:paraId="558894E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（10-4-8）</w:t>
            </w:r>
          </w:p>
          <w:p w14:paraId="73C596CB" w14:textId="77777777" w:rsidR="00EC13B7" w:rsidRPr="00026143" w:rsidRDefault="00EC13B7" w:rsidP="00720BBE">
            <w:pPr>
              <w:kinsoku w:val="0"/>
              <w:topLinePunct/>
              <w:spacing w:line="300" w:lineRule="exact"/>
              <w:rPr>
                <w:rFonts w:ascii="標楷體" w:eastAsia="標楷體" w:hAnsi="標楷體"/>
                <w:color w:val="000000" w:themeColor="text1"/>
              </w:rPr>
            </w:pPr>
          </w:p>
        </w:tc>
        <w:tc>
          <w:tcPr>
            <w:tcW w:w="1701" w:type="dxa"/>
            <w:shd w:val="clear" w:color="auto" w:fill="auto"/>
          </w:tcPr>
          <w:p w14:paraId="7E36D60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18BD436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2FD07CB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6C4C992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(10-6-1)報告及詢答完畢，另定期繼續審查。</w:t>
            </w:r>
          </w:p>
        </w:tc>
      </w:tr>
      <w:tr w:rsidR="00EC13B7" w:rsidRPr="00026143" w14:paraId="6565023D" w14:textId="77777777" w:rsidTr="00CA41AB">
        <w:tc>
          <w:tcPr>
            <w:tcW w:w="532" w:type="dxa"/>
            <w:shd w:val="clear" w:color="auto" w:fill="auto"/>
          </w:tcPr>
          <w:p w14:paraId="0FD6A182"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w:t>
            </w:r>
          </w:p>
        </w:tc>
        <w:tc>
          <w:tcPr>
            <w:tcW w:w="2926" w:type="dxa"/>
            <w:shd w:val="clear" w:color="auto" w:fill="auto"/>
          </w:tcPr>
          <w:p w14:paraId="37FEA20A"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4.雙語國家發展中心設置條例草案(共五章33條。</w:t>
            </w:r>
            <w:r w:rsidRPr="00026143">
              <w:rPr>
                <w:rFonts w:ascii="標楷體" w:eastAsia="標楷體" w:hAnsi="標楷體" w:hint="eastAsia"/>
                <w:color w:val="000000" w:themeColor="text1"/>
              </w:rPr>
              <w:lastRenderedPageBreak/>
              <w:t>制定重點：政府持續推動雙語國家戰略，成立具公法人性質之行政法人雙語國家發展中心，爰擬具本條例。）</w:t>
            </w:r>
          </w:p>
        </w:tc>
        <w:tc>
          <w:tcPr>
            <w:tcW w:w="2179" w:type="dxa"/>
            <w:shd w:val="clear" w:color="auto" w:fill="auto"/>
          </w:tcPr>
          <w:p w14:paraId="3E9B1AB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委員吳思瑤</w:t>
            </w:r>
          </w:p>
          <w:p w14:paraId="5F5DE54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等21人</w:t>
            </w:r>
          </w:p>
          <w:p w14:paraId="3032CBF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110.11.05</w:t>
            </w:r>
          </w:p>
          <w:p w14:paraId="27C7620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（10-4-8）</w:t>
            </w:r>
          </w:p>
        </w:tc>
        <w:tc>
          <w:tcPr>
            <w:tcW w:w="1701" w:type="dxa"/>
            <w:shd w:val="clear" w:color="auto" w:fill="auto"/>
          </w:tcPr>
          <w:p w14:paraId="270963B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司法及法制、經濟</w:t>
            </w:r>
          </w:p>
        </w:tc>
        <w:tc>
          <w:tcPr>
            <w:tcW w:w="1309" w:type="dxa"/>
            <w:shd w:val="clear" w:color="auto" w:fill="auto"/>
          </w:tcPr>
          <w:p w14:paraId="2E4338E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63EAAC1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3CD8D4B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(10-6-1)報告及詢答完畢，另定期繼續審查。</w:t>
            </w:r>
          </w:p>
        </w:tc>
      </w:tr>
      <w:tr w:rsidR="00EC13B7" w:rsidRPr="00026143" w14:paraId="6DFB68C1" w14:textId="77777777" w:rsidTr="00CA41AB">
        <w:tc>
          <w:tcPr>
            <w:tcW w:w="532" w:type="dxa"/>
            <w:shd w:val="clear" w:color="auto" w:fill="auto"/>
          </w:tcPr>
          <w:p w14:paraId="6F13B9DF"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5</w:t>
            </w:r>
          </w:p>
        </w:tc>
        <w:tc>
          <w:tcPr>
            <w:tcW w:w="2926" w:type="dxa"/>
            <w:shd w:val="clear" w:color="auto" w:fill="auto"/>
          </w:tcPr>
          <w:p w14:paraId="62CE8670"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5.雙語國家發展中心設置條例草案(共五章33條。制定重點：提升國家整體競爭力，成立具公法人性質之行政法人雙語國家發展中心，爰擬具本條例。)</w:t>
            </w:r>
          </w:p>
        </w:tc>
        <w:tc>
          <w:tcPr>
            <w:tcW w:w="2179" w:type="dxa"/>
            <w:shd w:val="clear" w:color="auto" w:fill="auto"/>
          </w:tcPr>
          <w:p w14:paraId="28085C3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委員黃國書</w:t>
            </w:r>
          </w:p>
          <w:p w14:paraId="63C6888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等17人</w:t>
            </w:r>
          </w:p>
          <w:p w14:paraId="5270F8D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110.11.05</w:t>
            </w:r>
          </w:p>
          <w:p w14:paraId="530625D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（10-4-8）</w:t>
            </w:r>
          </w:p>
          <w:p w14:paraId="2DE79B7A" w14:textId="77777777" w:rsidR="00EC13B7" w:rsidRPr="00026143" w:rsidRDefault="00EC13B7" w:rsidP="00720BBE">
            <w:pPr>
              <w:kinsoku w:val="0"/>
              <w:topLinePunct/>
              <w:spacing w:line="300" w:lineRule="exact"/>
              <w:rPr>
                <w:rFonts w:ascii="標楷體" w:eastAsia="標楷體" w:hAnsi="標楷體"/>
                <w:color w:val="000000" w:themeColor="text1"/>
              </w:rPr>
            </w:pPr>
          </w:p>
        </w:tc>
        <w:tc>
          <w:tcPr>
            <w:tcW w:w="1701" w:type="dxa"/>
            <w:shd w:val="clear" w:color="auto" w:fill="auto"/>
          </w:tcPr>
          <w:p w14:paraId="29446B6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40D8AD8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5385D17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4FC259C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(10-6-1)報告及詢答完畢，另定期繼續審查。</w:t>
            </w:r>
          </w:p>
        </w:tc>
      </w:tr>
      <w:tr w:rsidR="00EC13B7" w:rsidRPr="00026143" w14:paraId="35501CAD" w14:textId="77777777" w:rsidTr="00CA41AB">
        <w:tc>
          <w:tcPr>
            <w:tcW w:w="532" w:type="dxa"/>
            <w:shd w:val="clear" w:color="auto" w:fill="auto"/>
          </w:tcPr>
          <w:p w14:paraId="60EEB42A"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6</w:t>
            </w:r>
          </w:p>
        </w:tc>
        <w:tc>
          <w:tcPr>
            <w:tcW w:w="2926" w:type="dxa"/>
            <w:shd w:val="clear" w:color="auto" w:fill="auto"/>
          </w:tcPr>
          <w:p w14:paraId="4082996E"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6.雙語國家發展中心設置條例草案(共五章33條。制定重點：為提升我國國民英語力，成立具公法人性質之行政法人雙語國家發展中心，爰擬具本條例。)</w:t>
            </w:r>
          </w:p>
        </w:tc>
        <w:tc>
          <w:tcPr>
            <w:tcW w:w="2179" w:type="dxa"/>
            <w:shd w:val="clear" w:color="auto" w:fill="auto"/>
          </w:tcPr>
          <w:p w14:paraId="6D44F98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委員陳亭妃</w:t>
            </w:r>
          </w:p>
          <w:p w14:paraId="0A26D2A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等18人</w:t>
            </w:r>
          </w:p>
          <w:p w14:paraId="0E6CBD5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110.11.05</w:t>
            </w:r>
          </w:p>
          <w:p w14:paraId="7CA9916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（10-4-8）</w:t>
            </w:r>
          </w:p>
          <w:p w14:paraId="103CA0A6" w14:textId="77777777" w:rsidR="00EC13B7" w:rsidRPr="00026143" w:rsidRDefault="00EC13B7" w:rsidP="00720BBE">
            <w:pPr>
              <w:kinsoku w:val="0"/>
              <w:topLinePunct/>
              <w:spacing w:line="300" w:lineRule="exact"/>
              <w:rPr>
                <w:rFonts w:ascii="標楷體" w:eastAsia="標楷體" w:hAnsi="標楷體"/>
                <w:color w:val="000000" w:themeColor="text1"/>
              </w:rPr>
            </w:pPr>
          </w:p>
        </w:tc>
        <w:tc>
          <w:tcPr>
            <w:tcW w:w="1701" w:type="dxa"/>
            <w:shd w:val="clear" w:color="auto" w:fill="auto"/>
          </w:tcPr>
          <w:p w14:paraId="00EBADA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6C711BE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4A4971D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7EA2597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(10-6-1)報告及詢答完畢，另定期繼續審查。</w:t>
            </w:r>
          </w:p>
        </w:tc>
      </w:tr>
      <w:tr w:rsidR="00EC13B7" w:rsidRPr="00026143" w14:paraId="26C17546" w14:textId="77777777" w:rsidTr="00CA41AB">
        <w:tc>
          <w:tcPr>
            <w:tcW w:w="532" w:type="dxa"/>
            <w:shd w:val="clear" w:color="auto" w:fill="auto"/>
          </w:tcPr>
          <w:p w14:paraId="5D68F3E2"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2926" w:type="dxa"/>
            <w:shd w:val="clear" w:color="auto" w:fill="auto"/>
          </w:tcPr>
          <w:p w14:paraId="1E61198B"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7.雙語國家發展中心設置條例草案（共五章33條。制定重點：為增加國家整體競爭力，成立具公法人性質之行政法人雙語國家發展中心，爰擬具本條例。）</w:t>
            </w:r>
          </w:p>
        </w:tc>
        <w:tc>
          <w:tcPr>
            <w:tcW w:w="2179" w:type="dxa"/>
            <w:shd w:val="clear" w:color="auto" w:fill="auto"/>
          </w:tcPr>
          <w:p w14:paraId="0E1DA75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民眾黨黨團</w:t>
            </w:r>
          </w:p>
          <w:p w14:paraId="22A87C4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110.11.12</w:t>
            </w:r>
          </w:p>
          <w:p w14:paraId="34B4B64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（10-4-9）</w:t>
            </w:r>
          </w:p>
          <w:p w14:paraId="13C21073" w14:textId="77777777" w:rsidR="00EC13B7" w:rsidRPr="00026143" w:rsidRDefault="00EC13B7" w:rsidP="00720BBE">
            <w:pPr>
              <w:kinsoku w:val="0"/>
              <w:topLinePunct/>
              <w:spacing w:line="300" w:lineRule="exact"/>
              <w:rPr>
                <w:rFonts w:ascii="標楷體" w:eastAsia="標楷體" w:hAnsi="標楷體"/>
                <w:color w:val="000000" w:themeColor="text1"/>
              </w:rPr>
            </w:pPr>
          </w:p>
        </w:tc>
        <w:tc>
          <w:tcPr>
            <w:tcW w:w="1701" w:type="dxa"/>
            <w:shd w:val="clear" w:color="auto" w:fill="auto"/>
          </w:tcPr>
          <w:p w14:paraId="16FDBDE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1F6B349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6ECE41E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79C21C3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(10-6-1)報告及詢答完畢，另定期繼續審查。</w:t>
            </w:r>
          </w:p>
        </w:tc>
      </w:tr>
      <w:tr w:rsidR="00EC13B7" w:rsidRPr="00026143" w14:paraId="0EB6D909" w14:textId="77777777" w:rsidTr="00CA41AB">
        <w:tc>
          <w:tcPr>
            <w:tcW w:w="532" w:type="dxa"/>
            <w:shd w:val="clear" w:color="auto" w:fill="auto"/>
          </w:tcPr>
          <w:p w14:paraId="66BCCBAE"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8</w:t>
            </w:r>
          </w:p>
        </w:tc>
        <w:tc>
          <w:tcPr>
            <w:tcW w:w="2926" w:type="dxa"/>
            <w:shd w:val="clear" w:color="auto" w:fill="auto"/>
          </w:tcPr>
          <w:p w14:paraId="73DEB676"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8.雙語政策發展中心設置條例草案(共五章33條。制定重點：為厚植我國國民英語力，於兼顧國家多元文化之精神下打造我國成為雙語國家，特設本中心。)</w:t>
            </w:r>
          </w:p>
        </w:tc>
        <w:tc>
          <w:tcPr>
            <w:tcW w:w="2179" w:type="dxa"/>
            <w:shd w:val="clear" w:color="auto" w:fill="auto"/>
          </w:tcPr>
          <w:p w14:paraId="420ACE6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委員蔡易餘</w:t>
            </w:r>
          </w:p>
          <w:p w14:paraId="339DBAF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451A2BE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111.04.29 </w:t>
            </w:r>
          </w:p>
          <w:p w14:paraId="18135A7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（10-5-10）</w:t>
            </w:r>
          </w:p>
        </w:tc>
        <w:tc>
          <w:tcPr>
            <w:tcW w:w="1701" w:type="dxa"/>
            <w:shd w:val="clear" w:color="auto" w:fill="auto"/>
          </w:tcPr>
          <w:p w14:paraId="39836D3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202925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聯席會</w:t>
            </w:r>
          </w:p>
          <w:p w14:paraId="37B574B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111.10.5</w:t>
            </w:r>
          </w:p>
          <w:p w14:paraId="474A76A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(10-6-1)報告及詢答完畢，另定期繼續審查。</w:t>
            </w:r>
          </w:p>
        </w:tc>
      </w:tr>
      <w:tr w:rsidR="00EC13B7" w:rsidRPr="00026143" w14:paraId="169FB75B" w14:textId="77777777" w:rsidTr="00CA41AB">
        <w:tc>
          <w:tcPr>
            <w:tcW w:w="532" w:type="dxa"/>
            <w:shd w:val="clear" w:color="auto" w:fill="auto"/>
          </w:tcPr>
          <w:p w14:paraId="17B0E51F"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9</w:t>
            </w:r>
          </w:p>
        </w:tc>
        <w:tc>
          <w:tcPr>
            <w:tcW w:w="2926" w:type="dxa"/>
            <w:shd w:val="clear" w:color="auto" w:fill="auto"/>
          </w:tcPr>
          <w:p w14:paraId="7852883C"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經濟部組織法修正草案」、「經濟部商業發展署組織法草案」、「經濟部產業發展署組織法草案」、「經濟部國際貿易署組織法草案」、「經濟部能源署組織法草案」、「經濟部中小及新創企業署組織法草案」、「經濟部水利署組織法草案」、「經濟部智慧財產局組織法草案」、「經濟部產業園區管理局組織法草案」、「經濟部標準檢驗局</w:t>
            </w:r>
            <w:r w:rsidRPr="00026143">
              <w:rPr>
                <w:rFonts w:ascii="標楷體" w:eastAsia="標楷體" w:hAnsi="標楷體" w:hint="eastAsia"/>
                <w:color w:val="000000" w:themeColor="text1"/>
              </w:rPr>
              <w:lastRenderedPageBreak/>
              <w:t>組織法草案」及「經濟部礦業管理及地質調查中心組織法草案」(修正及制定重點：配合行政院組織調整。)</w:t>
            </w:r>
          </w:p>
        </w:tc>
        <w:tc>
          <w:tcPr>
            <w:tcW w:w="2179" w:type="dxa"/>
            <w:shd w:val="clear" w:color="auto" w:fill="auto"/>
          </w:tcPr>
          <w:p w14:paraId="11416BE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行政院 </w:t>
            </w:r>
          </w:p>
          <w:p w14:paraId="15D5F59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4C3C0FF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701" w:type="dxa"/>
            <w:shd w:val="clear" w:color="auto" w:fill="auto"/>
          </w:tcPr>
          <w:p w14:paraId="373DCD6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58FDAB4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92008D3" w14:textId="77777777" w:rsidTr="00CA41AB">
        <w:tc>
          <w:tcPr>
            <w:tcW w:w="532" w:type="dxa"/>
            <w:shd w:val="clear" w:color="auto" w:fill="auto"/>
          </w:tcPr>
          <w:p w14:paraId="0849D044"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10</w:t>
            </w:r>
          </w:p>
        </w:tc>
        <w:tc>
          <w:tcPr>
            <w:tcW w:w="2926" w:type="dxa"/>
            <w:shd w:val="clear" w:color="auto" w:fill="auto"/>
          </w:tcPr>
          <w:p w14:paraId="12C768A5"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2.經濟部組織法第十二條條文修正草案（修正重點：將「中小企業處」改組為「中小企業創新發展署」。）</w:t>
            </w:r>
          </w:p>
        </w:tc>
        <w:tc>
          <w:tcPr>
            <w:tcW w:w="2179" w:type="dxa"/>
            <w:shd w:val="clear" w:color="auto" w:fill="auto"/>
          </w:tcPr>
          <w:p w14:paraId="07062E4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民眾黨黨團 </w:t>
            </w:r>
          </w:p>
          <w:p w14:paraId="132B07D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109.04.24</w:t>
            </w:r>
          </w:p>
          <w:p w14:paraId="74D8314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（10-1-10）</w:t>
            </w:r>
          </w:p>
        </w:tc>
        <w:tc>
          <w:tcPr>
            <w:tcW w:w="1701" w:type="dxa"/>
            <w:shd w:val="clear" w:color="auto" w:fill="auto"/>
          </w:tcPr>
          <w:p w14:paraId="24E71B6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51140C1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CA88E19" w14:textId="77777777" w:rsidTr="00CA41AB">
        <w:tc>
          <w:tcPr>
            <w:tcW w:w="532" w:type="dxa"/>
            <w:shd w:val="clear" w:color="auto" w:fill="auto"/>
          </w:tcPr>
          <w:p w14:paraId="2CFF4AEA"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926" w:type="dxa"/>
            <w:shd w:val="clear" w:color="auto" w:fill="auto"/>
          </w:tcPr>
          <w:p w14:paraId="58E9B8B1"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3.經濟部組織法修正草案（共10條。修正重點：配合行政院組織調整，以利於完備組織建置、業務掌管權限及重要職務設置。）</w:t>
            </w:r>
          </w:p>
        </w:tc>
        <w:tc>
          <w:tcPr>
            <w:tcW w:w="2179" w:type="dxa"/>
            <w:shd w:val="clear" w:color="auto" w:fill="auto"/>
          </w:tcPr>
          <w:p w14:paraId="195F354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委員賴瑞隆</w:t>
            </w:r>
          </w:p>
          <w:p w14:paraId="748C53A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等25人 </w:t>
            </w:r>
          </w:p>
          <w:p w14:paraId="46727D4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111.10.07</w:t>
            </w:r>
          </w:p>
          <w:p w14:paraId="313D8CA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701" w:type="dxa"/>
            <w:shd w:val="clear" w:color="auto" w:fill="auto"/>
          </w:tcPr>
          <w:p w14:paraId="214A87F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434DD9C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91D9474" w14:textId="77777777" w:rsidTr="00CA41AB">
        <w:tc>
          <w:tcPr>
            <w:tcW w:w="532" w:type="dxa"/>
            <w:shd w:val="clear" w:color="auto" w:fill="auto"/>
          </w:tcPr>
          <w:p w14:paraId="096010A7"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12</w:t>
            </w:r>
          </w:p>
        </w:tc>
        <w:tc>
          <w:tcPr>
            <w:tcW w:w="2926" w:type="dxa"/>
            <w:shd w:val="clear" w:color="auto" w:fill="auto"/>
          </w:tcPr>
          <w:p w14:paraId="456B99A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4.經濟部組織法第一條及第二條條文修正草案(修正重點：將原由公平交易委員會職掌之多層次傳銷管理事項，轉由經濟部管理。)</w:t>
            </w:r>
          </w:p>
        </w:tc>
        <w:tc>
          <w:tcPr>
            <w:tcW w:w="2179" w:type="dxa"/>
            <w:shd w:val="clear" w:color="auto" w:fill="auto"/>
          </w:tcPr>
          <w:p w14:paraId="4BF2845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委員林岱樺</w:t>
            </w:r>
          </w:p>
          <w:p w14:paraId="31CBF44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7867B04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3CE31F4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（10-6-12）</w:t>
            </w:r>
          </w:p>
        </w:tc>
        <w:tc>
          <w:tcPr>
            <w:tcW w:w="1701" w:type="dxa"/>
            <w:shd w:val="clear" w:color="auto" w:fill="auto"/>
          </w:tcPr>
          <w:p w14:paraId="70341F0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309" w:type="dxa"/>
            <w:shd w:val="clear" w:color="auto" w:fill="auto"/>
          </w:tcPr>
          <w:p w14:paraId="1A97B59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15AF29E" w14:textId="77777777" w:rsidTr="00CA41AB">
        <w:tc>
          <w:tcPr>
            <w:tcW w:w="532" w:type="dxa"/>
            <w:shd w:val="clear" w:color="auto" w:fill="auto"/>
          </w:tcPr>
          <w:p w14:paraId="0ED50DFF"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13</w:t>
            </w:r>
          </w:p>
        </w:tc>
        <w:tc>
          <w:tcPr>
            <w:tcW w:w="2926" w:type="dxa"/>
            <w:shd w:val="clear" w:color="auto" w:fill="auto"/>
          </w:tcPr>
          <w:p w14:paraId="1E8699AD"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2.經濟部商業發展署組織法草案（共6條。制定重點：因應時代變遷，新興的商業型態不斷出現，服務業愈趨多元，相關輔導需求增加，配合行政院組織調整。）</w:t>
            </w:r>
          </w:p>
        </w:tc>
        <w:tc>
          <w:tcPr>
            <w:tcW w:w="2179" w:type="dxa"/>
            <w:shd w:val="clear" w:color="auto" w:fill="auto"/>
          </w:tcPr>
          <w:p w14:paraId="2CC2318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30F1E96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4B94999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1ED623E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182B54A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E0C25EE" w14:textId="77777777" w:rsidTr="00CA41AB">
        <w:tc>
          <w:tcPr>
            <w:tcW w:w="532" w:type="dxa"/>
            <w:shd w:val="clear" w:color="auto" w:fill="auto"/>
          </w:tcPr>
          <w:p w14:paraId="291A657A"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14</w:t>
            </w:r>
          </w:p>
        </w:tc>
        <w:tc>
          <w:tcPr>
            <w:tcW w:w="2926" w:type="dxa"/>
            <w:shd w:val="clear" w:color="auto" w:fill="auto"/>
          </w:tcPr>
          <w:p w14:paraId="74B3B722"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2.經濟部產業發展署組織法草案（共6條。制定重點：配合行政院組織調整。）</w:t>
            </w:r>
          </w:p>
        </w:tc>
        <w:tc>
          <w:tcPr>
            <w:tcW w:w="2179" w:type="dxa"/>
            <w:shd w:val="clear" w:color="auto" w:fill="auto"/>
          </w:tcPr>
          <w:p w14:paraId="77A2E9F4" w14:textId="18793511"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3FF6379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63BE8E5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20668EB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197D114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9940BC1" w14:textId="77777777" w:rsidTr="00CA41AB">
        <w:tc>
          <w:tcPr>
            <w:tcW w:w="532" w:type="dxa"/>
            <w:shd w:val="clear" w:color="auto" w:fill="auto"/>
          </w:tcPr>
          <w:p w14:paraId="63181F8F"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15</w:t>
            </w:r>
          </w:p>
        </w:tc>
        <w:tc>
          <w:tcPr>
            <w:tcW w:w="2926" w:type="dxa"/>
            <w:shd w:val="clear" w:color="auto" w:fill="auto"/>
          </w:tcPr>
          <w:p w14:paraId="2F7F93C8"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國際貿易署組織法草案（共6條。制定重點：配合行政院組織調整，因應國際經貿情勢快速變化及我國參與國際經貿組織之迫切需求，應強化現經濟部國際貿易局之政策規劃及推動功能，爰改制為經濟部國際貿易署，並將經濟部貿易調查委員會、經濟部國際合作處併入。）</w:t>
            </w:r>
          </w:p>
        </w:tc>
        <w:tc>
          <w:tcPr>
            <w:tcW w:w="2179" w:type="dxa"/>
            <w:shd w:val="clear" w:color="auto" w:fill="auto"/>
          </w:tcPr>
          <w:p w14:paraId="7A274A5A" w14:textId="12E93D6F"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505C59E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01F0D7E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0F9726C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4B7C88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2AC347F" w14:textId="77777777" w:rsidTr="00CA41AB">
        <w:tc>
          <w:tcPr>
            <w:tcW w:w="532" w:type="dxa"/>
            <w:shd w:val="clear" w:color="auto" w:fill="auto"/>
          </w:tcPr>
          <w:p w14:paraId="0F93AD81"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16</w:t>
            </w:r>
          </w:p>
        </w:tc>
        <w:tc>
          <w:tcPr>
            <w:tcW w:w="2926" w:type="dxa"/>
            <w:shd w:val="clear" w:color="auto" w:fill="auto"/>
          </w:tcPr>
          <w:p w14:paraId="2F73DECB"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2.經濟部能源署組織法草案（共7條。制定重點：</w:t>
            </w:r>
            <w:r w:rsidRPr="00026143">
              <w:rPr>
                <w:rFonts w:ascii="標楷體" w:eastAsia="標楷體" w:hAnsi="標楷體" w:hint="eastAsia"/>
                <w:color w:val="000000" w:themeColor="text1"/>
              </w:rPr>
              <w:lastRenderedPageBreak/>
              <w:t>配合行政院組織調整，配合國際淨零碳排趨勢，長期推動合理之潔淨能源政策與儲能設備規劃。）</w:t>
            </w:r>
          </w:p>
        </w:tc>
        <w:tc>
          <w:tcPr>
            <w:tcW w:w="2179" w:type="dxa"/>
            <w:shd w:val="clear" w:color="auto" w:fill="auto"/>
          </w:tcPr>
          <w:p w14:paraId="0B36DCA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台灣民眾黨黨團 </w:t>
            </w:r>
          </w:p>
          <w:p w14:paraId="52BCA4E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2A0EF36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（10-6-2）</w:t>
            </w:r>
          </w:p>
        </w:tc>
        <w:tc>
          <w:tcPr>
            <w:tcW w:w="1701" w:type="dxa"/>
            <w:shd w:val="clear" w:color="auto" w:fill="auto"/>
          </w:tcPr>
          <w:p w14:paraId="1A9CAD2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司法及法制、經濟</w:t>
            </w:r>
          </w:p>
        </w:tc>
        <w:tc>
          <w:tcPr>
            <w:tcW w:w="1309" w:type="dxa"/>
            <w:shd w:val="clear" w:color="auto" w:fill="auto"/>
          </w:tcPr>
          <w:p w14:paraId="07AC93B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DA5ECB4" w14:textId="77777777" w:rsidTr="00CA41AB">
        <w:tc>
          <w:tcPr>
            <w:tcW w:w="532" w:type="dxa"/>
            <w:shd w:val="clear" w:color="auto" w:fill="auto"/>
          </w:tcPr>
          <w:p w14:paraId="23668B29"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17</w:t>
            </w:r>
          </w:p>
        </w:tc>
        <w:tc>
          <w:tcPr>
            <w:tcW w:w="2926" w:type="dxa"/>
            <w:shd w:val="clear" w:color="auto" w:fill="auto"/>
          </w:tcPr>
          <w:p w14:paraId="2FF55F04"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2.經濟及能源部中小及新創企業署組織法草案(共6條。制定重點：中小企業處應併同組織改造升級為「中小及新創企業發展署」，以協助中小企業之轉型與新創企業之育成，爰擬具本法。)</w:t>
            </w:r>
          </w:p>
        </w:tc>
        <w:tc>
          <w:tcPr>
            <w:tcW w:w="2179" w:type="dxa"/>
            <w:shd w:val="clear" w:color="auto" w:fill="auto"/>
          </w:tcPr>
          <w:p w14:paraId="734AF2F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民眾黨黨團 </w:t>
            </w:r>
          </w:p>
          <w:p w14:paraId="1D58F29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111.03.18 </w:t>
            </w:r>
          </w:p>
          <w:p w14:paraId="786019B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（10-5-4）</w:t>
            </w:r>
          </w:p>
        </w:tc>
        <w:tc>
          <w:tcPr>
            <w:tcW w:w="1701" w:type="dxa"/>
            <w:shd w:val="clear" w:color="auto" w:fill="auto"/>
          </w:tcPr>
          <w:p w14:paraId="19C799E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19675EA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43FE871" w14:textId="77777777" w:rsidTr="00CA41AB">
        <w:tc>
          <w:tcPr>
            <w:tcW w:w="532" w:type="dxa"/>
            <w:shd w:val="clear" w:color="auto" w:fill="auto"/>
          </w:tcPr>
          <w:p w14:paraId="5176814B"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18</w:t>
            </w:r>
          </w:p>
        </w:tc>
        <w:tc>
          <w:tcPr>
            <w:tcW w:w="2926" w:type="dxa"/>
            <w:shd w:val="clear" w:color="auto" w:fill="auto"/>
          </w:tcPr>
          <w:p w14:paraId="4A4AF429"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2.經濟部智慧財產局組織法草案（共8條。制定重點：配合行政院組織調整。）</w:t>
            </w:r>
          </w:p>
        </w:tc>
        <w:tc>
          <w:tcPr>
            <w:tcW w:w="2179" w:type="dxa"/>
            <w:shd w:val="clear" w:color="auto" w:fill="auto"/>
          </w:tcPr>
          <w:p w14:paraId="3885A18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7992DA0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11C3803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141B461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755D382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4BECCFE" w14:textId="77777777" w:rsidTr="00CA41AB">
        <w:tc>
          <w:tcPr>
            <w:tcW w:w="532" w:type="dxa"/>
            <w:shd w:val="clear" w:color="auto" w:fill="auto"/>
          </w:tcPr>
          <w:p w14:paraId="72C4FA69"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19</w:t>
            </w:r>
          </w:p>
        </w:tc>
        <w:tc>
          <w:tcPr>
            <w:tcW w:w="2926" w:type="dxa"/>
            <w:shd w:val="clear" w:color="auto" w:fill="auto"/>
          </w:tcPr>
          <w:p w14:paraId="09C7734D"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2.經濟部產業園區管理局組織法草案（共7條。制定重點：配合行政院組織調整。）</w:t>
            </w:r>
          </w:p>
        </w:tc>
        <w:tc>
          <w:tcPr>
            <w:tcW w:w="2179" w:type="dxa"/>
            <w:shd w:val="clear" w:color="auto" w:fill="auto"/>
          </w:tcPr>
          <w:p w14:paraId="439F0CD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47BC72F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239345E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63EE408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462F6EE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5420FA0" w14:textId="77777777" w:rsidTr="00CA41AB">
        <w:tc>
          <w:tcPr>
            <w:tcW w:w="532" w:type="dxa"/>
            <w:shd w:val="clear" w:color="auto" w:fill="auto"/>
          </w:tcPr>
          <w:p w14:paraId="46CAF8C6"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20</w:t>
            </w:r>
          </w:p>
        </w:tc>
        <w:tc>
          <w:tcPr>
            <w:tcW w:w="2926" w:type="dxa"/>
            <w:shd w:val="clear" w:color="auto" w:fill="auto"/>
          </w:tcPr>
          <w:p w14:paraId="73B6AF39"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2.經濟部標準檢驗局組織法草案（共8條。制定重點：配合行政院組織調整。）</w:t>
            </w:r>
          </w:p>
        </w:tc>
        <w:tc>
          <w:tcPr>
            <w:tcW w:w="2179" w:type="dxa"/>
            <w:shd w:val="clear" w:color="auto" w:fill="auto"/>
          </w:tcPr>
          <w:p w14:paraId="426D221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6FC23E2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09D7179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1BAFCE8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4293A58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4AD39D5" w14:textId="77777777" w:rsidTr="00CA41AB">
        <w:tc>
          <w:tcPr>
            <w:tcW w:w="532" w:type="dxa"/>
            <w:shd w:val="clear" w:color="auto" w:fill="auto"/>
          </w:tcPr>
          <w:p w14:paraId="425E2FF6"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21</w:t>
            </w:r>
          </w:p>
        </w:tc>
        <w:tc>
          <w:tcPr>
            <w:tcW w:w="2926" w:type="dxa"/>
            <w:shd w:val="clear" w:color="auto" w:fill="auto"/>
          </w:tcPr>
          <w:p w14:paraId="3262CB1B"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經濟部加工出口區管理處組織條例修正草案(修正名稱、§1~12、15~16；增訂§13~14。修正重點：鑑於科技產業園區設置管理條例之修正，經濟部加工出口區管理處更名為經濟部產業園區管理局。)</w:t>
            </w:r>
          </w:p>
        </w:tc>
        <w:tc>
          <w:tcPr>
            <w:tcW w:w="2179" w:type="dxa"/>
            <w:shd w:val="clear" w:color="auto" w:fill="auto"/>
          </w:tcPr>
          <w:p w14:paraId="1316A36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委員賴瑞隆</w:t>
            </w:r>
          </w:p>
          <w:p w14:paraId="6686682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4D57591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110.10.15 </w:t>
            </w:r>
          </w:p>
          <w:p w14:paraId="2B00CF6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（10-4-6）</w:t>
            </w:r>
          </w:p>
        </w:tc>
        <w:tc>
          <w:tcPr>
            <w:tcW w:w="1701" w:type="dxa"/>
            <w:shd w:val="clear" w:color="auto" w:fill="auto"/>
          </w:tcPr>
          <w:p w14:paraId="592136F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6A45D94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6B3F950" w14:textId="77777777" w:rsidTr="00CA41AB">
        <w:tc>
          <w:tcPr>
            <w:tcW w:w="532" w:type="dxa"/>
            <w:shd w:val="clear" w:color="auto" w:fill="auto"/>
          </w:tcPr>
          <w:p w14:paraId="54906D54"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22</w:t>
            </w:r>
          </w:p>
        </w:tc>
        <w:tc>
          <w:tcPr>
            <w:tcW w:w="2926" w:type="dxa"/>
            <w:shd w:val="clear" w:color="auto" w:fill="auto"/>
          </w:tcPr>
          <w:p w14:paraId="43BF1E42"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農業部組織法草案」、「農業部農糧署組織法草案」、「農業部漁業署組織法草案」、「農業部動植物防疫檢疫署組織法草案」、「農業部林業及自然保育署組織法草案」、「農業部水土保持及農村發展署組織法草案」、「農業部農田水利署組織法草案」、「農業部農業金融署組織法草案」、「農業部農業科技園區管理中心組織法草案」、「農業部農業試驗所組織</w:t>
            </w:r>
            <w:r w:rsidRPr="00026143">
              <w:rPr>
                <w:rFonts w:ascii="標楷體" w:eastAsia="標楷體" w:hAnsi="標楷體" w:hint="eastAsia"/>
                <w:color w:val="000000" w:themeColor="text1"/>
              </w:rPr>
              <w:lastRenderedPageBreak/>
              <w:t>法草案」、「農業部林業試驗所組織法草案」、「農業部水產試驗所組織法草案」、「農業部畜產試驗所組織法草案」、「農業部獸醫研究所組織法草案」、「農業部農業藥物試驗所組織法草案」及「農業部生物多樣性研究所組織法草案」(制定重點：配合行政院組織調整。)</w:t>
            </w:r>
          </w:p>
        </w:tc>
        <w:tc>
          <w:tcPr>
            <w:tcW w:w="2179" w:type="dxa"/>
            <w:shd w:val="clear" w:color="auto" w:fill="auto"/>
          </w:tcPr>
          <w:p w14:paraId="15F8B5A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行政院 </w:t>
            </w:r>
          </w:p>
          <w:p w14:paraId="015D7BD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7A63EAF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701" w:type="dxa"/>
            <w:shd w:val="clear" w:color="auto" w:fill="auto"/>
          </w:tcPr>
          <w:p w14:paraId="663946F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E6368B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61AC7DC" w14:textId="77777777" w:rsidTr="00CA41AB">
        <w:tc>
          <w:tcPr>
            <w:tcW w:w="532" w:type="dxa"/>
            <w:shd w:val="clear" w:color="auto" w:fill="auto"/>
          </w:tcPr>
          <w:p w14:paraId="41702F94"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23</w:t>
            </w:r>
          </w:p>
        </w:tc>
        <w:tc>
          <w:tcPr>
            <w:tcW w:w="2926" w:type="dxa"/>
            <w:shd w:val="clear" w:color="auto" w:fill="auto"/>
          </w:tcPr>
          <w:p w14:paraId="07DE1F7B"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2.農業部組織法草案（共8條。制定重點：為辦理全國農業、漁業、林業、畜牧業及動物保護行政業務，特制定本法。）</w:t>
            </w:r>
          </w:p>
        </w:tc>
        <w:tc>
          <w:tcPr>
            <w:tcW w:w="2179" w:type="dxa"/>
            <w:shd w:val="clear" w:color="auto" w:fill="auto"/>
          </w:tcPr>
          <w:p w14:paraId="6F6A559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委員蘇巧慧</w:t>
            </w:r>
          </w:p>
          <w:p w14:paraId="5D61C27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0A6E35F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109.05.01 </w:t>
            </w:r>
          </w:p>
          <w:p w14:paraId="4118D2F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（10-1-11）</w:t>
            </w:r>
          </w:p>
        </w:tc>
        <w:tc>
          <w:tcPr>
            <w:tcW w:w="1701" w:type="dxa"/>
            <w:shd w:val="clear" w:color="auto" w:fill="auto"/>
          </w:tcPr>
          <w:p w14:paraId="70623B3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385FBD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E67FAA7" w14:textId="77777777" w:rsidTr="00CA41AB">
        <w:tc>
          <w:tcPr>
            <w:tcW w:w="532" w:type="dxa"/>
            <w:shd w:val="clear" w:color="auto" w:fill="auto"/>
          </w:tcPr>
          <w:p w14:paraId="0C722694"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24</w:t>
            </w:r>
          </w:p>
        </w:tc>
        <w:tc>
          <w:tcPr>
            <w:tcW w:w="2926" w:type="dxa"/>
            <w:shd w:val="clear" w:color="auto" w:fill="auto"/>
          </w:tcPr>
          <w:p w14:paraId="123EC593"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3.農業部組織法草案（共8條。制定重點：為辦理全國農業、林業、漁業、畜產業行政業務，特制定本法。）</w:t>
            </w:r>
          </w:p>
        </w:tc>
        <w:tc>
          <w:tcPr>
            <w:tcW w:w="2179" w:type="dxa"/>
            <w:shd w:val="clear" w:color="auto" w:fill="auto"/>
          </w:tcPr>
          <w:p w14:paraId="0D2E48A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委員陳明文</w:t>
            </w:r>
          </w:p>
          <w:p w14:paraId="43A62DF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593E743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109.05.01 </w:t>
            </w:r>
          </w:p>
          <w:p w14:paraId="4BFE064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（10-1-11）</w:t>
            </w:r>
          </w:p>
        </w:tc>
        <w:tc>
          <w:tcPr>
            <w:tcW w:w="1701" w:type="dxa"/>
            <w:shd w:val="clear" w:color="auto" w:fill="auto"/>
          </w:tcPr>
          <w:p w14:paraId="6B439B8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1BB2335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3B04907" w14:textId="77777777" w:rsidTr="00CA41AB">
        <w:tc>
          <w:tcPr>
            <w:tcW w:w="532" w:type="dxa"/>
            <w:shd w:val="clear" w:color="auto" w:fill="auto"/>
          </w:tcPr>
          <w:p w14:paraId="1607AA0B"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25</w:t>
            </w:r>
          </w:p>
        </w:tc>
        <w:tc>
          <w:tcPr>
            <w:tcW w:w="2926" w:type="dxa"/>
            <w:shd w:val="clear" w:color="auto" w:fill="auto"/>
          </w:tcPr>
          <w:p w14:paraId="3F132583"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4.農業部組織法草案（共8條。制定重點：為辦理全國農業、林業、漁業、畜牧業行政業務，特制定本法。）</w:t>
            </w:r>
          </w:p>
        </w:tc>
        <w:tc>
          <w:tcPr>
            <w:tcW w:w="2179" w:type="dxa"/>
            <w:shd w:val="clear" w:color="auto" w:fill="auto"/>
          </w:tcPr>
          <w:p w14:paraId="5C92F14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委員鍾佳濱</w:t>
            </w:r>
          </w:p>
          <w:p w14:paraId="0C3FE13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09B0482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109.05.08 </w:t>
            </w:r>
          </w:p>
          <w:p w14:paraId="4ACC26E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（10-1-12）</w:t>
            </w:r>
          </w:p>
        </w:tc>
        <w:tc>
          <w:tcPr>
            <w:tcW w:w="1701" w:type="dxa"/>
            <w:shd w:val="clear" w:color="auto" w:fill="auto"/>
          </w:tcPr>
          <w:p w14:paraId="14FE457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79BC9BC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0070D79" w14:textId="77777777" w:rsidTr="00CA41AB">
        <w:tc>
          <w:tcPr>
            <w:tcW w:w="532" w:type="dxa"/>
            <w:shd w:val="clear" w:color="auto" w:fill="auto"/>
          </w:tcPr>
          <w:p w14:paraId="2CEE6C95"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26</w:t>
            </w:r>
          </w:p>
        </w:tc>
        <w:tc>
          <w:tcPr>
            <w:tcW w:w="2926" w:type="dxa"/>
            <w:shd w:val="clear" w:color="auto" w:fill="auto"/>
          </w:tcPr>
          <w:p w14:paraId="51C85E34"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5.農業部組織法草案（共8條。制定重點：為辦理全國農業、漁業、林業、畜牧業及動物保護行政業務，特制定本法。）</w:t>
            </w:r>
          </w:p>
        </w:tc>
        <w:tc>
          <w:tcPr>
            <w:tcW w:w="2179" w:type="dxa"/>
            <w:shd w:val="clear" w:color="auto" w:fill="auto"/>
          </w:tcPr>
          <w:p w14:paraId="0ED2D51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委員賴惠員</w:t>
            </w:r>
          </w:p>
          <w:p w14:paraId="4944E7C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737BDD9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109.12.04 </w:t>
            </w:r>
          </w:p>
          <w:p w14:paraId="71F1853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（10-2-6）</w:t>
            </w:r>
          </w:p>
        </w:tc>
        <w:tc>
          <w:tcPr>
            <w:tcW w:w="1701" w:type="dxa"/>
            <w:shd w:val="clear" w:color="auto" w:fill="auto"/>
          </w:tcPr>
          <w:p w14:paraId="5991277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0A2C90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CAF8CC2" w14:textId="77777777" w:rsidTr="00CA41AB">
        <w:tc>
          <w:tcPr>
            <w:tcW w:w="532" w:type="dxa"/>
            <w:shd w:val="clear" w:color="auto" w:fill="auto"/>
          </w:tcPr>
          <w:p w14:paraId="599CC56E"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27</w:t>
            </w:r>
          </w:p>
        </w:tc>
        <w:tc>
          <w:tcPr>
            <w:tcW w:w="2926" w:type="dxa"/>
            <w:shd w:val="clear" w:color="auto" w:fill="auto"/>
          </w:tcPr>
          <w:p w14:paraId="6E4EEB25"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6.農業部組織法草案（共8條。制定重點：為辦理全國農業、林業、漁業、畜產業行政業務，特制定本法。）</w:t>
            </w:r>
          </w:p>
        </w:tc>
        <w:tc>
          <w:tcPr>
            <w:tcW w:w="2179" w:type="dxa"/>
            <w:shd w:val="clear" w:color="auto" w:fill="auto"/>
          </w:tcPr>
          <w:p w14:paraId="649FD0A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委員賴瑞隆</w:t>
            </w:r>
          </w:p>
          <w:p w14:paraId="62141A7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3849115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110.04.16 </w:t>
            </w:r>
          </w:p>
          <w:p w14:paraId="662C027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（10-3-8）</w:t>
            </w:r>
          </w:p>
        </w:tc>
        <w:tc>
          <w:tcPr>
            <w:tcW w:w="1701" w:type="dxa"/>
            <w:shd w:val="clear" w:color="auto" w:fill="auto"/>
          </w:tcPr>
          <w:p w14:paraId="4167555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442AB3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5FCABCA" w14:textId="77777777" w:rsidTr="00CA41AB">
        <w:tc>
          <w:tcPr>
            <w:tcW w:w="532" w:type="dxa"/>
            <w:shd w:val="clear" w:color="auto" w:fill="auto"/>
          </w:tcPr>
          <w:p w14:paraId="75B7F39F"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28</w:t>
            </w:r>
          </w:p>
        </w:tc>
        <w:tc>
          <w:tcPr>
            <w:tcW w:w="2926" w:type="dxa"/>
            <w:shd w:val="clear" w:color="auto" w:fill="auto"/>
          </w:tcPr>
          <w:p w14:paraId="2D0A126C"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7.農業部組織法草案(共8條。制定重點：行政院啟動組織調整設置農業部。)</w:t>
            </w:r>
          </w:p>
        </w:tc>
        <w:tc>
          <w:tcPr>
            <w:tcW w:w="2179" w:type="dxa"/>
            <w:shd w:val="clear" w:color="auto" w:fill="auto"/>
          </w:tcPr>
          <w:p w14:paraId="7671963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委員林宜瑾</w:t>
            </w:r>
          </w:p>
          <w:p w14:paraId="7E9CCC2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等25人 </w:t>
            </w:r>
          </w:p>
          <w:p w14:paraId="60506D3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111.05.20 </w:t>
            </w:r>
          </w:p>
          <w:p w14:paraId="087A1B9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（10-5-13）</w:t>
            </w:r>
          </w:p>
        </w:tc>
        <w:tc>
          <w:tcPr>
            <w:tcW w:w="1701" w:type="dxa"/>
            <w:shd w:val="clear" w:color="auto" w:fill="auto"/>
          </w:tcPr>
          <w:p w14:paraId="4F803B9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57A758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712763B" w14:textId="77777777" w:rsidTr="00CA41AB">
        <w:tc>
          <w:tcPr>
            <w:tcW w:w="532" w:type="dxa"/>
            <w:shd w:val="clear" w:color="auto" w:fill="auto"/>
          </w:tcPr>
          <w:p w14:paraId="0957511C"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29</w:t>
            </w:r>
          </w:p>
        </w:tc>
        <w:tc>
          <w:tcPr>
            <w:tcW w:w="2926" w:type="dxa"/>
            <w:shd w:val="clear" w:color="auto" w:fill="auto"/>
          </w:tcPr>
          <w:p w14:paraId="75CF41C9"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8.農業部組織法草案(共8條。制定重點：配合行政院組織調整。)</w:t>
            </w:r>
          </w:p>
        </w:tc>
        <w:tc>
          <w:tcPr>
            <w:tcW w:w="2179" w:type="dxa"/>
            <w:shd w:val="clear" w:color="auto" w:fill="auto"/>
          </w:tcPr>
          <w:p w14:paraId="2B1BB91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委員劉建國</w:t>
            </w:r>
          </w:p>
          <w:p w14:paraId="6197EDE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1C8DEB1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0B80B21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01" w:type="dxa"/>
            <w:shd w:val="clear" w:color="auto" w:fill="auto"/>
          </w:tcPr>
          <w:p w14:paraId="633CE2F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1DAEF1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F7960D6" w14:textId="77777777" w:rsidTr="00CA41AB">
        <w:tc>
          <w:tcPr>
            <w:tcW w:w="532" w:type="dxa"/>
            <w:shd w:val="clear" w:color="auto" w:fill="auto"/>
          </w:tcPr>
          <w:p w14:paraId="5A4E9677"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30</w:t>
            </w:r>
          </w:p>
        </w:tc>
        <w:tc>
          <w:tcPr>
            <w:tcW w:w="2926" w:type="dxa"/>
            <w:shd w:val="clear" w:color="auto" w:fill="auto"/>
          </w:tcPr>
          <w:p w14:paraId="13EF35B0"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9.農業部組織法草案(共8條。制定重點：將動保相</w:t>
            </w:r>
            <w:r w:rsidRPr="00026143">
              <w:rPr>
                <w:rFonts w:ascii="標楷體" w:eastAsia="標楷體" w:hAnsi="標楷體" w:hint="eastAsia"/>
                <w:color w:val="000000" w:themeColor="text1"/>
              </w:rPr>
              <w:lastRenderedPageBreak/>
              <w:t>關業務推展、農產業轉型及淨零碳排之推動納入農業部之執行業務。)</w:t>
            </w:r>
          </w:p>
        </w:tc>
        <w:tc>
          <w:tcPr>
            <w:tcW w:w="2179" w:type="dxa"/>
            <w:shd w:val="clear" w:color="auto" w:fill="auto"/>
          </w:tcPr>
          <w:p w14:paraId="5AEB6E5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台灣民眾黨黨團 </w:t>
            </w:r>
          </w:p>
          <w:p w14:paraId="14F4CB7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0E2D344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（10-5-14）</w:t>
            </w:r>
          </w:p>
        </w:tc>
        <w:tc>
          <w:tcPr>
            <w:tcW w:w="1701" w:type="dxa"/>
            <w:shd w:val="clear" w:color="auto" w:fill="auto"/>
          </w:tcPr>
          <w:p w14:paraId="773B17D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司法及法制、經濟</w:t>
            </w:r>
          </w:p>
        </w:tc>
        <w:tc>
          <w:tcPr>
            <w:tcW w:w="1309" w:type="dxa"/>
            <w:shd w:val="clear" w:color="auto" w:fill="auto"/>
          </w:tcPr>
          <w:p w14:paraId="310DF4E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2AB83CB" w14:textId="77777777" w:rsidTr="00CA41AB">
        <w:tc>
          <w:tcPr>
            <w:tcW w:w="532" w:type="dxa"/>
            <w:shd w:val="clear" w:color="auto" w:fill="auto"/>
          </w:tcPr>
          <w:p w14:paraId="6E84FBE8"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31</w:t>
            </w:r>
          </w:p>
        </w:tc>
        <w:tc>
          <w:tcPr>
            <w:tcW w:w="2926" w:type="dxa"/>
            <w:shd w:val="clear" w:color="auto" w:fill="auto"/>
          </w:tcPr>
          <w:p w14:paraId="7EC0F162"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10.農業部組織法草案（共8條。制定重點：配合行政院組織調整，為辦理全國農業、林業、漁業及畜牧業之行政及建設業務，特設農業部。）</w:t>
            </w:r>
          </w:p>
        </w:tc>
        <w:tc>
          <w:tcPr>
            <w:tcW w:w="2179" w:type="dxa"/>
            <w:shd w:val="clear" w:color="auto" w:fill="auto"/>
          </w:tcPr>
          <w:p w14:paraId="4AF9316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委員賴瑞隆</w:t>
            </w:r>
          </w:p>
          <w:p w14:paraId="54E9903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等22人 </w:t>
            </w:r>
          </w:p>
          <w:p w14:paraId="1F4F611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434D26B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701" w:type="dxa"/>
            <w:shd w:val="clear" w:color="auto" w:fill="auto"/>
          </w:tcPr>
          <w:p w14:paraId="01D244F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7AADA54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53C32F9" w14:textId="77777777" w:rsidTr="00CA41AB">
        <w:tc>
          <w:tcPr>
            <w:tcW w:w="532" w:type="dxa"/>
            <w:shd w:val="clear" w:color="auto" w:fill="auto"/>
          </w:tcPr>
          <w:p w14:paraId="38EBE73A"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32</w:t>
            </w:r>
          </w:p>
        </w:tc>
        <w:tc>
          <w:tcPr>
            <w:tcW w:w="2926" w:type="dxa"/>
            <w:shd w:val="clear" w:color="auto" w:fill="auto"/>
          </w:tcPr>
          <w:p w14:paraId="4D1265E0"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11.農業部組織法草案（共8條。制定重點：配合行政院組織調整，為辦理全國農業、林業、漁業及畜牧業行政業務，特設農業部。）</w:t>
            </w:r>
          </w:p>
        </w:tc>
        <w:tc>
          <w:tcPr>
            <w:tcW w:w="2179" w:type="dxa"/>
            <w:shd w:val="clear" w:color="auto" w:fill="auto"/>
          </w:tcPr>
          <w:p w14:paraId="55DB18F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委員湯蕙禎</w:t>
            </w:r>
          </w:p>
          <w:p w14:paraId="515AA13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1CE785C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790347F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701" w:type="dxa"/>
            <w:shd w:val="clear" w:color="auto" w:fill="auto"/>
          </w:tcPr>
          <w:p w14:paraId="0DEC4BB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D223AF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5D2965C" w14:textId="77777777" w:rsidTr="00CA41AB">
        <w:tc>
          <w:tcPr>
            <w:tcW w:w="532" w:type="dxa"/>
            <w:shd w:val="clear" w:color="auto" w:fill="auto"/>
          </w:tcPr>
          <w:p w14:paraId="517C6B39"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33</w:t>
            </w:r>
          </w:p>
        </w:tc>
        <w:tc>
          <w:tcPr>
            <w:tcW w:w="2926" w:type="dxa"/>
            <w:shd w:val="clear" w:color="auto" w:fill="auto"/>
          </w:tcPr>
          <w:p w14:paraId="2D2A51B5"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12.農業部組織法草案（共8條。制定重點：為辦理全國農業、林業、漁業及畜牧業之行政及建設業務，特設本部。）</w:t>
            </w:r>
          </w:p>
        </w:tc>
        <w:tc>
          <w:tcPr>
            <w:tcW w:w="2179" w:type="dxa"/>
            <w:shd w:val="clear" w:color="auto" w:fill="auto"/>
          </w:tcPr>
          <w:p w14:paraId="4B8D6B1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委員謝衣</w:t>
            </w:r>
            <w:r w:rsidRPr="00026143">
              <w:rPr>
                <w:rFonts w:ascii="標楷體" w:eastAsia="標楷體" w:hAnsi="標楷體" w:hint="eastAsia"/>
                <w:color w:val="000000" w:themeColor="text1"/>
              </w:rPr>
              <w:t>鳯</w:t>
            </w:r>
          </w:p>
          <w:p w14:paraId="0B521F2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22人 </w:t>
            </w:r>
          </w:p>
          <w:p w14:paraId="688123A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3D41C8B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（10-6-11）</w:t>
            </w:r>
          </w:p>
        </w:tc>
        <w:tc>
          <w:tcPr>
            <w:tcW w:w="1701" w:type="dxa"/>
            <w:shd w:val="clear" w:color="auto" w:fill="auto"/>
          </w:tcPr>
          <w:p w14:paraId="1FBEB2E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309" w:type="dxa"/>
            <w:shd w:val="clear" w:color="auto" w:fill="auto"/>
          </w:tcPr>
          <w:p w14:paraId="71E33E1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82E8162" w14:textId="77777777" w:rsidTr="00CA41AB">
        <w:tc>
          <w:tcPr>
            <w:tcW w:w="532" w:type="dxa"/>
            <w:shd w:val="clear" w:color="auto" w:fill="auto"/>
          </w:tcPr>
          <w:p w14:paraId="6ADF0755"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34</w:t>
            </w:r>
          </w:p>
        </w:tc>
        <w:tc>
          <w:tcPr>
            <w:tcW w:w="2926" w:type="dxa"/>
            <w:shd w:val="clear" w:color="auto" w:fill="auto"/>
          </w:tcPr>
          <w:p w14:paraId="092945C3"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13.農業部組織法草案（共8條。制定重點：為辦理全國農業、林業、漁業及畜牧業行政業務，特設本部。）</w:t>
            </w:r>
          </w:p>
        </w:tc>
        <w:tc>
          <w:tcPr>
            <w:tcW w:w="2179" w:type="dxa"/>
            <w:shd w:val="clear" w:color="auto" w:fill="auto"/>
          </w:tcPr>
          <w:p w14:paraId="0F66035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委員賴品妤</w:t>
            </w:r>
          </w:p>
          <w:p w14:paraId="5799D3C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435D55B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6EAE866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（10-6-13）</w:t>
            </w:r>
          </w:p>
        </w:tc>
        <w:tc>
          <w:tcPr>
            <w:tcW w:w="1701" w:type="dxa"/>
            <w:shd w:val="clear" w:color="auto" w:fill="auto"/>
          </w:tcPr>
          <w:p w14:paraId="3867025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309" w:type="dxa"/>
            <w:shd w:val="clear" w:color="auto" w:fill="auto"/>
          </w:tcPr>
          <w:p w14:paraId="62D1DD9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A71B200" w14:textId="77777777" w:rsidTr="00CA41AB">
        <w:tc>
          <w:tcPr>
            <w:tcW w:w="532" w:type="dxa"/>
            <w:shd w:val="clear" w:color="auto" w:fill="auto"/>
          </w:tcPr>
          <w:p w14:paraId="1B2667CB"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35</w:t>
            </w:r>
          </w:p>
        </w:tc>
        <w:tc>
          <w:tcPr>
            <w:tcW w:w="2926" w:type="dxa"/>
            <w:shd w:val="clear" w:color="auto" w:fill="auto"/>
          </w:tcPr>
          <w:p w14:paraId="2B688C65"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14.行政院農業委員會組織條例第十條條文修正草案(修正重點：將畜牧處之掌理事項加入寵物管理，未來針對特定寵物進行納管。)</w:t>
            </w:r>
          </w:p>
        </w:tc>
        <w:tc>
          <w:tcPr>
            <w:tcW w:w="2179" w:type="dxa"/>
            <w:shd w:val="clear" w:color="auto" w:fill="auto"/>
          </w:tcPr>
          <w:p w14:paraId="64DEDAA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委員張育美</w:t>
            </w:r>
          </w:p>
          <w:p w14:paraId="5476277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53D48C9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111.04.01 </w:t>
            </w:r>
          </w:p>
          <w:p w14:paraId="1C227BF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（10-5-6）</w:t>
            </w:r>
          </w:p>
        </w:tc>
        <w:tc>
          <w:tcPr>
            <w:tcW w:w="1701" w:type="dxa"/>
            <w:shd w:val="clear" w:color="auto" w:fill="auto"/>
          </w:tcPr>
          <w:p w14:paraId="71F95C0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64D9C4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C2F8A06" w14:textId="77777777" w:rsidTr="00CA41AB">
        <w:tc>
          <w:tcPr>
            <w:tcW w:w="532" w:type="dxa"/>
            <w:shd w:val="clear" w:color="auto" w:fill="auto"/>
          </w:tcPr>
          <w:p w14:paraId="26C69227"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36</w:t>
            </w:r>
          </w:p>
        </w:tc>
        <w:tc>
          <w:tcPr>
            <w:tcW w:w="2926" w:type="dxa"/>
            <w:shd w:val="clear" w:color="auto" w:fill="auto"/>
          </w:tcPr>
          <w:p w14:paraId="2AE1A814"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15.行政院農業委員會組織條例第十條條文修正草案(修正重點：將畜牧處之掌理事項加入寵物管理，未來針對寵物進行納管。)</w:t>
            </w:r>
          </w:p>
        </w:tc>
        <w:tc>
          <w:tcPr>
            <w:tcW w:w="2179" w:type="dxa"/>
            <w:shd w:val="clear" w:color="auto" w:fill="auto"/>
          </w:tcPr>
          <w:p w14:paraId="2DF9CCC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委員鄭麗文</w:t>
            </w:r>
          </w:p>
          <w:p w14:paraId="63329D8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27D221B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4363D22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701" w:type="dxa"/>
            <w:shd w:val="clear" w:color="auto" w:fill="auto"/>
          </w:tcPr>
          <w:p w14:paraId="6782F5B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261A5B5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9B77F00" w14:textId="77777777" w:rsidTr="00CA41AB">
        <w:tc>
          <w:tcPr>
            <w:tcW w:w="532" w:type="dxa"/>
            <w:shd w:val="clear" w:color="auto" w:fill="auto"/>
          </w:tcPr>
          <w:p w14:paraId="26CEEB76"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37</w:t>
            </w:r>
          </w:p>
        </w:tc>
        <w:tc>
          <w:tcPr>
            <w:tcW w:w="2926" w:type="dxa"/>
            <w:shd w:val="clear" w:color="auto" w:fill="auto"/>
          </w:tcPr>
          <w:p w14:paraId="6B2BDB31"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2.農業部農糧署組織法草案(共7條。制定重點：配合行政院組織調整。)</w:t>
            </w:r>
          </w:p>
        </w:tc>
        <w:tc>
          <w:tcPr>
            <w:tcW w:w="2179" w:type="dxa"/>
            <w:shd w:val="clear" w:color="auto" w:fill="auto"/>
          </w:tcPr>
          <w:p w14:paraId="0C84D20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委員劉建國</w:t>
            </w:r>
          </w:p>
          <w:p w14:paraId="5E7A075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0A77B82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2DE037B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01" w:type="dxa"/>
            <w:shd w:val="clear" w:color="auto" w:fill="auto"/>
          </w:tcPr>
          <w:p w14:paraId="0DC70E6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2880367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C3DE580" w14:textId="77777777" w:rsidTr="00CA41AB">
        <w:tc>
          <w:tcPr>
            <w:tcW w:w="532" w:type="dxa"/>
            <w:shd w:val="clear" w:color="auto" w:fill="auto"/>
          </w:tcPr>
          <w:p w14:paraId="6F900D2C"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38</w:t>
            </w:r>
          </w:p>
        </w:tc>
        <w:tc>
          <w:tcPr>
            <w:tcW w:w="2926" w:type="dxa"/>
            <w:shd w:val="clear" w:color="auto" w:fill="auto"/>
          </w:tcPr>
          <w:p w14:paraId="0456399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3.農業部農糧署組織法草案（共7條。制定重點：配合行政院組織調整。）</w:t>
            </w:r>
          </w:p>
        </w:tc>
        <w:tc>
          <w:tcPr>
            <w:tcW w:w="2179" w:type="dxa"/>
            <w:shd w:val="clear" w:color="auto" w:fill="auto"/>
          </w:tcPr>
          <w:p w14:paraId="7AEBF8D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49B6700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76F3A1D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7B93A56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6A3CDED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66476E4" w14:textId="77777777" w:rsidTr="00CA41AB">
        <w:tc>
          <w:tcPr>
            <w:tcW w:w="532" w:type="dxa"/>
            <w:shd w:val="clear" w:color="auto" w:fill="auto"/>
          </w:tcPr>
          <w:p w14:paraId="2D9A41F5"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39</w:t>
            </w:r>
          </w:p>
        </w:tc>
        <w:tc>
          <w:tcPr>
            <w:tcW w:w="2926" w:type="dxa"/>
            <w:shd w:val="clear" w:color="auto" w:fill="auto"/>
          </w:tcPr>
          <w:p w14:paraId="11E12168"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4.農業部農糧署組織法草案（共7條。制定重點：配合行政院組織調整。）</w:t>
            </w:r>
          </w:p>
        </w:tc>
        <w:tc>
          <w:tcPr>
            <w:tcW w:w="2179" w:type="dxa"/>
            <w:shd w:val="clear" w:color="auto" w:fill="auto"/>
          </w:tcPr>
          <w:p w14:paraId="04CB5E9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委員謝衣</w:t>
            </w:r>
            <w:r w:rsidRPr="00026143">
              <w:rPr>
                <w:rFonts w:ascii="標楷體" w:eastAsia="標楷體" w:hAnsi="標楷體" w:hint="eastAsia"/>
                <w:color w:val="000000" w:themeColor="text1"/>
              </w:rPr>
              <w:t>鳯</w:t>
            </w:r>
          </w:p>
          <w:p w14:paraId="08F9599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22人 </w:t>
            </w:r>
          </w:p>
          <w:p w14:paraId="60EFDF2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6D50FCC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（10-6-11）</w:t>
            </w:r>
          </w:p>
        </w:tc>
        <w:tc>
          <w:tcPr>
            <w:tcW w:w="1701" w:type="dxa"/>
            <w:shd w:val="clear" w:color="auto" w:fill="auto"/>
          </w:tcPr>
          <w:p w14:paraId="56FEA38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司法及法制、經濟</w:t>
            </w:r>
          </w:p>
        </w:tc>
        <w:tc>
          <w:tcPr>
            <w:tcW w:w="1309" w:type="dxa"/>
            <w:shd w:val="clear" w:color="auto" w:fill="auto"/>
          </w:tcPr>
          <w:p w14:paraId="01D368B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622191" w14:textId="77777777" w:rsidTr="00CA41AB">
        <w:tc>
          <w:tcPr>
            <w:tcW w:w="532" w:type="dxa"/>
            <w:shd w:val="clear" w:color="auto" w:fill="auto"/>
          </w:tcPr>
          <w:p w14:paraId="7731D6D4"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40</w:t>
            </w:r>
          </w:p>
        </w:tc>
        <w:tc>
          <w:tcPr>
            <w:tcW w:w="2926" w:type="dxa"/>
            <w:shd w:val="clear" w:color="auto" w:fill="auto"/>
          </w:tcPr>
          <w:p w14:paraId="4E0B773B"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2.農業部漁業署組織法草案(共8條。制定重點：配合行政院組織調整。)</w:t>
            </w:r>
          </w:p>
        </w:tc>
        <w:tc>
          <w:tcPr>
            <w:tcW w:w="2179" w:type="dxa"/>
            <w:shd w:val="clear" w:color="auto" w:fill="auto"/>
          </w:tcPr>
          <w:p w14:paraId="28E9E1C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委員劉建國</w:t>
            </w:r>
          </w:p>
          <w:p w14:paraId="2F879D3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00A6D52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1B4BAC9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01" w:type="dxa"/>
            <w:shd w:val="clear" w:color="auto" w:fill="auto"/>
          </w:tcPr>
          <w:p w14:paraId="4128963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4D168E6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525082B" w14:textId="77777777" w:rsidTr="00CA41AB">
        <w:tc>
          <w:tcPr>
            <w:tcW w:w="532" w:type="dxa"/>
            <w:shd w:val="clear" w:color="auto" w:fill="auto"/>
          </w:tcPr>
          <w:p w14:paraId="50AEA632"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41</w:t>
            </w:r>
          </w:p>
        </w:tc>
        <w:tc>
          <w:tcPr>
            <w:tcW w:w="2926" w:type="dxa"/>
            <w:shd w:val="clear" w:color="auto" w:fill="auto"/>
          </w:tcPr>
          <w:p w14:paraId="572AA301"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3.農業部漁業署組織法草案（共7條。制定重點：配合行政院組織調整。）</w:t>
            </w:r>
          </w:p>
        </w:tc>
        <w:tc>
          <w:tcPr>
            <w:tcW w:w="2179" w:type="dxa"/>
            <w:shd w:val="clear" w:color="auto" w:fill="auto"/>
          </w:tcPr>
          <w:p w14:paraId="19BC4B3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679E150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3699B98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426E95C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2773EBA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1E9884D" w14:textId="77777777" w:rsidTr="00CA41AB">
        <w:tc>
          <w:tcPr>
            <w:tcW w:w="532" w:type="dxa"/>
            <w:shd w:val="clear" w:color="auto" w:fill="auto"/>
          </w:tcPr>
          <w:p w14:paraId="18B71591"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42</w:t>
            </w:r>
          </w:p>
        </w:tc>
        <w:tc>
          <w:tcPr>
            <w:tcW w:w="2926" w:type="dxa"/>
            <w:shd w:val="clear" w:color="auto" w:fill="auto"/>
          </w:tcPr>
          <w:p w14:paraId="42C31B24"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4.農業部漁業署組織法草案（共8條。制定重點：配合行政院組織調整，辦理漁業業務，特設漁業署。）</w:t>
            </w:r>
          </w:p>
        </w:tc>
        <w:tc>
          <w:tcPr>
            <w:tcW w:w="2179" w:type="dxa"/>
            <w:shd w:val="clear" w:color="auto" w:fill="auto"/>
          </w:tcPr>
          <w:p w14:paraId="51F5082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委員賴瑞隆</w:t>
            </w:r>
          </w:p>
          <w:p w14:paraId="40466C0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等23人 </w:t>
            </w:r>
          </w:p>
          <w:p w14:paraId="68AA1FC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6192F99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701" w:type="dxa"/>
            <w:shd w:val="clear" w:color="auto" w:fill="auto"/>
          </w:tcPr>
          <w:p w14:paraId="5E7D712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D6A4BC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56DCD37" w14:textId="77777777" w:rsidTr="00CA41AB">
        <w:tc>
          <w:tcPr>
            <w:tcW w:w="532" w:type="dxa"/>
            <w:shd w:val="clear" w:color="auto" w:fill="auto"/>
          </w:tcPr>
          <w:p w14:paraId="371ED39B"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43</w:t>
            </w:r>
          </w:p>
        </w:tc>
        <w:tc>
          <w:tcPr>
            <w:tcW w:w="2926" w:type="dxa"/>
            <w:shd w:val="clear" w:color="auto" w:fill="auto"/>
          </w:tcPr>
          <w:p w14:paraId="34A8AEC9"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5.農業部漁業署組織法草案(共8條。制定重點：配合行政院組織調整。)</w:t>
            </w:r>
          </w:p>
        </w:tc>
        <w:tc>
          <w:tcPr>
            <w:tcW w:w="2179" w:type="dxa"/>
            <w:shd w:val="clear" w:color="auto" w:fill="auto"/>
          </w:tcPr>
          <w:p w14:paraId="464627D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委員謝衣</w:t>
            </w:r>
            <w:r w:rsidRPr="00026143">
              <w:rPr>
                <w:rFonts w:ascii="標楷體" w:eastAsia="標楷體" w:hAnsi="標楷體" w:hint="eastAsia"/>
                <w:color w:val="000000" w:themeColor="text1"/>
              </w:rPr>
              <w:t>鳯</w:t>
            </w:r>
          </w:p>
          <w:p w14:paraId="0C724BC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22人 </w:t>
            </w:r>
          </w:p>
          <w:p w14:paraId="17D0E1E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437692D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（10-6-11）</w:t>
            </w:r>
          </w:p>
        </w:tc>
        <w:tc>
          <w:tcPr>
            <w:tcW w:w="1701" w:type="dxa"/>
            <w:shd w:val="clear" w:color="auto" w:fill="auto"/>
          </w:tcPr>
          <w:p w14:paraId="36EBFF9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309" w:type="dxa"/>
            <w:shd w:val="clear" w:color="auto" w:fill="auto"/>
          </w:tcPr>
          <w:p w14:paraId="16BA557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26CDE8F" w14:textId="77777777" w:rsidTr="00CA41AB">
        <w:tc>
          <w:tcPr>
            <w:tcW w:w="532" w:type="dxa"/>
            <w:shd w:val="clear" w:color="auto" w:fill="auto"/>
          </w:tcPr>
          <w:p w14:paraId="60666AAE"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44</w:t>
            </w:r>
          </w:p>
        </w:tc>
        <w:tc>
          <w:tcPr>
            <w:tcW w:w="2926" w:type="dxa"/>
            <w:shd w:val="clear" w:color="auto" w:fill="auto"/>
          </w:tcPr>
          <w:p w14:paraId="54177BC9"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2.農業部動植物防疫檢疫署組織法草案（共7條。制定重點：配合行政院組織調整，動植物防疫檢疫局升格為動植物防疫檢疫署。）</w:t>
            </w:r>
          </w:p>
        </w:tc>
        <w:tc>
          <w:tcPr>
            <w:tcW w:w="2179" w:type="dxa"/>
            <w:shd w:val="clear" w:color="auto" w:fill="auto"/>
          </w:tcPr>
          <w:p w14:paraId="23F4C16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7FACA87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1DC8D15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3C13383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485F7DE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3EA27DD" w14:textId="77777777" w:rsidTr="00CA41AB">
        <w:tc>
          <w:tcPr>
            <w:tcW w:w="532" w:type="dxa"/>
            <w:shd w:val="clear" w:color="auto" w:fill="auto"/>
          </w:tcPr>
          <w:p w14:paraId="75A2C1CD"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45</w:t>
            </w:r>
          </w:p>
        </w:tc>
        <w:tc>
          <w:tcPr>
            <w:tcW w:w="2926" w:type="dxa"/>
            <w:shd w:val="clear" w:color="auto" w:fill="auto"/>
          </w:tcPr>
          <w:p w14:paraId="7FF1DBF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3.農業部動植物防疫檢疫署組織法草案(共7條。制定重點：配合行政院組織調整。)</w:t>
            </w:r>
          </w:p>
        </w:tc>
        <w:tc>
          <w:tcPr>
            <w:tcW w:w="2179" w:type="dxa"/>
            <w:shd w:val="clear" w:color="auto" w:fill="auto"/>
          </w:tcPr>
          <w:p w14:paraId="7C9094B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委員謝衣</w:t>
            </w:r>
            <w:r w:rsidRPr="00026143">
              <w:rPr>
                <w:rFonts w:ascii="標楷體" w:eastAsia="標楷體" w:hAnsi="標楷體" w:hint="eastAsia"/>
                <w:color w:val="000000" w:themeColor="text1"/>
              </w:rPr>
              <w:t>鳯</w:t>
            </w:r>
          </w:p>
          <w:p w14:paraId="51A6A97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22人 </w:t>
            </w:r>
          </w:p>
          <w:p w14:paraId="01C02AD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4438A0E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（10-6-11）</w:t>
            </w:r>
          </w:p>
        </w:tc>
        <w:tc>
          <w:tcPr>
            <w:tcW w:w="1701" w:type="dxa"/>
            <w:shd w:val="clear" w:color="auto" w:fill="auto"/>
          </w:tcPr>
          <w:p w14:paraId="4B8157C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309" w:type="dxa"/>
            <w:shd w:val="clear" w:color="auto" w:fill="auto"/>
          </w:tcPr>
          <w:p w14:paraId="3C11049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C2BDAF" w14:textId="77777777" w:rsidTr="00CA41AB">
        <w:tc>
          <w:tcPr>
            <w:tcW w:w="532" w:type="dxa"/>
            <w:shd w:val="clear" w:color="auto" w:fill="auto"/>
          </w:tcPr>
          <w:p w14:paraId="790831A8"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46</w:t>
            </w:r>
          </w:p>
        </w:tc>
        <w:tc>
          <w:tcPr>
            <w:tcW w:w="2926" w:type="dxa"/>
            <w:shd w:val="clear" w:color="auto" w:fill="auto"/>
          </w:tcPr>
          <w:p w14:paraId="4A65FB48"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2.農業部林業及自然保育署組織法草案(共7條。制定重點：配合行政院組織調整。)</w:t>
            </w:r>
          </w:p>
        </w:tc>
        <w:tc>
          <w:tcPr>
            <w:tcW w:w="2179" w:type="dxa"/>
            <w:shd w:val="clear" w:color="auto" w:fill="auto"/>
          </w:tcPr>
          <w:p w14:paraId="4565DFB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委員劉建國</w:t>
            </w:r>
          </w:p>
          <w:p w14:paraId="7044FC5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2190CB8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4ADBD52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01" w:type="dxa"/>
            <w:shd w:val="clear" w:color="auto" w:fill="auto"/>
          </w:tcPr>
          <w:p w14:paraId="6E8C0E7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E14671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B3ECAB1" w14:textId="77777777" w:rsidTr="00CA41AB">
        <w:tc>
          <w:tcPr>
            <w:tcW w:w="532" w:type="dxa"/>
            <w:shd w:val="clear" w:color="auto" w:fill="auto"/>
          </w:tcPr>
          <w:p w14:paraId="2CF3B97E"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47</w:t>
            </w:r>
          </w:p>
        </w:tc>
        <w:tc>
          <w:tcPr>
            <w:tcW w:w="2926" w:type="dxa"/>
            <w:shd w:val="clear" w:color="auto" w:fill="auto"/>
          </w:tcPr>
          <w:p w14:paraId="1D1FE53A"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3.農業部林業及自然保育署組織法草案（共7條。制定重點：為辦理林業及自然保育業務，特設本署。）</w:t>
            </w:r>
          </w:p>
        </w:tc>
        <w:tc>
          <w:tcPr>
            <w:tcW w:w="2179" w:type="dxa"/>
            <w:shd w:val="clear" w:color="auto" w:fill="auto"/>
          </w:tcPr>
          <w:p w14:paraId="6BA99C5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委員鄭天財</w:t>
            </w:r>
          </w:p>
          <w:p w14:paraId="64E081C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Sra Kacaw</w:t>
            </w:r>
          </w:p>
          <w:p w14:paraId="13DEF7E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6BD9E9A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111.09.23 </w:t>
            </w:r>
          </w:p>
          <w:p w14:paraId="21E5B27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（10-6-1）</w:t>
            </w:r>
          </w:p>
        </w:tc>
        <w:tc>
          <w:tcPr>
            <w:tcW w:w="1701" w:type="dxa"/>
            <w:shd w:val="clear" w:color="auto" w:fill="auto"/>
          </w:tcPr>
          <w:p w14:paraId="03FC506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1A4683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D8D9FED" w14:textId="77777777" w:rsidTr="00CA41AB">
        <w:tc>
          <w:tcPr>
            <w:tcW w:w="532" w:type="dxa"/>
            <w:shd w:val="clear" w:color="auto" w:fill="auto"/>
          </w:tcPr>
          <w:p w14:paraId="52F2B16E"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48</w:t>
            </w:r>
          </w:p>
        </w:tc>
        <w:tc>
          <w:tcPr>
            <w:tcW w:w="2926" w:type="dxa"/>
            <w:shd w:val="clear" w:color="auto" w:fill="auto"/>
          </w:tcPr>
          <w:p w14:paraId="438DB91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4.農業部林業及自然保育署組織法草案（共7條。制定重點：配合行政院組織調整，為辦理林業及自然保育業務，特設林業及自然保育署。）</w:t>
            </w:r>
          </w:p>
        </w:tc>
        <w:tc>
          <w:tcPr>
            <w:tcW w:w="2179" w:type="dxa"/>
            <w:shd w:val="clear" w:color="auto" w:fill="auto"/>
          </w:tcPr>
          <w:p w14:paraId="2F028DB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委員賴瑞隆</w:t>
            </w:r>
          </w:p>
          <w:p w14:paraId="1003373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等21人 </w:t>
            </w:r>
          </w:p>
          <w:p w14:paraId="666AFAD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31272371"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701" w:type="dxa"/>
            <w:shd w:val="clear" w:color="auto" w:fill="auto"/>
          </w:tcPr>
          <w:p w14:paraId="4587652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763FEDA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E82AEF3" w14:textId="77777777" w:rsidTr="00CA41AB">
        <w:tc>
          <w:tcPr>
            <w:tcW w:w="532" w:type="dxa"/>
            <w:shd w:val="clear" w:color="auto" w:fill="auto"/>
          </w:tcPr>
          <w:p w14:paraId="0D3D02AB"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49</w:t>
            </w:r>
          </w:p>
        </w:tc>
        <w:tc>
          <w:tcPr>
            <w:tcW w:w="2926" w:type="dxa"/>
            <w:shd w:val="clear" w:color="auto" w:fill="auto"/>
          </w:tcPr>
          <w:p w14:paraId="789C1D1B"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5.農業部林業及自然保育署組織法草案(共7條。制定重點：配合行政院組織調整。)</w:t>
            </w:r>
          </w:p>
        </w:tc>
        <w:tc>
          <w:tcPr>
            <w:tcW w:w="2179" w:type="dxa"/>
            <w:shd w:val="clear" w:color="auto" w:fill="auto"/>
          </w:tcPr>
          <w:p w14:paraId="18157D7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委員謝衣</w:t>
            </w:r>
            <w:r w:rsidRPr="00026143">
              <w:rPr>
                <w:rFonts w:ascii="標楷體" w:eastAsia="標楷體" w:hAnsi="標楷體" w:hint="eastAsia"/>
                <w:color w:val="000000" w:themeColor="text1"/>
              </w:rPr>
              <w:t>鳯</w:t>
            </w:r>
          </w:p>
          <w:p w14:paraId="0B7BCE7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22人 </w:t>
            </w:r>
          </w:p>
          <w:p w14:paraId="27ABC16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032886E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（10-6-11）</w:t>
            </w:r>
          </w:p>
        </w:tc>
        <w:tc>
          <w:tcPr>
            <w:tcW w:w="1701" w:type="dxa"/>
            <w:shd w:val="clear" w:color="auto" w:fill="auto"/>
          </w:tcPr>
          <w:p w14:paraId="44CB517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309" w:type="dxa"/>
            <w:shd w:val="clear" w:color="auto" w:fill="auto"/>
          </w:tcPr>
          <w:p w14:paraId="4701E38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F2A085" w14:textId="77777777" w:rsidTr="00CA41AB">
        <w:tc>
          <w:tcPr>
            <w:tcW w:w="532" w:type="dxa"/>
            <w:shd w:val="clear" w:color="auto" w:fill="auto"/>
          </w:tcPr>
          <w:p w14:paraId="667E723F"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50</w:t>
            </w:r>
          </w:p>
        </w:tc>
        <w:tc>
          <w:tcPr>
            <w:tcW w:w="2926" w:type="dxa"/>
            <w:shd w:val="clear" w:color="auto" w:fill="auto"/>
          </w:tcPr>
          <w:p w14:paraId="1BF1D02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2.農業部水土保持及農村發展署組織法草案(共7條。制定重點：配合行政院組織調整。)</w:t>
            </w:r>
          </w:p>
        </w:tc>
        <w:tc>
          <w:tcPr>
            <w:tcW w:w="2179" w:type="dxa"/>
            <w:shd w:val="clear" w:color="auto" w:fill="auto"/>
          </w:tcPr>
          <w:p w14:paraId="26CB25E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委員劉建國</w:t>
            </w:r>
          </w:p>
          <w:p w14:paraId="5A7A28E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1B7FBD73"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0E93999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01" w:type="dxa"/>
            <w:shd w:val="clear" w:color="auto" w:fill="auto"/>
          </w:tcPr>
          <w:p w14:paraId="4F7884F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5D9186F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0498B9A" w14:textId="77777777" w:rsidTr="00CA41AB">
        <w:tc>
          <w:tcPr>
            <w:tcW w:w="532" w:type="dxa"/>
            <w:shd w:val="clear" w:color="auto" w:fill="auto"/>
          </w:tcPr>
          <w:p w14:paraId="2104E769"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51</w:t>
            </w:r>
          </w:p>
        </w:tc>
        <w:tc>
          <w:tcPr>
            <w:tcW w:w="2926" w:type="dxa"/>
            <w:shd w:val="clear" w:color="auto" w:fill="auto"/>
          </w:tcPr>
          <w:p w14:paraId="542E597F"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農村及農田水利署組織法草案（共10條。制定重點：為辦理農村發展、休閒農業及農田水利業務，特設本署；置署長一人、副署長二人；為辦理農田水利事業區域之灌溉管理，得於所屬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2179" w:type="dxa"/>
            <w:shd w:val="clear" w:color="auto" w:fill="auto"/>
          </w:tcPr>
          <w:p w14:paraId="112C396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委員鍾佳濱</w:t>
            </w:r>
          </w:p>
          <w:p w14:paraId="68A1E25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257585A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109.05.08 </w:t>
            </w:r>
          </w:p>
          <w:p w14:paraId="2895A4F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（10-1-12）</w:t>
            </w:r>
          </w:p>
        </w:tc>
        <w:tc>
          <w:tcPr>
            <w:tcW w:w="1701" w:type="dxa"/>
            <w:shd w:val="clear" w:color="auto" w:fill="auto"/>
          </w:tcPr>
          <w:p w14:paraId="0FE6B29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205ECF7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403CDBB" w14:textId="77777777" w:rsidTr="00CA41AB">
        <w:tc>
          <w:tcPr>
            <w:tcW w:w="532" w:type="dxa"/>
            <w:shd w:val="clear" w:color="auto" w:fill="auto"/>
          </w:tcPr>
          <w:p w14:paraId="507D7374"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52</w:t>
            </w:r>
          </w:p>
        </w:tc>
        <w:tc>
          <w:tcPr>
            <w:tcW w:w="2926" w:type="dxa"/>
            <w:shd w:val="clear" w:color="auto" w:fill="auto"/>
          </w:tcPr>
          <w:p w14:paraId="77C3012E"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3.農業部農田水利署組織法草案（共6條。制定重點：配合行政院組織調整。）</w:t>
            </w:r>
          </w:p>
        </w:tc>
        <w:tc>
          <w:tcPr>
            <w:tcW w:w="2179" w:type="dxa"/>
            <w:shd w:val="clear" w:color="auto" w:fill="auto"/>
          </w:tcPr>
          <w:p w14:paraId="0F112BF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20D045B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710F9D6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7F155D8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71B2661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2633E81" w14:textId="77777777" w:rsidTr="00CA41AB">
        <w:tc>
          <w:tcPr>
            <w:tcW w:w="532" w:type="dxa"/>
            <w:shd w:val="clear" w:color="auto" w:fill="auto"/>
          </w:tcPr>
          <w:p w14:paraId="00F87A7F"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53</w:t>
            </w:r>
          </w:p>
        </w:tc>
        <w:tc>
          <w:tcPr>
            <w:tcW w:w="2926" w:type="dxa"/>
            <w:shd w:val="clear" w:color="auto" w:fill="auto"/>
          </w:tcPr>
          <w:p w14:paraId="577FFB6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2.農業部農業金融署組織法草案（共6條。制定重點：配合行政院組織調整。）</w:t>
            </w:r>
          </w:p>
        </w:tc>
        <w:tc>
          <w:tcPr>
            <w:tcW w:w="2179" w:type="dxa"/>
            <w:shd w:val="clear" w:color="auto" w:fill="auto"/>
          </w:tcPr>
          <w:p w14:paraId="63DC912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1FB8AE2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0AFED29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6CE2717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4628481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3E3F434" w14:textId="77777777" w:rsidTr="00CA41AB">
        <w:tc>
          <w:tcPr>
            <w:tcW w:w="532" w:type="dxa"/>
            <w:shd w:val="clear" w:color="auto" w:fill="auto"/>
          </w:tcPr>
          <w:p w14:paraId="046196A9"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54</w:t>
            </w:r>
          </w:p>
        </w:tc>
        <w:tc>
          <w:tcPr>
            <w:tcW w:w="2926" w:type="dxa"/>
            <w:shd w:val="clear" w:color="auto" w:fill="auto"/>
          </w:tcPr>
          <w:p w14:paraId="2EDD82EC"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2.農業部畜產試驗所組織法草案（共7條。制定重點：配合行政院組織調整。）</w:t>
            </w:r>
          </w:p>
        </w:tc>
        <w:tc>
          <w:tcPr>
            <w:tcW w:w="2179" w:type="dxa"/>
            <w:shd w:val="clear" w:color="auto" w:fill="auto"/>
          </w:tcPr>
          <w:p w14:paraId="02F4740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 </w:t>
            </w:r>
          </w:p>
          <w:p w14:paraId="7714C1C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725BE6A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01" w:type="dxa"/>
            <w:shd w:val="clear" w:color="auto" w:fill="auto"/>
          </w:tcPr>
          <w:p w14:paraId="4AADB93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5A8482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172FFA1" w14:textId="77777777" w:rsidTr="00CA41AB">
        <w:tc>
          <w:tcPr>
            <w:tcW w:w="532" w:type="dxa"/>
            <w:shd w:val="clear" w:color="auto" w:fill="auto"/>
          </w:tcPr>
          <w:p w14:paraId="7B1C3D0A"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55</w:t>
            </w:r>
          </w:p>
        </w:tc>
        <w:tc>
          <w:tcPr>
            <w:tcW w:w="2926" w:type="dxa"/>
            <w:shd w:val="clear" w:color="auto" w:fill="auto"/>
          </w:tcPr>
          <w:p w14:paraId="055E93C9"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2179" w:type="dxa"/>
            <w:shd w:val="clear" w:color="auto" w:fill="auto"/>
          </w:tcPr>
          <w:p w14:paraId="6E3A3004" w14:textId="77777777" w:rsidR="002A2FBF"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委員鄭麗文</w:t>
            </w:r>
          </w:p>
          <w:p w14:paraId="18582FE8" w14:textId="48D6A9BA"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0A329F5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109.09.18 </w:t>
            </w:r>
          </w:p>
          <w:p w14:paraId="5318829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（10-2-1）</w:t>
            </w:r>
          </w:p>
        </w:tc>
        <w:tc>
          <w:tcPr>
            <w:tcW w:w="1701" w:type="dxa"/>
            <w:shd w:val="clear" w:color="auto" w:fill="auto"/>
          </w:tcPr>
          <w:p w14:paraId="6E56792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0671A92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C472CBB" w14:textId="77777777" w:rsidTr="00CA41AB">
        <w:tc>
          <w:tcPr>
            <w:tcW w:w="532" w:type="dxa"/>
            <w:shd w:val="clear" w:color="auto" w:fill="auto"/>
          </w:tcPr>
          <w:p w14:paraId="43C5A1C0"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56</w:t>
            </w:r>
          </w:p>
        </w:tc>
        <w:tc>
          <w:tcPr>
            <w:tcW w:w="2926" w:type="dxa"/>
            <w:shd w:val="clear" w:color="auto" w:fill="auto"/>
          </w:tcPr>
          <w:p w14:paraId="0FDB098F"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1.國家發展委員會組織法第三條條文修正草案(修</w:t>
            </w:r>
            <w:r w:rsidRPr="00026143">
              <w:rPr>
                <w:rFonts w:ascii="標楷體" w:eastAsia="標楷體" w:hAnsi="標楷體" w:hint="eastAsia"/>
                <w:color w:val="000000" w:themeColor="text1"/>
              </w:rPr>
              <w:lastRenderedPageBreak/>
              <w:t>正重點：明定14個部會首長外，亦得指定直轄市長為國家發展委員會成員。)</w:t>
            </w:r>
          </w:p>
        </w:tc>
        <w:tc>
          <w:tcPr>
            <w:tcW w:w="2179" w:type="dxa"/>
            <w:shd w:val="clear" w:color="auto" w:fill="auto"/>
          </w:tcPr>
          <w:p w14:paraId="610A7F6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委員鄭運鵬</w:t>
            </w:r>
          </w:p>
          <w:p w14:paraId="6AC56A3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32882F0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110.11.05 </w:t>
            </w:r>
          </w:p>
          <w:p w14:paraId="2D81B767"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（10-4-8）</w:t>
            </w:r>
          </w:p>
        </w:tc>
        <w:tc>
          <w:tcPr>
            <w:tcW w:w="1701" w:type="dxa"/>
            <w:shd w:val="clear" w:color="auto" w:fill="auto"/>
          </w:tcPr>
          <w:p w14:paraId="6465AE4D"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司法及法制、經濟</w:t>
            </w:r>
          </w:p>
        </w:tc>
        <w:tc>
          <w:tcPr>
            <w:tcW w:w="1309" w:type="dxa"/>
            <w:shd w:val="clear" w:color="auto" w:fill="auto"/>
          </w:tcPr>
          <w:p w14:paraId="2BDCAF8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BC9A4EF" w14:textId="77777777" w:rsidTr="00CA41AB">
        <w:tc>
          <w:tcPr>
            <w:tcW w:w="532" w:type="dxa"/>
            <w:shd w:val="clear" w:color="auto" w:fill="auto"/>
          </w:tcPr>
          <w:p w14:paraId="618BD57A"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57</w:t>
            </w:r>
          </w:p>
        </w:tc>
        <w:tc>
          <w:tcPr>
            <w:tcW w:w="2926" w:type="dxa"/>
            <w:shd w:val="clear" w:color="auto" w:fill="auto"/>
          </w:tcPr>
          <w:p w14:paraId="4C89977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2.國家發展委員會組織法第三條條文修正草案(修正重點：鑑於科技部將改組為國家科學及技術委員會，爰提案更新本法相關文字。)</w:t>
            </w:r>
          </w:p>
        </w:tc>
        <w:tc>
          <w:tcPr>
            <w:tcW w:w="2179" w:type="dxa"/>
            <w:shd w:val="clear" w:color="auto" w:fill="auto"/>
          </w:tcPr>
          <w:p w14:paraId="55848A8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委員林奕華</w:t>
            </w:r>
          </w:p>
          <w:p w14:paraId="58C2E56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47E8BA5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111.03.25 </w:t>
            </w:r>
          </w:p>
          <w:p w14:paraId="4641DF2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（10-5-5）</w:t>
            </w:r>
          </w:p>
        </w:tc>
        <w:tc>
          <w:tcPr>
            <w:tcW w:w="1701" w:type="dxa"/>
            <w:shd w:val="clear" w:color="auto" w:fill="auto"/>
          </w:tcPr>
          <w:p w14:paraId="681B519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7B16911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A44C9D7" w14:textId="77777777" w:rsidTr="00CA41AB">
        <w:tc>
          <w:tcPr>
            <w:tcW w:w="532" w:type="dxa"/>
            <w:shd w:val="clear" w:color="auto" w:fill="auto"/>
          </w:tcPr>
          <w:p w14:paraId="71C91C7E"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58</w:t>
            </w:r>
          </w:p>
        </w:tc>
        <w:tc>
          <w:tcPr>
            <w:tcW w:w="2926" w:type="dxa"/>
            <w:shd w:val="clear" w:color="auto" w:fill="auto"/>
          </w:tcPr>
          <w:p w14:paraId="4B570C6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3.國家發展委員會組織法第三條條文修正草案（修正重點：配合科技部改制為國家科學及技術委員會，修正相關文字，以符合現況）</w:t>
            </w:r>
          </w:p>
        </w:tc>
        <w:tc>
          <w:tcPr>
            <w:tcW w:w="2179" w:type="dxa"/>
            <w:shd w:val="clear" w:color="auto" w:fill="auto"/>
          </w:tcPr>
          <w:p w14:paraId="6583A45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委員陳明文</w:t>
            </w:r>
          </w:p>
          <w:p w14:paraId="0645283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2624110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50AD437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701" w:type="dxa"/>
            <w:shd w:val="clear" w:color="auto" w:fill="auto"/>
          </w:tcPr>
          <w:p w14:paraId="2201AF2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5A9483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087BC3E" w14:textId="77777777" w:rsidTr="00CA41AB">
        <w:tc>
          <w:tcPr>
            <w:tcW w:w="532" w:type="dxa"/>
            <w:shd w:val="clear" w:color="auto" w:fill="auto"/>
          </w:tcPr>
          <w:p w14:paraId="7BFFFEBD"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59</w:t>
            </w:r>
          </w:p>
        </w:tc>
        <w:tc>
          <w:tcPr>
            <w:tcW w:w="2926" w:type="dxa"/>
            <w:shd w:val="clear" w:color="auto" w:fill="auto"/>
          </w:tcPr>
          <w:p w14:paraId="26DC9D5C"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4.國家發展委員會組織法第三條條文修正草案(修正重點：鑑於科技部已正式更名為國家科學及技術委員會，爰提案修正。)</w:t>
            </w:r>
          </w:p>
        </w:tc>
        <w:tc>
          <w:tcPr>
            <w:tcW w:w="2179" w:type="dxa"/>
            <w:shd w:val="clear" w:color="auto" w:fill="auto"/>
          </w:tcPr>
          <w:p w14:paraId="788DA04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時代力量黨團 </w:t>
            </w:r>
          </w:p>
          <w:p w14:paraId="6C4A6CB4"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7E39161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701" w:type="dxa"/>
            <w:shd w:val="clear" w:color="auto" w:fill="auto"/>
          </w:tcPr>
          <w:p w14:paraId="6F12904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635FF1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05B2BFE" w14:textId="77777777" w:rsidTr="00CA41AB">
        <w:tc>
          <w:tcPr>
            <w:tcW w:w="532" w:type="dxa"/>
            <w:shd w:val="clear" w:color="auto" w:fill="auto"/>
          </w:tcPr>
          <w:p w14:paraId="024D7AC8"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60</w:t>
            </w:r>
          </w:p>
        </w:tc>
        <w:tc>
          <w:tcPr>
            <w:tcW w:w="2926" w:type="dxa"/>
            <w:shd w:val="clear" w:color="auto" w:fill="auto"/>
          </w:tcPr>
          <w:p w14:paraId="716BFF7A"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廢止「農田水利會組織通則」(廢止重點：配合農田水利法施行廢止。)</w:t>
            </w:r>
          </w:p>
        </w:tc>
        <w:tc>
          <w:tcPr>
            <w:tcW w:w="2179" w:type="dxa"/>
            <w:shd w:val="clear" w:color="auto" w:fill="auto"/>
          </w:tcPr>
          <w:p w14:paraId="5734EDB2"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委員吳玉琴</w:t>
            </w:r>
          </w:p>
          <w:p w14:paraId="248FB8AE"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38ACBE15"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111.03.11 </w:t>
            </w:r>
          </w:p>
          <w:p w14:paraId="5605016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（10-5-3）</w:t>
            </w:r>
          </w:p>
        </w:tc>
        <w:tc>
          <w:tcPr>
            <w:tcW w:w="1701" w:type="dxa"/>
            <w:shd w:val="clear" w:color="auto" w:fill="auto"/>
          </w:tcPr>
          <w:p w14:paraId="1914654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3E7D19F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3F85E91" w14:textId="77777777" w:rsidTr="00CA41AB">
        <w:tc>
          <w:tcPr>
            <w:tcW w:w="532" w:type="dxa"/>
            <w:shd w:val="clear" w:color="auto" w:fill="auto"/>
          </w:tcPr>
          <w:p w14:paraId="24B39FBE"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61</w:t>
            </w:r>
          </w:p>
        </w:tc>
        <w:tc>
          <w:tcPr>
            <w:tcW w:w="2926" w:type="dxa"/>
            <w:shd w:val="clear" w:color="auto" w:fill="auto"/>
          </w:tcPr>
          <w:p w14:paraId="1A040827"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農田水利會組織通則第十九條之二條文修正草案(修正重點：鑑於司法院大法官釋字第812號認強制工作違憲，爰提案修正。)</w:t>
            </w:r>
          </w:p>
        </w:tc>
        <w:tc>
          <w:tcPr>
            <w:tcW w:w="2179" w:type="dxa"/>
            <w:shd w:val="clear" w:color="auto" w:fill="auto"/>
          </w:tcPr>
          <w:p w14:paraId="27B988A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時代力量黨團 </w:t>
            </w:r>
          </w:p>
          <w:p w14:paraId="13BB2E68"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111.03.25 </w:t>
            </w:r>
          </w:p>
          <w:p w14:paraId="0EEFFBD0"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（10-5-5）</w:t>
            </w:r>
          </w:p>
        </w:tc>
        <w:tc>
          <w:tcPr>
            <w:tcW w:w="1701" w:type="dxa"/>
            <w:shd w:val="clear" w:color="auto" w:fill="auto"/>
          </w:tcPr>
          <w:p w14:paraId="279C1E9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司法及法制、經濟</w:t>
            </w:r>
          </w:p>
        </w:tc>
        <w:tc>
          <w:tcPr>
            <w:tcW w:w="1309" w:type="dxa"/>
            <w:shd w:val="clear" w:color="auto" w:fill="auto"/>
          </w:tcPr>
          <w:p w14:paraId="2B4EAABA"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76D6C0F" w14:textId="77777777" w:rsidTr="00CA41AB">
        <w:tc>
          <w:tcPr>
            <w:tcW w:w="532" w:type="dxa"/>
            <w:shd w:val="clear" w:color="auto" w:fill="auto"/>
          </w:tcPr>
          <w:p w14:paraId="6A508E9B" w14:textId="77777777" w:rsidR="00EC13B7" w:rsidRPr="00026143" w:rsidRDefault="00EC13B7" w:rsidP="00720BB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62</w:t>
            </w:r>
          </w:p>
        </w:tc>
        <w:tc>
          <w:tcPr>
            <w:tcW w:w="2926" w:type="dxa"/>
            <w:shd w:val="clear" w:color="auto" w:fill="auto"/>
          </w:tcPr>
          <w:p w14:paraId="2F7BB769" w14:textId="77777777" w:rsidR="00EC13B7" w:rsidRPr="00026143" w:rsidRDefault="00EC13B7" w:rsidP="00720BB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公平交易委員會組織法第二條及第九條條文修正草案(修正重點：鑑於現行多層次傳銷產業之管理應由經濟部門職掌，應刪除本法對於多層次傳銷產業管理之職掌法源依據。)</w:t>
            </w:r>
          </w:p>
        </w:tc>
        <w:tc>
          <w:tcPr>
            <w:tcW w:w="2179" w:type="dxa"/>
            <w:shd w:val="clear" w:color="auto" w:fill="auto"/>
          </w:tcPr>
          <w:p w14:paraId="38380E96"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委員林岱樺</w:t>
            </w:r>
          </w:p>
          <w:p w14:paraId="5994695B"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D9AB23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22B46A09"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（10-6-12）</w:t>
            </w:r>
          </w:p>
        </w:tc>
        <w:tc>
          <w:tcPr>
            <w:tcW w:w="1701" w:type="dxa"/>
            <w:shd w:val="clear" w:color="auto" w:fill="auto"/>
          </w:tcPr>
          <w:p w14:paraId="7E54A49F"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309" w:type="dxa"/>
            <w:shd w:val="clear" w:color="auto" w:fill="auto"/>
          </w:tcPr>
          <w:p w14:paraId="103C614C" w14:textId="77777777" w:rsidR="00EC13B7" w:rsidRPr="00026143" w:rsidRDefault="00EC13B7" w:rsidP="00720BB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3BD77848"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bookmarkStart w:id="318" w:name="_Toc361217331"/>
      <w:bookmarkStart w:id="319" w:name="_Toc362968391"/>
      <w:bookmarkStart w:id="320" w:name="_Toc428286963"/>
      <w:bookmarkStart w:id="321" w:name="_Toc510167683"/>
      <w:bookmarkStart w:id="322" w:name="_Toc1401066"/>
      <w:r w:rsidRPr="00026143">
        <w:rPr>
          <w:color w:val="000000" w:themeColor="text1"/>
        </w:rPr>
        <w:t>5.本會、財政委員會聯席審查</w:t>
      </w:r>
      <w:r w:rsidRPr="00026143">
        <w:rPr>
          <w:rFonts w:hint="eastAsia"/>
          <w:color w:val="000000" w:themeColor="text1"/>
        </w:rPr>
        <w:t>14</w:t>
      </w:r>
      <w:r w:rsidRPr="00026143">
        <w:rPr>
          <w:color w:val="000000" w:themeColor="text1"/>
        </w:rPr>
        <w:t>案</w:t>
      </w:r>
      <w:bookmarkEnd w:id="318"/>
      <w:bookmarkEnd w:id="319"/>
      <w:bookmarkEnd w:id="320"/>
      <w:bookmarkEnd w:id="321"/>
      <w:bookmarkEnd w:id="322"/>
    </w:p>
    <w:tbl>
      <w:tblPr>
        <w:tblW w:w="8721"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630"/>
        <w:gridCol w:w="2870"/>
        <w:gridCol w:w="2027"/>
        <w:gridCol w:w="1696"/>
        <w:gridCol w:w="1498"/>
      </w:tblGrid>
      <w:tr w:rsidR="00EC13B7" w:rsidRPr="00026143" w14:paraId="18B0D5BF" w14:textId="77777777" w:rsidTr="002B03E3">
        <w:tc>
          <w:tcPr>
            <w:tcW w:w="630" w:type="dxa"/>
            <w:shd w:val="clear" w:color="auto" w:fill="auto"/>
          </w:tcPr>
          <w:p w14:paraId="542E2D4F" w14:textId="77777777" w:rsidR="00EC13B7" w:rsidRPr="00026143" w:rsidRDefault="00EC13B7" w:rsidP="002B03E3">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870" w:type="dxa"/>
            <w:shd w:val="clear" w:color="auto" w:fill="auto"/>
          </w:tcPr>
          <w:p w14:paraId="0A8D10A9" w14:textId="77777777" w:rsidR="00EC13B7" w:rsidRPr="00026143" w:rsidRDefault="00EC13B7" w:rsidP="002B03E3">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027" w:type="dxa"/>
            <w:shd w:val="clear" w:color="auto" w:fill="auto"/>
          </w:tcPr>
          <w:p w14:paraId="60C4D884"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7AB337D6"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96" w:type="dxa"/>
            <w:shd w:val="clear" w:color="auto" w:fill="auto"/>
          </w:tcPr>
          <w:p w14:paraId="4871FE8F"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498" w:type="dxa"/>
            <w:shd w:val="clear" w:color="auto" w:fill="auto"/>
          </w:tcPr>
          <w:p w14:paraId="583F8A7E"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0A6C877A" w14:textId="77777777" w:rsidTr="00EC13B7">
        <w:tc>
          <w:tcPr>
            <w:tcW w:w="630" w:type="dxa"/>
            <w:shd w:val="clear" w:color="auto" w:fill="auto"/>
          </w:tcPr>
          <w:p w14:paraId="5304CF4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rPr>
              <w:t>1</w:t>
            </w:r>
          </w:p>
        </w:tc>
        <w:tc>
          <w:tcPr>
            <w:tcW w:w="2870" w:type="dxa"/>
            <w:shd w:val="clear" w:color="auto" w:fill="auto"/>
          </w:tcPr>
          <w:p w14:paraId="7A91079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金融監督管理委員會組織法第十條條文修正草案（修正重點：明定本會主任</w:t>
            </w:r>
            <w:r w:rsidRPr="00026143">
              <w:rPr>
                <w:rFonts w:ascii="標楷體" w:eastAsia="標楷體" w:hAnsi="標楷體" w:hint="eastAsia"/>
              </w:rPr>
              <w:lastRenderedPageBreak/>
              <w:t>委員及副主任委員應超出黨派之外，依據法律公正獨立行使職權，於任期中不得參與政黨活動，違反規定者解除其職務。）</w:t>
            </w:r>
          </w:p>
        </w:tc>
        <w:tc>
          <w:tcPr>
            <w:tcW w:w="2027" w:type="dxa"/>
            <w:shd w:val="clear" w:color="auto" w:fill="auto"/>
          </w:tcPr>
          <w:p w14:paraId="28DE526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委員賴士葆</w:t>
            </w:r>
          </w:p>
          <w:p w14:paraId="740B113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等24人 </w:t>
            </w:r>
          </w:p>
          <w:p w14:paraId="679FDA0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109.03.03 </w:t>
            </w:r>
          </w:p>
          <w:p w14:paraId="7A7CD6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（10-1-2）</w:t>
            </w:r>
          </w:p>
        </w:tc>
        <w:tc>
          <w:tcPr>
            <w:tcW w:w="1696" w:type="dxa"/>
            <w:shd w:val="clear" w:color="auto" w:fill="auto"/>
          </w:tcPr>
          <w:p w14:paraId="2239F14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司法及法制、財政</w:t>
            </w:r>
          </w:p>
        </w:tc>
        <w:tc>
          <w:tcPr>
            <w:tcW w:w="1498" w:type="dxa"/>
            <w:shd w:val="clear" w:color="auto" w:fill="auto"/>
          </w:tcPr>
          <w:p w14:paraId="23EB06B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79E4C2F" w14:textId="77777777" w:rsidTr="00EC13B7">
        <w:tc>
          <w:tcPr>
            <w:tcW w:w="630" w:type="dxa"/>
            <w:shd w:val="clear" w:color="auto" w:fill="auto"/>
          </w:tcPr>
          <w:p w14:paraId="0095F84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rPr>
              <w:lastRenderedPageBreak/>
              <w:t>2</w:t>
            </w:r>
          </w:p>
        </w:tc>
        <w:tc>
          <w:tcPr>
            <w:tcW w:w="2870" w:type="dxa"/>
            <w:shd w:val="clear" w:color="auto" w:fill="auto"/>
          </w:tcPr>
          <w:p w14:paraId="1461EAE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金融監督管理委員會組織法第二條、第三條及第七條條文修正草案(修正重點：推動綠色金融及永續金融，列為金融監督管理委員會主要職掌。)</w:t>
            </w:r>
          </w:p>
        </w:tc>
        <w:tc>
          <w:tcPr>
            <w:tcW w:w="2027" w:type="dxa"/>
            <w:shd w:val="clear" w:color="auto" w:fill="auto"/>
          </w:tcPr>
          <w:p w14:paraId="0B7C404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委員沈發惠</w:t>
            </w:r>
          </w:p>
          <w:p w14:paraId="38BA01C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w:t>
            </w:r>
            <w:r w:rsidRPr="00026143">
              <w:rPr>
                <w:rFonts w:ascii="標楷體" w:eastAsia="標楷體" w:hAnsi="標楷體" w:hint="eastAsia"/>
                <w:color w:val="000000" w:themeColor="text1"/>
              </w:rPr>
              <w:t>1</w:t>
            </w:r>
            <w:r w:rsidRPr="00026143">
              <w:rPr>
                <w:rFonts w:ascii="標楷體" w:eastAsia="標楷體" w:hAnsi="標楷體"/>
                <w:color w:val="000000" w:themeColor="text1"/>
              </w:rPr>
              <w:t xml:space="preserve">人 </w:t>
            </w:r>
          </w:p>
          <w:p w14:paraId="52E1F5C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419FDA4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696" w:type="dxa"/>
            <w:shd w:val="clear" w:color="auto" w:fill="auto"/>
          </w:tcPr>
          <w:p w14:paraId="2C855B4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130AFD2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7EBE045" w14:textId="77777777" w:rsidTr="00EC13B7">
        <w:tc>
          <w:tcPr>
            <w:tcW w:w="630" w:type="dxa"/>
            <w:shd w:val="clear" w:color="auto" w:fill="auto"/>
          </w:tcPr>
          <w:p w14:paraId="7EDD757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3</w:t>
            </w:r>
          </w:p>
        </w:tc>
        <w:tc>
          <w:tcPr>
            <w:tcW w:w="2870" w:type="dxa"/>
            <w:shd w:val="clear" w:color="auto" w:fill="auto"/>
          </w:tcPr>
          <w:p w14:paraId="10EF967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1.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財政部證券暨期貨管理委員會改制為原行政院金融監督管理委員會證券期貨局，原財政部金融局改制為原行政院金融監督管理委員會銀行局，另配合原行政院金融監督管理委員會名稱修正，及財政部及所屬機關（構）改制，配合辦理廢止。)</w:t>
            </w:r>
          </w:p>
        </w:tc>
        <w:tc>
          <w:tcPr>
            <w:tcW w:w="2027" w:type="dxa"/>
            <w:shd w:val="clear" w:color="auto" w:fill="auto"/>
          </w:tcPr>
          <w:p w14:paraId="526C3D6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 </w:t>
            </w:r>
          </w:p>
          <w:p w14:paraId="1D7C810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111.03.01 </w:t>
            </w:r>
          </w:p>
          <w:p w14:paraId="4C6E662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w:t>
            </w:r>
          </w:p>
        </w:tc>
        <w:tc>
          <w:tcPr>
            <w:tcW w:w="1696" w:type="dxa"/>
            <w:shd w:val="clear" w:color="auto" w:fill="auto"/>
          </w:tcPr>
          <w:p w14:paraId="4252792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司法及法制、財政</w:t>
            </w:r>
          </w:p>
        </w:tc>
        <w:tc>
          <w:tcPr>
            <w:tcW w:w="1498" w:type="dxa"/>
            <w:shd w:val="clear" w:color="auto" w:fill="auto"/>
          </w:tcPr>
          <w:p w14:paraId="70FEBED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451CFFC" w14:textId="77777777" w:rsidTr="00EC13B7">
        <w:tc>
          <w:tcPr>
            <w:tcW w:w="630" w:type="dxa"/>
            <w:shd w:val="clear" w:color="auto" w:fill="auto"/>
          </w:tcPr>
          <w:p w14:paraId="2F07B0A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4</w:t>
            </w:r>
          </w:p>
        </w:tc>
        <w:tc>
          <w:tcPr>
            <w:tcW w:w="2870" w:type="dxa"/>
            <w:shd w:val="clear" w:color="auto" w:fill="auto"/>
          </w:tcPr>
          <w:p w14:paraId="5511AF3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財政部國庫署組織條例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227ADC8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民眾黨黨團</w:t>
            </w:r>
          </w:p>
          <w:p w14:paraId="5E6B8F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5F7FF8C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4B77237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3499334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F2CE0DC" w14:textId="77777777" w:rsidTr="00EC13B7">
        <w:tc>
          <w:tcPr>
            <w:tcW w:w="630" w:type="dxa"/>
            <w:shd w:val="clear" w:color="auto" w:fill="auto"/>
          </w:tcPr>
          <w:p w14:paraId="01A4ED8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5</w:t>
            </w:r>
          </w:p>
        </w:tc>
        <w:tc>
          <w:tcPr>
            <w:tcW w:w="2870" w:type="dxa"/>
            <w:shd w:val="clear" w:color="auto" w:fill="auto"/>
          </w:tcPr>
          <w:p w14:paraId="2F39655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財政部各地區支付處組織通則</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47F1291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09C18FE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61BAC33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54E12D6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5D981A1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B7EB16" w14:textId="77777777" w:rsidTr="00EC13B7">
        <w:tc>
          <w:tcPr>
            <w:tcW w:w="630" w:type="dxa"/>
            <w:shd w:val="clear" w:color="auto" w:fill="auto"/>
          </w:tcPr>
          <w:p w14:paraId="67BB13D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6</w:t>
            </w:r>
          </w:p>
        </w:tc>
        <w:tc>
          <w:tcPr>
            <w:tcW w:w="2870" w:type="dxa"/>
            <w:shd w:val="clear" w:color="auto" w:fill="auto"/>
          </w:tcPr>
          <w:p w14:paraId="0EF5EB1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財政部賦稅署組織條例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0B498B9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1F7D8B8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2E5DB7A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5C5BF2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4E80D6A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E6483F" w14:textId="77777777" w:rsidTr="00EC13B7">
        <w:tc>
          <w:tcPr>
            <w:tcW w:w="630" w:type="dxa"/>
            <w:shd w:val="clear" w:color="auto" w:fill="auto"/>
          </w:tcPr>
          <w:p w14:paraId="0DC26EB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lastRenderedPageBreak/>
              <w:t>7</w:t>
            </w:r>
          </w:p>
        </w:tc>
        <w:tc>
          <w:tcPr>
            <w:tcW w:w="2870" w:type="dxa"/>
            <w:shd w:val="clear" w:color="auto" w:fill="auto"/>
          </w:tcPr>
          <w:p w14:paraId="771EB73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財政部關稅總局組織條例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7067135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3D5ED01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7962058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407BF47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6E5DADE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96463F" w14:textId="77777777" w:rsidTr="00EC13B7">
        <w:tc>
          <w:tcPr>
            <w:tcW w:w="630" w:type="dxa"/>
            <w:shd w:val="clear" w:color="auto" w:fill="auto"/>
          </w:tcPr>
          <w:p w14:paraId="0F6E692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8</w:t>
            </w:r>
          </w:p>
        </w:tc>
        <w:tc>
          <w:tcPr>
            <w:tcW w:w="2870" w:type="dxa"/>
            <w:shd w:val="clear" w:color="auto" w:fill="auto"/>
          </w:tcPr>
          <w:p w14:paraId="19C42BC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財政部關稅總局各地區關稅局組織通則</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15D100E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0E1CAF4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7D7D1F5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44274F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331548C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7BEFBE8" w14:textId="77777777" w:rsidTr="00EC13B7">
        <w:tc>
          <w:tcPr>
            <w:tcW w:w="630" w:type="dxa"/>
            <w:shd w:val="clear" w:color="auto" w:fill="auto"/>
          </w:tcPr>
          <w:p w14:paraId="6A11C90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9</w:t>
            </w:r>
          </w:p>
        </w:tc>
        <w:tc>
          <w:tcPr>
            <w:tcW w:w="2870" w:type="dxa"/>
            <w:shd w:val="clear" w:color="auto" w:fill="auto"/>
          </w:tcPr>
          <w:p w14:paraId="475B2D0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財政部國有財產局組織條例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0FDC151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0921737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63565AF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02ED8AC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6DF2D41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DA76CFE" w14:textId="77777777" w:rsidTr="00EC13B7">
        <w:tc>
          <w:tcPr>
            <w:tcW w:w="630" w:type="dxa"/>
            <w:shd w:val="clear" w:color="auto" w:fill="auto"/>
          </w:tcPr>
          <w:p w14:paraId="14D2A86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10</w:t>
            </w:r>
          </w:p>
        </w:tc>
        <w:tc>
          <w:tcPr>
            <w:tcW w:w="2870" w:type="dxa"/>
            <w:shd w:val="clear" w:color="auto" w:fill="auto"/>
          </w:tcPr>
          <w:p w14:paraId="70936F4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財政部財稅資料中心組織條例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6321CEC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2306F1E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5C7BE31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17C2F87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2DC1C4C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B505DFB" w14:textId="77777777" w:rsidTr="00EC13B7">
        <w:tc>
          <w:tcPr>
            <w:tcW w:w="630" w:type="dxa"/>
            <w:shd w:val="clear" w:color="auto" w:fill="auto"/>
          </w:tcPr>
          <w:p w14:paraId="1B0D56E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11</w:t>
            </w:r>
          </w:p>
        </w:tc>
        <w:tc>
          <w:tcPr>
            <w:tcW w:w="2870" w:type="dxa"/>
            <w:shd w:val="clear" w:color="auto" w:fill="auto"/>
          </w:tcPr>
          <w:p w14:paraId="69CB442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財政部財稅人員訓練所組織條例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3602E93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28B969F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6C2264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7E895CA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76B57B8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639856F" w14:textId="77777777" w:rsidTr="00EC13B7">
        <w:tc>
          <w:tcPr>
            <w:tcW w:w="630" w:type="dxa"/>
            <w:shd w:val="clear" w:color="auto" w:fill="auto"/>
          </w:tcPr>
          <w:p w14:paraId="453236B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12</w:t>
            </w:r>
          </w:p>
        </w:tc>
        <w:tc>
          <w:tcPr>
            <w:tcW w:w="2870" w:type="dxa"/>
            <w:shd w:val="clear" w:color="auto" w:fill="auto"/>
          </w:tcPr>
          <w:p w14:paraId="326A87E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財政部證券暨期貨管理委員會組織條例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3BEBF52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6628529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33F4ABD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4C713A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2ED115A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BE1D7DA" w14:textId="77777777" w:rsidTr="00EC13B7">
        <w:tc>
          <w:tcPr>
            <w:tcW w:w="630" w:type="dxa"/>
            <w:shd w:val="clear" w:color="auto" w:fill="auto"/>
          </w:tcPr>
          <w:p w14:paraId="07C0C94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13</w:t>
            </w:r>
          </w:p>
        </w:tc>
        <w:tc>
          <w:tcPr>
            <w:tcW w:w="2870" w:type="dxa"/>
            <w:shd w:val="clear" w:color="auto" w:fill="auto"/>
          </w:tcPr>
          <w:p w14:paraId="09F61CA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2</w:t>
            </w:r>
            <w:r w:rsidRPr="00026143">
              <w:rPr>
                <w:rFonts w:ascii="標楷體" w:eastAsia="標楷體" w:hAnsi="標楷體"/>
              </w:rPr>
              <w:t>.</w:t>
            </w:r>
            <w:r w:rsidRPr="00026143">
              <w:rPr>
                <w:rFonts w:ascii="標楷體" w:eastAsia="標楷體" w:hAnsi="標楷體" w:hint="eastAsia"/>
              </w:rPr>
              <w:t>廢止「</w:t>
            </w:r>
            <w:r w:rsidRPr="00026143">
              <w:rPr>
                <w:rFonts w:ascii="標楷體" w:eastAsia="標楷體" w:hAnsi="標楷體"/>
              </w:rPr>
              <w:t>財政部金融局組織條例</w:t>
            </w:r>
            <w:r w:rsidRPr="00026143">
              <w:rPr>
                <w:rFonts w:ascii="標楷體" w:eastAsia="標楷體" w:hAnsi="標楷體" w:hint="eastAsia"/>
              </w:rPr>
              <w:t>」</w:t>
            </w:r>
            <w:r w:rsidRPr="00026143">
              <w:rPr>
                <w:rFonts w:ascii="標楷體" w:eastAsia="標楷體" w:hAnsi="標楷體"/>
              </w:rPr>
              <w:t>(廢止重點：配合組織調整廢止。)</w:t>
            </w:r>
          </w:p>
        </w:tc>
        <w:tc>
          <w:tcPr>
            <w:tcW w:w="2027" w:type="dxa"/>
            <w:shd w:val="clear" w:color="auto" w:fill="auto"/>
          </w:tcPr>
          <w:p w14:paraId="41B6228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0357C2E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58DBF4C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696" w:type="dxa"/>
            <w:shd w:val="clear" w:color="auto" w:fill="auto"/>
          </w:tcPr>
          <w:p w14:paraId="094B25C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22F4295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C158D8" w14:textId="77777777" w:rsidTr="00EC13B7">
        <w:tc>
          <w:tcPr>
            <w:tcW w:w="630" w:type="dxa"/>
            <w:shd w:val="clear" w:color="auto" w:fill="auto"/>
          </w:tcPr>
          <w:p w14:paraId="72228E5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14</w:t>
            </w:r>
          </w:p>
        </w:tc>
        <w:tc>
          <w:tcPr>
            <w:tcW w:w="2870" w:type="dxa"/>
            <w:shd w:val="clear" w:color="auto" w:fill="auto"/>
          </w:tcPr>
          <w:p w14:paraId="32BBE97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3</w:t>
            </w:r>
            <w:r w:rsidRPr="00026143">
              <w:rPr>
                <w:rFonts w:ascii="標楷體" w:eastAsia="標楷體" w:hAnsi="標楷體"/>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配合組織調整廢止。)</w:t>
            </w:r>
          </w:p>
        </w:tc>
        <w:tc>
          <w:tcPr>
            <w:tcW w:w="2027" w:type="dxa"/>
            <w:shd w:val="clear" w:color="auto" w:fill="auto"/>
          </w:tcPr>
          <w:p w14:paraId="6DF83AE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委員黃世杰</w:t>
            </w:r>
          </w:p>
          <w:p w14:paraId="66F833A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5AE2DDE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111.03.11 </w:t>
            </w:r>
          </w:p>
          <w:p w14:paraId="4C676B9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（10-5-3）</w:t>
            </w:r>
          </w:p>
        </w:tc>
        <w:tc>
          <w:tcPr>
            <w:tcW w:w="1696" w:type="dxa"/>
            <w:shd w:val="clear" w:color="auto" w:fill="auto"/>
          </w:tcPr>
          <w:p w14:paraId="3696573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498" w:type="dxa"/>
            <w:shd w:val="clear" w:color="auto" w:fill="auto"/>
          </w:tcPr>
          <w:p w14:paraId="409BD18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02A4B7FD" w14:textId="203E08C3"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bookmarkStart w:id="323" w:name="_Toc361217332"/>
      <w:bookmarkStart w:id="324" w:name="_Toc362968392"/>
      <w:bookmarkStart w:id="325" w:name="_Toc428286964"/>
      <w:bookmarkStart w:id="326" w:name="_Toc510167684"/>
      <w:bookmarkStart w:id="327" w:name="_Toc1401067"/>
      <w:r w:rsidRPr="00026143">
        <w:rPr>
          <w:color w:val="000000" w:themeColor="text1"/>
        </w:rPr>
        <w:t>6.本會、教育及文化委員會聯席審查</w:t>
      </w:r>
      <w:r w:rsidRPr="00026143">
        <w:rPr>
          <w:rFonts w:hint="eastAsia"/>
          <w:color w:val="000000" w:themeColor="text1"/>
        </w:rPr>
        <w:t>54</w:t>
      </w:r>
      <w:r w:rsidRPr="00026143">
        <w:rPr>
          <w:color w:val="000000" w:themeColor="text1"/>
        </w:rPr>
        <w:t>案</w:t>
      </w:r>
      <w:bookmarkEnd w:id="323"/>
      <w:bookmarkEnd w:id="324"/>
      <w:bookmarkEnd w:id="325"/>
      <w:bookmarkEnd w:id="326"/>
      <w:bookmarkEnd w:id="327"/>
    </w:p>
    <w:tbl>
      <w:tblPr>
        <w:tblW w:w="8717"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98"/>
        <w:gridCol w:w="2898"/>
        <w:gridCol w:w="1999"/>
        <w:gridCol w:w="1696"/>
        <w:gridCol w:w="1526"/>
      </w:tblGrid>
      <w:tr w:rsidR="00EC13B7" w:rsidRPr="00026143" w14:paraId="179CC02D" w14:textId="77777777" w:rsidTr="00974EC9">
        <w:trPr>
          <w:jc w:val="center"/>
        </w:trPr>
        <w:tc>
          <w:tcPr>
            <w:tcW w:w="598" w:type="dxa"/>
            <w:shd w:val="clear" w:color="auto" w:fill="auto"/>
          </w:tcPr>
          <w:p w14:paraId="04330BA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898" w:type="dxa"/>
            <w:shd w:val="clear" w:color="auto" w:fill="auto"/>
          </w:tcPr>
          <w:p w14:paraId="3552B5A0"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99" w:type="dxa"/>
            <w:shd w:val="clear" w:color="auto" w:fill="auto"/>
          </w:tcPr>
          <w:p w14:paraId="410E8F2F"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6697E762"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96" w:type="dxa"/>
            <w:shd w:val="clear" w:color="auto" w:fill="auto"/>
          </w:tcPr>
          <w:p w14:paraId="6C9492EF"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526" w:type="dxa"/>
            <w:shd w:val="clear" w:color="auto" w:fill="auto"/>
          </w:tcPr>
          <w:p w14:paraId="1AD5D017"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2E118F71" w14:textId="77777777" w:rsidTr="00B45BB5">
        <w:trPr>
          <w:jc w:val="center"/>
        </w:trPr>
        <w:tc>
          <w:tcPr>
            <w:tcW w:w="598" w:type="dxa"/>
            <w:vAlign w:val="center"/>
          </w:tcPr>
          <w:p w14:paraId="73852C33"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w:t>
            </w:r>
          </w:p>
        </w:tc>
        <w:tc>
          <w:tcPr>
            <w:tcW w:w="2898" w:type="dxa"/>
            <w:vAlign w:val="center"/>
          </w:tcPr>
          <w:p w14:paraId="56FDA70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1.教育部組織法第二條條文修正草案（修正重點：新增「租稅教育」、「勞動教育」、「多元文化教育」作為教育部掌理事項。）</w:t>
            </w:r>
          </w:p>
        </w:tc>
        <w:tc>
          <w:tcPr>
            <w:tcW w:w="1999" w:type="dxa"/>
          </w:tcPr>
          <w:p w14:paraId="5BFD6CD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委員劉建國</w:t>
            </w:r>
          </w:p>
          <w:p w14:paraId="24446D6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7025322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109.03.20 </w:t>
            </w:r>
          </w:p>
          <w:p w14:paraId="5E02BF9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（10-1-5）</w:t>
            </w:r>
          </w:p>
        </w:tc>
        <w:tc>
          <w:tcPr>
            <w:tcW w:w="1696" w:type="dxa"/>
          </w:tcPr>
          <w:p w14:paraId="2A7BE1A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6D8BFA6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039AC9" w14:textId="77777777" w:rsidTr="00B45BB5">
        <w:trPr>
          <w:jc w:val="center"/>
        </w:trPr>
        <w:tc>
          <w:tcPr>
            <w:tcW w:w="598" w:type="dxa"/>
            <w:vAlign w:val="center"/>
          </w:tcPr>
          <w:p w14:paraId="72B8B60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898" w:type="dxa"/>
            <w:vAlign w:val="center"/>
          </w:tcPr>
          <w:p w14:paraId="332CB597"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2.教育部組織法第二條條文修正草案（修正重點：新增「哲學教育」作為教育部掌理事項。）</w:t>
            </w:r>
          </w:p>
        </w:tc>
        <w:tc>
          <w:tcPr>
            <w:tcW w:w="1999" w:type="dxa"/>
          </w:tcPr>
          <w:p w14:paraId="553F236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委員林思銘</w:t>
            </w:r>
          </w:p>
          <w:p w14:paraId="723E973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663CD10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109.03.27 </w:t>
            </w:r>
          </w:p>
          <w:p w14:paraId="462CF47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（10-1-6）</w:t>
            </w:r>
          </w:p>
        </w:tc>
        <w:tc>
          <w:tcPr>
            <w:tcW w:w="1696" w:type="dxa"/>
          </w:tcPr>
          <w:p w14:paraId="45AAF55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4A92ACF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E0D97F8" w14:textId="77777777" w:rsidTr="00B45BB5">
        <w:trPr>
          <w:jc w:val="center"/>
        </w:trPr>
        <w:tc>
          <w:tcPr>
            <w:tcW w:w="598" w:type="dxa"/>
            <w:vAlign w:val="center"/>
          </w:tcPr>
          <w:p w14:paraId="3D55FD4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898" w:type="dxa"/>
            <w:vAlign w:val="center"/>
          </w:tcPr>
          <w:p w14:paraId="26E2EBD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3.教育部組織法第二條條文修正草案（修正重點：新增「勞動教育」作為教育部掌理事項。）</w:t>
            </w:r>
          </w:p>
        </w:tc>
        <w:tc>
          <w:tcPr>
            <w:tcW w:w="1999" w:type="dxa"/>
          </w:tcPr>
          <w:p w14:paraId="6A7F009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委員李昆澤</w:t>
            </w:r>
          </w:p>
          <w:p w14:paraId="25462DA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1052D54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4CD150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696" w:type="dxa"/>
          </w:tcPr>
          <w:p w14:paraId="5AACA0A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B9B40B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8E0835B" w14:textId="77777777" w:rsidTr="00B45BB5">
        <w:trPr>
          <w:jc w:val="center"/>
        </w:trPr>
        <w:tc>
          <w:tcPr>
            <w:tcW w:w="598" w:type="dxa"/>
            <w:vAlign w:val="center"/>
          </w:tcPr>
          <w:p w14:paraId="6A8C04D8"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898" w:type="dxa"/>
            <w:vAlign w:val="center"/>
          </w:tcPr>
          <w:p w14:paraId="18A2C723"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4.教育部組織法第二條及第五條條文修正草案(修正重點：將國際運動交流及運動人才培育納入我國體育政策並加以推動。)</w:t>
            </w:r>
          </w:p>
        </w:tc>
        <w:tc>
          <w:tcPr>
            <w:tcW w:w="1999" w:type="dxa"/>
          </w:tcPr>
          <w:p w14:paraId="37BE361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委員莊瑞雄</w:t>
            </w:r>
          </w:p>
          <w:p w14:paraId="172D3EC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3DCD79B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110.12.10 </w:t>
            </w:r>
          </w:p>
          <w:p w14:paraId="0EC3F24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（10-4-13）</w:t>
            </w:r>
          </w:p>
        </w:tc>
        <w:tc>
          <w:tcPr>
            <w:tcW w:w="1696" w:type="dxa"/>
          </w:tcPr>
          <w:p w14:paraId="0E330EA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7C5C34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12AAB1" w14:textId="77777777" w:rsidTr="00B45BB5">
        <w:trPr>
          <w:jc w:val="center"/>
        </w:trPr>
        <w:tc>
          <w:tcPr>
            <w:tcW w:w="598" w:type="dxa"/>
            <w:vAlign w:val="center"/>
          </w:tcPr>
          <w:p w14:paraId="381C25B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898" w:type="dxa"/>
            <w:vAlign w:val="center"/>
          </w:tcPr>
          <w:p w14:paraId="2AE05173"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5.教育部組織法第二條條文修正草案(修正重點：將金融教育列入教育部掌理事項。)</w:t>
            </w:r>
          </w:p>
        </w:tc>
        <w:tc>
          <w:tcPr>
            <w:tcW w:w="1999" w:type="dxa"/>
          </w:tcPr>
          <w:p w14:paraId="7AA16C6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委員林為洲</w:t>
            </w:r>
          </w:p>
          <w:p w14:paraId="1DC9DF5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648A517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111.03.11</w:t>
            </w:r>
          </w:p>
          <w:p w14:paraId="29633C6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（10-5-3）</w:t>
            </w:r>
          </w:p>
        </w:tc>
        <w:tc>
          <w:tcPr>
            <w:tcW w:w="1696" w:type="dxa"/>
          </w:tcPr>
          <w:p w14:paraId="5F11523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368D2D6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C9ABC25" w14:textId="77777777" w:rsidTr="00B45BB5">
        <w:trPr>
          <w:jc w:val="center"/>
        </w:trPr>
        <w:tc>
          <w:tcPr>
            <w:tcW w:w="598" w:type="dxa"/>
            <w:vAlign w:val="center"/>
          </w:tcPr>
          <w:p w14:paraId="242B3AF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898" w:type="dxa"/>
            <w:vAlign w:val="center"/>
          </w:tcPr>
          <w:p w14:paraId="298105F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6.教育部組織法第二條條文修正草案(修正重點：將多元文化教育納入我國教育政策，及在掌理事項中納入運動人才培育。)</w:t>
            </w:r>
          </w:p>
        </w:tc>
        <w:tc>
          <w:tcPr>
            <w:tcW w:w="1999" w:type="dxa"/>
          </w:tcPr>
          <w:p w14:paraId="55CDD8F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委員魯明哲</w:t>
            </w:r>
          </w:p>
          <w:p w14:paraId="5508B96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4ABE213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7B0D825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696" w:type="dxa"/>
          </w:tcPr>
          <w:p w14:paraId="504F10E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0447ABE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262B2A3" w14:textId="77777777" w:rsidTr="00B45BB5">
        <w:trPr>
          <w:jc w:val="center"/>
        </w:trPr>
        <w:tc>
          <w:tcPr>
            <w:tcW w:w="598" w:type="dxa"/>
            <w:vAlign w:val="center"/>
          </w:tcPr>
          <w:p w14:paraId="6730C19D"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w:t>
            </w:r>
          </w:p>
        </w:tc>
        <w:tc>
          <w:tcPr>
            <w:tcW w:w="2898" w:type="dxa"/>
            <w:vAlign w:val="center"/>
          </w:tcPr>
          <w:p w14:paraId="54808CA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教育部組織法第七條條文修正草案(修正重點：增列「高等教育司」、「技術及職業教育司」、「終身教育司」之司長亦得比照「資訊及科技教育」得以聘任有相關領域之教育實務與專業能力之專科以上學校教授。)</w:t>
            </w:r>
          </w:p>
        </w:tc>
        <w:tc>
          <w:tcPr>
            <w:tcW w:w="1999" w:type="dxa"/>
          </w:tcPr>
          <w:p w14:paraId="62A0129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31F53E3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86068E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15A5EE4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696" w:type="dxa"/>
          </w:tcPr>
          <w:p w14:paraId="19B279F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6EFD318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C03FF9B" w14:textId="77777777" w:rsidTr="00B45BB5">
        <w:trPr>
          <w:jc w:val="center"/>
        </w:trPr>
        <w:tc>
          <w:tcPr>
            <w:tcW w:w="598" w:type="dxa"/>
            <w:vAlign w:val="center"/>
          </w:tcPr>
          <w:p w14:paraId="1F6BC48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w:t>
            </w:r>
          </w:p>
        </w:tc>
        <w:tc>
          <w:tcPr>
            <w:tcW w:w="2898" w:type="dxa"/>
            <w:vAlign w:val="center"/>
          </w:tcPr>
          <w:p w14:paraId="0460049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教育部組織法第七條條文修正草案(修正重點：除「資訊及科技教育司長」得以聘任具有專科以上學校教授資格之領域專家學者之外，其他如「高等教育司」、「技術及職業教育司」、「終身教育司」、「國際及兩岸教育司」和「師資培育及藝術教育司」之司長</w:t>
            </w:r>
            <w:r w:rsidRPr="00026143">
              <w:rPr>
                <w:rFonts w:ascii="標楷體" w:eastAsia="標楷體" w:hAnsi="標楷體"/>
                <w:color w:val="000000" w:themeColor="text1"/>
              </w:rPr>
              <w:lastRenderedPageBreak/>
              <w:t>亦建議比照辦理。)</w:t>
            </w:r>
          </w:p>
        </w:tc>
        <w:tc>
          <w:tcPr>
            <w:tcW w:w="1999" w:type="dxa"/>
          </w:tcPr>
          <w:p w14:paraId="729C8AD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7A8640B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110.12.10 </w:t>
            </w:r>
          </w:p>
          <w:p w14:paraId="0B6E007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（10-4-13）</w:t>
            </w:r>
          </w:p>
        </w:tc>
        <w:tc>
          <w:tcPr>
            <w:tcW w:w="1696" w:type="dxa"/>
          </w:tcPr>
          <w:p w14:paraId="161436B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084A6E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0BB36B" w14:textId="77777777" w:rsidTr="00B45BB5">
        <w:trPr>
          <w:jc w:val="center"/>
        </w:trPr>
        <w:tc>
          <w:tcPr>
            <w:tcW w:w="598" w:type="dxa"/>
            <w:vAlign w:val="center"/>
          </w:tcPr>
          <w:p w14:paraId="6071914F"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9</w:t>
            </w:r>
          </w:p>
        </w:tc>
        <w:tc>
          <w:tcPr>
            <w:tcW w:w="2898" w:type="dxa"/>
            <w:vAlign w:val="center"/>
          </w:tcPr>
          <w:p w14:paraId="7FE05FC8"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1.教育部組織法第八條條文修正草案(修正重點：新增旋轉門條款，明訂高階文官不得於離職後三年內，擔任與其離職前五年內之職務直接相關機構之高層。)</w:t>
            </w:r>
          </w:p>
        </w:tc>
        <w:tc>
          <w:tcPr>
            <w:tcW w:w="1999" w:type="dxa"/>
          </w:tcPr>
          <w:p w14:paraId="5DC784E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4A4348F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1252456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793C6F6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696" w:type="dxa"/>
          </w:tcPr>
          <w:p w14:paraId="1E8BBCF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71DCCF5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DC13833" w14:textId="77777777" w:rsidTr="00B45BB5">
        <w:trPr>
          <w:jc w:val="center"/>
        </w:trPr>
        <w:tc>
          <w:tcPr>
            <w:tcW w:w="598" w:type="dxa"/>
            <w:vAlign w:val="center"/>
          </w:tcPr>
          <w:p w14:paraId="3EEEF64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w:t>
            </w:r>
          </w:p>
        </w:tc>
        <w:tc>
          <w:tcPr>
            <w:tcW w:w="2898" w:type="dxa"/>
            <w:vAlign w:val="center"/>
          </w:tcPr>
          <w:p w14:paraId="706BA70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教育部組織法增訂第八條之一條文草案(增訂重點：曾任教育部部長、次長、署長、主任秘書以及正副司、處長者，於其離職後三年內，不得擔任與其離職前五年內之職務直接相關之學校財團法人董事長、董事、監察人、校長或其他有給職職務。)</w:t>
            </w:r>
          </w:p>
        </w:tc>
        <w:tc>
          <w:tcPr>
            <w:tcW w:w="1999" w:type="dxa"/>
          </w:tcPr>
          <w:p w14:paraId="6CF4E86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委員羅美玲</w:t>
            </w:r>
          </w:p>
          <w:p w14:paraId="0A849E4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1CB98C3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15452C8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696" w:type="dxa"/>
          </w:tcPr>
          <w:p w14:paraId="19CA8F1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0ADF25F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0803BE0" w14:textId="77777777" w:rsidTr="00B45BB5">
        <w:trPr>
          <w:jc w:val="center"/>
        </w:trPr>
        <w:tc>
          <w:tcPr>
            <w:tcW w:w="598" w:type="dxa"/>
            <w:vAlign w:val="center"/>
          </w:tcPr>
          <w:p w14:paraId="6895B578"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w:t>
            </w:r>
          </w:p>
        </w:tc>
        <w:tc>
          <w:tcPr>
            <w:tcW w:w="2898" w:type="dxa"/>
            <w:vAlign w:val="center"/>
          </w:tcPr>
          <w:p w14:paraId="525FBE98"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3.教育部組織法增訂第八條之一條文草案(增訂重點：規定教育部所屬公務人員於離職後一定期間內需有利益迴避之限制。)</w:t>
            </w:r>
          </w:p>
        </w:tc>
        <w:tc>
          <w:tcPr>
            <w:tcW w:w="1999" w:type="dxa"/>
          </w:tcPr>
          <w:p w14:paraId="3E1FACA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6030526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111.04.15 </w:t>
            </w:r>
          </w:p>
          <w:p w14:paraId="38D6D07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（10-5-8）</w:t>
            </w:r>
          </w:p>
        </w:tc>
        <w:tc>
          <w:tcPr>
            <w:tcW w:w="1696" w:type="dxa"/>
          </w:tcPr>
          <w:p w14:paraId="2407B61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6E1D39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5CB7EFD" w14:textId="77777777" w:rsidTr="00B45BB5">
        <w:trPr>
          <w:jc w:val="center"/>
        </w:trPr>
        <w:tc>
          <w:tcPr>
            <w:tcW w:w="598" w:type="dxa"/>
            <w:vAlign w:val="center"/>
          </w:tcPr>
          <w:p w14:paraId="4285D44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w:t>
            </w:r>
          </w:p>
        </w:tc>
        <w:tc>
          <w:tcPr>
            <w:tcW w:w="2898" w:type="dxa"/>
            <w:vAlign w:val="center"/>
          </w:tcPr>
          <w:p w14:paraId="232E2BD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中央研究院組織法第四條條文修正草案(修正重點：對於涉及傷害院譽之院士，其事證明確、並足供查證者，應付院士會議審議，得撤銷其院士榮銜。)</w:t>
            </w:r>
          </w:p>
        </w:tc>
        <w:tc>
          <w:tcPr>
            <w:tcW w:w="1999" w:type="dxa"/>
          </w:tcPr>
          <w:p w14:paraId="3D55CFB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200DB6A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4925207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109.05.22 </w:t>
            </w:r>
          </w:p>
          <w:p w14:paraId="305AB85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（10-1-14）</w:t>
            </w:r>
          </w:p>
        </w:tc>
        <w:tc>
          <w:tcPr>
            <w:tcW w:w="1696" w:type="dxa"/>
          </w:tcPr>
          <w:p w14:paraId="235DBB6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DEBAFF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89FDEA1" w14:textId="77777777" w:rsidTr="00B45BB5">
        <w:trPr>
          <w:jc w:val="center"/>
        </w:trPr>
        <w:tc>
          <w:tcPr>
            <w:tcW w:w="598" w:type="dxa"/>
            <w:vAlign w:val="center"/>
          </w:tcPr>
          <w:p w14:paraId="5AD36FF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w:t>
            </w:r>
          </w:p>
        </w:tc>
        <w:tc>
          <w:tcPr>
            <w:tcW w:w="2898" w:type="dxa"/>
            <w:vAlign w:val="center"/>
          </w:tcPr>
          <w:p w14:paraId="7C7B88E8"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國家運動訓練中心設置條例第二十九條條文修正草案（修正重點：明確規定國家運動訓練中心膳食採購作業，禁止使用任何含乙型受體素肉品及其初級加工品。）</w:t>
            </w:r>
          </w:p>
        </w:tc>
        <w:tc>
          <w:tcPr>
            <w:tcW w:w="1999" w:type="dxa"/>
          </w:tcPr>
          <w:p w14:paraId="2A402A3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委員謝衣</w:t>
            </w:r>
            <w:r w:rsidRPr="00026143">
              <w:rPr>
                <w:rFonts w:ascii="標楷體" w:eastAsia="標楷體" w:hAnsi="標楷體" w:hint="eastAsia"/>
                <w:color w:val="000000" w:themeColor="text1"/>
              </w:rPr>
              <w:t>鳯</w:t>
            </w:r>
          </w:p>
          <w:p w14:paraId="7AA126A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17人 </w:t>
            </w:r>
          </w:p>
          <w:p w14:paraId="13557D6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51B7FDD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696" w:type="dxa"/>
          </w:tcPr>
          <w:p w14:paraId="1A91971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E5D33F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3A2F623" w14:textId="77777777" w:rsidTr="00B45BB5">
        <w:trPr>
          <w:jc w:val="center"/>
        </w:trPr>
        <w:tc>
          <w:tcPr>
            <w:tcW w:w="598" w:type="dxa"/>
            <w:vAlign w:val="center"/>
          </w:tcPr>
          <w:p w14:paraId="682C940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w:t>
            </w:r>
          </w:p>
        </w:tc>
        <w:tc>
          <w:tcPr>
            <w:tcW w:w="2898" w:type="dxa"/>
            <w:vAlign w:val="center"/>
          </w:tcPr>
          <w:p w14:paraId="11381D6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國家表演藝術中心設置條例第二十條條文修正草案（修正重點：明定國家表演藝術中心得附設演藝團隊。）</w:t>
            </w:r>
          </w:p>
        </w:tc>
        <w:tc>
          <w:tcPr>
            <w:tcW w:w="1999" w:type="dxa"/>
          </w:tcPr>
          <w:p w14:paraId="30CC9CC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委員陳秀</w:t>
            </w:r>
            <w:r w:rsidRPr="00026143">
              <w:rPr>
                <w:rFonts w:ascii="標楷體" w:eastAsia="標楷體" w:hAnsi="標楷體" w:hint="eastAsia"/>
                <w:color w:val="000000" w:themeColor="text1"/>
              </w:rPr>
              <w:t>寳</w:t>
            </w:r>
          </w:p>
          <w:p w14:paraId="34A69BF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17人 </w:t>
            </w:r>
          </w:p>
          <w:p w14:paraId="76BB06C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7FFF361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696" w:type="dxa"/>
          </w:tcPr>
          <w:p w14:paraId="7CCBD74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330E38B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9D06FE6" w14:textId="77777777" w:rsidTr="00B45BB5">
        <w:trPr>
          <w:jc w:val="center"/>
        </w:trPr>
        <w:tc>
          <w:tcPr>
            <w:tcW w:w="598" w:type="dxa"/>
            <w:vAlign w:val="center"/>
          </w:tcPr>
          <w:p w14:paraId="5DC969E4"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w:t>
            </w:r>
          </w:p>
        </w:tc>
        <w:tc>
          <w:tcPr>
            <w:tcW w:w="2898" w:type="dxa"/>
            <w:vAlign w:val="center"/>
          </w:tcPr>
          <w:p w14:paraId="12F02D1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國立李登輝總統紀念館組織法草案（共6條。制定重點：由於各個總統的紀念事業或有不同或有差異性需求，故採個別立法形</w:t>
            </w:r>
            <w:r w:rsidRPr="00026143">
              <w:rPr>
                <w:rFonts w:ascii="標楷體" w:eastAsia="標楷體" w:hAnsi="標楷體"/>
                <w:color w:val="000000" w:themeColor="text1"/>
              </w:rPr>
              <w:lastRenderedPageBreak/>
              <w:t>式。爰個別提出國立李登輝總統紀念館；主政機關為文化部。）</w:t>
            </w:r>
          </w:p>
        </w:tc>
        <w:tc>
          <w:tcPr>
            <w:tcW w:w="1999" w:type="dxa"/>
          </w:tcPr>
          <w:p w14:paraId="22FF90D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委員管碧玲</w:t>
            </w:r>
          </w:p>
          <w:p w14:paraId="41648A1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等28人 </w:t>
            </w:r>
          </w:p>
          <w:p w14:paraId="49130D4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7AF0D34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696" w:type="dxa"/>
          </w:tcPr>
          <w:p w14:paraId="03E6220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EB3910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48526D0" w14:textId="77777777" w:rsidTr="00B45BB5">
        <w:trPr>
          <w:jc w:val="center"/>
        </w:trPr>
        <w:tc>
          <w:tcPr>
            <w:tcW w:w="598" w:type="dxa"/>
            <w:vAlign w:val="center"/>
          </w:tcPr>
          <w:p w14:paraId="0C618BA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16</w:t>
            </w:r>
          </w:p>
        </w:tc>
        <w:tc>
          <w:tcPr>
            <w:tcW w:w="2898" w:type="dxa"/>
            <w:vAlign w:val="center"/>
          </w:tcPr>
          <w:p w14:paraId="1537F30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運動發展部組織法草案（共8條。制定重點：行政院為辦理國民之體育及運動參與權利保障，健全國內產業及環境，推廣與其他國家之交流，並強化全國體育運動發展業務，特制定本法。）</w:t>
            </w:r>
          </w:p>
        </w:tc>
        <w:tc>
          <w:tcPr>
            <w:tcW w:w="1999" w:type="dxa"/>
          </w:tcPr>
          <w:p w14:paraId="1E73B14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委員洪孟楷</w:t>
            </w:r>
          </w:p>
          <w:p w14:paraId="5763F6A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30FA886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110.02.26 </w:t>
            </w:r>
          </w:p>
          <w:p w14:paraId="164F136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w:t>
            </w:r>
          </w:p>
        </w:tc>
        <w:tc>
          <w:tcPr>
            <w:tcW w:w="1696" w:type="dxa"/>
          </w:tcPr>
          <w:p w14:paraId="72A7732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1CF8EC1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3716F0F" w14:textId="77777777" w:rsidTr="00B45BB5">
        <w:trPr>
          <w:jc w:val="center"/>
        </w:trPr>
        <w:tc>
          <w:tcPr>
            <w:tcW w:w="598" w:type="dxa"/>
            <w:vAlign w:val="center"/>
          </w:tcPr>
          <w:p w14:paraId="532EBCD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w:t>
            </w:r>
          </w:p>
        </w:tc>
        <w:tc>
          <w:tcPr>
            <w:tcW w:w="2898" w:type="dxa"/>
            <w:vAlign w:val="center"/>
          </w:tcPr>
          <w:p w14:paraId="430FAF04"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科技部組織法部分條文修正草案（修正名稱、§1、2、8。修正重點：配合行政院組織調整，將科技部改為具跨部會協調功能之「委員會」。）</w:t>
            </w:r>
          </w:p>
        </w:tc>
        <w:tc>
          <w:tcPr>
            <w:tcW w:w="1999" w:type="dxa"/>
          </w:tcPr>
          <w:p w14:paraId="4BBA12A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委員洪申翰</w:t>
            </w:r>
          </w:p>
          <w:p w14:paraId="3C6A879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等21人</w:t>
            </w:r>
          </w:p>
          <w:p w14:paraId="5DE01CB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79BAA48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696" w:type="dxa"/>
          </w:tcPr>
          <w:p w14:paraId="08466ED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1115FC0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AF3169" w14:textId="77777777" w:rsidTr="00B45BB5">
        <w:trPr>
          <w:jc w:val="center"/>
        </w:trPr>
        <w:tc>
          <w:tcPr>
            <w:tcW w:w="598" w:type="dxa"/>
            <w:vAlign w:val="center"/>
          </w:tcPr>
          <w:p w14:paraId="01BE4AE0"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w:t>
            </w:r>
          </w:p>
        </w:tc>
        <w:tc>
          <w:tcPr>
            <w:tcW w:w="2898" w:type="dxa"/>
            <w:vAlign w:val="center"/>
          </w:tcPr>
          <w:p w14:paraId="7C4B1E3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1.中央廣播電臺設置條例第三條及第四條條文修正草案（修正重點：主管機關調整為文化部；因應時代背景更迭，任務設定轉型。）</w:t>
            </w:r>
          </w:p>
        </w:tc>
        <w:tc>
          <w:tcPr>
            <w:tcW w:w="1999" w:type="dxa"/>
          </w:tcPr>
          <w:p w14:paraId="68D3B9B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委員林楚茵</w:t>
            </w:r>
          </w:p>
          <w:p w14:paraId="1D89859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3FD7BED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52C0F9A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696" w:type="dxa"/>
          </w:tcPr>
          <w:p w14:paraId="503724D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6E8CE80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8C7E046" w14:textId="77777777" w:rsidTr="00B45BB5">
        <w:trPr>
          <w:jc w:val="center"/>
        </w:trPr>
        <w:tc>
          <w:tcPr>
            <w:tcW w:w="598" w:type="dxa"/>
            <w:vAlign w:val="center"/>
          </w:tcPr>
          <w:p w14:paraId="12075832"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19</w:t>
            </w:r>
          </w:p>
        </w:tc>
        <w:tc>
          <w:tcPr>
            <w:tcW w:w="2898" w:type="dxa"/>
            <w:vAlign w:val="center"/>
          </w:tcPr>
          <w:p w14:paraId="3ECF41D8"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2.中央廣播電臺設置條例第三條條文修正草案(修正重點：中央廣播電臺之主管機關為新聞局，然新聞局已裁撤，應修正為由文化部為主管機關。)</w:t>
            </w:r>
          </w:p>
        </w:tc>
        <w:tc>
          <w:tcPr>
            <w:tcW w:w="1999" w:type="dxa"/>
          </w:tcPr>
          <w:p w14:paraId="301DC07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006DED5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14365D4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110.12.03 </w:t>
            </w:r>
          </w:p>
          <w:p w14:paraId="04A605C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（10-4-12）</w:t>
            </w:r>
          </w:p>
        </w:tc>
        <w:tc>
          <w:tcPr>
            <w:tcW w:w="1696" w:type="dxa"/>
          </w:tcPr>
          <w:p w14:paraId="7038681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3EFF074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E87C02" w14:textId="77777777" w:rsidTr="00B45BB5">
        <w:trPr>
          <w:jc w:val="center"/>
        </w:trPr>
        <w:tc>
          <w:tcPr>
            <w:tcW w:w="598" w:type="dxa"/>
            <w:vAlign w:val="center"/>
          </w:tcPr>
          <w:p w14:paraId="06F3CC54"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20</w:t>
            </w:r>
          </w:p>
        </w:tc>
        <w:tc>
          <w:tcPr>
            <w:tcW w:w="2898" w:type="dxa"/>
            <w:vAlign w:val="center"/>
          </w:tcPr>
          <w:p w14:paraId="51F25F6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3.中央廣播電臺設置條例第三條條文修正草案(修正重點：行政院新聞局為配合行政院功能業務與組織調整已裁撤，爰修正本條。)</w:t>
            </w:r>
          </w:p>
        </w:tc>
        <w:tc>
          <w:tcPr>
            <w:tcW w:w="1999" w:type="dxa"/>
          </w:tcPr>
          <w:p w14:paraId="5A429E5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委員林宜瑾</w:t>
            </w:r>
          </w:p>
          <w:p w14:paraId="48C0C0E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5B617B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110.12.24 </w:t>
            </w:r>
          </w:p>
          <w:p w14:paraId="55B8BC9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（10-4-15）</w:t>
            </w:r>
          </w:p>
        </w:tc>
        <w:tc>
          <w:tcPr>
            <w:tcW w:w="1696" w:type="dxa"/>
          </w:tcPr>
          <w:p w14:paraId="2B27E96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3531507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0C72F9" w14:textId="77777777" w:rsidTr="00B45BB5">
        <w:trPr>
          <w:jc w:val="center"/>
        </w:trPr>
        <w:tc>
          <w:tcPr>
            <w:tcW w:w="598" w:type="dxa"/>
            <w:vAlign w:val="center"/>
          </w:tcPr>
          <w:p w14:paraId="54EA3AF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21</w:t>
            </w:r>
          </w:p>
        </w:tc>
        <w:tc>
          <w:tcPr>
            <w:tcW w:w="2898" w:type="dxa"/>
            <w:vAlign w:val="center"/>
          </w:tcPr>
          <w:p w14:paraId="38E4A7DD"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4.中央廣播電臺設置條例第三條條文修正草案(修正重點：因應組織調整修正。)</w:t>
            </w:r>
          </w:p>
        </w:tc>
        <w:tc>
          <w:tcPr>
            <w:tcW w:w="1999" w:type="dxa"/>
          </w:tcPr>
          <w:p w14:paraId="3708A17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6127972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6DE276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539A86C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696" w:type="dxa"/>
          </w:tcPr>
          <w:p w14:paraId="6A30D9B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6F1CB9A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0DD2963" w14:textId="77777777" w:rsidTr="00B45BB5">
        <w:trPr>
          <w:jc w:val="center"/>
        </w:trPr>
        <w:tc>
          <w:tcPr>
            <w:tcW w:w="598" w:type="dxa"/>
            <w:vAlign w:val="center"/>
          </w:tcPr>
          <w:p w14:paraId="44A392C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22</w:t>
            </w:r>
          </w:p>
        </w:tc>
        <w:tc>
          <w:tcPr>
            <w:tcW w:w="2898" w:type="dxa"/>
            <w:vAlign w:val="center"/>
          </w:tcPr>
          <w:p w14:paraId="52437BD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5.中央廣播電臺設置條例第三條條文修正草案(修正重點：為配合行政院功能業務與組織調整，修正主管機關單位名稱為文化部。)</w:t>
            </w:r>
          </w:p>
        </w:tc>
        <w:tc>
          <w:tcPr>
            <w:tcW w:w="1999" w:type="dxa"/>
          </w:tcPr>
          <w:p w14:paraId="01F3D2B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委員鄭麗文</w:t>
            </w:r>
          </w:p>
          <w:p w14:paraId="01E83D0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457A215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111.09.23 </w:t>
            </w:r>
          </w:p>
          <w:p w14:paraId="795EEC3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696" w:type="dxa"/>
          </w:tcPr>
          <w:p w14:paraId="49998AD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271552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08DE9E1" w14:textId="77777777" w:rsidTr="00B45BB5">
        <w:trPr>
          <w:jc w:val="center"/>
        </w:trPr>
        <w:tc>
          <w:tcPr>
            <w:tcW w:w="598" w:type="dxa"/>
            <w:vAlign w:val="center"/>
          </w:tcPr>
          <w:p w14:paraId="6F89A1D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23</w:t>
            </w:r>
          </w:p>
        </w:tc>
        <w:tc>
          <w:tcPr>
            <w:tcW w:w="2898" w:type="dxa"/>
            <w:vAlign w:val="center"/>
          </w:tcPr>
          <w:p w14:paraId="0E129E1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6.中央廣播電臺設置條例</w:t>
            </w:r>
            <w:r w:rsidRPr="00026143">
              <w:rPr>
                <w:rFonts w:ascii="標楷體" w:eastAsia="標楷體" w:hAnsi="標楷體" w:hint="eastAsia"/>
                <w:color w:val="000000" w:themeColor="text1"/>
              </w:rPr>
              <w:lastRenderedPageBreak/>
              <w:t>第三條條文修正草案(修正重點：本條規定主管機關為行政院新聞局，然行政院新聞局業已裁撤，爰提案修正。)</w:t>
            </w:r>
          </w:p>
        </w:tc>
        <w:tc>
          <w:tcPr>
            <w:tcW w:w="1999" w:type="dxa"/>
          </w:tcPr>
          <w:p w14:paraId="7B47518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時代力量黨團 </w:t>
            </w:r>
          </w:p>
          <w:p w14:paraId="7A0FE0A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111.10.28 </w:t>
            </w:r>
          </w:p>
          <w:p w14:paraId="4E2AC92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696" w:type="dxa"/>
          </w:tcPr>
          <w:p w14:paraId="5A74A11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w:t>
            </w:r>
            <w:r w:rsidRPr="00026143">
              <w:rPr>
                <w:rFonts w:ascii="標楷體" w:eastAsia="標楷體" w:hAnsi="標楷體" w:hint="eastAsia"/>
                <w:color w:val="000000" w:themeColor="text1"/>
              </w:rPr>
              <w:lastRenderedPageBreak/>
              <w:t>教育及文化</w:t>
            </w:r>
          </w:p>
        </w:tc>
        <w:tc>
          <w:tcPr>
            <w:tcW w:w="1526" w:type="dxa"/>
          </w:tcPr>
          <w:p w14:paraId="4754856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尚未審查</w:t>
            </w:r>
          </w:p>
        </w:tc>
      </w:tr>
      <w:tr w:rsidR="00EC13B7" w:rsidRPr="00026143" w14:paraId="532866DC" w14:textId="77777777" w:rsidTr="00B45BB5">
        <w:trPr>
          <w:jc w:val="center"/>
        </w:trPr>
        <w:tc>
          <w:tcPr>
            <w:tcW w:w="598" w:type="dxa"/>
            <w:vAlign w:val="center"/>
          </w:tcPr>
          <w:p w14:paraId="2F52181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24</w:t>
            </w:r>
          </w:p>
        </w:tc>
        <w:tc>
          <w:tcPr>
            <w:tcW w:w="2898" w:type="dxa"/>
            <w:vAlign w:val="center"/>
          </w:tcPr>
          <w:p w14:paraId="7B72B21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7.中央廣播電臺設置條例第四條、第七條及第八條條文修正草案(修正重點：為使中央廣播電臺執行之任務，能因應時代更迭進行轉型，爰提案修正。)</w:t>
            </w:r>
          </w:p>
        </w:tc>
        <w:tc>
          <w:tcPr>
            <w:tcW w:w="1999" w:type="dxa"/>
          </w:tcPr>
          <w:p w14:paraId="7A26519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2B146A1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4937C22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696" w:type="dxa"/>
          </w:tcPr>
          <w:p w14:paraId="7B2080B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8F8282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C9289D6" w14:textId="77777777" w:rsidTr="00B45BB5">
        <w:trPr>
          <w:jc w:val="center"/>
        </w:trPr>
        <w:tc>
          <w:tcPr>
            <w:tcW w:w="598" w:type="dxa"/>
            <w:vAlign w:val="center"/>
          </w:tcPr>
          <w:p w14:paraId="4FFEDCD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25</w:t>
            </w:r>
          </w:p>
        </w:tc>
        <w:tc>
          <w:tcPr>
            <w:tcW w:w="2898" w:type="dxa"/>
            <w:vAlign w:val="center"/>
          </w:tcPr>
          <w:p w14:paraId="7F6AF28D"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中央廣播電臺設置條例第三條、第四條及第十九條條文修正草案(修正重點：修正主管機關改由文化部管轄；修正本臺之任務，新增其對我國境內新住民及外籍人士等製播多語種之新聞、文化及生活資訊等非營利性廣播節目之任務。)</w:t>
            </w:r>
          </w:p>
        </w:tc>
        <w:tc>
          <w:tcPr>
            <w:tcW w:w="1999" w:type="dxa"/>
          </w:tcPr>
          <w:p w14:paraId="44E8123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委員沈發惠</w:t>
            </w:r>
          </w:p>
          <w:p w14:paraId="1610BAA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1AD5624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0726F2F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696" w:type="dxa"/>
          </w:tcPr>
          <w:p w14:paraId="7C43ACA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4B440C2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45B2530" w14:textId="77777777" w:rsidTr="00B45BB5">
        <w:trPr>
          <w:jc w:val="center"/>
        </w:trPr>
        <w:tc>
          <w:tcPr>
            <w:tcW w:w="598" w:type="dxa"/>
            <w:vAlign w:val="center"/>
          </w:tcPr>
          <w:p w14:paraId="6CBE988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26</w:t>
            </w:r>
          </w:p>
        </w:tc>
        <w:tc>
          <w:tcPr>
            <w:tcW w:w="2898" w:type="dxa"/>
            <w:vAlign w:val="center"/>
          </w:tcPr>
          <w:p w14:paraId="66EE5F50"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9.中央廣播電臺設置條例第三條、第四條及第十九條條文修正草案(修正重點：修正主管機關為文化部；且中央廣播電臺肩負國家新聞及資訊傳播，應兼具對新住民、於台外籍人士等播音之任務，以達多元文化發展目的。)</w:t>
            </w:r>
          </w:p>
        </w:tc>
        <w:tc>
          <w:tcPr>
            <w:tcW w:w="1999" w:type="dxa"/>
          </w:tcPr>
          <w:p w14:paraId="61CB6C0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53FC654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4C6C7C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28EB462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696" w:type="dxa"/>
          </w:tcPr>
          <w:p w14:paraId="64F03C9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6F51133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8554A6C" w14:textId="77777777" w:rsidTr="00B45BB5">
        <w:trPr>
          <w:jc w:val="center"/>
        </w:trPr>
        <w:tc>
          <w:tcPr>
            <w:tcW w:w="598" w:type="dxa"/>
            <w:vAlign w:val="center"/>
          </w:tcPr>
          <w:p w14:paraId="07AE4DD3"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27</w:t>
            </w:r>
          </w:p>
        </w:tc>
        <w:tc>
          <w:tcPr>
            <w:tcW w:w="2898" w:type="dxa"/>
            <w:vAlign w:val="center"/>
          </w:tcPr>
          <w:p w14:paraId="44EC51A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10.中央廣播電臺設置條例部分條文修正草案(修正§3、4、7、19。修正重點：主管機關改由文化部管轄；應用多國語言向國際廣播，傳播我國新聞及資訊；明定董監事任一性別三分之一之比例保障。)</w:t>
            </w:r>
          </w:p>
        </w:tc>
        <w:tc>
          <w:tcPr>
            <w:tcW w:w="1999" w:type="dxa"/>
          </w:tcPr>
          <w:p w14:paraId="3905176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135FE34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609EBCE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111.12.30 </w:t>
            </w:r>
          </w:p>
          <w:p w14:paraId="44C11CB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（10-6-14）</w:t>
            </w:r>
          </w:p>
        </w:tc>
        <w:tc>
          <w:tcPr>
            <w:tcW w:w="1696" w:type="dxa"/>
          </w:tcPr>
          <w:p w14:paraId="3F787B6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0C237BE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FDC8691" w14:textId="77777777" w:rsidTr="00B45BB5">
        <w:trPr>
          <w:jc w:val="center"/>
        </w:trPr>
        <w:tc>
          <w:tcPr>
            <w:tcW w:w="598" w:type="dxa"/>
            <w:vAlign w:val="center"/>
          </w:tcPr>
          <w:p w14:paraId="0B14F498"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28</w:t>
            </w:r>
          </w:p>
        </w:tc>
        <w:tc>
          <w:tcPr>
            <w:tcW w:w="2898" w:type="dxa"/>
            <w:vAlign w:val="center"/>
          </w:tcPr>
          <w:p w14:paraId="3DF8192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1.教育部體育署組織法第三條條文修正草案（修正重點：增加體育署正副首長選才管道、使延攬人才更具彈性。）</w:t>
            </w:r>
          </w:p>
        </w:tc>
        <w:tc>
          <w:tcPr>
            <w:tcW w:w="1999" w:type="dxa"/>
          </w:tcPr>
          <w:p w14:paraId="71E9ADE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委員張廖萬堅</w:t>
            </w:r>
          </w:p>
          <w:p w14:paraId="2CC174B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14A7B62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01039A9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696" w:type="dxa"/>
          </w:tcPr>
          <w:p w14:paraId="024E2A9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0BC56C6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D5A94A" w14:textId="77777777" w:rsidTr="00B45BB5">
        <w:trPr>
          <w:jc w:val="center"/>
        </w:trPr>
        <w:tc>
          <w:tcPr>
            <w:tcW w:w="598" w:type="dxa"/>
            <w:vAlign w:val="center"/>
          </w:tcPr>
          <w:p w14:paraId="3A233D64"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29</w:t>
            </w:r>
          </w:p>
        </w:tc>
        <w:tc>
          <w:tcPr>
            <w:tcW w:w="2898" w:type="dxa"/>
            <w:vAlign w:val="center"/>
          </w:tcPr>
          <w:p w14:paraId="74F7087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2.教育部體育署組織法第三條條文修正草案(修正重點：必要時，署長得比</w:t>
            </w:r>
            <w:r w:rsidRPr="00026143">
              <w:rPr>
                <w:rFonts w:ascii="標楷體" w:eastAsia="標楷體" w:hAnsi="標楷體"/>
                <w:color w:val="000000" w:themeColor="text1"/>
              </w:rPr>
              <w:lastRenderedPageBreak/>
              <w:t>照簡任第十三職等之資格聘任。)</w:t>
            </w:r>
          </w:p>
        </w:tc>
        <w:tc>
          <w:tcPr>
            <w:tcW w:w="1999" w:type="dxa"/>
          </w:tcPr>
          <w:p w14:paraId="440C564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委員陳秀</w:t>
            </w:r>
            <w:r w:rsidRPr="00026143">
              <w:rPr>
                <w:rFonts w:ascii="標楷體" w:eastAsia="標楷體" w:hAnsi="標楷體" w:hint="eastAsia"/>
                <w:color w:val="000000" w:themeColor="text1"/>
              </w:rPr>
              <w:t>寳</w:t>
            </w:r>
          </w:p>
          <w:p w14:paraId="2855EF3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17人 </w:t>
            </w:r>
          </w:p>
          <w:p w14:paraId="03C7685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13FA135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（10-4-8）</w:t>
            </w:r>
          </w:p>
        </w:tc>
        <w:tc>
          <w:tcPr>
            <w:tcW w:w="1696" w:type="dxa"/>
          </w:tcPr>
          <w:p w14:paraId="7BC4CC9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司法及法制、教育及文化</w:t>
            </w:r>
          </w:p>
        </w:tc>
        <w:tc>
          <w:tcPr>
            <w:tcW w:w="1526" w:type="dxa"/>
          </w:tcPr>
          <w:p w14:paraId="47EAA55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7CB1864" w14:textId="77777777" w:rsidTr="00B45BB5">
        <w:trPr>
          <w:jc w:val="center"/>
        </w:trPr>
        <w:tc>
          <w:tcPr>
            <w:tcW w:w="598" w:type="dxa"/>
            <w:vAlign w:val="center"/>
          </w:tcPr>
          <w:p w14:paraId="12CC359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30</w:t>
            </w:r>
          </w:p>
        </w:tc>
        <w:tc>
          <w:tcPr>
            <w:tcW w:w="2898" w:type="dxa"/>
            <w:vAlign w:val="center"/>
          </w:tcPr>
          <w:p w14:paraId="3F30435C"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3.教育部體育署組織法第三條條文修正草案(修正重點：修正署長資格得以政務職聘任；並放寬副署長其中一人得比照簡任第十二職等聘任。)</w:t>
            </w:r>
          </w:p>
        </w:tc>
        <w:tc>
          <w:tcPr>
            <w:tcW w:w="1999" w:type="dxa"/>
          </w:tcPr>
          <w:p w14:paraId="3994FD0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23BC093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7FBAD06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3CDB0E6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696" w:type="dxa"/>
          </w:tcPr>
          <w:p w14:paraId="3AC4B52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765647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72EFBE8" w14:textId="77777777" w:rsidTr="00B45BB5">
        <w:trPr>
          <w:jc w:val="center"/>
        </w:trPr>
        <w:tc>
          <w:tcPr>
            <w:tcW w:w="598" w:type="dxa"/>
            <w:vAlign w:val="center"/>
          </w:tcPr>
          <w:p w14:paraId="4573B042"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31</w:t>
            </w:r>
          </w:p>
        </w:tc>
        <w:tc>
          <w:tcPr>
            <w:tcW w:w="2898" w:type="dxa"/>
            <w:vAlign w:val="center"/>
          </w:tcPr>
          <w:p w14:paraId="023DBE9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4.教育部體育署組織法第三條條文修正草案(修正重點：修正署長資格得以政務任命，署長得比照簡任第十三職等之資格。)</w:t>
            </w:r>
          </w:p>
        </w:tc>
        <w:tc>
          <w:tcPr>
            <w:tcW w:w="1999" w:type="dxa"/>
          </w:tcPr>
          <w:p w14:paraId="15C5DFA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6320FA7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03362D1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506D384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696" w:type="dxa"/>
          </w:tcPr>
          <w:p w14:paraId="0914E2F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0154398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7CAEF5" w14:textId="77777777" w:rsidTr="00B45BB5">
        <w:trPr>
          <w:jc w:val="center"/>
        </w:trPr>
        <w:tc>
          <w:tcPr>
            <w:tcW w:w="598" w:type="dxa"/>
            <w:vAlign w:val="center"/>
          </w:tcPr>
          <w:p w14:paraId="0082B84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32</w:t>
            </w:r>
          </w:p>
        </w:tc>
        <w:tc>
          <w:tcPr>
            <w:tcW w:w="2898" w:type="dxa"/>
            <w:vAlign w:val="center"/>
          </w:tcPr>
          <w:p w14:paraId="31E4DF64"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5.教育部體育署組織法第三條條文修正草案(修正重點：署長得列政務職務，比照簡任第十三職等。)</w:t>
            </w:r>
          </w:p>
        </w:tc>
        <w:tc>
          <w:tcPr>
            <w:tcW w:w="1999" w:type="dxa"/>
          </w:tcPr>
          <w:p w14:paraId="345ABBC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委員黃國書</w:t>
            </w:r>
          </w:p>
          <w:p w14:paraId="17E1E68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5056B0B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28C5981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696" w:type="dxa"/>
          </w:tcPr>
          <w:p w14:paraId="3F67CA9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0BD4242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0F75B4" w14:textId="77777777" w:rsidTr="00B45BB5">
        <w:trPr>
          <w:jc w:val="center"/>
        </w:trPr>
        <w:tc>
          <w:tcPr>
            <w:tcW w:w="598" w:type="dxa"/>
            <w:vAlign w:val="center"/>
          </w:tcPr>
          <w:p w14:paraId="1E50DA54"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33</w:t>
            </w:r>
          </w:p>
        </w:tc>
        <w:tc>
          <w:tcPr>
            <w:tcW w:w="2898" w:type="dxa"/>
            <w:vAlign w:val="center"/>
          </w:tcPr>
          <w:p w14:paraId="1ED47C8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6.教育部體育署組織法第三條條文修正草案(修正重點：署長資格得以政務職聘任，並放寬副署長其中一人，必要時得比照教授之資格聘任。)</w:t>
            </w:r>
          </w:p>
        </w:tc>
        <w:tc>
          <w:tcPr>
            <w:tcW w:w="1999" w:type="dxa"/>
          </w:tcPr>
          <w:p w14:paraId="58B9B00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委員林宜瑾</w:t>
            </w:r>
          </w:p>
          <w:p w14:paraId="66A3528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2A248F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110.12.10 </w:t>
            </w:r>
          </w:p>
          <w:p w14:paraId="46D69EA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（10-4-13）</w:t>
            </w:r>
          </w:p>
        </w:tc>
        <w:tc>
          <w:tcPr>
            <w:tcW w:w="1696" w:type="dxa"/>
          </w:tcPr>
          <w:p w14:paraId="32911B8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03D8C52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2896D45" w14:textId="77777777" w:rsidTr="00B45BB5">
        <w:trPr>
          <w:jc w:val="center"/>
        </w:trPr>
        <w:tc>
          <w:tcPr>
            <w:tcW w:w="598" w:type="dxa"/>
            <w:vAlign w:val="center"/>
          </w:tcPr>
          <w:p w14:paraId="222357C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34</w:t>
            </w:r>
          </w:p>
        </w:tc>
        <w:tc>
          <w:tcPr>
            <w:tcW w:w="2898" w:type="dxa"/>
            <w:vAlign w:val="center"/>
          </w:tcPr>
          <w:p w14:paraId="40EA4707"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7.教育部體育署組織法第三條條文修正草案(修正重點：修正讓署長聘用除常任文官、具大學校長資格外，增加大學教授亦可符合聘用資格。)</w:t>
            </w:r>
          </w:p>
        </w:tc>
        <w:tc>
          <w:tcPr>
            <w:tcW w:w="1999" w:type="dxa"/>
          </w:tcPr>
          <w:p w14:paraId="76B3AF0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委員林奕華</w:t>
            </w:r>
          </w:p>
          <w:p w14:paraId="664FB24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A775A4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6FCF6C1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696" w:type="dxa"/>
          </w:tcPr>
          <w:p w14:paraId="0372E32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69815AE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F52709D" w14:textId="77777777" w:rsidTr="00B45BB5">
        <w:trPr>
          <w:jc w:val="center"/>
        </w:trPr>
        <w:tc>
          <w:tcPr>
            <w:tcW w:w="598" w:type="dxa"/>
            <w:vAlign w:val="center"/>
          </w:tcPr>
          <w:p w14:paraId="0D31B4A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35</w:t>
            </w:r>
          </w:p>
        </w:tc>
        <w:tc>
          <w:tcPr>
            <w:tcW w:w="2898" w:type="dxa"/>
            <w:vAlign w:val="center"/>
          </w:tcPr>
          <w:p w14:paraId="46EB3FA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8.教育部體育署組織法第三條條文修正草案(修正重點：署長一人職務比照簡任第十三職等或列簡任第十三職等至第十四職等，其首長得以政務任命。)</w:t>
            </w:r>
          </w:p>
        </w:tc>
        <w:tc>
          <w:tcPr>
            <w:tcW w:w="1999" w:type="dxa"/>
          </w:tcPr>
          <w:p w14:paraId="49F6E31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1F72738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4C7905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76F8075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696" w:type="dxa"/>
          </w:tcPr>
          <w:p w14:paraId="243F140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2F07F5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13A4EB" w14:textId="77777777" w:rsidTr="00B45BB5">
        <w:trPr>
          <w:jc w:val="center"/>
        </w:trPr>
        <w:tc>
          <w:tcPr>
            <w:tcW w:w="598" w:type="dxa"/>
            <w:vAlign w:val="center"/>
          </w:tcPr>
          <w:p w14:paraId="18B73DD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36</w:t>
            </w:r>
          </w:p>
        </w:tc>
        <w:tc>
          <w:tcPr>
            <w:tcW w:w="2898" w:type="dxa"/>
            <w:vAlign w:val="center"/>
          </w:tcPr>
          <w:p w14:paraId="48CBE587"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教育部體育署組織法第二條條文修正草案(修正重點：鑑於教育部擬新設國家運動科學中心此一行政法人，卻未比照性質類似之國家運動訓練中心於體育署組織法中明定輔導及監督權責，恐生法律上之疑義，爰提案修正。)</w:t>
            </w:r>
          </w:p>
        </w:tc>
        <w:tc>
          <w:tcPr>
            <w:tcW w:w="1999" w:type="dxa"/>
          </w:tcPr>
          <w:p w14:paraId="51313B0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68B1F38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0DD84B2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3DC8BB9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696" w:type="dxa"/>
          </w:tcPr>
          <w:p w14:paraId="58D24DB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16FBB9C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78BA74" w14:textId="77777777" w:rsidTr="00B45BB5">
        <w:trPr>
          <w:jc w:val="center"/>
        </w:trPr>
        <w:tc>
          <w:tcPr>
            <w:tcW w:w="598" w:type="dxa"/>
            <w:vAlign w:val="center"/>
          </w:tcPr>
          <w:p w14:paraId="56AAB518"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37</w:t>
            </w:r>
          </w:p>
        </w:tc>
        <w:tc>
          <w:tcPr>
            <w:tcW w:w="2898" w:type="dxa"/>
            <w:vAlign w:val="center"/>
          </w:tcPr>
          <w:p w14:paraId="6DF23ED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國立故宮博物院組織法第一條條文修正草案(修正</w:t>
            </w:r>
            <w:r w:rsidRPr="00026143">
              <w:rPr>
                <w:rFonts w:ascii="標楷體" w:eastAsia="標楷體" w:hAnsi="標楷體"/>
                <w:color w:val="000000" w:themeColor="text1"/>
              </w:rPr>
              <w:lastRenderedPageBreak/>
              <w:t>重點：故宮北部院區與南部院區從創設至規劃，即具不同特色，應針對其特性明定名稱與定位，以賦予其不同任務及功能。)</w:t>
            </w:r>
          </w:p>
        </w:tc>
        <w:tc>
          <w:tcPr>
            <w:tcW w:w="1999" w:type="dxa"/>
          </w:tcPr>
          <w:p w14:paraId="0162D31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委員廖婉汝</w:t>
            </w:r>
          </w:p>
          <w:p w14:paraId="474910B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591323E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110.12.03 </w:t>
            </w:r>
          </w:p>
          <w:p w14:paraId="4E546D8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（10-4-12）</w:t>
            </w:r>
          </w:p>
        </w:tc>
        <w:tc>
          <w:tcPr>
            <w:tcW w:w="1696" w:type="dxa"/>
          </w:tcPr>
          <w:p w14:paraId="17FA47A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司法及法制、教育及文化</w:t>
            </w:r>
          </w:p>
        </w:tc>
        <w:tc>
          <w:tcPr>
            <w:tcW w:w="1526" w:type="dxa"/>
          </w:tcPr>
          <w:p w14:paraId="779CB92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5B63C0F" w14:textId="77777777" w:rsidTr="00B45BB5">
        <w:trPr>
          <w:jc w:val="center"/>
        </w:trPr>
        <w:tc>
          <w:tcPr>
            <w:tcW w:w="598" w:type="dxa"/>
            <w:vAlign w:val="center"/>
          </w:tcPr>
          <w:p w14:paraId="7C95DC83"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38</w:t>
            </w:r>
          </w:p>
        </w:tc>
        <w:tc>
          <w:tcPr>
            <w:tcW w:w="2898" w:type="dxa"/>
            <w:vAlign w:val="center"/>
          </w:tcPr>
          <w:p w14:paraId="1C398EC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1.廢止「國立中正紀念堂管理處組織法」(廢止重點：鑑於促進轉型正義及落實自由民主憲政秩序應清除威權象徵，爰提案廢止。)</w:t>
            </w:r>
          </w:p>
        </w:tc>
        <w:tc>
          <w:tcPr>
            <w:tcW w:w="1999" w:type="dxa"/>
          </w:tcPr>
          <w:p w14:paraId="6726D4B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委員蔡易餘</w:t>
            </w:r>
          </w:p>
          <w:p w14:paraId="57BC20D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744AB3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110.12.24 </w:t>
            </w:r>
          </w:p>
          <w:p w14:paraId="5068AE3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（10-4-15）</w:t>
            </w:r>
          </w:p>
        </w:tc>
        <w:tc>
          <w:tcPr>
            <w:tcW w:w="1696" w:type="dxa"/>
          </w:tcPr>
          <w:p w14:paraId="5AF0B3B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F2B931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6378831" w14:textId="77777777" w:rsidTr="00B45BB5">
        <w:trPr>
          <w:jc w:val="center"/>
        </w:trPr>
        <w:tc>
          <w:tcPr>
            <w:tcW w:w="598" w:type="dxa"/>
            <w:vAlign w:val="center"/>
          </w:tcPr>
          <w:p w14:paraId="5B2AE476"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39</w:t>
            </w:r>
          </w:p>
        </w:tc>
        <w:tc>
          <w:tcPr>
            <w:tcW w:w="2898" w:type="dxa"/>
            <w:vAlign w:val="center"/>
          </w:tcPr>
          <w:p w14:paraId="178B7AF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2.廢止「國立中正紀念堂管理處組織法」(廢止重點：鑑於中正紀念堂屬於紀念威權政權統治之象徵，爰提案廢止。)</w:t>
            </w:r>
          </w:p>
        </w:tc>
        <w:tc>
          <w:tcPr>
            <w:tcW w:w="1999" w:type="dxa"/>
          </w:tcPr>
          <w:p w14:paraId="5CF9A92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委員蘇治芬</w:t>
            </w:r>
          </w:p>
          <w:p w14:paraId="70DC13D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45F1050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4A5BB28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696" w:type="dxa"/>
          </w:tcPr>
          <w:p w14:paraId="3ADD4AC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68A645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6CF5BAB" w14:textId="77777777" w:rsidTr="00B45BB5">
        <w:trPr>
          <w:jc w:val="center"/>
        </w:trPr>
        <w:tc>
          <w:tcPr>
            <w:tcW w:w="598" w:type="dxa"/>
            <w:vAlign w:val="center"/>
          </w:tcPr>
          <w:p w14:paraId="6B707094"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40</w:t>
            </w:r>
          </w:p>
        </w:tc>
        <w:tc>
          <w:tcPr>
            <w:tcW w:w="2898" w:type="dxa"/>
            <w:vAlign w:val="center"/>
          </w:tcPr>
          <w:p w14:paraId="539BC11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3.廢止「國立中正紀念堂管理處組織法」(廢止重點：中正紀念堂係我國威權時代的產物，目的在於紀念威權強人，已與今日自由民主價值相違，爰提案廢止。)</w:t>
            </w:r>
          </w:p>
        </w:tc>
        <w:tc>
          <w:tcPr>
            <w:tcW w:w="1999" w:type="dxa"/>
          </w:tcPr>
          <w:p w14:paraId="194C96B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2A3E6C6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7D2872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2298098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696" w:type="dxa"/>
          </w:tcPr>
          <w:p w14:paraId="3DB1A35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62D4BFC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49CE7E6" w14:textId="77777777" w:rsidTr="00B45BB5">
        <w:trPr>
          <w:jc w:val="center"/>
        </w:trPr>
        <w:tc>
          <w:tcPr>
            <w:tcW w:w="598" w:type="dxa"/>
            <w:vAlign w:val="center"/>
          </w:tcPr>
          <w:p w14:paraId="2BFC5F14"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41</w:t>
            </w:r>
          </w:p>
        </w:tc>
        <w:tc>
          <w:tcPr>
            <w:tcW w:w="2898" w:type="dxa"/>
            <w:vAlign w:val="center"/>
          </w:tcPr>
          <w:p w14:paraId="0BD83F5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4.廢止「國立中正紀念堂管理處組織法」(廢止重點：「中正紀念堂」屬於紀念威權政權統治象徵，且對個別總統進行崇拜紀念，爰提案廢止。)</w:t>
            </w:r>
          </w:p>
        </w:tc>
        <w:tc>
          <w:tcPr>
            <w:tcW w:w="1999" w:type="dxa"/>
          </w:tcPr>
          <w:p w14:paraId="02027B2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343AF70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524D24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00A3670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696" w:type="dxa"/>
          </w:tcPr>
          <w:p w14:paraId="17B52A3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1C21B80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726C534" w14:textId="77777777" w:rsidTr="00B45BB5">
        <w:trPr>
          <w:jc w:val="center"/>
        </w:trPr>
        <w:tc>
          <w:tcPr>
            <w:tcW w:w="598" w:type="dxa"/>
            <w:vAlign w:val="center"/>
          </w:tcPr>
          <w:p w14:paraId="2279497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42</w:t>
            </w:r>
          </w:p>
        </w:tc>
        <w:tc>
          <w:tcPr>
            <w:tcW w:w="2898" w:type="dxa"/>
            <w:vAlign w:val="center"/>
          </w:tcPr>
          <w:p w14:paraId="220459C3"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國家太空中心設置條例草案(共五章33條。制定重點：為整合產、官、學、研資源，有效管理我國太空活動，故將太空中心之定位轉為專責行政法人。)</w:t>
            </w:r>
          </w:p>
        </w:tc>
        <w:tc>
          <w:tcPr>
            <w:tcW w:w="1999" w:type="dxa"/>
          </w:tcPr>
          <w:p w14:paraId="1BF4472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055AC80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6B7E5F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57FD39F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696" w:type="dxa"/>
          </w:tcPr>
          <w:p w14:paraId="28A6D79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3AA4BB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CE5BB9" w14:textId="77777777" w:rsidTr="00B45BB5">
        <w:trPr>
          <w:jc w:val="center"/>
        </w:trPr>
        <w:tc>
          <w:tcPr>
            <w:tcW w:w="598" w:type="dxa"/>
            <w:vAlign w:val="center"/>
          </w:tcPr>
          <w:p w14:paraId="0568380E"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43</w:t>
            </w:r>
          </w:p>
        </w:tc>
        <w:tc>
          <w:tcPr>
            <w:tcW w:w="2898" w:type="dxa"/>
          </w:tcPr>
          <w:p w14:paraId="0A3B349A"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廢止「行政院新聞局組織條例」(廢止重點：因應組織調整廢止。)</w:t>
            </w:r>
          </w:p>
        </w:tc>
        <w:tc>
          <w:tcPr>
            <w:tcW w:w="1999" w:type="dxa"/>
          </w:tcPr>
          <w:p w14:paraId="1C5D9E5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委員賴惠員</w:t>
            </w:r>
          </w:p>
          <w:p w14:paraId="4E8F168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2607DC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2AC7213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696" w:type="dxa"/>
          </w:tcPr>
          <w:p w14:paraId="34527C4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B773B5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p w14:paraId="082D2AC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該條例業經院會(10-5-10)通過廢止。</w:t>
            </w:r>
          </w:p>
        </w:tc>
      </w:tr>
      <w:tr w:rsidR="00EC13B7" w:rsidRPr="00026143" w14:paraId="22DB36DA" w14:textId="77777777" w:rsidTr="00B45BB5">
        <w:trPr>
          <w:jc w:val="center"/>
        </w:trPr>
        <w:tc>
          <w:tcPr>
            <w:tcW w:w="598" w:type="dxa"/>
            <w:vAlign w:val="center"/>
          </w:tcPr>
          <w:p w14:paraId="52A19CBA"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44</w:t>
            </w:r>
          </w:p>
        </w:tc>
        <w:tc>
          <w:tcPr>
            <w:tcW w:w="2898" w:type="dxa"/>
            <w:vAlign w:val="center"/>
          </w:tcPr>
          <w:p w14:paraId="1D066137"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1.「核能安全委員會組織法草案」及「國家原子能科技研究院設置條例草案」(【1】核能安全委員會組織法共12條。制定重點：配合行政院組織調整，</w:t>
            </w:r>
            <w:r w:rsidRPr="00026143">
              <w:rPr>
                <w:rFonts w:ascii="標楷體" w:eastAsia="標楷體" w:hAnsi="標楷體"/>
                <w:color w:val="000000" w:themeColor="text1"/>
              </w:rPr>
              <w:lastRenderedPageBreak/>
              <w:t>為確保我國核能、輻射及放射性物料安全，行政院設立相當中央三級獨立機關之核能安全委員會。【2】國家原子能科技研究院設置條例共六章41條。制定重點：行政院原子能委員會核能研究所規劃轉型為行政法人型態之「國家原子能科技研究院」。)</w:t>
            </w:r>
          </w:p>
        </w:tc>
        <w:tc>
          <w:tcPr>
            <w:tcW w:w="1999" w:type="dxa"/>
          </w:tcPr>
          <w:p w14:paraId="18CC461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行政院 </w:t>
            </w:r>
          </w:p>
          <w:p w14:paraId="6FA8876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2F60B34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696" w:type="dxa"/>
          </w:tcPr>
          <w:p w14:paraId="2BCB3BC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EC0507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B39382C" w14:textId="77777777" w:rsidTr="00B45BB5">
        <w:trPr>
          <w:jc w:val="center"/>
        </w:trPr>
        <w:tc>
          <w:tcPr>
            <w:tcW w:w="598" w:type="dxa"/>
            <w:vAlign w:val="center"/>
          </w:tcPr>
          <w:p w14:paraId="4ED41253"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45</w:t>
            </w:r>
          </w:p>
        </w:tc>
        <w:tc>
          <w:tcPr>
            <w:tcW w:w="2898" w:type="dxa"/>
            <w:vAlign w:val="center"/>
          </w:tcPr>
          <w:p w14:paraId="38CFDEC8"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2.核能安全委員會組織法草案（共12條。制定重點：為確保我國核能安全，以及「如期廢核」、「核廢處理」兩大施政主軸之執行，應設立相當中央三級獨立機關之核能安全委員會。）</w:t>
            </w:r>
          </w:p>
        </w:tc>
        <w:tc>
          <w:tcPr>
            <w:tcW w:w="1999" w:type="dxa"/>
          </w:tcPr>
          <w:p w14:paraId="19A2765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委員林宜瑾</w:t>
            </w:r>
          </w:p>
          <w:p w14:paraId="08A2159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4D21ECC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2984B83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696" w:type="dxa"/>
          </w:tcPr>
          <w:p w14:paraId="639B61A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AFF324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093B9CE" w14:textId="77777777" w:rsidTr="00B45BB5">
        <w:trPr>
          <w:jc w:val="center"/>
        </w:trPr>
        <w:tc>
          <w:tcPr>
            <w:tcW w:w="598" w:type="dxa"/>
            <w:vAlign w:val="center"/>
          </w:tcPr>
          <w:p w14:paraId="2D2CAA0E"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46</w:t>
            </w:r>
          </w:p>
        </w:tc>
        <w:tc>
          <w:tcPr>
            <w:tcW w:w="2898" w:type="dxa"/>
            <w:vAlign w:val="center"/>
          </w:tcPr>
          <w:p w14:paraId="2584AC29"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w:t>
            </w:r>
            <w:r w:rsidRPr="00026143">
              <w:rPr>
                <w:rFonts w:ascii="標楷體" w:eastAsia="標楷體" w:hAnsi="標楷體"/>
                <w:color w:val="000000" w:themeColor="text1"/>
              </w:rPr>
              <w:t>.核能安全委員會組織法草案(共12條。制定重點：為確保我國核能、輻射及放射性物料安全之管制與應用，特設本會，為相當中央三級獨立機關。）</w:t>
            </w:r>
          </w:p>
        </w:tc>
        <w:tc>
          <w:tcPr>
            <w:tcW w:w="1999" w:type="dxa"/>
          </w:tcPr>
          <w:p w14:paraId="6DCD68E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委員黃國書</w:t>
            </w:r>
          </w:p>
          <w:p w14:paraId="7C3E2EB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等17人</w:t>
            </w:r>
          </w:p>
          <w:p w14:paraId="7894448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6B14F11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696" w:type="dxa"/>
          </w:tcPr>
          <w:p w14:paraId="1D71CC4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31B7BB2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C2EB3C" w14:textId="77777777" w:rsidTr="00B45BB5">
        <w:trPr>
          <w:jc w:val="center"/>
        </w:trPr>
        <w:tc>
          <w:tcPr>
            <w:tcW w:w="598" w:type="dxa"/>
            <w:vAlign w:val="center"/>
          </w:tcPr>
          <w:p w14:paraId="6E4C109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47</w:t>
            </w:r>
          </w:p>
        </w:tc>
        <w:tc>
          <w:tcPr>
            <w:tcW w:w="2898" w:type="dxa"/>
            <w:vAlign w:val="center"/>
          </w:tcPr>
          <w:p w14:paraId="77255B53"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4.核能安全委員會組織法草案(共13條。制定重點：為確保我國核能、輻射與放射性物料安全之管制及應用，特設本會，為相當中央三級獨立機關。)</w:t>
            </w:r>
          </w:p>
        </w:tc>
        <w:tc>
          <w:tcPr>
            <w:tcW w:w="1999" w:type="dxa"/>
          </w:tcPr>
          <w:p w14:paraId="6F2D83B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4022504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7F6F97E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111.11.11 </w:t>
            </w:r>
          </w:p>
          <w:p w14:paraId="772445E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（10-6-7）</w:t>
            </w:r>
          </w:p>
        </w:tc>
        <w:tc>
          <w:tcPr>
            <w:tcW w:w="1696" w:type="dxa"/>
          </w:tcPr>
          <w:p w14:paraId="459A6A7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4FF4007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ADBC217" w14:textId="77777777" w:rsidTr="00B45BB5">
        <w:trPr>
          <w:jc w:val="center"/>
        </w:trPr>
        <w:tc>
          <w:tcPr>
            <w:tcW w:w="598" w:type="dxa"/>
            <w:vAlign w:val="center"/>
          </w:tcPr>
          <w:p w14:paraId="76C74F5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48</w:t>
            </w:r>
          </w:p>
        </w:tc>
        <w:tc>
          <w:tcPr>
            <w:tcW w:w="2898" w:type="dxa"/>
            <w:vAlign w:val="center"/>
          </w:tcPr>
          <w:p w14:paraId="573C723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5.核能安全委員會組織法草案(共13條。制定重點：為確保我國核能、輻射及放射性物料安全，特設本會，為相當中央三級獨立機關。)</w:t>
            </w:r>
          </w:p>
        </w:tc>
        <w:tc>
          <w:tcPr>
            <w:tcW w:w="1999" w:type="dxa"/>
          </w:tcPr>
          <w:p w14:paraId="44F649C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377907B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9291E8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79857D0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696" w:type="dxa"/>
          </w:tcPr>
          <w:p w14:paraId="111A812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40D8DE7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B3EB631" w14:textId="77777777" w:rsidTr="00B45BB5">
        <w:trPr>
          <w:jc w:val="center"/>
        </w:trPr>
        <w:tc>
          <w:tcPr>
            <w:tcW w:w="598" w:type="dxa"/>
            <w:vAlign w:val="center"/>
          </w:tcPr>
          <w:p w14:paraId="3BB1C90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49</w:t>
            </w:r>
          </w:p>
        </w:tc>
        <w:tc>
          <w:tcPr>
            <w:tcW w:w="2898" w:type="dxa"/>
            <w:vAlign w:val="center"/>
          </w:tcPr>
          <w:p w14:paraId="2E7A78EC"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6.核能安全委員會組織法草案(共13條。制定重點：為確保我國核能、輻射及放射性物料安全，特設本會，為相當中央三級獨立機關。)</w:t>
            </w:r>
          </w:p>
        </w:tc>
        <w:tc>
          <w:tcPr>
            <w:tcW w:w="1999" w:type="dxa"/>
          </w:tcPr>
          <w:p w14:paraId="2B7DCBF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1407124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E55338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55A717B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696" w:type="dxa"/>
          </w:tcPr>
          <w:p w14:paraId="0646890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5B02889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A7035A" w14:textId="77777777" w:rsidTr="00B45BB5">
        <w:trPr>
          <w:jc w:val="center"/>
        </w:trPr>
        <w:tc>
          <w:tcPr>
            <w:tcW w:w="598" w:type="dxa"/>
            <w:vAlign w:val="center"/>
          </w:tcPr>
          <w:p w14:paraId="7FE0252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50</w:t>
            </w:r>
          </w:p>
        </w:tc>
        <w:tc>
          <w:tcPr>
            <w:tcW w:w="2898" w:type="dxa"/>
            <w:vAlign w:val="center"/>
          </w:tcPr>
          <w:p w14:paraId="54FE4194"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.國家原子能科技研究院設置條例草案（共六章41條。制定重點：為推動我國核能安全、原子能及其</w:t>
            </w:r>
            <w:r w:rsidRPr="00026143">
              <w:rPr>
                <w:rFonts w:ascii="標楷體" w:eastAsia="標楷體" w:hAnsi="標楷體"/>
                <w:color w:val="000000" w:themeColor="text1"/>
              </w:rPr>
              <w:lastRenderedPageBreak/>
              <w:t>衍生科技發展，拓展環境永續科學技術應用之需要，參酌他國經驗，規劃使行政院原子能委員會核能研究所轉型為行政法人型態之「國家原子能科技研究院」。）</w:t>
            </w:r>
          </w:p>
        </w:tc>
        <w:tc>
          <w:tcPr>
            <w:tcW w:w="1999" w:type="dxa"/>
          </w:tcPr>
          <w:p w14:paraId="3926A0B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委員林宜瑾</w:t>
            </w:r>
          </w:p>
          <w:p w14:paraId="19F026B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2D09B74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68C8401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696" w:type="dxa"/>
          </w:tcPr>
          <w:p w14:paraId="654F4F0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2E98955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72379AF" w14:textId="77777777" w:rsidTr="00B45BB5">
        <w:trPr>
          <w:jc w:val="center"/>
        </w:trPr>
        <w:tc>
          <w:tcPr>
            <w:tcW w:w="598" w:type="dxa"/>
            <w:vAlign w:val="center"/>
          </w:tcPr>
          <w:p w14:paraId="5838631E"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51</w:t>
            </w:r>
          </w:p>
        </w:tc>
        <w:tc>
          <w:tcPr>
            <w:tcW w:w="2898" w:type="dxa"/>
            <w:vAlign w:val="center"/>
          </w:tcPr>
          <w:p w14:paraId="063F646C"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3.國家原子能科技研究院設置條例草案(共六章41條。制定重點：為促進核能安全、輻射防護、原子能和平用途之科技發展，特設本院。）</w:t>
            </w:r>
          </w:p>
        </w:tc>
        <w:tc>
          <w:tcPr>
            <w:tcW w:w="1999" w:type="dxa"/>
          </w:tcPr>
          <w:p w14:paraId="48FC33A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0E55DB1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EC2EA4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111.11.11 </w:t>
            </w:r>
          </w:p>
          <w:p w14:paraId="66A1A4D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（10-6-7）</w:t>
            </w:r>
          </w:p>
        </w:tc>
        <w:tc>
          <w:tcPr>
            <w:tcW w:w="1696" w:type="dxa"/>
          </w:tcPr>
          <w:p w14:paraId="623DB52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745B8C5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85B8DBC" w14:textId="77777777" w:rsidTr="00B45BB5">
        <w:trPr>
          <w:jc w:val="center"/>
        </w:trPr>
        <w:tc>
          <w:tcPr>
            <w:tcW w:w="598" w:type="dxa"/>
            <w:vAlign w:val="center"/>
          </w:tcPr>
          <w:p w14:paraId="2700227D"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52</w:t>
            </w:r>
          </w:p>
        </w:tc>
        <w:tc>
          <w:tcPr>
            <w:tcW w:w="2898" w:type="dxa"/>
            <w:vAlign w:val="center"/>
          </w:tcPr>
          <w:p w14:paraId="4B37EF40"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4.國家原子能科技研究院設置條例草案(共六章41條。制定重點：為促進核能安全、輻射防護、原子能和平用途之科技發展，特設本院。）</w:t>
            </w:r>
          </w:p>
        </w:tc>
        <w:tc>
          <w:tcPr>
            <w:tcW w:w="1999" w:type="dxa"/>
          </w:tcPr>
          <w:p w14:paraId="3BE23BE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7121A61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2EEE7D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124161F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696" w:type="dxa"/>
          </w:tcPr>
          <w:p w14:paraId="7157734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42ED657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A435F49" w14:textId="77777777" w:rsidTr="00B45BB5">
        <w:trPr>
          <w:jc w:val="center"/>
        </w:trPr>
        <w:tc>
          <w:tcPr>
            <w:tcW w:w="598" w:type="dxa"/>
            <w:vAlign w:val="center"/>
          </w:tcPr>
          <w:p w14:paraId="5B591B8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53</w:t>
            </w:r>
          </w:p>
        </w:tc>
        <w:tc>
          <w:tcPr>
            <w:tcW w:w="2898" w:type="dxa"/>
            <w:vAlign w:val="center"/>
          </w:tcPr>
          <w:p w14:paraId="048290D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5.國家原子能科技研究院設置條例草案(共六章41條。制定重點：為促進核能安全、輻射防護、原子能和平用途之科技發展，特設本院。）</w:t>
            </w:r>
          </w:p>
        </w:tc>
        <w:tc>
          <w:tcPr>
            <w:tcW w:w="1999" w:type="dxa"/>
          </w:tcPr>
          <w:p w14:paraId="1FFA7C4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677EFEF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E08530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7064F7D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696" w:type="dxa"/>
          </w:tcPr>
          <w:p w14:paraId="6C85194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49284DF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F3C1125" w14:textId="77777777" w:rsidTr="00B45BB5">
        <w:trPr>
          <w:jc w:val="center"/>
        </w:trPr>
        <w:tc>
          <w:tcPr>
            <w:tcW w:w="598" w:type="dxa"/>
            <w:vAlign w:val="center"/>
          </w:tcPr>
          <w:p w14:paraId="75AB3E98"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54</w:t>
            </w:r>
          </w:p>
        </w:tc>
        <w:tc>
          <w:tcPr>
            <w:tcW w:w="2898" w:type="dxa"/>
            <w:vAlign w:val="center"/>
          </w:tcPr>
          <w:p w14:paraId="458D4D9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立臺灣音樂中心組織法草案（共6條。制定重點：為使臺灣音樂能有專責機構進行典藏、研究、推廣、展演、人才培育等核心業務，整合國立臺灣交響樂團與國立傳統藝術中心兩組織，成立三級機構「國立臺灣音樂中心」。）</w:t>
            </w:r>
          </w:p>
        </w:tc>
        <w:tc>
          <w:tcPr>
            <w:tcW w:w="1999" w:type="dxa"/>
          </w:tcPr>
          <w:p w14:paraId="58E5B9B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委員張廖萬堅</w:t>
            </w:r>
          </w:p>
          <w:p w14:paraId="0012C65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6B4F290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56E4F6D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696" w:type="dxa"/>
          </w:tcPr>
          <w:p w14:paraId="28DD5CF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526" w:type="dxa"/>
          </w:tcPr>
          <w:p w14:paraId="4F44033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3E6AB32D"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bookmarkStart w:id="328" w:name="_Toc361217333"/>
      <w:bookmarkStart w:id="329" w:name="_Toc362968393"/>
      <w:bookmarkStart w:id="330" w:name="_Toc428286965"/>
      <w:bookmarkStart w:id="331" w:name="_Toc510167685"/>
      <w:bookmarkStart w:id="332" w:name="_Toc1401068"/>
      <w:r w:rsidRPr="00026143">
        <w:rPr>
          <w:color w:val="000000" w:themeColor="text1"/>
        </w:rPr>
        <w:t>7.本會、交通委員會聯席審查</w:t>
      </w:r>
      <w:r w:rsidRPr="00026143">
        <w:rPr>
          <w:rFonts w:hint="eastAsia"/>
          <w:color w:val="000000" w:themeColor="text1"/>
        </w:rPr>
        <w:t>34</w:t>
      </w:r>
      <w:r w:rsidRPr="00026143">
        <w:rPr>
          <w:color w:val="000000" w:themeColor="text1"/>
        </w:rPr>
        <w:t>案</w:t>
      </w:r>
      <w:bookmarkEnd w:id="328"/>
      <w:bookmarkEnd w:id="329"/>
      <w:bookmarkEnd w:id="330"/>
      <w:bookmarkEnd w:id="331"/>
      <w:bookmarkEnd w:id="332"/>
    </w:p>
    <w:tbl>
      <w:tblPr>
        <w:tblW w:w="860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98"/>
        <w:gridCol w:w="2926"/>
        <w:gridCol w:w="1971"/>
        <w:gridCol w:w="1738"/>
        <w:gridCol w:w="1372"/>
      </w:tblGrid>
      <w:tr w:rsidR="00EC13B7" w:rsidRPr="00026143" w14:paraId="0AF2EECD" w14:textId="77777777" w:rsidTr="007932B9">
        <w:tc>
          <w:tcPr>
            <w:tcW w:w="598" w:type="dxa"/>
            <w:shd w:val="clear" w:color="auto" w:fill="auto"/>
          </w:tcPr>
          <w:p w14:paraId="1E688D3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926" w:type="dxa"/>
            <w:shd w:val="clear" w:color="auto" w:fill="auto"/>
          </w:tcPr>
          <w:p w14:paraId="2BFDE526"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71" w:type="dxa"/>
            <w:shd w:val="clear" w:color="auto" w:fill="auto"/>
          </w:tcPr>
          <w:p w14:paraId="464CB3CD"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079AA6E1"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5300AC53"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738" w:type="dxa"/>
            <w:shd w:val="clear" w:color="auto" w:fill="auto"/>
          </w:tcPr>
          <w:p w14:paraId="5BDFDAE5"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372" w:type="dxa"/>
            <w:shd w:val="clear" w:color="auto" w:fill="auto"/>
          </w:tcPr>
          <w:p w14:paraId="35DD6EDD" w14:textId="77777777" w:rsidR="00EC13B7" w:rsidRPr="00026143" w:rsidRDefault="00EC13B7" w:rsidP="00720BB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54C551F8" w14:textId="77777777" w:rsidTr="00B45BB5">
        <w:tc>
          <w:tcPr>
            <w:tcW w:w="598" w:type="dxa"/>
            <w:shd w:val="clear" w:color="auto" w:fill="auto"/>
            <w:vAlign w:val="center"/>
          </w:tcPr>
          <w:p w14:paraId="24BFF223"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p>
        </w:tc>
        <w:tc>
          <w:tcPr>
            <w:tcW w:w="2926" w:type="dxa"/>
            <w:shd w:val="clear" w:color="auto" w:fill="auto"/>
          </w:tcPr>
          <w:p w14:paraId="72B8DD03"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1.「交通部組織法修正草案」、「交通部觀光署組織法草案」、「交通部中央氣象署組織法草案」、「交通部公路局組織法草案」、「</w:t>
            </w:r>
            <w:r w:rsidRPr="00026143">
              <w:rPr>
                <w:rFonts w:ascii="標楷體" w:eastAsia="標楷體" w:hAnsi="標楷體" w:hint="eastAsia"/>
                <w:color w:val="000000" w:themeColor="text1"/>
              </w:rPr>
              <w:lastRenderedPageBreak/>
              <w:t>交通部高速公路局組織法第五條及第七條條文修正草案」、「交通部鐵道局組織法第二條及第五條條文修正草案」、「交通部民用航空局組織法草案」、「交通部航港局組織法草案」及「交通部運輸研究所組織法草案」(修正及制定重點：配合行政院組織調整。)</w:t>
            </w:r>
          </w:p>
        </w:tc>
        <w:tc>
          <w:tcPr>
            <w:tcW w:w="1971" w:type="dxa"/>
            <w:shd w:val="clear" w:color="auto" w:fill="auto"/>
          </w:tcPr>
          <w:p w14:paraId="3903B40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行政院 </w:t>
            </w:r>
          </w:p>
          <w:p w14:paraId="5E1F293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6C7D22A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738" w:type="dxa"/>
            <w:shd w:val="clear" w:color="auto" w:fill="auto"/>
          </w:tcPr>
          <w:p w14:paraId="17A774A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0E32FA9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18DA55A" w14:textId="77777777" w:rsidTr="00B45BB5">
        <w:tc>
          <w:tcPr>
            <w:tcW w:w="598" w:type="dxa"/>
            <w:shd w:val="clear" w:color="auto" w:fill="auto"/>
            <w:vAlign w:val="center"/>
          </w:tcPr>
          <w:p w14:paraId="30E6776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2</w:t>
            </w:r>
          </w:p>
        </w:tc>
        <w:tc>
          <w:tcPr>
            <w:tcW w:w="2926" w:type="dxa"/>
            <w:shd w:val="clear" w:color="auto" w:fill="auto"/>
          </w:tcPr>
          <w:p w14:paraId="147E8761"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2.交通及建設部組織法草案（共7條。制定重點：配合交通部觀光署升格及交通部觀光署組織法草案之擬訂，爰提出本法，修正交通部職能及組織。）</w:t>
            </w:r>
          </w:p>
        </w:tc>
        <w:tc>
          <w:tcPr>
            <w:tcW w:w="1971" w:type="dxa"/>
            <w:shd w:val="clear" w:color="auto" w:fill="auto"/>
          </w:tcPr>
          <w:p w14:paraId="551C3E1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委員何欣純</w:t>
            </w:r>
          </w:p>
          <w:p w14:paraId="378819B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7B4F048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109.05.22 </w:t>
            </w:r>
          </w:p>
          <w:p w14:paraId="216E803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（10-1-14）</w:t>
            </w:r>
          </w:p>
        </w:tc>
        <w:tc>
          <w:tcPr>
            <w:tcW w:w="1738" w:type="dxa"/>
            <w:shd w:val="clear" w:color="auto" w:fill="auto"/>
          </w:tcPr>
          <w:p w14:paraId="2739CCD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6F75496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52CC57E" w14:textId="77777777" w:rsidTr="00B45BB5">
        <w:tc>
          <w:tcPr>
            <w:tcW w:w="598" w:type="dxa"/>
            <w:shd w:val="clear" w:color="auto" w:fill="auto"/>
            <w:vAlign w:val="center"/>
          </w:tcPr>
          <w:p w14:paraId="320D1256"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3</w:t>
            </w:r>
          </w:p>
        </w:tc>
        <w:tc>
          <w:tcPr>
            <w:tcW w:w="2926" w:type="dxa"/>
            <w:shd w:val="clear" w:color="auto" w:fill="auto"/>
          </w:tcPr>
          <w:p w14:paraId="3A854044"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3.交通部組織法第十五條及第十六條條文修正草案(修正重點：將氣象局改制為氣象署，將觀光局改制為觀光署。)</w:t>
            </w:r>
          </w:p>
        </w:tc>
        <w:tc>
          <w:tcPr>
            <w:tcW w:w="1971" w:type="dxa"/>
            <w:shd w:val="clear" w:color="auto" w:fill="auto"/>
          </w:tcPr>
          <w:p w14:paraId="24FF399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委員李昆澤</w:t>
            </w:r>
          </w:p>
          <w:p w14:paraId="6E50757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1FB872B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111.05.20 </w:t>
            </w:r>
          </w:p>
          <w:p w14:paraId="0215876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（10-5-13）</w:t>
            </w:r>
          </w:p>
        </w:tc>
        <w:tc>
          <w:tcPr>
            <w:tcW w:w="1738" w:type="dxa"/>
            <w:shd w:val="clear" w:color="auto" w:fill="auto"/>
          </w:tcPr>
          <w:p w14:paraId="0EF8921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7108AEF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E4BDE4F" w14:textId="77777777" w:rsidTr="00B45BB5">
        <w:tc>
          <w:tcPr>
            <w:tcW w:w="598" w:type="dxa"/>
            <w:shd w:val="clear" w:color="auto" w:fill="auto"/>
            <w:vAlign w:val="center"/>
          </w:tcPr>
          <w:p w14:paraId="51A1608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p>
        </w:tc>
        <w:tc>
          <w:tcPr>
            <w:tcW w:w="2926" w:type="dxa"/>
            <w:shd w:val="clear" w:color="auto" w:fill="auto"/>
          </w:tcPr>
          <w:p w14:paraId="3701926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4.交通部組織法修正草案(共7條。修正重點：明定交通部掌理事項及依職掌所設之次級機關觀光署、中央氣象署、公路局、高速公路局、鐵道局、民用航空局及航港局。)</w:t>
            </w:r>
          </w:p>
        </w:tc>
        <w:tc>
          <w:tcPr>
            <w:tcW w:w="1971" w:type="dxa"/>
            <w:shd w:val="clear" w:color="auto" w:fill="auto"/>
          </w:tcPr>
          <w:p w14:paraId="525983E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4F27227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2B631E3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148B8AD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38" w:type="dxa"/>
            <w:shd w:val="clear" w:color="auto" w:fill="auto"/>
          </w:tcPr>
          <w:p w14:paraId="4859FF9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3FAE56F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56D47CC" w14:textId="77777777" w:rsidTr="00B45BB5">
        <w:tc>
          <w:tcPr>
            <w:tcW w:w="598" w:type="dxa"/>
            <w:shd w:val="clear" w:color="auto" w:fill="auto"/>
            <w:vAlign w:val="center"/>
          </w:tcPr>
          <w:p w14:paraId="5F9C519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w:t>
            </w:r>
          </w:p>
        </w:tc>
        <w:tc>
          <w:tcPr>
            <w:tcW w:w="2926" w:type="dxa"/>
            <w:shd w:val="clear" w:color="auto" w:fill="auto"/>
          </w:tcPr>
          <w:p w14:paraId="0AF30658"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5.交通部組織法修正草案（修正§2~7；增訂§1；刪除原§2~4、8、9、12、13、18、18-1、22、22-1、23、23-1、24~26、26-1、27、28。修正重點：配合行政院組織調整，修正交通部職掌業務及次級機關。）</w:t>
            </w:r>
          </w:p>
        </w:tc>
        <w:tc>
          <w:tcPr>
            <w:tcW w:w="1971" w:type="dxa"/>
            <w:shd w:val="clear" w:color="auto" w:fill="auto"/>
          </w:tcPr>
          <w:p w14:paraId="49E80EEA" w14:textId="0B49A2D4"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台灣民眾黨黨團111.09.30 </w:t>
            </w:r>
          </w:p>
          <w:p w14:paraId="6690F50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38" w:type="dxa"/>
            <w:shd w:val="clear" w:color="auto" w:fill="auto"/>
          </w:tcPr>
          <w:p w14:paraId="62142AF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3AC0118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AC436A9" w14:textId="77777777" w:rsidTr="00B45BB5">
        <w:tc>
          <w:tcPr>
            <w:tcW w:w="598" w:type="dxa"/>
            <w:shd w:val="clear" w:color="auto" w:fill="auto"/>
            <w:vAlign w:val="center"/>
          </w:tcPr>
          <w:p w14:paraId="7C68628E"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6</w:t>
            </w:r>
          </w:p>
        </w:tc>
        <w:tc>
          <w:tcPr>
            <w:tcW w:w="2926" w:type="dxa"/>
            <w:shd w:val="clear" w:color="auto" w:fill="auto"/>
          </w:tcPr>
          <w:p w14:paraId="4B99CEC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2.交通部觀光署組織法草案（共8條。制定重點：交通部為辦理全國觀光發展業務，特設觀光署；得設各分署、各國家風景區管理處，並得報請行政院核准，派員駐境外辦事。）</w:t>
            </w:r>
          </w:p>
        </w:tc>
        <w:tc>
          <w:tcPr>
            <w:tcW w:w="1971" w:type="dxa"/>
            <w:shd w:val="clear" w:color="auto" w:fill="auto"/>
          </w:tcPr>
          <w:p w14:paraId="669DB4F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委員許智傑</w:t>
            </w:r>
          </w:p>
          <w:p w14:paraId="4B34C61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42A14AE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109.03.13 </w:t>
            </w:r>
          </w:p>
          <w:p w14:paraId="40C48B1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（10-1-4）</w:t>
            </w:r>
          </w:p>
        </w:tc>
        <w:tc>
          <w:tcPr>
            <w:tcW w:w="1738" w:type="dxa"/>
            <w:shd w:val="clear" w:color="auto" w:fill="auto"/>
          </w:tcPr>
          <w:p w14:paraId="4F18CA2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050FD0A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7611EE6" w14:textId="77777777" w:rsidTr="00B45BB5">
        <w:tc>
          <w:tcPr>
            <w:tcW w:w="598" w:type="dxa"/>
            <w:shd w:val="clear" w:color="auto" w:fill="auto"/>
            <w:vAlign w:val="center"/>
          </w:tcPr>
          <w:p w14:paraId="6471E0B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2926" w:type="dxa"/>
            <w:shd w:val="clear" w:color="auto" w:fill="auto"/>
          </w:tcPr>
          <w:p w14:paraId="7FC78959"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3.交通部觀光署組織法草案（共8條。制定重點：</w:t>
            </w:r>
            <w:r w:rsidRPr="00026143">
              <w:rPr>
                <w:rFonts w:ascii="標楷體" w:eastAsia="標楷體" w:hAnsi="標楷體" w:hint="eastAsia"/>
                <w:color w:val="000000" w:themeColor="text1"/>
              </w:rPr>
              <w:lastRenderedPageBreak/>
              <w:t>交通部為辦理全國觀光發展業務，特設觀光署；得設各分署、各國家風景區管理處，並得報請行政院核准，派員駐境外辦事。）</w:t>
            </w:r>
          </w:p>
        </w:tc>
        <w:tc>
          <w:tcPr>
            <w:tcW w:w="1971" w:type="dxa"/>
            <w:shd w:val="clear" w:color="auto" w:fill="auto"/>
          </w:tcPr>
          <w:p w14:paraId="24ED219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委員何欣純</w:t>
            </w:r>
          </w:p>
          <w:p w14:paraId="382EFDF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7DD1D19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109.03.20 </w:t>
            </w:r>
          </w:p>
          <w:p w14:paraId="75622DB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（10-1-5）</w:t>
            </w:r>
          </w:p>
        </w:tc>
        <w:tc>
          <w:tcPr>
            <w:tcW w:w="1738" w:type="dxa"/>
            <w:shd w:val="clear" w:color="auto" w:fill="auto"/>
          </w:tcPr>
          <w:p w14:paraId="52800D8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司法及法制、交通</w:t>
            </w:r>
          </w:p>
        </w:tc>
        <w:tc>
          <w:tcPr>
            <w:tcW w:w="1372" w:type="dxa"/>
            <w:shd w:val="clear" w:color="auto" w:fill="auto"/>
          </w:tcPr>
          <w:p w14:paraId="15931A3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F4FB4DA" w14:textId="77777777" w:rsidTr="00B45BB5">
        <w:tc>
          <w:tcPr>
            <w:tcW w:w="598" w:type="dxa"/>
            <w:shd w:val="clear" w:color="auto" w:fill="auto"/>
            <w:vAlign w:val="center"/>
          </w:tcPr>
          <w:p w14:paraId="73EB2782"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8</w:t>
            </w:r>
          </w:p>
        </w:tc>
        <w:tc>
          <w:tcPr>
            <w:tcW w:w="2926" w:type="dxa"/>
            <w:shd w:val="clear" w:color="auto" w:fill="auto"/>
          </w:tcPr>
          <w:p w14:paraId="1F578AC8"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交通部觀光署組織法草案（共8條。制定重點：交通部為辦理全國觀光發展業務，特設觀光署；得設各分署、各國家風景區管理處，並得報請行政院核准，派員駐境外辦事；為促進觀光產官學界資源之整合與合作發展，得報請行政院核准設立觀光研訓中心。）</w:t>
            </w:r>
          </w:p>
        </w:tc>
        <w:tc>
          <w:tcPr>
            <w:tcW w:w="1971" w:type="dxa"/>
            <w:shd w:val="clear" w:color="auto" w:fill="auto"/>
          </w:tcPr>
          <w:p w14:paraId="7C73EB8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委員陳歐珀</w:t>
            </w:r>
          </w:p>
          <w:p w14:paraId="061E8D5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5D20A4D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109.03.27 </w:t>
            </w:r>
          </w:p>
          <w:p w14:paraId="4861617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（10-1-6）</w:t>
            </w:r>
          </w:p>
        </w:tc>
        <w:tc>
          <w:tcPr>
            <w:tcW w:w="1738" w:type="dxa"/>
            <w:shd w:val="clear" w:color="auto" w:fill="auto"/>
          </w:tcPr>
          <w:p w14:paraId="5AE5E2E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403DD63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CCCFB0A" w14:textId="77777777" w:rsidTr="00B45BB5">
        <w:tc>
          <w:tcPr>
            <w:tcW w:w="598" w:type="dxa"/>
            <w:shd w:val="clear" w:color="auto" w:fill="auto"/>
            <w:vAlign w:val="center"/>
          </w:tcPr>
          <w:p w14:paraId="4FD9E3DD"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9</w:t>
            </w:r>
          </w:p>
        </w:tc>
        <w:tc>
          <w:tcPr>
            <w:tcW w:w="2926" w:type="dxa"/>
            <w:shd w:val="clear" w:color="auto" w:fill="auto"/>
          </w:tcPr>
          <w:p w14:paraId="750778DD"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5.交通部觀光署組織法草案（共8條。制定重點：交通部為辦理全國觀光發展業務，特設觀光署；得設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971" w:type="dxa"/>
            <w:shd w:val="clear" w:color="auto" w:fill="auto"/>
          </w:tcPr>
          <w:p w14:paraId="3AB49F7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委員陳明文</w:t>
            </w:r>
          </w:p>
          <w:p w14:paraId="3E5732C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3244219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109.05.01 </w:t>
            </w:r>
          </w:p>
          <w:p w14:paraId="7AC945C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（10-1-11）</w:t>
            </w:r>
          </w:p>
        </w:tc>
        <w:tc>
          <w:tcPr>
            <w:tcW w:w="1738" w:type="dxa"/>
            <w:shd w:val="clear" w:color="auto" w:fill="auto"/>
          </w:tcPr>
          <w:p w14:paraId="16874F7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6000767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9212BE3" w14:textId="77777777" w:rsidTr="00B45BB5">
        <w:tc>
          <w:tcPr>
            <w:tcW w:w="598" w:type="dxa"/>
            <w:shd w:val="clear" w:color="auto" w:fill="auto"/>
            <w:vAlign w:val="center"/>
          </w:tcPr>
          <w:p w14:paraId="2EC7594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10</w:t>
            </w:r>
          </w:p>
        </w:tc>
        <w:tc>
          <w:tcPr>
            <w:tcW w:w="2926" w:type="dxa"/>
            <w:shd w:val="clear" w:color="auto" w:fill="auto"/>
          </w:tcPr>
          <w:p w14:paraId="30B86D1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6.交通部觀光署組織法草案（共9條。制定重點：交通部為辦理全國觀光業務，開發、提升及運用觀光資源，特設觀光署；得設分署、國家風景區管理處，並得報請行政院核准，派員駐境外辦事。）</w:t>
            </w:r>
          </w:p>
        </w:tc>
        <w:tc>
          <w:tcPr>
            <w:tcW w:w="1971" w:type="dxa"/>
            <w:shd w:val="clear" w:color="auto" w:fill="auto"/>
          </w:tcPr>
          <w:p w14:paraId="2E3E71C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2C9F0E3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6CF1660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110.03.26 </w:t>
            </w:r>
          </w:p>
          <w:p w14:paraId="03E381F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（10-3-5）</w:t>
            </w:r>
          </w:p>
        </w:tc>
        <w:tc>
          <w:tcPr>
            <w:tcW w:w="1738" w:type="dxa"/>
            <w:shd w:val="clear" w:color="auto" w:fill="auto"/>
          </w:tcPr>
          <w:p w14:paraId="49FDCAC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285828C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B617512" w14:textId="77777777" w:rsidTr="00B45BB5">
        <w:tc>
          <w:tcPr>
            <w:tcW w:w="598" w:type="dxa"/>
            <w:shd w:val="clear" w:color="auto" w:fill="auto"/>
            <w:vAlign w:val="center"/>
          </w:tcPr>
          <w:p w14:paraId="689D9C3F"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926" w:type="dxa"/>
            <w:shd w:val="clear" w:color="auto" w:fill="auto"/>
          </w:tcPr>
          <w:p w14:paraId="0180159A"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7.交通部觀光署組織法草案(共8條。制定重點：將觀光局改制為觀光署。)</w:t>
            </w:r>
          </w:p>
        </w:tc>
        <w:tc>
          <w:tcPr>
            <w:tcW w:w="1971" w:type="dxa"/>
            <w:shd w:val="clear" w:color="auto" w:fill="auto"/>
          </w:tcPr>
          <w:p w14:paraId="29C959F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委員李昆澤</w:t>
            </w:r>
          </w:p>
          <w:p w14:paraId="2C8D01D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388D7C4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111.05.20 </w:t>
            </w:r>
          </w:p>
          <w:p w14:paraId="26E56AB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（10-5-13）</w:t>
            </w:r>
          </w:p>
        </w:tc>
        <w:tc>
          <w:tcPr>
            <w:tcW w:w="1738" w:type="dxa"/>
            <w:shd w:val="clear" w:color="auto" w:fill="auto"/>
          </w:tcPr>
          <w:p w14:paraId="4A3C22E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0014071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5DF1660" w14:textId="77777777" w:rsidTr="00B45BB5">
        <w:tc>
          <w:tcPr>
            <w:tcW w:w="598" w:type="dxa"/>
            <w:shd w:val="clear" w:color="auto" w:fill="auto"/>
            <w:vAlign w:val="center"/>
          </w:tcPr>
          <w:p w14:paraId="04D4FA5A"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w:t>
            </w:r>
          </w:p>
        </w:tc>
        <w:tc>
          <w:tcPr>
            <w:tcW w:w="2926" w:type="dxa"/>
            <w:shd w:val="clear" w:color="auto" w:fill="auto"/>
          </w:tcPr>
          <w:p w14:paraId="7995026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8.交通部觀光署組織法草案（共8條。制定重點：配合行政院組織調整，為辦理全國觀光發展業務，特設觀光署。）</w:t>
            </w:r>
          </w:p>
        </w:tc>
        <w:tc>
          <w:tcPr>
            <w:tcW w:w="1971" w:type="dxa"/>
            <w:shd w:val="clear" w:color="auto" w:fill="auto"/>
          </w:tcPr>
          <w:p w14:paraId="6489C344" w14:textId="7D9BC03B"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台灣民眾黨黨團</w:t>
            </w:r>
          </w:p>
          <w:p w14:paraId="1414FB2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03F476F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38" w:type="dxa"/>
            <w:shd w:val="clear" w:color="auto" w:fill="auto"/>
          </w:tcPr>
          <w:p w14:paraId="5483B89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5C4E60A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4A1C302" w14:textId="77777777" w:rsidTr="00B45BB5">
        <w:tc>
          <w:tcPr>
            <w:tcW w:w="598" w:type="dxa"/>
            <w:shd w:val="clear" w:color="auto" w:fill="auto"/>
            <w:vAlign w:val="center"/>
          </w:tcPr>
          <w:p w14:paraId="1A6A38B2"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13</w:t>
            </w:r>
          </w:p>
        </w:tc>
        <w:tc>
          <w:tcPr>
            <w:tcW w:w="2926" w:type="dxa"/>
            <w:shd w:val="clear" w:color="auto" w:fill="auto"/>
          </w:tcPr>
          <w:p w14:paraId="780DB3A4"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9.交通部觀光署組織法草案（共8條。制定重點：配合行政院組織調整，為辦理全國觀光發展業務，特設觀光署。）</w:t>
            </w:r>
          </w:p>
        </w:tc>
        <w:tc>
          <w:tcPr>
            <w:tcW w:w="1971" w:type="dxa"/>
            <w:shd w:val="clear" w:color="auto" w:fill="auto"/>
          </w:tcPr>
          <w:p w14:paraId="40B1968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委員林俊憲</w:t>
            </w:r>
          </w:p>
          <w:p w14:paraId="77E7E3D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等19人 </w:t>
            </w:r>
          </w:p>
          <w:p w14:paraId="161CE7E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6DF879E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738" w:type="dxa"/>
            <w:shd w:val="clear" w:color="auto" w:fill="auto"/>
          </w:tcPr>
          <w:p w14:paraId="7068901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766CBD2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F9F5E31" w14:textId="77777777" w:rsidTr="00B45BB5">
        <w:tc>
          <w:tcPr>
            <w:tcW w:w="598" w:type="dxa"/>
            <w:shd w:val="clear" w:color="auto" w:fill="auto"/>
            <w:vAlign w:val="center"/>
          </w:tcPr>
          <w:p w14:paraId="0CC2F9F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14</w:t>
            </w:r>
          </w:p>
        </w:tc>
        <w:tc>
          <w:tcPr>
            <w:tcW w:w="2926" w:type="dxa"/>
            <w:shd w:val="clear" w:color="auto" w:fill="auto"/>
          </w:tcPr>
          <w:p w14:paraId="2EFC7B8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0</w:t>
            </w:r>
            <w:r w:rsidRPr="00026143">
              <w:rPr>
                <w:rFonts w:ascii="標楷體" w:eastAsia="標楷體" w:hAnsi="標楷體"/>
                <w:color w:val="000000" w:themeColor="text1"/>
              </w:rPr>
              <w:t>.交通部觀光署組織法草案(共8條。制定重點：交通部為辦理全國觀光發展業務，特設本署。）</w:t>
            </w:r>
          </w:p>
        </w:tc>
        <w:tc>
          <w:tcPr>
            <w:tcW w:w="1971" w:type="dxa"/>
            <w:shd w:val="clear" w:color="auto" w:fill="auto"/>
          </w:tcPr>
          <w:p w14:paraId="271CD5F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委員陳玉珍</w:t>
            </w:r>
          </w:p>
          <w:p w14:paraId="18496DB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5402475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7678A4B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738" w:type="dxa"/>
            <w:shd w:val="clear" w:color="auto" w:fill="auto"/>
          </w:tcPr>
          <w:p w14:paraId="0D5493F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372" w:type="dxa"/>
            <w:shd w:val="clear" w:color="auto" w:fill="auto"/>
          </w:tcPr>
          <w:p w14:paraId="00BE4D1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702017" w14:textId="77777777" w:rsidTr="00B45BB5">
        <w:tc>
          <w:tcPr>
            <w:tcW w:w="598" w:type="dxa"/>
            <w:shd w:val="clear" w:color="auto" w:fill="auto"/>
            <w:vAlign w:val="center"/>
          </w:tcPr>
          <w:p w14:paraId="3FED4F8D"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15</w:t>
            </w:r>
          </w:p>
        </w:tc>
        <w:tc>
          <w:tcPr>
            <w:tcW w:w="2926" w:type="dxa"/>
            <w:shd w:val="clear" w:color="auto" w:fill="auto"/>
          </w:tcPr>
          <w:p w14:paraId="0E1199B9"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11.交通部觀光署組織法草案(共8條。制定重點：交通部為辦理全國觀光發展業務、提升觀光從業人員之權益，特設本署。）</w:t>
            </w:r>
          </w:p>
        </w:tc>
        <w:tc>
          <w:tcPr>
            <w:tcW w:w="1971" w:type="dxa"/>
            <w:shd w:val="clear" w:color="auto" w:fill="auto"/>
          </w:tcPr>
          <w:p w14:paraId="5443008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29794A3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D1FDDE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3A9148F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738" w:type="dxa"/>
            <w:shd w:val="clear" w:color="auto" w:fill="auto"/>
          </w:tcPr>
          <w:p w14:paraId="72A9790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372" w:type="dxa"/>
            <w:shd w:val="clear" w:color="auto" w:fill="auto"/>
          </w:tcPr>
          <w:p w14:paraId="6A951C6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439FB6D" w14:textId="77777777" w:rsidTr="00B45BB5">
        <w:tc>
          <w:tcPr>
            <w:tcW w:w="598" w:type="dxa"/>
            <w:shd w:val="clear" w:color="auto" w:fill="auto"/>
            <w:vAlign w:val="center"/>
          </w:tcPr>
          <w:p w14:paraId="698C0FC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16</w:t>
            </w:r>
          </w:p>
        </w:tc>
        <w:tc>
          <w:tcPr>
            <w:tcW w:w="2926" w:type="dxa"/>
            <w:shd w:val="clear" w:color="auto" w:fill="auto"/>
          </w:tcPr>
          <w:p w14:paraId="3D466E8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12.交通部觀光署組織法草案(共8條。制定重點：交通部為辦理全國觀光發展業務，特設本署。）</w:t>
            </w:r>
          </w:p>
        </w:tc>
        <w:tc>
          <w:tcPr>
            <w:tcW w:w="1971" w:type="dxa"/>
            <w:shd w:val="clear" w:color="auto" w:fill="auto"/>
          </w:tcPr>
          <w:p w14:paraId="520C23F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委員陳素月</w:t>
            </w:r>
          </w:p>
          <w:p w14:paraId="36CB8CA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9E07E3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111.12.30 </w:t>
            </w:r>
          </w:p>
          <w:p w14:paraId="74562A9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（10-6-14）</w:t>
            </w:r>
          </w:p>
        </w:tc>
        <w:tc>
          <w:tcPr>
            <w:tcW w:w="1738" w:type="dxa"/>
            <w:shd w:val="clear" w:color="auto" w:fill="auto"/>
          </w:tcPr>
          <w:p w14:paraId="28ACC84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372" w:type="dxa"/>
            <w:shd w:val="clear" w:color="auto" w:fill="auto"/>
          </w:tcPr>
          <w:p w14:paraId="078D567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DF8C094" w14:textId="77777777" w:rsidTr="00B45BB5">
        <w:tc>
          <w:tcPr>
            <w:tcW w:w="598" w:type="dxa"/>
            <w:shd w:val="clear" w:color="auto" w:fill="auto"/>
            <w:vAlign w:val="center"/>
          </w:tcPr>
          <w:p w14:paraId="4F6F5E49"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17</w:t>
            </w:r>
          </w:p>
        </w:tc>
        <w:tc>
          <w:tcPr>
            <w:tcW w:w="2926" w:type="dxa"/>
            <w:shd w:val="clear" w:color="auto" w:fill="auto"/>
          </w:tcPr>
          <w:p w14:paraId="7E81009D"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2.交通部中央氣象署組織法草案(共8條。制定重點：將中央氣象局改制為中央氣象署。)</w:t>
            </w:r>
          </w:p>
        </w:tc>
        <w:tc>
          <w:tcPr>
            <w:tcW w:w="1971" w:type="dxa"/>
            <w:shd w:val="clear" w:color="auto" w:fill="auto"/>
          </w:tcPr>
          <w:p w14:paraId="36018F0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委員李昆澤</w:t>
            </w:r>
          </w:p>
          <w:p w14:paraId="74D8F37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4200A94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111.05.20 </w:t>
            </w:r>
          </w:p>
          <w:p w14:paraId="2E6A86E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（10-5-13）</w:t>
            </w:r>
          </w:p>
        </w:tc>
        <w:tc>
          <w:tcPr>
            <w:tcW w:w="1738" w:type="dxa"/>
            <w:shd w:val="clear" w:color="auto" w:fill="auto"/>
          </w:tcPr>
          <w:p w14:paraId="47C6D0D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3145CDE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A627DB6" w14:textId="77777777" w:rsidTr="00B45BB5">
        <w:tc>
          <w:tcPr>
            <w:tcW w:w="598" w:type="dxa"/>
            <w:shd w:val="clear" w:color="auto" w:fill="auto"/>
            <w:vAlign w:val="center"/>
          </w:tcPr>
          <w:p w14:paraId="2B00C74E"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18</w:t>
            </w:r>
          </w:p>
        </w:tc>
        <w:tc>
          <w:tcPr>
            <w:tcW w:w="2926" w:type="dxa"/>
            <w:shd w:val="clear" w:color="auto" w:fill="auto"/>
          </w:tcPr>
          <w:p w14:paraId="57EAD77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3.交通部中央氣象署組織法草案(共9條。制定重點：交通部為辦理全國氣象業務，特設中央氣象署。)</w:t>
            </w:r>
          </w:p>
        </w:tc>
        <w:tc>
          <w:tcPr>
            <w:tcW w:w="1971" w:type="dxa"/>
            <w:shd w:val="clear" w:color="auto" w:fill="auto"/>
          </w:tcPr>
          <w:p w14:paraId="675A0D0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04B1F8D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3AA343C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111.05.20 </w:t>
            </w:r>
          </w:p>
          <w:p w14:paraId="246B87E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（10-5-13）</w:t>
            </w:r>
          </w:p>
        </w:tc>
        <w:tc>
          <w:tcPr>
            <w:tcW w:w="1738" w:type="dxa"/>
            <w:shd w:val="clear" w:color="auto" w:fill="auto"/>
          </w:tcPr>
          <w:p w14:paraId="4C4875C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12DAAE6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E632665" w14:textId="77777777" w:rsidTr="00B45BB5">
        <w:tc>
          <w:tcPr>
            <w:tcW w:w="598" w:type="dxa"/>
            <w:shd w:val="clear" w:color="auto" w:fill="auto"/>
            <w:vAlign w:val="center"/>
          </w:tcPr>
          <w:p w14:paraId="5F7DA17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19</w:t>
            </w:r>
          </w:p>
        </w:tc>
        <w:tc>
          <w:tcPr>
            <w:tcW w:w="2926" w:type="dxa"/>
            <w:shd w:val="clear" w:color="auto" w:fill="auto"/>
          </w:tcPr>
          <w:p w14:paraId="71A7E662"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2.交通部公路局組織法草案(共8條。制定重點：交通部為辦理公路工程及公路管理業務，特設公路局。)</w:t>
            </w:r>
          </w:p>
        </w:tc>
        <w:tc>
          <w:tcPr>
            <w:tcW w:w="1971" w:type="dxa"/>
            <w:shd w:val="clear" w:color="auto" w:fill="auto"/>
          </w:tcPr>
          <w:p w14:paraId="513E387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5B09C2B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207ECB6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111.05.20 </w:t>
            </w:r>
          </w:p>
          <w:p w14:paraId="3B4D223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（10-5-13）</w:t>
            </w:r>
          </w:p>
        </w:tc>
        <w:tc>
          <w:tcPr>
            <w:tcW w:w="1738" w:type="dxa"/>
            <w:shd w:val="clear" w:color="auto" w:fill="auto"/>
          </w:tcPr>
          <w:p w14:paraId="1926EAA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0505E65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CAA1EE0" w14:textId="77777777" w:rsidTr="00B45BB5">
        <w:tc>
          <w:tcPr>
            <w:tcW w:w="598" w:type="dxa"/>
            <w:shd w:val="clear" w:color="auto" w:fill="auto"/>
            <w:vAlign w:val="center"/>
          </w:tcPr>
          <w:p w14:paraId="4CC4DBC3"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20</w:t>
            </w:r>
          </w:p>
        </w:tc>
        <w:tc>
          <w:tcPr>
            <w:tcW w:w="2926" w:type="dxa"/>
            <w:shd w:val="clear" w:color="auto" w:fill="auto"/>
          </w:tcPr>
          <w:p w14:paraId="372FB75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3.交通部公路局組織法草案（共8條。制定重點：配合行政院組織調整，為辦理公路工程及公路管理業務，特設公路局。）</w:t>
            </w:r>
          </w:p>
        </w:tc>
        <w:tc>
          <w:tcPr>
            <w:tcW w:w="1971" w:type="dxa"/>
            <w:shd w:val="clear" w:color="auto" w:fill="auto"/>
          </w:tcPr>
          <w:p w14:paraId="3C991C82" w14:textId="7AD25532"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台灣民眾黨黨團</w:t>
            </w:r>
          </w:p>
          <w:p w14:paraId="58E77EE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43FBDE9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38" w:type="dxa"/>
            <w:shd w:val="clear" w:color="auto" w:fill="auto"/>
          </w:tcPr>
          <w:p w14:paraId="3097716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3CE5F30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29FDDA6" w14:textId="77777777" w:rsidTr="00B45BB5">
        <w:tc>
          <w:tcPr>
            <w:tcW w:w="598" w:type="dxa"/>
            <w:shd w:val="clear" w:color="auto" w:fill="auto"/>
            <w:vAlign w:val="center"/>
          </w:tcPr>
          <w:p w14:paraId="056F5976"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21</w:t>
            </w:r>
          </w:p>
        </w:tc>
        <w:tc>
          <w:tcPr>
            <w:tcW w:w="2926" w:type="dxa"/>
            <w:shd w:val="clear" w:color="auto" w:fill="auto"/>
          </w:tcPr>
          <w:p w14:paraId="1BC7AE6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r w:rsidRPr="00026143">
              <w:rPr>
                <w:rFonts w:ascii="標楷體" w:eastAsia="標楷體" w:hAnsi="標楷體"/>
                <w:color w:val="000000" w:themeColor="text1"/>
              </w:rPr>
              <w:t>.交通部公路局組織法草案(共8條。制定重點：交通部為辦理公路工程及公路管理業務，特設本局。）</w:t>
            </w:r>
          </w:p>
        </w:tc>
        <w:tc>
          <w:tcPr>
            <w:tcW w:w="1971" w:type="dxa"/>
            <w:shd w:val="clear" w:color="auto" w:fill="auto"/>
          </w:tcPr>
          <w:p w14:paraId="567B6C0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委員陳玉珍</w:t>
            </w:r>
          </w:p>
          <w:p w14:paraId="57EC3FF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1D5F483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6B6148A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738" w:type="dxa"/>
            <w:shd w:val="clear" w:color="auto" w:fill="auto"/>
          </w:tcPr>
          <w:p w14:paraId="0E2C379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372" w:type="dxa"/>
            <w:shd w:val="clear" w:color="auto" w:fill="auto"/>
          </w:tcPr>
          <w:p w14:paraId="515E1D8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97EF33F" w14:textId="77777777" w:rsidTr="00B45BB5">
        <w:tc>
          <w:tcPr>
            <w:tcW w:w="598" w:type="dxa"/>
            <w:shd w:val="clear" w:color="auto" w:fill="auto"/>
            <w:vAlign w:val="center"/>
          </w:tcPr>
          <w:p w14:paraId="6A06EAB7"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22</w:t>
            </w:r>
          </w:p>
        </w:tc>
        <w:tc>
          <w:tcPr>
            <w:tcW w:w="2926" w:type="dxa"/>
            <w:shd w:val="clear" w:color="auto" w:fill="auto"/>
          </w:tcPr>
          <w:p w14:paraId="26675E4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2.交通部高速公路局組織法第五條條文修正草案(修正重點：因應交通部高速公路局改為交通行政機關之屬性，修正四級機關各新建工程處之名稱，改</w:t>
            </w:r>
            <w:r w:rsidRPr="00026143">
              <w:rPr>
                <w:rFonts w:ascii="標楷體" w:eastAsia="標楷體" w:hAnsi="標楷體" w:hint="eastAsia"/>
                <w:color w:val="000000" w:themeColor="text1"/>
              </w:rPr>
              <w:lastRenderedPageBreak/>
              <w:t>為各新建工程分局。)</w:t>
            </w:r>
          </w:p>
        </w:tc>
        <w:tc>
          <w:tcPr>
            <w:tcW w:w="1971" w:type="dxa"/>
            <w:shd w:val="clear" w:color="auto" w:fill="auto"/>
          </w:tcPr>
          <w:p w14:paraId="66987D9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委員洪孟楷</w:t>
            </w:r>
          </w:p>
          <w:p w14:paraId="0316113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009F809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0215D6C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38" w:type="dxa"/>
            <w:shd w:val="clear" w:color="auto" w:fill="auto"/>
          </w:tcPr>
          <w:p w14:paraId="1ADCCB8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2377E45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AF408ED" w14:textId="77777777" w:rsidTr="00B45BB5">
        <w:tc>
          <w:tcPr>
            <w:tcW w:w="598" w:type="dxa"/>
            <w:shd w:val="clear" w:color="auto" w:fill="auto"/>
            <w:vAlign w:val="center"/>
          </w:tcPr>
          <w:p w14:paraId="264684BA"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23</w:t>
            </w:r>
          </w:p>
        </w:tc>
        <w:tc>
          <w:tcPr>
            <w:tcW w:w="2926" w:type="dxa"/>
            <w:shd w:val="clear" w:color="auto" w:fill="auto"/>
          </w:tcPr>
          <w:p w14:paraId="7A5EA4A4"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鐵道局組織法第二條及第五條條文修正草案(修正重點：增訂主管機關掌理事項內容乃包含有氣候變遷調適、數位應用與鐵道產業之規劃、設計、施作及監督，以及各鐵道系統之安全與監理及有關人員安全素養培育之事宜。)</w:t>
            </w:r>
          </w:p>
        </w:tc>
        <w:tc>
          <w:tcPr>
            <w:tcW w:w="1971" w:type="dxa"/>
            <w:shd w:val="clear" w:color="auto" w:fill="auto"/>
          </w:tcPr>
          <w:p w14:paraId="1BDF15F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5859D42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092DDEC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3FC91C2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38" w:type="dxa"/>
            <w:shd w:val="clear" w:color="auto" w:fill="auto"/>
          </w:tcPr>
          <w:p w14:paraId="2149575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15A94CC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F3F236A" w14:textId="77777777" w:rsidTr="00B45BB5">
        <w:tc>
          <w:tcPr>
            <w:tcW w:w="598" w:type="dxa"/>
            <w:shd w:val="clear" w:color="auto" w:fill="auto"/>
            <w:vAlign w:val="center"/>
          </w:tcPr>
          <w:p w14:paraId="1F07254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24</w:t>
            </w:r>
          </w:p>
        </w:tc>
        <w:tc>
          <w:tcPr>
            <w:tcW w:w="2926" w:type="dxa"/>
            <w:shd w:val="clear" w:color="auto" w:fill="auto"/>
          </w:tcPr>
          <w:p w14:paraId="702D923E"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2.交通部民用航空局組織法草案(共7條。制定重點：確立民航事業管理、航空保安、航空站經營管理、監理及航空自由貿易港區管理等各類職掌，乃交通部民用航空局之法定掌理事項。)</w:t>
            </w:r>
          </w:p>
        </w:tc>
        <w:tc>
          <w:tcPr>
            <w:tcW w:w="1971" w:type="dxa"/>
            <w:shd w:val="clear" w:color="auto" w:fill="auto"/>
          </w:tcPr>
          <w:p w14:paraId="1F504DF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66CC80F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4E7C0AA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07B06AE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38" w:type="dxa"/>
            <w:shd w:val="clear" w:color="auto" w:fill="auto"/>
          </w:tcPr>
          <w:p w14:paraId="1600E98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3C0C4EF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DD047E7" w14:textId="77777777" w:rsidTr="00B45BB5">
        <w:tc>
          <w:tcPr>
            <w:tcW w:w="598" w:type="dxa"/>
            <w:shd w:val="clear" w:color="auto" w:fill="auto"/>
            <w:vAlign w:val="center"/>
          </w:tcPr>
          <w:p w14:paraId="743E7BB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25</w:t>
            </w:r>
          </w:p>
        </w:tc>
        <w:tc>
          <w:tcPr>
            <w:tcW w:w="2926" w:type="dxa"/>
            <w:shd w:val="clear" w:color="auto" w:fill="auto"/>
          </w:tcPr>
          <w:p w14:paraId="1C1DE08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3.交通部民用航空局組織法草案（共7條。制定重點：配合行政院組織調整，為辦理民用航空相關業務，特設民用航空局。）</w:t>
            </w:r>
          </w:p>
        </w:tc>
        <w:tc>
          <w:tcPr>
            <w:tcW w:w="1971" w:type="dxa"/>
            <w:shd w:val="clear" w:color="auto" w:fill="auto"/>
          </w:tcPr>
          <w:p w14:paraId="413B26A8" w14:textId="208192BF"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台灣民眾黨黨團</w:t>
            </w:r>
          </w:p>
          <w:p w14:paraId="1546DAC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5A44567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38" w:type="dxa"/>
            <w:shd w:val="clear" w:color="auto" w:fill="auto"/>
          </w:tcPr>
          <w:p w14:paraId="0AB6005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03375BF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E4C8EE1" w14:textId="77777777" w:rsidTr="00B45BB5">
        <w:tc>
          <w:tcPr>
            <w:tcW w:w="598" w:type="dxa"/>
            <w:shd w:val="clear" w:color="auto" w:fill="auto"/>
            <w:vAlign w:val="center"/>
          </w:tcPr>
          <w:p w14:paraId="3A63711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26</w:t>
            </w:r>
          </w:p>
        </w:tc>
        <w:tc>
          <w:tcPr>
            <w:tcW w:w="2926" w:type="dxa"/>
            <w:shd w:val="clear" w:color="auto" w:fill="auto"/>
          </w:tcPr>
          <w:p w14:paraId="13F5653B"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4.交通部民用航空局組織法草案(共7條。制定重點：交通部為辦理民航相關業務，特設本局。）</w:t>
            </w:r>
          </w:p>
        </w:tc>
        <w:tc>
          <w:tcPr>
            <w:tcW w:w="1971" w:type="dxa"/>
            <w:shd w:val="clear" w:color="auto" w:fill="auto"/>
          </w:tcPr>
          <w:p w14:paraId="483949E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委員陳玉珍</w:t>
            </w:r>
          </w:p>
          <w:p w14:paraId="58D5B32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1945F55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2BE3051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738" w:type="dxa"/>
            <w:shd w:val="clear" w:color="auto" w:fill="auto"/>
          </w:tcPr>
          <w:p w14:paraId="3F4648E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372" w:type="dxa"/>
            <w:shd w:val="clear" w:color="auto" w:fill="auto"/>
          </w:tcPr>
          <w:p w14:paraId="0668673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F3B9A8" w14:textId="77777777" w:rsidTr="00B45BB5">
        <w:tc>
          <w:tcPr>
            <w:tcW w:w="598" w:type="dxa"/>
            <w:shd w:val="clear" w:color="auto" w:fill="auto"/>
            <w:vAlign w:val="center"/>
          </w:tcPr>
          <w:p w14:paraId="0A124F25"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27</w:t>
            </w:r>
          </w:p>
        </w:tc>
        <w:tc>
          <w:tcPr>
            <w:tcW w:w="2926" w:type="dxa"/>
            <w:shd w:val="clear" w:color="auto" w:fill="auto"/>
          </w:tcPr>
          <w:p w14:paraId="7B72E63A"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2.交通部航港局組織法草案(共7條。制定重點：賦予交通部航港局正式法定之行政機關定位。)</w:t>
            </w:r>
          </w:p>
        </w:tc>
        <w:tc>
          <w:tcPr>
            <w:tcW w:w="1971" w:type="dxa"/>
            <w:shd w:val="clear" w:color="auto" w:fill="auto"/>
          </w:tcPr>
          <w:p w14:paraId="01F72A3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021B769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72A16D4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35EB09C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38" w:type="dxa"/>
            <w:shd w:val="clear" w:color="auto" w:fill="auto"/>
          </w:tcPr>
          <w:p w14:paraId="14E2A50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55E0FA6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F02398B" w14:textId="77777777" w:rsidTr="00B45BB5">
        <w:tc>
          <w:tcPr>
            <w:tcW w:w="598" w:type="dxa"/>
            <w:shd w:val="clear" w:color="auto" w:fill="auto"/>
            <w:vAlign w:val="center"/>
          </w:tcPr>
          <w:p w14:paraId="4B26334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28</w:t>
            </w:r>
          </w:p>
        </w:tc>
        <w:tc>
          <w:tcPr>
            <w:tcW w:w="2926" w:type="dxa"/>
            <w:shd w:val="clear" w:color="auto" w:fill="auto"/>
          </w:tcPr>
          <w:p w14:paraId="13891A8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3.交通部航港局組織法草案（共7條。制定重點：配合行政院組織調整，為辦理航政及港政業務，特設航港局。）</w:t>
            </w:r>
          </w:p>
        </w:tc>
        <w:tc>
          <w:tcPr>
            <w:tcW w:w="1971" w:type="dxa"/>
            <w:shd w:val="clear" w:color="auto" w:fill="auto"/>
          </w:tcPr>
          <w:p w14:paraId="0DCCA08A" w14:textId="63B33DA9" w:rsidR="00EC13B7" w:rsidRPr="00026143" w:rsidRDefault="00B45BB5" w:rsidP="00720BBE">
            <w:pPr>
              <w:kinsoku w:val="0"/>
              <w:topLinePunct/>
              <w:adjustRightInd w:val="0"/>
              <w:snapToGrid w:val="0"/>
              <w:spacing w:line="300" w:lineRule="exact"/>
              <w:textAlignment w:val="top"/>
              <w:rPr>
                <w:rFonts w:ascii="標楷體" w:eastAsia="標楷體" w:hAnsi="標楷體"/>
                <w:color w:val="000000" w:themeColor="text1"/>
              </w:rPr>
            </w:pPr>
            <w:r>
              <w:rPr>
                <w:rFonts w:ascii="標楷體" w:eastAsia="標楷體" w:hAnsi="標楷體" w:hint="eastAsia"/>
                <w:color w:val="000000" w:themeColor="text1"/>
              </w:rPr>
              <w:t>台灣民眾黨黨</w:t>
            </w:r>
            <w:r w:rsidR="00EC13B7" w:rsidRPr="00026143">
              <w:rPr>
                <w:rFonts w:ascii="標楷體" w:eastAsia="標楷體" w:hAnsi="標楷體" w:hint="eastAsia"/>
                <w:color w:val="000000" w:themeColor="text1"/>
              </w:rPr>
              <w:t xml:space="preserve"> </w:t>
            </w:r>
          </w:p>
          <w:p w14:paraId="7E3797A2"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35C1295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38" w:type="dxa"/>
            <w:shd w:val="clear" w:color="auto" w:fill="auto"/>
          </w:tcPr>
          <w:p w14:paraId="4E5B183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17BCBF4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BFB7180" w14:textId="77777777" w:rsidTr="00B45BB5">
        <w:tc>
          <w:tcPr>
            <w:tcW w:w="598" w:type="dxa"/>
            <w:shd w:val="clear" w:color="auto" w:fill="auto"/>
            <w:vAlign w:val="center"/>
          </w:tcPr>
          <w:p w14:paraId="536658EB"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29</w:t>
            </w:r>
          </w:p>
        </w:tc>
        <w:tc>
          <w:tcPr>
            <w:tcW w:w="2926" w:type="dxa"/>
            <w:shd w:val="clear" w:color="auto" w:fill="auto"/>
          </w:tcPr>
          <w:p w14:paraId="186E1DE5"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2.交通部運輸研究所組織法草案(共6條。制定重點：配合當前行政院組織法修正。)</w:t>
            </w:r>
          </w:p>
        </w:tc>
        <w:tc>
          <w:tcPr>
            <w:tcW w:w="1971" w:type="dxa"/>
            <w:shd w:val="clear" w:color="auto" w:fill="auto"/>
          </w:tcPr>
          <w:p w14:paraId="537D8A9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123AD019"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754E119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4F06BFA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38" w:type="dxa"/>
            <w:shd w:val="clear" w:color="auto" w:fill="auto"/>
          </w:tcPr>
          <w:p w14:paraId="50F2464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797DD904"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0DFA57A" w14:textId="77777777" w:rsidTr="00B45BB5">
        <w:tc>
          <w:tcPr>
            <w:tcW w:w="598" w:type="dxa"/>
            <w:shd w:val="clear" w:color="auto" w:fill="auto"/>
            <w:vAlign w:val="center"/>
          </w:tcPr>
          <w:p w14:paraId="283E2FDE"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30</w:t>
            </w:r>
          </w:p>
        </w:tc>
        <w:tc>
          <w:tcPr>
            <w:tcW w:w="2926" w:type="dxa"/>
            <w:shd w:val="clear" w:color="auto" w:fill="auto"/>
          </w:tcPr>
          <w:p w14:paraId="74BF0E91"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3.交通部運輸研究所組織法草案（共6條。制定重點：配合行政院組織調整，為辦理交通運輸研究業務，特設運輸研究所。）</w:t>
            </w:r>
          </w:p>
        </w:tc>
        <w:tc>
          <w:tcPr>
            <w:tcW w:w="1971" w:type="dxa"/>
            <w:shd w:val="clear" w:color="auto" w:fill="auto"/>
          </w:tcPr>
          <w:p w14:paraId="609ED659" w14:textId="77B21C61"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台灣民眾黨黨團</w:t>
            </w:r>
          </w:p>
          <w:p w14:paraId="4891EFF8"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21AFDC8E"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738" w:type="dxa"/>
            <w:shd w:val="clear" w:color="auto" w:fill="auto"/>
          </w:tcPr>
          <w:p w14:paraId="72ACF6C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7084C75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DD734BB" w14:textId="77777777" w:rsidTr="00B45BB5">
        <w:tc>
          <w:tcPr>
            <w:tcW w:w="598" w:type="dxa"/>
            <w:shd w:val="clear" w:color="auto" w:fill="auto"/>
            <w:vAlign w:val="center"/>
          </w:tcPr>
          <w:p w14:paraId="0EDC0992"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31</w:t>
            </w:r>
          </w:p>
        </w:tc>
        <w:tc>
          <w:tcPr>
            <w:tcW w:w="2926" w:type="dxa"/>
            <w:shd w:val="clear" w:color="auto" w:fill="auto"/>
          </w:tcPr>
          <w:p w14:paraId="2A67EE1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國家風景區管理處組織通則增訂第八條之一條文草案（增訂重點：考量管理站若設於原住民族地區由於地區與人文背景之特殊性，應使具有原住民族背景之服務人員協助推動觀光事務。）</w:t>
            </w:r>
          </w:p>
        </w:tc>
        <w:tc>
          <w:tcPr>
            <w:tcW w:w="1971" w:type="dxa"/>
            <w:shd w:val="clear" w:color="auto" w:fill="auto"/>
          </w:tcPr>
          <w:p w14:paraId="7026EB0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委員鄭天財</w:t>
            </w:r>
          </w:p>
          <w:p w14:paraId="20148973"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Sra Kacaw</w:t>
            </w:r>
          </w:p>
          <w:p w14:paraId="4EE9C2F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等19人 </w:t>
            </w:r>
          </w:p>
          <w:p w14:paraId="78E859EF"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109.12.04</w:t>
            </w:r>
          </w:p>
          <w:p w14:paraId="04CF237C"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（10-2-6）</w:t>
            </w:r>
          </w:p>
        </w:tc>
        <w:tc>
          <w:tcPr>
            <w:tcW w:w="1738" w:type="dxa"/>
            <w:shd w:val="clear" w:color="auto" w:fill="auto"/>
          </w:tcPr>
          <w:p w14:paraId="1990F0B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686E62F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0B20E2A" w14:textId="77777777" w:rsidTr="00B45BB5">
        <w:tc>
          <w:tcPr>
            <w:tcW w:w="598" w:type="dxa"/>
            <w:shd w:val="clear" w:color="auto" w:fill="auto"/>
            <w:vAlign w:val="center"/>
          </w:tcPr>
          <w:p w14:paraId="740EE111"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32</w:t>
            </w:r>
          </w:p>
        </w:tc>
        <w:tc>
          <w:tcPr>
            <w:tcW w:w="2926" w:type="dxa"/>
            <w:shd w:val="clear" w:color="auto" w:fill="auto"/>
          </w:tcPr>
          <w:p w14:paraId="79DD422F"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原交通部臺灣區國道高速公路局與交通部臺灣區</w:t>
            </w:r>
            <w:r w:rsidRPr="00026143">
              <w:rPr>
                <w:rFonts w:ascii="標楷體" w:eastAsia="標楷體" w:hAnsi="標楷體" w:hint="eastAsia"/>
                <w:color w:val="000000" w:themeColor="text1"/>
              </w:rPr>
              <w:lastRenderedPageBreak/>
              <w:t>國道新建工程局整併為交通部高速公路局；交通部基隆、臺中、高雄、花蓮港務局組織條例業已廢止，配合辦理廢止。)</w:t>
            </w:r>
          </w:p>
        </w:tc>
        <w:tc>
          <w:tcPr>
            <w:tcW w:w="1971" w:type="dxa"/>
            <w:shd w:val="clear" w:color="auto" w:fill="auto"/>
          </w:tcPr>
          <w:p w14:paraId="3840EC6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行政院 </w:t>
            </w:r>
          </w:p>
          <w:p w14:paraId="2DB9F17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111.03.01 </w:t>
            </w:r>
          </w:p>
          <w:p w14:paraId="5171A8C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w:t>
            </w:r>
          </w:p>
        </w:tc>
        <w:tc>
          <w:tcPr>
            <w:tcW w:w="1738" w:type="dxa"/>
            <w:shd w:val="clear" w:color="auto" w:fill="auto"/>
          </w:tcPr>
          <w:p w14:paraId="1065349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372" w:type="dxa"/>
            <w:shd w:val="clear" w:color="auto" w:fill="auto"/>
          </w:tcPr>
          <w:p w14:paraId="159E305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C744E11" w14:textId="77777777" w:rsidTr="00B45BB5">
        <w:tc>
          <w:tcPr>
            <w:tcW w:w="598" w:type="dxa"/>
            <w:shd w:val="clear" w:color="auto" w:fill="auto"/>
            <w:vAlign w:val="center"/>
          </w:tcPr>
          <w:p w14:paraId="79D64BCD"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33</w:t>
            </w:r>
          </w:p>
        </w:tc>
        <w:tc>
          <w:tcPr>
            <w:tcW w:w="2926" w:type="dxa"/>
            <w:shd w:val="clear" w:color="auto" w:fill="auto"/>
          </w:tcPr>
          <w:p w14:paraId="2D270311"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2.廢止「交通部臺灣區國道高速公路局組織條例」(廢止重點：鑑於交通部高速公路局組織法業已公布施行，爰提案廢止。)</w:t>
            </w:r>
          </w:p>
        </w:tc>
        <w:tc>
          <w:tcPr>
            <w:tcW w:w="1971" w:type="dxa"/>
            <w:shd w:val="clear" w:color="auto" w:fill="auto"/>
          </w:tcPr>
          <w:p w14:paraId="4CAD65F0"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委員邱志偉</w:t>
            </w:r>
          </w:p>
          <w:p w14:paraId="332C7BF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4C9C42B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111.10.28 </w:t>
            </w:r>
          </w:p>
          <w:p w14:paraId="21B74E3A"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（10-6-5）</w:t>
            </w:r>
          </w:p>
        </w:tc>
        <w:tc>
          <w:tcPr>
            <w:tcW w:w="1738" w:type="dxa"/>
            <w:shd w:val="clear" w:color="auto" w:fill="auto"/>
          </w:tcPr>
          <w:p w14:paraId="1040DD51"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372" w:type="dxa"/>
            <w:shd w:val="clear" w:color="auto" w:fill="auto"/>
          </w:tcPr>
          <w:p w14:paraId="23772287"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78FF0C" w14:textId="77777777" w:rsidTr="00B45BB5">
        <w:tc>
          <w:tcPr>
            <w:tcW w:w="598" w:type="dxa"/>
            <w:shd w:val="clear" w:color="auto" w:fill="auto"/>
            <w:vAlign w:val="center"/>
          </w:tcPr>
          <w:p w14:paraId="04E39E6C" w14:textId="77777777" w:rsidR="00EC13B7" w:rsidRPr="00026143" w:rsidRDefault="00EC13B7" w:rsidP="00720BB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34</w:t>
            </w:r>
          </w:p>
        </w:tc>
        <w:tc>
          <w:tcPr>
            <w:tcW w:w="2926" w:type="dxa"/>
            <w:shd w:val="clear" w:color="auto" w:fill="auto"/>
          </w:tcPr>
          <w:p w14:paraId="2B414A36" w14:textId="77777777" w:rsidR="00EC13B7" w:rsidRPr="00026143" w:rsidRDefault="00EC13B7" w:rsidP="00720BB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國家運輸安全調查委員會組織法第一條及第三條條文修正草案(修正重點：我國值此發展太空活動與太空產業之際，本法應納入太空事故調查為其業務職掌。)</w:t>
            </w:r>
          </w:p>
        </w:tc>
        <w:tc>
          <w:tcPr>
            <w:tcW w:w="1971" w:type="dxa"/>
            <w:shd w:val="clear" w:color="auto" w:fill="auto"/>
          </w:tcPr>
          <w:p w14:paraId="02C8BD3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委員劉世芳</w:t>
            </w:r>
          </w:p>
          <w:p w14:paraId="6A0F4795"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73A1B36"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3B32CFA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738" w:type="dxa"/>
            <w:shd w:val="clear" w:color="auto" w:fill="auto"/>
          </w:tcPr>
          <w:p w14:paraId="27559FED"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372" w:type="dxa"/>
            <w:shd w:val="clear" w:color="auto" w:fill="auto"/>
          </w:tcPr>
          <w:p w14:paraId="1AE5018B" w14:textId="77777777" w:rsidR="00EC13B7" w:rsidRPr="00026143" w:rsidRDefault="00EC13B7" w:rsidP="00720BB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62DD491F"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bookmarkStart w:id="333" w:name="_Toc361217339"/>
      <w:bookmarkStart w:id="334" w:name="_Toc362968399"/>
      <w:bookmarkStart w:id="335" w:name="_Toc428286966"/>
      <w:bookmarkStart w:id="336" w:name="_Toc510167686"/>
      <w:bookmarkStart w:id="337" w:name="_Toc1401069"/>
      <w:r w:rsidRPr="00026143">
        <w:rPr>
          <w:color w:val="000000" w:themeColor="text1"/>
        </w:rPr>
        <w:t>8.本會、社會福利及衛生環境委員會聯席審查</w:t>
      </w:r>
      <w:r w:rsidRPr="00026143">
        <w:rPr>
          <w:rFonts w:hint="eastAsia"/>
          <w:color w:val="000000" w:themeColor="text1"/>
        </w:rPr>
        <w:t>14</w:t>
      </w:r>
      <w:r w:rsidRPr="00026143">
        <w:rPr>
          <w:color w:val="000000" w:themeColor="text1"/>
        </w:rPr>
        <w:t>案</w:t>
      </w:r>
      <w:bookmarkEnd w:id="333"/>
      <w:bookmarkEnd w:id="334"/>
      <w:bookmarkEnd w:id="335"/>
      <w:bookmarkEnd w:id="336"/>
      <w:bookmarkEnd w:id="337"/>
    </w:p>
    <w:tbl>
      <w:tblPr>
        <w:tblW w:w="8603" w:type="dxa"/>
        <w:tblInd w:w="1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16"/>
        <w:gridCol w:w="2884"/>
        <w:gridCol w:w="2002"/>
        <w:gridCol w:w="1684"/>
        <w:gridCol w:w="1417"/>
      </w:tblGrid>
      <w:tr w:rsidR="00EC13B7" w:rsidRPr="00026143" w14:paraId="778F3B19" w14:textId="77777777" w:rsidTr="007932B9">
        <w:tc>
          <w:tcPr>
            <w:tcW w:w="616" w:type="dxa"/>
            <w:shd w:val="clear" w:color="auto" w:fill="auto"/>
          </w:tcPr>
          <w:p w14:paraId="5E4B1B54"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884" w:type="dxa"/>
            <w:shd w:val="clear" w:color="auto" w:fill="auto"/>
          </w:tcPr>
          <w:p w14:paraId="02644308" w14:textId="77777777" w:rsidR="00EC13B7" w:rsidRPr="00026143" w:rsidRDefault="00EC13B7" w:rsidP="00891EE8">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002" w:type="dxa"/>
            <w:shd w:val="clear" w:color="auto" w:fill="auto"/>
          </w:tcPr>
          <w:p w14:paraId="5B6C3164"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60AFBEF7"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84" w:type="dxa"/>
            <w:shd w:val="clear" w:color="auto" w:fill="auto"/>
          </w:tcPr>
          <w:p w14:paraId="513E0151"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417" w:type="dxa"/>
            <w:shd w:val="clear" w:color="auto" w:fill="auto"/>
          </w:tcPr>
          <w:p w14:paraId="52C5565E"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306EFF50" w14:textId="77777777" w:rsidTr="0079766F">
        <w:tc>
          <w:tcPr>
            <w:tcW w:w="616" w:type="dxa"/>
            <w:shd w:val="clear" w:color="auto" w:fill="auto"/>
          </w:tcPr>
          <w:p w14:paraId="4CDB1DF3"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p>
        </w:tc>
        <w:tc>
          <w:tcPr>
            <w:tcW w:w="2884" w:type="dxa"/>
            <w:shd w:val="clear" w:color="auto" w:fill="auto"/>
          </w:tcPr>
          <w:p w14:paraId="0D18D476"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環境部組織法草案」、「環境部氣候變遷署組織法草案」、「環境部資源循環署組織法草案」、「環境部化學物質管理署組織法草案」、「環境部環境管理署組織法草案」及「國家環境研究院組織法草案」(制定重點：配合行政院組織調整。)</w:t>
            </w:r>
          </w:p>
        </w:tc>
        <w:tc>
          <w:tcPr>
            <w:tcW w:w="2002" w:type="dxa"/>
            <w:shd w:val="clear" w:color="auto" w:fill="auto"/>
          </w:tcPr>
          <w:p w14:paraId="0C9B7CE6"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 </w:t>
            </w:r>
          </w:p>
          <w:p w14:paraId="441348B7"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32D9610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684" w:type="dxa"/>
            <w:shd w:val="clear" w:color="auto" w:fill="auto"/>
          </w:tcPr>
          <w:p w14:paraId="586D485A"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737D7E9B"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C14EEF8" w14:textId="77777777" w:rsidTr="0079766F">
        <w:tc>
          <w:tcPr>
            <w:tcW w:w="616" w:type="dxa"/>
            <w:shd w:val="clear" w:color="auto" w:fill="auto"/>
          </w:tcPr>
          <w:p w14:paraId="2D457568"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w:t>
            </w:r>
          </w:p>
        </w:tc>
        <w:tc>
          <w:tcPr>
            <w:tcW w:w="2884" w:type="dxa"/>
            <w:shd w:val="clear" w:color="auto" w:fill="auto"/>
          </w:tcPr>
          <w:p w14:paraId="5CB5EC59"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2.環境資源部組織法草案（共8條。制定重點：行政院為辦理環境及資源業務，特設本部；規範依職掌設次級機關之名稱及業務；為應業務需要，得報請行政院核准，派員駐境外辦事。）</w:t>
            </w:r>
          </w:p>
        </w:tc>
        <w:tc>
          <w:tcPr>
            <w:tcW w:w="2002" w:type="dxa"/>
            <w:shd w:val="clear" w:color="auto" w:fill="auto"/>
          </w:tcPr>
          <w:p w14:paraId="4A38FCCE"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時代力量黨團 </w:t>
            </w:r>
          </w:p>
          <w:p w14:paraId="074748F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109.05.15 </w:t>
            </w:r>
          </w:p>
          <w:p w14:paraId="54C64B26"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（10-1-13）</w:t>
            </w:r>
          </w:p>
        </w:tc>
        <w:tc>
          <w:tcPr>
            <w:tcW w:w="1684" w:type="dxa"/>
            <w:shd w:val="clear" w:color="auto" w:fill="auto"/>
          </w:tcPr>
          <w:p w14:paraId="563DC579"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1ACD968A"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03D599A" w14:textId="77777777" w:rsidTr="0079766F">
        <w:tc>
          <w:tcPr>
            <w:tcW w:w="616" w:type="dxa"/>
            <w:shd w:val="clear" w:color="auto" w:fill="auto"/>
          </w:tcPr>
          <w:p w14:paraId="2A207AD5"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3</w:t>
            </w:r>
          </w:p>
        </w:tc>
        <w:tc>
          <w:tcPr>
            <w:tcW w:w="2884" w:type="dxa"/>
            <w:shd w:val="clear" w:color="auto" w:fill="auto"/>
          </w:tcPr>
          <w:p w14:paraId="3B1515F2"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3.環境部組織法草案(共8條。制定重點：配合行政院組織調整。)</w:t>
            </w:r>
          </w:p>
        </w:tc>
        <w:tc>
          <w:tcPr>
            <w:tcW w:w="2002" w:type="dxa"/>
            <w:shd w:val="clear" w:color="auto" w:fill="auto"/>
          </w:tcPr>
          <w:p w14:paraId="32F7B337"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委員劉建國</w:t>
            </w:r>
          </w:p>
          <w:p w14:paraId="63A317B3" w14:textId="469E7BC3" w:rsidR="00EC13B7" w:rsidRPr="00026143" w:rsidRDefault="00B17993" w:rsidP="00EC13B7">
            <w:pPr>
              <w:kinsoku w:val="0"/>
              <w:wordWrap w:val="0"/>
              <w:topLinePunct/>
              <w:spacing w:line="300" w:lineRule="exact"/>
              <w:textAlignment w:val="top"/>
              <w:rPr>
                <w:rFonts w:ascii="標楷體" w:eastAsia="標楷體" w:hAnsi="標楷體"/>
                <w:color w:val="000000" w:themeColor="text1"/>
              </w:rPr>
            </w:pPr>
            <w:r>
              <w:rPr>
                <w:rFonts w:ascii="標楷體" w:eastAsia="標楷體" w:hAnsi="標楷體" w:hint="eastAsia"/>
                <w:color w:val="000000" w:themeColor="text1"/>
              </w:rPr>
              <w:t>等</w:t>
            </w:r>
            <w:r w:rsidR="00EC13B7" w:rsidRPr="00026143">
              <w:rPr>
                <w:rFonts w:ascii="標楷體" w:eastAsia="標楷體" w:hAnsi="標楷體" w:hint="eastAsia"/>
                <w:color w:val="000000" w:themeColor="text1"/>
              </w:rPr>
              <w:t xml:space="preserve">16人 </w:t>
            </w:r>
          </w:p>
          <w:p w14:paraId="02D11C40"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2B357E25"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684" w:type="dxa"/>
            <w:shd w:val="clear" w:color="auto" w:fill="auto"/>
          </w:tcPr>
          <w:p w14:paraId="3E352271"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17772118"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F4F65AA" w14:textId="77777777" w:rsidTr="0079766F">
        <w:tc>
          <w:tcPr>
            <w:tcW w:w="616" w:type="dxa"/>
            <w:shd w:val="clear" w:color="auto" w:fill="auto"/>
          </w:tcPr>
          <w:p w14:paraId="5CA35883"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4</w:t>
            </w:r>
          </w:p>
        </w:tc>
        <w:tc>
          <w:tcPr>
            <w:tcW w:w="2884" w:type="dxa"/>
            <w:shd w:val="clear" w:color="auto" w:fill="auto"/>
          </w:tcPr>
          <w:p w14:paraId="01878531"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4.環境部組織法草案（共8條。制定重點：配合行政院組織調整，為辦理環境業務，特設環境部。）</w:t>
            </w:r>
          </w:p>
        </w:tc>
        <w:tc>
          <w:tcPr>
            <w:tcW w:w="2002" w:type="dxa"/>
            <w:shd w:val="clear" w:color="auto" w:fill="auto"/>
          </w:tcPr>
          <w:p w14:paraId="470D55FC"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委員張育美</w:t>
            </w:r>
          </w:p>
          <w:p w14:paraId="65A86C54"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0950B846"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78B9FC2A"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684" w:type="dxa"/>
            <w:shd w:val="clear" w:color="auto" w:fill="auto"/>
          </w:tcPr>
          <w:p w14:paraId="120BD3F1"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6ACE819D"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045479A" w14:textId="77777777" w:rsidTr="0079766F">
        <w:tc>
          <w:tcPr>
            <w:tcW w:w="616" w:type="dxa"/>
            <w:shd w:val="clear" w:color="auto" w:fill="auto"/>
          </w:tcPr>
          <w:p w14:paraId="73FBE786"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w:t>
            </w:r>
          </w:p>
        </w:tc>
        <w:tc>
          <w:tcPr>
            <w:tcW w:w="2884" w:type="dxa"/>
            <w:shd w:val="clear" w:color="auto" w:fill="auto"/>
          </w:tcPr>
          <w:p w14:paraId="21EDE56F"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5.環境部組織法草案（共8條。制定重點：配合行政院組織調整，為辦理環境業務，特設環境部。）</w:t>
            </w:r>
          </w:p>
        </w:tc>
        <w:tc>
          <w:tcPr>
            <w:tcW w:w="2002" w:type="dxa"/>
            <w:shd w:val="clear" w:color="auto" w:fill="auto"/>
          </w:tcPr>
          <w:p w14:paraId="3E87A09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委員蘇巧慧</w:t>
            </w:r>
          </w:p>
          <w:p w14:paraId="74280BA7"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3F540738"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15A5CB6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684" w:type="dxa"/>
            <w:shd w:val="clear" w:color="auto" w:fill="auto"/>
          </w:tcPr>
          <w:p w14:paraId="147A1DD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2BD89E7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CA1EB5E" w14:textId="77777777" w:rsidTr="0079766F">
        <w:tc>
          <w:tcPr>
            <w:tcW w:w="616" w:type="dxa"/>
            <w:shd w:val="clear" w:color="auto" w:fill="auto"/>
          </w:tcPr>
          <w:p w14:paraId="6CD8B423"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6</w:t>
            </w:r>
          </w:p>
        </w:tc>
        <w:tc>
          <w:tcPr>
            <w:tcW w:w="2884" w:type="dxa"/>
            <w:shd w:val="clear" w:color="auto" w:fill="auto"/>
          </w:tcPr>
          <w:p w14:paraId="508390B5"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6.環境部組織法草案(共8條。制定重點：配合行政院組織調整。)</w:t>
            </w:r>
          </w:p>
        </w:tc>
        <w:tc>
          <w:tcPr>
            <w:tcW w:w="2002" w:type="dxa"/>
            <w:shd w:val="clear" w:color="auto" w:fill="auto"/>
          </w:tcPr>
          <w:p w14:paraId="62536278"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委員吳思瑤</w:t>
            </w:r>
          </w:p>
          <w:p w14:paraId="33F572F5"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A47E0EA"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111.11.11 </w:t>
            </w:r>
          </w:p>
          <w:p w14:paraId="628C6EE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（10-6-7）</w:t>
            </w:r>
          </w:p>
        </w:tc>
        <w:tc>
          <w:tcPr>
            <w:tcW w:w="1684" w:type="dxa"/>
            <w:shd w:val="clear" w:color="auto" w:fill="auto"/>
          </w:tcPr>
          <w:p w14:paraId="4086DA4C"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司法及法制、社會福利及衛生環境</w:t>
            </w:r>
          </w:p>
        </w:tc>
        <w:tc>
          <w:tcPr>
            <w:tcW w:w="1417" w:type="dxa"/>
            <w:shd w:val="clear" w:color="auto" w:fill="auto"/>
          </w:tcPr>
          <w:p w14:paraId="10717BAA"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EEDD602" w14:textId="77777777" w:rsidTr="0079766F">
        <w:tc>
          <w:tcPr>
            <w:tcW w:w="616" w:type="dxa"/>
            <w:shd w:val="clear" w:color="auto" w:fill="auto"/>
          </w:tcPr>
          <w:p w14:paraId="1ACF6159"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2884" w:type="dxa"/>
            <w:shd w:val="clear" w:color="auto" w:fill="auto"/>
          </w:tcPr>
          <w:p w14:paraId="20D651E6"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7.環境部組織法草案(共8條。制定重點：為辦理環境業務，特設本部。)</w:t>
            </w:r>
          </w:p>
        </w:tc>
        <w:tc>
          <w:tcPr>
            <w:tcW w:w="2002" w:type="dxa"/>
            <w:shd w:val="clear" w:color="auto" w:fill="auto"/>
          </w:tcPr>
          <w:p w14:paraId="5910B1BB"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707F3037"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5A69B3A7"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241DE94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684" w:type="dxa"/>
            <w:shd w:val="clear" w:color="auto" w:fill="auto"/>
          </w:tcPr>
          <w:p w14:paraId="2A8C34CC"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司法及法制、社會福利及衛生環境</w:t>
            </w:r>
          </w:p>
        </w:tc>
        <w:tc>
          <w:tcPr>
            <w:tcW w:w="1417" w:type="dxa"/>
            <w:shd w:val="clear" w:color="auto" w:fill="auto"/>
          </w:tcPr>
          <w:p w14:paraId="5FD23952"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A819E85" w14:textId="77777777" w:rsidTr="0079766F">
        <w:tc>
          <w:tcPr>
            <w:tcW w:w="616" w:type="dxa"/>
            <w:shd w:val="clear" w:color="auto" w:fill="auto"/>
          </w:tcPr>
          <w:p w14:paraId="2537CEB0"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8</w:t>
            </w:r>
          </w:p>
        </w:tc>
        <w:tc>
          <w:tcPr>
            <w:tcW w:w="2884" w:type="dxa"/>
            <w:shd w:val="clear" w:color="auto" w:fill="auto"/>
          </w:tcPr>
          <w:p w14:paraId="6901061C"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2.環境部氣候變遷署組織法草案(共6條。制定重點：配合行政院組織調整。)</w:t>
            </w:r>
          </w:p>
        </w:tc>
        <w:tc>
          <w:tcPr>
            <w:tcW w:w="2002" w:type="dxa"/>
            <w:shd w:val="clear" w:color="auto" w:fill="auto"/>
          </w:tcPr>
          <w:p w14:paraId="675447A5"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委員劉建國</w:t>
            </w:r>
          </w:p>
          <w:p w14:paraId="274D7F3A"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63169854"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74DEBA8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684" w:type="dxa"/>
            <w:shd w:val="clear" w:color="auto" w:fill="auto"/>
          </w:tcPr>
          <w:p w14:paraId="1FA7FD4E"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0AAD6ED5"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FC3CF2D" w14:textId="77777777" w:rsidTr="0079766F">
        <w:tc>
          <w:tcPr>
            <w:tcW w:w="616" w:type="dxa"/>
            <w:shd w:val="clear" w:color="auto" w:fill="auto"/>
          </w:tcPr>
          <w:p w14:paraId="19AB368D"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9</w:t>
            </w:r>
          </w:p>
        </w:tc>
        <w:tc>
          <w:tcPr>
            <w:tcW w:w="2884" w:type="dxa"/>
            <w:shd w:val="clear" w:color="auto" w:fill="auto"/>
          </w:tcPr>
          <w:p w14:paraId="585877B8"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3.環境部氣候變遷署組織法草案（共6條。制定重點：配合行政院組織調整，為辦理溫室氣體減量及氣候變遷調適業務，特設氣候變遷署。）</w:t>
            </w:r>
          </w:p>
        </w:tc>
        <w:tc>
          <w:tcPr>
            <w:tcW w:w="2002" w:type="dxa"/>
            <w:shd w:val="clear" w:color="auto" w:fill="auto"/>
          </w:tcPr>
          <w:p w14:paraId="54F5A609"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委員張育美</w:t>
            </w:r>
          </w:p>
          <w:p w14:paraId="6EEF7917"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74054EAE"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0AA855A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684" w:type="dxa"/>
            <w:shd w:val="clear" w:color="auto" w:fill="auto"/>
          </w:tcPr>
          <w:p w14:paraId="76E9FB65"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095E3FD7"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3CDD2F8" w14:textId="77777777" w:rsidTr="0079766F">
        <w:tc>
          <w:tcPr>
            <w:tcW w:w="616" w:type="dxa"/>
            <w:shd w:val="clear" w:color="auto" w:fill="auto"/>
          </w:tcPr>
          <w:p w14:paraId="15EFFAC5"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10</w:t>
            </w:r>
          </w:p>
        </w:tc>
        <w:tc>
          <w:tcPr>
            <w:tcW w:w="2884" w:type="dxa"/>
            <w:shd w:val="clear" w:color="auto" w:fill="auto"/>
          </w:tcPr>
          <w:p w14:paraId="32741023"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4.環境部氣候變遷署組織法草案（共6條。制定重點：配合行政院組織調整，為辦理溫室氣體減量及氣候變遷調適業務，特設氣候變遷署。）</w:t>
            </w:r>
          </w:p>
        </w:tc>
        <w:tc>
          <w:tcPr>
            <w:tcW w:w="2002" w:type="dxa"/>
            <w:shd w:val="clear" w:color="auto" w:fill="auto"/>
          </w:tcPr>
          <w:p w14:paraId="299BEDE0"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委員楊瓊瓔</w:t>
            </w:r>
          </w:p>
          <w:p w14:paraId="5E01781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7968589A"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331BF4C5"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684" w:type="dxa"/>
            <w:shd w:val="clear" w:color="auto" w:fill="auto"/>
          </w:tcPr>
          <w:p w14:paraId="528A07E6"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145DF6B2"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E821E3B" w14:textId="77777777" w:rsidTr="0079766F">
        <w:tc>
          <w:tcPr>
            <w:tcW w:w="616" w:type="dxa"/>
            <w:shd w:val="clear" w:color="auto" w:fill="auto"/>
          </w:tcPr>
          <w:p w14:paraId="3A2358CC"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884" w:type="dxa"/>
            <w:shd w:val="clear" w:color="auto" w:fill="auto"/>
          </w:tcPr>
          <w:p w14:paraId="791268BE"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1.衛生福利部疾病管制署組織法第二條條文修正草案（修正重點：將外籍勞工正名為外籍移工。）</w:t>
            </w:r>
          </w:p>
        </w:tc>
        <w:tc>
          <w:tcPr>
            <w:tcW w:w="2002" w:type="dxa"/>
            <w:shd w:val="clear" w:color="auto" w:fill="auto"/>
          </w:tcPr>
          <w:p w14:paraId="52492AAC"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委員洪孟楷</w:t>
            </w:r>
          </w:p>
          <w:p w14:paraId="5BF6E6D1"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2A01D411"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109.12.18 </w:t>
            </w:r>
          </w:p>
          <w:p w14:paraId="2331587C"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（10-2-8）</w:t>
            </w:r>
          </w:p>
        </w:tc>
        <w:tc>
          <w:tcPr>
            <w:tcW w:w="1684" w:type="dxa"/>
            <w:shd w:val="clear" w:color="auto" w:fill="auto"/>
          </w:tcPr>
          <w:p w14:paraId="371C4B6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5384F399"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5FD07B9" w14:textId="77777777" w:rsidTr="0079766F">
        <w:tc>
          <w:tcPr>
            <w:tcW w:w="616" w:type="dxa"/>
            <w:shd w:val="clear" w:color="auto" w:fill="auto"/>
          </w:tcPr>
          <w:p w14:paraId="50CE9B9E"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w:t>
            </w:r>
          </w:p>
        </w:tc>
        <w:tc>
          <w:tcPr>
            <w:tcW w:w="2884" w:type="dxa"/>
            <w:shd w:val="clear" w:color="auto" w:fill="auto"/>
          </w:tcPr>
          <w:p w14:paraId="2134E29A"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2.衛生福利部疾病管制署組織法第二條條文修正草案（修正重點：將外籍勞工更名為「移工」。）</w:t>
            </w:r>
          </w:p>
        </w:tc>
        <w:tc>
          <w:tcPr>
            <w:tcW w:w="2002" w:type="dxa"/>
            <w:shd w:val="clear" w:color="auto" w:fill="auto"/>
          </w:tcPr>
          <w:p w14:paraId="04E5FE7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委員謝衣鳯</w:t>
            </w:r>
          </w:p>
          <w:p w14:paraId="06610BBB"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540BC43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109.12.18 </w:t>
            </w:r>
          </w:p>
          <w:p w14:paraId="62749162"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（10-2-8）</w:t>
            </w:r>
          </w:p>
        </w:tc>
        <w:tc>
          <w:tcPr>
            <w:tcW w:w="1684" w:type="dxa"/>
            <w:shd w:val="clear" w:color="auto" w:fill="auto"/>
          </w:tcPr>
          <w:p w14:paraId="2CFA370B"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161E5DB1"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0DB4F60" w14:textId="77777777" w:rsidTr="0079766F">
        <w:tc>
          <w:tcPr>
            <w:tcW w:w="616" w:type="dxa"/>
            <w:shd w:val="clear" w:color="auto" w:fill="auto"/>
          </w:tcPr>
          <w:p w14:paraId="771E156D"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13</w:t>
            </w:r>
          </w:p>
        </w:tc>
        <w:tc>
          <w:tcPr>
            <w:tcW w:w="2884" w:type="dxa"/>
            <w:shd w:val="clear" w:color="auto" w:fill="auto"/>
          </w:tcPr>
          <w:p w14:paraId="5828F2E7"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3.衛生福利部疾病管制署組織法第二條條文修正草案（修正重點：配合內政部將外僑居留證上的居留事由，由「外籍勞工」更名為較中立的「移工」，以</w:t>
            </w:r>
            <w:r w:rsidRPr="00026143">
              <w:rPr>
                <w:rFonts w:ascii="標楷體" w:eastAsia="標楷體" w:hAnsi="標楷體" w:hint="eastAsia"/>
                <w:color w:val="000000" w:themeColor="text1"/>
              </w:rPr>
              <w:lastRenderedPageBreak/>
              <w:t>免移工們被標籤化、污名化。）</w:t>
            </w:r>
          </w:p>
        </w:tc>
        <w:tc>
          <w:tcPr>
            <w:tcW w:w="2002" w:type="dxa"/>
            <w:shd w:val="clear" w:color="auto" w:fill="auto"/>
          </w:tcPr>
          <w:p w14:paraId="35FB6EF2"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委員鄭麗文</w:t>
            </w:r>
          </w:p>
          <w:p w14:paraId="09DC0A64"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598754F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37D2D814"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684" w:type="dxa"/>
            <w:shd w:val="clear" w:color="auto" w:fill="auto"/>
          </w:tcPr>
          <w:p w14:paraId="2EB83D06"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6D09ED23"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18FAF30" w14:textId="77777777" w:rsidTr="0079766F">
        <w:tc>
          <w:tcPr>
            <w:tcW w:w="616" w:type="dxa"/>
            <w:shd w:val="clear" w:color="auto" w:fill="auto"/>
          </w:tcPr>
          <w:p w14:paraId="6880F2DC" w14:textId="77777777" w:rsidR="00EC13B7" w:rsidRPr="00026143" w:rsidRDefault="00EC13B7" w:rsidP="00EC13B7">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14</w:t>
            </w:r>
          </w:p>
        </w:tc>
        <w:tc>
          <w:tcPr>
            <w:tcW w:w="2884" w:type="dxa"/>
            <w:shd w:val="clear" w:color="auto" w:fill="auto"/>
          </w:tcPr>
          <w:p w14:paraId="35F1CBB9" w14:textId="77777777" w:rsidR="00EC13B7" w:rsidRPr="00026143" w:rsidRDefault="00EC13B7" w:rsidP="00891EE8">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勞動部勞動基金運用局組織法增訂第六條之一及第六條之二條文草案（增訂重點：應另以特別津貼以調整薪資結構，俾利延攬專業人才參與勞動基金之運用；改善監督機制。）</w:t>
            </w:r>
          </w:p>
        </w:tc>
        <w:tc>
          <w:tcPr>
            <w:tcW w:w="2002" w:type="dxa"/>
            <w:shd w:val="clear" w:color="auto" w:fill="auto"/>
          </w:tcPr>
          <w:p w14:paraId="18213DF8"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民眾黨黨團 </w:t>
            </w:r>
          </w:p>
          <w:p w14:paraId="4E530AB1"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110.04.09 </w:t>
            </w:r>
          </w:p>
          <w:p w14:paraId="62CDF999"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（10-3-7）</w:t>
            </w:r>
          </w:p>
        </w:tc>
        <w:tc>
          <w:tcPr>
            <w:tcW w:w="1684" w:type="dxa"/>
            <w:shd w:val="clear" w:color="auto" w:fill="auto"/>
          </w:tcPr>
          <w:p w14:paraId="12ED3F7F"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417" w:type="dxa"/>
            <w:shd w:val="clear" w:color="auto" w:fill="auto"/>
          </w:tcPr>
          <w:p w14:paraId="32A9A79B" w14:textId="77777777" w:rsidR="00EC13B7" w:rsidRPr="00026143" w:rsidRDefault="00EC13B7" w:rsidP="00EC13B7">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bl>
    <w:p w14:paraId="7040A205"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338" w:name="_Toc361217340"/>
      <w:bookmarkStart w:id="339" w:name="_Toc362968400"/>
      <w:bookmarkStart w:id="340" w:name="_Toc428286967"/>
      <w:bookmarkStart w:id="341" w:name="_Toc510167687"/>
      <w:bookmarkStart w:id="342" w:name="_Toc1401070"/>
      <w:bookmarkStart w:id="343" w:name="_Toc96350525"/>
      <w:r w:rsidRPr="00026143">
        <w:rPr>
          <w:color w:val="000000" w:themeColor="text1"/>
        </w:rPr>
        <w:t>（三）立法院</w:t>
      </w:r>
      <w:r w:rsidRPr="00026143">
        <w:rPr>
          <w:rFonts w:hint="eastAsia"/>
          <w:color w:val="000000" w:themeColor="text1"/>
        </w:rPr>
        <w:t>9</w:t>
      </w:r>
      <w:r w:rsidRPr="00026143">
        <w:rPr>
          <w:color w:val="000000" w:themeColor="text1"/>
        </w:rPr>
        <w:t>案</w:t>
      </w:r>
      <w:bookmarkEnd w:id="338"/>
      <w:bookmarkEnd w:id="339"/>
      <w:bookmarkEnd w:id="340"/>
      <w:bookmarkEnd w:id="341"/>
      <w:bookmarkEnd w:id="342"/>
      <w:bookmarkEnd w:id="343"/>
    </w:p>
    <w:tbl>
      <w:tblPr>
        <w:tblW w:w="8665" w:type="dxa"/>
        <w:tblInd w:w="-1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44"/>
        <w:gridCol w:w="2772"/>
        <w:gridCol w:w="1904"/>
        <w:gridCol w:w="1735"/>
        <w:gridCol w:w="1610"/>
      </w:tblGrid>
      <w:tr w:rsidR="00EC13B7" w:rsidRPr="00026143" w14:paraId="3D12BC19" w14:textId="77777777" w:rsidTr="007932B9">
        <w:tc>
          <w:tcPr>
            <w:tcW w:w="644" w:type="dxa"/>
            <w:shd w:val="clear" w:color="auto" w:fill="auto"/>
          </w:tcPr>
          <w:p w14:paraId="7A9494FF"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72" w:type="dxa"/>
            <w:shd w:val="clear" w:color="auto" w:fill="auto"/>
          </w:tcPr>
          <w:p w14:paraId="3124EC28"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04" w:type="dxa"/>
            <w:shd w:val="clear" w:color="auto" w:fill="auto"/>
          </w:tcPr>
          <w:p w14:paraId="70847533"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249107FC"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6AEC1C18"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735" w:type="dxa"/>
            <w:shd w:val="clear" w:color="auto" w:fill="auto"/>
          </w:tcPr>
          <w:p w14:paraId="7EFEC4D8"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610" w:type="dxa"/>
            <w:shd w:val="clear" w:color="auto" w:fill="auto"/>
          </w:tcPr>
          <w:p w14:paraId="0ED283B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6018FAA1" w14:textId="77777777" w:rsidTr="007932B9">
        <w:tc>
          <w:tcPr>
            <w:tcW w:w="644" w:type="dxa"/>
            <w:shd w:val="clear" w:color="auto" w:fill="auto"/>
          </w:tcPr>
          <w:p w14:paraId="12C6D7A9"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772" w:type="dxa"/>
            <w:shd w:val="clear" w:color="auto" w:fill="auto"/>
          </w:tcPr>
          <w:p w14:paraId="714C3A4B"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及公民記者採訪、旁聽規則，由立法院定之。）</w:t>
            </w:r>
          </w:p>
        </w:tc>
        <w:tc>
          <w:tcPr>
            <w:tcW w:w="1904" w:type="dxa"/>
            <w:shd w:val="clear" w:color="auto" w:fill="auto"/>
          </w:tcPr>
          <w:p w14:paraId="14654F87"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委員賴瑞隆</w:t>
            </w:r>
          </w:p>
          <w:p w14:paraId="0DA8A053"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等24人</w:t>
            </w:r>
          </w:p>
          <w:p w14:paraId="191B3F0F"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109.03.13</w:t>
            </w:r>
          </w:p>
          <w:p w14:paraId="454EF10D"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（10-1-4）</w:t>
            </w:r>
          </w:p>
        </w:tc>
        <w:tc>
          <w:tcPr>
            <w:tcW w:w="1735" w:type="dxa"/>
            <w:shd w:val="clear" w:color="auto" w:fill="auto"/>
          </w:tcPr>
          <w:p w14:paraId="008247F5"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10" w:type="dxa"/>
            <w:shd w:val="clear" w:color="auto" w:fill="auto"/>
          </w:tcPr>
          <w:p w14:paraId="210F3961"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DEB923A" w14:textId="77777777" w:rsidTr="007932B9">
        <w:tc>
          <w:tcPr>
            <w:tcW w:w="644" w:type="dxa"/>
            <w:shd w:val="clear" w:color="auto" w:fill="auto"/>
          </w:tcPr>
          <w:p w14:paraId="3953E744"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772" w:type="dxa"/>
            <w:shd w:val="clear" w:color="auto" w:fill="auto"/>
          </w:tcPr>
          <w:p w14:paraId="62DBE5BB"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w:t>
            </w:r>
            <w:r w:rsidRPr="00026143">
              <w:rPr>
                <w:rFonts w:ascii="標楷體" w:eastAsia="標楷體" w:hAnsi="標楷體"/>
                <w:color w:val="000000" w:themeColor="text1"/>
              </w:rPr>
              <w:lastRenderedPageBreak/>
              <w:t>決議，應有二分之一以上委員出席，出席委員過半數之同意行之；規定法人、人民團體及個人協助調查之義務，對違反協助調查義務者，裁處適當之罰鍰。）</w:t>
            </w:r>
          </w:p>
        </w:tc>
        <w:tc>
          <w:tcPr>
            <w:tcW w:w="1904" w:type="dxa"/>
            <w:shd w:val="clear" w:color="auto" w:fill="auto"/>
          </w:tcPr>
          <w:p w14:paraId="29092275"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時代力量黨團</w:t>
            </w:r>
          </w:p>
          <w:p w14:paraId="5E7BAF14"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109.03.27</w:t>
            </w:r>
          </w:p>
          <w:p w14:paraId="49F88488"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（10-1-6）</w:t>
            </w:r>
          </w:p>
        </w:tc>
        <w:tc>
          <w:tcPr>
            <w:tcW w:w="1735" w:type="dxa"/>
            <w:shd w:val="clear" w:color="auto" w:fill="auto"/>
          </w:tcPr>
          <w:p w14:paraId="5E012F52"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10" w:type="dxa"/>
            <w:shd w:val="clear" w:color="auto" w:fill="auto"/>
          </w:tcPr>
          <w:p w14:paraId="6E81356D"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086935" w14:textId="77777777" w:rsidTr="007932B9">
        <w:tc>
          <w:tcPr>
            <w:tcW w:w="644" w:type="dxa"/>
            <w:shd w:val="clear" w:color="auto" w:fill="auto"/>
          </w:tcPr>
          <w:p w14:paraId="0155B03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772" w:type="dxa"/>
            <w:shd w:val="clear" w:color="auto" w:fill="auto"/>
          </w:tcPr>
          <w:p w14:paraId="4F54D151"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立法院組織法第十九條條文修正草案（修正重點：將心理衛生服務納入立法院院內服務事項。）</w:t>
            </w:r>
          </w:p>
        </w:tc>
        <w:tc>
          <w:tcPr>
            <w:tcW w:w="1904" w:type="dxa"/>
            <w:shd w:val="clear" w:color="auto" w:fill="auto"/>
          </w:tcPr>
          <w:p w14:paraId="03EEECE4"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委員李昆澤</w:t>
            </w:r>
          </w:p>
          <w:p w14:paraId="0002AB51"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等29人</w:t>
            </w:r>
          </w:p>
          <w:p w14:paraId="0172F6A8"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109.12.04</w:t>
            </w:r>
          </w:p>
          <w:p w14:paraId="326D2F4D"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735" w:type="dxa"/>
            <w:shd w:val="clear" w:color="auto" w:fill="auto"/>
          </w:tcPr>
          <w:p w14:paraId="21BC5AFD"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10" w:type="dxa"/>
            <w:shd w:val="clear" w:color="auto" w:fill="auto"/>
          </w:tcPr>
          <w:p w14:paraId="51FB62C1"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9CF039D" w14:textId="77777777" w:rsidTr="007932B9">
        <w:tc>
          <w:tcPr>
            <w:tcW w:w="644" w:type="dxa"/>
            <w:shd w:val="clear" w:color="auto" w:fill="auto"/>
          </w:tcPr>
          <w:p w14:paraId="41B8E561"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772" w:type="dxa"/>
            <w:shd w:val="clear" w:color="auto" w:fill="auto"/>
          </w:tcPr>
          <w:p w14:paraId="6D448CE2"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立法院組織法第三十三條條文修正草案（修正重點：立法委員毀損立法院內公物，其所屬黨團應當承擔賠償責任；若無所屬黨團，則由當事立委本人賠償。）</w:t>
            </w:r>
          </w:p>
        </w:tc>
        <w:tc>
          <w:tcPr>
            <w:tcW w:w="1904" w:type="dxa"/>
            <w:shd w:val="clear" w:color="auto" w:fill="auto"/>
          </w:tcPr>
          <w:p w14:paraId="79DDA159"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委員劉世芳</w:t>
            </w:r>
          </w:p>
          <w:p w14:paraId="4683DF39"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等16人</w:t>
            </w:r>
          </w:p>
          <w:p w14:paraId="4C176C57"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109.12.24 </w:t>
            </w:r>
          </w:p>
          <w:p w14:paraId="39A42F41"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735" w:type="dxa"/>
            <w:shd w:val="clear" w:color="auto" w:fill="auto"/>
          </w:tcPr>
          <w:p w14:paraId="6AB5AECC"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10" w:type="dxa"/>
            <w:shd w:val="clear" w:color="auto" w:fill="auto"/>
          </w:tcPr>
          <w:p w14:paraId="56FFAE4F"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DD2869" w14:textId="77777777" w:rsidTr="007932B9">
        <w:tc>
          <w:tcPr>
            <w:tcW w:w="644" w:type="dxa"/>
            <w:shd w:val="clear" w:color="auto" w:fill="auto"/>
          </w:tcPr>
          <w:p w14:paraId="05CA5BA1"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772" w:type="dxa"/>
            <w:shd w:val="clear" w:color="auto" w:fill="auto"/>
          </w:tcPr>
          <w:p w14:paraId="3F29EECE"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1.立法院組織法第三十二條條文修正草案</w:t>
            </w:r>
            <w:r w:rsidRPr="00026143">
              <w:rPr>
                <w:rFonts w:ascii="標楷體" w:eastAsia="標楷體" w:hAnsi="標楷體"/>
                <w:color w:val="000000" w:themeColor="text1"/>
              </w:rPr>
              <w:t>（</w:t>
            </w:r>
            <w:r w:rsidRPr="00026143">
              <w:rPr>
                <w:rFonts w:ascii="標楷體" w:eastAsia="標楷體" w:hAnsi="標楷體" w:hint="eastAsia"/>
                <w:color w:val="000000" w:themeColor="text1"/>
              </w:rPr>
              <w:t>修正重點：公費助理聘用與解僱、權益保障、行為準則、資訊揭露與保密義務之事項，授權立法院訂立辦法予以規範。</w:t>
            </w:r>
            <w:r w:rsidRPr="00026143">
              <w:rPr>
                <w:rFonts w:ascii="標楷體" w:eastAsia="標楷體" w:hAnsi="標楷體"/>
                <w:color w:val="000000" w:themeColor="text1"/>
              </w:rPr>
              <w:t>）</w:t>
            </w:r>
          </w:p>
        </w:tc>
        <w:tc>
          <w:tcPr>
            <w:tcW w:w="1904" w:type="dxa"/>
            <w:shd w:val="clear" w:color="auto" w:fill="auto"/>
          </w:tcPr>
          <w:p w14:paraId="46BB1AF8"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委員陳以信</w:t>
            </w:r>
          </w:p>
          <w:p w14:paraId="13067689"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等18人</w:t>
            </w:r>
          </w:p>
          <w:p w14:paraId="79FE2275"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109.12.25</w:t>
            </w:r>
          </w:p>
          <w:p w14:paraId="257CE7A7"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（10-2-10）</w:t>
            </w:r>
          </w:p>
        </w:tc>
        <w:tc>
          <w:tcPr>
            <w:tcW w:w="1735" w:type="dxa"/>
            <w:shd w:val="clear" w:color="auto" w:fill="auto"/>
          </w:tcPr>
          <w:p w14:paraId="43CFC2F7"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10" w:type="dxa"/>
            <w:shd w:val="clear" w:color="auto" w:fill="auto"/>
          </w:tcPr>
          <w:p w14:paraId="14775AA5"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D9F0CF9" w14:textId="77777777" w:rsidTr="00057D7F">
        <w:tc>
          <w:tcPr>
            <w:tcW w:w="644" w:type="dxa"/>
            <w:shd w:val="clear" w:color="auto" w:fill="auto"/>
          </w:tcPr>
          <w:p w14:paraId="5C640E06"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6</w:t>
            </w:r>
          </w:p>
        </w:tc>
        <w:tc>
          <w:tcPr>
            <w:tcW w:w="2772" w:type="dxa"/>
            <w:shd w:val="clear" w:color="auto" w:fill="auto"/>
          </w:tcPr>
          <w:p w14:paraId="057AD9C5"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2.立法院組織法第三十二條條文修正草案(修正重點：增加立法院應每年編列預算針對公費助理實施健康檢查，其項目、方法由立法院另定之。)</w:t>
            </w:r>
          </w:p>
        </w:tc>
        <w:tc>
          <w:tcPr>
            <w:tcW w:w="1904" w:type="dxa"/>
            <w:shd w:val="clear" w:color="auto" w:fill="auto"/>
          </w:tcPr>
          <w:p w14:paraId="55010905"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委員陳超明</w:t>
            </w:r>
          </w:p>
          <w:p w14:paraId="23C3F656"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2FCDFBD6"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0C431C3C"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735" w:type="dxa"/>
            <w:shd w:val="clear" w:color="auto" w:fill="auto"/>
          </w:tcPr>
          <w:p w14:paraId="059ED4F6"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10" w:type="dxa"/>
            <w:shd w:val="clear" w:color="auto" w:fill="auto"/>
          </w:tcPr>
          <w:p w14:paraId="395C8675"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B26CC81" w14:textId="77777777" w:rsidTr="00057D7F">
        <w:tc>
          <w:tcPr>
            <w:tcW w:w="644" w:type="dxa"/>
            <w:shd w:val="clear" w:color="auto" w:fill="auto"/>
          </w:tcPr>
          <w:p w14:paraId="49C17776"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bookmarkStart w:id="344" w:name="_Toc361217341"/>
            <w:bookmarkStart w:id="345" w:name="_Toc362968401"/>
            <w:bookmarkStart w:id="346" w:name="_Toc428286968"/>
            <w:bookmarkStart w:id="347" w:name="_Toc510167688"/>
            <w:bookmarkStart w:id="348" w:name="_Toc1401071"/>
            <w:r w:rsidRPr="00026143">
              <w:rPr>
                <w:rFonts w:ascii="標楷體" w:eastAsia="標楷體" w:hAnsi="標楷體"/>
                <w:color w:val="000000" w:themeColor="text1"/>
              </w:rPr>
              <w:t>7</w:t>
            </w:r>
          </w:p>
        </w:tc>
        <w:tc>
          <w:tcPr>
            <w:tcW w:w="2772" w:type="dxa"/>
            <w:shd w:val="clear" w:color="auto" w:fill="auto"/>
          </w:tcPr>
          <w:p w14:paraId="1E10BCE4"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立法院組織法第十條條文修正草案（修正重點：將「教育及文化委員會」修正為「教育科技及文化委員會」。）</w:t>
            </w:r>
          </w:p>
        </w:tc>
        <w:tc>
          <w:tcPr>
            <w:tcW w:w="1904" w:type="dxa"/>
            <w:shd w:val="clear" w:color="auto" w:fill="auto"/>
          </w:tcPr>
          <w:p w14:paraId="032B3433"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委員鄭正鈐</w:t>
            </w:r>
          </w:p>
          <w:p w14:paraId="2B7E32F0"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等17人</w:t>
            </w:r>
          </w:p>
          <w:p w14:paraId="2374F3B0"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110.05.31 </w:t>
            </w:r>
          </w:p>
          <w:p w14:paraId="58B570E4"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（10-3-14）</w:t>
            </w:r>
          </w:p>
        </w:tc>
        <w:tc>
          <w:tcPr>
            <w:tcW w:w="1735" w:type="dxa"/>
            <w:shd w:val="clear" w:color="auto" w:fill="auto"/>
          </w:tcPr>
          <w:p w14:paraId="43B8BF62"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10" w:type="dxa"/>
            <w:shd w:val="clear" w:color="auto" w:fill="auto"/>
          </w:tcPr>
          <w:p w14:paraId="2192E34D"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3F7FD4F" w14:textId="77777777" w:rsidTr="00057D7F">
        <w:tc>
          <w:tcPr>
            <w:tcW w:w="644" w:type="dxa"/>
            <w:shd w:val="clear" w:color="auto" w:fill="auto"/>
          </w:tcPr>
          <w:p w14:paraId="3A8027F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8</w:t>
            </w:r>
          </w:p>
        </w:tc>
        <w:tc>
          <w:tcPr>
            <w:tcW w:w="2772" w:type="dxa"/>
            <w:shd w:val="clear" w:color="auto" w:fill="auto"/>
          </w:tcPr>
          <w:p w14:paraId="6188E911"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1.立法院組織法第五條條文修正草案(修正重點：新增應於國會議事轉播中，以即時或後製等方式，提供多元族群語言相互翻譯之字幕或語音，以促進不同族群間相互理解。)</w:t>
            </w:r>
          </w:p>
        </w:tc>
        <w:tc>
          <w:tcPr>
            <w:tcW w:w="1904" w:type="dxa"/>
            <w:shd w:val="clear" w:color="auto" w:fill="auto"/>
          </w:tcPr>
          <w:p w14:paraId="5C622AEF"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委員伍麗華</w:t>
            </w:r>
          </w:p>
          <w:p w14:paraId="3D15F308"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spacing w:val="-32"/>
              </w:rPr>
              <w:t>Saidhai‧Tahovecah</w:t>
            </w:r>
            <w:r w:rsidRPr="00026143">
              <w:rPr>
                <w:rFonts w:ascii="標楷體" w:eastAsia="標楷體" w:hAnsi="標楷體"/>
                <w:color w:val="000000" w:themeColor="text1"/>
                <w:spacing w:val="-30"/>
              </w:rPr>
              <w:t>e等</w:t>
            </w:r>
            <w:r w:rsidRPr="00026143">
              <w:rPr>
                <w:rFonts w:ascii="標楷體" w:eastAsia="標楷體" w:hAnsi="標楷體"/>
                <w:color w:val="000000" w:themeColor="text1"/>
              </w:rPr>
              <w:t>21人</w:t>
            </w:r>
          </w:p>
          <w:p w14:paraId="0E195C71"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110.12.10 </w:t>
            </w:r>
          </w:p>
          <w:p w14:paraId="7DFC090E"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（10-4-13）</w:t>
            </w:r>
          </w:p>
        </w:tc>
        <w:tc>
          <w:tcPr>
            <w:tcW w:w="1735" w:type="dxa"/>
            <w:shd w:val="clear" w:color="auto" w:fill="auto"/>
          </w:tcPr>
          <w:p w14:paraId="48F44C28"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10" w:type="dxa"/>
            <w:shd w:val="clear" w:color="auto" w:fill="auto"/>
          </w:tcPr>
          <w:p w14:paraId="5F1A6DED"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11B5AA9" w14:textId="77777777" w:rsidTr="00057D7F">
        <w:tc>
          <w:tcPr>
            <w:tcW w:w="644" w:type="dxa"/>
            <w:shd w:val="clear" w:color="auto" w:fill="auto"/>
          </w:tcPr>
          <w:p w14:paraId="2BBD7BDE"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9</w:t>
            </w:r>
          </w:p>
        </w:tc>
        <w:tc>
          <w:tcPr>
            <w:tcW w:w="2772" w:type="dxa"/>
            <w:shd w:val="clear" w:color="auto" w:fill="auto"/>
          </w:tcPr>
          <w:p w14:paraId="1F45C805" w14:textId="77777777" w:rsidR="00EC13B7" w:rsidRPr="00026143" w:rsidRDefault="00EC13B7" w:rsidP="007932B9">
            <w:pPr>
              <w:kinsoku w:val="0"/>
              <w:wordWrap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2.立法院組織法第五條條文修正草案(修正重點</w:t>
            </w:r>
            <w:r w:rsidRPr="00026143">
              <w:rPr>
                <w:rFonts w:ascii="標楷體" w:eastAsia="標楷體" w:hAnsi="標楷體"/>
                <w:color w:val="000000" w:themeColor="text1"/>
              </w:rPr>
              <w:lastRenderedPageBreak/>
              <w:t>：新增應於國會議事轉播中，以即時或後製等方式，逐步提供多元族群語言相互翻譯之字幕或語音，以促進不同族群間相互理解。)</w:t>
            </w:r>
          </w:p>
        </w:tc>
        <w:tc>
          <w:tcPr>
            <w:tcW w:w="1904" w:type="dxa"/>
            <w:shd w:val="clear" w:color="auto" w:fill="auto"/>
          </w:tcPr>
          <w:p w14:paraId="53172F86"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委員李昆澤</w:t>
            </w:r>
          </w:p>
          <w:p w14:paraId="3B86FB00"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等32人</w:t>
            </w:r>
          </w:p>
          <w:p w14:paraId="4458083D"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110.12.10 </w:t>
            </w:r>
          </w:p>
          <w:p w14:paraId="0040F2D1"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（10-4-13）</w:t>
            </w:r>
          </w:p>
        </w:tc>
        <w:tc>
          <w:tcPr>
            <w:tcW w:w="1735" w:type="dxa"/>
            <w:shd w:val="clear" w:color="auto" w:fill="auto"/>
          </w:tcPr>
          <w:p w14:paraId="56AFE98E"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10" w:type="dxa"/>
            <w:shd w:val="clear" w:color="auto" w:fill="auto"/>
          </w:tcPr>
          <w:p w14:paraId="359FDE2E" w14:textId="77777777" w:rsidR="00EC13B7" w:rsidRPr="00026143" w:rsidRDefault="00EC13B7" w:rsidP="007932B9">
            <w:pPr>
              <w:kinsoku w:val="0"/>
              <w:wordWrap w:val="0"/>
              <w:topLinePunct/>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2171D7F8"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349" w:name="_Toc96350526"/>
      <w:r w:rsidRPr="00026143">
        <w:rPr>
          <w:color w:val="000000" w:themeColor="text1"/>
        </w:rPr>
        <w:lastRenderedPageBreak/>
        <w:t>（四）司法院</w:t>
      </w:r>
      <w:r w:rsidRPr="00026143">
        <w:rPr>
          <w:rFonts w:hint="eastAsia"/>
          <w:color w:val="000000" w:themeColor="text1"/>
        </w:rPr>
        <w:t>6</w:t>
      </w:r>
      <w:r w:rsidRPr="00026143">
        <w:rPr>
          <w:color w:val="000000" w:themeColor="text1"/>
        </w:rPr>
        <w:t>案</w:t>
      </w:r>
      <w:bookmarkEnd w:id="344"/>
      <w:bookmarkEnd w:id="345"/>
      <w:bookmarkEnd w:id="346"/>
      <w:bookmarkEnd w:id="347"/>
      <w:bookmarkEnd w:id="348"/>
      <w:bookmarkEnd w:id="349"/>
    </w:p>
    <w:tbl>
      <w:tblPr>
        <w:tblW w:w="8567"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0"/>
        <w:gridCol w:w="2729"/>
        <w:gridCol w:w="1984"/>
        <w:gridCol w:w="1516"/>
        <w:gridCol w:w="1778"/>
      </w:tblGrid>
      <w:tr w:rsidR="00EC13B7" w:rsidRPr="00026143" w14:paraId="6E1F9312" w14:textId="77777777" w:rsidTr="00EC13B7">
        <w:tc>
          <w:tcPr>
            <w:tcW w:w="560" w:type="dxa"/>
            <w:shd w:val="clear" w:color="auto" w:fill="auto"/>
          </w:tcPr>
          <w:p w14:paraId="2776FF04" w14:textId="77777777" w:rsidR="00EC13B7" w:rsidRPr="00026143" w:rsidRDefault="00EC13B7"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29" w:type="dxa"/>
            <w:shd w:val="clear" w:color="auto" w:fill="auto"/>
          </w:tcPr>
          <w:p w14:paraId="1B21FF97" w14:textId="77777777" w:rsidR="00EC13B7" w:rsidRPr="00026143" w:rsidRDefault="00EC13B7" w:rsidP="00891EE8">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84" w:type="dxa"/>
            <w:shd w:val="clear" w:color="auto" w:fill="auto"/>
          </w:tcPr>
          <w:p w14:paraId="0257141C"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61AB17E3"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7BC055A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516" w:type="dxa"/>
            <w:shd w:val="clear" w:color="auto" w:fill="auto"/>
          </w:tcPr>
          <w:p w14:paraId="1CA1DD21"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778" w:type="dxa"/>
            <w:shd w:val="clear" w:color="auto" w:fill="auto"/>
          </w:tcPr>
          <w:p w14:paraId="08ACF42A" w14:textId="77777777" w:rsidR="00EC13B7" w:rsidRPr="00026143" w:rsidRDefault="00EC13B7"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25BA75D8" w14:textId="77777777" w:rsidTr="00BE671D">
        <w:tc>
          <w:tcPr>
            <w:tcW w:w="560" w:type="dxa"/>
            <w:shd w:val="clear" w:color="auto" w:fill="auto"/>
          </w:tcPr>
          <w:p w14:paraId="4C5A12FF" w14:textId="77777777" w:rsidR="00EC13B7" w:rsidRPr="00026143" w:rsidRDefault="00EC13B7" w:rsidP="00EC13B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1</w:t>
            </w:r>
          </w:p>
        </w:tc>
        <w:tc>
          <w:tcPr>
            <w:tcW w:w="2729" w:type="dxa"/>
            <w:shd w:val="clear" w:color="auto" w:fill="auto"/>
          </w:tcPr>
          <w:p w14:paraId="3697AB69" w14:textId="77777777" w:rsidR="00EC13B7" w:rsidRPr="00026143" w:rsidRDefault="00EC13B7" w:rsidP="00891EE8">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1.法院組織法第六十七條條文修正草案（修正重點：將觀護人室設置臨床心理師一職，修正為設置心理師，凡符合資格之諮商心理師、臨床心理師均可擔任。）</w:t>
            </w:r>
          </w:p>
        </w:tc>
        <w:tc>
          <w:tcPr>
            <w:tcW w:w="1984" w:type="dxa"/>
            <w:shd w:val="clear" w:color="auto" w:fill="auto"/>
          </w:tcPr>
          <w:p w14:paraId="7397AEC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委員莊競程</w:t>
            </w:r>
          </w:p>
          <w:p w14:paraId="1D1863F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等22人 </w:t>
            </w:r>
          </w:p>
          <w:p w14:paraId="4BBF5DE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110.04.16 </w:t>
            </w:r>
          </w:p>
          <w:p w14:paraId="0781839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（10-3-8）</w:t>
            </w:r>
          </w:p>
        </w:tc>
        <w:tc>
          <w:tcPr>
            <w:tcW w:w="1516" w:type="dxa"/>
            <w:shd w:val="clear" w:color="auto" w:fill="auto"/>
          </w:tcPr>
          <w:p w14:paraId="0EA10AB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司法及法制</w:t>
            </w:r>
          </w:p>
        </w:tc>
        <w:tc>
          <w:tcPr>
            <w:tcW w:w="1778" w:type="dxa"/>
            <w:shd w:val="clear" w:color="auto" w:fill="auto"/>
          </w:tcPr>
          <w:p w14:paraId="2E82FF68" w14:textId="37761971" w:rsidR="00EC13B7" w:rsidRPr="00D44CCA"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spacing w:val="-10"/>
              </w:rPr>
            </w:pPr>
            <w:r w:rsidRPr="00D44CCA">
              <w:rPr>
                <w:rFonts w:ascii="標楷體" w:eastAsia="標楷體" w:hAnsi="標楷體" w:hint="eastAsia"/>
                <w:bCs/>
                <w:color w:val="000000" w:themeColor="text1"/>
                <w:spacing w:val="-10"/>
              </w:rPr>
              <w:t>本會110.12.29</w:t>
            </w:r>
          </w:p>
          <w:p w14:paraId="728CFC5D" w14:textId="77777777" w:rsidR="00EC13B7" w:rsidRPr="00D44CCA"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spacing w:val="-10"/>
              </w:rPr>
            </w:pPr>
            <w:r w:rsidRPr="00D44CCA">
              <w:rPr>
                <w:rFonts w:ascii="標楷體" w:eastAsia="標楷體" w:hAnsi="標楷體" w:hint="eastAsia"/>
                <w:bCs/>
                <w:color w:val="000000" w:themeColor="text1"/>
                <w:spacing w:val="-10"/>
              </w:rPr>
              <w:t>(10-4-23)報告及詢答完畢，另定期繼續審查。</w:t>
            </w:r>
          </w:p>
        </w:tc>
      </w:tr>
      <w:tr w:rsidR="00EC13B7" w:rsidRPr="00026143" w14:paraId="6B9456B0" w14:textId="77777777" w:rsidTr="00BE671D">
        <w:tc>
          <w:tcPr>
            <w:tcW w:w="560" w:type="dxa"/>
            <w:shd w:val="clear" w:color="auto" w:fill="auto"/>
          </w:tcPr>
          <w:p w14:paraId="7D47B542" w14:textId="77777777" w:rsidR="00EC13B7" w:rsidRPr="00026143" w:rsidRDefault="00EC13B7" w:rsidP="00EC13B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2</w:t>
            </w:r>
          </w:p>
        </w:tc>
        <w:tc>
          <w:tcPr>
            <w:tcW w:w="2729" w:type="dxa"/>
            <w:shd w:val="clear" w:color="auto" w:fill="auto"/>
          </w:tcPr>
          <w:p w14:paraId="4301A45B" w14:textId="77777777" w:rsidR="00EC13B7" w:rsidRPr="00026143" w:rsidRDefault="00EC13B7" w:rsidP="00891EE8">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2.法院組織法第六十七條條文修正草案（修正重點：將諮商心理師納入觀護人室可設置人員。）</w:t>
            </w:r>
          </w:p>
        </w:tc>
        <w:tc>
          <w:tcPr>
            <w:tcW w:w="1984" w:type="dxa"/>
            <w:shd w:val="clear" w:color="auto" w:fill="auto"/>
          </w:tcPr>
          <w:p w14:paraId="310B08C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委員周春米</w:t>
            </w:r>
          </w:p>
          <w:p w14:paraId="0F5DA73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等20人 </w:t>
            </w:r>
          </w:p>
          <w:p w14:paraId="16E3F34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110.04.23 </w:t>
            </w:r>
          </w:p>
          <w:p w14:paraId="41F86A3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（10-3-9）</w:t>
            </w:r>
          </w:p>
        </w:tc>
        <w:tc>
          <w:tcPr>
            <w:tcW w:w="1516" w:type="dxa"/>
            <w:shd w:val="clear" w:color="auto" w:fill="auto"/>
          </w:tcPr>
          <w:p w14:paraId="720EC89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司法及法制</w:t>
            </w:r>
          </w:p>
        </w:tc>
        <w:tc>
          <w:tcPr>
            <w:tcW w:w="1778" w:type="dxa"/>
            <w:shd w:val="clear" w:color="auto" w:fill="auto"/>
          </w:tcPr>
          <w:p w14:paraId="165F7E2E" w14:textId="6D6002A4" w:rsidR="00EC13B7" w:rsidRPr="00D44CCA"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spacing w:val="-10"/>
              </w:rPr>
            </w:pPr>
            <w:r w:rsidRPr="00D44CCA">
              <w:rPr>
                <w:rFonts w:ascii="標楷體" w:eastAsia="標楷體" w:hAnsi="標楷體" w:hint="eastAsia"/>
                <w:bCs/>
                <w:color w:val="000000" w:themeColor="text1"/>
                <w:spacing w:val="-10"/>
              </w:rPr>
              <w:t>本會110.12.29</w:t>
            </w:r>
          </w:p>
          <w:p w14:paraId="68785651" w14:textId="77777777" w:rsidR="00EC13B7" w:rsidRPr="00D44CCA"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spacing w:val="-10"/>
              </w:rPr>
            </w:pPr>
            <w:r w:rsidRPr="00D44CCA">
              <w:rPr>
                <w:rFonts w:ascii="標楷體" w:eastAsia="標楷體" w:hAnsi="標楷體" w:hint="eastAsia"/>
                <w:bCs/>
                <w:color w:val="000000" w:themeColor="text1"/>
                <w:spacing w:val="-10"/>
              </w:rPr>
              <w:t>(10-4-23)報告及詢答完畢，另定期繼續審查。</w:t>
            </w:r>
          </w:p>
        </w:tc>
      </w:tr>
      <w:tr w:rsidR="00EC13B7" w:rsidRPr="00026143" w14:paraId="3A996801" w14:textId="77777777" w:rsidTr="00BE671D">
        <w:tc>
          <w:tcPr>
            <w:tcW w:w="560" w:type="dxa"/>
            <w:shd w:val="clear" w:color="auto" w:fill="auto"/>
          </w:tcPr>
          <w:p w14:paraId="34CE820B" w14:textId="77777777" w:rsidR="00EC13B7" w:rsidRPr="00026143" w:rsidRDefault="00EC13B7" w:rsidP="00EC13B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3</w:t>
            </w:r>
          </w:p>
        </w:tc>
        <w:tc>
          <w:tcPr>
            <w:tcW w:w="2729" w:type="dxa"/>
            <w:shd w:val="clear" w:color="auto" w:fill="auto"/>
          </w:tcPr>
          <w:p w14:paraId="715FAD3F" w14:textId="77777777" w:rsidR="00EC13B7" w:rsidRPr="00026143" w:rsidRDefault="00EC13B7" w:rsidP="00891EE8">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3.法院組織法第六十七條條文及第七十三條附表修正草案（修正重點：有關觀護人室設置臨床心理師一職，應修正為凡符合資格之諮商心理師、臨床心理師均可擔任，以提高觀護工作能量。）</w:t>
            </w:r>
          </w:p>
        </w:tc>
        <w:tc>
          <w:tcPr>
            <w:tcW w:w="1984" w:type="dxa"/>
            <w:shd w:val="clear" w:color="auto" w:fill="auto"/>
          </w:tcPr>
          <w:p w14:paraId="7E862E2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委員莊競程</w:t>
            </w:r>
          </w:p>
          <w:p w14:paraId="7CA4F66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等21人 </w:t>
            </w:r>
          </w:p>
          <w:p w14:paraId="5F8E2A8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111.10.14 </w:t>
            </w:r>
          </w:p>
          <w:p w14:paraId="6C027E2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（10-6-4）</w:t>
            </w:r>
          </w:p>
        </w:tc>
        <w:tc>
          <w:tcPr>
            <w:tcW w:w="1516" w:type="dxa"/>
            <w:shd w:val="clear" w:color="auto" w:fill="auto"/>
          </w:tcPr>
          <w:p w14:paraId="36AE2A0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司法及法制</w:t>
            </w:r>
          </w:p>
        </w:tc>
        <w:tc>
          <w:tcPr>
            <w:tcW w:w="1778" w:type="dxa"/>
            <w:shd w:val="clear" w:color="auto" w:fill="auto"/>
          </w:tcPr>
          <w:p w14:paraId="528E5D2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尚未審查</w:t>
            </w:r>
          </w:p>
        </w:tc>
      </w:tr>
      <w:tr w:rsidR="00EC13B7" w:rsidRPr="00026143" w14:paraId="5CE90F74" w14:textId="77777777" w:rsidTr="00BE671D">
        <w:tc>
          <w:tcPr>
            <w:tcW w:w="560" w:type="dxa"/>
            <w:shd w:val="clear" w:color="auto" w:fill="auto"/>
          </w:tcPr>
          <w:p w14:paraId="2A37D458" w14:textId="77777777" w:rsidR="00EC13B7" w:rsidRPr="00026143" w:rsidRDefault="00EC13B7" w:rsidP="00EC13B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4</w:t>
            </w:r>
          </w:p>
        </w:tc>
        <w:tc>
          <w:tcPr>
            <w:tcW w:w="2729" w:type="dxa"/>
            <w:shd w:val="clear" w:color="auto" w:fill="auto"/>
          </w:tcPr>
          <w:p w14:paraId="3AD9EF9D" w14:textId="77777777" w:rsidR="00EC13B7" w:rsidRPr="00026143" w:rsidRDefault="00EC13B7" w:rsidP="00891EE8">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法院組織法第七十六條條文修正草案（修正重點：檢察官調度司法警察之權限，應限縮於辦理刑事偵查作業。）</w:t>
            </w:r>
          </w:p>
        </w:tc>
        <w:tc>
          <w:tcPr>
            <w:tcW w:w="1984" w:type="dxa"/>
            <w:shd w:val="clear" w:color="auto" w:fill="auto"/>
          </w:tcPr>
          <w:p w14:paraId="55CA23F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委員葉毓蘭</w:t>
            </w:r>
          </w:p>
          <w:p w14:paraId="46D3857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等17人 </w:t>
            </w:r>
          </w:p>
          <w:p w14:paraId="3BB3F6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109.03.27 </w:t>
            </w:r>
          </w:p>
          <w:p w14:paraId="0214D3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（10-1-6）</w:t>
            </w:r>
          </w:p>
        </w:tc>
        <w:tc>
          <w:tcPr>
            <w:tcW w:w="1516" w:type="dxa"/>
            <w:shd w:val="clear" w:color="auto" w:fill="auto"/>
          </w:tcPr>
          <w:p w14:paraId="74156E5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司法及法制</w:t>
            </w:r>
          </w:p>
        </w:tc>
        <w:tc>
          <w:tcPr>
            <w:tcW w:w="1778" w:type="dxa"/>
            <w:shd w:val="clear" w:color="auto" w:fill="auto"/>
          </w:tcPr>
          <w:p w14:paraId="7537133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本會109.5.14舉行「調度司法警察條例實務爭議檢討」公聽會。</w:t>
            </w:r>
          </w:p>
        </w:tc>
      </w:tr>
      <w:tr w:rsidR="00EC13B7" w:rsidRPr="00026143" w14:paraId="69F9F8D4" w14:textId="77777777" w:rsidTr="00BE671D">
        <w:tc>
          <w:tcPr>
            <w:tcW w:w="560" w:type="dxa"/>
            <w:shd w:val="clear" w:color="auto" w:fill="auto"/>
          </w:tcPr>
          <w:p w14:paraId="7402B353" w14:textId="77777777" w:rsidR="00EC13B7" w:rsidRPr="00026143" w:rsidRDefault="00EC13B7" w:rsidP="00EC13B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5</w:t>
            </w:r>
          </w:p>
        </w:tc>
        <w:tc>
          <w:tcPr>
            <w:tcW w:w="2729" w:type="dxa"/>
            <w:shd w:val="clear" w:color="auto" w:fill="auto"/>
          </w:tcPr>
          <w:p w14:paraId="26A65D5B" w14:textId="77777777" w:rsidR="00EC13B7" w:rsidRPr="00026143" w:rsidRDefault="00EC13B7" w:rsidP="00891EE8">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法院組織法第八十三條條文修正草案(修正重點：為提升司法信賴，檢察官不起訴處分書應公開。)</w:t>
            </w:r>
          </w:p>
        </w:tc>
        <w:tc>
          <w:tcPr>
            <w:tcW w:w="1984" w:type="dxa"/>
            <w:shd w:val="clear" w:color="auto" w:fill="auto"/>
          </w:tcPr>
          <w:p w14:paraId="57583C9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委員羅美玲</w:t>
            </w:r>
          </w:p>
          <w:p w14:paraId="6F19EA4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503CF20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111.11.25 </w:t>
            </w:r>
          </w:p>
          <w:p w14:paraId="4D1D700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（10-6-9）</w:t>
            </w:r>
          </w:p>
        </w:tc>
        <w:tc>
          <w:tcPr>
            <w:tcW w:w="1516" w:type="dxa"/>
            <w:shd w:val="clear" w:color="auto" w:fill="auto"/>
          </w:tcPr>
          <w:p w14:paraId="7D5F779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778" w:type="dxa"/>
            <w:shd w:val="clear" w:color="auto" w:fill="auto"/>
          </w:tcPr>
          <w:p w14:paraId="527B946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DC948A6" w14:textId="77777777" w:rsidTr="00BE671D">
        <w:tc>
          <w:tcPr>
            <w:tcW w:w="560" w:type="dxa"/>
            <w:shd w:val="clear" w:color="auto" w:fill="auto"/>
          </w:tcPr>
          <w:p w14:paraId="35CBD80C" w14:textId="77777777" w:rsidR="00EC13B7" w:rsidRPr="00026143" w:rsidRDefault="00EC13B7" w:rsidP="00EC13B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6</w:t>
            </w:r>
          </w:p>
        </w:tc>
        <w:tc>
          <w:tcPr>
            <w:tcW w:w="2729" w:type="dxa"/>
            <w:shd w:val="clear" w:color="auto" w:fill="auto"/>
          </w:tcPr>
          <w:p w14:paraId="682C27F0" w14:textId="77777777" w:rsidR="00EC13B7" w:rsidRPr="00026143" w:rsidRDefault="00EC13B7" w:rsidP="00891EE8">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智慧財產及商業法院組織法部分條文修正草案</w:t>
            </w:r>
            <w:r w:rsidRPr="00026143">
              <w:rPr>
                <w:rFonts w:ascii="標楷體" w:eastAsia="標楷體" w:hAnsi="標楷體" w:hint="eastAsia"/>
                <w:bCs/>
                <w:color w:val="000000" w:themeColor="text1"/>
              </w:rPr>
              <w:lastRenderedPageBreak/>
              <w:t>(修正§3、5、6、9、10、12、13、15~18。修正重點：將營業秘密第一審刑事案件（含附帶民事訴訟）改由智慧財產及商業法院集中審理；侵害國家核心關鍵技術之營業秘密行為之刑事案件第一審管轄權屬於智慧財產及商業法院；並增訂因著作權集體管理團體條例涉及智慧財產權所生之第一審行政事件及強制執行事件；明定具律師資格者於擔任公設辯護人期間，計入其律師執業期間；及增列商業調查官之任用資格範圍。)</w:t>
            </w:r>
          </w:p>
        </w:tc>
        <w:tc>
          <w:tcPr>
            <w:tcW w:w="1984" w:type="dxa"/>
            <w:shd w:val="clear" w:color="auto" w:fill="auto"/>
          </w:tcPr>
          <w:p w14:paraId="01050B64" w14:textId="6962E1AD"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lastRenderedPageBreak/>
              <w:t>司法院、行政院</w:t>
            </w:r>
          </w:p>
          <w:p w14:paraId="3992AFB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 xml:space="preserve">111.10.28 </w:t>
            </w:r>
          </w:p>
          <w:p w14:paraId="4B6B64F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lastRenderedPageBreak/>
              <w:t>（10-6-5）</w:t>
            </w:r>
          </w:p>
        </w:tc>
        <w:tc>
          <w:tcPr>
            <w:tcW w:w="1516" w:type="dxa"/>
            <w:shd w:val="clear" w:color="auto" w:fill="auto"/>
          </w:tcPr>
          <w:p w14:paraId="720CE4C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lastRenderedPageBreak/>
              <w:t>司法及法制</w:t>
            </w:r>
          </w:p>
        </w:tc>
        <w:tc>
          <w:tcPr>
            <w:tcW w:w="1778" w:type="dxa"/>
            <w:shd w:val="clear" w:color="auto" w:fill="auto"/>
          </w:tcPr>
          <w:p w14:paraId="73B1244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尚未審查</w:t>
            </w:r>
          </w:p>
        </w:tc>
      </w:tr>
    </w:tbl>
    <w:p w14:paraId="5DF5038F"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350" w:name="_Toc361217342"/>
      <w:bookmarkStart w:id="351" w:name="_Toc362968402"/>
      <w:bookmarkStart w:id="352" w:name="_Toc428286969"/>
      <w:bookmarkStart w:id="353" w:name="_Toc510167689"/>
      <w:bookmarkStart w:id="354" w:name="_Toc1401072"/>
      <w:bookmarkStart w:id="355" w:name="_Toc96350527"/>
      <w:r w:rsidRPr="00026143">
        <w:rPr>
          <w:color w:val="000000" w:themeColor="text1"/>
        </w:rPr>
        <w:lastRenderedPageBreak/>
        <w:t>（五）考試院</w:t>
      </w:r>
      <w:r w:rsidRPr="00026143">
        <w:rPr>
          <w:rFonts w:hint="eastAsia"/>
          <w:color w:val="000000" w:themeColor="text1"/>
        </w:rPr>
        <w:t>3</w:t>
      </w:r>
      <w:bookmarkEnd w:id="350"/>
      <w:bookmarkEnd w:id="351"/>
      <w:bookmarkEnd w:id="352"/>
      <w:bookmarkEnd w:id="353"/>
      <w:bookmarkEnd w:id="354"/>
      <w:r w:rsidRPr="00026143">
        <w:rPr>
          <w:color w:val="000000" w:themeColor="text1"/>
        </w:rPr>
        <w:t>案</w:t>
      </w:r>
      <w:bookmarkEnd w:id="355"/>
    </w:p>
    <w:tbl>
      <w:tblPr>
        <w:tblW w:w="860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95"/>
        <w:gridCol w:w="2695"/>
        <w:gridCol w:w="1983"/>
        <w:gridCol w:w="1516"/>
        <w:gridCol w:w="1820"/>
      </w:tblGrid>
      <w:tr w:rsidR="00EC13B7" w:rsidRPr="00026143" w14:paraId="64007993" w14:textId="77777777" w:rsidTr="005A00AD">
        <w:trPr>
          <w:trHeight w:val="652"/>
        </w:trPr>
        <w:tc>
          <w:tcPr>
            <w:tcW w:w="595" w:type="dxa"/>
            <w:shd w:val="clear" w:color="auto" w:fill="auto"/>
          </w:tcPr>
          <w:p w14:paraId="1B967D83" w14:textId="77777777" w:rsidR="00EC13B7" w:rsidRPr="00026143" w:rsidRDefault="00EC13B7" w:rsidP="00292D26">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95" w:type="dxa"/>
            <w:shd w:val="clear" w:color="auto" w:fill="auto"/>
          </w:tcPr>
          <w:p w14:paraId="7759C807" w14:textId="77777777" w:rsidR="00EC13B7" w:rsidRPr="00026143" w:rsidRDefault="00EC13B7" w:rsidP="00292D26">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83" w:type="dxa"/>
            <w:shd w:val="clear" w:color="auto" w:fill="auto"/>
          </w:tcPr>
          <w:p w14:paraId="4A5BB2A6"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3AE158C1"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516" w:type="dxa"/>
            <w:shd w:val="clear" w:color="auto" w:fill="auto"/>
          </w:tcPr>
          <w:p w14:paraId="7216C4C5"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20" w:type="dxa"/>
            <w:shd w:val="clear" w:color="auto" w:fill="auto"/>
          </w:tcPr>
          <w:p w14:paraId="6E879F8B"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176051D1" w14:textId="77777777" w:rsidTr="00FD0E6A">
        <w:tc>
          <w:tcPr>
            <w:tcW w:w="595" w:type="dxa"/>
            <w:shd w:val="clear" w:color="auto" w:fill="auto"/>
          </w:tcPr>
          <w:p w14:paraId="0144F3C4" w14:textId="77777777" w:rsidR="00EC13B7" w:rsidRPr="00026143" w:rsidRDefault="00EC13B7" w:rsidP="00292D26">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w:t>
            </w:r>
          </w:p>
        </w:tc>
        <w:tc>
          <w:tcPr>
            <w:tcW w:w="2695" w:type="dxa"/>
            <w:shd w:val="clear" w:color="auto" w:fill="auto"/>
          </w:tcPr>
          <w:p w14:paraId="4D48673E" w14:textId="77777777" w:rsidR="00EC13B7" w:rsidRPr="00026143" w:rsidRDefault="00EC13B7" w:rsidP="00292D26">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983" w:type="dxa"/>
            <w:shd w:val="clear" w:color="auto" w:fill="auto"/>
          </w:tcPr>
          <w:p w14:paraId="6DAD8279"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委員鍾佳濱</w:t>
            </w:r>
          </w:p>
          <w:p w14:paraId="3473562B"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 xml:space="preserve">等22人 </w:t>
            </w:r>
          </w:p>
          <w:p w14:paraId="47BD6CFD"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109.04.24</w:t>
            </w:r>
          </w:p>
          <w:p w14:paraId="490AF6AF"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（10-1-10）</w:t>
            </w:r>
          </w:p>
        </w:tc>
        <w:tc>
          <w:tcPr>
            <w:tcW w:w="1516" w:type="dxa"/>
            <w:shd w:val="clear" w:color="auto" w:fill="auto"/>
          </w:tcPr>
          <w:p w14:paraId="44A66A12"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820" w:type="dxa"/>
            <w:shd w:val="clear" w:color="auto" w:fill="auto"/>
          </w:tcPr>
          <w:p w14:paraId="3F400DDB"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0638BD1" w14:textId="77777777" w:rsidTr="00FD0E6A">
        <w:tc>
          <w:tcPr>
            <w:tcW w:w="595" w:type="dxa"/>
            <w:shd w:val="clear" w:color="auto" w:fill="auto"/>
          </w:tcPr>
          <w:p w14:paraId="652F8ECC" w14:textId="77777777" w:rsidR="00EC13B7" w:rsidRPr="00026143" w:rsidRDefault="00EC13B7" w:rsidP="00292D26">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2</w:t>
            </w:r>
          </w:p>
        </w:tc>
        <w:tc>
          <w:tcPr>
            <w:tcW w:w="2695" w:type="dxa"/>
            <w:shd w:val="clear" w:color="auto" w:fill="auto"/>
          </w:tcPr>
          <w:p w14:paraId="6C861A13" w14:textId="77777777" w:rsidR="00EC13B7" w:rsidRPr="00026143" w:rsidRDefault="00EC13B7" w:rsidP="00292D26">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公務人員退休撫卹基金管理委員會組織條例修</w:t>
            </w:r>
            <w:r w:rsidRPr="00026143">
              <w:rPr>
                <w:rFonts w:ascii="標楷體" w:eastAsia="標楷體" w:hAnsi="標楷體" w:hint="eastAsia"/>
                <w:color w:val="000000" w:themeColor="text1"/>
              </w:rPr>
              <w:lastRenderedPageBreak/>
              <w:t>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983" w:type="dxa"/>
            <w:shd w:val="clear" w:color="auto" w:fill="auto"/>
          </w:tcPr>
          <w:p w14:paraId="6FA32F4E"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委員曾銘宗</w:t>
            </w:r>
          </w:p>
          <w:p w14:paraId="625AAC75"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等19人 </w:t>
            </w:r>
          </w:p>
          <w:p w14:paraId="4B96FEB6"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 xml:space="preserve">109.09.18 </w:t>
            </w:r>
          </w:p>
          <w:p w14:paraId="7AB66FC5"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（10-2-1）</w:t>
            </w:r>
          </w:p>
        </w:tc>
        <w:tc>
          <w:tcPr>
            <w:tcW w:w="1516" w:type="dxa"/>
            <w:shd w:val="clear" w:color="auto" w:fill="auto"/>
          </w:tcPr>
          <w:p w14:paraId="43EAC8BC"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w:t>
            </w:r>
          </w:p>
        </w:tc>
        <w:tc>
          <w:tcPr>
            <w:tcW w:w="1820" w:type="dxa"/>
            <w:shd w:val="clear" w:color="auto" w:fill="auto"/>
          </w:tcPr>
          <w:p w14:paraId="2123AAFE"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9C888BF" w14:textId="77777777" w:rsidTr="00FD0E6A">
        <w:tc>
          <w:tcPr>
            <w:tcW w:w="595" w:type="dxa"/>
            <w:shd w:val="clear" w:color="auto" w:fill="auto"/>
          </w:tcPr>
          <w:p w14:paraId="35F7BDF3" w14:textId="77777777" w:rsidR="00EC13B7" w:rsidRPr="00026143" w:rsidRDefault="00EC13B7" w:rsidP="00292D26">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695" w:type="dxa"/>
            <w:shd w:val="clear" w:color="auto" w:fill="auto"/>
          </w:tcPr>
          <w:p w14:paraId="7C3ED1D7" w14:textId="77777777" w:rsidR="00EC13B7" w:rsidRPr="00026143" w:rsidRDefault="00EC13B7" w:rsidP="00292D26">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公務人員退休撫卹基金監理委員會組織條例修正草案（修正名稱、§1~3、5、7~10；增訂§4、6；刪除現行§1、4、7、8、12。修正重點：參照中央行政機關組織基準法規定，修正本會組織條例名稱，不得以作用法或其他法規規定機關之組織，爰將本法源依據刪除；增列風險管理之考核事項為本會職掌；修正基金監理會委員之人數及組成；增列本會委員於任職期間謹守利益迴避原則；將委員會議召開頻率調升為每二個月舉行一次。）</w:t>
            </w:r>
          </w:p>
        </w:tc>
        <w:tc>
          <w:tcPr>
            <w:tcW w:w="1983" w:type="dxa"/>
            <w:shd w:val="clear" w:color="auto" w:fill="auto"/>
          </w:tcPr>
          <w:p w14:paraId="110518A6"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委員曾銘宗</w:t>
            </w:r>
          </w:p>
          <w:p w14:paraId="0B8F4F61"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 xml:space="preserve">等19人 </w:t>
            </w:r>
          </w:p>
          <w:p w14:paraId="13E50320"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 xml:space="preserve">109.09.18 </w:t>
            </w:r>
          </w:p>
          <w:p w14:paraId="53B58FA8"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（10-2-1）</w:t>
            </w:r>
          </w:p>
        </w:tc>
        <w:tc>
          <w:tcPr>
            <w:tcW w:w="1516" w:type="dxa"/>
            <w:shd w:val="clear" w:color="auto" w:fill="auto"/>
          </w:tcPr>
          <w:p w14:paraId="7755003C"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820" w:type="dxa"/>
            <w:shd w:val="clear" w:color="auto" w:fill="auto"/>
          </w:tcPr>
          <w:p w14:paraId="12F706B2" w14:textId="77777777" w:rsidR="00EC13B7" w:rsidRPr="00026143" w:rsidRDefault="00EC13B7" w:rsidP="005A00AD">
            <w:pPr>
              <w:kinsoku w:val="0"/>
              <w:wordWrap w:val="0"/>
              <w:topLinePun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bl>
    <w:p w14:paraId="0D32D611"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356" w:name="_Toc361217343"/>
      <w:bookmarkStart w:id="357" w:name="_Toc362968403"/>
      <w:bookmarkStart w:id="358" w:name="_Toc428286970"/>
      <w:bookmarkStart w:id="359" w:name="_Toc510167690"/>
      <w:bookmarkStart w:id="360" w:name="_Toc1401073"/>
      <w:bookmarkStart w:id="361" w:name="_Toc96350528"/>
      <w:r w:rsidRPr="00026143">
        <w:rPr>
          <w:color w:val="000000" w:themeColor="text1"/>
        </w:rPr>
        <w:t>（六）監察院</w:t>
      </w:r>
      <w:bookmarkEnd w:id="356"/>
      <w:bookmarkEnd w:id="357"/>
      <w:bookmarkEnd w:id="358"/>
      <w:bookmarkEnd w:id="359"/>
      <w:bookmarkEnd w:id="360"/>
      <w:r w:rsidRPr="00026143">
        <w:rPr>
          <w:rFonts w:hint="eastAsia"/>
          <w:color w:val="000000" w:themeColor="text1"/>
        </w:rPr>
        <w:t>1</w:t>
      </w:r>
      <w:r w:rsidRPr="00026143">
        <w:rPr>
          <w:color w:val="000000" w:themeColor="text1"/>
        </w:rPr>
        <w:t>案</w:t>
      </w:r>
      <w:bookmarkEnd w:id="361"/>
    </w:p>
    <w:tbl>
      <w:tblPr>
        <w:tblW w:w="8665"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02"/>
        <w:gridCol w:w="1960"/>
        <w:gridCol w:w="1581"/>
        <w:gridCol w:w="1848"/>
      </w:tblGrid>
      <w:tr w:rsidR="00EC13B7" w:rsidRPr="00026143" w14:paraId="4E2B9A06" w14:textId="77777777" w:rsidTr="007932B9">
        <w:tc>
          <w:tcPr>
            <w:tcW w:w="574" w:type="dxa"/>
            <w:shd w:val="clear" w:color="auto" w:fill="auto"/>
          </w:tcPr>
          <w:p w14:paraId="724AF302"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bookmarkStart w:id="362" w:name="_Hlk74928909"/>
            <w:r w:rsidRPr="00026143">
              <w:rPr>
                <w:rFonts w:ascii="標楷體" w:eastAsia="標楷體" w:hAnsi="標楷體"/>
                <w:b/>
                <w:color w:val="000000" w:themeColor="text1"/>
              </w:rPr>
              <w:t>序號</w:t>
            </w:r>
          </w:p>
        </w:tc>
        <w:tc>
          <w:tcPr>
            <w:tcW w:w="2702" w:type="dxa"/>
            <w:shd w:val="clear" w:color="auto" w:fill="auto"/>
          </w:tcPr>
          <w:p w14:paraId="405993B4" w14:textId="77777777" w:rsidR="00EC13B7" w:rsidRPr="00026143" w:rsidRDefault="00EC13B7"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60" w:type="dxa"/>
            <w:shd w:val="clear" w:color="auto" w:fill="auto"/>
          </w:tcPr>
          <w:p w14:paraId="47844385"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381F2B12"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1EC41EA5"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581" w:type="dxa"/>
            <w:shd w:val="clear" w:color="auto" w:fill="auto"/>
          </w:tcPr>
          <w:p w14:paraId="64D84FE5"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48" w:type="dxa"/>
            <w:shd w:val="clear" w:color="auto" w:fill="auto"/>
          </w:tcPr>
          <w:p w14:paraId="597DE79F"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681E21B3" w14:textId="77777777" w:rsidTr="007932B9">
        <w:tc>
          <w:tcPr>
            <w:tcW w:w="574" w:type="dxa"/>
            <w:shd w:val="clear" w:color="auto" w:fill="auto"/>
          </w:tcPr>
          <w:p w14:paraId="79C0BB28"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w:t>
            </w:r>
          </w:p>
        </w:tc>
        <w:tc>
          <w:tcPr>
            <w:tcW w:w="2702" w:type="dxa"/>
            <w:shd w:val="clear" w:color="auto" w:fill="auto"/>
          </w:tcPr>
          <w:p w14:paraId="71D8EBB5"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960" w:type="dxa"/>
            <w:shd w:val="clear" w:color="auto" w:fill="auto"/>
          </w:tcPr>
          <w:p w14:paraId="29D77A76"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委員林為洲</w:t>
            </w:r>
          </w:p>
          <w:p w14:paraId="4A81D683"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等20人</w:t>
            </w:r>
          </w:p>
          <w:p w14:paraId="720F2AAA"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109.04.10 </w:t>
            </w:r>
          </w:p>
          <w:p w14:paraId="4AE4BC1C"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（10-1-8）</w:t>
            </w:r>
          </w:p>
        </w:tc>
        <w:tc>
          <w:tcPr>
            <w:tcW w:w="1581" w:type="dxa"/>
            <w:shd w:val="clear" w:color="auto" w:fill="auto"/>
          </w:tcPr>
          <w:p w14:paraId="44115DDB"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48" w:type="dxa"/>
            <w:shd w:val="clear" w:color="auto" w:fill="auto"/>
          </w:tcPr>
          <w:p w14:paraId="694A72AC"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66FFBB79"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363" w:name="_Toc361217344"/>
      <w:bookmarkStart w:id="364" w:name="_Toc362968404"/>
      <w:bookmarkStart w:id="365" w:name="_Toc428286971"/>
      <w:bookmarkStart w:id="366" w:name="_Toc510167691"/>
      <w:bookmarkStart w:id="367" w:name="_Toc1401074"/>
      <w:bookmarkStart w:id="368" w:name="_Toc96350529"/>
      <w:bookmarkEnd w:id="362"/>
      <w:r w:rsidRPr="00026143">
        <w:rPr>
          <w:color w:val="000000" w:themeColor="text1"/>
        </w:rPr>
        <w:t>（七）其他（包含交付多個委員會聯席審查）</w:t>
      </w:r>
      <w:r w:rsidRPr="00026143">
        <w:rPr>
          <w:rFonts w:hint="eastAsia"/>
          <w:color w:val="000000" w:themeColor="text1"/>
        </w:rPr>
        <w:t>4</w:t>
      </w:r>
      <w:r w:rsidRPr="00026143">
        <w:rPr>
          <w:color w:val="000000" w:themeColor="text1"/>
        </w:rPr>
        <w:t>案</w:t>
      </w:r>
      <w:bookmarkEnd w:id="363"/>
      <w:bookmarkEnd w:id="364"/>
      <w:bookmarkEnd w:id="365"/>
      <w:bookmarkEnd w:id="366"/>
      <w:bookmarkEnd w:id="367"/>
      <w:bookmarkEnd w:id="368"/>
    </w:p>
    <w:tbl>
      <w:tblPr>
        <w:tblW w:w="8665"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16"/>
        <w:gridCol w:w="1946"/>
        <w:gridCol w:w="1738"/>
        <w:gridCol w:w="1691"/>
      </w:tblGrid>
      <w:tr w:rsidR="00EC13B7" w:rsidRPr="00026143" w14:paraId="16B85B8D" w14:textId="77777777" w:rsidTr="00EC13B7">
        <w:tc>
          <w:tcPr>
            <w:tcW w:w="574" w:type="dxa"/>
            <w:shd w:val="clear" w:color="auto" w:fill="auto"/>
          </w:tcPr>
          <w:p w14:paraId="7BC7FCED"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16" w:type="dxa"/>
            <w:shd w:val="clear" w:color="auto" w:fill="auto"/>
          </w:tcPr>
          <w:p w14:paraId="423F067C"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46" w:type="dxa"/>
            <w:shd w:val="clear" w:color="auto" w:fill="auto"/>
          </w:tcPr>
          <w:p w14:paraId="06E89C97"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24CC02A8"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738" w:type="dxa"/>
            <w:shd w:val="clear" w:color="auto" w:fill="auto"/>
          </w:tcPr>
          <w:p w14:paraId="418EAA8B"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691" w:type="dxa"/>
            <w:shd w:val="clear" w:color="auto" w:fill="auto"/>
          </w:tcPr>
          <w:p w14:paraId="1931633A"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0082280A" w14:textId="77777777" w:rsidTr="00EC13B7">
        <w:tc>
          <w:tcPr>
            <w:tcW w:w="574" w:type="dxa"/>
            <w:shd w:val="clear" w:color="auto" w:fill="auto"/>
          </w:tcPr>
          <w:p w14:paraId="399CDB88"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716" w:type="dxa"/>
            <w:shd w:val="clear" w:color="auto" w:fill="auto"/>
          </w:tcPr>
          <w:p w14:paraId="519EC9CC"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946" w:type="dxa"/>
            <w:shd w:val="clear" w:color="auto" w:fill="auto"/>
          </w:tcPr>
          <w:p w14:paraId="53B06555"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委員鍾佳濱</w:t>
            </w:r>
          </w:p>
          <w:p w14:paraId="312C5FFF"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等19人</w:t>
            </w:r>
          </w:p>
          <w:p w14:paraId="0E6B859E"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109.05.15</w:t>
            </w:r>
          </w:p>
          <w:p w14:paraId="4DF1B8EB"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（10-1-13）</w:t>
            </w:r>
          </w:p>
        </w:tc>
        <w:tc>
          <w:tcPr>
            <w:tcW w:w="1738" w:type="dxa"/>
            <w:shd w:val="clear" w:color="auto" w:fill="auto"/>
          </w:tcPr>
          <w:p w14:paraId="4D4FE3E4" w14:textId="77777777" w:rsidR="00EC13B7" w:rsidRPr="00026143" w:rsidRDefault="00EC13B7" w:rsidP="007932B9">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司法及法制、內政、教育及文化</w:t>
            </w:r>
          </w:p>
        </w:tc>
        <w:tc>
          <w:tcPr>
            <w:tcW w:w="1691" w:type="dxa"/>
            <w:shd w:val="clear" w:color="auto" w:fill="auto"/>
          </w:tcPr>
          <w:p w14:paraId="0CE67779"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70035CA" w14:textId="77777777" w:rsidTr="00EC13B7">
        <w:tc>
          <w:tcPr>
            <w:tcW w:w="574" w:type="dxa"/>
            <w:shd w:val="clear" w:color="auto" w:fill="auto"/>
          </w:tcPr>
          <w:p w14:paraId="1C46BB43"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716" w:type="dxa"/>
            <w:shd w:val="clear" w:color="auto" w:fill="auto"/>
          </w:tcPr>
          <w:p w14:paraId="608AB296"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1.中央警察大學組織條例第三條及第五條條文修正草案（修正重點：增設研發處負責學科發展與學術交流相關事務，並增置學術副校長一人。）</w:t>
            </w:r>
          </w:p>
        </w:tc>
        <w:tc>
          <w:tcPr>
            <w:tcW w:w="1946" w:type="dxa"/>
            <w:shd w:val="clear" w:color="auto" w:fill="auto"/>
          </w:tcPr>
          <w:p w14:paraId="43F20124"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36229FBD"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等23人</w:t>
            </w:r>
          </w:p>
          <w:p w14:paraId="6956F172"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109.05.15</w:t>
            </w:r>
          </w:p>
          <w:p w14:paraId="47798FCF"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（10-1-13）</w:t>
            </w:r>
          </w:p>
        </w:tc>
        <w:tc>
          <w:tcPr>
            <w:tcW w:w="1738" w:type="dxa"/>
            <w:shd w:val="clear" w:color="auto" w:fill="auto"/>
          </w:tcPr>
          <w:p w14:paraId="1D8ED989"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司法及法制、內政、教育及文化</w:t>
            </w:r>
          </w:p>
        </w:tc>
        <w:tc>
          <w:tcPr>
            <w:tcW w:w="1691" w:type="dxa"/>
            <w:shd w:val="clear" w:color="auto" w:fill="auto"/>
          </w:tcPr>
          <w:p w14:paraId="0C3C0E60"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161086" w14:textId="77777777" w:rsidTr="00EC13B7">
        <w:tc>
          <w:tcPr>
            <w:tcW w:w="574" w:type="dxa"/>
            <w:shd w:val="clear" w:color="auto" w:fill="auto"/>
          </w:tcPr>
          <w:p w14:paraId="5E1C7A12"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716" w:type="dxa"/>
            <w:shd w:val="clear" w:color="auto" w:fill="auto"/>
          </w:tcPr>
          <w:p w14:paraId="0583EFC4"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2.中央警察大學組織條例第七條條文修正草案(修正重點：為配合本條例增設研發處，應增置研發長一人，並明定研發長職務列警監或警正，必要時得由教授兼任之。)</w:t>
            </w:r>
          </w:p>
        </w:tc>
        <w:tc>
          <w:tcPr>
            <w:tcW w:w="1946" w:type="dxa"/>
            <w:shd w:val="clear" w:color="auto" w:fill="auto"/>
          </w:tcPr>
          <w:p w14:paraId="3191E2E8"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44BABAAB"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等16人</w:t>
            </w:r>
          </w:p>
          <w:p w14:paraId="4A980A89"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109.05.22</w:t>
            </w:r>
          </w:p>
          <w:p w14:paraId="45D9107F"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（10-1-14）</w:t>
            </w:r>
          </w:p>
        </w:tc>
        <w:tc>
          <w:tcPr>
            <w:tcW w:w="1738" w:type="dxa"/>
            <w:shd w:val="clear" w:color="auto" w:fill="auto"/>
          </w:tcPr>
          <w:p w14:paraId="335AB31A"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司法及法制、內政、教育及文化</w:t>
            </w:r>
          </w:p>
        </w:tc>
        <w:tc>
          <w:tcPr>
            <w:tcW w:w="1691" w:type="dxa"/>
            <w:shd w:val="clear" w:color="auto" w:fill="auto"/>
          </w:tcPr>
          <w:p w14:paraId="3995B38E"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508D207" w14:textId="77777777" w:rsidTr="00EC13B7">
        <w:tc>
          <w:tcPr>
            <w:tcW w:w="574" w:type="dxa"/>
            <w:tcBorders>
              <w:top w:val="single" w:sz="6" w:space="0" w:color="auto"/>
              <w:left w:val="single" w:sz="18" w:space="0" w:color="auto"/>
              <w:bottom w:val="single" w:sz="18" w:space="0" w:color="auto"/>
              <w:right w:val="single" w:sz="6" w:space="0" w:color="auto"/>
            </w:tcBorders>
            <w:shd w:val="clear" w:color="auto" w:fill="auto"/>
          </w:tcPr>
          <w:p w14:paraId="4C84B88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bookmarkStart w:id="369" w:name="_Toc361217345"/>
            <w:bookmarkStart w:id="370" w:name="_Toc362968405"/>
            <w:bookmarkStart w:id="371" w:name="_Toc428286972"/>
            <w:bookmarkStart w:id="372" w:name="_Toc510167692"/>
            <w:bookmarkStart w:id="373" w:name="_Toc1401075"/>
            <w:bookmarkStart w:id="374" w:name="_Toc96350530"/>
            <w:r w:rsidRPr="00026143">
              <w:rPr>
                <w:rFonts w:ascii="標楷體" w:eastAsia="標楷體" w:hAnsi="標楷體"/>
                <w:color w:val="000000" w:themeColor="text1"/>
              </w:rPr>
              <w:t>4</w:t>
            </w:r>
          </w:p>
        </w:tc>
        <w:tc>
          <w:tcPr>
            <w:tcW w:w="2716" w:type="dxa"/>
            <w:tcBorders>
              <w:top w:val="single" w:sz="6" w:space="0" w:color="auto"/>
              <w:left w:val="single" w:sz="6" w:space="0" w:color="auto"/>
              <w:bottom w:val="single" w:sz="18" w:space="0" w:color="auto"/>
              <w:right w:val="single" w:sz="6" w:space="0" w:color="auto"/>
            </w:tcBorders>
            <w:shd w:val="clear" w:color="auto" w:fill="auto"/>
          </w:tcPr>
          <w:p w14:paraId="1AA7D05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廢止「國民大會組織法」(廢止重點：立法院於民</w:t>
            </w:r>
            <w:r w:rsidRPr="00026143">
              <w:rPr>
                <w:rFonts w:ascii="標楷體" w:eastAsia="標楷體" w:hAnsi="標楷體"/>
                <w:color w:val="000000" w:themeColor="text1"/>
              </w:rPr>
              <w:lastRenderedPageBreak/>
              <w:t>國九十三年八月二十三日通過憲法增修條文修正提案，並經任務型國民大會複決，於九十四年六月十日公布施行，任務型國民大會業被廢止，爰提案廢止。)</w:t>
            </w:r>
          </w:p>
        </w:tc>
        <w:tc>
          <w:tcPr>
            <w:tcW w:w="1946" w:type="dxa"/>
            <w:tcBorders>
              <w:top w:val="single" w:sz="6" w:space="0" w:color="auto"/>
              <w:left w:val="single" w:sz="6" w:space="0" w:color="auto"/>
              <w:bottom w:val="single" w:sz="18" w:space="0" w:color="auto"/>
              <w:right w:val="single" w:sz="6" w:space="0" w:color="auto"/>
            </w:tcBorders>
            <w:shd w:val="clear" w:color="auto" w:fill="auto"/>
          </w:tcPr>
          <w:p w14:paraId="32F03D0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委員鄭運鵬</w:t>
            </w:r>
          </w:p>
          <w:p w14:paraId="4562CBF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7A380EC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111.12.09 </w:t>
            </w:r>
          </w:p>
          <w:p w14:paraId="539B199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738" w:type="dxa"/>
            <w:tcBorders>
              <w:top w:val="single" w:sz="6" w:space="0" w:color="auto"/>
              <w:left w:val="single" w:sz="6" w:space="0" w:color="auto"/>
              <w:bottom w:val="single" w:sz="18" w:space="0" w:color="auto"/>
              <w:right w:val="single" w:sz="6" w:space="0" w:color="auto"/>
            </w:tcBorders>
            <w:shd w:val="clear" w:color="auto" w:fill="auto"/>
          </w:tcPr>
          <w:p w14:paraId="0032A70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91" w:type="dxa"/>
            <w:tcBorders>
              <w:top w:val="single" w:sz="6" w:space="0" w:color="auto"/>
              <w:left w:val="single" w:sz="6" w:space="0" w:color="auto"/>
              <w:bottom w:val="single" w:sz="18" w:space="0" w:color="auto"/>
              <w:right w:val="single" w:sz="18" w:space="0" w:color="auto"/>
            </w:tcBorders>
            <w:shd w:val="clear" w:color="auto" w:fill="auto"/>
          </w:tcPr>
          <w:p w14:paraId="323E8F3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5E6E1C60" w14:textId="77777777" w:rsidR="00EC13B7" w:rsidRPr="00026143" w:rsidRDefault="00EC13B7" w:rsidP="007932B9">
      <w:pPr>
        <w:pStyle w:val="afffffc"/>
        <w:kinsoku w:val="0"/>
        <w:wordWrap w:val="0"/>
        <w:topLinePunct/>
        <w:spacing w:beforeLines="100" w:before="360" w:afterLines="100" w:after="360" w:line="260" w:lineRule="exact"/>
        <w:ind w:left="851"/>
        <w:jc w:val="left"/>
        <w:textAlignment w:val="top"/>
        <w:rPr>
          <w:color w:val="000000" w:themeColor="text1"/>
          <w:szCs w:val="28"/>
        </w:rPr>
      </w:pPr>
      <w:r w:rsidRPr="00026143">
        <w:rPr>
          <w:color w:val="000000" w:themeColor="text1"/>
          <w:szCs w:val="28"/>
        </w:rPr>
        <w:lastRenderedPageBreak/>
        <w:t>二、作用法</w:t>
      </w:r>
      <w:r w:rsidRPr="00026143">
        <w:rPr>
          <w:rFonts w:hint="eastAsia"/>
          <w:color w:val="000000" w:themeColor="text1"/>
          <w:szCs w:val="28"/>
        </w:rPr>
        <w:t>652</w:t>
      </w:r>
      <w:r w:rsidRPr="00026143">
        <w:rPr>
          <w:color w:val="000000" w:themeColor="text1"/>
          <w:szCs w:val="28"/>
        </w:rPr>
        <w:t>案</w:t>
      </w:r>
      <w:bookmarkEnd w:id="369"/>
      <w:bookmarkEnd w:id="370"/>
      <w:bookmarkEnd w:id="371"/>
      <w:bookmarkEnd w:id="372"/>
      <w:bookmarkEnd w:id="373"/>
      <w:bookmarkEnd w:id="374"/>
    </w:p>
    <w:p w14:paraId="414373CE"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375" w:name="_Toc361217346"/>
      <w:bookmarkStart w:id="376" w:name="_Toc362968406"/>
      <w:bookmarkStart w:id="377" w:name="_Toc428286973"/>
      <w:bookmarkStart w:id="378" w:name="_Toc510167693"/>
      <w:bookmarkStart w:id="379" w:name="_Toc1401076"/>
      <w:bookmarkStart w:id="380" w:name="_Toc96350531"/>
      <w:r w:rsidRPr="00026143">
        <w:rPr>
          <w:color w:val="000000" w:themeColor="text1"/>
        </w:rPr>
        <w:t>（一）總統府（含國家安全會議）15案</w:t>
      </w:r>
      <w:bookmarkEnd w:id="375"/>
      <w:bookmarkEnd w:id="376"/>
      <w:bookmarkEnd w:id="377"/>
      <w:bookmarkEnd w:id="378"/>
      <w:bookmarkEnd w:id="379"/>
      <w:bookmarkEnd w:id="380"/>
    </w:p>
    <w:tbl>
      <w:tblPr>
        <w:tblW w:w="875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96"/>
        <w:gridCol w:w="1904"/>
        <w:gridCol w:w="1599"/>
        <w:gridCol w:w="1886"/>
      </w:tblGrid>
      <w:tr w:rsidR="00EC13B7" w:rsidRPr="00026143" w14:paraId="115DF5C8" w14:textId="77777777" w:rsidTr="007932B9">
        <w:tc>
          <w:tcPr>
            <w:tcW w:w="574" w:type="dxa"/>
            <w:shd w:val="clear" w:color="auto" w:fill="auto"/>
          </w:tcPr>
          <w:p w14:paraId="53BE730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96" w:type="dxa"/>
            <w:shd w:val="clear" w:color="auto" w:fill="auto"/>
          </w:tcPr>
          <w:p w14:paraId="4C4F176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04" w:type="dxa"/>
            <w:shd w:val="clear" w:color="auto" w:fill="auto"/>
          </w:tcPr>
          <w:p w14:paraId="11409D3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76DAEFB5"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599" w:type="dxa"/>
            <w:shd w:val="clear" w:color="auto" w:fill="auto"/>
          </w:tcPr>
          <w:p w14:paraId="482AF893"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86" w:type="dxa"/>
            <w:shd w:val="clear" w:color="auto" w:fill="auto"/>
          </w:tcPr>
          <w:p w14:paraId="338F092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7E331491" w14:textId="77777777" w:rsidTr="00974FB5">
        <w:tc>
          <w:tcPr>
            <w:tcW w:w="574" w:type="dxa"/>
            <w:shd w:val="clear" w:color="auto" w:fill="auto"/>
          </w:tcPr>
          <w:p w14:paraId="5CAAB55F"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w:t>
            </w:r>
          </w:p>
        </w:tc>
        <w:tc>
          <w:tcPr>
            <w:tcW w:w="2796" w:type="dxa"/>
            <w:shd w:val="clear" w:color="auto" w:fill="auto"/>
          </w:tcPr>
          <w:p w14:paraId="1BFCF4CD"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1.總統副總統宣誓條例第三條條文修正草案（修正重點：修正副總統誓詞內容，將「國家」明定為「中華民國」；增訂第二項，未依規定宣誓者，視同未就職。）</w:t>
            </w:r>
          </w:p>
        </w:tc>
        <w:tc>
          <w:tcPr>
            <w:tcW w:w="1904" w:type="dxa"/>
            <w:shd w:val="clear" w:color="auto" w:fill="auto"/>
          </w:tcPr>
          <w:p w14:paraId="5248168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委員江啟臣</w:t>
            </w:r>
          </w:p>
          <w:p w14:paraId="3295A39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等31人 </w:t>
            </w:r>
          </w:p>
          <w:p w14:paraId="31B0E00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109.10.06 </w:t>
            </w:r>
          </w:p>
          <w:p w14:paraId="698FF53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（10-2-3）</w:t>
            </w:r>
          </w:p>
        </w:tc>
        <w:tc>
          <w:tcPr>
            <w:tcW w:w="1599" w:type="dxa"/>
            <w:shd w:val="clear" w:color="auto" w:fill="auto"/>
          </w:tcPr>
          <w:p w14:paraId="52BE218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631A2CB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842A4B8" w14:textId="77777777" w:rsidTr="00974FB5">
        <w:tc>
          <w:tcPr>
            <w:tcW w:w="574" w:type="dxa"/>
            <w:shd w:val="clear" w:color="auto" w:fill="auto"/>
          </w:tcPr>
          <w:p w14:paraId="08A8EA94"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2</w:t>
            </w:r>
          </w:p>
        </w:tc>
        <w:tc>
          <w:tcPr>
            <w:tcW w:w="2796" w:type="dxa"/>
            <w:shd w:val="clear" w:color="auto" w:fill="auto"/>
          </w:tcPr>
          <w:p w14:paraId="533BD275"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2.總統副總統宣誓條例第三條條文修正草案（修正重點：於總統副總統之宣誓，應容許以臺灣各固有族群使用之自然語言及臺灣手語為之。）</w:t>
            </w:r>
          </w:p>
        </w:tc>
        <w:tc>
          <w:tcPr>
            <w:tcW w:w="1904" w:type="dxa"/>
            <w:shd w:val="clear" w:color="auto" w:fill="auto"/>
          </w:tcPr>
          <w:p w14:paraId="3905B02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委員廖國棟</w:t>
            </w:r>
          </w:p>
          <w:p w14:paraId="2A44170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1134EE6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36AA53A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（10-4-4）</w:t>
            </w:r>
          </w:p>
        </w:tc>
        <w:tc>
          <w:tcPr>
            <w:tcW w:w="1599" w:type="dxa"/>
            <w:shd w:val="clear" w:color="auto" w:fill="auto"/>
          </w:tcPr>
          <w:p w14:paraId="3F58525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3A5C76B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49ABADC" w14:textId="77777777" w:rsidTr="00974FB5">
        <w:tc>
          <w:tcPr>
            <w:tcW w:w="574" w:type="dxa"/>
            <w:shd w:val="clear" w:color="auto" w:fill="auto"/>
          </w:tcPr>
          <w:p w14:paraId="7FB5EBB3"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3</w:t>
            </w:r>
          </w:p>
        </w:tc>
        <w:tc>
          <w:tcPr>
            <w:tcW w:w="2796" w:type="dxa"/>
            <w:shd w:val="clear" w:color="auto" w:fill="auto"/>
          </w:tcPr>
          <w:p w14:paraId="01202F76"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.總統副總統宣誓條例第五條條文修正草案（修正重點：刪除條文中之「國父遺像」。）</w:t>
            </w:r>
          </w:p>
        </w:tc>
        <w:tc>
          <w:tcPr>
            <w:tcW w:w="1904" w:type="dxa"/>
            <w:shd w:val="clear" w:color="auto" w:fill="auto"/>
          </w:tcPr>
          <w:p w14:paraId="4AC9780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委員范雲</w:t>
            </w:r>
          </w:p>
          <w:p w14:paraId="2E0EFDF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032968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7FC459D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（10-2-4）</w:t>
            </w:r>
          </w:p>
        </w:tc>
        <w:tc>
          <w:tcPr>
            <w:tcW w:w="1599" w:type="dxa"/>
            <w:shd w:val="clear" w:color="auto" w:fill="auto"/>
          </w:tcPr>
          <w:p w14:paraId="2AB7161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4CD78F2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898ECDD" w14:textId="77777777" w:rsidTr="00974FB5">
        <w:tc>
          <w:tcPr>
            <w:tcW w:w="574" w:type="dxa"/>
            <w:shd w:val="clear" w:color="auto" w:fill="auto"/>
          </w:tcPr>
          <w:p w14:paraId="3EFF438B"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4</w:t>
            </w:r>
          </w:p>
        </w:tc>
        <w:tc>
          <w:tcPr>
            <w:tcW w:w="2796" w:type="dxa"/>
            <w:shd w:val="clear" w:color="auto" w:fill="auto"/>
          </w:tcPr>
          <w:p w14:paraId="61CEF91F"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2.總統副總統宣誓條例第五條條文修正草案(修正重點：刪除原條文「及國父遺像」文字，以符民主國家體制；考量就職者之多元性，增列第二項不限制其表達意思之方式。)</w:t>
            </w:r>
          </w:p>
        </w:tc>
        <w:tc>
          <w:tcPr>
            <w:tcW w:w="1904" w:type="dxa"/>
            <w:shd w:val="clear" w:color="auto" w:fill="auto"/>
          </w:tcPr>
          <w:p w14:paraId="5C37FAF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委員賴品妤</w:t>
            </w:r>
          </w:p>
          <w:p w14:paraId="6AA4CF3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FAE753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72D422C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（10-6-13）</w:t>
            </w:r>
          </w:p>
        </w:tc>
        <w:tc>
          <w:tcPr>
            <w:tcW w:w="1599" w:type="dxa"/>
            <w:shd w:val="clear" w:color="auto" w:fill="auto"/>
          </w:tcPr>
          <w:p w14:paraId="4F4673D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5CD8148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DE3F6A1" w14:textId="77777777" w:rsidTr="00974FB5">
        <w:tc>
          <w:tcPr>
            <w:tcW w:w="574" w:type="dxa"/>
            <w:shd w:val="clear" w:color="auto" w:fill="auto"/>
          </w:tcPr>
          <w:p w14:paraId="4DC3C85B"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5</w:t>
            </w:r>
          </w:p>
        </w:tc>
        <w:tc>
          <w:tcPr>
            <w:tcW w:w="2796" w:type="dxa"/>
            <w:shd w:val="clear" w:color="auto" w:fill="auto"/>
          </w:tcPr>
          <w:p w14:paraId="6AEA1E60"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1.宣誓條例第五條及第九條條文修正草案(修正重點：考量社會多元性，如因身體因素或其他正當理由無法依第一項之形式宣誓者，得依其表達</w:t>
            </w:r>
            <w:r w:rsidRPr="00026143">
              <w:rPr>
                <w:rFonts w:ascii="標楷體" w:eastAsia="標楷體" w:hAnsi="標楷體"/>
                <w:color w:val="000000" w:themeColor="text1"/>
              </w:rPr>
              <w:lastRenderedPageBreak/>
              <w:t>意思之方式為之。)</w:t>
            </w:r>
          </w:p>
        </w:tc>
        <w:tc>
          <w:tcPr>
            <w:tcW w:w="1904" w:type="dxa"/>
            <w:shd w:val="clear" w:color="auto" w:fill="auto"/>
          </w:tcPr>
          <w:p w14:paraId="329C487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委員林昶佐</w:t>
            </w:r>
          </w:p>
          <w:p w14:paraId="3095570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C39425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109.05.22 </w:t>
            </w:r>
          </w:p>
          <w:p w14:paraId="6BB2314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（10-1-14）</w:t>
            </w:r>
          </w:p>
        </w:tc>
        <w:tc>
          <w:tcPr>
            <w:tcW w:w="1599" w:type="dxa"/>
            <w:shd w:val="clear" w:color="auto" w:fill="auto"/>
          </w:tcPr>
          <w:p w14:paraId="2E18995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00BFEC9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B9923E" w14:textId="77777777" w:rsidTr="00974FB5">
        <w:tc>
          <w:tcPr>
            <w:tcW w:w="574" w:type="dxa"/>
            <w:shd w:val="clear" w:color="auto" w:fill="auto"/>
          </w:tcPr>
          <w:p w14:paraId="0D796AEA"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lastRenderedPageBreak/>
              <w:t>6</w:t>
            </w:r>
          </w:p>
        </w:tc>
        <w:tc>
          <w:tcPr>
            <w:tcW w:w="2796" w:type="dxa"/>
            <w:shd w:val="clear" w:color="auto" w:fill="auto"/>
          </w:tcPr>
          <w:p w14:paraId="06074B95"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2.宣誓條例第五條條文修正草案（修正重點：刪除條文中之「國父遺像」。）</w:t>
            </w:r>
          </w:p>
        </w:tc>
        <w:tc>
          <w:tcPr>
            <w:tcW w:w="1904" w:type="dxa"/>
            <w:shd w:val="clear" w:color="auto" w:fill="auto"/>
          </w:tcPr>
          <w:p w14:paraId="60EB4BE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委員范雲</w:t>
            </w:r>
          </w:p>
          <w:p w14:paraId="3DCC90C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BDBC9C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69D9F30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（10-2-4）</w:t>
            </w:r>
          </w:p>
        </w:tc>
        <w:tc>
          <w:tcPr>
            <w:tcW w:w="1599" w:type="dxa"/>
            <w:shd w:val="clear" w:color="auto" w:fill="auto"/>
          </w:tcPr>
          <w:p w14:paraId="694D0B8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4BBF94B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987524A" w14:textId="77777777" w:rsidTr="00974FB5">
        <w:tc>
          <w:tcPr>
            <w:tcW w:w="574" w:type="dxa"/>
            <w:shd w:val="clear" w:color="auto" w:fill="auto"/>
          </w:tcPr>
          <w:p w14:paraId="5D2C12DD"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7</w:t>
            </w:r>
          </w:p>
        </w:tc>
        <w:tc>
          <w:tcPr>
            <w:tcW w:w="2796" w:type="dxa"/>
            <w:shd w:val="clear" w:color="auto" w:fill="auto"/>
          </w:tcPr>
          <w:p w14:paraId="7EDC86EB"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3.宣誓條例第五條條文修正草案(修正重點：刪除原條文「及國父遺像」文字，以符我國民主憲政發展之現況；考量就職者之多元性，增列第二項不限制其表達意思之方式。)</w:t>
            </w:r>
          </w:p>
        </w:tc>
        <w:tc>
          <w:tcPr>
            <w:tcW w:w="1904" w:type="dxa"/>
            <w:shd w:val="clear" w:color="auto" w:fill="auto"/>
          </w:tcPr>
          <w:p w14:paraId="6D30CF0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委員賴品妤</w:t>
            </w:r>
          </w:p>
          <w:p w14:paraId="0482D12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99E930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437AF61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（10-6-13）</w:t>
            </w:r>
          </w:p>
        </w:tc>
        <w:tc>
          <w:tcPr>
            <w:tcW w:w="1599" w:type="dxa"/>
            <w:shd w:val="clear" w:color="auto" w:fill="auto"/>
          </w:tcPr>
          <w:p w14:paraId="5F3FB0F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2973C63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B561921" w14:textId="77777777" w:rsidTr="00974FB5">
        <w:tc>
          <w:tcPr>
            <w:tcW w:w="574" w:type="dxa"/>
            <w:shd w:val="clear" w:color="auto" w:fill="auto"/>
          </w:tcPr>
          <w:p w14:paraId="376CD0D4"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8</w:t>
            </w:r>
          </w:p>
        </w:tc>
        <w:tc>
          <w:tcPr>
            <w:tcW w:w="2796" w:type="dxa"/>
            <w:shd w:val="clear" w:color="auto" w:fill="auto"/>
          </w:tcPr>
          <w:p w14:paraId="649416BA"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1.宣誓條例第六條條文修正草案（修正重點：將「國家」明定為「中華民國」。）</w:t>
            </w:r>
          </w:p>
        </w:tc>
        <w:tc>
          <w:tcPr>
            <w:tcW w:w="1904" w:type="dxa"/>
            <w:shd w:val="clear" w:color="auto" w:fill="auto"/>
          </w:tcPr>
          <w:p w14:paraId="2038C2E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委員江啟臣</w:t>
            </w:r>
          </w:p>
          <w:p w14:paraId="3C98D50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等31人 </w:t>
            </w:r>
          </w:p>
          <w:p w14:paraId="4E315C9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109.10.06 </w:t>
            </w:r>
          </w:p>
          <w:p w14:paraId="56B9C7A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（10-2-3）</w:t>
            </w:r>
          </w:p>
        </w:tc>
        <w:tc>
          <w:tcPr>
            <w:tcW w:w="1599" w:type="dxa"/>
            <w:shd w:val="clear" w:color="auto" w:fill="auto"/>
          </w:tcPr>
          <w:p w14:paraId="302E01E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700AD9E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DF9BDDE" w14:textId="77777777" w:rsidTr="00974FB5">
        <w:tc>
          <w:tcPr>
            <w:tcW w:w="574" w:type="dxa"/>
            <w:shd w:val="clear" w:color="auto" w:fill="auto"/>
          </w:tcPr>
          <w:p w14:paraId="610EF967"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9</w:t>
            </w:r>
          </w:p>
        </w:tc>
        <w:tc>
          <w:tcPr>
            <w:tcW w:w="2796" w:type="dxa"/>
            <w:shd w:val="clear" w:color="auto" w:fill="auto"/>
          </w:tcPr>
          <w:p w14:paraId="1682CC59"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2.宣誓條例增訂第五條之一條文草案（增訂重點：明定宣誓得使用各族群之語言宣讀誓詞。）</w:t>
            </w:r>
          </w:p>
        </w:tc>
        <w:tc>
          <w:tcPr>
            <w:tcW w:w="1904" w:type="dxa"/>
            <w:shd w:val="clear" w:color="auto" w:fill="auto"/>
          </w:tcPr>
          <w:p w14:paraId="32E6235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委員鄭天財</w:t>
            </w:r>
          </w:p>
          <w:p w14:paraId="41E66C2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Sra Kacaw</w:t>
            </w:r>
          </w:p>
          <w:p w14:paraId="3FCF690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12FC59F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109.10</w:t>
            </w:r>
            <w:r w:rsidRPr="00026143">
              <w:rPr>
                <w:rFonts w:ascii="標楷體" w:eastAsia="標楷體" w:hAnsi="標楷體" w:hint="eastAsia"/>
                <w:color w:val="000000" w:themeColor="text1"/>
              </w:rPr>
              <w:t>.</w:t>
            </w:r>
            <w:r w:rsidRPr="00026143">
              <w:rPr>
                <w:rFonts w:ascii="標楷體" w:eastAsia="標楷體" w:hAnsi="標楷體"/>
                <w:color w:val="000000" w:themeColor="text1"/>
              </w:rPr>
              <w:t xml:space="preserve">23 </w:t>
            </w:r>
          </w:p>
          <w:p w14:paraId="7613B28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（10-2-4）</w:t>
            </w:r>
          </w:p>
        </w:tc>
        <w:tc>
          <w:tcPr>
            <w:tcW w:w="1599" w:type="dxa"/>
            <w:shd w:val="clear" w:color="auto" w:fill="auto"/>
          </w:tcPr>
          <w:p w14:paraId="6CB459B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5DE3247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B9DE330" w14:textId="77777777" w:rsidTr="00974FB5">
        <w:tc>
          <w:tcPr>
            <w:tcW w:w="574" w:type="dxa"/>
            <w:shd w:val="clear" w:color="auto" w:fill="auto"/>
          </w:tcPr>
          <w:p w14:paraId="20F5DE0B"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10</w:t>
            </w:r>
          </w:p>
        </w:tc>
        <w:tc>
          <w:tcPr>
            <w:tcW w:w="2796" w:type="dxa"/>
            <w:shd w:val="clear" w:color="auto" w:fill="auto"/>
          </w:tcPr>
          <w:p w14:paraId="13541128"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3.宣誓條例第六條條文修正草案(修正重點：公職人員之宣誓，應容許以臺灣各固有族群使用之自然語言及臺灣手語為之。)</w:t>
            </w:r>
          </w:p>
        </w:tc>
        <w:tc>
          <w:tcPr>
            <w:tcW w:w="1904" w:type="dxa"/>
            <w:shd w:val="clear" w:color="auto" w:fill="auto"/>
          </w:tcPr>
          <w:p w14:paraId="1B22F81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委員廖國棟</w:t>
            </w:r>
          </w:p>
          <w:p w14:paraId="2795161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1D7CB0D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53981A9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（10-4-6）</w:t>
            </w:r>
          </w:p>
        </w:tc>
        <w:tc>
          <w:tcPr>
            <w:tcW w:w="1599" w:type="dxa"/>
            <w:shd w:val="clear" w:color="auto" w:fill="auto"/>
          </w:tcPr>
          <w:p w14:paraId="0D4001F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6B976F8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390D99" w14:textId="77777777" w:rsidTr="00974FB5">
        <w:tc>
          <w:tcPr>
            <w:tcW w:w="574" w:type="dxa"/>
            <w:shd w:val="clear" w:color="auto" w:fill="auto"/>
          </w:tcPr>
          <w:p w14:paraId="63215FCF"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796" w:type="dxa"/>
            <w:shd w:val="clear" w:color="auto" w:fill="auto"/>
          </w:tcPr>
          <w:p w14:paraId="12656AF5"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1.中華民國國徽國旗法第二條及第三條條文修正草案（修正重點：國徽由內政部以表彰台灣意象之圖騰進行設計後，經立法院同意定之，以表彰國家意象。）</w:t>
            </w:r>
          </w:p>
        </w:tc>
        <w:tc>
          <w:tcPr>
            <w:tcW w:w="1904" w:type="dxa"/>
            <w:shd w:val="clear" w:color="auto" w:fill="auto"/>
          </w:tcPr>
          <w:p w14:paraId="57C4FBE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3B0121B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109.10.06 </w:t>
            </w:r>
          </w:p>
          <w:p w14:paraId="35773DE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（10-2-3）</w:t>
            </w:r>
          </w:p>
        </w:tc>
        <w:tc>
          <w:tcPr>
            <w:tcW w:w="1599" w:type="dxa"/>
            <w:shd w:val="clear" w:color="auto" w:fill="auto"/>
          </w:tcPr>
          <w:p w14:paraId="3A8F7BC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2D8C2A2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A95B5B7" w14:textId="77777777" w:rsidTr="00974FB5">
        <w:tc>
          <w:tcPr>
            <w:tcW w:w="574" w:type="dxa"/>
            <w:shd w:val="clear" w:color="auto" w:fill="auto"/>
          </w:tcPr>
          <w:p w14:paraId="28CBB014"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2</w:t>
            </w:r>
          </w:p>
        </w:tc>
        <w:tc>
          <w:tcPr>
            <w:tcW w:w="2796" w:type="dxa"/>
            <w:shd w:val="clear" w:color="auto" w:fill="auto"/>
          </w:tcPr>
          <w:p w14:paraId="292EAEBB"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2.中華民國國徽國旗法第六條條文修正草案（修正重點：刪除有關懸掛國父遺像之規定。）</w:t>
            </w:r>
          </w:p>
        </w:tc>
        <w:tc>
          <w:tcPr>
            <w:tcW w:w="1904" w:type="dxa"/>
            <w:shd w:val="clear" w:color="auto" w:fill="auto"/>
          </w:tcPr>
          <w:p w14:paraId="7EF2100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275CC89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109.10.06 </w:t>
            </w:r>
          </w:p>
          <w:p w14:paraId="2D86F9D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（10-2-3）</w:t>
            </w:r>
          </w:p>
        </w:tc>
        <w:tc>
          <w:tcPr>
            <w:tcW w:w="1599" w:type="dxa"/>
            <w:shd w:val="clear" w:color="auto" w:fill="auto"/>
          </w:tcPr>
          <w:p w14:paraId="2E2B18B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466061D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E4281A3" w14:textId="77777777" w:rsidTr="00974FB5">
        <w:tc>
          <w:tcPr>
            <w:tcW w:w="574" w:type="dxa"/>
            <w:shd w:val="clear" w:color="auto" w:fill="auto"/>
          </w:tcPr>
          <w:p w14:paraId="5C69140E"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13</w:t>
            </w:r>
          </w:p>
        </w:tc>
        <w:tc>
          <w:tcPr>
            <w:tcW w:w="2796" w:type="dxa"/>
            <w:shd w:val="clear" w:color="auto" w:fill="auto"/>
          </w:tcPr>
          <w:p w14:paraId="4633508D"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3.中華民國國徽國旗法第六條條文修正草案（修正重點：刪除懸掛國父遺像之規定。）</w:t>
            </w:r>
          </w:p>
        </w:tc>
        <w:tc>
          <w:tcPr>
            <w:tcW w:w="1904" w:type="dxa"/>
            <w:shd w:val="clear" w:color="auto" w:fill="auto"/>
          </w:tcPr>
          <w:p w14:paraId="39A6078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委員范雲</w:t>
            </w:r>
          </w:p>
          <w:p w14:paraId="317C1C9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1609B9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723D396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（10-2-4）</w:t>
            </w:r>
          </w:p>
        </w:tc>
        <w:tc>
          <w:tcPr>
            <w:tcW w:w="1599" w:type="dxa"/>
            <w:shd w:val="clear" w:color="auto" w:fill="auto"/>
          </w:tcPr>
          <w:p w14:paraId="31CF3C6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764DB5C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E2B7EF" w14:textId="77777777" w:rsidTr="00974FB5">
        <w:tc>
          <w:tcPr>
            <w:tcW w:w="574" w:type="dxa"/>
            <w:shd w:val="clear" w:color="auto" w:fill="auto"/>
          </w:tcPr>
          <w:p w14:paraId="7873F97E"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4</w:t>
            </w:r>
          </w:p>
        </w:tc>
        <w:tc>
          <w:tcPr>
            <w:tcW w:w="2796" w:type="dxa"/>
            <w:shd w:val="clear" w:color="auto" w:fill="auto"/>
          </w:tcPr>
          <w:p w14:paraId="14374838"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卸任總統副總統禮遇條例第四條條文修正草案（修正重點：卸任之總統</w:t>
            </w:r>
            <w:r w:rsidRPr="00026143">
              <w:rPr>
                <w:rFonts w:ascii="標楷體" w:eastAsia="標楷體" w:hAnsi="標楷體"/>
                <w:color w:val="000000" w:themeColor="text1"/>
              </w:rPr>
              <w:lastRenderedPageBreak/>
              <w:t>或副總統若不再忠於國家，或有損害國家利益之具體情事時，如仍予其禮遇，顯非國民所欲，惟因涉及禮遇之停止，應於本法明定應停止禮遇之情形。）</w:t>
            </w:r>
          </w:p>
        </w:tc>
        <w:tc>
          <w:tcPr>
            <w:tcW w:w="1904" w:type="dxa"/>
            <w:shd w:val="clear" w:color="auto" w:fill="auto"/>
          </w:tcPr>
          <w:p w14:paraId="27DA401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7ADAAC7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32165A5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（10-2-4）</w:t>
            </w:r>
          </w:p>
        </w:tc>
        <w:tc>
          <w:tcPr>
            <w:tcW w:w="1599" w:type="dxa"/>
            <w:shd w:val="clear" w:color="auto" w:fill="auto"/>
          </w:tcPr>
          <w:p w14:paraId="1E93CB9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26F6247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0F25D7A" w14:textId="77777777" w:rsidTr="00974FB5">
        <w:tc>
          <w:tcPr>
            <w:tcW w:w="574" w:type="dxa"/>
            <w:shd w:val="clear" w:color="auto" w:fill="auto"/>
          </w:tcPr>
          <w:p w14:paraId="53B73493"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1</w:t>
            </w:r>
            <w:r w:rsidRPr="00026143">
              <w:rPr>
                <w:rFonts w:ascii="標楷體" w:eastAsia="標楷體" w:hAnsi="標楷體"/>
                <w:color w:val="000000" w:themeColor="text1"/>
              </w:rPr>
              <w:t>5</w:t>
            </w:r>
          </w:p>
        </w:tc>
        <w:tc>
          <w:tcPr>
            <w:tcW w:w="2796" w:type="dxa"/>
            <w:shd w:val="clear" w:color="auto" w:fill="auto"/>
          </w:tcPr>
          <w:p w14:paraId="3668C2B2"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總統副總統文物管理條例第七條、第七條之二及第七條之三條文修正草案(修正重點：明定總統、副總統之文物應於卸任後整理並開放之，但如有涉及機密檔案時，應得該檔案之主管機關核准後，使得提供，避免機密文件不當外洩；明定各地方政府得為紀念或宣揚個別總統，設立紀念館、圖書館或研究中心，主管機關得為輔導、獎勵或補助設立；明定私人或人民團體得為紀念或保存個別總統事蹟及文物，設立紀念館、圖書館或研究中心。)</w:t>
            </w:r>
          </w:p>
        </w:tc>
        <w:tc>
          <w:tcPr>
            <w:tcW w:w="1904" w:type="dxa"/>
            <w:shd w:val="clear" w:color="auto" w:fill="auto"/>
          </w:tcPr>
          <w:p w14:paraId="6C01F19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委員蘇治芬</w:t>
            </w:r>
          </w:p>
          <w:p w14:paraId="219E204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4A48DEF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689F8DA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（10-5-7）</w:t>
            </w:r>
          </w:p>
        </w:tc>
        <w:tc>
          <w:tcPr>
            <w:tcW w:w="1599" w:type="dxa"/>
            <w:shd w:val="clear" w:color="auto" w:fill="auto"/>
          </w:tcPr>
          <w:p w14:paraId="4C099E7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86" w:type="dxa"/>
            <w:shd w:val="clear" w:color="auto" w:fill="auto"/>
          </w:tcPr>
          <w:p w14:paraId="2811764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2CF8DE33"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381" w:name="_Toc361217347"/>
      <w:bookmarkStart w:id="382" w:name="_Toc362968407"/>
      <w:bookmarkStart w:id="383" w:name="_Toc428286974"/>
      <w:bookmarkStart w:id="384" w:name="_Toc510167694"/>
      <w:bookmarkStart w:id="385" w:name="_Toc1401077"/>
      <w:bookmarkStart w:id="386" w:name="_Toc96350532"/>
      <w:r w:rsidRPr="00026143">
        <w:rPr>
          <w:color w:val="000000" w:themeColor="text1"/>
        </w:rPr>
        <w:t>（二）行政院</w:t>
      </w:r>
      <w:r w:rsidRPr="00026143">
        <w:rPr>
          <w:rFonts w:hint="eastAsia"/>
          <w:color w:val="000000" w:themeColor="text1"/>
        </w:rPr>
        <w:t>403</w:t>
      </w:r>
      <w:bookmarkStart w:id="387" w:name="_Toc361217354"/>
      <w:bookmarkStart w:id="388" w:name="_Toc362968414"/>
      <w:bookmarkStart w:id="389" w:name="_Toc428286975"/>
      <w:bookmarkStart w:id="390" w:name="_Toc510167695"/>
      <w:bookmarkStart w:id="391" w:name="_Toc1401078"/>
      <w:bookmarkStart w:id="392" w:name="_Toc361217348"/>
      <w:bookmarkStart w:id="393" w:name="_Toc362968408"/>
      <w:bookmarkEnd w:id="381"/>
      <w:bookmarkEnd w:id="382"/>
      <w:bookmarkEnd w:id="383"/>
      <w:bookmarkEnd w:id="384"/>
      <w:bookmarkEnd w:id="385"/>
      <w:r w:rsidRPr="00026143">
        <w:rPr>
          <w:rFonts w:hint="eastAsia"/>
          <w:color w:val="000000" w:themeColor="text1"/>
        </w:rPr>
        <w:t>案</w:t>
      </w:r>
      <w:bookmarkEnd w:id="386"/>
    </w:p>
    <w:p w14:paraId="62710BF0"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r w:rsidRPr="00026143">
        <w:rPr>
          <w:color w:val="000000" w:themeColor="text1"/>
        </w:rPr>
        <w:t>1.本會審查</w:t>
      </w:r>
      <w:r w:rsidRPr="00026143">
        <w:rPr>
          <w:rFonts w:hint="eastAsia"/>
          <w:color w:val="000000" w:themeColor="text1"/>
        </w:rPr>
        <w:t>330</w:t>
      </w:r>
      <w:bookmarkEnd w:id="387"/>
      <w:bookmarkEnd w:id="388"/>
      <w:bookmarkEnd w:id="389"/>
      <w:bookmarkEnd w:id="390"/>
      <w:bookmarkEnd w:id="391"/>
      <w:r w:rsidRPr="00026143">
        <w:rPr>
          <w:color w:val="000000" w:themeColor="text1"/>
        </w:rPr>
        <w:t>案</w:t>
      </w:r>
    </w:p>
    <w:p w14:paraId="25E3E5FC" w14:textId="77777777" w:rsidR="00EC13B7" w:rsidRPr="00026143" w:rsidRDefault="00EC13B7" w:rsidP="007932B9">
      <w:pPr>
        <w:pStyle w:val="1-6"/>
        <w:kinsoku w:val="0"/>
        <w:wordWrap w:val="0"/>
        <w:topLinePunct/>
        <w:spacing w:beforeLines="100" w:before="360" w:afterLines="100" w:after="360" w:line="260" w:lineRule="exact"/>
        <w:ind w:left="1701" w:firstLineChars="101" w:firstLine="283"/>
        <w:jc w:val="left"/>
        <w:textAlignment w:val="top"/>
        <w:rPr>
          <w:color w:val="000000" w:themeColor="text1"/>
        </w:rPr>
      </w:pPr>
      <w:bookmarkStart w:id="394" w:name="_Toc361217355"/>
      <w:bookmarkStart w:id="395" w:name="_Toc362968415"/>
      <w:bookmarkStart w:id="396" w:name="_Toc428286976"/>
      <w:bookmarkStart w:id="397" w:name="_Toc1401079"/>
      <w:r w:rsidRPr="00026143">
        <w:rPr>
          <w:color w:val="000000" w:themeColor="text1"/>
        </w:rPr>
        <w:t>（1）行政院院本部</w:t>
      </w:r>
      <w:r w:rsidRPr="00026143">
        <w:rPr>
          <w:rFonts w:hint="eastAsia"/>
          <w:color w:val="000000" w:themeColor="text1"/>
        </w:rPr>
        <w:t>1</w:t>
      </w:r>
      <w:r w:rsidRPr="00026143">
        <w:rPr>
          <w:color w:val="000000" w:themeColor="text1"/>
        </w:rPr>
        <w:t>3案</w:t>
      </w:r>
      <w:bookmarkEnd w:id="394"/>
      <w:bookmarkEnd w:id="395"/>
      <w:bookmarkEnd w:id="396"/>
      <w:bookmarkEnd w:id="397"/>
    </w:p>
    <w:tbl>
      <w:tblPr>
        <w:tblW w:w="869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16"/>
        <w:gridCol w:w="1904"/>
        <w:gridCol w:w="1581"/>
        <w:gridCol w:w="1918"/>
      </w:tblGrid>
      <w:tr w:rsidR="00EC13B7" w:rsidRPr="00026143" w14:paraId="4E463152" w14:textId="77777777" w:rsidTr="00EC13B7">
        <w:tc>
          <w:tcPr>
            <w:tcW w:w="574" w:type="dxa"/>
            <w:shd w:val="clear" w:color="auto" w:fill="auto"/>
          </w:tcPr>
          <w:p w14:paraId="32FAA85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16" w:type="dxa"/>
            <w:shd w:val="clear" w:color="auto" w:fill="auto"/>
          </w:tcPr>
          <w:p w14:paraId="55183F55"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04" w:type="dxa"/>
            <w:shd w:val="clear" w:color="auto" w:fill="auto"/>
          </w:tcPr>
          <w:p w14:paraId="1E428F2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7A7A748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581" w:type="dxa"/>
            <w:shd w:val="clear" w:color="auto" w:fill="auto"/>
          </w:tcPr>
          <w:p w14:paraId="46D5431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918" w:type="dxa"/>
            <w:shd w:val="clear" w:color="auto" w:fill="auto"/>
          </w:tcPr>
          <w:p w14:paraId="7E7AF64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7EDBAE8" w14:textId="77777777" w:rsidTr="00974FB5">
        <w:tc>
          <w:tcPr>
            <w:tcW w:w="574" w:type="dxa"/>
            <w:shd w:val="clear" w:color="auto" w:fill="auto"/>
          </w:tcPr>
          <w:p w14:paraId="75DEEDA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716" w:type="dxa"/>
            <w:shd w:val="clear" w:color="auto" w:fill="auto"/>
          </w:tcPr>
          <w:p w14:paraId="044F275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中央法規標準法第八條及第二十六條條文修正草案（修正重點：法規條文應於項冠以（壹）、（貳）、（參）等數字，以利民眾閱讀。）</w:t>
            </w:r>
          </w:p>
        </w:tc>
        <w:tc>
          <w:tcPr>
            <w:tcW w:w="1904" w:type="dxa"/>
            <w:shd w:val="clear" w:color="auto" w:fill="auto"/>
          </w:tcPr>
          <w:p w14:paraId="6BA4CCC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時代力量黨團 </w:t>
            </w:r>
          </w:p>
          <w:p w14:paraId="2C51EE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109.05.15 </w:t>
            </w:r>
          </w:p>
          <w:p w14:paraId="5E32B64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（10-1-13）</w:t>
            </w:r>
          </w:p>
        </w:tc>
        <w:tc>
          <w:tcPr>
            <w:tcW w:w="1581" w:type="dxa"/>
            <w:shd w:val="clear" w:color="auto" w:fill="auto"/>
          </w:tcPr>
          <w:p w14:paraId="5A88E1F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918" w:type="dxa"/>
            <w:shd w:val="clear" w:color="auto" w:fill="auto"/>
          </w:tcPr>
          <w:p w14:paraId="5050D44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F1C606A" w14:textId="77777777" w:rsidTr="00974FB5">
        <w:tc>
          <w:tcPr>
            <w:tcW w:w="574" w:type="dxa"/>
            <w:shd w:val="clear" w:color="auto" w:fill="auto"/>
          </w:tcPr>
          <w:p w14:paraId="062838D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716" w:type="dxa"/>
            <w:shd w:val="clear" w:color="auto" w:fill="auto"/>
          </w:tcPr>
          <w:p w14:paraId="501857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中央法規標準法第十四條條文修正草案(修正重點：明定法規授權行政機關公布施行日期者</w:t>
            </w:r>
            <w:r w:rsidRPr="00026143">
              <w:rPr>
                <w:rFonts w:ascii="標楷體" w:eastAsia="標楷體" w:hAnsi="標楷體"/>
                <w:color w:val="000000" w:themeColor="text1"/>
              </w:rPr>
              <w:lastRenderedPageBreak/>
              <w:t>，行政機關至遲應於兩個月內公布，逾期未公布者，則於公布兩個月期滿發生效力。)</w:t>
            </w:r>
          </w:p>
        </w:tc>
        <w:tc>
          <w:tcPr>
            <w:tcW w:w="1904" w:type="dxa"/>
            <w:shd w:val="clear" w:color="auto" w:fill="auto"/>
          </w:tcPr>
          <w:p w14:paraId="50F2338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委員萬美玲</w:t>
            </w:r>
          </w:p>
          <w:p w14:paraId="76AFBBB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等26人 </w:t>
            </w:r>
          </w:p>
          <w:p w14:paraId="4EC1A7C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111.03.18 </w:t>
            </w:r>
          </w:p>
          <w:p w14:paraId="764F96E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（10-5-4）</w:t>
            </w:r>
          </w:p>
        </w:tc>
        <w:tc>
          <w:tcPr>
            <w:tcW w:w="1581" w:type="dxa"/>
            <w:shd w:val="clear" w:color="auto" w:fill="auto"/>
          </w:tcPr>
          <w:p w14:paraId="665DDD0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39F6761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B2FC1CE" w14:textId="77777777" w:rsidTr="00974FB5">
        <w:tc>
          <w:tcPr>
            <w:tcW w:w="574" w:type="dxa"/>
            <w:shd w:val="clear" w:color="auto" w:fill="auto"/>
          </w:tcPr>
          <w:p w14:paraId="3EAB8E1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716" w:type="dxa"/>
            <w:shd w:val="clear" w:color="auto" w:fill="auto"/>
          </w:tcPr>
          <w:p w14:paraId="5677AC9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904" w:type="dxa"/>
            <w:shd w:val="clear" w:color="auto" w:fill="auto"/>
          </w:tcPr>
          <w:p w14:paraId="48246C8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委員鄭正鈐</w:t>
            </w:r>
          </w:p>
          <w:p w14:paraId="38644AD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等22人 </w:t>
            </w:r>
          </w:p>
          <w:p w14:paraId="7A96EA3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109.05.29 </w:t>
            </w:r>
          </w:p>
          <w:p w14:paraId="0AA567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（10-1-15）</w:t>
            </w:r>
          </w:p>
        </w:tc>
        <w:tc>
          <w:tcPr>
            <w:tcW w:w="1581" w:type="dxa"/>
            <w:shd w:val="clear" w:color="auto" w:fill="auto"/>
          </w:tcPr>
          <w:p w14:paraId="0673FF9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918" w:type="dxa"/>
            <w:shd w:val="clear" w:color="auto" w:fill="auto"/>
          </w:tcPr>
          <w:p w14:paraId="30E1A2D0" w14:textId="1B31863F"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本會109.12.7舉行「因應數位發展部成立，公、私部門資安人力建制及產業資源探討」公聽會。</w:t>
            </w:r>
          </w:p>
        </w:tc>
      </w:tr>
      <w:tr w:rsidR="00EC13B7" w:rsidRPr="00026143" w14:paraId="62AC122E" w14:textId="77777777" w:rsidTr="00974FB5">
        <w:tc>
          <w:tcPr>
            <w:tcW w:w="574" w:type="dxa"/>
            <w:shd w:val="clear" w:color="auto" w:fill="auto"/>
          </w:tcPr>
          <w:p w14:paraId="522AD72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716" w:type="dxa"/>
            <w:shd w:val="clear" w:color="auto" w:fill="auto"/>
          </w:tcPr>
          <w:p w14:paraId="508D9CE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2.資通安全管理法第三條及第四條條文修正草案（修正重點：使關鍵基礎設施定義明確化；明定政府應寬列預算以提升資通安全。）</w:t>
            </w:r>
          </w:p>
        </w:tc>
        <w:tc>
          <w:tcPr>
            <w:tcW w:w="1904" w:type="dxa"/>
            <w:shd w:val="clear" w:color="auto" w:fill="auto"/>
          </w:tcPr>
          <w:p w14:paraId="63CA508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委員陳明文</w:t>
            </w:r>
          </w:p>
          <w:p w14:paraId="637FD40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等21人 </w:t>
            </w:r>
          </w:p>
          <w:p w14:paraId="39F62F5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110.03.26 </w:t>
            </w:r>
          </w:p>
          <w:p w14:paraId="34820C4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（10-3-5）</w:t>
            </w:r>
          </w:p>
        </w:tc>
        <w:tc>
          <w:tcPr>
            <w:tcW w:w="1581" w:type="dxa"/>
            <w:shd w:val="clear" w:color="auto" w:fill="auto"/>
          </w:tcPr>
          <w:p w14:paraId="7C1E793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918" w:type="dxa"/>
            <w:shd w:val="clear" w:color="auto" w:fill="auto"/>
          </w:tcPr>
          <w:p w14:paraId="381D9A0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24CE604" w14:textId="77777777" w:rsidTr="00974FB5">
        <w:tc>
          <w:tcPr>
            <w:tcW w:w="574" w:type="dxa"/>
            <w:shd w:val="clear" w:color="auto" w:fill="auto"/>
          </w:tcPr>
          <w:p w14:paraId="7E425BA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716" w:type="dxa"/>
            <w:shd w:val="clear" w:color="auto" w:fill="auto"/>
          </w:tcPr>
          <w:p w14:paraId="52C319E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公文程式條例第六條條文修正草案(修正重點：</w:t>
            </w:r>
            <w:r w:rsidRPr="00026143">
              <w:rPr>
                <w:rFonts w:ascii="標楷體" w:eastAsia="標楷體" w:hAnsi="標楷體" w:hint="eastAsia"/>
                <w:color w:val="000000" w:themeColor="text1"/>
              </w:rPr>
              <w:t>公文</w:t>
            </w:r>
            <w:r w:rsidRPr="00026143">
              <w:rPr>
                <w:rFonts w:ascii="標楷體" w:eastAsia="標楷體" w:hAnsi="標楷體"/>
                <w:color w:val="000000" w:themeColor="text1"/>
              </w:rPr>
              <w:t>紀年應使用「公元」。)</w:t>
            </w:r>
          </w:p>
        </w:tc>
        <w:tc>
          <w:tcPr>
            <w:tcW w:w="1904" w:type="dxa"/>
            <w:shd w:val="clear" w:color="auto" w:fill="auto"/>
          </w:tcPr>
          <w:p w14:paraId="21C616C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476491E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783F35C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581" w:type="dxa"/>
            <w:shd w:val="clear" w:color="auto" w:fill="auto"/>
          </w:tcPr>
          <w:p w14:paraId="2BFFA0E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08CBECE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7EC71B3" w14:textId="77777777" w:rsidTr="00974FB5">
        <w:tc>
          <w:tcPr>
            <w:tcW w:w="574" w:type="dxa"/>
            <w:shd w:val="clear" w:color="auto" w:fill="auto"/>
          </w:tcPr>
          <w:p w14:paraId="2B20D77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716" w:type="dxa"/>
            <w:shd w:val="clear" w:color="auto" w:fill="auto"/>
          </w:tcPr>
          <w:p w14:paraId="25F7741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公文程式條例第六條條文修正草案(修正重點：</w:t>
            </w:r>
            <w:r w:rsidRPr="00026143">
              <w:rPr>
                <w:rFonts w:ascii="標楷體" w:eastAsia="標楷體" w:hAnsi="標楷體" w:hint="eastAsia"/>
                <w:color w:val="000000" w:themeColor="text1"/>
              </w:rPr>
              <w:t>公文</w:t>
            </w:r>
            <w:r w:rsidRPr="00026143">
              <w:rPr>
                <w:rFonts w:ascii="標楷體" w:eastAsia="標楷體" w:hAnsi="標楷體"/>
                <w:color w:val="000000" w:themeColor="text1"/>
              </w:rPr>
              <w:t>紀年應使用「公元」。)</w:t>
            </w:r>
          </w:p>
        </w:tc>
        <w:tc>
          <w:tcPr>
            <w:tcW w:w="1904" w:type="dxa"/>
            <w:shd w:val="clear" w:color="auto" w:fill="auto"/>
          </w:tcPr>
          <w:p w14:paraId="212D20C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5B4F08E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2161A0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24F165A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581" w:type="dxa"/>
            <w:shd w:val="clear" w:color="auto" w:fill="auto"/>
          </w:tcPr>
          <w:p w14:paraId="5BD5426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1F60997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59FF45" w14:textId="77777777" w:rsidTr="00974FB5">
        <w:tc>
          <w:tcPr>
            <w:tcW w:w="574" w:type="dxa"/>
            <w:shd w:val="clear" w:color="auto" w:fill="auto"/>
          </w:tcPr>
          <w:p w14:paraId="24D2C97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2716" w:type="dxa"/>
            <w:shd w:val="clear" w:color="auto" w:fill="auto"/>
          </w:tcPr>
          <w:p w14:paraId="4587306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3.公文程式條例第六條條文修正草案(修正重點：公文紀年應使用「公元」。)</w:t>
            </w:r>
          </w:p>
        </w:tc>
        <w:tc>
          <w:tcPr>
            <w:tcW w:w="1904" w:type="dxa"/>
            <w:shd w:val="clear" w:color="auto" w:fill="auto"/>
          </w:tcPr>
          <w:p w14:paraId="6E596B6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委員蘇治芬</w:t>
            </w:r>
          </w:p>
          <w:p w14:paraId="777B77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56955B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110.11.12 </w:t>
            </w:r>
          </w:p>
          <w:p w14:paraId="3AEB6C2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（10-4-9）</w:t>
            </w:r>
          </w:p>
        </w:tc>
        <w:tc>
          <w:tcPr>
            <w:tcW w:w="1581" w:type="dxa"/>
            <w:shd w:val="clear" w:color="auto" w:fill="auto"/>
          </w:tcPr>
          <w:p w14:paraId="74A08EE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4E97D88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62DC12" w14:textId="77777777" w:rsidTr="00974FB5">
        <w:tc>
          <w:tcPr>
            <w:tcW w:w="574" w:type="dxa"/>
            <w:shd w:val="clear" w:color="auto" w:fill="auto"/>
          </w:tcPr>
          <w:p w14:paraId="41A2C03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w:t>
            </w:r>
          </w:p>
        </w:tc>
        <w:tc>
          <w:tcPr>
            <w:tcW w:w="2716" w:type="dxa"/>
            <w:shd w:val="clear" w:color="auto" w:fill="auto"/>
          </w:tcPr>
          <w:p w14:paraId="1BB43EF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公文程式條例第十三條條文修正草案(修正重點：增訂機關致送人民之公文，經申請應檢附特定國家語言翻譯之副本；增訂機關致送身心障礙者之公文，應符合身心障礙者權利公約（CRPD）規範之通用設計。)</w:t>
            </w:r>
          </w:p>
        </w:tc>
        <w:tc>
          <w:tcPr>
            <w:tcW w:w="1904" w:type="dxa"/>
            <w:shd w:val="clear" w:color="auto" w:fill="auto"/>
          </w:tcPr>
          <w:p w14:paraId="6CE06C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委員李昆澤</w:t>
            </w:r>
          </w:p>
          <w:p w14:paraId="78BA39C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等25人 </w:t>
            </w:r>
          </w:p>
          <w:p w14:paraId="1B48652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111.04.01 </w:t>
            </w:r>
          </w:p>
          <w:p w14:paraId="435CA65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（10-5-6）</w:t>
            </w:r>
          </w:p>
        </w:tc>
        <w:tc>
          <w:tcPr>
            <w:tcW w:w="1581" w:type="dxa"/>
            <w:shd w:val="clear" w:color="auto" w:fill="auto"/>
          </w:tcPr>
          <w:p w14:paraId="54661B0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6C283AC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6FA378" w14:textId="77777777" w:rsidTr="00974FB5">
        <w:tc>
          <w:tcPr>
            <w:tcW w:w="574" w:type="dxa"/>
            <w:shd w:val="clear" w:color="auto" w:fill="auto"/>
          </w:tcPr>
          <w:p w14:paraId="11A1965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9</w:t>
            </w:r>
          </w:p>
        </w:tc>
        <w:tc>
          <w:tcPr>
            <w:tcW w:w="2716" w:type="dxa"/>
            <w:shd w:val="clear" w:color="auto" w:fill="auto"/>
          </w:tcPr>
          <w:p w14:paraId="7F11BF2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公文程式條例第十一條</w:t>
            </w:r>
            <w:r w:rsidRPr="00026143">
              <w:rPr>
                <w:rFonts w:ascii="標楷體" w:eastAsia="標楷體" w:hAnsi="標楷體" w:hint="eastAsia"/>
                <w:color w:val="000000" w:themeColor="text1"/>
              </w:rPr>
              <w:lastRenderedPageBreak/>
              <w:t>條文修正草案(修正重點：鑑於科技日新月異，證明頁數連續之方法不以加蓋騎縫印章為限，爰擬提案修正。)</w:t>
            </w:r>
          </w:p>
        </w:tc>
        <w:tc>
          <w:tcPr>
            <w:tcW w:w="1904" w:type="dxa"/>
            <w:shd w:val="clear" w:color="auto" w:fill="auto"/>
          </w:tcPr>
          <w:p w14:paraId="66E022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委員林楚茵</w:t>
            </w:r>
          </w:p>
          <w:p w14:paraId="3F90AE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等18人 </w:t>
            </w:r>
          </w:p>
          <w:p w14:paraId="2C8A005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453C97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81" w:type="dxa"/>
            <w:shd w:val="clear" w:color="auto" w:fill="auto"/>
          </w:tcPr>
          <w:p w14:paraId="408427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w:t>
            </w:r>
          </w:p>
        </w:tc>
        <w:tc>
          <w:tcPr>
            <w:tcW w:w="1918" w:type="dxa"/>
            <w:shd w:val="clear" w:color="auto" w:fill="auto"/>
          </w:tcPr>
          <w:p w14:paraId="28F404F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B20BC76" w14:textId="77777777" w:rsidTr="00974FB5">
        <w:tc>
          <w:tcPr>
            <w:tcW w:w="574" w:type="dxa"/>
            <w:shd w:val="clear" w:color="auto" w:fill="auto"/>
          </w:tcPr>
          <w:p w14:paraId="39DEF25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w:t>
            </w:r>
          </w:p>
        </w:tc>
        <w:tc>
          <w:tcPr>
            <w:tcW w:w="2716" w:type="dxa"/>
            <w:shd w:val="clear" w:color="auto" w:fill="auto"/>
          </w:tcPr>
          <w:p w14:paraId="39047D0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印信條例第三條條文修正草案(修正重點：刪除印信條例中以牙質製印、製章等相關規定。)</w:t>
            </w:r>
          </w:p>
        </w:tc>
        <w:tc>
          <w:tcPr>
            <w:tcW w:w="1904" w:type="dxa"/>
            <w:shd w:val="clear" w:color="auto" w:fill="auto"/>
          </w:tcPr>
          <w:p w14:paraId="7C3C511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30FF2B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482959E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756B085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581" w:type="dxa"/>
            <w:shd w:val="clear" w:color="auto" w:fill="auto"/>
          </w:tcPr>
          <w:p w14:paraId="262B395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6343625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B22C517" w14:textId="77777777" w:rsidTr="00974FB5">
        <w:tc>
          <w:tcPr>
            <w:tcW w:w="574" w:type="dxa"/>
            <w:shd w:val="clear" w:color="auto" w:fill="auto"/>
          </w:tcPr>
          <w:p w14:paraId="21EAC35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716" w:type="dxa"/>
            <w:shd w:val="clear" w:color="auto" w:fill="auto"/>
          </w:tcPr>
          <w:p w14:paraId="4654136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訴願法修正草案(共四章104條。修正重點：修正訴願類型分為撤銷訴願與課予義務訴願；修正訴願之管轄機關，並增訂不作為訴願之訴願管轄規定；增訂政府機關（構）及其他依法律規定得為權利義務之主體具訴願人能力及得為訴願行為；增訂訴願文書之申請閱覽、提供閱覽及訴願書之提出，各訴願管轄機關得建置電子方式辦理。)</w:t>
            </w:r>
          </w:p>
        </w:tc>
        <w:tc>
          <w:tcPr>
            <w:tcW w:w="1904" w:type="dxa"/>
            <w:shd w:val="clear" w:color="auto" w:fill="auto"/>
          </w:tcPr>
          <w:p w14:paraId="227A39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45F71C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33FD9BD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581" w:type="dxa"/>
            <w:shd w:val="clear" w:color="auto" w:fill="auto"/>
          </w:tcPr>
          <w:p w14:paraId="23512A4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7BCFBA1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279CC0" w14:textId="77777777" w:rsidTr="00974FB5">
        <w:tc>
          <w:tcPr>
            <w:tcW w:w="574" w:type="dxa"/>
            <w:shd w:val="clear" w:color="auto" w:fill="auto"/>
          </w:tcPr>
          <w:p w14:paraId="2FF0012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w:t>
            </w:r>
          </w:p>
        </w:tc>
        <w:tc>
          <w:tcPr>
            <w:tcW w:w="2716" w:type="dxa"/>
            <w:shd w:val="clear" w:color="auto" w:fill="auto"/>
          </w:tcPr>
          <w:p w14:paraId="25695AD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2.訴願法第十六條、第五十六條及第六十五條條文修正草案(修正重點：修正明定在途期間判斷時點；訴願書不合法定程式應限於影響訴願要件者；續行訴願程序應通知訴願人及參加人。)</w:t>
            </w:r>
          </w:p>
        </w:tc>
        <w:tc>
          <w:tcPr>
            <w:tcW w:w="1904" w:type="dxa"/>
            <w:shd w:val="clear" w:color="auto" w:fill="auto"/>
          </w:tcPr>
          <w:p w14:paraId="55CE8E8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委員陳亭妃</w:t>
            </w:r>
          </w:p>
          <w:p w14:paraId="703E68C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54723D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3536BEC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581" w:type="dxa"/>
            <w:shd w:val="clear" w:color="auto" w:fill="auto"/>
          </w:tcPr>
          <w:p w14:paraId="1040CF2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2158BBC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481D52B" w14:textId="77777777" w:rsidTr="00974FB5">
        <w:tc>
          <w:tcPr>
            <w:tcW w:w="574" w:type="dxa"/>
            <w:shd w:val="clear" w:color="auto" w:fill="auto"/>
          </w:tcPr>
          <w:p w14:paraId="5EB5501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w:t>
            </w:r>
          </w:p>
        </w:tc>
        <w:tc>
          <w:tcPr>
            <w:tcW w:w="2716" w:type="dxa"/>
            <w:shd w:val="clear" w:color="auto" w:fill="auto"/>
          </w:tcPr>
          <w:p w14:paraId="6CCE29C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3.訴願法第二條條文修正草案(修正重點：新增「駁回處分」訴願，增加人民提起救濟機會</w:t>
            </w:r>
            <w:r w:rsidRPr="00026143">
              <w:rPr>
                <w:rFonts w:ascii="標楷體" w:eastAsia="標楷體" w:hAnsi="標楷體" w:hint="eastAsia"/>
                <w:color w:val="000000" w:themeColor="text1"/>
              </w:rPr>
              <w:t>，</w:t>
            </w:r>
            <w:r w:rsidRPr="00026143">
              <w:rPr>
                <w:rFonts w:ascii="標楷體" w:eastAsia="標楷體" w:hAnsi="標楷體"/>
                <w:color w:val="000000" w:themeColor="text1"/>
              </w:rPr>
              <w:t>保障國人訴訟權益。)</w:t>
            </w:r>
          </w:p>
        </w:tc>
        <w:tc>
          <w:tcPr>
            <w:tcW w:w="1904" w:type="dxa"/>
            <w:shd w:val="clear" w:color="auto" w:fill="auto"/>
          </w:tcPr>
          <w:p w14:paraId="3C2532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委員林文瑞</w:t>
            </w:r>
          </w:p>
          <w:p w14:paraId="7A1D79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7D61FF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4C95EC1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81" w:type="dxa"/>
            <w:shd w:val="clear" w:color="auto" w:fill="auto"/>
          </w:tcPr>
          <w:p w14:paraId="2E8E737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918" w:type="dxa"/>
            <w:shd w:val="clear" w:color="auto" w:fill="auto"/>
          </w:tcPr>
          <w:p w14:paraId="29F0588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03DB9217" w14:textId="77777777" w:rsidR="00EC13B7" w:rsidRPr="00026143" w:rsidRDefault="00EC13B7" w:rsidP="007932B9">
      <w:pPr>
        <w:pStyle w:val="1-6"/>
        <w:kinsoku w:val="0"/>
        <w:wordWrap w:val="0"/>
        <w:topLinePunct/>
        <w:spacing w:beforeLines="100" w:before="360" w:afterLines="100" w:after="360" w:line="260" w:lineRule="exact"/>
        <w:ind w:left="1701" w:firstLineChars="101" w:firstLine="283"/>
        <w:jc w:val="left"/>
        <w:textAlignment w:val="top"/>
        <w:rPr>
          <w:color w:val="000000" w:themeColor="text1"/>
        </w:rPr>
      </w:pPr>
      <w:bookmarkStart w:id="398" w:name="_Toc361217356"/>
      <w:bookmarkStart w:id="399" w:name="_Toc362968416"/>
      <w:bookmarkStart w:id="400" w:name="_Toc428286977"/>
      <w:bookmarkStart w:id="401" w:name="_Toc1401080"/>
      <w:r w:rsidRPr="00026143">
        <w:rPr>
          <w:color w:val="000000" w:themeColor="text1"/>
        </w:rPr>
        <w:t>（2）法務部31</w:t>
      </w:r>
      <w:bookmarkEnd w:id="398"/>
      <w:bookmarkEnd w:id="399"/>
      <w:bookmarkEnd w:id="400"/>
      <w:bookmarkEnd w:id="401"/>
      <w:r w:rsidRPr="00026143">
        <w:rPr>
          <w:color w:val="000000" w:themeColor="text1"/>
        </w:rPr>
        <w:t>4案</w:t>
      </w:r>
    </w:p>
    <w:tbl>
      <w:tblPr>
        <w:tblW w:w="872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95"/>
        <w:gridCol w:w="2694"/>
        <w:gridCol w:w="1905"/>
        <w:gridCol w:w="1581"/>
        <w:gridCol w:w="1946"/>
      </w:tblGrid>
      <w:tr w:rsidR="00EC13B7" w:rsidRPr="00026143" w14:paraId="609FF827" w14:textId="77777777" w:rsidTr="007932B9">
        <w:tc>
          <w:tcPr>
            <w:tcW w:w="595" w:type="dxa"/>
            <w:shd w:val="clear" w:color="auto" w:fill="auto"/>
          </w:tcPr>
          <w:p w14:paraId="19802A1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94" w:type="dxa"/>
            <w:shd w:val="clear" w:color="auto" w:fill="auto"/>
          </w:tcPr>
          <w:p w14:paraId="64DA7A0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05" w:type="dxa"/>
            <w:shd w:val="clear" w:color="auto" w:fill="auto"/>
          </w:tcPr>
          <w:p w14:paraId="2C878288"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65A77325"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581" w:type="dxa"/>
            <w:shd w:val="clear" w:color="auto" w:fill="auto"/>
          </w:tcPr>
          <w:p w14:paraId="63F9472E"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946" w:type="dxa"/>
            <w:shd w:val="clear" w:color="auto" w:fill="auto"/>
          </w:tcPr>
          <w:p w14:paraId="6D2C896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08F35B1E" w14:textId="77777777" w:rsidTr="00974FB5">
        <w:tc>
          <w:tcPr>
            <w:tcW w:w="595" w:type="dxa"/>
            <w:shd w:val="clear" w:color="auto" w:fill="auto"/>
          </w:tcPr>
          <w:p w14:paraId="73FFD1C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w:t>
            </w:r>
          </w:p>
        </w:tc>
        <w:tc>
          <w:tcPr>
            <w:tcW w:w="2694" w:type="dxa"/>
            <w:shd w:val="clear" w:color="auto" w:fill="auto"/>
          </w:tcPr>
          <w:p w14:paraId="382072F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中華民國刑法部分條文修正草案（修正§240、</w:t>
            </w:r>
            <w:r w:rsidRPr="00026143">
              <w:rPr>
                <w:rFonts w:ascii="標楷體" w:eastAsia="標楷體" w:hAnsi="標楷體"/>
                <w:bCs/>
                <w:color w:val="000000" w:themeColor="text1"/>
              </w:rPr>
              <w:lastRenderedPageBreak/>
              <w:t>243、244、245。修正重點：加重刑法罰則以嚇阻誘拐未成年案件發生，調整最輕本刑為6個月以上；提高罰金刑為50萬元以下罰金；如係為被誘人之利益且情節輕微者，另設得減免其刑之規定；為配合司法院釋字第791號解釋，保護配偶組成家庭之自我意識將§240第3項刪除，修正§245第1項並刪除第2項。）</w:t>
            </w:r>
          </w:p>
        </w:tc>
        <w:tc>
          <w:tcPr>
            <w:tcW w:w="1905" w:type="dxa"/>
            <w:shd w:val="clear" w:color="auto" w:fill="auto"/>
          </w:tcPr>
          <w:p w14:paraId="4FE6A7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委員江永昌</w:t>
            </w:r>
          </w:p>
          <w:p w14:paraId="5EAA12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3D935A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109.10.23</w:t>
            </w:r>
          </w:p>
          <w:p w14:paraId="59033F8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（10-2-4）</w:t>
            </w:r>
          </w:p>
        </w:tc>
        <w:tc>
          <w:tcPr>
            <w:tcW w:w="1581" w:type="dxa"/>
            <w:shd w:val="clear" w:color="auto" w:fill="auto"/>
          </w:tcPr>
          <w:p w14:paraId="6CA9213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2F6D236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0B4A5AB" w14:textId="77777777" w:rsidTr="00974FB5">
        <w:tc>
          <w:tcPr>
            <w:tcW w:w="595" w:type="dxa"/>
            <w:shd w:val="clear" w:color="auto" w:fill="auto"/>
          </w:tcPr>
          <w:p w14:paraId="7AFB52A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w:t>
            </w:r>
          </w:p>
        </w:tc>
        <w:tc>
          <w:tcPr>
            <w:tcW w:w="2694" w:type="dxa"/>
            <w:shd w:val="clear" w:color="auto" w:fill="auto"/>
          </w:tcPr>
          <w:p w14:paraId="169FD3A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一百八十三條及第二百七十六條條文修正草案（修正重點：於過失致死罪區分其情節及侵害法益結果之程度，另訂加重處罰規定，並於傾覆或破壞現有人所在之交通工具罪增訂加重結果犯規定。）</w:t>
            </w:r>
          </w:p>
        </w:tc>
        <w:tc>
          <w:tcPr>
            <w:tcW w:w="1905" w:type="dxa"/>
            <w:shd w:val="clear" w:color="auto" w:fill="auto"/>
          </w:tcPr>
          <w:p w14:paraId="0C884E1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行政院、司法院110.05.31 </w:t>
            </w:r>
          </w:p>
          <w:p w14:paraId="6427C1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642B0E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2CCAA7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095CF035" w14:textId="77777777" w:rsidTr="00974FB5">
        <w:tc>
          <w:tcPr>
            <w:tcW w:w="595" w:type="dxa"/>
            <w:shd w:val="clear" w:color="auto" w:fill="auto"/>
          </w:tcPr>
          <w:p w14:paraId="0D44766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w:t>
            </w:r>
          </w:p>
        </w:tc>
        <w:tc>
          <w:tcPr>
            <w:tcW w:w="2694" w:type="dxa"/>
            <w:shd w:val="clear" w:color="auto" w:fill="auto"/>
          </w:tcPr>
          <w:p w14:paraId="167FFD4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四十一條及第二百七十六條條文修正草案（修正重點：提高過失致死罪之法定刑為7年以下，並修正易科罰金增加犯刑法§276過失致死罪，讓犯罪但屬情節輕微之行為人，法院於衡酌一切情狀後，亦得為易科罰金之宣告。）</w:t>
            </w:r>
          </w:p>
        </w:tc>
        <w:tc>
          <w:tcPr>
            <w:tcW w:w="1905" w:type="dxa"/>
            <w:shd w:val="clear" w:color="auto" w:fill="auto"/>
          </w:tcPr>
          <w:p w14:paraId="47236F4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委員蔣萬安</w:t>
            </w:r>
          </w:p>
          <w:p w14:paraId="3571716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5C1952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110.04.23 </w:t>
            </w:r>
          </w:p>
          <w:p w14:paraId="52919F6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（10-3-9）</w:t>
            </w:r>
          </w:p>
        </w:tc>
        <w:tc>
          <w:tcPr>
            <w:tcW w:w="1581" w:type="dxa"/>
            <w:shd w:val="clear" w:color="auto" w:fill="auto"/>
          </w:tcPr>
          <w:p w14:paraId="379E31E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AED36D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5619F943" w14:textId="77777777" w:rsidTr="00974FB5">
        <w:tc>
          <w:tcPr>
            <w:tcW w:w="595" w:type="dxa"/>
            <w:shd w:val="clear" w:color="auto" w:fill="auto"/>
          </w:tcPr>
          <w:p w14:paraId="4D77D38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w:t>
            </w:r>
          </w:p>
        </w:tc>
        <w:tc>
          <w:tcPr>
            <w:tcW w:w="2694" w:type="dxa"/>
            <w:shd w:val="clear" w:color="auto" w:fill="auto"/>
          </w:tcPr>
          <w:p w14:paraId="08FADDA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部分條文修正草案（修正§183、245、276、284；刪除§239。修正重點：修正傾覆或破壞現有人所在之交通工具罪客體，並新增致人於死者刑責；配合司法院釋字第791號解釋，§239對憲法性自主權予以限制，與憲法第二十三條比例原則</w:t>
            </w:r>
            <w:r w:rsidRPr="00026143">
              <w:rPr>
                <w:rFonts w:ascii="標楷體" w:eastAsia="標楷體" w:hAnsi="標楷體"/>
                <w:bCs/>
                <w:color w:val="000000" w:themeColor="text1"/>
              </w:rPr>
              <w:lastRenderedPageBreak/>
              <w:t>不符，故予以刪除；過失致死罪及過失致重傷罪依照過失行為之情節輕重與所造成之死亡結果予以細緻化評斷所應課之刑責。）</w:t>
            </w:r>
          </w:p>
        </w:tc>
        <w:tc>
          <w:tcPr>
            <w:tcW w:w="1905" w:type="dxa"/>
            <w:shd w:val="clear" w:color="auto" w:fill="auto"/>
          </w:tcPr>
          <w:p w14:paraId="1B1704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委員徐志榮</w:t>
            </w:r>
          </w:p>
          <w:p w14:paraId="5D12780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892C2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213B0BA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7139BC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EEF86F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233582F8" w14:textId="77777777" w:rsidTr="00974FB5">
        <w:tc>
          <w:tcPr>
            <w:tcW w:w="595" w:type="dxa"/>
            <w:shd w:val="clear" w:color="auto" w:fill="auto"/>
          </w:tcPr>
          <w:p w14:paraId="3D7C746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5</w:t>
            </w:r>
          </w:p>
        </w:tc>
        <w:tc>
          <w:tcPr>
            <w:tcW w:w="2694" w:type="dxa"/>
            <w:shd w:val="clear" w:color="auto" w:fill="auto"/>
          </w:tcPr>
          <w:p w14:paraId="6A897C6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4.中華民國刑法第一百八十三條條文修正草案（修正重點：修正傾覆或破壞現有人所在之交通工具罪客體；明定因而致人於死者刑責。）</w:t>
            </w:r>
          </w:p>
        </w:tc>
        <w:tc>
          <w:tcPr>
            <w:tcW w:w="1905" w:type="dxa"/>
            <w:shd w:val="clear" w:color="auto" w:fill="auto"/>
          </w:tcPr>
          <w:p w14:paraId="3777AE4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0566A31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4D8C02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0F3D2BA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38BF95C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8E2E34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79B24A94" w14:textId="77777777" w:rsidTr="00974FB5">
        <w:tc>
          <w:tcPr>
            <w:tcW w:w="595" w:type="dxa"/>
            <w:shd w:val="clear" w:color="auto" w:fill="auto"/>
          </w:tcPr>
          <w:p w14:paraId="56EE20B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w:t>
            </w:r>
          </w:p>
        </w:tc>
        <w:tc>
          <w:tcPr>
            <w:tcW w:w="2694" w:type="dxa"/>
            <w:shd w:val="clear" w:color="auto" w:fill="auto"/>
          </w:tcPr>
          <w:p w14:paraId="0869BDF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5.中華民國刑法第二百七十六條條文修正草案（修正重點：增訂過失致死罪其情節重大者，以及情節重大且因而致3人以上於死者之刑罰。）</w:t>
            </w:r>
          </w:p>
        </w:tc>
        <w:tc>
          <w:tcPr>
            <w:tcW w:w="1905" w:type="dxa"/>
            <w:shd w:val="clear" w:color="auto" w:fill="auto"/>
          </w:tcPr>
          <w:p w14:paraId="5BA84F2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62F1FA3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7817ED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490EE1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5AF7885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536930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6FC27B75" w14:textId="77777777" w:rsidTr="00974FB5">
        <w:tc>
          <w:tcPr>
            <w:tcW w:w="595" w:type="dxa"/>
            <w:shd w:val="clear" w:color="auto" w:fill="auto"/>
          </w:tcPr>
          <w:p w14:paraId="47E3F8F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w:t>
            </w:r>
          </w:p>
        </w:tc>
        <w:tc>
          <w:tcPr>
            <w:tcW w:w="2694" w:type="dxa"/>
            <w:shd w:val="clear" w:color="auto" w:fill="auto"/>
          </w:tcPr>
          <w:p w14:paraId="0FD2F67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6.中華民國刑法第一百八十三條及第二百七十六條條文修正草案（修正重點：增訂加重結果犯；過失致死罪依其情節及侵害法益結果之程度，另訂加重處罰規定。）</w:t>
            </w:r>
          </w:p>
        </w:tc>
        <w:tc>
          <w:tcPr>
            <w:tcW w:w="1905" w:type="dxa"/>
            <w:shd w:val="clear" w:color="auto" w:fill="auto"/>
          </w:tcPr>
          <w:p w14:paraId="2B4632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委員謝衣</w:t>
            </w:r>
            <w:r w:rsidRPr="00026143">
              <w:rPr>
                <w:rFonts w:ascii="標楷體" w:eastAsia="標楷體" w:hAnsi="標楷體" w:hint="eastAsia"/>
                <w:bCs/>
                <w:color w:val="000000" w:themeColor="text1"/>
              </w:rPr>
              <w:t>鳯</w:t>
            </w:r>
          </w:p>
          <w:p w14:paraId="3EFF1D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等</w:t>
            </w:r>
            <w:r w:rsidRPr="00026143">
              <w:rPr>
                <w:rFonts w:ascii="標楷體" w:eastAsia="標楷體" w:hAnsi="標楷體"/>
                <w:bCs/>
                <w:color w:val="000000" w:themeColor="text1"/>
              </w:rPr>
              <w:t xml:space="preserve">17人 </w:t>
            </w:r>
          </w:p>
          <w:p w14:paraId="5C0FD9E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6726A15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5007A8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0C6A55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322D8CB2" w14:textId="77777777" w:rsidTr="00974FB5">
        <w:tc>
          <w:tcPr>
            <w:tcW w:w="595" w:type="dxa"/>
            <w:shd w:val="clear" w:color="auto" w:fill="auto"/>
          </w:tcPr>
          <w:p w14:paraId="13072AD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w:t>
            </w:r>
          </w:p>
        </w:tc>
        <w:tc>
          <w:tcPr>
            <w:tcW w:w="2694" w:type="dxa"/>
            <w:shd w:val="clear" w:color="auto" w:fill="auto"/>
          </w:tcPr>
          <w:p w14:paraId="150282B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7.中華民國刑法第二百七十六條條文修正草案（修正重點：修正過失致死罪法定刑為10年以下有期徒刑、拘役或100萬元以下罰金。）</w:t>
            </w:r>
          </w:p>
        </w:tc>
        <w:tc>
          <w:tcPr>
            <w:tcW w:w="1905" w:type="dxa"/>
            <w:shd w:val="clear" w:color="auto" w:fill="auto"/>
          </w:tcPr>
          <w:p w14:paraId="1C5EA5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委員吳斯懷</w:t>
            </w:r>
          </w:p>
          <w:p w14:paraId="760641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68FE39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7BE557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2848B14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7C52BC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5653C700" w14:textId="77777777" w:rsidTr="00974FB5">
        <w:tc>
          <w:tcPr>
            <w:tcW w:w="595" w:type="dxa"/>
            <w:shd w:val="clear" w:color="auto" w:fill="auto"/>
          </w:tcPr>
          <w:p w14:paraId="187B57D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w:t>
            </w:r>
          </w:p>
        </w:tc>
        <w:tc>
          <w:tcPr>
            <w:tcW w:w="2694" w:type="dxa"/>
            <w:shd w:val="clear" w:color="auto" w:fill="auto"/>
          </w:tcPr>
          <w:p w14:paraId="4EE692E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905" w:type="dxa"/>
            <w:shd w:val="clear" w:color="auto" w:fill="auto"/>
          </w:tcPr>
          <w:p w14:paraId="7E9E64A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委員萬美玲</w:t>
            </w:r>
          </w:p>
          <w:p w14:paraId="1D89735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等23人 </w:t>
            </w:r>
          </w:p>
          <w:p w14:paraId="3D1A2A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110.05.07 </w:t>
            </w:r>
          </w:p>
          <w:p w14:paraId="2FE7857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（10-3-11）</w:t>
            </w:r>
          </w:p>
        </w:tc>
        <w:tc>
          <w:tcPr>
            <w:tcW w:w="1581" w:type="dxa"/>
            <w:shd w:val="clear" w:color="auto" w:fill="auto"/>
          </w:tcPr>
          <w:p w14:paraId="5FF7B4B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CDBC65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16C6E48A" w14:textId="77777777" w:rsidTr="00974FB5">
        <w:tc>
          <w:tcPr>
            <w:tcW w:w="595" w:type="dxa"/>
            <w:shd w:val="clear" w:color="auto" w:fill="auto"/>
          </w:tcPr>
          <w:p w14:paraId="67061FF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w:t>
            </w:r>
          </w:p>
        </w:tc>
        <w:tc>
          <w:tcPr>
            <w:tcW w:w="2694" w:type="dxa"/>
            <w:shd w:val="clear" w:color="auto" w:fill="auto"/>
          </w:tcPr>
          <w:p w14:paraId="7105462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9.中華民國刑法第一百八十三條、第一百八十九條之二及第二百七十</w:t>
            </w:r>
            <w:r w:rsidRPr="00026143">
              <w:rPr>
                <w:rFonts w:ascii="標楷體" w:eastAsia="標楷體" w:hAnsi="標楷體"/>
                <w:bCs/>
                <w:color w:val="000000" w:themeColor="text1"/>
              </w:rPr>
              <w:lastRenderedPageBreak/>
              <w:t>六條條文修正草案（修正重點：提升顛覆或破壞交通工具罪過失責任、阻塞逃生通道之處罰刑責及過失致死罪刑度上限。）</w:t>
            </w:r>
          </w:p>
        </w:tc>
        <w:tc>
          <w:tcPr>
            <w:tcW w:w="1905" w:type="dxa"/>
            <w:shd w:val="clear" w:color="auto" w:fill="auto"/>
          </w:tcPr>
          <w:p w14:paraId="726251C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委員呂玉玲</w:t>
            </w:r>
          </w:p>
          <w:p w14:paraId="40E88E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4B4345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110.05.07 </w:t>
            </w:r>
          </w:p>
          <w:p w14:paraId="0047D70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（10-3-11）</w:t>
            </w:r>
          </w:p>
        </w:tc>
        <w:tc>
          <w:tcPr>
            <w:tcW w:w="1581" w:type="dxa"/>
            <w:shd w:val="clear" w:color="auto" w:fill="auto"/>
          </w:tcPr>
          <w:p w14:paraId="5F0FF11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1A0F44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w:t>
            </w:r>
            <w:r w:rsidRPr="00026143">
              <w:rPr>
                <w:rFonts w:ascii="標楷體" w:eastAsia="標楷體" w:hAnsi="標楷體"/>
                <w:bCs/>
                <w:color w:val="000000" w:themeColor="text1"/>
              </w:rPr>
              <w:lastRenderedPageBreak/>
              <w:t>探討刑法過失致死罪爭議」公聽會。</w:t>
            </w:r>
          </w:p>
        </w:tc>
      </w:tr>
      <w:tr w:rsidR="00EC13B7" w:rsidRPr="00026143" w14:paraId="2F72E841" w14:textId="77777777" w:rsidTr="00974FB5">
        <w:tc>
          <w:tcPr>
            <w:tcW w:w="595" w:type="dxa"/>
            <w:shd w:val="clear" w:color="auto" w:fill="auto"/>
          </w:tcPr>
          <w:p w14:paraId="673A38D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11</w:t>
            </w:r>
          </w:p>
        </w:tc>
        <w:tc>
          <w:tcPr>
            <w:tcW w:w="2694" w:type="dxa"/>
            <w:shd w:val="clear" w:color="auto" w:fill="auto"/>
          </w:tcPr>
          <w:p w14:paraId="3FA3194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10.中華民國刑法第一百八十三條及第一百八十五條條文修正草案（修正重點：加重過失責任並明定以故意或過失行為壅塞或損壞鐵路設施，因而致人死傷為犯罪行為。）</w:t>
            </w:r>
          </w:p>
        </w:tc>
        <w:tc>
          <w:tcPr>
            <w:tcW w:w="1905" w:type="dxa"/>
            <w:shd w:val="clear" w:color="auto" w:fill="auto"/>
          </w:tcPr>
          <w:p w14:paraId="6F0DD5D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委員鄭天財</w:t>
            </w:r>
          </w:p>
          <w:p w14:paraId="00D18E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Sra Kacaw</w:t>
            </w:r>
          </w:p>
          <w:p w14:paraId="0255501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1DED8E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110.05.07 </w:t>
            </w:r>
          </w:p>
          <w:p w14:paraId="3D814A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（10-3-11）</w:t>
            </w:r>
          </w:p>
        </w:tc>
        <w:tc>
          <w:tcPr>
            <w:tcW w:w="1581" w:type="dxa"/>
            <w:shd w:val="clear" w:color="auto" w:fill="auto"/>
          </w:tcPr>
          <w:p w14:paraId="240D916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79021F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095C2A61" w14:textId="77777777" w:rsidTr="00974FB5">
        <w:tc>
          <w:tcPr>
            <w:tcW w:w="595" w:type="dxa"/>
            <w:shd w:val="clear" w:color="auto" w:fill="auto"/>
          </w:tcPr>
          <w:p w14:paraId="6644C6F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w:t>
            </w:r>
          </w:p>
        </w:tc>
        <w:tc>
          <w:tcPr>
            <w:tcW w:w="2694" w:type="dxa"/>
            <w:shd w:val="clear" w:color="auto" w:fill="auto"/>
          </w:tcPr>
          <w:p w14:paraId="7791411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11.中華民國刑法第二百七十六條條文修正草案（修正重點：修正本條法定刑上限調整為7年以下有期徒刑、拘役或70萬元以下罰金。）</w:t>
            </w:r>
          </w:p>
        </w:tc>
        <w:tc>
          <w:tcPr>
            <w:tcW w:w="1905" w:type="dxa"/>
            <w:shd w:val="clear" w:color="auto" w:fill="auto"/>
          </w:tcPr>
          <w:p w14:paraId="1A7B60B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委員邱志偉</w:t>
            </w:r>
          </w:p>
          <w:p w14:paraId="0A39C6B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65890E7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110.05.07</w:t>
            </w:r>
          </w:p>
          <w:p w14:paraId="55FD60C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（10-3-11）</w:t>
            </w:r>
          </w:p>
        </w:tc>
        <w:tc>
          <w:tcPr>
            <w:tcW w:w="1581" w:type="dxa"/>
            <w:shd w:val="clear" w:color="auto" w:fill="auto"/>
          </w:tcPr>
          <w:p w14:paraId="7476487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8C71AC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38B96B3F" w14:textId="77777777" w:rsidTr="00974FB5">
        <w:tc>
          <w:tcPr>
            <w:tcW w:w="595" w:type="dxa"/>
            <w:shd w:val="clear" w:color="auto" w:fill="auto"/>
          </w:tcPr>
          <w:p w14:paraId="2FD2811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w:t>
            </w:r>
          </w:p>
        </w:tc>
        <w:tc>
          <w:tcPr>
            <w:tcW w:w="2694" w:type="dxa"/>
            <w:shd w:val="clear" w:color="auto" w:fill="auto"/>
          </w:tcPr>
          <w:p w14:paraId="39B0000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12.中華民國刑法第一百八十三條及第一百八十四條條文修正草案（修正重點：完善重大運輸事故處罰之分級及情形，並加重因過失致生死傷之處罰。）</w:t>
            </w:r>
          </w:p>
        </w:tc>
        <w:tc>
          <w:tcPr>
            <w:tcW w:w="1905" w:type="dxa"/>
            <w:shd w:val="clear" w:color="auto" w:fill="auto"/>
          </w:tcPr>
          <w:p w14:paraId="2FFD62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26A7B3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AA44EE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110.05.07 </w:t>
            </w:r>
          </w:p>
          <w:p w14:paraId="5C7405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（10-3-11）</w:t>
            </w:r>
          </w:p>
          <w:p w14:paraId="6A011D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47C4A8F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E92970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497CB27B" w14:textId="77777777" w:rsidTr="00974FB5">
        <w:tc>
          <w:tcPr>
            <w:tcW w:w="595" w:type="dxa"/>
            <w:shd w:val="clear" w:color="auto" w:fill="auto"/>
          </w:tcPr>
          <w:p w14:paraId="3C54191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w:t>
            </w:r>
          </w:p>
        </w:tc>
        <w:tc>
          <w:tcPr>
            <w:tcW w:w="2694" w:type="dxa"/>
            <w:shd w:val="clear" w:color="auto" w:fill="auto"/>
          </w:tcPr>
          <w:p w14:paraId="015372F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905" w:type="dxa"/>
            <w:shd w:val="clear" w:color="auto" w:fill="auto"/>
          </w:tcPr>
          <w:p w14:paraId="796DCE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委員黃國書</w:t>
            </w:r>
          </w:p>
          <w:p w14:paraId="048BCF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02997D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5563D50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tc>
        <w:tc>
          <w:tcPr>
            <w:tcW w:w="1581" w:type="dxa"/>
            <w:shd w:val="clear" w:color="auto" w:fill="auto"/>
          </w:tcPr>
          <w:p w14:paraId="71F14C4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10860F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657E532A" w14:textId="77777777" w:rsidTr="00974FB5">
        <w:tc>
          <w:tcPr>
            <w:tcW w:w="595" w:type="dxa"/>
            <w:shd w:val="clear" w:color="auto" w:fill="auto"/>
          </w:tcPr>
          <w:p w14:paraId="4FD7EED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w:t>
            </w:r>
          </w:p>
        </w:tc>
        <w:tc>
          <w:tcPr>
            <w:tcW w:w="2694" w:type="dxa"/>
            <w:shd w:val="clear" w:color="auto" w:fill="auto"/>
          </w:tcPr>
          <w:p w14:paraId="29F2F6B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14.中華民國刑法第五十五條及第二百七十六條條文修正草案（修正重點：修正一行為侵害數法益之想像競合規定，法院得斟酌個案情況適度加重其刑；修正過失致死法定刑為7年以下有期徒刑。）</w:t>
            </w:r>
          </w:p>
        </w:tc>
        <w:tc>
          <w:tcPr>
            <w:tcW w:w="1905" w:type="dxa"/>
            <w:shd w:val="clear" w:color="auto" w:fill="auto"/>
          </w:tcPr>
          <w:p w14:paraId="68EEA17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25B44E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112BFF0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tc>
        <w:tc>
          <w:tcPr>
            <w:tcW w:w="1581" w:type="dxa"/>
            <w:shd w:val="clear" w:color="auto" w:fill="auto"/>
          </w:tcPr>
          <w:p w14:paraId="5FE314A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59BCFC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6D64AC5B" w14:textId="77777777" w:rsidTr="00974FB5">
        <w:tc>
          <w:tcPr>
            <w:tcW w:w="595" w:type="dxa"/>
            <w:shd w:val="clear" w:color="auto" w:fill="auto"/>
          </w:tcPr>
          <w:p w14:paraId="3A495E9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16</w:t>
            </w:r>
          </w:p>
        </w:tc>
        <w:tc>
          <w:tcPr>
            <w:tcW w:w="2694" w:type="dxa"/>
            <w:shd w:val="clear" w:color="auto" w:fill="auto"/>
          </w:tcPr>
          <w:p w14:paraId="2BBF2CD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15.中華民國刑法第一百八十三條、第一百八十四條及第二百七十六條條文修正草案（修正重點：就傾覆或破壞現有人所在之交通工具罪，及損壞軌道、燈塔、標誌或以他法致生火車、電車等公眾運輸交通工具往來之危險罪責增訂加重結果犯規定，以保護人民生命、身體安全；並就過失致死罪區分其情節及侵害法益結果之程度，另訂加重處罰規定。）</w:t>
            </w:r>
          </w:p>
        </w:tc>
        <w:tc>
          <w:tcPr>
            <w:tcW w:w="1905" w:type="dxa"/>
            <w:shd w:val="clear" w:color="auto" w:fill="auto"/>
          </w:tcPr>
          <w:p w14:paraId="6026EC7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委員翁重鈞</w:t>
            </w:r>
          </w:p>
          <w:p w14:paraId="504BA22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00994A4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110.05.21 </w:t>
            </w:r>
          </w:p>
          <w:p w14:paraId="13C2520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（10-3-13）</w:t>
            </w:r>
          </w:p>
        </w:tc>
        <w:tc>
          <w:tcPr>
            <w:tcW w:w="1581" w:type="dxa"/>
            <w:shd w:val="clear" w:color="auto" w:fill="auto"/>
          </w:tcPr>
          <w:p w14:paraId="20D22CD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A0F05F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76E40897" w14:textId="77777777" w:rsidTr="00974FB5">
        <w:tc>
          <w:tcPr>
            <w:tcW w:w="595" w:type="dxa"/>
            <w:shd w:val="clear" w:color="auto" w:fill="auto"/>
          </w:tcPr>
          <w:p w14:paraId="4A351C7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w:t>
            </w:r>
          </w:p>
        </w:tc>
        <w:tc>
          <w:tcPr>
            <w:tcW w:w="2694" w:type="dxa"/>
            <w:shd w:val="clear" w:color="auto" w:fill="auto"/>
          </w:tcPr>
          <w:p w14:paraId="7292C3F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16.中華民國刑法第二百七十六條條文修正草案（修正重點：提高過失致死罪法定刑至10年以下。）</w:t>
            </w:r>
          </w:p>
        </w:tc>
        <w:tc>
          <w:tcPr>
            <w:tcW w:w="1905" w:type="dxa"/>
            <w:shd w:val="clear" w:color="auto" w:fill="auto"/>
          </w:tcPr>
          <w:p w14:paraId="0374014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委員魯明哲</w:t>
            </w:r>
          </w:p>
          <w:p w14:paraId="14616C5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788608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110.05.21 </w:t>
            </w:r>
          </w:p>
          <w:p w14:paraId="490FF10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（10-3-13）</w:t>
            </w:r>
          </w:p>
        </w:tc>
        <w:tc>
          <w:tcPr>
            <w:tcW w:w="1581" w:type="dxa"/>
            <w:shd w:val="clear" w:color="auto" w:fill="auto"/>
          </w:tcPr>
          <w:p w14:paraId="039DE65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B9B7BA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0820B144" w14:textId="77777777" w:rsidTr="00974FB5">
        <w:tc>
          <w:tcPr>
            <w:tcW w:w="595" w:type="dxa"/>
            <w:shd w:val="clear" w:color="auto" w:fill="auto"/>
          </w:tcPr>
          <w:p w14:paraId="252A6EE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w:t>
            </w:r>
          </w:p>
        </w:tc>
        <w:tc>
          <w:tcPr>
            <w:tcW w:w="2694" w:type="dxa"/>
            <w:shd w:val="clear" w:color="auto" w:fill="auto"/>
          </w:tcPr>
          <w:p w14:paraId="67EDA36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17.中華民國刑法第五十五條條文修正草案（修正重點：使發生重大事件時，一行為而觸犯數罪名者，從一重處斷，並得加重其刑至二分之一。）</w:t>
            </w:r>
          </w:p>
        </w:tc>
        <w:tc>
          <w:tcPr>
            <w:tcW w:w="1905" w:type="dxa"/>
            <w:shd w:val="clear" w:color="auto" w:fill="auto"/>
          </w:tcPr>
          <w:p w14:paraId="22A2A0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委員賴士葆</w:t>
            </w:r>
          </w:p>
          <w:p w14:paraId="53F61D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等26人 </w:t>
            </w:r>
          </w:p>
          <w:p w14:paraId="23E6419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536E544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4AA42A9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703CEC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本會110.10.25舉行「從近期重大公安傷亡事件探討刑法過失致死罪爭議」公聽會。</w:t>
            </w:r>
          </w:p>
        </w:tc>
      </w:tr>
      <w:tr w:rsidR="00EC13B7" w:rsidRPr="00026143" w14:paraId="19B178F6" w14:textId="77777777" w:rsidTr="00974FB5">
        <w:tc>
          <w:tcPr>
            <w:tcW w:w="595" w:type="dxa"/>
            <w:shd w:val="clear" w:color="auto" w:fill="auto"/>
          </w:tcPr>
          <w:p w14:paraId="693D32A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w:t>
            </w:r>
          </w:p>
        </w:tc>
        <w:tc>
          <w:tcPr>
            <w:tcW w:w="2694" w:type="dxa"/>
            <w:shd w:val="clear" w:color="auto" w:fill="auto"/>
          </w:tcPr>
          <w:p w14:paraId="6BCE00C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18.中華民國刑法第二百七十六條條文修正草案(修正重點：過失致死對於社會所造成的危害並不比重大刑案小，爰修正針對情節重大之案例除提高罰金之外，亦加重有期徒刑之刑度。)</w:t>
            </w:r>
          </w:p>
        </w:tc>
        <w:tc>
          <w:tcPr>
            <w:tcW w:w="1905" w:type="dxa"/>
            <w:shd w:val="clear" w:color="auto" w:fill="auto"/>
          </w:tcPr>
          <w:p w14:paraId="590165C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委員林俊憲</w:t>
            </w:r>
          </w:p>
          <w:p w14:paraId="25AB65A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B66AA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110.11.12 </w:t>
            </w:r>
          </w:p>
          <w:p w14:paraId="6CA7E8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（10-4-9）</w:t>
            </w:r>
          </w:p>
        </w:tc>
        <w:tc>
          <w:tcPr>
            <w:tcW w:w="1581" w:type="dxa"/>
            <w:shd w:val="clear" w:color="auto" w:fill="auto"/>
          </w:tcPr>
          <w:p w14:paraId="009389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6FCC22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DA2A4F8" w14:textId="77777777" w:rsidTr="00974FB5">
        <w:tc>
          <w:tcPr>
            <w:tcW w:w="595" w:type="dxa"/>
            <w:shd w:val="clear" w:color="auto" w:fill="auto"/>
          </w:tcPr>
          <w:p w14:paraId="487A410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20</w:t>
            </w:r>
          </w:p>
        </w:tc>
        <w:tc>
          <w:tcPr>
            <w:tcW w:w="2694" w:type="dxa"/>
            <w:shd w:val="clear" w:color="auto" w:fill="auto"/>
          </w:tcPr>
          <w:p w14:paraId="151E2E5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19.中華民國刑法第一百八十三條及第二百七十六條條文修正草案（修正重點：增訂過失致死罪其情節重大者，以及情節重大且因而致五人以上於死者之刑罰。）</w:t>
            </w:r>
          </w:p>
        </w:tc>
        <w:tc>
          <w:tcPr>
            <w:tcW w:w="1905" w:type="dxa"/>
            <w:shd w:val="clear" w:color="auto" w:fill="auto"/>
          </w:tcPr>
          <w:p w14:paraId="41E5B12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委員費鴻泰</w:t>
            </w:r>
          </w:p>
          <w:p w14:paraId="23C9F95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166E4B3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110.11.26 </w:t>
            </w:r>
          </w:p>
          <w:p w14:paraId="2048CFC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（10-4-11）</w:t>
            </w:r>
          </w:p>
        </w:tc>
        <w:tc>
          <w:tcPr>
            <w:tcW w:w="1581" w:type="dxa"/>
            <w:shd w:val="clear" w:color="auto" w:fill="auto"/>
          </w:tcPr>
          <w:p w14:paraId="2456F73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7575D4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EB79C52" w14:textId="77777777" w:rsidTr="00974FB5">
        <w:tc>
          <w:tcPr>
            <w:tcW w:w="595" w:type="dxa"/>
            <w:shd w:val="clear" w:color="auto" w:fill="auto"/>
          </w:tcPr>
          <w:p w14:paraId="539F83B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w:t>
            </w:r>
          </w:p>
        </w:tc>
        <w:tc>
          <w:tcPr>
            <w:tcW w:w="2694" w:type="dxa"/>
            <w:shd w:val="clear" w:color="auto" w:fill="auto"/>
          </w:tcPr>
          <w:p w14:paraId="298C606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20.中華民國刑法第一百八十九條之二條文修</w:t>
            </w:r>
            <w:r w:rsidRPr="00026143">
              <w:rPr>
                <w:rFonts w:ascii="標楷體" w:eastAsia="標楷體" w:hAnsi="標楷體"/>
                <w:bCs/>
                <w:color w:val="000000" w:themeColor="text1"/>
              </w:rPr>
              <w:lastRenderedPageBreak/>
              <w:t>正草案（修正重點：鑑於近來重大公共安全事故頻傳，因行為人過失，阻塞逃生通道釀責之死傷人數較以往為高，爰提升其刑度上限。）</w:t>
            </w:r>
          </w:p>
        </w:tc>
        <w:tc>
          <w:tcPr>
            <w:tcW w:w="1905" w:type="dxa"/>
            <w:shd w:val="clear" w:color="auto" w:fill="auto"/>
          </w:tcPr>
          <w:p w14:paraId="095B9C0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委員費鴻泰</w:t>
            </w:r>
          </w:p>
          <w:p w14:paraId="1A7E54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B7D5C3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110.11.26 </w:t>
            </w:r>
          </w:p>
          <w:p w14:paraId="1346908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（10-4-11）</w:t>
            </w:r>
          </w:p>
        </w:tc>
        <w:tc>
          <w:tcPr>
            <w:tcW w:w="1581" w:type="dxa"/>
            <w:shd w:val="clear" w:color="auto" w:fill="auto"/>
          </w:tcPr>
          <w:p w14:paraId="152364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9E203C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8EB0E04" w14:textId="77777777" w:rsidTr="00974FB5">
        <w:tc>
          <w:tcPr>
            <w:tcW w:w="595" w:type="dxa"/>
            <w:shd w:val="clear" w:color="auto" w:fill="auto"/>
          </w:tcPr>
          <w:p w14:paraId="24F4C40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22</w:t>
            </w:r>
          </w:p>
        </w:tc>
        <w:tc>
          <w:tcPr>
            <w:tcW w:w="2694" w:type="dxa"/>
            <w:shd w:val="clear" w:color="auto" w:fill="auto"/>
          </w:tcPr>
          <w:p w14:paraId="5D10993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21.中華民國刑法第二百七十六條條文修正草案(修正重點：近年發生多起重大公共安全事故，均造成大量民眾傷亡，爰增訂過失致死罪區分其情節及侵害法益結果之程度，加重處罰規定。)</w:t>
            </w:r>
          </w:p>
        </w:tc>
        <w:tc>
          <w:tcPr>
            <w:tcW w:w="1905" w:type="dxa"/>
            <w:shd w:val="clear" w:color="auto" w:fill="auto"/>
          </w:tcPr>
          <w:p w14:paraId="60D2523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委員林思銘</w:t>
            </w:r>
          </w:p>
          <w:p w14:paraId="7FA9825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24F931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110.12.03 </w:t>
            </w:r>
          </w:p>
          <w:p w14:paraId="06FDE6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（10-4-12）</w:t>
            </w:r>
          </w:p>
        </w:tc>
        <w:tc>
          <w:tcPr>
            <w:tcW w:w="1581" w:type="dxa"/>
            <w:shd w:val="clear" w:color="auto" w:fill="auto"/>
          </w:tcPr>
          <w:p w14:paraId="5582C7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51A318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FD8440C" w14:textId="77777777" w:rsidTr="00974FB5">
        <w:tc>
          <w:tcPr>
            <w:tcW w:w="595" w:type="dxa"/>
            <w:shd w:val="clear" w:color="auto" w:fill="auto"/>
          </w:tcPr>
          <w:p w14:paraId="5C85809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w:t>
            </w:r>
          </w:p>
        </w:tc>
        <w:tc>
          <w:tcPr>
            <w:tcW w:w="2694" w:type="dxa"/>
            <w:shd w:val="clear" w:color="auto" w:fill="auto"/>
          </w:tcPr>
          <w:p w14:paraId="08A362E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22.中華民國刑法第二百七十六條條文修正草案(修正重點：鑑於近年因過失導致重大傷亡事故頻傳，增訂條文第二項，犯前項之罪，其情節重大者，處七年以上十年以下有期徒刑。)</w:t>
            </w:r>
          </w:p>
        </w:tc>
        <w:tc>
          <w:tcPr>
            <w:tcW w:w="1905" w:type="dxa"/>
            <w:shd w:val="clear" w:color="auto" w:fill="auto"/>
          </w:tcPr>
          <w:p w14:paraId="7F16BC7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委員鄭麗文</w:t>
            </w:r>
          </w:p>
          <w:p w14:paraId="26482A8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994FB2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2372D24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06FA4EA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BA83A7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CAB7C8B" w14:textId="77777777" w:rsidTr="00974FB5">
        <w:tc>
          <w:tcPr>
            <w:tcW w:w="595" w:type="dxa"/>
            <w:shd w:val="clear" w:color="auto" w:fill="auto"/>
          </w:tcPr>
          <w:p w14:paraId="76B73F2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w:t>
            </w:r>
          </w:p>
        </w:tc>
        <w:tc>
          <w:tcPr>
            <w:tcW w:w="2694" w:type="dxa"/>
            <w:shd w:val="clear" w:color="auto" w:fill="auto"/>
          </w:tcPr>
          <w:p w14:paraId="6EFE76E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23.中華民國刑法第一百八十三條條文修正草案(修正重點：鑑於近年因人為疏失使得重大公安事故頻傳，增訂情節程度認定並加重刑罰規定。)</w:t>
            </w:r>
          </w:p>
        </w:tc>
        <w:tc>
          <w:tcPr>
            <w:tcW w:w="1905" w:type="dxa"/>
            <w:shd w:val="clear" w:color="auto" w:fill="auto"/>
          </w:tcPr>
          <w:p w14:paraId="3323B3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委員鄭麗文</w:t>
            </w:r>
          </w:p>
          <w:p w14:paraId="7BA89D5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0EA90CE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06604B1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372D770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63C919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1A3D53C" w14:textId="77777777" w:rsidTr="00974FB5">
        <w:tc>
          <w:tcPr>
            <w:tcW w:w="595" w:type="dxa"/>
            <w:shd w:val="clear" w:color="auto" w:fill="auto"/>
          </w:tcPr>
          <w:p w14:paraId="19D5BD0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w:t>
            </w:r>
          </w:p>
        </w:tc>
        <w:tc>
          <w:tcPr>
            <w:tcW w:w="2694" w:type="dxa"/>
            <w:shd w:val="clear" w:color="auto" w:fill="auto"/>
          </w:tcPr>
          <w:p w14:paraId="37C1C24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24.中華民國刑法第一百八十三條及第二百七十六條條文修正草案（修正重點：為避免公眾運輸或其他重大公安事故有情重法輕情形，予以提高刑期，以保護人民生命、身體安全。）</w:t>
            </w:r>
          </w:p>
        </w:tc>
        <w:tc>
          <w:tcPr>
            <w:tcW w:w="1905" w:type="dxa"/>
            <w:shd w:val="clear" w:color="auto" w:fill="auto"/>
          </w:tcPr>
          <w:p w14:paraId="1F463C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委員蘇治芬</w:t>
            </w:r>
          </w:p>
          <w:p w14:paraId="648A56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2A2852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67E6074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7EB120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C2D51B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C39950F" w14:textId="77777777" w:rsidTr="00974FB5">
        <w:tc>
          <w:tcPr>
            <w:tcW w:w="595" w:type="dxa"/>
            <w:shd w:val="clear" w:color="auto" w:fill="auto"/>
          </w:tcPr>
          <w:p w14:paraId="253821D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w:t>
            </w:r>
          </w:p>
        </w:tc>
        <w:tc>
          <w:tcPr>
            <w:tcW w:w="2694" w:type="dxa"/>
            <w:shd w:val="clear" w:color="auto" w:fill="auto"/>
          </w:tcPr>
          <w:p w14:paraId="7577BE3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25.中華民國刑法第二百七十六條條文修正草案(修正重點：增訂第二項以彌補我國現行於一行為侵害數生命身體法益時採想像競合犯法理處理，造成罪刑顯不相符之罰則發生。並以「</w:t>
            </w:r>
            <w:r w:rsidRPr="00026143">
              <w:rPr>
                <w:rFonts w:ascii="標楷體" w:eastAsia="標楷體" w:hAnsi="標楷體"/>
                <w:bCs/>
                <w:color w:val="000000" w:themeColor="text1"/>
              </w:rPr>
              <w:lastRenderedPageBreak/>
              <w:t>情節重大者」作為適用之構成要件。)</w:t>
            </w:r>
          </w:p>
        </w:tc>
        <w:tc>
          <w:tcPr>
            <w:tcW w:w="1905" w:type="dxa"/>
            <w:shd w:val="clear" w:color="auto" w:fill="auto"/>
          </w:tcPr>
          <w:p w14:paraId="0DC89D1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委員陳亭妃</w:t>
            </w:r>
          </w:p>
          <w:p w14:paraId="643F713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70E740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72A10E3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（10-6-13）</w:t>
            </w:r>
          </w:p>
        </w:tc>
        <w:tc>
          <w:tcPr>
            <w:tcW w:w="1581" w:type="dxa"/>
            <w:shd w:val="clear" w:color="auto" w:fill="auto"/>
          </w:tcPr>
          <w:p w14:paraId="27AC21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18D7E7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73BC316" w14:textId="77777777" w:rsidTr="00974FB5">
        <w:tc>
          <w:tcPr>
            <w:tcW w:w="595" w:type="dxa"/>
            <w:shd w:val="clear" w:color="auto" w:fill="auto"/>
          </w:tcPr>
          <w:p w14:paraId="48186DF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27</w:t>
            </w:r>
          </w:p>
        </w:tc>
        <w:tc>
          <w:tcPr>
            <w:tcW w:w="2694" w:type="dxa"/>
            <w:shd w:val="clear" w:color="auto" w:fill="auto"/>
          </w:tcPr>
          <w:p w14:paraId="6C40616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1.中華民國刑法第三百四十四條條文修正草案（修正重點：將超過利息上限列入「重利」定義之範圍。）</w:t>
            </w:r>
          </w:p>
        </w:tc>
        <w:tc>
          <w:tcPr>
            <w:tcW w:w="1905" w:type="dxa"/>
            <w:shd w:val="clear" w:color="auto" w:fill="auto"/>
          </w:tcPr>
          <w:p w14:paraId="7CE53B6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委員李貴敏</w:t>
            </w:r>
          </w:p>
          <w:p w14:paraId="0124C4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等31人 </w:t>
            </w:r>
          </w:p>
          <w:p w14:paraId="7AA077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109.03.06 </w:t>
            </w:r>
          </w:p>
          <w:p w14:paraId="792850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（10-1-3）</w:t>
            </w:r>
          </w:p>
        </w:tc>
        <w:tc>
          <w:tcPr>
            <w:tcW w:w="1581" w:type="dxa"/>
            <w:shd w:val="clear" w:color="auto" w:fill="auto"/>
          </w:tcPr>
          <w:p w14:paraId="1A997C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C37D486" w14:textId="590756CE" w:rsidR="00F474B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本會109.5.4</w:t>
            </w:r>
          </w:p>
          <w:p w14:paraId="689BACA9" w14:textId="53D5CD75"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(10-1-22)報告及詢答完畢，另定期繼續審查。</w:t>
            </w:r>
          </w:p>
        </w:tc>
      </w:tr>
      <w:tr w:rsidR="00EC13B7" w:rsidRPr="00026143" w14:paraId="748626FD" w14:textId="77777777" w:rsidTr="00974FB5">
        <w:tc>
          <w:tcPr>
            <w:tcW w:w="595" w:type="dxa"/>
            <w:shd w:val="clear" w:color="auto" w:fill="auto"/>
          </w:tcPr>
          <w:p w14:paraId="0AB7E7D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w:t>
            </w:r>
          </w:p>
        </w:tc>
        <w:tc>
          <w:tcPr>
            <w:tcW w:w="2694" w:type="dxa"/>
            <w:shd w:val="clear" w:color="auto" w:fill="auto"/>
          </w:tcPr>
          <w:p w14:paraId="4C466D4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2.中華民國刑法第三百四十四條條文修正草案（修正重點：提高高利率貸放款刑責；增訂於重利行為使他人陷於窮困或以實施該行為營業或以票據方式使他人承諾而得重利之刑責。）</w:t>
            </w:r>
          </w:p>
        </w:tc>
        <w:tc>
          <w:tcPr>
            <w:tcW w:w="1905" w:type="dxa"/>
            <w:shd w:val="clear" w:color="auto" w:fill="auto"/>
          </w:tcPr>
          <w:p w14:paraId="44DA7F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委員林俊憲</w:t>
            </w:r>
          </w:p>
          <w:p w14:paraId="0D62DA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2477DC4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110.04.06 </w:t>
            </w:r>
          </w:p>
          <w:p w14:paraId="254A44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（10-3-6）</w:t>
            </w:r>
          </w:p>
        </w:tc>
        <w:tc>
          <w:tcPr>
            <w:tcW w:w="1581" w:type="dxa"/>
            <w:shd w:val="clear" w:color="auto" w:fill="auto"/>
          </w:tcPr>
          <w:p w14:paraId="2D2E9DC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068836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D1A4C29" w14:textId="77777777" w:rsidTr="00974FB5">
        <w:tc>
          <w:tcPr>
            <w:tcW w:w="595" w:type="dxa"/>
            <w:shd w:val="clear" w:color="auto" w:fill="auto"/>
          </w:tcPr>
          <w:p w14:paraId="59929BA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w:t>
            </w:r>
          </w:p>
        </w:tc>
        <w:tc>
          <w:tcPr>
            <w:tcW w:w="2694" w:type="dxa"/>
            <w:shd w:val="clear" w:color="auto" w:fill="auto"/>
          </w:tcPr>
          <w:p w14:paraId="6869B36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增訂第一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905" w:type="dxa"/>
            <w:shd w:val="clear" w:color="auto" w:fill="auto"/>
          </w:tcPr>
          <w:p w14:paraId="3A1536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5AC7D90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109.03.20 </w:t>
            </w:r>
          </w:p>
          <w:p w14:paraId="3FDCE95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（10-1-5）</w:t>
            </w:r>
          </w:p>
        </w:tc>
        <w:tc>
          <w:tcPr>
            <w:tcW w:w="1581" w:type="dxa"/>
            <w:shd w:val="clear" w:color="auto" w:fill="auto"/>
          </w:tcPr>
          <w:p w14:paraId="18F13AC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9689B4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B5BC6BA" w14:textId="77777777" w:rsidTr="00974FB5">
        <w:tc>
          <w:tcPr>
            <w:tcW w:w="595" w:type="dxa"/>
            <w:shd w:val="clear" w:color="auto" w:fill="auto"/>
          </w:tcPr>
          <w:p w14:paraId="34E8987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w:t>
            </w:r>
          </w:p>
        </w:tc>
        <w:tc>
          <w:tcPr>
            <w:tcW w:w="2694" w:type="dxa"/>
            <w:shd w:val="clear" w:color="auto" w:fill="auto"/>
          </w:tcPr>
          <w:p w14:paraId="5A2EB3D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部分條文修正草案（修正§165；增訂第三十七章章名、§364~368。修正重點：訂立「妨害司法公正罪」專章，明定「不實陳述罪」、「以騷擾行為妨害司法公正罪」、「以其它不法行為妨害司法公正罪」、「藐視法庭罪」、及「訴訟目的外不當使用訴訟資料罪」及其罪責。）</w:t>
            </w:r>
          </w:p>
        </w:tc>
        <w:tc>
          <w:tcPr>
            <w:tcW w:w="1905" w:type="dxa"/>
            <w:shd w:val="clear" w:color="auto" w:fill="auto"/>
          </w:tcPr>
          <w:p w14:paraId="4CB66D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委員鄭麗文</w:t>
            </w:r>
          </w:p>
          <w:p w14:paraId="0D9DBB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723091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109.03.27 </w:t>
            </w:r>
          </w:p>
          <w:p w14:paraId="16216DD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（10-1-6）</w:t>
            </w:r>
          </w:p>
        </w:tc>
        <w:tc>
          <w:tcPr>
            <w:tcW w:w="1581" w:type="dxa"/>
            <w:shd w:val="clear" w:color="auto" w:fill="auto"/>
          </w:tcPr>
          <w:p w14:paraId="1B805FF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6EE9F2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3953BBE" w14:textId="77777777" w:rsidTr="00974FB5">
        <w:tc>
          <w:tcPr>
            <w:tcW w:w="595" w:type="dxa"/>
            <w:shd w:val="clear" w:color="auto" w:fill="auto"/>
          </w:tcPr>
          <w:p w14:paraId="7AE38C3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31</w:t>
            </w:r>
          </w:p>
        </w:tc>
        <w:tc>
          <w:tcPr>
            <w:tcW w:w="2694" w:type="dxa"/>
            <w:shd w:val="clear" w:color="auto" w:fill="auto"/>
          </w:tcPr>
          <w:p w14:paraId="0686C7C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2.中華民國刑法增訂部分條文草案(增訂第三十六章之一章名、§363-1~5。增訂重點：訂立「妨害司法公正罪」專章，明訂「不實陳述</w:t>
            </w:r>
            <w:r w:rsidRPr="00026143">
              <w:rPr>
                <w:rFonts w:ascii="標楷體" w:eastAsia="標楷體" w:hAnsi="標楷體"/>
                <w:bCs/>
                <w:color w:val="000000" w:themeColor="text1"/>
              </w:rPr>
              <w:lastRenderedPageBreak/>
              <w:t>罪」、「以騷擾行為妨害司法公正罪」、「以其它不法行為妨害司法公正罪」、「藐視法庭罪」及「訴訟目的外不當使用訴訟資料罪」等罪責。)</w:t>
            </w:r>
          </w:p>
        </w:tc>
        <w:tc>
          <w:tcPr>
            <w:tcW w:w="1905" w:type="dxa"/>
            <w:shd w:val="clear" w:color="auto" w:fill="auto"/>
          </w:tcPr>
          <w:p w14:paraId="7BAA5D1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委員葉毓蘭</w:t>
            </w:r>
          </w:p>
          <w:p w14:paraId="51C1AEE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0E6041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111.04.08 </w:t>
            </w:r>
          </w:p>
          <w:p w14:paraId="1DBE3E1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（10-5-7）</w:t>
            </w:r>
          </w:p>
        </w:tc>
        <w:tc>
          <w:tcPr>
            <w:tcW w:w="1581" w:type="dxa"/>
            <w:shd w:val="clear" w:color="auto" w:fill="auto"/>
          </w:tcPr>
          <w:p w14:paraId="2661E49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48B003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53D4292" w14:textId="77777777" w:rsidTr="00974FB5">
        <w:tc>
          <w:tcPr>
            <w:tcW w:w="595" w:type="dxa"/>
            <w:shd w:val="clear" w:color="auto" w:fill="auto"/>
          </w:tcPr>
          <w:p w14:paraId="7F21AD1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32</w:t>
            </w:r>
          </w:p>
        </w:tc>
        <w:tc>
          <w:tcPr>
            <w:tcW w:w="2694" w:type="dxa"/>
            <w:shd w:val="clear" w:color="auto" w:fill="auto"/>
          </w:tcPr>
          <w:p w14:paraId="49FAD0C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增訂部分條文草案（增訂第三十七章章名、§364~367。增訂重點：仇恨犯罪為國際人權法上所規範之重要犯罪之一，以防治任何人因為對他人之種族、宗教、國籍、性別、政治見解或其他身分等理由之偏見或歧視，進而侵害他人之生命、財產或自由之行為，爰增訂仇恨罪。）</w:t>
            </w:r>
          </w:p>
        </w:tc>
        <w:tc>
          <w:tcPr>
            <w:tcW w:w="1905" w:type="dxa"/>
            <w:shd w:val="clear" w:color="auto" w:fill="auto"/>
          </w:tcPr>
          <w:p w14:paraId="362858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委員蘇巧慧</w:t>
            </w:r>
          </w:p>
          <w:p w14:paraId="44E1C4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440DFC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111.12.02 </w:t>
            </w:r>
          </w:p>
          <w:p w14:paraId="67D6A5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（10-6-10）</w:t>
            </w:r>
          </w:p>
        </w:tc>
        <w:tc>
          <w:tcPr>
            <w:tcW w:w="1581" w:type="dxa"/>
            <w:shd w:val="clear" w:color="auto" w:fill="auto"/>
          </w:tcPr>
          <w:p w14:paraId="30A0736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6786EB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86E08A6" w14:textId="77777777" w:rsidTr="00974FB5">
        <w:tc>
          <w:tcPr>
            <w:tcW w:w="595" w:type="dxa"/>
            <w:shd w:val="clear" w:color="auto" w:fill="auto"/>
          </w:tcPr>
          <w:p w14:paraId="3A2FA2D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33</w:t>
            </w:r>
          </w:p>
        </w:tc>
        <w:tc>
          <w:tcPr>
            <w:tcW w:w="2694" w:type="dxa"/>
            <w:shd w:val="clear" w:color="auto" w:fill="auto"/>
          </w:tcPr>
          <w:p w14:paraId="50862C9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1.中華民國刑法第三百十五條之二條文修正草案（修正重點：針對多人共同侵害、傳播非公開活動之行為為加重處罰，落實隱私保障。）</w:t>
            </w:r>
          </w:p>
        </w:tc>
        <w:tc>
          <w:tcPr>
            <w:tcW w:w="1905" w:type="dxa"/>
            <w:shd w:val="clear" w:color="auto" w:fill="auto"/>
          </w:tcPr>
          <w:p w14:paraId="4668FEE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委員林楚茵</w:t>
            </w:r>
          </w:p>
          <w:p w14:paraId="45070B2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A42C17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109.05.15 </w:t>
            </w:r>
          </w:p>
          <w:p w14:paraId="2E04A8D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（10-1-13）</w:t>
            </w:r>
          </w:p>
        </w:tc>
        <w:tc>
          <w:tcPr>
            <w:tcW w:w="1581" w:type="dxa"/>
            <w:shd w:val="clear" w:color="auto" w:fill="auto"/>
          </w:tcPr>
          <w:p w14:paraId="03CE9D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869A86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448BD86" w14:textId="77777777" w:rsidTr="00974FB5">
        <w:tc>
          <w:tcPr>
            <w:tcW w:w="595" w:type="dxa"/>
            <w:shd w:val="clear" w:color="auto" w:fill="auto"/>
          </w:tcPr>
          <w:p w14:paraId="304EBFF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34</w:t>
            </w:r>
          </w:p>
        </w:tc>
        <w:tc>
          <w:tcPr>
            <w:tcW w:w="2694" w:type="dxa"/>
            <w:shd w:val="clear" w:color="auto" w:fill="auto"/>
          </w:tcPr>
          <w:p w14:paraId="582743B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2.中華民國刑法第三百十五條之二條文修正草案（修正重點：針對利用電腦或其相關設備傳播非公開活動之行為加重處罰。）</w:t>
            </w:r>
          </w:p>
        </w:tc>
        <w:tc>
          <w:tcPr>
            <w:tcW w:w="1905" w:type="dxa"/>
            <w:shd w:val="clear" w:color="auto" w:fill="auto"/>
          </w:tcPr>
          <w:p w14:paraId="755DAD4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委員李德維</w:t>
            </w:r>
          </w:p>
          <w:p w14:paraId="25CD68E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543EB70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109.05.29 </w:t>
            </w:r>
          </w:p>
          <w:p w14:paraId="0500F94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（10-1-15）</w:t>
            </w:r>
          </w:p>
        </w:tc>
        <w:tc>
          <w:tcPr>
            <w:tcW w:w="1581" w:type="dxa"/>
            <w:shd w:val="clear" w:color="auto" w:fill="auto"/>
          </w:tcPr>
          <w:p w14:paraId="1167582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4ACCD3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B544E8E" w14:textId="77777777" w:rsidTr="00974FB5">
        <w:tc>
          <w:tcPr>
            <w:tcW w:w="595" w:type="dxa"/>
            <w:shd w:val="clear" w:color="auto" w:fill="auto"/>
          </w:tcPr>
          <w:p w14:paraId="659B86A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35</w:t>
            </w:r>
          </w:p>
        </w:tc>
        <w:tc>
          <w:tcPr>
            <w:tcW w:w="2694" w:type="dxa"/>
            <w:shd w:val="clear" w:color="auto" w:fill="auto"/>
          </w:tcPr>
          <w:p w14:paraId="1A89D81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中華民國刑法第二百五十一條條文修正草案（修正重點：提高囤積物品罪罰金刑之額度。）</w:t>
            </w:r>
          </w:p>
        </w:tc>
        <w:tc>
          <w:tcPr>
            <w:tcW w:w="1905" w:type="dxa"/>
            <w:shd w:val="clear" w:color="auto" w:fill="auto"/>
          </w:tcPr>
          <w:p w14:paraId="3533A3E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委員林宜瑾</w:t>
            </w:r>
          </w:p>
          <w:p w14:paraId="19239B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6143B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109.04.24 </w:t>
            </w:r>
          </w:p>
          <w:p w14:paraId="513219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（10-1-10）</w:t>
            </w:r>
          </w:p>
        </w:tc>
        <w:tc>
          <w:tcPr>
            <w:tcW w:w="1581" w:type="dxa"/>
            <w:shd w:val="clear" w:color="auto" w:fill="auto"/>
          </w:tcPr>
          <w:p w14:paraId="09FD01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A2EAA9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587C292" w14:textId="77777777" w:rsidTr="00974FB5">
        <w:tc>
          <w:tcPr>
            <w:tcW w:w="595" w:type="dxa"/>
            <w:shd w:val="clear" w:color="auto" w:fill="auto"/>
          </w:tcPr>
          <w:p w14:paraId="6C5691A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36</w:t>
            </w:r>
          </w:p>
        </w:tc>
        <w:tc>
          <w:tcPr>
            <w:tcW w:w="2694" w:type="dxa"/>
            <w:shd w:val="clear" w:color="auto" w:fill="auto"/>
          </w:tcPr>
          <w:p w14:paraId="501E751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中華民國刑法第十條條文修正草案（修正重點：將「電磁紀錄物」之名詞定義納入本條。）</w:t>
            </w:r>
          </w:p>
        </w:tc>
        <w:tc>
          <w:tcPr>
            <w:tcW w:w="1905" w:type="dxa"/>
            <w:shd w:val="clear" w:color="auto" w:fill="auto"/>
          </w:tcPr>
          <w:p w14:paraId="3B7E702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7CA0A97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3A91D6E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109.05.01 </w:t>
            </w:r>
          </w:p>
          <w:p w14:paraId="07EF31D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（10-1-11）</w:t>
            </w:r>
          </w:p>
        </w:tc>
        <w:tc>
          <w:tcPr>
            <w:tcW w:w="1581" w:type="dxa"/>
            <w:shd w:val="clear" w:color="auto" w:fill="auto"/>
          </w:tcPr>
          <w:p w14:paraId="7E56F2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892746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2191AA9" w14:textId="77777777" w:rsidTr="00974FB5">
        <w:tc>
          <w:tcPr>
            <w:tcW w:w="595" w:type="dxa"/>
            <w:shd w:val="clear" w:color="auto" w:fill="auto"/>
          </w:tcPr>
          <w:p w14:paraId="5440354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37</w:t>
            </w:r>
          </w:p>
        </w:tc>
        <w:tc>
          <w:tcPr>
            <w:tcW w:w="2694" w:type="dxa"/>
            <w:shd w:val="clear" w:color="auto" w:fill="auto"/>
          </w:tcPr>
          <w:p w14:paraId="3E47CCC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1.中華民國刑法增訂第二百七十二條之一及第二百八十條之一條文草案（增訂重點：對於公務員依法執行職務，醫事人員或緊急醫療救護人員於執行業務時，犯</w:t>
            </w:r>
            <w:r w:rsidRPr="00026143">
              <w:rPr>
                <w:rFonts w:ascii="標楷體" w:eastAsia="標楷體" w:hAnsi="標楷體"/>
                <w:bCs/>
                <w:color w:val="000000" w:themeColor="text1"/>
              </w:rPr>
              <w:lastRenderedPageBreak/>
              <w:t>第二百七十一條、二百七十七條或二百七十八條之罪者，加重其刑至二分之一。）</w:t>
            </w:r>
          </w:p>
        </w:tc>
        <w:tc>
          <w:tcPr>
            <w:tcW w:w="1905" w:type="dxa"/>
            <w:shd w:val="clear" w:color="auto" w:fill="auto"/>
          </w:tcPr>
          <w:p w14:paraId="63873FF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委員葉毓蘭</w:t>
            </w:r>
          </w:p>
          <w:p w14:paraId="56AE9D0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03CA363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109.05.01 </w:t>
            </w:r>
          </w:p>
          <w:p w14:paraId="7F8F73D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（10-1-11）</w:t>
            </w:r>
          </w:p>
        </w:tc>
        <w:tc>
          <w:tcPr>
            <w:tcW w:w="1581" w:type="dxa"/>
            <w:shd w:val="clear" w:color="auto" w:fill="auto"/>
          </w:tcPr>
          <w:p w14:paraId="3D5BC2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45453A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DD1DCAD" w14:textId="77777777" w:rsidTr="00974FB5">
        <w:tc>
          <w:tcPr>
            <w:tcW w:w="595" w:type="dxa"/>
            <w:shd w:val="clear" w:color="auto" w:fill="auto"/>
          </w:tcPr>
          <w:p w14:paraId="082090B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38</w:t>
            </w:r>
          </w:p>
        </w:tc>
        <w:tc>
          <w:tcPr>
            <w:tcW w:w="2694" w:type="dxa"/>
            <w:shd w:val="clear" w:color="auto" w:fill="auto"/>
          </w:tcPr>
          <w:p w14:paraId="645BEB8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2.中華民國刑法增訂第一百八十九條之三條文草案(增訂重點：針對在醫院內對醫護人員進行暴力行為或毀損醫療設施致生危險於他人之身體健康者，視為違反公共危險罪處以刑責。)</w:t>
            </w:r>
          </w:p>
        </w:tc>
        <w:tc>
          <w:tcPr>
            <w:tcW w:w="1905" w:type="dxa"/>
            <w:shd w:val="clear" w:color="auto" w:fill="auto"/>
          </w:tcPr>
          <w:p w14:paraId="3568A0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委員羅明才</w:t>
            </w:r>
          </w:p>
          <w:p w14:paraId="09D670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2A43D1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71C8BB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tc>
        <w:tc>
          <w:tcPr>
            <w:tcW w:w="1581" w:type="dxa"/>
            <w:shd w:val="clear" w:color="auto" w:fill="auto"/>
          </w:tcPr>
          <w:p w14:paraId="3CD5B72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DDFCD3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D2850CF" w14:textId="77777777" w:rsidTr="00974FB5">
        <w:tc>
          <w:tcPr>
            <w:tcW w:w="595" w:type="dxa"/>
            <w:shd w:val="clear" w:color="auto" w:fill="auto"/>
          </w:tcPr>
          <w:p w14:paraId="370BBD2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39</w:t>
            </w:r>
          </w:p>
        </w:tc>
        <w:tc>
          <w:tcPr>
            <w:tcW w:w="2694" w:type="dxa"/>
            <w:shd w:val="clear" w:color="auto" w:fill="auto"/>
          </w:tcPr>
          <w:p w14:paraId="5865498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3.中華民國刑法增訂第一百八十二條之一條文草案(增訂重點：針對妨害醫療進行處一年以下有期徒刑，以維護醫療體系運作。)</w:t>
            </w:r>
          </w:p>
        </w:tc>
        <w:tc>
          <w:tcPr>
            <w:tcW w:w="1905" w:type="dxa"/>
            <w:shd w:val="clear" w:color="auto" w:fill="auto"/>
          </w:tcPr>
          <w:p w14:paraId="40C1B1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委員林俊憲</w:t>
            </w:r>
          </w:p>
          <w:p w14:paraId="61CD15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13BBC8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110.11.12 </w:t>
            </w:r>
          </w:p>
          <w:p w14:paraId="25F638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（10-4-9）</w:t>
            </w:r>
          </w:p>
        </w:tc>
        <w:tc>
          <w:tcPr>
            <w:tcW w:w="1581" w:type="dxa"/>
            <w:shd w:val="clear" w:color="auto" w:fill="auto"/>
          </w:tcPr>
          <w:p w14:paraId="71EF910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E9CB71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6303547" w14:textId="77777777" w:rsidTr="00974FB5">
        <w:tc>
          <w:tcPr>
            <w:tcW w:w="595" w:type="dxa"/>
            <w:shd w:val="clear" w:color="auto" w:fill="auto"/>
          </w:tcPr>
          <w:p w14:paraId="7EB0E72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40</w:t>
            </w:r>
          </w:p>
        </w:tc>
        <w:tc>
          <w:tcPr>
            <w:tcW w:w="2694" w:type="dxa"/>
            <w:shd w:val="clear" w:color="auto" w:fill="auto"/>
          </w:tcPr>
          <w:p w14:paraId="63A151E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1.中華民國刑法增訂第二百八十六條之一條文草案（增訂重點：對六歲以下之人犯本條之罪者，加重其刑至二分之一。）</w:t>
            </w:r>
          </w:p>
        </w:tc>
        <w:tc>
          <w:tcPr>
            <w:tcW w:w="1905" w:type="dxa"/>
            <w:shd w:val="clear" w:color="auto" w:fill="auto"/>
          </w:tcPr>
          <w:p w14:paraId="3ECF2F4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委員魯明哲</w:t>
            </w:r>
          </w:p>
          <w:p w14:paraId="2D55B16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等25人 </w:t>
            </w:r>
          </w:p>
          <w:p w14:paraId="367E34FA" w14:textId="77777777" w:rsidR="001052E5"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109.05.08 </w:t>
            </w:r>
          </w:p>
          <w:p w14:paraId="4B829002" w14:textId="14D124D1"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（10-1-12）</w:t>
            </w:r>
          </w:p>
        </w:tc>
        <w:tc>
          <w:tcPr>
            <w:tcW w:w="1581" w:type="dxa"/>
            <w:shd w:val="clear" w:color="auto" w:fill="auto"/>
          </w:tcPr>
          <w:p w14:paraId="6ADB78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0A2876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4332AA4" w14:textId="77777777" w:rsidTr="00974FB5">
        <w:tc>
          <w:tcPr>
            <w:tcW w:w="595" w:type="dxa"/>
            <w:shd w:val="clear" w:color="auto" w:fill="auto"/>
          </w:tcPr>
          <w:p w14:paraId="3278E8F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41</w:t>
            </w:r>
          </w:p>
        </w:tc>
        <w:tc>
          <w:tcPr>
            <w:tcW w:w="2694" w:type="dxa"/>
            <w:shd w:val="clear" w:color="auto" w:fill="auto"/>
          </w:tcPr>
          <w:p w14:paraId="638E40F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2.中華民國刑法增訂第二百八十六條之一條文草案（增訂重點：針對凌虐未滿六歲幼童者，以及凌虐未滿十六歲兒少且負有教養、監督、扶助、保護、照顧等義務之人，增列加重處罰之規定。）</w:t>
            </w:r>
          </w:p>
        </w:tc>
        <w:tc>
          <w:tcPr>
            <w:tcW w:w="1905" w:type="dxa"/>
            <w:shd w:val="clear" w:color="auto" w:fill="auto"/>
          </w:tcPr>
          <w:p w14:paraId="6360346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委員楊瓊瓔</w:t>
            </w:r>
          </w:p>
          <w:p w14:paraId="7CC63A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5BBEB1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109.05.29 </w:t>
            </w:r>
          </w:p>
          <w:p w14:paraId="3DB2A21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（10-1-15）</w:t>
            </w:r>
          </w:p>
        </w:tc>
        <w:tc>
          <w:tcPr>
            <w:tcW w:w="1581" w:type="dxa"/>
            <w:shd w:val="clear" w:color="auto" w:fill="auto"/>
          </w:tcPr>
          <w:p w14:paraId="09015CA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44CDFD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4139C3D" w14:textId="77777777" w:rsidTr="00974FB5">
        <w:tc>
          <w:tcPr>
            <w:tcW w:w="595" w:type="dxa"/>
            <w:shd w:val="clear" w:color="auto" w:fill="auto"/>
          </w:tcPr>
          <w:p w14:paraId="19F7CDF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42</w:t>
            </w:r>
          </w:p>
        </w:tc>
        <w:tc>
          <w:tcPr>
            <w:tcW w:w="2694" w:type="dxa"/>
            <w:shd w:val="clear" w:color="auto" w:fill="auto"/>
          </w:tcPr>
          <w:p w14:paraId="52A638C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905" w:type="dxa"/>
            <w:shd w:val="clear" w:color="auto" w:fill="auto"/>
          </w:tcPr>
          <w:p w14:paraId="4DDD0A4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33E0136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655D09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109.05.29 </w:t>
            </w:r>
          </w:p>
          <w:p w14:paraId="153090E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（10-1-15）</w:t>
            </w:r>
          </w:p>
        </w:tc>
        <w:tc>
          <w:tcPr>
            <w:tcW w:w="1581" w:type="dxa"/>
            <w:shd w:val="clear" w:color="auto" w:fill="auto"/>
          </w:tcPr>
          <w:p w14:paraId="033358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3DF2EC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5D0A50C" w14:textId="77777777" w:rsidTr="00974FB5">
        <w:tc>
          <w:tcPr>
            <w:tcW w:w="595" w:type="dxa"/>
            <w:shd w:val="clear" w:color="auto" w:fill="auto"/>
          </w:tcPr>
          <w:p w14:paraId="7F5D7CE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43</w:t>
            </w:r>
          </w:p>
        </w:tc>
        <w:tc>
          <w:tcPr>
            <w:tcW w:w="2694" w:type="dxa"/>
            <w:shd w:val="clear" w:color="auto" w:fill="auto"/>
          </w:tcPr>
          <w:p w14:paraId="408D218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4.中華民國刑法第二百八十六條條文修正草案（修正重點：適度提高虐</w:t>
            </w:r>
            <w:r w:rsidRPr="00026143">
              <w:rPr>
                <w:rFonts w:ascii="標楷體" w:eastAsia="標楷體" w:hAnsi="標楷體"/>
                <w:bCs/>
                <w:color w:val="000000" w:themeColor="text1"/>
              </w:rPr>
              <w:lastRenderedPageBreak/>
              <w:t>童所需負擔的刑責。）</w:t>
            </w:r>
          </w:p>
        </w:tc>
        <w:tc>
          <w:tcPr>
            <w:tcW w:w="1905" w:type="dxa"/>
            <w:shd w:val="clear" w:color="auto" w:fill="auto"/>
          </w:tcPr>
          <w:p w14:paraId="014C04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委員陳素月</w:t>
            </w:r>
          </w:p>
          <w:p w14:paraId="5C5CF38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4F7A4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5B710C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（10-3-14）</w:t>
            </w:r>
          </w:p>
        </w:tc>
        <w:tc>
          <w:tcPr>
            <w:tcW w:w="1581" w:type="dxa"/>
            <w:shd w:val="clear" w:color="auto" w:fill="auto"/>
          </w:tcPr>
          <w:p w14:paraId="1B0491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1950A4D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9C10A12" w14:textId="77777777" w:rsidTr="00974FB5">
        <w:tc>
          <w:tcPr>
            <w:tcW w:w="595" w:type="dxa"/>
            <w:shd w:val="clear" w:color="auto" w:fill="auto"/>
          </w:tcPr>
          <w:p w14:paraId="7058882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44</w:t>
            </w:r>
          </w:p>
        </w:tc>
        <w:tc>
          <w:tcPr>
            <w:tcW w:w="2694" w:type="dxa"/>
            <w:shd w:val="clear" w:color="auto" w:fill="auto"/>
          </w:tcPr>
          <w:p w14:paraId="0F6B8B3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5.中華民國刑法第二百八十六條條文修正草案(修正重點：鑑於近年來我國兒少受虐案件頻傳，為保障兒少身心健康，將最輕有期徒刑由六個月加重為兩年。)</w:t>
            </w:r>
          </w:p>
        </w:tc>
        <w:tc>
          <w:tcPr>
            <w:tcW w:w="1905" w:type="dxa"/>
            <w:shd w:val="clear" w:color="auto" w:fill="auto"/>
          </w:tcPr>
          <w:p w14:paraId="2BC7C6F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委員魯明哲</w:t>
            </w:r>
          </w:p>
          <w:p w14:paraId="2A28EEB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F5A950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51152B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tc>
        <w:tc>
          <w:tcPr>
            <w:tcW w:w="1581" w:type="dxa"/>
            <w:shd w:val="clear" w:color="auto" w:fill="auto"/>
          </w:tcPr>
          <w:p w14:paraId="342834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57A8EB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F1EB749" w14:textId="77777777" w:rsidTr="00974FB5">
        <w:tc>
          <w:tcPr>
            <w:tcW w:w="595" w:type="dxa"/>
            <w:shd w:val="clear" w:color="auto" w:fill="auto"/>
          </w:tcPr>
          <w:p w14:paraId="0DAC325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45</w:t>
            </w:r>
          </w:p>
        </w:tc>
        <w:tc>
          <w:tcPr>
            <w:tcW w:w="2694" w:type="dxa"/>
            <w:shd w:val="clear" w:color="auto" w:fill="auto"/>
          </w:tcPr>
          <w:p w14:paraId="22146A0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6.中華民國刑法第二百八十六條條文修正草案(修正重點：鑑於近年多有嬰幼兒及兒童照顧者虐待嬰幼兒及兒童之情事，爰提案修正。)</w:t>
            </w:r>
          </w:p>
        </w:tc>
        <w:tc>
          <w:tcPr>
            <w:tcW w:w="1905" w:type="dxa"/>
            <w:shd w:val="clear" w:color="auto" w:fill="auto"/>
          </w:tcPr>
          <w:p w14:paraId="0435803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1385863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110.11.12 </w:t>
            </w:r>
          </w:p>
          <w:p w14:paraId="047BC9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（10-4-9）</w:t>
            </w:r>
          </w:p>
        </w:tc>
        <w:tc>
          <w:tcPr>
            <w:tcW w:w="1581" w:type="dxa"/>
            <w:shd w:val="clear" w:color="auto" w:fill="auto"/>
          </w:tcPr>
          <w:p w14:paraId="1BEBFA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70327E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082C50A" w14:textId="77777777" w:rsidTr="00974FB5">
        <w:tc>
          <w:tcPr>
            <w:tcW w:w="595" w:type="dxa"/>
            <w:shd w:val="clear" w:color="auto" w:fill="auto"/>
          </w:tcPr>
          <w:p w14:paraId="386A5AB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46</w:t>
            </w:r>
          </w:p>
        </w:tc>
        <w:tc>
          <w:tcPr>
            <w:tcW w:w="2694" w:type="dxa"/>
            <w:shd w:val="clear" w:color="auto" w:fill="auto"/>
          </w:tcPr>
          <w:p w14:paraId="6326E73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7.中華民國刑法第二百八十六條條文修正草案(修正重點：本條造成情節較重之特別規定，其法定刑度反而較情節較輕之一般規定為輕之不合理結果，為調整現行刑度之輕重失衡，爰提案修正。)</w:t>
            </w:r>
          </w:p>
        </w:tc>
        <w:tc>
          <w:tcPr>
            <w:tcW w:w="1905" w:type="dxa"/>
            <w:shd w:val="clear" w:color="auto" w:fill="auto"/>
          </w:tcPr>
          <w:p w14:paraId="1D39C030" w14:textId="0DF61B39"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台灣民眾黨黨團111.11.18 </w:t>
            </w:r>
          </w:p>
          <w:p w14:paraId="4B8EB6F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（10-6-8）</w:t>
            </w:r>
          </w:p>
        </w:tc>
        <w:tc>
          <w:tcPr>
            <w:tcW w:w="1581" w:type="dxa"/>
            <w:shd w:val="clear" w:color="auto" w:fill="auto"/>
          </w:tcPr>
          <w:p w14:paraId="3D0E378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5747A4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8999582" w14:textId="77777777" w:rsidTr="00974FB5">
        <w:tc>
          <w:tcPr>
            <w:tcW w:w="595" w:type="dxa"/>
            <w:shd w:val="clear" w:color="auto" w:fill="auto"/>
          </w:tcPr>
          <w:p w14:paraId="73CDD7A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47</w:t>
            </w:r>
          </w:p>
        </w:tc>
        <w:tc>
          <w:tcPr>
            <w:tcW w:w="2694" w:type="dxa"/>
            <w:shd w:val="clear" w:color="auto" w:fill="auto"/>
          </w:tcPr>
          <w:p w14:paraId="3AD7761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1.中華民國刑法第十九條條文修正草案（修正重點：隨機殺人者或殺害執勤公務者，不適用免刑或減刑之規定。）</w:t>
            </w:r>
          </w:p>
        </w:tc>
        <w:tc>
          <w:tcPr>
            <w:tcW w:w="1905" w:type="dxa"/>
            <w:shd w:val="clear" w:color="auto" w:fill="auto"/>
          </w:tcPr>
          <w:p w14:paraId="76DA28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委員溫玉霞</w:t>
            </w:r>
          </w:p>
          <w:p w14:paraId="2A4C94F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56FAAA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109.09.25 </w:t>
            </w:r>
          </w:p>
          <w:p w14:paraId="697B59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（10-2-2）</w:t>
            </w:r>
          </w:p>
        </w:tc>
        <w:tc>
          <w:tcPr>
            <w:tcW w:w="1581" w:type="dxa"/>
            <w:shd w:val="clear" w:color="auto" w:fill="auto"/>
          </w:tcPr>
          <w:p w14:paraId="3C23827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95017F2" w14:textId="618BFFFE"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1.</w:t>
            </w:r>
            <w:r w:rsidRPr="00D1386F">
              <w:rPr>
                <w:rFonts w:ascii="標楷體" w:eastAsia="標楷體" w:hAnsi="標楷體"/>
                <w:bCs/>
                <w:color w:val="000000" w:themeColor="text1"/>
                <w:spacing w:val="-10"/>
              </w:rPr>
              <w:t>本會109.10.21</w:t>
            </w:r>
            <w:r w:rsidRPr="0053731D">
              <w:rPr>
                <w:rFonts w:ascii="標楷體" w:eastAsia="標楷體" w:hAnsi="標楷體"/>
                <w:bCs/>
                <w:color w:val="000000" w:themeColor="text1"/>
                <w:spacing w:val="-10"/>
              </w:rPr>
              <w:t>舉行「勿讓思覺失調成為司法與治安破口-如何有效修法建構司法正義與社會安全網」公聽會。</w:t>
            </w:r>
          </w:p>
          <w:p w14:paraId="0F2F612B" w14:textId="7BB1178E"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2.本會109.11.5</w:t>
            </w:r>
          </w:p>
          <w:p w14:paraId="27AF7308" w14:textId="77777777"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(10-2-9)報告及詢答完畢，另定期繼續審查。</w:t>
            </w:r>
          </w:p>
          <w:p w14:paraId="10DCCD88" w14:textId="452A2965" w:rsidR="00EC13B7" w:rsidRPr="00D1386F"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D1386F">
              <w:rPr>
                <w:rFonts w:ascii="標楷體" w:eastAsia="標楷體" w:hAnsi="標楷體"/>
                <w:bCs/>
                <w:color w:val="000000" w:themeColor="text1"/>
                <w:spacing w:val="-10"/>
              </w:rPr>
              <w:t>3.本會109.12.14</w:t>
            </w:r>
          </w:p>
          <w:p w14:paraId="01C582CC" w14:textId="77777777"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(10-2-19)另定期繼續審查。</w:t>
            </w:r>
          </w:p>
          <w:p w14:paraId="11377BEB" w14:textId="2D490334"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4.本會110.10.14舉行「從屏東挖眼案看社會安全網破洞」公聽會。</w:t>
            </w:r>
          </w:p>
        </w:tc>
      </w:tr>
      <w:tr w:rsidR="00EC13B7" w:rsidRPr="00026143" w14:paraId="7BFA776D" w14:textId="77777777" w:rsidTr="00974FB5">
        <w:tc>
          <w:tcPr>
            <w:tcW w:w="595" w:type="dxa"/>
            <w:shd w:val="clear" w:color="auto" w:fill="auto"/>
          </w:tcPr>
          <w:p w14:paraId="57094A0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48</w:t>
            </w:r>
          </w:p>
        </w:tc>
        <w:tc>
          <w:tcPr>
            <w:tcW w:w="2694" w:type="dxa"/>
            <w:shd w:val="clear" w:color="auto" w:fill="auto"/>
          </w:tcPr>
          <w:p w14:paraId="1A6907E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2.中華民國刑法第十九條條文修正草案（修正重點：於第三項增訂「施用毒品」、「酗酒」皆不適用第一項及第二項</w:t>
            </w:r>
            <w:r w:rsidRPr="00026143">
              <w:rPr>
                <w:rFonts w:ascii="標楷體" w:eastAsia="標楷體" w:hAnsi="標楷體"/>
                <w:bCs/>
                <w:color w:val="000000" w:themeColor="text1"/>
              </w:rPr>
              <w:lastRenderedPageBreak/>
              <w:t>有關不罰或減刑之規定。）</w:t>
            </w:r>
          </w:p>
        </w:tc>
        <w:tc>
          <w:tcPr>
            <w:tcW w:w="1905" w:type="dxa"/>
            <w:shd w:val="clear" w:color="auto" w:fill="auto"/>
          </w:tcPr>
          <w:p w14:paraId="4A60958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委員萬美玲</w:t>
            </w:r>
          </w:p>
          <w:p w14:paraId="76549AB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等23人 </w:t>
            </w:r>
          </w:p>
          <w:p w14:paraId="26BFDC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109.09.25 </w:t>
            </w:r>
          </w:p>
          <w:p w14:paraId="297F11D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（10-2-2）</w:t>
            </w:r>
          </w:p>
        </w:tc>
        <w:tc>
          <w:tcPr>
            <w:tcW w:w="1581" w:type="dxa"/>
            <w:shd w:val="clear" w:color="auto" w:fill="auto"/>
          </w:tcPr>
          <w:p w14:paraId="0ADBE4F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0EB56E8" w14:textId="2C85ADD6"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1.本會109.10.21舉行「勿讓思覺失調成為司法與治安破口-如何有效修法建構司法正</w:t>
            </w:r>
            <w:r w:rsidRPr="0053731D">
              <w:rPr>
                <w:rFonts w:ascii="標楷體" w:eastAsia="標楷體" w:hAnsi="標楷體"/>
                <w:bCs/>
                <w:color w:val="000000" w:themeColor="text1"/>
                <w:spacing w:val="-10"/>
              </w:rPr>
              <w:lastRenderedPageBreak/>
              <w:t>義與社會安全網」公聽會。</w:t>
            </w:r>
          </w:p>
          <w:p w14:paraId="61092D5F" w14:textId="1F4EE668" w:rsidR="00F474B3"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2.本會109.11.5</w:t>
            </w:r>
          </w:p>
          <w:p w14:paraId="0A24AE1C" w14:textId="65EA1A8B"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(10-2-9)報告及詢答完畢，另定期繼續審查。</w:t>
            </w:r>
          </w:p>
          <w:p w14:paraId="3F47334B" w14:textId="404AEA9C" w:rsidR="00F474B3"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3.本會109.12.14</w:t>
            </w:r>
          </w:p>
          <w:p w14:paraId="4DDA5460" w14:textId="79E77382"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(10-2-19)另定期繼續審查。</w:t>
            </w:r>
          </w:p>
          <w:p w14:paraId="4BE3C49C" w14:textId="7AACB58B" w:rsidR="00EC13B7" w:rsidRPr="0053731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53731D">
              <w:rPr>
                <w:rFonts w:ascii="標楷體" w:eastAsia="標楷體" w:hAnsi="標楷體"/>
                <w:bCs/>
                <w:color w:val="000000" w:themeColor="text1"/>
                <w:spacing w:val="-10"/>
              </w:rPr>
              <w:t>4.本會110.10.14舉行「從屏東挖眼案看社會安全網破洞」公聽會。</w:t>
            </w:r>
          </w:p>
        </w:tc>
      </w:tr>
      <w:tr w:rsidR="00EC13B7" w:rsidRPr="00026143" w14:paraId="6BDE48C0" w14:textId="77777777" w:rsidTr="00974FB5">
        <w:tc>
          <w:tcPr>
            <w:tcW w:w="595" w:type="dxa"/>
            <w:shd w:val="clear" w:color="auto" w:fill="auto"/>
          </w:tcPr>
          <w:p w14:paraId="52C479D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49</w:t>
            </w:r>
          </w:p>
        </w:tc>
        <w:tc>
          <w:tcPr>
            <w:tcW w:w="2694" w:type="dxa"/>
            <w:shd w:val="clear" w:color="auto" w:fill="auto"/>
          </w:tcPr>
          <w:p w14:paraId="568441C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3.中華民國刑法第十九條條文修正草案（修正重點：對觸犯刑事犯罪之行為人如不能辨識其行為違法或辨識之能力顯著減低之情形予以免責或減刑；於第三項增訂不適用不罰或減刑之相關態樣。）</w:t>
            </w:r>
          </w:p>
        </w:tc>
        <w:tc>
          <w:tcPr>
            <w:tcW w:w="1905" w:type="dxa"/>
            <w:shd w:val="clear" w:color="auto" w:fill="auto"/>
          </w:tcPr>
          <w:p w14:paraId="2ADCE4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7729C37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等23人 </w:t>
            </w:r>
          </w:p>
          <w:p w14:paraId="183BE25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109.10.06 </w:t>
            </w:r>
          </w:p>
          <w:p w14:paraId="4C676CF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（10-2-3）</w:t>
            </w:r>
          </w:p>
        </w:tc>
        <w:tc>
          <w:tcPr>
            <w:tcW w:w="1581" w:type="dxa"/>
            <w:shd w:val="clear" w:color="auto" w:fill="auto"/>
          </w:tcPr>
          <w:p w14:paraId="36CB0FA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72432B1" w14:textId="7EF3E92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53731D">
              <w:rPr>
                <w:rFonts w:ascii="標楷體" w:eastAsia="標楷體" w:hAnsi="標楷體"/>
                <w:bCs/>
                <w:color w:val="000000" w:themeColor="text1"/>
                <w:spacing w:val="-10"/>
              </w:rPr>
              <w:t>1.本會109.10.21</w:t>
            </w:r>
            <w:r w:rsidRPr="00026143">
              <w:rPr>
                <w:rFonts w:ascii="標楷體" w:eastAsia="標楷體" w:hAnsi="標楷體"/>
                <w:bCs/>
                <w:color w:val="000000" w:themeColor="text1"/>
              </w:rPr>
              <w:t>舉行「勿讓思覺失調成為司法與治安破口-如何有效修法建構司法正義與社會安全網」公聽會。</w:t>
            </w:r>
          </w:p>
          <w:p w14:paraId="716CEEA9" w14:textId="1CE3E949" w:rsidR="00F474B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2.本會109.11.5</w:t>
            </w:r>
          </w:p>
          <w:p w14:paraId="42B53454" w14:textId="2C3B13A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(10-2-9)報告及詢答完畢，另定期繼續審查。</w:t>
            </w:r>
          </w:p>
          <w:p w14:paraId="73C96BA9" w14:textId="706A678F" w:rsidR="00F474B3" w:rsidRPr="00D7422E"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D7422E">
              <w:rPr>
                <w:rFonts w:ascii="標楷體" w:eastAsia="標楷體" w:hAnsi="標楷體"/>
                <w:bCs/>
                <w:color w:val="000000" w:themeColor="text1"/>
                <w:spacing w:val="-10"/>
              </w:rPr>
              <w:t>3.本會109.12.14</w:t>
            </w:r>
          </w:p>
          <w:p w14:paraId="2CB64356" w14:textId="6601F2B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(10-2-19)另定期繼續審查。</w:t>
            </w:r>
          </w:p>
          <w:p w14:paraId="67420C49" w14:textId="02275EC1"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D7422E">
              <w:rPr>
                <w:rFonts w:ascii="標楷體" w:eastAsia="標楷體" w:hAnsi="標楷體"/>
                <w:bCs/>
                <w:color w:val="000000" w:themeColor="text1"/>
                <w:spacing w:val="-10"/>
              </w:rPr>
              <w:t>4.本會110.10.14</w:t>
            </w:r>
            <w:r w:rsidRPr="00026143">
              <w:rPr>
                <w:rFonts w:ascii="標楷體" w:eastAsia="標楷體" w:hAnsi="標楷體"/>
                <w:bCs/>
                <w:color w:val="000000" w:themeColor="text1"/>
              </w:rPr>
              <w:t>舉行「從屏東挖眼案看社會安全網破洞」公聽會。</w:t>
            </w:r>
          </w:p>
        </w:tc>
      </w:tr>
      <w:tr w:rsidR="00EC13B7" w:rsidRPr="00026143" w14:paraId="44119B24" w14:textId="77777777" w:rsidTr="00974FB5">
        <w:tc>
          <w:tcPr>
            <w:tcW w:w="595" w:type="dxa"/>
            <w:shd w:val="clear" w:color="auto" w:fill="auto"/>
          </w:tcPr>
          <w:p w14:paraId="4999CDB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50</w:t>
            </w:r>
          </w:p>
        </w:tc>
        <w:tc>
          <w:tcPr>
            <w:tcW w:w="2694" w:type="dxa"/>
            <w:shd w:val="clear" w:color="auto" w:fill="auto"/>
          </w:tcPr>
          <w:p w14:paraId="2C76730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4.中華民國刑法第十九條條文修正草案(修正重點：明確定義辨識能力係對行為之違法認知及對行為之控制力；並依罪刑法定原則明確規定構成故意或過失自行招致之行為。)</w:t>
            </w:r>
          </w:p>
        </w:tc>
        <w:tc>
          <w:tcPr>
            <w:tcW w:w="1905" w:type="dxa"/>
            <w:shd w:val="clear" w:color="auto" w:fill="auto"/>
          </w:tcPr>
          <w:p w14:paraId="572688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委員傅</w:t>
            </w:r>
            <w:r w:rsidRPr="00026143">
              <w:rPr>
                <w:rFonts w:ascii="標楷體" w:eastAsia="標楷體" w:hAnsi="標楷體" w:hint="eastAsia"/>
                <w:bCs/>
                <w:color w:val="000000" w:themeColor="text1"/>
              </w:rPr>
              <w:t>崐萁</w:t>
            </w:r>
          </w:p>
          <w:p w14:paraId="7C4934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等</w:t>
            </w:r>
            <w:r w:rsidRPr="00026143">
              <w:rPr>
                <w:rFonts w:ascii="標楷體" w:eastAsia="標楷體" w:hAnsi="標楷體"/>
                <w:bCs/>
                <w:color w:val="000000" w:themeColor="text1"/>
              </w:rPr>
              <w:t xml:space="preserve">17人 </w:t>
            </w:r>
          </w:p>
          <w:p w14:paraId="1F5F4E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111.03.01 </w:t>
            </w:r>
          </w:p>
          <w:p w14:paraId="2650E5A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w:t>
            </w:r>
          </w:p>
        </w:tc>
        <w:tc>
          <w:tcPr>
            <w:tcW w:w="1581" w:type="dxa"/>
            <w:shd w:val="clear" w:color="auto" w:fill="auto"/>
          </w:tcPr>
          <w:p w14:paraId="0886C54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54C1D6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8F1177D" w14:textId="77777777" w:rsidTr="00974FB5">
        <w:tc>
          <w:tcPr>
            <w:tcW w:w="595" w:type="dxa"/>
            <w:shd w:val="clear" w:color="auto" w:fill="auto"/>
          </w:tcPr>
          <w:p w14:paraId="727984E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51</w:t>
            </w:r>
          </w:p>
        </w:tc>
        <w:tc>
          <w:tcPr>
            <w:tcW w:w="2694" w:type="dxa"/>
            <w:shd w:val="clear" w:color="auto" w:fill="auto"/>
          </w:tcPr>
          <w:p w14:paraId="3AED519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1.中華民國刑法第一百五十三條條文修正草案（修正重點：刪除「煽惑他人違背法令，或抗拒合法之命令」之類型，並僅以「煽惑他人犯最</w:t>
            </w:r>
            <w:r w:rsidRPr="00026143">
              <w:rPr>
                <w:rFonts w:ascii="標楷體" w:eastAsia="標楷體" w:hAnsi="標楷體"/>
                <w:bCs/>
                <w:color w:val="000000" w:themeColor="text1"/>
              </w:rPr>
              <w:lastRenderedPageBreak/>
              <w:t>重本刑逾三年以上有期徒刑之罪」，作為本條所處罰之行為。）</w:t>
            </w:r>
          </w:p>
        </w:tc>
        <w:tc>
          <w:tcPr>
            <w:tcW w:w="1905" w:type="dxa"/>
            <w:shd w:val="clear" w:color="auto" w:fill="auto"/>
          </w:tcPr>
          <w:p w14:paraId="3D5ED6A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時代力量黨團 </w:t>
            </w:r>
          </w:p>
          <w:p w14:paraId="7A5DC09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109.05.15 </w:t>
            </w:r>
          </w:p>
          <w:p w14:paraId="79B2980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（10-1-13）</w:t>
            </w:r>
          </w:p>
        </w:tc>
        <w:tc>
          <w:tcPr>
            <w:tcW w:w="1581" w:type="dxa"/>
            <w:shd w:val="clear" w:color="auto" w:fill="auto"/>
          </w:tcPr>
          <w:p w14:paraId="53802F4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7A2505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21E16A9" w14:textId="77777777" w:rsidTr="00974FB5">
        <w:tc>
          <w:tcPr>
            <w:tcW w:w="595" w:type="dxa"/>
            <w:shd w:val="clear" w:color="auto" w:fill="auto"/>
          </w:tcPr>
          <w:p w14:paraId="441ECFE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52</w:t>
            </w:r>
          </w:p>
        </w:tc>
        <w:tc>
          <w:tcPr>
            <w:tcW w:w="2694" w:type="dxa"/>
            <w:shd w:val="clear" w:color="auto" w:fill="auto"/>
          </w:tcPr>
          <w:p w14:paraId="6D19D0C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2.中華民國刑法刪除第一百五十三條條文草案（刪除重點：煽惑罪之處罰基礎並不明確，且其內涵與刑法或其他法令之整體規範功能重複，爰提案刪除。）</w:t>
            </w:r>
          </w:p>
        </w:tc>
        <w:tc>
          <w:tcPr>
            <w:tcW w:w="1905" w:type="dxa"/>
            <w:shd w:val="clear" w:color="auto" w:fill="auto"/>
          </w:tcPr>
          <w:p w14:paraId="126BBE5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委員周春米</w:t>
            </w:r>
          </w:p>
          <w:p w14:paraId="4A72955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28D7A36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109.05.22 </w:t>
            </w:r>
          </w:p>
          <w:p w14:paraId="73A4E2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（10-1-14）</w:t>
            </w:r>
          </w:p>
        </w:tc>
        <w:tc>
          <w:tcPr>
            <w:tcW w:w="1581" w:type="dxa"/>
            <w:shd w:val="clear" w:color="auto" w:fill="auto"/>
          </w:tcPr>
          <w:p w14:paraId="17948BF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8CAAB6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9339B2F" w14:textId="77777777" w:rsidTr="00974FB5">
        <w:tc>
          <w:tcPr>
            <w:tcW w:w="595" w:type="dxa"/>
            <w:shd w:val="clear" w:color="auto" w:fill="auto"/>
          </w:tcPr>
          <w:p w14:paraId="67582A7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53</w:t>
            </w:r>
          </w:p>
        </w:tc>
        <w:tc>
          <w:tcPr>
            <w:tcW w:w="2694" w:type="dxa"/>
            <w:shd w:val="clear" w:color="auto" w:fill="auto"/>
          </w:tcPr>
          <w:p w14:paraId="3C62AFC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1.中華民國刑法第三百零二條條文修正草案（修正重點：增列犯有私行拘禁或以其他非法方法，剝奪人之行動自由所在犯罪過程中錄音、照相、錄影及直播等方式造成侵損者，得加重其刑至二分之一。）</w:t>
            </w:r>
          </w:p>
        </w:tc>
        <w:tc>
          <w:tcPr>
            <w:tcW w:w="1905" w:type="dxa"/>
            <w:shd w:val="clear" w:color="auto" w:fill="auto"/>
          </w:tcPr>
          <w:p w14:paraId="30FDA81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0E25D1B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5BEC54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109.05.29 </w:t>
            </w:r>
          </w:p>
          <w:p w14:paraId="14856E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（10-1-15）</w:t>
            </w:r>
          </w:p>
        </w:tc>
        <w:tc>
          <w:tcPr>
            <w:tcW w:w="1581" w:type="dxa"/>
            <w:shd w:val="clear" w:color="auto" w:fill="auto"/>
          </w:tcPr>
          <w:p w14:paraId="5DEC7F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4E67C1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2CD99DF" w14:textId="77777777" w:rsidTr="00974FB5">
        <w:tc>
          <w:tcPr>
            <w:tcW w:w="595" w:type="dxa"/>
            <w:shd w:val="clear" w:color="auto" w:fill="auto"/>
          </w:tcPr>
          <w:p w14:paraId="3BD5143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54</w:t>
            </w:r>
          </w:p>
        </w:tc>
        <w:tc>
          <w:tcPr>
            <w:tcW w:w="2694" w:type="dxa"/>
            <w:shd w:val="clear" w:color="auto" w:fill="auto"/>
          </w:tcPr>
          <w:p w14:paraId="7875806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2.中華民國刑法第二百九十八條及第三百零二條條文修正草案（修正重點：修正略誘婦女罪之文義規範，將婦女二字去除，擴大該條略誘罪之適用範圍；修正剝奪行動自由罪刑度上限並提升罰金額度。）</w:t>
            </w:r>
          </w:p>
        </w:tc>
        <w:tc>
          <w:tcPr>
            <w:tcW w:w="1905" w:type="dxa"/>
            <w:shd w:val="clear" w:color="auto" w:fill="auto"/>
          </w:tcPr>
          <w:p w14:paraId="60AB898C" w14:textId="6E9D0F8F"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台灣民眾黨黨團111.09.30 </w:t>
            </w:r>
          </w:p>
          <w:p w14:paraId="2FC8B9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427D22F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5B4592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61826C8" w14:textId="77777777" w:rsidTr="00974FB5">
        <w:tc>
          <w:tcPr>
            <w:tcW w:w="595" w:type="dxa"/>
            <w:shd w:val="clear" w:color="auto" w:fill="auto"/>
          </w:tcPr>
          <w:p w14:paraId="2494ABE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55</w:t>
            </w:r>
          </w:p>
        </w:tc>
        <w:tc>
          <w:tcPr>
            <w:tcW w:w="2694" w:type="dxa"/>
            <w:shd w:val="clear" w:color="auto" w:fill="auto"/>
          </w:tcPr>
          <w:p w14:paraId="7694412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3.中華民國刑法第三百零四條條文修正草案（修正重點：增列犯有以強暴、脅迫使人行無義務之事或妨害人行使權利在犯罪過程中錄音、照相、錄影及直播等方式造成侵損者，得加重其刑至二分之一。）</w:t>
            </w:r>
          </w:p>
        </w:tc>
        <w:tc>
          <w:tcPr>
            <w:tcW w:w="1905" w:type="dxa"/>
            <w:shd w:val="clear" w:color="auto" w:fill="auto"/>
          </w:tcPr>
          <w:p w14:paraId="3094131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3BAC38E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591106C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109.05.29 </w:t>
            </w:r>
          </w:p>
          <w:p w14:paraId="7D3E1E5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（10-1-15）</w:t>
            </w:r>
          </w:p>
        </w:tc>
        <w:tc>
          <w:tcPr>
            <w:tcW w:w="1581" w:type="dxa"/>
            <w:shd w:val="clear" w:color="auto" w:fill="auto"/>
          </w:tcPr>
          <w:p w14:paraId="531DE6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D1A541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CDC064C" w14:textId="77777777" w:rsidTr="00974FB5">
        <w:tc>
          <w:tcPr>
            <w:tcW w:w="595" w:type="dxa"/>
            <w:shd w:val="clear" w:color="auto" w:fill="auto"/>
          </w:tcPr>
          <w:p w14:paraId="5794A43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56</w:t>
            </w:r>
          </w:p>
        </w:tc>
        <w:tc>
          <w:tcPr>
            <w:tcW w:w="2694" w:type="dxa"/>
            <w:shd w:val="clear" w:color="auto" w:fill="auto"/>
          </w:tcPr>
          <w:p w14:paraId="7C6DB35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1.中華民國刑法第五條條文修正草案（修正重點：將我國專屬經濟海域範圍之犯罪行為明文納入我國刑法效力範圍。）</w:t>
            </w:r>
          </w:p>
        </w:tc>
        <w:tc>
          <w:tcPr>
            <w:tcW w:w="1905" w:type="dxa"/>
            <w:shd w:val="clear" w:color="auto" w:fill="auto"/>
          </w:tcPr>
          <w:p w14:paraId="1786022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0B0C404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110.04.09 </w:t>
            </w:r>
          </w:p>
          <w:p w14:paraId="700B5F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（10-3-7）</w:t>
            </w:r>
          </w:p>
        </w:tc>
        <w:tc>
          <w:tcPr>
            <w:tcW w:w="1581" w:type="dxa"/>
            <w:shd w:val="clear" w:color="auto" w:fill="auto"/>
          </w:tcPr>
          <w:p w14:paraId="7F6349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F12BCA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3E59D02" w14:textId="77777777" w:rsidTr="00974FB5">
        <w:tc>
          <w:tcPr>
            <w:tcW w:w="595" w:type="dxa"/>
            <w:shd w:val="clear" w:color="auto" w:fill="auto"/>
          </w:tcPr>
          <w:p w14:paraId="0FEA4AD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57</w:t>
            </w:r>
          </w:p>
        </w:tc>
        <w:tc>
          <w:tcPr>
            <w:tcW w:w="2694" w:type="dxa"/>
            <w:shd w:val="clear" w:color="auto" w:fill="auto"/>
          </w:tcPr>
          <w:p w14:paraId="2A4684B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2.中華民國刑法第五條條文修正草案（修正重點：新增於中華民國領</w:t>
            </w:r>
            <w:r w:rsidRPr="00026143">
              <w:rPr>
                <w:rFonts w:ascii="標楷體" w:eastAsia="標楷體" w:hAnsi="標楷體"/>
                <w:bCs/>
                <w:color w:val="000000" w:themeColor="text1"/>
              </w:rPr>
              <w:lastRenderedPageBreak/>
              <w:t>域外犯下詐欺罪及準詐欺罪亦適用刑法處罰之範圍。）</w:t>
            </w:r>
          </w:p>
        </w:tc>
        <w:tc>
          <w:tcPr>
            <w:tcW w:w="1905" w:type="dxa"/>
            <w:shd w:val="clear" w:color="auto" w:fill="auto"/>
          </w:tcPr>
          <w:p w14:paraId="6E5DE2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委員林思銘</w:t>
            </w:r>
          </w:p>
          <w:p w14:paraId="22CFE4A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1C8357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75B312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（10-6-3）</w:t>
            </w:r>
          </w:p>
        </w:tc>
        <w:tc>
          <w:tcPr>
            <w:tcW w:w="1581" w:type="dxa"/>
            <w:shd w:val="clear" w:color="auto" w:fill="auto"/>
          </w:tcPr>
          <w:p w14:paraId="71C7DD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1B7CF59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2C2F039" w14:textId="77777777" w:rsidTr="00974FB5">
        <w:tc>
          <w:tcPr>
            <w:tcW w:w="595" w:type="dxa"/>
            <w:shd w:val="clear" w:color="auto" w:fill="auto"/>
          </w:tcPr>
          <w:p w14:paraId="3AC52DB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58</w:t>
            </w:r>
          </w:p>
        </w:tc>
        <w:tc>
          <w:tcPr>
            <w:tcW w:w="2694" w:type="dxa"/>
            <w:shd w:val="clear" w:color="auto" w:fill="auto"/>
          </w:tcPr>
          <w:p w14:paraId="3976C29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3.中華民國刑法第五條條文修正草案(修正重點：擴大適用範圍，嚇阻至境外施行詐騙之人。)</w:t>
            </w:r>
          </w:p>
        </w:tc>
        <w:tc>
          <w:tcPr>
            <w:tcW w:w="1905" w:type="dxa"/>
            <w:shd w:val="clear" w:color="auto" w:fill="auto"/>
          </w:tcPr>
          <w:p w14:paraId="1C139B75" w14:textId="799C5266"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373F9C5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111.11.18 </w:t>
            </w:r>
          </w:p>
          <w:p w14:paraId="1E5E72D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（10-6-8）</w:t>
            </w:r>
          </w:p>
        </w:tc>
        <w:tc>
          <w:tcPr>
            <w:tcW w:w="1581" w:type="dxa"/>
            <w:shd w:val="clear" w:color="auto" w:fill="auto"/>
          </w:tcPr>
          <w:p w14:paraId="2868F19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D08B98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AC3CD03" w14:textId="77777777" w:rsidTr="00974FB5">
        <w:tc>
          <w:tcPr>
            <w:tcW w:w="595" w:type="dxa"/>
            <w:shd w:val="clear" w:color="auto" w:fill="auto"/>
          </w:tcPr>
          <w:p w14:paraId="7B8695A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59</w:t>
            </w:r>
          </w:p>
        </w:tc>
        <w:tc>
          <w:tcPr>
            <w:tcW w:w="2694" w:type="dxa"/>
            <w:shd w:val="clear" w:color="auto" w:fill="auto"/>
          </w:tcPr>
          <w:p w14:paraId="7528AE9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4.中華民國刑法第五條條文修正草案(修正重點：為使我國對於此種域外犯罪行使刑事管轄權，爰增列《人口販運防制法》之人口販運罪。)</w:t>
            </w:r>
          </w:p>
        </w:tc>
        <w:tc>
          <w:tcPr>
            <w:tcW w:w="1905" w:type="dxa"/>
            <w:shd w:val="clear" w:color="auto" w:fill="auto"/>
          </w:tcPr>
          <w:p w14:paraId="34BEBF3B" w14:textId="2F8FB1C9"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14BB15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111.11.18 </w:t>
            </w:r>
          </w:p>
          <w:p w14:paraId="682DD14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（10-6-8）</w:t>
            </w:r>
          </w:p>
        </w:tc>
        <w:tc>
          <w:tcPr>
            <w:tcW w:w="1581" w:type="dxa"/>
            <w:shd w:val="clear" w:color="auto" w:fill="auto"/>
          </w:tcPr>
          <w:p w14:paraId="40C2F04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189B3C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69990EC" w14:textId="77777777" w:rsidTr="00974FB5">
        <w:tc>
          <w:tcPr>
            <w:tcW w:w="595" w:type="dxa"/>
            <w:shd w:val="clear" w:color="auto" w:fill="auto"/>
          </w:tcPr>
          <w:p w14:paraId="749CCA7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60</w:t>
            </w:r>
          </w:p>
        </w:tc>
        <w:tc>
          <w:tcPr>
            <w:tcW w:w="2694" w:type="dxa"/>
            <w:shd w:val="clear" w:color="auto" w:fill="auto"/>
          </w:tcPr>
          <w:p w14:paraId="3E11653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中華民國刑法增訂第一百八十五條之五條文草案（增訂重點：為有效遏止不當超車或惡意逼車致人死傷事件此類不當駕駛行為，爰新增條文。）</w:t>
            </w:r>
          </w:p>
        </w:tc>
        <w:tc>
          <w:tcPr>
            <w:tcW w:w="1905" w:type="dxa"/>
            <w:shd w:val="clear" w:color="auto" w:fill="auto"/>
          </w:tcPr>
          <w:p w14:paraId="3C65E6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委員林俊憲</w:t>
            </w:r>
          </w:p>
          <w:p w14:paraId="2C3B05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6F4E636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109.12.11 </w:t>
            </w:r>
          </w:p>
          <w:p w14:paraId="2D483BD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（10-2-7）</w:t>
            </w:r>
          </w:p>
        </w:tc>
        <w:tc>
          <w:tcPr>
            <w:tcW w:w="1581" w:type="dxa"/>
            <w:shd w:val="clear" w:color="auto" w:fill="auto"/>
          </w:tcPr>
          <w:p w14:paraId="472C5D4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C03532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1CAD977" w14:textId="77777777" w:rsidTr="00974FB5">
        <w:tc>
          <w:tcPr>
            <w:tcW w:w="595" w:type="dxa"/>
            <w:shd w:val="clear" w:color="auto" w:fill="auto"/>
          </w:tcPr>
          <w:p w14:paraId="7C59AFC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61</w:t>
            </w:r>
          </w:p>
        </w:tc>
        <w:tc>
          <w:tcPr>
            <w:tcW w:w="2694" w:type="dxa"/>
            <w:shd w:val="clear" w:color="auto" w:fill="auto"/>
          </w:tcPr>
          <w:p w14:paraId="17BA7EA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二百二十八條條文修正草案（修正重點：利用權勢性交罪忽視了利用權勢本身即為強制行為，反而將被害人之「同意」視為自願，導致其法定刑遠較刑法第二百二十一條強制性交罪之法定刑為輕，爰提高本罪法定刑刑度。）</w:t>
            </w:r>
          </w:p>
        </w:tc>
        <w:tc>
          <w:tcPr>
            <w:tcW w:w="1905" w:type="dxa"/>
            <w:shd w:val="clear" w:color="auto" w:fill="auto"/>
          </w:tcPr>
          <w:p w14:paraId="6898A5A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委員莊競程</w:t>
            </w:r>
          </w:p>
          <w:p w14:paraId="4317D6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48251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109.10.23 </w:t>
            </w:r>
          </w:p>
          <w:p w14:paraId="168715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（10-2-4）</w:t>
            </w:r>
          </w:p>
        </w:tc>
        <w:tc>
          <w:tcPr>
            <w:tcW w:w="1581" w:type="dxa"/>
            <w:shd w:val="clear" w:color="auto" w:fill="auto"/>
          </w:tcPr>
          <w:p w14:paraId="573F9FE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EE6A81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BF23843" w14:textId="77777777" w:rsidTr="00974FB5">
        <w:tc>
          <w:tcPr>
            <w:tcW w:w="595" w:type="dxa"/>
            <w:shd w:val="clear" w:color="auto" w:fill="auto"/>
          </w:tcPr>
          <w:p w14:paraId="4E0567A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62</w:t>
            </w:r>
          </w:p>
        </w:tc>
        <w:tc>
          <w:tcPr>
            <w:tcW w:w="2694" w:type="dxa"/>
            <w:shd w:val="clear" w:color="auto" w:fill="auto"/>
          </w:tcPr>
          <w:p w14:paraId="4067093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905" w:type="dxa"/>
            <w:shd w:val="clear" w:color="auto" w:fill="auto"/>
          </w:tcPr>
          <w:p w14:paraId="4BD9C47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委員范雲</w:t>
            </w:r>
          </w:p>
          <w:p w14:paraId="7C52231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7619868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4C4B642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034D138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EF36EE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3DE64E5" w14:textId="77777777" w:rsidTr="00974FB5">
        <w:tc>
          <w:tcPr>
            <w:tcW w:w="595" w:type="dxa"/>
            <w:shd w:val="clear" w:color="auto" w:fill="auto"/>
          </w:tcPr>
          <w:p w14:paraId="3665307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63</w:t>
            </w:r>
          </w:p>
        </w:tc>
        <w:tc>
          <w:tcPr>
            <w:tcW w:w="2694" w:type="dxa"/>
            <w:shd w:val="clear" w:color="auto" w:fill="auto"/>
          </w:tcPr>
          <w:p w14:paraId="6302168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3.中華民國刑法第八十條條文修正草案(修正重點：鑑於0-6歲孩童遭性侵比例逐年上升，然刑法對性侵追訴期為二十年，為保護遭受性侵幼童之權益，爰提案修正。)</w:t>
            </w:r>
          </w:p>
        </w:tc>
        <w:tc>
          <w:tcPr>
            <w:tcW w:w="1905" w:type="dxa"/>
            <w:shd w:val="clear" w:color="auto" w:fill="auto"/>
          </w:tcPr>
          <w:p w14:paraId="62283C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委員何志偉</w:t>
            </w:r>
          </w:p>
          <w:p w14:paraId="3C9478D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6EDB4B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110.11.12 </w:t>
            </w:r>
          </w:p>
          <w:p w14:paraId="0839AE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（10-4-9）</w:t>
            </w:r>
          </w:p>
        </w:tc>
        <w:tc>
          <w:tcPr>
            <w:tcW w:w="1581" w:type="dxa"/>
            <w:shd w:val="clear" w:color="auto" w:fill="auto"/>
          </w:tcPr>
          <w:p w14:paraId="27DC30A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542EF2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E126014" w14:textId="77777777" w:rsidTr="00974FB5">
        <w:tc>
          <w:tcPr>
            <w:tcW w:w="595" w:type="dxa"/>
            <w:shd w:val="clear" w:color="auto" w:fill="auto"/>
          </w:tcPr>
          <w:p w14:paraId="75D16CF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64</w:t>
            </w:r>
          </w:p>
        </w:tc>
        <w:tc>
          <w:tcPr>
            <w:tcW w:w="2694" w:type="dxa"/>
            <w:shd w:val="clear" w:color="auto" w:fill="auto"/>
          </w:tcPr>
          <w:p w14:paraId="7E4E66B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4.中華民國刑法部分條文修正草案（修正§80、221、222、224、224-1、225、228。修正重點：加重處罰對於未滿十四歲之男女犯強制性交罪者，並調整性侵兒童犯罪之追訴期。）</w:t>
            </w:r>
          </w:p>
        </w:tc>
        <w:tc>
          <w:tcPr>
            <w:tcW w:w="1905" w:type="dxa"/>
            <w:shd w:val="clear" w:color="auto" w:fill="auto"/>
          </w:tcPr>
          <w:p w14:paraId="20C8829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委員江啟臣</w:t>
            </w:r>
          </w:p>
          <w:p w14:paraId="474655D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057C6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72562D0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6F0B327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B9B40D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9DB231B" w14:textId="77777777" w:rsidTr="00974FB5">
        <w:tc>
          <w:tcPr>
            <w:tcW w:w="595" w:type="dxa"/>
            <w:shd w:val="clear" w:color="auto" w:fill="auto"/>
          </w:tcPr>
          <w:p w14:paraId="11FCA40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65</w:t>
            </w:r>
          </w:p>
        </w:tc>
        <w:tc>
          <w:tcPr>
            <w:tcW w:w="2694" w:type="dxa"/>
            <w:shd w:val="clear" w:color="auto" w:fill="auto"/>
          </w:tcPr>
          <w:p w14:paraId="242E56D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5.中華民國刑法第八十條及第二百二十八條條文修正草案(修正重點：取消對未成年人性侵害犯罪之追訴期間限制，以及對未成年人之權勢性交犯罪加重其刑。)</w:t>
            </w:r>
          </w:p>
        </w:tc>
        <w:tc>
          <w:tcPr>
            <w:tcW w:w="1905" w:type="dxa"/>
            <w:shd w:val="clear" w:color="auto" w:fill="auto"/>
          </w:tcPr>
          <w:p w14:paraId="20C596C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委員張廖萬堅</w:t>
            </w:r>
          </w:p>
          <w:p w14:paraId="5736E8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7074E40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111.10.28 </w:t>
            </w:r>
          </w:p>
          <w:p w14:paraId="4F5DB64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（10-6-5）</w:t>
            </w:r>
          </w:p>
        </w:tc>
        <w:tc>
          <w:tcPr>
            <w:tcW w:w="1581" w:type="dxa"/>
            <w:shd w:val="clear" w:color="auto" w:fill="auto"/>
          </w:tcPr>
          <w:p w14:paraId="592720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D18C21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78CCC88" w14:textId="77777777" w:rsidTr="00974FB5">
        <w:tc>
          <w:tcPr>
            <w:tcW w:w="595" w:type="dxa"/>
            <w:shd w:val="clear" w:color="auto" w:fill="auto"/>
          </w:tcPr>
          <w:p w14:paraId="76DE9D7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66</w:t>
            </w:r>
          </w:p>
        </w:tc>
        <w:tc>
          <w:tcPr>
            <w:tcW w:w="2694" w:type="dxa"/>
            <w:shd w:val="clear" w:color="auto" w:fill="auto"/>
          </w:tcPr>
          <w:p w14:paraId="554BFC8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中華民國刑法部分條文修正草案(修正§80、226、226-1、228。修正重點：參酌國外對兒童性侵案件無追訴期提出修正；運用權力壓迫、心理制約或環境機會等其他方式，進行性侵或猥褻的犯罪行為，其方法手段不應該被視為低於強暴、脅迫等其他方式，故提高刑度與本章其他性侵猥褻罪責相同。)</w:t>
            </w:r>
          </w:p>
        </w:tc>
        <w:tc>
          <w:tcPr>
            <w:tcW w:w="1905" w:type="dxa"/>
            <w:shd w:val="clear" w:color="auto" w:fill="auto"/>
          </w:tcPr>
          <w:p w14:paraId="5F24A6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委員林昶佐</w:t>
            </w:r>
          </w:p>
          <w:p w14:paraId="1C044C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6C08A72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111.11.25 </w:t>
            </w:r>
          </w:p>
          <w:p w14:paraId="230212D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（10-6-9）</w:t>
            </w:r>
          </w:p>
        </w:tc>
        <w:tc>
          <w:tcPr>
            <w:tcW w:w="1581" w:type="dxa"/>
            <w:shd w:val="clear" w:color="auto" w:fill="auto"/>
          </w:tcPr>
          <w:p w14:paraId="219A4DA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7A2B1D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A37AAF3" w14:textId="77777777" w:rsidTr="00974FB5">
        <w:tc>
          <w:tcPr>
            <w:tcW w:w="595" w:type="dxa"/>
            <w:shd w:val="clear" w:color="auto" w:fill="auto"/>
          </w:tcPr>
          <w:p w14:paraId="6F8F784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67</w:t>
            </w:r>
          </w:p>
        </w:tc>
        <w:tc>
          <w:tcPr>
            <w:tcW w:w="2694" w:type="dxa"/>
            <w:shd w:val="clear" w:color="auto" w:fill="auto"/>
          </w:tcPr>
          <w:p w14:paraId="6E06848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7.中華民國刑法第二百二十八條條文修正草案(修正重點：權勢性交其法定刑遠比強制性交之罪刑還低，衡量其傷害未必會低於強制性交罪，爰擬具修法提高其法定刑。)</w:t>
            </w:r>
          </w:p>
        </w:tc>
        <w:tc>
          <w:tcPr>
            <w:tcW w:w="1905" w:type="dxa"/>
            <w:shd w:val="clear" w:color="auto" w:fill="auto"/>
          </w:tcPr>
          <w:p w14:paraId="0B16FA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委員賴惠員</w:t>
            </w:r>
          </w:p>
          <w:p w14:paraId="0B8931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9312D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111.12.02 </w:t>
            </w:r>
          </w:p>
          <w:p w14:paraId="5EAFFA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（10-6-10）</w:t>
            </w:r>
          </w:p>
        </w:tc>
        <w:tc>
          <w:tcPr>
            <w:tcW w:w="1581" w:type="dxa"/>
            <w:shd w:val="clear" w:color="auto" w:fill="auto"/>
          </w:tcPr>
          <w:p w14:paraId="201CE91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026C3F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27EF18B" w14:textId="77777777" w:rsidTr="00974FB5">
        <w:tc>
          <w:tcPr>
            <w:tcW w:w="595" w:type="dxa"/>
            <w:shd w:val="clear" w:color="auto" w:fill="auto"/>
          </w:tcPr>
          <w:p w14:paraId="04A6012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68</w:t>
            </w:r>
          </w:p>
        </w:tc>
        <w:tc>
          <w:tcPr>
            <w:tcW w:w="2694" w:type="dxa"/>
            <w:shd w:val="clear" w:color="auto" w:fill="auto"/>
          </w:tcPr>
          <w:p w14:paraId="6F87C71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8.中華民國刑法第八十</w:t>
            </w:r>
            <w:r w:rsidRPr="00026143">
              <w:rPr>
                <w:rFonts w:ascii="標楷體" w:eastAsia="標楷體" w:hAnsi="標楷體"/>
                <w:bCs/>
                <w:color w:val="000000" w:themeColor="text1"/>
              </w:rPr>
              <w:lastRenderedPageBreak/>
              <w:t>條條文修正草案(修正重點：規定性侵未成年犯罪之追訴時效自受害者成年時起算。)</w:t>
            </w:r>
          </w:p>
        </w:tc>
        <w:tc>
          <w:tcPr>
            <w:tcW w:w="1905" w:type="dxa"/>
            <w:shd w:val="clear" w:color="auto" w:fill="auto"/>
          </w:tcPr>
          <w:p w14:paraId="46EE33A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委員賴品妤</w:t>
            </w:r>
          </w:p>
          <w:p w14:paraId="3B401CE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等22人 </w:t>
            </w:r>
          </w:p>
          <w:p w14:paraId="25A0B8B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21DAD0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（10-6-13）</w:t>
            </w:r>
          </w:p>
        </w:tc>
        <w:tc>
          <w:tcPr>
            <w:tcW w:w="1581" w:type="dxa"/>
            <w:shd w:val="clear" w:color="auto" w:fill="auto"/>
          </w:tcPr>
          <w:p w14:paraId="628AC7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108325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C1E2733" w14:textId="77777777" w:rsidTr="00974FB5">
        <w:tc>
          <w:tcPr>
            <w:tcW w:w="595" w:type="dxa"/>
            <w:shd w:val="clear" w:color="auto" w:fill="auto"/>
          </w:tcPr>
          <w:p w14:paraId="4B052A1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69</w:t>
            </w:r>
          </w:p>
        </w:tc>
        <w:tc>
          <w:tcPr>
            <w:tcW w:w="2694" w:type="dxa"/>
            <w:shd w:val="clear" w:color="auto" w:fill="auto"/>
          </w:tcPr>
          <w:p w14:paraId="202D0D2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9.中華民國刑法第二百二十八條條文修正草案(修正重點：權勢性交罪加重刑度，並針對受害者為未滿十四歲之加害者加重其刑。)</w:t>
            </w:r>
          </w:p>
        </w:tc>
        <w:tc>
          <w:tcPr>
            <w:tcW w:w="1905" w:type="dxa"/>
            <w:shd w:val="clear" w:color="auto" w:fill="auto"/>
          </w:tcPr>
          <w:p w14:paraId="7B5EBAA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委員范雲</w:t>
            </w:r>
          </w:p>
          <w:p w14:paraId="7C2B93E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2ED6BD4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7F28CA1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5ADF0C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9E9097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79E9490" w14:textId="77777777" w:rsidTr="00974FB5">
        <w:tc>
          <w:tcPr>
            <w:tcW w:w="595" w:type="dxa"/>
            <w:shd w:val="clear" w:color="auto" w:fill="auto"/>
          </w:tcPr>
          <w:p w14:paraId="6BD2B61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70</w:t>
            </w:r>
          </w:p>
        </w:tc>
        <w:tc>
          <w:tcPr>
            <w:tcW w:w="2694" w:type="dxa"/>
            <w:shd w:val="clear" w:color="auto" w:fill="auto"/>
          </w:tcPr>
          <w:p w14:paraId="0DA0F6D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10.中華民國刑法第八十條條文修正草案(修正重點：規範對未成年者犯妨害性自主罪，其刑事追訴期自受害者成年起算。)</w:t>
            </w:r>
          </w:p>
        </w:tc>
        <w:tc>
          <w:tcPr>
            <w:tcW w:w="1905" w:type="dxa"/>
            <w:shd w:val="clear" w:color="auto" w:fill="auto"/>
          </w:tcPr>
          <w:p w14:paraId="732A3F1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委員范雲</w:t>
            </w:r>
          </w:p>
          <w:p w14:paraId="36C33C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B046B5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7395F6D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5B2C609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083494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7D0C79A" w14:textId="77777777" w:rsidTr="00974FB5">
        <w:tc>
          <w:tcPr>
            <w:tcW w:w="595" w:type="dxa"/>
            <w:shd w:val="clear" w:color="auto" w:fill="auto"/>
          </w:tcPr>
          <w:p w14:paraId="79B6308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71</w:t>
            </w:r>
          </w:p>
        </w:tc>
        <w:tc>
          <w:tcPr>
            <w:tcW w:w="2694" w:type="dxa"/>
            <w:shd w:val="clear" w:color="auto" w:fill="auto"/>
          </w:tcPr>
          <w:p w14:paraId="5D6F96A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1.中華民國刑法第八十三條條文修正草案（修正重點：新增對未成年人犯相關性侵害案件，於被害人年滿三十歲之前，其追訴權之時效停止進行。）</w:t>
            </w:r>
          </w:p>
        </w:tc>
        <w:tc>
          <w:tcPr>
            <w:tcW w:w="1905" w:type="dxa"/>
            <w:shd w:val="clear" w:color="auto" w:fill="auto"/>
          </w:tcPr>
          <w:p w14:paraId="1CF49EE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委員林奕華</w:t>
            </w:r>
          </w:p>
          <w:p w14:paraId="6F80C9E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ACE6F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111.09.30</w:t>
            </w:r>
          </w:p>
          <w:p w14:paraId="1C95473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25DAFA8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CC9E13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28D1711" w14:textId="77777777" w:rsidTr="00974FB5">
        <w:tc>
          <w:tcPr>
            <w:tcW w:w="595" w:type="dxa"/>
            <w:shd w:val="clear" w:color="auto" w:fill="auto"/>
          </w:tcPr>
          <w:p w14:paraId="2F863EA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72</w:t>
            </w:r>
          </w:p>
        </w:tc>
        <w:tc>
          <w:tcPr>
            <w:tcW w:w="2694" w:type="dxa"/>
            <w:shd w:val="clear" w:color="auto" w:fill="auto"/>
          </w:tcPr>
          <w:p w14:paraId="4C1D7E9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八十三條條文修正草案(修正重點：鑑於刑法追訴權時效，並未排除政府機密文件保密期限，以及實務上常有未成年遭性侵但成年後出面指控時，卻已因追訴權罹於時效而無法訴追，追訴權時效實有中斷之必要，以免侵害國家或個人法益。)</w:t>
            </w:r>
          </w:p>
        </w:tc>
        <w:tc>
          <w:tcPr>
            <w:tcW w:w="1905" w:type="dxa"/>
            <w:shd w:val="clear" w:color="auto" w:fill="auto"/>
          </w:tcPr>
          <w:p w14:paraId="228ECB2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委員李貴敏</w:t>
            </w:r>
          </w:p>
          <w:p w14:paraId="5B14CF5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486328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111.10.28 </w:t>
            </w:r>
          </w:p>
          <w:p w14:paraId="1F1885C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（10-6-5）</w:t>
            </w:r>
          </w:p>
        </w:tc>
        <w:tc>
          <w:tcPr>
            <w:tcW w:w="1581" w:type="dxa"/>
            <w:shd w:val="clear" w:color="auto" w:fill="auto"/>
          </w:tcPr>
          <w:p w14:paraId="0AD16FE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FBF8CE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C85BB28" w14:textId="77777777" w:rsidTr="00974FB5">
        <w:tc>
          <w:tcPr>
            <w:tcW w:w="595" w:type="dxa"/>
            <w:shd w:val="clear" w:color="auto" w:fill="auto"/>
          </w:tcPr>
          <w:p w14:paraId="49BAB3E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73</w:t>
            </w:r>
          </w:p>
        </w:tc>
        <w:tc>
          <w:tcPr>
            <w:tcW w:w="2694" w:type="dxa"/>
            <w:shd w:val="clear" w:color="auto" w:fill="auto"/>
          </w:tcPr>
          <w:p w14:paraId="1A947EC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部分條文修正草案（修正§80、106、107、115-1；修正重點：針對外患罪章之追訴權時效設特別規範，以維護國家安全；設置平戰時刑度區分、加重之規定，並將整體刑度提升；§115-1第1項仿照國家情報工作法與通訊保障及監察法之體例</w:t>
            </w:r>
            <w:r w:rsidRPr="00026143">
              <w:rPr>
                <w:rFonts w:ascii="標楷體" w:eastAsia="標楷體" w:hAnsi="標楷體"/>
                <w:bCs/>
                <w:color w:val="000000" w:themeColor="text1"/>
              </w:rPr>
              <w:lastRenderedPageBreak/>
              <w:t>，納入「工作人員」；將反滲透法§2第1款就「境外敵對勢力」之要件列入刑法。）</w:t>
            </w:r>
          </w:p>
        </w:tc>
        <w:tc>
          <w:tcPr>
            <w:tcW w:w="1905" w:type="dxa"/>
            <w:shd w:val="clear" w:color="auto" w:fill="auto"/>
          </w:tcPr>
          <w:p w14:paraId="4DCFAA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委員趙天麟</w:t>
            </w:r>
          </w:p>
          <w:p w14:paraId="32BF4D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700145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7BCFD91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6FC7C6A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E1DE92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AB0819B" w14:textId="77777777" w:rsidTr="00974FB5">
        <w:tc>
          <w:tcPr>
            <w:tcW w:w="595" w:type="dxa"/>
            <w:shd w:val="clear" w:color="auto" w:fill="auto"/>
          </w:tcPr>
          <w:p w14:paraId="7169C66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74</w:t>
            </w:r>
          </w:p>
        </w:tc>
        <w:tc>
          <w:tcPr>
            <w:tcW w:w="2694" w:type="dxa"/>
            <w:shd w:val="clear" w:color="auto" w:fill="auto"/>
          </w:tcPr>
          <w:p w14:paraId="01ECFAD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中華民國刑法部分條文修正草案（修正§272、280、281、303。修正重點：刪除「尊親屬」三字，而使本條涵蓋範圍於直系血親尊親屬及卑親屬皆可適用。）</w:t>
            </w:r>
          </w:p>
        </w:tc>
        <w:tc>
          <w:tcPr>
            <w:tcW w:w="1905" w:type="dxa"/>
            <w:shd w:val="clear" w:color="auto" w:fill="auto"/>
          </w:tcPr>
          <w:p w14:paraId="7B60D8F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委員高嘉瑜</w:t>
            </w:r>
          </w:p>
          <w:p w14:paraId="4D7025B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6262DD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05D58E8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6CCA2C3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30ED28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09EEDA0" w14:textId="77777777" w:rsidTr="00974FB5">
        <w:tc>
          <w:tcPr>
            <w:tcW w:w="595" w:type="dxa"/>
            <w:shd w:val="clear" w:color="auto" w:fill="auto"/>
          </w:tcPr>
          <w:p w14:paraId="3068DFF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75</w:t>
            </w:r>
          </w:p>
        </w:tc>
        <w:tc>
          <w:tcPr>
            <w:tcW w:w="2694" w:type="dxa"/>
            <w:shd w:val="clear" w:color="auto" w:fill="auto"/>
          </w:tcPr>
          <w:p w14:paraId="4265CE1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一百三十七條條文修正草案（修正重點：對以詐術或其他非法之方法，使得依中央政府行政命令舉辦之考試，以及國營事業依法舉行之甄試其考試結果不正確者，亦應以妨害考試罪論處，遏止考試舞弊亂象。）</w:t>
            </w:r>
          </w:p>
        </w:tc>
        <w:tc>
          <w:tcPr>
            <w:tcW w:w="1905" w:type="dxa"/>
            <w:shd w:val="clear" w:color="auto" w:fill="auto"/>
          </w:tcPr>
          <w:p w14:paraId="56A038B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委員張廖萬堅</w:t>
            </w:r>
          </w:p>
          <w:p w14:paraId="5BADE2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8E6D1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09F5439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212F919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8F1002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3478436" w14:textId="77777777" w:rsidTr="00974FB5">
        <w:tc>
          <w:tcPr>
            <w:tcW w:w="595" w:type="dxa"/>
            <w:shd w:val="clear" w:color="auto" w:fill="auto"/>
          </w:tcPr>
          <w:p w14:paraId="3C0EBB5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76</w:t>
            </w:r>
          </w:p>
        </w:tc>
        <w:tc>
          <w:tcPr>
            <w:tcW w:w="2694" w:type="dxa"/>
            <w:shd w:val="clear" w:color="auto" w:fill="auto"/>
          </w:tcPr>
          <w:p w14:paraId="1C36A70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2.中華民國刑法第一百三十七條條文修正草案（修正重點：為嚇阻並防杜考試舞弊情事發生，提高妨害考試罪之相關刑責。）</w:t>
            </w:r>
          </w:p>
        </w:tc>
        <w:tc>
          <w:tcPr>
            <w:tcW w:w="1905" w:type="dxa"/>
            <w:shd w:val="clear" w:color="auto" w:fill="auto"/>
          </w:tcPr>
          <w:p w14:paraId="77B222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委員費鴻泰</w:t>
            </w:r>
          </w:p>
          <w:p w14:paraId="07D66E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484E37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110.04.06 </w:t>
            </w:r>
          </w:p>
          <w:p w14:paraId="7BA9755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（10-3-6）</w:t>
            </w:r>
          </w:p>
        </w:tc>
        <w:tc>
          <w:tcPr>
            <w:tcW w:w="1581" w:type="dxa"/>
            <w:shd w:val="clear" w:color="auto" w:fill="auto"/>
          </w:tcPr>
          <w:p w14:paraId="2F07C9E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8D94C0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4A07232" w14:textId="77777777" w:rsidTr="00974FB5">
        <w:tc>
          <w:tcPr>
            <w:tcW w:w="595" w:type="dxa"/>
            <w:shd w:val="clear" w:color="auto" w:fill="auto"/>
          </w:tcPr>
          <w:p w14:paraId="09A7DE4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77</w:t>
            </w:r>
          </w:p>
        </w:tc>
        <w:tc>
          <w:tcPr>
            <w:tcW w:w="2694" w:type="dxa"/>
            <w:shd w:val="clear" w:color="auto" w:fill="auto"/>
          </w:tcPr>
          <w:p w14:paraId="0806979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3.中華民國刑法第一百三十七條條文修正草案（修正重點：以詐術或其他非法之方法，使得依中央政府行政命令舉行之考試及國營事業依法舉行之甄試其考試結果不正確者，亦應以妨害考試罪論處。）</w:t>
            </w:r>
          </w:p>
        </w:tc>
        <w:tc>
          <w:tcPr>
            <w:tcW w:w="1905" w:type="dxa"/>
            <w:shd w:val="clear" w:color="auto" w:fill="auto"/>
          </w:tcPr>
          <w:p w14:paraId="7FF2613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委員黃世杰</w:t>
            </w:r>
          </w:p>
          <w:p w14:paraId="10890B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7487F2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1E7A374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51A871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62A022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0EACE73" w14:textId="77777777" w:rsidTr="00974FB5">
        <w:tc>
          <w:tcPr>
            <w:tcW w:w="595" w:type="dxa"/>
            <w:shd w:val="clear" w:color="auto" w:fill="auto"/>
          </w:tcPr>
          <w:p w14:paraId="2A49C99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78</w:t>
            </w:r>
          </w:p>
        </w:tc>
        <w:tc>
          <w:tcPr>
            <w:tcW w:w="2694" w:type="dxa"/>
            <w:shd w:val="clear" w:color="auto" w:fill="auto"/>
          </w:tcPr>
          <w:p w14:paraId="6BC6C4F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4.中華民國刑法第一百三十七條條文修正草案(修正重點：將國營事業招考考試，納入刑法中以詐術或其他非法方法，使考試發生不正確結果處罰之範圍。)</w:t>
            </w:r>
          </w:p>
        </w:tc>
        <w:tc>
          <w:tcPr>
            <w:tcW w:w="1905" w:type="dxa"/>
            <w:shd w:val="clear" w:color="auto" w:fill="auto"/>
          </w:tcPr>
          <w:p w14:paraId="437F639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委員楊曜</w:t>
            </w:r>
          </w:p>
          <w:p w14:paraId="091D724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49B4D0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110.11.05 </w:t>
            </w:r>
          </w:p>
          <w:p w14:paraId="38B0854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（10-4-8）</w:t>
            </w:r>
          </w:p>
        </w:tc>
        <w:tc>
          <w:tcPr>
            <w:tcW w:w="1581" w:type="dxa"/>
            <w:shd w:val="clear" w:color="auto" w:fill="auto"/>
          </w:tcPr>
          <w:p w14:paraId="66F53A5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8CC4E7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0829299" w14:textId="77777777" w:rsidTr="00974FB5">
        <w:tc>
          <w:tcPr>
            <w:tcW w:w="595" w:type="dxa"/>
            <w:shd w:val="clear" w:color="auto" w:fill="auto"/>
          </w:tcPr>
          <w:p w14:paraId="4AFED37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79</w:t>
            </w:r>
          </w:p>
        </w:tc>
        <w:tc>
          <w:tcPr>
            <w:tcW w:w="2694" w:type="dxa"/>
            <w:shd w:val="clear" w:color="auto" w:fill="auto"/>
          </w:tcPr>
          <w:p w14:paraId="2D0447B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5.中華民國刑法第一百三十七條條文修正草案（修正重點：為維護公益</w:t>
            </w:r>
            <w:r w:rsidRPr="00026143">
              <w:rPr>
                <w:rFonts w:ascii="標楷體" w:eastAsia="標楷體" w:hAnsi="標楷體"/>
                <w:bCs/>
                <w:color w:val="000000" w:themeColor="text1"/>
              </w:rPr>
              <w:lastRenderedPageBreak/>
              <w:t>及考試之公平性，有效嚇阻國營事業考試之舞弊行為，爰修正相關規定，將國營事業考試納入舞弊違法之範疇。）</w:t>
            </w:r>
          </w:p>
        </w:tc>
        <w:tc>
          <w:tcPr>
            <w:tcW w:w="1905" w:type="dxa"/>
            <w:shd w:val="clear" w:color="auto" w:fill="auto"/>
          </w:tcPr>
          <w:p w14:paraId="18400C9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時代力量黨團 </w:t>
            </w:r>
          </w:p>
          <w:p w14:paraId="6C30309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0FC5A1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2BC3E5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54B302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BBAB2E2" w14:textId="77777777" w:rsidTr="00974FB5">
        <w:tc>
          <w:tcPr>
            <w:tcW w:w="595" w:type="dxa"/>
            <w:shd w:val="clear" w:color="auto" w:fill="auto"/>
          </w:tcPr>
          <w:p w14:paraId="2C3EAFE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80</w:t>
            </w:r>
          </w:p>
        </w:tc>
        <w:tc>
          <w:tcPr>
            <w:tcW w:w="2694" w:type="dxa"/>
            <w:shd w:val="clear" w:color="auto" w:fill="auto"/>
          </w:tcPr>
          <w:p w14:paraId="7BF007B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1.中華民國刑法第九十一條之一條文修正草案（修正重點：若縱火犯認定有再犯危險，可施以強制治療。）</w:t>
            </w:r>
          </w:p>
        </w:tc>
        <w:tc>
          <w:tcPr>
            <w:tcW w:w="1905" w:type="dxa"/>
            <w:shd w:val="clear" w:color="auto" w:fill="auto"/>
          </w:tcPr>
          <w:p w14:paraId="4264DD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委員林德福</w:t>
            </w:r>
          </w:p>
          <w:p w14:paraId="3280E44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15C19C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110.04.06 </w:t>
            </w:r>
          </w:p>
          <w:p w14:paraId="3F8D9EE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（10-3-6）</w:t>
            </w:r>
          </w:p>
        </w:tc>
        <w:tc>
          <w:tcPr>
            <w:tcW w:w="1581" w:type="dxa"/>
            <w:shd w:val="clear" w:color="auto" w:fill="auto"/>
          </w:tcPr>
          <w:p w14:paraId="371501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BFA487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0F14EC9" w14:textId="77777777" w:rsidTr="00974FB5">
        <w:tc>
          <w:tcPr>
            <w:tcW w:w="595" w:type="dxa"/>
            <w:shd w:val="clear" w:color="auto" w:fill="auto"/>
          </w:tcPr>
          <w:p w14:paraId="146D3DA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81</w:t>
            </w:r>
          </w:p>
        </w:tc>
        <w:tc>
          <w:tcPr>
            <w:tcW w:w="2694" w:type="dxa"/>
            <w:shd w:val="clear" w:color="auto" w:fill="auto"/>
          </w:tcPr>
          <w:p w14:paraId="3DE3EAD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2.中華民國刑法第九十一條之一條文修正草案(修正重點：為符合司法院釋字第799號意旨，保障受強制治療處分人之權益，明定強制治療處分之期間、延長期間及相關程序。)</w:t>
            </w:r>
          </w:p>
        </w:tc>
        <w:tc>
          <w:tcPr>
            <w:tcW w:w="1905" w:type="dxa"/>
            <w:shd w:val="clear" w:color="auto" w:fill="auto"/>
          </w:tcPr>
          <w:p w14:paraId="6BB42D0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委員許淑華</w:t>
            </w:r>
          </w:p>
          <w:p w14:paraId="7A2FCB2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16920CD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111.04.01 </w:t>
            </w:r>
          </w:p>
          <w:p w14:paraId="7C041E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（10-5-6）</w:t>
            </w:r>
          </w:p>
        </w:tc>
        <w:tc>
          <w:tcPr>
            <w:tcW w:w="1581" w:type="dxa"/>
            <w:shd w:val="clear" w:color="auto" w:fill="auto"/>
          </w:tcPr>
          <w:p w14:paraId="4511FDE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E46106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F8749B1" w14:textId="77777777" w:rsidTr="00974FB5">
        <w:tc>
          <w:tcPr>
            <w:tcW w:w="595" w:type="dxa"/>
            <w:shd w:val="clear" w:color="auto" w:fill="auto"/>
          </w:tcPr>
          <w:p w14:paraId="0468546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82</w:t>
            </w:r>
          </w:p>
        </w:tc>
        <w:tc>
          <w:tcPr>
            <w:tcW w:w="2694" w:type="dxa"/>
            <w:shd w:val="clear" w:color="auto" w:fill="auto"/>
          </w:tcPr>
          <w:p w14:paraId="317AD60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1.中華民國刑法第一百八十五條之四條文修正草案（修正重點：鑑於司法院大法官釋字第777號解釋，依駕駛人有無過失及情節輕重，分別科以不同刑度。）</w:t>
            </w:r>
          </w:p>
        </w:tc>
        <w:tc>
          <w:tcPr>
            <w:tcW w:w="1905" w:type="dxa"/>
            <w:shd w:val="clear" w:color="auto" w:fill="auto"/>
          </w:tcPr>
          <w:p w14:paraId="50717F8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委員陳明文</w:t>
            </w:r>
          </w:p>
          <w:p w14:paraId="2D35D4E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535759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6EEDDDC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tc>
        <w:tc>
          <w:tcPr>
            <w:tcW w:w="1581" w:type="dxa"/>
            <w:shd w:val="clear" w:color="auto" w:fill="auto"/>
          </w:tcPr>
          <w:p w14:paraId="366107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35C85D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98728A1" w14:textId="77777777" w:rsidTr="00974FB5">
        <w:tc>
          <w:tcPr>
            <w:tcW w:w="595" w:type="dxa"/>
            <w:shd w:val="clear" w:color="auto" w:fill="auto"/>
          </w:tcPr>
          <w:p w14:paraId="1422FB2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83</w:t>
            </w:r>
          </w:p>
        </w:tc>
        <w:tc>
          <w:tcPr>
            <w:tcW w:w="2694" w:type="dxa"/>
            <w:shd w:val="clear" w:color="auto" w:fill="auto"/>
          </w:tcPr>
          <w:p w14:paraId="1D0A81B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一百八十五條之四條文修正草案（修正重點：鑑於司法院大法官釋字第777號解釋，法院可視駕駛人是否具有過失責任之情形，酌予量刑；另為明確並具體規範駕駛人於事故發生時，應停留現場並做必要之處置。）</w:t>
            </w:r>
          </w:p>
        </w:tc>
        <w:tc>
          <w:tcPr>
            <w:tcW w:w="1905" w:type="dxa"/>
            <w:shd w:val="clear" w:color="auto" w:fill="auto"/>
          </w:tcPr>
          <w:p w14:paraId="371FA5F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委員許智傑</w:t>
            </w:r>
          </w:p>
          <w:p w14:paraId="542FF0E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4E3A339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29D95DD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12F156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F83ACC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C9A7020" w14:textId="77777777" w:rsidTr="00974FB5">
        <w:tc>
          <w:tcPr>
            <w:tcW w:w="595" w:type="dxa"/>
            <w:shd w:val="clear" w:color="auto" w:fill="auto"/>
          </w:tcPr>
          <w:p w14:paraId="212E6B0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84</w:t>
            </w:r>
          </w:p>
        </w:tc>
        <w:tc>
          <w:tcPr>
            <w:tcW w:w="2694" w:type="dxa"/>
            <w:shd w:val="clear" w:color="auto" w:fill="auto"/>
          </w:tcPr>
          <w:p w14:paraId="0CCCAA6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中華民國刑法第五十七條條文修正草案（修正重點：明文將修復式正義作為量刑考量之標準。）</w:t>
            </w:r>
          </w:p>
        </w:tc>
        <w:tc>
          <w:tcPr>
            <w:tcW w:w="1905" w:type="dxa"/>
            <w:shd w:val="clear" w:color="auto" w:fill="auto"/>
          </w:tcPr>
          <w:p w14:paraId="22B240D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委員羅致政</w:t>
            </w:r>
          </w:p>
          <w:p w14:paraId="2B6DF8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34D6DD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110.05.07 </w:t>
            </w:r>
          </w:p>
          <w:p w14:paraId="31FD04D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（10-3-11）</w:t>
            </w:r>
          </w:p>
        </w:tc>
        <w:tc>
          <w:tcPr>
            <w:tcW w:w="1581" w:type="dxa"/>
            <w:shd w:val="clear" w:color="auto" w:fill="auto"/>
          </w:tcPr>
          <w:p w14:paraId="52B0926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AEDB73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4BA3200" w14:textId="77777777" w:rsidTr="00974FB5">
        <w:tc>
          <w:tcPr>
            <w:tcW w:w="595" w:type="dxa"/>
            <w:shd w:val="clear" w:color="auto" w:fill="auto"/>
          </w:tcPr>
          <w:p w14:paraId="7BCC6FD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85</w:t>
            </w:r>
          </w:p>
        </w:tc>
        <w:tc>
          <w:tcPr>
            <w:tcW w:w="2694" w:type="dxa"/>
            <w:shd w:val="clear" w:color="auto" w:fill="auto"/>
          </w:tcPr>
          <w:p w14:paraId="6CEB5A7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1.中華民國刑法第二百八十三條條文修正草案（修正重點：修正本條規範對象為「參與聚眾鬥毆」及客觀處罰條件為</w:t>
            </w:r>
            <w:r w:rsidRPr="00026143">
              <w:rPr>
                <w:rFonts w:ascii="標楷體" w:eastAsia="標楷體" w:hAnsi="標楷體"/>
                <w:bCs/>
                <w:color w:val="000000" w:themeColor="text1"/>
              </w:rPr>
              <w:lastRenderedPageBreak/>
              <w:t>「足生他人死亡或重傷之危險時」。）</w:t>
            </w:r>
          </w:p>
        </w:tc>
        <w:tc>
          <w:tcPr>
            <w:tcW w:w="1905" w:type="dxa"/>
            <w:shd w:val="clear" w:color="auto" w:fill="auto"/>
          </w:tcPr>
          <w:p w14:paraId="1BF9FBC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委員邱志偉</w:t>
            </w:r>
          </w:p>
          <w:p w14:paraId="603C702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09A6B1B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5AFC08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p w14:paraId="11E6B1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5A3C888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F4E951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E585685" w14:textId="77777777" w:rsidTr="00974FB5">
        <w:tc>
          <w:tcPr>
            <w:tcW w:w="595" w:type="dxa"/>
            <w:shd w:val="clear" w:color="auto" w:fill="auto"/>
          </w:tcPr>
          <w:p w14:paraId="561D0F0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86</w:t>
            </w:r>
          </w:p>
        </w:tc>
        <w:tc>
          <w:tcPr>
            <w:tcW w:w="2694" w:type="dxa"/>
            <w:shd w:val="clear" w:color="auto" w:fill="auto"/>
          </w:tcPr>
          <w:p w14:paraId="33D56D8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增訂第二百八十三條之一條文草案(增訂重點：實務上三人以上之鬥毆事件，大部分均為普通傷害之態樣，且鬥毆之犯罪行為，常因無法證明何人下手，衍生三人以上鬥毆致他人普通傷害的情形下，無法對在場助勢、下手之人，加以處罰。為有效遏止聚眾鬥毆在場助勢之行為，爰增訂本條。)</w:t>
            </w:r>
          </w:p>
        </w:tc>
        <w:tc>
          <w:tcPr>
            <w:tcW w:w="1905" w:type="dxa"/>
            <w:shd w:val="clear" w:color="auto" w:fill="auto"/>
          </w:tcPr>
          <w:p w14:paraId="1DD6ED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595DF50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48D4C3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111.03.18 </w:t>
            </w:r>
          </w:p>
          <w:p w14:paraId="3BB1581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（10-5-4）</w:t>
            </w:r>
          </w:p>
        </w:tc>
        <w:tc>
          <w:tcPr>
            <w:tcW w:w="1581" w:type="dxa"/>
            <w:shd w:val="clear" w:color="auto" w:fill="auto"/>
          </w:tcPr>
          <w:p w14:paraId="1D8DEF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9207C9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2477A2E" w14:textId="77777777" w:rsidTr="00974FB5">
        <w:tc>
          <w:tcPr>
            <w:tcW w:w="595" w:type="dxa"/>
            <w:shd w:val="clear" w:color="auto" w:fill="auto"/>
          </w:tcPr>
          <w:p w14:paraId="3DFBDF7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87</w:t>
            </w:r>
          </w:p>
        </w:tc>
        <w:tc>
          <w:tcPr>
            <w:tcW w:w="2694" w:type="dxa"/>
            <w:shd w:val="clear" w:color="auto" w:fill="auto"/>
          </w:tcPr>
          <w:p w14:paraId="02B9C0F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中華民國刑法增訂第一百八十五條之六條文草案（增訂重點：增訂駕駛動力交通工具過失致死傷刑責，並參酌相關條文與國際經驗加重駕駛危險駕駛相關罰則。）</w:t>
            </w:r>
          </w:p>
        </w:tc>
        <w:tc>
          <w:tcPr>
            <w:tcW w:w="1905" w:type="dxa"/>
            <w:shd w:val="clear" w:color="auto" w:fill="auto"/>
          </w:tcPr>
          <w:p w14:paraId="2B2B7A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3E0EF1C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5E5D69F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110.05.21 </w:t>
            </w:r>
          </w:p>
          <w:p w14:paraId="40B6A4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（10-3-13）</w:t>
            </w:r>
          </w:p>
        </w:tc>
        <w:tc>
          <w:tcPr>
            <w:tcW w:w="1581" w:type="dxa"/>
            <w:shd w:val="clear" w:color="auto" w:fill="auto"/>
          </w:tcPr>
          <w:p w14:paraId="39D5CE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A6EA89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378BA9D" w14:textId="77777777" w:rsidTr="00974FB5">
        <w:tc>
          <w:tcPr>
            <w:tcW w:w="595" w:type="dxa"/>
            <w:shd w:val="clear" w:color="auto" w:fill="auto"/>
          </w:tcPr>
          <w:p w14:paraId="6B272D2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88</w:t>
            </w:r>
          </w:p>
        </w:tc>
        <w:tc>
          <w:tcPr>
            <w:tcW w:w="2694" w:type="dxa"/>
            <w:shd w:val="clear" w:color="auto" w:fill="auto"/>
          </w:tcPr>
          <w:p w14:paraId="58FCD17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1.中華民國刑法第七十七條條文修正草案（修正重點：犯刑法§286妨害幼童發育罪者不得聲請假釋。）</w:t>
            </w:r>
          </w:p>
        </w:tc>
        <w:tc>
          <w:tcPr>
            <w:tcW w:w="1905" w:type="dxa"/>
            <w:shd w:val="clear" w:color="auto" w:fill="auto"/>
          </w:tcPr>
          <w:p w14:paraId="75FDA6D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委員林文瑞</w:t>
            </w:r>
          </w:p>
          <w:p w14:paraId="1EF563D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4702EBE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5621698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5ADAC4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5BCB50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779413C" w14:textId="77777777" w:rsidTr="00974FB5">
        <w:tc>
          <w:tcPr>
            <w:tcW w:w="595" w:type="dxa"/>
            <w:shd w:val="clear" w:color="auto" w:fill="auto"/>
          </w:tcPr>
          <w:p w14:paraId="499BC4F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89</w:t>
            </w:r>
          </w:p>
        </w:tc>
        <w:tc>
          <w:tcPr>
            <w:tcW w:w="2694" w:type="dxa"/>
            <w:shd w:val="clear" w:color="auto" w:fill="auto"/>
          </w:tcPr>
          <w:p w14:paraId="77DF3C5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2.中華民國刑法第七十七條條文修正草案（修正重點：無期徒刑判決者在既有刑法第七十七條下，其假釋折抵刑期之計算基準，卻與其他刑罰有異。依大法官釋字第801號解釋，認有違平等原則。)</w:t>
            </w:r>
          </w:p>
        </w:tc>
        <w:tc>
          <w:tcPr>
            <w:tcW w:w="1905" w:type="dxa"/>
            <w:shd w:val="clear" w:color="auto" w:fill="auto"/>
          </w:tcPr>
          <w:p w14:paraId="4A1A0FC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委員黃世杰</w:t>
            </w:r>
          </w:p>
          <w:p w14:paraId="64DBEDA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等23人 </w:t>
            </w:r>
          </w:p>
          <w:p w14:paraId="643A026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207A18B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0713A17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72527E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AB59F18" w14:textId="77777777" w:rsidTr="00974FB5">
        <w:tc>
          <w:tcPr>
            <w:tcW w:w="595" w:type="dxa"/>
            <w:shd w:val="clear" w:color="auto" w:fill="auto"/>
          </w:tcPr>
          <w:p w14:paraId="51C84CA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90</w:t>
            </w:r>
          </w:p>
        </w:tc>
        <w:tc>
          <w:tcPr>
            <w:tcW w:w="2694" w:type="dxa"/>
            <w:shd w:val="clear" w:color="auto" w:fill="auto"/>
          </w:tcPr>
          <w:p w14:paraId="0C3067F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3.中華民國刑法第七十七條條文修正草案(修正重點：鑑於司法院大法官會議釋字801號解釋，將無期徒刑受刑人裁判確定前之羈押日數，算入得申請假釋之已執行期間。)</w:t>
            </w:r>
          </w:p>
        </w:tc>
        <w:tc>
          <w:tcPr>
            <w:tcW w:w="1905" w:type="dxa"/>
            <w:shd w:val="clear" w:color="auto" w:fill="auto"/>
          </w:tcPr>
          <w:p w14:paraId="3810963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委員周春米</w:t>
            </w:r>
          </w:p>
          <w:p w14:paraId="6F608E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6647DD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110.12.10 </w:t>
            </w:r>
          </w:p>
          <w:p w14:paraId="6E1213F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（10-4-13）</w:t>
            </w:r>
          </w:p>
        </w:tc>
        <w:tc>
          <w:tcPr>
            <w:tcW w:w="1581" w:type="dxa"/>
            <w:shd w:val="clear" w:color="auto" w:fill="auto"/>
          </w:tcPr>
          <w:p w14:paraId="4693E9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373C0B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B72A75F" w14:textId="77777777" w:rsidTr="00974FB5">
        <w:tc>
          <w:tcPr>
            <w:tcW w:w="595" w:type="dxa"/>
            <w:shd w:val="clear" w:color="auto" w:fill="auto"/>
          </w:tcPr>
          <w:p w14:paraId="24A561C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91</w:t>
            </w:r>
          </w:p>
        </w:tc>
        <w:tc>
          <w:tcPr>
            <w:tcW w:w="2694" w:type="dxa"/>
            <w:shd w:val="clear" w:color="auto" w:fill="auto"/>
          </w:tcPr>
          <w:p w14:paraId="77A4746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中華民國刑法第一百九</w:t>
            </w:r>
            <w:r w:rsidRPr="00026143">
              <w:rPr>
                <w:rFonts w:ascii="標楷體" w:eastAsia="標楷體" w:hAnsi="標楷體"/>
                <w:bCs/>
                <w:color w:val="000000" w:themeColor="text1"/>
              </w:rPr>
              <w:lastRenderedPageBreak/>
              <w:t>十三條條文修正草案（修正重點：刑法對於唯利是圖、罔顧人命之建商，無法予以嚴懲。）</w:t>
            </w:r>
          </w:p>
        </w:tc>
        <w:tc>
          <w:tcPr>
            <w:tcW w:w="1905" w:type="dxa"/>
            <w:shd w:val="clear" w:color="auto" w:fill="auto"/>
          </w:tcPr>
          <w:p w14:paraId="7B12188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委員廖婉汝</w:t>
            </w:r>
          </w:p>
          <w:p w14:paraId="004340E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等18人 </w:t>
            </w:r>
          </w:p>
          <w:p w14:paraId="2F1E3D6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3627786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2344098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42E334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75C0A93" w14:textId="77777777" w:rsidTr="00974FB5">
        <w:tc>
          <w:tcPr>
            <w:tcW w:w="595" w:type="dxa"/>
            <w:shd w:val="clear" w:color="auto" w:fill="auto"/>
          </w:tcPr>
          <w:p w14:paraId="788BF3A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92</w:t>
            </w:r>
          </w:p>
        </w:tc>
        <w:tc>
          <w:tcPr>
            <w:tcW w:w="2694" w:type="dxa"/>
            <w:shd w:val="clear" w:color="auto" w:fill="auto"/>
          </w:tcPr>
          <w:p w14:paraId="2C0E34B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中華民國刑法刪除第二百九十二條條文草案(刪除重點：針對公然介紹墮胎之行為逕予前置化立法，實有害於法體系之一致性。爰刪除本條文。)</w:t>
            </w:r>
          </w:p>
        </w:tc>
        <w:tc>
          <w:tcPr>
            <w:tcW w:w="1905" w:type="dxa"/>
            <w:shd w:val="clear" w:color="auto" w:fill="auto"/>
          </w:tcPr>
          <w:p w14:paraId="380A1A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委員趙正宇</w:t>
            </w:r>
          </w:p>
          <w:p w14:paraId="76BA3E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61EBEA1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327F6A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tc>
        <w:tc>
          <w:tcPr>
            <w:tcW w:w="1581" w:type="dxa"/>
            <w:shd w:val="clear" w:color="auto" w:fill="auto"/>
          </w:tcPr>
          <w:p w14:paraId="5D27EE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FFE3C4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ED662F6" w14:textId="77777777" w:rsidTr="00974FB5">
        <w:tc>
          <w:tcPr>
            <w:tcW w:w="595" w:type="dxa"/>
            <w:shd w:val="clear" w:color="auto" w:fill="auto"/>
          </w:tcPr>
          <w:p w14:paraId="610E708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93</w:t>
            </w:r>
          </w:p>
        </w:tc>
        <w:tc>
          <w:tcPr>
            <w:tcW w:w="2694" w:type="dxa"/>
            <w:shd w:val="clear" w:color="auto" w:fill="auto"/>
          </w:tcPr>
          <w:p w14:paraId="01FF138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一百七十三條條文修正草案(修正重點：明確規範放火或失火燒燬現供人使用之住宅或現有人所在之建築物、礦坑、火車、電車或其他供水、陸、空公眾運輸之舟、車、航空機，因而致人於死之加重結果犯規定。)</w:t>
            </w:r>
          </w:p>
        </w:tc>
        <w:tc>
          <w:tcPr>
            <w:tcW w:w="1905" w:type="dxa"/>
            <w:shd w:val="clear" w:color="auto" w:fill="auto"/>
          </w:tcPr>
          <w:p w14:paraId="319CF5E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6D91E91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11A92B1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tc>
        <w:tc>
          <w:tcPr>
            <w:tcW w:w="1581" w:type="dxa"/>
            <w:shd w:val="clear" w:color="auto" w:fill="auto"/>
          </w:tcPr>
          <w:p w14:paraId="21E61F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4438F1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3644E46" w14:textId="77777777" w:rsidTr="00974FB5">
        <w:tc>
          <w:tcPr>
            <w:tcW w:w="595" w:type="dxa"/>
            <w:shd w:val="clear" w:color="auto" w:fill="auto"/>
          </w:tcPr>
          <w:p w14:paraId="019F7B3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94</w:t>
            </w:r>
          </w:p>
        </w:tc>
        <w:tc>
          <w:tcPr>
            <w:tcW w:w="2694" w:type="dxa"/>
            <w:shd w:val="clear" w:color="auto" w:fill="auto"/>
          </w:tcPr>
          <w:p w14:paraId="5E47C75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中華民國刑法部分條文修正草案(修正§10；增訂§319-1~5。修正重點：明確規範性影像之定義；明定未經他人同意，無故攝錄其性影像之處罰規定。)</w:t>
            </w:r>
          </w:p>
        </w:tc>
        <w:tc>
          <w:tcPr>
            <w:tcW w:w="1905" w:type="dxa"/>
            <w:shd w:val="clear" w:color="auto" w:fill="auto"/>
          </w:tcPr>
          <w:p w14:paraId="02B87D2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委員何志偉</w:t>
            </w:r>
          </w:p>
          <w:p w14:paraId="7AA606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4E61B03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111.05.20 </w:t>
            </w:r>
          </w:p>
          <w:p w14:paraId="14B10DD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（10-5-13）</w:t>
            </w:r>
          </w:p>
        </w:tc>
        <w:tc>
          <w:tcPr>
            <w:tcW w:w="1581" w:type="dxa"/>
            <w:shd w:val="clear" w:color="auto" w:fill="auto"/>
          </w:tcPr>
          <w:p w14:paraId="676D846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F7CD78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EA497AB" w14:textId="77777777" w:rsidTr="00974FB5">
        <w:tc>
          <w:tcPr>
            <w:tcW w:w="595" w:type="dxa"/>
            <w:shd w:val="clear" w:color="auto" w:fill="auto"/>
          </w:tcPr>
          <w:p w14:paraId="5A1BA82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95</w:t>
            </w:r>
          </w:p>
        </w:tc>
        <w:tc>
          <w:tcPr>
            <w:tcW w:w="2694" w:type="dxa"/>
            <w:shd w:val="clear" w:color="auto" w:fill="auto"/>
          </w:tcPr>
          <w:p w14:paraId="720F8A8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中華民國刑法第一百八十五條之一條文修正草案(修正重點：本條文有項次紊亂、文意不清之情事，易導致民眾查閱法規時有誤認困擾，爰提案修正。)</w:t>
            </w:r>
          </w:p>
        </w:tc>
        <w:tc>
          <w:tcPr>
            <w:tcW w:w="1905" w:type="dxa"/>
            <w:shd w:val="clear" w:color="auto" w:fill="auto"/>
          </w:tcPr>
          <w:p w14:paraId="594268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63AF383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110.11.12 </w:t>
            </w:r>
          </w:p>
          <w:p w14:paraId="540D31C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（10-4-9）</w:t>
            </w:r>
          </w:p>
        </w:tc>
        <w:tc>
          <w:tcPr>
            <w:tcW w:w="1581" w:type="dxa"/>
            <w:shd w:val="clear" w:color="auto" w:fill="auto"/>
          </w:tcPr>
          <w:p w14:paraId="193CAE2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7F149A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B0D4274" w14:textId="77777777" w:rsidTr="00974FB5">
        <w:tc>
          <w:tcPr>
            <w:tcW w:w="595" w:type="dxa"/>
            <w:shd w:val="clear" w:color="auto" w:fill="auto"/>
          </w:tcPr>
          <w:p w14:paraId="5B5B2D7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96</w:t>
            </w:r>
          </w:p>
        </w:tc>
        <w:tc>
          <w:tcPr>
            <w:tcW w:w="2694" w:type="dxa"/>
            <w:shd w:val="clear" w:color="auto" w:fill="auto"/>
          </w:tcPr>
          <w:p w14:paraId="53EC573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一百四十六條條文修正草案(修正重點：鑑於本條規範乃針對非有賄選情形，而出於自發性遷徙戶口以落實支持某候選人之選舉人，卻以五年有期徒刑之罪予以相繩，有處罰過重之情形，應刪除第二項規定。)</w:t>
            </w:r>
          </w:p>
        </w:tc>
        <w:tc>
          <w:tcPr>
            <w:tcW w:w="1905" w:type="dxa"/>
            <w:shd w:val="clear" w:color="auto" w:fill="auto"/>
          </w:tcPr>
          <w:p w14:paraId="2CD9E3A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委員鄭天財</w:t>
            </w:r>
          </w:p>
          <w:p w14:paraId="3DFEF98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Sra Kacaw</w:t>
            </w:r>
          </w:p>
          <w:p w14:paraId="79B84A1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2DFE890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110.11.19 </w:t>
            </w:r>
          </w:p>
          <w:p w14:paraId="18DCA2F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（10-4-10）</w:t>
            </w:r>
          </w:p>
        </w:tc>
        <w:tc>
          <w:tcPr>
            <w:tcW w:w="1581" w:type="dxa"/>
            <w:shd w:val="clear" w:color="auto" w:fill="auto"/>
          </w:tcPr>
          <w:p w14:paraId="6363F4F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CBA1D9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29D1623" w14:textId="77777777" w:rsidTr="00974FB5">
        <w:tc>
          <w:tcPr>
            <w:tcW w:w="595" w:type="dxa"/>
            <w:shd w:val="clear" w:color="auto" w:fill="auto"/>
          </w:tcPr>
          <w:p w14:paraId="26BB42D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97</w:t>
            </w:r>
          </w:p>
        </w:tc>
        <w:tc>
          <w:tcPr>
            <w:tcW w:w="2694" w:type="dxa"/>
            <w:shd w:val="clear" w:color="auto" w:fill="auto"/>
          </w:tcPr>
          <w:p w14:paraId="7901199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中華民國刑法部分條文</w:t>
            </w:r>
            <w:r w:rsidRPr="00026143">
              <w:rPr>
                <w:rFonts w:ascii="標楷體" w:eastAsia="標楷體" w:hAnsi="標楷體"/>
                <w:bCs/>
                <w:color w:val="000000" w:themeColor="text1"/>
              </w:rPr>
              <w:lastRenderedPageBreak/>
              <w:t>修正草案（修正§10、105~107、109~111。修正重點：修正敵國為敵人並明定其定義，並分別規定不同刺探收集國防秘密樣態之刑責。）</w:t>
            </w:r>
          </w:p>
        </w:tc>
        <w:tc>
          <w:tcPr>
            <w:tcW w:w="1905" w:type="dxa"/>
            <w:shd w:val="clear" w:color="auto" w:fill="auto"/>
          </w:tcPr>
          <w:p w14:paraId="3A40632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時代力量黨團 </w:t>
            </w:r>
          </w:p>
          <w:p w14:paraId="5328447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110.11.26 </w:t>
            </w:r>
          </w:p>
          <w:p w14:paraId="4AD6F0F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（10-4-11）</w:t>
            </w:r>
          </w:p>
        </w:tc>
        <w:tc>
          <w:tcPr>
            <w:tcW w:w="1581" w:type="dxa"/>
            <w:shd w:val="clear" w:color="auto" w:fill="auto"/>
          </w:tcPr>
          <w:p w14:paraId="32E6A0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549BA88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BEBBC52" w14:textId="77777777" w:rsidTr="00974FB5">
        <w:tc>
          <w:tcPr>
            <w:tcW w:w="595" w:type="dxa"/>
            <w:shd w:val="clear" w:color="auto" w:fill="auto"/>
          </w:tcPr>
          <w:p w14:paraId="0F67276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98</w:t>
            </w:r>
          </w:p>
        </w:tc>
        <w:tc>
          <w:tcPr>
            <w:tcW w:w="2694" w:type="dxa"/>
            <w:shd w:val="clear" w:color="auto" w:fill="auto"/>
          </w:tcPr>
          <w:p w14:paraId="035FDA2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三十七條之二條文修正草案(修正重點：為免體系紊亂、致有「檢察官送鑑定留置將占用羈押辦案期間」之誤解，允宜將裁判確定前鑑定留置期間折抵有期徒刑、拘役、拘束人身自由之保安處分移列於刑法。)</w:t>
            </w:r>
          </w:p>
        </w:tc>
        <w:tc>
          <w:tcPr>
            <w:tcW w:w="1905" w:type="dxa"/>
            <w:shd w:val="clear" w:color="auto" w:fill="auto"/>
          </w:tcPr>
          <w:p w14:paraId="0F4129C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51EC19F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69AE24A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110.12.03 </w:t>
            </w:r>
          </w:p>
          <w:p w14:paraId="58C0EC6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（10-4-12）</w:t>
            </w:r>
          </w:p>
        </w:tc>
        <w:tc>
          <w:tcPr>
            <w:tcW w:w="1581" w:type="dxa"/>
            <w:shd w:val="clear" w:color="auto" w:fill="auto"/>
          </w:tcPr>
          <w:p w14:paraId="7C3A7ED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B21D4C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B464146" w14:textId="77777777" w:rsidTr="00974FB5">
        <w:tc>
          <w:tcPr>
            <w:tcW w:w="595" w:type="dxa"/>
            <w:shd w:val="clear" w:color="auto" w:fill="auto"/>
          </w:tcPr>
          <w:p w14:paraId="6DA43EE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99</w:t>
            </w:r>
          </w:p>
        </w:tc>
        <w:tc>
          <w:tcPr>
            <w:tcW w:w="2694" w:type="dxa"/>
            <w:shd w:val="clear" w:color="auto" w:fill="auto"/>
          </w:tcPr>
          <w:p w14:paraId="510ED93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1.中華民國刑法增訂第二百七十七條之一條文草案(增訂重點：增訂結夥三人以上犯傷害罪者，處有期徒刑，得併科罰金，藉此遏止不當幫派、暴力團體於街頭聚眾鬥毆滋事。)</w:t>
            </w:r>
          </w:p>
        </w:tc>
        <w:tc>
          <w:tcPr>
            <w:tcW w:w="1905" w:type="dxa"/>
            <w:shd w:val="clear" w:color="auto" w:fill="auto"/>
          </w:tcPr>
          <w:p w14:paraId="41B0325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委員萬美玲</w:t>
            </w:r>
          </w:p>
          <w:p w14:paraId="1F888DF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54BA624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110.12.17 </w:t>
            </w:r>
          </w:p>
          <w:p w14:paraId="0D59A7D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（10-4-14）</w:t>
            </w:r>
          </w:p>
          <w:p w14:paraId="4389DA9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1A92F49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2BE581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715418D" w14:textId="77777777" w:rsidTr="00974FB5">
        <w:tc>
          <w:tcPr>
            <w:tcW w:w="595" w:type="dxa"/>
            <w:shd w:val="clear" w:color="auto" w:fill="auto"/>
          </w:tcPr>
          <w:p w14:paraId="4142E8E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100</w:t>
            </w:r>
          </w:p>
        </w:tc>
        <w:tc>
          <w:tcPr>
            <w:tcW w:w="2694" w:type="dxa"/>
            <w:shd w:val="clear" w:color="auto" w:fill="auto"/>
          </w:tcPr>
          <w:p w14:paraId="3EECE06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2.中華民國刑法第二百七十七條及第二百七十八條條文修正草案(修正重點：為嚇阻結夥施暴之不良行徑，故應對結夥三人以上犯傷害罪及重傷害罪者，加重其刑。)</w:t>
            </w:r>
          </w:p>
        </w:tc>
        <w:tc>
          <w:tcPr>
            <w:tcW w:w="1905" w:type="dxa"/>
            <w:shd w:val="clear" w:color="auto" w:fill="auto"/>
          </w:tcPr>
          <w:p w14:paraId="206968A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06E14A2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0BE59D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02E90B1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415BDB8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C00D5C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777D878" w14:textId="77777777" w:rsidTr="00974FB5">
        <w:tc>
          <w:tcPr>
            <w:tcW w:w="595" w:type="dxa"/>
            <w:shd w:val="clear" w:color="auto" w:fill="auto"/>
          </w:tcPr>
          <w:p w14:paraId="1580A28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101</w:t>
            </w:r>
          </w:p>
        </w:tc>
        <w:tc>
          <w:tcPr>
            <w:tcW w:w="2694" w:type="dxa"/>
            <w:shd w:val="clear" w:color="auto" w:fill="auto"/>
          </w:tcPr>
          <w:p w14:paraId="02E8DD6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1.中華民國刑法刪除第九十條條文草案(刪除重點：依據司法院大法官釋字第812號解釋，有違憲法第二十三條比例原則，並與憲法第八條保障人身自由之意旨不符，自該解釋公布之日起失其效力，爰此提案刪除。)</w:t>
            </w:r>
          </w:p>
        </w:tc>
        <w:tc>
          <w:tcPr>
            <w:tcW w:w="1905" w:type="dxa"/>
            <w:shd w:val="clear" w:color="auto" w:fill="auto"/>
          </w:tcPr>
          <w:p w14:paraId="3A81AA2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委員許智傑</w:t>
            </w:r>
          </w:p>
          <w:p w14:paraId="1B68904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等29人 </w:t>
            </w:r>
          </w:p>
          <w:p w14:paraId="1574C2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3B538B0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0F08F3D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580563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168CA2D" w14:textId="77777777" w:rsidTr="00974FB5">
        <w:tc>
          <w:tcPr>
            <w:tcW w:w="595" w:type="dxa"/>
            <w:shd w:val="clear" w:color="auto" w:fill="auto"/>
          </w:tcPr>
          <w:p w14:paraId="1BB8235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102</w:t>
            </w:r>
          </w:p>
        </w:tc>
        <w:tc>
          <w:tcPr>
            <w:tcW w:w="2694" w:type="dxa"/>
            <w:shd w:val="clear" w:color="auto" w:fill="auto"/>
          </w:tcPr>
          <w:p w14:paraId="022FF5A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2.中華民國刑法第九十二條及第九十八條條文修正草案(修正重點：依據司法院大法官釋字第</w:t>
            </w:r>
            <w:r w:rsidRPr="00026143">
              <w:rPr>
                <w:rFonts w:ascii="標楷體" w:eastAsia="標楷體" w:hAnsi="標楷體"/>
                <w:bCs/>
                <w:color w:val="000000" w:themeColor="text1"/>
              </w:rPr>
              <w:lastRenderedPageBreak/>
              <w:t>812號解釋，有違憲法第二十三條比例原則，並與憲法第八條保障人身自由之意旨不符，自該解釋公布之日起失其效力，爰此提案修正。)</w:t>
            </w:r>
          </w:p>
        </w:tc>
        <w:tc>
          <w:tcPr>
            <w:tcW w:w="1905" w:type="dxa"/>
            <w:shd w:val="clear" w:color="auto" w:fill="auto"/>
          </w:tcPr>
          <w:p w14:paraId="04F0D57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委員許智傑</w:t>
            </w:r>
          </w:p>
          <w:p w14:paraId="263A64D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等29人 </w:t>
            </w:r>
          </w:p>
          <w:p w14:paraId="293A78F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433E63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4B827C7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7ED9B3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228579D" w14:textId="77777777" w:rsidTr="00974FB5">
        <w:tc>
          <w:tcPr>
            <w:tcW w:w="595" w:type="dxa"/>
            <w:shd w:val="clear" w:color="auto" w:fill="auto"/>
          </w:tcPr>
          <w:p w14:paraId="4C20EC7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103</w:t>
            </w:r>
          </w:p>
        </w:tc>
        <w:tc>
          <w:tcPr>
            <w:tcW w:w="2694" w:type="dxa"/>
            <w:shd w:val="clear" w:color="auto" w:fill="auto"/>
          </w:tcPr>
          <w:p w14:paraId="261CCCC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四十七條、第九十條及第九十二條條文修正草案(修正重點：依司法院大法官釋字第755號解釋，不符罪刑相當，爰修正累犯加重最低本刑之規定；依司法院大法官釋字第812號解釋，對受處分人之人身自由所為之限制違反憲法，爰刪除現行條文第90條。)</w:t>
            </w:r>
          </w:p>
        </w:tc>
        <w:tc>
          <w:tcPr>
            <w:tcW w:w="1905" w:type="dxa"/>
            <w:shd w:val="clear" w:color="auto" w:fill="auto"/>
          </w:tcPr>
          <w:p w14:paraId="39E8BA9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委員吳玉琴</w:t>
            </w:r>
          </w:p>
          <w:p w14:paraId="304A496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2CEFEB5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111.03.11 </w:t>
            </w:r>
          </w:p>
          <w:p w14:paraId="0B24FF9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（10-5-3）</w:t>
            </w:r>
          </w:p>
        </w:tc>
        <w:tc>
          <w:tcPr>
            <w:tcW w:w="1581" w:type="dxa"/>
            <w:shd w:val="clear" w:color="auto" w:fill="auto"/>
          </w:tcPr>
          <w:p w14:paraId="256D1A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5A4E66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A7292F9" w14:textId="77777777" w:rsidTr="00974FB5">
        <w:tc>
          <w:tcPr>
            <w:tcW w:w="595" w:type="dxa"/>
            <w:shd w:val="clear" w:color="auto" w:fill="auto"/>
          </w:tcPr>
          <w:p w14:paraId="60B5D31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104</w:t>
            </w:r>
          </w:p>
        </w:tc>
        <w:tc>
          <w:tcPr>
            <w:tcW w:w="2694" w:type="dxa"/>
            <w:shd w:val="clear" w:color="auto" w:fill="auto"/>
          </w:tcPr>
          <w:p w14:paraId="3A70D86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4.中華民國刑法刪除第九十條條文草案(刪除重點：因應司法院大法官釋字第812號，本條違反憲法第23條比例原則，與憲法第8條保障人身自由之意旨不符，爰提案刪除。)</w:t>
            </w:r>
          </w:p>
        </w:tc>
        <w:tc>
          <w:tcPr>
            <w:tcW w:w="1905" w:type="dxa"/>
            <w:shd w:val="clear" w:color="auto" w:fill="auto"/>
          </w:tcPr>
          <w:p w14:paraId="162AC23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委員蔡易餘</w:t>
            </w:r>
          </w:p>
          <w:p w14:paraId="016A30F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等28人 </w:t>
            </w:r>
          </w:p>
          <w:p w14:paraId="61E5644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3844A48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3C689ED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4A2891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4ED7CA7" w14:textId="77777777" w:rsidTr="00974FB5">
        <w:tc>
          <w:tcPr>
            <w:tcW w:w="595" w:type="dxa"/>
            <w:shd w:val="clear" w:color="auto" w:fill="auto"/>
          </w:tcPr>
          <w:p w14:paraId="587D1CD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105</w:t>
            </w:r>
          </w:p>
        </w:tc>
        <w:tc>
          <w:tcPr>
            <w:tcW w:w="2694" w:type="dxa"/>
            <w:shd w:val="clear" w:color="auto" w:fill="auto"/>
          </w:tcPr>
          <w:p w14:paraId="52C861C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5.中華民國刑法第四十七條及第四十八條條文修正草案(修正重點：鑑於大法官釋字第775號解釋，修正法官得視情況按其情節，加重部分刑期，並最多以二分之一為限。)</w:t>
            </w:r>
          </w:p>
        </w:tc>
        <w:tc>
          <w:tcPr>
            <w:tcW w:w="1905" w:type="dxa"/>
            <w:shd w:val="clear" w:color="auto" w:fill="auto"/>
          </w:tcPr>
          <w:p w14:paraId="6C5B40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委員翁重鈞</w:t>
            </w:r>
          </w:p>
          <w:p w14:paraId="03D091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36F425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0E5041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37EE5D5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E808EA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F982636" w14:textId="77777777" w:rsidTr="00974FB5">
        <w:tc>
          <w:tcPr>
            <w:tcW w:w="595" w:type="dxa"/>
            <w:shd w:val="clear" w:color="auto" w:fill="auto"/>
          </w:tcPr>
          <w:p w14:paraId="15D3E04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106</w:t>
            </w:r>
          </w:p>
        </w:tc>
        <w:tc>
          <w:tcPr>
            <w:tcW w:w="2694" w:type="dxa"/>
            <w:shd w:val="clear" w:color="auto" w:fill="auto"/>
          </w:tcPr>
          <w:p w14:paraId="7C507DF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6.中華民國刑法部分條文修正草案(刪除第六章、§47~49、90；修正§92、98。修正重點：鑑於司法院大法官釋字第812號認強制工作違憲，及司法院大法官釋字第775號認累犯加重其刑之規定違憲，爰提案修正。)</w:t>
            </w:r>
          </w:p>
        </w:tc>
        <w:tc>
          <w:tcPr>
            <w:tcW w:w="1905" w:type="dxa"/>
            <w:shd w:val="clear" w:color="auto" w:fill="auto"/>
          </w:tcPr>
          <w:p w14:paraId="36FDCC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41A5593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7F5D51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3A099B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D9B083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8A408CD" w14:textId="77777777" w:rsidTr="00974FB5">
        <w:tc>
          <w:tcPr>
            <w:tcW w:w="595" w:type="dxa"/>
            <w:shd w:val="clear" w:color="auto" w:fill="auto"/>
          </w:tcPr>
          <w:p w14:paraId="6AFED0D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107</w:t>
            </w:r>
          </w:p>
        </w:tc>
        <w:tc>
          <w:tcPr>
            <w:tcW w:w="2694" w:type="dxa"/>
            <w:shd w:val="clear" w:color="auto" w:fill="auto"/>
          </w:tcPr>
          <w:p w14:paraId="4C9E9F2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7.中華民國刑法刪除第</w:t>
            </w:r>
            <w:r w:rsidRPr="00026143">
              <w:rPr>
                <w:rFonts w:ascii="標楷體" w:eastAsia="標楷體" w:hAnsi="標楷體"/>
                <w:bCs/>
                <w:color w:val="000000" w:themeColor="text1"/>
              </w:rPr>
              <w:lastRenderedPageBreak/>
              <w:t>九十條條文草案(刪除重點：經司法院大法官釋字第812號解釋，有違憲法第二十三條比例原則，並與憲法第八條保障人身自由之意旨不符，爰提案刪除。)</w:t>
            </w:r>
          </w:p>
        </w:tc>
        <w:tc>
          <w:tcPr>
            <w:tcW w:w="1905" w:type="dxa"/>
            <w:shd w:val="clear" w:color="auto" w:fill="auto"/>
          </w:tcPr>
          <w:p w14:paraId="7C4D378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委員陳明文</w:t>
            </w:r>
          </w:p>
          <w:p w14:paraId="3957CF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等17人 </w:t>
            </w:r>
          </w:p>
          <w:p w14:paraId="78C6B1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111.04.01 </w:t>
            </w:r>
          </w:p>
          <w:p w14:paraId="799E22C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（10-5-6）</w:t>
            </w:r>
          </w:p>
        </w:tc>
        <w:tc>
          <w:tcPr>
            <w:tcW w:w="1581" w:type="dxa"/>
            <w:shd w:val="clear" w:color="auto" w:fill="auto"/>
          </w:tcPr>
          <w:p w14:paraId="42A871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530A993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015B10C" w14:textId="77777777" w:rsidTr="00974FB5">
        <w:tc>
          <w:tcPr>
            <w:tcW w:w="595" w:type="dxa"/>
            <w:shd w:val="clear" w:color="auto" w:fill="auto"/>
          </w:tcPr>
          <w:p w14:paraId="27F2810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108</w:t>
            </w:r>
          </w:p>
        </w:tc>
        <w:tc>
          <w:tcPr>
            <w:tcW w:w="2694" w:type="dxa"/>
            <w:shd w:val="clear" w:color="auto" w:fill="auto"/>
          </w:tcPr>
          <w:p w14:paraId="1D4DD51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8.中華民國刑法刪除第九十條條文草案（刪除重點：司法院大法官釋字第812號解釋，宣告現行中華民國刑法第九十條第一項及第二項前段規定為違憲，應自解釋公布之日起失其效力，爰予以刪除。）</w:t>
            </w:r>
          </w:p>
        </w:tc>
        <w:tc>
          <w:tcPr>
            <w:tcW w:w="1905" w:type="dxa"/>
            <w:shd w:val="clear" w:color="auto" w:fill="auto"/>
          </w:tcPr>
          <w:p w14:paraId="4DF4DFD8" w14:textId="0301C759"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463C516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111.09.23 </w:t>
            </w:r>
          </w:p>
          <w:p w14:paraId="130C11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w:t>
            </w:r>
          </w:p>
        </w:tc>
        <w:tc>
          <w:tcPr>
            <w:tcW w:w="1581" w:type="dxa"/>
            <w:shd w:val="clear" w:color="auto" w:fill="auto"/>
          </w:tcPr>
          <w:p w14:paraId="50FD76A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6BD87F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7E2C66B" w14:textId="77777777" w:rsidTr="00974FB5">
        <w:tc>
          <w:tcPr>
            <w:tcW w:w="595" w:type="dxa"/>
            <w:shd w:val="clear" w:color="auto" w:fill="auto"/>
          </w:tcPr>
          <w:p w14:paraId="6B35FA8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109</w:t>
            </w:r>
          </w:p>
        </w:tc>
        <w:tc>
          <w:tcPr>
            <w:tcW w:w="2694" w:type="dxa"/>
            <w:shd w:val="clear" w:color="auto" w:fill="auto"/>
          </w:tcPr>
          <w:p w14:paraId="10D9708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一百八十五條之三條文修正草案（修正重點：增列第一項第四款施用毒品之行為，以尿液經檢驗判定陽性為標準，另增列第一項第五款，就有第四款以外之情事足認施用毒品，致不能安全駕駛者，予以處罰。）</w:t>
            </w:r>
          </w:p>
        </w:tc>
        <w:tc>
          <w:tcPr>
            <w:tcW w:w="1905" w:type="dxa"/>
            <w:shd w:val="clear" w:color="auto" w:fill="auto"/>
          </w:tcPr>
          <w:p w14:paraId="00BEB035" w14:textId="5AC1340D"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行政院、司法院</w:t>
            </w:r>
          </w:p>
          <w:p w14:paraId="2E7A877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111.09.23 </w:t>
            </w:r>
          </w:p>
          <w:p w14:paraId="2DABD28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w:t>
            </w:r>
          </w:p>
        </w:tc>
        <w:tc>
          <w:tcPr>
            <w:tcW w:w="1581" w:type="dxa"/>
            <w:shd w:val="clear" w:color="auto" w:fill="auto"/>
          </w:tcPr>
          <w:p w14:paraId="33B737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B228E45" w14:textId="6FF0D75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27B8CED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43EA2682" w14:textId="77777777" w:rsidTr="00974FB5">
        <w:tc>
          <w:tcPr>
            <w:tcW w:w="595" w:type="dxa"/>
            <w:shd w:val="clear" w:color="auto" w:fill="auto"/>
          </w:tcPr>
          <w:p w14:paraId="51E2F44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110</w:t>
            </w:r>
          </w:p>
        </w:tc>
        <w:tc>
          <w:tcPr>
            <w:tcW w:w="2694" w:type="dxa"/>
            <w:shd w:val="clear" w:color="auto" w:fill="auto"/>
          </w:tcPr>
          <w:p w14:paraId="0AC30A8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2.中華民國刑法第一百八十五條之三條文修正草案(修正重點：刪除現行法酒駕5年內再犯得加重刑度之規定，凡是酒駕累犯者均加重刑度。)</w:t>
            </w:r>
          </w:p>
        </w:tc>
        <w:tc>
          <w:tcPr>
            <w:tcW w:w="1905" w:type="dxa"/>
            <w:shd w:val="clear" w:color="auto" w:fill="auto"/>
          </w:tcPr>
          <w:p w14:paraId="7777039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委員萬美玲</w:t>
            </w:r>
          </w:p>
          <w:p w14:paraId="2BD1234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11422A0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111.03.01 </w:t>
            </w:r>
          </w:p>
          <w:p w14:paraId="325388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w:t>
            </w:r>
          </w:p>
        </w:tc>
        <w:tc>
          <w:tcPr>
            <w:tcW w:w="1581" w:type="dxa"/>
            <w:shd w:val="clear" w:color="auto" w:fill="auto"/>
          </w:tcPr>
          <w:p w14:paraId="49AEC31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82E2A12" w14:textId="01FF4949"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5E10C1D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2986F214" w14:textId="77777777" w:rsidTr="00974FB5">
        <w:tc>
          <w:tcPr>
            <w:tcW w:w="595" w:type="dxa"/>
            <w:shd w:val="clear" w:color="auto" w:fill="auto"/>
          </w:tcPr>
          <w:p w14:paraId="08D4204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111</w:t>
            </w:r>
          </w:p>
        </w:tc>
        <w:tc>
          <w:tcPr>
            <w:tcW w:w="2694" w:type="dxa"/>
            <w:shd w:val="clear" w:color="auto" w:fill="auto"/>
          </w:tcPr>
          <w:p w14:paraId="4CE7B9A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一百八十五條之三條文修正草案(修正重點：加重因酒類、毒品或其他相類之物，致不能安全駕駛者之初、累犯刑責；另參照日本法規，增加肇事車輛所有人及肇事車輛同車乘車者明知駕駛人不能安全駕駛卻不予禁止駕駛之連坐罰。)</w:t>
            </w:r>
          </w:p>
        </w:tc>
        <w:tc>
          <w:tcPr>
            <w:tcW w:w="1905" w:type="dxa"/>
            <w:shd w:val="clear" w:color="auto" w:fill="auto"/>
          </w:tcPr>
          <w:p w14:paraId="70C9544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委員鄭麗文</w:t>
            </w:r>
          </w:p>
          <w:p w14:paraId="76B29B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3D01A6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111.03.11 </w:t>
            </w:r>
          </w:p>
          <w:p w14:paraId="034A1C2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（10-5-3）</w:t>
            </w:r>
          </w:p>
        </w:tc>
        <w:tc>
          <w:tcPr>
            <w:tcW w:w="1581" w:type="dxa"/>
            <w:shd w:val="clear" w:color="auto" w:fill="auto"/>
          </w:tcPr>
          <w:p w14:paraId="4D26C8F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D74322C" w14:textId="5E7966CD"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2DB590F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552AC5C0" w14:textId="77777777" w:rsidTr="00974FB5">
        <w:tc>
          <w:tcPr>
            <w:tcW w:w="595" w:type="dxa"/>
            <w:shd w:val="clear" w:color="auto" w:fill="auto"/>
          </w:tcPr>
          <w:p w14:paraId="3901B26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112</w:t>
            </w:r>
          </w:p>
        </w:tc>
        <w:tc>
          <w:tcPr>
            <w:tcW w:w="2694" w:type="dxa"/>
            <w:shd w:val="clear" w:color="auto" w:fill="auto"/>
          </w:tcPr>
          <w:p w14:paraId="1125B15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4.中華民國刑法第一百八十五條之三條文修正</w:t>
            </w:r>
            <w:r w:rsidRPr="00026143">
              <w:rPr>
                <w:rFonts w:ascii="標楷體" w:eastAsia="標楷體" w:hAnsi="標楷體"/>
                <w:bCs/>
                <w:color w:val="000000" w:themeColor="text1"/>
              </w:rPr>
              <w:lastRenderedPageBreak/>
              <w:t>草案（修正重點：刪除第一項第三款毒駕「致不能安全駕駛」之規定，增訂其毒駕定罪認定標準，其檢驗結果閾值（臨界值）為陽性者，就一律視為不能安全駕駛，即可定罪；另駕駛人有第三款以外之情事，足認其施用毒品、麻醉藥品或其他相類之物，有致不能安全駕駛之情形，亦應處罰，爰增訂第四款規定。）</w:t>
            </w:r>
          </w:p>
        </w:tc>
        <w:tc>
          <w:tcPr>
            <w:tcW w:w="1905" w:type="dxa"/>
            <w:shd w:val="clear" w:color="auto" w:fill="auto"/>
          </w:tcPr>
          <w:p w14:paraId="6E106E74" w14:textId="2FEA6B60"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台灣民眾黨黨團</w:t>
            </w:r>
          </w:p>
          <w:p w14:paraId="076A45E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111.09.23 </w:t>
            </w:r>
          </w:p>
          <w:p w14:paraId="1308D98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（10-6-1）</w:t>
            </w:r>
          </w:p>
        </w:tc>
        <w:tc>
          <w:tcPr>
            <w:tcW w:w="1581" w:type="dxa"/>
            <w:shd w:val="clear" w:color="auto" w:fill="auto"/>
          </w:tcPr>
          <w:p w14:paraId="558E00B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136F31F9" w14:textId="419AB9A0"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2BDCEAD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w:t>
            </w:r>
            <w:r w:rsidRPr="00026143">
              <w:rPr>
                <w:rFonts w:ascii="標楷體" w:eastAsia="標楷體" w:hAnsi="標楷體"/>
                <w:bCs/>
                <w:color w:val="000000" w:themeColor="text1"/>
              </w:rPr>
              <w:lastRenderedPageBreak/>
              <w:t>及詢答完畢，另定期繼續審查。</w:t>
            </w:r>
          </w:p>
        </w:tc>
      </w:tr>
      <w:tr w:rsidR="00EC13B7" w:rsidRPr="00026143" w14:paraId="68E39134" w14:textId="77777777" w:rsidTr="00974FB5">
        <w:tc>
          <w:tcPr>
            <w:tcW w:w="595" w:type="dxa"/>
            <w:shd w:val="clear" w:color="auto" w:fill="auto"/>
          </w:tcPr>
          <w:p w14:paraId="64F129B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113</w:t>
            </w:r>
          </w:p>
        </w:tc>
        <w:tc>
          <w:tcPr>
            <w:tcW w:w="2694" w:type="dxa"/>
            <w:shd w:val="clear" w:color="auto" w:fill="auto"/>
          </w:tcPr>
          <w:p w14:paraId="12D96E6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中華民國刑法第一百八十五條之三條文修正草案（修正重點：明定毒駕者尿液驗出陽性反應，即構成公共危險罪，若因個案情況無法檢驗判定陽性，惟仍有其他情事足認有施用毒品而致不能安全駕駛時，也論以毒駕罪責，以全面處罰毒駕行為。）</w:t>
            </w:r>
          </w:p>
        </w:tc>
        <w:tc>
          <w:tcPr>
            <w:tcW w:w="1905" w:type="dxa"/>
            <w:shd w:val="clear" w:color="auto" w:fill="auto"/>
          </w:tcPr>
          <w:p w14:paraId="3A6E207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委員魯明哲</w:t>
            </w:r>
          </w:p>
          <w:p w14:paraId="2DE153E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385C55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4936C96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55D968C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6D625FD" w14:textId="097E40D1"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707C3AA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37235553" w14:textId="77777777" w:rsidTr="00974FB5">
        <w:tc>
          <w:tcPr>
            <w:tcW w:w="595" w:type="dxa"/>
            <w:shd w:val="clear" w:color="auto" w:fill="auto"/>
          </w:tcPr>
          <w:p w14:paraId="7D46650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114</w:t>
            </w:r>
          </w:p>
        </w:tc>
        <w:tc>
          <w:tcPr>
            <w:tcW w:w="2694" w:type="dxa"/>
            <w:shd w:val="clear" w:color="auto" w:fill="auto"/>
          </w:tcPr>
          <w:p w14:paraId="109FE33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6.中華民國刑法第一百八十五條之三條文修正草案（修正重點：對於毒駕改採零容忍之認定，另針對警察攔停卻駕車逃逸因而致死傷者應加重其刑。）</w:t>
            </w:r>
          </w:p>
        </w:tc>
        <w:tc>
          <w:tcPr>
            <w:tcW w:w="1905" w:type="dxa"/>
            <w:shd w:val="clear" w:color="auto" w:fill="auto"/>
          </w:tcPr>
          <w:p w14:paraId="60DD7F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委員張廖萬堅</w:t>
            </w:r>
          </w:p>
          <w:p w14:paraId="2C70C09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7C9852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7AA460F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0F299B5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8DF6ABE" w14:textId="12F077C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1E0EC18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1BF45943" w14:textId="77777777" w:rsidTr="00974FB5">
        <w:tc>
          <w:tcPr>
            <w:tcW w:w="595" w:type="dxa"/>
            <w:shd w:val="clear" w:color="auto" w:fill="auto"/>
          </w:tcPr>
          <w:p w14:paraId="618D1F9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115</w:t>
            </w:r>
          </w:p>
        </w:tc>
        <w:tc>
          <w:tcPr>
            <w:tcW w:w="2694" w:type="dxa"/>
            <w:shd w:val="clear" w:color="auto" w:fill="auto"/>
          </w:tcPr>
          <w:p w14:paraId="7E02379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7.中華民國刑法第一百八十五條之三條文修正草案（修正重點：修正毒駕構成要件以符合法律明確性原則及比例原則。）</w:t>
            </w:r>
          </w:p>
        </w:tc>
        <w:tc>
          <w:tcPr>
            <w:tcW w:w="1905" w:type="dxa"/>
            <w:shd w:val="clear" w:color="auto" w:fill="auto"/>
          </w:tcPr>
          <w:p w14:paraId="361BF4E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委員伍麗華</w:t>
            </w:r>
          </w:p>
          <w:p w14:paraId="698FE3D0" w14:textId="77777777" w:rsidR="00EC13B7" w:rsidRPr="00026143" w:rsidRDefault="00EC13B7" w:rsidP="003F057E">
            <w:pPr>
              <w:kinsoku w:val="0"/>
              <w:topLinePunct/>
              <w:snapToGrid w:val="0"/>
              <w:spacing w:line="300" w:lineRule="exact"/>
              <w:ind w:leftChars="-13" w:hangingChars="17" w:hanging="31"/>
              <w:textAlignment w:val="top"/>
              <w:rPr>
                <w:rFonts w:ascii="標楷體" w:eastAsia="標楷體" w:hAnsi="標楷體"/>
                <w:bCs/>
                <w:color w:val="000000" w:themeColor="text1"/>
              </w:rPr>
            </w:pPr>
            <w:r w:rsidRPr="00C40AA5">
              <w:rPr>
                <w:rFonts w:ascii="標楷體" w:eastAsia="標楷體" w:hAnsi="標楷體"/>
                <w:bCs/>
                <w:color w:val="000000" w:themeColor="text1"/>
                <w:spacing w:val="-30"/>
              </w:rPr>
              <w:t>Saidhai‧Tahovecahe</w:t>
            </w:r>
            <w:r w:rsidRPr="00026143">
              <w:rPr>
                <w:rFonts w:ascii="標楷體" w:eastAsia="標楷體" w:hAnsi="標楷體"/>
                <w:bCs/>
                <w:color w:val="000000" w:themeColor="text1"/>
              </w:rPr>
              <w:t xml:space="preserve">等20人 </w:t>
            </w:r>
          </w:p>
          <w:p w14:paraId="502399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00D1FA4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127AD3C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9A4FB4D" w14:textId="5AE1B0A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7949B6B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376B9A17" w14:textId="77777777" w:rsidTr="00974FB5">
        <w:tc>
          <w:tcPr>
            <w:tcW w:w="595" w:type="dxa"/>
            <w:shd w:val="clear" w:color="auto" w:fill="auto"/>
          </w:tcPr>
          <w:p w14:paraId="081128B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116</w:t>
            </w:r>
          </w:p>
        </w:tc>
        <w:tc>
          <w:tcPr>
            <w:tcW w:w="2694" w:type="dxa"/>
            <w:shd w:val="clear" w:color="auto" w:fill="auto"/>
          </w:tcPr>
          <w:p w14:paraId="155307D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8.中華民國刑法第一百八十五條之三條文修正草案（修正重點：增訂施用毒品而駕駛動力交通工具之處罰。）</w:t>
            </w:r>
          </w:p>
        </w:tc>
        <w:tc>
          <w:tcPr>
            <w:tcW w:w="1905" w:type="dxa"/>
            <w:shd w:val="clear" w:color="auto" w:fill="auto"/>
          </w:tcPr>
          <w:p w14:paraId="2D6068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委員羅致政</w:t>
            </w:r>
          </w:p>
          <w:p w14:paraId="66845C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7EEC6A1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4EAE2D2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0B07DBE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8D3E29C" w14:textId="5AF074D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23A977F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2B25785E" w14:textId="77777777" w:rsidTr="00974FB5">
        <w:tc>
          <w:tcPr>
            <w:tcW w:w="595" w:type="dxa"/>
            <w:shd w:val="clear" w:color="auto" w:fill="auto"/>
          </w:tcPr>
          <w:p w14:paraId="3603450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117</w:t>
            </w:r>
          </w:p>
        </w:tc>
        <w:tc>
          <w:tcPr>
            <w:tcW w:w="2694" w:type="dxa"/>
            <w:shd w:val="clear" w:color="auto" w:fill="auto"/>
          </w:tcPr>
          <w:p w14:paraId="367B6A1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9.中華民國刑法第一百八十五條之三條文修正草案（修正重點：增訂</w:t>
            </w:r>
            <w:r w:rsidRPr="00026143">
              <w:rPr>
                <w:rFonts w:ascii="標楷體" w:eastAsia="標楷體" w:hAnsi="標楷體"/>
                <w:bCs/>
                <w:color w:val="000000" w:themeColor="text1"/>
              </w:rPr>
              <w:lastRenderedPageBreak/>
              <w:t>施用毒品而駕駛動力交通工具之處罰。）</w:t>
            </w:r>
          </w:p>
        </w:tc>
        <w:tc>
          <w:tcPr>
            <w:tcW w:w="1905" w:type="dxa"/>
            <w:shd w:val="clear" w:color="auto" w:fill="auto"/>
          </w:tcPr>
          <w:p w14:paraId="37A0F0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委員陳明文</w:t>
            </w:r>
          </w:p>
          <w:p w14:paraId="342B050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716CC2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745F09C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（10-6-3）</w:t>
            </w:r>
          </w:p>
        </w:tc>
        <w:tc>
          <w:tcPr>
            <w:tcW w:w="1581" w:type="dxa"/>
            <w:shd w:val="clear" w:color="auto" w:fill="auto"/>
          </w:tcPr>
          <w:p w14:paraId="7D07094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67400B4E" w14:textId="2828B515"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1EFEAC5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w:t>
            </w:r>
            <w:r w:rsidRPr="00026143">
              <w:rPr>
                <w:rFonts w:ascii="標楷體" w:eastAsia="標楷體" w:hAnsi="標楷體"/>
                <w:bCs/>
                <w:color w:val="000000" w:themeColor="text1"/>
              </w:rPr>
              <w:lastRenderedPageBreak/>
              <w:t>定期繼續審查。</w:t>
            </w:r>
          </w:p>
        </w:tc>
      </w:tr>
      <w:tr w:rsidR="00EC13B7" w:rsidRPr="00026143" w14:paraId="5518C5CA" w14:textId="77777777" w:rsidTr="00974FB5">
        <w:tc>
          <w:tcPr>
            <w:tcW w:w="595" w:type="dxa"/>
            <w:shd w:val="clear" w:color="auto" w:fill="auto"/>
          </w:tcPr>
          <w:p w14:paraId="578778E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118</w:t>
            </w:r>
          </w:p>
        </w:tc>
        <w:tc>
          <w:tcPr>
            <w:tcW w:w="2694" w:type="dxa"/>
            <w:shd w:val="clear" w:color="auto" w:fill="auto"/>
          </w:tcPr>
          <w:p w14:paraId="0337009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10.中華民國刑法第一百八十五條之三條文修正草案（修正重點：增訂施用毒品駕駛動力交通工具應受刑罰之要件。）</w:t>
            </w:r>
          </w:p>
        </w:tc>
        <w:tc>
          <w:tcPr>
            <w:tcW w:w="1905" w:type="dxa"/>
            <w:shd w:val="clear" w:color="auto" w:fill="auto"/>
          </w:tcPr>
          <w:p w14:paraId="701DF77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委員溫玉霞</w:t>
            </w:r>
          </w:p>
          <w:p w14:paraId="48AC92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1F881D1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43D0965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3423FD5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0EB9B75" w14:textId="7336AA3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39B7A3E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480B1479" w14:textId="77777777" w:rsidTr="00974FB5">
        <w:tc>
          <w:tcPr>
            <w:tcW w:w="595" w:type="dxa"/>
            <w:shd w:val="clear" w:color="auto" w:fill="auto"/>
          </w:tcPr>
          <w:p w14:paraId="3268B88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119</w:t>
            </w:r>
          </w:p>
        </w:tc>
        <w:tc>
          <w:tcPr>
            <w:tcW w:w="2694" w:type="dxa"/>
            <w:shd w:val="clear" w:color="auto" w:fill="auto"/>
          </w:tcPr>
          <w:p w14:paraId="767C5E0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11.中華民國刑法第一百八十五條之三條文修正草案（修正重點：增訂施用毒品而其尿液經檢驗判定陽性即論以刑責，以期藉此杜絕毒駕之惡行。）</w:t>
            </w:r>
          </w:p>
        </w:tc>
        <w:tc>
          <w:tcPr>
            <w:tcW w:w="1905" w:type="dxa"/>
            <w:shd w:val="clear" w:color="auto" w:fill="auto"/>
          </w:tcPr>
          <w:p w14:paraId="1C2FE87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委員萬美玲</w:t>
            </w:r>
          </w:p>
          <w:p w14:paraId="74F6FB3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42107E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0DC5F88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7EDC9EB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842F450" w14:textId="2987C15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7BA36FF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00E55002" w14:textId="77777777" w:rsidTr="00974FB5">
        <w:tc>
          <w:tcPr>
            <w:tcW w:w="595" w:type="dxa"/>
            <w:shd w:val="clear" w:color="auto" w:fill="auto"/>
          </w:tcPr>
          <w:p w14:paraId="6C1D333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120</w:t>
            </w:r>
          </w:p>
        </w:tc>
        <w:tc>
          <w:tcPr>
            <w:tcW w:w="2694" w:type="dxa"/>
            <w:shd w:val="clear" w:color="auto" w:fill="auto"/>
          </w:tcPr>
          <w:p w14:paraId="37425C8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12.中華民國刑法第一百八十五條之三條文修正草案（修正重點：針對行為人施用毒品，而其尿液經檢驗判定陽性而駕駛動力交通工具，即論以刑責。另增訂足認施用毒品，致不能安全駕駛者，予以處罰，以保障社會大眾交通安全。）</w:t>
            </w:r>
          </w:p>
        </w:tc>
        <w:tc>
          <w:tcPr>
            <w:tcW w:w="1905" w:type="dxa"/>
            <w:shd w:val="clear" w:color="auto" w:fill="auto"/>
          </w:tcPr>
          <w:p w14:paraId="07E3C29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委員王美惠</w:t>
            </w:r>
          </w:p>
          <w:p w14:paraId="47ABF84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等20人</w:t>
            </w:r>
          </w:p>
          <w:p w14:paraId="2B5FF6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1B6E8C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7B2397F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562B624" w14:textId="05DA319A"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66F2850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1DD89FC8" w14:textId="77777777" w:rsidTr="00974FB5">
        <w:tc>
          <w:tcPr>
            <w:tcW w:w="595" w:type="dxa"/>
            <w:shd w:val="clear" w:color="auto" w:fill="auto"/>
          </w:tcPr>
          <w:p w14:paraId="783B0BA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121</w:t>
            </w:r>
          </w:p>
        </w:tc>
        <w:tc>
          <w:tcPr>
            <w:tcW w:w="2694" w:type="dxa"/>
            <w:shd w:val="clear" w:color="auto" w:fill="auto"/>
          </w:tcPr>
          <w:p w14:paraId="0C3A147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13.中華民國刑法第一百八十五條之三條文修正草案（修正重點：凡施用毒品而其尿液經檢驗判定為陽性者，即該當本罪之構成要件，另增訂足認有施用毒品致不能安全駕駛者，亦加以處罰。）</w:t>
            </w:r>
          </w:p>
        </w:tc>
        <w:tc>
          <w:tcPr>
            <w:tcW w:w="1905" w:type="dxa"/>
            <w:shd w:val="clear" w:color="auto" w:fill="auto"/>
          </w:tcPr>
          <w:p w14:paraId="2B2F79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委員莊競程</w:t>
            </w:r>
          </w:p>
          <w:p w14:paraId="57679C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3CE040B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021EC3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71367A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65D827C" w14:textId="7E20BF04"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4C63705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1F517D13" w14:textId="77777777" w:rsidTr="00974FB5">
        <w:tc>
          <w:tcPr>
            <w:tcW w:w="595" w:type="dxa"/>
            <w:shd w:val="clear" w:color="auto" w:fill="auto"/>
          </w:tcPr>
          <w:p w14:paraId="1A7672A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122</w:t>
            </w:r>
          </w:p>
        </w:tc>
        <w:tc>
          <w:tcPr>
            <w:tcW w:w="2694" w:type="dxa"/>
            <w:shd w:val="clear" w:color="auto" w:fill="auto"/>
          </w:tcPr>
          <w:p w14:paraId="4D1956F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14.中華民國刑法第一百八十五條之三條文修正草案(修正重點：增列施用毒品之行為，以尿液經檢驗判定陽性為標準，明確化違法要件；若因個案情況無法檢驗判定陽性，惟仍有其他情事足以認定有施用毒品，導致不能安全駕駛時，應論以毒駕罪責。)</w:t>
            </w:r>
          </w:p>
        </w:tc>
        <w:tc>
          <w:tcPr>
            <w:tcW w:w="1905" w:type="dxa"/>
            <w:shd w:val="clear" w:color="auto" w:fill="auto"/>
          </w:tcPr>
          <w:p w14:paraId="6029596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委員馬文君</w:t>
            </w:r>
          </w:p>
          <w:p w14:paraId="2D58B0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E8341C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111.10.28 </w:t>
            </w:r>
          </w:p>
          <w:p w14:paraId="4C8018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（10-6-5）</w:t>
            </w:r>
          </w:p>
        </w:tc>
        <w:tc>
          <w:tcPr>
            <w:tcW w:w="1581" w:type="dxa"/>
            <w:shd w:val="clear" w:color="auto" w:fill="auto"/>
          </w:tcPr>
          <w:p w14:paraId="6928C9D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A2B894E" w14:textId="213C57B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本會111.11.23</w:t>
            </w:r>
          </w:p>
          <w:p w14:paraId="333F529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(10-6-19)報告及詢答完畢，另定期繼續審查。</w:t>
            </w:r>
          </w:p>
        </w:tc>
      </w:tr>
      <w:tr w:rsidR="00EC13B7" w:rsidRPr="00026143" w14:paraId="32B47994" w14:textId="77777777" w:rsidTr="00974FB5">
        <w:tc>
          <w:tcPr>
            <w:tcW w:w="595" w:type="dxa"/>
            <w:shd w:val="clear" w:color="auto" w:fill="auto"/>
          </w:tcPr>
          <w:p w14:paraId="1437F72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123</w:t>
            </w:r>
          </w:p>
        </w:tc>
        <w:tc>
          <w:tcPr>
            <w:tcW w:w="2694" w:type="dxa"/>
            <w:shd w:val="clear" w:color="auto" w:fill="auto"/>
          </w:tcPr>
          <w:p w14:paraId="421258C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15.中華民國刑法第一百八十五條之三條文修正草案(修正重點：修法將毒駕參照酒駕採抽象危險犯規定，使標準齊一。)</w:t>
            </w:r>
          </w:p>
        </w:tc>
        <w:tc>
          <w:tcPr>
            <w:tcW w:w="1905" w:type="dxa"/>
            <w:shd w:val="clear" w:color="auto" w:fill="auto"/>
          </w:tcPr>
          <w:p w14:paraId="54E5C06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委員陳素月</w:t>
            </w:r>
          </w:p>
          <w:p w14:paraId="0D13535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3971DAB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111.11.25 </w:t>
            </w:r>
          </w:p>
          <w:p w14:paraId="5FE1A1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（10-6-9）</w:t>
            </w:r>
          </w:p>
        </w:tc>
        <w:tc>
          <w:tcPr>
            <w:tcW w:w="1581" w:type="dxa"/>
            <w:shd w:val="clear" w:color="auto" w:fill="auto"/>
          </w:tcPr>
          <w:p w14:paraId="6DFFD2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A38738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15292B2" w14:textId="77777777" w:rsidTr="00974FB5">
        <w:tc>
          <w:tcPr>
            <w:tcW w:w="595" w:type="dxa"/>
            <w:shd w:val="clear" w:color="auto" w:fill="auto"/>
          </w:tcPr>
          <w:p w14:paraId="50A8E87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124</w:t>
            </w:r>
          </w:p>
        </w:tc>
        <w:tc>
          <w:tcPr>
            <w:tcW w:w="2694" w:type="dxa"/>
            <w:shd w:val="clear" w:color="auto" w:fill="auto"/>
          </w:tcPr>
          <w:p w14:paraId="7AEA5AC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16.中華民國刑法第一百八十五條之三條文修正草案(修正重點：新增第1項第4款，施用毒品經尿液檢驗後，判定為陽性反應者為標準，以達毒駕零容忍之日標。)</w:t>
            </w:r>
          </w:p>
        </w:tc>
        <w:tc>
          <w:tcPr>
            <w:tcW w:w="1905" w:type="dxa"/>
            <w:shd w:val="clear" w:color="auto" w:fill="auto"/>
          </w:tcPr>
          <w:p w14:paraId="0BA90C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委員賴惠員</w:t>
            </w:r>
          </w:p>
          <w:p w14:paraId="6F63FC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69CA97F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111.12.02 </w:t>
            </w:r>
          </w:p>
          <w:p w14:paraId="1C3556D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（10-6-10）</w:t>
            </w:r>
          </w:p>
        </w:tc>
        <w:tc>
          <w:tcPr>
            <w:tcW w:w="1581" w:type="dxa"/>
            <w:shd w:val="clear" w:color="auto" w:fill="auto"/>
          </w:tcPr>
          <w:p w14:paraId="4550799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B54DA9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369BEAB" w14:textId="77777777" w:rsidTr="00974FB5">
        <w:tc>
          <w:tcPr>
            <w:tcW w:w="595" w:type="dxa"/>
            <w:shd w:val="clear" w:color="auto" w:fill="auto"/>
          </w:tcPr>
          <w:p w14:paraId="17D2873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125</w:t>
            </w:r>
          </w:p>
        </w:tc>
        <w:tc>
          <w:tcPr>
            <w:tcW w:w="2694" w:type="dxa"/>
            <w:shd w:val="clear" w:color="auto" w:fill="auto"/>
          </w:tcPr>
          <w:p w14:paraId="029A069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中華民國刑法增訂第九十一條之二及第九十八條之一條文草案(增訂重點：增訂針對精神障礙行為者制定強制精神與心理治療之處分方式。)</w:t>
            </w:r>
          </w:p>
        </w:tc>
        <w:tc>
          <w:tcPr>
            <w:tcW w:w="1905" w:type="dxa"/>
            <w:shd w:val="clear" w:color="auto" w:fill="auto"/>
          </w:tcPr>
          <w:p w14:paraId="69FAF4B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委員林俊憲</w:t>
            </w:r>
          </w:p>
          <w:p w14:paraId="5B8AFCF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7E17F4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780288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1434DE3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B3D22B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83D13DB" w14:textId="77777777" w:rsidTr="00974FB5">
        <w:tc>
          <w:tcPr>
            <w:tcW w:w="595" w:type="dxa"/>
            <w:shd w:val="clear" w:color="auto" w:fill="auto"/>
          </w:tcPr>
          <w:p w14:paraId="0AC4671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126</w:t>
            </w:r>
          </w:p>
        </w:tc>
        <w:tc>
          <w:tcPr>
            <w:tcW w:w="2694" w:type="dxa"/>
            <w:shd w:val="clear" w:color="auto" w:fill="auto"/>
          </w:tcPr>
          <w:p w14:paraId="2BB37CF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1.中華民國刑法第三百零九條及第三百十二條條文修正草案(修正重點：公然侮辱罪有違反法律明確性原則之虞；並考量被害人人格之維護及行為人責任之追究，得依民事損害賠償請求權滿足，爰提案刪除。)</w:t>
            </w:r>
          </w:p>
        </w:tc>
        <w:tc>
          <w:tcPr>
            <w:tcW w:w="1905" w:type="dxa"/>
            <w:shd w:val="clear" w:color="auto" w:fill="auto"/>
          </w:tcPr>
          <w:p w14:paraId="1FCE4F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48C5E81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6B65720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2DD44EC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4E0342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7FCFEBE" w14:textId="77777777" w:rsidTr="00974FB5">
        <w:tc>
          <w:tcPr>
            <w:tcW w:w="595" w:type="dxa"/>
            <w:shd w:val="clear" w:color="auto" w:fill="auto"/>
          </w:tcPr>
          <w:p w14:paraId="0A2F9D0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127</w:t>
            </w:r>
          </w:p>
        </w:tc>
        <w:tc>
          <w:tcPr>
            <w:tcW w:w="2694" w:type="dxa"/>
            <w:shd w:val="clear" w:color="auto" w:fill="auto"/>
          </w:tcPr>
          <w:p w14:paraId="5FA8525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2.中華民國刑法第三百零九條條文修正草案（修正重點：提高公然侮辱之刑罰。）</w:t>
            </w:r>
          </w:p>
        </w:tc>
        <w:tc>
          <w:tcPr>
            <w:tcW w:w="1905" w:type="dxa"/>
            <w:shd w:val="clear" w:color="auto" w:fill="auto"/>
          </w:tcPr>
          <w:p w14:paraId="6C59B7CB" w14:textId="77777777" w:rsidR="0093364B"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委員林思銘</w:t>
            </w:r>
          </w:p>
          <w:p w14:paraId="576C896F" w14:textId="23ED9429"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79E1446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5209545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4AF682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DEEAA0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696D10E" w14:textId="77777777" w:rsidTr="00974FB5">
        <w:tc>
          <w:tcPr>
            <w:tcW w:w="595" w:type="dxa"/>
            <w:shd w:val="clear" w:color="auto" w:fill="auto"/>
          </w:tcPr>
          <w:p w14:paraId="3FC5AE2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128</w:t>
            </w:r>
          </w:p>
        </w:tc>
        <w:tc>
          <w:tcPr>
            <w:tcW w:w="2694" w:type="dxa"/>
            <w:shd w:val="clear" w:color="auto" w:fill="auto"/>
          </w:tcPr>
          <w:p w14:paraId="1DB6834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中華民國刑法第三百零九條條文修正草案(修正重點：少數人濫用網路之便利性，肆意於謾罵他人，逾越言論自由的界線，惡意、不堪之言詞讓人不勝其擾，亦發生因網路言詞導致輕生之事件，為遏止上述的情形，實有加重刑罰之必要。)</w:t>
            </w:r>
          </w:p>
        </w:tc>
        <w:tc>
          <w:tcPr>
            <w:tcW w:w="1905" w:type="dxa"/>
            <w:shd w:val="clear" w:color="auto" w:fill="auto"/>
          </w:tcPr>
          <w:p w14:paraId="7DD81435" w14:textId="6B8C7985"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658C436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111.11.04 </w:t>
            </w:r>
          </w:p>
          <w:p w14:paraId="510243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（10-6-6）</w:t>
            </w:r>
          </w:p>
        </w:tc>
        <w:tc>
          <w:tcPr>
            <w:tcW w:w="1581" w:type="dxa"/>
            <w:shd w:val="clear" w:color="auto" w:fill="auto"/>
          </w:tcPr>
          <w:p w14:paraId="5ED8B64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AD55E7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CC244EA" w14:textId="77777777" w:rsidTr="00974FB5">
        <w:tc>
          <w:tcPr>
            <w:tcW w:w="595" w:type="dxa"/>
            <w:shd w:val="clear" w:color="auto" w:fill="auto"/>
          </w:tcPr>
          <w:p w14:paraId="02DED24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129</w:t>
            </w:r>
          </w:p>
        </w:tc>
        <w:tc>
          <w:tcPr>
            <w:tcW w:w="2694" w:type="dxa"/>
            <w:shd w:val="clear" w:color="auto" w:fill="auto"/>
          </w:tcPr>
          <w:p w14:paraId="3936304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1.中華民國刑法第二十條條文修正草案(修正重點：現行條文「瘖啞」之用語，實為歧視身心障礙者，爰提案修正。)</w:t>
            </w:r>
          </w:p>
        </w:tc>
        <w:tc>
          <w:tcPr>
            <w:tcW w:w="1905" w:type="dxa"/>
            <w:shd w:val="clear" w:color="auto" w:fill="auto"/>
          </w:tcPr>
          <w:p w14:paraId="6EE80ED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委員徐志榮</w:t>
            </w:r>
          </w:p>
          <w:p w14:paraId="578ED55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1D9AD56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111.04.01 </w:t>
            </w:r>
          </w:p>
          <w:p w14:paraId="57F99AB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（10-5-6）</w:t>
            </w:r>
          </w:p>
        </w:tc>
        <w:tc>
          <w:tcPr>
            <w:tcW w:w="1581" w:type="dxa"/>
            <w:shd w:val="clear" w:color="auto" w:fill="auto"/>
          </w:tcPr>
          <w:p w14:paraId="1DB272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1DC555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EF07F31" w14:textId="77777777" w:rsidTr="00974FB5">
        <w:tc>
          <w:tcPr>
            <w:tcW w:w="595" w:type="dxa"/>
            <w:shd w:val="clear" w:color="auto" w:fill="auto"/>
          </w:tcPr>
          <w:p w14:paraId="23DAB73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130</w:t>
            </w:r>
          </w:p>
        </w:tc>
        <w:tc>
          <w:tcPr>
            <w:tcW w:w="2694" w:type="dxa"/>
            <w:shd w:val="clear" w:color="auto" w:fill="auto"/>
          </w:tcPr>
          <w:p w14:paraId="18B2F27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2.中華民國刑法部分條文修正草案(修正§19、222、225、341。修正重點：修正中華民國刑法對於身心障礙者出現歧視性之用語。)</w:t>
            </w:r>
          </w:p>
        </w:tc>
        <w:tc>
          <w:tcPr>
            <w:tcW w:w="1905" w:type="dxa"/>
            <w:shd w:val="clear" w:color="auto" w:fill="auto"/>
          </w:tcPr>
          <w:p w14:paraId="240CE8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委員黃秀芳</w:t>
            </w:r>
          </w:p>
          <w:p w14:paraId="1E48AFB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658AB7C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111.05.20 </w:t>
            </w:r>
          </w:p>
          <w:p w14:paraId="15B9507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（10-5-13）</w:t>
            </w:r>
          </w:p>
        </w:tc>
        <w:tc>
          <w:tcPr>
            <w:tcW w:w="1581" w:type="dxa"/>
            <w:shd w:val="clear" w:color="auto" w:fill="auto"/>
          </w:tcPr>
          <w:p w14:paraId="0151CDA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A4AB43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85E9A0C" w14:textId="77777777" w:rsidTr="00974FB5">
        <w:tc>
          <w:tcPr>
            <w:tcW w:w="595" w:type="dxa"/>
            <w:shd w:val="clear" w:color="auto" w:fill="auto"/>
          </w:tcPr>
          <w:p w14:paraId="4B4C5E9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131</w:t>
            </w:r>
          </w:p>
        </w:tc>
        <w:tc>
          <w:tcPr>
            <w:tcW w:w="2694" w:type="dxa"/>
            <w:shd w:val="clear" w:color="auto" w:fill="auto"/>
          </w:tcPr>
          <w:p w14:paraId="4BD6380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1.中華民國刑法第二百零一條之二及第二百零五條條文修正草案(修正重點：增訂規範偽造變造數位支付電磁紀錄之犯罪行為。)</w:t>
            </w:r>
          </w:p>
        </w:tc>
        <w:tc>
          <w:tcPr>
            <w:tcW w:w="1905" w:type="dxa"/>
            <w:shd w:val="clear" w:color="auto" w:fill="auto"/>
          </w:tcPr>
          <w:p w14:paraId="743119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1A9CADC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07C348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111.04.08 </w:t>
            </w:r>
          </w:p>
          <w:p w14:paraId="69CA63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（10-5-7）</w:t>
            </w:r>
          </w:p>
        </w:tc>
        <w:tc>
          <w:tcPr>
            <w:tcW w:w="1581" w:type="dxa"/>
            <w:shd w:val="clear" w:color="auto" w:fill="auto"/>
          </w:tcPr>
          <w:p w14:paraId="144ECA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DC2E1D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8CE49B7" w14:textId="77777777" w:rsidTr="00974FB5">
        <w:tc>
          <w:tcPr>
            <w:tcW w:w="595" w:type="dxa"/>
            <w:shd w:val="clear" w:color="auto" w:fill="auto"/>
          </w:tcPr>
          <w:p w14:paraId="504886E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132</w:t>
            </w:r>
          </w:p>
        </w:tc>
        <w:tc>
          <w:tcPr>
            <w:tcW w:w="2694" w:type="dxa"/>
            <w:shd w:val="clear" w:color="auto" w:fill="auto"/>
          </w:tcPr>
          <w:p w14:paraId="096BAC1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2.中華民國刑法第二百零一條之二及第二百零五條條文修正草案(修正重點：因應電子支付、第三方支付等相關新興數位支付工具興起，爰針對非實體數位支付電磁紀錄之偽造、變造等犯罪行為予以規範。)</w:t>
            </w:r>
          </w:p>
        </w:tc>
        <w:tc>
          <w:tcPr>
            <w:tcW w:w="1905" w:type="dxa"/>
            <w:shd w:val="clear" w:color="auto" w:fill="auto"/>
          </w:tcPr>
          <w:p w14:paraId="02B527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台灣民眾黨黨團 111.05.27 </w:t>
            </w:r>
          </w:p>
          <w:p w14:paraId="7AACAD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（10-5-14）</w:t>
            </w:r>
          </w:p>
        </w:tc>
        <w:tc>
          <w:tcPr>
            <w:tcW w:w="1581" w:type="dxa"/>
            <w:shd w:val="clear" w:color="auto" w:fill="auto"/>
          </w:tcPr>
          <w:p w14:paraId="4D92BF1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1BA07E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444439D" w14:textId="77777777" w:rsidTr="00974FB5">
        <w:tc>
          <w:tcPr>
            <w:tcW w:w="595" w:type="dxa"/>
            <w:shd w:val="clear" w:color="auto" w:fill="auto"/>
          </w:tcPr>
          <w:p w14:paraId="0CEEC3A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133</w:t>
            </w:r>
          </w:p>
        </w:tc>
        <w:tc>
          <w:tcPr>
            <w:tcW w:w="2694" w:type="dxa"/>
            <w:shd w:val="clear" w:color="auto" w:fill="auto"/>
          </w:tcPr>
          <w:p w14:paraId="3ED5A7A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中華民國刑法第三百四十條條文修正草案（修正重點：針對傷害、死亡行為與詐欺行為有因果關係者進行責罰。）</w:t>
            </w:r>
          </w:p>
        </w:tc>
        <w:tc>
          <w:tcPr>
            <w:tcW w:w="1905" w:type="dxa"/>
            <w:shd w:val="clear" w:color="auto" w:fill="auto"/>
          </w:tcPr>
          <w:p w14:paraId="258D896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委員廖婉汝</w:t>
            </w:r>
          </w:p>
          <w:p w14:paraId="41DD4F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62407B0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5EBBBF7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63ACF37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D0642F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89A5F63" w14:textId="77777777" w:rsidTr="00974FB5">
        <w:tc>
          <w:tcPr>
            <w:tcW w:w="595" w:type="dxa"/>
            <w:shd w:val="clear" w:color="auto" w:fill="auto"/>
          </w:tcPr>
          <w:p w14:paraId="79E2D34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134</w:t>
            </w:r>
          </w:p>
        </w:tc>
        <w:tc>
          <w:tcPr>
            <w:tcW w:w="2694" w:type="dxa"/>
            <w:shd w:val="clear" w:color="auto" w:fill="auto"/>
          </w:tcPr>
          <w:p w14:paraId="0DD0EEC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中華民國刑法第一百五十條條文修正草案（修正重點：修正「聚眾鬥毆罪」，增加「意圖擾亂公共秩序」等文字，讓構成違法要件更完整。）</w:t>
            </w:r>
          </w:p>
        </w:tc>
        <w:tc>
          <w:tcPr>
            <w:tcW w:w="1905" w:type="dxa"/>
            <w:shd w:val="clear" w:color="auto" w:fill="auto"/>
          </w:tcPr>
          <w:p w14:paraId="23658FA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委員林思銘</w:t>
            </w:r>
          </w:p>
          <w:p w14:paraId="0A45C6F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31EE2F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19A97EB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166ECFE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42B9FB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946B6A2" w14:textId="77777777" w:rsidTr="00974FB5">
        <w:tc>
          <w:tcPr>
            <w:tcW w:w="595" w:type="dxa"/>
            <w:shd w:val="clear" w:color="auto" w:fill="auto"/>
          </w:tcPr>
          <w:p w14:paraId="254A05C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135</w:t>
            </w:r>
          </w:p>
        </w:tc>
        <w:tc>
          <w:tcPr>
            <w:tcW w:w="2694" w:type="dxa"/>
            <w:shd w:val="clear" w:color="auto" w:fill="auto"/>
          </w:tcPr>
          <w:p w14:paraId="23CC483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中華民國刑法第一百六十八條條文修正草案(修正重點：引進專家證人制度，並規定具結而為虛偽陳述之專家證人亦負偽證罪之責。)</w:t>
            </w:r>
          </w:p>
        </w:tc>
        <w:tc>
          <w:tcPr>
            <w:tcW w:w="1905" w:type="dxa"/>
            <w:shd w:val="clear" w:color="auto" w:fill="auto"/>
          </w:tcPr>
          <w:p w14:paraId="6EFBEE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51F2DF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6D7F0E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111.12.16</w:t>
            </w:r>
          </w:p>
          <w:p w14:paraId="3E5012D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（10-6-12）</w:t>
            </w:r>
          </w:p>
        </w:tc>
        <w:tc>
          <w:tcPr>
            <w:tcW w:w="1581" w:type="dxa"/>
            <w:shd w:val="clear" w:color="auto" w:fill="auto"/>
          </w:tcPr>
          <w:p w14:paraId="20EEAB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F39037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84DC611" w14:textId="77777777" w:rsidTr="00974FB5">
        <w:tc>
          <w:tcPr>
            <w:tcW w:w="595" w:type="dxa"/>
            <w:shd w:val="clear" w:color="auto" w:fill="auto"/>
          </w:tcPr>
          <w:p w14:paraId="38D94CE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136</w:t>
            </w:r>
          </w:p>
        </w:tc>
        <w:tc>
          <w:tcPr>
            <w:tcW w:w="2694" w:type="dxa"/>
            <w:shd w:val="clear" w:color="auto" w:fill="auto"/>
          </w:tcPr>
          <w:p w14:paraId="0369056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中華民國刑法第一百三十五條、第一百三十六條及第一百四十條條文</w:t>
            </w:r>
            <w:r w:rsidRPr="00026143">
              <w:rPr>
                <w:rFonts w:ascii="標楷體" w:eastAsia="標楷體" w:hAnsi="標楷體"/>
                <w:bCs/>
                <w:color w:val="000000" w:themeColor="text1"/>
              </w:rPr>
              <w:lastRenderedPageBreak/>
              <w:t>修正草案(修正重點：鑑於近期妨害公務案件頻傳，導致公務員於執行職務之風險及人身安全之威脅大幅升高，爰提案修正提高法定刑及增設得併科罰金之規定。)</w:t>
            </w:r>
          </w:p>
        </w:tc>
        <w:tc>
          <w:tcPr>
            <w:tcW w:w="1905" w:type="dxa"/>
            <w:shd w:val="clear" w:color="auto" w:fill="auto"/>
          </w:tcPr>
          <w:p w14:paraId="6F010A1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委員陳亭妃</w:t>
            </w:r>
          </w:p>
          <w:p w14:paraId="15EC439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3E98C7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51BE62D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（10-6-13）</w:t>
            </w:r>
          </w:p>
        </w:tc>
        <w:tc>
          <w:tcPr>
            <w:tcW w:w="1581" w:type="dxa"/>
            <w:shd w:val="clear" w:color="auto" w:fill="auto"/>
          </w:tcPr>
          <w:p w14:paraId="0FE268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7BD5E8B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4AAAA38" w14:textId="77777777" w:rsidTr="00974FB5">
        <w:tc>
          <w:tcPr>
            <w:tcW w:w="595" w:type="dxa"/>
            <w:shd w:val="clear" w:color="auto" w:fill="auto"/>
          </w:tcPr>
          <w:p w14:paraId="3AB4515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137</w:t>
            </w:r>
          </w:p>
        </w:tc>
        <w:tc>
          <w:tcPr>
            <w:tcW w:w="2694" w:type="dxa"/>
            <w:shd w:val="clear" w:color="auto" w:fill="auto"/>
          </w:tcPr>
          <w:p w14:paraId="32A073C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中華民國刑法施行法刪除第九條條文草案(刪除重點：配合司法院釋字第791號解釋，刪除中華民國刑法第239條通姦罪，一併刪除該相關條文。)</w:t>
            </w:r>
          </w:p>
        </w:tc>
        <w:tc>
          <w:tcPr>
            <w:tcW w:w="1905" w:type="dxa"/>
            <w:shd w:val="clear" w:color="auto" w:fill="auto"/>
          </w:tcPr>
          <w:p w14:paraId="508693F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委員劉櫂豪</w:t>
            </w:r>
          </w:p>
          <w:p w14:paraId="55E6B86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0F3C38A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1457441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tc>
        <w:tc>
          <w:tcPr>
            <w:tcW w:w="1581" w:type="dxa"/>
            <w:shd w:val="clear" w:color="auto" w:fill="auto"/>
          </w:tcPr>
          <w:p w14:paraId="72DB771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873FC8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42EA5F9" w14:textId="77777777" w:rsidTr="00974FB5">
        <w:tc>
          <w:tcPr>
            <w:tcW w:w="595" w:type="dxa"/>
            <w:shd w:val="clear" w:color="auto" w:fill="auto"/>
          </w:tcPr>
          <w:p w14:paraId="6250F98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138</w:t>
            </w:r>
          </w:p>
        </w:tc>
        <w:tc>
          <w:tcPr>
            <w:tcW w:w="2694" w:type="dxa"/>
            <w:shd w:val="clear" w:color="auto" w:fill="auto"/>
          </w:tcPr>
          <w:p w14:paraId="5781084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保安處分執行法刪除第八十條條文草案（刪除重點：配合刑法§91、285已刪除，爰刪除本條。）</w:t>
            </w:r>
          </w:p>
        </w:tc>
        <w:tc>
          <w:tcPr>
            <w:tcW w:w="1905" w:type="dxa"/>
            <w:shd w:val="clear" w:color="auto" w:fill="auto"/>
          </w:tcPr>
          <w:p w14:paraId="0C26948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委員周春米</w:t>
            </w:r>
          </w:p>
          <w:p w14:paraId="3F1C12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32FD7E3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109.12.30 </w:t>
            </w:r>
          </w:p>
          <w:p w14:paraId="41E061D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（10-2-11）</w:t>
            </w:r>
          </w:p>
        </w:tc>
        <w:tc>
          <w:tcPr>
            <w:tcW w:w="1581" w:type="dxa"/>
            <w:shd w:val="clear" w:color="auto" w:fill="auto"/>
          </w:tcPr>
          <w:p w14:paraId="58166F1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FB0941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414E358" w14:textId="77777777" w:rsidTr="00974FB5">
        <w:tc>
          <w:tcPr>
            <w:tcW w:w="595" w:type="dxa"/>
            <w:shd w:val="clear" w:color="auto" w:fill="auto"/>
          </w:tcPr>
          <w:p w14:paraId="6CA23D7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139</w:t>
            </w:r>
          </w:p>
        </w:tc>
        <w:tc>
          <w:tcPr>
            <w:tcW w:w="2694" w:type="dxa"/>
            <w:shd w:val="clear" w:color="auto" w:fill="auto"/>
          </w:tcPr>
          <w:p w14:paraId="271CC94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保安處分執行法部分條文修正草案(修正§2、4-1、6、10；刪除第五章、§52~54、54-1、55、56、56-1、57、57-1、58~63、73。修正重點：鑑於強制工作之規定經司法院釋字第812號解釋，宣告違反憲法第23條比例原則，且與憲法第8條保障人身自由之意旨不符，爰提案修正。)</w:t>
            </w:r>
          </w:p>
        </w:tc>
        <w:tc>
          <w:tcPr>
            <w:tcW w:w="1905" w:type="dxa"/>
            <w:shd w:val="clear" w:color="auto" w:fill="auto"/>
          </w:tcPr>
          <w:p w14:paraId="1663B5D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委員吳玉琴</w:t>
            </w:r>
          </w:p>
          <w:p w14:paraId="0A43C04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64349FC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111.03.11 </w:t>
            </w:r>
          </w:p>
          <w:p w14:paraId="51E2D81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（10-5-3）</w:t>
            </w:r>
          </w:p>
        </w:tc>
        <w:tc>
          <w:tcPr>
            <w:tcW w:w="1581" w:type="dxa"/>
            <w:shd w:val="clear" w:color="auto" w:fill="auto"/>
          </w:tcPr>
          <w:p w14:paraId="068967D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061696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BE1CFFC" w14:textId="77777777" w:rsidTr="00974FB5">
        <w:tc>
          <w:tcPr>
            <w:tcW w:w="595" w:type="dxa"/>
            <w:shd w:val="clear" w:color="auto" w:fill="auto"/>
          </w:tcPr>
          <w:p w14:paraId="00625B6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140</w:t>
            </w:r>
          </w:p>
        </w:tc>
        <w:tc>
          <w:tcPr>
            <w:tcW w:w="2694" w:type="dxa"/>
            <w:shd w:val="clear" w:color="auto" w:fill="auto"/>
          </w:tcPr>
          <w:p w14:paraId="5859F76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1.毒品危害防制條例增訂第十七條之一條文草案（增訂重點：鼓勵被告自白及供出為栽種毒品種子來源，並明定減刑相關規定。）</w:t>
            </w:r>
          </w:p>
        </w:tc>
        <w:tc>
          <w:tcPr>
            <w:tcW w:w="1905" w:type="dxa"/>
            <w:shd w:val="clear" w:color="auto" w:fill="auto"/>
          </w:tcPr>
          <w:p w14:paraId="0E751AF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委員林為洲</w:t>
            </w:r>
          </w:p>
          <w:p w14:paraId="3D9830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1296DAB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109.03.20 </w:t>
            </w:r>
          </w:p>
          <w:p w14:paraId="405239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（10-1-5）</w:t>
            </w:r>
          </w:p>
        </w:tc>
        <w:tc>
          <w:tcPr>
            <w:tcW w:w="1581" w:type="dxa"/>
            <w:shd w:val="clear" w:color="auto" w:fill="auto"/>
          </w:tcPr>
          <w:p w14:paraId="2D6E665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141AF86" w14:textId="5DD7A25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7FF7AE2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65BA8534" w14:textId="77777777" w:rsidTr="00974FB5">
        <w:tc>
          <w:tcPr>
            <w:tcW w:w="595" w:type="dxa"/>
            <w:shd w:val="clear" w:color="auto" w:fill="auto"/>
          </w:tcPr>
          <w:p w14:paraId="00F4D61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141</w:t>
            </w:r>
          </w:p>
        </w:tc>
        <w:tc>
          <w:tcPr>
            <w:tcW w:w="2694" w:type="dxa"/>
            <w:shd w:val="clear" w:color="auto" w:fill="auto"/>
          </w:tcPr>
          <w:p w14:paraId="4BC5ADC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2.毒品危害防制條例增訂第五條之一條文草案（增訂重點：成年人教唆、幫助或利用未滿十四歲之人犯前二條之罪或與之共同實施犯罪者，依各該條項規定加重其刑至三分之二。）</w:t>
            </w:r>
          </w:p>
        </w:tc>
        <w:tc>
          <w:tcPr>
            <w:tcW w:w="1905" w:type="dxa"/>
            <w:shd w:val="clear" w:color="auto" w:fill="auto"/>
          </w:tcPr>
          <w:p w14:paraId="79A9B14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委員羅致政</w:t>
            </w:r>
          </w:p>
          <w:p w14:paraId="7E03806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676200D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109.03.27 </w:t>
            </w:r>
          </w:p>
          <w:p w14:paraId="35C79A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（10-1-6）</w:t>
            </w:r>
          </w:p>
        </w:tc>
        <w:tc>
          <w:tcPr>
            <w:tcW w:w="1581" w:type="dxa"/>
            <w:shd w:val="clear" w:color="auto" w:fill="auto"/>
          </w:tcPr>
          <w:p w14:paraId="458916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1DFB795" w14:textId="73BE667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4E92830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5126ECBB" w14:textId="77777777" w:rsidTr="00974FB5">
        <w:tc>
          <w:tcPr>
            <w:tcW w:w="595" w:type="dxa"/>
            <w:shd w:val="clear" w:color="auto" w:fill="auto"/>
          </w:tcPr>
          <w:p w14:paraId="3F9502E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142</w:t>
            </w:r>
          </w:p>
        </w:tc>
        <w:tc>
          <w:tcPr>
            <w:tcW w:w="2694" w:type="dxa"/>
            <w:shd w:val="clear" w:color="auto" w:fill="auto"/>
          </w:tcPr>
          <w:p w14:paraId="529DC1D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3.毒品危害防制條例第</w:t>
            </w:r>
            <w:r w:rsidRPr="00026143">
              <w:rPr>
                <w:rFonts w:ascii="標楷體" w:eastAsia="標楷體" w:hAnsi="標楷體"/>
                <w:bCs/>
                <w:color w:val="000000" w:themeColor="text1"/>
              </w:rPr>
              <w:lastRenderedPageBreak/>
              <w:t>九條條文修正草案（修正重點：提高成年人對未成年人提供毒品使人施用者之加重刑度。）</w:t>
            </w:r>
          </w:p>
        </w:tc>
        <w:tc>
          <w:tcPr>
            <w:tcW w:w="1905" w:type="dxa"/>
            <w:shd w:val="clear" w:color="auto" w:fill="auto"/>
          </w:tcPr>
          <w:p w14:paraId="0922587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委員羅致政</w:t>
            </w:r>
          </w:p>
          <w:p w14:paraId="05A843F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等16人 </w:t>
            </w:r>
          </w:p>
          <w:p w14:paraId="3BAB5D1B" w14:textId="77777777" w:rsidR="0093364B"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109.03.27 </w:t>
            </w:r>
          </w:p>
          <w:p w14:paraId="23433A50" w14:textId="6FC03482"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（10-1-6）</w:t>
            </w:r>
          </w:p>
        </w:tc>
        <w:tc>
          <w:tcPr>
            <w:tcW w:w="1581" w:type="dxa"/>
            <w:shd w:val="clear" w:color="auto" w:fill="auto"/>
          </w:tcPr>
          <w:p w14:paraId="6520C6A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7443ED36" w14:textId="2630D0F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6CF0137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(10-5-13)報告及詢答完畢，另定期繼續審查。</w:t>
            </w:r>
          </w:p>
        </w:tc>
      </w:tr>
      <w:tr w:rsidR="00EC13B7" w:rsidRPr="00026143" w14:paraId="0304D533" w14:textId="77777777" w:rsidTr="00974FB5">
        <w:tc>
          <w:tcPr>
            <w:tcW w:w="595" w:type="dxa"/>
            <w:shd w:val="clear" w:color="auto" w:fill="auto"/>
          </w:tcPr>
          <w:p w14:paraId="5D54A69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143</w:t>
            </w:r>
          </w:p>
        </w:tc>
        <w:tc>
          <w:tcPr>
            <w:tcW w:w="2694" w:type="dxa"/>
            <w:shd w:val="clear" w:color="auto" w:fill="auto"/>
          </w:tcPr>
          <w:p w14:paraId="1386B9F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毒品危害防制條例部分條文修正草案（修正§4、9、15、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905" w:type="dxa"/>
            <w:shd w:val="clear" w:color="auto" w:fill="auto"/>
          </w:tcPr>
          <w:p w14:paraId="3299999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49A613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109.04.17 </w:t>
            </w:r>
          </w:p>
          <w:p w14:paraId="034D4A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（10-1-9）</w:t>
            </w:r>
          </w:p>
        </w:tc>
        <w:tc>
          <w:tcPr>
            <w:tcW w:w="1581" w:type="dxa"/>
            <w:shd w:val="clear" w:color="auto" w:fill="auto"/>
          </w:tcPr>
          <w:p w14:paraId="472F35D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FC46A93" w14:textId="3FC31E9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5D39873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4AB6E0E4" w14:textId="77777777" w:rsidTr="00974FB5">
        <w:tc>
          <w:tcPr>
            <w:tcW w:w="595" w:type="dxa"/>
            <w:shd w:val="clear" w:color="auto" w:fill="auto"/>
          </w:tcPr>
          <w:p w14:paraId="6B73A9F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144</w:t>
            </w:r>
          </w:p>
        </w:tc>
        <w:tc>
          <w:tcPr>
            <w:tcW w:w="2694" w:type="dxa"/>
            <w:shd w:val="clear" w:color="auto" w:fill="auto"/>
          </w:tcPr>
          <w:p w14:paraId="4F4B670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5.毒品危害防制條例第十一條之一條文修正草案（修正重點：持有第三級、第四級毒品及製造或施用毒品之器具並無刑責之虞，應處六個月以下有期徒刑。）</w:t>
            </w:r>
          </w:p>
        </w:tc>
        <w:tc>
          <w:tcPr>
            <w:tcW w:w="1905" w:type="dxa"/>
            <w:shd w:val="clear" w:color="auto" w:fill="auto"/>
          </w:tcPr>
          <w:p w14:paraId="1ABC7EA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委員羅致政</w:t>
            </w:r>
          </w:p>
          <w:p w14:paraId="4C5320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C05A2C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109.03.27 </w:t>
            </w:r>
          </w:p>
          <w:p w14:paraId="6F429CF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（10-1-6）</w:t>
            </w:r>
          </w:p>
        </w:tc>
        <w:tc>
          <w:tcPr>
            <w:tcW w:w="1581" w:type="dxa"/>
            <w:shd w:val="clear" w:color="auto" w:fill="auto"/>
          </w:tcPr>
          <w:p w14:paraId="698D50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F38D7FB" w14:textId="0F7C3FAC"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12C2800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4645DF40" w14:textId="77777777" w:rsidTr="00974FB5">
        <w:tc>
          <w:tcPr>
            <w:tcW w:w="595" w:type="dxa"/>
            <w:shd w:val="clear" w:color="auto" w:fill="auto"/>
          </w:tcPr>
          <w:p w14:paraId="64DE5BD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145</w:t>
            </w:r>
          </w:p>
        </w:tc>
        <w:tc>
          <w:tcPr>
            <w:tcW w:w="2694" w:type="dxa"/>
            <w:shd w:val="clear" w:color="auto" w:fill="auto"/>
          </w:tcPr>
          <w:p w14:paraId="4175950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6.毒品危害防制條例第十一條之一條文修正草案（修正重點：針對無正當理由持有或施用第三級或第四級毒品者，增訂刑責，並要求吸毒少年應接受毒品危害講習，五年內三次累犯者，其家長應處罰鍰。）</w:t>
            </w:r>
          </w:p>
        </w:tc>
        <w:tc>
          <w:tcPr>
            <w:tcW w:w="1905" w:type="dxa"/>
            <w:shd w:val="clear" w:color="auto" w:fill="auto"/>
          </w:tcPr>
          <w:p w14:paraId="56E407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委員翁重鈞</w:t>
            </w:r>
          </w:p>
          <w:p w14:paraId="04EED30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592205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109.05.22 </w:t>
            </w:r>
          </w:p>
          <w:p w14:paraId="0943E45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（10-1-14）</w:t>
            </w:r>
          </w:p>
        </w:tc>
        <w:tc>
          <w:tcPr>
            <w:tcW w:w="1581" w:type="dxa"/>
            <w:shd w:val="clear" w:color="auto" w:fill="auto"/>
          </w:tcPr>
          <w:p w14:paraId="0C9C3AB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C796FD2" w14:textId="31E1631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59C3C41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36834C86" w14:textId="77777777" w:rsidTr="00974FB5">
        <w:tc>
          <w:tcPr>
            <w:tcW w:w="595" w:type="dxa"/>
            <w:shd w:val="clear" w:color="auto" w:fill="auto"/>
          </w:tcPr>
          <w:p w14:paraId="019265A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146</w:t>
            </w:r>
          </w:p>
        </w:tc>
        <w:tc>
          <w:tcPr>
            <w:tcW w:w="2694" w:type="dxa"/>
            <w:shd w:val="clear" w:color="auto" w:fill="auto"/>
          </w:tcPr>
          <w:p w14:paraId="6851A0F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7.毒品危害防制條例第十一條之一條文修正草案（修正重點：無正當</w:t>
            </w:r>
            <w:r w:rsidRPr="00026143">
              <w:rPr>
                <w:rFonts w:ascii="標楷體" w:eastAsia="標楷體" w:hAnsi="標楷體"/>
                <w:bCs/>
                <w:color w:val="000000" w:themeColor="text1"/>
              </w:rPr>
              <w:lastRenderedPageBreak/>
              <w:t>理由持有或施用第三級或第四級毒品者，處六個月以下有期徒刑。）</w:t>
            </w:r>
          </w:p>
        </w:tc>
        <w:tc>
          <w:tcPr>
            <w:tcW w:w="1905" w:type="dxa"/>
            <w:shd w:val="clear" w:color="auto" w:fill="auto"/>
          </w:tcPr>
          <w:p w14:paraId="1E99D90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委員謝衣</w:t>
            </w:r>
            <w:r w:rsidRPr="00026143">
              <w:rPr>
                <w:rFonts w:ascii="標楷體" w:eastAsia="標楷體" w:hAnsi="標楷體" w:hint="eastAsia"/>
                <w:bCs/>
                <w:color w:val="000000" w:themeColor="text1"/>
              </w:rPr>
              <w:t>鳯</w:t>
            </w:r>
          </w:p>
          <w:p w14:paraId="0F280C6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等</w:t>
            </w:r>
            <w:r w:rsidRPr="00026143">
              <w:rPr>
                <w:rFonts w:ascii="標楷體" w:eastAsia="標楷體" w:hAnsi="標楷體"/>
                <w:bCs/>
                <w:color w:val="000000" w:themeColor="text1"/>
              </w:rPr>
              <w:t xml:space="preserve">18人 </w:t>
            </w:r>
          </w:p>
          <w:p w14:paraId="0E6FC47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109.05.29 </w:t>
            </w:r>
          </w:p>
          <w:p w14:paraId="70D12AA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（10-1-15）</w:t>
            </w:r>
          </w:p>
        </w:tc>
        <w:tc>
          <w:tcPr>
            <w:tcW w:w="1581" w:type="dxa"/>
            <w:shd w:val="clear" w:color="auto" w:fill="auto"/>
          </w:tcPr>
          <w:p w14:paraId="235D1FB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92FCC78" w14:textId="4BFFA8B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09C3C5A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w:t>
            </w:r>
            <w:r w:rsidRPr="00026143">
              <w:rPr>
                <w:rFonts w:ascii="標楷體" w:eastAsia="標楷體" w:hAnsi="標楷體"/>
                <w:bCs/>
                <w:color w:val="000000" w:themeColor="text1"/>
              </w:rPr>
              <w:lastRenderedPageBreak/>
              <w:t>定期繼續審查。</w:t>
            </w:r>
          </w:p>
        </w:tc>
      </w:tr>
      <w:tr w:rsidR="00EC13B7" w:rsidRPr="00026143" w14:paraId="44EF15CA" w14:textId="77777777" w:rsidTr="00974FB5">
        <w:tc>
          <w:tcPr>
            <w:tcW w:w="595" w:type="dxa"/>
            <w:shd w:val="clear" w:color="auto" w:fill="auto"/>
          </w:tcPr>
          <w:p w14:paraId="661B7FE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147</w:t>
            </w:r>
          </w:p>
        </w:tc>
        <w:tc>
          <w:tcPr>
            <w:tcW w:w="2694" w:type="dxa"/>
            <w:shd w:val="clear" w:color="auto" w:fill="auto"/>
          </w:tcPr>
          <w:p w14:paraId="4805B45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8.毒品危害防制條例第十一條之一條文修正草案（修正重點：針對無正當理由持有或施用第三級或第四級毒品者，增訂刑責處六個月以下有期徒刑。）</w:t>
            </w:r>
          </w:p>
        </w:tc>
        <w:tc>
          <w:tcPr>
            <w:tcW w:w="1905" w:type="dxa"/>
            <w:shd w:val="clear" w:color="auto" w:fill="auto"/>
          </w:tcPr>
          <w:p w14:paraId="1DE4C3D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委員許智傑</w:t>
            </w:r>
          </w:p>
          <w:p w14:paraId="6C395B6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等30人 </w:t>
            </w:r>
          </w:p>
          <w:p w14:paraId="6F7471E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6141C17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32A8E93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3855CE0" w14:textId="2813A2A5"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7E48ABA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7E79B042" w14:textId="77777777" w:rsidTr="00974FB5">
        <w:tc>
          <w:tcPr>
            <w:tcW w:w="595" w:type="dxa"/>
            <w:shd w:val="clear" w:color="auto" w:fill="auto"/>
          </w:tcPr>
          <w:p w14:paraId="2323CFA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148</w:t>
            </w:r>
          </w:p>
        </w:tc>
        <w:tc>
          <w:tcPr>
            <w:tcW w:w="2694" w:type="dxa"/>
            <w:shd w:val="clear" w:color="auto" w:fill="auto"/>
          </w:tcPr>
          <w:p w14:paraId="2FE241B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9.毒品危害防制條例第十一條之一條文修正草案（修正重點：針對無正當理由持有或施用第三級或第四級毒品者，增訂刑責。）</w:t>
            </w:r>
          </w:p>
        </w:tc>
        <w:tc>
          <w:tcPr>
            <w:tcW w:w="1905" w:type="dxa"/>
            <w:shd w:val="clear" w:color="auto" w:fill="auto"/>
          </w:tcPr>
          <w:p w14:paraId="1600C41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委員蘇治芬</w:t>
            </w:r>
          </w:p>
          <w:p w14:paraId="36700E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等28人 </w:t>
            </w:r>
          </w:p>
          <w:p w14:paraId="03E87A4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08A69C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7ACEBDA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748AAC7" w14:textId="6A7D3F26"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09CC523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04AC886F" w14:textId="77777777" w:rsidTr="00974FB5">
        <w:tc>
          <w:tcPr>
            <w:tcW w:w="595" w:type="dxa"/>
            <w:shd w:val="clear" w:color="auto" w:fill="auto"/>
          </w:tcPr>
          <w:p w14:paraId="1D6BD65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149</w:t>
            </w:r>
          </w:p>
        </w:tc>
        <w:tc>
          <w:tcPr>
            <w:tcW w:w="2694" w:type="dxa"/>
            <w:shd w:val="clear" w:color="auto" w:fill="auto"/>
          </w:tcPr>
          <w:p w14:paraId="4D0B16A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毒品危害防制條例第四條及第六條條文修正草案(修正重點：針對製造、運輸、販賣第一至四級毒品者，以及以強暴、脅迫、欺瞞或其他非法之方法使人販售及施用第一至四級毒品者，一併提出罰金之處分加重和再犯加重處分。)</w:t>
            </w:r>
          </w:p>
        </w:tc>
        <w:tc>
          <w:tcPr>
            <w:tcW w:w="1905" w:type="dxa"/>
            <w:shd w:val="clear" w:color="auto" w:fill="auto"/>
          </w:tcPr>
          <w:p w14:paraId="3D7019D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109B666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4B36FF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62DABFE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7CFFE53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2660D92" w14:textId="64C03FE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202348C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733F48C4" w14:textId="77777777" w:rsidTr="00974FB5">
        <w:tc>
          <w:tcPr>
            <w:tcW w:w="595" w:type="dxa"/>
            <w:shd w:val="clear" w:color="auto" w:fill="auto"/>
          </w:tcPr>
          <w:p w14:paraId="69FAAED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150</w:t>
            </w:r>
          </w:p>
        </w:tc>
        <w:tc>
          <w:tcPr>
            <w:tcW w:w="2694" w:type="dxa"/>
            <w:shd w:val="clear" w:color="auto" w:fill="auto"/>
          </w:tcPr>
          <w:p w14:paraId="51114D0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11.毒品危害防制條例第三十一條之一條文修正草案(修正重點：修正特定營業場所指派人員參與毒害防制訓練之比例、人員名冊之備置週期、罰鍰，以及公布最近查獲所定情節重大之特定營業場所名單期限。)</w:t>
            </w:r>
          </w:p>
        </w:tc>
        <w:tc>
          <w:tcPr>
            <w:tcW w:w="1905" w:type="dxa"/>
            <w:shd w:val="clear" w:color="auto" w:fill="auto"/>
          </w:tcPr>
          <w:p w14:paraId="1FC431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44B3700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2DE7C4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1C51F2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0ED1026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B9292C8" w14:textId="5306EB2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7115FAB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60F27BE4" w14:textId="77777777" w:rsidTr="00974FB5">
        <w:tc>
          <w:tcPr>
            <w:tcW w:w="595" w:type="dxa"/>
            <w:shd w:val="clear" w:color="auto" w:fill="auto"/>
          </w:tcPr>
          <w:p w14:paraId="5DD779C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151</w:t>
            </w:r>
          </w:p>
        </w:tc>
        <w:tc>
          <w:tcPr>
            <w:tcW w:w="2694" w:type="dxa"/>
            <w:shd w:val="clear" w:color="auto" w:fill="auto"/>
          </w:tcPr>
          <w:p w14:paraId="2E674A1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12.毒品危害防制條例第四條及第六條條文修正草案（修正重點：提高製造、運輸、販賣毒品之罰金額度，及增訂再犯之處分；提高以強暴、脅迫、欺瞞或其他非法之方法使人販賣、施用毒品之罰金額度，</w:t>
            </w:r>
            <w:r w:rsidRPr="00026143">
              <w:rPr>
                <w:rFonts w:ascii="標楷體" w:eastAsia="標楷體" w:hAnsi="標楷體"/>
                <w:bCs/>
                <w:color w:val="000000" w:themeColor="text1"/>
              </w:rPr>
              <w:lastRenderedPageBreak/>
              <w:t>及增訂再犯之處分。）</w:t>
            </w:r>
          </w:p>
        </w:tc>
        <w:tc>
          <w:tcPr>
            <w:tcW w:w="1905" w:type="dxa"/>
            <w:shd w:val="clear" w:color="auto" w:fill="auto"/>
          </w:tcPr>
          <w:p w14:paraId="4B913D4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委員費鴻泰</w:t>
            </w:r>
          </w:p>
          <w:p w14:paraId="1DE985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22B7E5A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110.11.26 </w:t>
            </w:r>
          </w:p>
          <w:p w14:paraId="03F1F6B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（10-4-11）</w:t>
            </w:r>
          </w:p>
        </w:tc>
        <w:tc>
          <w:tcPr>
            <w:tcW w:w="1581" w:type="dxa"/>
            <w:shd w:val="clear" w:color="auto" w:fill="auto"/>
          </w:tcPr>
          <w:p w14:paraId="749168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102FA9F" w14:textId="1D7612F4"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本會111.4.21</w:t>
            </w:r>
          </w:p>
          <w:p w14:paraId="1A55999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(10-5-13)報告及詢答完畢，另定期繼續審查。</w:t>
            </w:r>
          </w:p>
        </w:tc>
      </w:tr>
      <w:tr w:rsidR="00EC13B7" w:rsidRPr="00026143" w14:paraId="15950D16" w14:textId="77777777" w:rsidTr="00974FB5">
        <w:tc>
          <w:tcPr>
            <w:tcW w:w="595" w:type="dxa"/>
            <w:shd w:val="clear" w:color="auto" w:fill="auto"/>
          </w:tcPr>
          <w:p w14:paraId="5187B69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152</w:t>
            </w:r>
          </w:p>
        </w:tc>
        <w:tc>
          <w:tcPr>
            <w:tcW w:w="2694" w:type="dxa"/>
            <w:shd w:val="clear" w:color="auto" w:fill="auto"/>
          </w:tcPr>
          <w:p w14:paraId="5E7493B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13.毒品危害防制條例第九條條文修正草案(修正重點：增訂「以學校為犯罪實行地域」加重其刑之規定，杜絕毒品濫用之亂象。)</w:t>
            </w:r>
          </w:p>
        </w:tc>
        <w:tc>
          <w:tcPr>
            <w:tcW w:w="1905" w:type="dxa"/>
            <w:shd w:val="clear" w:color="auto" w:fill="auto"/>
          </w:tcPr>
          <w:p w14:paraId="3954FED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委員余天</w:t>
            </w:r>
          </w:p>
          <w:p w14:paraId="0CC28DD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1EC899B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10BD0F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400EC9F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267077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51242CC" w14:textId="77777777" w:rsidTr="00974FB5">
        <w:tc>
          <w:tcPr>
            <w:tcW w:w="595" w:type="dxa"/>
            <w:shd w:val="clear" w:color="auto" w:fill="auto"/>
          </w:tcPr>
          <w:p w14:paraId="1223BDB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153</w:t>
            </w:r>
          </w:p>
        </w:tc>
        <w:tc>
          <w:tcPr>
            <w:tcW w:w="2694" w:type="dxa"/>
            <w:shd w:val="clear" w:color="auto" w:fill="auto"/>
          </w:tcPr>
          <w:p w14:paraId="0031DC3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毒品危害防制條例第三十三條及第三十三條之一條文修正草案(修正重點：更新毒品檢驗方法之規定，將毛髮檢驗彈性納入毒品檢驗之項目，授權由行政院重新修訂採驗辦法。)</w:t>
            </w:r>
          </w:p>
        </w:tc>
        <w:tc>
          <w:tcPr>
            <w:tcW w:w="1905" w:type="dxa"/>
            <w:shd w:val="clear" w:color="auto" w:fill="auto"/>
          </w:tcPr>
          <w:p w14:paraId="13D9EF7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委員陳以信</w:t>
            </w:r>
          </w:p>
          <w:p w14:paraId="2AC3842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29B122D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111.05.06 </w:t>
            </w:r>
          </w:p>
          <w:p w14:paraId="0B9356C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（10-5-11）</w:t>
            </w:r>
          </w:p>
        </w:tc>
        <w:tc>
          <w:tcPr>
            <w:tcW w:w="1581" w:type="dxa"/>
            <w:shd w:val="clear" w:color="auto" w:fill="auto"/>
          </w:tcPr>
          <w:p w14:paraId="2E749F4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B0F4D3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AC0D6A1" w14:textId="77777777" w:rsidTr="00974FB5">
        <w:tc>
          <w:tcPr>
            <w:tcW w:w="595" w:type="dxa"/>
            <w:shd w:val="clear" w:color="auto" w:fill="auto"/>
          </w:tcPr>
          <w:p w14:paraId="489963B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154</w:t>
            </w:r>
          </w:p>
        </w:tc>
        <w:tc>
          <w:tcPr>
            <w:tcW w:w="2694" w:type="dxa"/>
            <w:shd w:val="clear" w:color="auto" w:fill="auto"/>
          </w:tcPr>
          <w:p w14:paraId="3F92B0D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民法第二百三十三條條文修正草案（修正重點：明定訴訟期間已逾各級法院所訂辦案期限，且遲延非可歸責於債務人者，不應責由債務人負遲延責任。）</w:t>
            </w:r>
          </w:p>
        </w:tc>
        <w:tc>
          <w:tcPr>
            <w:tcW w:w="1905" w:type="dxa"/>
            <w:shd w:val="clear" w:color="auto" w:fill="auto"/>
          </w:tcPr>
          <w:p w14:paraId="799696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委員賴士葆</w:t>
            </w:r>
          </w:p>
          <w:p w14:paraId="2129AB4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等27人 </w:t>
            </w:r>
          </w:p>
          <w:p w14:paraId="569C122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109.03.13 </w:t>
            </w:r>
          </w:p>
          <w:p w14:paraId="3C71B3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（10-1-4）</w:t>
            </w:r>
          </w:p>
        </w:tc>
        <w:tc>
          <w:tcPr>
            <w:tcW w:w="1581" w:type="dxa"/>
            <w:shd w:val="clear" w:color="auto" w:fill="auto"/>
          </w:tcPr>
          <w:p w14:paraId="7100BC1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562AB0E" w14:textId="4BC8FB2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本會109.4.22</w:t>
            </w:r>
          </w:p>
          <w:p w14:paraId="0548F3E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(10-1-18)報告及詢答完畢，另定期繼續討論。</w:t>
            </w:r>
          </w:p>
        </w:tc>
      </w:tr>
      <w:tr w:rsidR="00EC13B7" w:rsidRPr="00026143" w14:paraId="7A2F9A78" w14:textId="77777777" w:rsidTr="00974FB5">
        <w:tc>
          <w:tcPr>
            <w:tcW w:w="595" w:type="dxa"/>
            <w:shd w:val="clear" w:color="auto" w:fill="auto"/>
          </w:tcPr>
          <w:p w14:paraId="32F6BAC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155</w:t>
            </w:r>
          </w:p>
        </w:tc>
        <w:tc>
          <w:tcPr>
            <w:tcW w:w="2694" w:type="dxa"/>
            <w:shd w:val="clear" w:color="auto" w:fill="auto"/>
          </w:tcPr>
          <w:p w14:paraId="3E691BE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民法第三百二十三條條文修正草案（修正重點：明定債務人充抵費用之次序，於先抵充原本後，次充費用，次充利息，減輕債務人之負擔。）</w:t>
            </w:r>
          </w:p>
        </w:tc>
        <w:tc>
          <w:tcPr>
            <w:tcW w:w="1905" w:type="dxa"/>
            <w:shd w:val="clear" w:color="auto" w:fill="auto"/>
          </w:tcPr>
          <w:p w14:paraId="6160F13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委員蔡易餘</w:t>
            </w:r>
          </w:p>
          <w:p w14:paraId="5F12CBE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6F265A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109.05.08 </w:t>
            </w:r>
          </w:p>
          <w:p w14:paraId="2D68EAA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（10-1-12）</w:t>
            </w:r>
          </w:p>
        </w:tc>
        <w:tc>
          <w:tcPr>
            <w:tcW w:w="1581" w:type="dxa"/>
            <w:shd w:val="clear" w:color="auto" w:fill="auto"/>
          </w:tcPr>
          <w:p w14:paraId="2D000D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61762A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9DBB378" w14:textId="77777777" w:rsidTr="00974FB5">
        <w:tc>
          <w:tcPr>
            <w:tcW w:w="595" w:type="dxa"/>
            <w:shd w:val="clear" w:color="auto" w:fill="auto"/>
          </w:tcPr>
          <w:p w14:paraId="0F45E1A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156</w:t>
            </w:r>
          </w:p>
        </w:tc>
        <w:tc>
          <w:tcPr>
            <w:tcW w:w="2694" w:type="dxa"/>
            <w:shd w:val="clear" w:color="auto" w:fill="auto"/>
          </w:tcPr>
          <w:p w14:paraId="06EED1D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1.民法第一千零五十九條條文修正草案（修正重點：增訂成年子女得變更為直系血親尊親屬姓。）</w:t>
            </w:r>
          </w:p>
        </w:tc>
        <w:tc>
          <w:tcPr>
            <w:tcW w:w="1905" w:type="dxa"/>
            <w:shd w:val="clear" w:color="auto" w:fill="auto"/>
          </w:tcPr>
          <w:p w14:paraId="12F3BBA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委員萬美玲</w:t>
            </w:r>
          </w:p>
          <w:p w14:paraId="2B71E9A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4C1C8C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109.05.08 </w:t>
            </w:r>
          </w:p>
          <w:p w14:paraId="7E4D6B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（10-1-12）</w:t>
            </w:r>
          </w:p>
        </w:tc>
        <w:tc>
          <w:tcPr>
            <w:tcW w:w="1581" w:type="dxa"/>
            <w:shd w:val="clear" w:color="auto" w:fill="auto"/>
          </w:tcPr>
          <w:p w14:paraId="7B1DAB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C37F5C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8CFAE35" w14:textId="77777777" w:rsidTr="00974FB5">
        <w:tc>
          <w:tcPr>
            <w:tcW w:w="595" w:type="dxa"/>
            <w:shd w:val="clear" w:color="auto" w:fill="auto"/>
          </w:tcPr>
          <w:p w14:paraId="0C80F1F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157</w:t>
            </w:r>
          </w:p>
        </w:tc>
        <w:tc>
          <w:tcPr>
            <w:tcW w:w="2694" w:type="dxa"/>
            <w:shd w:val="clear" w:color="auto" w:fill="auto"/>
          </w:tcPr>
          <w:p w14:paraId="49CE5AE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2.民法第一千零五十九條條文修正草案(修正重點：修正增加直系血親尊親屬之姓氏，作為成年人變更姓氏之自我認同選擇。)</w:t>
            </w:r>
          </w:p>
        </w:tc>
        <w:tc>
          <w:tcPr>
            <w:tcW w:w="1905" w:type="dxa"/>
            <w:shd w:val="clear" w:color="auto" w:fill="auto"/>
          </w:tcPr>
          <w:p w14:paraId="0C8149A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委員林奕華</w:t>
            </w:r>
          </w:p>
          <w:p w14:paraId="56F32BF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49EA613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110.11.05 </w:t>
            </w:r>
          </w:p>
          <w:p w14:paraId="3FA08DE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（10-4-8）</w:t>
            </w:r>
          </w:p>
        </w:tc>
        <w:tc>
          <w:tcPr>
            <w:tcW w:w="1581" w:type="dxa"/>
            <w:shd w:val="clear" w:color="auto" w:fill="auto"/>
          </w:tcPr>
          <w:p w14:paraId="0D712B6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99B607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3D2D547" w14:textId="77777777" w:rsidTr="00974FB5">
        <w:tc>
          <w:tcPr>
            <w:tcW w:w="595" w:type="dxa"/>
            <w:shd w:val="clear" w:color="auto" w:fill="auto"/>
          </w:tcPr>
          <w:p w14:paraId="025B1B5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158</w:t>
            </w:r>
          </w:p>
        </w:tc>
        <w:tc>
          <w:tcPr>
            <w:tcW w:w="2694" w:type="dxa"/>
            <w:shd w:val="clear" w:color="auto" w:fill="auto"/>
          </w:tcPr>
          <w:p w14:paraId="7C33DA2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1.民法第一千一百九十五條條文修正草案（修正重點：口授遺囑保存方式增訂錄音儲存裝置。）</w:t>
            </w:r>
          </w:p>
        </w:tc>
        <w:tc>
          <w:tcPr>
            <w:tcW w:w="1905" w:type="dxa"/>
            <w:shd w:val="clear" w:color="auto" w:fill="auto"/>
          </w:tcPr>
          <w:p w14:paraId="6C43E6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委員陳素月</w:t>
            </w:r>
          </w:p>
          <w:p w14:paraId="03ECBF0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2C69C6D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70FCEDC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323AF1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A5AAE0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AF6615C" w14:textId="77777777" w:rsidTr="00974FB5">
        <w:tc>
          <w:tcPr>
            <w:tcW w:w="595" w:type="dxa"/>
            <w:shd w:val="clear" w:color="auto" w:fill="auto"/>
          </w:tcPr>
          <w:p w14:paraId="6A4CC80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159</w:t>
            </w:r>
          </w:p>
        </w:tc>
        <w:tc>
          <w:tcPr>
            <w:tcW w:w="2694" w:type="dxa"/>
            <w:shd w:val="clear" w:color="auto" w:fill="auto"/>
          </w:tcPr>
          <w:p w14:paraId="1EA1A59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2.民法第一千一百九十</w:t>
            </w:r>
            <w:r w:rsidRPr="00026143">
              <w:rPr>
                <w:rFonts w:ascii="標楷體" w:eastAsia="標楷體" w:hAnsi="標楷體"/>
                <w:bCs/>
                <w:color w:val="000000" w:themeColor="text1"/>
              </w:rPr>
              <w:lastRenderedPageBreak/>
              <w:t>五條條文修正草案（修正重點：增訂錄影為口授遺囑保存方式，放寬儲存載體之限制。）</w:t>
            </w:r>
          </w:p>
        </w:tc>
        <w:tc>
          <w:tcPr>
            <w:tcW w:w="1905" w:type="dxa"/>
            <w:shd w:val="clear" w:color="auto" w:fill="auto"/>
          </w:tcPr>
          <w:p w14:paraId="3A5A091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委員劉世芳</w:t>
            </w:r>
          </w:p>
          <w:p w14:paraId="2B1B878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等16人 </w:t>
            </w:r>
          </w:p>
          <w:p w14:paraId="5A2B2D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109.12.24 </w:t>
            </w:r>
          </w:p>
          <w:p w14:paraId="457E1B3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（10-2-9）</w:t>
            </w:r>
          </w:p>
        </w:tc>
        <w:tc>
          <w:tcPr>
            <w:tcW w:w="1581" w:type="dxa"/>
            <w:shd w:val="clear" w:color="auto" w:fill="auto"/>
          </w:tcPr>
          <w:p w14:paraId="11E7B7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1746FE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504D5DA" w14:textId="77777777" w:rsidTr="00974FB5">
        <w:tc>
          <w:tcPr>
            <w:tcW w:w="595" w:type="dxa"/>
            <w:shd w:val="clear" w:color="auto" w:fill="auto"/>
          </w:tcPr>
          <w:p w14:paraId="0902023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160</w:t>
            </w:r>
          </w:p>
        </w:tc>
        <w:tc>
          <w:tcPr>
            <w:tcW w:w="2694" w:type="dxa"/>
            <w:shd w:val="clear" w:color="auto" w:fill="auto"/>
          </w:tcPr>
          <w:p w14:paraId="2D1B6CF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民法第一百九十四條及第一百九十五條條文修正草案(修正重點：鑑於我國現今少子化以及多元家庭組成之實況，並為充分反應當代人類與陪伴動物間所具有之情感上密切關係，以及提升侵權法之一般嚇阻及填補功能，爰提案修正。)</w:t>
            </w:r>
          </w:p>
        </w:tc>
        <w:tc>
          <w:tcPr>
            <w:tcW w:w="1905" w:type="dxa"/>
            <w:shd w:val="clear" w:color="auto" w:fill="auto"/>
          </w:tcPr>
          <w:p w14:paraId="103025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220993E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647CB3C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1F09BA7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343A45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87F1C61" w14:textId="77777777" w:rsidTr="00974FB5">
        <w:tc>
          <w:tcPr>
            <w:tcW w:w="595" w:type="dxa"/>
            <w:shd w:val="clear" w:color="auto" w:fill="auto"/>
          </w:tcPr>
          <w:p w14:paraId="058CFF2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161</w:t>
            </w:r>
          </w:p>
        </w:tc>
        <w:tc>
          <w:tcPr>
            <w:tcW w:w="2694" w:type="dxa"/>
            <w:shd w:val="clear" w:color="auto" w:fill="auto"/>
          </w:tcPr>
          <w:p w14:paraId="0D24AD9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民法第二百零五條條文修正草案（修正重點：約定利率，超過週年百分之二十之約定為無效。）</w:t>
            </w:r>
          </w:p>
        </w:tc>
        <w:tc>
          <w:tcPr>
            <w:tcW w:w="1905" w:type="dxa"/>
            <w:shd w:val="clear" w:color="auto" w:fill="auto"/>
          </w:tcPr>
          <w:p w14:paraId="5325605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5BECB5B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23038FA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5AAB14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05142D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21ABD9A" w14:textId="77777777" w:rsidTr="00974FB5">
        <w:tc>
          <w:tcPr>
            <w:tcW w:w="595" w:type="dxa"/>
            <w:shd w:val="clear" w:color="auto" w:fill="auto"/>
          </w:tcPr>
          <w:p w14:paraId="3F70BE6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162</w:t>
            </w:r>
          </w:p>
        </w:tc>
        <w:tc>
          <w:tcPr>
            <w:tcW w:w="2694" w:type="dxa"/>
            <w:shd w:val="clear" w:color="auto" w:fill="auto"/>
          </w:tcPr>
          <w:p w14:paraId="6346724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部分條文修正草案（修正§1059-1、1063、1065、1066、1067、1069、1069-1、1070、1077；刪除§1061、1064。修正重點：定義、規範父母子女關係並無非以婚姻關係存否為必要，為確保我國新生兒不因父母是否有婚姻關係，而受有稱謂上之區別對待，將（非）婚生子女一詞予以刪除，並以適當文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r w:rsidRPr="00026143">
              <w:rPr>
                <w:rFonts w:ascii="標楷體" w:eastAsia="標楷體" w:hAnsi="標楷體"/>
                <w:bCs/>
                <w:color w:val="000000" w:themeColor="text1"/>
              </w:rPr>
              <w:lastRenderedPageBreak/>
              <w:t>。）</w:t>
            </w:r>
          </w:p>
        </w:tc>
        <w:tc>
          <w:tcPr>
            <w:tcW w:w="1905" w:type="dxa"/>
            <w:shd w:val="clear" w:color="auto" w:fill="auto"/>
          </w:tcPr>
          <w:p w14:paraId="209AF25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民眾黨黨團 </w:t>
            </w:r>
          </w:p>
          <w:p w14:paraId="735011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61AA2B6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58511EC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B15E5B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768B8E3" w14:textId="77777777" w:rsidTr="00974FB5">
        <w:tc>
          <w:tcPr>
            <w:tcW w:w="595" w:type="dxa"/>
            <w:shd w:val="clear" w:color="auto" w:fill="auto"/>
          </w:tcPr>
          <w:p w14:paraId="66E89D2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163</w:t>
            </w:r>
          </w:p>
        </w:tc>
        <w:tc>
          <w:tcPr>
            <w:tcW w:w="2694" w:type="dxa"/>
            <w:shd w:val="clear" w:color="auto" w:fill="auto"/>
          </w:tcPr>
          <w:p w14:paraId="04E1C3B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民法第一千一百六十五條條文修正草案（修正重點：經繼承人過半數及其應繼分合計過半數同意或繼承人之應繼分逾三分之二同意得逕行依各種遺產總額，依照應繼分分割之。）</w:t>
            </w:r>
          </w:p>
        </w:tc>
        <w:tc>
          <w:tcPr>
            <w:tcW w:w="1905" w:type="dxa"/>
            <w:shd w:val="clear" w:color="auto" w:fill="auto"/>
          </w:tcPr>
          <w:p w14:paraId="641D7E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委員林昶佐</w:t>
            </w:r>
          </w:p>
          <w:p w14:paraId="5A86D6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00FD602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109.12.11 </w:t>
            </w:r>
          </w:p>
          <w:p w14:paraId="135DDF0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（10-2-7）</w:t>
            </w:r>
          </w:p>
        </w:tc>
        <w:tc>
          <w:tcPr>
            <w:tcW w:w="1581" w:type="dxa"/>
            <w:shd w:val="clear" w:color="auto" w:fill="auto"/>
          </w:tcPr>
          <w:p w14:paraId="1341145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2B6BC7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66CCCEA" w14:textId="77777777" w:rsidTr="00974FB5">
        <w:tc>
          <w:tcPr>
            <w:tcW w:w="595" w:type="dxa"/>
            <w:shd w:val="clear" w:color="auto" w:fill="auto"/>
          </w:tcPr>
          <w:p w14:paraId="0789CD7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164</w:t>
            </w:r>
          </w:p>
        </w:tc>
        <w:tc>
          <w:tcPr>
            <w:tcW w:w="2694" w:type="dxa"/>
            <w:shd w:val="clear" w:color="auto" w:fill="auto"/>
          </w:tcPr>
          <w:p w14:paraId="4C9BD80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民法增訂第二百十八條之二條文草案（增訂重點：就因道路交通事故造成他人車輛之損害之情形，設定適當之損害賠償金額上限。）</w:t>
            </w:r>
          </w:p>
        </w:tc>
        <w:tc>
          <w:tcPr>
            <w:tcW w:w="1905" w:type="dxa"/>
            <w:shd w:val="clear" w:color="auto" w:fill="auto"/>
          </w:tcPr>
          <w:p w14:paraId="11BC16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77B189C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109.12.18 </w:t>
            </w:r>
          </w:p>
          <w:p w14:paraId="70FF7B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（10-2-8）</w:t>
            </w:r>
          </w:p>
        </w:tc>
        <w:tc>
          <w:tcPr>
            <w:tcW w:w="1581" w:type="dxa"/>
            <w:shd w:val="clear" w:color="auto" w:fill="auto"/>
          </w:tcPr>
          <w:p w14:paraId="142DC54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AF725A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895D427" w14:textId="77777777" w:rsidTr="00974FB5">
        <w:tc>
          <w:tcPr>
            <w:tcW w:w="595" w:type="dxa"/>
            <w:shd w:val="clear" w:color="auto" w:fill="auto"/>
          </w:tcPr>
          <w:p w14:paraId="06FE04E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165</w:t>
            </w:r>
          </w:p>
        </w:tc>
        <w:tc>
          <w:tcPr>
            <w:tcW w:w="2694" w:type="dxa"/>
            <w:shd w:val="clear" w:color="auto" w:fill="auto"/>
          </w:tcPr>
          <w:p w14:paraId="5A0EC7D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四百二十五條及第四百四十條條文修正草案（修正重點：出租人應移交押租金及已預收之租金與受讓人，並以書面通知承租人；租賃物為房屋者，遲付租金之總額，於抵充租金後非達2個月之租額，不得催告承租人後終止契約。）</w:t>
            </w:r>
          </w:p>
        </w:tc>
        <w:tc>
          <w:tcPr>
            <w:tcW w:w="1905" w:type="dxa"/>
            <w:shd w:val="clear" w:color="auto" w:fill="auto"/>
          </w:tcPr>
          <w:p w14:paraId="0416611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委員林昶佐</w:t>
            </w:r>
          </w:p>
          <w:p w14:paraId="6997C0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7DC3554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49AADC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3AD37F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ECC243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875A5CD" w14:textId="77777777" w:rsidTr="00974FB5">
        <w:tc>
          <w:tcPr>
            <w:tcW w:w="595" w:type="dxa"/>
            <w:shd w:val="clear" w:color="auto" w:fill="auto"/>
          </w:tcPr>
          <w:p w14:paraId="06F8C04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166</w:t>
            </w:r>
          </w:p>
        </w:tc>
        <w:tc>
          <w:tcPr>
            <w:tcW w:w="2694" w:type="dxa"/>
            <w:shd w:val="clear" w:color="auto" w:fill="auto"/>
          </w:tcPr>
          <w:p w14:paraId="0FF50AA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1.民法第一百九十五條條文修正草案（修正重點：不法侵害他人寵物者，飼主除可請求財產損害外，亦可請求精神慰撫金。）</w:t>
            </w:r>
          </w:p>
        </w:tc>
        <w:tc>
          <w:tcPr>
            <w:tcW w:w="1905" w:type="dxa"/>
            <w:shd w:val="clear" w:color="auto" w:fill="auto"/>
          </w:tcPr>
          <w:p w14:paraId="46A799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委員張廖萬堅</w:t>
            </w:r>
          </w:p>
          <w:p w14:paraId="26B745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5FEEF5E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110.09.24 </w:t>
            </w:r>
          </w:p>
          <w:p w14:paraId="6D5BBB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（10-4-2）</w:t>
            </w:r>
          </w:p>
        </w:tc>
        <w:tc>
          <w:tcPr>
            <w:tcW w:w="1581" w:type="dxa"/>
            <w:shd w:val="clear" w:color="auto" w:fill="auto"/>
          </w:tcPr>
          <w:p w14:paraId="7323439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AE5443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A6F5AFF" w14:textId="77777777" w:rsidTr="00974FB5">
        <w:tc>
          <w:tcPr>
            <w:tcW w:w="595" w:type="dxa"/>
            <w:shd w:val="clear" w:color="auto" w:fill="auto"/>
          </w:tcPr>
          <w:p w14:paraId="1466847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167</w:t>
            </w:r>
          </w:p>
        </w:tc>
        <w:tc>
          <w:tcPr>
            <w:tcW w:w="2694" w:type="dxa"/>
            <w:shd w:val="clear" w:color="auto" w:fill="auto"/>
          </w:tcPr>
          <w:p w14:paraId="3BF383C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2.民法第一百九十五條條文修正草案(修正重點：不法侵害他人寵物者，飼主除可請求財產損害外，亦可請求非財產上之損害賠償。）</w:t>
            </w:r>
          </w:p>
        </w:tc>
        <w:tc>
          <w:tcPr>
            <w:tcW w:w="1905" w:type="dxa"/>
            <w:shd w:val="clear" w:color="auto" w:fill="auto"/>
          </w:tcPr>
          <w:p w14:paraId="0813EB0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委員高嘉瑜</w:t>
            </w:r>
          </w:p>
          <w:p w14:paraId="7F2CFF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7C47518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571031D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2353DD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359787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3AA4922" w14:textId="77777777" w:rsidTr="00974FB5">
        <w:tc>
          <w:tcPr>
            <w:tcW w:w="595" w:type="dxa"/>
            <w:shd w:val="clear" w:color="auto" w:fill="auto"/>
          </w:tcPr>
          <w:p w14:paraId="1D02ECD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168</w:t>
            </w:r>
          </w:p>
        </w:tc>
        <w:tc>
          <w:tcPr>
            <w:tcW w:w="2694" w:type="dxa"/>
            <w:shd w:val="clear" w:color="auto" w:fill="auto"/>
          </w:tcPr>
          <w:p w14:paraId="1443AAE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1.民法親屬編部分條文修正草案（修正§999-1、1057；增訂§1057-1~5。修正重點：配合贍養費規定之增修，修正結婚無效及結婚經撤銷之準用條文；修正贍養費請求權成立之要件及行</w:t>
            </w:r>
            <w:r w:rsidRPr="00026143">
              <w:rPr>
                <w:rFonts w:ascii="標楷體" w:eastAsia="標楷體" w:hAnsi="標楷體"/>
                <w:bCs/>
                <w:color w:val="000000" w:themeColor="text1"/>
              </w:rPr>
              <w:lastRenderedPageBreak/>
              <w:t>使方式；明定減輕或免除贍養義務人給付義務之事由；明定贍養費請求權及未到期之定期金給付，因贍養權利人之再婚或死亡而消滅；明定贍養費請求權之時效。）</w:t>
            </w:r>
          </w:p>
        </w:tc>
        <w:tc>
          <w:tcPr>
            <w:tcW w:w="1905" w:type="dxa"/>
            <w:shd w:val="clear" w:color="auto" w:fill="auto"/>
          </w:tcPr>
          <w:p w14:paraId="030104E4" w14:textId="1C7847AD"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行政院、司法院</w:t>
            </w:r>
          </w:p>
          <w:p w14:paraId="59255A8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110.11.26 </w:t>
            </w:r>
          </w:p>
          <w:p w14:paraId="090F7D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（10-4-11）</w:t>
            </w:r>
          </w:p>
        </w:tc>
        <w:tc>
          <w:tcPr>
            <w:tcW w:w="1581" w:type="dxa"/>
            <w:shd w:val="clear" w:color="auto" w:fill="auto"/>
          </w:tcPr>
          <w:p w14:paraId="325959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4376967" w14:textId="6183ACE4"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本會110.12.22</w:t>
            </w:r>
          </w:p>
          <w:p w14:paraId="1CD35D2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(10-4-21)報告及詢答完畢，另定期繼續審查。</w:t>
            </w:r>
          </w:p>
        </w:tc>
      </w:tr>
      <w:tr w:rsidR="00EC13B7" w:rsidRPr="00026143" w14:paraId="5F22080E" w14:textId="77777777" w:rsidTr="00974FB5">
        <w:tc>
          <w:tcPr>
            <w:tcW w:w="595" w:type="dxa"/>
            <w:shd w:val="clear" w:color="auto" w:fill="auto"/>
          </w:tcPr>
          <w:p w14:paraId="66C4899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169</w:t>
            </w:r>
          </w:p>
        </w:tc>
        <w:tc>
          <w:tcPr>
            <w:tcW w:w="2694" w:type="dxa"/>
            <w:shd w:val="clear" w:color="auto" w:fill="auto"/>
          </w:tcPr>
          <w:p w14:paraId="1CE084B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2.民法第一千零五十七條條文修正草案（修正重點：夫妻因判決離婚，無過失之一方亦應給予他方相當之贍養費，並不合宜。）</w:t>
            </w:r>
          </w:p>
        </w:tc>
        <w:tc>
          <w:tcPr>
            <w:tcW w:w="1905" w:type="dxa"/>
            <w:shd w:val="clear" w:color="auto" w:fill="auto"/>
          </w:tcPr>
          <w:p w14:paraId="6C50F05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委員溫玉霞</w:t>
            </w:r>
          </w:p>
          <w:p w14:paraId="782053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0B2999C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55FC4B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4AEFAEB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175B900" w14:textId="5D26308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本會110.12.22</w:t>
            </w:r>
          </w:p>
          <w:p w14:paraId="4C471CA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(10-4-21)報告及詢答完畢，另定期繼續審查。</w:t>
            </w:r>
          </w:p>
        </w:tc>
      </w:tr>
      <w:tr w:rsidR="00EC13B7" w:rsidRPr="00026143" w14:paraId="1A84BF48" w14:textId="77777777" w:rsidTr="00974FB5">
        <w:tc>
          <w:tcPr>
            <w:tcW w:w="595" w:type="dxa"/>
            <w:shd w:val="clear" w:color="auto" w:fill="auto"/>
          </w:tcPr>
          <w:p w14:paraId="379BEA7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170</w:t>
            </w:r>
          </w:p>
        </w:tc>
        <w:tc>
          <w:tcPr>
            <w:tcW w:w="2694" w:type="dxa"/>
            <w:shd w:val="clear" w:color="auto" w:fill="auto"/>
          </w:tcPr>
          <w:p w14:paraId="737D8CF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民法部分條文修正草案（修正§195、999-1、1010、1057；增訂§1057-1~5。修正重點：刪除刑法通姦罪後，宜修訂對和婚姻外第三人合意性交或破壞婚姻圓滿安全及幸福者之實質制裁機制；修正有關贍養費之法律規定。）</w:t>
            </w:r>
          </w:p>
        </w:tc>
        <w:tc>
          <w:tcPr>
            <w:tcW w:w="1905" w:type="dxa"/>
            <w:shd w:val="clear" w:color="auto" w:fill="auto"/>
          </w:tcPr>
          <w:p w14:paraId="329709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674D84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3D58A9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5231C8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p w14:paraId="5AD4595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1F7518E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CDE48CF" w14:textId="04643DA5"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本會110.12.22</w:t>
            </w:r>
          </w:p>
          <w:p w14:paraId="369C055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(10-4-21)報告及詢答完畢，另定期繼續審查。</w:t>
            </w:r>
          </w:p>
        </w:tc>
      </w:tr>
      <w:tr w:rsidR="00EC13B7" w:rsidRPr="00026143" w14:paraId="71A2CD85" w14:textId="77777777" w:rsidTr="00974FB5">
        <w:tc>
          <w:tcPr>
            <w:tcW w:w="595" w:type="dxa"/>
            <w:shd w:val="clear" w:color="auto" w:fill="auto"/>
          </w:tcPr>
          <w:p w14:paraId="71AAF23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171</w:t>
            </w:r>
          </w:p>
        </w:tc>
        <w:tc>
          <w:tcPr>
            <w:tcW w:w="2694" w:type="dxa"/>
            <w:shd w:val="clear" w:color="auto" w:fill="auto"/>
          </w:tcPr>
          <w:p w14:paraId="461BFA2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4.民法部分條文修正草案（修正§999-1、1057、增訂§1057-1~5。修正重點：放寬贍養費之請求條件，減輕或免除贍養義務人給付義務事由，增訂贍養費給付程度之權衡依據、請求權之消滅事由及時效。）</w:t>
            </w:r>
          </w:p>
        </w:tc>
        <w:tc>
          <w:tcPr>
            <w:tcW w:w="1905" w:type="dxa"/>
            <w:shd w:val="clear" w:color="auto" w:fill="auto"/>
          </w:tcPr>
          <w:p w14:paraId="3A57BA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委員萬美玲</w:t>
            </w:r>
          </w:p>
          <w:p w14:paraId="5298AE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4662FE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5ECC9E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6ADDD3B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6B86CF4" w14:textId="204EFF6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本會110.12.22</w:t>
            </w:r>
          </w:p>
          <w:p w14:paraId="0C38946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(10-4-21)報告及詢答完畢，另定期繼續審查。</w:t>
            </w:r>
          </w:p>
        </w:tc>
      </w:tr>
      <w:tr w:rsidR="00EC13B7" w:rsidRPr="00026143" w14:paraId="76736835" w14:textId="77777777" w:rsidTr="00974FB5">
        <w:tc>
          <w:tcPr>
            <w:tcW w:w="595" w:type="dxa"/>
            <w:shd w:val="clear" w:color="auto" w:fill="auto"/>
          </w:tcPr>
          <w:p w14:paraId="0DB362C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172</w:t>
            </w:r>
          </w:p>
        </w:tc>
        <w:tc>
          <w:tcPr>
            <w:tcW w:w="2694" w:type="dxa"/>
            <w:shd w:val="clear" w:color="auto" w:fill="auto"/>
          </w:tcPr>
          <w:p w14:paraId="35E2132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5.民法第十八條、第一百九十五條之一及第一千零三十條之一條文修正草案(修正重點：通姦除罪化後，為維護配偶權權益，並撫慰配偶之精神損害，應提高賠償金額；關於夫妻剩餘財產分配，亦應予調整。)</w:t>
            </w:r>
          </w:p>
        </w:tc>
        <w:tc>
          <w:tcPr>
            <w:tcW w:w="1905" w:type="dxa"/>
            <w:shd w:val="clear" w:color="auto" w:fill="auto"/>
          </w:tcPr>
          <w:p w14:paraId="3D04F63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02656C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07FD55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1CB4000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0B0447B" w14:textId="474826A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本會110.12.22</w:t>
            </w:r>
          </w:p>
          <w:p w14:paraId="3540150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(10-4-21)報告及詢答完畢，另定期繼續審查。</w:t>
            </w:r>
          </w:p>
        </w:tc>
      </w:tr>
      <w:tr w:rsidR="00EC13B7" w:rsidRPr="00026143" w14:paraId="09010114" w14:textId="77777777" w:rsidTr="00974FB5">
        <w:tc>
          <w:tcPr>
            <w:tcW w:w="595" w:type="dxa"/>
            <w:shd w:val="clear" w:color="auto" w:fill="auto"/>
          </w:tcPr>
          <w:p w14:paraId="4471C21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173</w:t>
            </w:r>
          </w:p>
        </w:tc>
        <w:tc>
          <w:tcPr>
            <w:tcW w:w="2694" w:type="dxa"/>
            <w:shd w:val="clear" w:color="auto" w:fill="auto"/>
          </w:tcPr>
          <w:p w14:paraId="5B2F207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6.民法部分條文修正草案(修正§999-1、1050、1052~1055、1057；增訂§1057-1~3；刪除</w:t>
            </w:r>
            <w:r w:rsidRPr="00026143">
              <w:rPr>
                <w:rFonts w:ascii="標楷體" w:eastAsia="標楷體" w:hAnsi="標楷體"/>
                <w:bCs/>
                <w:color w:val="000000" w:themeColor="text1"/>
              </w:rPr>
              <w:lastRenderedPageBreak/>
              <w:t>§1055-2、1056、1058。修正重點：刪除兩願離婚已無甚實益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905" w:type="dxa"/>
            <w:shd w:val="clear" w:color="auto" w:fill="auto"/>
          </w:tcPr>
          <w:p w14:paraId="39FCDB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民眾黨黨團 </w:t>
            </w:r>
          </w:p>
          <w:p w14:paraId="348D1DF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24C42A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148E4F4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533AD78" w14:textId="14DDFFBC"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本會110.12.22</w:t>
            </w:r>
          </w:p>
          <w:p w14:paraId="1A92B39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(10-4-21)報告及詢答完畢，另定期繼續審查。</w:t>
            </w:r>
          </w:p>
        </w:tc>
      </w:tr>
      <w:tr w:rsidR="00EC13B7" w:rsidRPr="00026143" w14:paraId="00B7D133" w14:textId="77777777" w:rsidTr="00974FB5">
        <w:tc>
          <w:tcPr>
            <w:tcW w:w="595" w:type="dxa"/>
            <w:shd w:val="clear" w:color="auto" w:fill="auto"/>
          </w:tcPr>
          <w:p w14:paraId="0692FF7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174</w:t>
            </w:r>
          </w:p>
        </w:tc>
        <w:tc>
          <w:tcPr>
            <w:tcW w:w="2694" w:type="dxa"/>
            <w:shd w:val="clear" w:color="auto" w:fill="auto"/>
          </w:tcPr>
          <w:p w14:paraId="505FF9C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民法親屬編部分條文修正草案(修正§999-1、1057；增訂§1057-1~5。修正重點：提出贍養費之修法草案，以彌補現行法制中配偶剩餘財產分配制度之不足，平衡婚姻存續期間，婚姻之一方因投入婚姻家庭至就業能力降低或喪失，造成經濟之不平等，並補償其對婚姻家庭之貢獻，俾使因離婚後面臨復歸職場之困境，得向他方請求贍養費，以保障其離婚後生活之情形。)</w:t>
            </w:r>
          </w:p>
        </w:tc>
        <w:tc>
          <w:tcPr>
            <w:tcW w:w="1905" w:type="dxa"/>
            <w:shd w:val="clear" w:color="auto" w:fill="auto"/>
          </w:tcPr>
          <w:p w14:paraId="0CFD6CC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委員范雲</w:t>
            </w:r>
          </w:p>
          <w:p w14:paraId="7142FE4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32230B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0586595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0E1ED0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F1F597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947EA57" w14:textId="77777777" w:rsidTr="00974FB5">
        <w:tc>
          <w:tcPr>
            <w:tcW w:w="595" w:type="dxa"/>
            <w:shd w:val="clear" w:color="auto" w:fill="auto"/>
          </w:tcPr>
          <w:p w14:paraId="26E1300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175</w:t>
            </w:r>
          </w:p>
        </w:tc>
        <w:tc>
          <w:tcPr>
            <w:tcW w:w="2694" w:type="dxa"/>
            <w:shd w:val="clear" w:color="auto" w:fill="auto"/>
          </w:tcPr>
          <w:p w14:paraId="27FC2D4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民法親屬編部分條文修正草案(修正§999-1、1057；增訂§1057-1~5。修正重點：修正贍養費請求權成立之要件及行使方式；明定減輕或免除贍養義務人給付義務之事由；明定贍養費給付程度之權衡依據；明定贍養費請求權之時效。)</w:t>
            </w:r>
          </w:p>
        </w:tc>
        <w:tc>
          <w:tcPr>
            <w:tcW w:w="1905" w:type="dxa"/>
            <w:shd w:val="clear" w:color="auto" w:fill="auto"/>
          </w:tcPr>
          <w:p w14:paraId="1060B1C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委員陳明文</w:t>
            </w:r>
          </w:p>
          <w:p w14:paraId="6890DF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等25人 </w:t>
            </w:r>
          </w:p>
          <w:p w14:paraId="18EDFA6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7CAC7C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0028FD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F85562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4204C1B" w14:textId="77777777" w:rsidTr="00974FB5">
        <w:tc>
          <w:tcPr>
            <w:tcW w:w="595" w:type="dxa"/>
            <w:shd w:val="clear" w:color="auto" w:fill="auto"/>
          </w:tcPr>
          <w:p w14:paraId="56F60CB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176</w:t>
            </w:r>
          </w:p>
        </w:tc>
        <w:tc>
          <w:tcPr>
            <w:tcW w:w="2694" w:type="dxa"/>
            <w:shd w:val="clear" w:color="auto" w:fill="auto"/>
          </w:tcPr>
          <w:p w14:paraId="3852546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9.民法第一千零五十五條條文修正草案(修正重點：鑑於現行法規並未明定離婚雙方經協議或經法院裁定共同親權時、以及除父母親外，</w:t>
            </w:r>
            <w:r w:rsidRPr="00026143">
              <w:rPr>
                <w:rFonts w:ascii="標楷體" w:eastAsia="標楷體" w:hAnsi="標楷體"/>
                <w:bCs/>
                <w:color w:val="000000" w:themeColor="text1"/>
              </w:rPr>
              <w:lastRenderedPageBreak/>
              <w:t>祖父母或第三人，得請求與子女之會面交往，爰提案修正。)</w:t>
            </w:r>
          </w:p>
        </w:tc>
        <w:tc>
          <w:tcPr>
            <w:tcW w:w="1905" w:type="dxa"/>
            <w:shd w:val="clear" w:color="auto" w:fill="auto"/>
          </w:tcPr>
          <w:p w14:paraId="497C7BF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委員黃秀芳</w:t>
            </w:r>
          </w:p>
          <w:p w14:paraId="47AC5AF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3A2AA4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10EEE1E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（10-6-13）</w:t>
            </w:r>
          </w:p>
        </w:tc>
        <w:tc>
          <w:tcPr>
            <w:tcW w:w="1581" w:type="dxa"/>
            <w:shd w:val="clear" w:color="auto" w:fill="auto"/>
          </w:tcPr>
          <w:p w14:paraId="375CA4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814E19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7133CD6" w14:textId="77777777" w:rsidTr="00974FB5">
        <w:tc>
          <w:tcPr>
            <w:tcW w:w="595" w:type="dxa"/>
            <w:shd w:val="clear" w:color="auto" w:fill="auto"/>
          </w:tcPr>
          <w:p w14:paraId="76147C4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177</w:t>
            </w:r>
          </w:p>
        </w:tc>
        <w:tc>
          <w:tcPr>
            <w:tcW w:w="2694" w:type="dxa"/>
            <w:shd w:val="clear" w:color="auto" w:fill="auto"/>
          </w:tcPr>
          <w:p w14:paraId="0AEF984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026143">
              <w:rPr>
                <w:rFonts w:ascii="標楷體" w:eastAsia="標楷體" w:hAnsi="標楷體" w:hint="eastAsia"/>
                <w:bCs/>
                <w:color w:val="000000" w:themeColor="text1"/>
              </w:rPr>
              <w:t>0</w:t>
            </w:r>
            <w:r w:rsidRPr="00026143">
              <w:rPr>
                <w:rFonts w:ascii="標楷體" w:eastAsia="標楷體" w:hAnsi="標楷體"/>
                <w:bCs/>
                <w:color w:val="000000" w:themeColor="text1"/>
              </w:rPr>
              <w:t>.民法第一千零三十條之一條文修正草案(修正重點：增訂夫妻間無償贈與，若有意思表示贈與為受贈人特定財產者，始得不列入剩餘財產範圍。)</w:t>
            </w:r>
          </w:p>
        </w:tc>
        <w:tc>
          <w:tcPr>
            <w:tcW w:w="1905" w:type="dxa"/>
            <w:shd w:val="clear" w:color="auto" w:fill="auto"/>
          </w:tcPr>
          <w:p w14:paraId="24B21E3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委員吳秉叡</w:t>
            </w:r>
          </w:p>
          <w:p w14:paraId="603EA4F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5E4C326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2C37B2D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（10-6-13）</w:t>
            </w:r>
          </w:p>
        </w:tc>
        <w:tc>
          <w:tcPr>
            <w:tcW w:w="1581" w:type="dxa"/>
            <w:shd w:val="clear" w:color="auto" w:fill="auto"/>
          </w:tcPr>
          <w:p w14:paraId="6FD4351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B04ED6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383A946" w14:textId="77777777" w:rsidTr="00974FB5">
        <w:tc>
          <w:tcPr>
            <w:tcW w:w="595" w:type="dxa"/>
            <w:shd w:val="clear" w:color="auto" w:fill="auto"/>
          </w:tcPr>
          <w:p w14:paraId="4811CA1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178</w:t>
            </w:r>
          </w:p>
        </w:tc>
        <w:tc>
          <w:tcPr>
            <w:tcW w:w="2694" w:type="dxa"/>
            <w:shd w:val="clear" w:color="auto" w:fill="auto"/>
          </w:tcPr>
          <w:p w14:paraId="6D82A0D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026143">
              <w:rPr>
                <w:rFonts w:ascii="標楷體" w:eastAsia="標楷體" w:hAnsi="標楷體" w:hint="eastAsia"/>
                <w:bCs/>
                <w:color w:val="000000" w:themeColor="text1"/>
              </w:rPr>
              <w:t>1</w:t>
            </w:r>
            <w:r w:rsidRPr="00026143">
              <w:rPr>
                <w:rFonts w:ascii="標楷體" w:eastAsia="標楷體" w:hAnsi="標楷體"/>
                <w:bCs/>
                <w:color w:val="000000" w:themeColor="text1"/>
              </w:rPr>
              <w:t>.民法第一千零五十五條條文修正草案(修正重點：新增與該未成年子女有特殊關係之父母以外第三人，亦具未成年子女之會面交往權，以健全子女之身心發展。)</w:t>
            </w:r>
          </w:p>
        </w:tc>
        <w:tc>
          <w:tcPr>
            <w:tcW w:w="1905" w:type="dxa"/>
            <w:shd w:val="clear" w:color="auto" w:fill="auto"/>
          </w:tcPr>
          <w:p w14:paraId="4761DCD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委員張宏陸</w:t>
            </w:r>
          </w:p>
          <w:p w14:paraId="10629B9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31F7EE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0F84E3D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78256B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EAB0FA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8D04A7A" w14:textId="77777777" w:rsidTr="00974FB5">
        <w:tc>
          <w:tcPr>
            <w:tcW w:w="595" w:type="dxa"/>
            <w:shd w:val="clear" w:color="auto" w:fill="auto"/>
          </w:tcPr>
          <w:p w14:paraId="3D0199B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179</w:t>
            </w:r>
          </w:p>
        </w:tc>
        <w:tc>
          <w:tcPr>
            <w:tcW w:w="2694" w:type="dxa"/>
            <w:shd w:val="clear" w:color="auto" w:fill="auto"/>
          </w:tcPr>
          <w:p w14:paraId="0173505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12</w:t>
            </w:r>
            <w:r w:rsidRPr="00026143">
              <w:rPr>
                <w:rFonts w:ascii="標楷體" w:eastAsia="標楷體" w:hAnsi="標楷體"/>
                <w:bCs/>
                <w:color w:val="000000" w:themeColor="text1"/>
              </w:rPr>
              <w:t>.民法第一千零三十條之一及第一千零四十一條條文修正草案(修正重點：將我國年金體系中第二柱九種職業年金之期待權或請求權，納入離婚剩餘財產請求分配範圍。)</w:t>
            </w:r>
          </w:p>
        </w:tc>
        <w:tc>
          <w:tcPr>
            <w:tcW w:w="1905" w:type="dxa"/>
            <w:shd w:val="clear" w:color="auto" w:fill="auto"/>
          </w:tcPr>
          <w:p w14:paraId="3FDEA07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委員范雲</w:t>
            </w:r>
          </w:p>
          <w:p w14:paraId="5ABE63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54FAFC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3BB13D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1986BD0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10F738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179AB28" w14:textId="77777777" w:rsidTr="00974FB5">
        <w:tc>
          <w:tcPr>
            <w:tcW w:w="595" w:type="dxa"/>
            <w:shd w:val="clear" w:color="auto" w:fill="auto"/>
          </w:tcPr>
          <w:p w14:paraId="59C5FFE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180</w:t>
            </w:r>
          </w:p>
        </w:tc>
        <w:tc>
          <w:tcPr>
            <w:tcW w:w="2694" w:type="dxa"/>
            <w:shd w:val="clear" w:color="auto" w:fill="auto"/>
          </w:tcPr>
          <w:p w14:paraId="1BF691F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民法第一千零八十條條文修正草案(修正重點：收養終止後，應以書面通知養子女之本生父母。)</w:t>
            </w:r>
          </w:p>
        </w:tc>
        <w:tc>
          <w:tcPr>
            <w:tcW w:w="1905" w:type="dxa"/>
            <w:shd w:val="clear" w:color="auto" w:fill="auto"/>
          </w:tcPr>
          <w:p w14:paraId="5D49824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68187CD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110.11.05 </w:t>
            </w:r>
          </w:p>
          <w:p w14:paraId="0E7A3F2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（10-4-8）</w:t>
            </w:r>
          </w:p>
        </w:tc>
        <w:tc>
          <w:tcPr>
            <w:tcW w:w="1581" w:type="dxa"/>
            <w:shd w:val="clear" w:color="auto" w:fill="auto"/>
          </w:tcPr>
          <w:p w14:paraId="02D5054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138F77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11EE6CA" w14:textId="77777777" w:rsidTr="00974FB5">
        <w:tc>
          <w:tcPr>
            <w:tcW w:w="595" w:type="dxa"/>
            <w:shd w:val="clear" w:color="auto" w:fill="auto"/>
          </w:tcPr>
          <w:p w14:paraId="73A7E6B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181</w:t>
            </w:r>
          </w:p>
        </w:tc>
        <w:tc>
          <w:tcPr>
            <w:tcW w:w="2694" w:type="dxa"/>
            <w:shd w:val="clear" w:color="auto" w:fill="auto"/>
          </w:tcPr>
          <w:p w14:paraId="0B4BA5E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增訂第四百八十九條之一及第四百八十九條之二條文草案(修正重點：鑑於企業間簽訂「禁止挖角協議」，約定互不招募他方受僱人，或約定不得僱用現為或曾為他方受僱人之約款，應明文肯認該等約款違反公共秩序及善良風俗、否定其私法上效力。)</w:t>
            </w:r>
          </w:p>
        </w:tc>
        <w:tc>
          <w:tcPr>
            <w:tcW w:w="1905" w:type="dxa"/>
            <w:shd w:val="clear" w:color="auto" w:fill="auto"/>
          </w:tcPr>
          <w:p w14:paraId="702815B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4CD6BB7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等23人 </w:t>
            </w:r>
          </w:p>
          <w:p w14:paraId="64E1B8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110.12.03 </w:t>
            </w:r>
          </w:p>
          <w:p w14:paraId="426F76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（10-4-12）</w:t>
            </w:r>
          </w:p>
        </w:tc>
        <w:tc>
          <w:tcPr>
            <w:tcW w:w="1581" w:type="dxa"/>
            <w:shd w:val="clear" w:color="auto" w:fill="auto"/>
          </w:tcPr>
          <w:p w14:paraId="4920920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18E74A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B3E8008" w14:textId="77777777" w:rsidTr="00974FB5">
        <w:tc>
          <w:tcPr>
            <w:tcW w:w="595" w:type="dxa"/>
            <w:shd w:val="clear" w:color="auto" w:fill="auto"/>
          </w:tcPr>
          <w:p w14:paraId="2988BA5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182</w:t>
            </w:r>
          </w:p>
        </w:tc>
        <w:tc>
          <w:tcPr>
            <w:tcW w:w="2694" w:type="dxa"/>
            <w:shd w:val="clear" w:color="auto" w:fill="auto"/>
          </w:tcPr>
          <w:p w14:paraId="7D614A3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民法增訂第一百九十七條之一條文草案(修正重點：鑑於未成年人社</w:t>
            </w:r>
            <w:r w:rsidRPr="00026143">
              <w:rPr>
                <w:rFonts w:ascii="標楷體" w:eastAsia="標楷體" w:hAnsi="標楷體"/>
                <w:bCs/>
                <w:color w:val="000000" w:themeColor="text1"/>
              </w:rPr>
              <w:lastRenderedPageBreak/>
              <w:t>會經驗不足，難以完全理解妨害性自主行為之性質，又父母或法定代理人因社會因素考量，而未及時提出民事損害賠償，應延長消滅時效並純採客觀要件。)</w:t>
            </w:r>
          </w:p>
        </w:tc>
        <w:tc>
          <w:tcPr>
            <w:tcW w:w="1905" w:type="dxa"/>
            <w:shd w:val="clear" w:color="auto" w:fill="auto"/>
          </w:tcPr>
          <w:p w14:paraId="1868D2B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委員周春米</w:t>
            </w:r>
          </w:p>
          <w:p w14:paraId="0868428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22CDB1B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48270CC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（10-4-15）</w:t>
            </w:r>
          </w:p>
        </w:tc>
        <w:tc>
          <w:tcPr>
            <w:tcW w:w="1581" w:type="dxa"/>
            <w:shd w:val="clear" w:color="auto" w:fill="auto"/>
          </w:tcPr>
          <w:p w14:paraId="1D20EAB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12D9DEA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F02F070" w14:textId="77777777" w:rsidTr="00974FB5">
        <w:tc>
          <w:tcPr>
            <w:tcW w:w="595" w:type="dxa"/>
            <w:shd w:val="clear" w:color="auto" w:fill="auto"/>
          </w:tcPr>
          <w:p w14:paraId="37C29FE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183</w:t>
            </w:r>
          </w:p>
        </w:tc>
        <w:tc>
          <w:tcPr>
            <w:tcW w:w="2694" w:type="dxa"/>
            <w:shd w:val="clear" w:color="auto" w:fill="auto"/>
          </w:tcPr>
          <w:p w14:paraId="407E2BF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部分條文修正草案(修正§247-1；增訂§247-2~9。修正重點：鑑於定型化契約之使用與盛行，事實上幾乎已大部分剝奪或排除他方之共同參與締約決定之意思決定自由權。因此，如以定型化契約條款締約通常應認係屬對他方意思決定自由之剝奪而排除，而應受立法與司法規制與監督。)</w:t>
            </w:r>
          </w:p>
        </w:tc>
        <w:tc>
          <w:tcPr>
            <w:tcW w:w="1905" w:type="dxa"/>
            <w:shd w:val="clear" w:color="auto" w:fill="auto"/>
          </w:tcPr>
          <w:p w14:paraId="4368F5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委員高嘉瑜</w:t>
            </w:r>
          </w:p>
          <w:p w14:paraId="2CAC673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等26人 </w:t>
            </w:r>
          </w:p>
          <w:p w14:paraId="6D016E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6AE96DE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18291E9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C87563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457B581" w14:textId="77777777" w:rsidTr="00974FB5">
        <w:tc>
          <w:tcPr>
            <w:tcW w:w="595" w:type="dxa"/>
            <w:shd w:val="clear" w:color="auto" w:fill="auto"/>
          </w:tcPr>
          <w:p w14:paraId="5ECEFA1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184</w:t>
            </w:r>
          </w:p>
        </w:tc>
        <w:tc>
          <w:tcPr>
            <w:tcW w:w="2694" w:type="dxa"/>
            <w:shd w:val="clear" w:color="auto" w:fill="auto"/>
          </w:tcPr>
          <w:p w14:paraId="455D128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民法增訂第一千一百四十九條之一條文草案(增訂重點：增訂同居共財、療養看護被繼承人者，得請求法院給予剩餘遺產。)</w:t>
            </w:r>
          </w:p>
        </w:tc>
        <w:tc>
          <w:tcPr>
            <w:tcW w:w="1905" w:type="dxa"/>
            <w:shd w:val="clear" w:color="auto" w:fill="auto"/>
          </w:tcPr>
          <w:p w14:paraId="1E9BCA0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59A1A53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94B02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111.03.18 </w:t>
            </w:r>
          </w:p>
          <w:p w14:paraId="3DBCD5F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（10-5-4）</w:t>
            </w:r>
          </w:p>
        </w:tc>
        <w:tc>
          <w:tcPr>
            <w:tcW w:w="1581" w:type="dxa"/>
            <w:shd w:val="clear" w:color="auto" w:fill="auto"/>
          </w:tcPr>
          <w:p w14:paraId="1068DBE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1C8830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B604DD1" w14:textId="77777777" w:rsidTr="00974FB5">
        <w:tc>
          <w:tcPr>
            <w:tcW w:w="595" w:type="dxa"/>
            <w:shd w:val="clear" w:color="auto" w:fill="auto"/>
          </w:tcPr>
          <w:p w14:paraId="53DAE96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185</w:t>
            </w:r>
          </w:p>
        </w:tc>
        <w:tc>
          <w:tcPr>
            <w:tcW w:w="2694" w:type="dxa"/>
            <w:shd w:val="clear" w:color="auto" w:fill="auto"/>
          </w:tcPr>
          <w:p w14:paraId="103928E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民法第四百三十五條條文修正草案(修正重點：將租賃物功能滅失或減少定義納入本條條文，保障我國承租人之權益，並加強出租人修繕之責任。)</w:t>
            </w:r>
          </w:p>
        </w:tc>
        <w:tc>
          <w:tcPr>
            <w:tcW w:w="1905" w:type="dxa"/>
            <w:shd w:val="clear" w:color="auto" w:fill="auto"/>
          </w:tcPr>
          <w:p w14:paraId="7BE3E66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委員黃世杰</w:t>
            </w:r>
          </w:p>
          <w:p w14:paraId="710A39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等23人 </w:t>
            </w:r>
          </w:p>
          <w:p w14:paraId="303CC1A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111.11.11 </w:t>
            </w:r>
          </w:p>
          <w:p w14:paraId="25DE1A9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（10-6-7）</w:t>
            </w:r>
          </w:p>
        </w:tc>
        <w:tc>
          <w:tcPr>
            <w:tcW w:w="1581" w:type="dxa"/>
            <w:shd w:val="clear" w:color="auto" w:fill="auto"/>
          </w:tcPr>
          <w:p w14:paraId="54AE83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6000F8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9231C90" w14:textId="77777777" w:rsidTr="00974FB5">
        <w:tc>
          <w:tcPr>
            <w:tcW w:w="595" w:type="dxa"/>
            <w:shd w:val="clear" w:color="auto" w:fill="auto"/>
          </w:tcPr>
          <w:p w14:paraId="0895FF0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186</w:t>
            </w:r>
          </w:p>
        </w:tc>
        <w:tc>
          <w:tcPr>
            <w:tcW w:w="2694" w:type="dxa"/>
            <w:shd w:val="clear" w:color="auto" w:fill="auto"/>
          </w:tcPr>
          <w:p w14:paraId="7D64860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民法第三十四條及第四十三條條文修正草案(修正重點：過往罰金貨幣以銀元為單位業已步入法制史，為求法規用語明確性與一致性，爰提案修正一律改以新臺幣為單位，並換算至相當數額。)</w:t>
            </w:r>
          </w:p>
        </w:tc>
        <w:tc>
          <w:tcPr>
            <w:tcW w:w="1905" w:type="dxa"/>
            <w:shd w:val="clear" w:color="auto" w:fill="auto"/>
          </w:tcPr>
          <w:p w14:paraId="1477A5E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委員羅明才</w:t>
            </w:r>
          </w:p>
          <w:p w14:paraId="4D232D4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598E0C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39869F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（10-6-13）</w:t>
            </w:r>
          </w:p>
        </w:tc>
        <w:tc>
          <w:tcPr>
            <w:tcW w:w="1581" w:type="dxa"/>
            <w:shd w:val="clear" w:color="auto" w:fill="auto"/>
          </w:tcPr>
          <w:p w14:paraId="7CA1E1B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95E139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6057982" w14:textId="77777777" w:rsidTr="00974FB5">
        <w:tc>
          <w:tcPr>
            <w:tcW w:w="595" w:type="dxa"/>
            <w:shd w:val="clear" w:color="auto" w:fill="auto"/>
          </w:tcPr>
          <w:p w14:paraId="330BB8C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187</w:t>
            </w:r>
          </w:p>
        </w:tc>
        <w:tc>
          <w:tcPr>
            <w:tcW w:w="2694" w:type="dxa"/>
            <w:shd w:val="clear" w:color="auto" w:fill="auto"/>
          </w:tcPr>
          <w:p w14:paraId="63BD46F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民法第八百零七條條文修正草案(修正重點：拾得物如含有隱私、私密或其他個人資料、資訊</w:t>
            </w:r>
            <w:r w:rsidRPr="00026143">
              <w:rPr>
                <w:rFonts w:ascii="標楷體" w:eastAsia="標楷體" w:hAnsi="標楷體"/>
                <w:bCs/>
                <w:color w:val="000000" w:themeColor="text1"/>
              </w:rPr>
              <w:lastRenderedPageBreak/>
              <w:t>或檔案，拾得人不得取得所有權。)</w:t>
            </w:r>
          </w:p>
        </w:tc>
        <w:tc>
          <w:tcPr>
            <w:tcW w:w="1905" w:type="dxa"/>
            <w:shd w:val="clear" w:color="auto" w:fill="auto"/>
          </w:tcPr>
          <w:p w14:paraId="6F578DC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委員張宏陸</w:t>
            </w:r>
          </w:p>
          <w:p w14:paraId="0CE6D94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等23人 </w:t>
            </w:r>
          </w:p>
          <w:p w14:paraId="0F2AEF8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7D3413B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51E52F1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04D716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D60FD90" w14:textId="77777777" w:rsidTr="00974FB5">
        <w:tc>
          <w:tcPr>
            <w:tcW w:w="595" w:type="dxa"/>
            <w:shd w:val="clear" w:color="auto" w:fill="auto"/>
          </w:tcPr>
          <w:p w14:paraId="6B131CF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188</w:t>
            </w:r>
          </w:p>
        </w:tc>
        <w:tc>
          <w:tcPr>
            <w:tcW w:w="2694" w:type="dxa"/>
            <w:shd w:val="clear" w:color="auto" w:fill="auto"/>
          </w:tcPr>
          <w:p w14:paraId="574ACDB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民法債編施行法增訂第三條之一條文草案(增訂重點：本次修正民法§197-1後，受害人如於民法債編修正前，其損害賠償請求權時效已消滅者，仍應適用修正之民法§197-1規定，為避免適用疑義，爰於本條明定之。)</w:t>
            </w:r>
          </w:p>
        </w:tc>
        <w:tc>
          <w:tcPr>
            <w:tcW w:w="1905" w:type="dxa"/>
            <w:shd w:val="clear" w:color="auto" w:fill="auto"/>
          </w:tcPr>
          <w:p w14:paraId="6BC23F0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委員周春米</w:t>
            </w:r>
          </w:p>
          <w:p w14:paraId="15F95BD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1A46299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10B66CC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41790AB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B9C7C7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E301499" w14:textId="77777777" w:rsidTr="00974FB5">
        <w:tc>
          <w:tcPr>
            <w:tcW w:w="595" w:type="dxa"/>
            <w:shd w:val="clear" w:color="auto" w:fill="auto"/>
          </w:tcPr>
          <w:p w14:paraId="2CEC469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189</w:t>
            </w:r>
          </w:p>
        </w:tc>
        <w:tc>
          <w:tcPr>
            <w:tcW w:w="2694" w:type="dxa"/>
            <w:shd w:val="clear" w:color="auto" w:fill="auto"/>
          </w:tcPr>
          <w:p w14:paraId="7F5D016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信託法部分條文修正草案（修正§69~83、85、86；增訂§71-1~10、72-1、75-1、75-2、82-1、83-1、85-1。修正重點：鑑於公益信託日益蓬勃，現行規範已不足以因應實務狀況，因應實務所需，並符公益，爰擬具修正草案。）</w:t>
            </w:r>
          </w:p>
        </w:tc>
        <w:tc>
          <w:tcPr>
            <w:tcW w:w="1905" w:type="dxa"/>
            <w:shd w:val="clear" w:color="auto" w:fill="auto"/>
          </w:tcPr>
          <w:p w14:paraId="2E0C5BA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行政院 </w:t>
            </w:r>
          </w:p>
          <w:p w14:paraId="2B252A8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4BDE39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276385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01058E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3C6EFE9" w14:textId="77777777" w:rsidTr="00974FB5">
        <w:tc>
          <w:tcPr>
            <w:tcW w:w="595" w:type="dxa"/>
            <w:shd w:val="clear" w:color="auto" w:fill="auto"/>
          </w:tcPr>
          <w:p w14:paraId="15931AA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190</w:t>
            </w:r>
          </w:p>
        </w:tc>
        <w:tc>
          <w:tcPr>
            <w:tcW w:w="2694" w:type="dxa"/>
            <w:shd w:val="clear" w:color="auto" w:fill="auto"/>
          </w:tcPr>
          <w:p w14:paraId="477185C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信託法部分條文修正草案（修正§69~83、85、86；增訂§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905" w:type="dxa"/>
            <w:shd w:val="clear" w:color="auto" w:fill="auto"/>
          </w:tcPr>
          <w:p w14:paraId="6926F83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委員高嘉瑜</w:t>
            </w:r>
          </w:p>
          <w:p w14:paraId="170D41A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729C7E2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109.05.15 </w:t>
            </w:r>
          </w:p>
          <w:p w14:paraId="78A194B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（10-1-13）</w:t>
            </w:r>
          </w:p>
        </w:tc>
        <w:tc>
          <w:tcPr>
            <w:tcW w:w="1581" w:type="dxa"/>
            <w:shd w:val="clear" w:color="auto" w:fill="auto"/>
          </w:tcPr>
          <w:p w14:paraId="69D3CB0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D20F0E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D9B571D" w14:textId="77777777" w:rsidTr="00974FB5">
        <w:tc>
          <w:tcPr>
            <w:tcW w:w="595" w:type="dxa"/>
            <w:shd w:val="clear" w:color="auto" w:fill="auto"/>
          </w:tcPr>
          <w:p w14:paraId="31EEB2C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191</w:t>
            </w:r>
          </w:p>
        </w:tc>
        <w:tc>
          <w:tcPr>
            <w:tcW w:w="2694" w:type="dxa"/>
            <w:shd w:val="clear" w:color="auto" w:fill="auto"/>
          </w:tcPr>
          <w:p w14:paraId="2D4C92B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3.信託法部分條文修正草案（修正§69~83、85、86；增訂§71-1~10、72-1、75-1、75-2、82-1、</w:t>
            </w:r>
            <w:r w:rsidRPr="00026143">
              <w:rPr>
                <w:rFonts w:ascii="標楷體" w:eastAsia="標楷體" w:hAnsi="標楷體"/>
                <w:bCs/>
                <w:color w:val="000000" w:themeColor="text1"/>
              </w:rPr>
              <w:lastRenderedPageBreak/>
              <w:t>83-1、85-1。修正重點：強化公益信託之監督管理機制。）</w:t>
            </w:r>
          </w:p>
        </w:tc>
        <w:tc>
          <w:tcPr>
            <w:tcW w:w="1905" w:type="dxa"/>
            <w:shd w:val="clear" w:color="auto" w:fill="auto"/>
          </w:tcPr>
          <w:p w14:paraId="6DA5794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委員郭國文</w:t>
            </w:r>
          </w:p>
          <w:p w14:paraId="002B84B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08F698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38D01B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22CE86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814B61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2137656" w14:textId="77777777" w:rsidTr="00974FB5">
        <w:tc>
          <w:tcPr>
            <w:tcW w:w="595" w:type="dxa"/>
            <w:shd w:val="clear" w:color="auto" w:fill="auto"/>
          </w:tcPr>
          <w:p w14:paraId="4B69F8E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192</w:t>
            </w:r>
          </w:p>
        </w:tc>
        <w:tc>
          <w:tcPr>
            <w:tcW w:w="2694" w:type="dxa"/>
            <w:shd w:val="clear" w:color="auto" w:fill="auto"/>
          </w:tcPr>
          <w:p w14:paraId="3B7EC26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4.信託法部分條文修正草案(增訂§71-1~7；修正§79。修正重點：明定衡量公益信託積極從事公益活動之指標與公益信託關係消滅時之移轉限制。)</w:t>
            </w:r>
          </w:p>
        </w:tc>
        <w:tc>
          <w:tcPr>
            <w:tcW w:w="1905" w:type="dxa"/>
            <w:shd w:val="clear" w:color="auto" w:fill="auto"/>
          </w:tcPr>
          <w:p w14:paraId="08F4FF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委員洪申翰</w:t>
            </w:r>
          </w:p>
          <w:p w14:paraId="3A03444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2A5F637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110.11.05 </w:t>
            </w:r>
          </w:p>
          <w:p w14:paraId="28776F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（10-4-8）</w:t>
            </w:r>
          </w:p>
        </w:tc>
        <w:tc>
          <w:tcPr>
            <w:tcW w:w="1581" w:type="dxa"/>
            <w:shd w:val="clear" w:color="auto" w:fill="auto"/>
          </w:tcPr>
          <w:p w14:paraId="08FE305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A921A9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7F848F1" w14:textId="77777777" w:rsidTr="00974FB5">
        <w:tc>
          <w:tcPr>
            <w:tcW w:w="595" w:type="dxa"/>
            <w:shd w:val="clear" w:color="auto" w:fill="auto"/>
          </w:tcPr>
          <w:p w14:paraId="6FAFACC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193</w:t>
            </w:r>
          </w:p>
        </w:tc>
        <w:tc>
          <w:tcPr>
            <w:tcW w:w="2694" w:type="dxa"/>
            <w:shd w:val="clear" w:color="auto" w:fill="auto"/>
          </w:tcPr>
          <w:p w14:paraId="4183A7D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信託法部分條文修正草案(修正§69~83、85、86；增訂§71-1~10；72-1、75-1、75-2、82-1、83-1、85-1。修正重點：部分公益信託於實務運作上淪為個人節稅與公司控股之工具，爰明定由中央目的事業主管機關受理公益信託之設立申請；增訂公益信託設立時之財產類型；增訂受託人管理及運用信託財產應負擔之義務及運用信託財產之方法；增訂公益信託辦理獎助或捐贈之處理原則；增訂公益信託之資訊揭露制度。)</w:t>
            </w:r>
          </w:p>
        </w:tc>
        <w:tc>
          <w:tcPr>
            <w:tcW w:w="1905" w:type="dxa"/>
            <w:shd w:val="clear" w:color="auto" w:fill="auto"/>
          </w:tcPr>
          <w:p w14:paraId="72CB4F8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委員林楚茵</w:t>
            </w:r>
          </w:p>
          <w:p w14:paraId="7CB5E4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6910A32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110.11.05 </w:t>
            </w:r>
          </w:p>
          <w:p w14:paraId="3E5088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（10-4-8）</w:t>
            </w:r>
          </w:p>
        </w:tc>
        <w:tc>
          <w:tcPr>
            <w:tcW w:w="1581" w:type="dxa"/>
            <w:shd w:val="clear" w:color="auto" w:fill="auto"/>
          </w:tcPr>
          <w:p w14:paraId="329B2FA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680D85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564BF0F" w14:textId="77777777" w:rsidTr="00974FB5">
        <w:tc>
          <w:tcPr>
            <w:tcW w:w="595" w:type="dxa"/>
            <w:shd w:val="clear" w:color="auto" w:fill="auto"/>
          </w:tcPr>
          <w:p w14:paraId="2B12F60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194</w:t>
            </w:r>
          </w:p>
        </w:tc>
        <w:tc>
          <w:tcPr>
            <w:tcW w:w="2694" w:type="dxa"/>
            <w:shd w:val="clear" w:color="auto" w:fill="auto"/>
          </w:tcPr>
          <w:p w14:paraId="1175586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信託法部分條文修正草案(修正§69、70、72~74、77、78、80~83、85、86；增訂§71-1~9、72-1、75-1、83-1。修正重點：鑑於信託法對於信託財產之管理及運用方法未有明確規範，甚而成為企業避稅管道，又各中央目的事業主管機關就公益信託之財務資訊揭露規範不一，應就公益信託設立許可監督、辦理信託事務及相關資訊公開予以強化。)</w:t>
            </w:r>
          </w:p>
        </w:tc>
        <w:tc>
          <w:tcPr>
            <w:tcW w:w="1905" w:type="dxa"/>
            <w:shd w:val="clear" w:color="auto" w:fill="auto"/>
          </w:tcPr>
          <w:p w14:paraId="5DCCB2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10F208A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111.03.11 </w:t>
            </w:r>
          </w:p>
          <w:p w14:paraId="3041C7A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（10-5-3）</w:t>
            </w:r>
          </w:p>
        </w:tc>
        <w:tc>
          <w:tcPr>
            <w:tcW w:w="1581" w:type="dxa"/>
            <w:shd w:val="clear" w:color="auto" w:fill="auto"/>
          </w:tcPr>
          <w:p w14:paraId="669530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46803C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0F1708B" w14:textId="77777777" w:rsidTr="00974FB5">
        <w:tc>
          <w:tcPr>
            <w:tcW w:w="595" w:type="dxa"/>
            <w:shd w:val="clear" w:color="auto" w:fill="auto"/>
          </w:tcPr>
          <w:p w14:paraId="250261E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195</w:t>
            </w:r>
          </w:p>
        </w:tc>
        <w:tc>
          <w:tcPr>
            <w:tcW w:w="2694" w:type="dxa"/>
            <w:shd w:val="clear" w:color="auto" w:fill="auto"/>
          </w:tcPr>
          <w:p w14:paraId="6773221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7.信託法部分條文修正</w:t>
            </w:r>
            <w:r w:rsidRPr="00026143">
              <w:rPr>
                <w:rFonts w:ascii="標楷體" w:eastAsia="標楷體" w:hAnsi="標楷體"/>
                <w:bCs/>
                <w:color w:val="000000" w:themeColor="text1"/>
              </w:rPr>
              <w:lastRenderedPageBreak/>
              <w:t>草案(修正§69、70、75、79、86；增訂§71-2、71-7、75-1、82-1、85-1。修正重點：目前信託財產之類型、管理及運用方法未有明確規範，致生爭議；另各目的事業主管機關就公益信託之財務資訊揭露，規範不一，公眾難以接近取得。為符公益與公開透明原則，爰提案修正。)</w:t>
            </w:r>
          </w:p>
        </w:tc>
        <w:tc>
          <w:tcPr>
            <w:tcW w:w="1905" w:type="dxa"/>
            <w:shd w:val="clear" w:color="auto" w:fill="auto"/>
          </w:tcPr>
          <w:p w14:paraId="46EF2B7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民眾黨黨團 </w:t>
            </w:r>
          </w:p>
          <w:p w14:paraId="606331A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111.03.11 </w:t>
            </w:r>
          </w:p>
          <w:p w14:paraId="58756B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（10-5-3）</w:t>
            </w:r>
          </w:p>
        </w:tc>
        <w:tc>
          <w:tcPr>
            <w:tcW w:w="1581" w:type="dxa"/>
            <w:shd w:val="clear" w:color="auto" w:fill="auto"/>
          </w:tcPr>
          <w:p w14:paraId="2B9F5E7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1BF7151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22A1D5C" w14:textId="77777777" w:rsidTr="00974FB5">
        <w:tc>
          <w:tcPr>
            <w:tcW w:w="595" w:type="dxa"/>
            <w:shd w:val="clear" w:color="auto" w:fill="auto"/>
          </w:tcPr>
          <w:p w14:paraId="7977662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196</w:t>
            </w:r>
          </w:p>
        </w:tc>
        <w:tc>
          <w:tcPr>
            <w:tcW w:w="2694" w:type="dxa"/>
            <w:shd w:val="clear" w:color="auto" w:fill="auto"/>
          </w:tcPr>
          <w:p w14:paraId="7495CD8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信託法部分條文修正草案(修正§69~83、85、86；增訂§71-1~10、72-1、75-1、75-2、82-1、83-1、85-1。修正重點：公益信託現行規範已不足以因應實務狀況；各目的事業主管機關就公益信託之財務資訊揭露，亦不利於公眾監督，爰提案修正。)</w:t>
            </w:r>
          </w:p>
        </w:tc>
        <w:tc>
          <w:tcPr>
            <w:tcW w:w="1905" w:type="dxa"/>
            <w:shd w:val="clear" w:color="auto" w:fill="auto"/>
          </w:tcPr>
          <w:p w14:paraId="31FB00F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委員吳玉琴</w:t>
            </w:r>
          </w:p>
          <w:p w14:paraId="0561223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7A6A053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111.03.18 </w:t>
            </w:r>
          </w:p>
          <w:p w14:paraId="5058325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（10-5-4）</w:t>
            </w:r>
          </w:p>
        </w:tc>
        <w:tc>
          <w:tcPr>
            <w:tcW w:w="1581" w:type="dxa"/>
            <w:shd w:val="clear" w:color="auto" w:fill="auto"/>
          </w:tcPr>
          <w:p w14:paraId="629099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0546EC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904BEBF" w14:textId="77777777" w:rsidTr="00974FB5">
        <w:tc>
          <w:tcPr>
            <w:tcW w:w="595" w:type="dxa"/>
            <w:shd w:val="clear" w:color="auto" w:fill="auto"/>
          </w:tcPr>
          <w:p w14:paraId="44B5293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197</w:t>
            </w:r>
          </w:p>
        </w:tc>
        <w:tc>
          <w:tcPr>
            <w:tcW w:w="2694" w:type="dxa"/>
            <w:shd w:val="clear" w:color="auto" w:fill="auto"/>
          </w:tcPr>
          <w:p w14:paraId="74F9FD5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信託法部分條文修正草案(修正§69~83、85、86；增訂§71-1~10、72-1、75-1、75-2、82-1、83-1、85-1。修正重點：公益信託已成為民間參與公益之重要途徑之一，現行規範卻不足以因應實務狀況。為因應實務所需，並符公益，爰提案修正。)</w:t>
            </w:r>
          </w:p>
        </w:tc>
        <w:tc>
          <w:tcPr>
            <w:tcW w:w="1905" w:type="dxa"/>
            <w:shd w:val="clear" w:color="auto" w:fill="auto"/>
          </w:tcPr>
          <w:p w14:paraId="3577CEF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委員蘇治芬</w:t>
            </w:r>
          </w:p>
          <w:p w14:paraId="504B989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7F29E84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111.11.18 </w:t>
            </w:r>
          </w:p>
          <w:p w14:paraId="05C06BD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（10-6-8）</w:t>
            </w:r>
          </w:p>
        </w:tc>
        <w:tc>
          <w:tcPr>
            <w:tcW w:w="1581" w:type="dxa"/>
            <w:shd w:val="clear" w:color="auto" w:fill="auto"/>
          </w:tcPr>
          <w:p w14:paraId="41F7048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C75A9E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0F0C66D" w14:textId="77777777" w:rsidTr="00974FB5">
        <w:tc>
          <w:tcPr>
            <w:tcW w:w="595" w:type="dxa"/>
            <w:shd w:val="clear" w:color="auto" w:fill="auto"/>
          </w:tcPr>
          <w:p w14:paraId="16164A1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198</w:t>
            </w:r>
          </w:p>
        </w:tc>
        <w:tc>
          <w:tcPr>
            <w:tcW w:w="2694" w:type="dxa"/>
            <w:shd w:val="clear" w:color="auto" w:fill="auto"/>
          </w:tcPr>
          <w:p w14:paraId="7025A16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信託法增訂第五條之一條文草案（增訂重點：明定當扣減權利人欲行使扣減權時，僅能向遺囑信託受益人之信託利益行使扣減權，並僅能就信託利益中按其特留分的比例行使扣減，而受益人有數人時，應按其所得之信託利益比例扣減。）</w:t>
            </w:r>
          </w:p>
        </w:tc>
        <w:tc>
          <w:tcPr>
            <w:tcW w:w="1905" w:type="dxa"/>
            <w:shd w:val="clear" w:color="auto" w:fill="auto"/>
          </w:tcPr>
          <w:p w14:paraId="6EAEFEE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委員賴士葆</w:t>
            </w:r>
          </w:p>
          <w:p w14:paraId="4A76E7F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4EAE0A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109.04.07 </w:t>
            </w:r>
          </w:p>
          <w:p w14:paraId="05D5E8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（10-1-7）</w:t>
            </w:r>
          </w:p>
        </w:tc>
        <w:tc>
          <w:tcPr>
            <w:tcW w:w="1581" w:type="dxa"/>
            <w:shd w:val="clear" w:color="auto" w:fill="auto"/>
          </w:tcPr>
          <w:p w14:paraId="7A54D1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C0C209D" w14:textId="4A6AF294"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本會109.5.4</w:t>
            </w:r>
          </w:p>
          <w:p w14:paraId="184BD9D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(10-1-22)報告及詢答完畢，另定期繼續審查。</w:t>
            </w:r>
          </w:p>
        </w:tc>
      </w:tr>
      <w:tr w:rsidR="00EC13B7" w:rsidRPr="00026143" w14:paraId="434CD56E" w14:textId="77777777" w:rsidTr="00974FB5">
        <w:tc>
          <w:tcPr>
            <w:tcW w:w="595" w:type="dxa"/>
            <w:shd w:val="clear" w:color="auto" w:fill="auto"/>
          </w:tcPr>
          <w:p w14:paraId="1FF91BB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199</w:t>
            </w:r>
          </w:p>
        </w:tc>
        <w:tc>
          <w:tcPr>
            <w:tcW w:w="2694" w:type="dxa"/>
            <w:shd w:val="clear" w:color="auto" w:fill="auto"/>
          </w:tcPr>
          <w:p w14:paraId="32A9065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1.公益揭發保護法草案</w:t>
            </w:r>
            <w:r w:rsidRPr="00026143">
              <w:rPr>
                <w:rFonts w:ascii="標楷體" w:eastAsia="標楷體" w:hAnsi="標楷體"/>
                <w:bCs/>
                <w:color w:val="000000" w:themeColor="text1"/>
              </w:rPr>
              <w:lastRenderedPageBreak/>
              <w:t>(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905" w:type="dxa"/>
            <w:shd w:val="clear" w:color="auto" w:fill="auto"/>
          </w:tcPr>
          <w:p w14:paraId="1964D65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時代力量黨團 </w:t>
            </w:r>
          </w:p>
          <w:p w14:paraId="431A0DA6" w14:textId="084810DE"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109.02.21 </w:t>
            </w:r>
          </w:p>
          <w:p w14:paraId="598A72D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w:t>
            </w:r>
          </w:p>
        </w:tc>
        <w:tc>
          <w:tcPr>
            <w:tcW w:w="1581" w:type="dxa"/>
            <w:shd w:val="clear" w:color="auto" w:fill="auto"/>
          </w:tcPr>
          <w:p w14:paraId="2F64A4A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430C9E5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1.本會110.4.14</w:t>
            </w:r>
            <w:r w:rsidRPr="00026143">
              <w:rPr>
                <w:rFonts w:ascii="標楷體" w:eastAsia="標楷體" w:hAnsi="標楷體"/>
                <w:bCs/>
                <w:color w:val="000000" w:themeColor="text1"/>
              </w:rPr>
              <w:lastRenderedPageBreak/>
              <w:t>舉行「從0402太魯閣號鐵道事故，制定揭弊者保護法規刻不容緩」公聽會。</w:t>
            </w:r>
          </w:p>
          <w:p w14:paraId="5624228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2.本會110.12.8舉行「從核四安全談揭弊者保護制度，落實廉能政府及行政中立」公聽會。</w:t>
            </w:r>
          </w:p>
        </w:tc>
      </w:tr>
      <w:tr w:rsidR="00EC13B7" w:rsidRPr="00026143" w14:paraId="0C1DEBE1" w14:textId="77777777" w:rsidTr="00974FB5">
        <w:tc>
          <w:tcPr>
            <w:tcW w:w="595" w:type="dxa"/>
            <w:shd w:val="clear" w:color="auto" w:fill="auto"/>
          </w:tcPr>
          <w:p w14:paraId="75A4AEA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200</w:t>
            </w:r>
          </w:p>
        </w:tc>
        <w:tc>
          <w:tcPr>
            <w:tcW w:w="2694" w:type="dxa"/>
            <w:shd w:val="clear" w:color="auto" w:fill="auto"/>
          </w:tcPr>
          <w:p w14:paraId="49CC563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905" w:type="dxa"/>
            <w:shd w:val="clear" w:color="auto" w:fill="auto"/>
          </w:tcPr>
          <w:p w14:paraId="3F1556D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委員吳玉琴</w:t>
            </w:r>
          </w:p>
          <w:p w14:paraId="30B0AF6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0544BDB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109.04.10 </w:t>
            </w:r>
          </w:p>
          <w:p w14:paraId="392F90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（10-1-8）</w:t>
            </w:r>
          </w:p>
        </w:tc>
        <w:tc>
          <w:tcPr>
            <w:tcW w:w="1581" w:type="dxa"/>
            <w:shd w:val="clear" w:color="auto" w:fill="auto"/>
          </w:tcPr>
          <w:p w14:paraId="70BB78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316118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1.本會110.4.14舉行「從0402太魯閣號鐵道事故，制定揭弊者保護法規刻不容緩」公聽會。</w:t>
            </w:r>
          </w:p>
          <w:p w14:paraId="60AA9B8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2.本會110.12.8舉行「從核四安全談揭弊者保護制度，落實廉能政府及行政中立」公聽會。</w:t>
            </w:r>
          </w:p>
        </w:tc>
      </w:tr>
      <w:tr w:rsidR="00EC13B7" w:rsidRPr="00026143" w14:paraId="0A5DAA0D" w14:textId="77777777" w:rsidTr="00974FB5">
        <w:tc>
          <w:tcPr>
            <w:tcW w:w="595" w:type="dxa"/>
            <w:shd w:val="clear" w:color="auto" w:fill="auto"/>
          </w:tcPr>
          <w:p w14:paraId="72EEDC0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201</w:t>
            </w:r>
          </w:p>
        </w:tc>
        <w:tc>
          <w:tcPr>
            <w:tcW w:w="2694" w:type="dxa"/>
            <w:shd w:val="clear" w:color="auto" w:fill="auto"/>
          </w:tcPr>
          <w:p w14:paraId="507C92D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3.揭弊者保護法草案(共19條。制定重點：為維護公共利益，有效發現、防止、追究重大不法行為，保障公部門及私部門揭弊者之權益，特制定本法；主管機關為法務部；規範公、私</w:t>
            </w:r>
            <w:r w:rsidRPr="00026143">
              <w:rPr>
                <w:rFonts w:ascii="標楷體" w:eastAsia="標楷體" w:hAnsi="標楷體"/>
                <w:bCs/>
                <w:color w:val="000000" w:themeColor="text1"/>
              </w:rPr>
              <w:lastRenderedPageBreak/>
              <w:t>部門揭弊範圍、受理揭弊機關、揭弊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905" w:type="dxa"/>
            <w:shd w:val="clear" w:color="auto" w:fill="auto"/>
          </w:tcPr>
          <w:p w14:paraId="561B5F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委員鄭麗文</w:t>
            </w:r>
          </w:p>
          <w:p w14:paraId="7319B6E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等25人 </w:t>
            </w:r>
          </w:p>
          <w:p w14:paraId="3C8BC0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109.05.01 </w:t>
            </w:r>
          </w:p>
          <w:p w14:paraId="5861C1B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（10-1-11）</w:t>
            </w:r>
          </w:p>
        </w:tc>
        <w:tc>
          <w:tcPr>
            <w:tcW w:w="1581" w:type="dxa"/>
            <w:shd w:val="clear" w:color="auto" w:fill="auto"/>
          </w:tcPr>
          <w:p w14:paraId="3951FC4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946EA8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1.本會110.4.14舉行「從0402太魯閣號鐵道事故，制定揭弊者保護法規刻不容緩」公聽會。</w:t>
            </w:r>
          </w:p>
          <w:p w14:paraId="509F4D1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2.本會110.12.8舉行「從核四安</w:t>
            </w:r>
            <w:r w:rsidRPr="00026143">
              <w:rPr>
                <w:rFonts w:ascii="標楷體" w:eastAsia="標楷體" w:hAnsi="標楷體"/>
                <w:bCs/>
                <w:color w:val="000000" w:themeColor="text1"/>
              </w:rPr>
              <w:lastRenderedPageBreak/>
              <w:t>全談揭弊者保護制度，落實廉能政府及行政中立」公聽會。</w:t>
            </w:r>
          </w:p>
        </w:tc>
      </w:tr>
      <w:tr w:rsidR="00EC13B7" w:rsidRPr="00026143" w14:paraId="153D1C9D" w14:textId="77777777" w:rsidTr="00974FB5">
        <w:tc>
          <w:tcPr>
            <w:tcW w:w="595" w:type="dxa"/>
            <w:shd w:val="clear" w:color="auto" w:fill="auto"/>
          </w:tcPr>
          <w:p w14:paraId="465172C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202</w:t>
            </w:r>
          </w:p>
        </w:tc>
        <w:tc>
          <w:tcPr>
            <w:tcW w:w="2694" w:type="dxa"/>
            <w:shd w:val="clear" w:color="auto" w:fill="auto"/>
          </w:tcPr>
          <w:p w14:paraId="3DAC8BF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905" w:type="dxa"/>
            <w:shd w:val="clear" w:color="auto" w:fill="auto"/>
          </w:tcPr>
          <w:p w14:paraId="1F8256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委員李貴敏</w:t>
            </w:r>
          </w:p>
          <w:p w14:paraId="663D49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等26人 </w:t>
            </w:r>
          </w:p>
          <w:p w14:paraId="582D845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109.12.24 </w:t>
            </w:r>
          </w:p>
          <w:p w14:paraId="653BBA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（10-2-9）</w:t>
            </w:r>
          </w:p>
        </w:tc>
        <w:tc>
          <w:tcPr>
            <w:tcW w:w="1581" w:type="dxa"/>
            <w:shd w:val="clear" w:color="auto" w:fill="auto"/>
          </w:tcPr>
          <w:p w14:paraId="3F5C7B0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9E7B4B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1.本會110.4.14舉行「從0402太魯閣號鐵道事故，制定揭弊者保護法規刻不容緩」公聽會。</w:t>
            </w:r>
          </w:p>
          <w:p w14:paraId="290DE5F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2.本會110.12.8舉行「從核四安全談揭弊者保護制度，落實廉能政府及行政中立」公聽會。</w:t>
            </w:r>
          </w:p>
        </w:tc>
      </w:tr>
      <w:tr w:rsidR="00EC13B7" w:rsidRPr="00026143" w14:paraId="1DD99AB7" w14:textId="77777777" w:rsidTr="00974FB5">
        <w:tc>
          <w:tcPr>
            <w:tcW w:w="595" w:type="dxa"/>
            <w:shd w:val="clear" w:color="auto" w:fill="auto"/>
          </w:tcPr>
          <w:p w14:paraId="647F769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203</w:t>
            </w:r>
          </w:p>
        </w:tc>
        <w:tc>
          <w:tcPr>
            <w:tcW w:w="2694" w:type="dxa"/>
            <w:shd w:val="clear" w:color="auto" w:fill="auto"/>
          </w:tcPr>
          <w:p w14:paraId="08F6857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揭弊者保護法草案（共22條。制定重點：為維護公共利益，有效嚇阻、發現並追究重大不法行為，保障公部門及私部門揭弊者之權益，特制定本法；主管機關為法務部；公、私部門揭弊範圍、受理揭弊機關、揭弊者、揭弊程序；禁止不利人事措施原則、不利人事措施定義、救濟內容與程序、舉證責任分配及報復性行為人之責任；揭弊者之法</w:t>
            </w:r>
            <w:r w:rsidRPr="00026143">
              <w:rPr>
                <w:rFonts w:ascii="標楷體" w:eastAsia="標楷體" w:hAnsi="標楷體"/>
                <w:bCs/>
                <w:color w:val="000000" w:themeColor="text1"/>
              </w:rPr>
              <w:lastRenderedPageBreak/>
              <w:t>律責任減免方式；揭弊者及其家屬保護之措施；受理揭弊機關保密揭弊者身分之義務；揭弊者權益維持原則及喪失保護之例外情事；揭弊獎金由各目的事業主管機關另定規範；為防止濫用本法之反制措施；揭弊者機構得辦理揭弊者照顧、關懷及救濟事宜；保障揭弊者於媒體報導應有保障隱私之措施。）</w:t>
            </w:r>
          </w:p>
        </w:tc>
        <w:tc>
          <w:tcPr>
            <w:tcW w:w="1905" w:type="dxa"/>
            <w:shd w:val="clear" w:color="auto" w:fill="auto"/>
          </w:tcPr>
          <w:p w14:paraId="746AAF3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民眾黨黨團 </w:t>
            </w:r>
          </w:p>
          <w:p w14:paraId="3BD0EF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109.12.24 </w:t>
            </w:r>
          </w:p>
          <w:p w14:paraId="598A950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（10-2-9）</w:t>
            </w:r>
          </w:p>
        </w:tc>
        <w:tc>
          <w:tcPr>
            <w:tcW w:w="1581" w:type="dxa"/>
            <w:shd w:val="clear" w:color="auto" w:fill="auto"/>
          </w:tcPr>
          <w:p w14:paraId="3485210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251462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1.本會110.4.14舉行「從0402太魯閣號鐵道事故，制定揭弊者保護法規刻不容緩」公聽會。</w:t>
            </w:r>
          </w:p>
          <w:p w14:paraId="32FC8DD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2.本會110.12.8舉行「從核四安全談揭弊者保護制度，落實廉能政府及行政中立」公聽會。</w:t>
            </w:r>
          </w:p>
        </w:tc>
      </w:tr>
      <w:tr w:rsidR="00EC13B7" w:rsidRPr="00026143" w14:paraId="100C822C" w14:textId="77777777" w:rsidTr="00974FB5">
        <w:tc>
          <w:tcPr>
            <w:tcW w:w="595" w:type="dxa"/>
            <w:shd w:val="clear" w:color="auto" w:fill="auto"/>
          </w:tcPr>
          <w:p w14:paraId="401127C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204</w:t>
            </w:r>
          </w:p>
        </w:tc>
        <w:tc>
          <w:tcPr>
            <w:tcW w:w="2694" w:type="dxa"/>
            <w:shd w:val="clear" w:color="auto" w:fill="auto"/>
          </w:tcPr>
          <w:p w14:paraId="6D2F300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905" w:type="dxa"/>
            <w:shd w:val="clear" w:color="auto" w:fill="auto"/>
          </w:tcPr>
          <w:p w14:paraId="4652E5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委員楊瓊瓔</w:t>
            </w:r>
          </w:p>
          <w:p w14:paraId="753828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06725B1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109.12.30 </w:t>
            </w:r>
          </w:p>
          <w:p w14:paraId="6C1D8E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（10-2-11）</w:t>
            </w:r>
          </w:p>
        </w:tc>
        <w:tc>
          <w:tcPr>
            <w:tcW w:w="1581" w:type="dxa"/>
            <w:shd w:val="clear" w:color="auto" w:fill="auto"/>
          </w:tcPr>
          <w:p w14:paraId="44FA05D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6BFA60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1.本會110.4.14舉行「從0402太魯閣號鐵道事故，制定揭弊者保護法規刻不容緩」公聽會。</w:t>
            </w:r>
          </w:p>
          <w:p w14:paraId="41525ED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2.本會110.12.8舉行「從核四安全談揭弊者保護制度，落實廉能政府及行政中立」公聽會。</w:t>
            </w:r>
          </w:p>
        </w:tc>
      </w:tr>
      <w:tr w:rsidR="00EC13B7" w:rsidRPr="00026143" w14:paraId="38F9B658" w14:textId="77777777" w:rsidTr="00974FB5">
        <w:tc>
          <w:tcPr>
            <w:tcW w:w="595" w:type="dxa"/>
            <w:shd w:val="clear" w:color="auto" w:fill="auto"/>
          </w:tcPr>
          <w:p w14:paraId="4AEA8A5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205</w:t>
            </w:r>
          </w:p>
        </w:tc>
        <w:tc>
          <w:tcPr>
            <w:tcW w:w="2694" w:type="dxa"/>
            <w:shd w:val="clear" w:color="auto" w:fill="auto"/>
          </w:tcPr>
          <w:p w14:paraId="22C9A92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7.揭弊者保護法草案（共20條。制定重點：為維護公共利益，有效發現、防止、追究重大不法行為，保障公部門及私部門揭弊者之權益，特制定本法；主管機關</w:t>
            </w:r>
            <w:r w:rsidRPr="00026143">
              <w:rPr>
                <w:rFonts w:ascii="標楷體" w:eastAsia="標楷體" w:hAnsi="標楷體"/>
                <w:bCs/>
                <w:color w:val="000000" w:themeColor="text1"/>
              </w:rPr>
              <w:lastRenderedPageBreak/>
              <w:t>為法務部；揭弊事由；第一層及第二層受理揭弊機關；揭弊者及其應遵循之揭弊程序；禁止不利人事措施原則、不利人事措施之情形、針對不利措施之救濟程序與舉證責任分配、違反禁止不利人事措施之處罰、相關賠償及補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訂規範，私部門則從其內部規章之規定。）</w:t>
            </w:r>
          </w:p>
        </w:tc>
        <w:tc>
          <w:tcPr>
            <w:tcW w:w="1905" w:type="dxa"/>
            <w:shd w:val="clear" w:color="auto" w:fill="auto"/>
          </w:tcPr>
          <w:p w14:paraId="2D6A576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委員曾銘宗</w:t>
            </w:r>
          </w:p>
          <w:p w14:paraId="63A864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4E146D0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110.02.26 </w:t>
            </w:r>
          </w:p>
          <w:p w14:paraId="00A7282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w:t>
            </w:r>
          </w:p>
        </w:tc>
        <w:tc>
          <w:tcPr>
            <w:tcW w:w="1581" w:type="dxa"/>
            <w:shd w:val="clear" w:color="auto" w:fill="auto"/>
          </w:tcPr>
          <w:p w14:paraId="27BCBAC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E57721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1.本會110.4.14舉行「從0402太魯閣號鐵道事故，制定揭弊者保護法規刻不容緩」公聽會。</w:t>
            </w:r>
          </w:p>
          <w:p w14:paraId="4BC0A7F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2.本會110.12.8</w:t>
            </w:r>
            <w:r w:rsidRPr="00026143">
              <w:rPr>
                <w:rFonts w:ascii="標楷體" w:eastAsia="標楷體" w:hAnsi="標楷體"/>
                <w:bCs/>
                <w:color w:val="000000" w:themeColor="text1"/>
              </w:rPr>
              <w:lastRenderedPageBreak/>
              <w:t>舉行「從核四安全談揭弊者保護制度，落實廉能政府及行政中立」公聽會。</w:t>
            </w:r>
          </w:p>
        </w:tc>
      </w:tr>
      <w:tr w:rsidR="00EC13B7" w:rsidRPr="00026143" w14:paraId="4F014B52" w14:textId="77777777" w:rsidTr="00974FB5">
        <w:tc>
          <w:tcPr>
            <w:tcW w:w="595" w:type="dxa"/>
            <w:shd w:val="clear" w:color="auto" w:fill="auto"/>
          </w:tcPr>
          <w:p w14:paraId="5ED521E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206</w:t>
            </w:r>
          </w:p>
        </w:tc>
        <w:tc>
          <w:tcPr>
            <w:tcW w:w="2694" w:type="dxa"/>
            <w:shd w:val="clear" w:color="auto" w:fill="auto"/>
          </w:tcPr>
          <w:p w14:paraId="3181EC1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舉證責任分配；揭弊者保密義務之豁免；規範揭弊者法律責任減免要件、人身安全及身分保密之保護；揭弊獎金由各目的事業主管機關另定規範。）</w:t>
            </w:r>
          </w:p>
        </w:tc>
        <w:tc>
          <w:tcPr>
            <w:tcW w:w="1905" w:type="dxa"/>
            <w:shd w:val="clear" w:color="auto" w:fill="auto"/>
          </w:tcPr>
          <w:p w14:paraId="604AF40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委員徐志榮</w:t>
            </w:r>
          </w:p>
          <w:p w14:paraId="3680FAA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D1BA18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110.04.23 </w:t>
            </w:r>
          </w:p>
          <w:p w14:paraId="78112E0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（10-3-9）</w:t>
            </w:r>
          </w:p>
        </w:tc>
        <w:tc>
          <w:tcPr>
            <w:tcW w:w="1581" w:type="dxa"/>
            <w:shd w:val="clear" w:color="auto" w:fill="auto"/>
          </w:tcPr>
          <w:p w14:paraId="461FCF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D5EF59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本會110.12.8舉行「從核四安全談揭弊者保護制度，落實廉能政府及行政中立」公聽會。</w:t>
            </w:r>
          </w:p>
        </w:tc>
      </w:tr>
      <w:tr w:rsidR="00EC13B7" w:rsidRPr="00026143" w14:paraId="6718B3F3" w14:textId="77777777" w:rsidTr="00974FB5">
        <w:tc>
          <w:tcPr>
            <w:tcW w:w="595" w:type="dxa"/>
            <w:shd w:val="clear" w:color="auto" w:fill="auto"/>
          </w:tcPr>
          <w:p w14:paraId="7FB366F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207</w:t>
            </w:r>
          </w:p>
        </w:tc>
        <w:tc>
          <w:tcPr>
            <w:tcW w:w="2694" w:type="dxa"/>
            <w:shd w:val="clear" w:color="auto" w:fill="auto"/>
          </w:tcPr>
          <w:p w14:paraId="208244A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9.公益揭弊法草案（共</w:t>
            </w:r>
            <w:r w:rsidRPr="00026143">
              <w:rPr>
                <w:rFonts w:ascii="標楷體" w:eastAsia="標楷體" w:hAnsi="標楷體"/>
                <w:bCs/>
                <w:color w:val="000000" w:themeColor="text1"/>
              </w:rPr>
              <w:lastRenderedPageBreak/>
              <w:t>22條。制定重點：為維護公共利益，有效發現、防止、追究重大不法行為，保障公部門及私部門揭弊者之權益，特制定本法；主管機關為法務部；規範揭弊範圍、受理揭弊機關、公私部門揭弊者及揭弊程序；規範禁止不利措施原則、不利措施定義、救濟內容與程序、舉證責任分配及報復性行為人之責任；規範揭弊者法律責任減免要件、人身安全及身分保密之保護；揭弊者權益維持原則及喪失保護之例外情事；發給揭弊獎金。）</w:t>
            </w:r>
          </w:p>
        </w:tc>
        <w:tc>
          <w:tcPr>
            <w:tcW w:w="1905" w:type="dxa"/>
            <w:shd w:val="clear" w:color="auto" w:fill="auto"/>
          </w:tcPr>
          <w:p w14:paraId="4090D7F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委員范雲</w:t>
            </w:r>
          </w:p>
          <w:p w14:paraId="0FB91C8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等16人 </w:t>
            </w:r>
          </w:p>
          <w:p w14:paraId="4B87668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110.04.30 </w:t>
            </w:r>
          </w:p>
          <w:p w14:paraId="2475A8A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（10-3-10）</w:t>
            </w:r>
          </w:p>
        </w:tc>
        <w:tc>
          <w:tcPr>
            <w:tcW w:w="1581" w:type="dxa"/>
            <w:shd w:val="clear" w:color="auto" w:fill="auto"/>
          </w:tcPr>
          <w:p w14:paraId="50D302E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4A24212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本會110.12.8</w:t>
            </w:r>
            <w:r w:rsidRPr="00026143">
              <w:rPr>
                <w:rFonts w:ascii="標楷體" w:eastAsia="標楷體" w:hAnsi="標楷體"/>
                <w:bCs/>
                <w:color w:val="000000" w:themeColor="text1"/>
              </w:rPr>
              <w:lastRenderedPageBreak/>
              <w:t>舉行「從核四安全談揭弊者保護制度，落實廉能政府及行政中立」公聽會。</w:t>
            </w:r>
          </w:p>
        </w:tc>
      </w:tr>
      <w:tr w:rsidR="00EC13B7" w:rsidRPr="00026143" w14:paraId="438E2E3F" w14:textId="77777777" w:rsidTr="00974FB5">
        <w:tc>
          <w:tcPr>
            <w:tcW w:w="595" w:type="dxa"/>
            <w:shd w:val="clear" w:color="auto" w:fill="auto"/>
          </w:tcPr>
          <w:p w14:paraId="39BC68D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208</w:t>
            </w:r>
          </w:p>
        </w:tc>
        <w:tc>
          <w:tcPr>
            <w:tcW w:w="2694" w:type="dxa"/>
            <w:shd w:val="clear" w:color="auto" w:fill="auto"/>
          </w:tcPr>
          <w:p w14:paraId="0C0FBC3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10.揭弊者保護法草案(共20條。制定重點：維護揭弊者權益，從而鼓勵知悉犯行者勇於出面揭弊或提供犯罪資訊，以確保社會公益。)</w:t>
            </w:r>
          </w:p>
        </w:tc>
        <w:tc>
          <w:tcPr>
            <w:tcW w:w="1905" w:type="dxa"/>
            <w:shd w:val="clear" w:color="auto" w:fill="auto"/>
          </w:tcPr>
          <w:p w14:paraId="52B4E40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委員吳琪銘</w:t>
            </w:r>
          </w:p>
          <w:p w14:paraId="009C83B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0F74B1A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110.11.05 </w:t>
            </w:r>
          </w:p>
          <w:p w14:paraId="0AD149A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（10-4-8）</w:t>
            </w:r>
          </w:p>
        </w:tc>
        <w:tc>
          <w:tcPr>
            <w:tcW w:w="1581" w:type="dxa"/>
            <w:shd w:val="clear" w:color="auto" w:fill="auto"/>
          </w:tcPr>
          <w:p w14:paraId="1A02C7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798FF7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本會110.12.8舉行「從核四安全談揭弊者保護制度，落實廉能政府及行政中立」公聽會。</w:t>
            </w:r>
          </w:p>
        </w:tc>
      </w:tr>
      <w:tr w:rsidR="00EC13B7" w:rsidRPr="00026143" w14:paraId="13117910" w14:textId="77777777" w:rsidTr="00974FB5">
        <w:tc>
          <w:tcPr>
            <w:tcW w:w="595" w:type="dxa"/>
            <w:shd w:val="clear" w:color="auto" w:fill="auto"/>
          </w:tcPr>
          <w:p w14:paraId="4091023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209</w:t>
            </w:r>
          </w:p>
        </w:tc>
        <w:tc>
          <w:tcPr>
            <w:tcW w:w="2694" w:type="dxa"/>
            <w:shd w:val="clear" w:color="auto" w:fill="auto"/>
          </w:tcPr>
          <w:p w14:paraId="160F2EA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11.揭弊者保護法草案(共20條。制定重點：維護揭弊者權益，從而鼓勵知悉犯行者勇於出面揭弊或提供犯罪資訊；以確保社會公益，揭止犯罪。)</w:t>
            </w:r>
          </w:p>
        </w:tc>
        <w:tc>
          <w:tcPr>
            <w:tcW w:w="1905" w:type="dxa"/>
            <w:shd w:val="clear" w:color="auto" w:fill="auto"/>
          </w:tcPr>
          <w:p w14:paraId="5F7DB6B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74D7D3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16D18FE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110.12.03 </w:t>
            </w:r>
          </w:p>
          <w:p w14:paraId="008B736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（10-4-12）</w:t>
            </w:r>
          </w:p>
        </w:tc>
        <w:tc>
          <w:tcPr>
            <w:tcW w:w="1581" w:type="dxa"/>
            <w:shd w:val="clear" w:color="auto" w:fill="auto"/>
          </w:tcPr>
          <w:p w14:paraId="00D71D6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78E8F0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E2D435A" w14:textId="77777777" w:rsidTr="00974FB5">
        <w:tc>
          <w:tcPr>
            <w:tcW w:w="595" w:type="dxa"/>
            <w:shd w:val="clear" w:color="auto" w:fill="auto"/>
          </w:tcPr>
          <w:p w14:paraId="205E158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210</w:t>
            </w:r>
          </w:p>
        </w:tc>
        <w:tc>
          <w:tcPr>
            <w:tcW w:w="2694" w:type="dxa"/>
            <w:shd w:val="clear" w:color="auto" w:fill="auto"/>
          </w:tcPr>
          <w:p w14:paraId="546DD20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12.揭弊者保護法草案(共19條。制定重點：為維護我國公共利益，鼓勵對於政府機關、公司及商業之內部違法情事之揭弊，並使揭弊者獲得保護，特制定本法。)</w:t>
            </w:r>
          </w:p>
        </w:tc>
        <w:tc>
          <w:tcPr>
            <w:tcW w:w="1905" w:type="dxa"/>
            <w:shd w:val="clear" w:color="auto" w:fill="auto"/>
          </w:tcPr>
          <w:p w14:paraId="141E865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7215B6B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460F59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55F8E1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47ED5C7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800B50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BBD5BF6" w14:textId="77777777" w:rsidTr="00974FB5">
        <w:tc>
          <w:tcPr>
            <w:tcW w:w="595" w:type="dxa"/>
            <w:shd w:val="clear" w:color="auto" w:fill="auto"/>
          </w:tcPr>
          <w:p w14:paraId="397DB8E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211</w:t>
            </w:r>
          </w:p>
        </w:tc>
        <w:tc>
          <w:tcPr>
            <w:tcW w:w="2694" w:type="dxa"/>
            <w:shd w:val="clear" w:color="auto" w:fill="auto"/>
          </w:tcPr>
          <w:p w14:paraId="272C1EC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1.行政罰法第十八條條文修正草案（修正重點：針對不法所得之利益超過法定罰鍰最高額者，得追繳其所得利益，並另裁處罰鍰。）</w:t>
            </w:r>
          </w:p>
        </w:tc>
        <w:tc>
          <w:tcPr>
            <w:tcW w:w="1905" w:type="dxa"/>
            <w:shd w:val="clear" w:color="auto" w:fill="auto"/>
          </w:tcPr>
          <w:p w14:paraId="62A5D1D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委員林俊憲</w:t>
            </w:r>
          </w:p>
          <w:p w14:paraId="0E6F461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5DE0FAA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109.03.03 </w:t>
            </w:r>
          </w:p>
          <w:p w14:paraId="1AFBF29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（10-1-2）</w:t>
            </w:r>
          </w:p>
        </w:tc>
        <w:tc>
          <w:tcPr>
            <w:tcW w:w="1581" w:type="dxa"/>
            <w:shd w:val="clear" w:color="auto" w:fill="auto"/>
          </w:tcPr>
          <w:p w14:paraId="4E97621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349F0DC" w14:textId="39317E9F"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本會109.4.1</w:t>
            </w:r>
          </w:p>
          <w:p w14:paraId="46A9D0D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(10-1-12)報告及詢答完畢，另定期繼續審查。</w:t>
            </w:r>
          </w:p>
        </w:tc>
      </w:tr>
      <w:tr w:rsidR="00EC13B7" w:rsidRPr="00026143" w14:paraId="33F02C08" w14:textId="77777777" w:rsidTr="00974FB5">
        <w:tc>
          <w:tcPr>
            <w:tcW w:w="595" w:type="dxa"/>
            <w:shd w:val="clear" w:color="auto" w:fill="auto"/>
          </w:tcPr>
          <w:p w14:paraId="2A7DE26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212</w:t>
            </w:r>
          </w:p>
        </w:tc>
        <w:tc>
          <w:tcPr>
            <w:tcW w:w="2694" w:type="dxa"/>
            <w:shd w:val="clear" w:color="auto" w:fill="auto"/>
          </w:tcPr>
          <w:p w14:paraId="3A62806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2.行政罰法第十八條條</w:t>
            </w:r>
            <w:r w:rsidRPr="00026143">
              <w:rPr>
                <w:rFonts w:ascii="標楷體" w:eastAsia="標楷體" w:hAnsi="標楷體"/>
                <w:bCs/>
                <w:color w:val="000000" w:themeColor="text1"/>
              </w:rPr>
              <w:lastRenderedPageBreak/>
              <w:t>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905" w:type="dxa"/>
            <w:shd w:val="clear" w:color="auto" w:fill="auto"/>
          </w:tcPr>
          <w:p w14:paraId="6FE3B43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委員周春米</w:t>
            </w:r>
          </w:p>
          <w:p w14:paraId="0D86B8C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等17人 </w:t>
            </w:r>
          </w:p>
          <w:p w14:paraId="046B15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111.05.20 </w:t>
            </w:r>
          </w:p>
          <w:p w14:paraId="1B375C2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（10-5-13）</w:t>
            </w:r>
          </w:p>
        </w:tc>
        <w:tc>
          <w:tcPr>
            <w:tcW w:w="1581" w:type="dxa"/>
            <w:shd w:val="clear" w:color="auto" w:fill="auto"/>
          </w:tcPr>
          <w:p w14:paraId="35D65A4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7B52D63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264A7A3" w14:textId="77777777" w:rsidTr="00974FB5">
        <w:tc>
          <w:tcPr>
            <w:tcW w:w="595" w:type="dxa"/>
            <w:shd w:val="clear" w:color="auto" w:fill="auto"/>
          </w:tcPr>
          <w:p w14:paraId="1FD6101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213</w:t>
            </w:r>
          </w:p>
        </w:tc>
        <w:tc>
          <w:tcPr>
            <w:tcW w:w="2694" w:type="dxa"/>
            <w:shd w:val="clear" w:color="auto" w:fill="auto"/>
          </w:tcPr>
          <w:p w14:paraId="72340C6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3.行政罰法第十八條條文修正草案(修正重點：將減輕處罰之罰鍰下限定為「不得低於法定罰鍰最低額之四分之一」，同時有免除處罰之情形之罰鍰下限定為，「不得低於法定罰鍰最低額之六分之一」。)</w:t>
            </w:r>
          </w:p>
        </w:tc>
        <w:tc>
          <w:tcPr>
            <w:tcW w:w="1905" w:type="dxa"/>
            <w:shd w:val="clear" w:color="auto" w:fill="auto"/>
          </w:tcPr>
          <w:p w14:paraId="51CBF71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委員趙正宇</w:t>
            </w:r>
          </w:p>
          <w:p w14:paraId="18D4534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248B9D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1B2C58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0F4DF23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C52DFE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07494EA" w14:textId="77777777" w:rsidTr="00974FB5">
        <w:tc>
          <w:tcPr>
            <w:tcW w:w="595" w:type="dxa"/>
            <w:shd w:val="clear" w:color="auto" w:fill="auto"/>
          </w:tcPr>
          <w:p w14:paraId="7A8008A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214</w:t>
            </w:r>
          </w:p>
        </w:tc>
        <w:tc>
          <w:tcPr>
            <w:tcW w:w="2694" w:type="dxa"/>
            <w:shd w:val="clear" w:color="auto" w:fill="auto"/>
          </w:tcPr>
          <w:p w14:paraId="1CD9EDB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行政罰法第十九條條文修正草案（修正重點：違反行政法上義務不得依第1項免予處罰，其情節輕微顯可憫恕者，得減輕其處罰。）</w:t>
            </w:r>
          </w:p>
        </w:tc>
        <w:tc>
          <w:tcPr>
            <w:tcW w:w="1905" w:type="dxa"/>
            <w:shd w:val="clear" w:color="auto" w:fill="auto"/>
          </w:tcPr>
          <w:p w14:paraId="6F80DAD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委員周春米</w:t>
            </w:r>
          </w:p>
          <w:p w14:paraId="3D58831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07AA9F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109.12.11 </w:t>
            </w:r>
          </w:p>
          <w:p w14:paraId="37BE017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（10-2-7）</w:t>
            </w:r>
          </w:p>
        </w:tc>
        <w:tc>
          <w:tcPr>
            <w:tcW w:w="1581" w:type="dxa"/>
            <w:shd w:val="clear" w:color="auto" w:fill="auto"/>
          </w:tcPr>
          <w:p w14:paraId="0F4A8E0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A37F9B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C577BCE" w14:textId="77777777" w:rsidTr="00974FB5">
        <w:tc>
          <w:tcPr>
            <w:tcW w:w="595" w:type="dxa"/>
            <w:shd w:val="clear" w:color="auto" w:fill="auto"/>
          </w:tcPr>
          <w:p w14:paraId="638192E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215</w:t>
            </w:r>
          </w:p>
        </w:tc>
        <w:tc>
          <w:tcPr>
            <w:tcW w:w="2694" w:type="dxa"/>
            <w:shd w:val="clear" w:color="auto" w:fill="auto"/>
          </w:tcPr>
          <w:p w14:paraId="7CED5CB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1.公職人員財產申報法第五條條文修正草案（修正重點：將一定金額以上保險契約列入公職人員應申報之財產範圍。）</w:t>
            </w:r>
          </w:p>
        </w:tc>
        <w:tc>
          <w:tcPr>
            <w:tcW w:w="1905" w:type="dxa"/>
            <w:shd w:val="clear" w:color="auto" w:fill="auto"/>
          </w:tcPr>
          <w:p w14:paraId="390BC10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委員劉世芳</w:t>
            </w:r>
          </w:p>
          <w:p w14:paraId="12F9523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01D390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109.03.20 </w:t>
            </w:r>
          </w:p>
          <w:p w14:paraId="2C50B3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（10-1-5）</w:t>
            </w:r>
          </w:p>
        </w:tc>
        <w:tc>
          <w:tcPr>
            <w:tcW w:w="1581" w:type="dxa"/>
            <w:shd w:val="clear" w:color="auto" w:fill="auto"/>
          </w:tcPr>
          <w:p w14:paraId="2F0E71D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2A9789C" w14:textId="28F1C3D9"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本會109.4.1</w:t>
            </w:r>
          </w:p>
          <w:p w14:paraId="3A849BB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(10-1-12)報告及詢答完畢，另定期繼續審查。</w:t>
            </w:r>
          </w:p>
        </w:tc>
      </w:tr>
      <w:tr w:rsidR="00EC13B7" w:rsidRPr="00026143" w14:paraId="186AD92B" w14:textId="77777777" w:rsidTr="00974FB5">
        <w:tc>
          <w:tcPr>
            <w:tcW w:w="595" w:type="dxa"/>
            <w:shd w:val="clear" w:color="auto" w:fill="auto"/>
          </w:tcPr>
          <w:p w14:paraId="133545A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216</w:t>
            </w:r>
          </w:p>
        </w:tc>
        <w:tc>
          <w:tcPr>
            <w:tcW w:w="2694" w:type="dxa"/>
            <w:shd w:val="clear" w:color="auto" w:fill="auto"/>
          </w:tcPr>
          <w:p w14:paraId="7DBE243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905" w:type="dxa"/>
            <w:shd w:val="clear" w:color="auto" w:fill="auto"/>
          </w:tcPr>
          <w:p w14:paraId="0280E25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委員陳柏惟</w:t>
            </w:r>
          </w:p>
          <w:p w14:paraId="25782E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0E897C4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109.10.23 </w:t>
            </w:r>
          </w:p>
          <w:p w14:paraId="4B71D58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（10-2-4）</w:t>
            </w:r>
          </w:p>
        </w:tc>
        <w:tc>
          <w:tcPr>
            <w:tcW w:w="1581" w:type="dxa"/>
            <w:shd w:val="clear" w:color="auto" w:fill="auto"/>
          </w:tcPr>
          <w:p w14:paraId="6919BA8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B153A5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F1B5100" w14:textId="77777777" w:rsidTr="00974FB5">
        <w:tc>
          <w:tcPr>
            <w:tcW w:w="595" w:type="dxa"/>
            <w:shd w:val="clear" w:color="auto" w:fill="auto"/>
          </w:tcPr>
          <w:p w14:paraId="561A12B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217</w:t>
            </w:r>
          </w:p>
        </w:tc>
        <w:tc>
          <w:tcPr>
            <w:tcW w:w="2694" w:type="dxa"/>
            <w:shd w:val="clear" w:color="auto" w:fill="auto"/>
          </w:tcPr>
          <w:p w14:paraId="414E183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3.公職人員財產申報法第五條條文修正草案（</w:t>
            </w:r>
            <w:r w:rsidRPr="00026143">
              <w:rPr>
                <w:rFonts w:ascii="標楷體" w:eastAsia="標楷體" w:hAnsi="標楷體"/>
                <w:bCs/>
                <w:color w:val="000000" w:themeColor="text1"/>
              </w:rPr>
              <w:lastRenderedPageBreak/>
              <w:t>修正重點：為防範公職候選人於選舉前變動其財產，藉以逃避監督，應明定其參選登記之財產申報，倘於申報日前三年內有一定金額以上之變動者，亦應一併申報。）</w:t>
            </w:r>
          </w:p>
        </w:tc>
        <w:tc>
          <w:tcPr>
            <w:tcW w:w="1905" w:type="dxa"/>
            <w:shd w:val="clear" w:color="auto" w:fill="auto"/>
          </w:tcPr>
          <w:p w14:paraId="6C03758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委員蘇巧慧</w:t>
            </w:r>
          </w:p>
          <w:p w14:paraId="5BC0B8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0B7E549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111.10.14 </w:t>
            </w:r>
          </w:p>
          <w:p w14:paraId="087FB63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267F21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7630F45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08AF088" w14:textId="77777777" w:rsidTr="00974FB5">
        <w:tc>
          <w:tcPr>
            <w:tcW w:w="595" w:type="dxa"/>
            <w:shd w:val="clear" w:color="auto" w:fill="auto"/>
          </w:tcPr>
          <w:p w14:paraId="65FF564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218</w:t>
            </w:r>
          </w:p>
        </w:tc>
        <w:tc>
          <w:tcPr>
            <w:tcW w:w="2694" w:type="dxa"/>
            <w:shd w:val="clear" w:color="auto" w:fill="auto"/>
          </w:tcPr>
          <w:p w14:paraId="0F9D9D2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1.外役監條例部分條文修正草案（修正§1、4、18、21、25；刪除§19、23。修正重點：調整外役監遴選門檻、受刑人移回一般監獄執行、返家探視審查基準等規定，以均衡維護社會安全及受刑人復歸之需求。）</w:t>
            </w:r>
          </w:p>
        </w:tc>
        <w:tc>
          <w:tcPr>
            <w:tcW w:w="1905" w:type="dxa"/>
            <w:shd w:val="clear" w:color="auto" w:fill="auto"/>
          </w:tcPr>
          <w:p w14:paraId="2CA21C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行政院 </w:t>
            </w:r>
          </w:p>
          <w:p w14:paraId="621F1F9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5F0AF33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422244C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FDA7C34" w14:textId="1A04B844"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3BDBA3F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4E8F0D49" w14:textId="1517133F"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D75DCD">
              <w:rPr>
                <w:rFonts w:ascii="標楷體" w:eastAsia="標楷體" w:hAnsi="標楷體"/>
                <w:bCs/>
                <w:color w:val="000000" w:themeColor="text1"/>
                <w:spacing w:val="-20"/>
              </w:rPr>
              <w:t>本會111.12.14</w:t>
            </w:r>
            <w:r w:rsidRPr="00026143">
              <w:rPr>
                <w:rFonts w:ascii="標楷體" w:eastAsia="標楷體" w:hAnsi="標楷體"/>
                <w:bCs/>
                <w:color w:val="000000" w:themeColor="text1"/>
              </w:rPr>
              <w:t>舉行「外役監條例部分條文修正草案」公聽會。</w:t>
            </w:r>
          </w:p>
          <w:p w14:paraId="78DEAF81" w14:textId="7050C2BA"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w:t>
            </w:r>
            <w:r w:rsidRPr="00D75DCD">
              <w:rPr>
                <w:rFonts w:ascii="標楷體" w:eastAsia="標楷體" w:hAnsi="標楷體"/>
                <w:bCs/>
                <w:color w:val="000000" w:themeColor="text1"/>
                <w:spacing w:val="-20"/>
              </w:rPr>
              <w:t>本會111.12.29</w:t>
            </w:r>
          </w:p>
          <w:p w14:paraId="11FFE1E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62E96AAE" w14:textId="77777777" w:rsidTr="00974FB5">
        <w:tc>
          <w:tcPr>
            <w:tcW w:w="595" w:type="dxa"/>
            <w:shd w:val="clear" w:color="auto" w:fill="auto"/>
          </w:tcPr>
          <w:p w14:paraId="0D3A441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219</w:t>
            </w:r>
          </w:p>
        </w:tc>
        <w:tc>
          <w:tcPr>
            <w:tcW w:w="2694" w:type="dxa"/>
            <w:shd w:val="clear" w:color="auto" w:fill="auto"/>
          </w:tcPr>
          <w:p w14:paraId="0F51C53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2.外役監條例部分條文修正草案（修正§1、4、6、21。修正重點：擴大外役監獄之處遇功能，放寬遴選資格。）</w:t>
            </w:r>
          </w:p>
        </w:tc>
        <w:tc>
          <w:tcPr>
            <w:tcW w:w="1905" w:type="dxa"/>
            <w:shd w:val="clear" w:color="auto" w:fill="auto"/>
          </w:tcPr>
          <w:p w14:paraId="4F06EF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委員林岱樺</w:t>
            </w:r>
          </w:p>
          <w:p w14:paraId="581FB1C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52F4382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109.04.17 </w:t>
            </w:r>
          </w:p>
          <w:p w14:paraId="7E1AD2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（10-1-9）</w:t>
            </w:r>
          </w:p>
        </w:tc>
        <w:tc>
          <w:tcPr>
            <w:tcW w:w="1581" w:type="dxa"/>
            <w:shd w:val="clear" w:color="auto" w:fill="auto"/>
          </w:tcPr>
          <w:p w14:paraId="6601209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E68A686" w14:textId="10D98116"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7FC9319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1895DE44" w14:textId="3D26CC0A"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D75DCD">
              <w:rPr>
                <w:rFonts w:ascii="標楷體" w:eastAsia="標楷體" w:hAnsi="標楷體"/>
                <w:bCs/>
                <w:color w:val="000000" w:themeColor="text1"/>
                <w:spacing w:val="-10"/>
              </w:rPr>
              <w:t>2.本會111.12.14</w:t>
            </w:r>
            <w:r w:rsidRPr="00026143">
              <w:rPr>
                <w:rFonts w:ascii="標楷體" w:eastAsia="標楷體" w:hAnsi="標楷體"/>
                <w:bCs/>
                <w:color w:val="000000" w:themeColor="text1"/>
              </w:rPr>
              <w:t>舉行「外役監條例部分條文修正草案」公聽會。</w:t>
            </w:r>
          </w:p>
          <w:p w14:paraId="6E5D6667" w14:textId="0F2C6B82" w:rsidR="00EC13B7" w:rsidRPr="00D75DCD"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D75DCD">
              <w:rPr>
                <w:rFonts w:ascii="標楷體" w:eastAsia="標楷體" w:hAnsi="標楷體"/>
                <w:bCs/>
                <w:color w:val="000000" w:themeColor="text1"/>
                <w:spacing w:val="-10"/>
              </w:rPr>
              <w:t>3.本會111.12.29</w:t>
            </w:r>
          </w:p>
          <w:p w14:paraId="102E7FC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72C6717D" w14:textId="77777777" w:rsidTr="00974FB5">
        <w:tc>
          <w:tcPr>
            <w:tcW w:w="595" w:type="dxa"/>
            <w:shd w:val="clear" w:color="auto" w:fill="auto"/>
          </w:tcPr>
          <w:p w14:paraId="2FAE908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220</w:t>
            </w:r>
          </w:p>
        </w:tc>
        <w:tc>
          <w:tcPr>
            <w:tcW w:w="2694" w:type="dxa"/>
            <w:shd w:val="clear" w:color="auto" w:fill="auto"/>
          </w:tcPr>
          <w:p w14:paraId="56EBFD9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外役監條例第一條、第四條及第十八條條文修正草案（修正重點：強化外役監受刑人遴選作業要件，增加如犯妨害公務致重傷或死亡、強盜、加重詐欺或其他受處中華民國刑法十年以上刑期，以及人口販運、貪污治罪等皆禁止遴選外役監受刑人之規範，並強化移回一般監獄之規定如違反安全或返家探視等。）</w:t>
            </w:r>
          </w:p>
        </w:tc>
        <w:tc>
          <w:tcPr>
            <w:tcW w:w="1905" w:type="dxa"/>
            <w:shd w:val="clear" w:color="auto" w:fill="auto"/>
          </w:tcPr>
          <w:p w14:paraId="366C3C3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714E99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6F63414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4DCB235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0518B56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60ADD87" w14:textId="7C6030B4"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29E14D7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39788744" w14:textId="12B35E66"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1B6AC7">
              <w:rPr>
                <w:rFonts w:ascii="標楷體" w:eastAsia="標楷體" w:hAnsi="標楷體"/>
                <w:bCs/>
                <w:color w:val="000000" w:themeColor="text1"/>
                <w:spacing w:val="-10"/>
              </w:rPr>
              <w:t>2.本會111.12.14</w:t>
            </w:r>
            <w:r w:rsidRPr="00026143">
              <w:rPr>
                <w:rFonts w:ascii="標楷體" w:eastAsia="標楷體" w:hAnsi="標楷體"/>
                <w:bCs/>
                <w:color w:val="000000" w:themeColor="text1"/>
              </w:rPr>
              <w:t>舉行「外役監條例部分條文修正草案」公聽會。</w:t>
            </w:r>
          </w:p>
          <w:p w14:paraId="2FBFA466" w14:textId="61E74DC0" w:rsidR="00EC13B7" w:rsidRPr="001B6AC7"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1B6AC7">
              <w:rPr>
                <w:rFonts w:ascii="標楷體" w:eastAsia="標楷體" w:hAnsi="標楷體"/>
                <w:bCs/>
                <w:color w:val="000000" w:themeColor="text1"/>
                <w:spacing w:val="-10"/>
              </w:rPr>
              <w:t>3.本會111.12.29</w:t>
            </w:r>
          </w:p>
          <w:p w14:paraId="66129AB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143C00C7" w14:textId="77777777" w:rsidTr="00974FB5">
        <w:tc>
          <w:tcPr>
            <w:tcW w:w="595" w:type="dxa"/>
            <w:shd w:val="clear" w:color="auto" w:fill="auto"/>
          </w:tcPr>
          <w:p w14:paraId="41FCB0C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221</w:t>
            </w:r>
          </w:p>
        </w:tc>
        <w:tc>
          <w:tcPr>
            <w:tcW w:w="2694" w:type="dxa"/>
            <w:shd w:val="clear" w:color="auto" w:fill="auto"/>
          </w:tcPr>
          <w:p w14:paraId="1616E9E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4.外役監條例第四條條文修正草案（修正重點</w:t>
            </w:r>
            <w:r w:rsidRPr="00026143">
              <w:rPr>
                <w:rFonts w:ascii="標楷體" w:eastAsia="標楷體" w:hAnsi="標楷體"/>
                <w:bCs/>
                <w:color w:val="000000" w:themeColor="text1"/>
              </w:rPr>
              <w:lastRenderedPageBreak/>
              <w:t>：修正外役監受刑人遴選資格。）</w:t>
            </w:r>
          </w:p>
        </w:tc>
        <w:tc>
          <w:tcPr>
            <w:tcW w:w="1905" w:type="dxa"/>
            <w:shd w:val="clear" w:color="auto" w:fill="auto"/>
          </w:tcPr>
          <w:p w14:paraId="08184FC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委員高嘉瑜</w:t>
            </w:r>
          </w:p>
          <w:p w14:paraId="27B9981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160C0AB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111.09.30 </w:t>
            </w:r>
          </w:p>
          <w:p w14:paraId="6704B5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3AB2C15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088A061" w14:textId="0D6723B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147D681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w:t>
            </w:r>
            <w:r w:rsidRPr="00026143">
              <w:rPr>
                <w:rFonts w:ascii="標楷體" w:eastAsia="標楷體" w:hAnsi="標楷體"/>
                <w:bCs/>
                <w:color w:val="000000" w:themeColor="text1"/>
              </w:rPr>
              <w:lastRenderedPageBreak/>
              <w:t>詢答完畢，另定期繼續審查。</w:t>
            </w:r>
          </w:p>
          <w:p w14:paraId="330D5E71" w14:textId="0E365116"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1B6AC7">
              <w:rPr>
                <w:rFonts w:ascii="標楷體" w:eastAsia="標楷體" w:hAnsi="標楷體"/>
                <w:bCs/>
                <w:color w:val="000000" w:themeColor="text1"/>
                <w:spacing w:val="-10"/>
              </w:rPr>
              <w:t>2.本會111.12.14</w:t>
            </w:r>
            <w:r w:rsidRPr="00026143">
              <w:rPr>
                <w:rFonts w:ascii="標楷體" w:eastAsia="標楷體" w:hAnsi="標楷體"/>
                <w:bCs/>
                <w:color w:val="000000" w:themeColor="text1"/>
              </w:rPr>
              <w:t>舉行「外役監條例部分條文修正草案」公聽會。</w:t>
            </w:r>
          </w:p>
          <w:p w14:paraId="7412FF67" w14:textId="7C726F3B" w:rsidR="00EC13B7" w:rsidRPr="001B6AC7"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1B6AC7">
              <w:rPr>
                <w:rFonts w:ascii="標楷體" w:eastAsia="標楷體" w:hAnsi="標楷體"/>
                <w:bCs/>
                <w:color w:val="000000" w:themeColor="text1"/>
                <w:spacing w:val="-10"/>
              </w:rPr>
              <w:t>3.本會111.12.29</w:t>
            </w:r>
          </w:p>
          <w:p w14:paraId="17DCFF5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5690AB54" w14:textId="77777777" w:rsidTr="00974FB5">
        <w:tc>
          <w:tcPr>
            <w:tcW w:w="595" w:type="dxa"/>
            <w:shd w:val="clear" w:color="auto" w:fill="auto"/>
          </w:tcPr>
          <w:p w14:paraId="5CF67BC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222</w:t>
            </w:r>
          </w:p>
        </w:tc>
        <w:tc>
          <w:tcPr>
            <w:tcW w:w="2694" w:type="dxa"/>
            <w:shd w:val="clear" w:color="auto" w:fill="auto"/>
          </w:tcPr>
          <w:p w14:paraId="76F8597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5.外役監條例第四條及第二十一條條文修正草案（修正重點：修正外役監受刑人遴選資格，並刪除受刑人得於例假日返家探視之規定。）</w:t>
            </w:r>
          </w:p>
        </w:tc>
        <w:tc>
          <w:tcPr>
            <w:tcW w:w="1905" w:type="dxa"/>
            <w:shd w:val="clear" w:color="auto" w:fill="auto"/>
          </w:tcPr>
          <w:p w14:paraId="308C02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委員廖婉汝</w:t>
            </w:r>
          </w:p>
          <w:p w14:paraId="063915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56F9E37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4B97B5D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162753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A2CBA36" w14:textId="2CEFC26F"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40F062C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7117CC68" w14:textId="3B28E7AE"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DB606C">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40C4E756" w14:textId="1CDAD9F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w:t>
            </w:r>
            <w:r w:rsidRPr="001B6AC7">
              <w:rPr>
                <w:rFonts w:ascii="標楷體" w:eastAsia="標楷體" w:hAnsi="標楷體"/>
                <w:bCs/>
                <w:color w:val="000000" w:themeColor="text1"/>
                <w:spacing w:val="-10"/>
              </w:rPr>
              <w:t>本會111.12.29</w:t>
            </w:r>
          </w:p>
          <w:p w14:paraId="5CEBA11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663BB676" w14:textId="77777777" w:rsidTr="00974FB5">
        <w:tc>
          <w:tcPr>
            <w:tcW w:w="595" w:type="dxa"/>
            <w:shd w:val="clear" w:color="auto" w:fill="auto"/>
          </w:tcPr>
          <w:p w14:paraId="07098E8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223</w:t>
            </w:r>
          </w:p>
        </w:tc>
        <w:tc>
          <w:tcPr>
            <w:tcW w:w="2694" w:type="dxa"/>
            <w:shd w:val="clear" w:color="auto" w:fill="auto"/>
          </w:tcPr>
          <w:p w14:paraId="14ADC92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6.外役監條例第四條條文修正草案（修正重點：修正外役監受刑人遴選資格。）</w:t>
            </w:r>
          </w:p>
        </w:tc>
        <w:tc>
          <w:tcPr>
            <w:tcW w:w="1905" w:type="dxa"/>
            <w:shd w:val="clear" w:color="auto" w:fill="auto"/>
          </w:tcPr>
          <w:p w14:paraId="6A0ABD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國民黨黨團 </w:t>
            </w:r>
          </w:p>
          <w:p w14:paraId="3915AE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0FC6B3E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54F1A04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7C996B7" w14:textId="4D6EBFAE"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3BA7D4E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4E75A518" w14:textId="5DB4EA6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DB606C">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70628030" w14:textId="7B7EE862" w:rsidR="00EC13B7" w:rsidRPr="00DB606C"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026143">
              <w:rPr>
                <w:rFonts w:ascii="標楷體" w:eastAsia="標楷體" w:hAnsi="標楷體"/>
                <w:bCs/>
                <w:color w:val="000000" w:themeColor="text1"/>
              </w:rPr>
              <w:t>3.</w:t>
            </w:r>
            <w:r w:rsidRPr="00DB606C">
              <w:rPr>
                <w:rFonts w:ascii="標楷體" w:eastAsia="標楷體" w:hAnsi="標楷體"/>
                <w:bCs/>
                <w:color w:val="000000" w:themeColor="text1"/>
                <w:spacing w:val="-10"/>
              </w:rPr>
              <w:t>本會111.12.29</w:t>
            </w:r>
          </w:p>
          <w:p w14:paraId="0DDCAF3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4CBBA5B9" w14:textId="77777777" w:rsidTr="00974FB5">
        <w:tc>
          <w:tcPr>
            <w:tcW w:w="595" w:type="dxa"/>
            <w:shd w:val="clear" w:color="auto" w:fill="auto"/>
          </w:tcPr>
          <w:p w14:paraId="1BD3BE0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224</w:t>
            </w:r>
          </w:p>
        </w:tc>
        <w:tc>
          <w:tcPr>
            <w:tcW w:w="2694" w:type="dxa"/>
            <w:shd w:val="clear" w:color="auto" w:fill="auto"/>
          </w:tcPr>
          <w:p w14:paraId="252D373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7.外役監條例第四條條文修正草案（修正重點：修正外役監受刑人遴選資格。）</w:t>
            </w:r>
          </w:p>
        </w:tc>
        <w:tc>
          <w:tcPr>
            <w:tcW w:w="1905" w:type="dxa"/>
            <w:shd w:val="clear" w:color="auto" w:fill="auto"/>
          </w:tcPr>
          <w:p w14:paraId="52ABB5F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委員林思銘</w:t>
            </w:r>
          </w:p>
          <w:p w14:paraId="207154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6B7DF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46FB7E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392FCFF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B977F61" w14:textId="510CC1E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7DFE9B0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359B47E9" w14:textId="03FE94D0"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B9380A">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43101A70" w14:textId="376415E0" w:rsidR="00EC13B7" w:rsidRPr="00B9380A"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026143">
              <w:rPr>
                <w:rFonts w:ascii="標楷體" w:eastAsia="標楷體" w:hAnsi="標楷體"/>
                <w:bCs/>
                <w:color w:val="000000" w:themeColor="text1"/>
              </w:rPr>
              <w:t>3.</w:t>
            </w:r>
            <w:r w:rsidRPr="00B9380A">
              <w:rPr>
                <w:rFonts w:ascii="標楷體" w:eastAsia="標楷體" w:hAnsi="標楷體"/>
                <w:bCs/>
                <w:color w:val="000000" w:themeColor="text1"/>
                <w:spacing w:val="-10"/>
              </w:rPr>
              <w:t>本會111.12.29</w:t>
            </w:r>
          </w:p>
          <w:p w14:paraId="5BD31AE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4CE3BAF8" w14:textId="77777777" w:rsidTr="00974FB5">
        <w:tc>
          <w:tcPr>
            <w:tcW w:w="595" w:type="dxa"/>
            <w:shd w:val="clear" w:color="auto" w:fill="auto"/>
          </w:tcPr>
          <w:p w14:paraId="55D17E9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225</w:t>
            </w:r>
          </w:p>
        </w:tc>
        <w:tc>
          <w:tcPr>
            <w:tcW w:w="2694" w:type="dxa"/>
            <w:shd w:val="clear" w:color="auto" w:fill="auto"/>
          </w:tcPr>
          <w:p w14:paraId="60F1BB7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8.外役監條例第四條及第二十一條條文修正草案（修正重點：修正外役監受刑人遴選資格，</w:t>
            </w:r>
            <w:r w:rsidRPr="00026143">
              <w:rPr>
                <w:rFonts w:ascii="標楷體" w:eastAsia="標楷體" w:hAnsi="標楷體"/>
                <w:bCs/>
                <w:color w:val="000000" w:themeColor="text1"/>
              </w:rPr>
              <w:lastRenderedPageBreak/>
              <w:t>並加重惡意脫逃者刑期。）</w:t>
            </w:r>
          </w:p>
        </w:tc>
        <w:tc>
          <w:tcPr>
            <w:tcW w:w="1905" w:type="dxa"/>
            <w:shd w:val="clear" w:color="auto" w:fill="auto"/>
          </w:tcPr>
          <w:p w14:paraId="278F5109" w14:textId="250B98B6"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台灣民眾黨黨團111.09.30 </w:t>
            </w:r>
          </w:p>
          <w:p w14:paraId="402486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544AEFF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6676702" w14:textId="259B1F3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17E768B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3D657650" w14:textId="68801429"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4628FCF9" w14:textId="7C98FAE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w:t>
            </w:r>
            <w:r w:rsidRPr="00145987">
              <w:rPr>
                <w:rFonts w:ascii="標楷體" w:eastAsia="標楷體" w:hAnsi="標楷體"/>
                <w:bCs/>
                <w:color w:val="000000" w:themeColor="text1"/>
                <w:spacing w:val="-10"/>
              </w:rPr>
              <w:t>本會111.12.29</w:t>
            </w:r>
          </w:p>
          <w:p w14:paraId="2D7DC46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600489C7" w14:textId="77777777" w:rsidTr="00974FB5">
        <w:tc>
          <w:tcPr>
            <w:tcW w:w="595" w:type="dxa"/>
            <w:shd w:val="clear" w:color="auto" w:fill="auto"/>
          </w:tcPr>
          <w:p w14:paraId="57888DF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226</w:t>
            </w:r>
          </w:p>
        </w:tc>
        <w:tc>
          <w:tcPr>
            <w:tcW w:w="2694" w:type="dxa"/>
            <w:shd w:val="clear" w:color="auto" w:fill="auto"/>
          </w:tcPr>
          <w:p w14:paraId="2CBC113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外役監條例部分條文修正草案（修正§1、4、6、11~14；增訂§4-1；刪除7、17、19。修正重點：為精進受刑人之處遇政策，持續推動開放處遇之擴展，並兼顧社會安全顧慮，重建社會對開放矯正機構之信任，爰修正相關規定。）</w:t>
            </w:r>
          </w:p>
        </w:tc>
        <w:tc>
          <w:tcPr>
            <w:tcW w:w="1905" w:type="dxa"/>
            <w:shd w:val="clear" w:color="auto" w:fill="auto"/>
          </w:tcPr>
          <w:p w14:paraId="45ECE01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時代力量黨團</w:t>
            </w:r>
          </w:p>
          <w:p w14:paraId="2B5EABC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69F0B2B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520493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86BA129" w14:textId="6E43B87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1.本會111.10.6</w:t>
            </w:r>
          </w:p>
          <w:p w14:paraId="3412912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(10-6-4)報告及詢答完畢，另定期繼續審查。</w:t>
            </w:r>
          </w:p>
          <w:p w14:paraId="0D9FCC37" w14:textId="1C2C75C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706492B6" w14:textId="69F910CD"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w:t>
            </w:r>
            <w:r w:rsidRPr="00145987">
              <w:rPr>
                <w:rFonts w:ascii="標楷體" w:eastAsia="標楷體" w:hAnsi="標楷體"/>
                <w:bCs/>
                <w:color w:val="000000" w:themeColor="text1"/>
                <w:spacing w:val="-10"/>
              </w:rPr>
              <w:t>.本會111.12.29</w:t>
            </w:r>
          </w:p>
          <w:p w14:paraId="5D5D514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5579169A" w14:textId="77777777" w:rsidTr="00974FB5">
        <w:tc>
          <w:tcPr>
            <w:tcW w:w="595" w:type="dxa"/>
            <w:shd w:val="clear" w:color="auto" w:fill="auto"/>
          </w:tcPr>
          <w:p w14:paraId="292687D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227</w:t>
            </w:r>
          </w:p>
        </w:tc>
        <w:tc>
          <w:tcPr>
            <w:tcW w:w="2694" w:type="dxa"/>
            <w:shd w:val="clear" w:color="auto" w:fill="auto"/>
          </w:tcPr>
          <w:p w14:paraId="4635EFD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10.外役監條例第一條、第四條及第二十一條條文修正草案（修正重點：配合「監獄組織條例」修正條文文字內容，修正外役監受刑人遴選資格、返家探視之管理。）</w:t>
            </w:r>
          </w:p>
        </w:tc>
        <w:tc>
          <w:tcPr>
            <w:tcW w:w="1905" w:type="dxa"/>
            <w:shd w:val="clear" w:color="auto" w:fill="auto"/>
          </w:tcPr>
          <w:p w14:paraId="1E3ECF7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委員游毓蘭</w:t>
            </w:r>
          </w:p>
          <w:p w14:paraId="6AA8EE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6DDA42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692CDA2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78B923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5B90170" w14:textId="550A658B"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本會111.12.14舉行「外役監條例部分條文修正草案」公聽會。</w:t>
            </w:r>
          </w:p>
        </w:tc>
      </w:tr>
      <w:tr w:rsidR="00EC13B7" w:rsidRPr="00026143" w14:paraId="20C51EA6" w14:textId="77777777" w:rsidTr="00974FB5">
        <w:tc>
          <w:tcPr>
            <w:tcW w:w="595" w:type="dxa"/>
            <w:shd w:val="clear" w:color="auto" w:fill="auto"/>
          </w:tcPr>
          <w:p w14:paraId="216507F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228</w:t>
            </w:r>
          </w:p>
        </w:tc>
        <w:tc>
          <w:tcPr>
            <w:tcW w:w="2694" w:type="dxa"/>
            <w:shd w:val="clear" w:color="auto" w:fill="auto"/>
          </w:tcPr>
          <w:p w14:paraId="3BEF1F1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11.外役監條例部分條文修正草案（修正§1、4、18、21、25；刪除§19、23。修正重點：為臻全遴選門檻、受刑人移回一般監獄執行及返家探視核准之基準等規範，修正相關條文。）</w:t>
            </w:r>
          </w:p>
        </w:tc>
        <w:tc>
          <w:tcPr>
            <w:tcW w:w="1905" w:type="dxa"/>
            <w:shd w:val="clear" w:color="auto" w:fill="auto"/>
          </w:tcPr>
          <w:p w14:paraId="5F8799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委員張育美</w:t>
            </w:r>
          </w:p>
          <w:p w14:paraId="701BAA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518687CE" w14:textId="77777777" w:rsidR="00734605"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7072FF89" w14:textId="6F0C9A40"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06C21E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EC9D0BD" w14:textId="1E1C1A4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56894838" w14:textId="2E84FF1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6BA47FB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70288D9F" w14:textId="77777777" w:rsidTr="00974FB5">
        <w:tc>
          <w:tcPr>
            <w:tcW w:w="595" w:type="dxa"/>
            <w:shd w:val="clear" w:color="auto" w:fill="auto"/>
          </w:tcPr>
          <w:p w14:paraId="4535879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229</w:t>
            </w:r>
          </w:p>
        </w:tc>
        <w:tc>
          <w:tcPr>
            <w:tcW w:w="2694" w:type="dxa"/>
            <w:shd w:val="clear" w:color="auto" w:fill="auto"/>
          </w:tcPr>
          <w:p w14:paraId="319EA78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12.外役監條例部分條文修正草案（修正§1、4、18、21、25；刪除§19、23。修正重點：修正外役監受刑人遴選門檻；增訂受刑人因違反返家探視規定或因傷病致不適於外役監繼續執行，應由外役監報請法務部矯正署解送其他監獄執行；增訂外役監受刑人返家探視要件及授權</w:t>
            </w:r>
            <w:r w:rsidRPr="00026143">
              <w:rPr>
                <w:rFonts w:ascii="標楷體" w:eastAsia="標楷體" w:hAnsi="標楷體"/>
                <w:bCs/>
                <w:color w:val="000000" w:themeColor="text1"/>
              </w:rPr>
              <w:lastRenderedPageBreak/>
              <w:t>辦法之授權範圍。）</w:t>
            </w:r>
          </w:p>
        </w:tc>
        <w:tc>
          <w:tcPr>
            <w:tcW w:w="1905" w:type="dxa"/>
            <w:shd w:val="clear" w:color="auto" w:fill="auto"/>
          </w:tcPr>
          <w:p w14:paraId="2E8DEE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委員鄭天財</w:t>
            </w:r>
          </w:p>
          <w:p w14:paraId="160E81D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Sra Kacaw</w:t>
            </w:r>
          </w:p>
          <w:p w14:paraId="4596FEE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4CBCA9F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7CD089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672C2CA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91C82CF" w14:textId="7EAA111A"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3CF337A3" w14:textId="46F09DE9"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59AA2A6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39E8D86D" w14:textId="77777777" w:rsidTr="00974FB5">
        <w:tc>
          <w:tcPr>
            <w:tcW w:w="595" w:type="dxa"/>
            <w:shd w:val="clear" w:color="auto" w:fill="auto"/>
          </w:tcPr>
          <w:p w14:paraId="5ECE0A6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230</w:t>
            </w:r>
          </w:p>
        </w:tc>
        <w:tc>
          <w:tcPr>
            <w:tcW w:w="2694" w:type="dxa"/>
            <w:shd w:val="clear" w:color="auto" w:fill="auto"/>
          </w:tcPr>
          <w:p w14:paraId="217275E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13.外役監條例部分條文修正草案（修正§4、18、21、25；刪除§19、23。修正重點：提高外役監受刑人遴選門檻，明定返家探視相關規定。）</w:t>
            </w:r>
          </w:p>
        </w:tc>
        <w:tc>
          <w:tcPr>
            <w:tcW w:w="1905" w:type="dxa"/>
            <w:shd w:val="clear" w:color="auto" w:fill="auto"/>
          </w:tcPr>
          <w:p w14:paraId="3F20E5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委員楊瓊瓔</w:t>
            </w:r>
          </w:p>
          <w:p w14:paraId="6C0D376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5213FB0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63914E5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587879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8C21BF7" w14:textId="6631319B"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18F3913A" w14:textId="4940663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531724B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310ADF33" w14:textId="77777777" w:rsidTr="00974FB5">
        <w:tc>
          <w:tcPr>
            <w:tcW w:w="595" w:type="dxa"/>
            <w:shd w:val="clear" w:color="auto" w:fill="auto"/>
          </w:tcPr>
          <w:p w14:paraId="34C393C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231</w:t>
            </w:r>
          </w:p>
        </w:tc>
        <w:tc>
          <w:tcPr>
            <w:tcW w:w="2694" w:type="dxa"/>
            <w:shd w:val="clear" w:color="auto" w:fill="auto"/>
          </w:tcPr>
          <w:p w14:paraId="4E0A273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14.外役監條例第四條條文修正草案（修正重點：修正外役監受刑人遴選資格。）</w:t>
            </w:r>
          </w:p>
        </w:tc>
        <w:tc>
          <w:tcPr>
            <w:tcW w:w="1905" w:type="dxa"/>
            <w:shd w:val="clear" w:color="auto" w:fill="auto"/>
          </w:tcPr>
          <w:p w14:paraId="7690547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委員賴瑞隆</w:t>
            </w:r>
          </w:p>
          <w:p w14:paraId="1A04EBA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49D1A6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0AF17DF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6D798D7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67C1192" w14:textId="7EACCF36"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0AF19059" w14:textId="17DF940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703B612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2918B4F5" w14:textId="77777777" w:rsidTr="00974FB5">
        <w:tc>
          <w:tcPr>
            <w:tcW w:w="595" w:type="dxa"/>
            <w:shd w:val="clear" w:color="auto" w:fill="auto"/>
          </w:tcPr>
          <w:p w14:paraId="09216CB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232</w:t>
            </w:r>
          </w:p>
        </w:tc>
        <w:tc>
          <w:tcPr>
            <w:tcW w:w="2694" w:type="dxa"/>
            <w:shd w:val="clear" w:color="auto" w:fill="auto"/>
          </w:tcPr>
          <w:p w14:paraId="6253688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15.外役監條例部分條文修正草案（修正§1、4、18、21。修正重點：修正外役監受刑人遴選資格，增訂外役監受刑人返家探視辦法之授權事項。）</w:t>
            </w:r>
          </w:p>
        </w:tc>
        <w:tc>
          <w:tcPr>
            <w:tcW w:w="1905" w:type="dxa"/>
            <w:shd w:val="clear" w:color="auto" w:fill="auto"/>
          </w:tcPr>
          <w:p w14:paraId="34DD5BD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委員羅致政</w:t>
            </w:r>
          </w:p>
          <w:p w14:paraId="2B19BA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15138C9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2A059ED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34ABDF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8CAB058" w14:textId="012802BB"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27A19EB3" w14:textId="5D02F5DE"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7E51F45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381696FA" w14:textId="77777777" w:rsidTr="00974FB5">
        <w:tc>
          <w:tcPr>
            <w:tcW w:w="595" w:type="dxa"/>
            <w:shd w:val="clear" w:color="auto" w:fill="auto"/>
          </w:tcPr>
          <w:p w14:paraId="33E2E9C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233</w:t>
            </w:r>
          </w:p>
        </w:tc>
        <w:tc>
          <w:tcPr>
            <w:tcW w:w="2694" w:type="dxa"/>
            <w:shd w:val="clear" w:color="auto" w:fill="auto"/>
          </w:tcPr>
          <w:p w14:paraId="232E674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16.外役監條例第二十一條條文修正草案（修正重點：檢視受刑人返家探視基準，並授權法務部訂定貼近實務需求之受刑人返家相關規範。）</w:t>
            </w:r>
          </w:p>
        </w:tc>
        <w:tc>
          <w:tcPr>
            <w:tcW w:w="1905" w:type="dxa"/>
            <w:shd w:val="clear" w:color="auto" w:fill="auto"/>
          </w:tcPr>
          <w:p w14:paraId="463D0AA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委員林宜瑾</w:t>
            </w:r>
          </w:p>
          <w:p w14:paraId="2ECE65D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F24986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79F892D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50255A7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FC3060F" w14:textId="4D2586D9"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34FF9ABA" w14:textId="1C3D09B5"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4CDF92F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72EB62E1" w14:textId="77777777" w:rsidTr="00974FB5">
        <w:tc>
          <w:tcPr>
            <w:tcW w:w="595" w:type="dxa"/>
            <w:shd w:val="clear" w:color="auto" w:fill="auto"/>
          </w:tcPr>
          <w:p w14:paraId="55AACEF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234</w:t>
            </w:r>
          </w:p>
        </w:tc>
        <w:tc>
          <w:tcPr>
            <w:tcW w:w="2694" w:type="dxa"/>
            <w:shd w:val="clear" w:color="auto" w:fill="auto"/>
          </w:tcPr>
          <w:p w14:paraId="14D27A8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17.外役監條例第四條條文修正草案（修正重點：修正外役監受刑人遴選資格。）</w:t>
            </w:r>
          </w:p>
        </w:tc>
        <w:tc>
          <w:tcPr>
            <w:tcW w:w="1905" w:type="dxa"/>
            <w:shd w:val="clear" w:color="auto" w:fill="auto"/>
          </w:tcPr>
          <w:p w14:paraId="69B43C2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委員莊瑞雄</w:t>
            </w:r>
          </w:p>
          <w:p w14:paraId="42738DB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6610632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1DB86F1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478A875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E09EBE7" w14:textId="0C83DD9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4201DD2D" w14:textId="4EB39ED0"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5C8EF21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6AACCF6C" w14:textId="77777777" w:rsidTr="00974FB5">
        <w:tc>
          <w:tcPr>
            <w:tcW w:w="595" w:type="dxa"/>
            <w:shd w:val="clear" w:color="auto" w:fill="auto"/>
          </w:tcPr>
          <w:p w14:paraId="4B3D46D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235</w:t>
            </w:r>
          </w:p>
        </w:tc>
        <w:tc>
          <w:tcPr>
            <w:tcW w:w="2694" w:type="dxa"/>
            <w:shd w:val="clear" w:color="auto" w:fill="auto"/>
          </w:tcPr>
          <w:p w14:paraId="08D3EF7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18.外役監條例部分條文修正草案（修正§1、18、21、25；刪除§19、23。修正重點：明定主管機關、修正受刑人解送其他監獄執行之要件及授權法務部訂定受刑人返家探視之相關辦法，以保障公共秩序與社會安全。）</w:t>
            </w:r>
          </w:p>
        </w:tc>
        <w:tc>
          <w:tcPr>
            <w:tcW w:w="1905" w:type="dxa"/>
            <w:shd w:val="clear" w:color="auto" w:fill="auto"/>
          </w:tcPr>
          <w:p w14:paraId="459578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委員陳秀</w:t>
            </w:r>
            <w:r w:rsidRPr="00026143">
              <w:rPr>
                <w:rFonts w:ascii="標楷體" w:eastAsia="標楷體" w:hAnsi="標楷體" w:hint="eastAsia"/>
                <w:bCs/>
                <w:color w:val="000000" w:themeColor="text1"/>
              </w:rPr>
              <w:t>寳</w:t>
            </w:r>
          </w:p>
          <w:p w14:paraId="122F29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等</w:t>
            </w:r>
            <w:r w:rsidRPr="00026143">
              <w:rPr>
                <w:rFonts w:ascii="標楷體" w:eastAsia="標楷體" w:hAnsi="標楷體"/>
                <w:bCs/>
                <w:color w:val="000000" w:themeColor="text1"/>
              </w:rPr>
              <w:t xml:space="preserve">17人 </w:t>
            </w:r>
          </w:p>
          <w:p w14:paraId="364BF90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1B9DF6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160004D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DE277D5" w14:textId="3BD4E9C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55D60140" w14:textId="294FC913" w:rsidR="00EC13B7" w:rsidRPr="00145987" w:rsidRDefault="00EC13B7" w:rsidP="003F057E">
            <w:pPr>
              <w:kinsoku w:val="0"/>
              <w:topLinePunct/>
              <w:snapToGrid w:val="0"/>
              <w:spacing w:line="300" w:lineRule="exact"/>
              <w:jc w:val="both"/>
              <w:textAlignment w:val="top"/>
              <w:rPr>
                <w:rFonts w:ascii="標楷體" w:eastAsia="標楷體" w:hAnsi="標楷體"/>
                <w:bCs/>
                <w:color w:val="000000" w:themeColor="text1"/>
                <w:spacing w:val="-10"/>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0DFAD43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5853EF93" w14:textId="77777777" w:rsidTr="00974FB5">
        <w:tc>
          <w:tcPr>
            <w:tcW w:w="595" w:type="dxa"/>
            <w:shd w:val="clear" w:color="auto" w:fill="auto"/>
          </w:tcPr>
          <w:p w14:paraId="029E42F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236</w:t>
            </w:r>
          </w:p>
        </w:tc>
        <w:tc>
          <w:tcPr>
            <w:tcW w:w="2694" w:type="dxa"/>
            <w:shd w:val="clear" w:color="auto" w:fill="auto"/>
          </w:tcPr>
          <w:p w14:paraId="0C7BEAA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19.外役監條例部分條文修正草案（修正§1、4、18、21。修正重點：修正外役監受刑人遴選資格，並完備違規後解送其他監獄之相關規範。）</w:t>
            </w:r>
          </w:p>
        </w:tc>
        <w:tc>
          <w:tcPr>
            <w:tcW w:w="1905" w:type="dxa"/>
            <w:shd w:val="clear" w:color="auto" w:fill="auto"/>
          </w:tcPr>
          <w:p w14:paraId="08E6CCB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委員黃國書</w:t>
            </w:r>
          </w:p>
          <w:p w14:paraId="194929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6CE81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5B49C1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378564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13B27B8" w14:textId="6918A8A3"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2CC32656" w14:textId="7D880E8F"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55A28EF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55E0481A" w14:textId="77777777" w:rsidTr="00974FB5">
        <w:tc>
          <w:tcPr>
            <w:tcW w:w="595" w:type="dxa"/>
            <w:shd w:val="clear" w:color="auto" w:fill="auto"/>
          </w:tcPr>
          <w:p w14:paraId="271AC3A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237</w:t>
            </w:r>
          </w:p>
        </w:tc>
        <w:tc>
          <w:tcPr>
            <w:tcW w:w="2694" w:type="dxa"/>
            <w:shd w:val="clear" w:color="auto" w:fill="auto"/>
          </w:tcPr>
          <w:p w14:paraId="48D1A58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20.外役監條例第四條條文修正草案（修正重點：修正外役監受刑人遴選資格。）</w:t>
            </w:r>
          </w:p>
        </w:tc>
        <w:tc>
          <w:tcPr>
            <w:tcW w:w="1905" w:type="dxa"/>
            <w:shd w:val="clear" w:color="auto" w:fill="auto"/>
          </w:tcPr>
          <w:p w14:paraId="2DC90D0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委員湯蕙禎</w:t>
            </w:r>
          </w:p>
          <w:p w14:paraId="1505BA9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17D3B5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2FE0312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46C9A21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43959C5" w14:textId="0CC79A1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21CFB189" w14:textId="542C93BB"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37DA89A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476D5DF7" w14:textId="77777777" w:rsidTr="00974FB5">
        <w:tc>
          <w:tcPr>
            <w:tcW w:w="595" w:type="dxa"/>
            <w:shd w:val="clear" w:color="auto" w:fill="auto"/>
          </w:tcPr>
          <w:p w14:paraId="183AE54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238</w:t>
            </w:r>
          </w:p>
        </w:tc>
        <w:tc>
          <w:tcPr>
            <w:tcW w:w="2694" w:type="dxa"/>
            <w:shd w:val="clear" w:color="auto" w:fill="auto"/>
          </w:tcPr>
          <w:p w14:paraId="267A10A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21.外役監條例第二十一條條文修正草案（修正重點：殘餘刑期逾一年者仍有戒護之必要，不宜許其脫離戒護之環境返家。）</w:t>
            </w:r>
          </w:p>
        </w:tc>
        <w:tc>
          <w:tcPr>
            <w:tcW w:w="1905" w:type="dxa"/>
            <w:shd w:val="clear" w:color="auto" w:fill="auto"/>
          </w:tcPr>
          <w:p w14:paraId="33DEDF2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082352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4E22C9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111.10.14 </w:t>
            </w:r>
          </w:p>
          <w:p w14:paraId="2792A11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（10-6-4）</w:t>
            </w:r>
          </w:p>
        </w:tc>
        <w:tc>
          <w:tcPr>
            <w:tcW w:w="1581" w:type="dxa"/>
            <w:shd w:val="clear" w:color="auto" w:fill="auto"/>
          </w:tcPr>
          <w:p w14:paraId="3F3BAA3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BD094CC" w14:textId="579C0F3E"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16440F9D" w14:textId="180D74CD"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4C17C85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7B8914D1" w14:textId="77777777" w:rsidTr="00974FB5">
        <w:tc>
          <w:tcPr>
            <w:tcW w:w="595" w:type="dxa"/>
            <w:shd w:val="clear" w:color="auto" w:fill="auto"/>
          </w:tcPr>
          <w:p w14:paraId="49BA949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239</w:t>
            </w:r>
          </w:p>
        </w:tc>
        <w:tc>
          <w:tcPr>
            <w:tcW w:w="2694" w:type="dxa"/>
            <w:shd w:val="clear" w:color="auto" w:fill="auto"/>
          </w:tcPr>
          <w:p w14:paraId="15E31FC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22.外役監條例第四條及第二十一條條文修正草案(修正重點：外役監為階段性處遇機制，為避免對社會安全產生過高風險，及在協助受刑人回歸正常社會、避免再犯間取得平衡，爰提案修正。)</w:t>
            </w:r>
          </w:p>
        </w:tc>
        <w:tc>
          <w:tcPr>
            <w:tcW w:w="1905" w:type="dxa"/>
            <w:shd w:val="clear" w:color="auto" w:fill="auto"/>
          </w:tcPr>
          <w:p w14:paraId="4545D9B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委員林昶佐</w:t>
            </w:r>
          </w:p>
          <w:p w14:paraId="23BF5B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7F3121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111.11.04 </w:t>
            </w:r>
          </w:p>
          <w:p w14:paraId="1AD8A8A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（10-6-6）</w:t>
            </w:r>
          </w:p>
        </w:tc>
        <w:tc>
          <w:tcPr>
            <w:tcW w:w="1581" w:type="dxa"/>
            <w:shd w:val="clear" w:color="auto" w:fill="auto"/>
          </w:tcPr>
          <w:p w14:paraId="04C9C79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5301A8C" w14:textId="4DE04999"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145987">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581C6FFB" w14:textId="346711AE"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45987">
              <w:rPr>
                <w:rFonts w:ascii="標楷體" w:eastAsia="標楷體" w:hAnsi="標楷體"/>
                <w:bCs/>
                <w:color w:val="000000" w:themeColor="text1"/>
                <w:spacing w:val="-10"/>
              </w:rPr>
              <w:t>本會111.12.29</w:t>
            </w:r>
          </w:p>
          <w:p w14:paraId="5600E61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0225EDCA" w14:textId="77777777" w:rsidTr="00974FB5">
        <w:tc>
          <w:tcPr>
            <w:tcW w:w="595" w:type="dxa"/>
            <w:shd w:val="clear" w:color="auto" w:fill="auto"/>
          </w:tcPr>
          <w:p w14:paraId="54F082C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240</w:t>
            </w:r>
          </w:p>
        </w:tc>
        <w:tc>
          <w:tcPr>
            <w:tcW w:w="2694" w:type="dxa"/>
            <w:shd w:val="clear" w:color="auto" w:fill="auto"/>
          </w:tcPr>
          <w:p w14:paraId="29D6A31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23.外役監條例部分條文修正草案(修正§1、4、18、21；刪除§19。修正重點：針對故意犯罪致生死亡結果者及犯10年以上有期徒刑之罪等重大犯罪、高脫逃風險不適宜參加外役監階段性處遇特性之受刑人予以排除；外役監受刑人有無故返家探視未歸或脫逃，亦報請矯正署解送一般監獄。)</w:t>
            </w:r>
          </w:p>
        </w:tc>
        <w:tc>
          <w:tcPr>
            <w:tcW w:w="1905" w:type="dxa"/>
            <w:shd w:val="clear" w:color="auto" w:fill="auto"/>
          </w:tcPr>
          <w:p w14:paraId="2A3BF1D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委員王定宇</w:t>
            </w:r>
          </w:p>
          <w:p w14:paraId="58BA87D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06F969A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111.11.25 </w:t>
            </w:r>
          </w:p>
          <w:p w14:paraId="295697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（10-6-9）</w:t>
            </w:r>
          </w:p>
        </w:tc>
        <w:tc>
          <w:tcPr>
            <w:tcW w:w="1581" w:type="dxa"/>
            <w:shd w:val="clear" w:color="auto" w:fill="auto"/>
          </w:tcPr>
          <w:p w14:paraId="79EE1C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5EE1C56" w14:textId="7E28AD96"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w:t>
            </w:r>
            <w:r w:rsidRPr="00B9380A">
              <w:rPr>
                <w:rFonts w:ascii="標楷體" w:eastAsia="標楷體" w:hAnsi="標楷體"/>
                <w:bCs/>
                <w:color w:val="000000" w:themeColor="text1"/>
                <w:spacing w:val="-10"/>
              </w:rPr>
              <w:t>本會111.12.14</w:t>
            </w:r>
            <w:r w:rsidRPr="00026143">
              <w:rPr>
                <w:rFonts w:ascii="標楷體" w:eastAsia="標楷體" w:hAnsi="標楷體"/>
                <w:bCs/>
                <w:color w:val="000000" w:themeColor="text1"/>
              </w:rPr>
              <w:t>舉行「外役監條例部分條文修正草案」公聽會。</w:t>
            </w:r>
          </w:p>
          <w:p w14:paraId="5CCCB427" w14:textId="31A62266"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B9380A">
              <w:rPr>
                <w:rFonts w:ascii="標楷體" w:eastAsia="標楷體" w:hAnsi="標楷體"/>
                <w:bCs/>
                <w:color w:val="000000" w:themeColor="text1"/>
                <w:spacing w:val="-10"/>
              </w:rPr>
              <w:t>本會111.12.29</w:t>
            </w:r>
          </w:p>
          <w:p w14:paraId="34281E7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(10-6-30)另定期繼續審查。</w:t>
            </w:r>
          </w:p>
        </w:tc>
      </w:tr>
      <w:tr w:rsidR="00EC13B7" w:rsidRPr="00026143" w14:paraId="463F044E" w14:textId="77777777" w:rsidTr="00974FB5">
        <w:tc>
          <w:tcPr>
            <w:tcW w:w="595" w:type="dxa"/>
            <w:shd w:val="clear" w:color="auto" w:fill="auto"/>
          </w:tcPr>
          <w:p w14:paraId="04200C1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241</w:t>
            </w:r>
          </w:p>
        </w:tc>
        <w:tc>
          <w:tcPr>
            <w:tcW w:w="2694" w:type="dxa"/>
            <w:shd w:val="clear" w:color="auto" w:fill="auto"/>
          </w:tcPr>
          <w:p w14:paraId="5C7CA08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1.戒嚴時期人民受損權利回復條例第四條及第四條之一條文修正草案</w:t>
            </w:r>
            <w:r w:rsidRPr="00026143">
              <w:rPr>
                <w:rFonts w:ascii="標楷體" w:eastAsia="標楷體" w:hAnsi="標楷體"/>
                <w:bCs/>
                <w:color w:val="000000" w:themeColor="text1"/>
              </w:rPr>
              <w:lastRenderedPageBreak/>
              <w:t>（修正重點：戒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905" w:type="dxa"/>
            <w:shd w:val="clear" w:color="auto" w:fill="auto"/>
          </w:tcPr>
          <w:p w14:paraId="34283C0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委員賴品妤</w:t>
            </w:r>
          </w:p>
          <w:p w14:paraId="0693719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6178BB2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109.04.24 </w:t>
            </w:r>
          </w:p>
          <w:p w14:paraId="6FB02A6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（10-1-10）</w:t>
            </w:r>
          </w:p>
        </w:tc>
        <w:tc>
          <w:tcPr>
            <w:tcW w:w="1581" w:type="dxa"/>
            <w:shd w:val="clear" w:color="auto" w:fill="auto"/>
          </w:tcPr>
          <w:p w14:paraId="5457481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6A2EDF87" w14:textId="6FCCFA48"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1.本會111.3.16</w:t>
            </w:r>
          </w:p>
          <w:p w14:paraId="2342381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(10-5-5)報告及詢答完畢，另定</w:t>
            </w:r>
            <w:r w:rsidRPr="00026143">
              <w:rPr>
                <w:rFonts w:ascii="標楷體" w:eastAsia="標楷體" w:hAnsi="標楷體"/>
                <w:bCs/>
                <w:color w:val="000000" w:themeColor="text1"/>
              </w:rPr>
              <w:lastRenderedPageBreak/>
              <w:t>期繼續審查。</w:t>
            </w:r>
          </w:p>
          <w:p w14:paraId="3E6F132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2.本會111.3.23舉行「促進轉型正義委員會推動轉型正義與未來承接任務移轉」公聽會。</w:t>
            </w:r>
          </w:p>
        </w:tc>
      </w:tr>
      <w:tr w:rsidR="00EC13B7" w:rsidRPr="00026143" w14:paraId="0FE884C2" w14:textId="77777777" w:rsidTr="00974FB5">
        <w:tc>
          <w:tcPr>
            <w:tcW w:w="595" w:type="dxa"/>
            <w:shd w:val="clear" w:color="auto" w:fill="auto"/>
          </w:tcPr>
          <w:p w14:paraId="7A94FA3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242</w:t>
            </w:r>
          </w:p>
        </w:tc>
        <w:tc>
          <w:tcPr>
            <w:tcW w:w="2694" w:type="dxa"/>
            <w:shd w:val="clear" w:color="auto" w:fill="auto"/>
          </w:tcPr>
          <w:p w14:paraId="404F7CE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戒嚴時期人民受損權利回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905" w:type="dxa"/>
            <w:shd w:val="clear" w:color="auto" w:fill="auto"/>
          </w:tcPr>
          <w:p w14:paraId="44766B1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委員蔣萬安</w:t>
            </w:r>
          </w:p>
          <w:p w14:paraId="0DF69F9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4955BFC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109.12.24 </w:t>
            </w:r>
          </w:p>
          <w:p w14:paraId="79AAC6D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（10-2-9）</w:t>
            </w:r>
          </w:p>
        </w:tc>
        <w:tc>
          <w:tcPr>
            <w:tcW w:w="1581" w:type="dxa"/>
            <w:shd w:val="clear" w:color="auto" w:fill="auto"/>
          </w:tcPr>
          <w:p w14:paraId="279A79D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CB5A376" w14:textId="196FF0E2"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1.本會111.3.16</w:t>
            </w:r>
          </w:p>
          <w:p w14:paraId="5F4CEA4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(10-5-5)報告及詢答完畢，另定期繼續審查。</w:t>
            </w:r>
          </w:p>
          <w:p w14:paraId="24C40B0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2.本會111.3.23舉行「促進轉型正義委員會推動轉型正義與未來承接任務移轉」公聽會。</w:t>
            </w:r>
          </w:p>
        </w:tc>
      </w:tr>
      <w:tr w:rsidR="00EC13B7" w:rsidRPr="00026143" w14:paraId="48796CBA" w14:textId="77777777" w:rsidTr="00974FB5">
        <w:tc>
          <w:tcPr>
            <w:tcW w:w="595" w:type="dxa"/>
            <w:shd w:val="clear" w:color="auto" w:fill="auto"/>
          </w:tcPr>
          <w:p w14:paraId="6639BF3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243</w:t>
            </w:r>
          </w:p>
        </w:tc>
        <w:tc>
          <w:tcPr>
            <w:tcW w:w="2694" w:type="dxa"/>
            <w:shd w:val="clear" w:color="auto" w:fill="auto"/>
          </w:tcPr>
          <w:p w14:paraId="5068CE4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鄉鎮市調解條例第二條條文修正草案(修正重點：增加調解委員聘任人數之上限，以減輕部分鄉、鎮、市公所調解委員會之負擔。)</w:t>
            </w:r>
          </w:p>
        </w:tc>
        <w:tc>
          <w:tcPr>
            <w:tcW w:w="1905" w:type="dxa"/>
            <w:shd w:val="clear" w:color="auto" w:fill="auto"/>
          </w:tcPr>
          <w:p w14:paraId="5FBDA5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委員羅致政</w:t>
            </w:r>
          </w:p>
          <w:p w14:paraId="098E6B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7C12EB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109.05.08 </w:t>
            </w:r>
          </w:p>
          <w:p w14:paraId="092A975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（10-1-12）</w:t>
            </w:r>
          </w:p>
        </w:tc>
        <w:tc>
          <w:tcPr>
            <w:tcW w:w="1581" w:type="dxa"/>
            <w:shd w:val="clear" w:color="auto" w:fill="auto"/>
          </w:tcPr>
          <w:p w14:paraId="41FCFB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158030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EE9636E" w14:textId="77777777" w:rsidTr="00974FB5">
        <w:tc>
          <w:tcPr>
            <w:tcW w:w="595" w:type="dxa"/>
            <w:shd w:val="clear" w:color="auto" w:fill="auto"/>
          </w:tcPr>
          <w:p w14:paraId="754CEA1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244</w:t>
            </w:r>
          </w:p>
        </w:tc>
        <w:tc>
          <w:tcPr>
            <w:tcW w:w="2694" w:type="dxa"/>
            <w:shd w:val="clear" w:color="auto" w:fill="auto"/>
          </w:tcPr>
          <w:p w14:paraId="22BD825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貪污治罪條例第二條條文修正草案（修正重點</w:t>
            </w:r>
            <w:r w:rsidRPr="00026143">
              <w:rPr>
                <w:rFonts w:ascii="標楷體" w:eastAsia="標楷體" w:hAnsi="標楷體"/>
                <w:bCs/>
                <w:color w:val="000000" w:themeColor="text1"/>
              </w:rPr>
              <w:lastRenderedPageBreak/>
              <w:t>：將由政府捐助之財團法人之專任職員及董事長，就其受政府編列預算補助而從事於公共事務之行為，納入「貪污治罪條例」規範。）</w:t>
            </w:r>
          </w:p>
        </w:tc>
        <w:tc>
          <w:tcPr>
            <w:tcW w:w="1905" w:type="dxa"/>
            <w:shd w:val="clear" w:color="auto" w:fill="auto"/>
          </w:tcPr>
          <w:p w14:paraId="5B3E4BE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時代力量黨團 </w:t>
            </w:r>
          </w:p>
          <w:p w14:paraId="7FF29FE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109.05.15 </w:t>
            </w:r>
          </w:p>
          <w:p w14:paraId="19ED499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（10-1-13）</w:t>
            </w:r>
          </w:p>
        </w:tc>
        <w:tc>
          <w:tcPr>
            <w:tcW w:w="1581" w:type="dxa"/>
            <w:shd w:val="clear" w:color="auto" w:fill="auto"/>
          </w:tcPr>
          <w:p w14:paraId="3F2D1C9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40AFAF6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7ED3516" w14:textId="77777777" w:rsidTr="00974FB5">
        <w:tc>
          <w:tcPr>
            <w:tcW w:w="595" w:type="dxa"/>
            <w:shd w:val="clear" w:color="auto" w:fill="auto"/>
          </w:tcPr>
          <w:p w14:paraId="4A98385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245</w:t>
            </w:r>
          </w:p>
        </w:tc>
        <w:tc>
          <w:tcPr>
            <w:tcW w:w="2694" w:type="dxa"/>
            <w:shd w:val="clear" w:color="auto" w:fill="auto"/>
          </w:tcPr>
          <w:p w14:paraId="4CB6697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905" w:type="dxa"/>
            <w:shd w:val="clear" w:color="auto" w:fill="auto"/>
          </w:tcPr>
          <w:p w14:paraId="0CF846A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2BBC5C4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109.05.15 </w:t>
            </w:r>
          </w:p>
          <w:p w14:paraId="742BD15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（10-1-13）</w:t>
            </w:r>
          </w:p>
        </w:tc>
        <w:tc>
          <w:tcPr>
            <w:tcW w:w="1581" w:type="dxa"/>
            <w:shd w:val="clear" w:color="auto" w:fill="auto"/>
          </w:tcPr>
          <w:p w14:paraId="500A41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4792E2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6D96EDA" w14:textId="77777777" w:rsidTr="00974FB5">
        <w:tc>
          <w:tcPr>
            <w:tcW w:w="595" w:type="dxa"/>
            <w:shd w:val="clear" w:color="auto" w:fill="auto"/>
          </w:tcPr>
          <w:p w14:paraId="521A646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246</w:t>
            </w:r>
          </w:p>
        </w:tc>
        <w:tc>
          <w:tcPr>
            <w:tcW w:w="2694" w:type="dxa"/>
            <w:shd w:val="clear" w:color="auto" w:fill="auto"/>
          </w:tcPr>
          <w:p w14:paraId="598BCF3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貪污治罪條例第六條之一及第十條條文修正草案（修正重點：將公務員之成年子女亦納入財產來源不明罪認定，及犯罪所得財物處理之範圍。）</w:t>
            </w:r>
          </w:p>
        </w:tc>
        <w:tc>
          <w:tcPr>
            <w:tcW w:w="1905" w:type="dxa"/>
            <w:shd w:val="clear" w:color="auto" w:fill="auto"/>
          </w:tcPr>
          <w:p w14:paraId="63984E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委員翁重鈞</w:t>
            </w:r>
          </w:p>
          <w:p w14:paraId="650C9F4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304709C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109.05.22 </w:t>
            </w:r>
          </w:p>
          <w:p w14:paraId="304F373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（10-1-14）</w:t>
            </w:r>
          </w:p>
        </w:tc>
        <w:tc>
          <w:tcPr>
            <w:tcW w:w="1581" w:type="dxa"/>
            <w:shd w:val="clear" w:color="auto" w:fill="auto"/>
          </w:tcPr>
          <w:p w14:paraId="6A051E1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160BA5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EF4D3A8" w14:textId="77777777" w:rsidTr="00974FB5">
        <w:tc>
          <w:tcPr>
            <w:tcW w:w="595" w:type="dxa"/>
            <w:shd w:val="clear" w:color="auto" w:fill="auto"/>
          </w:tcPr>
          <w:p w14:paraId="6E7E737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247</w:t>
            </w:r>
          </w:p>
        </w:tc>
        <w:tc>
          <w:tcPr>
            <w:tcW w:w="2694" w:type="dxa"/>
            <w:shd w:val="clear" w:color="auto" w:fill="auto"/>
          </w:tcPr>
          <w:p w14:paraId="0420870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貪污治罪條例第十二條條文修正草案(修正重點：本條例造成基層公務員因小額不正利益即獲重罪，爰提案修正。)</w:t>
            </w:r>
          </w:p>
        </w:tc>
        <w:tc>
          <w:tcPr>
            <w:tcW w:w="1905" w:type="dxa"/>
            <w:shd w:val="clear" w:color="auto" w:fill="auto"/>
          </w:tcPr>
          <w:p w14:paraId="6EE8050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委員趙正宇</w:t>
            </w:r>
          </w:p>
          <w:p w14:paraId="5616E62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4788D1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66E062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tc>
        <w:tc>
          <w:tcPr>
            <w:tcW w:w="1581" w:type="dxa"/>
            <w:shd w:val="clear" w:color="auto" w:fill="auto"/>
          </w:tcPr>
          <w:p w14:paraId="494263E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2FF15D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5EB5CDD" w14:textId="77777777" w:rsidTr="00974FB5">
        <w:tc>
          <w:tcPr>
            <w:tcW w:w="595" w:type="dxa"/>
            <w:shd w:val="clear" w:color="auto" w:fill="auto"/>
          </w:tcPr>
          <w:p w14:paraId="7168C0F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248</w:t>
            </w:r>
          </w:p>
        </w:tc>
        <w:tc>
          <w:tcPr>
            <w:tcW w:w="2694" w:type="dxa"/>
            <w:shd w:val="clear" w:color="auto" w:fill="auto"/>
          </w:tcPr>
          <w:p w14:paraId="5AC014B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行政程序法部分條文修正草案（增訂§2-1、2-2、15-1~7、16-1~3、57-1、59-1、64-1、第十節之一節名、66-1~5、72-1、72-2、73-1、76-1、81-1、154-1、157-1、157-2、162-1、162-2；修正§11、15、16、30、48、51、54~58、61、64~66、68、72~74、78、80~84、86、88、89、91、97、100、104、107~110、138、第四章章名、150、154、155、157、159、160、162、175；刪除§75、79、85、</w:t>
            </w:r>
            <w:r w:rsidRPr="00026143">
              <w:rPr>
                <w:rFonts w:ascii="標楷體" w:eastAsia="標楷體" w:hAnsi="標楷體"/>
                <w:bCs/>
                <w:color w:val="000000" w:themeColor="text1"/>
              </w:rPr>
              <w:lastRenderedPageBreak/>
              <w:t>156、158。修正重點：增訂依本法所為於政府公報、機關網站之公告之統一性規定；增訂中央行政機關得依法規將其權限之一部分委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905" w:type="dxa"/>
            <w:shd w:val="clear" w:color="auto" w:fill="auto"/>
          </w:tcPr>
          <w:p w14:paraId="15E72E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行政院 </w:t>
            </w:r>
          </w:p>
          <w:p w14:paraId="60E29C8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110.09.17 </w:t>
            </w:r>
          </w:p>
          <w:p w14:paraId="709BEBB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w:t>
            </w:r>
          </w:p>
        </w:tc>
        <w:tc>
          <w:tcPr>
            <w:tcW w:w="1581" w:type="dxa"/>
            <w:shd w:val="clear" w:color="auto" w:fill="auto"/>
          </w:tcPr>
          <w:p w14:paraId="28AFA5C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57871E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1.本會110.9.30舉行「行政命令、一般處分之法定程式及法制監督機制—防疫措施法制爭議」公聽會。</w:t>
            </w:r>
          </w:p>
          <w:p w14:paraId="28B783B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w:t>
            </w:r>
            <w:r w:rsidRPr="001E0A9A">
              <w:rPr>
                <w:rFonts w:ascii="標楷體" w:eastAsia="標楷體" w:hAnsi="標楷體"/>
                <w:bCs/>
                <w:color w:val="000000" w:themeColor="text1"/>
                <w:spacing w:val="-10"/>
              </w:rPr>
              <w:t>本會110.12.23舉行</w:t>
            </w:r>
            <w:r w:rsidRPr="00026143">
              <w:rPr>
                <w:rFonts w:ascii="標楷體" w:eastAsia="標楷體" w:hAnsi="標楷體"/>
                <w:bCs/>
                <w:color w:val="000000" w:themeColor="text1"/>
              </w:rPr>
              <w:t>「行政程序法增訂職權命令之合憲性及民主監督機制爭議」公聽會。</w:t>
            </w:r>
          </w:p>
          <w:p w14:paraId="2345C03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p>
        </w:tc>
      </w:tr>
      <w:tr w:rsidR="00EC13B7" w:rsidRPr="00026143" w14:paraId="2FFBA542" w14:textId="77777777" w:rsidTr="00974FB5">
        <w:tc>
          <w:tcPr>
            <w:tcW w:w="595" w:type="dxa"/>
            <w:shd w:val="clear" w:color="auto" w:fill="auto"/>
          </w:tcPr>
          <w:p w14:paraId="7156592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249</w:t>
            </w:r>
          </w:p>
        </w:tc>
        <w:tc>
          <w:tcPr>
            <w:tcW w:w="2694" w:type="dxa"/>
            <w:shd w:val="clear" w:color="auto" w:fill="auto"/>
          </w:tcPr>
          <w:p w14:paraId="18A8442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行政程序法第一百五十四條條文修正草案（修正重點：增訂本條1至3項之規定。將預告期日之規定予以法律保留，並規範基於重大急迫之公益性事由得免為公告及基於情況急迫得縮短預告期至短為30日兩種例外情事之規定；且規範免為公告及縮短期日之法規命令須經行政院之核定；修正原條文第3款，規定行政機關公告法規命令時，應載明草案全文、目的及說明。）</w:t>
            </w:r>
          </w:p>
        </w:tc>
        <w:tc>
          <w:tcPr>
            <w:tcW w:w="1905" w:type="dxa"/>
            <w:shd w:val="clear" w:color="auto" w:fill="auto"/>
          </w:tcPr>
          <w:p w14:paraId="0A4C65F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2FF072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109.09.25 </w:t>
            </w:r>
          </w:p>
          <w:p w14:paraId="366A18F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（10-2-2）</w:t>
            </w:r>
          </w:p>
        </w:tc>
        <w:tc>
          <w:tcPr>
            <w:tcW w:w="1581" w:type="dxa"/>
            <w:shd w:val="clear" w:color="auto" w:fill="auto"/>
          </w:tcPr>
          <w:p w14:paraId="1F4BFE4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16738D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本會110.9.30舉行「行政命令、一般處分之法定程式及法制監督機制—防疫措施法制爭議」公聽會。</w:t>
            </w:r>
          </w:p>
        </w:tc>
      </w:tr>
      <w:tr w:rsidR="00EC13B7" w:rsidRPr="00026143" w14:paraId="2F6013E4" w14:textId="77777777" w:rsidTr="00974FB5">
        <w:tc>
          <w:tcPr>
            <w:tcW w:w="595" w:type="dxa"/>
            <w:shd w:val="clear" w:color="auto" w:fill="auto"/>
          </w:tcPr>
          <w:p w14:paraId="63FFAE1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250</w:t>
            </w:r>
          </w:p>
        </w:tc>
        <w:tc>
          <w:tcPr>
            <w:tcW w:w="2694" w:type="dxa"/>
            <w:shd w:val="clear" w:color="auto" w:fill="auto"/>
          </w:tcPr>
          <w:p w14:paraId="62C59AE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3.行政程序法第一百五十四條條文修正草案（修正重點：明定法規命令預告期間至少為60日。）</w:t>
            </w:r>
          </w:p>
        </w:tc>
        <w:tc>
          <w:tcPr>
            <w:tcW w:w="1905" w:type="dxa"/>
            <w:shd w:val="clear" w:color="auto" w:fill="auto"/>
          </w:tcPr>
          <w:p w14:paraId="51D3F9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委員蔣萬安</w:t>
            </w:r>
          </w:p>
          <w:p w14:paraId="4C06CBA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3BBFB4A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109.10.06 </w:t>
            </w:r>
          </w:p>
          <w:p w14:paraId="4481AB6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（10-2-3）</w:t>
            </w:r>
          </w:p>
        </w:tc>
        <w:tc>
          <w:tcPr>
            <w:tcW w:w="1581" w:type="dxa"/>
            <w:shd w:val="clear" w:color="auto" w:fill="auto"/>
          </w:tcPr>
          <w:p w14:paraId="3D9A691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7BF425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本會110.9.30舉行「行政命令、一般處分之法定程式及法制監督機制—防疫措</w:t>
            </w:r>
            <w:r w:rsidRPr="00026143">
              <w:rPr>
                <w:rFonts w:ascii="標楷體" w:eastAsia="標楷體" w:hAnsi="標楷體"/>
                <w:bCs/>
                <w:color w:val="000000" w:themeColor="text1"/>
              </w:rPr>
              <w:lastRenderedPageBreak/>
              <w:t>施法制爭議」公聽會。</w:t>
            </w:r>
          </w:p>
        </w:tc>
      </w:tr>
      <w:tr w:rsidR="00EC13B7" w:rsidRPr="00026143" w14:paraId="03B18E7D" w14:textId="77777777" w:rsidTr="00974FB5">
        <w:tc>
          <w:tcPr>
            <w:tcW w:w="595" w:type="dxa"/>
            <w:shd w:val="clear" w:color="auto" w:fill="auto"/>
          </w:tcPr>
          <w:p w14:paraId="13E7CBF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251</w:t>
            </w:r>
          </w:p>
        </w:tc>
        <w:tc>
          <w:tcPr>
            <w:tcW w:w="2694" w:type="dxa"/>
            <w:shd w:val="clear" w:color="auto" w:fill="auto"/>
          </w:tcPr>
          <w:p w14:paraId="3E88E78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4.行政程序法第一百五十四條及第一百五十五條條文修正草案（修正重點：明定法規命令預告期間為60日；要求行政機關訂定法規命令若對民眾權益或產業可能產生重大影響者，應舉行聽證。）</w:t>
            </w:r>
          </w:p>
        </w:tc>
        <w:tc>
          <w:tcPr>
            <w:tcW w:w="1905" w:type="dxa"/>
            <w:shd w:val="clear" w:color="auto" w:fill="auto"/>
          </w:tcPr>
          <w:p w14:paraId="2525DD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委員江啟臣</w:t>
            </w:r>
          </w:p>
          <w:p w14:paraId="38AAE82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0F99A5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109.10.06 </w:t>
            </w:r>
          </w:p>
          <w:p w14:paraId="146428E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（10-2-3）</w:t>
            </w:r>
          </w:p>
        </w:tc>
        <w:tc>
          <w:tcPr>
            <w:tcW w:w="1581" w:type="dxa"/>
            <w:shd w:val="clear" w:color="auto" w:fill="auto"/>
          </w:tcPr>
          <w:p w14:paraId="61817A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F498CF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本會110.9.30舉行「行政命令、一般處分之法定程式及法制監督機制—防疫措施法制爭議」公聽會。</w:t>
            </w:r>
          </w:p>
        </w:tc>
      </w:tr>
      <w:tr w:rsidR="00EC13B7" w:rsidRPr="00026143" w14:paraId="1CC3ED63" w14:textId="77777777" w:rsidTr="00974FB5">
        <w:tc>
          <w:tcPr>
            <w:tcW w:w="595" w:type="dxa"/>
            <w:shd w:val="clear" w:color="auto" w:fill="auto"/>
          </w:tcPr>
          <w:p w14:paraId="4DB4121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252</w:t>
            </w:r>
          </w:p>
        </w:tc>
        <w:tc>
          <w:tcPr>
            <w:tcW w:w="2694" w:type="dxa"/>
            <w:shd w:val="clear" w:color="auto" w:fill="auto"/>
          </w:tcPr>
          <w:p w14:paraId="1026336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5.行政程序法部分條文修正草案（修正§68、74、83、84、86；修正重點：「郵政機關」變更為「郵務機構」；就行政文書之寄存送達生效時點，原未設一定緩衝期間，參酌行政訴訟法§73寄存送達生效時點之規定。）</w:t>
            </w:r>
          </w:p>
        </w:tc>
        <w:tc>
          <w:tcPr>
            <w:tcW w:w="1905" w:type="dxa"/>
            <w:shd w:val="clear" w:color="auto" w:fill="auto"/>
          </w:tcPr>
          <w:p w14:paraId="248DC6D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6E12CF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62B7B1F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3C332E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295ED7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A66475C" w14:textId="77777777" w:rsidTr="00974FB5">
        <w:tc>
          <w:tcPr>
            <w:tcW w:w="595" w:type="dxa"/>
            <w:shd w:val="clear" w:color="auto" w:fill="auto"/>
          </w:tcPr>
          <w:p w14:paraId="2376ABC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253</w:t>
            </w:r>
          </w:p>
        </w:tc>
        <w:tc>
          <w:tcPr>
            <w:tcW w:w="2694" w:type="dxa"/>
            <w:shd w:val="clear" w:color="auto" w:fill="auto"/>
          </w:tcPr>
          <w:p w14:paraId="1AA9EA8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6.行政程序法部分條文修正草案（修正§68、74、83、84、86；修正重點：「郵政機關」變更為「郵務機構」；調整行政程序關於寄存送達計算救濟之不變期間。）</w:t>
            </w:r>
          </w:p>
        </w:tc>
        <w:tc>
          <w:tcPr>
            <w:tcW w:w="1905" w:type="dxa"/>
            <w:shd w:val="clear" w:color="auto" w:fill="auto"/>
          </w:tcPr>
          <w:p w14:paraId="039838E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01CCD92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110.03.26 </w:t>
            </w:r>
          </w:p>
          <w:p w14:paraId="2AB38D1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（10-3-5）</w:t>
            </w:r>
          </w:p>
        </w:tc>
        <w:tc>
          <w:tcPr>
            <w:tcW w:w="1581" w:type="dxa"/>
            <w:shd w:val="clear" w:color="auto" w:fill="auto"/>
          </w:tcPr>
          <w:p w14:paraId="4537FEE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03B9F9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6970DDE" w14:textId="77777777" w:rsidTr="00974FB5">
        <w:tc>
          <w:tcPr>
            <w:tcW w:w="595" w:type="dxa"/>
            <w:shd w:val="clear" w:color="auto" w:fill="auto"/>
          </w:tcPr>
          <w:p w14:paraId="20CC76A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254</w:t>
            </w:r>
          </w:p>
        </w:tc>
        <w:tc>
          <w:tcPr>
            <w:tcW w:w="2694" w:type="dxa"/>
            <w:shd w:val="clear" w:color="auto" w:fill="auto"/>
          </w:tcPr>
          <w:p w14:paraId="5EF0C38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7.行政程序法第一百零九條條文修正草案(修正重點：經聽證程序而作成之行政處分者，其行政救濟程序，改為得提起訴願或逕行提起訴訟。)</w:t>
            </w:r>
          </w:p>
        </w:tc>
        <w:tc>
          <w:tcPr>
            <w:tcW w:w="1905" w:type="dxa"/>
            <w:shd w:val="clear" w:color="auto" w:fill="auto"/>
          </w:tcPr>
          <w:p w14:paraId="5589EA3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委員溫玉霞</w:t>
            </w:r>
          </w:p>
          <w:p w14:paraId="26EBD1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FD581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7CDE828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7F434E1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4178D5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7136C1C" w14:textId="77777777" w:rsidTr="00974FB5">
        <w:tc>
          <w:tcPr>
            <w:tcW w:w="595" w:type="dxa"/>
            <w:shd w:val="clear" w:color="auto" w:fill="auto"/>
          </w:tcPr>
          <w:p w14:paraId="0BFBB267"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255</w:t>
            </w:r>
          </w:p>
        </w:tc>
        <w:tc>
          <w:tcPr>
            <w:tcW w:w="2694" w:type="dxa"/>
            <w:shd w:val="clear" w:color="auto" w:fill="auto"/>
          </w:tcPr>
          <w:p w14:paraId="51F7C81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8.行政程序法第一百六十條及第一百六十二條之一條文修正草案(修正重點：明定行政機關下達行政規則後，應即刊登於政府公報，並公開於機關網站；於機關網站公開之行政規則應隨時更新，若有經廢止者，仍應公開並註記之。)</w:t>
            </w:r>
          </w:p>
        </w:tc>
        <w:tc>
          <w:tcPr>
            <w:tcW w:w="1905" w:type="dxa"/>
            <w:shd w:val="clear" w:color="auto" w:fill="auto"/>
          </w:tcPr>
          <w:p w14:paraId="29C4472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委員黃國書</w:t>
            </w:r>
          </w:p>
          <w:p w14:paraId="69EA04A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51C2171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1DFCE10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tc>
        <w:tc>
          <w:tcPr>
            <w:tcW w:w="1581" w:type="dxa"/>
            <w:shd w:val="clear" w:color="auto" w:fill="auto"/>
          </w:tcPr>
          <w:p w14:paraId="095217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D4910B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4F5F75F" w14:textId="77777777" w:rsidTr="00974FB5">
        <w:tc>
          <w:tcPr>
            <w:tcW w:w="595" w:type="dxa"/>
            <w:shd w:val="clear" w:color="auto" w:fill="auto"/>
          </w:tcPr>
          <w:p w14:paraId="6F27656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256</w:t>
            </w:r>
          </w:p>
        </w:tc>
        <w:tc>
          <w:tcPr>
            <w:tcW w:w="2694" w:type="dxa"/>
            <w:shd w:val="clear" w:color="auto" w:fill="auto"/>
          </w:tcPr>
          <w:p w14:paraId="55693A1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9.行政程序法增訂第一百五十七條之一及第一百五十七條之二條文草案(修正重點：明定職權命令之界定，不得以職權命令取代法律或法規命令應規範之事項；並界定職權命令之內容、職權命令應遵循之法制程序。)</w:t>
            </w:r>
          </w:p>
        </w:tc>
        <w:tc>
          <w:tcPr>
            <w:tcW w:w="1905" w:type="dxa"/>
            <w:shd w:val="clear" w:color="auto" w:fill="auto"/>
          </w:tcPr>
          <w:p w14:paraId="40E573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委員葉毓蘭</w:t>
            </w:r>
          </w:p>
          <w:p w14:paraId="3D8D8A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7A15EA9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111.03.01 </w:t>
            </w:r>
          </w:p>
          <w:p w14:paraId="35D4E78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w:t>
            </w:r>
          </w:p>
        </w:tc>
        <w:tc>
          <w:tcPr>
            <w:tcW w:w="1581" w:type="dxa"/>
            <w:shd w:val="clear" w:color="auto" w:fill="auto"/>
          </w:tcPr>
          <w:p w14:paraId="43C26BD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4AF525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C93CA2B" w14:textId="77777777" w:rsidTr="00974FB5">
        <w:tc>
          <w:tcPr>
            <w:tcW w:w="595" w:type="dxa"/>
            <w:shd w:val="clear" w:color="auto" w:fill="auto"/>
          </w:tcPr>
          <w:p w14:paraId="0B1FBA5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257</w:t>
            </w:r>
          </w:p>
        </w:tc>
        <w:tc>
          <w:tcPr>
            <w:tcW w:w="2694" w:type="dxa"/>
            <w:shd w:val="clear" w:color="auto" w:fill="auto"/>
          </w:tcPr>
          <w:p w14:paraId="5B3CC31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10.行政程序法第七十二條條文修正草案(修正重點：明定應受送達人已向行政機關陳明特定地址或郵政信箱為送達處所者，行政機關即應優先以該地址為送達處所。)</w:t>
            </w:r>
          </w:p>
        </w:tc>
        <w:tc>
          <w:tcPr>
            <w:tcW w:w="1905" w:type="dxa"/>
            <w:shd w:val="clear" w:color="auto" w:fill="auto"/>
          </w:tcPr>
          <w:p w14:paraId="4514621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委員江啟臣</w:t>
            </w:r>
          </w:p>
          <w:p w14:paraId="3A04741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57E728E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111.04.29 </w:t>
            </w:r>
          </w:p>
          <w:p w14:paraId="5A18A10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（10-5-10）</w:t>
            </w:r>
          </w:p>
        </w:tc>
        <w:tc>
          <w:tcPr>
            <w:tcW w:w="1581" w:type="dxa"/>
            <w:shd w:val="clear" w:color="auto" w:fill="auto"/>
          </w:tcPr>
          <w:p w14:paraId="7DE72A9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85AC06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0534159" w14:textId="77777777" w:rsidTr="00974FB5">
        <w:tc>
          <w:tcPr>
            <w:tcW w:w="595" w:type="dxa"/>
            <w:shd w:val="clear" w:color="auto" w:fill="auto"/>
          </w:tcPr>
          <w:p w14:paraId="0CBFA78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258</w:t>
            </w:r>
          </w:p>
        </w:tc>
        <w:tc>
          <w:tcPr>
            <w:tcW w:w="2694" w:type="dxa"/>
            <w:shd w:val="clear" w:color="auto" w:fill="auto"/>
          </w:tcPr>
          <w:p w14:paraId="2F8B43C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905" w:type="dxa"/>
            <w:shd w:val="clear" w:color="auto" w:fill="auto"/>
          </w:tcPr>
          <w:p w14:paraId="0CB32F2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委員林為洲</w:t>
            </w:r>
          </w:p>
          <w:p w14:paraId="51250E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15B8EF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110.04.16 </w:t>
            </w:r>
          </w:p>
          <w:p w14:paraId="72D78DA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（10-3-8）</w:t>
            </w:r>
          </w:p>
        </w:tc>
        <w:tc>
          <w:tcPr>
            <w:tcW w:w="1581" w:type="dxa"/>
            <w:shd w:val="clear" w:color="auto" w:fill="auto"/>
          </w:tcPr>
          <w:p w14:paraId="52618C9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35A755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00B4D94" w14:textId="77777777" w:rsidTr="00974FB5">
        <w:tc>
          <w:tcPr>
            <w:tcW w:w="595" w:type="dxa"/>
            <w:shd w:val="clear" w:color="auto" w:fill="auto"/>
          </w:tcPr>
          <w:p w14:paraId="54FED18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259</w:t>
            </w:r>
          </w:p>
        </w:tc>
        <w:tc>
          <w:tcPr>
            <w:tcW w:w="2694" w:type="dxa"/>
            <w:shd w:val="clear" w:color="auto" w:fill="auto"/>
          </w:tcPr>
          <w:p w14:paraId="4EB89B2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行政程序法第一百十七條條文修正草案（修正重點：於法條中賦與人民申請行政機關撤銷違法處分之權利。）</w:t>
            </w:r>
          </w:p>
        </w:tc>
        <w:tc>
          <w:tcPr>
            <w:tcW w:w="1905" w:type="dxa"/>
            <w:shd w:val="clear" w:color="auto" w:fill="auto"/>
          </w:tcPr>
          <w:p w14:paraId="1B251E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委員邱志偉</w:t>
            </w:r>
          </w:p>
          <w:p w14:paraId="79FFC93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64D74F0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32FF5F6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tc>
        <w:tc>
          <w:tcPr>
            <w:tcW w:w="1581" w:type="dxa"/>
            <w:shd w:val="clear" w:color="auto" w:fill="auto"/>
          </w:tcPr>
          <w:p w14:paraId="09FB3A6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5FB2D7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A4998E7" w14:textId="77777777" w:rsidTr="00974FB5">
        <w:tc>
          <w:tcPr>
            <w:tcW w:w="595" w:type="dxa"/>
            <w:shd w:val="clear" w:color="auto" w:fill="auto"/>
          </w:tcPr>
          <w:p w14:paraId="1CABCE1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260</w:t>
            </w:r>
          </w:p>
        </w:tc>
        <w:tc>
          <w:tcPr>
            <w:tcW w:w="2694" w:type="dxa"/>
            <w:shd w:val="clear" w:color="auto" w:fill="auto"/>
          </w:tcPr>
          <w:p w14:paraId="060EA32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監獄行刑法第十五條條文修正草案（修正重點：對受刑人為身心障礙者、不通中華民國語言等者，提供手語、通譯等適當協助，以獲得近用的資訊與溝通管道。）</w:t>
            </w:r>
          </w:p>
        </w:tc>
        <w:tc>
          <w:tcPr>
            <w:tcW w:w="1905" w:type="dxa"/>
            <w:shd w:val="clear" w:color="auto" w:fill="auto"/>
          </w:tcPr>
          <w:p w14:paraId="7A95AB4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委員陳秀</w:t>
            </w:r>
            <w:r w:rsidRPr="00026143">
              <w:rPr>
                <w:rFonts w:ascii="標楷體" w:eastAsia="標楷體" w:hAnsi="標楷體" w:hint="eastAsia"/>
                <w:bCs/>
                <w:color w:val="000000" w:themeColor="text1"/>
              </w:rPr>
              <w:t>寳</w:t>
            </w:r>
          </w:p>
          <w:p w14:paraId="5AD82DF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等</w:t>
            </w:r>
            <w:r w:rsidRPr="00026143">
              <w:rPr>
                <w:rFonts w:ascii="標楷體" w:eastAsia="標楷體" w:hAnsi="標楷體"/>
                <w:bCs/>
                <w:color w:val="000000" w:themeColor="text1"/>
              </w:rPr>
              <w:t xml:space="preserve">17人 </w:t>
            </w:r>
          </w:p>
          <w:p w14:paraId="326823B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109.12.04 </w:t>
            </w:r>
          </w:p>
          <w:p w14:paraId="602DF14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（10-2-6）</w:t>
            </w:r>
          </w:p>
        </w:tc>
        <w:tc>
          <w:tcPr>
            <w:tcW w:w="1581" w:type="dxa"/>
            <w:shd w:val="clear" w:color="auto" w:fill="auto"/>
          </w:tcPr>
          <w:p w14:paraId="5D8EF3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00F695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302E1AD" w14:textId="77777777" w:rsidTr="00974FB5">
        <w:tc>
          <w:tcPr>
            <w:tcW w:w="595" w:type="dxa"/>
            <w:shd w:val="clear" w:color="auto" w:fill="auto"/>
          </w:tcPr>
          <w:p w14:paraId="747BD5BE"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261</w:t>
            </w:r>
          </w:p>
        </w:tc>
        <w:tc>
          <w:tcPr>
            <w:tcW w:w="2694" w:type="dxa"/>
            <w:shd w:val="clear" w:color="auto" w:fill="auto"/>
          </w:tcPr>
          <w:p w14:paraId="4DC3D5B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監獄行刑法第十二條條文修正草案（修正重點：「子女」文字修正為「</w:t>
            </w:r>
            <w:r w:rsidRPr="00026143">
              <w:rPr>
                <w:rFonts w:ascii="標楷體" w:eastAsia="標楷體" w:hAnsi="標楷體"/>
                <w:bCs/>
                <w:color w:val="000000" w:themeColor="text1"/>
              </w:rPr>
              <w:lastRenderedPageBreak/>
              <w:t>兒童」，「婦女」文字修正為「受刑人」，「請求」文字修正為「申請」；修正直轄市、縣（市）社會福利主管機關評估期限為1個月。）</w:t>
            </w:r>
          </w:p>
        </w:tc>
        <w:tc>
          <w:tcPr>
            <w:tcW w:w="1905" w:type="dxa"/>
            <w:shd w:val="clear" w:color="auto" w:fill="auto"/>
          </w:tcPr>
          <w:p w14:paraId="6CEB3C9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時代力量黨團 </w:t>
            </w:r>
          </w:p>
          <w:p w14:paraId="177FC4D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110.03.26 </w:t>
            </w:r>
          </w:p>
          <w:p w14:paraId="1BAF6C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（10-3-5）</w:t>
            </w:r>
          </w:p>
          <w:p w14:paraId="33E663D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289191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738651F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2FFE243" w14:textId="77777777" w:rsidTr="00974FB5">
        <w:tc>
          <w:tcPr>
            <w:tcW w:w="595" w:type="dxa"/>
            <w:shd w:val="clear" w:color="auto" w:fill="auto"/>
          </w:tcPr>
          <w:p w14:paraId="209849D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262</w:t>
            </w:r>
          </w:p>
        </w:tc>
        <w:tc>
          <w:tcPr>
            <w:tcW w:w="2694" w:type="dxa"/>
            <w:shd w:val="clear" w:color="auto" w:fill="auto"/>
          </w:tcPr>
          <w:p w14:paraId="0D55AC7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監獄行刑法部分條文修正草案(修正§90、93、97、108、111、112、121、135；增訂§9-1、114-1。修正重點：明定受刑人有請求監獄審酌停止執行之權利；修正救濟程序上過短之期日規定；擴大申訴決定之類型及範圍，並授予審議小組應受刑人之請求停止執行之權限；明定受刑人得提起預防性不作為給付訴訟。)</w:t>
            </w:r>
          </w:p>
        </w:tc>
        <w:tc>
          <w:tcPr>
            <w:tcW w:w="1905" w:type="dxa"/>
            <w:shd w:val="clear" w:color="auto" w:fill="auto"/>
          </w:tcPr>
          <w:p w14:paraId="2AC5A57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7B69E9C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111.10.28 </w:t>
            </w:r>
          </w:p>
          <w:p w14:paraId="293B24F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（10-6-5）</w:t>
            </w:r>
          </w:p>
        </w:tc>
        <w:tc>
          <w:tcPr>
            <w:tcW w:w="1581" w:type="dxa"/>
            <w:shd w:val="clear" w:color="auto" w:fill="auto"/>
          </w:tcPr>
          <w:p w14:paraId="5D05899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87B733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AAA7830" w14:textId="77777777" w:rsidTr="00974FB5">
        <w:tc>
          <w:tcPr>
            <w:tcW w:w="595" w:type="dxa"/>
            <w:shd w:val="clear" w:color="auto" w:fill="auto"/>
          </w:tcPr>
          <w:p w14:paraId="5D982A0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263</w:t>
            </w:r>
          </w:p>
        </w:tc>
        <w:tc>
          <w:tcPr>
            <w:tcW w:w="2694" w:type="dxa"/>
            <w:shd w:val="clear" w:color="auto" w:fill="auto"/>
          </w:tcPr>
          <w:p w14:paraId="319090B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監獄行刑法第六條及第九十三條條文修正草案(修正重點：鑑於監所迄今從未設置投（開）票所，實質上令監所受羈押被告及受刑人無法行使選舉權，已有違憲之虞，並為使受刑人得有充分時間提起申訴，爰提案修正。)</w:t>
            </w:r>
          </w:p>
        </w:tc>
        <w:tc>
          <w:tcPr>
            <w:tcW w:w="1905" w:type="dxa"/>
            <w:shd w:val="clear" w:color="auto" w:fill="auto"/>
          </w:tcPr>
          <w:p w14:paraId="120D0F08" w14:textId="678AB1AB"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1A06691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111.11.18 </w:t>
            </w:r>
          </w:p>
          <w:p w14:paraId="02FB7B1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（10-6-8）</w:t>
            </w:r>
          </w:p>
        </w:tc>
        <w:tc>
          <w:tcPr>
            <w:tcW w:w="1581" w:type="dxa"/>
            <w:shd w:val="clear" w:color="auto" w:fill="auto"/>
          </w:tcPr>
          <w:p w14:paraId="04AEF1D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681551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F864E3F" w14:textId="77777777" w:rsidTr="00974FB5">
        <w:tc>
          <w:tcPr>
            <w:tcW w:w="595" w:type="dxa"/>
            <w:shd w:val="clear" w:color="auto" w:fill="auto"/>
          </w:tcPr>
          <w:p w14:paraId="28D1AB5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264</w:t>
            </w:r>
          </w:p>
        </w:tc>
        <w:tc>
          <w:tcPr>
            <w:tcW w:w="2694" w:type="dxa"/>
            <w:shd w:val="clear" w:color="auto" w:fill="auto"/>
          </w:tcPr>
          <w:p w14:paraId="0EA81E8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3.監獄行刑法第一百二十一條條文修正草案(修正重點：將廢止、撤銷、不予許可假釋之處分之得提起復審時間修改為三十日。)</w:t>
            </w:r>
          </w:p>
        </w:tc>
        <w:tc>
          <w:tcPr>
            <w:tcW w:w="1905" w:type="dxa"/>
            <w:shd w:val="clear" w:color="auto" w:fill="auto"/>
          </w:tcPr>
          <w:p w14:paraId="62A6D6C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358BB9E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等25人 </w:t>
            </w:r>
          </w:p>
          <w:p w14:paraId="4C67088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111.11.25</w:t>
            </w:r>
          </w:p>
          <w:p w14:paraId="27BE7BA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（10-6-9）</w:t>
            </w:r>
          </w:p>
        </w:tc>
        <w:tc>
          <w:tcPr>
            <w:tcW w:w="1581" w:type="dxa"/>
            <w:shd w:val="clear" w:color="auto" w:fill="auto"/>
          </w:tcPr>
          <w:p w14:paraId="5199BAD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1A26EE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39A18A2" w14:textId="77777777" w:rsidTr="00974FB5">
        <w:tc>
          <w:tcPr>
            <w:tcW w:w="595" w:type="dxa"/>
            <w:shd w:val="clear" w:color="auto" w:fill="auto"/>
          </w:tcPr>
          <w:p w14:paraId="7E7479A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265</w:t>
            </w:r>
          </w:p>
        </w:tc>
        <w:tc>
          <w:tcPr>
            <w:tcW w:w="2694" w:type="dxa"/>
            <w:shd w:val="clear" w:color="auto" w:fill="auto"/>
          </w:tcPr>
          <w:p w14:paraId="556D349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1.司法院釋字第七四八號解釋施行法部分條文修正草案(修正§3、9、16、27。修正重點：配合民法第十二條規定成年年齡下修為十八歲，爰提案修正。)</w:t>
            </w:r>
          </w:p>
        </w:tc>
        <w:tc>
          <w:tcPr>
            <w:tcW w:w="1905" w:type="dxa"/>
            <w:shd w:val="clear" w:color="auto" w:fill="auto"/>
          </w:tcPr>
          <w:p w14:paraId="59888FF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行政院 </w:t>
            </w:r>
          </w:p>
          <w:p w14:paraId="6707557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111.05.27 </w:t>
            </w:r>
          </w:p>
          <w:p w14:paraId="1F6677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（10-5-14）</w:t>
            </w:r>
          </w:p>
        </w:tc>
        <w:tc>
          <w:tcPr>
            <w:tcW w:w="1581" w:type="dxa"/>
            <w:shd w:val="clear" w:color="auto" w:fill="auto"/>
          </w:tcPr>
          <w:p w14:paraId="38F77F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9D5A14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629669F" w14:textId="77777777" w:rsidTr="00974FB5">
        <w:tc>
          <w:tcPr>
            <w:tcW w:w="595" w:type="dxa"/>
            <w:shd w:val="clear" w:color="auto" w:fill="auto"/>
          </w:tcPr>
          <w:p w14:paraId="29AFDCE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266</w:t>
            </w:r>
          </w:p>
        </w:tc>
        <w:tc>
          <w:tcPr>
            <w:tcW w:w="2694" w:type="dxa"/>
            <w:shd w:val="clear" w:color="auto" w:fill="auto"/>
          </w:tcPr>
          <w:p w14:paraId="5AB9C8B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2.司法院釋字第七四八號解釋施行法第三條、第九條及第二十七條條</w:t>
            </w:r>
            <w:r w:rsidRPr="00026143">
              <w:rPr>
                <w:rFonts w:ascii="標楷體" w:eastAsia="標楷體" w:hAnsi="標楷體"/>
                <w:bCs/>
                <w:color w:val="000000" w:themeColor="text1"/>
              </w:rPr>
              <w:lastRenderedPageBreak/>
              <w:t>文修正草案（修正重點：民法將成年年齡及最低結婚年齡修正為18歲，此後已無未成年人應得法定代理人同意之情形，基於同樣事務應為同樣處理之法理，亦應無得成立未成年同性婚；明定本次修正條文之施行日期。）</w:t>
            </w:r>
          </w:p>
        </w:tc>
        <w:tc>
          <w:tcPr>
            <w:tcW w:w="1905" w:type="dxa"/>
            <w:shd w:val="clear" w:color="auto" w:fill="auto"/>
          </w:tcPr>
          <w:p w14:paraId="245686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民眾黨黨團</w:t>
            </w:r>
          </w:p>
          <w:p w14:paraId="267B4A6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109.12.11 </w:t>
            </w:r>
          </w:p>
          <w:p w14:paraId="62E28AD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（10-2-7）</w:t>
            </w:r>
          </w:p>
        </w:tc>
        <w:tc>
          <w:tcPr>
            <w:tcW w:w="1581" w:type="dxa"/>
            <w:shd w:val="clear" w:color="auto" w:fill="auto"/>
          </w:tcPr>
          <w:p w14:paraId="27F62FA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A8E0A2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F03C3E7" w14:textId="77777777" w:rsidTr="00974FB5">
        <w:tc>
          <w:tcPr>
            <w:tcW w:w="595" w:type="dxa"/>
            <w:shd w:val="clear" w:color="auto" w:fill="auto"/>
          </w:tcPr>
          <w:p w14:paraId="1D52A86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267</w:t>
            </w:r>
          </w:p>
        </w:tc>
        <w:tc>
          <w:tcPr>
            <w:tcW w:w="2694" w:type="dxa"/>
            <w:shd w:val="clear" w:color="auto" w:fill="auto"/>
          </w:tcPr>
          <w:p w14:paraId="0713F5B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3.司法院釋字第七四八號解釋施行法部分條文修正草案（修正§3、9、16、27。修正重點：配合《民法》修改成年年齡為18歲，進行相關條文之修正。）</w:t>
            </w:r>
          </w:p>
        </w:tc>
        <w:tc>
          <w:tcPr>
            <w:tcW w:w="1905" w:type="dxa"/>
            <w:shd w:val="clear" w:color="auto" w:fill="auto"/>
          </w:tcPr>
          <w:p w14:paraId="23C6A6C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委員林宜瑾</w:t>
            </w:r>
          </w:p>
          <w:p w14:paraId="16F901B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69C30EF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7B21D28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5B9652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0F12AC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774939F" w14:textId="77777777" w:rsidTr="00974FB5">
        <w:tc>
          <w:tcPr>
            <w:tcW w:w="595" w:type="dxa"/>
            <w:shd w:val="clear" w:color="auto" w:fill="auto"/>
          </w:tcPr>
          <w:p w14:paraId="3E7F4F0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268</w:t>
            </w:r>
          </w:p>
        </w:tc>
        <w:tc>
          <w:tcPr>
            <w:tcW w:w="2694" w:type="dxa"/>
            <w:shd w:val="clear" w:color="auto" w:fill="auto"/>
          </w:tcPr>
          <w:p w14:paraId="3508B9A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羈押法第三條及第一百十七條條文修正草案（修正重點：移押於看守所之年齡由二十歲下修為十八歲。）</w:t>
            </w:r>
          </w:p>
        </w:tc>
        <w:tc>
          <w:tcPr>
            <w:tcW w:w="1905" w:type="dxa"/>
            <w:shd w:val="clear" w:color="auto" w:fill="auto"/>
          </w:tcPr>
          <w:p w14:paraId="2AC644C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委員林奕華</w:t>
            </w:r>
          </w:p>
          <w:p w14:paraId="1348963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62B7068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109.12.18 </w:t>
            </w:r>
          </w:p>
          <w:p w14:paraId="2283623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（10-2-8）</w:t>
            </w:r>
          </w:p>
        </w:tc>
        <w:tc>
          <w:tcPr>
            <w:tcW w:w="1581" w:type="dxa"/>
            <w:shd w:val="clear" w:color="auto" w:fill="auto"/>
          </w:tcPr>
          <w:p w14:paraId="255C59D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2EE350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217BCAF" w14:textId="77777777" w:rsidTr="00974FB5">
        <w:tc>
          <w:tcPr>
            <w:tcW w:w="595" w:type="dxa"/>
            <w:shd w:val="clear" w:color="auto" w:fill="auto"/>
          </w:tcPr>
          <w:p w14:paraId="7E502B4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269</w:t>
            </w:r>
          </w:p>
        </w:tc>
        <w:tc>
          <w:tcPr>
            <w:tcW w:w="2694" w:type="dxa"/>
            <w:shd w:val="clear" w:color="auto" w:fill="auto"/>
          </w:tcPr>
          <w:p w14:paraId="649A226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羈押法第四條及第八十五條條文修正草案(修正重點：鑑於監所迄今從未設置投（開）票所，實質上令監所受羈押被告及受刑人無法行使選舉權，已有違憲之虞，並為使被告得有充分時間提起申訴，爰提案修正。)</w:t>
            </w:r>
          </w:p>
        </w:tc>
        <w:tc>
          <w:tcPr>
            <w:tcW w:w="1905" w:type="dxa"/>
            <w:shd w:val="clear" w:color="auto" w:fill="auto"/>
          </w:tcPr>
          <w:p w14:paraId="0827C0BD" w14:textId="6920FBC0"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7819BFE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111.11.18 </w:t>
            </w:r>
          </w:p>
          <w:p w14:paraId="0EE4692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（10-6-8）</w:t>
            </w:r>
          </w:p>
        </w:tc>
        <w:tc>
          <w:tcPr>
            <w:tcW w:w="1581" w:type="dxa"/>
            <w:shd w:val="clear" w:color="auto" w:fill="auto"/>
          </w:tcPr>
          <w:p w14:paraId="6BA1A08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297515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D238CAD" w14:textId="77777777" w:rsidTr="00974FB5">
        <w:tc>
          <w:tcPr>
            <w:tcW w:w="595" w:type="dxa"/>
            <w:shd w:val="clear" w:color="auto" w:fill="auto"/>
          </w:tcPr>
          <w:p w14:paraId="13AE761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270</w:t>
            </w:r>
          </w:p>
        </w:tc>
        <w:tc>
          <w:tcPr>
            <w:tcW w:w="2694" w:type="dxa"/>
            <w:shd w:val="clear" w:color="auto" w:fill="auto"/>
          </w:tcPr>
          <w:p w14:paraId="26F6302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通訊保障及監察法第十一條之一條文修正草案（修正重點：於司法警察官認有調取通信使用者資料之必要時，亦應報請檢察官許可後，向該管法院聲請核發調取票；針對第3項之重罪，檢察官與司法警察官皆得以檢察官保留之方式，調取通信使用者資料。）</w:t>
            </w:r>
          </w:p>
        </w:tc>
        <w:tc>
          <w:tcPr>
            <w:tcW w:w="1905" w:type="dxa"/>
            <w:shd w:val="clear" w:color="auto" w:fill="auto"/>
          </w:tcPr>
          <w:p w14:paraId="4DA1CDB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委員陳以信</w:t>
            </w:r>
          </w:p>
          <w:p w14:paraId="535DA9E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4B4B63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109.12.30 </w:t>
            </w:r>
          </w:p>
          <w:p w14:paraId="2633018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（10-2-11）</w:t>
            </w:r>
          </w:p>
        </w:tc>
        <w:tc>
          <w:tcPr>
            <w:tcW w:w="1581" w:type="dxa"/>
            <w:shd w:val="clear" w:color="auto" w:fill="auto"/>
          </w:tcPr>
          <w:p w14:paraId="0DCE6E3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366E31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60EC6FF" w14:textId="77777777" w:rsidTr="00974FB5">
        <w:tc>
          <w:tcPr>
            <w:tcW w:w="595" w:type="dxa"/>
            <w:shd w:val="clear" w:color="auto" w:fill="auto"/>
          </w:tcPr>
          <w:p w14:paraId="37D8AB1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271</w:t>
            </w:r>
          </w:p>
        </w:tc>
        <w:tc>
          <w:tcPr>
            <w:tcW w:w="2694" w:type="dxa"/>
            <w:shd w:val="clear" w:color="auto" w:fill="auto"/>
          </w:tcPr>
          <w:p w14:paraId="0E27FD2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2.通訊保障及監察法第十一條之一條文修正草</w:t>
            </w:r>
            <w:r w:rsidRPr="00026143">
              <w:rPr>
                <w:rFonts w:ascii="標楷體" w:eastAsia="標楷體" w:hAnsi="標楷體"/>
                <w:bCs/>
                <w:color w:val="000000" w:themeColor="text1"/>
              </w:rPr>
              <w:lastRenderedPageBreak/>
              <w:t>案(修正重點：規定檢察官偵查犯罪時，得以調取通信紀錄及通信使用者資料。並修正司法警察官調取通信使用者資料之法源依據。)</w:t>
            </w:r>
          </w:p>
        </w:tc>
        <w:tc>
          <w:tcPr>
            <w:tcW w:w="1905" w:type="dxa"/>
            <w:shd w:val="clear" w:color="auto" w:fill="auto"/>
          </w:tcPr>
          <w:p w14:paraId="2F268CD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委員高嘉瑜</w:t>
            </w:r>
          </w:p>
          <w:p w14:paraId="74F4FFB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05F09A7D" w14:textId="77777777" w:rsidR="0083129C"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110.10.22</w:t>
            </w:r>
          </w:p>
          <w:p w14:paraId="760429B6" w14:textId="1028BD3E"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18C1178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42B0DCA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435BFB1" w14:textId="77777777" w:rsidTr="00974FB5">
        <w:tc>
          <w:tcPr>
            <w:tcW w:w="595" w:type="dxa"/>
            <w:shd w:val="clear" w:color="auto" w:fill="auto"/>
          </w:tcPr>
          <w:p w14:paraId="4FF4D890"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272</w:t>
            </w:r>
          </w:p>
        </w:tc>
        <w:tc>
          <w:tcPr>
            <w:tcW w:w="2694" w:type="dxa"/>
            <w:shd w:val="clear" w:color="auto" w:fill="auto"/>
          </w:tcPr>
          <w:p w14:paraId="7F24E16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通訊保障及監察法第十八條之一及第十八條之二條文修正草案(修正重點：通訊監察樣態不僅以監聽行為為限，予以修正；並增訂為公共衛生或傳染病防治之特定目的所取得之通信紀錄或使用者資料，不得採為證據或其他用途，並須依規定予以銷燬之規定。)</w:t>
            </w:r>
          </w:p>
        </w:tc>
        <w:tc>
          <w:tcPr>
            <w:tcW w:w="1905" w:type="dxa"/>
            <w:shd w:val="clear" w:color="auto" w:fill="auto"/>
          </w:tcPr>
          <w:p w14:paraId="44E91F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3E7CFD7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5C14557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131F4F2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32D843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D7CE15B" w14:textId="77777777" w:rsidTr="00974FB5">
        <w:tc>
          <w:tcPr>
            <w:tcW w:w="595" w:type="dxa"/>
            <w:shd w:val="clear" w:color="auto" w:fill="auto"/>
          </w:tcPr>
          <w:p w14:paraId="4D07CC5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273</w:t>
            </w:r>
          </w:p>
        </w:tc>
        <w:tc>
          <w:tcPr>
            <w:tcW w:w="2694" w:type="dxa"/>
            <w:shd w:val="clear" w:color="auto" w:fill="auto"/>
          </w:tcPr>
          <w:p w14:paraId="3F379DF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國家賠償法修正草案（共四章43條。修正重點：增訂怠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機關均應負賠償責任或被請求之賠償義務機關認其他機關亦應負損害賠償責任時之處理方式。）</w:t>
            </w:r>
          </w:p>
        </w:tc>
        <w:tc>
          <w:tcPr>
            <w:tcW w:w="1905" w:type="dxa"/>
            <w:shd w:val="clear" w:color="auto" w:fill="auto"/>
          </w:tcPr>
          <w:p w14:paraId="53B4F86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行政院 </w:t>
            </w:r>
          </w:p>
          <w:p w14:paraId="60AB880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110.09.17 </w:t>
            </w:r>
          </w:p>
          <w:p w14:paraId="2F8E35E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w:t>
            </w:r>
          </w:p>
        </w:tc>
        <w:tc>
          <w:tcPr>
            <w:tcW w:w="1581" w:type="dxa"/>
            <w:shd w:val="clear" w:color="auto" w:fill="auto"/>
          </w:tcPr>
          <w:p w14:paraId="7DB5E1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59B2F9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BD3E5F1" w14:textId="77777777" w:rsidTr="00974FB5">
        <w:tc>
          <w:tcPr>
            <w:tcW w:w="595" w:type="dxa"/>
            <w:shd w:val="clear" w:color="auto" w:fill="auto"/>
          </w:tcPr>
          <w:p w14:paraId="6ADE60C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274</w:t>
            </w:r>
          </w:p>
        </w:tc>
        <w:tc>
          <w:tcPr>
            <w:tcW w:w="2694" w:type="dxa"/>
            <w:shd w:val="clear" w:color="auto" w:fill="auto"/>
          </w:tcPr>
          <w:p w14:paraId="7033DB4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2.國家賠償法第十五條條文修正草案（修正重點：將「中華民國人」</w:t>
            </w:r>
            <w:r w:rsidRPr="00026143">
              <w:rPr>
                <w:rFonts w:ascii="標楷體" w:eastAsia="標楷體" w:hAnsi="標楷體"/>
                <w:bCs/>
                <w:color w:val="000000" w:themeColor="text1"/>
              </w:rPr>
              <w:lastRenderedPageBreak/>
              <w:t>文字修正為「中華民國國民」。）</w:t>
            </w:r>
          </w:p>
        </w:tc>
        <w:tc>
          <w:tcPr>
            <w:tcW w:w="1905" w:type="dxa"/>
            <w:shd w:val="clear" w:color="auto" w:fill="auto"/>
          </w:tcPr>
          <w:p w14:paraId="106F3D8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委員鄭運鵬</w:t>
            </w:r>
          </w:p>
          <w:p w14:paraId="16985A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6DC3A82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110.03.12 </w:t>
            </w:r>
          </w:p>
          <w:p w14:paraId="0616843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（10-3-3）</w:t>
            </w:r>
          </w:p>
        </w:tc>
        <w:tc>
          <w:tcPr>
            <w:tcW w:w="1581" w:type="dxa"/>
            <w:shd w:val="clear" w:color="auto" w:fill="auto"/>
          </w:tcPr>
          <w:p w14:paraId="28DACD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6D03F4D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AD479E5" w14:textId="77777777" w:rsidTr="00974FB5">
        <w:tc>
          <w:tcPr>
            <w:tcW w:w="595" w:type="dxa"/>
            <w:shd w:val="clear" w:color="auto" w:fill="auto"/>
          </w:tcPr>
          <w:p w14:paraId="1B293DA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275</w:t>
            </w:r>
          </w:p>
        </w:tc>
        <w:tc>
          <w:tcPr>
            <w:tcW w:w="2694" w:type="dxa"/>
            <w:shd w:val="clear" w:color="auto" w:fill="auto"/>
          </w:tcPr>
          <w:p w14:paraId="182FB14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3.國家賠償法第五條條文修正草案(修正重點：明定人民遭法官、檢察官因執行審判或追訴職務，侵害其自由或權利時，國家應負損害賠償責任。)</w:t>
            </w:r>
          </w:p>
        </w:tc>
        <w:tc>
          <w:tcPr>
            <w:tcW w:w="1905" w:type="dxa"/>
            <w:shd w:val="clear" w:color="auto" w:fill="auto"/>
          </w:tcPr>
          <w:p w14:paraId="78B090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委員陳亭妃</w:t>
            </w:r>
          </w:p>
          <w:p w14:paraId="289E1F2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551D712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110.11.05 </w:t>
            </w:r>
          </w:p>
          <w:p w14:paraId="658A030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（10-4-8）</w:t>
            </w:r>
          </w:p>
        </w:tc>
        <w:tc>
          <w:tcPr>
            <w:tcW w:w="1581" w:type="dxa"/>
            <w:shd w:val="clear" w:color="auto" w:fill="auto"/>
          </w:tcPr>
          <w:p w14:paraId="7AA265E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32B2FC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F4FEB25" w14:textId="77777777" w:rsidTr="00974FB5">
        <w:tc>
          <w:tcPr>
            <w:tcW w:w="595" w:type="dxa"/>
            <w:shd w:val="clear" w:color="auto" w:fill="auto"/>
          </w:tcPr>
          <w:p w14:paraId="7455448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276</w:t>
            </w:r>
          </w:p>
        </w:tc>
        <w:tc>
          <w:tcPr>
            <w:tcW w:w="2694" w:type="dxa"/>
            <w:shd w:val="clear" w:color="auto" w:fill="auto"/>
          </w:tcPr>
          <w:p w14:paraId="063285C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4.國家賠償法修正草案(共四章43條。修正重點：國家賠償法現行規定容有窒礙難行或闕漏之處，有與時俱進、檢討修正之必要。)</w:t>
            </w:r>
          </w:p>
        </w:tc>
        <w:tc>
          <w:tcPr>
            <w:tcW w:w="1905" w:type="dxa"/>
            <w:shd w:val="clear" w:color="auto" w:fill="auto"/>
          </w:tcPr>
          <w:p w14:paraId="5B41CBB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委員許智傑</w:t>
            </w:r>
          </w:p>
          <w:p w14:paraId="0631622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2F8F6C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111.05.27 </w:t>
            </w:r>
          </w:p>
          <w:p w14:paraId="2C37C2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（10-5-14）</w:t>
            </w:r>
          </w:p>
        </w:tc>
        <w:tc>
          <w:tcPr>
            <w:tcW w:w="1581" w:type="dxa"/>
            <w:shd w:val="clear" w:color="auto" w:fill="auto"/>
          </w:tcPr>
          <w:p w14:paraId="723891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F2FFED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D044C13" w14:textId="77777777" w:rsidTr="00974FB5">
        <w:tc>
          <w:tcPr>
            <w:tcW w:w="595" w:type="dxa"/>
            <w:shd w:val="clear" w:color="auto" w:fill="auto"/>
          </w:tcPr>
          <w:p w14:paraId="67FCEC7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277</w:t>
            </w:r>
          </w:p>
        </w:tc>
        <w:tc>
          <w:tcPr>
            <w:tcW w:w="2694" w:type="dxa"/>
            <w:shd w:val="clear" w:color="auto" w:fill="auto"/>
          </w:tcPr>
          <w:p w14:paraId="6D078A9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5.國家賠償法修正草案（共四章43條。修正重點：為彰顯政府實施憲政法治與保障人民自由及權利之決心，及有健全法制，使本法與時俱進之必要，爰提案修正。）</w:t>
            </w:r>
          </w:p>
        </w:tc>
        <w:tc>
          <w:tcPr>
            <w:tcW w:w="1905" w:type="dxa"/>
            <w:shd w:val="clear" w:color="auto" w:fill="auto"/>
          </w:tcPr>
          <w:p w14:paraId="555C66A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委員陳亭妃</w:t>
            </w:r>
          </w:p>
          <w:p w14:paraId="54DBA7B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09BE833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6CBC4CA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（10-6-13）</w:t>
            </w:r>
          </w:p>
        </w:tc>
        <w:tc>
          <w:tcPr>
            <w:tcW w:w="1581" w:type="dxa"/>
            <w:shd w:val="clear" w:color="auto" w:fill="auto"/>
          </w:tcPr>
          <w:p w14:paraId="0ED5E96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F66FCF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A71A66C" w14:textId="77777777" w:rsidTr="00974FB5">
        <w:tc>
          <w:tcPr>
            <w:tcW w:w="595" w:type="dxa"/>
            <w:shd w:val="clear" w:color="auto" w:fill="auto"/>
          </w:tcPr>
          <w:p w14:paraId="58E770C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278</w:t>
            </w:r>
          </w:p>
        </w:tc>
        <w:tc>
          <w:tcPr>
            <w:tcW w:w="2694" w:type="dxa"/>
            <w:shd w:val="clear" w:color="auto" w:fill="auto"/>
          </w:tcPr>
          <w:p w14:paraId="41DDA60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1.懲治走私條例第二條、第二條之一及第三條條文修正草案（修正重點：增訂對一般物品之走私行為及特別情形之走私行為加重刑責。）</w:t>
            </w:r>
          </w:p>
        </w:tc>
        <w:tc>
          <w:tcPr>
            <w:tcW w:w="1905" w:type="dxa"/>
            <w:shd w:val="clear" w:color="auto" w:fill="auto"/>
          </w:tcPr>
          <w:p w14:paraId="6F38504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委員林俊憲</w:t>
            </w:r>
          </w:p>
          <w:p w14:paraId="5E6CDB4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11244B9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110.04.06 </w:t>
            </w:r>
          </w:p>
          <w:p w14:paraId="3875C1A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（10-3-6）</w:t>
            </w:r>
          </w:p>
        </w:tc>
        <w:tc>
          <w:tcPr>
            <w:tcW w:w="1581" w:type="dxa"/>
            <w:shd w:val="clear" w:color="auto" w:fill="auto"/>
          </w:tcPr>
          <w:p w14:paraId="18938BB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F64006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8813DBC" w14:textId="77777777" w:rsidTr="00974FB5">
        <w:tc>
          <w:tcPr>
            <w:tcW w:w="595" w:type="dxa"/>
            <w:shd w:val="clear" w:color="auto" w:fill="auto"/>
          </w:tcPr>
          <w:p w14:paraId="250A601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279</w:t>
            </w:r>
          </w:p>
        </w:tc>
        <w:tc>
          <w:tcPr>
            <w:tcW w:w="2694" w:type="dxa"/>
            <w:shd w:val="clear" w:color="auto" w:fill="auto"/>
          </w:tcPr>
          <w:p w14:paraId="1A14360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2.懲治走私條例第二條及第三條條文修正草案（修正重點：活體動物之走私猖獗，應就管制物品之走私行為加重刑責與罰金；走私管制物品之運送、銷售或藏匿一併加重刑責與罰金。）</w:t>
            </w:r>
          </w:p>
        </w:tc>
        <w:tc>
          <w:tcPr>
            <w:tcW w:w="1905" w:type="dxa"/>
            <w:shd w:val="clear" w:color="auto" w:fill="auto"/>
          </w:tcPr>
          <w:p w14:paraId="146A94A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57D65F4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110.09.17 </w:t>
            </w:r>
          </w:p>
          <w:p w14:paraId="5612FE7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w:t>
            </w:r>
          </w:p>
        </w:tc>
        <w:tc>
          <w:tcPr>
            <w:tcW w:w="1581" w:type="dxa"/>
            <w:shd w:val="clear" w:color="auto" w:fill="auto"/>
          </w:tcPr>
          <w:p w14:paraId="31B9E25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32E0BA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E775CDA" w14:textId="77777777" w:rsidTr="00974FB5">
        <w:tc>
          <w:tcPr>
            <w:tcW w:w="595" w:type="dxa"/>
            <w:shd w:val="clear" w:color="auto" w:fill="auto"/>
          </w:tcPr>
          <w:p w14:paraId="712A471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280</w:t>
            </w:r>
          </w:p>
        </w:tc>
        <w:tc>
          <w:tcPr>
            <w:tcW w:w="2694" w:type="dxa"/>
            <w:shd w:val="clear" w:color="auto" w:fill="auto"/>
          </w:tcPr>
          <w:p w14:paraId="7DF6FA0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3.懲治走私條例第二條、第二條之一及第三條條文修正草案（修正重點：對於走私之刑罰僅限於私運管制物品，且刑罰甚低，另對於非管制物品之走私亦未有規範。）</w:t>
            </w:r>
          </w:p>
        </w:tc>
        <w:tc>
          <w:tcPr>
            <w:tcW w:w="1905" w:type="dxa"/>
            <w:shd w:val="clear" w:color="auto" w:fill="auto"/>
          </w:tcPr>
          <w:p w14:paraId="06E1C3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1E167FF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6038C9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7D83F8C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AEB430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E1AF533" w14:textId="77777777" w:rsidTr="00974FB5">
        <w:tc>
          <w:tcPr>
            <w:tcW w:w="595" w:type="dxa"/>
            <w:shd w:val="clear" w:color="auto" w:fill="auto"/>
          </w:tcPr>
          <w:p w14:paraId="0431F3F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281</w:t>
            </w:r>
          </w:p>
        </w:tc>
        <w:tc>
          <w:tcPr>
            <w:tcW w:w="2694" w:type="dxa"/>
            <w:shd w:val="clear" w:color="auto" w:fill="auto"/>
          </w:tcPr>
          <w:p w14:paraId="0B68D2E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4.懲治走私條例第二條</w:t>
            </w:r>
            <w:r w:rsidRPr="00026143">
              <w:rPr>
                <w:rFonts w:ascii="標楷體" w:eastAsia="標楷體" w:hAnsi="標楷體"/>
                <w:bCs/>
                <w:color w:val="000000" w:themeColor="text1"/>
              </w:rPr>
              <w:lastRenderedPageBreak/>
              <w:t>條文修正草案(修正重點：鑑於台灣走私動植物以及農產品等事件層出不窮，爰提高罰責，增加嚇阻作用。)</w:t>
            </w:r>
          </w:p>
        </w:tc>
        <w:tc>
          <w:tcPr>
            <w:tcW w:w="1905" w:type="dxa"/>
            <w:shd w:val="clear" w:color="auto" w:fill="auto"/>
          </w:tcPr>
          <w:p w14:paraId="4F6F93A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委員張宏陸</w:t>
            </w:r>
          </w:p>
          <w:p w14:paraId="068130B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等19人 </w:t>
            </w:r>
          </w:p>
          <w:p w14:paraId="253585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110.11.19 </w:t>
            </w:r>
          </w:p>
          <w:p w14:paraId="114CE7B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（10-4-10）</w:t>
            </w:r>
          </w:p>
        </w:tc>
        <w:tc>
          <w:tcPr>
            <w:tcW w:w="1581" w:type="dxa"/>
            <w:shd w:val="clear" w:color="auto" w:fill="auto"/>
          </w:tcPr>
          <w:p w14:paraId="4E6128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004E122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2D742EA" w14:textId="77777777" w:rsidTr="00974FB5">
        <w:tc>
          <w:tcPr>
            <w:tcW w:w="595" w:type="dxa"/>
            <w:shd w:val="clear" w:color="auto" w:fill="auto"/>
          </w:tcPr>
          <w:p w14:paraId="7B3D849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282</w:t>
            </w:r>
          </w:p>
        </w:tc>
        <w:tc>
          <w:tcPr>
            <w:tcW w:w="2694" w:type="dxa"/>
            <w:shd w:val="clear" w:color="auto" w:fill="auto"/>
          </w:tcPr>
          <w:p w14:paraId="0215502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國家機密保護法部分條文修正草案（修正§24、35、36；增訂§26-1、38-1。修正重點：維護國家安全，就毀棄、損壞、隱匿國家機密之侵害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905" w:type="dxa"/>
            <w:shd w:val="clear" w:color="auto" w:fill="auto"/>
          </w:tcPr>
          <w:p w14:paraId="06B0CF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委員趙天麟</w:t>
            </w:r>
          </w:p>
          <w:p w14:paraId="480981A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等17人 </w:t>
            </w:r>
          </w:p>
          <w:p w14:paraId="2FBF3E3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56C1D59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tc>
        <w:tc>
          <w:tcPr>
            <w:tcW w:w="1581" w:type="dxa"/>
            <w:shd w:val="clear" w:color="auto" w:fill="auto"/>
          </w:tcPr>
          <w:p w14:paraId="652CAC8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DE344E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04DB14E" w14:textId="77777777" w:rsidTr="00974FB5">
        <w:tc>
          <w:tcPr>
            <w:tcW w:w="595" w:type="dxa"/>
            <w:shd w:val="clear" w:color="auto" w:fill="auto"/>
          </w:tcPr>
          <w:p w14:paraId="672EBB2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283</w:t>
            </w:r>
          </w:p>
        </w:tc>
        <w:tc>
          <w:tcPr>
            <w:tcW w:w="2694" w:type="dxa"/>
            <w:shd w:val="clear" w:color="auto" w:fill="auto"/>
          </w:tcPr>
          <w:p w14:paraId="06CFF26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2.國家機密保護法增訂第三十八條之一條文草案(增訂重點：對於違反《國家機密保護法》之國安案件，應由具國安專業知識之法官於國家安全專業法庭中審理，以維護國家安全不受侵害。)</w:t>
            </w:r>
          </w:p>
        </w:tc>
        <w:tc>
          <w:tcPr>
            <w:tcW w:w="1905" w:type="dxa"/>
            <w:shd w:val="clear" w:color="auto" w:fill="auto"/>
          </w:tcPr>
          <w:p w14:paraId="7293750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委員羅致政</w:t>
            </w:r>
          </w:p>
          <w:p w14:paraId="1DFE0B1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5FCB1B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3A39DDE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59035B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70DC58F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4607C05" w14:textId="77777777" w:rsidTr="00974FB5">
        <w:tc>
          <w:tcPr>
            <w:tcW w:w="595" w:type="dxa"/>
            <w:shd w:val="clear" w:color="auto" w:fill="auto"/>
          </w:tcPr>
          <w:p w14:paraId="4F97D261"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284</w:t>
            </w:r>
          </w:p>
        </w:tc>
        <w:tc>
          <w:tcPr>
            <w:tcW w:w="2694" w:type="dxa"/>
            <w:shd w:val="clear" w:color="auto" w:fill="auto"/>
          </w:tcPr>
          <w:p w14:paraId="0E6EB34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國家機密保護法部分條文修正草案（修正§32~34；增訂§34-1。修正重點：增列侵害我國國家機密之最低刑度，並針對為境外敵對勢力侵害我國國家機密者提高刑責。）</w:t>
            </w:r>
          </w:p>
        </w:tc>
        <w:tc>
          <w:tcPr>
            <w:tcW w:w="1905" w:type="dxa"/>
            <w:shd w:val="clear" w:color="auto" w:fill="auto"/>
          </w:tcPr>
          <w:p w14:paraId="47E13F3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時代力量黨團 </w:t>
            </w:r>
          </w:p>
          <w:p w14:paraId="27428A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110.11.26 </w:t>
            </w:r>
          </w:p>
          <w:p w14:paraId="3EC83DD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（10-4-11）</w:t>
            </w:r>
          </w:p>
        </w:tc>
        <w:tc>
          <w:tcPr>
            <w:tcW w:w="1581" w:type="dxa"/>
            <w:shd w:val="clear" w:color="auto" w:fill="auto"/>
          </w:tcPr>
          <w:p w14:paraId="22F87BA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1AC91C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3D6FB57" w14:textId="77777777" w:rsidTr="00974FB5">
        <w:tc>
          <w:tcPr>
            <w:tcW w:w="595" w:type="dxa"/>
            <w:shd w:val="clear" w:color="auto" w:fill="auto"/>
          </w:tcPr>
          <w:p w14:paraId="44829CA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285</w:t>
            </w:r>
          </w:p>
        </w:tc>
        <w:tc>
          <w:tcPr>
            <w:tcW w:w="2694" w:type="dxa"/>
            <w:shd w:val="clear" w:color="auto" w:fill="auto"/>
          </w:tcPr>
          <w:p w14:paraId="61C0FF3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國家機密保護法第十一條條文修正草案(修正重點：明定機關非依國家機密保護法、其他法律或法律明確授權之法規命令，保密期限不得逾五年並應送請立法院</w:t>
            </w:r>
            <w:r w:rsidRPr="00026143">
              <w:rPr>
                <w:rFonts w:ascii="標楷體" w:eastAsia="標楷體" w:hAnsi="標楷體"/>
                <w:bCs/>
                <w:color w:val="000000" w:themeColor="text1"/>
              </w:rPr>
              <w:lastRenderedPageBreak/>
              <w:t>查照，保密期限或解密條件變更時亦同。)</w:t>
            </w:r>
          </w:p>
        </w:tc>
        <w:tc>
          <w:tcPr>
            <w:tcW w:w="1905" w:type="dxa"/>
            <w:shd w:val="clear" w:color="auto" w:fill="auto"/>
          </w:tcPr>
          <w:p w14:paraId="440C02E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委員江啟臣</w:t>
            </w:r>
          </w:p>
          <w:p w14:paraId="1BD81F8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4D3F309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111.12.09 </w:t>
            </w:r>
          </w:p>
          <w:p w14:paraId="0C3754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（10-6-11）</w:t>
            </w:r>
          </w:p>
        </w:tc>
        <w:tc>
          <w:tcPr>
            <w:tcW w:w="1581" w:type="dxa"/>
            <w:shd w:val="clear" w:color="auto" w:fill="auto"/>
          </w:tcPr>
          <w:p w14:paraId="41BBA31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66D8D6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5063445" w14:textId="77777777" w:rsidTr="00974FB5">
        <w:tc>
          <w:tcPr>
            <w:tcW w:w="595" w:type="dxa"/>
            <w:shd w:val="clear" w:color="auto" w:fill="auto"/>
          </w:tcPr>
          <w:p w14:paraId="29751EA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286</w:t>
            </w:r>
          </w:p>
        </w:tc>
        <w:tc>
          <w:tcPr>
            <w:tcW w:w="2694" w:type="dxa"/>
            <w:shd w:val="clear" w:color="auto" w:fill="auto"/>
          </w:tcPr>
          <w:p w14:paraId="0D25FC0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905" w:type="dxa"/>
            <w:shd w:val="clear" w:color="auto" w:fill="auto"/>
          </w:tcPr>
          <w:p w14:paraId="05419E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委員黃國書</w:t>
            </w:r>
          </w:p>
          <w:p w14:paraId="416CB8E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02FD5CE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4CE25A4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p w14:paraId="22AECE8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2737103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676577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2275294" w14:textId="77777777" w:rsidTr="00974FB5">
        <w:tc>
          <w:tcPr>
            <w:tcW w:w="595" w:type="dxa"/>
            <w:shd w:val="clear" w:color="auto" w:fill="auto"/>
          </w:tcPr>
          <w:p w14:paraId="5A0FEBD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287</w:t>
            </w:r>
          </w:p>
        </w:tc>
        <w:tc>
          <w:tcPr>
            <w:tcW w:w="2694" w:type="dxa"/>
            <w:shd w:val="clear" w:color="auto" w:fill="auto"/>
          </w:tcPr>
          <w:p w14:paraId="2FD7A0D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行政執行法修正草案（修正§1~6、8~11、第二章章名、14、16、17、20、24、30、33、34、36、40、44、45、47、49、52~54、59~71、73、75~79、81~84、86、89~92；增訂§7、12、13、15、18、19、21~23、25~29、31、32、35、37~39、41~43、46、48、50、51、55~58、72、74、80、85、87、88；刪除§10。修正重點：參酌德國對義務人心理強制之「代宣誓之保證」等制度，增設相關規定；又第三章「行為或不行為義務之執行」及第四章「即時強制」之規定，鑑於近年來國內經濟、社會環境大幅改變，貫徹國家公權力、強化行政效能復為各界所殷盼，該部分規定亦有配合修正之必要。）</w:t>
            </w:r>
          </w:p>
        </w:tc>
        <w:tc>
          <w:tcPr>
            <w:tcW w:w="1905" w:type="dxa"/>
            <w:shd w:val="clear" w:color="auto" w:fill="auto"/>
          </w:tcPr>
          <w:p w14:paraId="7E4192F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行政院 </w:t>
            </w:r>
          </w:p>
          <w:p w14:paraId="34AF350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110.05.14</w:t>
            </w:r>
          </w:p>
          <w:p w14:paraId="4091B1E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tc>
        <w:tc>
          <w:tcPr>
            <w:tcW w:w="1581" w:type="dxa"/>
            <w:shd w:val="clear" w:color="auto" w:fill="auto"/>
          </w:tcPr>
          <w:p w14:paraId="3062770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C7E3E4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36DE363" w14:textId="77777777" w:rsidTr="00974FB5">
        <w:tc>
          <w:tcPr>
            <w:tcW w:w="595" w:type="dxa"/>
            <w:shd w:val="clear" w:color="auto" w:fill="auto"/>
          </w:tcPr>
          <w:p w14:paraId="5997C11F"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288</w:t>
            </w:r>
          </w:p>
        </w:tc>
        <w:tc>
          <w:tcPr>
            <w:tcW w:w="2694" w:type="dxa"/>
            <w:shd w:val="clear" w:color="auto" w:fill="auto"/>
          </w:tcPr>
          <w:p w14:paraId="2DD8956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2.行政執行法第五條條文修正草案（修正重點：明訂行政執行因應實務上夜間及法定休息日之界定。）</w:t>
            </w:r>
          </w:p>
        </w:tc>
        <w:tc>
          <w:tcPr>
            <w:tcW w:w="1905" w:type="dxa"/>
            <w:shd w:val="clear" w:color="auto" w:fill="auto"/>
          </w:tcPr>
          <w:p w14:paraId="68E98EA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委員馬文君</w:t>
            </w:r>
          </w:p>
          <w:p w14:paraId="63117F0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142B6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110.05.14 </w:t>
            </w:r>
          </w:p>
          <w:p w14:paraId="674F56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（10-3-12）</w:t>
            </w:r>
          </w:p>
        </w:tc>
        <w:tc>
          <w:tcPr>
            <w:tcW w:w="1581" w:type="dxa"/>
            <w:shd w:val="clear" w:color="auto" w:fill="auto"/>
          </w:tcPr>
          <w:p w14:paraId="69A64E6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C1A990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7E5FB56" w14:textId="77777777" w:rsidTr="00974FB5">
        <w:tc>
          <w:tcPr>
            <w:tcW w:w="595" w:type="dxa"/>
            <w:shd w:val="clear" w:color="auto" w:fill="auto"/>
          </w:tcPr>
          <w:p w14:paraId="79B8FCC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289</w:t>
            </w:r>
          </w:p>
        </w:tc>
        <w:tc>
          <w:tcPr>
            <w:tcW w:w="2694" w:type="dxa"/>
            <w:shd w:val="clear" w:color="auto" w:fill="auto"/>
          </w:tcPr>
          <w:p w14:paraId="48C5E70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1.組織犯罪防制條例部分條文修正草案(修正§3、4、7、8、13；增訂§6-1。修正重點：增訂意圖使他人出中華民國</w:t>
            </w:r>
            <w:r w:rsidRPr="00026143">
              <w:rPr>
                <w:rFonts w:ascii="標楷體" w:eastAsia="標楷體" w:hAnsi="標楷體"/>
                <w:bCs/>
                <w:color w:val="000000" w:themeColor="text1"/>
              </w:rPr>
              <w:lastRenderedPageBreak/>
              <w:t>領域外實行犯罪而招募他人加入犯罪組織罪；具公務員或經選舉產生之公職人員之身分犯本條例之罪，擴大加重處罰規定之適用範圍；修正不得登記為公職人員候選人之規定為「犯本條例之罪，經判決有罪確定者，不得登記為公職人員候選人」，以明確包含經法院判決免刑之情形。)</w:t>
            </w:r>
          </w:p>
        </w:tc>
        <w:tc>
          <w:tcPr>
            <w:tcW w:w="1905" w:type="dxa"/>
            <w:shd w:val="clear" w:color="auto" w:fill="auto"/>
          </w:tcPr>
          <w:p w14:paraId="6B3E0E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行政院 </w:t>
            </w:r>
          </w:p>
          <w:p w14:paraId="46AD0B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111.12.30 </w:t>
            </w:r>
          </w:p>
          <w:p w14:paraId="77A852C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（10-6-14）</w:t>
            </w:r>
          </w:p>
          <w:p w14:paraId="0F7BDB6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1D9CF33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92BFF1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A3BF542" w14:textId="77777777" w:rsidTr="00974FB5">
        <w:tc>
          <w:tcPr>
            <w:tcW w:w="595" w:type="dxa"/>
            <w:shd w:val="clear" w:color="auto" w:fill="auto"/>
          </w:tcPr>
          <w:p w14:paraId="6CE7CDE2"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290</w:t>
            </w:r>
          </w:p>
        </w:tc>
        <w:tc>
          <w:tcPr>
            <w:tcW w:w="2694" w:type="dxa"/>
            <w:shd w:val="clear" w:color="auto" w:fill="auto"/>
          </w:tcPr>
          <w:p w14:paraId="13D2476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2.組織犯罪防制條例第二條及第三條條文修正草案（修正重點：犯罪組織成員犯罪，屬情節重大者，對其所犯之罪得予以加重其刑；發起、主持、操縱或指揮犯罪組織者，及參與者之刑度酌予提高。）</w:t>
            </w:r>
          </w:p>
        </w:tc>
        <w:tc>
          <w:tcPr>
            <w:tcW w:w="1905" w:type="dxa"/>
            <w:shd w:val="clear" w:color="auto" w:fill="auto"/>
          </w:tcPr>
          <w:p w14:paraId="050AB88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委員陳明文</w:t>
            </w:r>
          </w:p>
          <w:p w14:paraId="0754DE2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5DDBDF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110.05.21 </w:t>
            </w:r>
          </w:p>
          <w:p w14:paraId="5707ED5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（10-3-13）</w:t>
            </w:r>
          </w:p>
        </w:tc>
        <w:tc>
          <w:tcPr>
            <w:tcW w:w="1581" w:type="dxa"/>
            <w:shd w:val="clear" w:color="auto" w:fill="auto"/>
          </w:tcPr>
          <w:p w14:paraId="66297F6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10A110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125BBC8" w14:textId="77777777" w:rsidTr="00974FB5">
        <w:tc>
          <w:tcPr>
            <w:tcW w:w="595" w:type="dxa"/>
            <w:shd w:val="clear" w:color="auto" w:fill="auto"/>
          </w:tcPr>
          <w:p w14:paraId="493CDC43"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291</w:t>
            </w:r>
          </w:p>
        </w:tc>
        <w:tc>
          <w:tcPr>
            <w:tcW w:w="2694" w:type="dxa"/>
            <w:shd w:val="clear" w:color="auto" w:fill="auto"/>
          </w:tcPr>
          <w:p w14:paraId="3EDAD6C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組織犯罪防制條例第三條條文修正草案(修正重點：依據司法院大法官釋字第812號解釋，有違憲法第二十三條比例原則，並與憲法第八條保障人身自由之意旨不符，自該解釋公布之日起失其效力，爰此提案修正。)</w:t>
            </w:r>
          </w:p>
        </w:tc>
        <w:tc>
          <w:tcPr>
            <w:tcW w:w="1905" w:type="dxa"/>
            <w:shd w:val="clear" w:color="auto" w:fill="auto"/>
          </w:tcPr>
          <w:p w14:paraId="6C6E3B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委員許智傑</w:t>
            </w:r>
          </w:p>
          <w:p w14:paraId="5BDA5D5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等29人 </w:t>
            </w:r>
          </w:p>
          <w:p w14:paraId="633CCE6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2EC7AE9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3D81E14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AAB1A8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1B3CE7B" w14:textId="77777777" w:rsidTr="00974FB5">
        <w:tc>
          <w:tcPr>
            <w:tcW w:w="595" w:type="dxa"/>
            <w:shd w:val="clear" w:color="auto" w:fill="auto"/>
          </w:tcPr>
          <w:p w14:paraId="2FA1C27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292</w:t>
            </w:r>
          </w:p>
        </w:tc>
        <w:tc>
          <w:tcPr>
            <w:tcW w:w="2694" w:type="dxa"/>
            <w:shd w:val="clear" w:color="auto" w:fill="auto"/>
          </w:tcPr>
          <w:p w14:paraId="6BAE552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4.組織犯罪防制條例第三條條文修正草案(修正重點：鑑於強制工作之規定經司法院釋字第812號解釋，宣告違反憲法第23條比例原則，且與憲法第8條保障人身自由之意旨不符，爰提案修正。)</w:t>
            </w:r>
          </w:p>
        </w:tc>
        <w:tc>
          <w:tcPr>
            <w:tcW w:w="1905" w:type="dxa"/>
            <w:shd w:val="clear" w:color="auto" w:fill="auto"/>
          </w:tcPr>
          <w:p w14:paraId="1A049D2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委員吳玉琴</w:t>
            </w:r>
          </w:p>
          <w:p w14:paraId="3E0E4DD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45CE0FE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111.03.11 </w:t>
            </w:r>
          </w:p>
          <w:p w14:paraId="0D4595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（10-5-3）</w:t>
            </w:r>
          </w:p>
        </w:tc>
        <w:tc>
          <w:tcPr>
            <w:tcW w:w="1581" w:type="dxa"/>
            <w:shd w:val="clear" w:color="auto" w:fill="auto"/>
          </w:tcPr>
          <w:p w14:paraId="417780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078B49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839DAEF" w14:textId="77777777" w:rsidTr="00974FB5">
        <w:tc>
          <w:tcPr>
            <w:tcW w:w="595" w:type="dxa"/>
            <w:shd w:val="clear" w:color="auto" w:fill="auto"/>
          </w:tcPr>
          <w:p w14:paraId="7A051A2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293</w:t>
            </w:r>
          </w:p>
        </w:tc>
        <w:tc>
          <w:tcPr>
            <w:tcW w:w="2694" w:type="dxa"/>
            <w:shd w:val="clear" w:color="auto" w:fill="auto"/>
          </w:tcPr>
          <w:p w14:paraId="30CA13D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5.組織犯罪防制條例第三條條文修正草案(修正重點：鑑於司法院大法官釋字第812號認強制工作違憲，爰提案修</w:t>
            </w:r>
            <w:r w:rsidRPr="00026143">
              <w:rPr>
                <w:rFonts w:ascii="標楷體" w:eastAsia="標楷體" w:hAnsi="標楷體"/>
                <w:bCs/>
                <w:color w:val="000000" w:themeColor="text1"/>
              </w:rPr>
              <w:lastRenderedPageBreak/>
              <w:t>正。)</w:t>
            </w:r>
          </w:p>
        </w:tc>
        <w:tc>
          <w:tcPr>
            <w:tcW w:w="1905" w:type="dxa"/>
            <w:shd w:val="clear" w:color="auto" w:fill="auto"/>
          </w:tcPr>
          <w:p w14:paraId="536874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時代力量黨團 </w:t>
            </w:r>
          </w:p>
          <w:p w14:paraId="6947587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111.03.25 </w:t>
            </w:r>
          </w:p>
          <w:p w14:paraId="711958B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（10-5-5）</w:t>
            </w:r>
          </w:p>
        </w:tc>
        <w:tc>
          <w:tcPr>
            <w:tcW w:w="1581" w:type="dxa"/>
            <w:shd w:val="clear" w:color="auto" w:fill="auto"/>
          </w:tcPr>
          <w:p w14:paraId="746C767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00A5A6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4BB9E88" w14:textId="77777777" w:rsidTr="00974FB5">
        <w:tc>
          <w:tcPr>
            <w:tcW w:w="595" w:type="dxa"/>
            <w:shd w:val="clear" w:color="auto" w:fill="auto"/>
          </w:tcPr>
          <w:p w14:paraId="4E90D64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294</w:t>
            </w:r>
          </w:p>
        </w:tc>
        <w:tc>
          <w:tcPr>
            <w:tcW w:w="2694" w:type="dxa"/>
            <w:shd w:val="clear" w:color="auto" w:fill="auto"/>
          </w:tcPr>
          <w:p w14:paraId="2579F01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6.組織犯罪防制條例第一條、第二條及第三條條文修正草案(修正重點：增加確保國家安全、維護社會安定之立法目的；凡符合「持續性」或「牟利性」之一者，即符合犯罪組織之定義；規定直接或間接接受非本國人幫助或教唆之組織犯罪，加重其刑至二分之一。)</w:t>
            </w:r>
          </w:p>
        </w:tc>
        <w:tc>
          <w:tcPr>
            <w:tcW w:w="1905" w:type="dxa"/>
            <w:shd w:val="clear" w:color="auto" w:fill="auto"/>
          </w:tcPr>
          <w:p w14:paraId="51FB501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委員賴瑞隆</w:t>
            </w:r>
          </w:p>
          <w:p w14:paraId="313D01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0C7A5E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111.04.01</w:t>
            </w:r>
          </w:p>
          <w:p w14:paraId="4D75FC7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（10-5-6）</w:t>
            </w:r>
          </w:p>
        </w:tc>
        <w:tc>
          <w:tcPr>
            <w:tcW w:w="1581" w:type="dxa"/>
            <w:shd w:val="clear" w:color="auto" w:fill="auto"/>
          </w:tcPr>
          <w:p w14:paraId="426478B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376EF0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405DBD9" w14:textId="77777777" w:rsidTr="00974FB5">
        <w:tc>
          <w:tcPr>
            <w:tcW w:w="595" w:type="dxa"/>
            <w:shd w:val="clear" w:color="auto" w:fill="auto"/>
          </w:tcPr>
          <w:p w14:paraId="4CBD7E7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295</w:t>
            </w:r>
          </w:p>
        </w:tc>
        <w:tc>
          <w:tcPr>
            <w:tcW w:w="2694" w:type="dxa"/>
            <w:shd w:val="clear" w:color="auto" w:fill="auto"/>
          </w:tcPr>
          <w:p w14:paraId="1CA9FB9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7.組織犯罪防制條例部分條文修正草案(修正§3、4、7、8、13；增訂§6-1。修正重點：考量毒品販運、人口販運、洗錢詐欺等犯罪經常跨越國界，為遏止犯罪組織勢力，強化規範密度及周延法益保護。)</w:t>
            </w:r>
          </w:p>
        </w:tc>
        <w:tc>
          <w:tcPr>
            <w:tcW w:w="1905" w:type="dxa"/>
            <w:shd w:val="clear" w:color="auto" w:fill="auto"/>
          </w:tcPr>
          <w:p w14:paraId="4024BD12"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委員伍麗華</w:t>
            </w:r>
          </w:p>
          <w:p w14:paraId="5C763BBF" w14:textId="77777777" w:rsidR="00EC13B7" w:rsidRPr="00556BD0" w:rsidRDefault="00EC13B7" w:rsidP="003F057E">
            <w:pPr>
              <w:kinsoku w:val="0"/>
              <w:topLinePunct/>
              <w:snapToGrid w:val="0"/>
              <w:spacing w:line="300" w:lineRule="exact"/>
              <w:ind w:leftChars="-25" w:left="-1" w:hangingChars="33" w:hanging="59"/>
              <w:textAlignment w:val="top"/>
              <w:rPr>
                <w:rFonts w:ascii="標楷體" w:eastAsia="標楷體" w:hAnsi="標楷體"/>
                <w:bCs/>
                <w:color w:val="000000" w:themeColor="text1"/>
                <w:spacing w:val="-30"/>
              </w:rPr>
            </w:pPr>
            <w:r w:rsidRPr="00556BD0">
              <w:rPr>
                <w:rFonts w:ascii="標楷體" w:eastAsia="標楷體" w:hAnsi="標楷體"/>
                <w:bCs/>
                <w:color w:val="000000" w:themeColor="text1"/>
                <w:spacing w:val="-30"/>
              </w:rPr>
              <w:t>Saidhai‧Tahovecahe</w:t>
            </w:r>
          </w:p>
          <w:p w14:paraId="3EDEF0E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09CD3B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112.01.09 </w:t>
            </w:r>
          </w:p>
          <w:p w14:paraId="2179AFB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（10-6-15）</w:t>
            </w:r>
          </w:p>
        </w:tc>
        <w:tc>
          <w:tcPr>
            <w:tcW w:w="1581" w:type="dxa"/>
            <w:shd w:val="clear" w:color="auto" w:fill="auto"/>
          </w:tcPr>
          <w:p w14:paraId="54576C4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8E0D2D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8D6595D" w14:textId="77777777" w:rsidTr="00974FB5">
        <w:tc>
          <w:tcPr>
            <w:tcW w:w="595" w:type="dxa"/>
            <w:shd w:val="clear" w:color="auto" w:fill="auto"/>
          </w:tcPr>
          <w:p w14:paraId="0FCFE7D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296</w:t>
            </w:r>
          </w:p>
        </w:tc>
        <w:tc>
          <w:tcPr>
            <w:tcW w:w="2694" w:type="dxa"/>
            <w:shd w:val="clear" w:color="auto" w:fill="auto"/>
          </w:tcPr>
          <w:p w14:paraId="35FD7B3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905" w:type="dxa"/>
            <w:shd w:val="clear" w:color="auto" w:fill="auto"/>
          </w:tcPr>
          <w:p w14:paraId="586DE17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委員李貴敏</w:t>
            </w:r>
          </w:p>
          <w:p w14:paraId="0A6ED02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5833ED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5B24EA8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324671F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390108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77709D1" w14:textId="77777777" w:rsidTr="00974FB5">
        <w:tc>
          <w:tcPr>
            <w:tcW w:w="595" w:type="dxa"/>
            <w:shd w:val="clear" w:color="auto" w:fill="auto"/>
          </w:tcPr>
          <w:p w14:paraId="322F349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297</w:t>
            </w:r>
          </w:p>
        </w:tc>
        <w:tc>
          <w:tcPr>
            <w:tcW w:w="2694" w:type="dxa"/>
            <w:shd w:val="clear" w:color="auto" w:fill="auto"/>
          </w:tcPr>
          <w:p w14:paraId="5800EBE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2.洗錢防制法第五條條文修正草案(修正重點：我國應比照美國、歐盟、日本、韓國訂定相關規範及措施，杜絕虛擬通貨成為我國洗錢工具之可能性，以維護虛擬通貨產業與金融體制健全。)</w:t>
            </w:r>
          </w:p>
        </w:tc>
        <w:tc>
          <w:tcPr>
            <w:tcW w:w="1905" w:type="dxa"/>
            <w:shd w:val="clear" w:color="auto" w:fill="auto"/>
          </w:tcPr>
          <w:p w14:paraId="3666EA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委員魯明哲</w:t>
            </w:r>
          </w:p>
          <w:p w14:paraId="253DA02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48352E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110.12.24 </w:t>
            </w:r>
          </w:p>
          <w:p w14:paraId="3B4362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（10-4-15）</w:t>
            </w:r>
          </w:p>
        </w:tc>
        <w:tc>
          <w:tcPr>
            <w:tcW w:w="1581" w:type="dxa"/>
            <w:shd w:val="clear" w:color="auto" w:fill="auto"/>
          </w:tcPr>
          <w:p w14:paraId="232EF32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B31FB00"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5423AFD6" w14:textId="77777777" w:rsidTr="00974FB5">
        <w:tc>
          <w:tcPr>
            <w:tcW w:w="595" w:type="dxa"/>
            <w:shd w:val="clear" w:color="auto" w:fill="auto"/>
          </w:tcPr>
          <w:p w14:paraId="1CC0501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298</w:t>
            </w:r>
          </w:p>
        </w:tc>
        <w:tc>
          <w:tcPr>
            <w:tcW w:w="2694" w:type="dxa"/>
            <w:shd w:val="clear" w:color="auto" w:fill="auto"/>
          </w:tcPr>
          <w:p w14:paraId="18CD994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3.洗錢防制法第五條條文修正草案（修正重點：將遊戲點數納入洗錢防制法規範。）</w:t>
            </w:r>
          </w:p>
        </w:tc>
        <w:tc>
          <w:tcPr>
            <w:tcW w:w="1905" w:type="dxa"/>
            <w:shd w:val="clear" w:color="auto" w:fill="auto"/>
          </w:tcPr>
          <w:p w14:paraId="227D72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委員高嘉瑜</w:t>
            </w:r>
          </w:p>
          <w:p w14:paraId="419BF70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等21人 </w:t>
            </w:r>
          </w:p>
          <w:p w14:paraId="17606DD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111.09.30 </w:t>
            </w:r>
          </w:p>
          <w:p w14:paraId="6962573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（10-6-2）</w:t>
            </w:r>
          </w:p>
        </w:tc>
        <w:tc>
          <w:tcPr>
            <w:tcW w:w="1581" w:type="dxa"/>
            <w:shd w:val="clear" w:color="auto" w:fill="auto"/>
          </w:tcPr>
          <w:p w14:paraId="7CBA080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7D3670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AD8F0B3" w14:textId="77777777" w:rsidTr="00974FB5">
        <w:tc>
          <w:tcPr>
            <w:tcW w:w="595" w:type="dxa"/>
            <w:shd w:val="clear" w:color="auto" w:fill="auto"/>
          </w:tcPr>
          <w:p w14:paraId="781D851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299</w:t>
            </w:r>
          </w:p>
        </w:tc>
        <w:tc>
          <w:tcPr>
            <w:tcW w:w="2694" w:type="dxa"/>
            <w:shd w:val="clear" w:color="auto" w:fill="auto"/>
          </w:tcPr>
          <w:p w14:paraId="1F88008D"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4.洗錢防制法第五條條</w:t>
            </w:r>
            <w:r w:rsidRPr="00026143">
              <w:rPr>
                <w:rFonts w:ascii="標楷體" w:eastAsia="標楷體" w:hAnsi="標楷體"/>
                <w:bCs/>
                <w:color w:val="000000" w:themeColor="text1"/>
              </w:rPr>
              <w:lastRenderedPageBreak/>
              <w:t>文修正草案(修正重點：增列納入遊戲點數業者。)</w:t>
            </w:r>
          </w:p>
        </w:tc>
        <w:tc>
          <w:tcPr>
            <w:tcW w:w="1905" w:type="dxa"/>
            <w:shd w:val="clear" w:color="auto" w:fill="auto"/>
          </w:tcPr>
          <w:p w14:paraId="3F89ED6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委員陳素月</w:t>
            </w:r>
          </w:p>
          <w:p w14:paraId="29663E0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等19人 </w:t>
            </w:r>
          </w:p>
          <w:p w14:paraId="5266345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111.12.02 </w:t>
            </w:r>
          </w:p>
          <w:p w14:paraId="35F29E0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（10-6-10）</w:t>
            </w:r>
          </w:p>
        </w:tc>
        <w:tc>
          <w:tcPr>
            <w:tcW w:w="1581" w:type="dxa"/>
            <w:shd w:val="clear" w:color="auto" w:fill="auto"/>
          </w:tcPr>
          <w:p w14:paraId="37A4999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40A591D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19539C84" w14:textId="77777777" w:rsidTr="00974FB5">
        <w:tc>
          <w:tcPr>
            <w:tcW w:w="595" w:type="dxa"/>
            <w:shd w:val="clear" w:color="auto" w:fill="auto"/>
          </w:tcPr>
          <w:p w14:paraId="5F96C5B6"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300</w:t>
            </w:r>
          </w:p>
        </w:tc>
        <w:tc>
          <w:tcPr>
            <w:tcW w:w="2694" w:type="dxa"/>
            <w:shd w:val="clear" w:color="auto" w:fill="auto"/>
          </w:tcPr>
          <w:p w14:paraId="362BCA4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或非現地查核之情形，提高金融機構罰鍰及指定之非金融事業或人員罰鍰上限。）</w:t>
            </w:r>
          </w:p>
        </w:tc>
        <w:tc>
          <w:tcPr>
            <w:tcW w:w="1905" w:type="dxa"/>
            <w:shd w:val="clear" w:color="auto" w:fill="auto"/>
          </w:tcPr>
          <w:p w14:paraId="48FC0CF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委員李貴敏</w:t>
            </w:r>
          </w:p>
          <w:p w14:paraId="088A2D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37F7FCE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3FAEB47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2C4D0A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28D146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B69A2B4" w14:textId="77777777" w:rsidTr="00974FB5">
        <w:tc>
          <w:tcPr>
            <w:tcW w:w="595" w:type="dxa"/>
            <w:shd w:val="clear" w:color="auto" w:fill="auto"/>
          </w:tcPr>
          <w:p w14:paraId="37A82E2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301</w:t>
            </w:r>
          </w:p>
        </w:tc>
        <w:tc>
          <w:tcPr>
            <w:tcW w:w="2694" w:type="dxa"/>
            <w:shd w:val="clear" w:color="auto" w:fill="auto"/>
          </w:tcPr>
          <w:p w14:paraId="4A002CF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洗錢防制法增訂第十五條之一條文草案（修正重點：為減少人頭帳戶的增加，將行為刑罰前置化，並處以較交付金融帳戶行為更重之刑罰，以其達嚇阻效果。）</w:t>
            </w:r>
          </w:p>
        </w:tc>
        <w:tc>
          <w:tcPr>
            <w:tcW w:w="1905" w:type="dxa"/>
            <w:shd w:val="clear" w:color="auto" w:fill="auto"/>
          </w:tcPr>
          <w:p w14:paraId="03CAF26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委員黃國書</w:t>
            </w:r>
          </w:p>
          <w:p w14:paraId="1BC2230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01C578B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111.10.07 </w:t>
            </w:r>
          </w:p>
          <w:p w14:paraId="0FB4C36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（10-6-3）</w:t>
            </w:r>
          </w:p>
        </w:tc>
        <w:tc>
          <w:tcPr>
            <w:tcW w:w="1581" w:type="dxa"/>
            <w:shd w:val="clear" w:color="auto" w:fill="auto"/>
          </w:tcPr>
          <w:p w14:paraId="24B9CFE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7693D8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DDF3C60" w14:textId="77777777" w:rsidTr="00974FB5">
        <w:tc>
          <w:tcPr>
            <w:tcW w:w="595" w:type="dxa"/>
            <w:shd w:val="clear" w:color="auto" w:fill="auto"/>
          </w:tcPr>
          <w:p w14:paraId="4E93C49B"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302</w:t>
            </w:r>
          </w:p>
        </w:tc>
        <w:tc>
          <w:tcPr>
            <w:tcW w:w="2694" w:type="dxa"/>
            <w:shd w:val="clear" w:color="auto" w:fill="auto"/>
          </w:tcPr>
          <w:p w14:paraId="15EA59D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律師法第七十三條條文修正草案（修正重點：懲戒事由增列性騷擾、暴力、言語污辱與其他職場不當行為，規範職前訓練之指導律師。）</w:t>
            </w:r>
          </w:p>
        </w:tc>
        <w:tc>
          <w:tcPr>
            <w:tcW w:w="1905" w:type="dxa"/>
            <w:shd w:val="clear" w:color="auto" w:fill="auto"/>
          </w:tcPr>
          <w:p w14:paraId="5A850CF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委員劉世芳</w:t>
            </w:r>
          </w:p>
          <w:p w14:paraId="3D4EDEE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等20人 </w:t>
            </w:r>
          </w:p>
          <w:p w14:paraId="15CA44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110.05.31 </w:t>
            </w:r>
          </w:p>
          <w:p w14:paraId="0BA70AC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（10-3-14）</w:t>
            </w:r>
          </w:p>
        </w:tc>
        <w:tc>
          <w:tcPr>
            <w:tcW w:w="1581" w:type="dxa"/>
            <w:shd w:val="clear" w:color="auto" w:fill="auto"/>
          </w:tcPr>
          <w:p w14:paraId="2256561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532186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F1128C9" w14:textId="77777777" w:rsidTr="00974FB5">
        <w:tc>
          <w:tcPr>
            <w:tcW w:w="595" w:type="dxa"/>
            <w:shd w:val="clear" w:color="auto" w:fill="auto"/>
          </w:tcPr>
          <w:p w14:paraId="081C0C9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303</w:t>
            </w:r>
          </w:p>
        </w:tc>
        <w:tc>
          <w:tcPr>
            <w:tcW w:w="2694" w:type="dxa"/>
            <w:shd w:val="clear" w:color="auto" w:fill="auto"/>
          </w:tcPr>
          <w:p w14:paraId="371C9F6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律師法第三十七條條文修正草案(修正重點：有關違反原律師參與社會公益活動規定之處理程序內容，改以增訂藉鼓勵及獎勵之參與措施所替代之。)</w:t>
            </w:r>
          </w:p>
        </w:tc>
        <w:tc>
          <w:tcPr>
            <w:tcW w:w="1905" w:type="dxa"/>
            <w:shd w:val="clear" w:color="auto" w:fill="auto"/>
          </w:tcPr>
          <w:p w14:paraId="601D01DF"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委員洪孟楷</w:t>
            </w:r>
          </w:p>
          <w:p w14:paraId="53DDA9B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79C4CC4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112.01.09 </w:t>
            </w:r>
          </w:p>
          <w:p w14:paraId="0DDE019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（10-6-15）</w:t>
            </w:r>
          </w:p>
        </w:tc>
        <w:tc>
          <w:tcPr>
            <w:tcW w:w="1581" w:type="dxa"/>
            <w:shd w:val="clear" w:color="auto" w:fill="auto"/>
          </w:tcPr>
          <w:p w14:paraId="18EE9A4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4A23D2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D2F8A21" w14:textId="77777777" w:rsidTr="00974FB5">
        <w:tc>
          <w:tcPr>
            <w:tcW w:w="595" w:type="dxa"/>
            <w:shd w:val="clear" w:color="auto" w:fill="auto"/>
          </w:tcPr>
          <w:p w14:paraId="4056672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304</w:t>
            </w:r>
          </w:p>
        </w:tc>
        <w:tc>
          <w:tcPr>
            <w:tcW w:w="2694" w:type="dxa"/>
            <w:shd w:val="clear" w:color="auto" w:fill="auto"/>
          </w:tcPr>
          <w:p w14:paraId="4DC055F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1.政府資訊公開法第十八條條文修正草案（修正重點：經立法院院會或委員會決議要求提供之政府資訊，除有第一項第二款或第五款之情形者外，不得拒絕提供</w:t>
            </w:r>
            <w:r w:rsidRPr="00026143">
              <w:rPr>
                <w:rFonts w:ascii="標楷體" w:eastAsia="標楷體" w:hAnsi="標楷體"/>
                <w:bCs/>
                <w:color w:val="000000" w:themeColor="text1"/>
              </w:rPr>
              <w:lastRenderedPageBreak/>
              <w:t>之。）</w:t>
            </w:r>
          </w:p>
        </w:tc>
        <w:tc>
          <w:tcPr>
            <w:tcW w:w="1905" w:type="dxa"/>
            <w:shd w:val="clear" w:color="auto" w:fill="auto"/>
          </w:tcPr>
          <w:p w14:paraId="66AE451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委員陳明文</w:t>
            </w:r>
          </w:p>
          <w:p w14:paraId="469E2A5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3CCB76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110.10.08 </w:t>
            </w:r>
          </w:p>
          <w:p w14:paraId="64972B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（10-4-4）</w:t>
            </w:r>
          </w:p>
        </w:tc>
        <w:tc>
          <w:tcPr>
            <w:tcW w:w="1581" w:type="dxa"/>
            <w:shd w:val="clear" w:color="auto" w:fill="auto"/>
          </w:tcPr>
          <w:p w14:paraId="1676E8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ACBF2D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1DAA390" w14:textId="77777777" w:rsidTr="00974FB5">
        <w:tc>
          <w:tcPr>
            <w:tcW w:w="595" w:type="dxa"/>
            <w:shd w:val="clear" w:color="auto" w:fill="auto"/>
          </w:tcPr>
          <w:p w14:paraId="13D2E909"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305</w:t>
            </w:r>
          </w:p>
        </w:tc>
        <w:tc>
          <w:tcPr>
            <w:tcW w:w="2694" w:type="dxa"/>
            <w:shd w:val="clear" w:color="auto" w:fill="auto"/>
          </w:tcPr>
          <w:p w14:paraId="1D42B7F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政府資訊公開法第七條及第十八條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規定，且中央民意機關成員要求相關資訊時，政府機關不得請求經院會或委員會決議之。)</w:t>
            </w:r>
          </w:p>
        </w:tc>
        <w:tc>
          <w:tcPr>
            <w:tcW w:w="1905" w:type="dxa"/>
            <w:shd w:val="clear" w:color="auto" w:fill="auto"/>
          </w:tcPr>
          <w:p w14:paraId="2398535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民眾黨黨團 </w:t>
            </w:r>
          </w:p>
          <w:p w14:paraId="25C173C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0982ED2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p w14:paraId="7ED1184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369C781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2BB6E0CB"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3F5AE15" w14:textId="77777777" w:rsidTr="00974FB5">
        <w:tc>
          <w:tcPr>
            <w:tcW w:w="595" w:type="dxa"/>
            <w:shd w:val="clear" w:color="auto" w:fill="auto"/>
          </w:tcPr>
          <w:p w14:paraId="5BC1A0A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306</w:t>
            </w:r>
          </w:p>
        </w:tc>
        <w:tc>
          <w:tcPr>
            <w:tcW w:w="2694" w:type="dxa"/>
            <w:shd w:val="clear" w:color="auto" w:fill="auto"/>
          </w:tcPr>
          <w:p w14:paraId="2E3D229A"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3.政府資訊公開法第六條及第十八條條文修正草案(修正重點：對於攸關公共利益或憲法保障之基本權利事項，行政機關應及時並主動公開相關資訊。)</w:t>
            </w:r>
          </w:p>
        </w:tc>
        <w:tc>
          <w:tcPr>
            <w:tcW w:w="1905" w:type="dxa"/>
            <w:shd w:val="clear" w:color="auto" w:fill="auto"/>
          </w:tcPr>
          <w:p w14:paraId="7A65320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委員李貴敏</w:t>
            </w:r>
          </w:p>
          <w:p w14:paraId="173E2133"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等16人 </w:t>
            </w:r>
          </w:p>
          <w:p w14:paraId="458C5A6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111.05.13 </w:t>
            </w:r>
          </w:p>
          <w:p w14:paraId="3474CFB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（10-5-12）</w:t>
            </w:r>
          </w:p>
        </w:tc>
        <w:tc>
          <w:tcPr>
            <w:tcW w:w="1581" w:type="dxa"/>
            <w:shd w:val="clear" w:color="auto" w:fill="auto"/>
          </w:tcPr>
          <w:p w14:paraId="0051CFC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5D9D3B3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72494E19" w14:textId="77777777" w:rsidTr="00974FB5">
        <w:tc>
          <w:tcPr>
            <w:tcW w:w="595" w:type="dxa"/>
            <w:shd w:val="clear" w:color="auto" w:fill="auto"/>
          </w:tcPr>
          <w:p w14:paraId="33244295"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307</w:t>
            </w:r>
          </w:p>
        </w:tc>
        <w:tc>
          <w:tcPr>
            <w:tcW w:w="2694" w:type="dxa"/>
            <w:shd w:val="clear" w:color="auto" w:fill="auto"/>
          </w:tcPr>
          <w:p w14:paraId="111B17C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4.政府資訊公開法部分條文修正草案(修正§1、5、第二章章名、6、8、16、第四章章名、19；增訂§5-1、18-1、19-1。修正重點：修正政府公開及提供人民資訊之義務與方式，及提供人民利用之相關授權、範圍、方式及限制；政府資訊為資料集形式者，則應以開放格式、機器可讀且具一定品質方式公開；明定各政府機關應設諮議機制，檢視限制公開或不予提供之適切性。)</w:t>
            </w:r>
          </w:p>
        </w:tc>
        <w:tc>
          <w:tcPr>
            <w:tcW w:w="1905" w:type="dxa"/>
            <w:shd w:val="clear" w:color="auto" w:fill="auto"/>
          </w:tcPr>
          <w:p w14:paraId="576C42B3" w14:textId="17767B7F"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6F47AE3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111.05.20 </w:t>
            </w:r>
          </w:p>
          <w:p w14:paraId="2BF317A6"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（10-5-13）</w:t>
            </w:r>
          </w:p>
        </w:tc>
        <w:tc>
          <w:tcPr>
            <w:tcW w:w="1581" w:type="dxa"/>
            <w:shd w:val="clear" w:color="auto" w:fill="auto"/>
          </w:tcPr>
          <w:p w14:paraId="27DF007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3121A1C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4055E4CD" w14:textId="77777777" w:rsidTr="00974FB5">
        <w:tc>
          <w:tcPr>
            <w:tcW w:w="595" w:type="dxa"/>
            <w:shd w:val="clear" w:color="auto" w:fill="auto"/>
          </w:tcPr>
          <w:p w14:paraId="0146155D"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308</w:t>
            </w:r>
          </w:p>
        </w:tc>
        <w:tc>
          <w:tcPr>
            <w:tcW w:w="2694" w:type="dxa"/>
            <w:shd w:val="clear" w:color="auto" w:fill="auto"/>
          </w:tcPr>
          <w:p w14:paraId="78AE430F"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5.政府資訊公開法第十</w:t>
            </w:r>
            <w:r w:rsidRPr="00026143">
              <w:rPr>
                <w:rFonts w:ascii="標楷體" w:eastAsia="標楷體" w:hAnsi="標楷體"/>
                <w:bCs/>
                <w:color w:val="000000" w:themeColor="text1"/>
              </w:rPr>
              <w:lastRenderedPageBreak/>
              <w:t>八條條文修正草案(修正重點：經濟部國營事業委員會應督導公營事業公開各項業務之公益資訊。)</w:t>
            </w:r>
          </w:p>
        </w:tc>
        <w:tc>
          <w:tcPr>
            <w:tcW w:w="1905" w:type="dxa"/>
            <w:shd w:val="clear" w:color="auto" w:fill="auto"/>
          </w:tcPr>
          <w:p w14:paraId="504F921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委員林文瑞</w:t>
            </w:r>
          </w:p>
          <w:p w14:paraId="17A409C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等16人 </w:t>
            </w:r>
          </w:p>
          <w:p w14:paraId="0B1791C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111.05.27 </w:t>
            </w:r>
          </w:p>
          <w:p w14:paraId="223F3BA8"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（10-5-14）</w:t>
            </w:r>
          </w:p>
        </w:tc>
        <w:tc>
          <w:tcPr>
            <w:tcW w:w="1581" w:type="dxa"/>
            <w:shd w:val="clear" w:color="auto" w:fill="auto"/>
          </w:tcPr>
          <w:p w14:paraId="6EE06B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3292AF25"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9DA005D" w14:textId="77777777" w:rsidTr="00974FB5">
        <w:tc>
          <w:tcPr>
            <w:tcW w:w="595" w:type="dxa"/>
            <w:shd w:val="clear" w:color="auto" w:fill="auto"/>
          </w:tcPr>
          <w:p w14:paraId="3A37557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309</w:t>
            </w:r>
          </w:p>
        </w:tc>
        <w:tc>
          <w:tcPr>
            <w:tcW w:w="2694" w:type="dxa"/>
            <w:shd w:val="clear" w:color="auto" w:fill="auto"/>
          </w:tcPr>
          <w:p w14:paraId="77D619D4"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政府資訊公開法部分條文修正草案(修正§10、13、14、21、22；增訂§20-1。修正重點：人民向政府機關申請提供政府資訊應載明事項，增列申請資料之形式及得減免費用之證明文件；另為便利人民申請取得政府資訊，明定得以書面或網際網路方式申請政府資訊；明定政府機關僅得收取資訊提供成本之費用。)</w:t>
            </w:r>
          </w:p>
        </w:tc>
        <w:tc>
          <w:tcPr>
            <w:tcW w:w="1905" w:type="dxa"/>
            <w:shd w:val="clear" w:color="auto" w:fill="auto"/>
          </w:tcPr>
          <w:p w14:paraId="6BA9E049" w14:textId="2C7FFA99"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台灣民眾黨黨團</w:t>
            </w:r>
          </w:p>
          <w:p w14:paraId="6F0E3D8A"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111.05.20 </w:t>
            </w:r>
          </w:p>
          <w:p w14:paraId="105BBC1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（10-5-13）</w:t>
            </w:r>
          </w:p>
        </w:tc>
        <w:tc>
          <w:tcPr>
            <w:tcW w:w="1581" w:type="dxa"/>
            <w:shd w:val="clear" w:color="auto" w:fill="auto"/>
          </w:tcPr>
          <w:p w14:paraId="2A4A7F1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6F96D12"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2E9A9A43" w14:textId="77777777" w:rsidTr="00974FB5">
        <w:tc>
          <w:tcPr>
            <w:tcW w:w="595" w:type="dxa"/>
            <w:shd w:val="clear" w:color="auto" w:fill="auto"/>
          </w:tcPr>
          <w:p w14:paraId="2B4CCBCC"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310</w:t>
            </w:r>
          </w:p>
        </w:tc>
        <w:tc>
          <w:tcPr>
            <w:tcW w:w="2694" w:type="dxa"/>
            <w:shd w:val="clear" w:color="auto" w:fill="auto"/>
          </w:tcPr>
          <w:p w14:paraId="3C332D0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財團法人法部分條文修正草案(修正§18、19、34、39、43、76。修正重點：為避免民間捐助之財團法人運用財產大量購買股票，變相成為控制股權組織。)</w:t>
            </w:r>
          </w:p>
        </w:tc>
        <w:tc>
          <w:tcPr>
            <w:tcW w:w="1905" w:type="dxa"/>
            <w:shd w:val="clear" w:color="auto" w:fill="auto"/>
          </w:tcPr>
          <w:p w14:paraId="1253FA5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委員沈發惠</w:t>
            </w:r>
          </w:p>
          <w:p w14:paraId="3AB7419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235CB00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110.10.22 </w:t>
            </w:r>
          </w:p>
          <w:p w14:paraId="35D9B26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（10-4-6）</w:t>
            </w:r>
          </w:p>
        </w:tc>
        <w:tc>
          <w:tcPr>
            <w:tcW w:w="1581" w:type="dxa"/>
            <w:shd w:val="clear" w:color="auto" w:fill="auto"/>
          </w:tcPr>
          <w:p w14:paraId="7B9E7D5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0A3BAE4E"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6EDE7909" w14:textId="77777777" w:rsidTr="00974FB5">
        <w:tc>
          <w:tcPr>
            <w:tcW w:w="595" w:type="dxa"/>
            <w:shd w:val="clear" w:color="auto" w:fill="auto"/>
          </w:tcPr>
          <w:p w14:paraId="7C1CD174"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311</w:t>
            </w:r>
          </w:p>
        </w:tc>
        <w:tc>
          <w:tcPr>
            <w:tcW w:w="2694" w:type="dxa"/>
            <w:shd w:val="clear" w:color="auto" w:fill="auto"/>
          </w:tcPr>
          <w:p w14:paraId="789C5C87"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1.仲裁法修正草案(共十章70條。修正重點：為解決仲裁容許性、仲裁人迴避、仲裁保密、時效爭議、外國仲裁判斷定義、仲裁機構自治權等問題，爰擬具本修正草案。)</w:t>
            </w:r>
          </w:p>
        </w:tc>
        <w:tc>
          <w:tcPr>
            <w:tcW w:w="1905" w:type="dxa"/>
            <w:shd w:val="clear" w:color="auto" w:fill="auto"/>
          </w:tcPr>
          <w:p w14:paraId="21969DF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委員李貴敏</w:t>
            </w:r>
          </w:p>
          <w:p w14:paraId="2A367DA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等25人 </w:t>
            </w:r>
          </w:p>
          <w:p w14:paraId="077FF5C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110.10.29 </w:t>
            </w:r>
          </w:p>
          <w:p w14:paraId="530448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（10-4-7）</w:t>
            </w:r>
          </w:p>
        </w:tc>
        <w:tc>
          <w:tcPr>
            <w:tcW w:w="1581" w:type="dxa"/>
            <w:shd w:val="clear" w:color="auto" w:fill="auto"/>
          </w:tcPr>
          <w:p w14:paraId="66613094"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1D80BD27" w14:textId="5D467F2B"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本會111.5.4</w:t>
            </w:r>
          </w:p>
          <w:p w14:paraId="6EE5544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(10-5-16)報告及詢答完畢，另定期繼續討論。</w:t>
            </w:r>
          </w:p>
        </w:tc>
      </w:tr>
      <w:tr w:rsidR="00EC13B7" w:rsidRPr="00026143" w14:paraId="7E8CB1E3" w14:textId="77777777" w:rsidTr="00974FB5">
        <w:tc>
          <w:tcPr>
            <w:tcW w:w="595" w:type="dxa"/>
            <w:shd w:val="clear" w:color="auto" w:fill="auto"/>
          </w:tcPr>
          <w:p w14:paraId="67D6414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bCs/>
                <w:color w:val="000000" w:themeColor="text1"/>
              </w:rPr>
              <w:t>312</w:t>
            </w:r>
          </w:p>
        </w:tc>
        <w:tc>
          <w:tcPr>
            <w:tcW w:w="2694" w:type="dxa"/>
            <w:shd w:val="clear" w:color="auto" w:fill="auto"/>
          </w:tcPr>
          <w:p w14:paraId="21936078"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2.仲裁法第十七條及第四十條條文修正草案(修正重點：鑑於現行仲裁法對聲請仲裁人迴避後仲裁庭之組成規定不明，以及仲裁人違反迴避規定後尚須「足以影響判斷之結果」方能訴請撤銷仲裁判斷，爰提案修正。)</w:t>
            </w:r>
          </w:p>
        </w:tc>
        <w:tc>
          <w:tcPr>
            <w:tcW w:w="1905" w:type="dxa"/>
            <w:shd w:val="clear" w:color="auto" w:fill="auto"/>
          </w:tcPr>
          <w:p w14:paraId="2DE891F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委員江永昌</w:t>
            </w:r>
          </w:p>
          <w:p w14:paraId="4E35922B"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等22人 </w:t>
            </w:r>
          </w:p>
          <w:p w14:paraId="691B3D5A" w14:textId="77777777" w:rsidR="0083129C"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111.05.13</w:t>
            </w:r>
          </w:p>
          <w:p w14:paraId="78354DBD" w14:textId="3DDA4FD5"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（10-5-12）</w:t>
            </w:r>
          </w:p>
        </w:tc>
        <w:tc>
          <w:tcPr>
            <w:tcW w:w="1581" w:type="dxa"/>
            <w:shd w:val="clear" w:color="auto" w:fill="auto"/>
          </w:tcPr>
          <w:p w14:paraId="2FF44ED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4A8229DC"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0850BBF1" w14:textId="77777777" w:rsidTr="00974FB5">
        <w:tc>
          <w:tcPr>
            <w:tcW w:w="595" w:type="dxa"/>
            <w:shd w:val="clear" w:color="auto" w:fill="auto"/>
          </w:tcPr>
          <w:p w14:paraId="769150EA"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t>313</w:t>
            </w:r>
          </w:p>
        </w:tc>
        <w:tc>
          <w:tcPr>
            <w:tcW w:w="2694" w:type="dxa"/>
            <w:shd w:val="clear" w:color="auto" w:fill="auto"/>
          </w:tcPr>
          <w:p w14:paraId="3FDA2029"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竊盜犯贓物犯保安處分條例刪除第三條條文草</w:t>
            </w:r>
            <w:r w:rsidRPr="00026143">
              <w:rPr>
                <w:rFonts w:ascii="標楷體" w:eastAsia="標楷體" w:hAnsi="標楷體"/>
                <w:bCs/>
                <w:color w:val="000000" w:themeColor="text1"/>
              </w:rPr>
              <w:lastRenderedPageBreak/>
              <w:t>案(刪除重點：經大法官釋字第812號解釋，以有違反憲法第二十三條比例原則，亦與憲法第八條保障人身自由意旨不符，爰提案刪除。)</w:t>
            </w:r>
          </w:p>
        </w:tc>
        <w:tc>
          <w:tcPr>
            <w:tcW w:w="1905" w:type="dxa"/>
            <w:shd w:val="clear" w:color="auto" w:fill="auto"/>
          </w:tcPr>
          <w:p w14:paraId="2E10A82D"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委員陳明文</w:t>
            </w:r>
          </w:p>
          <w:p w14:paraId="501093AC"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等19人 </w:t>
            </w:r>
          </w:p>
          <w:p w14:paraId="26FE18B5"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 xml:space="preserve">111.05.20 </w:t>
            </w:r>
          </w:p>
          <w:p w14:paraId="7D06AED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（10-5-13）</w:t>
            </w:r>
          </w:p>
        </w:tc>
        <w:tc>
          <w:tcPr>
            <w:tcW w:w="1581" w:type="dxa"/>
            <w:shd w:val="clear" w:color="auto" w:fill="auto"/>
          </w:tcPr>
          <w:p w14:paraId="046D8AA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lastRenderedPageBreak/>
              <w:t>司法及法制</w:t>
            </w:r>
          </w:p>
        </w:tc>
        <w:tc>
          <w:tcPr>
            <w:tcW w:w="1946" w:type="dxa"/>
            <w:shd w:val="clear" w:color="auto" w:fill="auto"/>
          </w:tcPr>
          <w:p w14:paraId="796DE756"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r w:rsidR="00EC13B7" w:rsidRPr="00026143" w14:paraId="357D68C9" w14:textId="77777777" w:rsidTr="00974FB5">
        <w:tc>
          <w:tcPr>
            <w:tcW w:w="595" w:type="dxa"/>
            <w:shd w:val="clear" w:color="auto" w:fill="auto"/>
          </w:tcPr>
          <w:p w14:paraId="1C46BD08" w14:textId="77777777" w:rsidR="00EC13B7" w:rsidRPr="00026143" w:rsidRDefault="00EC13B7" w:rsidP="003F057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026143">
              <w:rPr>
                <w:rFonts w:ascii="標楷體" w:eastAsia="標楷體" w:hAnsi="標楷體" w:hint="eastAsia"/>
                <w:bCs/>
                <w:color w:val="000000" w:themeColor="text1"/>
              </w:rPr>
              <w:lastRenderedPageBreak/>
              <w:t>314</w:t>
            </w:r>
          </w:p>
        </w:tc>
        <w:tc>
          <w:tcPr>
            <w:tcW w:w="2694" w:type="dxa"/>
            <w:shd w:val="clear" w:color="auto" w:fill="auto"/>
          </w:tcPr>
          <w:p w14:paraId="60CEA363"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防治仇恨罪條例草案(共8條。制定重點：「仇恨罪」為國際人權法中之重大犯罪之一，為防止及懲治仇恨罪，特制定本條例。)</w:t>
            </w:r>
          </w:p>
        </w:tc>
        <w:tc>
          <w:tcPr>
            <w:tcW w:w="1905" w:type="dxa"/>
            <w:shd w:val="clear" w:color="auto" w:fill="auto"/>
          </w:tcPr>
          <w:p w14:paraId="725EF1BE"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委員王定宇</w:t>
            </w:r>
          </w:p>
          <w:p w14:paraId="3F6CEBA0"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等18人 </w:t>
            </w:r>
          </w:p>
          <w:p w14:paraId="50983EA7"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 xml:space="preserve">111.12.23 </w:t>
            </w:r>
          </w:p>
          <w:p w14:paraId="7BA86B39"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（10-6-13）</w:t>
            </w:r>
          </w:p>
        </w:tc>
        <w:tc>
          <w:tcPr>
            <w:tcW w:w="1581" w:type="dxa"/>
            <w:shd w:val="clear" w:color="auto" w:fill="auto"/>
          </w:tcPr>
          <w:p w14:paraId="072672C1" w14:textId="77777777" w:rsidR="00EC13B7" w:rsidRPr="00026143" w:rsidRDefault="00EC13B7" w:rsidP="003F057E">
            <w:pPr>
              <w:kinsoku w:val="0"/>
              <w:topLinePunct/>
              <w:snapToGrid w:val="0"/>
              <w:spacing w:line="300" w:lineRule="exact"/>
              <w:textAlignment w:val="top"/>
              <w:rPr>
                <w:rFonts w:ascii="標楷體" w:eastAsia="標楷體" w:hAnsi="標楷體"/>
                <w:bCs/>
                <w:color w:val="000000" w:themeColor="text1"/>
              </w:rPr>
            </w:pPr>
            <w:r w:rsidRPr="00026143">
              <w:rPr>
                <w:rFonts w:ascii="標楷體" w:eastAsia="標楷體" w:hAnsi="標楷體"/>
                <w:bCs/>
                <w:color w:val="000000" w:themeColor="text1"/>
              </w:rPr>
              <w:t>司法及法制</w:t>
            </w:r>
          </w:p>
        </w:tc>
        <w:tc>
          <w:tcPr>
            <w:tcW w:w="1946" w:type="dxa"/>
            <w:shd w:val="clear" w:color="auto" w:fill="auto"/>
          </w:tcPr>
          <w:p w14:paraId="690D1221" w14:textId="77777777" w:rsidR="00EC13B7" w:rsidRPr="00026143" w:rsidRDefault="00EC13B7" w:rsidP="003F057E">
            <w:pPr>
              <w:kinsoku w:val="0"/>
              <w:topLinePunct/>
              <w:snapToGrid w:val="0"/>
              <w:spacing w:line="300" w:lineRule="exact"/>
              <w:jc w:val="both"/>
              <w:textAlignment w:val="top"/>
              <w:rPr>
                <w:rFonts w:ascii="標楷體" w:eastAsia="標楷體" w:hAnsi="標楷體"/>
                <w:bCs/>
                <w:color w:val="000000" w:themeColor="text1"/>
              </w:rPr>
            </w:pPr>
            <w:r w:rsidRPr="00026143">
              <w:rPr>
                <w:rFonts w:ascii="標楷體" w:eastAsia="標楷體" w:hAnsi="標楷體"/>
                <w:bCs/>
                <w:color w:val="000000" w:themeColor="text1"/>
              </w:rPr>
              <w:t>尚未審查</w:t>
            </w:r>
          </w:p>
        </w:tc>
      </w:tr>
    </w:tbl>
    <w:p w14:paraId="2729B6F8" w14:textId="77777777" w:rsidR="00EC13B7" w:rsidRPr="00026143" w:rsidRDefault="00EC13B7" w:rsidP="00542087">
      <w:pPr>
        <w:pStyle w:val="1-6"/>
        <w:kinsoku w:val="0"/>
        <w:wordWrap w:val="0"/>
        <w:topLinePunct/>
        <w:spacing w:beforeLines="100" w:before="360" w:afterLines="100" w:after="360" w:line="260" w:lineRule="exact"/>
        <w:ind w:left="1701" w:firstLineChars="101" w:firstLine="283"/>
        <w:jc w:val="left"/>
        <w:textAlignment w:val="top"/>
        <w:rPr>
          <w:color w:val="000000" w:themeColor="text1"/>
          <w:lang w:val="x-none"/>
        </w:rPr>
      </w:pPr>
      <w:bookmarkStart w:id="402" w:name="_Toc361217358"/>
      <w:bookmarkStart w:id="403" w:name="_Toc362968418"/>
      <w:bookmarkStart w:id="404" w:name="_Toc86074283"/>
      <w:bookmarkStart w:id="405" w:name="_Toc428286980"/>
      <w:bookmarkStart w:id="406" w:name="_Toc510167696"/>
      <w:bookmarkStart w:id="407" w:name="_Toc1401083"/>
      <w:r w:rsidRPr="00026143">
        <w:rPr>
          <w:color w:val="000000" w:themeColor="text1"/>
          <w:lang w:val="x-none"/>
        </w:rPr>
        <w:t>（</w:t>
      </w:r>
      <w:r w:rsidRPr="00026143">
        <w:rPr>
          <w:rFonts w:hint="eastAsia"/>
          <w:color w:val="000000" w:themeColor="text1"/>
          <w:lang w:val="x-none"/>
        </w:rPr>
        <w:t>3</w:t>
      </w:r>
      <w:r w:rsidRPr="00026143">
        <w:rPr>
          <w:color w:val="000000" w:themeColor="text1"/>
          <w:lang w:val="x-none"/>
        </w:rPr>
        <w:t>）</w:t>
      </w:r>
      <w:r w:rsidRPr="00026143">
        <w:rPr>
          <w:rFonts w:hint="eastAsia"/>
          <w:color w:val="000000" w:themeColor="text1"/>
          <w:lang w:val="x-none"/>
        </w:rPr>
        <w:t>國家發展委員會2</w:t>
      </w:r>
      <w:r w:rsidRPr="00026143">
        <w:rPr>
          <w:color w:val="000000" w:themeColor="text1"/>
          <w:lang w:val="x-none"/>
        </w:rPr>
        <w:t>案</w:t>
      </w:r>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02"/>
        <w:gridCol w:w="2646"/>
        <w:gridCol w:w="1960"/>
        <w:gridCol w:w="1693"/>
        <w:gridCol w:w="1848"/>
      </w:tblGrid>
      <w:tr w:rsidR="00EC13B7" w:rsidRPr="00026143" w14:paraId="68CBB99A" w14:textId="77777777" w:rsidTr="005120EA">
        <w:tc>
          <w:tcPr>
            <w:tcW w:w="602" w:type="dxa"/>
            <w:shd w:val="clear" w:color="auto" w:fill="auto"/>
          </w:tcPr>
          <w:p w14:paraId="065D1AAB" w14:textId="77777777" w:rsidR="00EC13B7" w:rsidRPr="00026143" w:rsidRDefault="00EC13B7" w:rsidP="005120E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46" w:type="dxa"/>
            <w:shd w:val="clear" w:color="auto" w:fill="auto"/>
          </w:tcPr>
          <w:p w14:paraId="3CD4CC0B" w14:textId="77777777" w:rsidR="00EC13B7" w:rsidRPr="00026143" w:rsidRDefault="00EC13B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60" w:type="dxa"/>
            <w:shd w:val="clear" w:color="auto" w:fill="auto"/>
          </w:tcPr>
          <w:p w14:paraId="4AA48522" w14:textId="77777777" w:rsidR="00EC13B7" w:rsidRPr="00026143" w:rsidRDefault="00EC13B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2494399A" w14:textId="77777777" w:rsidR="00EC13B7" w:rsidRPr="00026143" w:rsidRDefault="00EC13B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93" w:type="dxa"/>
            <w:shd w:val="clear" w:color="auto" w:fill="auto"/>
          </w:tcPr>
          <w:p w14:paraId="65729106" w14:textId="77777777" w:rsidR="00EC13B7" w:rsidRPr="00026143" w:rsidRDefault="00EC13B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48" w:type="dxa"/>
            <w:shd w:val="clear" w:color="auto" w:fill="auto"/>
          </w:tcPr>
          <w:p w14:paraId="77328957" w14:textId="77777777" w:rsidR="00EC13B7" w:rsidRPr="00026143" w:rsidRDefault="00EC13B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D972D35" w14:textId="77777777" w:rsidTr="005120EA">
        <w:tc>
          <w:tcPr>
            <w:tcW w:w="602" w:type="dxa"/>
            <w:shd w:val="clear" w:color="auto" w:fill="auto"/>
          </w:tcPr>
          <w:p w14:paraId="6A9C3178" w14:textId="77777777" w:rsidR="00EC13B7" w:rsidRPr="00026143" w:rsidRDefault="00EC13B7" w:rsidP="005120E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46" w:type="dxa"/>
            <w:shd w:val="clear" w:color="auto" w:fill="auto"/>
            <w:vAlign w:val="center"/>
          </w:tcPr>
          <w:p w14:paraId="0522B159" w14:textId="77777777" w:rsidR="00EC13B7" w:rsidRPr="00026143" w:rsidRDefault="00EC13B7" w:rsidP="005120EA">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1.政治檔案條例部分條文修正草案(修正§4、5、7、8、11、12、14。修正重點：為賡續推動轉型正義任務，強化政治檔案之保全與開放應用，爰提案修正。)</w:t>
            </w:r>
          </w:p>
        </w:tc>
        <w:tc>
          <w:tcPr>
            <w:tcW w:w="1960" w:type="dxa"/>
            <w:shd w:val="clear" w:color="auto" w:fill="auto"/>
          </w:tcPr>
          <w:p w14:paraId="1EFA5443"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委員劉世芳</w:t>
            </w:r>
          </w:p>
          <w:p w14:paraId="047F5946"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等24人 </w:t>
            </w:r>
          </w:p>
          <w:p w14:paraId="2490781F"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555CFEC0"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693" w:type="dxa"/>
            <w:shd w:val="clear" w:color="auto" w:fill="auto"/>
          </w:tcPr>
          <w:p w14:paraId="6BA5DC25" w14:textId="77777777" w:rsidR="00EC13B7" w:rsidRPr="00026143" w:rsidRDefault="00EC13B7" w:rsidP="005120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48" w:type="dxa"/>
            <w:shd w:val="clear" w:color="auto" w:fill="auto"/>
          </w:tcPr>
          <w:p w14:paraId="54FB73D2"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02B8A7A" w14:textId="77777777" w:rsidTr="005120EA">
        <w:tc>
          <w:tcPr>
            <w:tcW w:w="602" w:type="dxa"/>
            <w:shd w:val="clear" w:color="auto" w:fill="auto"/>
          </w:tcPr>
          <w:p w14:paraId="3BAE3600" w14:textId="77777777" w:rsidR="00EC13B7" w:rsidRPr="00026143" w:rsidRDefault="00EC13B7" w:rsidP="005120E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646" w:type="dxa"/>
            <w:shd w:val="clear" w:color="auto" w:fill="auto"/>
            <w:vAlign w:val="center"/>
          </w:tcPr>
          <w:p w14:paraId="255A7F7C" w14:textId="77777777" w:rsidR="00EC13B7" w:rsidRPr="00026143" w:rsidRDefault="00EC13B7" w:rsidP="005120EA">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2.政治檔案條例部分條文修正草案(修正§4、5、7~9、11、12、14。修正重點：鑑於現行政治檔案條例未能處理部分檔案依國家機密保護法、國家情報工作法遮掩大量資訊、或列為永久保密之問題，爰提案修正。)</w:t>
            </w:r>
          </w:p>
        </w:tc>
        <w:tc>
          <w:tcPr>
            <w:tcW w:w="1960" w:type="dxa"/>
            <w:shd w:val="clear" w:color="auto" w:fill="auto"/>
          </w:tcPr>
          <w:p w14:paraId="1BD97797"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00CD9089"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692E7F7B"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37DD75DD"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693" w:type="dxa"/>
            <w:shd w:val="clear" w:color="auto" w:fill="auto"/>
          </w:tcPr>
          <w:p w14:paraId="45FF7EF8" w14:textId="77777777" w:rsidR="00EC13B7" w:rsidRPr="00026143" w:rsidRDefault="00EC13B7" w:rsidP="005120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48" w:type="dxa"/>
            <w:shd w:val="clear" w:color="auto" w:fill="auto"/>
          </w:tcPr>
          <w:p w14:paraId="75B6C835" w14:textId="77777777" w:rsidR="00EC13B7" w:rsidRPr="00026143" w:rsidRDefault="00EC13B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216C091E" w14:textId="77777777" w:rsidR="00EC13B7" w:rsidRPr="00026143" w:rsidRDefault="00EC13B7" w:rsidP="007932B9">
      <w:pPr>
        <w:pStyle w:val="1-6"/>
        <w:kinsoku w:val="0"/>
        <w:wordWrap w:val="0"/>
        <w:topLinePunct/>
        <w:spacing w:beforeLines="100" w:before="360" w:afterLines="100" w:after="360" w:line="260" w:lineRule="exact"/>
        <w:ind w:left="1701" w:firstLineChars="101" w:firstLine="283"/>
        <w:jc w:val="left"/>
        <w:textAlignment w:val="top"/>
        <w:rPr>
          <w:color w:val="000000" w:themeColor="text1"/>
          <w:lang w:val="x-none"/>
        </w:rPr>
      </w:pPr>
      <w:r w:rsidRPr="00026143">
        <w:rPr>
          <w:color w:val="000000" w:themeColor="text1"/>
          <w:lang w:val="x-none"/>
        </w:rPr>
        <w:t>（</w:t>
      </w:r>
      <w:r w:rsidRPr="00026143">
        <w:rPr>
          <w:rFonts w:hint="eastAsia"/>
          <w:color w:val="000000" w:themeColor="text1"/>
          <w:lang w:val="x-none"/>
        </w:rPr>
        <w:t>4</w:t>
      </w:r>
      <w:r w:rsidRPr="00026143">
        <w:rPr>
          <w:color w:val="000000" w:themeColor="text1"/>
          <w:lang w:val="x-none"/>
        </w:rPr>
        <w:t>）行政院人事行政總處</w:t>
      </w:r>
      <w:r w:rsidRPr="00026143">
        <w:rPr>
          <w:rFonts w:hint="eastAsia"/>
          <w:color w:val="000000" w:themeColor="text1"/>
          <w:lang w:val="x-none"/>
        </w:rPr>
        <w:t>1</w:t>
      </w:r>
      <w:r w:rsidRPr="00026143">
        <w:rPr>
          <w:color w:val="000000" w:themeColor="text1"/>
          <w:lang w:val="x-none"/>
        </w:rPr>
        <w:t>案</w:t>
      </w:r>
      <w:bookmarkEnd w:id="402"/>
      <w:bookmarkEnd w:id="403"/>
      <w:bookmarkEnd w:id="404"/>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02"/>
        <w:gridCol w:w="2646"/>
        <w:gridCol w:w="1960"/>
        <w:gridCol w:w="1693"/>
        <w:gridCol w:w="1848"/>
      </w:tblGrid>
      <w:tr w:rsidR="00EC13B7" w:rsidRPr="00026143" w14:paraId="66CC5266" w14:textId="77777777" w:rsidTr="007932B9">
        <w:tc>
          <w:tcPr>
            <w:tcW w:w="602" w:type="dxa"/>
            <w:shd w:val="clear" w:color="auto" w:fill="auto"/>
          </w:tcPr>
          <w:p w14:paraId="48A6907A"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46" w:type="dxa"/>
            <w:shd w:val="clear" w:color="auto" w:fill="auto"/>
          </w:tcPr>
          <w:p w14:paraId="3901729C"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60" w:type="dxa"/>
            <w:shd w:val="clear" w:color="auto" w:fill="auto"/>
          </w:tcPr>
          <w:p w14:paraId="07969FCB"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387CEF69"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93" w:type="dxa"/>
            <w:shd w:val="clear" w:color="auto" w:fill="auto"/>
          </w:tcPr>
          <w:p w14:paraId="2BF95F9E"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48" w:type="dxa"/>
            <w:shd w:val="clear" w:color="auto" w:fill="auto"/>
          </w:tcPr>
          <w:p w14:paraId="18D60D63" w14:textId="77777777" w:rsidR="00EC13B7" w:rsidRPr="00026143" w:rsidRDefault="00EC13B7" w:rsidP="008B4596">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55C9FF1D" w14:textId="77777777" w:rsidTr="007932B9">
        <w:tc>
          <w:tcPr>
            <w:tcW w:w="602" w:type="dxa"/>
            <w:shd w:val="clear" w:color="auto" w:fill="auto"/>
          </w:tcPr>
          <w:p w14:paraId="4781FF2D"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46" w:type="dxa"/>
            <w:shd w:val="clear" w:color="auto" w:fill="auto"/>
            <w:vAlign w:val="center"/>
          </w:tcPr>
          <w:p w14:paraId="61273F4E" w14:textId="77777777" w:rsidR="00EC13B7" w:rsidRPr="00026143" w:rsidRDefault="00EC13B7" w:rsidP="00DF4101">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行政院功能業務與組織調整暫行條例第十九條條文修正草案（修正重點：「行政院功能業務與</w:t>
            </w:r>
            <w:r w:rsidRPr="00026143">
              <w:rPr>
                <w:rFonts w:ascii="標楷體" w:eastAsia="標楷體" w:hAnsi="標楷體" w:hint="eastAsia"/>
                <w:color w:val="000000" w:themeColor="text1"/>
              </w:rPr>
              <w:lastRenderedPageBreak/>
              <w:t>組織調整暫行條例」仍沿用原「行政院海岸巡防署」，提案修正為「海洋委員會海巡署」。）</w:t>
            </w:r>
          </w:p>
        </w:tc>
        <w:tc>
          <w:tcPr>
            <w:tcW w:w="1960" w:type="dxa"/>
            <w:shd w:val="clear" w:color="auto" w:fill="auto"/>
          </w:tcPr>
          <w:p w14:paraId="39B48AFF"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委員吳琪銘</w:t>
            </w:r>
          </w:p>
          <w:p w14:paraId="5E45358C"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等21人 </w:t>
            </w:r>
          </w:p>
          <w:p w14:paraId="20241EB1"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109.12.04 </w:t>
            </w:r>
          </w:p>
          <w:p w14:paraId="24BA362F"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（10-2-6）</w:t>
            </w:r>
          </w:p>
        </w:tc>
        <w:tc>
          <w:tcPr>
            <w:tcW w:w="1693" w:type="dxa"/>
            <w:shd w:val="clear" w:color="auto" w:fill="auto"/>
          </w:tcPr>
          <w:p w14:paraId="16BD604D" w14:textId="77777777" w:rsidR="00EC13B7" w:rsidRPr="00026143" w:rsidRDefault="00EC13B7"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848" w:type="dxa"/>
            <w:shd w:val="clear" w:color="auto" w:fill="auto"/>
          </w:tcPr>
          <w:p w14:paraId="7A24186D" w14:textId="77777777" w:rsidR="00EC13B7" w:rsidRPr="00026143" w:rsidRDefault="00EC13B7"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bl>
    <w:p w14:paraId="414CDC91"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r w:rsidRPr="00026143">
        <w:rPr>
          <w:color w:val="000000" w:themeColor="text1"/>
        </w:rPr>
        <w:lastRenderedPageBreak/>
        <w:t>2.本會、內政委員會聯席審查</w:t>
      </w:r>
      <w:r w:rsidRPr="00026143">
        <w:rPr>
          <w:rFonts w:hint="eastAsia"/>
          <w:color w:val="000000" w:themeColor="text1"/>
        </w:rPr>
        <w:t>13</w:t>
      </w:r>
      <w:r w:rsidRPr="00026143">
        <w:rPr>
          <w:color w:val="000000" w:themeColor="text1"/>
        </w:rPr>
        <w:t>案</w:t>
      </w:r>
      <w:bookmarkEnd w:id="392"/>
      <w:bookmarkEnd w:id="393"/>
      <w:bookmarkEnd w:id="405"/>
      <w:bookmarkEnd w:id="406"/>
      <w:bookmarkEnd w:id="407"/>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02"/>
        <w:gridCol w:w="2646"/>
        <w:gridCol w:w="1960"/>
        <w:gridCol w:w="1693"/>
        <w:gridCol w:w="1848"/>
      </w:tblGrid>
      <w:tr w:rsidR="00EC13B7" w:rsidRPr="00026143" w14:paraId="20F726E7" w14:textId="77777777" w:rsidTr="00EC13B7">
        <w:tc>
          <w:tcPr>
            <w:tcW w:w="602" w:type="dxa"/>
            <w:shd w:val="clear" w:color="auto" w:fill="auto"/>
          </w:tcPr>
          <w:p w14:paraId="3CB6892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46" w:type="dxa"/>
            <w:shd w:val="clear" w:color="auto" w:fill="auto"/>
          </w:tcPr>
          <w:p w14:paraId="41B7AAC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60" w:type="dxa"/>
            <w:shd w:val="clear" w:color="auto" w:fill="auto"/>
          </w:tcPr>
          <w:p w14:paraId="3E1E79F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3238E57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93" w:type="dxa"/>
            <w:shd w:val="clear" w:color="auto" w:fill="auto"/>
          </w:tcPr>
          <w:p w14:paraId="4BC915E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48" w:type="dxa"/>
            <w:shd w:val="clear" w:color="auto" w:fill="auto"/>
          </w:tcPr>
          <w:p w14:paraId="7C59ED7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261F09E" w14:textId="77777777" w:rsidTr="00EC13B7">
        <w:tc>
          <w:tcPr>
            <w:tcW w:w="602" w:type="dxa"/>
            <w:shd w:val="clear" w:color="auto" w:fill="auto"/>
          </w:tcPr>
          <w:p w14:paraId="449C226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p>
        </w:tc>
        <w:tc>
          <w:tcPr>
            <w:tcW w:w="2646" w:type="dxa"/>
            <w:shd w:val="clear" w:color="auto" w:fill="auto"/>
            <w:vAlign w:val="center"/>
          </w:tcPr>
          <w:p w14:paraId="34E0323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警察人員人事條例第三十五條之一及第三十六條之一條文修正草案（修正重點：將「殘廢」用語修正為「失能」，並增列「部分失能」。）</w:t>
            </w:r>
          </w:p>
        </w:tc>
        <w:tc>
          <w:tcPr>
            <w:tcW w:w="1960" w:type="dxa"/>
            <w:shd w:val="clear" w:color="auto" w:fill="auto"/>
          </w:tcPr>
          <w:p w14:paraId="17F24FC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時代力量黨團 </w:t>
            </w:r>
          </w:p>
          <w:p w14:paraId="45EC48A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109.12.11 </w:t>
            </w:r>
          </w:p>
          <w:p w14:paraId="14AD39E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（10-2-7）</w:t>
            </w:r>
          </w:p>
        </w:tc>
        <w:tc>
          <w:tcPr>
            <w:tcW w:w="1693" w:type="dxa"/>
            <w:shd w:val="clear" w:color="auto" w:fill="auto"/>
          </w:tcPr>
          <w:p w14:paraId="5493A5C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3F4B2F4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E9B4D53" w14:textId="77777777" w:rsidTr="00EC13B7">
        <w:tc>
          <w:tcPr>
            <w:tcW w:w="602" w:type="dxa"/>
            <w:shd w:val="clear" w:color="auto" w:fill="auto"/>
          </w:tcPr>
          <w:p w14:paraId="4258A2D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w:t>
            </w:r>
          </w:p>
        </w:tc>
        <w:tc>
          <w:tcPr>
            <w:tcW w:w="2646" w:type="dxa"/>
            <w:shd w:val="clear" w:color="auto" w:fill="auto"/>
            <w:vAlign w:val="center"/>
          </w:tcPr>
          <w:p w14:paraId="5D6C940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1.警察人員人事條例第三十六條條文修正草案（修正重點：原公務人員撫卹法業已於107年11月21日明令廢止；並為配合「公務人員退休資遣撫卹法」之訂定而修正文字，以符實況。）</w:t>
            </w:r>
          </w:p>
        </w:tc>
        <w:tc>
          <w:tcPr>
            <w:tcW w:w="1960" w:type="dxa"/>
            <w:shd w:val="clear" w:color="auto" w:fill="auto"/>
          </w:tcPr>
          <w:p w14:paraId="55E820C9" w14:textId="77777777" w:rsidR="00776C2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委員張宏陸</w:t>
            </w:r>
          </w:p>
          <w:p w14:paraId="2976F282" w14:textId="3299EB64"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等22人 </w:t>
            </w:r>
          </w:p>
          <w:p w14:paraId="534240A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110.05.21</w:t>
            </w:r>
          </w:p>
          <w:p w14:paraId="2FB69E2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（10-3-13）</w:t>
            </w:r>
          </w:p>
        </w:tc>
        <w:tc>
          <w:tcPr>
            <w:tcW w:w="1693" w:type="dxa"/>
            <w:shd w:val="clear" w:color="auto" w:fill="auto"/>
          </w:tcPr>
          <w:p w14:paraId="0BDD4D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44035331" w14:textId="77777777" w:rsidR="00EC13B7" w:rsidRPr="00026143" w:rsidRDefault="00EC13B7" w:rsidP="00ED3E5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聯席會110.10.27（10-4-1）報告及詢答完畢，另定期繼續審查。</w:t>
            </w:r>
          </w:p>
        </w:tc>
      </w:tr>
      <w:tr w:rsidR="00EC13B7" w:rsidRPr="00026143" w14:paraId="740060F7" w14:textId="77777777" w:rsidTr="00EC13B7">
        <w:tc>
          <w:tcPr>
            <w:tcW w:w="602" w:type="dxa"/>
            <w:shd w:val="clear" w:color="auto" w:fill="auto"/>
          </w:tcPr>
          <w:p w14:paraId="36F250C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3</w:t>
            </w:r>
          </w:p>
        </w:tc>
        <w:tc>
          <w:tcPr>
            <w:tcW w:w="2646" w:type="dxa"/>
            <w:shd w:val="clear" w:color="auto" w:fill="auto"/>
            <w:vAlign w:val="center"/>
          </w:tcPr>
          <w:p w14:paraId="0911C42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警察人員人事條例第三十五條條文修正草案（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改後，均應比照國軍，一併發放。）</w:t>
            </w:r>
          </w:p>
        </w:tc>
        <w:tc>
          <w:tcPr>
            <w:tcW w:w="1960" w:type="dxa"/>
            <w:shd w:val="clear" w:color="auto" w:fill="auto"/>
          </w:tcPr>
          <w:p w14:paraId="099EC83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委員葉毓蘭</w:t>
            </w:r>
          </w:p>
          <w:p w14:paraId="2B729FD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676BFDF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110.10.08 </w:t>
            </w:r>
          </w:p>
          <w:p w14:paraId="34FA98F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（10-4-4）</w:t>
            </w:r>
          </w:p>
        </w:tc>
        <w:tc>
          <w:tcPr>
            <w:tcW w:w="1693" w:type="dxa"/>
            <w:shd w:val="clear" w:color="auto" w:fill="auto"/>
          </w:tcPr>
          <w:p w14:paraId="0CCA0F7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3EC05818" w14:textId="77777777" w:rsidR="00EC13B7" w:rsidRPr="00026143" w:rsidRDefault="00EC13B7" w:rsidP="00ED3E5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聯席會110.10.27（10-4-1）報告及詢答完畢，另定期繼續審查。</w:t>
            </w:r>
          </w:p>
        </w:tc>
      </w:tr>
      <w:tr w:rsidR="00EC13B7" w:rsidRPr="00026143" w14:paraId="1035617F" w14:textId="77777777" w:rsidTr="00EC13B7">
        <w:tc>
          <w:tcPr>
            <w:tcW w:w="602" w:type="dxa"/>
            <w:shd w:val="clear" w:color="auto" w:fill="auto"/>
          </w:tcPr>
          <w:p w14:paraId="4D94D22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p>
        </w:tc>
        <w:tc>
          <w:tcPr>
            <w:tcW w:w="2646" w:type="dxa"/>
            <w:shd w:val="clear" w:color="auto" w:fill="auto"/>
            <w:vAlign w:val="center"/>
          </w:tcPr>
          <w:p w14:paraId="614FD84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3.警察人員人事條例第三十五條條文修正草案（修正重點：針對警察人員再任公職停發退休金等標準，應比照國軍之規範；另月退休金、遺族所領月撫恤金或遺屬</w:t>
            </w:r>
            <w:r w:rsidRPr="00026143">
              <w:rPr>
                <w:rFonts w:ascii="標楷體" w:eastAsia="標楷體" w:hAnsi="標楷體" w:hint="eastAsia"/>
                <w:color w:val="000000" w:themeColor="text1"/>
              </w:rPr>
              <w:lastRenderedPageBreak/>
              <w:t>年金，應比照物價指數調整。）</w:t>
            </w:r>
          </w:p>
        </w:tc>
        <w:tc>
          <w:tcPr>
            <w:tcW w:w="1960" w:type="dxa"/>
            <w:shd w:val="clear" w:color="auto" w:fill="auto"/>
          </w:tcPr>
          <w:p w14:paraId="4F29AE2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委員葉毓蘭</w:t>
            </w:r>
          </w:p>
          <w:p w14:paraId="0D0BFAF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等23人 </w:t>
            </w:r>
          </w:p>
          <w:p w14:paraId="1FA8CBC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110.10.08 </w:t>
            </w:r>
          </w:p>
          <w:p w14:paraId="299E3B2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（10-4-4）</w:t>
            </w:r>
          </w:p>
        </w:tc>
        <w:tc>
          <w:tcPr>
            <w:tcW w:w="1693" w:type="dxa"/>
            <w:shd w:val="clear" w:color="auto" w:fill="auto"/>
          </w:tcPr>
          <w:p w14:paraId="36511BC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60A40A8B" w14:textId="77777777" w:rsidR="00EC13B7" w:rsidRPr="00026143" w:rsidRDefault="00EC13B7" w:rsidP="00ED3E5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聯席會110.10.27（10-4-1）報告及詢答完畢，另定期繼續審查。</w:t>
            </w:r>
          </w:p>
        </w:tc>
      </w:tr>
      <w:tr w:rsidR="00EC13B7" w:rsidRPr="00026143" w14:paraId="1C01C55D" w14:textId="77777777" w:rsidTr="00EC13B7">
        <w:tc>
          <w:tcPr>
            <w:tcW w:w="602" w:type="dxa"/>
            <w:shd w:val="clear" w:color="auto" w:fill="auto"/>
          </w:tcPr>
          <w:p w14:paraId="6AEA074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5</w:t>
            </w:r>
          </w:p>
        </w:tc>
        <w:tc>
          <w:tcPr>
            <w:tcW w:w="2646" w:type="dxa"/>
            <w:shd w:val="clear" w:color="auto" w:fill="auto"/>
            <w:vAlign w:val="center"/>
          </w:tcPr>
          <w:p w14:paraId="2F26D75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4.警察人員人事條例第三十五條條文修正草案（修正重點：凡警察人員辦理退休者，其所得替代率應比照國軍之規範。並增訂附表三。）</w:t>
            </w:r>
          </w:p>
        </w:tc>
        <w:tc>
          <w:tcPr>
            <w:tcW w:w="1960" w:type="dxa"/>
            <w:shd w:val="clear" w:color="auto" w:fill="auto"/>
          </w:tcPr>
          <w:p w14:paraId="0020BBD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委員葉毓蘭</w:t>
            </w:r>
          </w:p>
          <w:p w14:paraId="02D3E62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163129F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110.10.08 </w:t>
            </w:r>
          </w:p>
          <w:p w14:paraId="772452C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（10-4-4）</w:t>
            </w:r>
          </w:p>
        </w:tc>
        <w:tc>
          <w:tcPr>
            <w:tcW w:w="1693" w:type="dxa"/>
            <w:shd w:val="clear" w:color="auto" w:fill="auto"/>
          </w:tcPr>
          <w:p w14:paraId="478920C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72BB7198" w14:textId="77777777" w:rsidR="00EC13B7" w:rsidRPr="00026143" w:rsidRDefault="00EC13B7" w:rsidP="00ED3E5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聯席會110.10.27（10-4-1）報告及詢答完畢，另定期繼續審查。</w:t>
            </w:r>
          </w:p>
        </w:tc>
      </w:tr>
      <w:tr w:rsidR="00EC13B7" w:rsidRPr="00026143" w14:paraId="7B39BDA6" w14:textId="77777777" w:rsidTr="00EC13B7">
        <w:tc>
          <w:tcPr>
            <w:tcW w:w="602" w:type="dxa"/>
            <w:shd w:val="clear" w:color="auto" w:fill="auto"/>
          </w:tcPr>
          <w:p w14:paraId="0AFD3F0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6</w:t>
            </w:r>
          </w:p>
        </w:tc>
        <w:tc>
          <w:tcPr>
            <w:tcW w:w="2646" w:type="dxa"/>
            <w:shd w:val="clear" w:color="auto" w:fill="auto"/>
            <w:vAlign w:val="center"/>
          </w:tcPr>
          <w:p w14:paraId="3068AD6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5.警察人員人事條例部分條文修正草案(修正§35</w:t>
            </w:r>
            <w:r w:rsidRPr="00026143">
              <w:rPr>
                <w:rFonts w:ascii="標楷體" w:eastAsia="標楷體" w:hAnsi="標楷體" w:hint="eastAsia"/>
                <w:color w:val="000000" w:themeColor="text1"/>
              </w:rPr>
              <w:t>及增訂附表三</w:t>
            </w:r>
            <w:r w:rsidRPr="00026143">
              <w:rPr>
                <w:rFonts w:ascii="標楷體" w:eastAsia="標楷體" w:hAnsi="標楷體"/>
                <w:color w:val="000000" w:themeColor="text1"/>
              </w:rPr>
              <w:t>、36、39-1。修正重點：警察人員勤務特性特殊、影響健康程度高，退撫制度有特別考量強化保障之必要。另外，警察、消防、海巡機關人員，需要制度化管道。)</w:t>
            </w:r>
          </w:p>
        </w:tc>
        <w:tc>
          <w:tcPr>
            <w:tcW w:w="1960" w:type="dxa"/>
            <w:shd w:val="clear" w:color="auto" w:fill="auto"/>
          </w:tcPr>
          <w:p w14:paraId="3AD09CB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7019B6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56C138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3E362DA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693" w:type="dxa"/>
            <w:shd w:val="clear" w:color="auto" w:fill="auto"/>
          </w:tcPr>
          <w:p w14:paraId="3F8188E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848" w:type="dxa"/>
            <w:shd w:val="clear" w:color="auto" w:fill="auto"/>
          </w:tcPr>
          <w:p w14:paraId="676DD2B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6ED6853" w14:textId="77777777" w:rsidTr="00EC13B7">
        <w:tc>
          <w:tcPr>
            <w:tcW w:w="602" w:type="dxa"/>
            <w:shd w:val="clear" w:color="auto" w:fill="auto"/>
          </w:tcPr>
          <w:p w14:paraId="712D7D3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2646" w:type="dxa"/>
            <w:shd w:val="clear" w:color="auto" w:fill="auto"/>
            <w:vAlign w:val="center"/>
          </w:tcPr>
          <w:p w14:paraId="7929A72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6.警察人員人事條例第三十九條之一條文修正草案(修正重點：移民署所屬執法任務人員已不具警察人員身分，致無從適用相關照護規定，爰提案修正。)</w:t>
            </w:r>
          </w:p>
        </w:tc>
        <w:tc>
          <w:tcPr>
            <w:tcW w:w="1960" w:type="dxa"/>
            <w:shd w:val="clear" w:color="auto" w:fill="auto"/>
          </w:tcPr>
          <w:p w14:paraId="4DFF87D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5F0A63B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CA0814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248C6F2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693" w:type="dxa"/>
            <w:shd w:val="clear" w:color="auto" w:fill="auto"/>
          </w:tcPr>
          <w:p w14:paraId="3A91671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848" w:type="dxa"/>
            <w:shd w:val="clear" w:color="auto" w:fill="auto"/>
          </w:tcPr>
          <w:p w14:paraId="772CA61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2F3AD72" w14:textId="77777777" w:rsidTr="00EC13B7">
        <w:tc>
          <w:tcPr>
            <w:tcW w:w="602" w:type="dxa"/>
            <w:shd w:val="clear" w:color="auto" w:fill="auto"/>
          </w:tcPr>
          <w:p w14:paraId="5CC7FE3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8</w:t>
            </w:r>
          </w:p>
        </w:tc>
        <w:tc>
          <w:tcPr>
            <w:tcW w:w="2646" w:type="dxa"/>
            <w:shd w:val="clear" w:color="auto" w:fill="auto"/>
            <w:vAlign w:val="center"/>
          </w:tcPr>
          <w:p w14:paraId="7F70311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警察人員人事條例第十八條、第十九條及第二十條條文修正草案(修正重點：有關地方警察機關家防、婦幼、少年專責單位之組織，宜加以調整俾利提升執行效能。)</w:t>
            </w:r>
          </w:p>
        </w:tc>
        <w:tc>
          <w:tcPr>
            <w:tcW w:w="1960" w:type="dxa"/>
            <w:shd w:val="clear" w:color="auto" w:fill="auto"/>
          </w:tcPr>
          <w:p w14:paraId="0E18002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委員葉毓蘭</w:t>
            </w:r>
          </w:p>
          <w:p w14:paraId="49CB50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17CCF78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110.12.10 </w:t>
            </w:r>
          </w:p>
          <w:p w14:paraId="2D408F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（10-4-13）</w:t>
            </w:r>
          </w:p>
        </w:tc>
        <w:tc>
          <w:tcPr>
            <w:tcW w:w="1693" w:type="dxa"/>
            <w:shd w:val="clear" w:color="auto" w:fill="auto"/>
          </w:tcPr>
          <w:p w14:paraId="20D7517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7F5D8CE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92DFA7E" w14:textId="77777777" w:rsidTr="00EC13B7">
        <w:tc>
          <w:tcPr>
            <w:tcW w:w="602" w:type="dxa"/>
            <w:shd w:val="clear" w:color="auto" w:fill="auto"/>
          </w:tcPr>
          <w:p w14:paraId="1951D05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9</w:t>
            </w:r>
          </w:p>
        </w:tc>
        <w:tc>
          <w:tcPr>
            <w:tcW w:w="2646" w:type="dxa"/>
            <w:shd w:val="clear" w:color="auto" w:fill="auto"/>
            <w:vAlign w:val="center"/>
          </w:tcPr>
          <w:p w14:paraId="72B2A9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廢止「調度司法警察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r w:rsidRPr="00026143">
              <w:rPr>
                <w:rFonts w:ascii="標楷體" w:eastAsia="標楷體" w:hAnsi="標楷體" w:hint="eastAsia"/>
                <w:color w:val="000000" w:themeColor="text1"/>
              </w:rPr>
              <w:lastRenderedPageBreak/>
              <w:t>。）</w:t>
            </w:r>
          </w:p>
        </w:tc>
        <w:tc>
          <w:tcPr>
            <w:tcW w:w="1960" w:type="dxa"/>
            <w:shd w:val="clear" w:color="auto" w:fill="auto"/>
          </w:tcPr>
          <w:p w14:paraId="4B16711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委員葉毓蘭</w:t>
            </w:r>
          </w:p>
          <w:p w14:paraId="36FDC2D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4028AE7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109.03.27 </w:t>
            </w:r>
          </w:p>
          <w:p w14:paraId="73BAB8F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（10-1-6）</w:t>
            </w:r>
          </w:p>
        </w:tc>
        <w:tc>
          <w:tcPr>
            <w:tcW w:w="1693" w:type="dxa"/>
            <w:shd w:val="clear" w:color="auto" w:fill="auto"/>
          </w:tcPr>
          <w:p w14:paraId="5D56C77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652F74F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330991">
              <w:rPr>
                <w:rFonts w:ascii="標楷體" w:eastAsia="標楷體" w:hAnsi="標楷體" w:hint="eastAsia"/>
                <w:color w:val="000000" w:themeColor="text1"/>
                <w:spacing w:val="-10"/>
              </w:rPr>
              <w:t>本會109.5.14</w:t>
            </w:r>
            <w:r w:rsidRPr="00026143">
              <w:rPr>
                <w:rFonts w:ascii="標楷體" w:eastAsia="標楷體" w:hAnsi="標楷體" w:hint="eastAsia"/>
                <w:color w:val="000000" w:themeColor="text1"/>
              </w:rPr>
              <w:t>舉行「調度司法警察條例實務爭議檢討」公聽會。</w:t>
            </w:r>
          </w:p>
          <w:p w14:paraId="201008CF" w14:textId="77777777" w:rsidR="00330991"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2.聯席會</w:t>
            </w:r>
          </w:p>
          <w:p w14:paraId="56DA8BB1" w14:textId="6B6875AF"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110.5.13(10-3-1)報告及詢答完畢，另定期繼續審查。</w:t>
            </w:r>
          </w:p>
        </w:tc>
      </w:tr>
      <w:tr w:rsidR="00EC13B7" w:rsidRPr="00026143" w14:paraId="20B21051" w14:textId="77777777" w:rsidTr="00244173">
        <w:tc>
          <w:tcPr>
            <w:tcW w:w="602" w:type="dxa"/>
            <w:shd w:val="clear" w:color="auto" w:fill="auto"/>
          </w:tcPr>
          <w:p w14:paraId="13EF6A8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10</w:t>
            </w:r>
          </w:p>
        </w:tc>
        <w:tc>
          <w:tcPr>
            <w:tcW w:w="2646" w:type="dxa"/>
            <w:shd w:val="clear" w:color="auto" w:fill="auto"/>
          </w:tcPr>
          <w:p w14:paraId="62D74E3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2.廢止「調度司法警察條例」(廢止重點：鑑於本條例規範內容與現今司法警察實務運作已有落差，另在刑事訴訟法已有司法警察官、司法警察協助檢察官偵查之相關規定，爰提案廢止本法。）</w:t>
            </w:r>
          </w:p>
        </w:tc>
        <w:tc>
          <w:tcPr>
            <w:tcW w:w="1960" w:type="dxa"/>
            <w:shd w:val="clear" w:color="auto" w:fill="auto"/>
          </w:tcPr>
          <w:p w14:paraId="78E1114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委員黃世杰</w:t>
            </w:r>
          </w:p>
          <w:p w14:paraId="6D6208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64F75E2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109.04.07 </w:t>
            </w:r>
          </w:p>
          <w:p w14:paraId="00E50B3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（10-1-7）</w:t>
            </w:r>
          </w:p>
        </w:tc>
        <w:tc>
          <w:tcPr>
            <w:tcW w:w="1693" w:type="dxa"/>
            <w:shd w:val="clear" w:color="auto" w:fill="auto"/>
          </w:tcPr>
          <w:p w14:paraId="6DEC042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1268882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330991">
              <w:rPr>
                <w:rFonts w:ascii="標楷體" w:eastAsia="標楷體" w:hAnsi="標楷體" w:hint="eastAsia"/>
                <w:color w:val="000000" w:themeColor="text1"/>
                <w:spacing w:val="-10"/>
              </w:rPr>
              <w:t>本會109.5.14</w:t>
            </w:r>
            <w:r w:rsidRPr="00026143">
              <w:rPr>
                <w:rFonts w:ascii="標楷體" w:eastAsia="標楷體" w:hAnsi="標楷體" w:hint="eastAsia"/>
                <w:color w:val="000000" w:themeColor="text1"/>
              </w:rPr>
              <w:t>舉行「調度司法警察條例實務爭議檢討」公聽會。</w:t>
            </w:r>
          </w:p>
          <w:p w14:paraId="0C6F50C0" w14:textId="77777777" w:rsidR="00330991"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2.聯席會</w:t>
            </w:r>
          </w:p>
          <w:p w14:paraId="6137472A" w14:textId="3A93336D"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110.5.13(10-3-1)報告及詢答完畢，另定期繼續審查。</w:t>
            </w:r>
          </w:p>
        </w:tc>
      </w:tr>
      <w:tr w:rsidR="00EC13B7" w:rsidRPr="00026143" w14:paraId="69DA4733" w14:textId="77777777" w:rsidTr="00EC13B7">
        <w:tc>
          <w:tcPr>
            <w:tcW w:w="602" w:type="dxa"/>
            <w:shd w:val="clear" w:color="auto" w:fill="auto"/>
          </w:tcPr>
          <w:p w14:paraId="6A28C92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646" w:type="dxa"/>
            <w:shd w:val="clear" w:color="auto" w:fill="auto"/>
            <w:vAlign w:val="center"/>
          </w:tcPr>
          <w:p w14:paraId="39B9627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1.廢止「蒙藏邊區人員任用條例」（廢止重點：因情勢變遷，無繼續施行之必要，爰提案廢止。）</w:t>
            </w:r>
          </w:p>
        </w:tc>
        <w:tc>
          <w:tcPr>
            <w:tcW w:w="1960" w:type="dxa"/>
            <w:shd w:val="clear" w:color="auto" w:fill="auto"/>
          </w:tcPr>
          <w:p w14:paraId="18042B4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委員江永昌</w:t>
            </w:r>
          </w:p>
          <w:p w14:paraId="72FD22C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742BF9E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561F8D1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693" w:type="dxa"/>
            <w:shd w:val="clear" w:color="auto" w:fill="auto"/>
          </w:tcPr>
          <w:p w14:paraId="13750B7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0C45B91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CF55104" w14:textId="77777777" w:rsidTr="00EC13B7">
        <w:tc>
          <w:tcPr>
            <w:tcW w:w="602" w:type="dxa"/>
            <w:shd w:val="clear" w:color="auto" w:fill="auto"/>
          </w:tcPr>
          <w:p w14:paraId="75EA50E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w:t>
            </w:r>
          </w:p>
        </w:tc>
        <w:tc>
          <w:tcPr>
            <w:tcW w:w="2646" w:type="dxa"/>
            <w:shd w:val="clear" w:color="auto" w:fill="auto"/>
            <w:vAlign w:val="center"/>
          </w:tcPr>
          <w:p w14:paraId="392FBFC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2.廢止「蒙藏邊區人員任用條例」(廢止重點：鑑於蒙藏委員會組織法已經廢除，蒙藏邊區人員之任用，已依公務人員任用法之修正處理，爰提案廢止。)</w:t>
            </w:r>
          </w:p>
        </w:tc>
        <w:tc>
          <w:tcPr>
            <w:tcW w:w="1960" w:type="dxa"/>
            <w:shd w:val="clear" w:color="auto" w:fill="auto"/>
          </w:tcPr>
          <w:p w14:paraId="77DC54B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委員邱志偉</w:t>
            </w:r>
          </w:p>
          <w:p w14:paraId="5AAA9EC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5E9A68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64B15E8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693" w:type="dxa"/>
            <w:shd w:val="clear" w:color="auto" w:fill="auto"/>
          </w:tcPr>
          <w:p w14:paraId="03840D2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司法及法制、內政</w:t>
            </w:r>
          </w:p>
        </w:tc>
        <w:tc>
          <w:tcPr>
            <w:tcW w:w="1848" w:type="dxa"/>
            <w:shd w:val="clear" w:color="auto" w:fill="auto"/>
          </w:tcPr>
          <w:p w14:paraId="7BFA50A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1FE1E97" w14:textId="77777777" w:rsidTr="00EC13B7">
        <w:tc>
          <w:tcPr>
            <w:tcW w:w="602" w:type="dxa"/>
            <w:shd w:val="clear" w:color="auto" w:fill="auto"/>
          </w:tcPr>
          <w:p w14:paraId="7A31D66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w:t>
            </w:r>
          </w:p>
        </w:tc>
        <w:tc>
          <w:tcPr>
            <w:tcW w:w="2646" w:type="dxa"/>
            <w:shd w:val="clear" w:color="auto" w:fill="auto"/>
            <w:vAlign w:val="center"/>
          </w:tcPr>
          <w:p w14:paraId="64FAFFF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3.廢止「蒙藏邊區人員任用條例」(廢止重點：鑑於《蒙藏委員會組織法》已經廢除。蒙藏邊區人員之相關任用、退休、離職、調任規定，業已依《公務人員任用法》修正條文處理，爰提案廢止。）</w:t>
            </w:r>
          </w:p>
        </w:tc>
        <w:tc>
          <w:tcPr>
            <w:tcW w:w="1960" w:type="dxa"/>
            <w:shd w:val="clear" w:color="auto" w:fill="auto"/>
          </w:tcPr>
          <w:p w14:paraId="0C3B6D5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委員賴品妤</w:t>
            </w:r>
          </w:p>
          <w:p w14:paraId="5EDE9A0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1CC8600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4E17CF3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693" w:type="dxa"/>
            <w:shd w:val="clear" w:color="auto" w:fill="auto"/>
          </w:tcPr>
          <w:p w14:paraId="027479E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司法及法制、內政</w:t>
            </w:r>
          </w:p>
        </w:tc>
        <w:tc>
          <w:tcPr>
            <w:tcW w:w="1848" w:type="dxa"/>
            <w:shd w:val="clear" w:color="auto" w:fill="auto"/>
          </w:tcPr>
          <w:p w14:paraId="4976148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1CE86365" w14:textId="77777777" w:rsidR="00EC13B7" w:rsidRPr="00026143" w:rsidRDefault="00EC13B7" w:rsidP="00E16391">
      <w:pPr>
        <w:pStyle w:val="1-5"/>
        <w:kinsoku w:val="0"/>
        <w:wordWrap w:val="0"/>
        <w:topLinePunct/>
        <w:spacing w:beforeLines="100" w:before="360" w:afterLines="100" w:after="360" w:line="260" w:lineRule="exact"/>
        <w:ind w:left="1418" w:firstLineChars="101" w:firstLine="283"/>
        <w:textAlignment w:val="top"/>
        <w:rPr>
          <w:color w:val="000000" w:themeColor="text1"/>
        </w:rPr>
      </w:pPr>
      <w:bookmarkStart w:id="408" w:name="_Toc361217349"/>
      <w:bookmarkStart w:id="409" w:name="_Toc362968409"/>
      <w:bookmarkStart w:id="410" w:name="_Toc428286981"/>
      <w:bookmarkStart w:id="411" w:name="_Toc510167697"/>
      <w:bookmarkStart w:id="412" w:name="_Toc1401084"/>
      <w:r w:rsidRPr="00026143">
        <w:rPr>
          <w:color w:val="000000" w:themeColor="text1"/>
        </w:rPr>
        <w:t>3.本會、外交及國防委員會聯席審查</w:t>
      </w:r>
      <w:r w:rsidRPr="00026143">
        <w:rPr>
          <w:rFonts w:hint="eastAsia"/>
          <w:color w:val="000000" w:themeColor="text1"/>
        </w:rPr>
        <w:t>21</w:t>
      </w:r>
      <w:bookmarkEnd w:id="408"/>
      <w:bookmarkEnd w:id="409"/>
      <w:bookmarkEnd w:id="410"/>
      <w:bookmarkEnd w:id="411"/>
      <w:bookmarkEnd w:id="412"/>
      <w:r w:rsidRPr="00026143">
        <w:rPr>
          <w:rFonts w:hint="eastAsia"/>
          <w:color w:val="000000" w:themeColor="text1"/>
        </w:rPr>
        <w:t>案</w:t>
      </w:r>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660"/>
        <w:gridCol w:w="1946"/>
        <w:gridCol w:w="1707"/>
        <w:gridCol w:w="1848"/>
      </w:tblGrid>
      <w:tr w:rsidR="00EC13B7" w:rsidRPr="00026143" w14:paraId="4651C521" w14:textId="77777777" w:rsidTr="00EC13B7">
        <w:tc>
          <w:tcPr>
            <w:tcW w:w="588" w:type="dxa"/>
            <w:shd w:val="clear" w:color="auto" w:fill="auto"/>
          </w:tcPr>
          <w:p w14:paraId="1A39D9A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60" w:type="dxa"/>
            <w:shd w:val="clear" w:color="auto" w:fill="auto"/>
          </w:tcPr>
          <w:p w14:paraId="3860C6B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46" w:type="dxa"/>
            <w:shd w:val="clear" w:color="auto" w:fill="auto"/>
          </w:tcPr>
          <w:p w14:paraId="73B3766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46D1274D"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707" w:type="dxa"/>
            <w:shd w:val="clear" w:color="auto" w:fill="auto"/>
          </w:tcPr>
          <w:p w14:paraId="60DD9A8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48" w:type="dxa"/>
            <w:shd w:val="clear" w:color="auto" w:fill="auto"/>
          </w:tcPr>
          <w:p w14:paraId="307CFF1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4DC8B42" w14:textId="77777777" w:rsidTr="00EC13B7">
        <w:tc>
          <w:tcPr>
            <w:tcW w:w="588" w:type="dxa"/>
            <w:shd w:val="clear" w:color="auto" w:fill="auto"/>
          </w:tcPr>
          <w:p w14:paraId="4A04654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60" w:type="dxa"/>
            <w:shd w:val="clear" w:color="auto" w:fill="auto"/>
          </w:tcPr>
          <w:p w14:paraId="25AED41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1.陸海空軍刑法第五十四條條文修正草案（修正重點：增列第一項第四款施用毒品之行為，以尿液經檢驗判定陽性為標準，另增列第一項第五款，就有第四款以外之情事足認施用毒品</w:t>
            </w:r>
            <w:r w:rsidRPr="00026143">
              <w:rPr>
                <w:rFonts w:ascii="標楷體" w:eastAsia="標楷體" w:hAnsi="標楷體"/>
                <w:color w:val="000000" w:themeColor="text1"/>
              </w:rPr>
              <w:lastRenderedPageBreak/>
              <w:t>，致不能安全駕駛者，予以處罰。）</w:t>
            </w:r>
          </w:p>
        </w:tc>
        <w:tc>
          <w:tcPr>
            <w:tcW w:w="1946" w:type="dxa"/>
            <w:shd w:val="clear" w:color="auto" w:fill="auto"/>
          </w:tcPr>
          <w:p w14:paraId="3F0AB0F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行政院 </w:t>
            </w:r>
          </w:p>
          <w:p w14:paraId="183412A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111.09.23 </w:t>
            </w:r>
          </w:p>
          <w:p w14:paraId="20BC747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707" w:type="dxa"/>
            <w:shd w:val="clear" w:color="auto" w:fill="auto"/>
          </w:tcPr>
          <w:p w14:paraId="78CD1DB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6FF92A6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3FCCDD" w14:textId="77777777" w:rsidTr="00EC13B7">
        <w:tc>
          <w:tcPr>
            <w:tcW w:w="588" w:type="dxa"/>
            <w:shd w:val="clear" w:color="auto" w:fill="auto"/>
          </w:tcPr>
          <w:p w14:paraId="5BD734B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w:t>
            </w:r>
          </w:p>
        </w:tc>
        <w:tc>
          <w:tcPr>
            <w:tcW w:w="2660" w:type="dxa"/>
            <w:shd w:val="clear" w:color="auto" w:fill="auto"/>
          </w:tcPr>
          <w:p w14:paraId="6A0E7D9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陸海空軍刑法第五十四條條文修正草案（修正重點：刪除本法第一百八十五條之三第一項第三款毒駕「致不能安全駕駛」之規定，增訂其毒駕定罪認定標準，其檢驗結果閾值（臨界值）為陽性者，就一律視為不能安全駕駛，即可定罪；另駕駛人有第三款以外之情事，足認其施用毒品、麻醉藥品或其他相類之物，有致不能安全駕駛之情形，亦應處罰，爰增訂第四款規定。）</w:t>
            </w:r>
          </w:p>
        </w:tc>
        <w:tc>
          <w:tcPr>
            <w:tcW w:w="1946" w:type="dxa"/>
            <w:shd w:val="clear" w:color="auto" w:fill="auto"/>
          </w:tcPr>
          <w:p w14:paraId="48F3EDC8" w14:textId="37F6EECC"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台灣民眾黨黨團</w:t>
            </w:r>
          </w:p>
          <w:p w14:paraId="50F5DDC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111.09.23 </w:t>
            </w:r>
          </w:p>
          <w:p w14:paraId="034A307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707" w:type="dxa"/>
            <w:shd w:val="clear" w:color="auto" w:fill="auto"/>
          </w:tcPr>
          <w:p w14:paraId="5032849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3D15B7F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05A5F4" w14:textId="77777777" w:rsidTr="00EC13B7">
        <w:tc>
          <w:tcPr>
            <w:tcW w:w="588" w:type="dxa"/>
            <w:shd w:val="clear" w:color="auto" w:fill="auto"/>
          </w:tcPr>
          <w:p w14:paraId="7BA2E1F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660" w:type="dxa"/>
            <w:shd w:val="clear" w:color="auto" w:fill="auto"/>
          </w:tcPr>
          <w:p w14:paraId="32C4D7D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陸海空軍刑法第五十四條條文修正草案（修正重點：明定毒駕者尿液驗出陽性反應，即構成公共危險罪，若因個案情況無法檢驗判定陽性，惟仍有其他情事足認有施用毒品而致不能安全駕駛時，也論以毒駕罪責，以全面處罰毒駕行為。）</w:t>
            </w:r>
          </w:p>
        </w:tc>
        <w:tc>
          <w:tcPr>
            <w:tcW w:w="1946" w:type="dxa"/>
            <w:shd w:val="clear" w:color="auto" w:fill="auto"/>
          </w:tcPr>
          <w:p w14:paraId="4498413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委員魯明哲</w:t>
            </w:r>
          </w:p>
          <w:p w14:paraId="200AE87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5D8434D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111.09.30 </w:t>
            </w:r>
          </w:p>
          <w:p w14:paraId="33EC8E6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（10-6-2）</w:t>
            </w:r>
          </w:p>
        </w:tc>
        <w:tc>
          <w:tcPr>
            <w:tcW w:w="1707" w:type="dxa"/>
            <w:shd w:val="clear" w:color="auto" w:fill="auto"/>
          </w:tcPr>
          <w:p w14:paraId="1520AF6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21F6116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DB2FA7A" w14:textId="77777777" w:rsidTr="00EC13B7">
        <w:tc>
          <w:tcPr>
            <w:tcW w:w="588" w:type="dxa"/>
            <w:shd w:val="clear" w:color="auto" w:fill="auto"/>
          </w:tcPr>
          <w:p w14:paraId="0BBC7B2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660" w:type="dxa"/>
            <w:shd w:val="clear" w:color="auto" w:fill="auto"/>
          </w:tcPr>
          <w:p w14:paraId="58CE38C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4.陸海空軍刑法第五十四條條文修正草案（修正重點：新增毒駕相關規定。）</w:t>
            </w:r>
          </w:p>
        </w:tc>
        <w:tc>
          <w:tcPr>
            <w:tcW w:w="1946" w:type="dxa"/>
            <w:shd w:val="clear" w:color="auto" w:fill="auto"/>
          </w:tcPr>
          <w:p w14:paraId="7A65E6F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3259768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D25F8A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111.10.07</w:t>
            </w:r>
          </w:p>
          <w:p w14:paraId="24C215E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707" w:type="dxa"/>
            <w:shd w:val="clear" w:color="auto" w:fill="auto"/>
          </w:tcPr>
          <w:p w14:paraId="44CF584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617B2E7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DCF7452" w14:textId="77777777" w:rsidTr="00EC13B7">
        <w:tc>
          <w:tcPr>
            <w:tcW w:w="588" w:type="dxa"/>
            <w:shd w:val="clear" w:color="auto" w:fill="auto"/>
          </w:tcPr>
          <w:p w14:paraId="663FF35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660" w:type="dxa"/>
            <w:shd w:val="clear" w:color="auto" w:fill="auto"/>
          </w:tcPr>
          <w:p w14:paraId="3E66FBF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5.陸海空軍刑法第五十四條條文修正草案（修正重點：增訂施用毒品而駕駛動力交通工具之處罰。）</w:t>
            </w:r>
          </w:p>
        </w:tc>
        <w:tc>
          <w:tcPr>
            <w:tcW w:w="1946" w:type="dxa"/>
            <w:shd w:val="clear" w:color="auto" w:fill="auto"/>
          </w:tcPr>
          <w:p w14:paraId="0FDDF94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委員陳明文</w:t>
            </w:r>
          </w:p>
          <w:p w14:paraId="51B0962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7E7DE21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3E583AF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707" w:type="dxa"/>
            <w:shd w:val="clear" w:color="auto" w:fill="auto"/>
          </w:tcPr>
          <w:p w14:paraId="59DBEEA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655E4D7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53B44CE" w14:textId="77777777" w:rsidTr="00EC13B7">
        <w:tc>
          <w:tcPr>
            <w:tcW w:w="588" w:type="dxa"/>
            <w:shd w:val="clear" w:color="auto" w:fill="auto"/>
          </w:tcPr>
          <w:p w14:paraId="4AAE6BA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660" w:type="dxa"/>
            <w:shd w:val="clear" w:color="auto" w:fill="auto"/>
          </w:tcPr>
          <w:p w14:paraId="20655EF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6.陸海空軍刑法第五十四條條文修正草案（修正重點：增訂施用毒品駕駛動力交通工具應受刑罰之要件。）</w:t>
            </w:r>
          </w:p>
        </w:tc>
        <w:tc>
          <w:tcPr>
            <w:tcW w:w="1946" w:type="dxa"/>
            <w:shd w:val="clear" w:color="auto" w:fill="auto"/>
          </w:tcPr>
          <w:p w14:paraId="6BF89CB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委員溫玉霞</w:t>
            </w:r>
          </w:p>
          <w:p w14:paraId="3BA01B4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84338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15E316E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707" w:type="dxa"/>
            <w:shd w:val="clear" w:color="auto" w:fill="auto"/>
          </w:tcPr>
          <w:p w14:paraId="43F34B2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6796F4D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7B64EBE" w14:textId="77777777" w:rsidTr="00EC13B7">
        <w:tc>
          <w:tcPr>
            <w:tcW w:w="588" w:type="dxa"/>
            <w:shd w:val="clear" w:color="auto" w:fill="auto"/>
          </w:tcPr>
          <w:p w14:paraId="6DCB59D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w:t>
            </w:r>
          </w:p>
        </w:tc>
        <w:tc>
          <w:tcPr>
            <w:tcW w:w="2660" w:type="dxa"/>
            <w:shd w:val="clear" w:color="auto" w:fill="auto"/>
          </w:tcPr>
          <w:p w14:paraId="2D437AF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7.陸海空軍刑法第五十四條條文修正草案(修</w:t>
            </w:r>
            <w:r w:rsidRPr="00026143">
              <w:rPr>
                <w:rFonts w:ascii="標楷體" w:eastAsia="標楷體" w:hAnsi="標楷體" w:hint="eastAsia"/>
                <w:color w:val="000000" w:themeColor="text1"/>
              </w:rPr>
              <w:lastRenderedPageBreak/>
              <w:t>正重點：行為人施用毒品而駕駛動力交通工具，以其尿液檢驗判定陽性為標準，即論以刑責。惟仍有其他情事足以認定有施用毒品，導致不能安全駕駛時，應論以毒駕罪責。)</w:t>
            </w:r>
          </w:p>
        </w:tc>
        <w:tc>
          <w:tcPr>
            <w:tcW w:w="1946" w:type="dxa"/>
            <w:shd w:val="clear" w:color="auto" w:fill="auto"/>
          </w:tcPr>
          <w:p w14:paraId="10D1C73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委員馬文君</w:t>
            </w:r>
          </w:p>
          <w:p w14:paraId="5AD4BFF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2ED4E33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111.10.28 </w:t>
            </w:r>
          </w:p>
          <w:p w14:paraId="381D53D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p w14:paraId="5826A5B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p>
        </w:tc>
        <w:tc>
          <w:tcPr>
            <w:tcW w:w="1707" w:type="dxa"/>
            <w:shd w:val="clear" w:color="auto" w:fill="auto"/>
          </w:tcPr>
          <w:p w14:paraId="5DB131C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司法及法制、外交及國防</w:t>
            </w:r>
          </w:p>
        </w:tc>
        <w:tc>
          <w:tcPr>
            <w:tcW w:w="1848" w:type="dxa"/>
            <w:shd w:val="clear" w:color="auto" w:fill="auto"/>
          </w:tcPr>
          <w:p w14:paraId="71D0861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EF96BD4" w14:textId="77777777" w:rsidTr="00EC13B7">
        <w:tc>
          <w:tcPr>
            <w:tcW w:w="588" w:type="dxa"/>
            <w:shd w:val="clear" w:color="auto" w:fill="auto"/>
          </w:tcPr>
          <w:p w14:paraId="57F7B60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8</w:t>
            </w:r>
          </w:p>
        </w:tc>
        <w:tc>
          <w:tcPr>
            <w:tcW w:w="2660" w:type="dxa"/>
            <w:shd w:val="clear" w:color="auto" w:fill="auto"/>
          </w:tcPr>
          <w:p w14:paraId="550FE13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8.陸海空軍刑法第五十四條條文修正草案(修正重點：新增第</w:t>
            </w:r>
            <w:r w:rsidRPr="00026143">
              <w:rPr>
                <w:rFonts w:ascii="標楷體" w:eastAsia="標楷體" w:hAnsi="標楷體" w:hint="eastAsia"/>
                <w:color w:val="000000" w:themeColor="text1"/>
              </w:rPr>
              <w:t>1</w:t>
            </w:r>
            <w:r w:rsidRPr="00026143">
              <w:rPr>
                <w:rFonts w:ascii="標楷體" w:eastAsia="標楷體" w:hAnsi="標楷體"/>
                <w:color w:val="000000" w:themeColor="text1"/>
              </w:rPr>
              <w:t>項第</w:t>
            </w:r>
            <w:r w:rsidRPr="00026143">
              <w:rPr>
                <w:rFonts w:ascii="標楷體" w:eastAsia="標楷體" w:hAnsi="標楷體" w:hint="eastAsia"/>
                <w:color w:val="000000" w:themeColor="text1"/>
              </w:rPr>
              <w:t>4</w:t>
            </w:r>
            <w:r w:rsidRPr="00026143">
              <w:rPr>
                <w:rFonts w:ascii="標楷體" w:eastAsia="標楷體" w:hAnsi="標楷體"/>
                <w:color w:val="000000" w:themeColor="text1"/>
              </w:rPr>
              <w:t>款，施用毒品經尿液檢驗後，判定為陽性反應者為標準，以達毒駕零容忍之日標。)</w:t>
            </w:r>
          </w:p>
        </w:tc>
        <w:tc>
          <w:tcPr>
            <w:tcW w:w="1946" w:type="dxa"/>
            <w:shd w:val="clear" w:color="auto" w:fill="auto"/>
          </w:tcPr>
          <w:p w14:paraId="5D3F182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委員賴惠員</w:t>
            </w:r>
          </w:p>
          <w:p w14:paraId="588E539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72A271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5729952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707" w:type="dxa"/>
            <w:shd w:val="clear" w:color="auto" w:fill="auto"/>
          </w:tcPr>
          <w:p w14:paraId="714B310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6CA41D0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D996B94" w14:textId="77777777" w:rsidTr="00EC13B7">
        <w:tc>
          <w:tcPr>
            <w:tcW w:w="588" w:type="dxa"/>
            <w:shd w:val="clear" w:color="auto" w:fill="auto"/>
          </w:tcPr>
          <w:p w14:paraId="71AA945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w:t>
            </w:r>
          </w:p>
        </w:tc>
        <w:tc>
          <w:tcPr>
            <w:tcW w:w="2660" w:type="dxa"/>
            <w:shd w:val="clear" w:color="auto" w:fill="auto"/>
          </w:tcPr>
          <w:p w14:paraId="3809658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9.陸海空軍刑法第五十四條條文修正草案(修正重點：鑑於行為人施用毒品後駕駛動力交通工具，因毒品之作用，可能因而發生傷亡，危害用路安全，爰提案修正。）</w:t>
            </w:r>
          </w:p>
        </w:tc>
        <w:tc>
          <w:tcPr>
            <w:tcW w:w="1946" w:type="dxa"/>
            <w:shd w:val="clear" w:color="auto" w:fill="auto"/>
          </w:tcPr>
          <w:p w14:paraId="5B8803F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委員吳琪銘</w:t>
            </w:r>
          </w:p>
          <w:p w14:paraId="0C0D0F7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6C17484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543CDC4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707" w:type="dxa"/>
            <w:shd w:val="clear" w:color="auto" w:fill="auto"/>
          </w:tcPr>
          <w:p w14:paraId="3DDA8B3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041CBD5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845381C" w14:textId="77777777" w:rsidTr="00EC13B7">
        <w:tc>
          <w:tcPr>
            <w:tcW w:w="588" w:type="dxa"/>
            <w:shd w:val="clear" w:color="auto" w:fill="auto"/>
          </w:tcPr>
          <w:p w14:paraId="61C101F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w:t>
            </w:r>
          </w:p>
        </w:tc>
        <w:tc>
          <w:tcPr>
            <w:tcW w:w="2660" w:type="dxa"/>
            <w:shd w:val="clear" w:color="auto" w:fill="auto"/>
          </w:tcPr>
          <w:p w14:paraId="4474CAC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陸海空軍刑法第十七條條文修正草案（修正重點：排除針對有關「間諜行為」之追訴權時效上限。）</w:t>
            </w:r>
          </w:p>
        </w:tc>
        <w:tc>
          <w:tcPr>
            <w:tcW w:w="1946" w:type="dxa"/>
            <w:shd w:val="clear" w:color="auto" w:fill="auto"/>
          </w:tcPr>
          <w:p w14:paraId="4F9405A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委員趙天麟</w:t>
            </w:r>
          </w:p>
          <w:p w14:paraId="7CAA2EA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7CC01E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872AB5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707" w:type="dxa"/>
            <w:shd w:val="clear" w:color="auto" w:fill="auto"/>
          </w:tcPr>
          <w:p w14:paraId="422475C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0BC67A0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630659F" w14:textId="77777777" w:rsidTr="00EC13B7">
        <w:tc>
          <w:tcPr>
            <w:tcW w:w="588" w:type="dxa"/>
            <w:shd w:val="clear" w:color="auto" w:fill="auto"/>
          </w:tcPr>
          <w:p w14:paraId="72867FE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w:t>
            </w:r>
          </w:p>
        </w:tc>
        <w:tc>
          <w:tcPr>
            <w:tcW w:w="2660" w:type="dxa"/>
            <w:shd w:val="clear" w:color="auto" w:fill="auto"/>
          </w:tcPr>
          <w:p w14:paraId="2CE4E8A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陸海空軍刑法第七十二條條文修正草案（修正重點：鑑於歷年來屢有具軍事背景者散布關於軍事上之謠言或不實訊息，對我國國家安全與自由民主憲政秩序造成危害，爰刪除散布謠言之軍人之財產刑。）</w:t>
            </w:r>
          </w:p>
        </w:tc>
        <w:tc>
          <w:tcPr>
            <w:tcW w:w="1946" w:type="dxa"/>
            <w:shd w:val="clear" w:color="auto" w:fill="auto"/>
          </w:tcPr>
          <w:p w14:paraId="64BE29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6E52D2D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110.11.26 </w:t>
            </w:r>
          </w:p>
          <w:p w14:paraId="7A6EF33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（10-4-11）</w:t>
            </w:r>
          </w:p>
        </w:tc>
        <w:tc>
          <w:tcPr>
            <w:tcW w:w="1707" w:type="dxa"/>
            <w:shd w:val="clear" w:color="auto" w:fill="auto"/>
          </w:tcPr>
          <w:p w14:paraId="0D74997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4D3004A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30F08E6" w14:textId="77777777" w:rsidTr="00EC13B7">
        <w:tc>
          <w:tcPr>
            <w:tcW w:w="588" w:type="dxa"/>
            <w:shd w:val="clear" w:color="auto" w:fill="auto"/>
          </w:tcPr>
          <w:p w14:paraId="49B7598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w:t>
            </w:r>
          </w:p>
        </w:tc>
        <w:tc>
          <w:tcPr>
            <w:tcW w:w="2660" w:type="dxa"/>
            <w:shd w:val="clear" w:color="auto" w:fill="auto"/>
          </w:tcPr>
          <w:p w14:paraId="19F1946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陸海空軍刑法第十條、第十八條及第二十四條條文修正草案(修正重點：規範現役軍人若以任何方式向本法所稱敵人表示效忠或期約違反職責、消極作戰之行為者之處罰，並參照其他國安法規修訂本法所稱</w:t>
            </w:r>
            <w:r w:rsidRPr="00026143">
              <w:rPr>
                <w:rFonts w:ascii="標楷體" w:eastAsia="標楷體" w:hAnsi="標楷體"/>
                <w:color w:val="000000" w:themeColor="text1"/>
              </w:rPr>
              <w:lastRenderedPageBreak/>
              <w:t>敵人之定義。)</w:t>
            </w:r>
          </w:p>
        </w:tc>
        <w:tc>
          <w:tcPr>
            <w:tcW w:w="1946" w:type="dxa"/>
            <w:shd w:val="clear" w:color="auto" w:fill="auto"/>
          </w:tcPr>
          <w:p w14:paraId="63D7653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委員劉世芳</w:t>
            </w:r>
          </w:p>
          <w:p w14:paraId="595316D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39F4B5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7119DBE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707" w:type="dxa"/>
            <w:shd w:val="clear" w:color="auto" w:fill="auto"/>
          </w:tcPr>
          <w:p w14:paraId="08175AC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0302875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9260BD6" w14:textId="77777777" w:rsidTr="00EC13B7">
        <w:tc>
          <w:tcPr>
            <w:tcW w:w="588" w:type="dxa"/>
            <w:shd w:val="clear" w:color="auto" w:fill="auto"/>
          </w:tcPr>
          <w:p w14:paraId="42D50F7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13</w:t>
            </w:r>
          </w:p>
        </w:tc>
        <w:tc>
          <w:tcPr>
            <w:tcW w:w="2660" w:type="dxa"/>
            <w:shd w:val="clear" w:color="auto" w:fill="auto"/>
          </w:tcPr>
          <w:p w14:paraId="02BE08C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陸海空軍刑法第十九條條文修正草案(修正重點：現行條文限於行為人為「軍事上」之利益或不利益行為危害國家安全，始得處罰。對於前述「非軍事」利益或不利益之違反國家忠誠義務行為，漏未規定</w:t>
            </w:r>
            <w:r w:rsidRPr="00026143">
              <w:rPr>
                <w:rFonts w:ascii="標楷體" w:eastAsia="標楷體" w:hAnsi="標楷體" w:hint="eastAsia"/>
                <w:color w:val="000000" w:themeColor="text1"/>
              </w:rPr>
              <w:t>，</w:t>
            </w:r>
            <w:r w:rsidRPr="00026143">
              <w:rPr>
                <w:rFonts w:ascii="標楷體" w:eastAsia="標楷體" w:hAnsi="標楷體"/>
                <w:color w:val="000000" w:themeColor="text1"/>
              </w:rPr>
              <w:t>爰提案修正。)</w:t>
            </w:r>
          </w:p>
        </w:tc>
        <w:tc>
          <w:tcPr>
            <w:tcW w:w="1946" w:type="dxa"/>
            <w:shd w:val="clear" w:color="auto" w:fill="auto"/>
          </w:tcPr>
          <w:p w14:paraId="4F6403B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委員王定宇</w:t>
            </w:r>
          </w:p>
          <w:p w14:paraId="4AEECD7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464CF3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1130A67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707" w:type="dxa"/>
            <w:shd w:val="clear" w:color="auto" w:fill="auto"/>
          </w:tcPr>
          <w:p w14:paraId="126F955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5DC0666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55BA3B5" w14:textId="77777777" w:rsidTr="00EC13B7">
        <w:tc>
          <w:tcPr>
            <w:tcW w:w="588" w:type="dxa"/>
            <w:shd w:val="clear" w:color="auto" w:fill="auto"/>
          </w:tcPr>
          <w:p w14:paraId="03A0D8F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w:t>
            </w:r>
          </w:p>
        </w:tc>
        <w:tc>
          <w:tcPr>
            <w:tcW w:w="2660" w:type="dxa"/>
            <w:shd w:val="clear" w:color="auto" w:fill="auto"/>
          </w:tcPr>
          <w:p w14:paraId="4CB0A63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軍事審判法增訂第二百三十七條之一條文草案（增訂重點：將本法及其他法律所稱或涉及各級軍事法院檢察署之文字，修正為各級軍事檢察署。）</w:t>
            </w:r>
          </w:p>
        </w:tc>
        <w:tc>
          <w:tcPr>
            <w:tcW w:w="1946" w:type="dxa"/>
            <w:shd w:val="clear" w:color="auto" w:fill="auto"/>
          </w:tcPr>
          <w:p w14:paraId="2FE4888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委員伍麗華</w:t>
            </w:r>
          </w:p>
          <w:p w14:paraId="6D5798DC" w14:textId="77777777" w:rsidR="00EC13B7" w:rsidRPr="00026143" w:rsidRDefault="00EC13B7" w:rsidP="003F057E">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549011A1" w14:textId="77777777" w:rsidR="00EC13B7" w:rsidRPr="00026143" w:rsidRDefault="00EC13B7" w:rsidP="003F057E">
            <w:pPr>
              <w:kinsoku w:val="0"/>
              <w:topLinePunct/>
              <w:snapToGrid w:val="0"/>
              <w:spacing w:line="300" w:lineRule="exact"/>
              <w:ind w:leftChars="-25" w:left="19" w:hangingChars="33" w:hanging="79"/>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360121E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109.12.24 </w:t>
            </w:r>
          </w:p>
          <w:p w14:paraId="647F9C7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707" w:type="dxa"/>
            <w:shd w:val="clear" w:color="auto" w:fill="auto"/>
          </w:tcPr>
          <w:p w14:paraId="0EA3A9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37B211A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3D84DE1" w14:textId="77777777" w:rsidTr="00EC13B7">
        <w:tc>
          <w:tcPr>
            <w:tcW w:w="588" w:type="dxa"/>
            <w:shd w:val="clear" w:color="auto" w:fill="auto"/>
          </w:tcPr>
          <w:p w14:paraId="67A43C8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w:t>
            </w:r>
          </w:p>
        </w:tc>
        <w:tc>
          <w:tcPr>
            <w:tcW w:w="2660" w:type="dxa"/>
            <w:shd w:val="clear" w:color="auto" w:fill="auto"/>
          </w:tcPr>
          <w:p w14:paraId="22B2145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1.軍事審判法第二百條條文修正草案(修正重點：鑑於強制工作之規定經司法院釋字第812號解釋，宣告違反憲法第23條比例原則，且與憲法第8條保障人身自由之意旨不符，爰提案修正。)</w:t>
            </w:r>
          </w:p>
        </w:tc>
        <w:tc>
          <w:tcPr>
            <w:tcW w:w="1946" w:type="dxa"/>
            <w:shd w:val="clear" w:color="auto" w:fill="auto"/>
          </w:tcPr>
          <w:p w14:paraId="24C2B0D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委員吳玉琴</w:t>
            </w:r>
          </w:p>
          <w:p w14:paraId="5C06BEC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09D2E67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111.03.11 </w:t>
            </w:r>
          </w:p>
          <w:p w14:paraId="7AE01FD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（10-5-3）</w:t>
            </w:r>
          </w:p>
        </w:tc>
        <w:tc>
          <w:tcPr>
            <w:tcW w:w="1707" w:type="dxa"/>
            <w:shd w:val="clear" w:color="auto" w:fill="auto"/>
          </w:tcPr>
          <w:p w14:paraId="03329FA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482378A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66A159A" w14:textId="77777777" w:rsidTr="00EC13B7">
        <w:tc>
          <w:tcPr>
            <w:tcW w:w="588" w:type="dxa"/>
            <w:shd w:val="clear" w:color="auto" w:fill="auto"/>
          </w:tcPr>
          <w:p w14:paraId="6C30657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w:t>
            </w:r>
          </w:p>
        </w:tc>
        <w:tc>
          <w:tcPr>
            <w:tcW w:w="2660" w:type="dxa"/>
            <w:shd w:val="clear" w:color="auto" w:fill="auto"/>
          </w:tcPr>
          <w:p w14:paraId="17B2417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2.軍事審判法第二百條條文修正草案(修正重點：鑑於司法院大法官釋字第812號認強制工作違憲，爰提案修正。)</w:t>
            </w:r>
          </w:p>
        </w:tc>
        <w:tc>
          <w:tcPr>
            <w:tcW w:w="1946" w:type="dxa"/>
            <w:shd w:val="clear" w:color="auto" w:fill="auto"/>
          </w:tcPr>
          <w:p w14:paraId="2C85DF4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26D35BF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157CF7C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（10-5-5）</w:t>
            </w:r>
          </w:p>
          <w:p w14:paraId="7639E18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p>
        </w:tc>
        <w:tc>
          <w:tcPr>
            <w:tcW w:w="1707" w:type="dxa"/>
            <w:shd w:val="clear" w:color="auto" w:fill="auto"/>
          </w:tcPr>
          <w:p w14:paraId="258E1B9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57C61D9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6874733" w14:textId="77777777" w:rsidTr="00EC13B7">
        <w:tc>
          <w:tcPr>
            <w:tcW w:w="588" w:type="dxa"/>
            <w:shd w:val="clear" w:color="auto" w:fill="auto"/>
          </w:tcPr>
          <w:p w14:paraId="0ECB966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17</w:t>
            </w:r>
          </w:p>
        </w:tc>
        <w:tc>
          <w:tcPr>
            <w:tcW w:w="2660" w:type="dxa"/>
            <w:shd w:val="clear" w:color="auto" w:fill="auto"/>
          </w:tcPr>
          <w:p w14:paraId="3356B98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陸海空軍軍官士官任職條例第十二條條文修正草案（修正重點：增列受降階懲罰者，於停止任用期間屆滿，合於回役規定等條件者，得申請復職之規定。）</w:t>
            </w:r>
          </w:p>
        </w:tc>
        <w:tc>
          <w:tcPr>
            <w:tcW w:w="1946" w:type="dxa"/>
            <w:shd w:val="clear" w:color="auto" w:fill="auto"/>
          </w:tcPr>
          <w:p w14:paraId="21173E8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委員伍麗華</w:t>
            </w:r>
          </w:p>
          <w:p w14:paraId="13C70236" w14:textId="77777777" w:rsidR="00EC13B7" w:rsidRPr="00026143" w:rsidRDefault="00EC13B7" w:rsidP="003F057E">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54AC8F6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7B07698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109.12.24</w:t>
            </w:r>
          </w:p>
          <w:p w14:paraId="6668D9A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707" w:type="dxa"/>
            <w:shd w:val="clear" w:color="auto" w:fill="auto"/>
          </w:tcPr>
          <w:p w14:paraId="5F71D12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2C70981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3CFCFFF" w14:textId="77777777" w:rsidTr="00EC13B7">
        <w:tc>
          <w:tcPr>
            <w:tcW w:w="588" w:type="dxa"/>
            <w:shd w:val="clear" w:color="auto" w:fill="auto"/>
          </w:tcPr>
          <w:p w14:paraId="3EC36D1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8</w:t>
            </w:r>
          </w:p>
        </w:tc>
        <w:tc>
          <w:tcPr>
            <w:tcW w:w="2660" w:type="dxa"/>
            <w:shd w:val="clear" w:color="auto" w:fill="auto"/>
          </w:tcPr>
          <w:p w14:paraId="6A3D8F2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後備軍人轉任公職考試比敘條例第五條之一條文修正草案（修正重點：行政院海岸巡防署已改隸海洋委員會海巡署，爰配合機關名稱變更修正。）</w:t>
            </w:r>
          </w:p>
        </w:tc>
        <w:tc>
          <w:tcPr>
            <w:tcW w:w="1946" w:type="dxa"/>
            <w:shd w:val="clear" w:color="auto" w:fill="auto"/>
          </w:tcPr>
          <w:p w14:paraId="56A8DB8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委員劉櫂豪</w:t>
            </w:r>
          </w:p>
          <w:p w14:paraId="26FA8B2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74B9517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109.12.24 </w:t>
            </w:r>
          </w:p>
          <w:p w14:paraId="0476936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707" w:type="dxa"/>
            <w:shd w:val="clear" w:color="auto" w:fill="auto"/>
          </w:tcPr>
          <w:p w14:paraId="54019C2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5CD1484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70D4A85" w14:textId="77777777" w:rsidTr="00EC13B7">
        <w:tc>
          <w:tcPr>
            <w:tcW w:w="588" w:type="dxa"/>
            <w:shd w:val="clear" w:color="auto" w:fill="auto"/>
          </w:tcPr>
          <w:p w14:paraId="366B468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19</w:t>
            </w:r>
          </w:p>
        </w:tc>
        <w:tc>
          <w:tcPr>
            <w:tcW w:w="2660" w:type="dxa"/>
            <w:shd w:val="clear" w:color="auto" w:fill="auto"/>
          </w:tcPr>
          <w:p w14:paraId="4C7E4BB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後備軍人轉任公職考試比敘條例第五條之一條文修正草案（修正重點：修正國軍中校以上軍官轉任公務人員以考試定其資格。）</w:t>
            </w:r>
          </w:p>
        </w:tc>
        <w:tc>
          <w:tcPr>
            <w:tcW w:w="1946" w:type="dxa"/>
            <w:shd w:val="clear" w:color="auto" w:fill="auto"/>
          </w:tcPr>
          <w:p w14:paraId="242A8F2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委員伍麗華</w:t>
            </w:r>
          </w:p>
          <w:p w14:paraId="0FC3B54D" w14:textId="77777777" w:rsidR="00EC13B7" w:rsidRPr="00026143" w:rsidRDefault="00EC13B7" w:rsidP="003F057E">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620EF96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7383BC1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1FD4857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707" w:type="dxa"/>
            <w:shd w:val="clear" w:color="auto" w:fill="auto"/>
          </w:tcPr>
          <w:p w14:paraId="37120E6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4ABFB19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175666C" w14:textId="77777777" w:rsidTr="00EC13B7">
        <w:tc>
          <w:tcPr>
            <w:tcW w:w="588" w:type="dxa"/>
            <w:shd w:val="clear" w:color="auto" w:fill="auto"/>
          </w:tcPr>
          <w:p w14:paraId="13F0A78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20</w:t>
            </w:r>
          </w:p>
        </w:tc>
        <w:tc>
          <w:tcPr>
            <w:tcW w:w="2660" w:type="dxa"/>
            <w:shd w:val="clear" w:color="auto" w:fill="auto"/>
          </w:tcPr>
          <w:p w14:paraId="1257F6B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後備軍人轉任公職考試比敘條例第五條條文修正草案（修正重點：增訂士兵等級，使相關人員轉任公職考試及比敘依法有據。）</w:t>
            </w:r>
          </w:p>
        </w:tc>
        <w:tc>
          <w:tcPr>
            <w:tcW w:w="1946" w:type="dxa"/>
            <w:shd w:val="clear" w:color="auto" w:fill="auto"/>
          </w:tcPr>
          <w:p w14:paraId="53A134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委員呂玉玲</w:t>
            </w:r>
          </w:p>
          <w:p w14:paraId="6A58D74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D47DF7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7953B64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707" w:type="dxa"/>
            <w:shd w:val="clear" w:color="auto" w:fill="auto"/>
          </w:tcPr>
          <w:p w14:paraId="1B85E0D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7A0EB65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6B46525" w14:textId="77777777" w:rsidTr="00EC13B7">
        <w:tc>
          <w:tcPr>
            <w:tcW w:w="588" w:type="dxa"/>
            <w:shd w:val="clear" w:color="auto" w:fill="auto"/>
          </w:tcPr>
          <w:p w14:paraId="2FE6EFD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21</w:t>
            </w:r>
          </w:p>
        </w:tc>
        <w:tc>
          <w:tcPr>
            <w:tcW w:w="2660" w:type="dxa"/>
            <w:shd w:val="clear" w:color="auto" w:fill="auto"/>
          </w:tcPr>
          <w:p w14:paraId="498AC95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引渡法修正草案(共四章52條。修正重點：本法規範內容與國際引渡實務已有落差，且與現行刑事訴訟制度產生扞格。爰參考聯合國相關國際公約、德國、日本及韓國等外國立法例，提案修正。)</w:t>
            </w:r>
          </w:p>
        </w:tc>
        <w:tc>
          <w:tcPr>
            <w:tcW w:w="1946" w:type="dxa"/>
            <w:shd w:val="clear" w:color="auto" w:fill="auto"/>
          </w:tcPr>
          <w:p w14:paraId="6C5AF31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782C5CB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111.04.15 </w:t>
            </w:r>
          </w:p>
          <w:p w14:paraId="58EDF4D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（10-5-8）</w:t>
            </w:r>
          </w:p>
        </w:tc>
        <w:tc>
          <w:tcPr>
            <w:tcW w:w="1707" w:type="dxa"/>
            <w:shd w:val="clear" w:color="auto" w:fill="auto"/>
          </w:tcPr>
          <w:p w14:paraId="3BD752B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司法及法制、外交及國防</w:t>
            </w:r>
          </w:p>
        </w:tc>
        <w:tc>
          <w:tcPr>
            <w:tcW w:w="1848" w:type="dxa"/>
            <w:shd w:val="clear" w:color="auto" w:fill="auto"/>
          </w:tcPr>
          <w:p w14:paraId="4E8C480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01994185"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bookmarkStart w:id="413" w:name="_Toc361217352"/>
      <w:bookmarkStart w:id="414" w:name="_Toc362968412"/>
      <w:bookmarkStart w:id="415" w:name="_Toc428286984"/>
      <w:bookmarkStart w:id="416" w:name="_Toc510167698"/>
      <w:bookmarkStart w:id="417" w:name="_Toc1401085"/>
      <w:r w:rsidRPr="00026143">
        <w:rPr>
          <w:rFonts w:hint="eastAsia"/>
          <w:color w:val="000000" w:themeColor="text1"/>
        </w:rPr>
        <w:t>4</w:t>
      </w:r>
      <w:r w:rsidRPr="00026143">
        <w:rPr>
          <w:color w:val="000000" w:themeColor="text1"/>
        </w:rPr>
        <w:t>.本會、</w:t>
      </w:r>
      <w:r w:rsidRPr="00026143">
        <w:rPr>
          <w:rFonts w:hint="eastAsia"/>
          <w:color w:val="000000" w:themeColor="text1"/>
        </w:rPr>
        <w:t>財政</w:t>
      </w:r>
      <w:r w:rsidRPr="00026143">
        <w:rPr>
          <w:color w:val="000000" w:themeColor="text1"/>
        </w:rPr>
        <w:t>委員會聯席審查</w:t>
      </w:r>
      <w:r w:rsidRPr="00026143">
        <w:rPr>
          <w:rFonts w:hint="eastAsia"/>
          <w:color w:val="000000" w:themeColor="text1"/>
        </w:rPr>
        <w:t>1</w:t>
      </w:r>
      <w:r w:rsidRPr="00026143">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01"/>
        <w:gridCol w:w="1984"/>
        <w:gridCol w:w="1684"/>
        <w:gridCol w:w="1806"/>
      </w:tblGrid>
      <w:tr w:rsidR="00EC13B7" w:rsidRPr="00026143" w14:paraId="107588C5" w14:textId="77777777" w:rsidTr="007932B9">
        <w:tc>
          <w:tcPr>
            <w:tcW w:w="588" w:type="dxa"/>
            <w:shd w:val="clear" w:color="auto" w:fill="auto"/>
            <w:vAlign w:val="center"/>
          </w:tcPr>
          <w:p w14:paraId="6F732F34"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01" w:type="dxa"/>
            <w:shd w:val="clear" w:color="auto" w:fill="auto"/>
            <w:vAlign w:val="center"/>
          </w:tcPr>
          <w:p w14:paraId="30E6DE52"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84" w:type="dxa"/>
            <w:shd w:val="clear" w:color="auto" w:fill="auto"/>
            <w:vAlign w:val="center"/>
          </w:tcPr>
          <w:p w14:paraId="23EBBB8B"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25868F7A"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84" w:type="dxa"/>
            <w:shd w:val="clear" w:color="auto" w:fill="auto"/>
            <w:vAlign w:val="center"/>
          </w:tcPr>
          <w:p w14:paraId="363AF5D7"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06" w:type="dxa"/>
            <w:shd w:val="clear" w:color="auto" w:fill="auto"/>
            <w:vAlign w:val="center"/>
          </w:tcPr>
          <w:p w14:paraId="0EF60DA1"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71FF16A8" w14:textId="77777777" w:rsidTr="007932B9">
        <w:tc>
          <w:tcPr>
            <w:tcW w:w="588" w:type="dxa"/>
            <w:tcBorders>
              <w:top w:val="single" w:sz="4" w:space="0" w:color="auto"/>
              <w:left w:val="single" w:sz="18" w:space="0" w:color="auto"/>
              <w:bottom w:val="single" w:sz="18" w:space="0" w:color="auto"/>
              <w:right w:val="single" w:sz="4" w:space="0" w:color="auto"/>
            </w:tcBorders>
            <w:shd w:val="clear" w:color="auto" w:fill="auto"/>
          </w:tcPr>
          <w:p w14:paraId="080CB8A6" w14:textId="77777777" w:rsidR="00EC13B7" w:rsidRPr="00026143" w:rsidRDefault="00EC13B7" w:rsidP="007932B9">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w:t>
            </w:r>
          </w:p>
        </w:tc>
        <w:tc>
          <w:tcPr>
            <w:tcW w:w="2701" w:type="dxa"/>
            <w:tcBorders>
              <w:top w:val="single" w:sz="4" w:space="0" w:color="auto"/>
              <w:left w:val="single" w:sz="4" w:space="0" w:color="auto"/>
              <w:bottom w:val="single" w:sz="18" w:space="0" w:color="auto"/>
              <w:right w:val="single" w:sz="4" w:space="0" w:color="auto"/>
            </w:tcBorders>
            <w:shd w:val="clear" w:color="auto" w:fill="auto"/>
          </w:tcPr>
          <w:p w14:paraId="6B146BEE" w14:textId="77777777" w:rsidR="00EC13B7" w:rsidRPr="00026143" w:rsidRDefault="00EC13B7" w:rsidP="00084C47">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關務人員人事條例部分條文修正草案(修正重點：鑑於「關務人員升等考試規則」之名稱修正為「關務人員升官等考試規則」，暨配合財政部組織調整改制及「公務人員退休資遣撫卹法」之</w:t>
            </w:r>
            <w:r w:rsidRPr="00026143">
              <w:rPr>
                <w:rFonts w:ascii="標楷體" w:eastAsia="標楷體" w:hAnsi="標楷體" w:hint="eastAsia"/>
                <w:color w:val="000000" w:themeColor="text1"/>
              </w:rPr>
              <w:t>制</w:t>
            </w:r>
            <w:r w:rsidRPr="00026143">
              <w:rPr>
                <w:rFonts w:ascii="標楷體" w:eastAsia="標楷體" w:hAnsi="標楷體"/>
                <w:color w:val="000000" w:themeColor="text1"/>
              </w:rPr>
              <w:t>定，爰配合修正。)</w:t>
            </w:r>
          </w:p>
        </w:tc>
        <w:tc>
          <w:tcPr>
            <w:tcW w:w="1984" w:type="dxa"/>
            <w:tcBorders>
              <w:top w:val="single" w:sz="4" w:space="0" w:color="auto"/>
              <w:left w:val="single" w:sz="4" w:space="0" w:color="auto"/>
              <w:bottom w:val="single" w:sz="18" w:space="0" w:color="auto"/>
              <w:right w:val="single" w:sz="4" w:space="0" w:color="auto"/>
            </w:tcBorders>
            <w:shd w:val="clear" w:color="auto" w:fill="auto"/>
          </w:tcPr>
          <w:p w14:paraId="097D6913"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委員張宏陸</w:t>
            </w:r>
          </w:p>
          <w:p w14:paraId="2B34A8B0"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等19人</w:t>
            </w:r>
          </w:p>
          <w:p w14:paraId="1E3836EA"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110.11.19</w:t>
            </w:r>
          </w:p>
          <w:p w14:paraId="6D9F73B7"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（10-4-10）</w:t>
            </w:r>
          </w:p>
        </w:tc>
        <w:tc>
          <w:tcPr>
            <w:tcW w:w="1684" w:type="dxa"/>
            <w:tcBorders>
              <w:top w:val="single" w:sz="4" w:space="0" w:color="auto"/>
              <w:left w:val="single" w:sz="4" w:space="0" w:color="auto"/>
              <w:bottom w:val="single" w:sz="18" w:space="0" w:color="auto"/>
              <w:right w:val="single" w:sz="4" w:space="0" w:color="auto"/>
            </w:tcBorders>
            <w:shd w:val="clear" w:color="auto" w:fill="auto"/>
          </w:tcPr>
          <w:p w14:paraId="192722FA"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806" w:type="dxa"/>
            <w:tcBorders>
              <w:top w:val="single" w:sz="4" w:space="0" w:color="auto"/>
              <w:left w:val="single" w:sz="4" w:space="0" w:color="auto"/>
              <w:bottom w:val="single" w:sz="18" w:space="0" w:color="auto"/>
              <w:right w:val="single" w:sz="18" w:space="0" w:color="auto"/>
            </w:tcBorders>
            <w:shd w:val="clear" w:color="auto" w:fill="auto"/>
          </w:tcPr>
          <w:p w14:paraId="0D758F17"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621518CD" w14:textId="77777777" w:rsidR="00EC13B7" w:rsidRPr="00026143" w:rsidRDefault="00EC13B7" w:rsidP="007932B9">
      <w:pPr>
        <w:pStyle w:val="1-5"/>
        <w:kinsoku w:val="0"/>
        <w:wordWrap w:val="0"/>
        <w:topLinePunct/>
        <w:spacing w:beforeLines="100" w:before="360" w:afterLines="100" w:after="360" w:line="260" w:lineRule="exact"/>
        <w:ind w:left="1418" w:firstLineChars="101" w:firstLine="283"/>
        <w:jc w:val="left"/>
        <w:textAlignment w:val="top"/>
        <w:rPr>
          <w:color w:val="000000" w:themeColor="text1"/>
        </w:rPr>
      </w:pPr>
      <w:r w:rsidRPr="00026143">
        <w:rPr>
          <w:color w:val="000000" w:themeColor="text1"/>
        </w:rPr>
        <w:t>5.本會、教育及文化委員會聯席審查</w:t>
      </w:r>
      <w:bookmarkEnd w:id="413"/>
      <w:bookmarkEnd w:id="414"/>
      <w:bookmarkEnd w:id="415"/>
      <w:bookmarkEnd w:id="416"/>
      <w:bookmarkEnd w:id="417"/>
      <w:r w:rsidRPr="00026143">
        <w:rPr>
          <w:rFonts w:hint="eastAsia"/>
          <w:color w:val="000000" w:themeColor="text1"/>
        </w:rPr>
        <w:t>37</w:t>
      </w:r>
      <w:r w:rsidRPr="00026143">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58"/>
        <w:gridCol w:w="1927"/>
        <w:gridCol w:w="1684"/>
        <w:gridCol w:w="1806"/>
      </w:tblGrid>
      <w:tr w:rsidR="00EC13B7" w:rsidRPr="00026143" w14:paraId="34DC0FB0" w14:textId="77777777" w:rsidTr="00EC13B7">
        <w:tc>
          <w:tcPr>
            <w:tcW w:w="588" w:type="dxa"/>
            <w:shd w:val="clear" w:color="auto" w:fill="auto"/>
          </w:tcPr>
          <w:p w14:paraId="5E654E5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58" w:type="dxa"/>
            <w:shd w:val="clear" w:color="auto" w:fill="auto"/>
          </w:tcPr>
          <w:p w14:paraId="6F7BE9C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27" w:type="dxa"/>
            <w:shd w:val="clear" w:color="auto" w:fill="auto"/>
          </w:tcPr>
          <w:p w14:paraId="7FC34BC7"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023F1A3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49DC77E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84" w:type="dxa"/>
            <w:shd w:val="clear" w:color="auto" w:fill="auto"/>
          </w:tcPr>
          <w:p w14:paraId="29EFE7C8"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06" w:type="dxa"/>
            <w:shd w:val="clear" w:color="auto" w:fill="auto"/>
          </w:tcPr>
          <w:p w14:paraId="739BA37E"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23C24C0D" w14:textId="77777777" w:rsidTr="00EC13B7">
        <w:tc>
          <w:tcPr>
            <w:tcW w:w="588" w:type="dxa"/>
            <w:shd w:val="clear" w:color="auto" w:fill="auto"/>
          </w:tcPr>
          <w:p w14:paraId="7952909A"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w:t>
            </w:r>
          </w:p>
        </w:tc>
        <w:tc>
          <w:tcPr>
            <w:tcW w:w="2758" w:type="dxa"/>
            <w:shd w:val="clear" w:color="auto" w:fill="auto"/>
          </w:tcPr>
          <w:p w14:paraId="6F825097"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教師待遇條例第九條及第十條條文修正草案（修</w:t>
            </w:r>
            <w:r w:rsidRPr="00026143">
              <w:rPr>
                <w:rFonts w:ascii="標楷體" w:eastAsia="標楷體" w:hAnsi="標楷體" w:hint="eastAsia"/>
                <w:color w:val="000000" w:themeColor="text1"/>
              </w:rPr>
              <w:lastRenderedPageBreak/>
              <w:t>正重點：私立學校教師採計職前年資之規定應排除財務狀況及需求；原中小學教師在職進修改敘規定，受所聘職務等級最高本薪之限制，修正為受所聘職務等級最高年功薪之限制。）</w:t>
            </w:r>
          </w:p>
        </w:tc>
        <w:tc>
          <w:tcPr>
            <w:tcW w:w="1927" w:type="dxa"/>
            <w:shd w:val="clear" w:color="auto" w:fill="auto"/>
          </w:tcPr>
          <w:p w14:paraId="755A996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委員林宜瑾</w:t>
            </w:r>
          </w:p>
          <w:p w14:paraId="2FBB071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等24人</w:t>
            </w:r>
          </w:p>
          <w:p w14:paraId="350ACF2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109.12.18 </w:t>
            </w:r>
          </w:p>
          <w:p w14:paraId="7AB9B29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（10-2-8）</w:t>
            </w:r>
          </w:p>
        </w:tc>
        <w:tc>
          <w:tcPr>
            <w:tcW w:w="1684" w:type="dxa"/>
            <w:shd w:val="clear" w:color="auto" w:fill="auto"/>
          </w:tcPr>
          <w:p w14:paraId="4104C66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司法及法制、教育及文化</w:t>
            </w:r>
          </w:p>
        </w:tc>
        <w:tc>
          <w:tcPr>
            <w:tcW w:w="1806" w:type="dxa"/>
            <w:shd w:val="clear" w:color="auto" w:fill="auto"/>
          </w:tcPr>
          <w:p w14:paraId="6F3D751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8FBF745" w14:textId="77777777" w:rsidTr="00EC13B7">
        <w:tc>
          <w:tcPr>
            <w:tcW w:w="588" w:type="dxa"/>
            <w:shd w:val="clear" w:color="auto" w:fill="auto"/>
          </w:tcPr>
          <w:p w14:paraId="6FEC4DE2"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2</w:t>
            </w:r>
          </w:p>
        </w:tc>
        <w:tc>
          <w:tcPr>
            <w:tcW w:w="2758" w:type="dxa"/>
            <w:shd w:val="clear" w:color="auto" w:fill="auto"/>
          </w:tcPr>
          <w:p w14:paraId="5774DC06"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1.教師待遇條例第十七條條文修正草案（修正重點：私立學校教師之學術研究加給應比照§15規定，與公立學校一致。）</w:t>
            </w:r>
          </w:p>
        </w:tc>
        <w:tc>
          <w:tcPr>
            <w:tcW w:w="1927" w:type="dxa"/>
            <w:shd w:val="clear" w:color="auto" w:fill="auto"/>
          </w:tcPr>
          <w:p w14:paraId="3929B50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委員呂玉玲</w:t>
            </w:r>
          </w:p>
          <w:p w14:paraId="1011FDF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1D48F0A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110.05.14 </w:t>
            </w:r>
          </w:p>
          <w:p w14:paraId="1246180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（10-3-12）</w:t>
            </w:r>
          </w:p>
        </w:tc>
        <w:tc>
          <w:tcPr>
            <w:tcW w:w="1684" w:type="dxa"/>
            <w:shd w:val="clear" w:color="auto" w:fill="auto"/>
          </w:tcPr>
          <w:p w14:paraId="2614B61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03993E6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BF43DC6" w14:textId="77777777" w:rsidTr="00EC13B7">
        <w:tc>
          <w:tcPr>
            <w:tcW w:w="588" w:type="dxa"/>
            <w:shd w:val="clear" w:color="auto" w:fill="auto"/>
          </w:tcPr>
          <w:p w14:paraId="6549E396"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w:t>
            </w:r>
          </w:p>
        </w:tc>
        <w:tc>
          <w:tcPr>
            <w:tcW w:w="2758" w:type="dxa"/>
            <w:shd w:val="clear" w:color="auto" w:fill="auto"/>
          </w:tcPr>
          <w:p w14:paraId="5EACE34F"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教師待遇條例第十七條及第二十三條條文修正草案(修正重點：學術研究費係教育部基於尊師重道精神、教師身負教育重任及教學工作繁重，所給與之工作津貼。惟部分私校竟因招生不佳或健全財務為由，刪減教師學術研究費，爰提案修正，另將罰鍰金額提高。)</w:t>
            </w:r>
          </w:p>
        </w:tc>
        <w:tc>
          <w:tcPr>
            <w:tcW w:w="1927" w:type="dxa"/>
            <w:shd w:val="clear" w:color="auto" w:fill="auto"/>
          </w:tcPr>
          <w:p w14:paraId="2999242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委員鄭麗文</w:t>
            </w:r>
          </w:p>
          <w:p w14:paraId="730D509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60DADD2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111.03.11 </w:t>
            </w:r>
          </w:p>
          <w:p w14:paraId="4762B82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（10-5-3）</w:t>
            </w:r>
          </w:p>
        </w:tc>
        <w:tc>
          <w:tcPr>
            <w:tcW w:w="1684" w:type="dxa"/>
            <w:shd w:val="clear" w:color="auto" w:fill="auto"/>
          </w:tcPr>
          <w:p w14:paraId="314040C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090124F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74BF568" w14:textId="77777777" w:rsidTr="00EC13B7">
        <w:tc>
          <w:tcPr>
            <w:tcW w:w="588" w:type="dxa"/>
            <w:shd w:val="clear" w:color="auto" w:fill="auto"/>
          </w:tcPr>
          <w:p w14:paraId="33F29C30"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4</w:t>
            </w:r>
          </w:p>
        </w:tc>
        <w:tc>
          <w:tcPr>
            <w:tcW w:w="2758" w:type="dxa"/>
            <w:shd w:val="clear" w:color="auto" w:fill="auto"/>
          </w:tcPr>
          <w:p w14:paraId="7D5EAD4F"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教師待遇條例增訂第二條之一條文草案（增訂重點：法制化教師人員薪資調整制度。）</w:t>
            </w:r>
          </w:p>
        </w:tc>
        <w:tc>
          <w:tcPr>
            <w:tcW w:w="1927" w:type="dxa"/>
            <w:shd w:val="clear" w:color="auto" w:fill="auto"/>
          </w:tcPr>
          <w:p w14:paraId="342BA1A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委員江永昌</w:t>
            </w:r>
          </w:p>
          <w:p w14:paraId="08E5DB3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等19人 </w:t>
            </w:r>
          </w:p>
          <w:p w14:paraId="75187CE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110.05.21 </w:t>
            </w:r>
          </w:p>
          <w:p w14:paraId="477C067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（10-3-13）</w:t>
            </w:r>
          </w:p>
        </w:tc>
        <w:tc>
          <w:tcPr>
            <w:tcW w:w="1684" w:type="dxa"/>
            <w:shd w:val="clear" w:color="auto" w:fill="auto"/>
          </w:tcPr>
          <w:p w14:paraId="7C11537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3FBB80E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3BC0E65" w14:textId="77777777" w:rsidTr="00EC13B7">
        <w:tc>
          <w:tcPr>
            <w:tcW w:w="588" w:type="dxa"/>
            <w:shd w:val="clear" w:color="auto" w:fill="auto"/>
          </w:tcPr>
          <w:p w14:paraId="58125D10"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5</w:t>
            </w:r>
          </w:p>
        </w:tc>
        <w:tc>
          <w:tcPr>
            <w:tcW w:w="2758" w:type="dxa"/>
            <w:shd w:val="clear" w:color="auto" w:fill="auto"/>
          </w:tcPr>
          <w:p w14:paraId="53891730"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1.教師待遇條例第二十條條文修正草案(修正重點：明定政府審議教師待遇、薪資、福利之相關會議應邀請同級教師團體出席。)</w:t>
            </w:r>
          </w:p>
        </w:tc>
        <w:tc>
          <w:tcPr>
            <w:tcW w:w="1927" w:type="dxa"/>
            <w:shd w:val="clear" w:color="auto" w:fill="auto"/>
          </w:tcPr>
          <w:p w14:paraId="4D4B674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民眾黨黨團 </w:t>
            </w:r>
          </w:p>
          <w:p w14:paraId="60C4E1C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110.10.22 </w:t>
            </w:r>
          </w:p>
          <w:p w14:paraId="7C16A63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（10-4-6）</w:t>
            </w:r>
          </w:p>
        </w:tc>
        <w:tc>
          <w:tcPr>
            <w:tcW w:w="1684" w:type="dxa"/>
            <w:shd w:val="clear" w:color="auto" w:fill="auto"/>
          </w:tcPr>
          <w:p w14:paraId="0BF2C5A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7B944F8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0A49943" w14:textId="77777777" w:rsidTr="00EC13B7">
        <w:tc>
          <w:tcPr>
            <w:tcW w:w="588" w:type="dxa"/>
            <w:shd w:val="clear" w:color="auto" w:fill="auto"/>
          </w:tcPr>
          <w:p w14:paraId="6080E113"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6</w:t>
            </w:r>
          </w:p>
        </w:tc>
        <w:tc>
          <w:tcPr>
            <w:tcW w:w="2758" w:type="dxa"/>
            <w:shd w:val="clear" w:color="auto" w:fill="auto"/>
          </w:tcPr>
          <w:p w14:paraId="4B47926F"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2.教師待遇條例第二十條條文修正草案(修正重點：明定政府審議教師待遇、薪資、福利之相關會議應邀請同級教師團體出席。)</w:t>
            </w:r>
          </w:p>
        </w:tc>
        <w:tc>
          <w:tcPr>
            <w:tcW w:w="1927" w:type="dxa"/>
            <w:shd w:val="clear" w:color="auto" w:fill="auto"/>
          </w:tcPr>
          <w:p w14:paraId="13C981D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委員賴香伶</w:t>
            </w:r>
          </w:p>
          <w:p w14:paraId="3486126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167DE83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110.11.26 </w:t>
            </w:r>
          </w:p>
          <w:p w14:paraId="77417EA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（10-4-11）</w:t>
            </w:r>
          </w:p>
        </w:tc>
        <w:tc>
          <w:tcPr>
            <w:tcW w:w="1684" w:type="dxa"/>
            <w:shd w:val="clear" w:color="auto" w:fill="auto"/>
          </w:tcPr>
          <w:p w14:paraId="26A4F19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20D4D96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80F6AEC" w14:textId="77777777" w:rsidTr="00EC13B7">
        <w:tc>
          <w:tcPr>
            <w:tcW w:w="588" w:type="dxa"/>
            <w:shd w:val="clear" w:color="auto" w:fill="auto"/>
          </w:tcPr>
          <w:p w14:paraId="65986133"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2758" w:type="dxa"/>
            <w:shd w:val="clear" w:color="auto" w:fill="auto"/>
          </w:tcPr>
          <w:p w14:paraId="21D5D4C5"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3.教師待遇條例第二十條條文修正草案(修正重點：明定審議軍公教待遇薪資福利之相關會議，應邀請同級教師組織、教師</w:t>
            </w:r>
            <w:r w:rsidRPr="00026143">
              <w:rPr>
                <w:rFonts w:ascii="標楷體" w:eastAsia="標楷體" w:hAnsi="標楷體"/>
                <w:color w:val="000000" w:themeColor="text1"/>
              </w:rPr>
              <w:lastRenderedPageBreak/>
              <w:t>團體出席。)</w:t>
            </w:r>
          </w:p>
        </w:tc>
        <w:tc>
          <w:tcPr>
            <w:tcW w:w="1927" w:type="dxa"/>
            <w:shd w:val="clear" w:color="auto" w:fill="auto"/>
          </w:tcPr>
          <w:p w14:paraId="23504AF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委員林奕華</w:t>
            </w:r>
          </w:p>
          <w:p w14:paraId="5A59489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等16人</w:t>
            </w:r>
          </w:p>
          <w:p w14:paraId="2E43892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6FF24A8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（10-6-8）</w:t>
            </w:r>
          </w:p>
        </w:tc>
        <w:tc>
          <w:tcPr>
            <w:tcW w:w="1684" w:type="dxa"/>
            <w:shd w:val="clear" w:color="auto" w:fill="auto"/>
          </w:tcPr>
          <w:p w14:paraId="3D220C5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5E3F28D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16B66CA" w14:textId="77777777" w:rsidTr="00EC13B7">
        <w:tc>
          <w:tcPr>
            <w:tcW w:w="588" w:type="dxa"/>
            <w:shd w:val="clear" w:color="auto" w:fill="auto"/>
          </w:tcPr>
          <w:p w14:paraId="4285A1E5"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8</w:t>
            </w:r>
          </w:p>
        </w:tc>
        <w:tc>
          <w:tcPr>
            <w:tcW w:w="2758" w:type="dxa"/>
            <w:shd w:val="clear" w:color="auto" w:fill="auto"/>
          </w:tcPr>
          <w:p w14:paraId="1BA0B6F2"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1.教育人員任用條例部分條文修正草案(</w:t>
            </w:r>
            <w:r w:rsidRPr="00026143">
              <w:rPr>
                <w:rFonts w:ascii="標楷體" w:eastAsia="標楷體" w:hAnsi="標楷體" w:hint="eastAsia"/>
                <w:color w:val="000000" w:themeColor="text1"/>
              </w:rPr>
              <w:t>修正§31；增訂§31-1~3</w:t>
            </w:r>
            <w:r w:rsidRPr="00026143">
              <w:rPr>
                <w:rFonts w:ascii="標楷體" w:eastAsia="標楷體" w:hAnsi="標楷體"/>
                <w:color w:val="000000" w:themeColor="text1"/>
              </w:rPr>
              <w:t>。修正重點：教育人員應予解聘或免職，且終身不得任用之要件；教育人員應予解聘或免職，且應議決一年至四年不得任用之要件；教育人員之消極任用資格規定。)</w:t>
            </w:r>
          </w:p>
        </w:tc>
        <w:tc>
          <w:tcPr>
            <w:tcW w:w="1927" w:type="dxa"/>
            <w:shd w:val="clear" w:color="auto" w:fill="auto"/>
          </w:tcPr>
          <w:p w14:paraId="7F9712D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行政院、考試院111.11.04 </w:t>
            </w:r>
          </w:p>
          <w:p w14:paraId="61BAB36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（10-6-6）</w:t>
            </w:r>
          </w:p>
        </w:tc>
        <w:tc>
          <w:tcPr>
            <w:tcW w:w="1684" w:type="dxa"/>
            <w:shd w:val="clear" w:color="auto" w:fill="auto"/>
          </w:tcPr>
          <w:p w14:paraId="52811C1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3E201FA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9D1E13" w14:textId="77777777" w:rsidTr="00EC13B7">
        <w:tc>
          <w:tcPr>
            <w:tcW w:w="588" w:type="dxa"/>
            <w:shd w:val="clear" w:color="auto" w:fill="auto"/>
          </w:tcPr>
          <w:p w14:paraId="40534FC4"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9</w:t>
            </w:r>
          </w:p>
        </w:tc>
        <w:tc>
          <w:tcPr>
            <w:tcW w:w="2758" w:type="dxa"/>
            <w:shd w:val="clear" w:color="auto" w:fill="auto"/>
          </w:tcPr>
          <w:p w14:paraId="5727D9C2"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2.教育人員任用條例第三十一條條文修正草案(修正重點：教育人員的不適任資格，增列有性侵害、性騷擾或性霸凌行為之事件，並經有罪判決確定者，予以解聘或免職。)</w:t>
            </w:r>
          </w:p>
        </w:tc>
        <w:tc>
          <w:tcPr>
            <w:tcW w:w="1927" w:type="dxa"/>
            <w:shd w:val="clear" w:color="auto" w:fill="auto"/>
          </w:tcPr>
          <w:p w14:paraId="2ED9D33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委員羅致政</w:t>
            </w:r>
          </w:p>
          <w:p w14:paraId="7589133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等16人 </w:t>
            </w:r>
          </w:p>
          <w:p w14:paraId="26B1FE5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110.10.29 </w:t>
            </w:r>
          </w:p>
          <w:p w14:paraId="15772AA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（10-4-7）</w:t>
            </w:r>
          </w:p>
        </w:tc>
        <w:tc>
          <w:tcPr>
            <w:tcW w:w="1684" w:type="dxa"/>
            <w:shd w:val="clear" w:color="auto" w:fill="auto"/>
          </w:tcPr>
          <w:p w14:paraId="17ABCA0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3471DFA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FFFF272" w14:textId="77777777" w:rsidTr="00EC13B7">
        <w:tc>
          <w:tcPr>
            <w:tcW w:w="588" w:type="dxa"/>
            <w:shd w:val="clear" w:color="auto" w:fill="auto"/>
          </w:tcPr>
          <w:p w14:paraId="199778AD"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10</w:t>
            </w:r>
          </w:p>
        </w:tc>
        <w:tc>
          <w:tcPr>
            <w:tcW w:w="2758" w:type="dxa"/>
            <w:shd w:val="clear" w:color="auto" w:fill="auto"/>
          </w:tcPr>
          <w:p w14:paraId="62FD3A0C"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3.教育人員任用條例部分條文修正草案(修正§31；增訂§31-1~3。修正重點：為避免本條例涉及教師之任用限制等相關規定與教師法有所扞格，並檢討本條例所定教育人員之解聘、免職及消極資格等相關規定，爰提案修正。)</w:t>
            </w:r>
          </w:p>
        </w:tc>
        <w:tc>
          <w:tcPr>
            <w:tcW w:w="1927" w:type="dxa"/>
            <w:shd w:val="clear" w:color="auto" w:fill="auto"/>
          </w:tcPr>
          <w:p w14:paraId="27A8B6D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委員何志偉</w:t>
            </w:r>
          </w:p>
          <w:p w14:paraId="0E7B908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等22人 </w:t>
            </w:r>
          </w:p>
          <w:p w14:paraId="356461E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111.05.20 </w:t>
            </w:r>
          </w:p>
          <w:p w14:paraId="670C08F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（10-5-13）</w:t>
            </w:r>
          </w:p>
        </w:tc>
        <w:tc>
          <w:tcPr>
            <w:tcW w:w="1684" w:type="dxa"/>
            <w:shd w:val="clear" w:color="auto" w:fill="auto"/>
          </w:tcPr>
          <w:p w14:paraId="53C010B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0A4D3BE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6DBCB91" w14:textId="77777777" w:rsidTr="00EC13B7">
        <w:tc>
          <w:tcPr>
            <w:tcW w:w="588" w:type="dxa"/>
            <w:shd w:val="clear" w:color="auto" w:fill="auto"/>
          </w:tcPr>
          <w:p w14:paraId="2904DDFA"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758" w:type="dxa"/>
            <w:shd w:val="clear" w:color="auto" w:fill="auto"/>
          </w:tcPr>
          <w:p w14:paraId="3AC47C23"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4.教育人員任用條例部分條文修正草案（修正§31；增訂§31-1~3。修正重點：修正教育人員之解聘、免職、消極資格及不適任人員處理程序之規範，並納入相關機關應定期查詢教育人員有無不適任情事之規定。）</w:t>
            </w:r>
          </w:p>
        </w:tc>
        <w:tc>
          <w:tcPr>
            <w:tcW w:w="1927" w:type="dxa"/>
            <w:shd w:val="clear" w:color="auto" w:fill="auto"/>
          </w:tcPr>
          <w:p w14:paraId="1EDB2D0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委員黃國書</w:t>
            </w:r>
          </w:p>
          <w:p w14:paraId="595AFEA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12E7D40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62BD494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684" w:type="dxa"/>
            <w:shd w:val="clear" w:color="auto" w:fill="auto"/>
          </w:tcPr>
          <w:p w14:paraId="12B1595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38BC9CE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F6BDF9D" w14:textId="77777777" w:rsidTr="00EC13B7">
        <w:tc>
          <w:tcPr>
            <w:tcW w:w="588" w:type="dxa"/>
            <w:shd w:val="clear" w:color="auto" w:fill="auto"/>
          </w:tcPr>
          <w:p w14:paraId="291D535E"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12</w:t>
            </w:r>
          </w:p>
        </w:tc>
        <w:tc>
          <w:tcPr>
            <w:tcW w:w="2758" w:type="dxa"/>
            <w:shd w:val="clear" w:color="auto" w:fill="auto"/>
          </w:tcPr>
          <w:p w14:paraId="651400E2"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5.教育人員任用條例部分條文修正草案（修正§31；增訂§31-1~3。修正重點：為符合身心障礙者權利公約，消除對於身心障礙者之歧視性對待，並為避免涉及有關教師之任用限制等相關規定與教師法有所扞格，以及檢</w:t>
            </w:r>
            <w:r w:rsidRPr="00026143">
              <w:rPr>
                <w:rFonts w:ascii="標楷體" w:eastAsia="標楷體" w:hAnsi="標楷體" w:hint="eastAsia"/>
                <w:color w:val="000000" w:themeColor="text1"/>
              </w:rPr>
              <w:lastRenderedPageBreak/>
              <w:t>討有關教育人員之解聘、免職及消極資格等相關規定，並配合一百零九年六月三十日修正施行之教師法修正相關規定。）</w:t>
            </w:r>
          </w:p>
        </w:tc>
        <w:tc>
          <w:tcPr>
            <w:tcW w:w="1927" w:type="dxa"/>
            <w:shd w:val="clear" w:color="auto" w:fill="auto"/>
          </w:tcPr>
          <w:p w14:paraId="4B72BFB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委員伍麗華</w:t>
            </w:r>
          </w:p>
          <w:p w14:paraId="0C325CC7" w14:textId="77777777" w:rsidR="00EC13B7" w:rsidRPr="00026143" w:rsidRDefault="00EC13B7" w:rsidP="003F057E">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031DEAB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等</w:t>
            </w:r>
            <w:r w:rsidRPr="00026143">
              <w:rPr>
                <w:rFonts w:ascii="標楷體" w:eastAsia="標楷體" w:hAnsi="標楷體" w:hint="eastAsia"/>
                <w:color w:val="000000" w:themeColor="text1"/>
              </w:rPr>
              <w:t xml:space="preserve">21人 </w:t>
            </w:r>
          </w:p>
          <w:p w14:paraId="2DC2B06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111.09.30 </w:t>
            </w:r>
          </w:p>
          <w:p w14:paraId="20F5EFD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（10-6-2）</w:t>
            </w:r>
          </w:p>
        </w:tc>
        <w:tc>
          <w:tcPr>
            <w:tcW w:w="1684" w:type="dxa"/>
            <w:shd w:val="clear" w:color="auto" w:fill="auto"/>
          </w:tcPr>
          <w:p w14:paraId="15FE806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5F90572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EB2201F" w14:textId="77777777" w:rsidTr="00EC13B7">
        <w:tc>
          <w:tcPr>
            <w:tcW w:w="588" w:type="dxa"/>
            <w:shd w:val="clear" w:color="auto" w:fill="auto"/>
          </w:tcPr>
          <w:p w14:paraId="286E5437"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13</w:t>
            </w:r>
          </w:p>
        </w:tc>
        <w:tc>
          <w:tcPr>
            <w:tcW w:w="2758" w:type="dxa"/>
            <w:shd w:val="clear" w:color="auto" w:fill="auto"/>
          </w:tcPr>
          <w:p w14:paraId="2BA19514"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6.教育人員任用條例增訂第三十一條之一條文草案（修正重點：教育人員涉及刑事責任，需司法機關協助將涉案人員罪責類型、程度及結果介接該平台系統，以利地方教育主管機關及學校辦理人員聘用前，得以查詢有無違反不得聘任之情形。）</w:t>
            </w:r>
          </w:p>
        </w:tc>
        <w:tc>
          <w:tcPr>
            <w:tcW w:w="1927" w:type="dxa"/>
            <w:shd w:val="clear" w:color="auto" w:fill="auto"/>
          </w:tcPr>
          <w:p w14:paraId="70E0E49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委員林思銘</w:t>
            </w:r>
          </w:p>
          <w:p w14:paraId="7EAEB49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等18人 </w:t>
            </w:r>
          </w:p>
          <w:p w14:paraId="0F53248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03AD2BE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684" w:type="dxa"/>
            <w:shd w:val="clear" w:color="auto" w:fill="auto"/>
          </w:tcPr>
          <w:p w14:paraId="2579329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35970BF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AE6954F" w14:textId="77777777" w:rsidTr="00EC13B7">
        <w:tc>
          <w:tcPr>
            <w:tcW w:w="588" w:type="dxa"/>
            <w:shd w:val="clear" w:color="auto" w:fill="auto"/>
          </w:tcPr>
          <w:p w14:paraId="128743F8"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14</w:t>
            </w:r>
          </w:p>
        </w:tc>
        <w:tc>
          <w:tcPr>
            <w:tcW w:w="2758" w:type="dxa"/>
            <w:shd w:val="clear" w:color="auto" w:fill="auto"/>
          </w:tcPr>
          <w:p w14:paraId="6A473A90"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7.教育人員任用條例部分條文修正草案（修正§31；增訂§31-1~3。修正重點：配合《教師法》修正教育人員相關資格，針對教師違失之不適任情況，分別明定不同規範。）</w:t>
            </w:r>
          </w:p>
        </w:tc>
        <w:tc>
          <w:tcPr>
            <w:tcW w:w="1927" w:type="dxa"/>
            <w:shd w:val="clear" w:color="auto" w:fill="auto"/>
          </w:tcPr>
          <w:p w14:paraId="499E8C5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委員林宜瑾</w:t>
            </w:r>
          </w:p>
          <w:p w14:paraId="627BB4C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等21人 </w:t>
            </w:r>
          </w:p>
          <w:p w14:paraId="3ED262A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111.10.07 </w:t>
            </w:r>
          </w:p>
          <w:p w14:paraId="2820456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（10-6-3）</w:t>
            </w:r>
          </w:p>
        </w:tc>
        <w:tc>
          <w:tcPr>
            <w:tcW w:w="1684" w:type="dxa"/>
            <w:shd w:val="clear" w:color="auto" w:fill="auto"/>
          </w:tcPr>
          <w:p w14:paraId="7913C0A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05D3D6D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ADFE452" w14:textId="77777777" w:rsidTr="00EC13B7">
        <w:tc>
          <w:tcPr>
            <w:tcW w:w="588" w:type="dxa"/>
            <w:shd w:val="clear" w:color="auto" w:fill="auto"/>
          </w:tcPr>
          <w:p w14:paraId="6AFAB3F0"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15</w:t>
            </w:r>
          </w:p>
        </w:tc>
        <w:tc>
          <w:tcPr>
            <w:tcW w:w="2758" w:type="dxa"/>
            <w:shd w:val="clear" w:color="auto" w:fill="auto"/>
          </w:tcPr>
          <w:p w14:paraId="2ED5FFE4"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8.教育人員任用條例部分條文修正草案（修正§31；增訂§31-1~3。修正重點：為配合教師法修正，避免教育人員任用、解聘、免職等相關規定與教師法扞格，依實務需要檢討相關要件。）</w:t>
            </w:r>
          </w:p>
        </w:tc>
        <w:tc>
          <w:tcPr>
            <w:tcW w:w="1927" w:type="dxa"/>
            <w:shd w:val="clear" w:color="auto" w:fill="auto"/>
          </w:tcPr>
          <w:p w14:paraId="62C6917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委員莊競程</w:t>
            </w:r>
          </w:p>
          <w:p w14:paraId="76C8431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等22人 </w:t>
            </w:r>
          </w:p>
          <w:p w14:paraId="7BC2017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111.10.14 </w:t>
            </w:r>
          </w:p>
          <w:p w14:paraId="5CC05DF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684" w:type="dxa"/>
            <w:shd w:val="clear" w:color="auto" w:fill="auto"/>
          </w:tcPr>
          <w:p w14:paraId="5AE2D90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4BACAFC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0734814" w14:textId="77777777" w:rsidTr="00EC13B7">
        <w:tc>
          <w:tcPr>
            <w:tcW w:w="588" w:type="dxa"/>
            <w:shd w:val="clear" w:color="auto" w:fill="auto"/>
          </w:tcPr>
          <w:p w14:paraId="3A46E9C4"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16</w:t>
            </w:r>
          </w:p>
        </w:tc>
        <w:tc>
          <w:tcPr>
            <w:tcW w:w="2758" w:type="dxa"/>
            <w:shd w:val="clear" w:color="auto" w:fill="auto"/>
          </w:tcPr>
          <w:p w14:paraId="4D82E516"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9.教育人員任用條例第三十一條條文修正草案(修正重點：鑑於維護學童就學環境及權益，故需避免涉及性別事件之不適任人員在學校服務，爰提案修正。)</w:t>
            </w:r>
          </w:p>
        </w:tc>
        <w:tc>
          <w:tcPr>
            <w:tcW w:w="1927" w:type="dxa"/>
            <w:shd w:val="clear" w:color="auto" w:fill="auto"/>
          </w:tcPr>
          <w:p w14:paraId="319B518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委員林楚茵</w:t>
            </w:r>
          </w:p>
          <w:p w14:paraId="2E92E43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等17人 </w:t>
            </w:r>
          </w:p>
          <w:p w14:paraId="544A9CE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4D71175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684" w:type="dxa"/>
            <w:shd w:val="clear" w:color="auto" w:fill="auto"/>
          </w:tcPr>
          <w:p w14:paraId="069A2A6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635935D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6520BFB" w14:textId="77777777" w:rsidTr="00EC13B7">
        <w:tc>
          <w:tcPr>
            <w:tcW w:w="588" w:type="dxa"/>
            <w:shd w:val="clear" w:color="auto" w:fill="auto"/>
          </w:tcPr>
          <w:p w14:paraId="11A11257"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17</w:t>
            </w:r>
          </w:p>
        </w:tc>
        <w:tc>
          <w:tcPr>
            <w:tcW w:w="2758" w:type="dxa"/>
            <w:shd w:val="clear" w:color="auto" w:fill="auto"/>
          </w:tcPr>
          <w:p w14:paraId="6B495CCF"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10.教育人員任用條例部分條文修正草案(修正§31、31-1~3。修正重點：修正教育人員若涉性侵、內亂、外患或貪污罪，經法院判決確定，學校得直接予以解聘或免職，無</w:t>
            </w:r>
            <w:r w:rsidRPr="00026143">
              <w:rPr>
                <w:rFonts w:ascii="標楷體" w:eastAsia="標楷體" w:hAnsi="標楷體"/>
                <w:color w:val="000000" w:themeColor="text1"/>
              </w:rPr>
              <w:lastRenderedPageBreak/>
              <w:t>須再報請主管機關核准。)</w:t>
            </w:r>
          </w:p>
        </w:tc>
        <w:tc>
          <w:tcPr>
            <w:tcW w:w="1927" w:type="dxa"/>
            <w:shd w:val="clear" w:color="auto" w:fill="auto"/>
          </w:tcPr>
          <w:p w14:paraId="787A5CC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委員何欣純</w:t>
            </w:r>
          </w:p>
          <w:p w14:paraId="0946D1A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7CE5E1E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1A17A2B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（10-6-6）</w:t>
            </w:r>
          </w:p>
        </w:tc>
        <w:tc>
          <w:tcPr>
            <w:tcW w:w="1684" w:type="dxa"/>
            <w:shd w:val="clear" w:color="auto" w:fill="auto"/>
          </w:tcPr>
          <w:p w14:paraId="17CA645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4A78C60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4F5E148" w14:textId="77777777" w:rsidTr="00EC13B7">
        <w:tc>
          <w:tcPr>
            <w:tcW w:w="588" w:type="dxa"/>
            <w:shd w:val="clear" w:color="auto" w:fill="auto"/>
          </w:tcPr>
          <w:p w14:paraId="64A26550"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18</w:t>
            </w:r>
          </w:p>
        </w:tc>
        <w:tc>
          <w:tcPr>
            <w:tcW w:w="2758" w:type="dxa"/>
            <w:shd w:val="clear" w:color="auto" w:fill="auto"/>
          </w:tcPr>
          <w:p w14:paraId="451592B1"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1</w:t>
            </w:r>
            <w:r w:rsidRPr="00026143">
              <w:rPr>
                <w:rFonts w:ascii="標楷體" w:eastAsia="標楷體" w:hAnsi="標楷體"/>
                <w:color w:val="000000" w:themeColor="text1"/>
              </w:rPr>
              <w:t>.教育人員任用條例第二條及第三十一條條文修正草案(修正重點：修正本條例所稱之教育人員包含私校、中央警察大學、臺灣警察專科學校及軍事學校之人員或具軍警身分之教官；又各級學校校長如有本條例第三十一條所列之消極資格，於調查或司法偵審期間，應先予以暫停校長現職。)</w:t>
            </w:r>
          </w:p>
        </w:tc>
        <w:tc>
          <w:tcPr>
            <w:tcW w:w="1927" w:type="dxa"/>
            <w:shd w:val="clear" w:color="auto" w:fill="auto"/>
          </w:tcPr>
          <w:p w14:paraId="67A967F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委員游毓蘭</w:t>
            </w:r>
          </w:p>
          <w:p w14:paraId="69065C8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3417785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036F586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（10-6-9）</w:t>
            </w:r>
          </w:p>
        </w:tc>
        <w:tc>
          <w:tcPr>
            <w:tcW w:w="1684" w:type="dxa"/>
            <w:shd w:val="clear" w:color="auto" w:fill="auto"/>
          </w:tcPr>
          <w:p w14:paraId="61A00C6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5408140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AE924D8" w14:textId="77777777" w:rsidTr="00EC13B7">
        <w:tc>
          <w:tcPr>
            <w:tcW w:w="588" w:type="dxa"/>
            <w:shd w:val="clear" w:color="auto" w:fill="auto"/>
          </w:tcPr>
          <w:p w14:paraId="77D06796"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19</w:t>
            </w:r>
          </w:p>
        </w:tc>
        <w:tc>
          <w:tcPr>
            <w:tcW w:w="2758" w:type="dxa"/>
            <w:shd w:val="clear" w:color="auto" w:fill="auto"/>
          </w:tcPr>
          <w:p w14:paraId="1122DCEE"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2</w:t>
            </w:r>
            <w:r w:rsidRPr="00026143">
              <w:rPr>
                <w:rFonts w:ascii="標楷體" w:eastAsia="標楷體" w:hAnsi="標楷體"/>
                <w:color w:val="000000" w:themeColor="text1"/>
              </w:rPr>
              <w:t>.教育人員任用條例部分條文修正草案(修正§31；增訂§31-1~4。修正重點：檢討本條例所定教育人員之解聘、免職及消極資格等相關規定，修正教育人員應予解聘或免職，且終身不得任用之要件、程序及法律效果；增列教育人員行為有解聘、免職情形時，於行政調查中暫時停聘、停職及待遇和俸給發給之相關規定。)</w:t>
            </w:r>
          </w:p>
        </w:tc>
        <w:tc>
          <w:tcPr>
            <w:tcW w:w="1927" w:type="dxa"/>
            <w:shd w:val="clear" w:color="auto" w:fill="auto"/>
          </w:tcPr>
          <w:p w14:paraId="01825E9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0174AA2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73B0F42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（10-6-9）</w:t>
            </w:r>
          </w:p>
          <w:p w14:paraId="6692B0C0" w14:textId="77777777" w:rsidR="00EC13B7" w:rsidRPr="00026143" w:rsidRDefault="00EC13B7" w:rsidP="003F057E">
            <w:pPr>
              <w:kinsoku w:val="0"/>
              <w:topLinePunct/>
              <w:spacing w:line="300" w:lineRule="exact"/>
              <w:rPr>
                <w:rFonts w:ascii="標楷體" w:eastAsia="標楷體" w:hAnsi="標楷體"/>
                <w:color w:val="000000" w:themeColor="text1"/>
              </w:rPr>
            </w:pPr>
          </w:p>
        </w:tc>
        <w:tc>
          <w:tcPr>
            <w:tcW w:w="1684" w:type="dxa"/>
            <w:shd w:val="clear" w:color="auto" w:fill="auto"/>
          </w:tcPr>
          <w:p w14:paraId="249392B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4C71201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0D53080" w14:textId="77777777" w:rsidTr="00EC13B7">
        <w:tc>
          <w:tcPr>
            <w:tcW w:w="588" w:type="dxa"/>
            <w:shd w:val="clear" w:color="auto" w:fill="auto"/>
          </w:tcPr>
          <w:p w14:paraId="4D372A11"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20</w:t>
            </w:r>
          </w:p>
        </w:tc>
        <w:tc>
          <w:tcPr>
            <w:tcW w:w="2758" w:type="dxa"/>
            <w:shd w:val="clear" w:color="auto" w:fill="auto"/>
          </w:tcPr>
          <w:p w14:paraId="58559F79"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3</w:t>
            </w:r>
            <w:r w:rsidRPr="00026143">
              <w:rPr>
                <w:rFonts w:ascii="標楷體" w:eastAsia="標楷體" w:hAnsi="標楷體"/>
                <w:color w:val="000000" w:themeColor="text1"/>
              </w:rPr>
              <w:t>.教育人員任用條例部分條文修正草案(修正§31；增訂§31-1~3。。修正重點：教育人員應予解聘或免職，且終身不得任用之要件；教育人員應予解聘或免職，且應議決一年至四年不得任用之要件；教育人員之消極任用資格規定。)</w:t>
            </w:r>
          </w:p>
        </w:tc>
        <w:tc>
          <w:tcPr>
            <w:tcW w:w="1927" w:type="dxa"/>
            <w:shd w:val="clear" w:color="auto" w:fill="auto"/>
          </w:tcPr>
          <w:p w14:paraId="67D3C1D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委員陳秀</w:t>
            </w:r>
            <w:r w:rsidRPr="00026143">
              <w:rPr>
                <w:rFonts w:ascii="標楷體" w:eastAsia="標楷體" w:hAnsi="標楷體" w:hint="eastAsia"/>
                <w:color w:val="000000" w:themeColor="text1"/>
              </w:rPr>
              <w:t>寳</w:t>
            </w:r>
          </w:p>
          <w:p w14:paraId="41C1447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17人 </w:t>
            </w:r>
          </w:p>
          <w:p w14:paraId="2E6CEC9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23BC2DE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（10-6-10）</w:t>
            </w:r>
          </w:p>
        </w:tc>
        <w:tc>
          <w:tcPr>
            <w:tcW w:w="1684" w:type="dxa"/>
            <w:shd w:val="clear" w:color="auto" w:fill="auto"/>
          </w:tcPr>
          <w:p w14:paraId="0539A56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0F8A1F0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80F7A90" w14:textId="77777777" w:rsidTr="00EC13B7">
        <w:tc>
          <w:tcPr>
            <w:tcW w:w="588" w:type="dxa"/>
            <w:shd w:val="clear" w:color="auto" w:fill="auto"/>
          </w:tcPr>
          <w:p w14:paraId="4DB279FD"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21</w:t>
            </w:r>
          </w:p>
        </w:tc>
        <w:tc>
          <w:tcPr>
            <w:tcW w:w="2758" w:type="dxa"/>
            <w:shd w:val="clear" w:color="auto" w:fill="auto"/>
          </w:tcPr>
          <w:p w14:paraId="52FEB06E"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4</w:t>
            </w:r>
            <w:r w:rsidRPr="00026143">
              <w:rPr>
                <w:rFonts w:ascii="標楷體" w:eastAsia="標楷體" w:hAnsi="標楷體"/>
                <w:color w:val="000000" w:themeColor="text1"/>
              </w:rPr>
              <w:t>.教育人員任用條例部分條文修正草案(修正§31；增訂§31-1~8。修正重點：教育人員應予解聘或免職，且終身不得任用之要件；教育人員應予解聘或免職，且應議決一年</w:t>
            </w:r>
            <w:r w:rsidRPr="00026143">
              <w:rPr>
                <w:rFonts w:ascii="標楷體" w:eastAsia="標楷體" w:hAnsi="標楷體"/>
                <w:color w:val="000000" w:themeColor="text1"/>
              </w:rPr>
              <w:lastRenderedPageBreak/>
              <w:t>至四年不得任用之要件；教育人員之消極任用資格規定；教育人員暫時予以停聘或停職之要件及程序。)</w:t>
            </w:r>
          </w:p>
        </w:tc>
        <w:tc>
          <w:tcPr>
            <w:tcW w:w="1927" w:type="dxa"/>
            <w:shd w:val="clear" w:color="auto" w:fill="auto"/>
          </w:tcPr>
          <w:p w14:paraId="5DC0D731" w14:textId="77777777" w:rsidR="00950F46"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委員張廖萬堅</w:t>
            </w:r>
          </w:p>
          <w:p w14:paraId="54F171C2" w14:textId="3BD46203"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4DA610D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76E1017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（10-6-10）</w:t>
            </w:r>
          </w:p>
        </w:tc>
        <w:tc>
          <w:tcPr>
            <w:tcW w:w="1684" w:type="dxa"/>
            <w:shd w:val="clear" w:color="auto" w:fill="auto"/>
          </w:tcPr>
          <w:p w14:paraId="3102FC2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5A8FC1E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FD2DB1" w14:textId="77777777" w:rsidTr="00EC13B7">
        <w:tc>
          <w:tcPr>
            <w:tcW w:w="588" w:type="dxa"/>
            <w:shd w:val="clear" w:color="auto" w:fill="auto"/>
          </w:tcPr>
          <w:p w14:paraId="64DDBB81"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22</w:t>
            </w:r>
          </w:p>
        </w:tc>
        <w:tc>
          <w:tcPr>
            <w:tcW w:w="2758" w:type="dxa"/>
            <w:shd w:val="clear" w:color="auto" w:fill="auto"/>
          </w:tcPr>
          <w:p w14:paraId="296F31DC"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5</w:t>
            </w:r>
            <w:r w:rsidRPr="00026143">
              <w:rPr>
                <w:rFonts w:ascii="標楷體" w:eastAsia="標楷體" w:hAnsi="標楷體"/>
                <w:color w:val="000000" w:themeColor="text1"/>
              </w:rPr>
              <w:t>.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927" w:type="dxa"/>
            <w:shd w:val="clear" w:color="auto" w:fill="auto"/>
          </w:tcPr>
          <w:p w14:paraId="29D8914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委員范雲</w:t>
            </w:r>
          </w:p>
          <w:p w14:paraId="744A07C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5719B6A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108148F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（10-6-10）</w:t>
            </w:r>
          </w:p>
        </w:tc>
        <w:tc>
          <w:tcPr>
            <w:tcW w:w="1684" w:type="dxa"/>
            <w:shd w:val="clear" w:color="auto" w:fill="auto"/>
          </w:tcPr>
          <w:p w14:paraId="4AD9D25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2167824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7826459" w14:textId="77777777" w:rsidTr="00EC13B7">
        <w:tc>
          <w:tcPr>
            <w:tcW w:w="588" w:type="dxa"/>
            <w:shd w:val="clear" w:color="auto" w:fill="auto"/>
          </w:tcPr>
          <w:p w14:paraId="7DCEA19C"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23</w:t>
            </w:r>
          </w:p>
        </w:tc>
        <w:tc>
          <w:tcPr>
            <w:tcW w:w="2758" w:type="dxa"/>
            <w:shd w:val="clear" w:color="auto" w:fill="auto"/>
          </w:tcPr>
          <w:p w14:paraId="7B1AD45B"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6</w:t>
            </w:r>
            <w:r w:rsidRPr="00026143">
              <w:rPr>
                <w:rFonts w:ascii="標楷體" w:eastAsia="標楷體" w:hAnsi="標楷體"/>
                <w:color w:val="000000" w:themeColor="text1"/>
              </w:rPr>
              <w:t>.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927" w:type="dxa"/>
            <w:shd w:val="clear" w:color="auto" w:fill="auto"/>
          </w:tcPr>
          <w:p w14:paraId="4F519C7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委員吳思瑤</w:t>
            </w:r>
          </w:p>
          <w:p w14:paraId="08EC99B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77D1A71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4104249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（10-6-10）</w:t>
            </w:r>
          </w:p>
        </w:tc>
        <w:tc>
          <w:tcPr>
            <w:tcW w:w="1684" w:type="dxa"/>
            <w:shd w:val="clear" w:color="auto" w:fill="auto"/>
          </w:tcPr>
          <w:p w14:paraId="56FCFC8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427116B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3DB431" w14:textId="77777777" w:rsidTr="00EC13B7">
        <w:tc>
          <w:tcPr>
            <w:tcW w:w="588" w:type="dxa"/>
            <w:shd w:val="clear" w:color="auto" w:fill="auto"/>
          </w:tcPr>
          <w:p w14:paraId="30505E55"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4</w:t>
            </w:r>
          </w:p>
        </w:tc>
        <w:tc>
          <w:tcPr>
            <w:tcW w:w="2758" w:type="dxa"/>
            <w:shd w:val="clear" w:color="auto" w:fill="auto"/>
          </w:tcPr>
          <w:p w14:paraId="163FBEF8"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w:t>
            </w:r>
            <w:r w:rsidRPr="00026143">
              <w:rPr>
                <w:rFonts w:ascii="標楷體" w:eastAsia="標楷體" w:hAnsi="標楷體" w:hint="eastAsia"/>
                <w:color w:val="000000" w:themeColor="text1"/>
              </w:rPr>
              <w:t>7</w:t>
            </w:r>
            <w:r w:rsidRPr="00026143">
              <w:rPr>
                <w:rFonts w:ascii="標楷體" w:eastAsia="標楷體" w:hAnsi="標楷體"/>
                <w:color w:val="000000" w:themeColor="text1"/>
              </w:rPr>
              <w:t>.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927" w:type="dxa"/>
            <w:shd w:val="clear" w:color="auto" w:fill="auto"/>
          </w:tcPr>
          <w:p w14:paraId="268DECA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委員林宜瑾</w:t>
            </w:r>
          </w:p>
          <w:p w14:paraId="2DBBFA1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F75114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6924A5F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（10-6-10）</w:t>
            </w:r>
          </w:p>
        </w:tc>
        <w:tc>
          <w:tcPr>
            <w:tcW w:w="1684" w:type="dxa"/>
            <w:shd w:val="clear" w:color="auto" w:fill="auto"/>
          </w:tcPr>
          <w:p w14:paraId="3E00A28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39687AD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19383DE" w14:textId="77777777" w:rsidTr="00EC13B7">
        <w:tc>
          <w:tcPr>
            <w:tcW w:w="588" w:type="dxa"/>
            <w:shd w:val="clear" w:color="auto" w:fill="auto"/>
          </w:tcPr>
          <w:p w14:paraId="7236A213"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5</w:t>
            </w:r>
          </w:p>
        </w:tc>
        <w:tc>
          <w:tcPr>
            <w:tcW w:w="2758" w:type="dxa"/>
            <w:shd w:val="clear" w:color="auto" w:fill="auto"/>
          </w:tcPr>
          <w:p w14:paraId="34F4B0DC"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18.教育人員任用條例部分條文修正草案(修正§31；增訂§31-1~8。修正重點：教育人員應予解聘或免職，且終身不得任用</w:t>
            </w:r>
            <w:r w:rsidRPr="00026143">
              <w:rPr>
                <w:rFonts w:ascii="標楷體" w:eastAsia="標楷體" w:hAnsi="標楷體"/>
                <w:color w:val="000000" w:themeColor="text1"/>
              </w:rPr>
              <w:lastRenderedPageBreak/>
              <w:t>之要件；教育人員應予解聘或免職，且應議決一年至四年不得任用之要件；教育人員之消極任用資格規定；教育人員暫時予以停聘或停職之要件及程序。)</w:t>
            </w:r>
          </w:p>
        </w:tc>
        <w:tc>
          <w:tcPr>
            <w:tcW w:w="1927" w:type="dxa"/>
            <w:shd w:val="clear" w:color="auto" w:fill="auto"/>
          </w:tcPr>
          <w:p w14:paraId="2A31A87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lastRenderedPageBreak/>
              <w:t>委員何欣純</w:t>
            </w:r>
          </w:p>
          <w:p w14:paraId="4E17933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7977D6E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057D77E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（10-6-11）</w:t>
            </w:r>
          </w:p>
        </w:tc>
        <w:tc>
          <w:tcPr>
            <w:tcW w:w="1684" w:type="dxa"/>
            <w:shd w:val="clear" w:color="auto" w:fill="auto"/>
          </w:tcPr>
          <w:p w14:paraId="396C995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1642F3E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981DBBB" w14:textId="77777777" w:rsidTr="00EC13B7">
        <w:tc>
          <w:tcPr>
            <w:tcW w:w="588" w:type="dxa"/>
            <w:shd w:val="clear" w:color="auto" w:fill="auto"/>
          </w:tcPr>
          <w:p w14:paraId="33368FCD"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2</w:t>
            </w:r>
            <w:r w:rsidRPr="00026143">
              <w:rPr>
                <w:rFonts w:ascii="標楷體" w:eastAsia="標楷體" w:hAnsi="標楷體"/>
                <w:color w:val="000000" w:themeColor="text1"/>
              </w:rPr>
              <w:t>6</w:t>
            </w:r>
          </w:p>
        </w:tc>
        <w:tc>
          <w:tcPr>
            <w:tcW w:w="2758" w:type="dxa"/>
            <w:shd w:val="clear" w:color="auto" w:fill="auto"/>
          </w:tcPr>
          <w:p w14:paraId="4F376F22"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19.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927" w:type="dxa"/>
            <w:shd w:val="clear" w:color="auto" w:fill="auto"/>
          </w:tcPr>
          <w:p w14:paraId="1CAF460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委員賴品妤</w:t>
            </w:r>
          </w:p>
          <w:p w14:paraId="0B1DD90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131C9A2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4B524FC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（10-6-13）</w:t>
            </w:r>
          </w:p>
        </w:tc>
        <w:tc>
          <w:tcPr>
            <w:tcW w:w="1684" w:type="dxa"/>
            <w:shd w:val="clear" w:color="auto" w:fill="auto"/>
          </w:tcPr>
          <w:p w14:paraId="2FCBC3C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3721DF5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CF674E" w14:textId="77777777" w:rsidTr="00EC13B7">
        <w:tc>
          <w:tcPr>
            <w:tcW w:w="588" w:type="dxa"/>
            <w:shd w:val="clear" w:color="auto" w:fill="auto"/>
          </w:tcPr>
          <w:p w14:paraId="75D76794"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7</w:t>
            </w:r>
          </w:p>
        </w:tc>
        <w:tc>
          <w:tcPr>
            <w:tcW w:w="2758" w:type="dxa"/>
            <w:shd w:val="clear" w:color="auto" w:fill="auto"/>
          </w:tcPr>
          <w:p w14:paraId="63AD8004"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20.教育人員任用條例部分條文修正草案(修正§31；增訂§31-1~3。修正重點：檢討本條例所定教育人員之解聘、免職及消極資格等相關規定。)</w:t>
            </w:r>
          </w:p>
        </w:tc>
        <w:tc>
          <w:tcPr>
            <w:tcW w:w="1927" w:type="dxa"/>
            <w:shd w:val="clear" w:color="auto" w:fill="auto"/>
          </w:tcPr>
          <w:p w14:paraId="1214FEF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委員伍麗華</w:t>
            </w:r>
          </w:p>
          <w:p w14:paraId="4A86C1BE" w14:textId="77777777" w:rsidR="00EC13B7" w:rsidRPr="00026143" w:rsidRDefault="00EC13B7" w:rsidP="003F057E">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2EC378B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等</w:t>
            </w:r>
            <w:r>
              <w:rPr>
                <w:rFonts w:ascii="標楷體" w:eastAsia="標楷體" w:hAnsi="標楷體"/>
                <w:color w:val="000000" w:themeColor="text1"/>
              </w:rPr>
              <w:t>21</w:t>
            </w:r>
            <w:r w:rsidRPr="00026143">
              <w:rPr>
                <w:rFonts w:ascii="標楷體" w:eastAsia="標楷體" w:hAnsi="標楷體"/>
                <w:color w:val="000000" w:themeColor="text1"/>
              </w:rPr>
              <w:t xml:space="preserve">人 </w:t>
            </w:r>
          </w:p>
          <w:p w14:paraId="1BFA73B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112.01.09 </w:t>
            </w:r>
          </w:p>
          <w:p w14:paraId="7235597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（10-6-15）</w:t>
            </w:r>
          </w:p>
        </w:tc>
        <w:tc>
          <w:tcPr>
            <w:tcW w:w="1684" w:type="dxa"/>
            <w:shd w:val="clear" w:color="auto" w:fill="auto"/>
          </w:tcPr>
          <w:p w14:paraId="03B70AD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2027D2D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FBABA6C" w14:textId="77777777" w:rsidTr="00EC13B7">
        <w:tc>
          <w:tcPr>
            <w:tcW w:w="588" w:type="dxa"/>
            <w:shd w:val="clear" w:color="auto" w:fill="auto"/>
          </w:tcPr>
          <w:p w14:paraId="59BAEAD5"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8</w:t>
            </w:r>
          </w:p>
        </w:tc>
        <w:tc>
          <w:tcPr>
            <w:tcW w:w="2758" w:type="dxa"/>
            <w:shd w:val="clear" w:color="auto" w:fill="auto"/>
          </w:tcPr>
          <w:p w14:paraId="72CFE2DD"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教育人員任用條例第十五條條文修正草案(修正重點：鑑於助教多數皆為一年一聘的定期契約，即使其連年獲聘，有繼續性工作之性質，實質上應為不定期契約，其解聘、不續聘及停聘於現行法未獲充分保障，爰提案修正。)</w:t>
            </w:r>
          </w:p>
        </w:tc>
        <w:tc>
          <w:tcPr>
            <w:tcW w:w="1927" w:type="dxa"/>
            <w:shd w:val="clear" w:color="auto" w:fill="auto"/>
          </w:tcPr>
          <w:p w14:paraId="2C3F314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委員林昶佐</w:t>
            </w:r>
          </w:p>
          <w:p w14:paraId="0F52F19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7C0A5A6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343A547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（10-6-9）</w:t>
            </w:r>
          </w:p>
        </w:tc>
        <w:tc>
          <w:tcPr>
            <w:tcW w:w="1684" w:type="dxa"/>
            <w:shd w:val="clear" w:color="auto" w:fill="auto"/>
          </w:tcPr>
          <w:p w14:paraId="3CC7449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439FACF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E93F32" w14:textId="77777777" w:rsidTr="00EC13B7">
        <w:tc>
          <w:tcPr>
            <w:tcW w:w="588" w:type="dxa"/>
            <w:shd w:val="clear" w:color="auto" w:fill="auto"/>
          </w:tcPr>
          <w:p w14:paraId="198E9A67"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29</w:t>
            </w:r>
          </w:p>
        </w:tc>
        <w:tc>
          <w:tcPr>
            <w:tcW w:w="2758" w:type="dxa"/>
            <w:shd w:val="clear" w:color="auto" w:fill="auto"/>
          </w:tcPr>
          <w:p w14:paraId="0EC61ABE"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教育人員任用條例部分條文修正草案(修正§2、22-1、40、41。修正重點：修正現行條文教育人員之範圍包含專業輔導人員；增訂有關專業輔導人員資格、聘任程序及聘期之規定。)</w:t>
            </w:r>
          </w:p>
        </w:tc>
        <w:tc>
          <w:tcPr>
            <w:tcW w:w="1927" w:type="dxa"/>
            <w:shd w:val="clear" w:color="auto" w:fill="auto"/>
          </w:tcPr>
          <w:p w14:paraId="60FC9CC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委員張宏陸</w:t>
            </w:r>
          </w:p>
          <w:p w14:paraId="5617492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565DFBE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111.12.30 </w:t>
            </w:r>
          </w:p>
          <w:p w14:paraId="6E951F6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（10-6-14）</w:t>
            </w:r>
          </w:p>
        </w:tc>
        <w:tc>
          <w:tcPr>
            <w:tcW w:w="1684" w:type="dxa"/>
            <w:shd w:val="clear" w:color="auto" w:fill="auto"/>
          </w:tcPr>
          <w:p w14:paraId="69E3DBB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6570AEA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4A23273" w14:textId="77777777" w:rsidTr="00EC13B7">
        <w:tc>
          <w:tcPr>
            <w:tcW w:w="588" w:type="dxa"/>
            <w:shd w:val="clear" w:color="auto" w:fill="auto"/>
          </w:tcPr>
          <w:p w14:paraId="452A24AD"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30</w:t>
            </w:r>
          </w:p>
        </w:tc>
        <w:tc>
          <w:tcPr>
            <w:tcW w:w="2758" w:type="dxa"/>
            <w:shd w:val="clear" w:color="auto" w:fill="auto"/>
          </w:tcPr>
          <w:p w14:paraId="7CCDCD92"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1.公立學校教職員退休資遣撫卹條例第六十七條條文修正草案(修正重</w:t>
            </w:r>
            <w:r w:rsidRPr="00026143">
              <w:rPr>
                <w:rFonts w:ascii="標楷體" w:eastAsia="標楷體" w:hAnsi="標楷體" w:hint="eastAsia"/>
                <w:color w:val="000000" w:themeColor="text1"/>
              </w:rPr>
              <w:lastRenderedPageBreak/>
              <w:t>點：軍、公、教退休撫卹制度設計以消費者物價指數，做為調整退撫待遇機制之參考指標，應予檢討改善。)</w:t>
            </w:r>
          </w:p>
        </w:tc>
        <w:tc>
          <w:tcPr>
            <w:tcW w:w="1927" w:type="dxa"/>
            <w:shd w:val="clear" w:color="auto" w:fill="auto"/>
          </w:tcPr>
          <w:p w14:paraId="7E545A3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委員葉毓蘭</w:t>
            </w:r>
          </w:p>
          <w:p w14:paraId="0516CE4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56F40D7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111.04.08 </w:t>
            </w:r>
          </w:p>
          <w:p w14:paraId="6BB6B89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（10-5-7）</w:t>
            </w:r>
          </w:p>
        </w:tc>
        <w:tc>
          <w:tcPr>
            <w:tcW w:w="1684" w:type="dxa"/>
            <w:shd w:val="clear" w:color="auto" w:fill="auto"/>
          </w:tcPr>
          <w:p w14:paraId="5BD3A768"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司法及法制、教育及文化</w:t>
            </w:r>
          </w:p>
        </w:tc>
        <w:tc>
          <w:tcPr>
            <w:tcW w:w="1806" w:type="dxa"/>
            <w:shd w:val="clear" w:color="auto" w:fill="auto"/>
          </w:tcPr>
          <w:p w14:paraId="61CA300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8BC131F" w14:textId="77777777" w:rsidTr="00EC13B7">
        <w:tc>
          <w:tcPr>
            <w:tcW w:w="588" w:type="dxa"/>
            <w:shd w:val="clear" w:color="auto" w:fill="auto"/>
          </w:tcPr>
          <w:p w14:paraId="7D762371"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lastRenderedPageBreak/>
              <w:t>31</w:t>
            </w:r>
          </w:p>
        </w:tc>
        <w:tc>
          <w:tcPr>
            <w:tcW w:w="2758" w:type="dxa"/>
            <w:shd w:val="clear" w:color="auto" w:fill="auto"/>
          </w:tcPr>
          <w:p w14:paraId="383A92B3"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2.公立學校教職員退休資遣撫卹條例第六十七條條文修正草案(修正重點：將消費者物價指數累計達5%啟動調整機制下修為2%，兼採重要民生物資消費者物價指數，以及按年計算指數改為按季計算等規定。)</w:t>
            </w:r>
          </w:p>
        </w:tc>
        <w:tc>
          <w:tcPr>
            <w:tcW w:w="1927" w:type="dxa"/>
            <w:shd w:val="clear" w:color="auto" w:fill="auto"/>
          </w:tcPr>
          <w:p w14:paraId="3A1A9F3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委員游毓蘭</w:t>
            </w:r>
          </w:p>
          <w:p w14:paraId="2A59DD3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548751B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66573DD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（10-6-12）</w:t>
            </w:r>
          </w:p>
        </w:tc>
        <w:tc>
          <w:tcPr>
            <w:tcW w:w="1684" w:type="dxa"/>
            <w:shd w:val="clear" w:color="auto" w:fill="auto"/>
          </w:tcPr>
          <w:p w14:paraId="3BED1357"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110BB21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9238A98" w14:textId="77777777" w:rsidTr="00EC13B7">
        <w:tc>
          <w:tcPr>
            <w:tcW w:w="588" w:type="dxa"/>
            <w:shd w:val="clear" w:color="auto" w:fill="auto"/>
          </w:tcPr>
          <w:p w14:paraId="32363BEB"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w:t>
            </w:r>
            <w:r w:rsidRPr="00026143">
              <w:rPr>
                <w:rFonts w:ascii="標楷體" w:eastAsia="標楷體" w:hAnsi="標楷體"/>
                <w:color w:val="000000" w:themeColor="text1"/>
              </w:rPr>
              <w:t>2</w:t>
            </w:r>
          </w:p>
        </w:tc>
        <w:tc>
          <w:tcPr>
            <w:tcW w:w="2758" w:type="dxa"/>
            <w:shd w:val="clear" w:color="auto" w:fill="auto"/>
          </w:tcPr>
          <w:p w14:paraId="65A56DED"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公立學校教職員退休資遣撫卹條例第三十八條條文修正草案(修正重點：為維護現職公務人員未來退休權益，增訂該法退休所得替代率附表三之一。)</w:t>
            </w:r>
          </w:p>
        </w:tc>
        <w:tc>
          <w:tcPr>
            <w:tcW w:w="1927" w:type="dxa"/>
            <w:shd w:val="clear" w:color="auto" w:fill="auto"/>
          </w:tcPr>
          <w:p w14:paraId="167708D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委員呂玉玲</w:t>
            </w:r>
          </w:p>
          <w:p w14:paraId="6F9B27F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等19人 </w:t>
            </w:r>
          </w:p>
          <w:p w14:paraId="2E587B2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111.05.06 </w:t>
            </w:r>
          </w:p>
          <w:p w14:paraId="137A6EC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（10-5-11）</w:t>
            </w:r>
          </w:p>
        </w:tc>
        <w:tc>
          <w:tcPr>
            <w:tcW w:w="1684" w:type="dxa"/>
            <w:shd w:val="clear" w:color="auto" w:fill="auto"/>
          </w:tcPr>
          <w:p w14:paraId="5AF789D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656F47D4"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02FC54A" w14:textId="77777777" w:rsidTr="00EC13B7">
        <w:tc>
          <w:tcPr>
            <w:tcW w:w="588" w:type="dxa"/>
            <w:shd w:val="clear" w:color="auto" w:fill="auto"/>
          </w:tcPr>
          <w:p w14:paraId="6388EFB7"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33</w:t>
            </w:r>
          </w:p>
        </w:tc>
        <w:tc>
          <w:tcPr>
            <w:tcW w:w="2758" w:type="dxa"/>
            <w:shd w:val="clear" w:color="auto" w:fill="auto"/>
          </w:tcPr>
          <w:p w14:paraId="17611B1F"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1.公立學校教職員退休資遣撫卹條例第八十條條文修正草案(修正重點：增加經性平會調查確認有性侵害行為屬實者，剝奪其退離（職）相關給與，避免超過刑事追訴期之退休狼師得以逍遙法外。)</w:t>
            </w:r>
          </w:p>
        </w:tc>
        <w:tc>
          <w:tcPr>
            <w:tcW w:w="1927" w:type="dxa"/>
            <w:shd w:val="clear" w:color="auto" w:fill="auto"/>
          </w:tcPr>
          <w:p w14:paraId="035A2D5C"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委員張廖萬堅</w:t>
            </w:r>
          </w:p>
          <w:p w14:paraId="358AE5A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2C984F12"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111.10.28</w:t>
            </w:r>
          </w:p>
          <w:p w14:paraId="6A1E297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684" w:type="dxa"/>
            <w:shd w:val="clear" w:color="auto" w:fill="auto"/>
          </w:tcPr>
          <w:p w14:paraId="222AE3A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806" w:type="dxa"/>
            <w:shd w:val="clear" w:color="auto" w:fill="auto"/>
          </w:tcPr>
          <w:p w14:paraId="626D24F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7A2567A" w14:textId="77777777" w:rsidTr="00EC13B7">
        <w:tc>
          <w:tcPr>
            <w:tcW w:w="588" w:type="dxa"/>
            <w:shd w:val="clear" w:color="auto" w:fill="auto"/>
          </w:tcPr>
          <w:p w14:paraId="13B06C25"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34</w:t>
            </w:r>
          </w:p>
        </w:tc>
        <w:tc>
          <w:tcPr>
            <w:tcW w:w="2758" w:type="dxa"/>
            <w:shd w:val="clear" w:color="auto" w:fill="auto"/>
          </w:tcPr>
          <w:p w14:paraId="72318D1F"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2.公立學校教職員退休資遣撫卹條例第八十條條文修正草案(修正重點：增列經行政調查確認有性侵害行為屬實者，亦剝奪其退離（職）相關給與。)</w:t>
            </w:r>
          </w:p>
        </w:tc>
        <w:tc>
          <w:tcPr>
            <w:tcW w:w="1927" w:type="dxa"/>
            <w:shd w:val="clear" w:color="auto" w:fill="auto"/>
          </w:tcPr>
          <w:p w14:paraId="71FFDB9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委員范雲</w:t>
            </w:r>
          </w:p>
          <w:p w14:paraId="7F9911E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E503B6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5703EE0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（10-6-10）</w:t>
            </w:r>
          </w:p>
        </w:tc>
        <w:tc>
          <w:tcPr>
            <w:tcW w:w="1684" w:type="dxa"/>
            <w:shd w:val="clear" w:color="auto" w:fill="auto"/>
          </w:tcPr>
          <w:p w14:paraId="4CD070C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7383F03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5392A84" w14:textId="77777777" w:rsidTr="00EC13B7">
        <w:tc>
          <w:tcPr>
            <w:tcW w:w="588" w:type="dxa"/>
            <w:shd w:val="clear" w:color="auto" w:fill="auto"/>
          </w:tcPr>
          <w:p w14:paraId="19DC55AC"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35</w:t>
            </w:r>
          </w:p>
        </w:tc>
        <w:tc>
          <w:tcPr>
            <w:tcW w:w="2758" w:type="dxa"/>
            <w:shd w:val="clear" w:color="auto" w:fill="auto"/>
          </w:tcPr>
          <w:p w14:paraId="34CF68AC"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3.公立學校教職員退休資遣撫卹條例第八十條條文修正草案(修正重點：有性侵害行為屬實者，應自始剝奪其退離（職）相關給與；其已支領者，應追繳之。)</w:t>
            </w:r>
          </w:p>
        </w:tc>
        <w:tc>
          <w:tcPr>
            <w:tcW w:w="1927" w:type="dxa"/>
            <w:shd w:val="clear" w:color="auto" w:fill="auto"/>
          </w:tcPr>
          <w:p w14:paraId="13EF696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委員賴品妤</w:t>
            </w:r>
          </w:p>
          <w:p w14:paraId="62AA480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39998783"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51F0800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（10-6-13）</w:t>
            </w:r>
          </w:p>
        </w:tc>
        <w:tc>
          <w:tcPr>
            <w:tcW w:w="1684" w:type="dxa"/>
            <w:shd w:val="clear" w:color="auto" w:fill="auto"/>
          </w:tcPr>
          <w:p w14:paraId="126DA6A1"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139E268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0B5A3AD" w14:textId="77777777" w:rsidTr="00EC13B7">
        <w:tc>
          <w:tcPr>
            <w:tcW w:w="588" w:type="dxa"/>
            <w:shd w:val="clear" w:color="auto" w:fill="auto"/>
          </w:tcPr>
          <w:p w14:paraId="6D20CE23"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t>3</w:t>
            </w:r>
            <w:r w:rsidRPr="00026143">
              <w:rPr>
                <w:rFonts w:ascii="標楷體" w:eastAsia="標楷體" w:hAnsi="標楷體"/>
                <w:color w:val="000000" w:themeColor="text1"/>
              </w:rPr>
              <w:t>6</w:t>
            </w:r>
          </w:p>
        </w:tc>
        <w:tc>
          <w:tcPr>
            <w:tcW w:w="2758" w:type="dxa"/>
            <w:shd w:val="clear" w:color="auto" w:fill="auto"/>
          </w:tcPr>
          <w:p w14:paraId="1E90F9CC"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w:t>
            </w:r>
            <w:r w:rsidRPr="00026143">
              <w:rPr>
                <w:rFonts w:ascii="標楷體" w:eastAsia="標楷體" w:hAnsi="標楷體" w:hint="eastAsia"/>
                <w:color w:val="000000" w:themeColor="text1"/>
              </w:rPr>
              <w:t>學校法人及其所屬私立學校教職員退休撫卹</w:t>
            </w:r>
            <w:r w:rsidRPr="00026143">
              <w:rPr>
                <w:rFonts w:ascii="標楷體" w:eastAsia="標楷體" w:hAnsi="標楷體" w:hint="eastAsia"/>
                <w:color w:val="000000" w:themeColor="text1"/>
              </w:rPr>
              <w:lastRenderedPageBreak/>
              <w:t>離職資遣條例第二十四條及第二十五條條文修正草案(修正重點：增加經性平會調查確認有性侵害行為屬實者，其退撫儲金專戶領取範圍以其本人提撥之儲金本息為限。)</w:t>
            </w:r>
          </w:p>
        </w:tc>
        <w:tc>
          <w:tcPr>
            <w:tcW w:w="1927" w:type="dxa"/>
            <w:shd w:val="clear" w:color="auto" w:fill="auto"/>
          </w:tcPr>
          <w:p w14:paraId="3ACBBBEF"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委員張廖萬堅</w:t>
            </w:r>
          </w:p>
          <w:p w14:paraId="34F59BD6"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4D683CA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 xml:space="preserve">111.10.28 </w:t>
            </w:r>
          </w:p>
          <w:p w14:paraId="32ECB42E"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684" w:type="dxa"/>
            <w:shd w:val="clear" w:color="auto" w:fill="auto"/>
          </w:tcPr>
          <w:p w14:paraId="3DC921C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lastRenderedPageBreak/>
              <w:t>司法及法制、教育及文化</w:t>
            </w:r>
          </w:p>
        </w:tc>
        <w:tc>
          <w:tcPr>
            <w:tcW w:w="1806" w:type="dxa"/>
            <w:shd w:val="clear" w:color="auto" w:fill="auto"/>
          </w:tcPr>
          <w:p w14:paraId="68228E3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5C56CB8E" w14:textId="77777777" w:rsidTr="00EC13B7">
        <w:tc>
          <w:tcPr>
            <w:tcW w:w="588" w:type="dxa"/>
            <w:shd w:val="clear" w:color="auto" w:fill="auto"/>
          </w:tcPr>
          <w:p w14:paraId="2354EE54" w14:textId="77777777" w:rsidR="00EC13B7" w:rsidRPr="00026143" w:rsidRDefault="00EC13B7" w:rsidP="003F057E">
            <w:pPr>
              <w:kinsoku w:val="0"/>
              <w:topLinePunct/>
              <w:spacing w:line="300" w:lineRule="exact"/>
              <w:jc w:val="center"/>
              <w:rPr>
                <w:rFonts w:ascii="標楷體" w:eastAsia="標楷體" w:hAnsi="標楷體"/>
                <w:color w:val="000000" w:themeColor="text1"/>
              </w:rPr>
            </w:pPr>
            <w:r w:rsidRPr="00026143">
              <w:rPr>
                <w:rFonts w:ascii="標楷體" w:eastAsia="標楷體" w:hAnsi="標楷體" w:hint="eastAsia"/>
                <w:color w:val="000000" w:themeColor="text1"/>
              </w:rPr>
              <w:lastRenderedPageBreak/>
              <w:t>37</w:t>
            </w:r>
          </w:p>
        </w:tc>
        <w:tc>
          <w:tcPr>
            <w:tcW w:w="2758" w:type="dxa"/>
            <w:shd w:val="clear" w:color="auto" w:fill="auto"/>
          </w:tcPr>
          <w:p w14:paraId="0C47D520" w14:textId="77777777" w:rsidR="00EC13B7" w:rsidRPr="00026143" w:rsidRDefault="00EC13B7" w:rsidP="003F057E">
            <w:pPr>
              <w:kinsoku w:val="0"/>
              <w:topLinePunct/>
              <w:spacing w:line="300" w:lineRule="exact"/>
              <w:jc w:val="both"/>
              <w:rPr>
                <w:rFonts w:ascii="標楷體" w:eastAsia="標楷體" w:hAnsi="標楷體"/>
                <w:color w:val="000000" w:themeColor="text1"/>
              </w:rPr>
            </w:pPr>
            <w:r w:rsidRPr="00026143">
              <w:rPr>
                <w:rFonts w:ascii="標楷體" w:eastAsia="標楷體" w:hAnsi="標楷體"/>
                <w:color w:val="000000" w:themeColor="text1"/>
              </w:rPr>
              <w:t>2.學校法人及其所屬私立學校教職員退休撫卹離職資遣條例第二十四條及第二十五條條文修正草案(修正重點：增列經行政調查確認有性侵害行為屬實者，亦限制領取退撫儲金本息。)</w:t>
            </w:r>
          </w:p>
        </w:tc>
        <w:tc>
          <w:tcPr>
            <w:tcW w:w="1927" w:type="dxa"/>
            <w:shd w:val="clear" w:color="auto" w:fill="auto"/>
          </w:tcPr>
          <w:p w14:paraId="3AC7E07A"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委員范雲</w:t>
            </w:r>
          </w:p>
          <w:p w14:paraId="20FB7679"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69FCC4BD"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21147D20"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（10-6-10）</w:t>
            </w:r>
          </w:p>
        </w:tc>
        <w:tc>
          <w:tcPr>
            <w:tcW w:w="1684" w:type="dxa"/>
            <w:shd w:val="clear" w:color="auto" w:fill="auto"/>
          </w:tcPr>
          <w:p w14:paraId="2A10EEC5"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6" w:type="dxa"/>
            <w:shd w:val="clear" w:color="auto" w:fill="auto"/>
          </w:tcPr>
          <w:p w14:paraId="66A4D39B" w14:textId="77777777" w:rsidR="00EC13B7" w:rsidRPr="00026143" w:rsidRDefault="00EC13B7" w:rsidP="003F057E">
            <w:pPr>
              <w:kinsoku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13AF21C5" w14:textId="77777777" w:rsidR="00EC13B7" w:rsidRPr="00026143" w:rsidRDefault="00EC13B7" w:rsidP="003F057E">
      <w:pPr>
        <w:pStyle w:val="1-5"/>
        <w:kinsoku w:val="0"/>
        <w:wordWrap w:val="0"/>
        <w:topLinePunct/>
        <w:spacing w:beforeLines="100" w:before="360" w:afterLines="100" w:after="360" w:line="300" w:lineRule="exact"/>
        <w:ind w:left="1418" w:firstLineChars="101" w:firstLine="283"/>
        <w:jc w:val="left"/>
        <w:textAlignment w:val="top"/>
        <w:rPr>
          <w:color w:val="000000" w:themeColor="text1"/>
        </w:rPr>
      </w:pPr>
      <w:bookmarkStart w:id="418" w:name="_Toc361217360"/>
      <w:bookmarkStart w:id="419" w:name="_Toc362968420"/>
      <w:bookmarkStart w:id="420" w:name="_Toc428286987"/>
      <w:bookmarkStart w:id="421" w:name="_Toc510167700"/>
      <w:bookmarkStart w:id="422" w:name="_Toc1401087"/>
      <w:r w:rsidRPr="00026143">
        <w:rPr>
          <w:color w:val="000000" w:themeColor="text1"/>
        </w:rPr>
        <w:t>6.本會、交通委員會聯席審查</w:t>
      </w:r>
      <w:r w:rsidRPr="00026143">
        <w:rPr>
          <w:rFonts w:hint="eastAsia"/>
          <w:color w:val="000000" w:themeColor="text1"/>
        </w:rPr>
        <w:t>1</w:t>
      </w:r>
      <w:r w:rsidRPr="00026143">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01"/>
        <w:gridCol w:w="1984"/>
        <w:gridCol w:w="1684"/>
        <w:gridCol w:w="1806"/>
      </w:tblGrid>
      <w:tr w:rsidR="00EC13B7" w:rsidRPr="00026143" w14:paraId="4DC31237" w14:textId="77777777" w:rsidTr="007932B9">
        <w:tc>
          <w:tcPr>
            <w:tcW w:w="588" w:type="dxa"/>
            <w:shd w:val="clear" w:color="auto" w:fill="auto"/>
            <w:vAlign w:val="center"/>
          </w:tcPr>
          <w:p w14:paraId="40AF2FC0"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01" w:type="dxa"/>
            <w:shd w:val="clear" w:color="auto" w:fill="auto"/>
            <w:vAlign w:val="center"/>
          </w:tcPr>
          <w:p w14:paraId="1BC7A089"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84" w:type="dxa"/>
            <w:shd w:val="clear" w:color="auto" w:fill="auto"/>
            <w:vAlign w:val="center"/>
          </w:tcPr>
          <w:p w14:paraId="54665BB2"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75D890C8"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84" w:type="dxa"/>
            <w:shd w:val="clear" w:color="auto" w:fill="auto"/>
            <w:vAlign w:val="center"/>
          </w:tcPr>
          <w:p w14:paraId="10372FB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06" w:type="dxa"/>
            <w:shd w:val="clear" w:color="auto" w:fill="auto"/>
            <w:vAlign w:val="center"/>
          </w:tcPr>
          <w:p w14:paraId="302D1D2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12AF8D8E" w14:textId="77777777" w:rsidTr="007932B9">
        <w:tc>
          <w:tcPr>
            <w:tcW w:w="588" w:type="dxa"/>
            <w:tcBorders>
              <w:top w:val="single" w:sz="4" w:space="0" w:color="auto"/>
              <w:left w:val="single" w:sz="18" w:space="0" w:color="auto"/>
              <w:bottom w:val="single" w:sz="18" w:space="0" w:color="auto"/>
              <w:right w:val="single" w:sz="4" w:space="0" w:color="auto"/>
            </w:tcBorders>
            <w:shd w:val="clear" w:color="auto" w:fill="auto"/>
          </w:tcPr>
          <w:p w14:paraId="4F9EADA8" w14:textId="77777777" w:rsidR="00EC13B7" w:rsidRPr="00026143" w:rsidRDefault="00EC13B7" w:rsidP="007932B9">
            <w:pPr>
              <w:kinsoku w:val="0"/>
              <w:wordWrap w:val="0"/>
              <w:topLinePunct/>
              <w:spacing w:line="300" w:lineRule="exact"/>
              <w:jc w:val="center"/>
              <w:rPr>
                <w:rFonts w:ascii="標楷體" w:eastAsia="標楷體" w:hAnsi="標楷體"/>
                <w:color w:val="000000" w:themeColor="text1"/>
              </w:rPr>
            </w:pPr>
            <w:r w:rsidRPr="00026143">
              <w:rPr>
                <w:rFonts w:ascii="標楷體" w:eastAsia="標楷體" w:hAnsi="標楷體"/>
                <w:color w:val="000000" w:themeColor="text1"/>
              </w:rPr>
              <w:t>1</w:t>
            </w:r>
          </w:p>
        </w:tc>
        <w:tc>
          <w:tcPr>
            <w:tcW w:w="2701" w:type="dxa"/>
            <w:tcBorders>
              <w:top w:val="single" w:sz="4" w:space="0" w:color="auto"/>
              <w:left w:val="single" w:sz="4" w:space="0" w:color="auto"/>
              <w:bottom w:val="single" w:sz="18" w:space="0" w:color="auto"/>
              <w:right w:val="single" w:sz="4" w:space="0" w:color="auto"/>
            </w:tcBorders>
            <w:shd w:val="clear" w:color="auto" w:fill="auto"/>
          </w:tcPr>
          <w:p w14:paraId="1578F288"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交通事業人員任用條例第五條條文修正草案（修正重點：</w:t>
            </w:r>
            <w:r w:rsidRPr="00026143">
              <w:rPr>
                <w:rFonts w:ascii="標楷體" w:eastAsia="標楷體" w:hAnsi="標楷體" w:hint="eastAsia"/>
                <w:color w:val="000000" w:themeColor="text1"/>
              </w:rPr>
              <w:t>增</w:t>
            </w:r>
            <w:r w:rsidRPr="00026143">
              <w:rPr>
                <w:rFonts w:ascii="標楷體" w:eastAsia="標楷體" w:hAnsi="標楷體"/>
                <w:color w:val="000000" w:themeColor="text1"/>
              </w:rPr>
              <w:t>列以考成升任高員級人員，得擔任單列高員級職務之資格條件。）</w:t>
            </w:r>
          </w:p>
        </w:tc>
        <w:tc>
          <w:tcPr>
            <w:tcW w:w="1984" w:type="dxa"/>
            <w:tcBorders>
              <w:top w:val="single" w:sz="4" w:space="0" w:color="auto"/>
              <w:left w:val="single" w:sz="4" w:space="0" w:color="auto"/>
              <w:bottom w:val="single" w:sz="18" w:space="0" w:color="auto"/>
              <w:right w:val="single" w:sz="4" w:space="0" w:color="auto"/>
            </w:tcBorders>
            <w:shd w:val="clear" w:color="auto" w:fill="auto"/>
          </w:tcPr>
          <w:p w14:paraId="5BFCFF7B"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委員林奕華</w:t>
            </w:r>
          </w:p>
          <w:p w14:paraId="13E1F4BE"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等26人 </w:t>
            </w:r>
          </w:p>
          <w:p w14:paraId="5E76D571"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0FE747A4"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（10-4-4）</w:t>
            </w:r>
          </w:p>
        </w:tc>
        <w:tc>
          <w:tcPr>
            <w:tcW w:w="1684" w:type="dxa"/>
            <w:tcBorders>
              <w:top w:val="single" w:sz="4" w:space="0" w:color="auto"/>
              <w:left w:val="single" w:sz="4" w:space="0" w:color="auto"/>
              <w:bottom w:val="single" w:sz="18" w:space="0" w:color="auto"/>
              <w:right w:val="single" w:sz="4" w:space="0" w:color="auto"/>
            </w:tcBorders>
            <w:shd w:val="clear" w:color="auto" w:fill="auto"/>
          </w:tcPr>
          <w:p w14:paraId="36B40E29"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806" w:type="dxa"/>
            <w:tcBorders>
              <w:top w:val="single" w:sz="4" w:space="0" w:color="auto"/>
              <w:left w:val="single" w:sz="4" w:space="0" w:color="auto"/>
              <w:bottom w:val="single" w:sz="18" w:space="0" w:color="auto"/>
              <w:right w:val="single" w:sz="18" w:space="0" w:color="auto"/>
            </w:tcBorders>
            <w:shd w:val="clear" w:color="auto" w:fill="auto"/>
          </w:tcPr>
          <w:p w14:paraId="348FFB7C" w14:textId="77777777" w:rsidR="00EC13B7" w:rsidRPr="00026143" w:rsidRDefault="00EC13B7" w:rsidP="007932B9">
            <w:pPr>
              <w:kinsoku w:val="0"/>
              <w:wordWrap w:val="0"/>
              <w:topLinePunct/>
              <w:spacing w:line="300" w:lineRule="exact"/>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73D63B54"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423" w:name="_Toc96350533"/>
      <w:r w:rsidRPr="00026143">
        <w:rPr>
          <w:color w:val="000000" w:themeColor="text1"/>
        </w:rPr>
        <w:t>（三）立法院3</w:t>
      </w:r>
      <w:bookmarkEnd w:id="418"/>
      <w:bookmarkEnd w:id="419"/>
      <w:bookmarkEnd w:id="420"/>
      <w:bookmarkEnd w:id="421"/>
      <w:bookmarkEnd w:id="422"/>
      <w:bookmarkEnd w:id="423"/>
      <w:r w:rsidRPr="00026143">
        <w:rPr>
          <w:color w:val="000000" w:themeColor="text1"/>
        </w:rPr>
        <w:t>3案</w:t>
      </w:r>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6" w:space="0" w:color="auto"/>
        </w:tblBorders>
        <w:tblLayout w:type="fixed"/>
        <w:tblLook w:val="04A0" w:firstRow="1" w:lastRow="0" w:firstColumn="1" w:lastColumn="0" w:noHBand="0" w:noVBand="1"/>
      </w:tblPr>
      <w:tblGrid>
        <w:gridCol w:w="574"/>
        <w:gridCol w:w="2702"/>
        <w:gridCol w:w="2139"/>
        <w:gridCol w:w="1472"/>
        <w:gridCol w:w="1862"/>
      </w:tblGrid>
      <w:tr w:rsidR="00EC13B7" w:rsidRPr="00026143" w14:paraId="4C8B0289" w14:textId="77777777" w:rsidTr="00EC13B7">
        <w:tc>
          <w:tcPr>
            <w:tcW w:w="574" w:type="dxa"/>
          </w:tcPr>
          <w:p w14:paraId="7CAEEEF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02" w:type="dxa"/>
          </w:tcPr>
          <w:p w14:paraId="5E115CE7"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139" w:type="dxa"/>
          </w:tcPr>
          <w:p w14:paraId="5B26038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5C62245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472" w:type="dxa"/>
          </w:tcPr>
          <w:p w14:paraId="3C17FBD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62" w:type="dxa"/>
          </w:tcPr>
          <w:p w14:paraId="7F25145C"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6945AB3C" w14:textId="77777777" w:rsidTr="00EC13B7">
        <w:tc>
          <w:tcPr>
            <w:tcW w:w="574" w:type="dxa"/>
          </w:tcPr>
          <w:p w14:paraId="0BED180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702" w:type="dxa"/>
          </w:tcPr>
          <w:p w14:paraId="21BF078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立法院職權行使法第十五條之二條文修正草案（修正重點：總統就其職權相關之國家大政方針，每年得定期咨請立法院同意後，至立法院進行國情報告。）</w:t>
            </w:r>
          </w:p>
        </w:tc>
        <w:tc>
          <w:tcPr>
            <w:tcW w:w="2139" w:type="dxa"/>
          </w:tcPr>
          <w:p w14:paraId="38918B9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委員賴瑞隆</w:t>
            </w:r>
          </w:p>
          <w:p w14:paraId="42A59BE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665B3B5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109.03.13 </w:t>
            </w:r>
          </w:p>
          <w:p w14:paraId="550088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（10-1-4）</w:t>
            </w:r>
          </w:p>
        </w:tc>
        <w:tc>
          <w:tcPr>
            <w:tcW w:w="1472" w:type="dxa"/>
          </w:tcPr>
          <w:p w14:paraId="1091731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36F828E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C242561" w14:textId="77777777" w:rsidTr="00EC13B7">
        <w:tc>
          <w:tcPr>
            <w:tcW w:w="574" w:type="dxa"/>
          </w:tcPr>
          <w:p w14:paraId="30C7190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702" w:type="dxa"/>
          </w:tcPr>
          <w:p w14:paraId="6118018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1.立法院職權行使法增訂第八章之一及第五十三條之一條文草案（增訂重點：新增章名，明</w:t>
            </w:r>
            <w:r w:rsidRPr="00026143">
              <w:rPr>
                <w:rFonts w:ascii="標楷體" w:eastAsia="標楷體" w:hAnsi="標楷體"/>
                <w:color w:val="000000" w:themeColor="text1"/>
              </w:rPr>
              <w:lastRenderedPageBreak/>
              <w:t>定立法院行使調查權之相關規範；立法院為行使憲法所賦予之職權，得經院會決議，設調查委員會，或經委員會二分之一以上委員之同意，設調查專案小組，其組織及運作方式另以法律定之。）</w:t>
            </w:r>
          </w:p>
        </w:tc>
        <w:tc>
          <w:tcPr>
            <w:tcW w:w="2139" w:type="dxa"/>
          </w:tcPr>
          <w:p w14:paraId="70FF65A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委員賴瑞隆</w:t>
            </w:r>
          </w:p>
          <w:p w14:paraId="10EC31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504165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109.03.13 </w:t>
            </w:r>
          </w:p>
          <w:p w14:paraId="77D4D3D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（10-1-4）</w:t>
            </w:r>
          </w:p>
        </w:tc>
        <w:tc>
          <w:tcPr>
            <w:tcW w:w="1472" w:type="dxa"/>
          </w:tcPr>
          <w:p w14:paraId="3ACF7EF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454611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6DF9E0C" w14:textId="77777777" w:rsidTr="00EC13B7">
        <w:tc>
          <w:tcPr>
            <w:tcW w:w="574" w:type="dxa"/>
          </w:tcPr>
          <w:p w14:paraId="01BAD54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702" w:type="dxa"/>
          </w:tcPr>
          <w:p w14:paraId="7794D2D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立法院職權行使法部分條文修正草案（修正第八章章名、§45、46、47、48、49、50、51、52、53；增訂§46-1~2、53-1~3、第八章之一、§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2139" w:type="dxa"/>
          </w:tcPr>
          <w:p w14:paraId="236A72D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委員林俊憲</w:t>
            </w:r>
          </w:p>
          <w:p w14:paraId="45C41A3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0F2F6D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109.12.11</w:t>
            </w:r>
          </w:p>
          <w:p w14:paraId="297E267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（10-2-7）</w:t>
            </w:r>
          </w:p>
        </w:tc>
        <w:tc>
          <w:tcPr>
            <w:tcW w:w="1472" w:type="dxa"/>
          </w:tcPr>
          <w:p w14:paraId="67962E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0792D4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D775B5" w14:textId="77777777" w:rsidTr="00EC13B7">
        <w:tc>
          <w:tcPr>
            <w:tcW w:w="574" w:type="dxa"/>
          </w:tcPr>
          <w:p w14:paraId="6BBEF97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702" w:type="dxa"/>
          </w:tcPr>
          <w:p w14:paraId="1875328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立法院職權行使法部分條文修正草案（修正§25、45~47、49~51、53、第九章章名、§54、56~59；增訂§56-1~3、57-1、75-1、75-2；刪除§48。修正重點：明文要求被質詢人（含委員會列席備詢人員）與公聽會出席人員應如實答復，不得隱匿或虛偽陳述，復對向立法院做虛偽陳述或提出虛偽不實之資料等行為，課以刑罰；公聽會出席人員於其違反行政法上義務或</w:t>
            </w:r>
            <w:r w:rsidRPr="00026143">
              <w:rPr>
                <w:rFonts w:ascii="標楷體" w:eastAsia="標楷體" w:hAnsi="標楷體"/>
                <w:color w:val="000000" w:themeColor="text1"/>
              </w:rPr>
              <w:lastRenderedPageBreak/>
              <w:t>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2139" w:type="dxa"/>
          </w:tcPr>
          <w:p w14:paraId="63205F4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6BF2FDE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109.03.20 </w:t>
            </w:r>
          </w:p>
          <w:p w14:paraId="6403771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（10-1-5）</w:t>
            </w:r>
          </w:p>
        </w:tc>
        <w:tc>
          <w:tcPr>
            <w:tcW w:w="1472" w:type="dxa"/>
          </w:tcPr>
          <w:p w14:paraId="73FC5DA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33A2E27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C1DE3B4" w14:textId="77777777" w:rsidTr="00EC13B7">
        <w:tc>
          <w:tcPr>
            <w:tcW w:w="574" w:type="dxa"/>
          </w:tcPr>
          <w:p w14:paraId="06CB5F3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5</w:t>
            </w:r>
          </w:p>
        </w:tc>
        <w:tc>
          <w:tcPr>
            <w:tcW w:w="2702" w:type="dxa"/>
          </w:tcPr>
          <w:p w14:paraId="4311BA1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4.立法院職權行使法部分條文修正草案（修正第八章章名、§45~53；增訂§46-1、46-2、53-1~3、第十二章之一章名、74-1~4。修正重點：為明確調查權行使，落實國會調查權。）</w:t>
            </w:r>
          </w:p>
        </w:tc>
        <w:tc>
          <w:tcPr>
            <w:tcW w:w="2139" w:type="dxa"/>
          </w:tcPr>
          <w:p w14:paraId="1A1D0C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委員陳明文</w:t>
            </w:r>
          </w:p>
          <w:p w14:paraId="6767068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76737B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4746AE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472" w:type="dxa"/>
          </w:tcPr>
          <w:p w14:paraId="7DAF88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521F76D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F705846" w14:textId="77777777" w:rsidTr="00EC13B7">
        <w:tc>
          <w:tcPr>
            <w:tcW w:w="574" w:type="dxa"/>
            <w:tcBorders>
              <w:top w:val="single" w:sz="4" w:space="0" w:color="auto"/>
              <w:left w:val="single" w:sz="18" w:space="0" w:color="auto"/>
              <w:bottom w:val="single" w:sz="4" w:space="0" w:color="auto"/>
              <w:right w:val="single" w:sz="4" w:space="0" w:color="auto"/>
            </w:tcBorders>
          </w:tcPr>
          <w:p w14:paraId="41B5379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702" w:type="dxa"/>
            <w:tcBorders>
              <w:top w:val="single" w:sz="4" w:space="0" w:color="auto"/>
              <w:left w:val="single" w:sz="6" w:space="0" w:color="auto"/>
              <w:bottom w:val="single" w:sz="4" w:space="0" w:color="auto"/>
              <w:right w:val="single" w:sz="4" w:space="0" w:color="auto"/>
            </w:tcBorders>
          </w:tcPr>
          <w:p w14:paraId="6021CB4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5.立法院職權行使法第四十五條條文修正草案(修正重點：對於立法院調閱委員會或調閱小組要求有關機關提供之資料，有關機關不得有任何遮蔽或掩飾。)</w:t>
            </w:r>
          </w:p>
        </w:tc>
        <w:tc>
          <w:tcPr>
            <w:tcW w:w="2139" w:type="dxa"/>
            <w:tcBorders>
              <w:top w:val="single" w:sz="4" w:space="0" w:color="auto"/>
              <w:left w:val="single" w:sz="6" w:space="0" w:color="auto"/>
              <w:bottom w:val="single" w:sz="4" w:space="0" w:color="auto"/>
              <w:right w:val="single" w:sz="4" w:space="0" w:color="auto"/>
            </w:tcBorders>
          </w:tcPr>
          <w:p w14:paraId="0B81656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委員江啟臣</w:t>
            </w:r>
          </w:p>
          <w:p w14:paraId="7E1CC4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30A22AF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5857EE1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472" w:type="dxa"/>
            <w:tcBorders>
              <w:top w:val="single" w:sz="4" w:space="0" w:color="auto"/>
              <w:left w:val="single" w:sz="6" w:space="0" w:color="auto"/>
              <w:bottom w:val="single" w:sz="4" w:space="0" w:color="auto"/>
              <w:right w:val="single" w:sz="4" w:space="0" w:color="auto"/>
            </w:tcBorders>
          </w:tcPr>
          <w:p w14:paraId="4055114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Borders>
              <w:top w:val="single" w:sz="4" w:space="0" w:color="auto"/>
              <w:left w:val="single" w:sz="6" w:space="0" w:color="auto"/>
              <w:bottom w:val="single" w:sz="4" w:space="0" w:color="auto"/>
              <w:right w:val="single" w:sz="18" w:space="0" w:color="auto"/>
            </w:tcBorders>
          </w:tcPr>
          <w:p w14:paraId="1A851B2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55D27DF" w14:textId="77777777" w:rsidTr="00EC13B7">
        <w:tc>
          <w:tcPr>
            <w:tcW w:w="574" w:type="dxa"/>
          </w:tcPr>
          <w:p w14:paraId="13F767D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7</w:t>
            </w:r>
          </w:p>
        </w:tc>
        <w:tc>
          <w:tcPr>
            <w:tcW w:w="2702" w:type="dxa"/>
          </w:tcPr>
          <w:p w14:paraId="1557B16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立法院職權行使法部分條文修正草案（修正§29、30、31；增訂§29-1、29-2、30-1。修正重點：增列立法院依法律規定行使人事同意權之程序規定；規定人事同意權應有超過全體立法委員二分之一之出席，並經超過出席委員二分之一之同意為通過；規</w:t>
            </w:r>
            <w:r w:rsidRPr="00026143">
              <w:rPr>
                <w:rFonts w:ascii="標楷體" w:eastAsia="標楷體" w:hAnsi="標楷體"/>
                <w:color w:val="000000" w:themeColor="text1"/>
              </w:rPr>
              <w:lastRenderedPageBreak/>
              <w:t>定對檢察總長人事同意權之行使，應與憲法及憲法增修條文所規定由總統提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2139" w:type="dxa"/>
          </w:tcPr>
          <w:p w14:paraId="603D470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29DBDC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109.05.08 </w:t>
            </w:r>
          </w:p>
          <w:p w14:paraId="72A10A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（10-1-12）</w:t>
            </w:r>
          </w:p>
        </w:tc>
        <w:tc>
          <w:tcPr>
            <w:tcW w:w="1472" w:type="dxa"/>
          </w:tcPr>
          <w:p w14:paraId="2713949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35374BA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A91FD31" w14:textId="77777777" w:rsidTr="00EC13B7">
        <w:tc>
          <w:tcPr>
            <w:tcW w:w="574" w:type="dxa"/>
          </w:tcPr>
          <w:p w14:paraId="01CF5B5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lastRenderedPageBreak/>
              <w:t>8</w:t>
            </w:r>
          </w:p>
        </w:tc>
        <w:tc>
          <w:tcPr>
            <w:tcW w:w="2702" w:type="dxa"/>
          </w:tcPr>
          <w:p w14:paraId="0AEF334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2139" w:type="dxa"/>
          </w:tcPr>
          <w:p w14:paraId="158FFB0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委員林為洲</w:t>
            </w:r>
          </w:p>
          <w:p w14:paraId="4F9CFA4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543AEEE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73EB88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p w14:paraId="2DE74B9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472" w:type="dxa"/>
          </w:tcPr>
          <w:p w14:paraId="1D4C75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94EAEB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154E0B4" w14:textId="77777777" w:rsidTr="00EC13B7">
        <w:tc>
          <w:tcPr>
            <w:tcW w:w="574" w:type="dxa"/>
          </w:tcPr>
          <w:p w14:paraId="4DAB490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9</w:t>
            </w:r>
          </w:p>
        </w:tc>
        <w:tc>
          <w:tcPr>
            <w:tcW w:w="2702" w:type="dxa"/>
          </w:tcPr>
          <w:p w14:paraId="3F1D275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立法院職權行使法第二十九條條文修正草案（修正重點：有關立法院同意任命司法院大法官、考試院委員及監察院委員之門檻規定，應提升為全體立法委員三分之二以上同意通過，爰刪除「或憲法增修條文第五條第一項、第六條第二項、第七條第二項」等文字，以維持體例一致性，避免條文扞格。）</w:t>
            </w:r>
          </w:p>
        </w:tc>
        <w:tc>
          <w:tcPr>
            <w:tcW w:w="2139" w:type="dxa"/>
          </w:tcPr>
          <w:p w14:paraId="5C7B55B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委員曾銘宗</w:t>
            </w:r>
          </w:p>
          <w:p w14:paraId="0293A2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74BE6C6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109.09.18</w:t>
            </w:r>
          </w:p>
          <w:p w14:paraId="485184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472" w:type="dxa"/>
          </w:tcPr>
          <w:p w14:paraId="7A5B1E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4B510D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E96ABA1" w14:textId="77777777" w:rsidTr="00EC13B7">
        <w:tc>
          <w:tcPr>
            <w:tcW w:w="574" w:type="dxa"/>
          </w:tcPr>
          <w:p w14:paraId="303D1AE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lastRenderedPageBreak/>
              <w:t>10</w:t>
            </w:r>
          </w:p>
        </w:tc>
        <w:tc>
          <w:tcPr>
            <w:tcW w:w="2702" w:type="dxa"/>
          </w:tcPr>
          <w:p w14:paraId="333CFA2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4.立法院職權行使法第二十九條條文修正草案（修正重點：由行政院長提名經立法院同意後任命之獨立機關主委暨委員，經超過全體立法委員四分之三之同意為通過。）</w:t>
            </w:r>
          </w:p>
        </w:tc>
        <w:tc>
          <w:tcPr>
            <w:tcW w:w="2139" w:type="dxa"/>
          </w:tcPr>
          <w:p w14:paraId="4554F2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委員吳怡玎</w:t>
            </w:r>
          </w:p>
          <w:p w14:paraId="66DDBE0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63CEF23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152E4D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472" w:type="dxa"/>
          </w:tcPr>
          <w:p w14:paraId="2C505EE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2255547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18D77E" w14:textId="77777777" w:rsidTr="00EC13B7">
        <w:tc>
          <w:tcPr>
            <w:tcW w:w="574" w:type="dxa"/>
          </w:tcPr>
          <w:p w14:paraId="35431B2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11</w:t>
            </w:r>
          </w:p>
        </w:tc>
        <w:tc>
          <w:tcPr>
            <w:tcW w:w="2702" w:type="dxa"/>
          </w:tcPr>
          <w:p w14:paraId="6A747A1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5.立法院職權行使法第二十九條條文修正草案（修正重點：關於同意權之行使，以超過全體立法委員三分之二同意為同意門檻。）</w:t>
            </w:r>
          </w:p>
        </w:tc>
        <w:tc>
          <w:tcPr>
            <w:tcW w:w="2139" w:type="dxa"/>
          </w:tcPr>
          <w:p w14:paraId="117C61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委員李貴敏</w:t>
            </w:r>
          </w:p>
          <w:p w14:paraId="6BA9DF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等25人 </w:t>
            </w:r>
          </w:p>
          <w:p w14:paraId="6EE0F9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47C25D9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472" w:type="dxa"/>
          </w:tcPr>
          <w:p w14:paraId="068DA5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0303AD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7168EA9" w14:textId="77777777" w:rsidTr="00EC13B7">
        <w:tc>
          <w:tcPr>
            <w:tcW w:w="574" w:type="dxa"/>
          </w:tcPr>
          <w:p w14:paraId="370FE5A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12</w:t>
            </w:r>
          </w:p>
        </w:tc>
        <w:tc>
          <w:tcPr>
            <w:tcW w:w="2702" w:type="dxa"/>
          </w:tcPr>
          <w:p w14:paraId="77EAF3B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立法院職權行使法第二條條文修正草案（修正重點：增訂第三項，立法委員未依前二項報到及出席定期會議連續達二會期以上者，立法院應解除其職務。）</w:t>
            </w:r>
          </w:p>
        </w:tc>
        <w:tc>
          <w:tcPr>
            <w:tcW w:w="2139" w:type="dxa"/>
          </w:tcPr>
          <w:p w14:paraId="0B94937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委員王定宇</w:t>
            </w:r>
          </w:p>
          <w:p w14:paraId="5DEA09E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等33人 </w:t>
            </w:r>
          </w:p>
          <w:p w14:paraId="768BD7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109.10.06 </w:t>
            </w:r>
          </w:p>
          <w:p w14:paraId="6DCA28B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（10-2-3）</w:t>
            </w:r>
          </w:p>
        </w:tc>
        <w:tc>
          <w:tcPr>
            <w:tcW w:w="1472" w:type="dxa"/>
          </w:tcPr>
          <w:p w14:paraId="7F88F92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44CC279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3CF7229" w14:textId="77777777" w:rsidTr="00EC13B7">
        <w:tc>
          <w:tcPr>
            <w:tcW w:w="574" w:type="dxa"/>
          </w:tcPr>
          <w:p w14:paraId="676BD0F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13</w:t>
            </w:r>
          </w:p>
        </w:tc>
        <w:tc>
          <w:tcPr>
            <w:tcW w:w="2702" w:type="dxa"/>
          </w:tcPr>
          <w:p w14:paraId="2E3BAEC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立法院職權行使法第二十二條條文修正草案（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2139" w:type="dxa"/>
          </w:tcPr>
          <w:p w14:paraId="42ADD4F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委員李貴敏</w:t>
            </w:r>
          </w:p>
          <w:p w14:paraId="21D040E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等25人 </w:t>
            </w:r>
          </w:p>
          <w:p w14:paraId="4D55CB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6F61976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472" w:type="dxa"/>
          </w:tcPr>
          <w:p w14:paraId="0DFB35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793B524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A8F2102" w14:textId="77777777" w:rsidTr="00EC13B7">
        <w:tc>
          <w:tcPr>
            <w:tcW w:w="574" w:type="dxa"/>
          </w:tcPr>
          <w:p w14:paraId="785B741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14</w:t>
            </w:r>
          </w:p>
        </w:tc>
        <w:tc>
          <w:tcPr>
            <w:tcW w:w="2702" w:type="dxa"/>
          </w:tcPr>
          <w:p w14:paraId="6782B26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立法院職權行使法第二十六條條文修正草案（修正重點：針對政府官員受邀於立法院報告與備詢時，如有無故拒絕出席，或答詢虛偽陳述等「藐視國會」行為，得經會議決議列為「不受歡迎人物」，於一定期間內拒絕該等官員前來</w:t>
            </w:r>
            <w:r w:rsidRPr="00026143">
              <w:rPr>
                <w:rFonts w:ascii="標楷體" w:eastAsia="標楷體" w:hAnsi="標楷體"/>
                <w:color w:val="000000" w:themeColor="text1"/>
              </w:rPr>
              <w:lastRenderedPageBreak/>
              <w:t>備詢。）</w:t>
            </w:r>
          </w:p>
        </w:tc>
        <w:tc>
          <w:tcPr>
            <w:tcW w:w="2139" w:type="dxa"/>
          </w:tcPr>
          <w:p w14:paraId="1C0253D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委員陳以信</w:t>
            </w:r>
          </w:p>
          <w:p w14:paraId="20560F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0AB0E5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109.12.30 </w:t>
            </w:r>
          </w:p>
          <w:p w14:paraId="5D52DC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（10-2-11）</w:t>
            </w:r>
          </w:p>
        </w:tc>
        <w:tc>
          <w:tcPr>
            <w:tcW w:w="1472" w:type="dxa"/>
          </w:tcPr>
          <w:p w14:paraId="4EDE34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3D8B783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9B97C14" w14:textId="77777777" w:rsidTr="00EC13B7">
        <w:tc>
          <w:tcPr>
            <w:tcW w:w="574" w:type="dxa"/>
          </w:tcPr>
          <w:p w14:paraId="4FF2137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lastRenderedPageBreak/>
              <w:t>15</w:t>
            </w:r>
          </w:p>
        </w:tc>
        <w:tc>
          <w:tcPr>
            <w:tcW w:w="2702" w:type="dxa"/>
          </w:tcPr>
          <w:p w14:paraId="14E13F2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立法院職權行使法部分條文修正草案（修正§22、23、25、26、28、47、48、77；增訂§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2139" w:type="dxa"/>
          </w:tcPr>
          <w:p w14:paraId="204098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691CD9D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12DDCEB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109.12.30 </w:t>
            </w:r>
          </w:p>
          <w:p w14:paraId="62512D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（10-2-11）</w:t>
            </w:r>
          </w:p>
        </w:tc>
        <w:tc>
          <w:tcPr>
            <w:tcW w:w="1472" w:type="dxa"/>
          </w:tcPr>
          <w:p w14:paraId="5F45F03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91C9CD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120C4EC" w14:textId="77777777" w:rsidTr="00EC13B7">
        <w:tc>
          <w:tcPr>
            <w:tcW w:w="574" w:type="dxa"/>
          </w:tcPr>
          <w:p w14:paraId="5BDA104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16</w:t>
            </w:r>
          </w:p>
        </w:tc>
        <w:tc>
          <w:tcPr>
            <w:tcW w:w="2702" w:type="dxa"/>
          </w:tcPr>
          <w:p w14:paraId="57AEC41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r w:rsidRPr="00026143">
              <w:rPr>
                <w:rFonts w:ascii="標楷體" w:eastAsia="標楷體" w:hAnsi="標楷體"/>
                <w:color w:val="000000" w:themeColor="text1"/>
              </w:rPr>
              <w:t>.立法院職權行使法第二十五條條文修正草案(修正重點：對於行政院院長或部會首長對於質詢之答復若有超過質詢範圍、反質詢或實問虛答者，主席應即主動制止並要求據實答復，以保障立法委員質詢權。)</w:t>
            </w:r>
          </w:p>
        </w:tc>
        <w:tc>
          <w:tcPr>
            <w:tcW w:w="2139" w:type="dxa"/>
          </w:tcPr>
          <w:p w14:paraId="66A47E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委員江啟臣</w:t>
            </w:r>
          </w:p>
          <w:p w14:paraId="4FA7ABD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E771B7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6A66447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472" w:type="dxa"/>
          </w:tcPr>
          <w:p w14:paraId="705DF3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5F60015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B50BF67" w14:textId="77777777" w:rsidTr="00EC13B7">
        <w:tc>
          <w:tcPr>
            <w:tcW w:w="574" w:type="dxa"/>
          </w:tcPr>
          <w:p w14:paraId="612F427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17</w:t>
            </w:r>
          </w:p>
        </w:tc>
        <w:tc>
          <w:tcPr>
            <w:tcW w:w="2702" w:type="dxa"/>
          </w:tcPr>
          <w:p w14:paraId="6D149F1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5.立法院職權行使法增訂第二十八條之三及第二十八條之四條文草案（增訂重點：訂定國會偽證罪，行政官員於國會</w:t>
            </w:r>
            <w:r w:rsidRPr="00026143">
              <w:rPr>
                <w:rFonts w:ascii="標楷體" w:eastAsia="標楷體" w:hAnsi="標楷體"/>
                <w:color w:val="000000" w:themeColor="text1"/>
              </w:rPr>
              <w:lastRenderedPageBreak/>
              <w:t>備詢時作虛偽陳述或提供不實資料者，處有期徒刑；訂定藐視國會罪，未經會議主席准假而缺席者，視為藐視國會，處有期徒刑。）</w:t>
            </w:r>
          </w:p>
        </w:tc>
        <w:tc>
          <w:tcPr>
            <w:tcW w:w="2139" w:type="dxa"/>
          </w:tcPr>
          <w:p w14:paraId="4B277FC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委員呂玉玲</w:t>
            </w:r>
          </w:p>
          <w:p w14:paraId="455DFA7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15D92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110.11.26 </w:t>
            </w:r>
          </w:p>
          <w:p w14:paraId="3DC15D5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（10-4-11）</w:t>
            </w:r>
          </w:p>
        </w:tc>
        <w:tc>
          <w:tcPr>
            <w:tcW w:w="1472" w:type="dxa"/>
          </w:tcPr>
          <w:p w14:paraId="3E27EC7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CA75A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F4CC2C9" w14:textId="77777777" w:rsidTr="00EC13B7">
        <w:tc>
          <w:tcPr>
            <w:tcW w:w="574" w:type="dxa"/>
          </w:tcPr>
          <w:p w14:paraId="43CBBBD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lastRenderedPageBreak/>
              <w:t>18</w:t>
            </w:r>
          </w:p>
        </w:tc>
        <w:tc>
          <w:tcPr>
            <w:tcW w:w="2702" w:type="dxa"/>
          </w:tcPr>
          <w:p w14:paraId="79F216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職權行使法部分條文修正草案（修正§9、14、70、72；增訂§74-1。修正重點：委員會審查結果若有2分之1或以上條文經委員會決議保留送院會處理之法案，第二讀會時，院會應作成「重付審查」之決議，交付委員會重新審查之；明定採記名投票表決；議案協商公開；院會就協商結論之異議，應進行討論；議事程序中對於逕付二讀案之處理程序，現行規範漏未規定部分，予以補正。）</w:t>
            </w:r>
          </w:p>
        </w:tc>
        <w:tc>
          <w:tcPr>
            <w:tcW w:w="2139" w:type="dxa"/>
          </w:tcPr>
          <w:p w14:paraId="575F8FF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委員陳明文</w:t>
            </w:r>
          </w:p>
          <w:p w14:paraId="0822532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27DC5B3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4BA3AC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472" w:type="dxa"/>
          </w:tcPr>
          <w:p w14:paraId="611EEB0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7A2B043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2EE4AB1" w14:textId="77777777" w:rsidTr="00EC13B7">
        <w:tc>
          <w:tcPr>
            <w:tcW w:w="574" w:type="dxa"/>
          </w:tcPr>
          <w:p w14:paraId="1ED983F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19</w:t>
            </w:r>
          </w:p>
        </w:tc>
        <w:tc>
          <w:tcPr>
            <w:tcW w:w="2702" w:type="dxa"/>
          </w:tcPr>
          <w:p w14:paraId="19A7961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職權行使法第七條條文修正草案(修正重點：維持現行條文或不予增訂為二讀不通過，故無三讀之必要；惟廢止案旨在審議法律應否廢止，因無修正文字之必要，向例均省略三讀程序，為免爭議，明定法律廢止案不須三讀程序。)</w:t>
            </w:r>
          </w:p>
        </w:tc>
        <w:tc>
          <w:tcPr>
            <w:tcW w:w="2139" w:type="dxa"/>
          </w:tcPr>
          <w:p w14:paraId="4D3676A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委員江啟臣</w:t>
            </w:r>
          </w:p>
          <w:p w14:paraId="3D73C8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1DD1687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05A071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472" w:type="dxa"/>
          </w:tcPr>
          <w:p w14:paraId="772922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002E7FE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8E2C7EA" w14:textId="77777777" w:rsidTr="00EC13B7">
        <w:tc>
          <w:tcPr>
            <w:tcW w:w="574" w:type="dxa"/>
          </w:tcPr>
          <w:p w14:paraId="5AB4267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20</w:t>
            </w:r>
          </w:p>
        </w:tc>
        <w:tc>
          <w:tcPr>
            <w:tcW w:w="2702" w:type="dxa"/>
          </w:tcPr>
          <w:p w14:paraId="4C358ED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立法院職權行使法第三十四條條文修正草案(修正重點：修正覆議案維持原決議之議決門檻為全體立法委員二分之一以上贊成，使其與憲法規定一致。)</w:t>
            </w:r>
          </w:p>
        </w:tc>
        <w:tc>
          <w:tcPr>
            <w:tcW w:w="2139" w:type="dxa"/>
          </w:tcPr>
          <w:p w14:paraId="3DB59CB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委員江啟臣</w:t>
            </w:r>
          </w:p>
          <w:p w14:paraId="7B4993F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50BF08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110.11.19 </w:t>
            </w:r>
          </w:p>
          <w:p w14:paraId="4BAD94F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（10-4-10）</w:t>
            </w:r>
          </w:p>
        </w:tc>
        <w:tc>
          <w:tcPr>
            <w:tcW w:w="1472" w:type="dxa"/>
          </w:tcPr>
          <w:p w14:paraId="5D3977C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00B55DF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0E722C2" w14:textId="77777777" w:rsidTr="00EC13B7">
        <w:tc>
          <w:tcPr>
            <w:tcW w:w="574" w:type="dxa"/>
          </w:tcPr>
          <w:p w14:paraId="3F1C272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21</w:t>
            </w:r>
          </w:p>
        </w:tc>
        <w:tc>
          <w:tcPr>
            <w:tcW w:w="2702" w:type="dxa"/>
          </w:tcPr>
          <w:p w14:paraId="36173C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立法院職權行使法第十五條之一條文修正草案（修正重點：訂定總統應於每年二月一日以前，</w:t>
            </w:r>
            <w:r w:rsidRPr="00026143">
              <w:rPr>
                <w:rFonts w:ascii="標楷體" w:eastAsia="標楷體" w:hAnsi="標楷體"/>
                <w:color w:val="000000" w:themeColor="text1"/>
              </w:rPr>
              <w:lastRenderedPageBreak/>
              <w:t>應同行政院施政報告，提出國家大政方針，並於二月底前向立法院提出國情報告；新任總統就職兩週內，應向立法院提出國家大政方針，並於一個月內赴立法院進行國情報告。）</w:t>
            </w:r>
          </w:p>
        </w:tc>
        <w:tc>
          <w:tcPr>
            <w:tcW w:w="2139" w:type="dxa"/>
          </w:tcPr>
          <w:p w14:paraId="3471C2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委員呂玉玲</w:t>
            </w:r>
          </w:p>
          <w:p w14:paraId="0B4EB25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51D9E8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110.11.26 </w:t>
            </w:r>
          </w:p>
          <w:p w14:paraId="3C58A8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（10-4-11）</w:t>
            </w:r>
          </w:p>
        </w:tc>
        <w:tc>
          <w:tcPr>
            <w:tcW w:w="1472" w:type="dxa"/>
          </w:tcPr>
          <w:p w14:paraId="304C78D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00C501E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23B1ED" w14:textId="77777777" w:rsidTr="00EC13B7">
        <w:tc>
          <w:tcPr>
            <w:tcW w:w="574" w:type="dxa"/>
          </w:tcPr>
          <w:p w14:paraId="5E2D418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lastRenderedPageBreak/>
              <w:t>22</w:t>
            </w:r>
          </w:p>
        </w:tc>
        <w:tc>
          <w:tcPr>
            <w:tcW w:w="2702" w:type="dxa"/>
          </w:tcPr>
          <w:p w14:paraId="093776E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立法院職權行使法第十一條條文修正草案(修正重點：法律案經三讀通過後，至遲應於十五個工作日內移送總統及行政院。但為配合相關法律案一併公布或其他經黨團協商同意者，不在此限。)</w:t>
            </w:r>
          </w:p>
        </w:tc>
        <w:tc>
          <w:tcPr>
            <w:tcW w:w="2139" w:type="dxa"/>
          </w:tcPr>
          <w:p w14:paraId="2FD8529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委員江啟臣</w:t>
            </w:r>
          </w:p>
          <w:p w14:paraId="18E4E47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01E586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4731CB0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472" w:type="dxa"/>
          </w:tcPr>
          <w:p w14:paraId="5C465EB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2ACCC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F9A9655" w14:textId="77777777" w:rsidTr="00EC13B7">
        <w:tc>
          <w:tcPr>
            <w:tcW w:w="574" w:type="dxa"/>
          </w:tcPr>
          <w:p w14:paraId="166D974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23</w:t>
            </w:r>
          </w:p>
        </w:tc>
        <w:tc>
          <w:tcPr>
            <w:tcW w:w="2702" w:type="dxa"/>
          </w:tcPr>
          <w:p w14:paraId="05526C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立法委員行為法部分條文修正草案（修正§2、10、11、13、16、20、26、31；增訂§2-1、11-1；刪除§19。修正重點：增修立法委員關係人範圍界定、秘密會議未遵守保密規定之法律效果、兩岸交流之資訊透明化等事項相關規範，以強化立法委員行使職權之利益迴避。）</w:t>
            </w:r>
          </w:p>
        </w:tc>
        <w:tc>
          <w:tcPr>
            <w:tcW w:w="2139" w:type="dxa"/>
          </w:tcPr>
          <w:p w14:paraId="462293F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委員賴瑞隆</w:t>
            </w:r>
          </w:p>
          <w:p w14:paraId="3792FD2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1D0701F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109.03.13 </w:t>
            </w:r>
          </w:p>
          <w:p w14:paraId="30E2FBB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（10-1-4）</w:t>
            </w:r>
          </w:p>
        </w:tc>
        <w:tc>
          <w:tcPr>
            <w:tcW w:w="1472" w:type="dxa"/>
          </w:tcPr>
          <w:p w14:paraId="0EDF113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EA4493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57D35B3" w14:textId="77777777" w:rsidTr="00EC13B7">
        <w:tc>
          <w:tcPr>
            <w:tcW w:w="574" w:type="dxa"/>
          </w:tcPr>
          <w:p w14:paraId="0886074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24</w:t>
            </w:r>
          </w:p>
        </w:tc>
        <w:tc>
          <w:tcPr>
            <w:tcW w:w="2702" w:type="dxa"/>
          </w:tcPr>
          <w:p w14:paraId="18D31FA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2.立法委員行為法第十三條條文修正草案（修正重點：增訂立法委員於各會期報到期限內未完成報到者，應予停發歲費及公費，至其完成報到後，始得發放自該會期起之歲費及公費。）</w:t>
            </w:r>
          </w:p>
        </w:tc>
        <w:tc>
          <w:tcPr>
            <w:tcW w:w="2139" w:type="dxa"/>
          </w:tcPr>
          <w:p w14:paraId="76729EE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委員林楚茵</w:t>
            </w:r>
          </w:p>
          <w:p w14:paraId="26474EE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8AAA9F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66465A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tc>
        <w:tc>
          <w:tcPr>
            <w:tcW w:w="1472" w:type="dxa"/>
          </w:tcPr>
          <w:p w14:paraId="341C9C7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48AB0F7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D190C6" w14:textId="77777777" w:rsidTr="00EC13B7">
        <w:tc>
          <w:tcPr>
            <w:tcW w:w="574" w:type="dxa"/>
          </w:tcPr>
          <w:p w14:paraId="0F81FC5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25</w:t>
            </w:r>
          </w:p>
        </w:tc>
        <w:tc>
          <w:tcPr>
            <w:tcW w:w="2702" w:type="dxa"/>
          </w:tcPr>
          <w:p w14:paraId="08B9F65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3.立法委員行為法第十三條條文修正草案（修正重點：如立法委員法律上或事實上不能行使職權時，不得支給待遇及辦公事務必要費用之油料費、國會交流事務經費、健康檢查費。）</w:t>
            </w:r>
          </w:p>
        </w:tc>
        <w:tc>
          <w:tcPr>
            <w:tcW w:w="2139" w:type="dxa"/>
          </w:tcPr>
          <w:p w14:paraId="612D0B1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180EC81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109.12.18 </w:t>
            </w:r>
          </w:p>
          <w:p w14:paraId="0A1E31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（10-2-8）</w:t>
            </w:r>
          </w:p>
        </w:tc>
        <w:tc>
          <w:tcPr>
            <w:tcW w:w="1472" w:type="dxa"/>
          </w:tcPr>
          <w:p w14:paraId="4350A47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07C280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88A8D16" w14:textId="77777777" w:rsidTr="00EC13B7">
        <w:tc>
          <w:tcPr>
            <w:tcW w:w="574" w:type="dxa"/>
          </w:tcPr>
          <w:p w14:paraId="41ABEC0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26</w:t>
            </w:r>
          </w:p>
        </w:tc>
        <w:tc>
          <w:tcPr>
            <w:tcW w:w="2702" w:type="dxa"/>
          </w:tcPr>
          <w:p w14:paraId="7B8A71D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4.立法委員行為法第十</w:t>
            </w:r>
            <w:r w:rsidRPr="00026143">
              <w:rPr>
                <w:rFonts w:ascii="標楷體" w:eastAsia="標楷體" w:hAnsi="標楷體"/>
                <w:color w:val="000000" w:themeColor="text1"/>
              </w:rPr>
              <w:lastRenderedPageBreak/>
              <w:t>一條及第十三條條文修正草案（修正重點：委員及公職人員利益衝突迴避法第3條所定之關係人不得兼任民營事業機構之職務；委員發生無法行使職權之情形達一定時間，應停發歲費及公費。）</w:t>
            </w:r>
          </w:p>
        </w:tc>
        <w:tc>
          <w:tcPr>
            <w:tcW w:w="2139" w:type="dxa"/>
          </w:tcPr>
          <w:p w14:paraId="093DAF1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委員劉世芳</w:t>
            </w:r>
          </w:p>
          <w:p w14:paraId="1E725CD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等16人 </w:t>
            </w:r>
          </w:p>
          <w:p w14:paraId="245FB3D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109.12.24 </w:t>
            </w:r>
          </w:p>
          <w:p w14:paraId="0683FB6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472" w:type="dxa"/>
          </w:tcPr>
          <w:p w14:paraId="104F86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62" w:type="dxa"/>
          </w:tcPr>
          <w:p w14:paraId="55F1CE7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CE87556" w14:textId="77777777" w:rsidTr="00EC13B7">
        <w:tc>
          <w:tcPr>
            <w:tcW w:w="574" w:type="dxa"/>
          </w:tcPr>
          <w:p w14:paraId="3653676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lastRenderedPageBreak/>
              <w:t>27</w:t>
            </w:r>
          </w:p>
        </w:tc>
        <w:tc>
          <w:tcPr>
            <w:tcW w:w="2702" w:type="dxa"/>
          </w:tcPr>
          <w:p w14:paraId="38B1944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委員行為法增訂第五條之一條文草案（增訂重點：鑑於現行立法委員行為法並未針對犯刑確定、取得外國國籍之立法委員訂定相關解除職權之規範，爰明定立法委員解除職權之條件、程序及補選等有關規定。）</w:t>
            </w:r>
          </w:p>
        </w:tc>
        <w:tc>
          <w:tcPr>
            <w:tcW w:w="2139" w:type="dxa"/>
          </w:tcPr>
          <w:p w14:paraId="0F936AA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委員鍾佳濱</w:t>
            </w:r>
          </w:p>
          <w:p w14:paraId="256F34E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364C55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297EF78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tc>
        <w:tc>
          <w:tcPr>
            <w:tcW w:w="1472" w:type="dxa"/>
          </w:tcPr>
          <w:p w14:paraId="06EAEC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7D85B1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BB564A5" w14:textId="77777777" w:rsidTr="00EC13B7">
        <w:tc>
          <w:tcPr>
            <w:tcW w:w="574" w:type="dxa"/>
          </w:tcPr>
          <w:p w14:paraId="4CEA28F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rPr>
              <w:t>28</w:t>
            </w:r>
          </w:p>
        </w:tc>
        <w:tc>
          <w:tcPr>
            <w:tcW w:w="2702" w:type="dxa"/>
          </w:tcPr>
          <w:p w14:paraId="4E31E1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立法委員行為法第四條條文修正草案（修正重點：立法委員受有期徒刑以上之刑判決確定，應於確定之日起其職務立即解除。）</w:t>
            </w:r>
          </w:p>
        </w:tc>
        <w:tc>
          <w:tcPr>
            <w:tcW w:w="2139" w:type="dxa"/>
          </w:tcPr>
          <w:p w14:paraId="6AAF273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委員張廖萬堅</w:t>
            </w:r>
          </w:p>
          <w:p w14:paraId="5C7F80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27E32C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5E6F26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tc>
        <w:tc>
          <w:tcPr>
            <w:tcW w:w="1472" w:type="dxa"/>
          </w:tcPr>
          <w:p w14:paraId="69317C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2A8B43D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F0C35B4" w14:textId="77777777" w:rsidTr="00EC13B7">
        <w:tc>
          <w:tcPr>
            <w:tcW w:w="574" w:type="dxa"/>
          </w:tcPr>
          <w:p w14:paraId="38E2DED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hint="eastAsia"/>
              </w:rPr>
              <w:t>29</w:t>
            </w:r>
          </w:p>
        </w:tc>
        <w:tc>
          <w:tcPr>
            <w:tcW w:w="2702" w:type="dxa"/>
          </w:tcPr>
          <w:p w14:paraId="728CA4B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2139" w:type="dxa"/>
          </w:tcPr>
          <w:p w14:paraId="1897F7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190EBA8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6516A3C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tc>
        <w:tc>
          <w:tcPr>
            <w:tcW w:w="1472" w:type="dxa"/>
          </w:tcPr>
          <w:p w14:paraId="3097231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312978C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81FE600" w14:textId="77777777" w:rsidTr="00EC13B7">
        <w:tc>
          <w:tcPr>
            <w:tcW w:w="574" w:type="dxa"/>
          </w:tcPr>
          <w:p w14:paraId="3274FD1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hint="eastAsia"/>
              </w:rPr>
              <w:t>30</w:t>
            </w:r>
          </w:p>
        </w:tc>
        <w:tc>
          <w:tcPr>
            <w:tcW w:w="2702" w:type="dxa"/>
          </w:tcPr>
          <w:p w14:paraId="4D1DB51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立法委員行為法第七條條文修正草案（修正重點：明文規範立法委員出現性騷擾及性別歧視之言論或行為時，應交紀律委員會議處。）</w:t>
            </w:r>
          </w:p>
        </w:tc>
        <w:tc>
          <w:tcPr>
            <w:tcW w:w="2139" w:type="dxa"/>
          </w:tcPr>
          <w:p w14:paraId="07B82DF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3FC8EA1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19C99AD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109.09.25 </w:t>
            </w:r>
          </w:p>
          <w:p w14:paraId="664641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（10-2-2）</w:t>
            </w:r>
          </w:p>
        </w:tc>
        <w:tc>
          <w:tcPr>
            <w:tcW w:w="1472" w:type="dxa"/>
          </w:tcPr>
          <w:p w14:paraId="304D02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55D52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8784498" w14:textId="77777777" w:rsidTr="00EC13B7">
        <w:tc>
          <w:tcPr>
            <w:tcW w:w="574" w:type="dxa"/>
          </w:tcPr>
          <w:p w14:paraId="3AC76E9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hint="eastAsia"/>
              </w:rPr>
              <w:t>31</w:t>
            </w:r>
          </w:p>
        </w:tc>
        <w:tc>
          <w:tcPr>
            <w:tcW w:w="2702" w:type="dxa"/>
          </w:tcPr>
          <w:p w14:paraId="0FEA292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立法委員行為法增訂第七條之一及第七條之二條文草案（增訂重點：為確保立法院警察權行使之正當性，應以排除院會主席議事障礙及維</w:t>
            </w:r>
            <w:r w:rsidRPr="00026143">
              <w:rPr>
                <w:rFonts w:ascii="標楷體" w:eastAsia="標楷體" w:hAnsi="標楷體"/>
                <w:color w:val="000000" w:themeColor="text1"/>
              </w:rPr>
              <w:lastRenderedPageBreak/>
              <w:t>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2139" w:type="dxa"/>
          </w:tcPr>
          <w:p w14:paraId="253909D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委員葉毓蘭</w:t>
            </w:r>
          </w:p>
          <w:p w14:paraId="183B6D0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AD34D6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109.10.06 </w:t>
            </w:r>
          </w:p>
          <w:p w14:paraId="574E80A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（10-2-3）</w:t>
            </w:r>
          </w:p>
        </w:tc>
        <w:tc>
          <w:tcPr>
            <w:tcW w:w="1472" w:type="dxa"/>
          </w:tcPr>
          <w:p w14:paraId="79A96A2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7359D61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3B12836" w14:textId="77777777" w:rsidTr="00EC13B7">
        <w:tc>
          <w:tcPr>
            <w:tcW w:w="574" w:type="dxa"/>
          </w:tcPr>
          <w:p w14:paraId="18EC534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hint="eastAsia"/>
              </w:rPr>
              <w:lastRenderedPageBreak/>
              <w:t>32</w:t>
            </w:r>
          </w:p>
        </w:tc>
        <w:tc>
          <w:tcPr>
            <w:tcW w:w="2702" w:type="dxa"/>
          </w:tcPr>
          <w:p w14:paraId="3D42F53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立法委員行為法第二條條文修正草案（修正重點：規定立法院應於網站上公開公費助理之姓名及職稱等資訊。）</w:t>
            </w:r>
          </w:p>
        </w:tc>
        <w:tc>
          <w:tcPr>
            <w:tcW w:w="2139" w:type="dxa"/>
          </w:tcPr>
          <w:p w14:paraId="4CC67B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委員陳明文</w:t>
            </w:r>
          </w:p>
          <w:p w14:paraId="7574180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01CA98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439723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tcPr>
          <w:p w14:paraId="3ADF62E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26E1136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72598E" w14:textId="77777777" w:rsidTr="00EC13B7">
        <w:tc>
          <w:tcPr>
            <w:tcW w:w="574" w:type="dxa"/>
          </w:tcPr>
          <w:p w14:paraId="5E606D6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hAnsi="標楷體" w:hint="eastAsia"/>
              </w:rPr>
              <w:t>33</w:t>
            </w:r>
          </w:p>
        </w:tc>
        <w:tc>
          <w:tcPr>
            <w:tcW w:w="2702" w:type="dxa"/>
          </w:tcPr>
          <w:p w14:paraId="3451840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2139" w:type="dxa"/>
          </w:tcPr>
          <w:p w14:paraId="3641B2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委員黃國書</w:t>
            </w:r>
          </w:p>
          <w:p w14:paraId="1163923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33EE17C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0143E6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tcPr>
          <w:p w14:paraId="33AA1BC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tcPr>
          <w:p w14:paraId="1FF97E6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5AE28243" w14:textId="77777777" w:rsidR="00EC13B7" w:rsidRPr="00026143" w:rsidRDefault="00EC13B7" w:rsidP="003F057E">
      <w:pPr>
        <w:pStyle w:val="-40"/>
        <w:kinsoku w:val="0"/>
        <w:wordWrap w:val="0"/>
        <w:topLinePunct/>
        <w:spacing w:beforeLines="100" w:before="360" w:afterLines="100" w:after="360" w:line="300" w:lineRule="exact"/>
        <w:ind w:left="1134"/>
        <w:jc w:val="left"/>
        <w:textAlignment w:val="top"/>
        <w:rPr>
          <w:color w:val="000000" w:themeColor="text1"/>
        </w:rPr>
      </w:pPr>
      <w:bookmarkStart w:id="424" w:name="_Toc361217361"/>
      <w:bookmarkStart w:id="425" w:name="_Toc362968421"/>
      <w:bookmarkStart w:id="426" w:name="_Toc428286988"/>
      <w:bookmarkStart w:id="427" w:name="_Toc510167701"/>
      <w:bookmarkStart w:id="428" w:name="_Toc1401088"/>
      <w:bookmarkStart w:id="429" w:name="_Toc96350534"/>
      <w:r w:rsidRPr="00026143">
        <w:rPr>
          <w:color w:val="000000" w:themeColor="text1"/>
        </w:rPr>
        <w:t>（四）司法院</w:t>
      </w:r>
      <w:r w:rsidRPr="00026143">
        <w:rPr>
          <w:rFonts w:hint="eastAsia"/>
          <w:color w:val="000000" w:themeColor="text1"/>
        </w:rPr>
        <w:t>1</w:t>
      </w:r>
      <w:r w:rsidRPr="00026143">
        <w:rPr>
          <w:color w:val="000000" w:themeColor="text1"/>
        </w:rPr>
        <w:t>43</w:t>
      </w:r>
      <w:bookmarkEnd w:id="424"/>
      <w:bookmarkEnd w:id="425"/>
      <w:bookmarkEnd w:id="426"/>
      <w:bookmarkEnd w:id="427"/>
      <w:bookmarkEnd w:id="428"/>
      <w:bookmarkEnd w:id="429"/>
      <w:r w:rsidRPr="00026143">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8"/>
        <w:gridCol w:w="2688"/>
        <w:gridCol w:w="2139"/>
        <w:gridCol w:w="1472"/>
        <w:gridCol w:w="1876"/>
      </w:tblGrid>
      <w:tr w:rsidR="00EC13B7" w:rsidRPr="00026143" w14:paraId="1FDFB9C6" w14:textId="77777777" w:rsidTr="007932B9">
        <w:tc>
          <w:tcPr>
            <w:tcW w:w="588" w:type="dxa"/>
            <w:shd w:val="clear" w:color="auto" w:fill="auto"/>
          </w:tcPr>
          <w:p w14:paraId="3EAC30D6"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88" w:type="dxa"/>
            <w:shd w:val="clear" w:color="auto" w:fill="auto"/>
          </w:tcPr>
          <w:p w14:paraId="6EDA5C2E" w14:textId="77777777" w:rsidR="00EC13B7" w:rsidRPr="00026143" w:rsidRDefault="00EC13B7" w:rsidP="00EC13B7">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139" w:type="dxa"/>
            <w:shd w:val="clear" w:color="auto" w:fill="auto"/>
          </w:tcPr>
          <w:p w14:paraId="4A0F33C4"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4441C523"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2A34AEE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472" w:type="dxa"/>
            <w:shd w:val="clear" w:color="auto" w:fill="auto"/>
          </w:tcPr>
          <w:p w14:paraId="42259513"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76" w:type="dxa"/>
            <w:shd w:val="clear" w:color="auto" w:fill="auto"/>
          </w:tcPr>
          <w:p w14:paraId="36D4E19B" w14:textId="77777777" w:rsidR="00EC13B7" w:rsidRPr="00026143" w:rsidRDefault="00EC13B7"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4477A746" w14:textId="77777777" w:rsidTr="00EC13B7">
        <w:tc>
          <w:tcPr>
            <w:tcW w:w="588" w:type="dxa"/>
            <w:shd w:val="clear" w:color="auto" w:fill="auto"/>
          </w:tcPr>
          <w:p w14:paraId="64E698D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88" w:type="dxa"/>
            <w:shd w:val="clear" w:color="auto" w:fill="auto"/>
          </w:tcPr>
          <w:p w14:paraId="7D81C3D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民事訴訟法第一條、第十八條及第一百零八條條文修正草案（修正重</w:t>
            </w:r>
            <w:r w:rsidRPr="00026143">
              <w:rPr>
                <w:rFonts w:ascii="標楷體" w:eastAsia="標楷體" w:hAnsi="標楷體"/>
                <w:color w:val="000000" w:themeColor="text1"/>
              </w:rPr>
              <w:lastRenderedPageBreak/>
              <w:t>點：將「中華民國人」文字修正為「中華民國國民」。）</w:t>
            </w:r>
          </w:p>
        </w:tc>
        <w:tc>
          <w:tcPr>
            <w:tcW w:w="2139" w:type="dxa"/>
            <w:shd w:val="clear" w:color="auto" w:fill="auto"/>
          </w:tcPr>
          <w:p w14:paraId="7642421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委員鄭運鵬</w:t>
            </w:r>
          </w:p>
          <w:p w14:paraId="66EDDD9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E5AF27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110.03.12 </w:t>
            </w:r>
          </w:p>
          <w:p w14:paraId="121404A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（10-3-3）</w:t>
            </w:r>
          </w:p>
        </w:tc>
        <w:tc>
          <w:tcPr>
            <w:tcW w:w="1472" w:type="dxa"/>
            <w:shd w:val="clear" w:color="auto" w:fill="auto"/>
          </w:tcPr>
          <w:p w14:paraId="2502B96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748F9C9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2224F11" w14:textId="77777777" w:rsidTr="00EC13B7">
        <w:tc>
          <w:tcPr>
            <w:tcW w:w="588" w:type="dxa"/>
            <w:shd w:val="clear" w:color="auto" w:fill="auto"/>
          </w:tcPr>
          <w:p w14:paraId="3D58EE7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w:t>
            </w:r>
          </w:p>
        </w:tc>
        <w:tc>
          <w:tcPr>
            <w:tcW w:w="2688" w:type="dxa"/>
            <w:shd w:val="clear" w:color="auto" w:fill="auto"/>
          </w:tcPr>
          <w:p w14:paraId="17C204E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民事訴訟法部分條文修正草案」及「民事訴訟法施行法修正草案」(【1】民事訴訟法刪除§44-4、466-1~3；修正§51、51-1、68、72、77-11、77-25、88、第四章第一節節名、126、132、138、143、145、229、272、374、387、441、465、469、469-1、470、472、474、475、477、478、483、496、497、498-1、499、500、502、502-1、504；增訂§68-1~6、472-1、474-1、476-1、478-1、480-1、502-2。修正重點：建構第三審為嚴格法律審之金字塔型訴訟結構，及採行律師強制代理制度，與再審制度變革。【2】民事訴訟法施行法全文修正，共22條。修正重點：配合民事訴訟法部分條文修正增修。)</w:t>
            </w:r>
          </w:p>
        </w:tc>
        <w:tc>
          <w:tcPr>
            <w:tcW w:w="2139" w:type="dxa"/>
            <w:shd w:val="clear" w:color="auto" w:fill="auto"/>
          </w:tcPr>
          <w:p w14:paraId="094212E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46DC796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111.03.01 </w:t>
            </w:r>
          </w:p>
          <w:p w14:paraId="132AD29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w:t>
            </w:r>
          </w:p>
        </w:tc>
        <w:tc>
          <w:tcPr>
            <w:tcW w:w="1472" w:type="dxa"/>
            <w:shd w:val="clear" w:color="auto" w:fill="auto"/>
          </w:tcPr>
          <w:p w14:paraId="6CDEBB9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1465472" w14:textId="46F4AD94" w:rsidR="00EC13B7" w:rsidRPr="00026143" w:rsidRDefault="00EC13B7" w:rsidP="00950F4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w:t>
            </w:r>
            <w:r w:rsidR="00950F46">
              <w:rPr>
                <w:rFonts w:ascii="標楷體" w:eastAsia="標楷體" w:hAnsi="標楷體" w:hint="eastAsia"/>
                <w:color w:val="000000" w:themeColor="text1"/>
              </w:rPr>
              <w:t>1</w:t>
            </w:r>
            <w:r w:rsidRPr="00026143">
              <w:rPr>
                <w:rFonts w:ascii="標楷體" w:eastAsia="標楷體" w:hAnsi="標楷體"/>
                <w:color w:val="000000" w:themeColor="text1"/>
              </w:rPr>
              <w:t>11.4.20舉行「落實司法改革建構金字塔型訴訟制度」公聽會。</w:t>
            </w:r>
          </w:p>
        </w:tc>
      </w:tr>
      <w:tr w:rsidR="00EC13B7" w:rsidRPr="00026143" w14:paraId="09F9122A" w14:textId="77777777" w:rsidTr="00EC13B7">
        <w:tc>
          <w:tcPr>
            <w:tcW w:w="588" w:type="dxa"/>
            <w:shd w:val="clear" w:color="auto" w:fill="auto"/>
          </w:tcPr>
          <w:p w14:paraId="193FF4C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688" w:type="dxa"/>
            <w:shd w:val="clear" w:color="auto" w:fill="auto"/>
          </w:tcPr>
          <w:p w14:paraId="459D3EB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2.民事訴訟法第四百九十六條及第五百條條文修正草案（修正重點：明定以大法官解釋為由提出再審之訴者，不受5年除斥期間之限制。）</w:t>
            </w:r>
          </w:p>
        </w:tc>
        <w:tc>
          <w:tcPr>
            <w:tcW w:w="2139" w:type="dxa"/>
            <w:shd w:val="clear" w:color="auto" w:fill="auto"/>
          </w:tcPr>
          <w:p w14:paraId="3C7BF1E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委員林思銘</w:t>
            </w:r>
          </w:p>
          <w:p w14:paraId="79FD368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0222286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110.03.26 </w:t>
            </w:r>
          </w:p>
          <w:p w14:paraId="73738F1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（10-3-5）</w:t>
            </w:r>
          </w:p>
        </w:tc>
        <w:tc>
          <w:tcPr>
            <w:tcW w:w="1472" w:type="dxa"/>
            <w:shd w:val="clear" w:color="auto" w:fill="auto"/>
          </w:tcPr>
          <w:p w14:paraId="33444EC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E8E08E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481FA10" w14:textId="77777777" w:rsidTr="00EC13B7">
        <w:tc>
          <w:tcPr>
            <w:tcW w:w="588" w:type="dxa"/>
            <w:shd w:val="clear" w:color="auto" w:fill="auto"/>
          </w:tcPr>
          <w:p w14:paraId="333A933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688" w:type="dxa"/>
            <w:shd w:val="clear" w:color="auto" w:fill="auto"/>
          </w:tcPr>
          <w:p w14:paraId="692ED3D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3.民事訴訟法第五十一條條文修正草案（修正重點：本人得聲請法院為其選任特別代理人，法院認為必要時，亦得依職權為之。）</w:t>
            </w:r>
          </w:p>
        </w:tc>
        <w:tc>
          <w:tcPr>
            <w:tcW w:w="2139" w:type="dxa"/>
            <w:shd w:val="clear" w:color="auto" w:fill="auto"/>
          </w:tcPr>
          <w:p w14:paraId="44829D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61D4A3A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110.03.26</w:t>
            </w:r>
          </w:p>
          <w:p w14:paraId="35975BD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（10-3-5）</w:t>
            </w:r>
          </w:p>
        </w:tc>
        <w:tc>
          <w:tcPr>
            <w:tcW w:w="1472" w:type="dxa"/>
            <w:shd w:val="clear" w:color="auto" w:fill="auto"/>
          </w:tcPr>
          <w:p w14:paraId="0AAB31F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4A8383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D51707C" w14:textId="77777777" w:rsidTr="00EC13B7">
        <w:tc>
          <w:tcPr>
            <w:tcW w:w="588" w:type="dxa"/>
            <w:shd w:val="clear" w:color="auto" w:fill="auto"/>
          </w:tcPr>
          <w:p w14:paraId="29630E5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688" w:type="dxa"/>
            <w:shd w:val="clear" w:color="auto" w:fill="auto"/>
          </w:tcPr>
          <w:p w14:paraId="582A8B0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4.民事訴訟法第四百九十六條及第五百條條文修正草案（修正重點：修正放寬原再審要件有關新事證之定義；延長</w:t>
            </w:r>
            <w:r w:rsidRPr="00026143">
              <w:rPr>
                <w:rFonts w:ascii="標楷體" w:eastAsia="標楷體" w:hAnsi="標楷體"/>
                <w:color w:val="000000" w:themeColor="text1"/>
              </w:rPr>
              <w:lastRenderedPageBreak/>
              <w:t>至判決確定後逾10年始不得再提起再審。）</w:t>
            </w:r>
          </w:p>
        </w:tc>
        <w:tc>
          <w:tcPr>
            <w:tcW w:w="2139" w:type="dxa"/>
            <w:shd w:val="clear" w:color="auto" w:fill="auto"/>
          </w:tcPr>
          <w:p w14:paraId="732480C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5A6E42F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110.04.06 </w:t>
            </w:r>
          </w:p>
          <w:p w14:paraId="530AE4C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（10-3-6）</w:t>
            </w:r>
          </w:p>
        </w:tc>
        <w:tc>
          <w:tcPr>
            <w:tcW w:w="1472" w:type="dxa"/>
            <w:shd w:val="clear" w:color="auto" w:fill="auto"/>
          </w:tcPr>
          <w:p w14:paraId="63F870B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D096AC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AEDF9F" w14:textId="77777777" w:rsidTr="00EC13B7">
        <w:tc>
          <w:tcPr>
            <w:tcW w:w="588" w:type="dxa"/>
            <w:shd w:val="clear" w:color="auto" w:fill="auto"/>
          </w:tcPr>
          <w:p w14:paraId="3855475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6</w:t>
            </w:r>
          </w:p>
        </w:tc>
        <w:tc>
          <w:tcPr>
            <w:tcW w:w="2688" w:type="dxa"/>
            <w:shd w:val="clear" w:color="auto" w:fill="auto"/>
          </w:tcPr>
          <w:p w14:paraId="3A9EF66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5.民事訴訟法第四百九十六條條文修正草案（修正重點：依民事訴訟法請求國家賠償之人民，於發現前訴訟程序後始作成或存在之證據時，亦得聲請再審救濟。）</w:t>
            </w:r>
          </w:p>
        </w:tc>
        <w:tc>
          <w:tcPr>
            <w:tcW w:w="2139" w:type="dxa"/>
            <w:shd w:val="clear" w:color="auto" w:fill="auto"/>
          </w:tcPr>
          <w:p w14:paraId="7F5EA0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6C50C56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71B2768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472" w:type="dxa"/>
            <w:shd w:val="clear" w:color="auto" w:fill="auto"/>
          </w:tcPr>
          <w:p w14:paraId="667B19F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B9F5C9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9A0506C" w14:textId="77777777" w:rsidTr="00EC13B7">
        <w:tc>
          <w:tcPr>
            <w:tcW w:w="588" w:type="dxa"/>
            <w:shd w:val="clear" w:color="auto" w:fill="auto"/>
          </w:tcPr>
          <w:p w14:paraId="0EC5B26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w:t>
            </w:r>
          </w:p>
        </w:tc>
        <w:tc>
          <w:tcPr>
            <w:tcW w:w="2688" w:type="dxa"/>
            <w:shd w:val="clear" w:color="auto" w:fill="auto"/>
          </w:tcPr>
          <w:p w14:paraId="5159D28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民事訴訟法第四百零九條條文修正草案（修正重點：無正當理由不出席調解，罰鍰從3千元提高到3萬元。）</w:t>
            </w:r>
          </w:p>
        </w:tc>
        <w:tc>
          <w:tcPr>
            <w:tcW w:w="2139" w:type="dxa"/>
            <w:shd w:val="clear" w:color="auto" w:fill="auto"/>
          </w:tcPr>
          <w:p w14:paraId="7DEDD5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2817837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91BA34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110.04.06 </w:t>
            </w:r>
          </w:p>
          <w:p w14:paraId="2453D15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（10-3-6）</w:t>
            </w:r>
          </w:p>
        </w:tc>
        <w:tc>
          <w:tcPr>
            <w:tcW w:w="1472" w:type="dxa"/>
            <w:shd w:val="clear" w:color="auto" w:fill="auto"/>
          </w:tcPr>
          <w:p w14:paraId="3E926A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21F663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D9A7266" w14:textId="77777777" w:rsidTr="00EC13B7">
        <w:tc>
          <w:tcPr>
            <w:tcW w:w="588" w:type="dxa"/>
            <w:shd w:val="clear" w:color="auto" w:fill="auto"/>
          </w:tcPr>
          <w:p w14:paraId="763A2B4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w:t>
            </w:r>
          </w:p>
        </w:tc>
        <w:tc>
          <w:tcPr>
            <w:tcW w:w="2688" w:type="dxa"/>
            <w:shd w:val="clear" w:color="auto" w:fill="auto"/>
          </w:tcPr>
          <w:p w14:paraId="309B402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民事訴訟法第二百二十六條條文修正草案（修正重點：性相關犯罪的被害人得選擇在判決書遮蔽其姓名及身分資訊。）</w:t>
            </w:r>
          </w:p>
        </w:tc>
        <w:tc>
          <w:tcPr>
            <w:tcW w:w="2139" w:type="dxa"/>
            <w:shd w:val="clear" w:color="auto" w:fill="auto"/>
          </w:tcPr>
          <w:p w14:paraId="4EF8C74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3902921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32AC44C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15D6F21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472" w:type="dxa"/>
            <w:shd w:val="clear" w:color="auto" w:fill="auto"/>
          </w:tcPr>
          <w:p w14:paraId="7211280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738803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41EBF82" w14:textId="77777777" w:rsidTr="00EC13B7">
        <w:tc>
          <w:tcPr>
            <w:tcW w:w="588" w:type="dxa"/>
            <w:shd w:val="clear" w:color="auto" w:fill="auto"/>
          </w:tcPr>
          <w:p w14:paraId="59239F6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w:t>
            </w:r>
          </w:p>
        </w:tc>
        <w:tc>
          <w:tcPr>
            <w:tcW w:w="2688" w:type="dxa"/>
            <w:shd w:val="clear" w:color="auto" w:fill="auto"/>
          </w:tcPr>
          <w:p w14:paraId="46A6FF1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民事訴訟法部分條文修正草案」及「民事訴訟法施行法修正草案」(【1】民事訴訟法修正§77-1、77-2、77-4、77-5、77-13、77-17~19、77-22、83、89、90、91、95、272；增訂§93-1。修正重點：為使訴訟標的價額核定及訴訟費用徵收、退還之相關規定更臻明確，以促進司法資源合理利用，提升審理效能，爰提案修正。【2】民事訴訟法施行法全文修正，共22條。修正重點：配合民事訴訟法部分條文修正增修。)</w:t>
            </w:r>
          </w:p>
        </w:tc>
        <w:tc>
          <w:tcPr>
            <w:tcW w:w="2139" w:type="dxa"/>
            <w:shd w:val="clear" w:color="auto" w:fill="auto"/>
          </w:tcPr>
          <w:p w14:paraId="0F94286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41DF19F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111.03.11 </w:t>
            </w:r>
          </w:p>
          <w:p w14:paraId="26F2E53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（10-5-3）</w:t>
            </w:r>
          </w:p>
        </w:tc>
        <w:tc>
          <w:tcPr>
            <w:tcW w:w="1472" w:type="dxa"/>
            <w:shd w:val="clear" w:color="auto" w:fill="auto"/>
          </w:tcPr>
          <w:p w14:paraId="4F4FCDA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390C69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6129A1D" w14:textId="77777777" w:rsidTr="00EC13B7">
        <w:tc>
          <w:tcPr>
            <w:tcW w:w="588" w:type="dxa"/>
            <w:shd w:val="clear" w:color="auto" w:fill="auto"/>
          </w:tcPr>
          <w:p w14:paraId="4AA5AA5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w:t>
            </w:r>
          </w:p>
        </w:tc>
        <w:tc>
          <w:tcPr>
            <w:tcW w:w="2688" w:type="dxa"/>
            <w:shd w:val="clear" w:color="auto" w:fill="auto"/>
          </w:tcPr>
          <w:p w14:paraId="50852D8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1.民事訴訟法施行法第四條之七及第十二條條文修正草案（修正重點：對新法施行前發生之訴訟費用另定期間，惟已繳納者不適用之。）</w:t>
            </w:r>
          </w:p>
        </w:tc>
        <w:tc>
          <w:tcPr>
            <w:tcW w:w="2139" w:type="dxa"/>
            <w:shd w:val="clear" w:color="auto" w:fill="auto"/>
          </w:tcPr>
          <w:p w14:paraId="202FED3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委員黃國書</w:t>
            </w:r>
          </w:p>
          <w:p w14:paraId="69ACC6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454770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110.04.06</w:t>
            </w:r>
          </w:p>
          <w:p w14:paraId="576804D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（10-3-6）</w:t>
            </w:r>
          </w:p>
        </w:tc>
        <w:tc>
          <w:tcPr>
            <w:tcW w:w="1472" w:type="dxa"/>
            <w:shd w:val="clear" w:color="auto" w:fill="auto"/>
          </w:tcPr>
          <w:p w14:paraId="4C8F75A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6A0E8E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C922BBD" w14:textId="77777777" w:rsidTr="00EC13B7">
        <w:tc>
          <w:tcPr>
            <w:tcW w:w="588" w:type="dxa"/>
            <w:shd w:val="clear" w:color="auto" w:fill="auto"/>
          </w:tcPr>
          <w:p w14:paraId="22AF21F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w:t>
            </w:r>
          </w:p>
        </w:tc>
        <w:tc>
          <w:tcPr>
            <w:tcW w:w="2688" w:type="dxa"/>
            <w:shd w:val="clear" w:color="auto" w:fill="auto"/>
          </w:tcPr>
          <w:p w14:paraId="33B74CB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2.民事訴訟法施行法刪除第九條條文草案（刪</w:t>
            </w:r>
            <w:r w:rsidRPr="00026143">
              <w:rPr>
                <w:rFonts w:ascii="標楷體" w:eastAsia="標楷體" w:hAnsi="標楷體"/>
                <w:color w:val="000000" w:themeColor="text1"/>
              </w:rPr>
              <w:lastRenderedPageBreak/>
              <w:t>除重點：本條規定僅使法院節省一次命補正之程序，實益有限，並可發生使當事人喪失訴訟機會之結果，為妥適保障人民之訴訟權，爰刪除本條。）</w:t>
            </w:r>
          </w:p>
        </w:tc>
        <w:tc>
          <w:tcPr>
            <w:tcW w:w="2139" w:type="dxa"/>
            <w:shd w:val="clear" w:color="auto" w:fill="auto"/>
          </w:tcPr>
          <w:p w14:paraId="1A05BFC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6999EAF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50D8B54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（10-3-11）</w:t>
            </w:r>
          </w:p>
        </w:tc>
        <w:tc>
          <w:tcPr>
            <w:tcW w:w="1472" w:type="dxa"/>
            <w:shd w:val="clear" w:color="auto" w:fill="auto"/>
          </w:tcPr>
          <w:p w14:paraId="24AEC4E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5FC390A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54C8674" w14:textId="77777777" w:rsidTr="00EC13B7">
        <w:tc>
          <w:tcPr>
            <w:tcW w:w="588" w:type="dxa"/>
            <w:shd w:val="clear" w:color="auto" w:fill="auto"/>
          </w:tcPr>
          <w:p w14:paraId="3EA4EB4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12</w:t>
            </w:r>
          </w:p>
        </w:tc>
        <w:tc>
          <w:tcPr>
            <w:tcW w:w="2688" w:type="dxa"/>
            <w:shd w:val="clear" w:color="auto" w:fill="auto"/>
          </w:tcPr>
          <w:p w14:paraId="57E2886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補償法部分條文修正草案（修正§4、6、8、10、17、18、21、41；增訂§6-1、40-1；刪除§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w:t>
            </w:r>
            <w:r w:rsidRPr="00026143">
              <w:rPr>
                <w:rFonts w:ascii="標楷體" w:eastAsia="標楷體" w:hAnsi="標楷體"/>
                <w:color w:val="000000" w:themeColor="text1"/>
              </w:rPr>
              <w:lastRenderedPageBreak/>
              <w:t>搖原不利於補償請求人之確定決定，使原補償請求人得受更有利之決定，自應賦予聲請開啟重審程序之機會。）</w:t>
            </w:r>
          </w:p>
        </w:tc>
        <w:tc>
          <w:tcPr>
            <w:tcW w:w="2139" w:type="dxa"/>
            <w:shd w:val="clear" w:color="auto" w:fill="auto"/>
          </w:tcPr>
          <w:p w14:paraId="289815E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司法院、行政院 </w:t>
            </w:r>
          </w:p>
          <w:p w14:paraId="6D8C74F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109.09.18 </w:t>
            </w:r>
          </w:p>
          <w:p w14:paraId="406FF6D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472" w:type="dxa"/>
            <w:shd w:val="clear" w:color="auto" w:fill="auto"/>
          </w:tcPr>
          <w:p w14:paraId="225E023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B876C2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D3E199A" w14:textId="77777777" w:rsidTr="00EC13B7">
        <w:tc>
          <w:tcPr>
            <w:tcW w:w="588" w:type="dxa"/>
            <w:shd w:val="clear" w:color="auto" w:fill="auto"/>
          </w:tcPr>
          <w:p w14:paraId="43CF072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13</w:t>
            </w:r>
          </w:p>
        </w:tc>
        <w:tc>
          <w:tcPr>
            <w:tcW w:w="2688" w:type="dxa"/>
            <w:shd w:val="clear" w:color="auto" w:fill="auto"/>
          </w:tcPr>
          <w:p w14:paraId="7851418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補償法部分條文修正草案（修正§1、4、6、8、10、17、18、21、41；增訂§6-1~2、27-1、35-1、40-1；刪除§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2139" w:type="dxa"/>
            <w:shd w:val="clear" w:color="auto" w:fill="auto"/>
          </w:tcPr>
          <w:p w14:paraId="604C796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70DAC48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109.12.11 </w:t>
            </w:r>
          </w:p>
          <w:p w14:paraId="13B253E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（10-2-7）</w:t>
            </w:r>
          </w:p>
        </w:tc>
        <w:tc>
          <w:tcPr>
            <w:tcW w:w="1472" w:type="dxa"/>
            <w:shd w:val="clear" w:color="auto" w:fill="auto"/>
          </w:tcPr>
          <w:p w14:paraId="3B4964E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9B12DF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C16BF3" w14:textId="77777777" w:rsidTr="00EC13B7">
        <w:tc>
          <w:tcPr>
            <w:tcW w:w="588" w:type="dxa"/>
            <w:shd w:val="clear" w:color="auto" w:fill="auto"/>
          </w:tcPr>
          <w:p w14:paraId="026908D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14</w:t>
            </w:r>
          </w:p>
        </w:tc>
        <w:tc>
          <w:tcPr>
            <w:tcW w:w="2688" w:type="dxa"/>
            <w:shd w:val="clear" w:color="auto" w:fill="auto"/>
          </w:tcPr>
          <w:p w14:paraId="1285803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刑事補償法部分條文修正草案（修正§4、6、8、10、17、18、21、41；增訂§6-1、27-1、35-1、40-1；刪除§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2139" w:type="dxa"/>
            <w:shd w:val="clear" w:color="auto" w:fill="auto"/>
          </w:tcPr>
          <w:p w14:paraId="2694A2D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2F37C8F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0A2510F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472" w:type="dxa"/>
            <w:shd w:val="clear" w:color="auto" w:fill="auto"/>
          </w:tcPr>
          <w:p w14:paraId="4B094CF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ED998A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3EACD7E" w14:textId="77777777" w:rsidTr="00EC13B7">
        <w:tc>
          <w:tcPr>
            <w:tcW w:w="588" w:type="dxa"/>
            <w:shd w:val="clear" w:color="auto" w:fill="auto"/>
          </w:tcPr>
          <w:p w14:paraId="63570EB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w:t>
            </w:r>
          </w:p>
        </w:tc>
        <w:tc>
          <w:tcPr>
            <w:tcW w:w="2688" w:type="dxa"/>
            <w:shd w:val="clear" w:color="auto" w:fill="auto"/>
          </w:tcPr>
          <w:p w14:paraId="1DDD2AC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刑事補償法部分條文修正草案（修正§1、2、6、8。修正重點：將因限制住居受有特別犧牲之情形，納入本法保障之範圍；限制住居對當事人拘束人身自由之強度不若羈押、鑑定留置或收容，其折算不宜以限制之日數計之，宜交由法院依§8規定酌定之。）</w:t>
            </w:r>
          </w:p>
        </w:tc>
        <w:tc>
          <w:tcPr>
            <w:tcW w:w="2139" w:type="dxa"/>
            <w:shd w:val="clear" w:color="auto" w:fill="auto"/>
          </w:tcPr>
          <w:p w14:paraId="48BDC3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32F5240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017437D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628E693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472" w:type="dxa"/>
            <w:shd w:val="clear" w:color="auto" w:fill="auto"/>
          </w:tcPr>
          <w:p w14:paraId="0C67AC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044A14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98D378C" w14:textId="77777777" w:rsidTr="00EC13B7">
        <w:tc>
          <w:tcPr>
            <w:tcW w:w="588" w:type="dxa"/>
            <w:shd w:val="clear" w:color="auto" w:fill="auto"/>
          </w:tcPr>
          <w:p w14:paraId="41DA524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w:t>
            </w:r>
          </w:p>
        </w:tc>
        <w:tc>
          <w:tcPr>
            <w:tcW w:w="2688" w:type="dxa"/>
            <w:shd w:val="clear" w:color="auto" w:fill="auto"/>
          </w:tcPr>
          <w:p w14:paraId="6F9397E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5.刑事補償法第四條條文修正草案(修正重點：以列舉方式具體化第四條第一項「自招嫌疑」之類型標準，並刪除同條第二項證明法則認定之規定。)</w:t>
            </w:r>
          </w:p>
        </w:tc>
        <w:tc>
          <w:tcPr>
            <w:tcW w:w="2139" w:type="dxa"/>
            <w:shd w:val="clear" w:color="auto" w:fill="auto"/>
          </w:tcPr>
          <w:p w14:paraId="0C36790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委員周春米</w:t>
            </w:r>
          </w:p>
          <w:p w14:paraId="20CD660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2D09AC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17CF660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472" w:type="dxa"/>
            <w:shd w:val="clear" w:color="auto" w:fill="auto"/>
          </w:tcPr>
          <w:p w14:paraId="0A8A76F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D037AD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EF03610" w14:textId="77777777" w:rsidTr="00EC13B7">
        <w:tc>
          <w:tcPr>
            <w:tcW w:w="588" w:type="dxa"/>
            <w:shd w:val="clear" w:color="auto" w:fill="auto"/>
          </w:tcPr>
          <w:p w14:paraId="09989F7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w:t>
            </w:r>
          </w:p>
        </w:tc>
        <w:tc>
          <w:tcPr>
            <w:tcW w:w="2688" w:type="dxa"/>
            <w:shd w:val="clear" w:color="auto" w:fill="auto"/>
          </w:tcPr>
          <w:p w14:paraId="3F29AAF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6.刑事補償法第十七條及第十八條條文修正草案(修正重點：最高法院檢察署更銜為最高檢察署。)</w:t>
            </w:r>
          </w:p>
        </w:tc>
        <w:tc>
          <w:tcPr>
            <w:tcW w:w="2139" w:type="dxa"/>
            <w:shd w:val="clear" w:color="auto" w:fill="auto"/>
          </w:tcPr>
          <w:p w14:paraId="3C9165D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30FC5F8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5CE91B3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75C561F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472" w:type="dxa"/>
            <w:shd w:val="clear" w:color="auto" w:fill="auto"/>
          </w:tcPr>
          <w:p w14:paraId="304C5D4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CA271A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36C2F6" w14:textId="77777777" w:rsidTr="00EC13B7">
        <w:tc>
          <w:tcPr>
            <w:tcW w:w="588" w:type="dxa"/>
            <w:shd w:val="clear" w:color="auto" w:fill="auto"/>
          </w:tcPr>
          <w:p w14:paraId="60570EC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w:t>
            </w:r>
          </w:p>
        </w:tc>
        <w:tc>
          <w:tcPr>
            <w:tcW w:w="2688" w:type="dxa"/>
            <w:shd w:val="clear" w:color="auto" w:fill="auto"/>
          </w:tcPr>
          <w:p w14:paraId="06DFCC9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刑事補償法部分條文修正草案(修正§13、41；刪除§36；增訂§40-2。修正重點：不起訴處分、撤回起訴或裁判確定之事實，因不可歸責於受害人之事由而知悉在後者，其補償請求權時</w:t>
            </w:r>
            <w:r w:rsidRPr="00026143">
              <w:rPr>
                <w:rFonts w:ascii="標楷體" w:eastAsia="標楷體" w:hAnsi="標楷體"/>
                <w:color w:val="000000" w:themeColor="text1"/>
              </w:rPr>
              <w:lastRenderedPageBreak/>
              <w:t>效起算時點及請求之期間限制；刪除現行以依國際公約或外國人之本國法律，中華民國人民得享同一權利者為限，該外國人始能準用本法之規定。)</w:t>
            </w:r>
          </w:p>
        </w:tc>
        <w:tc>
          <w:tcPr>
            <w:tcW w:w="2139" w:type="dxa"/>
            <w:shd w:val="clear" w:color="auto" w:fill="auto"/>
          </w:tcPr>
          <w:p w14:paraId="52B8182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司法院、行政院 </w:t>
            </w:r>
          </w:p>
          <w:p w14:paraId="7B82F6C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111.03.01</w:t>
            </w:r>
          </w:p>
          <w:p w14:paraId="6A41A74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w:t>
            </w:r>
          </w:p>
        </w:tc>
        <w:tc>
          <w:tcPr>
            <w:tcW w:w="1472" w:type="dxa"/>
            <w:shd w:val="clear" w:color="auto" w:fill="auto"/>
          </w:tcPr>
          <w:p w14:paraId="73BC169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1BC05C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8F03A93" w14:textId="77777777" w:rsidTr="00EC13B7">
        <w:tc>
          <w:tcPr>
            <w:tcW w:w="588" w:type="dxa"/>
            <w:shd w:val="clear" w:color="auto" w:fill="auto"/>
          </w:tcPr>
          <w:p w14:paraId="50E25A7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19</w:t>
            </w:r>
          </w:p>
        </w:tc>
        <w:tc>
          <w:tcPr>
            <w:tcW w:w="2688" w:type="dxa"/>
            <w:shd w:val="clear" w:color="auto" w:fill="auto"/>
          </w:tcPr>
          <w:p w14:paraId="16B668D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刑事補償法第二十七條條文修正草案（修正重點：因應網路媒體時代，主文及決定要旨公告除刊新聞紙外，增列新聞電子報。）</w:t>
            </w:r>
          </w:p>
        </w:tc>
        <w:tc>
          <w:tcPr>
            <w:tcW w:w="2139" w:type="dxa"/>
            <w:shd w:val="clear" w:color="auto" w:fill="auto"/>
          </w:tcPr>
          <w:p w14:paraId="6EDFF9F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委員鄭運鵬</w:t>
            </w:r>
          </w:p>
          <w:p w14:paraId="21860D2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2EB2FAC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234AFF2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0F2A6B3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96092E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5DA29B4" w14:textId="77777777" w:rsidTr="00EC13B7">
        <w:tc>
          <w:tcPr>
            <w:tcW w:w="588" w:type="dxa"/>
            <w:shd w:val="clear" w:color="auto" w:fill="auto"/>
          </w:tcPr>
          <w:p w14:paraId="7303FC0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20</w:t>
            </w:r>
          </w:p>
        </w:tc>
        <w:tc>
          <w:tcPr>
            <w:tcW w:w="2688" w:type="dxa"/>
            <w:shd w:val="clear" w:color="auto" w:fill="auto"/>
          </w:tcPr>
          <w:p w14:paraId="7AE7B41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證法部分條文修正草案（修正§62、69、98、152；增訂§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定。）</w:t>
            </w:r>
          </w:p>
        </w:tc>
        <w:tc>
          <w:tcPr>
            <w:tcW w:w="2139" w:type="dxa"/>
            <w:shd w:val="clear" w:color="auto" w:fill="auto"/>
          </w:tcPr>
          <w:p w14:paraId="25F3B3D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1146F37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109.09.18 </w:t>
            </w:r>
          </w:p>
          <w:p w14:paraId="69F78E3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472" w:type="dxa"/>
            <w:shd w:val="clear" w:color="auto" w:fill="auto"/>
          </w:tcPr>
          <w:p w14:paraId="5918FB8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E7722F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1.本會109.11.26舉行「公證法部分條文修正草案」公聽會。</w:t>
            </w:r>
          </w:p>
          <w:p w14:paraId="114117D4" w14:textId="004A68D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2.本會111.5.4</w:t>
            </w:r>
          </w:p>
          <w:p w14:paraId="093BCAA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(10-5-16)報告及詢答完畢，另定期繼續審查。</w:t>
            </w:r>
          </w:p>
        </w:tc>
      </w:tr>
      <w:tr w:rsidR="00EC13B7" w:rsidRPr="00026143" w14:paraId="39C6BF0C" w14:textId="77777777" w:rsidTr="00EC13B7">
        <w:tc>
          <w:tcPr>
            <w:tcW w:w="588" w:type="dxa"/>
            <w:shd w:val="clear" w:color="auto" w:fill="auto"/>
          </w:tcPr>
          <w:p w14:paraId="2D7ED1B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21</w:t>
            </w:r>
          </w:p>
        </w:tc>
        <w:tc>
          <w:tcPr>
            <w:tcW w:w="2688" w:type="dxa"/>
            <w:shd w:val="clear" w:color="auto" w:fill="auto"/>
          </w:tcPr>
          <w:p w14:paraId="753FD52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2.公證法部分條文修正草案（修正§1、13、57、58、62、69、98、109、114、117、152；增訂§66-1、98-1~2、118-1、127-1、150-1、152-1。修正重點：暫維持雙軌</w:t>
            </w:r>
            <w:r w:rsidRPr="00026143">
              <w:rPr>
                <w:rFonts w:ascii="標楷體" w:eastAsia="標楷體" w:hAnsi="標楷體"/>
                <w:color w:val="000000" w:themeColor="text1"/>
              </w:rPr>
              <w:lastRenderedPageBreak/>
              <w:t>制，但法院公證人不再辦理文書公、認證事務，除例外情形，僅辦理民間之公證人監督事務；民間公證人聯合事務所及受僱民間公證人之法制化；放寬公證書強制執行事項範圍；民間公證人懲戒資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2139" w:type="dxa"/>
            <w:shd w:val="clear" w:color="auto" w:fill="auto"/>
          </w:tcPr>
          <w:p w14:paraId="2CE0650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委員蔡易餘</w:t>
            </w:r>
          </w:p>
          <w:p w14:paraId="379071C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等24人 </w:t>
            </w:r>
          </w:p>
          <w:p w14:paraId="3B695D3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109.12.11 </w:t>
            </w:r>
          </w:p>
          <w:p w14:paraId="54291DB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（10-2-7）</w:t>
            </w:r>
          </w:p>
        </w:tc>
        <w:tc>
          <w:tcPr>
            <w:tcW w:w="1472" w:type="dxa"/>
            <w:shd w:val="clear" w:color="auto" w:fill="auto"/>
          </w:tcPr>
          <w:p w14:paraId="48657AB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B78DFB3" w14:textId="5976B679"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本會111.5.4</w:t>
            </w:r>
          </w:p>
          <w:p w14:paraId="772AA34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(10-5-16)報告及詢答完畢，另定期繼續審查。</w:t>
            </w:r>
          </w:p>
        </w:tc>
      </w:tr>
      <w:tr w:rsidR="00EC13B7" w:rsidRPr="00026143" w14:paraId="550FB0C8" w14:textId="77777777" w:rsidTr="00EC13B7">
        <w:tc>
          <w:tcPr>
            <w:tcW w:w="588" w:type="dxa"/>
            <w:shd w:val="clear" w:color="auto" w:fill="auto"/>
          </w:tcPr>
          <w:p w14:paraId="189C0AB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22</w:t>
            </w:r>
          </w:p>
        </w:tc>
        <w:tc>
          <w:tcPr>
            <w:tcW w:w="2688" w:type="dxa"/>
            <w:shd w:val="clear" w:color="auto" w:fill="auto"/>
          </w:tcPr>
          <w:p w14:paraId="3553389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公證法部分條文修正草案（修正§1、13、62、69、98、109、114、117、152；增訂§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將民間之公證人所作成之公證書、認證書繕本或影本，改以電子傳送之方式送交備</w:t>
            </w:r>
            <w:r w:rsidRPr="00026143">
              <w:rPr>
                <w:rFonts w:ascii="標楷體" w:eastAsia="標楷體" w:hAnsi="標楷體"/>
                <w:color w:val="000000" w:themeColor="text1"/>
              </w:rPr>
              <w:lastRenderedPageBreak/>
              <w:t>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2139" w:type="dxa"/>
            <w:shd w:val="clear" w:color="auto" w:fill="auto"/>
          </w:tcPr>
          <w:p w14:paraId="54AFB2B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委員李貴敏</w:t>
            </w:r>
          </w:p>
          <w:p w14:paraId="736885A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BDC29B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109.12.24 </w:t>
            </w:r>
          </w:p>
          <w:p w14:paraId="1839276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472" w:type="dxa"/>
            <w:shd w:val="clear" w:color="auto" w:fill="auto"/>
          </w:tcPr>
          <w:p w14:paraId="63AA412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A38D9A8" w14:textId="0422860A"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本會111.5.4</w:t>
            </w:r>
          </w:p>
          <w:p w14:paraId="5202EB7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(10-5-16)報告及詢答完畢，另定期繼續審查。</w:t>
            </w:r>
          </w:p>
        </w:tc>
      </w:tr>
      <w:tr w:rsidR="00EC13B7" w:rsidRPr="00026143" w14:paraId="28F16FCB" w14:textId="77777777" w:rsidTr="00EC13B7">
        <w:tc>
          <w:tcPr>
            <w:tcW w:w="588" w:type="dxa"/>
            <w:shd w:val="clear" w:color="auto" w:fill="auto"/>
          </w:tcPr>
          <w:p w14:paraId="55FDDB3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23</w:t>
            </w:r>
          </w:p>
        </w:tc>
        <w:tc>
          <w:tcPr>
            <w:tcW w:w="2688" w:type="dxa"/>
            <w:shd w:val="clear" w:color="auto" w:fill="auto"/>
          </w:tcPr>
          <w:p w14:paraId="06CFE92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公證法部分條文修正草案（修正§1、8、13、14、第二章章名、第二章第一節節名、22、23、25、40、57、58、62、69、98、109、114、117、152；增訂§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繕本或影本，改以電子傳送之方式送交備查；全國公認證遺囑查詢平台之建立及查詢</w:t>
            </w:r>
            <w:r w:rsidRPr="00026143">
              <w:rPr>
                <w:rFonts w:ascii="標楷體" w:eastAsia="標楷體" w:hAnsi="標楷體"/>
                <w:color w:val="000000" w:themeColor="text1"/>
              </w:rPr>
              <w:lastRenderedPageBreak/>
              <w:t>法制化；公證費用標準之合理化及公平化；調整民間之公證人懲戒委員會之組織，並提升民間公證人團體於懲戒程序之地位與角色；授權司法院訂定遺囑通知全國公證人公會聯合會及繕本銷燬方式之規則。）</w:t>
            </w:r>
          </w:p>
        </w:tc>
        <w:tc>
          <w:tcPr>
            <w:tcW w:w="2139" w:type="dxa"/>
            <w:shd w:val="clear" w:color="auto" w:fill="auto"/>
          </w:tcPr>
          <w:p w14:paraId="712F858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4721A2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110.03.19 </w:t>
            </w:r>
          </w:p>
          <w:p w14:paraId="7076D14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（10-3-4）</w:t>
            </w:r>
          </w:p>
        </w:tc>
        <w:tc>
          <w:tcPr>
            <w:tcW w:w="1472" w:type="dxa"/>
            <w:shd w:val="clear" w:color="auto" w:fill="auto"/>
          </w:tcPr>
          <w:p w14:paraId="1948477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6199B99" w14:textId="70AA7AF0"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本會111.5.4</w:t>
            </w:r>
          </w:p>
          <w:p w14:paraId="6F72FA1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(10-5-16)報告及詢答完畢，另定期繼續審查。</w:t>
            </w:r>
          </w:p>
        </w:tc>
      </w:tr>
      <w:tr w:rsidR="00EC13B7" w:rsidRPr="00026143" w14:paraId="32F9F13C" w14:textId="77777777" w:rsidTr="00EC13B7">
        <w:tc>
          <w:tcPr>
            <w:tcW w:w="588" w:type="dxa"/>
            <w:shd w:val="clear" w:color="auto" w:fill="auto"/>
          </w:tcPr>
          <w:p w14:paraId="515A890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24</w:t>
            </w:r>
          </w:p>
        </w:tc>
        <w:tc>
          <w:tcPr>
            <w:tcW w:w="2688" w:type="dxa"/>
            <w:shd w:val="clear" w:color="auto" w:fill="auto"/>
          </w:tcPr>
          <w:p w14:paraId="19469F1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公證法部分條文修正草案（修正§8、13、52、54、57、58、62、109；刪除§69；增訂§150-1~2。修正重點：放寬公證人外出執行職務之限制；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2139" w:type="dxa"/>
            <w:shd w:val="clear" w:color="auto" w:fill="auto"/>
          </w:tcPr>
          <w:p w14:paraId="45510F6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51C83C5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09C03E6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2F27035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472" w:type="dxa"/>
            <w:shd w:val="clear" w:color="auto" w:fill="auto"/>
          </w:tcPr>
          <w:p w14:paraId="06B7AEC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36E94CF" w14:textId="2AEC858B"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本會111.5.4</w:t>
            </w:r>
          </w:p>
          <w:p w14:paraId="744FC30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(10-5-16)報告及詢答完畢，另定期繼續審查。</w:t>
            </w:r>
          </w:p>
        </w:tc>
      </w:tr>
      <w:tr w:rsidR="00EC13B7" w:rsidRPr="00026143" w14:paraId="330F8112" w14:textId="77777777" w:rsidTr="00EC13B7">
        <w:tc>
          <w:tcPr>
            <w:tcW w:w="588" w:type="dxa"/>
            <w:shd w:val="clear" w:color="auto" w:fill="auto"/>
          </w:tcPr>
          <w:p w14:paraId="39A850D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25</w:t>
            </w:r>
          </w:p>
        </w:tc>
        <w:tc>
          <w:tcPr>
            <w:tcW w:w="2688" w:type="dxa"/>
            <w:shd w:val="clear" w:color="auto" w:fill="auto"/>
          </w:tcPr>
          <w:p w14:paraId="0932B50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6.公證法部分條文修正草案(修正§1、13、62、69、98、109、114、117、152；增訂§66-1、98-1、98-2、118-1、150-1。修正重點：民間公證人制度已廣為民眾所接受，採行雙軌制之時空環境有所改變，爰提案</w:t>
            </w:r>
            <w:r w:rsidRPr="00026143">
              <w:rPr>
                <w:rFonts w:ascii="標楷體" w:eastAsia="標楷體" w:hAnsi="標楷體"/>
                <w:color w:val="000000" w:themeColor="text1"/>
              </w:rPr>
              <w:lastRenderedPageBreak/>
              <w:t>修正。)</w:t>
            </w:r>
          </w:p>
        </w:tc>
        <w:tc>
          <w:tcPr>
            <w:tcW w:w="2139" w:type="dxa"/>
            <w:shd w:val="clear" w:color="auto" w:fill="auto"/>
          </w:tcPr>
          <w:p w14:paraId="7957B4B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委員葉毓蘭</w:t>
            </w:r>
          </w:p>
          <w:p w14:paraId="34BCD54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4B4DF35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111.03.18 </w:t>
            </w:r>
          </w:p>
          <w:p w14:paraId="087DD49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（10-5-4）</w:t>
            </w:r>
          </w:p>
        </w:tc>
        <w:tc>
          <w:tcPr>
            <w:tcW w:w="1472" w:type="dxa"/>
            <w:shd w:val="clear" w:color="auto" w:fill="auto"/>
          </w:tcPr>
          <w:p w14:paraId="5E52236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FB99C4F" w14:textId="4C443F62"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本會111.5.4</w:t>
            </w:r>
          </w:p>
          <w:p w14:paraId="6EAE62C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(10-5-16)報告及詢答完畢，另定期繼續審查。</w:t>
            </w:r>
          </w:p>
        </w:tc>
      </w:tr>
      <w:tr w:rsidR="00EC13B7" w:rsidRPr="00026143" w14:paraId="3732AD7C" w14:textId="77777777" w:rsidTr="00EC13B7">
        <w:tc>
          <w:tcPr>
            <w:tcW w:w="588" w:type="dxa"/>
            <w:shd w:val="clear" w:color="auto" w:fill="auto"/>
          </w:tcPr>
          <w:p w14:paraId="74D76C3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26</w:t>
            </w:r>
          </w:p>
        </w:tc>
        <w:tc>
          <w:tcPr>
            <w:tcW w:w="2688" w:type="dxa"/>
            <w:shd w:val="clear" w:color="auto" w:fill="auto"/>
          </w:tcPr>
          <w:p w14:paraId="075FBB0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行政訴訟法第九十八條及第九十八條之二條文修正草案(修正重點：符合《法律扶助法》第五條之無資力者，減徵裁判費二分之一。)</w:t>
            </w:r>
          </w:p>
        </w:tc>
        <w:tc>
          <w:tcPr>
            <w:tcW w:w="2139" w:type="dxa"/>
            <w:shd w:val="clear" w:color="auto" w:fill="auto"/>
          </w:tcPr>
          <w:p w14:paraId="7E959EE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4CFCFA3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2017561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3A4D6D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472" w:type="dxa"/>
            <w:shd w:val="clear" w:color="auto" w:fill="auto"/>
          </w:tcPr>
          <w:p w14:paraId="47817C5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D8D0CD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A4770E1" w14:textId="77777777" w:rsidTr="00EC13B7">
        <w:tc>
          <w:tcPr>
            <w:tcW w:w="588" w:type="dxa"/>
            <w:shd w:val="clear" w:color="auto" w:fill="auto"/>
          </w:tcPr>
          <w:p w14:paraId="2E3640E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27</w:t>
            </w:r>
          </w:p>
        </w:tc>
        <w:tc>
          <w:tcPr>
            <w:tcW w:w="2688" w:type="dxa"/>
            <w:shd w:val="clear" w:color="auto" w:fill="auto"/>
          </w:tcPr>
          <w:p w14:paraId="72654D2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行政訴訟法第二百七十六條條文修正草案(修正重點：本條第二項之情形，自聲請案件繫屬之日起至審理結果送達聲請人之日止，不計入第四項所定期間。)</w:t>
            </w:r>
          </w:p>
        </w:tc>
        <w:tc>
          <w:tcPr>
            <w:tcW w:w="2139" w:type="dxa"/>
            <w:shd w:val="clear" w:color="auto" w:fill="auto"/>
          </w:tcPr>
          <w:p w14:paraId="334E1D4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委員周春米</w:t>
            </w:r>
          </w:p>
          <w:p w14:paraId="56C5D8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7F0316B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348AE7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472" w:type="dxa"/>
            <w:shd w:val="clear" w:color="auto" w:fill="auto"/>
          </w:tcPr>
          <w:p w14:paraId="4FEDAF2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C642E0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78B7BE8" w14:textId="77777777" w:rsidTr="00EC13B7">
        <w:tc>
          <w:tcPr>
            <w:tcW w:w="588" w:type="dxa"/>
            <w:shd w:val="clear" w:color="auto" w:fill="auto"/>
          </w:tcPr>
          <w:p w14:paraId="01C23E9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28</w:t>
            </w:r>
          </w:p>
        </w:tc>
        <w:tc>
          <w:tcPr>
            <w:tcW w:w="2688" w:type="dxa"/>
            <w:shd w:val="clear" w:color="auto" w:fill="auto"/>
          </w:tcPr>
          <w:p w14:paraId="13E7A19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部分條文修正草案（修正§219-3、219-7、257、258、288、385、427、428、430、434、441、442、455-30、476、477。修正重點：配合各級檢察署更名及銜稱去法院化；審判長於科刑調查程序，應先曉諭當事人就科刑資料指出證明之方法；以無理由駁回再審聲請之裁定，為利實務適用明定相關規定；更定其刑部分，業經司法院釋字第775號解釋依憲法一事不再理原則而宣告失效；鑑於審檢分立，檢察官於其所屬檢察署管轄區域內執行職務，而對法院獨立行使職權，修改條文文字；保障受刑人之陳述意見權及檢察官、受刑人不服時之救濟權。）</w:t>
            </w:r>
          </w:p>
        </w:tc>
        <w:tc>
          <w:tcPr>
            <w:tcW w:w="2139" w:type="dxa"/>
            <w:shd w:val="clear" w:color="auto" w:fill="auto"/>
          </w:tcPr>
          <w:p w14:paraId="382FC27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司法院、行政院 </w:t>
            </w:r>
          </w:p>
          <w:p w14:paraId="1B43B26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110.02.26</w:t>
            </w:r>
          </w:p>
          <w:p w14:paraId="0F1F361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w:t>
            </w:r>
          </w:p>
        </w:tc>
        <w:tc>
          <w:tcPr>
            <w:tcW w:w="1472" w:type="dxa"/>
            <w:shd w:val="clear" w:color="auto" w:fill="auto"/>
          </w:tcPr>
          <w:p w14:paraId="3B69E33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83DD7C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38AD2F7" w14:textId="77777777" w:rsidTr="00EC13B7">
        <w:tc>
          <w:tcPr>
            <w:tcW w:w="588" w:type="dxa"/>
            <w:shd w:val="clear" w:color="auto" w:fill="auto"/>
          </w:tcPr>
          <w:p w14:paraId="2D1D36D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29</w:t>
            </w:r>
          </w:p>
        </w:tc>
        <w:tc>
          <w:tcPr>
            <w:tcW w:w="2688" w:type="dxa"/>
            <w:shd w:val="clear" w:color="auto" w:fill="auto"/>
          </w:tcPr>
          <w:p w14:paraId="54CEB65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2.刑事訴訟法第四百七十七條條文修正草案（修正重點：本條第一項前段係實行刑法第四十八條之程序法，刑法第四十八條既經大法官會議解釋宣告失效，在司</w:t>
            </w:r>
            <w:r w:rsidRPr="00026143">
              <w:rPr>
                <w:rFonts w:ascii="標楷體" w:eastAsia="標楷體" w:hAnsi="標楷體"/>
                <w:color w:val="000000" w:themeColor="text1"/>
              </w:rPr>
              <w:lastRenderedPageBreak/>
              <w:t>法實務上即再無適用之餘地，爰提出本條修正。）</w:t>
            </w:r>
          </w:p>
        </w:tc>
        <w:tc>
          <w:tcPr>
            <w:tcW w:w="2139" w:type="dxa"/>
            <w:shd w:val="clear" w:color="auto" w:fill="auto"/>
          </w:tcPr>
          <w:p w14:paraId="193623B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委員陳明文</w:t>
            </w:r>
          </w:p>
          <w:p w14:paraId="4D03E8F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A0DE16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718D7F7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tc>
        <w:tc>
          <w:tcPr>
            <w:tcW w:w="1472" w:type="dxa"/>
            <w:shd w:val="clear" w:color="auto" w:fill="auto"/>
          </w:tcPr>
          <w:p w14:paraId="5C60D2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97473C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2D507A" w14:textId="77777777" w:rsidTr="00EC13B7">
        <w:tc>
          <w:tcPr>
            <w:tcW w:w="588" w:type="dxa"/>
            <w:shd w:val="clear" w:color="auto" w:fill="auto"/>
          </w:tcPr>
          <w:p w14:paraId="0FCC2B9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30</w:t>
            </w:r>
          </w:p>
        </w:tc>
        <w:tc>
          <w:tcPr>
            <w:tcW w:w="2688" w:type="dxa"/>
            <w:shd w:val="clear" w:color="auto" w:fill="auto"/>
          </w:tcPr>
          <w:p w14:paraId="26B216B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刑事訴訟法第四百七十七條條文修正草案（修正重點：經大法官會議第775號解釋認定，違反憲法一事不再理原則，將依刑法§48應更定其刑之規定刪除；將「法院之檢察官」，修正為「法院對應檢察署之檢察官」。）</w:t>
            </w:r>
          </w:p>
        </w:tc>
        <w:tc>
          <w:tcPr>
            <w:tcW w:w="2139" w:type="dxa"/>
            <w:shd w:val="clear" w:color="auto" w:fill="auto"/>
          </w:tcPr>
          <w:p w14:paraId="191EBE9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委員林楚茵</w:t>
            </w:r>
          </w:p>
          <w:p w14:paraId="4B82FC6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7B19C8D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110.03.12 </w:t>
            </w:r>
          </w:p>
          <w:p w14:paraId="2739EC1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（10-3-3）</w:t>
            </w:r>
          </w:p>
        </w:tc>
        <w:tc>
          <w:tcPr>
            <w:tcW w:w="1472" w:type="dxa"/>
            <w:shd w:val="clear" w:color="auto" w:fill="auto"/>
          </w:tcPr>
          <w:p w14:paraId="74240DD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633F43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E95297" w14:textId="77777777" w:rsidTr="00EC13B7">
        <w:tc>
          <w:tcPr>
            <w:tcW w:w="588" w:type="dxa"/>
            <w:shd w:val="clear" w:color="auto" w:fill="auto"/>
          </w:tcPr>
          <w:p w14:paraId="0F75386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31</w:t>
            </w:r>
          </w:p>
        </w:tc>
        <w:tc>
          <w:tcPr>
            <w:tcW w:w="2688" w:type="dxa"/>
            <w:shd w:val="clear" w:color="auto" w:fill="auto"/>
          </w:tcPr>
          <w:p w14:paraId="1F00B5D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4.刑事訴訟法部分條文修正草案（修正§219-3、219-7、257、258、385、441、442、476。修正重點：於檢察機關名稱「去法院化」。）</w:t>
            </w:r>
          </w:p>
        </w:tc>
        <w:tc>
          <w:tcPr>
            <w:tcW w:w="2139" w:type="dxa"/>
            <w:shd w:val="clear" w:color="auto" w:fill="auto"/>
          </w:tcPr>
          <w:p w14:paraId="794C88F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08303F3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3DF694D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472" w:type="dxa"/>
            <w:shd w:val="clear" w:color="auto" w:fill="auto"/>
          </w:tcPr>
          <w:p w14:paraId="37BA121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853F4F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D817AE2" w14:textId="77777777" w:rsidTr="00EC13B7">
        <w:tc>
          <w:tcPr>
            <w:tcW w:w="588" w:type="dxa"/>
            <w:shd w:val="clear" w:color="auto" w:fill="auto"/>
          </w:tcPr>
          <w:p w14:paraId="5D1240C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32</w:t>
            </w:r>
          </w:p>
        </w:tc>
        <w:tc>
          <w:tcPr>
            <w:tcW w:w="2688" w:type="dxa"/>
            <w:shd w:val="clear" w:color="auto" w:fill="auto"/>
          </w:tcPr>
          <w:p w14:paraId="204CB91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刑事訴訟法第四百四十一條及第四百四十二條之一條文修正草案（修正重點：增訂由中華民國律師公會全國聯合會理事長提起非常上訴之規定及得由律師向中華民國律師公會全國聯合會理事長經律師聯合會大會提案通過提起申請非常上訴之規定。）</w:t>
            </w:r>
          </w:p>
        </w:tc>
        <w:tc>
          <w:tcPr>
            <w:tcW w:w="2139" w:type="dxa"/>
            <w:shd w:val="clear" w:color="auto" w:fill="auto"/>
          </w:tcPr>
          <w:p w14:paraId="3A64645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委員蔡易餘</w:t>
            </w:r>
          </w:p>
          <w:p w14:paraId="3869588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3C7642D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1FEEAEA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22AF559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B739E0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D1DB6D9" w14:textId="77777777" w:rsidTr="00EC13B7">
        <w:tc>
          <w:tcPr>
            <w:tcW w:w="588" w:type="dxa"/>
            <w:shd w:val="clear" w:color="auto" w:fill="auto"/>
          </w:tcPr>
          <w:p w14:paraId="4B5406D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33</w:t>
            </w:r>
          </w:p>
        </w:tc>
        <w:tc>
          <w:tcPr>
            <w:tcW w:w="2688" w:type="dxa"/>
            <w:shd w:val="clear" w:color="auto" w:fill="auto"/>
          </w:tcPr>
          <w:p w14:paraId="7198598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6.刑事訴訟法第四百七十七條條文修正草案(修正重點：鑑於大法官釋字第775號解釋，提案刪除本條有關刑法第48條之相關條文。)</w:t>
            </w:r>
          </w:p>
        </w:tc>
        <w:tc>
          <w:tcPr>
            <w:tcW w:w="2139" w:type="dxa"/>
            <w:shd w:val="clear" w:color="auto" w:fill="auto"/>
          </w:tcPr>
          <w:p w14:paraId="7CAF529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委員翁重鈞</w:t>
            </w:r>
          </w:p>
          <w:p w14:paraId="6CFFDC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ECDE5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2BE64DE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472" w:type="dxa"/>
            <w:shd w:val="clear" w:color="auto" w:fill="auto"/>
          </w:tcPr>
          <w:p w14:paraId="3D47543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476656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4678C96" w14:textId="77777777" w:rsidTr="00EC13B7">
        <w:tc>
          <w:tcPr>
            <w:tcW w:w="588" w:type="dxa"/>
            <w:shd w:val="clear" w:color="auto" w:fill="auto"/>
          </w:tcPr>
          <w:p w14:paraId="77FCA22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34</w:t>
            </w:r>
          </w:p>
        </w:tc>
        <w:tc>
          <w:tcPr>
            <w:tcW w:w="2688" w:type="dxa"/>
            <w:shd w:val="clear" w:color="auto" w:fill="auto"/>
          </w:tcPr>
          <w:p w14:paraId="31E4E39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7.刑事訴訟法第四百四十一條及第四百四十二條條文修正草案(修正重點：最高法院檢察署改為最高檢察署。)</w:t>
            </w:r>
          </w:p>
        </w:tc>
        <w:tc>
          <w:tcPr>
            <w:tcW w:w="2139" w:type="dxa"/>
            <w:shd w:val="clear" w:color="auto" w:fill="auto"/>
          </w:tcPr>
          <w:p w14:paraId="34FB1D3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209BFA1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等17人</w:t>
            </w:r>
          </w:p>
          <w:p w14:paraId="1AD6A9B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111.12.16</w:t>
            </w:r>
          </w:p>
          <w:p w14:paraId="3839850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472" w:type="dxa"/>
            <w:shd w:val="clear" w:color="auto" w:fill="auto"/>
          </w:tcPr>
          <w:p w14:paraId="11B15C8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C383C2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9917B14" w14:textId="77777777" w:rsidTr="00EC13B7">
        <w:tc>
          <w:tcPr>
            <w:tcW w:w="588" w:type="dxa"/>
            <w:shd w:val="clear" w:color="auto" w:fill="auto"/>
          </w:tcPr>
          <w:p w14:paraId="4389451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35</w:t>
            </w:r>
          </w:p>
        </w:tc>
        <w:tc>
          <w:tcPr>
            <w:tcW w:w="2688" w:type="dxa"/>
            <w:shd w:val="clear" w:color="auto" w:fill="auto"/>
          </w:tcPr>
          <w:p w14:paraId="042C3AB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1.刑事訴訟法第四百四十九條及第四百五十一條之一條文修正草案（修正重點：明定檢察官聲請逕以簡易判決處刑</w:t>
            </w:r>
            <w:r w:rsidRPr="00026143">
              <w:rPr>
                <w:rFonts w:ascii="標楷體" w:eastAsia="標楷體" w:hAnsi="標楷體"/>
                <w:color w:val="000000" w:themeColor="text1"/>
              </w:rPr>
              <w:lastRenderedPageBreak/>
              <w:t>，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逕以簡易判決處刑；又為貫徹法定刑為重罪之案件應適用通常程序，俾確保被告訴訟權之旨，允宜適度限縮得逕以簡易判決處刑之案件範圍，並明定除顯無必要者外，法院於處刑前應予告訴人及被害人以言詞或書面陳述意見之機會；被告於法院處刑前對適用簡易程序表示異議者，法院即不應以簡易判決處刑。）</w:t>
            </w:r>
          </w:p>
        </w:tc>
        <w:tc>
          <w:tcPr>
            <w:tcW w:w="2139" w:type="dxa"/>
            <w:shd w:val="clear" w:color="auto" w:fill="auto"/>
          </w:tcPr>
          <w:p w14:paraId="2FD5D45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司法院、行政院 </w:t>
            </w:r>
          </w:p>
          <w:p w14:paraId="393F5D6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110.02.26 </w:t>
            </w:r>
          </w:p>
          <w:p w14:paraId="4EF0004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w:t>
            </w:r>
          </w:p>
        </w:tc>
        <w:tc>
          <w:tcPr>
            <w:tcW w:w="1472" w:type="dxa"/>
            <w:shd w:val="clear" w:color="auto" w:fill="auto"/>
          </w:tcPr>
          <w:p w14:paraId="684884C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11ABB5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D4DDE7" w14:textId="77777777" w:rsidTr="00EC13B7">
        <w:tc>
          <w:tcPr>
            <w:tcW w:w="588" w:type="dxa"/>
            <w:shd w:val="clear" w:color="auto" w:fill="auto"/>
          </w:tcPr>
          <w:p w14:paraId="1D2B87E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36</w:t>
            </w:r>
          </w:p>
        </w:tc>
        <w:tc>
          <w:tcPr>
            <w:tcW w:w="2688" w:type="dxa"/>
            <w:shd w:val="clear" w:color="auto" w:fill="auto"/>
          </w:tcPr>
          <w:p w14:paraId="2A08A5D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四百四十九條及第四百五十一條之一條文修正草案（修正重點：以法定刑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w:t>
            </w:r>
            <w:r w:rsidRPr="00026143">
              <w:rPr>
                <w:rFonts w:ascii="標楷體" w:eastAsia="標楷體" w:hAnsi="標楷體"/>
                <w:color w:val="000000" w:themeColor="text1"/>
              </w:rPr>
              <w:lastRenderedPageBreak/>
              <w:t>易判決處刑；簡易程序中不得僅以被告或共犯之自白為認定有罪之唯一證據；法院應徵詢輔佐人、辯護人之意見後，始得依簡易程序為有罪判決。）</w:t>
            </w:r>
          </w:p>
        </w:tc>
        <w:tc>
          <w:tcPr>
            <w:tcW w:w="2139" w:type="dxa"/>
            <w:shd w:val="clear" w:color="auto" w:fill="auto"/>
          </w:tcPr>
          <w:p w14:paraId="28D01B6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委員江永昌</w:t>
            </w:r>
          </w:p>
          <w:p w14:paraId="52B80B8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799EC3A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109.12.24 </w:t>
            </w:r>
          </w:p>
          <w:p w14:paraId="5AC4014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472" w:type="dxa"/>
            <w:shd w:val="clear" w:color="auto" w:fill="auto"/>
          </w:tcPr>
          <w:p w14:paraId="2C72027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CD685B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E954FA0" w14:textId="77777777" w:rsidTr="00EC13B7">
        <w:tc>
          <w:tcPr>
            <w:tcW w:w="588" w:type="dxa"/>
            <w:shd w:val="clear" w:color="auto" w:fill="auto"/>
          </w:tcPr>
          <w:p w14:paraId="4D51BCA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37</w:t>
            </w:r>
          </w:p>
        </w:tc>
        <w:tc>
          <w:tcPr>
            <w:tcW w:w="2688" w:type="dxa"/>
            <w:shd w:val="clear" w:color="auto" w:fill="auto"/>
          </w:tcPr>
          <w:p w14:paraId="53BE8B4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刑事訴訟法第四百四十九條條文修正草案（修正重點：檢察官聲請以簡易判決處刑，法院應於處刑前以言詞或書面告知被告簡易程序之旨，並為訊問，予其就程序適用及案件事實表示意見之機會，俾使被告防禦權及訴訟主體地位之保障更趨周延。）</w:t>
            </w:r>
          </w:p>
        </w:tc>
        <w:tc>
          <w:tcPr>
            <w:tcW w:w="2139" w:type="dxa"/>
            <w:shd w:val="clear" w:color="auto" w:fill="auto"/>
          </w:tcPr>
          <w:p w14:paraId="4FF15F3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委員李貴敏</w:t>
            </w:r>
          </w:p>
          <w:p w14:paraId="79DE543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15275C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337D80C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472" w:type="dxa"/>
            <w:shd w:val="clear" w:color="auto" w:fill="auto"/>
          </w:tcPr>
          <w:p w14:paraId="70C132B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EC2B48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4002322" w14:textId="77777777" w:rsidTr="00EC13B7">
        <w:tc>
          <w:tcPr>
            <w:tcW w:w="588" w:type="dxa"/>
            <w:shd w:val="clear" w:color="auto" w:fill="auto"/>
          </w:tcPr>
          <w:p w14:paraId="511C952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38</w:t>
            </w:r>
          </w:p>
        </w:tc>
        <w:tc>
          <w:tcPr>
            <w:tcW w:w="2688" w:type="dxa"/>
            <w:shd w:val="clear" w:color="auto" w:fill="auto"/>
          </w:tcPr>
          <w:p w14:paraId="5091CAF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部分條文修正草案」、「刑事訴訟法施行法增訂第七條之十六條文草案」（【1】刑事訴訟法增訂§227-1；修正§284-1、376、406。修正重點：明定裁判違誤或不符，於全案情節與裁判本旨無影響者，法院得依聲請或依職權以裁定更正；因刑法過失致人於死罪、傷害罪、助勢聚眾鬥毆罪已非§376第1項第1款所定最重本刑為3年以下有期徒刑之罪，且毒品危害防制條例§10第1項施用第一級毒品罪、§11第4項持有第二級毒品純質淨重20公克以上罪之案情相對單純、明確，為合理分配及運用司法資源，於§376第1項及§284-1除書增列各該罪名；將現行§406抗告期間5日，修正為10日。【2】刑事訴訟法施行法增訂重點：為妥適解</w:t>
            </w:r>
            <w:r w:rsidRPr="00026143">
              <w:rPr>
                <w:rFonts w:ascii="標楷體" w:eastAsia="標楷體" w:hAnsi="標楷體"/>
                <w:color w:val="000000" w:themeColor="text1"/>
              </w:rPr>
              <w:lastRenderedPageBreak/>
              <w:t>決修正通過之刑事訴訟法施行後，於施行前第1審原行合議審判之案件，或原得上訴於第3審之案件且已繫屬於各級法院者，其以後程序如何進行之問題，及此次修法施行時，如抗告期間依修正前之規定尚未屆滿者，應採有利於抗告人之原則，而適用修正後之規定。）</w:t>
            </w:r>
          </w:p>
        </w:tc>
        <w:tc>
          <w:tcPr>
            <w:tcW w:w="2139" w:type="dxa"/>
            <w:shd w:val="clear" w:color="auto" w:fill="auto"/>
          </w:tcPr>
          <w:p w14:paraId="04240D2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司法院、行政院 </w:t>
            </w:r>
          </w:p>
          <w:p w14:paraId="76190CB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110.02.26 </w:t>
            </w:r>
          </w:p>
          <w:p w14:paraId="3A0AE01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w:t>
            </w:r>
          </w:p>
        </w:tc>
        <w:tc>
          <w:tcPr>
            <w:tcW w:w="1472" w:type="dxa"/>
            <w:shd w:val="clear" w:color="auto" w:fill="auto"/>
          </w:tcPr>
          <w:p w14:paraId="4E43B0F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5E9C39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B5EA1BC" w14:textId="77777777" w:rsidTr="00EC13B7">
        <w:tc>
          <w:tcPr>
            <w:tcW w:w="588" w:type="dxa"/>
            <w:shd w:val="clear" w:color="auto" w:fill="auto"/>
          </w:tcPr>
          <w:p w14:paraId="5450B58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39</w:t>
            </w:r>
          </w:p>
        </w:tc>
        <w:tc>
          <w:tcPr>
            <w:tcW w:w="2688" w:type="dxa"/>
            <w:shd w:val="clear" w:color="auto" w:fill="auto"/>
          </w:tcPr>
          <w:p w14:paraId="3751D92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六十七條及第四百十六條條文修正草案」、「刑事訴訟法施行法增訂第七條之十七條文草案」（【1】刑事訴訟法修正重點：為將聲請回復原狀及聲請撤銷或變更審判長、受命法官、受託法官或檢察官所為處分之期間5日，均適度延長為10日。【2】刑事訴訟法施行法增訂重點：修正通過之刑事訴訟法施行時，如聲請回復原狀或聲請撤銷或變更審判長、受命法官、受託法官或檢察官所為處分之期間，依修正前之規定尚未屆滿者，應採有利於聲請人之原則，而適用修正後之規定。）</w:t>
            </w:r>
          </w:p>
        </w:tc>
        <w:tc>
          <w:tcPr>
            <w:tcW w:w="2139" w:type="dxa"/>
            <w:shd w:val="clear" w:color="auto" w:fill="auto"/>
          </w:tcPr>
          <w:p w14:paraId="5A03D14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司法院、行政院 </w:t>
            </w:r>
          </w:p>
          <w:p w14:paraId="5F81830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110.02.26 </w:t>
            </w:r>
          </w:p>
          <w:p w14:paraId="068BF69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w:t>
            </w:r>
          </w:p>
        </w:tc>
        <w:tc>
          <w:tcPr>
            <w:tcW w:w="1472" w:type="dxa"/>
            <w:shd w:val="clear" w:color="auto" w:fill="auto"/>
          </w:tcPr>
          <w:p w14:paraId="427FB2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800378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2882650" w14:textId="77777777" w:rsidTr="00EC13B7">
        <w:tc>
          <w:tcPr>
            <w:tcW w:w="588" w:type="dxa"/>
            <w:shd w:val="clear" w:color="auto" w:fill="auto"/>
          </w:tcPr>
          <w:p w14:paraId="786FA0E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40</w:t>
            </w:r>
          </w:p>
        </w:tc>
        <w:tc>
          <w:tcPr>
            <w:tcW w:w="2688" w:type="dxa"/>
            <w:shd w:val="clear" w:color="auto" w:fill="auto"/>
          </w:tcPr>
          <w:p w14:paraId="6D7BD40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六十七條及第四百十六條條文修正草案（修正重點：有關聲請回復原狀及聲請撤銷或變更審判長、受命法官、受託法官或檢察官所為處分之期間僅為五日，為保障聲請人之權益，均適度延長為十日。）</w:t>
            </w:r>
          </w:p>
        </w:tc>
        <w:tc>
          <w:tcPr>
            <w:tcW w:w="2139" w:type="dxa"/>
            <w:shd w:val="clear" w:color="auto" w:fill="auto"/>
          </w:tcPr>
          <w:p w14:paraId="4282910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260263B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4B8BA8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7DD88C5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472" w:type="dxa"/>
            <w:shd w:val="clear" w:color="auto" w:fill="auto"/>
          </w:tcPr>
          <w:p w14:paraId="778D6B8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764010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DD8B7F" w14:textId="77777777" w:rsidTr="00EC13B7">
        <w:tc>
          <w:tcPr>
            <w:tcW w:w="588" w:type="dxa"/>
            <w:shd w:val="clear" w:color="auto" w:fill="auto"/>
          </w:tcPr>
          <w:p w14:paraId="5C328A7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41</w:t>
            </w:r>
          </w:p>
        </w:tc>
        <w:tc>
          <w:tcPr>
            <w:tcW w:w="2688" w:type="dxa"/>
            <w:shd w:val="clear" w:color="auto" w:fill="auto"/>
          </w:tcPr>
          <w:p w14:paraId="19F6513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1.「刑事訴訟法部分條文修正草案」、「刑事訴</w:t>
            </w:r>
            <w:r w:rsidRPr="00026143">
              <w:rPr>
                <w:rFonts w:ascii="標楷體" w:eastAsia="標楷體" w:hAnsi="標楷體"/>
                <w:color w:val="000000" w:themeColor="text1"/>
              </w:rPr>
              <w:lastRenderedPageBreak/>
              <w:t>訟法施行法增訂第七條之十九條文草案」（【1】刑事訴訟法修正§27、31、35、93-1、182、186、253-2、294、298、455-41；增訂§298-1。修正重點：因有身心障礙情形致無法為完全陳述之被告或犯罪嫌疑人，周妥通知選任辯護人、強制辯護、輔佐人陪同及等候時間等程序保障與訴訟照料規定；加強偵查或審判中在押被告之防禦權，納入強制辯護範圍，及偵查中司法警察官或司法警察應通知法律扶助機構指派律師之規定；配合心理師法及刑法有關心理師業務範圍修正。【2】刑事訴訟法施行法增訂重點：配合上開刑事訴訟法修正，增訂本條文。）</w:t>
            </w:r>
          </w:p>
        </w:tc>
        <w:tc>
          <w:tcPr>
            <w:tcW w:w="2139" w:type="dxa"/>
            <w:shd w:val="clear" w:color="auto" w:fill="auto"/>
          </w:tcPr>
          <w:p w14:paraId="19978DD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司法院、行政院 </w:t>
            </w:r>
          </w:p>
          <w:p w14:paraId="6629548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110.09.17 </w:t>
            </w:r>
          </w:p>
          <w:p w14:paraId="5A9CE70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（10-4-1）</w:t>
            </w:r>
          </w:p>
        </w:tc>
        <w:tc>
          <w:tcPr>
            <w:tcW w:w="1472" w:type="dxa"/>
            <w:shd w:val="clear" w:color="auto" w:fill="auto"/>
          </w:tcPr>
          <w:p w14:paraId="505800E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5B26DC4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89D7982" w14:textId="77777777" w:rsidTr="00EC13B7">
        <w:tc>
          <w:tcPr>
            <w:tcW w:w="588" w:type="dxa"/>
            <w:shd w:val="clear" w:color="auto" w:fill="auto"/>
          </w:tcPr>
          <w:p w14:paraId="5A3D831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42</w:t>
            </w:r>
          </w:p>
        </w:tc>
        <w:tc>
          <w:tcPr>
            <w:tcW w:w="2688" w:type="dxa"/>
            <w:shd w:val="clear" w:color="auto" w:fill="auto"/>
          </w:tcPr>
          <w:p w14:paraId="04DA0DC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2.刑事訴訟法第一百八十二條條文修正草案（修正重點：增列心理師為得拒絕證言之主體。）</w:t>
            </w:r>
          </w:p>
        </w:tc>
        <w:tc>
          <w:tcPr>
            <w:tcW w:w="2139" w:type="dxa"/>
            <w:shd w:val="clear" w:color="auto" w:fill="auto"/>
          </w:tcPr>
          <w:p w14:paraId="3C50372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委員周春米</w:t>
            </w:r>
          </w:p>
          <w:p w14:paraId="6C60D08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等27人 </w:t>
            </w:r>
          </w:p>
          <w:p w14:paraId="592C7A1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1A54ED9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472CACC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7EC203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BC27F27" w14:textId="77777777" w:rsidTr="00EC13B7">
        <w:tc>
          <w:tcPr>
            <w:tcW w:w="588" w:type="dxa"/>
            <w:shd w:val="clear" w:color="auto" w:fill="auto"/>
          </w:tcPr>
          <w:p w14:paraId="2C4B56A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43</w:t>
            </w:r>
          </w:p>
        </w:tc>
        <w:tc>
          <w:tcPr>
            <w:tcW w:w="2688" w:type="dxa"/>
            <w:shd w:val="clear" w:color="auto" w:fill="auto"/>
          </w:tcPr>
          <w:p w14:paraId="61482A1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3.刑事訴訟法第二百五十三條之二條文修正草案（修正重點：為遏止酒後駕車肇事，提案納入生命教育。）</w:t>
            </w:r>
          </w:p>
        </w:tc>
        <w:tc>
          <w:tcPr>
            <w:tcW w:w="2139" w:type="dxa"/>
            <w:shd w:val="clear" w:color="auto" w:fill="auto"/>
          </w:tcPr>
          <w:p w14:paraId="2884BED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委員何志偉</w:t>
            </w:r>
          </w:p>
          <w:p w14:paraId="079A980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等29人 </w:t>
            </w:r>
          </w:p>
          <w:p w14:paraId="50C5F39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51DEB0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77CE2DD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BC1FAE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9D1329D" w14:textId="77777777" w:rsidTr="00EC13B7">
        <w:tc>
          <w:tcPr>
            <w:tcW w:w="588" w:type="dxa"/>
            <w:shd w:val="clear" w:color="auto" w:fill="auto"/>
          </w:tcPr>
          <w:p w14:paraId="0F94C6D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44</w:t>
            </w:r>
          </w:p>
        </w:tc>
        <w:tc>
          <w:tcPr>
            <w:tcW w:w="2688" w:type="dxa"/>
            <w:shd w:val="clear" w:color="auto" w:fill="auto"/>
          </w:tcPr>
          <w:p w14:paraId="599D37D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4.刑事訴訟法第二百五十三條之二條文修正草案（修正重點：符合緩起訴要件之案件，檢察官在針對案件完整蒐集事實證據並審酌後認為可以適用緩起訴者可命被告遵守或履行一定事項。）</w:t>
            </w:r>
          </w:p>
        </w:tc>
        <w:tc>
          <w:tcPr>
            <w:tcW w:w="2139" w:type="dxa"/>
            <w:shd w:val="clear" w:color="auto" w:fill="auto"/>
          </w:tcPr>
          <w:p w14:paraId="7F74181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委員陳椒華</w:t>
            </w:r>
          </w:p>
          <w:p w14:paraId="23CDBE5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等27人 </w:t>
            </w:r>
          </w:p>
          <w:p w14:paraId="270B02A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6C721A6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472" w:type="dxa"/>
            <w:shd w:val="clear" w:color="auto" w:fill="auto"/>
          </w:tcPr>
          <w:p w14:paraId="706C022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41E7A36" w14:textId="3DC90784"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本會110.5.19</w:t>
            </w:r>
          </w:p>
          <w:p w14:paraId="40431D8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(10-3-18)報告及詢答完畢，另定期繼續審查。</w:t>
            </w:r>
          </w:p>
        </w:tc>
      </w:tr>
      <w:tr w:rsidR="00EC13B7" w:rsidRPr="00026143" w14:paraId="463EF796" w14:textId="77777777" w:rsidTr="00EC13B7">
        <w:tc>
          <w:tcPr>
            <w:tcW w:w="588" w:type="dxa"/>
            <w:shd w:val="clear" w:color="auto" w:fill="auto"/>
          </w:tcPr>
          <w:p w14:paraId="198F981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45</w:t>
            </w:r>
          </w:p>
        </w:tc>
        <w:tc>
          <w:tcPr>
            <w:tcW w:w="2688" w:type="dxa"/>
            <w:shd w:val="clear" w:color="auto" w:fill="auto"/>
          </w:tcPr>
          <w:p w14:paraId="34C96E4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5.刑事訴訟法第二百五十三條之二條文修正草案(修正重點：行為人違反刑法中酒駕之規定而</w:t>
            </w:r>
            <w:r w:rsidRPr="00026143">
              <w:rPr>
                <w:rFonts w:ascii="標楷體" w:eastAsia="標楷體" w:hAnsi="標楷體"/>
                <w:color w:val="000000" w:themeColor="text1"/>
              </w:rPr>
              <w:lastRenderedPageBreak/>
              <w:t>緩起訴之處分，其繳納之公益金，應加強挹注酒癮戒治之相關資源，包含治療費用、醫學實證研究等。)</w:t>
            </w:r>
          </w:p>
        </w:tc>
        <w:tc>
          <w:tcPr>
            <w:tcW w:w="2139" w:type="dxa"/>
            <w:shd w:val="clear" w:color="auto" w:fill="auto"/>
          </w:tcPr>
          <w:p w14:paraId="2E98C38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委員林靜儀</w:t>
            </w:r>
          </w:p>
          <w:p w14:paraId="359115A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19F8E08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7BCA05E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472" w:type="dxa"/>
            <w:shd w:val="clear" w:color="auto" w:fill="auto"/>
          </w:tcPr>
          <w:p w14:paraId="1051B34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958945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B1B186F" w14:textId="77777777" w:rsidTr="00EC13B7">
        <w:tc>
          <w:tcPr>
            <w:tcW w:w="588" w:type="dxa"/>
            <w:shd w:val="clear" w:color="auto" w:fill="auto"/>
          </w:tcPr>
          <w:p w14:paraId="78AD219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46</w:t>
            </w:r>
          </w:p>
        </w:tc>
        <w:tc>
          <w:tcPr>
            <w:tcW w:w="2688" w:type="dxa"/>
            <w:shd w:val="clear" w:color="auto" w:fill="auto"/>
          </w:tcPr>
          <w:p w14:paraId="24EF61F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部分條文修正草案」、「刑事訴訟法施行法增訂第七條之十五條文草案」（【1】刑事訴訟法增訂§160-1、198-1、198-2、206-2、211-1；修正§198、206、208。修正重點：明定測謊之結果不得作為認定犯罪事實存否之證據及其例外；增訂鑑定人與本案之利益關係應予揭露；明定偵查中得請求檢察官鑑定或選任特定之人為鑑定。【2】刑事訴訟法施行法增訂重點：配合刑事訴訟法增訂測謊結果之證據能力及鑑定制度之重大變革，增訂本條文。）</w:t>
            </w:r>
          </w:p>
        </w:tc>
        <w:tc>
          <w:tcPr>
            <w:tcW w:w="2139" w:type="dxa"/>
            <w:shd w:val="clear" w:color="auto" w:fill="auto"/>
          </w:tcPr>
          <w:p w14:paraId="0E8F451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司法院、行政院 </w:t>
            </w:r>
          </w:p>
          <w:p w14:paraId="295A217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110.09.17 </w:t>
            </w:r>
          </w:p>
          <w:p w14:paraId="01C31FE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w:t>
            </w:r>
          </w:p>
        </w:tc>
        <w:tc>
          <w:tcPr>
            <w:tcW w:w="1472" w:type="dxa"/>
            <w:shd w:val="clear" w:color="auto" w:fill="auto"/>
          </w:tcPr>
          <w:p w14:paraId="35ABF84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1606BF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F2CBA7" w14:textId="77777777" w:rsidTr="00EC13B7">
        <w:tc>
          <w:tcPr>
            <w:tcW w:w="588" w:type="dxa"/>
            <w:shd w:val="clear" w:color="auto" w:fill="auto"/>
          </w:tcPr>
          <w:p w14:paraId="2985202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47</w:t>
            </w:r>
          </w:p>
        </w:tc>
        <w:tc>
          <w:tcPr>
            <w:tcW w:w="2688" w:type="dxa"/>
            <w:shd w:val="clear" w:color="auto" w:fill="auto"/>
          </w:tcPr>
          <w:p w14:paraId="732F837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2.刑事訴訟法增訂第一百六十條之一條文草案（增訂重點：偵查機關得以測謊之結果作為偵查手段，藉以排除或指出偵查之方向，以協助偵查。）</w:t>
            </w:r>
          </w:p>
        </w:tc>
        <w:tc>
          <w:tcPr>
            <w:tcW w:w="2139" w:type="dxa"/>
            <w:shd w:val="clear" w:color="auto" w:fill="auto"/>
          </w:tcPr>
          <w:p w14:paraId="00D3130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委員許淑華</w:t>
            </w:r>
          </w:p>
          <w:p w14:paraId="3C8E6A6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3E95EB3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110.09.17 </w:t>
            </w:r>
          </w:p>
          <w:p w14:paraId="186D2F1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w:t>
            </w:r>
          </w:p>
        </w:tc>
        <w:tc>
          <w:tcPr>
            <w:tcW w:w="1472" w:type="dxa"/>
            <w:shd w:val="clear" w:color="auto" w:fill="auto"/>
          </w:tcPr>
          <w:p w14:paraId="2FB543B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7F4086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CD4549E" w14:textId="77777777" w:rsidTr="00EC13B7">
        <w:tc>
          <w:tcPr>
            <w:tcW w:w="588" w:type="dxa"/>
            <w:shd w:val="clear" w:color="auto" w:fill="auto"/>
          </w:tcPr>
          <w:p w14:paraId="487BB20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48</w:t>
            </w:r>
          </w:p>
        </w:tc>
        <w:tc>
          <w:tcPr>
            <w:tcW w:w="2688" w:type="dxa"/>
            <w:shd w:val="clear" w:color="auto" w:fill="auto"/>
          </w:tcPr>
          <w:p w14:paraId="4C690FF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刑事訴訟法部分條文修正草案(增訂§160-1、198-1、198-2、211-1；修正§198、206、208。修正重點：明定測謊之結果不得作為認定犯罪事實存否之證據及其例外；增訂鑑定人與本案之利益關係應予揭露；明定當事人於審判中得自行委任鑑定人並自行負擔鑑定費用；明定程序參與者於偵查中選任鑑定人前得有陳述意見</w:t>
            </w:r>
            <w:r w:rsidRPr="00026143">
              <w:rPr>
                <w:rFonts w:ascii="標楷體" w:eastAsia="標楷體" w:hAnsi="標楷體"/>
                <w:color w:val="000000" w:themeColor="text1"/>
              </w:rPr>
              <w:lastRenderedPageBreak/>
              <w:t>之機會；明定鑑定之言詞及書面報告應記載之事項。)</w:t>
            </w:r>
          </w:p>
        </w:tc>
        <w:tc>
          <w:tcPr>
            <w:tcW w:w="2139" w:type="dxa"/>
            <w:shd w:val="clear" w:color="auto" w:fill="auto"/>
          </w:tcPr>
          <w:p w14:paraId="7595EEE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委員蔡易餘</w:t>
            </w:r>
          </w:p>
          <w:p w14:paraId="13FC4B3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50DEA20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07FB861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472" w:type="dxa"/>
            <w:shd w:val="clear" w:color="auto" w:fill="auto"/>
          </w:tcPr>
          <w:p w14:paraId="57550BF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4B9894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4C27974" w14:textId="77777777" w:rsidTr="00EC13B7">
        <w:tc>
          <w:tcPr>
            <w:tcW w:w="588" w:type="dxa"/>
            <w:shd w:val="clear" w:color="auto" w:fill="auto"/>
          </w:tcPr>
          <w:p w14:paraId="48BEF38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49</w:t>
            </w:r>
          </w:p>
        </w:tc>
        <w:tc>
          <w:tcPr>
            <w:tcW w:w="2688" w:type="dxa"/>
            <w:shd w:val="clear" w:color="auto" w:fill="auto"/>
          </w:tcPr>
          <w:p w14:paraId="60929DB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r w:rsidRPr="00026143">
              <w:rPr>
                <w:rFonts w:ascii="標楷體" w:eastAsia="標楷體" w:hAnsi="標楷體"/>
                <w:color w:val="000000" w:themeColor="text1"/>
              </w:rPr>
              <w:t>.刑事訴訟法部分條文修正草案(修正§166-1、166-2、166-6、166-7、167、167-1、167-2、168、168-1、169、170、198；增訂§198-1、第三節之一節名、211-1~8。修正重點：堅實刑事訴訟事實審，提案修正明確化鑑定人資格、建立專家證人制度。)</w:t>
            </w:r>
          </w:p>
        </w:tc>
        <w:tc>
          <w:tcPr>
            <w:tcW w:w="2139" w:type="dxa"/>
            <w:shd w:val="clear" w:color="auto" w:fill="auto"/>
          </w:tcPr>
          <w:p w14:paraId="73B8B35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0FC41BB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71682DE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44B5920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472" w:type="dxa"/>
            <w:shd w:val="clear" w:color="auto" w:fill="auto"/>
          </w:tcPr>
          <w:p w14:paraId="04B0808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240387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4BB729" w14:textId="77777777" w:rsidTr="00EC13B7">
        <w:tc>
          <w:tcPr>
            <w:tcW w:w="588" w:type="dxa"/>
            <w:shd w:val="clear" w:color="auto" w:fill="auto"/>
          </w:tcPr>
          <w:p w14:paraId="63BA43A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50</w:t>
            </w:r>
          </w:p>
        </w:tc>
        <w:tc>
          <w:tcPr>
            <w:tcW w:w="2688" w:type="dxa"/>
            <w:shd w:val="clear" w:color="auto" w:fill="auto"/>
          </w:tcPr>
          <w:p w14:paraId="7BC1B5B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部分條文修正草案」、「刑事訴訟法施行法增訂第七條之二十條文草案」（【1】刑事訴訟法修正§161、258-1~4、259、260、303、321、323、326。修正重點：將交付審判制度適度轉型為准許提起自訴之換軌模式。【2】刑事訴訟法施行法增訂重點：配合上開刑事訴訟法修正，增訂此條文。）</w:t>
            </w:r>
          </w:p>
        </w:tc>
        <w:tc>
          <w:tcPr>
            <w:tcW w:w="2139" w:type="dxa"/>
            <w:shd w:val="clear" w:color="auto" w:fill="auto"/>
          </w:tcPr>
          <w:p w14:paraId="5165A7E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司法院、行政院 </w:t>
            </w:r>
          </w:p>
          <w:p w14:paraId="43E6B17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110.09.17 </w:t>
            </w:r>
          </w:p>
          <w:p w14:paraId="043301B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w:t>
            </w:r>
          </w:p>
        </w:tc>
        <w:tc>
          <w:tcPr>
            <w:tcW w:w="1472" w:type="dxa"/>
            <w:shd w:val="clear" w:color="auto" w:fill="auto"/>
          </w:tcPr>
          <w:p w14:paraId="33D4A68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004C6D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3FA710" w14:textId="77777777" w:rsidTr="00EC13B7">
        <w:tc>
          <w:tcPr>
            <w:tcW w:w="588" w:type="dxa"/>
            <w:shd w:val="clear" w:color="auto" w:fill="auto"/>
          </w:tcPr>
          <w:p w14:paraId="3DBE701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51</w:t>
            </w:r>
          </w:p>
        </w:tc>
        <w:tc>
          <w:tcPr>
            <w:tcW w:w="2688" w:type="dxa"/>
            <w:shd w:val="clear" w:color="auto" w:fill="auto"/>
          </w:tcPr>
          <w:p w14:paraId="4DDE318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二百五十八條之四、第二百六十條及第四百二十八條條文修正草案(修正重點：鑑於現行刑事訴訟法賦予不起訴處分有實質確定力受有違反審檢分立、控訴原則等質疑，復為使自訴人與檢察官為受判決人不利益聲請再審之事由一致，除去現行法之差別對待，爰提案修正。)</w:t>
            </w:r>
          </w:p>
        </w:tc>
        <w:tc>
          <w:tcPr>
            <w:tcW w:w="2139" w:type="dxa"/>
            <w:shd w:val="clear" w:color="auto" w:fill="auto"/>
          </w:tcPr>
          <w:p w14:paraId="601E59A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076297E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110.12.24 </w:t>
            </w:r>
          </w:p>
          <w:p w14:paraId="6C69C41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（10-4-15）</w:t>
            </w:r>
          </w:p>
        </w:tc>
        <w:tc>
          <w:tcPr>
            <w:tcW w:w="1472" w:type="dxa"/>
            <w:shd w:val="clear" w:color="auto" w:fill="auto"/>
          </w:tcPr>
          <w:p w14:paraId="3094A46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173318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5A8AEB3" w14:textId="77777777" w:rsidTr="00EC13B7">
        <w:tc>
          <w:tcPr>
            <w:tcW w:w="588" w:type="dxa"/>
            <w:shd w:val="clear" w:color="auto" w:fill="auto"/>
          </w:tcPr>
          <w:p w14:paraId="63F8F24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52</w:t>
            </w:r>
          </w:p>
        </w:tc>
        <w:tc>
          <w:tcPr>
            <w:tcW w:w="2688" w:type="dxa"/>
            <w:shd w:val="clear" w:color="auto" w:fill="auto"/>
          </w:tcPr>
          <w:p w14:paraId="60740D2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1.刑事訴訟法第七十一條及第一百七十五條條文修正草案(修正重點：明定被告或證人為外籍配偶、外籍人士時，法院應於傳票上之記載</w:t>
            </w:r>
            <w:r w:rsidRPr="00026143">
              <w:rPr>
                <w:rFonts w:ascii="標楷體" w:eastAsia="標楷體" w:hAnsi="標楷體"/>
                <w:color w:val="000000" w:themeColor="text1"/>
              </w:rPr>
              <w:lastRenderedPageBreak/>
              <w:t>事項加註該國文字或英文翻譯。)</w:t>
            </w:r>
          </w:p>
        </w:tc>
        <w:tc>
          <w:tcPr>
            <w:tcW w:w="2139" w:type="dxa"/>
            <w:shd w:val="clear" w:color="auto" w:fill="auto"/>
          </w:tcPr>
          <w:p w14:paraId="5F2945D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委員許淑華</w:t>
            </w:r>
          </w:p>
          <w:p w14:paraId="4D693D8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96AE1A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109.03.06 </w:t>
            </w:r>
          </w:p>
          <w:p w14:paraId="74607E1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（10-1-3）</w:t>
            </w:r>
          </w:p>
        </w:tc>
        <w:tc>
          <w:tcPr>
            <w:tcW w:w="1472" w:type="dxa"/>
            <w:shd w:val="clear" w:color="auto" w:fill="auto"/>
          </w:tcPr>
          <w:p w14:paraId="34D1324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883DC5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4F1A38B" w14:textId="77777777" w:rsidTr="00EC13B7">
        <w:tc>
          <w:tcPr>
            <w:tcW w:w="588" w:type="dxa"/>
            <w:shd w:val="clear" w:color="auto" w:fill="auto"/>
          </w:tcPr>
          <w:p w14:paraId="4342F29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53</w:t>
            </w:r>
          </w:p>
        </w:tc>
        <w:tc>
          <w:tcPr>
            <w:tcW w:w="2688" w:type="dxa"/>
            <w:shd w:val="clear" w:color="auto" w:fill="auto"/>
          </w:tcPr>
          <w:p w14:paraId="7A61D52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2.刑事訴訟法第七十一條及第一百七十五條條文修正草案（修正重點：外籍配偶或外籍人士因不黯中文，未能理解傳票內容致使遭拘提、通緝、罰鍰之情況。）</w:t>
            </w:r>
          </w:p>
        </w:tc>
        <w:tc>
          <w:tcPr>
            <w:tcW w:w="2139" w:type="dxa"/>
            <w:shd w:val="clear" w:color="auto" w:fill="auto"/>
          </w:tcPr>
          <w:p w14:paraId="163B703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委員傅</w:t>
            </w:r>
            <w:r w:rsidRPr="00026143">
              <w:rPr>
                <w:rFonts w:ascii="標楷體" w:eastAsia="標楷體" w:hAnsi="標楷體" w:hint="eastAsia"/>
                <w:color w:val="000000" w:themeColor="text1"/>
              </w:rPr>
              <w:t>崐萁</w:t>
            </w:r>
          </w:p>
          <w:p w14:paraId="014CE49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18人 </w:t>
            </w:r>
          </w:p>
          <w:p w14:paraId="7DEA634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23F050C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472" w:type="dxa"/>
            <w:shd w:val="clear" w:color="auto" w:fill="auto"/>
          </w:tcPr>
          <w:p w14:paraId="55578C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AA988C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B228511" w14:textId="77777777" w:rsidTr="00EC13B7">
        <w:tc>
          <w:tcPr>
            <w:tcW w:w="588" w:type="dxa"/>
            <w:shd w:val="clear" w:color="auto" w:fill="auto"/>
          </w:tcPr>
          <w:p w14:paraId="751BF67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54</w:t>
            </w:r>
          </w:p>
        </w:tc>
        <w:tc>
          <w:tcPr>
            <w:tcW w:w="2688" w:type="dxa"/>
            <w:shd w:val="clear" w:color="auto" w:fill="auto"/>
          </w:tcPr>
          <w:p w14:paraId="4CCC284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2139" w:type="dxa"/>
            <w:shd w:val="clear" w:color="auto" w:fill="auto"/>
          </w:tcPr>
          <w:p w14:paraId="4F32D46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委員蔡易餘</w:t>
            </w:r>
          </w:p>
          <w:p w14:paraId="6C0C849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3747354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109.04.10 </w:t>
            </w:r>
          </w:p>
          <w:p w14:paraId="41D4977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（10-1-8）</w:t>
            </w:r>
          </w:p>
        </w:tc>
        <w:tc>
          <w:tcPr>
            <w:tcW w:w="1472" w:type="dxa"/>
            <w:shd w:val="clear" w:color="auto" w:fill="auto"/>
          </w:tcPr>
          <w:p w14:paraId="13C3E84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C772F93" w14:textId="264D4C25" w:rsidR="00EC13B7" w:rsidRPr="00BF610E"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10"/>
              </w:rPr>
            </w:pPr>
            <w:r w:rsidRPr="00026143">
              <w:rPr>
                <w:rFonts w:ascii="標楷體" w:eastAsia="標楷體" w:hAnsi="標楷體"/>
                <w:color w:val="000000" w:themeColor="text1"/>
              </w:rPr>
              <w:t>1.</w:t>
            </w:r>
            <w:r w:rsidRPr="00BF610E">
              <w:rPr>
                <w:rFonts w:ascii="標楷體" w:eastAsia="標楷體" w:hAnsi="標楷體"/>
                <w:color w:val="000000" w:themeColor="text1"/>
                <w:spacing w:val="-10"/>
              </w:rPr>
              <w:t>本會109.5.13</w:t>
            </w:r>
          </w:p>
          <w:p w14:paraId="5368CCD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(10-1-25)報告及詢答完畢，另定期繼續審查。</w:t>
            </w:r>
          </w:p>
          <w:p w14:paraId="7686C43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w:t>
            </w:r>
            <w:r w:rsidRPr="002F500F">
              <w:rPr>
                <w:rFonts w:ascii="標楷體" w:eastAsia="標楷體" w:hAnsi="標楷體"/>
                <w:color w:val="000000" w:themeColor="text1"/>
                <w:spacing w:val="-10"/>
              </w:rPr>
              <w:t>.本會109.5.2</w:t>
            </w:r>
            <w:r w:rsidRPr="00026143">
              <w:rPr>
                <w:rFonts w:ascii="標楷體" w:eastAsia="標楷體" w:hAnsi="標楷體"/>
                <w:color w:val="000000" w:themeColor="text1"/>
              </w:rPr>
              <w:t>7(10-1-31)另定期繼續審查。</w:t>
            </w:r>
          </w:p>
        </w:tc>
      </w:tr>
      <w:tr w:rsidR="00EC13B7" w:rsidRPr="00026143" w14:paraId="4572918E" w14:textId="77777777" w:rsidTr="00EC13B7">
        <w:tc>
          <w:tcPr>
            <w:tcW w:w="588" w:type="dxa"/>
            <w:shd w:val="clear" w:color="auto" w:fill="auto"/>
          </w:tcPr>
          <w:p w14:paraId="6657A63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55</w:t>
            </w:r>
          </w:p>
        </w:tc>
        <w:tc>
          <w:tcPr>
            <w:tcW w:w="2688" w:type="dxa"/>
            <w:shd w:val="clear" w:color="auto" w:fill="auto"/>
          </w:tcPr>
          <w:p w14:paraId="4B91031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刑事訴訟法第一百二十二條及第一百二十八條條文修正草案（修正重點：增訂「電磁紀錄物」於搜索範圍及搜索票應記載事項中。）</w:t>
            </w:r>
          </w:p>
        </w:tc>
        <w:tc>
          <w:tcPr>
            <w:tcW w:w="2139" w:type="dxa"/>
            <w:shd w:val="clear" w:color="auto" w:fill="auto"/>
          </w:tcPr>
          <w:p w14:paraId="15308B8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0264C14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E56E24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109.05.01 </w:t>
            </w:r>
          </w:p>
          <w:p w14:paraId="1634C8A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（10-1-11）</w:t>
            </w:r>
          </w:p>
        </w:tc>
        <w:tc>
          <w:tcPr>
            <w:tcW w:w="1472" w:type="dxa"/>
            <w:shd w:val="clear" w:color="auto" w:fill="auto"/>
          </w:tcPr>
          <w:p w14:paraId="02031C1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C5A762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5FFBA6" w14:textId="77777777" w:rsidTr="00EC13B7">
        <w:tc>
          <w:tcPr>
            <w:tcW w:w="588" w:type="dxa"/>
            <w:shd w:val="clear" w:color="auto" w:fill="auto"/>
          </w:tcPr>
          <w:p w14:paraId="5746BC9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56</w:t>
            </w:r>
          </w:p>
        </w:tc>
        <w:tc>
          <w:tcPr>
            <w:tcW w:w="2688" w:type="dxa"/>
            <w:shd w:val="clear" w:color="auto" w:fill="auto"/>
          </w:tcPr>
          <w:p w14:paraId="4FBDDC0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刑事訴訟法部分條文修正草案（修正§228、271、271-1、273；增訂§248-4、修正重點：賦予被害人於受訊問前，應受告知其有陪同訊問、適</w:t>
            </w:r>
            <w:r w:rsidRPr="00026143">
              <w:rPr>
                <w:rFonts w:ascii="標楷體" w:eastAsia="標楷體" w:hAnsi="標楷體"/>
                <w:color w:val="000000" w:themeColor="text1"/>
              </w:rPr>
              <w:lastRenderedPageBreak/>
              <w:t>當隔離、聲請轉介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2139" w:type="dxa"/>
            <w:shd w:val="clear" w:color="auto" w:fill="auto"/>
          </w:tcPr>
          <w:p w14:paraId="41AFA77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民眾黨黨團 </w:t>
            </w:r>
          </w:p>
          <w:p w14:paraId="0AB8DB7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109.05.08 </w:t>
            </w:r>
          </w:p>
          <w:p w14:paraId="70C876D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（10-1-12）</w:t>
            </w:r>
          </w:p>
        </w:tc>
        <w:tc>
          <w:tcPr>
            <w:tcW w:w="1472" w:type="dxa"/>
            <w:shd w:val="clear" w:color="auto" w:fill="auto"/>
          </w:tcPr>
          <w:p w14:paraId="5584E82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6CC1C2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6C366B" w14:textId="77777777" w:rsidTr="00EC13B7">
        <w:tc>
          <w:tcPr>
            <w:tcW w:w="588" w:type="dxa"/>
            <w:shd w:val="clear" w:color="auto" w:fill="auto"/>
          </w:tcPr>
          <w:p w14:paraId="6045EB1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57</w:t>
            </w:r>
          </w:p>
        </w:tc>
        <w:tc>
          <w:tcPr>
            <w:tcW w:w="2688" w:type="dxa"/>
            <w:shd w:val="clear" w:color="auto" w:fill="auto"/>
          </w:tcPr>
          <w:p w14:paraId="7558BEB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1.刑事訴訟法第二百十五條、第二百十六條及第二百十八條條文修正草案（修正重點：婦女之身體檢查亦得由法醫師為之；解剖屍體應由法醫師為之。）</w:t>
            </w:r>
          </w:p>
        </w:tc>
        <w:tc>
          <w:tcPr>
            <w:tcW w:w="2139" w:type="dxa"/>
            <w:shd w:val="clear" w:color="auto" w:fill="auto"/>
          </w:tcPr>
          <w:p w14:paraId="689AAD1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10EED6A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35AE485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7A1B2DB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7FB5B11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8571FC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1E8B21" w14:textId="77777777" w:rsidTr="00EC13B7">
        <w:tc>
          <w:tcPr>
            <w:tcW w:w="588" w:type="dxa"/>
            <w:shd w:val="clear" w:color="auto" w:fill="auto"/>
          </w:tcPr>
          <w:p w14:paraId="6F70883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58</w:t>
            </w:r>
          </w:p>
        </w:tc>
        <w:tc>
          <w:tcPr>
            <w:tcW w:w="2688" w:type="dxa"/>
            <w:shd w:val="clear" w:color="auto" w:fill="auto"/>
          </w:tcPr>
          <w:p w14:paraId="4B260AD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2.刑事訴訟法第二百十六條條文修正草案（修正重點：檢驗或解剖屍體，主體除醫師、檢驗員以外，增列「法醫師」適用，以完備非醫師型法醫執行業務時法源依據。）</w:t>
            </w:r>
          </w:p>
        </w:tc>
        <w:tc>
          <w:tcPr>
            <w:tcW w:w="2139" w:type="dxa"/>
            <w:shd w:val="clear" w:color="auto" w:fill="auto"/>
          </w:tcPr>
          <w:p w14:paraId="0D7B56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委員蔡適應</w:t>
            </w:r>
          </w:p>
          <w:p w14:paraId="4FC5032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541791F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110.04.16 </w:t>
            </w:r>
          </w:p>
          <w:p w14:paraId="2747888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（10-3-8）</w:t>
            </w:r>
          </w:p>
        </w:tc>
        <w:tc>
          <w:tcPr>
            <w:tcW w:w="1472" w:type="dxa"/>
            <w:shd w:val="clear" w:color="auto" w:fill="auto"/>
          </w:tcPr>
          <w:p w14:paraId="7E4E383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9CEF87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ADDDC43" w14:textId="77777777" w:rsidTr="00EC13B7">
        <w:tc>
          <w:tcPr>
            <w:tcW w:w="588" w:type="dxa"/>
            <w:shd w:val="clear" w:color="auto" w:fill="auto"/>
          </w:tcPr>
          <w:p w14:paraId="12CC36A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59</w:t>
            </w:r>
          </w:p>
        </w:tc>
        <w:tc>
          <w:tcPr>
            <w:tcW w:w="2688" w:type="dxa"/>
            <w:shd w:val="clear" w:color="auto" w:fill="auto"/>
          </w:tcPr>
          <w:p w14:paraId="3F5A3B7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四百二十條條文修正草案（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w:t>
            </w:r>
            <w:r w:rsidRPr="00026143">
              <w:rPr>
                <w:rFonts w:ascii="標楷體" w:eastAsia="標楷體" w:hAnsi="標楷體"/>
                <w:color w:val="000000" w:themeColor="text1"/>
              </w:rPr>
              <w:lastRenderedPageBreak/>
              <w:t>第六款所增列之「減刑」，如係任意或相對減刑之規定，基於同樣理由，亦應有再審之機會。）</w:t>
            </w:r>
          </w:p>
        </w:tc>
        <w:tc>
          <w:tcPr>
            <w:tcW w:w="2139" w:type="dxa"/>
            <w:shd w:val="clear" w:color="auto" w:fill="auto"/>
          </w:tcPr>
          <w:p w14:paraId="03A88CB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742C0B3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58B6638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68149D9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9EE6D2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D5DE2C" w14:textId="77777777" w:rsidTr="00EC13B7">
        <w:tc>
          <w:tcPr>
            <w:tcW w:w="588" w:type="dxa"/>
            <w:shd w:val="clear" w:color="auto" w:fill="auto"/>
          </w:tcPr>
          <w:p w14:paraId="3C57DC9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60</w:t>
            </w:r>
          </w:p>
        </w:tc>
        <w:tc>
          <w:tcPr>
            <w:tcW w:w="2688" w:type="dxa"/>
            <w:shd w:val="clear" w:color="auto" w:fill="auto"/>
          </w:tcPr>
          <w:p w14:paraId="11B770E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2.刑事訴訟法第四百二十條條文修正草案(修正重點：修正第一項第六款，使受判決人得就量刑有所違誤的確定判決提起再審救濟。)</w:t>
            </w:r>
          </w:p>
        </w:tc>
        <w:tc>
          <w:tcPr>
            <w:tcW w:w="2139" w:type="dxa"/>
            <w:shd w:val="clear" w:color="auto" w:fill="auto"/>
          </w:tcPr>
          <w:p w14:paraId="4573A0D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台灣民眾黨黨團 </w:t>
            </w:r>
          </w:p>
          <w:p w14:paraId="7FEE3E2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111.05.27</w:t>
            </w:r>
          </w:p>
          <w:p w14:paraId="71D36D8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472" w:type="dxa"/>
            <w:shd w:val="clear" w:color="auto" w:fill="auto"/>
          </w:tcPr>
          <w:p w14:paraId="571CDA2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8E9365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F553616" w14:textId="77777777" w:rsidTr="00EC13B7">
        <w:tc>
          <w:tcPr>
            <w:tcW w:w="588" w:type="dxa"/>
            <w:shd w:val="clear" w:color="auto" w:fill="auto"/>
          </w:tcPr>
          <w:p w14:paraId="28B93DE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61</w:t>
            </w:r>
          </w:p>
        </w:tc>
        <w:tc>
          <w:tcPr>
            <w:tcW w:w="2688" w:type="dxa"/>
            <w:shd w:val="clear" w:color="auto" w:fill="auto"/>
          </w:tcPr>
          <w:p w14:paraId="658809B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1.刑事訴訟法第一百五十二條條文修正草案（修正重點：另案扣押準用§131第3項規定，法院得加以審查。）</w:t>
            </w:r>
          </w:p>
        </w:tc>
        <w:tc>
          <w:tcPr>
            <w:tcW w:w="2139" w:type="dxa"/>
            <w:shd w:val="clear" w:color="auto" w:fill="auto"/>
          </w:tcPr>
          <w:p w14:paraId="2EE908D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委員陳以信</w:t>
            </w:r>
          </w:p>
          <w:p w14:paraId="3D061B9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E5E569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109.12.30 </w:t>
            </w:r>
          </w:p>
          <w:p w14:paraId="742D932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（10-2-11）</w:t>
            </w:r>
          </w:p>
        </w:tc>
        <w:tc>
          <w:tcPr>
            <w:tcW w:w="1472" w:type="dxa"/>
            <w:shd w:val="clear" w:color="auto" w:fill="auto"/>
          </w:tcPr>
          <w:p w14:paraId="13745D3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22923F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219A860" w14:textId="77777777" w:rsidTr="00EC13B7">
        <w:tc>
          <w:tcPr>
            <w:tcW w:w="588" w:type="dxa"/>
            <w:shd w:val="clear" w:color="auto" w:fill="auto"/>
          </w:tcPr>
          <w:p w14:paraId="7308B9F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62</w:t>
            </w:r>
          </w:p>
        </w:tc>
        <w:tc>
          <w:tcPr>
            <w:tcW w:w="2688" w:type="dxa"/>
            <w:shd w:val="clear" w:color="auto" w:fill="auto"/>
          </w:tcPr>
          <w:p w14:paraId="30D2251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131第3項陳報法院及撤銷之規定。）</w:t>
            </w:r>
          </w:p>
        </w:tc>
        <w:tc>
          <w:tcPr>
            <w:tcW w:w="2139" w:type="dxa"/>
            <w:shd w:val="clear" w:color="auto" w:fill="auto"/>
          </w:tcPr>
          <w:p w14:paraId="08E6F6B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1F92DBB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004A9A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110.04.06 </w:t>
            </w:r>
          </w:p>
          <w:p w14:paraId="2DEDCDF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（10-3-6）</w:t>
            </w:r>
          </w:p>
        </w:tc>
        <w:tc>
          <w:tcPr>
            <w:tcW w:w="1472" w:type="dxa"/>
            <w:shd w:val="clear" w:color="auto" w:fill="auto"/>
          </w:tcPr>
          <w:p w14:paraId="1702D2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24E54D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3C0B8DD" w14:textId="77777777" w:rsidTr="00EC13B7">
        <w:tc>
          <w:tcPr>
            <w:tcW w:w="588" w:type="dxa"/>
            <w:shd w:val="clear" w:color="auto" w:fill="auto"/>
          </w:tcPr>
          <w:p w14:paraId="5D5D56C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63</w:t>
            </w:r>
          </w:p>
        </w:tc>
        <w:tc>
          <w:tcPr>
            <w:tcW w:w="2688" w:type="dxa"/>
            <w:shd w:val="clear" w:color="auto" w:fill="auto"/>
          </w:tcPr>
          <w:p w14:paraId="60D6B2F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刑事訴訟法第八十七條條文修正草案（修正重點：將司法警察納入得拘提或逮捕通緝犯之範疇。）</w:t>
            </w:r>
          </w:p>
        </w:tc>
        <w:tc>
          <w:tcPr>
            <w:tcW w:w="2139" w:type="dxa"/>
            <w:shd w:val="clear" w:color="auto" w:fill="auto"/>
          </w:tcPr>
          <w:p w14:paraId="279D4B3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委員魯明哲</w:t>
            </w:r>
          </w:p>
          <w:p w14:paraId="585B0C0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等24人 </w:t>
            </w:r>
          </w:p>
          <w:p w14:paraId="37E9C90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110.03.19 </w:t>
            </w:r>
          </w:p>
          <w:p w14:paraId="1ED1F2E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（10-3-4）</w:t>
            </w:r>
          </w:p>
        </w:tc>
        <w:tc>
          <w:tcPr>
            <w:tcW w:w="1472" w:type="dxa"/>
            <w:shd w:val="clear" w:color="auto" w:fill="auto"/>
          </w:tcPr>
          <w:p w14:paraId="775F535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F0D13E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8FECEBD" w14:textId="77777777" w:rsidTr="00EC13B7">
        <w:tc>
          <w:tcPr>
            <w:tcW w:w="588" w:type="dxa"/>
            <w:shd w:val="clear" w:color="auto" w:fill="auto"/>
          </w:tcPr>
          <w:p w14:paraId="2380E87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64</w:t>
            </w:r>
          </w:p>
        </w:tc>
        <w:tc>
          <w:tcPr>
            <w:tcW w:w="2688" w:type="dxa"/>
            <w:shd w:val="clear" w:color="auto" w:fill="auto"/>
          </w:tcPr>
          <w:p w14:paraId="2363634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1.刑事訴訟法第一百零一條之一條文修正草案（修正重點：讓自訴人或告訴人得對是否羈押陳述意見。）</w:t>
            </w:r>
          </w:p>
        </w:tc>
        <w:tc>
          <w:tcPr>
            <w:tcW w:w="2139" w:type="dxa"/>
            <w:shd w:val="clear" w:color="auto" w:fill="auto"/>
          </w:tcPr>
          <w:p w14:paraId="36E4047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648C1E1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6E6C83B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110.04.06</w:t>
            </w:r>
          </w:p>
          <w:p w14:paraId="5407133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（10-3-6）</w:t>
            </w:r>
          </w:p>
        </w:tc>
        <w:tc>
          <w:tcPr>
            <w:tcW w:w="1472" w:type="dxa"/>
            <w:shd w:val="clear" w:color="auto" w:fill="auto"/>
          </w:tcPr>
          <w:p w14:paraId="2E794DA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EA487E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B3C702B" w14:textId="77777777" w:rsidTr="00EC13B7">
        <w:tc>
          <w:tcPr>
            <w:tcW w:w="588" w:type="dxa"/>
            <w:shd w:val="clear" w:color="auto" w:fill="auto"/>
          </w:tcPr>
          <w:p w14:paraId="324DDB1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65</w:t>
            </w:r>
          </w:p>
        </w:tc>
        <w:tc>
          <w:tcPr>
            <w:tcW w:w="2688" w:type="dxa"/>
            <w:shd w:val="clear" w:color="auto" w:fill="auto"/>
          </w:tcPr>
          <w:p w14:paraId="6FDABE3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2.刑事訴訟法第一百零一條之一條文修正草案(修正重點：家庭暴力案件之加害人常無視於法院核發之保護令，反覆觸犯家庭暴力防治法第61條之違反保護令罪，故增列第1項第2款及</w:t>
            </w:r>
            <w:r w:rsidRPr="00026143">
              <w:rPr>
                <w:rFonts w:ascii="標楷體" w:eastAsia="標楷體" w:hAnsi="標楷體"/>
                <w:color w:val="000000" w:themeColor="text1"/>
              </w:rPr>
              <w:lastRenderedPageBreak/>
              <w:t>第13款之罪為預防性羈押之事由。)</w:t>
            </w:r>
          </w:p>
        </w:tc>
        <w:tc>
          <w:tcPr>
            <w:tcW w:w="2139" w:type="dxa"/>
            <w:shd w:val="clear" w:color="auto" w:fill="auto"/>
          </w:tcPr>
          <w:p w14:paraId="35BF70E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委員呂玉玲</w:t>
            </w:r>
          </w:p>
          <w:p w14:paraId="0C5A7D8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68E34F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1893369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（10-6-9）</w:t>
            </w:r>
          </w:p>
        </w:tc>
        <w:tc>
          <w:tcPr>
            <w:tcW w:w="1472" w:type="dxa"/>
            <w:shd w:val="clear" w:color="auto" w:fill="auto"/>
          </w:tcPr>
          <w:p w14:paraId="62A2C5B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9876BB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475D994" w14:textId="77777777" w:rsidTr="00EC13B7">
        <w:tc>
          <w:tcPr>
            <w:tcW w:w="588" w:type="dxa"/>
            <w:shd w:val="clear" w:color="auto" w:fill="auto"/>
          </w:tcPr>
          <w:p w14:paraId="58A82B4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66</w:t>
            </w:r>
          </w:p>
        </w:tc>
        <w:tc>
          <w:tcPr>
            <w:tcW w:w="2688" w:type="dxa"/>
            <w:shd w:val="clear" w:color="auto" w:fill="auto"/>
          </w:tcPr>
          <w:p w14:paraId="46909D1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二百五十三條之一條文修正草案（修正重點：適度擴大緩起訴案件之適用範圍為被告所犯為死刑、無期徒刑或最輕本刑五年以上有期徒刑以外之罪，且經被告自白者，同時將妨害性自主、兒少性剝削、毒品、槍砲等對社會治安有重大危害之罪，排除於緩起訴處分適用範圍之外。）</w:t>
            </w:r>
          </w:p>
        </w:tc>
        <w:tc>
          <w:tcPr>
            <w:tcW w:w="2139" w:type="dxa"/>
            <w:shd w:val="clear" w:color="auto" w:fill="auto"/>
          </w:tcPr>
          <w:p w14:paraId="34E7E0A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委員邱志偉</w:t>
            </w:r>
          </w:p>
          <w:p w14:paraId="3EA1A0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598A21A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2339FEE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472" w:type="dxa"/>
            <w:shd w:val="clear" w:color="auto" w:fill="auto"/>
          </w:tcPr>
          <w:p w14:paraId="02F59C3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376ED2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AA48A9" w14:textId="77777777" w:rsidTr="00EC13B7">
        <w:tc>
          <w:tcPr>
            <w:tcW w:w="588" w:type="dxa"/>
            <w:shd w:val="clear" w:color="auto" w:fill="auto"/>
          </w:tcPr>
          <w:p w14:paraId="5828C16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67</w:t>
            </w:r>
          </w:p>
        </w:tc>
        <w:tc>
          <w:tcPr>
            <w:tcW w:w="2688" w:type="dxa"/>
            <w:shd w:val="clear" w:color="auto" w:fill="auto"/>
          </w:tcPr>
          <w:p w14:paraId="2E9086E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刑事訴訟法第五十一條條文修正草案（修正重點：性相關犯罪的被害人得選擇在判決書遮蔽其姓名及身分資訊。）</w:t>
            </w:r>
          </w:p>
        </w:tc>
        <w:tc>
          <w:tcPr>
            <w:tcW w:w="2139" w:type="dxa"/>
            <w:shd w:val="clear" w:color="auto" w:fill="auto"/>
          </w:tcPr>
          <w:p w14:paraId="79950B4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65DDE90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0D41636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208E055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472" w:type="dxa"/>
            <w:shd w:val="clear" w:color="auto" w:fill="auto"/>
          </w:tcPr>
          <w:p w14:paraId="036F753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5F0383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DF6631C" w14:textId="77777777" w:rsidTr="00EC13B7">
        <w:tc>
          <w:tcPr>
            <w:tcW w:w="588" w:type="dxa"/>
            <w:shd w:val="clear" w:color="auto" w:fill="auto"/>
          </w:tcPr>
          <w:p w14:paraId="5EB266B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68</w:t>
            </w:r>
          </w:p>
        </w:tc>
        <w:tc>
          <w:tcPr>
            <w:tcW w:w="2688" w:type="dxa"/>
            <w:shd w:val="clear" w:color="auto" w:fill="auto"/>
          </w:tcPr>
          <w:p w14:paraId="7D1A725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刑事訴訟法第二百五十一條條文修正草案（修正重點：檢察官蒐集之證據須足認被告之嫌疑達有罪心證之程度，始可提起公訴。）</w:t>
            </w:r>
          </w:p>
        </w:tc>
        <w:tc>
          <w:tcPr>
            <w:tcW w:w="2139" w:type="dxa"/>
            <w:shd w:val="clear" w:color="auto" w:fill="auto"/>
          </w:tcPr>
          <w:p w14:paraId="7AA1258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委員許智傑</w:t>
            </w:r>
          </w:p>
          <w:p w14:paraId="1328C5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1E20CD7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110.05.31 </w:t>
            </w:r>
          </w:p>
          <w:p w14:paraId="6B77866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（10-3-14）</w:t>
            </w:r>
          </w:p>
        </w:tc>
        <w:tc>
          <w:tcPr>
            <w:tcW w:w="1472" w:type="dxa"/>
            <w:shd w:val="clear" w:color="auto" w:fill="auto"/>
          </w:tcPr>
          <w:p w14:paraId="636C096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2B1116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F3B0A9C" w14:textId="77777777" w:rsidTr="00EC13B7">
        <w:tc>
          <w:tcPr>
            <w:tcW w:w="588" w:type="dxa"/>
            <w:shd w:val="clear" w:color="auto" w:fill="auto"/>
          </w:tcPr>
          <w:p w14:paraId="1044DAD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69</w:t>
            </w:r>
          </w:p>
        </w:tc>
        <w:tc>
          <w:tcPr>
            <w:tcW w:w="2688" w:type="dxa"/>
            <w:shd w:val="clear" w:color="auto" w:fill="auto"/>
          </w:tcPr>
          <w:p w14:paraId="3C8CA11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一百四十四條之一、第二百四十八條之三及第二百七十一條之二條文修正草案（修正重點：增訂數位性暴力準用現行法緊急搜索之規定，並修正此類案件之訴追及審判程序準用性侵害犯罪防治法規定。）</w:t>
            </w:r>
          </w:p>
        </w:tc>
        <w:tc>
          <w:tcPr>
            <w:tcW w:w="2139" w:type="dxa"/>
            <w:shd w:val="clear" w:color="auto" w:fill="auto"/>
          </w:tcPr>
          <w:p w14:paraId="7A0C6BD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4991B5F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110.09.17 </w:t>
            </w:r>
          </w:p>
          <w:p w14:paraId="75FF0B5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w:t>
            </w:r>
          </w:p>
        </w:tc>
        <w:tc>
          <w:tcPr>
            <w:tcW w:w="1472" w:type="dxa"/>
            <w:shd w:val="clear" w:color="auto" w:fill="auto"/>
          </w:tcPr>
          <w:p w14:paraId="5463DC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61F70E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342BBFD" w14:textId="77777777" w:rsidTr="00EC13B7">
        <w:tc>
          <w:tcPr>
            <w:tcW w:w="588" w:type="dxa"/>
            <w:shd w:val="clear" w:color="auto" w:fill="auto"/>
          </w:tcPr>
          <w:p w14:paraId="2712E17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70</w:t>
            </w:r>
          </w:p>
        </w:tc>
        <w:tc>
          <w:tcPr>
            <w:tcW w:w="2688" w:type="dxa"/>
            <w:shd w:val="clear" w:color="auto" w:fill="auto"/>
          </w:tcPr>
          <w:p w14:paraId="1A6016B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刑事訴訟法第二百五十五條條文修正草案（修正重點：新增處分前經告訴人與告發人要求者，應就告訴人與告發人之姓名、性別、年齡、籍貫、職業、住所或居所與其他足資辨別之特徵進行隱蔽。）</w:t>
            </w:r>
          </w:p>
        </w:tc>
        <w:tc>
          <w:tcPr>
            <w:tcW w:w="2139" w:type="dxa"/>
            <w:shd w:val="clear" w:color="auto" w:fill="auto"/>
          </w:tcPr>
          <w:p w14:paraId="7354B38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委員洪孟楷</w:t>
            </w:r>
          </w:p>
          <w:p w14:paraId="13778F8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CCA912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110.09.24 </w:t>
            </w:r>
          </w:p>
          <w:p w14:paraId="322F4DD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（10-4-2）</w:t>
            </w:r>
          </w:p>
        </w:tc>
        <w:tc>
          <w:tcPr>
            <w:tcW w:w="1472" w:type="dxa"/>
            <w:shd w:val="clear" w:color="auto" w:fill="auto"/>
          </w:tcPr>
          <w:p w14:paraId="5BCA5F2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DB1A63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A86FB7" w14:textId="77777777" w:rsidTr="00EC13B7">
        <w:tc>
          <w:tcPr>
            <w:tcW w:w="588" w:type="dxa"/>
            <w:shd w:val="clear" w:color="auto" w:fill="auto"/>
          </w:tcPr>
          <w:p w14:paraId="5232A64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71</w:t>
            </w:r>
          </w:p>
        </w:tc>
        <w:tc>
          <w:tcPr>
            <w:tcW w:w="2688" w:type="dxa"/>
            <w:shd w:val="clear" w:color="auto" w:fill="auto"/>
          </w:tcPr>
          <w:p w14:paraId="7C2316E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刑事訴訟法第二百零三</w:t>
            </w:r>
            <w:r w:rsidRPr="00026143">
              <w:rPr>
                <w:rFonts w:ascii="標楷體" w:eastAsia="標楷體" w:hAnsi="標楷體"/>
                <w:color w:val="000000" w:themeColor="text1"/>
              </w:rPr>
              <w:lastRenderedPageBreak/>
              <w:t>條之四條文修正草案(修正重點：明定鑑定留置期間視同停止羈押之執行，鑑定留置日數不計入羈押期間。)</w:t>
            </w:r>
          </w:p>
        </w:tc>
        <w:tc>
          <w:tcPr>
            <w:tcW w:w="2139" w:type="dxa"/>
            <w:shd w:val="clear" w:color="auto" w:fill="auto"/>
          </w:tcPr>
          <w:p w14:paraId="6931FBC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委員江永昌</w:t>
            </w:r>
          </w:p>
          <w:p w14:paraId="3D94B7C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等19人 </w:t>
            </w:r>
          </w:p>
          <w:p w14:paraId="0D5AB61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110.12.03 </w:t>
            </w:r>
          </w:p>
          <w:p w14:paraId="6C07782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（10-4-12）</w:t>
            </w:r>
          </w:p>
        </w:tc>
        <w:tc>
          <w:tcPr>
            <w:tcW w:w="1472" w:type="dxa"/>
            <w:shd w:val="clear" w:color="auto" w:fill="auto"/>
          </w:tcPr>
          <w:p w14:paraId="759A338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37B8CD4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582B20A" w14:textId="77777777" w:rsidTr="00EC13B7">
        <w:tc>
          <w:tcPr>
            <w:tcW w:w="588" w:type="dxa"/>
            <w:shd w:val="clear" w:color="auto" w:fill="auto"/>
          </w:tcPr>
          <w:p w14:paraId="23D2A58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72</w:t>
            </w:r>
          </w:p>
        </w:tc>
        <w:tc>
          <w:tcPr>
            <w:tcW w:w="2688" w:type="dxa"/>
            <w:shd w:val="clear" w:color="auto" w:fill="auto"/>
          </w:tcPr>
          <w:p w14:paraId="63253B6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刑事訴訟法第二百零五條之二條文修正草案(修正重點：落實酒駕防制，賦予司法警察官或司法警察對於酒駕拒測者，得予以逮捕並逕送醫療院所採證，且相關採證費用由拒測者負擔，不應由國家稅收支應。)</w:t>
            </w:r>
          </w:p>
        </w:tc>
        <w:tc>
          <w:tcPr>
            <w:tcW w:w="2139" w:type="dxa"/>
            <w:shd w:val="clear" w:color="auto" w:fill="auto"/>
          </w:tcPr>
          <w:p w14:paraId="2663E47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613F5B4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569C99C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111.03.18 </w:t>
            </w:r>
          </w:p>
          <w:p w14:paraId="50C4B7A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（10-5-4）</w:t>
            </w:r>
          </w:p>
        </w:tc>
        <w:tc>
          <w:tcPr>
            <w:tcW w:w="1472" w:type="dxa"/>
            <w:shd w:val="clear" w:color="auto" w:fill="auto"/>
          </w:tcPr>
          <w:p w14:paraId="25C6FA6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D82299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C586CF1" w14:textId="77777777" w:rsidTr="00EC13B7">
        <w:tc>
          <w:tcPr>
            <w:tcW w:w="588" w:type="dxa"/>
            <w:shd w:val="clear" w:color="auto" w:fill="auto"/>
          </w:tcPr>
          <w:p w14:paraId="61F5133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73</w:t>
            </w:r>
          </w:p>
        </w:tc>
        <w:tc>
          <w:tcPr>
            <w:tcW w:w="2688" w:type="dxa"/>
            <w:shd w:val="clear" w:color="auto" w:fill="auto"/>
          </w:tcPr>
          <w:p w14:paraId="11EEAF7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刑事訴訟法第二百零三條之二條文修正草案(修正重點：鑑於現行鑑定留置制度於準用拘提或逮捕之規定顯有疏漏，爰提案修正。)</w:t>
            </w:r>
          </w:p>
        </w:tc>
        <w:tc>
          <w:tcPr>
            <w:tcW w:w="2139" w:type="dxa"/>
            <w:shd w:val="clear" w:color="auto" w:fill="auto"/>
          </w:tcPr>
          <w:p w14:paraId="0CCE78E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委員吳玉琴</w:t>
            </w:r>
          </w:p>
          <w:p w14:paraId="68019F8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21527EF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74DDEA6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472" w:type="dxa"/>
            <w:shd w:val="clear" w:color="auto" w:fill="auto"/>
          </w:tcPr>
          <w:p w14:paraId="00754F8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F77A74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182A289" w14:textId="77777777" w:rsidTr="00EC13B7">
        <w:tc>
          <w:tcPr>
            <w:tcW w:w="588" w:type="dxa"/>
            <w:shd w:val="clear" w:color="auto" w:fill="auto"/>
          </w:tcPr>
          <w:p w14:paraId="07580FF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74</w:t>
            </w:r>
          </w:p>
        </w:tc>
        <w:tc>
          <w:tcPr>
            <w:tcW w:w="2688" w:type="dxa"/>
            <w:shd w:val="clear" w:color="auto" w:fill="auto"/>
          </w:tcPr>
          <w:p w14:paraId="586A221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部分條文修正草案」及「刑事訴訟法施行法增訂第七條之二十一條文草案」(【1】刑事訴訟法修正§108、253、284-1、374、377、379、381、382、386、387、389、392、393、395、397、398、401、403、405、415、419、455-32、455-36；增訂§375-1、375-2、378-1、379-1、379-2、382-1~5、401-1、415-1；刪除§376、380、388、421、424、506。修正重點：為提升第三審之審判效能，建構妥速富有效率及嚴謹富有公義之上訴制度，以達成金字塔型刑事訴訟架構之改革目標，爰以「嚴格法律審兼許可上訴制」作為中心提案修正。【2】刑事訴訟法施行法修正重點：配</w:t>
            </w:r>
            <w:r w:rsidRPr="00026143">
              <w:rPr>
                <w:rFonts w:ascii="標楷體" w:eastAsia="標楷體" w:hAnsi="標楷體"/>
                <w:color w:val="000000" w:themeColor="text1"/>
              </w:rPr>
              <w:lastRenderedPageBreak/>
              <w:t>合刑事訴訟法部分條文修正增訂。)</w:t>
            </w:r>
          </w:p>
        </w:tc>
        <w:tc>
          <w:tcPr>
            <w:tcW w:w="2139" w:type="dxa"/>
            <w:shd w:val="clear" w:color="auto" w:fill="auto"/>
          </w:tcPr>
          <w:p w14:paraId="7AAB490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司法院、行政院 </w:t>
            </w:r>
          </w:p>
          <w:p w14:paraId="181E54C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5EA76D9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472" w:type="dxa"/>
            <w:shd w:val="clear" w:color="auto" w:fill="auto"/>
          </w:tcPr>
          <w:p w14:paraId="58236FF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28B9FE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79373D9" w14:textId="77777777" w:rsidTr="00EC13B7">
        <w:tc>
          <w:tcPr>
            <w:tcW w:w="588" w:type="dxa"/>
            <w:shd w:val="clear" w:color="auto" w:fill="auto"/>
          </w:tcPr>
          <w:p w14:paraId="2BA2230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75</w:t>
            </w:r>
          </w:p>
        </w:tc>
        <w:tc>
          <w:tcPr>
            <w:tcW w:w="2688" w:type="dxa"/>
            <w:shd w:val="clear" w:color="auto" w:fill="auto"/>
          </w:tcPr>
          <w:p w14:paraId="0626CBC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三百八十七條及第三百八十九條條文修正草案(修正重點：明定第三審之審判，原則上準用第二審審判之規定；就第三審法院行言辯論為明確之規範；原審宣告死刑之案件，法院認有必要時，得以適當方式，給予被告、告訴人、被害人或其家屬陳述意見之機會。)</w:t>
            </w:r>
          </w:p>
        </w:tc>
        <w:tc>
          <w:tcPr>
            <w:tcW w:w="2139" w:type="dxa"/>
            <w:shd w:val="clear" w:color="auto" w:fill="auto"/>
          </w:tcPr>
          <w:p w14:paraId="1963DA3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委員許淑華</w:t>
            </w:r>
          </w:p>
          <w:p w14:paraId="26B7832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92ECC0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4355FB1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472" w:type="dxa"/>
            <w:shd w:val="clear" w:color="auto" w:fill="auto"/>
          </w:tcPr>
          <w:p w14:paraId="548F67D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C8EA66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D86D784" w14:textId="77777777" w:rsidTr="00EC13B7">
        <w:tc>
          <w:tcPr>
            <w:tcW w:w="588" w:type="dxa"/>
            <w:shd w:val="clear" w:color="auto" w:fill="auto"/>
          </w:tcPr>
          <w:p w14:paraId="5ED013E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76</w:t>
            </w:r>
          </w:p>
        </w:tc>
        <w:tc>
          <w:tcPr>
            <w:tcW w:w="2688" w:type="dxa"/>
            <w:shd w:val="clear" w:color="auto" w:fill="auto"/>
          </w:tcPr>
          <w:p w14:paraId="6F98C7C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刑事訴訟法第四百四十條條文修正草案(修正重點：另增訂概括性之其他方式文字，以增加可刊登判決書之媒介。)</w:t>
            </w:r>
          </w:p>
        </w:tc>
        <w:tc>
          <w:tcPr>
            <w:tcW w:w="2139" w:type="dxa"/>
            <w:shd w:val="clear" w:color="auto" w:fill="auto"/>
          </w:tcPr>
          <w:p w14:paraId="533614D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委員張宏陸</w:t>
            </w:r>
          </w:p>
          <w:p w14:paraId="5CCA17E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等25人 </w:t>
            </w:r>
          </w:p>
          <w:p w14:paraId="5003E1A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3FF5346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472" w:type="dxa"/>
            <w:shd w:val="clear" w:color="auto" w:fill="auto"/>
          </w:tcPr>
          <w:p w14:paraId="3CE8917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12041B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AA11514" w14:textId="77777777" w:rsidTr="00EC13B7">
        <w:tc>
          <w:tcPr>
            <w:tcW w:w="588" w:type="dxa"/>
            <w:shd w:val="clear" w:color="auto" w:fill="auto"/>
          </w:tcPr>
          <w:p w14:paraId="09068CF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77</w:t>
            </w:r>
          </w:p>
        </w:tc>
        <w:tc>
          <w:tcPr>
            <w:tcW w:w="2688" w:type="dxa"/>
            <w:shd w:val="clear" w:color="auto" w:fill="auto"/>
          </w:tcPr>
          <w:p w14:paraId="5B5B9BE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刑事訴訟法增訂第九十一條之一條文草案(增訂重點：賦予訊問機關就輕罪或犯罪情節輕微之案件，得視個案彈性選擇「囑託代為訊問」或「遠距訊問」方式。)</w:t>
            </w:r>
          </w:p>
        </w:tc>
        <w:tc>
          <w:tcPr>
            <w:tcW w:w="2139" w:type="dxa"/>
            <w:shd w:val="clear" w:color="auto" w:fill="auto"/>
          </w:tcPr>
          <w:p w14:paraId="6479C10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委員周春米</w:t>
            </w:r>
          </w:p>
          <w:p w14:paraId="2DEEA23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36D1600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195D12A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472" w:type="dxa"/>
            <w:shd w:val="clear" w:color="auto" w:fill="auto"/>
          </w:tcPr>
          <w:p w14:paraId="22A0858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32F5A1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FB1040C" w14:textId="77777777" w:rsidTr="00EC13B7">
        <w:tc>
          <w:tcPr>
            <w:tcW w:w="588" w:type="dxa"/>
            <w:shd w:val="clear" w:color="auto" w:fill="auto"/>
          </w:tcPr>
          <w:p w14:paraId="20B2747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78</w:t>
            </w:r>
          </w:p>
        </w:tc>
        <w:tc>
          <w:tcPr>
            <w:tcW w:w="2688" w:type="dxa"/>
            <w:shd w:val="clear" w:color="auto" w:fill="auto"/>
          </w:tcPr>
          <w:p w14:paraId="792BB02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1.刑事訴訟法第九十二條條文修正草案(修正重點：為避免使微罪之被告或犯罪嫌疑人之人身自由，因解送之程序而徒受限制，應使檢察官得許可不予解送此類微罪之現行犯。)</w:t>
            </w:r>
          </w:p>
        </w:tc>
        <w:tc>
          <w:tcPr>
            <w:tcW w:w="2139" w:type="dxa"/>
            <w:shd w:val="clear" w:color="auto" w:fill="auto"/>
          </w:tcPr>
          <w:p w14:paraId="1C12CD9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1865336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7D72D12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472" w:type="dxa"/>
            <w:shd w:val="clear" w:color="auto" w:fill="auto"/>
          </w:tcPr>
          <w:p w14:paraId="38CFEA3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B5825D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500BD9" w14:textId="77777777" w:rsidTr="00EC13B7">
        <w:tc>
          <w:tcPr>
            <w:tcW w:w="588" w:type="dxa"/>
            <w:shd w:val="clear" w:color="auto" w:fill="auto"/>
          </w:tcPr>
          <w:p w14:paraId="64F510C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79</w:t>
            </w:r>
          </w:p>
        </w:tc>
        <w:tc>
          <w:tcPr>
            <w:tcW w:w="2688" w:type="dxa"/>
            <w:shd w:val="clear" w:color="auto" w:fill="auto"/>
          </w:tcPr>
          <w:p w14:paraId="2890B87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2.刑事訴訟法第九十二條條文修正草案（修正重點：為適度減輕檢察官、司法警察官及司法警察之負擔，修正不隨案移送之現行犯範圍。）</w:t>
            </w:r>
          </w:p>
        </w:tc>
        <w:tc>
          <w:tcPr>
            <w:tcW w:w="2139" w:type="dxa"/>
            <w:shd w:val="clear" w:color="auto" w:fill="auto"/>
          </w:tcPr>
          <w:p w14:paraId="5302A7B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27E81D0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0EAF36D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72D7BC0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472" w:type="dxa"/>
            <w:shd w:val="clear" w:color="auto" w:fill="auto"/>
          </w:tcPr>
          <w:p w14:paraId="595473C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7E9F45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D2F47E1" w14:textId="77777777" w:rsidTr="00EC13B7">
        <w:tc>
          <w:tcPr>
            <w:tcW w:w="588" w:type="dxa"/>
            <w:shd w:val="clear" w:color="auto" w:fill="auto"/>
          </w:tcPr>
          <w:p w14:paraId="6AE32D9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80</w:t>
            </w:r>
          </w:p>
        </w:tc>
        <w:tc>
          <w:tcPr>
            <w:tcW w:w="2688" w:type="dxa"/>
            <w:shd w:val="clear" w:color="auto" w:fill="auto"/>
          </w:tcPr>
          <w:p w14:paraId="2857F42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1.「刑事訴訟法部分條文修正草案」及「刑事訴訟法施行法增訂第七條之二十二條文草案」(【1】刑事訴訟法修正§28</w:t>
            </w:r>
            <w:r w:rsidRPr="00026143">
              <w:rPr>
                <w:rFonts w:ascii="標楷體" w:eastAsia="標楷體" w:hAnsi="標楷體"/>
                <w:color w:val="000000" w:themeColor="text1"/>
              </w:rPr>
              <w:lastRenderedPageBreak/>
              <w:t>、51、264、273、320、346、363、368、369、455-1；增訂§273-3、366-1。修正重點：以「強化第一審準備程序」及「第二審改採續審制」作為中心，擬具刑事訴訟法第二編「第一審」及第三編「上訴」等相關條文修正草案。【2】刑事訴訟法施行法修正重點：本次修正通過之刑事訴訟法部分條文，除第二百七十三條、第二百七十三條之三、第三百六十六條之一、第三百六十九條及第四百五十五條之一自公布後六個月施行外，其餘條文自公布日施行。於本次修正通過之條文施行前，已繫屬於各級法院之案件，其以後之訴訟程序，仍應依施行前之法定程序終結之；於本次修正通過之條文施行前，已終結或已繫屬於各級法院而未終結之案件，於施行後提起再審或非常上訴，亦應依施行前之法定程序終結之。）</w:t>
            </w:r>
          </w:p>
        </w:tc>
        <w:tc>
          <w:tcPr>
            <w:tcW w:w="2139" w:type="dxa"/>
            <w:shd w:val="clear" w:color="auto" w:fill="auto"/>
          </w:tcPr>
          <w:p w14:paraId="513F871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司法院、行政院 </w:t>
            </w:r>
          </w:p>
          <w:p w14:paraId="0D2F4DC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111.09.23 </w:t>
            </w:r>
          </w:p>
          <w:p w14:paraId="6AC7E13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472" w:type="dxa"/>
            <w:shd w:val="clear" w:color="auto" w:fill="auto"/>
          </w:tcPr>
          <w:p w14:paraId="1118334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8750AE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FE385B4" w14:textId="77777777" w:rsidTr="00EC13B7">
        <w:tc>
          <w:tcPr>
            <w:tcW w:w="588" w:type="dxa"/>
            <w:shd w:val="clear" w:color="auto" w:fill="auto"/>
          </w:tcPr>
          <w:p w14:paraId="49E5836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81</w:t>
            </w:r>
          </w:p>
        </w:tc>
        <w:tc>
          <w:tcPr>
            <w:tcW w:w="2688" w:type="dxa"/>
            <w:shd w:val="clear" w:color="auto" w:fill="auto"/>
          </w:tcPr>
          <w:p w14:paraId="04EE688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2.刑事訴訟法第二百六十四條條文修正草案（修正重點：新增起訴書需就告訴人之之姓名、性別、年齡、籍貫、職業、住所或居所與其他足資辨別之特徵進行隱蔽。）</w:t>
            </w:r>
          </w:p>
        </w:tc>
        <w:tc>
          <w:tcPr>
            <w:tcW w:w="2139" w:type="dxa"/>
            <w:shd w:val="clear" w:color="auto" w:fill="auto"/>
          </w:tcPr>
          <w:p w14:paraId="492CA45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委員洪孟楷</w:t>
            </w:r>
          </w:p>
          <w:p w14:paraId="50A85D6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61488D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110.09.24 </w:t>
            </w:r>
          </w:p>
          <w:p w14:paraId="3CD392E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（10-4-2）</w:t>
            </w:r>
          </w:p>
        </w:tc>
        <w:tc>
          <w:tcPr>
            <w:tcW w:w="1472" w:type="dxa"/>
            <w:shd w:val="clear" w:color="auto" w:fill="auto"/>
          </w:tcPr>
          <w:p w14:paraId="1BB8659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C1F17D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0651034" w14:textId="77777777" w:rsidTr="00EC13B7">
        <w:tc>
          <w:tcPr>
            <w:tcW w:w="588" w:type="dxa"/>
            <w:shd w:val="clear" w:color="auto" w:fill="auto"/>
          </w:tcPr>
          <w:p w14:paraId="768D0D0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82</w:t>
            </w:r>
          </w:p>
        </w:tc>
        <w:tc>
          <w:tcPr>
            <w:tcW w:w="2688" w:type="dxa"/>
            <w:shd w:val="clear" w:color="auto" w:fill="auto"/>
          </w:tcPr>
          <w:p w14:paraId="1C38A53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3.刑事訴訟法第二百六十四條、第二百七十三條及第二百七十三條之三條文修正草案(修正重點：修正準備程序應為證據裁定，以事先篩選適法且必要之證據；</w:t>
            </w:r>
            <w:r w:rsidRPr="00026143">
              <w:rPr>
                <w:rFonts w:ascii="標楷體" w:eastAsia="標楷體" w:hAnsi="標楷體"/>
                <w:color w:val="000000" w:themeColor="text1"/>
              </w:rPr>
              <w:lastRenderedPageBreak/>
              <w:t>刪除裁判書、起訴書及自訴狀關於性別及住、居所之記載。)</w:t>
            </w:r>
          </w:p>
        </w:tc>
        <w:tc>
          <w:tcPr>
            <w:tcW w:w="2139" w:type="dxa"/>
            <w:shd w:val="clear" w:color="auto" w:fill="auto"/>
          </w:tcPr>
          <w:p w14:paraId="4426541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委員陳亭妃</w:t>
            </w:r>
          </w:p>
          <w:p w14:paraId="0D74E9E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93DD37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111.12.09</w:t>
            </w:r>
          </w:p>
          <w:p w14:paraId="33E6CEA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472" w:type="dxa"/>
            <w:shd w:val="clear" w:color="auto" w:fill="auto"/>
          </w:tcPr>
          <w:p w14:paraId="3891D22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D36F51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9324AD8" w14:textId="77777777" w:rsidTr="00EC13B7">
        <w:tc>
          <w:tcPr>
            <w:tcW w:w="588" w:type="dxa"/>
            <w:shd w:val="clear" w:color="auto" w:fill="auto"/>
          </w:tcPr>
          <w:p w14:paraId="502B721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83</w:t>
            </w:r>
          </w:p>
        </w:tc>
        <w:tc>
          <w:tcPr>
            <w:tcW w:w="2688" w:type="dxa"/>
            <w:shd w:val="clear" w:color="auto" w:fill="auto"/>
          </w:tcPr>
          <w:p w14:paraId="2DC5602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四十一條條文修正草案（修正重點：為保障受訊（詢）問人權益，相關的筆錄應尊重受訊（詢）問人的意願，選擇於筆錄記載服務機關、公司或事務所地址，僅於法官、檢察官或司法警察認有必要時，始例外記載住居所資料，並於被告或辯護人閱卷時，將證人、辯護人之住居所資料以適當方法遮蔽，以充分保護權益。）</w:t>
            </w:r>
          </w:p>
        </w:tc>
        <w:tc>
          <w:tcPr>
            <w:tcW w:w="2139" w:type="dxa"/>
            <w:shd w:val="clear" w:color="auto" w:fill="auto"/>
          </w:tcPr>
          <w:p w14:paraId="0805C88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60EAA42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4A8667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6B6F34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472" w:type="dxa"/>
            <w:shd w:val="clear" w:color="auto" w:fill="auto"/>
          </w:tcPr>
          <w:p w14:paraId="243A191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3E1D19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7E43A8D" w14:textId="77777777" w:rsidTr="00EC13B7">
        <w:tc>
          <w:tcPr>
            <w:tcW w:w="588" w:type="dxa"/>
            <w:shd w:val="clear" w:color="auto" w:fill="auto"/>
          </w:tcPr>
          <w:p w14:paraId="496E3B2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84</w:t>
            </w:r>
          </w:p>
        </w:tc>
        <w:tc>
          <w:tcPr>
            <w:tcW w:w="2688" w:type="dxa"/>
            <w:shd w:val="clear" w:color="auto" w:fill="auto"/>
          </w:tcPr>
          <w:p w14:paraId="24DF21B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刑事訴訟法第九十四條條文修正草案（修正重點：修正為詢問被告「姓名、出生年月日、身分證字號」等資訊，以正確查驗被告身分。）</w:t>
            </w:r>
          </w:p>
        </w:tc>
        <w:tc>
          <w:tcPr>
            <w:tcW w:w="2139" w:type="dxa"/>
            <w:shd w:val="clear" w:color="auto" w:fill="auto"/>
          </w:tcPr>
          <w:p w14:paraId="1F1DB40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委員溫玉霞</w:t>
            </w:r>
          </w:p>
          <w:p w14:paraId="518FAFF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105E0DD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111.10.14 </w:t>
            </w:r>
          </w:p>
          <w:p w14:paraId="0344CD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（10-6-4）</w:t>
            </w:r>
          </w:p>
        </w:tc>
        <w:tc>
          <w:tcPr>
            <w:tcW w:w="1472" w:type="dxa"/>
            <w:shd w:val="clear" w:color="auto" w:fill="auto"/>
          </w:tcPr>
          <w:p w14:paraId="017F8D9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568933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8A71DE4" w14:textId="77777777" w:rsidTr="00EC13B7">
        <w:tc>
          <w:tcPr>
            <w:tcW w:w="588" w:type="dxa"/>
            <w:shd w:val="clear" w:color="auto" w:fill="auto"/>
          </w:tcPr>
          <w:p w14:paraId="39A72C4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85</w:t>
            </w:r>
          </w:p>
        </w:tc>
        <w:tc>
          <w:tcPr>
            <w:tcW w:w="2688" w:type="dxa"/>
            <w:shd w:val="clear" w:color="auto" w:fill="auto"/>
          </w:tcPr>
          <w:p w14:paraId="5D5AE29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2139" w:type="dxa"/>
            <w:shd w:val="clear" w:color="auto" w:fill="auto"/>
          </w:tcPr>
          <w:p w14:paraId="02B4385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56E227E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3D2117D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399C84E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4A4283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ABCE01" w14:textId="77777777" w:rsidTr="00EC13B7">
        <w:tc>
          <w:tcPr>
            <w:tcW w:w="588" w:type="dxa"/>
            <w:shd w:val="clear" w:color="auto" w:fill="auto"/>
          </w:tcPr>
          <w:p w14:paraId="6E32AD3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86</w:t>
            </w:r>
          </w:p>
        </w:tc>
        <w:tc>
          <w:tcPr>
            <w:tcW w:w="2688" w:type="dxa"/>
            <w:shd w:val="clear" w:color="auto" w:fill="auto"/>
          </w:tcPr>
          <w:p w14:paraId="292BD45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刑事訴訟法施行法增訂第七條之二十二條文草案(修正重點：鑑於刑事訴訟法關於上訴制度之修正，關於第一審及第二審部分，爰提案修正。)</w:t>
            </w:r>
          </w:p>
        </w:tc>
        <w:tc>
          <w:tcPr>
            <w:tcW w:w="2139" w:type="dxa"/>
            <w:shd w:val="clear" w:color="auto" w:fill="auto"/>
          </w:tcPr>
          <w:p w14:paraId="117E2B2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委員何志偉</w:t>
            </w:r>
          </w:p>
          <w:p w14:paraId="304B5D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6425C8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4AE5082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472" w:type="dxa"/>
            <w:shd w:val="clear" w:color="auto" w:fill="auto"/>
          </w:tcPr>
          <w:p w14:paraId="4F75A65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F7B34F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B66D47A" w14:textId="77777777" w:rsidTr="00EC13B7">
        <w:tc>
          <w:tcPr>
            <w:tcW w:w="588" w:type="dxa"/>
            <w:shd w:val="clear" w:color="auto" w:fill="auto"/>
          </w:tcPr>
          <w:p w14:paraId="2E0AFA5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87</w:t>
            </w:r>
          </w:p>
        </w:tc>
        <w:tc>
          <w:tcPr>
            <w:tcW w:w="2688" w:type="dxa"/>
            <w:shd w:val="clear" w:color="auto" w:fill="auto"/>
          </w:tcPr>
          <w:p w14:paraId="7631DC3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國民參與刑事審判法草案（共七章113條。制定重點：特將所犯為最輕本刑為有期徒刑十年</w:t>
            </w:r>
            <w:r w:rsidRPr="00026143">
              <w:rPr>
                <w:rFonts w:ascii="標楷體" w:eastAsia="標楷體" w:hAnsi="標楷體"/>
                <w:color w:val="000000" w:themeColor="text1"/>
              </w:rPr>
              <w:lastRenderedPageBreak/>
              <w:t>以上之罪、其他故意犯罪因而致人於死者及被告為原住民，所犯案件與原住民族傳統習俗、文化及價值觀有關者，前列三種類型之案件納入國民參與審判制度中。）</w:t>
            </w:r>
          </w:p>
        </w:tc>
        <w:tc>
          <w:tcPr>
            <w:tcW w:w="2139" w:type="dxa"/>
            <w:shd w:val="clear" w:color="auto" w:fill="auto"/>
          </w:tcPr>
          <w:p w14:paraId="71DA7F0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委員鄭天財</w:t>
            </w:r>
          </w:p>
          <w:p w14:paraId="66470C6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Sra Kacaw</w:t>
            </w:r>
          </w:p>
          <w:p w14:paraId="4EB47AF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7CDDB5C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109.04.24 </w:t>
            </w:r>
          </w:p>
          <w:p w14:paraId="6094B7D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（10-1-10）</w:t>
            </w:r>
          </w:p>
        </w:tc>
        <w:tc>
          <w:tcPr>
            <w:tcW w:w="1472" w:type="dxa"/>
            <w:shd w:val="clear" w:color="auto" w:fill="auto"/>
          </w:tcPr>
          <w:p w14:paraId="445E884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3D6C362B" w14:textId="74184AA3" w:rsidR="00EC13B7" w:rsidRPr="00026143" w:rsidRDefault="00EC13B7" w:rsidP="002F500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本會109.5.7舉行「提升司法公信-最適我國國民參與之司法</w:t>
            </w:r>
            <w:r w:rsidRPr="00026143">
              <w:rPr>
                <w:rFonts w:ascii="標楷體" w:eastAsia="標楷體" w:hAnsi="標楷體"/>
                <w:color w:val="000000" w:themeColor="text1"/>
              </w:rPr>
              <w:lastRenderedPageBreak/>
              <w:t>審判制度究應為何？」公聽會。</w:t>
            </w:r>
          </w:p>
        </w:tc>
      </w:tr>
      <w:tr w:rsidR="00EC13B7" w:rsidRPr="00026143" w14:paraId="54E6EF64" w14:textId="77777777" w:rsidTr="00EC13B7">
        <w:tc>
          <w:tcPr>
            <w:tcW w:w="588" w:type="dxa"/>
            <w:shd w:val="clear" w:color="auto" w:fill="auto"/>
          </w:tcPr>
          <w:p w14:paraId="32F249C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88</w:t>
            </w:r>
          </w:p>
        </w:tc>
        <w:tc>
          <w:tcPr>
            <w:tcW w:w="2688" w:type="dxa"/>
            <w:shd w:val="clear" w:color="auto" w:fill="auto"/>
          </w:tcPr>
          <w:p w14:paraId="1404274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國民法官法第一條條文修正草案（修正重點：應將國民熟悉之事務，如食安、環保、勞工以及稅務等納入國民參與審判案件類型中，爰刪除「刑事」二字。）</w:t>
            </w:r>
          </w:p>
        </w:tc>
        <w:tc>
          <w:tcPr>
            <w:tcW w:w="2139" w:type="dxa"/>
            <w:shd w:val="clear" w:color="auto" w:fill="auto"/>
          </w:tcPr>
          <w:p w14:paraId="7E6401D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委員李貴敏</w:t>
            </w:r>
          </w:p>
          <w:p w14:paraId="5DA8A67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等28人 </w:t>
            </w:r>
          </w:p>
          <w:p w14:paraId="2A0831E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109.09.18 </w:t>
            </w:r>
          </w:p>
          <w:p w14:paraId="1770182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472" w:type="dxa"/>
            <w:shd w:val="clear" w:color="auto" w:fill="auto"/>
          </w:tcPr>
          <w:p w14:paraId="425A8B5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69FA0C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300956" w14:textId="77777777" w:rsidTr="00EC13B7">
        <w:tc>
          <w:tcPr>
            <w:tcW w:w="588" w:type="dxa"/>
            <w:shd w:val="clear" w:color="auto" w:fill="auto"/>
          </w:tcPr>
          <w:p w14:paraId="3A7AC30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89</w:t>
            </w:r>
          </w:p>
        </w:tc>
        <w:tc>
          <w:tcPr>
            <w:tcW w:w="2688" w:type="dxa"/>
            <w:shd w:val="clear" w:color="auto" w:fill="auto"/>
          </w:tcPr>
          <w:p w14:paraId="12985BA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國民法官法第三條及第五條條文修正草案（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2139" w:type="dxa"/>
            <w:shd w:val="clear" w:color="auto" w:fill="auto"/>
          </w:tcPr>
          <w:p w14:paraId="7A01D2E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委員鄭天財</w:t>
            </w:r>
          </w:p>
          <w:p w14:paraId="3305376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Sra Kacaw</w:t>
            </w:r>
          </w:p>
          <w:p w14:paraId="6A2AF62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0D33306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7FD4DC9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472" w:type="dxa"/>
            <w:shd w:val="clear" w:color="auto" w:fill="auto"/>
          </w:tcPr>
          <w:p w14:paraId="2420AD9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4B0F83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C8F1654" w14:textId="77777777" w:rsidTr="00EC13B7">
        <w:tc>
          <w:tcPr>
            <w:tcW w:w="588" w:type="dxa"/>
            <w:shd w:val="clear" w:color="auto" w:fill="auto"/>
          </w:tcPr>
          <w:p w14:paraId="21E3058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90</w:t>
            </w:r>
          </w:p>
        </w:tc>
        <w:tc>
          <w:tcPr>
            <w:tcW w:w="2688" w:type="dxa"/>
            <w:shd w:val="clear" w:color="auto" w:fill="auto"/>
          </w:tcPr>
          <w:p w14:paraId="1D57EB5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2.國民法官法第三條條文修正草案(修正重點：將「權利及義務」之規範修正為遵守本法之權利義務，使國民主權更能得到明確保障。)</w:t>
            </w:r>
          </w:p>
        </w:tc>
        <w:tc>
          <w:tcPr>
            <w:tcW w:w="2139" w:type="dxa"/>
            <w:shd w:val="clear" w:color="auto" w:fill="auto"/>
          </w:tcPr>
          <w:p w14:paraId="50ECB75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委員廖婉汝</w:t>
            </w:r>
          </w:p>
          <w:p w14:paraId="2442175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168627D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33B2542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472" w:type="dxa"/>
            <w:shd w:val="clear" w:color="auto" w:fill="auto"/>
          </w:tcPr>
          <w:p w14:paraId="5B52D3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384E69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0CF0C02" w14:textId="77777777" w:rsidTr="00EC13B7">
        <w:tc>
          <w:tcPr>
            <w:tcW w:w="588" w:type="dxa"/>
            <w:shd w:val="clear" w:color="auto" w:fill="auto"/>
          </w:tcPr>
          <w:p w14:paraId="48588EC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91</w:t>
            </w:r>
          </w:p>
        </w:tc>
        <w:tc>
          <w:tcPr>
            <w:tcW w:w="2688" w:type="dxa"/>
            <w:shd w:val="clear" w:color="auto" w:fill="auto"/>
          </w:tcPr>
          <w:p w14:paraId="086B12B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民法官法第十四條條文修正草案(修正重點：鑑於本條之立法意旨係刻意排除具法律專長者任國民法官，以使國民法官制度能實踐人民法感情而避免過於偏重法律專業。然相關規定卻未排除各機關法制人員與政風人員得受選任</w:t>
            </w:r>
            <w:r w:rsidRPr="00026143">
              <w:rPr>
                <w:rFonts w:ascii="標楷體" w:eastAsia="標楷體" w:hAnsi="標楷體"/>
                <w:color w:val="000000" w:themeColor="text1"/>
              </w:rPr>
              <w:lastRenderedPageBreak/>
              <w:t>為國民法官，爰提案修正。)</w:t>
            </w:r>
          </w:p>
        </w:tc>
        <w:tc>
          <w:tcPr>
            <w:tcW w:w="2139" w:type="dxa"/>
            <w:shd w:val="clear" w:color="auto" w:fill="auto"/>
          </w:tcPr>
          <w:p w14:paraId="0EBA7BF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委員江永昌</w:t>
            </w:r>
          </w:p>
          <w:p w14:paraId="233323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7BD94AC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5A161DB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472" w:type="dxa"/>
            <w:shd w:val="clear" w:color="auto" w:fill="auto"/>
          </w:tcPr>
          <w:p w14:paraId="1D7FC21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945AB7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8CAC4E" w14:textId="77777777" w:rsidTr="00EC13B7">
        <w:tc>
          <w:tcPr>
            <w:tcW w:w="588" w:type="dxa"/>
            <w:shd w:val="clear" w:color="auto" w:fill="auto"/>
          </w:tcPr>
          <w:p w14:paraId="720C692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92</w:t>
            </w:r>
          </w:p>
        </w:tc>
        <w:tc>
          <w:tcPr>
            <w:tcW w:w="2688" w:type="dxa"/>
            <w:shd w:val="clear" w:color="auto" w:fill="auto"/>
          </w:tcPr>
          <w:p w14:paraId="612B523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2139" w:type="dxa"/>
            <w:shd w:val="clear" w:color="auto" w:fill="auto"/>
          </w:tcPr>
          <w:p w14:paraId="55FCE4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委員廖婉汝</w:t>
            </w:r>
          </w:p>
          <w:p w14:paraId="61E4BB9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1EFC75E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109.03.03 </w:t>
            </w:r>
          </w:p>
          <w:p w14:paraId="564308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（10-1-2）</w:t>
            </w:r>
          </w:p>
        </w:tc>
        <w:tc>
          <w:tcPr>
            <w:tcW w:w="1472" w:type="dxa"/>
            <w:shd w:val="clear" w:color="auto" w:fill="auto"/>
          </w:tcPr>
          <w:p w14:paraId="649CFB6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565E84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ED1F209" w14:textId="77777777" w:rsidTr="00EC13B7">
        <w:tc>
          <w:tcPr>
            <w:tcW w:w="588" w:type="dxa"/>
            <w:shd w:val="clear" w:color="auto" w:fill="auto"/>
          </w:tcPr>
          <w:p w14:paraId="6CBB154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93</w:t>
            </w:r>
          </w:p>
        </w:tc>
        <w:tc>
          <w:tcPr>
            <w:tcW w:w="2688" w:type="dxa"/>
            <w:shd w:val="clear" w:color="auto" w:fill="auto"/>
          </w:tcPr>
          <w:p w14:paraId="602D63E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法律扶助法第三條之一及第六十八條條文修正草案(修正重點：將「法律扶助」或類似名稱為財團法人法律扶助基金會及其分會專用。)</w:t>
            </w:r>
          </w:p>
        </w:tc>
        <w:tc>
          <w:tcPr>
            <w:tcW w:w="2139" w:type="dxa"/>
            <w:shd w:val="clear" w:color="auto" w:fill="auto"/>
          </w:tcPr>
          <w:p w14:paraId="485E2D1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5FF5CB7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等25人 </w:t>
            </w:r>
          </w:p>
          <w:p w14:paraId="738A64F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1F5083C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（10-6-9）</w:t>
            </w:r>
          </w:p>
        </w:tc>
        <w:tc>
          <w:tcPr>
            <w:tcW w:w="1472" w:type="dxa"/>
            <w:shd w:val="clear" w:color="auto" w:fill="auto"/>
          </w:tcPr>
          <w:p w14:paraId="6EDBD1D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20E049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453020F" w14:textId="77777777" w:rsidTr="00EC13B7">
        <w:tc>
          <w:tcPr>
            <w:tcW w:w="588" w:type="dxa"/>
            <w:shd w:val="clear" w:color="auto" w:fill="auto"/>
          </w:tcPr>
          <w:p w14:paraId="073F286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94</w:t>
            </w:r>
          </w:p>
        </w:tc>
        <w:tc>
          <w:tcPr>
            <w:tcW w:w="2688" w:type="dxa"/>
            <w:shd w:val="clear" w:color="auto" w:fill="auto"/>
          </w:tcPr>
          <w:p w14:paraId="1CFEB06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法律扶助法第四條條文修正草案(修正重點：為保障刑事訴訟法上之私選鑑定、專家證人等制度之實際運用不致因貧富差距而有實質不平等，爰提案修正將私選鑑定、專家證人所生費用納入法律扶助範圍。)</w:t>
            </w:r>
          </w:p>
        </w:tc>
        <w:tc>
          <w:tcPr>
            <w:tcW w:w="2139" w:type="dxa"/>
            <w:shd w:val="clear" w:color="auto" w:fill="auto"/>
          </w:tcPr>
          <w:p w14:paraId="71C1E18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35F5621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1C0DDC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7F09EC5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472" w:type="dxa"/>
            <w:shd w:val="clear" w:color="auto" w:fill="auto"/>
          </w:tcPr>
          <w:p w14:paraId="3ABBE06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49BB3F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DBE9317" w14:textId="77777777" w:rsidTr="00EC13B7">
        <w:tc>
          <w:tcPr>
            <w:tcW w:w="588" w:type="dxa"/>
            <w:shd w:val="clear" w:color="auto" w:fill="auto"/>
          </w:tcPr>
          <w:p w14:paraId="2F82EDA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95</w:t>
            </w:r>
          </w:p>
        </w:tc>
        <w:tc>
          <w:tcPr>
            <w:tcW w:w="2688" w:type="dxa"/>
            <w:shd w:val="clear" w:color="auto" w:fill="auto"/>
          </w:tcPr>
          <w:p w14:paraId="4CE4621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法律扶助法第五十四條條文修正草案(修正重點：有關擔任法律扶助基金會董事或監察人之消極資格要件，訂有針對身心礙者之歧視性條款，爰提案修正。)</w:t>
            </w:r>
          </w:p>
        </w:tc>
        <w:tc>
          <w:tcPr>
            <w:tcW w:w="2139" w:type="dxa"/>
            <w:shd w:val="clear" w:color="auto" w:fill="auto"/>
          </w:tcPr>
          <w:p w14:paraId="70948D5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委員余天</w:t>
            </w:r>
          </w:p>
          <w:p w14:paraId="0DFFDD5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BDA064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111.12.30</w:t>
            </w:r>
          </w:p>
          <w:p w14:paraId="662F9ED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（10-6-14）</w:t>
            </w:r>
          </w:p>
        </w:tc>
        <w:tc>
          <w:tcPr>
            <w:tcW w:w="1472" w:type="dxa"/>
            <w:shd w:val="clear" w:color="auto" w:fill="auto"/>
          </w:tcPr>
          <w:p w14:paraId="4BECADA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1CE2DC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9413239" w14:textId="77777777" w:rsidTr="00EC13B7">
        <w:tc>
          <w:tcPr>
            <w:tcW w:w="588" w:type="dxa"/>
            <w:shd w:val="clear" w:color="auto" w:fill="auto"/>
          </w:tcPr>
          <w:p w14:paraId="431DBFD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96</w:t>
            </w:r>
          </w:p>
        </w:tc>
        <w:tc>
          <w:tcPr>
            <w:tcW w:w="2688" w:type="dxa"/>
            <w:shd w:val="clear" w:color="auto" w:fill="auto"/>
          </w:tcPr>
          <w:p w14:paraId="675620F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2139" w:type="dxa"/>
            <w:shd w:val="clear" w:color="auto" w:fill="auto"/>
          </w:tcPr>
          <w:p w14:paraId="6E3C10A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1157BDD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6E1AE5F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109.03.06 </w:t>
            </w:r>
          </w:p>
          <w:p w14:paraId="18F49D5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（10-1-3）</w:t>
            </w:r>
          </w:p>
        </w:tc>
        <w:tc>
          <w:tcPr>
            <w:tcW w:w="1472" w:type="dxa"/>
            <w:shd w:val="clear" w:color="auto" w:fill="auto"/>
          </w:tcPr>
          <w:p w14:paraId="7B456C1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151C6B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D01337A" w14:textId="77777777" w:rsidTr="00EC13B7">
        <w:tc>
          <w:tcPr>
            <w:tcW w:w="588" w:type="dxa"/>
            <w:shd w:val="clear" w:color="auto" w:fill="auto"/>
          </w:tcPr>
          <w:p w14:paraId="4530831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97</w:t>
            </w:r>
          </w:p>
        </w:tc>
        <w:tc>
          <w:tcPr>
            <w:tcW w:w="2688" w:type="dxa"/>
            <w:shd w:val="clear" w:color="auto" w:fill="auto"/>
          </w:tcPr>
          <w:p w14:paraId="7121965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2139" w:type="dxa"/>
            <w:shd w:val="clear" w:color="auto" w:fill="auto"/>
          </w:tcPr>
          <w:p w14:paraId="30908B8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委員周春米</w:t>
            </w:r>
          </w:p>
          <w:p w14:paraId="3445755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等21人 </w:t>
            </w:r>
          </w:p>
          <w:p w14:paraId="67B24B8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109.03.27 </w:t>
            </w:r>
          </w:p>
          <w:p w14:paraId="3E08BF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（10-1-6）</w:t>
            </w:r>
          </w:p>
        </w:tc>
        <w:tc>
          <w:tcPr>
            <w:tcW w:w="1472" w:type="dxa"/>
            <w:shd w:val="clear" w:color="auto" w:fill="auto"/>
          </w:tcPr>
          <w:p w14:paraId="70B7DC4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88AB9A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150232F" w14:textId="77777777" w:rsidTr="00EC13B7">
        <w:tc>
          <w:tcPr>
            <w:tcW w:w="588" w:type="dxa"/>
            <w:shd w:val="clear" w:color="auto" w:fill="auto"/>
          </w:tcPr>
          <w:p w14:paraId="1220BA2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98</w:t>
            </w:r>
          </w:p>
        </w:tc>
        <w:tc>
          <w:tcPr>
            <w:tcW w:w="2688" w:type="dxa"/>
            <w:shd w:val="clear" w:color="auto" w:fill="auto"/>
          </w:tcPr>
          <w:p w14:paraId="0C92DE3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家事事件法增訂第一百九十五條之一條文草案(增訂重點：增訂法院得以命完成親職教育或心理輔導之方式強制，期使當事人成為善意合作父母，若債務人不為完成者，得處以怠金並連續處罰甚或管收之，以求命交付子女或會面交往之裁判。)</w:t>
            </w:r>
          </w:p>
        </w:tc>
        <w:tc>
          <w:tcPr>
            <w:tcW w:w="2139" w:type="dxa"/>
            <w:shd w:val="clear" w:color="auto" w:fill="auto"/>
          </w:tcPr>
          <w:p w14:paraId="7963883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7A6EAF6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034CE10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3760DFA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472" w:type="dxa"/>
            <w:shd w:val="clear" w:color="auto" w:fill="auto"/>
          </w:tcPr>
          <w:p w14:paraId="1A718A1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0CADB6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8D1BC3" w14:textId="77777777" w:rsidTr="00EC13B7">
        <w:tc>
          <w:tcPr>
            <w:tcW w:w="588" w:type="dxa"/>
            <w:shd w:val="clear" w:color="auto" w:fill="auto"/>
          </w:tcPr>
          <w:p w14:paraId="0A62AC5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99</w:t>
            </w:r>
          </w:p>
        </w:tc>
        <w:tc>
          <w:tcPr>
            <w:tcW w:w="2688" w:type="dxa"/>
            <w:shd w:val="clear" w:color="auto" w:fill="auto"/>
          </w:tcPr>
          <w:p w14:paraId="0679B55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家事事件法第十二條、第一百三十八條及第二百條條文修正草案(修正重點：為擴大遠距視訊設備之使用人員及發動方式，以兼顧審理之迅捷及作業之彈性，並適度保護遺產管理人居住處所之隱私及利修正條文之施行，爰提案修正。)</w:t>
            </w:r>
          </w:p>
        </w:tc>
        <w:tc>
          <w:tcPr>
            <w:tcW w:w="2139" w:type="dxa"/>
            <w:shd w:val="clear" w:color="auto" w:fill="auto"/>
          </w:tcPr>
          <w:p w14:paraId="062F4FA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600FB39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5568FC8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472" w:type="dxa"/>
            <w:shd w:val="clear" w:color="auto" w:fill="auto"/>
          </w:tcPr>
          <w:p w14:paraId="37AD612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174C3E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9E8FF36" w14:textId="77777777" w:rsidTr="00EC13B7">
        <w:tc>
          <w:tcPr>
            <w:tcW w:w="588" w:type="dxa"/>
            <w:shd w:val="clear" w:color="auto" w:fill="auto"/>
          </w:tcPr>
          <w:p w14:paraId="0B6ED85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100</w:t>
            </w:r>
          </w:p>
        </w:tc>
        <w:tc>
          <w:tcPr>
            <w:tcW w:w="2688" w:type="dxa"/>
            <w:shd w:val="clear" w:color="auto" w:fill="auto"/>
          </w:tcPr>
          <w:p w14:paraId="366D520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2.家事事件法第十二條條文修正草案（修正重點：順應當今數位通訊普及趨勢之應用，增設法院藉徵詢有關人員意見供判斷以科技設備參與審理之依據。）</w:t>
            </w:r>
          </w:p>
        </w:tc>
        <w:tc>
          <w:tcPr>
            <w:tcW w:w="2139" w:type="dxa"/>
            <w:shd w:val="clear" w:color="auto" w:fill="auto"/>
          </w:tcPr>
          <w:p w14:paraId="1AF180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委員洪孟楷</w:t>
            </w:r>
          </w:p>
          <w:p w14:paraId="3DCE6AA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32DE66A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111.09.30 </w:t>
            </w:r>
          </w:p>
          <w:p w14:paraId="1913FFC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（10-6-2）</w:t>
            </w:r>
          </w:p>
          <w:p w14:paraId="2F489EE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472" w:type="dxa"/>
            <w:shd w:val="clear" w:color="auto" w:fill="auto"/>
          </w:tcPr>
          <w:p w14:paraId="1005F34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F534E2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17AB58E" w14:textId="77777777" w:rsidTr="00EC13B7">
        <w:tc>
          <w:tcPr>
            <w:tcW w:w="588" w:type="dxa"/>
            <w:shd w:val="clear" w:color="auto" w:fill="auto"/>
          </w:tcPr>
          <w:p w14:paraId="0A938F7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101</w:t>
            </w:r>
          </w:p>
        </w:tc>
        <w:tc>
          <w:tcPr>
            <w:tcW w:w="2688" w:type="dxa"/>
            <w:shd w:val="clear" w:color="auto" w:fill="auto"/>
          </w:tcPr>
          <w:p w14:paraId="59F286D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3.家事事件法第十二條及第一百九十五條之一條文修正草案(修正重點：對不願履行交付子女之債務人，應命其完成親職教育或心理諮商輔導，以解決法院裁定</w:t>
            </w:r>
            <w:r w:rsidRPr="00026143">
              <w:rPr>
                <w:rFonts w:ascii="標楷體" w:eastAsia="標楷體" w:hAnsi="標楷體"/>
                <w:color w:val="000000" w:themeColor="text1"/>
              </w:rPr>
              <w:lastRenderedPageBreak/>
              <w:t>交付子女與子女會面交往之執行遇到的困境。)</w:t>
            </w:r>
          </w:p>
        </w:tc>
        <w:tc>
          <w:tcPr>
            <w:tcW w:w="2139" w:type="dxa"/>
            <w:shd w:val="clear" w:color="auto" w:fill="auto"/>
          </w:tcPr>
          <w:p w14:paraId="482BC71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委員黃秀芳</w:t>
            </w:r>
          </w:p>
          <w:p w14:paraId="52808C4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893377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111.12.23</w:t>
            </w:r>
          </w:p>
          <w:p w14:paraId="32C4CE9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472" w:type="dxa"/>
            <w:shd w:val="clear" w:color="auto" w:fill="auto"/>
          </w:tcPr>
          <w:p w14:paraId="43364D5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541342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B5EDB7" w14:textId="77777777" w:rsidTr="00EC13B7">
        <w:tc>
          <w:tcPr>
            <w:tcW w:w="588" w:type="dxa"/>
            <w:shd w:val="clear" w:color="auto" w:fill="auto"/>
          </w:tcPr>
          <w:p w14:paraId="5B93C5F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102</w:t>
            </w:r>
          </w:p>
        </w:tc>
        <w:tc>
          <w:tcPr>
            <w:tcW w:w="2688" w:type="dxa"/>
            <w:shd w:val="clear" w:color="auto" w:fill="auto"/>
          </w:tcPr>
          <w:p w14:paraId="4F1DF26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家事事件法第三十二條條文修正草案(修正重點：法院遴聘本法調解委員時，委員之任一性別比例不得少於遴聘總人數三分之一。)</w:t>
            </w:r>
          </w:p>
        </w:tc>
        <w:tc>
          <w:tcPr>
            <w:tcW w:w="2139" w:type="dxa"/>
            <w:shd w:val="clear" w:color="auto" w:fill="auto"/>
          </w:tcPr>
          <w:p w14:paraId="4AE9AA7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委員蔡適應</w:t>
            </w:r>
          </w:p>
          <w:p w14:paraId="013D8EE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319F9DB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53733E7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472" w:type="dxa"/>
            <w:shd w:val="clear" w:color="auto" w:fill="auto"/>
          </w:tcPr>
          <w:p w14:paraId="07313D2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703ED5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FA2521" w14:textId="77777777" w:rsidTr="00EC13B7">
        <w:tc>
          <w:tcPr>
            <w:tcW w:w="588" w:type="dxa"/>
            <w:shd w:val="clear" w:color="auto" w:fill="auto"/>
          </w:tcPr>
          <w:p w14:paraId="2A6D52A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103</w:t>
            </w:r>
          </w:p>
        </w:tc>
        <w:tc>
          <w:tcPr>
            <w:tcW w:w="2688" w:type="dxa"/>
            <w:shd w:val="clear" w:color="auto" w:fill="auto"/>
          </w:tcPr>
          <w:p w14:paraId="3F08D45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法官法部分條文修正草案(修正§7、34、57、86、90、91、94、102、103。修正重點：將「律師公會全國聯合會」名稱改為「全國律師聯合會」；明定職務法庭審理案件，應公開法庭行之；配合檢察機關組織名稱變更；並明定例外不予公開之情形。)</w:t>
            </w:r>
          </w:p>
        </w:tc>
        <w:tc>
          <w:tcPr>
            <w:tcW w:w="2139" w:type="dxa"/>
            <w:shd w:val="clear" w:color="auto" w:fill="auto"/>
          </w:tcPr>
          <w:p w14:paraId="50C606B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司法院、行政院 </w:t>
            </w:r>
          </w:p>
          <w:p w14:paraId="57FD35E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280AF14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472" w:type="dxa"/>
            <w:shd w:val="clear" w:color="auto" w:fill="auto"/>
          </w:tcPr>
          <w:p w14:paraId="46D740B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ADB1D2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E1C3FFD" w14:textId="77777777" w:rsidTr="00EC13B7">
        <w:tc>
          <w:tcPr>
            <w:tcW w:w="588" w:type="dxa"/>
            <w:shd w:val="clear" w:color="auto" w:fill="auto"/>
          </w:tcPr>
          <w:p w14:paraId="616F332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104</w:t>
            </w:r>
          </w:p>
        </w:tc>
        <w:tc>
          <w:tcPr>
            <w:tcW w:w="2688" w:type="dxa"/>
            <w:shd w:val="clear" w:color="auto" w:fill="auto"/>
          </w:tcPr>
          <w:p w14:paraId="020A936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2.法官法第九十一條條文修正草案（修正重點：刪除檢察首長以書面方式直接變更檢察官會議決議之規定，使變更決議僅能以「復議」方式行之。）</w:t>
            </w:r>
          </w:p>
        </w:tc>
        <w:tc>
          <w:tcPr>
            <w:tcW w:w="2139" w:type="dxa"/>
            <w:shd w:val="clear" w:color="auto" w:fill="auto"/>
          </w:tcPr>
          <w:p w14:paraId="6AC4776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委員鄭麗文</w:t>
            </w:r>
          </w:p>
          <w:p w14:paraId="0E26A19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等24人 </w:t>
            </w:r>
          </w:p>
          <w:p w14:paraId="7B11D4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109.05.01 </w:t>
            </w:r>
          </w:p>
          <w:p w14:paraId="7605B6A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（10-1-11）</w:t>
            </w:r>
          </w:p>
        </w:tc>
        <w:tc>
          <w:tcPr>
            <w:tcW w:w="1472" w:type="dxa"/>
            <w:shd w:val="clear" w:color="auto" w:fill="auto"/>
          </w:tcPr>
          <w:p w14:paraId="543C617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B73A20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2EF50F" w14:textId="77777777" w:rsidTr="00EC13B7">
        <w:tc>
          <w:tcPr>
            <w:tcW w:w="588" w:type="dxa"/>
            <w:shd w:val="clear" w:color="auto" w:fill="auto"/>
          </w:tcPr>
          <w:p w14:paraId="6CCF850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105</w:t>
            </w:r>
          </w:p>
        </w:tc>
        <w:tc>
          <w:tcPr>
            <w:tcW w:w="2688" w:type="dxa"/>
            <w:shd w:val="clear" w:color="auto" w:fill="auto"/>
          </w:tcPr>
          <w:p w14:paraId="702F5F9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3.法官法第九十一條條文修正草案（修正重點：將檢察總長、檢察長變更檢察官會議決議之條件，修正為「應以書面載明理由交檢察官會議復議」，通過復議後，始得變更。）</w:t>
            </w:r>
          </w:p>
        </w:tc>
        <w:tc>
          <w:tcPr>
            <w:tcW w:w="2139" w:type="dxa"/>
            <w:shd w:val="clear" w:color="auto" w:fill="auto"/>
          </w:tcPr>
          <w:p w14:paraId="647416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委員林思銘</w:t>
            </w:r>
          </w:p>
          <w:p w14:paraId="549C822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等24人 </w:t>
            </w:r>
          </w:p>
          <w:p w14:paraId="133AFD4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109.05.08 </w:t>
            </w:r>
          </w:p>
          <w:p w14:paraId="591322B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（10-1-12）</w:t>
            </w:r>
          </w:p>
        </w:tc>
        <w:tc>
          <w:tcPr>
            <w:tcW w:w="1472" w:type="dxa"/>
            <w:shd w:val="clear" w:color="auto" w:fill="auto"/>
          </w:tcPr>
          <w:p w14:paraId="4E28DBB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080FB2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094E5B9" w14:textId="77777777" w:rsidTr="00EC13B7">
        <w:tc>
          <w:tcPr>
            <w:tcW w:w="588" w:type="dxa"/>
            <w:shd w:val="clear" w:color="auto" w:fill="auto"/>
          </w:tcPr>
          <w:p w14:paraId="077C12A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106</w:t>
            </w:r>
          </w:p>
        </w:tc>
        <w:tc>
          <w:tcPr>
            <w:tcW w:w="2688" w:type="dxa"/>
            <w:shd w:val="clear" w:color="auto" w:fill="auto"/>
          </w:tcPr>
          <w:p w14:paraId="3DE427B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4.法官法第八十六條、第八十七條及第九十四條條文修正草案（修正重點：於檢察機關名稱「去法院化」。）</w:t>
            </w:r>
          </w:p>
        </w:tc>
        <w:tc>
          <w:tcPr>
            <w:tcW w:w="2139" w:type="dxa"/>
            <w:shd w:val="clear" w:color="auto" w:fill="auto"/>
          </w:tcPr>
          <w:p w14:paraId="74D5A22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42B99A5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6563BB9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472" w:type="dxa"/>
            <w:shd w:val="clear" w:color="auto" w:fill="auto"/>
          </w:tcPr>
          <w:p w14:paraId="3E21BAC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F07FD8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B98DA40" w14:textId="77777777" w:rsidTr="00EC13B7">
        <w:tc>
          <w:tcPr>
            <w:tcW w:w="588" w:type="dxa"/>
            <w:shd w:val="clear" w:color="auto" w:fill="auto"/>
          </w:tcPr>
          <w:p w14:paraId="4B3DDC5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107</w:t>
            </w:r>
          </w:p>
        </w:tc>
        <w:tc>
          <w:tcPr>
            <w:tcW w:w="2688" w:type="dxa"/>
            <w:shd w:val="clear" w:color="auto" w:fill="auto"/>
          </w:tcPr>
          <w:p w14:paraId="1F3A282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5.法官法第五十七條條文修正草案(修正重點：明定職務法庭審理案件，應公開法庭行之。)</w:t>
            </w:r>
          </w:p>
        </w:tc>
        <w:tc>
          <w:tcPr>
            <w:tcW w:w="2139" w:type="dxa"/>
            <w:shd w:val="clear" w:color="auto" w:fill="auto"/>
          </w:tcPr>
          <w:p w14:paraId="15225AE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委員陳亭妃</w:t>
            </w:r>
          </w:p>
          <w:p w14:paraId="6204F18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72B2C40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4F17F1C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472" w:type="dxa"/>
            <w:shd w:val="clear" w:color="auto" w:fill="auto"/>
          </w:tcPr>
          <w:p w14:paraId="64A41F9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75D913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1741512" w14:textId="77777777" w:rsidTr="00EC13B7">
        <w:tc>
          <w:tcPr>
            <w:tcW w:w="588" w:type="dxa"/>
            <w:shd w:val="clear" w:color="auto" w:fill="auto"/>
          </w:tcPr>
          <w:p w14:paraId="21F998F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108</w:t>
            </w:r>
          </w:p>
        </w:tc>
        <w:tc>
          <w:tcPr>
            <w:tcW w:w="2688" w:type="dxa"/>
            <w:shd w:val="clear" w:color="auto" w:fill="auto"/>
          </w:tcPr>
          <w:p w14:paraId="7F6E6C7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6.法官法第七條、第三十四條及第一百零二條條文修正草案(修正重</w:t>
            </w:r>
            <w:r w:rsidRPr="00026143">
              <w:rPr>
                <w:rFonts w:ascii="標楷體" w:eastAsia="標楷體" w:hAnsi="標楷體"/>
                <w:color w:val="000000" w:themeColor="text1"/>
              </w:rPr>
              <w:lastRenderedPageBreak/>
              <w:t>點：條文內容之律師公會全國聯合會更名為全國律師聯合會。)</w:t>
            </w:r>
          </w:p>
        </w:tc>
        <w:tc>
          <w:tcPr>
            <w:tcW w:w="2139" w:type="dxa"/>
            <w:shd w:val="clear" w:color="auto" w:fill="auto"/>
          </w:tcPr>
          <w:p w14:paraId="4A44BDB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委員林為洲</w:t>
            </w:r>
          </w:p>
          <w:p w14:paraId="4A2E17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554E26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047E60B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（10-4-8）</w:t>
            </w:r>
          </w:p>
        </w:tc>
        <w:tc>
          <w:tcPr>
            <w:tcW w:w="1472" w:type="dxa"/>
            <w:shd w:val="clear" w:color="auto" w:fill="auto"/>
          </w:tcPr>
          <w:p w14:paraId="7F50F10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5F3C256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8A9775" w14:textId="77777777" w:rsidTr="00EC13B7">
        <w:tc>
          <w:tcPr>
            <w:tcW w:w="588" w:type="dxa"/>
            <w:shd w:val="clear" w:color="auto" w:fill="auto"/>
          </w:tcPr>
          <w:p w14:paraId="7D592AE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109</w:t>
            </w:r>
          </w:p>
        </w:tc>
        <w:tc>
          <w:tcPr>
            <w:tcW w:w="2688" w:type="dxa"/>
            <w:shd w:val="clear" w:color="auto" w:fill="auto"/>
          </w:tcPr>
          <w:p w14:paraId="60CFD82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7.法官法部分條文修正草案(修正§7、34、57、86、90、91、94、102。修正重點：配合律師法以及法院組織法有關各級檢察機關名稱「去法院化」之相關規定，修正條文內檢察機關名稱以及律師公會名稱。)</w:t>
            </w:r>
          </w:p>
        </w:tc>
        <w:tc>
          <w:tcPr>
            <w:tcW w:w="2139" w:type="dxa"/>
            <w:shd w:val="clear" w:color="auto" w:fill="auto"/>
          </w:tcPr>
          <w:p w14:paraId="20A524B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委員黃世杰</w:t>
            </w:r>
          </w:p>
          <w:p w14:paraId="7A7E6FA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F8F089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0D49E42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472" w:type="dxa"/>
            <w:shd w:val="clear" w:color="auto" w:fill="auto"/>
          </w:tcPr>
          <w:p w14:paraId="66C338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A6937B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045E48" w14:textId="77777777" w:rsidTr="00EC13B7">
        <w:tc>
          <w:tcPr>
            <w:tcW w:w="588" w:type="dxa"/>
            <w:shd w:val="clear" w:color="auto" w:fill="auto"/>
          </w:tcPr>
          <w:p w14:paraId="1CE13DA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110</w:t>
            </w:r>
          </w:p>
        </w:tc>
        <w:tc>
          <w:tcPr>
            <w:tcW w:w="2688" w:type="dxa"/>
            <w:shd w:val="clear" w:color="auto" w:fill="auto"/>
          </w:tcPr>
          <w:p w14:paraId="0806AA2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8.法官法第八十六條及第九十四條條文修正草案(修正重點：最高法院檢察署更銜為最高檢察署。)</w:t>
            </w:r>
          </w:p>
        </w:tc>
        <w:tc>
          <w:tcPr>
            <w:tcW w:w="2139" w:type="dxa"/>
            <w:shd w:val="clear" w:color="auto" w:fill="auto"/>
          </w:tcPr>
          <w:p w14:paraId="02B9568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1B396F2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569290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2E57821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472" w:type="dxa"/>
            <w:shd w:val="clear" w:color="auto" w:fill="auto"/>
          </w:tcPr>
          <w:p w14:paraId="6E26FEC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9080DC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E3AB646" w14:textId="77777777" w:rsidTr="00EC13B7">
        <w:tc>
          <w:tcPr>
            <w:tcW w:w="588" w:type="dxa"/>
            <w:shd w:val="clear" w:color="auto" w:fill="auto"/>
          </w:tcPr>
          <w:p w14:paraId="43A1E0B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111</w:t>
            </w:r>
          </w:p>
        </w:tc>
        <w:tc>
          <w:tcPr>
            <w:tcW w:w="2688" w:type="dxa"/>
            <w:shd w:val="clear" w:color="auto" w:fill="auto"/>
          </w:tcPr>
          <w:p w14:paraId="3436064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1.法官法第七十四條條文修正草案（修正重點：職務評定結果及相關獎懲內涵，除原有之「良好」、「未達良好」2種外，新增「適任」等次。）</w:t>
            </w:r>
          </w:p>
        </w:tc>
        <w:tc>
          <w:tcPr>
            <w:tcW w:w="2139" w:type="dxa"/>
            <w:shd w:val="clear" w:color="auto" w:fill="auto"/>
          </w:tcPr>
          <w:p w14:paraId="179B7DB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委員周春米</w:t>
            </w:r>
          </w:p>
          <w:p w14:paraId="433226C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76075A1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1318197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472" w:type="dxa"/>
            <w:shd w:val="clear" w:color="auto" w:fill="auto"/>
          </w:tcPr>
          <w:p w14:paraId="1E95E6D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7C57C3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F455E2" w14:textId="77777777" w:rsidTr="00EC13B7">
        <w:tc>
          <w:tcPr>
            <w:tcW w:w="588" w:type="dxa"/>
            <w:shd w:val="clear" w:color="auto" w:fill="auto"/>
          </w:tcPr>
          <w:p w14:paraId="5D6F7E1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112</w:t>
            </w:r>
          </w:p>
        </w:tc>
        <w:tc>
          <w:tcPr>
            <w:tcW w:w="2688" w:type="dxa"/>
            <w:shd w:val="clear" w:color="auto" w:fill="auto"/>
          </w:tcPr>
          <w:p w14:paraId="1945DA8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法官法部分條文修正草案（修正§22、30、38、39、73、74、89、96。修正重點：法官職務監督、個案評鑑及懲戒相關之程序，應公開相關調查報告，並賦予相關人民陳述意見之機會；法官應付個案評鑑之標準，刪除嚴重及情節重大等要件限制；強化法官須受行政責任相關課責之機制；法官應依公務人員考績法辦理年終考績；強化檢察官須受到行政責任相關課責機制。）</w:t>
            </w:r>
          </w:p>
        </w:tc>
        <w:tc>
          <w:tcPr>
            <w:tcW w:w="2139" w:type="dxa"/>
            <w:shd w:val="clear" w:color="auto" w:fill="auto"/>
          </w:tcPr>
          <w:p w14:paraId="27DE400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144ACFC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151164C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5753E03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472" w:type="dxa"/>
            <w:shd w:val="clear" w:color="auto" w:fill="auto"/>
          </w:tcPr>
          <w:p w14:paraId="47CD611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D138C2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A599B92" w14:textId="77777777" w:rsidTr="00EC13B7">
        <w:tc>
          <w:tcPr>
            <w:tcW w:w="588" w:type="dxa"/>
            <w:shd w:val="clear" w:color="auto" w:fill="auto"/>
          </w:tcPr>
          <w:p w14:paraId="758FB54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113</w:t>
            </w:r>
          </w:p>
        </w:tc>
        <w:tc>
          <w:tcPr>
            <w:tcW w:w="2688" w:type="dxa"/>
            <w:shd w:val="clear" w:color="auto" w:fill="auto"/>
          </w:tcPr>
          <w:p w14:paraId="2529B65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法官法第七十七條及第八十條條文修正草案（修正重點：原公務人員退休法及原公務人員撫卹法業已於107年11月</w:t>
            </w:r>
            <w:r w:rsidRPr="00026143">
              <w:rPr>
                <w:rFonts w:ascii="標楷體" w:eastAsia="標楷體" w:hAnsi="標楷體"/>
                <w:color w:val="000000" w:themeColor="text1"/>
              </w:rPr>
              <w:lastRenderedPageBreak/>
              <w:t>21日明令廢止；並為配合「公務人員退休資遣撫卹法」之訂定而修正文字，以符實況。）</w:t>
            </w:r>
          </w:p>
        </w:tc>
        <w:tc>
          <w:tcPr>
            <w:tcW w:w="2139" w:type="dxa"/>
            <w:shd w:val="clear" w:color="auto" w:fill="auto"/>
          </w:tcPr>
          <w:p w14:paraId="4C44E9C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委員張宏陸</w:t>
            </w:r>
          </w:p>
          <w:p w14:paraId="0AC8ECF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593723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336A52C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472" w:type="dxa"/>
            <w:shd w:val="clear" w:color="auto" w:fill="auto"/>
          </w:tcPr>
          <w:p w14:paraId="10F582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58F6D1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100B50" w14:textId="77777777" w:rsidTr="00EC13B7">
        <w:tc>
          <w:tcPr>
            <w:tcW w:w="588" w:type="dxa"/>
            <w:shd w:val="clear" w:color="auto" w:fill="auto"/>
          </w:tcPr>
          <w:p w14:paraId="3AB2060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114</w:t>
            </w:r>
          </w:p>
        </w:tc>
        <w:tc>
          <w:tcPr>
            <w:tcW w:w="2688" w:type="dxa"/>
            <w:shd w:val="clear" w:color="auto" w:fill="auto"/>
          </w:tcPr>
          <w:p w14:paraId="5A9F350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2139" w:type="dxa"/>
            <w:shd w:val="clear" w:color="auto" w:fill="auto"/>
          </w:tcPr>
          <w:p w14:paraId="28C1531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委員高嘉瑜</w:t>
            </w:r>
          </w:p>
          <w:p w14:paraId="1B9E3AA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03CFE9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109.09.18 </w:t>
            </w:r>
          </w:p>
          <w:p w14:paraId="5EFF021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472" w:type="dxa"/>
            <w:shd w:val="clear" w:color="auto" w:fill="auto"/>
          </w:tcPr>
          <w:p w14:paraId="77FF875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0F7F8C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00091E4" w14:textId="77777777" w:rsidTr="00EC13B7">
        <w:tc>
          <w:tcPr>
            <w:tcW w:w="588" w:type="dxa"/>
            <w:shd w:val="clear" w:color="auto" w:fill="auto"/>
          </w:tcPr>
          <w:p w14:paraId="568EE32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115</w:t>
            </w:r>
          </w:p>
        </w:tc>
        <w:tc>
          <w:tcPr>
            <w:tcW w:w="2688" w:type="dxa"/>
            <w:shd w:val="clear" w:color="auto" w:fill="auto"/>
          </w:tcPr>
          <w:p w14:paraId="42AD99B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涉外民事法律適用法第四十六條及第四十六條之一條文修正草案（修正重點：涉外同性婚姻是否成立之準據法，於同性婚姻雙方之本國法皆承認同性婚姻合法之情形，與本法§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以行為地法作為準據法。）</w:t>
            </w:r>
          </w:p>
        </w:tc>
        <w:tc>
          <w:tcPr>
            <w:tcW w:w="2139" w:type="dxa"/>
            <w:shd w:val="clear" w:color="auto" w:fill="auto"/>
          </w:tcPr>
          <w:p w14:paraId="18EE40E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073C550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3095C99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472" w:type="dxa"/>
            <w:shd w:val="clear" w:color="auto" w:fill="auto"/>
          </w:tcPr>
          <w:p w14:paraId="7D63E24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7BED772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992543" w14:textId="77777777" w:rsidTr="00EC13B7">
        <w:tc>
          <w:tcPr>
            <w:tcW w:w="588" w:type="dxa"/>
            <w:shd w:val="clear" w:color="auto" w:fill="auto"/>
          </w:tcPr>
          <w:p w14:paraId="10E9D4B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116</w:t>
            </w:r>
          </w:p>
        </w:tc>
        <w:tc>
          <w:tcPr>
            <w:tcW w:w="2688" w:type="dxa"/>
            <w:shd w:val="clear" w:color="auto" w:fill="auto"/>
          </w:tcPr>
          <w:p w14:paraId="7593024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3.涉外民事法律適用法第四十六條條文修正草案（修正重點：司法院釋字第748號解釋施行法§2關係之成立，若當事人一方之本國法未合</w:t>
            </w:r>
            <w:r w:rsidRPr="00026143">
              <w:rPr>
                <w:rFonts w:ascii="標楷體" w:eastAsia="標楷體" w:hAnsi="標楷體"/>
                <w:color w:val="000000" w:themeColor="text1"/>
              </w:rPr>
              <w:lastRenderedPageBreak/>
              <w:t>法，但於他方當事人之本國法合法者，依他方當事人之本國法；當事人雙方之本國法皆未合法，若其中一方領有台灣居留文件，依行為地法。）</w:t>
            </w:r>
          </w:p>
        </w:tc>
        <w:tc>
          <w:tcPr>
            <w:tcW w:w="2139" w:type="dxa"/>
            <w:shd w:val="clear" w:color="auto" w:fill="auto"/>
          </w:tcPr>
          <w:p w14:paraId="23CADFF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委員林昶佐</w:t>
            </w:r>
          </w:p>
          <w:p w14:paraId="38FEEAE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2686C0D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110.03.05</w:t>
            </w:r>
          </w:p>
          <w:p w14:paraId="1AA1BE6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（10-3-2）</w:t>
            </w:r>
          </w:p>
        </w:tc>
        <w:tc>
          <w:tcPr>
            <w:tcW w:w="1472" w:type="dxa"/>
            <w:shd w:val="clear" w:color="auto" w:fill="auto"/>
          </w:tcPr>
          <w:p w14:paraId="4A12EA6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2B87CD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F695A0" w14:textId="77777777" w:rsidTr="00EC13B7">
        <w:tc>
          <w:tcPr>
            <w:tcW w:w="588" w:type="dxa"/>
            <w:shd w:val="clear" w:color="auto" w:fill="auto"/>
          </w:tcPr>
          <w:p w14:paraId="30372BD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117</w:t>
            </w:r>
          </w:p>
        </w:tc>
        <w:tc>
          <w:tcPr>
            <w:tcW w:w="2688" w:type="dxa"/>
            <w:shd w:val="clear" w:color="auto" w:fill="auto"/>
          </w:tcPr>
          <w:p w14:paraId="4F98DEC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2139" w:type="dxa"/>
            <w:shd w:val="clear" w:color="auto" w:fill="auto"/>
          </w:tcPr>
          <w:p w14:paraId="36A7105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422AE59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110.03.12 </w:t>
            </w:r>
          </w:p>
          <w:p w14:paraId="02B5F79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（10-3-3）</w:t>
            </w:r>
          </w:p>
        </w:tc>
        <w:tc>
          <w:tcPr>
            <w:tcW w:w="1472" w:type="dxa"/>
            <w:shd w:val="clear" w:color="auto" w:fill="auto"/>
          </w:tcPr>
          <w:p w14:paraId="19E7543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A97647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2912F9B" w14:textId="77777777" w:rsidTr="00EC13B7">
        <w:tc>
          <w:tcPr>
            <w:tcW w:w="588" w:type="dxa"/>
            <w:shd w:val="clear" w:color="auto" w:fill="auto"/>
          </w:tcPr>
          <w:p w14:paraId="1AD71E4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118</w:t>
            </w:r>
          </w:p>
        </w:tc>
        <w:tc>
          <w:tcPr>
            <w:tcW w:w="2688" w:type="dxa"/>
            <w:shd w:val="clear" w:color="auto" w:fill="auto"/>
          </w:tcPr>
          <w:p w14:paraId="49B0524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涉外民事法律適用法第五十四條條文修正草案（修正重點：考量收養之成立、終止與其效力，均以收養者之本國發生之法律效果為中心，除被收養者本國法涉及保護被收養人利益之規定外，應無須累積適用被收養者之本國法；夫妻共同收養或一方收養他方之子女時，，以夫妻婚姻之效力所應適用之法律，為收養人之本國法。）</w:t>
            </w:r>
          </w:p>
        </w:tc>
        <w:tc>
          <w:tcPr>
            <w:tcW w:w="2139" w:type="dxa"/>
            <w:shd w:val="clear" w:color="auto" w:fill="auto"/>
          </w:tcPr>
          <w:p w14:paraId="0C51E74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3D236F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1389DA1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472" w:type="dxa"/>
            <w:shd w:val="clear" w:color="auto" w:fill="auto"/>
          </w:tcPr>
          <w:p w14:paraId="2A7FD1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4A2BF4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9A610DB" w14:textId="77777777" w:rsidTr="00EC13B7">
        <w:tc>
          <w:tcPr>
            <w:tcW w:w="588" w:type="dxa"/>
            <w:shd w:val="clear" w:color="auto" w:fill="auto"/>
          </w:tcPr>
          <w:p w14:paraId="46DC303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119</w:t>
            </w:r>
          </w:p>
        </w:tc>
        <w:tc>
          <w:tcPr>
            <w:tcW w:w="2688" w:type="dxa"/>
            <w:shd w:val="clear" w:color="auto" w:fill="auto"/>
          </w:tcPr>
          <w:p w14:paraId="08327ED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6.涉外民事法律適用法第四十六條及第五十四條條文修正草案（修正重點：相同性別而欲成立婚姻關係之雙方當事人間，若其中一方之本國法未承認同性婚姻關係，得例外僅適用一方本國法或住居所法成立</w:t>
            </w:r>
            <w:r w:rsidRPr="00026143">
              <w:rPr>
                <w:rFonts w:ascii="標楷體" w:eastAsia="標楷體" w:hAnsi="標楷體"/>
                <w:color w:val="000000" w:themeColor="text1"/>
              </w:rPr>
              <w:lastRenderedPageBreak/>
              <w:t>之；同性配偶之收養關係得依收養者之婚姻效力所適用之法律。）</w:t>
            </w:r>
          </w:p>
        </w:tc>
        <w:tc>
          <w:tcPr>
            <w:tcW w:w="2139" w:type="dxa"/>
            <w:shd w:val="clear" w:color="auto" w:fill="auto"/>
          </w:tcPr>
          <w:p w14:paraId="1438647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委員鄭麗文</w:t>
            </w:r>
          </w:p>
          <w:p w14:paraId="527397E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37965A5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1E15BAD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472" w:type="dxa"/>
            <w:shd w:val="clear" w:color="auto" w:fill="auto"/>
          </w:tcPr>
          <w:p w14:paraId="42AE8DA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D7CD93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65451D" w14:textId="77777777" w:rsidTr="00EC13B7">
        <w:tc>
          <w:tcPr>
            <w:tcW w:w="588" w:type="dxa"/>
            <w:shd w:val="clear" w:color="auto" w:fill="auto"/>
          </w:tcPr>
          <w:p w14:paraId="72E1A7C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120</w:t>
            </w:r>
          </w:p>
        </w:tc>
        <w:tc>
          <w:tcPr>
            <w:tcW w:w="2688" w:type="dxa"/>
            <w:shd w:val="clear" w:color="auto" w:fill="auto"/>
          </w:tcPr>
          <w:p w14:paraId="55ED7D3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7.涉外民事法律適用法第四十六條、第五十四條及第六十三條條文修正草案(修正重點：規範跨國同性婚姻及相關收養事宜。)</w:t>
            </w:r>
          </w:p>
        </w:tc>
        <w:tc>
          <w:tcPr>
            <w:tcW w:w="2139" w:type="dxa"/>
            <w:shd w:val="clear" w:color="auto" w:fill="auto"/>
          </w:tcPr>
          <w:p w14:paraId="12EA7D2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委員范雲</w:t>
            </w:r>
          </w:p>
          <w:p w14:paraId="48D1166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854DB8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111.04.01 </w:t>
            </w:r>
          </w:p>
          <w:p w14:paraId="0A75FA9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（10-5-6）</w:t>
            </w:r>
          </w:p>
        </w:tc>
        <w:tc>
          <w:tcPr>
            <w:tcW w:w="1472" w:type="dxa"/>
            <w:shd w:val="clear" w:color="auto" w:fill="auto"/>
          </w:tcPr>
          <w:p w14:paraId="6B1C6AE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C3EAC5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F40A4E7" w14:textId="77777777" w:rsidTr="00EC13B7">
        <w:tc>
          <w:tcPr>
            <w:tcW w:w="588" w:type="dxa"/>
            <w:shd w:val="clear" w:color="auto" w:fill="auto"/>
          </w:tcPr>
          <w:p w14:paraId="0719516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121</w:t>
            </w:r>
          </w:p>
        </w:tc>
        <w:tc>
          <w:tcPr>
            <w:tcW w:w="2688" w:type="dxa"/>
            <w:shd w:val="clear" w:color="auto" w:fill="auto"/>
          </w:tcPr>
          <w:p w14:paraId="7154135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8.涉外民事法律適用法第五十四條條文修正草案(修正重點：有關涉外同性婚姻收養子女成立之準據法，於被收養者之本國法未承認同性婚姻者，則得依收養者之婚姻效力所適用之法律。)</w:t>
            </w:r>
          </w:p>
        </w:tc>
        <w:tc>
          <w:tcPr>
            <w:tcW w:w="2139" w:type="dxa"/>
            <w:shd w:val="clear" w:color="auto" w:fill="auto"/>
          </w:tcPr>
          <w:p w14:paraId="4177ACC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台灣民眾黨黨團 </w:t>
            </w:r>
          </w:p>
          <w:p w14:paraId="272D226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098D421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472" w:type="dxa"/>
            <w:shd w:val="clear" w:color="auto" w:fill="auto"/>
          </w:tcPr>
          <w:p w14:paraId="0B2CB46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D10F98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359EB2C" w14:textId="77777777" w:rsidTr="00EC13B7">
        <w:tc>
          <w:tcPr>
            <w:tcW w:w="588" w:type="dxa"/>
            <w:shd w:val="clear" w:color="auto" w:fill="auto"/>
          </w:tcPr>
          <w:p w14:paraId="0E02FFF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122</w:t>
            </w:r>
          </w:p>
        </w:tc>
        <w:tc>
          <w:tcPr>
            <w:tcW w:w="2688" w:type="dxa"/>
            <w:shd w:val="clear" w:color="auto" w:fill="auto"/>
          </w:tcPr>
          <w:p w14:paraId="2423977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1.司法人員人事條例第四十條及第四十三條條文修正草案（修正重點：原「公務人員撫卹法」已廢止；配合「公務人員退休資遣撫卹法」之訂定修正文字。）</w:t>
            </w:r>
          </w:p>
        </w:tc>
        <w:tc>
          <w:tcPr>
            <w:tcW w:w="2139" w:type="dxa"/>
            <w:shd w:val="clear" w:color="auto" w:fill="auto"/>
          </w:tcPr>
          <w:p w14:paraId="0476115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委員張宏陸</w:t>
            </w:r>
          </w:p>
          <w:p w14:paraId="4084D68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4327E12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109.12.24</w:t>
            </w:r>
          </w:p>
          <w:p w14:paraId="6BF5474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（10-2-9）</w:t>
            </w:r>
          </w:p>
        </w:tc>
        <w:tc>
          <w:tcPr>
            <w:tcW w:w="1472" w:type="dxa"/>
            <w:shd w:val="clear" w:color="auto" w:fill="auto"/>
          </w:tcPr>
          <w:p w14:paraId="3BBCF5F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B33F56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24DC88" w14:textId="77777777" w:rsidTr="00EC13B7">
        <w:tc>
          <w:tcPr>
            <w:tcW w:w="588" w:type="dxa"/>
            <w:shd w:val="clear" w:color="auto" w:fill="auto"/>
          </w:tcPr>
          <w:p w14:paraId="5B9FDBC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123</w:t>
            </w:r>
          </w:p>
        </w:tc>
        <w:tc>
          <w:tcPr>
            <w:tcW w:w="2688" w:type="dxa"/>
            <w:shd w:val="clear" w:color="auto" w:fill="auto"/>
          </w:tcPr>
          <w:p w14:paraId="1EBEAD8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2.司法人員人事條例部分條文修正草案(修正§3、9、11~15、27、40、43。修正重點：配合有關各級檢察機關名稱「去法院化」之相關規定；配合「公務人員退休資遣撫卹法」之訂定，爰提案修正。)</w:t>
            </w:r>
          </w:p>
        </w:tc>
        <w:tc>
          <w:tcPr>
            <w:tcW w:w="2139" w:type="dxa"/>
            <w:shd w:val="clear" w:color="auto" w:fill="auto"/>
          </w:tcPr>
          <w:p w14:paraId="14138D7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委員黃世杰</w:t>
            </w:r>
          </w:p>
          <w:p w14:paraId="4D264F3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1B9D40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61083C0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472" w:type="dxa"/>
            <w:shd w:val="clear" w:color="auto" w:fill="auto"/>
          </w:tcPr>
          <w:p w14:paraId="13F4B65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E02CAA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6600566" w14:textId="77777777" w:rsidTr="00EC13B7">
        <w:tc>
          <w:tcPr>
            <w:tcW w:w="588" w:type="dxa"/>
            <w:shd w:val="clear" w:color="auto" w:fill="auto"/>
          </w:tcPr>
          <w:p w14:paraId="6D2D16E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124</w:t>
            </w:r>
          </w:p>
        </w:tc>
        <w:tc>
          <w:tcPr>
            <w:tcW w:w="2688" w:type="dxa"/>
            <w:shd w:val="clear" w:color="auto" w:fill="auto"/>
          </w:tcPr>
          <w:p w14:paraId="75D4C9C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3.司法人員人事條例部分條文修正草案(修正§3、12、14、27。修正重點：最高法院檢察署更銜為最高檢察署。)</w:t>
            </w:r>
          </w:p>
        </w:tc>
        <w:tc>
          <w:tcPr>
            <w:tcW w:w="2139" w:type="dxa"/>
            <w:shd w:val="clear" w:color="auto" w:fill="auto"/>
          </w:tcPr>
          <w:p w14:paraId="7F4CB42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3CA8EBB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37672BA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0C01DE7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472" w:type="dxa"/>
            <w:shd w:val="clear" w:color="auto" w:fill="auto"/>
          </w:tcPr>
          <w:p w14:paraId="3EC125D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2D4BCE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253E207" w14:textId="77777777" w:rsidTr="00EC13B7">
        <w:tc>
          <w:tcPr>
            <w:tcW w:w="588" w:type="dxa"/>
            <w:shd w:val="clear" w:color="auto" w:fill="auto"/>
          </w:tcPr>
          <w:p w14:paraId="2CBBC9D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125</w:t>
            </w:r>
          </w:p>
        </w:tc>
        <w:tc>
          <w:tcPr>
            <w:tcW w:w="2688" w:type="dxa"/>
            <w:shd w:val="clear" w:color="auto" w:fill="auto"/>
          </w:tcPr>
          <w:p w14:paraId="3B3BD26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非訟事件法第四十九條條文修正草案（修正重點：將「中華民國人」文字修正為「中華民國國民」。）</w:t>
            </w:r>
          </w:p>
        </w:tc>
        <w:tc>
          <w:tcPr>
            <w:tcW w:w="2139" w:type="dxa"/>
            <w:shd w:val="clear" w:color="auto" w:fill="auto"/>
          </w:tcPr>
          <w:p w14:paraId="0104100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委員鄭運鵬</w:t>
            </w:r>
          </w:p>
          <w:p w14:paraId="13E7255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258F99A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110.03.12</w:t>
            </w:r>
          </w:p>
          <w:p w14:paraId="1106590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（10-3-3）</w:t>
            </w:r>
          </w:p>
        </w:tc>
        <w:tc>
          <w:tcPr>
            <w:tcW w:w="1472" w:type="dxa"/>
            <w:shd w:val="clear" w:color="auto" w:fill="auto"/>
          </w:tcPr>
          <w:p w14:paraId="3B910F1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6FD668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5C78D38" w14:textId="77777777" w:rsidTr="00EC13B7">
        <w:tc>
          <w:tcPr>
            <w:tcW w:w="588" w:type="dxa"/>
            <w:shd w:val="clear" w:color="auto" w:fill="auto"/>
          </w:tcPr>
          <w:p w14:paraId="6712DFD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126</w:t>
            </w:r>
          </w:p>
        </w:tc>
        <w:tc>
          <w:tcPr>
            <w:tcW w:w="2688" w:type="dxa"/>
            <w:shd w:val="clear" w:color="auto" w:fill="auto"/>
          </w:tcPr>
          <w:p w14:paraId="5A22F96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1.少年事件處理法第八十四條條文修正草案（</w:t>
            </w:r>
            <w:r w:rsidRPr="00026143">
              <w:rPr>
                <w:rFonts w:ascii="標楷體" w:eastAsia="標楷體" w:hAnsi="標楷體"/>
                <w:color w:val="000000" w:themeColor="text1"/>
              </w:rPr>
              <w:lastRenderedPageBreak/>
              <w:t>修正重點：配合民法第十二條規定之成年年齡由20歲調降至18歲。）</w:t>
            </w:r>
          </w:p>
        </w:tc>
        <w:tc>
          <w:tcPr>
            <w:tcW w:w="2139" w:type="dxa"/>
            <w:shd w:val="clear" w:color="auto" w:fill="auto"/>
          </w:tcPr>
          <w:p w14:paraId="0AC6C64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委員張育美</w:t>
            </w:r>
          </w:p>
          <w:p w14:paraId="06B14DD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5B02EA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110.10.08 </w:t>
            </w:r>
          </w:p>
          <w:p w14:paraId="19FE089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472" w:type="dxa"/>
            <w:shd w:val="clear" w:color="auto" w:fill="auto"/>
          </w:tcPr>
          <w:p w14:paraId="419C351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20AC871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436CB10" w14:textId="77777777" w:rsidTr="00EC13B7">
        <w:tc>
          <w:tcPr>
            <w:tcW w:w="588" w:type="dxa"/>
            <w:shd w:val="clear" w:color="auto" w:fill="auto"/>
          </w:tcPr>
          <w:p w14:paraId="23816D9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127</w:t>
            </w:r>
          </w:p>
        </w:tc>
        <w:tc>
          <w:tcPr>
            <w:tcW w:w="2688" w:type="dxa"/>
            <w:shd w:val="clear" w:color="auto" w:fill="auto"/>
          </w:tcPr>
          <w:p w14:paraId="3756284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2.少年事件處理法第八十四條條文修正草案(修正重點：將少年事件少年之法定代理人應受親職教育輔導之執行期限，由「至少年滿二十歲為止」修正為「至少年成年為止」。)</w:t>
            </w:r>
          </w:p>
        </w:tc>
        <w:tc>
          <w:tcPr>
            <w:tcW w:w="2139" w:type="dxa"/>
            <w:shd w:val="clear" w:color="auto" w:fill="auto"/>
          </w:tcPr>
          <w:p w14:paraId="7F54E1C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委員劉建國</w:t>
            </w:r>
          </w:p>
          <w:p w14:paraId="76662D9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48EED5D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110.11.19 </w:t>
            </w:r>
          </w:p>
          <w:p w14:paraId="0D8E5B9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（10-4-10）</w:t>
            </w:r>
          </w:p>
        </w:tc>
        <w:tc>
          <w:tcPr>
            <w:tcW w:w="1472" w:type="dxa"/>
            <w:shd w:val="clear" w:color="auto" w:fill="auto"/>
          </w:tcPr>
          <w:p w14:paraId="295BA7F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3C4668F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3A0EC3B" w14:textId="77777777" w:rsidTr="00EC13B7">
        <w:tc>
          <w:tcPr>
            <w:tcW w:w="588" w:type="dxa"/>
            <w:shd w:val="clear" w:color="auto" w:fill="auto"/>
          </w:tcPr>
          <w:p w14:paraId="7519092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128</w:t>
            </w:r>
          </w:p>
        </w:tc>
        <w:tc>
          <w:tcPr>
            <w:tcW w:w="2688" w:type="dxa"/>
            <w:shd w:val="clear" w:color="auto" w:fill="auto"/>
          </w:tcPr>
          <w:p w14:paraId="5C808C4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少年事件處理法第四十二條條文修正草案（修正重點：規定施用或少年應接受毒品危害講習，並明定其家長、監護人及實際照顧者應共同負擔之責任。）</w:t>
            </w:r>
          </w:p>
        </w:tc>
        <w:tc>
          <w:tcPr>
            <w:tcW w:w="2139" w:type="dxa"/>
            <w:shd w:val="clear" w:color="auto" w:fill="auto"/>
          </w:tcPr>
          <w:p w14:paraId="4A9391A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委員許智傑</w:t>
            </w:r>
          </w:p>
          <w:p w14:paraId="1A46D30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等28人 </w:t>
            </w:r>
          </w:p>
          <w:p w14:paraId="2A19E7C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110.05.31 </w:t>
            </w:r>
          </w:p>
          <w:p w14:paraId="3EDE181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（10-3-14）</w:t>
            </w:r>
          </w:p>
        </w:tc>
        <w:tc>
          <w:tcPr>
            <w:tcW w:w="1472" w:type="dxa"/>
            <w:shd w:val="clear" w:color="auto" w:fill="auto"/>
          </w:tcPr>
          <w:p w14:paraId="694EC67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E202E6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0FF2374" w14:textId="77777777" w:rsidTr="00EC13B7">
        <w:tc>
          <w:tcPr>
            <w:tcW w:w="588" w:type="dxa"/>
            <w:shd w:val="clear" w:color="auto" w:fill="auto"/>
          </w:tcPr>
          <w:p w14:paraId="4F93397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129</w:t>
            </w:r>
          </w:p>
        </w:tc>
        <w:tc>
          <w:tcPr>
            <w:tcW w:w="2688" w:type="dxa"/>
            <w:shd w:val="clear" w:color="auto" w:fill="auto"/>
          </w:tcPr>
          <w:p w14:paraId="5E11A17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1.少年事件處理法第二十一條及第三十六條條文修正草案（修正重點：給與少年事件被害人及其法定代理人到庭陳述意見之權利。）</w:t>
            </w:r>
          </w:p>
        </w:tc>
        <w:tc>
          <w:tcPr>
            <w:tcW w:w="2139" w:type="dxa"/>
            <w:shd w:val="clear" w:color="auto" w:fill="auto"/>
          </w:tcPr>
          <w:p w14:paraId="656C346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委員林思銘</w:t>
            </w:r>
          </w:p>
          <w:p w14:paraId="032291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0425AD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6CA4EE7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472" w:type="dxa"/>
            <w:shd w:val="clear" w:color="auto" w:fill="auto"/>
          </w:tcPr>
          <w:p w14:paraId="0E5D005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0E374A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ED073D" w14:textId="77777777" w:rsidTr="00EC13B7">
        <w:tc>
          <w:tcPr>
            <w:tcW w:w="588" w:type="dxa"/>
            <w:shd w:val="clear" w:color="auto" w:fill="auto"/>
          </w:tcPr>
          <w:p w14:paraId="66FFEB7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130</w:t>
            </w:r>
          </w:p>
        </w:tc>
        <w:tc>
          <w:tcPr>
            <w:tcW w:w="2688" w:type="dxa"/>
            <w:shd w:val="clear" w:color="auto" w:fill="auto"/>
          </w:tcPr>
          <w:p w14:paraId="02F9E5C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2.少年事件處理法第三十六條條文修正草案(修正重點：明文賦予被害人或其法定代理人於少年保護事件處理程序中有到庭陳述意見之機會。)</w:t>
            </w:r>
          </w:p>
        </w:tc>
        <w:tc>
          <w:tcPr>
            <w:tcW w:w="2139" w:type="dxa"/>
            <w:shd w:val="clear" w:color="auto" w:fill="auto"/>
          </w:tcPr>
          <w:p w14:paraId="47F145E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委員陳秀</w:t>
            </w:r>
            <w:r w:rsidRPr="00026143">
              <w:rPr>
                <w:rFonts w:ascii="標楷體" w:eastAsia="標楷體" w:hAnsi="標楷體" w:hint="eastAsia"/>
                <w:color w:val="000000" w:themeColor="text1"/>
              </w:rPr>
              <w:t>寳</w:t>
            </w:r>
          </w:p>
          <w:p w14:paraId="0E12BE3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19人 </w:t>
            </w:r>
          </w:p>
          <w:p w14:paraId="0018A0B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4BDA910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472" w:type="dxa"/>
            <w:shd w:val="clear" w:color="auto" w:fill="auto"/>
          </w:tcPr>
          <w:p w14:paraId="1AFA9FC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BCF409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FEFE3E7" w14:textId="77777777" w:rsidTr="00EC13B7">
        <w:tc>
          <w:tcPr>
            <w:tcW w:w="588" w:type="dxa"/>
            <w:shd w:val="clear" w:color="auto" w:fill="auto"/>
          </w:tcPr>
          <w:p w14:paraId="383BA61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131</w:t>
            </w:r>
          </w:p>
        </w:tc>
        <w:tc>
          <w:tcPr>
            <w:tcW w:w="2688" w:type="dxa"/>
            <w:shd w:val="clear" w:color="auto" w:fill="auto"/>
          </w:tcPr>
          <w:p w14:paraId="635EE49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3.少年事件處理法第三十六條條文修正草案(修正重點：明文規範少年法院原則應傳喚被害人或家屬到庭陳述意見。)</w:t>
            </w:r>
          </w:p>
        </w:tc>
        <w:tc>
          <w:tcPr>
            <w:tcW w:w="2139" w:type="dxa"/>
            <w:shd w:val="clear" w:color="auto" w:fill="auto"/>
          </w:tcPr>
          <w:p w14:paraId="4A737B5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4B4EE12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2C20E31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04B4091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472" w:type="dxa"/>
            <w:shd w:val="clear" w:color="auto" w:fill="auto"/>
          </w:tcPr>
          <w:p w14:paraId="09CCE81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14F040B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C70C48" w14:textId="77777777" w:rsidTr="00EC13B7">
        <w:tc>
          <w:tcPr>
            <w:tcW w:w="588" w:type="dxa"/>
            <w:shd w:val="clear" w:color="auto" w:fill="auto"/>
          </w:tcPr>
          <w:p w14:paraId="110707F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132</w:t>
            </w:r>
          </w:p>
        </w:tc>
        <w:tc>
          <w:tcPr>
            <w:tcW w:w="2688" w:type="dxa"/>
            <w:shd w:val="clear" w:color="auto" w:fill="auto"/>
          </w:tcPr>
          <w:p w14:paraId="55C82EB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4.少年事件處理法第三十六條條文修正草案(修正重點：因應司法院釋字第805號解釋，增列少年事件中之被害人或其法定代理人得陳述意見，並保護被害人及其家屬之隱私。)</w:t>
            </w:r>
          </w:p>
        </w:tc>
        <w:tc>
          <w:tcPr>
            <w:tcW w:w="2139" w:type="dxa"/>
            <w:shd w:val="clear" w:color="auto" w:fill="auto"/>
          </w:tcPr>
          <w:p w14:paraId="7BB4387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委員黃國書</w:t>
            </w:r>
          </w:p>
          <w:p w14:paraId="4BE6B98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D67F51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110.11.12 </w:t>
            </w:r>
          </w:p>
          <w:p w14:paraId="4831472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（10-4-9）</w:t>
            </w:r>
          </w:p>
        </w:tc>
        <w:tc>
          <w:tcPr>
            <w:tcW w:w="1472" w:type="dxa"/>
            <w:shd w:val="clear" w:color="auto" w:fill="auto"/>
          </w:tcPr>
          <w:p w14:paraId="25842D3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5AC8573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F447D1D" w14:textId="77777777" w:rsidTr="00EC13B7">
        <w:tc>
          <w:tcPr>
            <w:tcW w:w="588" w:type="dxa"/>
            <w:shd w:val="clear" w:color="auto" w:fill="auto"/>
          </w:tcPr>
          <w:p w14:paraId="392F198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133</w:t>
            </w:r>
          </w:p>
        </w:tc>
        <w:tc>
          <w:tcPr>
            <w:tcW w:w="2688" w:type="dxa"/>
            <w:shd w:val="clear" w:color="auto" w:fill="auto"/>
          </w:tcPr>
          <w:p w14:paraId="5EF3DF3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1.少年事件處理法第七</w:t>
            </w:r>
            <w:r w:rsidRPr="00026143">
              <w:rPr>
                <w:rFonts w:ascii="標楷體" w:eastAsia="標楷體" w:hAnsi="標楷體"/>
                <w:color w:val="000000" w:themeColor="text1"/>
              </w:rPr>
              <w:lastRenderedPageBreak/>
              <w:t>十八條條文修正草案(修正重點：鑑於強制工作之規定經司法院釋字第812號解釋，宣告違反憲法第23條比例原則，且與憲法第8條保障人身自由之意旨不符，爰提案修正。)</w:t>
            </w:r>
          </w:p>
        </w:tc>
        <w:tc>
          <w:tcPr>
            <w:tcW w:w="2139" w:type="dxa"/>
            <w:shd w:val="clear" w:color="auto" w:fill="auto"/>
          </w:tcPr>
          <w:p w14:paraId="4CC6DBC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委員吳玉琴</w:t>
            </w:r>
          </w:p>
          <w:p w14:paraId="03EB48B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等19人 </w:t>
            </w:r>
          </w:p>
          <w:p w14:paraId="7451C7B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111.03.11 </w:t>
            </w:r>
          </w:p>
          <w:p w14:paraId="0067572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（10-5-3）</w:t>
            </w:r>
          </w:p>
        </w:tc>
        <w:tc>
          <w:tcPr>
            <w:tcW w:w="1472" w:type="dxa"/>
            <w:shd w:val="clear" w:color="auto" w:fill="auto"/>
          </w:tcPr>
          <w:p w14:paraId="17882CE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76" w:type="dxa"/>
            <w:shd w:val="clear" w:color="auto" w:fill="auto"/>
          </w:tcPr>
          <w:p w14:paraId="5E2F14F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45D19DE" w14:textId="77777777" w:rsidTr="00EC13B7">
        <w:tc>
          <w:tcPr>
            <w:tcW w:w="588" w:type="dxa"/>
            <w:shd w:val="clear" w:color="auto" w:fill="auto"/>
          </w:tcPr>
          <w:p w14:paraId="118099B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134</w:t>
            </w:r>
          </w:p>
        </w:tc>
        <w:tc>
          <w:tcPr>
            <w:tcW w:w="2688" w:type="dxa"/>
            <w:shd w:val="clear" w:color="auto" w:fill="auto"/>
          </w:tcPr>
          <w:p w14:paraId="0D96466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2.少年事件處理法第七十八條條文修正草案(修正重點：鑑於司法院大法官釋字第812號認強制工作違憲，爰提案修正。)</w:t>
            </w:r>
          </w:p>
        </w:tc>
        <w:tc>
          <w:tcPr>
            <w:tcW w:w="2139" w:type="dxa"/>
            <w:shd w:val="clear" w:color="auto" w:fill="auto"/>
          </w:tcPr>
          <w:p w14:paraId="591751A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6EA4600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330445F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472" w:type="dxa"/>
            <w:shd w:val="clear" w:color="auto" w:fill="auto"/>
          </w:tcPr>
          <w:p w14:paraId="45FC8D0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4BA911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0415301" w14:textId="77777777" w:rsidTr="00EC13B7">
        <w:tc>
          <w:tcPr>
            <w:tcW w:w="588" w:type="dxa"/>
            <w:shd w:val="clear" w:color="auto" w:fill="auto"/>
          </w:tcPr>
          <w:p w14:paraId="02B60C7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135</w:t>
            </w:r>
          </w:p>
        </w:tc>
        <w:tc>
          <w:tcPr>
            <w:tcW w:w="2688" w:type="dxa"/>
            <w:shd w:val="clear" w:color="auto" w:fill="auto"/>
          </w:tcPr>
          <w:p w14:paraId="1D08777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少年事件處理法增訂部分條文草案(增訂§18-1~9。增訂重點：落實釋字第664號解釋所揭示本法係為維護少年健全自我成長所設置之特殊保護制度，有關本法第三條第一項第一款之事件移送少年法院前，對少年之同行、搜索及扣押等強制處分程序，及執行時得否對少年使用約束工具等，即有依少年保護優先原則，因應少年事件之性質，為有別於成人刑事司法程序設計之必要，爰提案增訂。)</w:t>
            </w:r>
          </w:p>
        </w:tc>
        <w:tc>
          <w:tcPr>
            <w:tcW w:w="2139" w:type="dxa"/>
            <w:shd w:val="clear" w:color="auto" w:fill="auto"/>
          </w:tcPr>
          <w:p w14:paraId="68DBC1F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司法院、行政院 </w:t>
            </w:r>
          </w:p>
          <w:p w14:paraId="51ADC26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1207CBC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472" w:type="dxa"/>
            <w:shd w:val="clear" w:color="auto" w:fill="auto"/>
          </w:tcPr>
          <w:p w14:paraId="50223DE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4CADBD3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940C1A6" w14:textId="77777777" w:rsidTr="00EC13B7">
        <w:tc>
          <w:tcPr>
            <w:tcW w:w="588" w:type="dxa"/>
            <w:shd w:val="clear" w:color="auto" w:fill="auto"/>
          </w:tcPr>
          <w:p w14:paraId="251A2DA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136</w:t>
            </w:r>
          </w:p>
        </w:tc>
        <w:tc>
          <w:tcPr>
            <w:tcW w:w="2688" w:type="dxa"/>
            <w:shd w:val="clear" w:color="auto" w:fill="auto"/>
          </w:tcPr>
          <w:p w14:paraId="7855FC7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破產法第八十三條及第八十四條條文修正草案(修正重點：修正破產管理人選任方式、破產管理人對法院之受指揮、監督義務、破產管理人報酬規定。)</w:t>
            </w:r>
          </w:p>
        </w:tc>
        <w:tc>
          <w:tcPr>
            <w:tcW w:w="2139" w:type="dxa"/>
            <w:shd w:val="clear" w:color="auto" w:fill="auto"/>
          </w:tcPr>
          <w:p w14:paraId="15C24B4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委員林楚茵</w:t>
            </w:r>
          </w:p>
          <w:p w14:paraId="59CF912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AFF75C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055553F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472" w:type="dxa"/>
            <w:shd w:val="clear" w:color="auto" w:fill="auto"/>
          </w:tcPr>
          <w:p w14:paraId="3583F9D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3135F6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77C6D3A" w14:textId="77777777" w:rsidTr="00EC13B7">
        <w:tc>
          <w:tcPr>
            <w:tcW w:w="588" w:type="dxa"/>
            <w:shd w:val="clear" w:color="auto" w:fill="auto"/>
          </w:tcPr>
          <w:p w14:paraId="0451CA1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137</w:t>
            </w:r>
          </w:p>
        </w:tc>
        <w:tc>
          <w:tcPr>
            <w:tcW w:w="2688" w:type="dxa"/>
            <w:shd w:val="clear" w:color="auto" w:fill="auto"/>
          </w:tcPr>
          <w:p w14:paraId="50C34E9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破產法第二條及第四條條文修正草案(修正重點：鑑於破產法規定，將我國逕稱為「中國」，而有與中華人民共和國混淆之虞，為避免解釋適用上之疑義，爰提出</w:t>
            </w:r>
            <w:r w:rsidRPr="00026143">
              <w:rPr>
                <w:rFonts w:ascii="標楷體" w:eastAsia="標楷體" w:hAnsi="標楷體"/>
                <w:color w:val="000000" w:themeColor="text1"/>
              </w:rPr>
              <w:lastRenderedPageBreak/>
              <w:t>修正。)</w:t>
            </w:r>
          </w:p>
        </w:tc>
        <w:tc>
          <w:tcPr>
            <w:tcW w:w="2139" w:type="dxa"/>
            <w:shd w:val="clear" w:color="auto" w:fill="auto"/>
          </w:tcPr>
          <w:p w14:paraId="6FABD0F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2D7BD40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110.12.24 </w:t>
            </w:r>
          </w:p>
          <w:p w14:paraId="028274D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（10-4-15）</w:t>
            </w:r>
          </w:p>
        </w:tc>
        <w:tc>
          <w:tcPr>
            <w:tcW w:w="1472" w:type="dxa"/>
            <w:shd w:val="clear" w:color="auto" w:fill="auto"/>
          </w:tcPr>
          <w:p w14:paraId="61C9944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D4A53C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B8D32FA" w14:textId="77777777" w:rsidTr="00EC13B7">
        <w:tc>
          <w:tcPr>
            <w:tcW w:w="588" w:type="dxa"/>
            <w:shd w:val="clear" w:color="auto" w:fill="auto"/>
          </w:tcPr>
          <w:p w14:paraId="7B7740E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138</w:t>
            </w:r>
          </w:p>
        </w:tc>
        <w:tc>
          <w:tcPr>
            <w:tcW w:w="2688" w:type="dxa"/>
            <w:shd w:val="clear" w:color="auto" w:fill="auto"/>
          </w:tcPr>
          <w:p w14:paraId="2901E16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刑事案件妥適量刑法草案(共四章34條。制定重點：為完善刑事案件量刑法制，參考美國、英格蘭與威爾斯、蘇格蘭等國家或地區設立量刑委員會並訂定量刑準則之模式，制定本法。)</w:t>
            </w:r>
          </w:p>
        </w:tc>
        <w:tc>
          <w:tcPr>
            <w:tcW w:w="2139" w:type="dxa"/>
            <w:shd w:val="clear" w:color="auto" w:fill="auto"/>
          </w:tcPr>
          <w:p w14:paraId="4831975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3186E94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111.03.01 </w:t>
            </w:r>
          </w:p>
          <w:p w14:paraId="1FAFFD0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w:t>
            </w:r>
          </w:p>
        </w:tc>
        <w:tc>
          <w:tcPr>
            <w:tcW w:w="1472" w:type="dxa"/>
            <w:shd w:val="clear" w:color="auto" w:fill="auto"/>
          </w:tcPr>
          <w:p w14:paraId="3D8A737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37BB2F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A80C593" w14:textId="77777777" w:rsidTr="00EC13B7">
        <w:tc>
          <w:tcPr>
            <w:tcW w:w="588" w:type="dxa"/>
            <w:shd w:val="clear" w:color="auto" w:fill="auto"/>
          </w:tcPr>
          <w:p w14:paraId="32E96FB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139</w:t>
            </w:r>
          </w:p>
        </w:tc>
        <w:tc>
          <w:tcPr>
            <w:tcW w:w="2688" w:type="dxa"/>
            <w:shd w:val="clear" w:color="auto" w:fill="auto"/>
          </w:tcPr>
          <w:p w14:paraId="406FC9F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1.刑事妥速審判法部分條文修正草案(刪除§9；修正§10、13、14。修正重點：配合刑事訴訟法改採第三審嚴格法律審兼許可上訴制之新制修正。)</w:t>
            </w:r>
          </w:p>
        </w:tc>
        <w:tc>
          <w:tcPr>
            <w:tcW w:w="2139" w:type="dxa"/>
            <w:shd w:val="clear" w:color="auto" w:fill="auto"/>
          </w:tcPr>
          <w:p w14:paraId="1BA33C8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司法院、行政院 </w:t>
            </w:r>
          </w:p>
          <w:p w14:paraId="6055EB4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5B309DC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472" w:type="dxa"/>
            <w:shd w:val="clear" w:color="auto" w:fill="auto"/>
          </w:tcPr>
          <w:p w14:paraId="7322771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C40BC3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93DE67A" w14:textId="77777777" w:rsidTr="00EC13B7">
        <w:tc>
          <w:tcPr>
            <w:tcW w:w="588" w:type="dxa"/>
            <w:shd w:val="clear" w:color="auto" w:fill="auto"/>
          </w:tcPr>
          <w:p w14:paraId="2928521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140</w:t>
            </w:r>
          </w:p>
        </w:tc>
        <w:tc>
          <w:tcPr>
            <w:tcW w:w="2688" w:type="dxa"/>
            <w:shd w:val="clear" w:color="auto" w:fill="auto"/>
          </w:tcPr>
          <w:p w14:paraId="0AE25DA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2.刑事妥速審判法第九條條文修正草案(修正重點：鑑於判例制度廢止後，相關規定未盡併同修正，造成法律適用上產生疑義，爰提案修正。)</w:t>
            </w:r>
          </w:p>
        </w:tc>
        <w:tc>
          <w:tcPr>
            <w:tcW w:w="2139" w:type="dxa"/>
            <w:shd w:val="clear" w:color="auto" w:fill="auto"/>
          </w:tcPr>
          <w:p w14:paraId="2930927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476F7F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1B879C0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472" w:type="dxa"/>
            <w:shd w:val="clear" w:color="auto" w:fill="auto"/>
          </w:tcPr>
          <w:p w14:paraId="3C79218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0E088E0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4969B8E" w14:textId="77777777" w:rsidTr="00EC13B7">
        <w:tc>
          <w:tcPr>
            <w:tcW w:w="588" w:type="dxa"/>
            <w:shd w:val="clear" w:color="auto" w:fill="auto"/>
          </w:tcPr>
          <w:p w14:paraId="56BFD62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141</w:t>
            </w:r>
          </w:p>
        </w:tc>
        <w:tc>
          <w:tcPr>
            <w:tcW w:w="2688" w:type="dxa"/>
            <w:shd w:val="clear" w:color="auto" w:fill="auto"/>
          </w:tcPr>
          <w:p w14:paraId="1887452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商業事件審理法第十條及第十三條條文修正草案(修正重點：配合改制，修正中華民國律師公會全國聯合會更名為全國律師聯合會。)</w:t>
            </w:r>
          </w:p>
        </w:tc>
        <w:tc>
          <w:tcPr>
            <w:tcW w:w="2139" w:type="dxa"/>
            <w:shd w:val="clear" w:color="auto" w:fill="auto"/>
          </w:tcPr>
          <w:p w14:paraId="1874986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委員劉櫂豪</w:t>
            </w:r>
          </w:p>
          <w:p w14:paraId="4C065EF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2B76C7A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06D6574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472" w:type="dxa"/>
            <w:shd w:val="clear" w:color="auto" w:fill="auto"/>
          </w:tcPr>
          <w:p w14:paraId="67DEA05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2BB401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38A166C" w14:textId="77777777" w:rsidTr="00EC13B7">
        <w:tc>
          <w:tcPr>
            <w:tcW w:w="588" w:type="dxa"/>
            <w:shd w:val="clear" w:color="auto" w:fill="auto"/>
          </w:tcPr>
          <w:p w14:paraId="60DA715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142</w:t>
            </w:r>
          </w:p>
        </w:tc>
        <w:tc>
          <w:tcPr>
            <w:tcW w:w="2688" w:type="dxa"/>
            <w:shd w:val="clear" w:color="auto" w:fill="auto"/>
          </w:tcPr>
          <w:p w14:paraId="373A55B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廢止「軍法人員轉任司法官條例」(廢止重點：中央法規標準法第21條規定，法規因情勢變遷，無繼續施行必要者，廢止之。爰提案廢止。)</w:t>
            </w:r>
          </w:p>
        </w:tc>
        <w:tc>
          <w:tcPr>
            <w:tcW w:w="2139" w:type="dxa"/>
            <w:shd w:val="clear" w:color="auto" w:fill="auto"/>
          </w:tcPr>
          <w:p w14:paraId="53F7422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委員江永昌</w:t>
            </w:r>
          </w:p>
          <w:p w14:paraId="4FB158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61900B1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6E0738C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472" w:type="dxa"/>
            <w:shd w:val="clear" w:color="auto" w:fill="auto"/>
          </w:tcPr>
          <w:p w14:paraId="261A94B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64C9247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8F0FC81" w14:textId="77777777" w:rsidTr="00EC13B7">
        <w:tc>
          <w:tcPr>
            <w:tcW w:w="588" w:type="dxa"/>
            <w:shd w:val="clear" w:color="auto" w:fill="auto"/>
          </w:tcPr>
          <w:p w14:paraId="338AF17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143</w:t>
            </w:r>
          </w:p>
        </w:tc>
        <w:tc>
          <w:tcPr>
            <w:tcW w:w="2688" w:type="dxa"/>
            <w:shd w:val="clear" w:color="auto" w:fill="auto"/>
          </w:tcPr>
          <w:p w14:paraId="745F5AD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員懲戒法部分條文修正草案(修正§9、22、42、98。修正重點：採司法懲戒、行政懲處在源頭上面分流改革，使本法記過、申誡之懲戒處分，於公務人員之違法失職案件不再適用，而適用公務人員考績法之規定；明定同一違法失職案件不受第二次實</w:t>
            </w:r>
            <w:r w:rsidRPr="00026143">
              <w:rPr>
                <w:rFonts w:ascii="標楷體" w:eastAsia="標楷體" w:hAnsi="標楷體"/>
                <w:color w:val="000000" w:themeColor="text1"/>
              </w:rPr>
              <w:lastRenderedPageBreak/>
              <w:t>體懲罰；明定被付懲戒人及移送機關，有權聲請懲戒法庭就涉及特定職務列別之專業知識，選任專家學者提供意見或資訊為鑑定。)</w:t>
            </w:r>
          </w:p>
        </w:tc>
        <w:tc>
          <w:tcPr>
            <w:tcW w:w="2139" w:type="dxa"/>
            <w:shd w:val="clear" w:color="auto" w:fill="auto"/>
          </w:tcPr>
          <w:p w14:paraId="092C014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委員葉毓蘭</w:t>
            </w:r>
          </w:p>
          <w:p w14:paraId="7839FCA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639E4FC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4B689A6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472" w:type="dxa"/>
            <w:shd w:val="clear" w:color="auto" w:fill="auto"/>
          </w:tcPr>
          <w:p w14:paraId="06F94C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76" w:type="dxa"/>
            <w:shd w:val="clear" w:color="auto" w:fill="auto"/>
          </w:tcPr>
          <w:p w14:paraId="2504EC7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6013C830"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430" w:name="_Toc361217362"/>
      <w:bookmarkStart w:id="431" w:name="_Toc362968422"/>
      <w:bookmarkStart w:id="432" w:name="_Toc428286989"/>
      <w:bookmarkStart w:id="433" w:name="_Toc510167702"/>
      <w:bookmarkStart w:id="434" w:name="_Toc1401089"/>
      <w:bookmarkStart w:id="435" w:name="_Toc96350535"/>
      <w:r w:rsidRPr="00026143">
        <w:rPr>
          <w:color w:val="000000" w:themeColor="text1"/>
        </w:rPr>
        <w:lastRenderedPageBreak/>
        <w:t>（五）考試院</w:t>
      </w:r>
      <w:r w:rsidRPr="00026143">
        <w:rPr>
          <w:rFonts w:hint="eastAsia"/>
          <w:color w:val="000000" w:themeColor="text1"/>
        </w:rPr>
        <w:t>50</w:t>
      </w:r>
      <w:r w:rsidRPr="00026143">
        <w:rPr>
          <w:color w:val="000000" w:themeColor="text1"/>
        </w:rPr>
        <w:t>案</w:t>
      </w:r>
      <w:bookmarkEnd w:id="430"/>
      <w:bookmarkEnd w:id="431"/>
      <w:bookmarkEnd w:id="432"/>
      <w:bookmarkEnd w:id="433"/>
      <w:bookmarkEnd w:id="434"/>
      <w:bookmarkEnd w:id="435"/>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15"/>
        <w:gridCol w:w="1984"/>
        <w:gridCol w:w="1614"/>
        <w:gridCol w:w="1862"/>
      </w:tblGrid>
      <w:tr w:rsidR="00EC13B7" w:rsidRPr="00026143" w14:paraId="4DD277B3" w14:textId="77777777" w:rsidTr="001C0914">
        <w:tc>
          <w:tcPr>
            <w:tcW w:w="574" w:type="dxa"/>
            <w:shd w:val="clear" w:color="auto" w:fill="auto"/>
          </w:tcPr>
          <w:p w14:paraId="71F3C5C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15" w:type="dxa"/>
            <w:shd w:val="clear" w:color="auto" w:fill="auto"/>
          </w:tcPr>
          <w:p w14:paraId="2FF77C8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84" w:type="dxa"/>
            <w:shd w:val="clear" w:color="auto" w:fill="auto"/>
          </w:tcPr>
          <w:p w14:paraId="4470E5B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3A2875F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14" w:type="dxa"/>
            <w:shd w:val="clear" w:color="auto" w:fill="auto"/>
          </w:tcPr>
          <w:p w14:paraId="3D4172B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62" w:type="dxa"/>
            <w:shd w:val="clear" w:color="auto" w:fill="auto"/>
          </w:tcPr>
          <w:p w14:paraId="12D9EFD5"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1D9099DD" w14:textId="77777777" w:rsidTr="00EC13B7">
        <w:tc>
          <w:tcPr>
            <w:tcW w:w="574" w:type="dxa"/>
            <w:shd w:val="clear" w:color="auto" w:fill="auto"/>
          </w:tcPr>
          <w:p w14:paraId="1E46E62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715" w:type="dxa"/>
            <w:shd w:val="clear" w:color="auto" w:fill="auto"/>
          </w:tcPr>
          <w:p w14:paraId="20F7E44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1.典試法第三十一條條文修正草案（修正重點：增加對洩題舞弊案件之違法人員究責機制。）</w:t>
            </w:r>
          </w:p>
        </w:tc>
        <w:tc>
          <w:tcPr>
            <w:tcW w:w="1984" w:type="dxa"/>
            <w:shd w:val="clear" w:color="auto" w:fill="auto"/>
          </w:tcPr>
          <w:p w14:paraId="60FDFC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考試院 </w:t>
            </w:r>
          </w:p>
          <w:p w14:paraId="0AD3FE4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109.12.18 </w:t>
            </w:r>
          </w:p>
          <w:p w14:paraId="01CE937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（10-2-8）</w:t>
            </w:r>
          </w:p>
          <w:p w14:paraId="6CFBA2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0C9CC96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5E642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A29C35" w14:textId="77777777" w:rsidTr="00EC13B7">
        <w:tc>
          <w:tcPr>
            <w:tcW w:w="574" w:type="dxa"/>
            <w:shd w:val="clear" w:color="auto" w:fill="auto"/>
          </w:tcPr>
          <w:p w14:paraId="4F6B637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715" w:type="dxa"/>
            <w:shd w:val="clear" w:color="auto" w:fill="auto"/>
          </w:tcPr>
          <w:p w14:paraId="65D39E3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典試法第三十一條條文修正草案（修正重點：針對國家考試各類典試人員及辦理考試人員若有違法舞弊情事觸犯刑法者，依刑法論處；對於違法舞弊導致考選事務費用增加者，考選部有求償權，得要求違法失職者擔負損害賠償的責任。）</w:t>
            </w:r>
          </w:p>
        </w:tc>
        <w:tc>
          <w:tcPr>
            <w:tcW w:w="1984" w:type="dxa"/>
            <w:shd w:val="clear" w:color="auto" w:fill="auto"/>
          </w:tcPr>
          <w:p w14:paraId="0268FFC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委員費鴻泰</w:t>
            </w:r>
          </w:p>
          <w:p w14:paraId="1129CC7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B96A4A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110.04.06 </w:t>
            </w:r>
          </w:p>
          <w:p w14:paraId="2D37E2A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（10-3-6）</w:t>
            </w:r>
          </w:p>
        </w:tc>
        <w:tc>
          <w:tcPr>
            <w:tcW w:w="1614" w:type="dxa"/>
            <w:shd w:val="clear" w:color="auto" w:fill="auto"/>
          </w:tcPr>
          <w:p w14:paraId="53FEF2C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6B50C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66625D" w14:textId="77777777" w:rsidTr="00EC13B7">
        <w:tc>
          <w:tcPr>
            <w:tcW w:w="574" w:type="dxa"/>
            <w:shd w:val="clear" w:color="auto" w:fill="auto"/>
          </w:tcPr>
          <w:p w14:paraId="6B4F6B6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715" w:type="dxa"/>
            <w:shd w:val="clear" w:color="auto" w:fill="auto"/>
          </w:tcPr>
          <w:p w14:paraId="60D8399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3.典試法第三十一條條文修正草案(修正重點：增訂各類典試人員觸犯刑法且經主管機關認定有情節重大者，依法論處，並加重其刑二分之一。)</w:t>
            </w:r>
          </w:p>
        </w:tc>
        <w:tc>
          <w:tcPr>
            <w:tcW w:w="1984" w:type="dxa"/>
            <w:shd w:val="clear" w:color="auto" w:fill="auto"/>
          </w:tcPr>
          <w:p w14:paraId="62253FE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4A122F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36A8C7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111.03.18 </w:t>
            </w:r>
          </w:p>
          <w:p w14:paraId="03FAB13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（10-5-4）</w:t>
            </w:r>
          </w:p>
        </w:tc>
        <w:tc>
          <w:tcPr>
            <w:tcW w:w="1614" w:type="dxa"/>
            <w:shd w:val="clear" w:color="auto" w:fill="auto"/>
          </w:tcPr>
          <w:p w14:paraId="436DC03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647480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B479D63" w14:textId="77777777" w:rsidTr="00EC13B7">
        <w:tc>
          <w:tcPr>
            <w:tcW w:w="574" w:type="dxa"/>
            <w:shd w:val="clear" w:color="auto" w:fill="auto"/>
          </w:tcPr>
          <w:p w14:paraId="46D87B1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715" w:type="dxa"/>
            <w:shd w:val="clear" w:color="auto" w:fill="auto"/>
          </w:tcPr>
          <w:p w14:paraId="79F67A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典試法第三十一條條文修正草案（修正重點：提高各類典試人員如有徇私舞弊、潛通關節、洩漏試題等舞弊情形之刑度，違反規定者，依法論處，並加重其刑二分之一；增訂違反規定致考選事務費用增加者，考選部對之有求償權。）</w:t>
            </w:r>
          </w:p>
        </w:tc>
        <w:tc>
          <w:tcPr>
            <w:tcW w:w="1984" w:type="dxa"/>
            <w:shd w:val="clear" w:color="auto" w:fill="auto"/>
          </w:tcPr>
          <w:p w14:paraId="7FBF5D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台灣民眾黨黨團111.09.23 </w:t>
            </w:r>
          </w:p>
          <w:p w14:paraId="6B6A3D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614" w:type="dxa"/>
            <w:shd w:val="clear" w:color="auto" w:fill="auto"/>
          </w:tcPr>
          <w:p w14:paraId="65C016A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1531319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3959C42" w14:textId="77777777" w:rsidTr="00EC13B7">
        <w:tc>
          <w:tcPr>
            <w:tcW w:w="574" w:type="dxa"/>
            <w:shd w:val="clear" w:color="auto" w:fill="auto"/>
          </w:tcPr>
          <w:p w14:paraId="256D8F4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5</w:t>
            </w:r>
          </w:p>
        </w:tc>
        <w:tc>
          <w:tcPr>
            <w:tcW w:w="2715" w:type="dxa"/>
            <w:shd w:val="clear" w:color="auto" w:fill="auto"/>
          </w:tcPr>
          <w:p w14:paraId="771F102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務人員考試法第二十條條文修正草案」、「專門職業及技術人員考試法第十七條條文修正草案」（【1】公務人員考試法修正重點：增訂得撤銷因典試或試務疏失致不應錄取而錄取並已取得考試及格資格者之法源依據；當考試榜示後，始發現有洩題或其他舞弊情事時，得由考選部報請考試院撤銷應考人不錄取、錄取處分或考試及格資格，必要時並得重啟全部或部分考試程序。【2】專門職業及技術人員考試法修正重點：增訂得撤銷因典試或試務疏失致不應具錄取或及格資格者之法源依據；當考試榜示後，始發現有洩題或其他舞弊情事時，得由考選部報請考試院撤銷應考人不錄取、錄取處分、考試及格或不及格資格，必要時並得重啟全部或部分考試程序。）</w:t>
            </w:r>
          </w:p>
        </w:tc>
        <w:tc>
          <w:tcPr>
            <w:tcW w:w="1984" w:type="dxa"/>
            <w:shd w:val="clear" w:color="auto" w:fill="auto"/>
          </w:tcPr>
          <w:p w14:paraId="7DBB952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考試院 </w:t>
            </w:r>
          </w:p>
          <w:p w14:paraId="205737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110.03.26 </w:t>
            </w:r>
          </w:p>
          <w:p w14:paraId="4CF3DE6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（10-3-5）</w:t>
            </w:r>
          </w:p>
          <w:p w14:paraId="42A7D34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3B6258E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6F8D87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3D8F06A" w14:textId="77777777" w:rsidTr="00EC13B7">
        <w:tc>
          <w:tcPr>
            <w:tcW w:w="574" w:type="dxa"/>
            <w:shd w:val="clear" w:color="auto" w:fill="auto"/>
          </w:tcPr>
          <w:p w14:paraId="2D9864F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715" w:type="dxa"/>
            <w:shd w:val="clear" w:color="auto" w:fill="auto"/>
          </w:tcPr>
          <w:p w14:paraId="4A65710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2.公務人員考試法第二十條條文修正草案（修正重點：國家考試榜示後，始發現有洩題或其他舞弊之情事，得撤銷原處分並重啟一部或全部考試程序，以導正考試結果。）</w:t>
            </w:r>
          </w:p>
        </w:tc>
        <w:tc>
          <w:tcPr>
            <w:tcW w:w="1984" w:type="dxa"/>
            <w:shd w:val="clear" w:color="auto" w:fill="auto"/>
          </w:tcPr>
          <w:p w14:paraId="30AD0C1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委員黃世杰</w:t>
            </w:r>
          </w:p>
          <w:p w14:paraId="79B5378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381F1A5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110.10.08</w:t>
            </w:r>
          </w:p>
          <w:p w14:paraId="1C426AB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614" w:type="dxa"/>
            <w:shd w:val="clear" w:color="auto" w:fill="auto"/>
          </w:tcPr>
          <w:p w14:paraId="3B05235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F2A465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19A4A57" w14:textId="77777777" w:rsidTr="00EC13B7">
        <w:tc>
          <w:tcPr>
            <w:tcW w:w="574" w:type="dxa"/>
            <w:shd w:val="clear" w:color="auto" w:fill="auto"/>
          </w:tcPr>
          <w:p w14:paraId="548BDB9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w:t>
            </w:r>
          </w:p>
        </w:tc>
        <w:tc>
          <w:tcPr>
            <w:tcW w:w="2715" w:type="dxa"/>
            <w:shd w:val="clear" w:color="auto" w:fill="auto"/>
          </w:tcPr>
          <w:p w14:paraId="147300F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3.公務人員考試法第二十條條文修正草案（修正重點：公務人員各種考試榜示後，發現有洩題或舞弊之情事致考試發生不正確結果，無法判定全部或部分應考人應否錄取時，由考選部報請考試院撤銷全部或</w:t>
            </w:r>
            <w:r w:rsidRPr="00026143">
              <w:rPr>
                <w:rFonts w:ascii="標楷體" w:eastAsia="標楷體" w:hAnsi="標楷體"/>
                <w:color w:val="000000" w:themeColor="text1"/>
              </w:rPr>
              <w:lastRenderedPageBreak/>
              <w:t>部分應考人之考試不錄取、錄取或考試及格資格，並得就全部或部分應考人，重新辦理涉及洩題或舞弊科目之考試。）</w:t>
            </w:r>
          </w:p>
        </w:tc>
        <w:tc>
          <w:tcPr>
            <w:tcW w:w="1984" w:type="dxa"/>
            <w:shd w:val="clear" w:color="auto" w:fill="auto"/>
          </w:tcPr>
          <w:p w14:paraId="1AF92C3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台灣民眾黨黨團111.09.23 </w:t>
            </w:r>
          </w:p>
          <w:p w14:paraId="642333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614" w:type="dxa"/>
            <w:shd w:val="clear" w:color="auto" w:fill="auto"/>
          </w:tcPr>
          <w:p w14:paraId="358B9F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87A94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DFA3551" w14:textId="77777777" w:rsidTr="00EC13B7">
        <w:tc>
          <w:tcPr>
            <w:tcW w:w="574" w:type="dxa"/>
            <w:shd w:val="clear" w:color="auto" w:fill="auto"/>
          </w:tcPr>
          <w:p w14:paraId="3722B8E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8</w:t>
            </w:r>
          </w:p>
        </w:tc>
        <w:tc>
          <w:tcPr>
            <w:tcW w:w="2715" w:type="dxa"/>
            <w:shd w:val="clear" w:color="auto" w:fill="auto"/>
          </w:tcPr>
          <w:p w14:paraId="4A1D6DA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2.專門職業及技術人員考試法第十七條條文修正草案（修正重點：國家考試榜示後，始發現有洩題或其他舞弊之情事，增訂規定，以導正考試結果。）</w:t>
            </w:r>
          </w:p>
        </w:tc>
        <w:tc>
          <w:tcPr>
            <w:tcW w:w="1984" w:type="dxa"/>
            <w:shd w:val="clear" w:color="auto" w:fill="auto"/>
          </w:tcPr>
          <w:p w14:paraId="6605A9A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委員黃世杰</w:t>
            </w:r>
          </w:p>
          <w:p w14:paraId="0249D4F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657BE02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110.10.08 </w:t>
            </w:r>
          </w:p>
          <w:p w14:paraId="5C52D22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（10-4-4）</w:t>
            </w:r>
          </w:p>
        </w:tc>
        <w:tc>
          <w:tcPr>
            <w:tcW w:w="1614" w:type="dxa"/>
            <w:shd w:val="clear" w:color="auto" w:fill="auto"/>
          </w:tcPr>
          <w:p w14:paraId="7055AD9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21F137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DAF9060" w14:textId="77777777" w:rsidTr="00EC13B7">
        <w:tc>
          <w:tcPr>
            <w:tcW w:w="574" w:type="dxa"/>
            <w:shd w:val="clear" w:color="auto" w:fill="auto"/>
          </w:tcPr>
          <w:p w14:paraId="42DC383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w:t>
            </w:r>
          </w:p>
        </w:tc>
        <w:tc>
          <w:tcPr>
            <w:tcW w:w="2715" w:type="dxa"/>
            <w:shd w:val="clear" w:color="auto" w:fill="auto"/>
          </w:tcPr>
          <w:p w14:paraId="1564B2D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專門職業及技術人員考試法第十七條條文修正草案（修正重點：專門職業及技術人員考試榜示後，發現有洩題或舞弊之情事致考試發生不正確結果，無法判定全部或部分應考人應否錄取或及格時，由考選部報請考試院撤銷全部或部分應考人之考試不錄取、錄取或考試不及格、及格資格，並得就全部或部分應考人，重新辦理涉及洩題或舞弊科目之考試。）</w:t>
            </w:r>
          </w:p>
        </w:tc>
        <w:tc>
          <w:tcPr>
            <w:tcW w:w="1984" w:type="dxa"/>
            <w:shd w:val="clear" w:color="auto" w:fill="auto"/>
          </w:tcPr>
          <w:p w14:paraId="532E231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台灣民眾黨黨團111.09.23 </w:t>
            </w:r>
          </w:p>
          <w:p w14:paraId="2C06328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614" w:type="dxa"/>
            <w:shd w:val="clear" w:color="auto" w:fill="auto"/>
          </w:tcPr>
          <w:p w14:paraId="04CC5B5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2ED85E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E6E260" w14:textId="77777777" w:rsidTr="00EC13B7">
        <w:tc>
          <w:tcPr>
            <w:tcW w:w="574" w:type="dxa"/>
            <w:shd w:val="clear" w:color="auto" w:fill="auto"/>
          </w:tcPr>
          <w:p w14:paraId="13428E3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w:t>
            </w:r>
          </w:p>
        </w:tc>
        <w:tc>
          <w:tcPr>
            <w:tcW w:w="2715" w:type="dxa"/>
            <w:shd w:val="clear" w:color="auto" w:fill="auto"/>
          </w:tcPr>
          <w:p w14:paraId="7B56979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4.專門職業及技術人員考試法第十七條條文修正草案(修正重點：修正考試院得撤銷原處分並重啟一部或全部考試程序，以導正考試結果並維護國家考試公平公正。)</w:t>
            </w:r>
          </w:p>
        </w:tc>
        <w:tc>
          <w:tcPr>
            <w:tcW w:w="1984" w:type="dxa"/>
            <w:shd w:val="clear" w:color="auto" w:fill="auto"/>
          </w:tcPr>
          <w:p w14:paraId="4401695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委員傅</w:t>
            </w:r>
            <w:r w:rsidRPr="00026143">
              <w:rPr>
                <w:rFonts w:ascii="標楷體" w:eastAsia="標楷體" w:hAnsi="標楷體" w:hint="eastAsia"/>
                <w:color w:val="000000" w:themeColor="text1"/>
              </w:rPr>
              <w:t>崐萁</w:t>
            </w:r>
          </w:p>
          <w:p w14:paraId="0534374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20人 </w:t>
            </w:r>
          </w:p>
          <w:p w14:paraId="3F3A845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42F4427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614" w:type="dxa"/>
            <w:shd w:val="clear" w:color="auto" w:fill="auto"/>
          </w:tcPr>
          <w:p w14:paraId="2FA5C96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62C8B4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086A631" w14:textId="77777777" w:rsidTr="00EC13B7">
        <w:tc>
          <w:tcPr>
            <w:tcW w:w="574" w:type="dxa"/>
            <w:shd w:val="clear" w:color="auto" w:fill="auto"/>
          </w:tcPr>
          <w:p w14:paraId="35876BB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w:t>
            </w:r>
          </w:p>
        </w:tc>
        <w:tc>
          <w:tcPr>
            <w:tcW w:w="2715" w:type="dxa"/>
            <w:shd w:val="clear" w:color="auto" w:fill="auto"/>
          </w:tcPr>
          <w:p w14:paraId="273B580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1.公務人員考試法第六條條文修正草案（修正重點：增訂第四項，如公務人員於受限制轉調期間內，有符合本法第四條第三款、第四款所列資格保留事由者，不受轉調期間規定之限制，其中有關不可歸責事</w:t>
            </w:r>
            <w:r w:rsidRPr="00026143">
              <w:rPr>
                <w:rFonts w:ascii="標楷體" w:eastAsia="標楷體" w:hAnsi="標楷體"/>
                <w:color w:val="000000" w:themeColor="text1"/>
              </w:rPr>
              <w:lastRenderedPageBreak/>
              <w:t>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984" w:type="dxa"/>
            <w:shd w:val="clear" w:color="auto" w:fill="auto"/>
          </w:tcPr>
          <w:p w14:paraId="2AAC6ED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時代力量黨團 </w:t>
            </w:r>
          </w:p>
          <w:p w14:paraId="342407D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109.03.27 </w:t>
            </w:r>
          </w:p>
          <w:p w14:paraId="654D9A9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（10-1-6）</w:t>
            </w:r>
          </w:p>
        </w:tc>
        <w:tc>
          <w:tcPr>
            <w:tcW w:w="1614" w:type="dxa"/>
            <w:shd w:val="clear" w:color="auto" w:fill="auto"/>
          </w:tcPr>
          <w:p w14:paraId="6D31A59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24AA9E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E8EB4F0" w14:textId="77777777" w:rsidTr="00EC13B7">
        <w:tc>
          <w:tcPr>
            <w:tcW w:w="574" w:type="dxa"/>
            <w:shd w:val="clear" w:color="auto" w:fill="auto"/>
          </w:tcPr>
          <w:p w14:paraId="08A2799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12</w:t>
            </w:r>
          </w:p>
        </w:tc>
        <w:tc>
          <w:tcPr>
            <w:tcW w:w="2715" w:type="dxa"/>
            <w:shd w:val="clear" w:color="auto" w:fill="auto"/>
          </w:tcPr>
          <w:p w14:paraId="5C1EB2B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務人員考試法第六條條文修正草案(修正重點：增列高等考試各等級考試、普通考試、初等考試及特種考試地方政府公務人員考試及格人員，於分發任用後，因養育三足歲以下子女而有調全至配偶之任職或居住地之機關需要者，得不原受轉調機關限制之規定，且原服務機關不得拒絕他機關之指名商調之規定。)</w:t>
            </w:r>
          </w:p>
        </w:tc>
        <w:tc>
          <w:tcPr>
            <w:tcW w:w="1984" w:type="dxa"/>
            <w:shd w:val="clear" w:color="auto" w:fill="auto"/>
          </w:tcPr>
          <w:p w14:paraId="20BB57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委員許智傑</w:t>
            </w:r>
          </w:p>
          <w:p w14:paraId="4E18796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BF55A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110.12.24 </w:t>
            </w:r>
          </w:p>
          <w:p w14:paraId="2EA564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（10-4-15）</w:t>
            </w:r>
          </w:p>
        </w:tc>
        <w:tc>
          <w:tcPr>
            <w:tcW w:w="1614" w:type="dxa"/>
            <w:shd w:val="clear" w:color="auto" w:fill="auto"/>
          </w:tcPr>
          <w:p w14:paraId="1A09F2C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AB28B1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632AFD1" w14:textId="77777777" w:rsidTr="00EC13B7">
        <w:tc>
          <w:tcPr>
            <w:tcW w:w="574" w:type="dxa"/>
            <w:shd w:val="clear" w:color="auto" w:fill="auto"/>
          </w:tcPr>
          <w:p w14:paraId="43C0553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w:t>
            </w:r>
          </w:p>
        </w:tc>
        <w:tc>
          <w:tcPr>
            <w:tcW w:w="2715" w:type="dxa"/>
            <w:shd w:val="clear" w:color="auto" w:fill="auto"/>
          </w:tcPr>
          <w:p w14:paraId="449327A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公務人員考試法第十二條條文修正草案(修正重點：曾服公務有貪污行為，經有罪判決確定或通緝有案尚未結案，一律喪失應公務人員考試之資格。但受免刑宣告或受緩刑宣告期滿而未經撤銷者，不在此限。)</w:t>
            </w:r>
          </w:p>
        </w:tc>
        <w:tc>
          <w:tcPr>
            <w:tcW w:w="1984" w:type="dxa"/>
            <w:shd w:val="clear" w:color="auto" w:fill="auto"/>
          </w:tcPr>
          <w:p w14:paraId="5C6617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5395DDD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111.11.11 </w:t>
            </w:r>
          </w:p>
          <w:p w14:paraId="376B7B4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（10-6-7）</w:t>
            </w:r>
          </w:p>
          <w:p w14:paraId="316569A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1A91EB4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6AFAE51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0616E1" w14:textId="77777777" w:rsidTr="00EC13B7">
        <w:tc>
          <w:tcPr>
            <w:tcW w:w="574" w:type="dxa"/>
            <w:shd w:val="clear" w:color="auto" w:fill="auto"/>
          </w:tcPr>
          <w:p w14:paraId="518FBB7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w:t>
            </w:r>
          </w:p>
        </w:tc>
        <w:tc>
          <w:tcPr>
            <w:tcW w:w="2715" w:type="dxa"/>
            <w:shd w:val="clear" w:color="auto" w:fill="auto"/>
          </w:tcPr>
          <w:p w14:paraId="1217BC9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1.公教人員保險法第十八條條文修正草案（修正重點：增列極重度及重度或終生無工作能力之身心障礙者退休年齡得提早至55歲，得請領全額養老年金給付。）</w:t>
            </w:r>
          </w:p>
        </w:tc>
        <w:tc>
          <w:tcPr>
            <w:tcW w:w="1984" w:type="dxa"/>
            <w:shd w:val="clear" w:color="auto" w:fill="auto"/>
          </w:tcPr>
          <w:p w14:paraId="33A9D59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15734C8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等16人</w:t>
            </w:r>
          </w:p>
          <w:p w14:paraId="034AE47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109.03.03 </w:t>
            </w:r>
          </w:p>
          <w:p w14:paraId="6B2C00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（10-1-2）</w:t>
            </w:r>
          </w:p>
        </w:tc>
        <w:tc>
          <w:tcPr>
            <w:tcW w:w="1614" w:type="dxa"/>
            <w:shd w:val="clear" w:color="auto" w:fill="auto"/>
          </w:tcPr>
          <w:p w14:paraId="121EE29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5E7AD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925601C" w14:textId="77777777" w:rsidTr="00EC13B7">
        <w:tc>
          <w:tcPr>
            <w:tcW w:w="574" w:type="dxa"/>
            <w:shd w:val="clear" w:color="auto" w:fill="auto"/>
          </w:tcPr>
          <w:p w14:paraId="58A8B1E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w:t>
            </w:r>
          </w:p>
        </w:tc>
        <w:tc>
          <w:tcPr>
            <w:tcW w:w="2715" w:type="dxa"/>
            <w:shd w:val="clear" w:color="auto" w:fill="auto"/>
          </w:tcPr>
          <w:p w14:paraId="5ABD773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2.公教人員保險法第十八條條文修正草案（修正重點：增列重度與極重度身心障礙者退休年</w:t>
            </w:r>
            <w:r w:rsidRPr="00026143">
              <w:rPr>
                <w:rFonts w:ascii="標楷體" w:eastAsia="標楷體" w:hAnsi="標楷體"/>
                <w:color w:val="000000" w:themeColor="text1"/>
              </w:rPr>
              <w:lastRenderedPageBreak/>
              <w:t>齡得提早至五十五歲，且得全額領取養老年金。）</w:t>
            </w:r>
          </w:p>
        </w:tc>
        <w:tc>
          <w:tcPr>
            <w:tcW w:w="1984" w:type="dxa"/>
            <w:shd w:val="clear" w:color="auto" w:fill="auto"/>
          </w:tcPr>
          <w:p w14:paraId="3192FE0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委員林奕華</w:t>
            </w:r>
          </w:p>
          <w:p w14:paraId="6F2726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4BF7618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109.05.08 </w:t>
            </w:r>
          </w:p>
          <w:p w14:paraId="6C65443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（10-1-12）</w:t>
            </w:r>
          </w:p>
        </w:tc>
        <w:tc>
          <w:tcPr>
            <w:tcW w:w="1614" w:type="dxa"/>
            <w:shd w:val="clear" w:color="auto" w:fill="auto"/>
          </w:tcPr>
          <w:p w14:paraId="03F7F4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5A64693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54EB22" w14:textId="77777777" w:rsidTr="00EC13B7">
        <w:tc>
          <w:tcPr>
            <w:tcW w:w="574" w:type="dxa"/>
            <w:shd w:val="clear" w:color="auto" w:fill="auto"/>
          </w:tcPr>
          <w:p w14:paraId="09E4F90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16</w:t>
            </w:r>
          </w:p>
        </w:tc>
        <w:tc>
          <w:tcPr>
            <w:tcW w:w="2715" w:type="dxa"/>
            <w:shd w:val="clear" w:color="auto" w:fill="auto"/>
          </w:tcPr>
          <w:p w14:paraId="30332A4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公教人員保險法第十八條條文修正草案(修正重點：考量身心障礙者權益保障法之相關規定，亦含括身心障礙者提早退休之精神，為確保身心障礙者之權益，增列重度與極重度身心障礙者退休年齡得提早至五十五歲，且得全額領取養老年金。)</w:t>
            </w:r>
          </w:p>
        </w:tc>
        <w:tc>
          <w:tcPr>
            <w:tcW w:w="1984" w:type="dxa"/>
            <w:shd w:val="clear" w:color="auto" w:fill="auto"/>
          </w:tcPr>
          <w:p w14:paraId="35E90B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委員郭國文</w:t>
            </w:r>
          </w:p>
          <w:p w14:paraId="485FB2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1A6094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110.12.24 </w:t>
            </w:r>
          </w:p>
          <w:p w14:paraId="0628218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（10-4-15）</w:t>
            </w:r>
          </w:p>
        </w:tc>
        <w:tc>
          <w:tcPr>
            <w:tcW w:w="1614" w:type="dxa"/>
            <w:shd w:val="clear" w:color="auto" w:fill="auto"/>
          </w:tcPr>
          <w:p w14:paraId="4C9A1F6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FB3FF4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D7D2855" w14:textId="77777777" w:rsidTr="00EC13B7">
        <w:tc>
          <w:tcPr>
            <w:tcW w:w="574" w:type="dxa"/>
            <w:shd w:val="clear" w:color="auto" w:fill="auto"/>
          </w:tcPr>
          <w:p w14:paraId="1FCD54D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w:t>
            </w:r>
          </w:p>
        </w:tc>
        <w:tc>
          <w:tcPr>
            <w:tcW w:w="2715" w:type="dxa"/>
            <w:shd w:val="clear" w:color="auto" w:fill="auto"/>
          </w:tcPr>
          <w:p w14:paraId="233D702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984" w:type="dxa"/>
            <w:shd w:val="clear" w:color="auto" w:fill="auto"/>
          </w:tcPr>
          <w:p w14:paraId="0703BDF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委員費鴻泰</w:t>
            </w:r>
          </w:p>
          <w:p w14:paraId="359C737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4E0787C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109.03.13 </w:t>
            </w:r>
          </w:p>
          <w:p w14:paraId="11F0E9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（10-1-4）</w:t>
            </w:r>
          </w:p>
        </w:tc>
        <w:tc>
          <w:tcPr>
            <w:tcW w:w="1614" w:type="dxa"/>
            <w:shd w:val="clear" w:color="auto" w:fill="auto"/>
          </w:tcPr>
          <w:p w14:paraId="62458D9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21560E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0E2211D" w14:textId="77777777" w:rsidTr="00EC13B7">
        <w:tc>
          <w:tcPr>
            <w:tcW w:w="574" w:type="dxa"/>
            <w:shd w:val="clear" w:color="auto" w:fill="auto"/>
          </w:tcPr>
          <w:p w14:paraId="458134E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w:t>
            </w:r>
          </w:p>
        </w:tc>
        <w:tc>
          <w:tcPr>
            <w:tcW w:w="2715" w:type="dxa"/>
            <w:shd w:val="clear" w:color="auto" w:fill="auto"/>
          </w:tcPr>
          <w:p w14:paraId="08D7245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2.公教人員保險法第四十八條條文修正草案（修正重點：將99年1月1日至103年5月31日之國營事業退休人員納入公保年金制度，並於103年6月1日發給之。）</w:t>
            </w:r>
          </w:p>
        </w:tc>
        <w:tc>
          <w:tcPr>
            <w:tcW w:w="1984" w:type="dxa"/>
            <w:shd w:val="clear" w:color="auto" w:fill="auto"/>
          </w:tcPr>
          <w:p w14:paraId="4098D2D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委員楊瓊瓔</w:t>
            </w:r>
          </w:p>
          <w:p w14:paraId="41DDBB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725FC0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109.03.20 </w:t>
            </w:r>
          </w:p>
          <w:p w14:paraId="5E62B90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（10-1-5）</w:t>
            </w:r>
          </w:p>
        </w:tc>
        <w:tc>
          <w:tcPr>
            <w:tcW w:w="1614" w:type="dxa"/>
            <w:shd w:val="clear" w:color="auto" w:fill="auto"/>
          </w:tcPr>
          <w:p w14:paraId="0C60F8E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F3A0BC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6D25A7D" w14:textId="77777777" w:rsidTr="00EC13B7">
        <w:tc>
          <w:tcPr>
            <w:tcW w:w="574" w:type="dxa"/>
            <w:shd w:val="clear" w:color="auto" w:fill="auto"/>
          </w:tcPr>
          <w:p w14:paraId="2E1D375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19</w:t>
            </w:r>
          </w:p>
        </w:tc>
        <w:tc>
          <w:tcPr>
            <w:tcW w:w="2715" w:type="dxa"/>
            <w:shd w:val="clear" w:color="auto" w:fill="auto"/>
          </w:tcPr>
          <w:p w14:paraId="31DFF9E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3.公教人員保險法第四十八條條文修正草案（修正重點：國營事業員工經繳回其所領取之一次養老給付者，得溯自103年6月1日起按月依其原所有之年資紀錄領取公保養老年金。）</w:t>
            </w:r>
          </w:p>
        </w:tc>
        <w:tc>
          <w:tcPr>
            <w:tcW w:w="1984" w:type="dxa"/>
            <w:shd w:val="clear" w:color="auto" w:fill="auto"/>
          </w:tcPr>
          <w:p w14:paraId="7883578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61C1C7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109.04.17 </w:t>
            </w:r>
          </w:p>
          <w:p w14:paraId="621D19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（10-1-9）</w:t>
            </w:r>
          </w:p>
        </w:tc>
        <w:tc>
          <w:tcPr>
            <w:tcW w:w="1614" w:type="dxa"/>
            <w:shd w:val="clear" w:color="auto" w:fill="auto"/>
          </w:tcPr>
          <w:p w14:paraId="1166BC3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2D4EE5C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147A596" w14:textId="77777777" w:rsidTr="00EC13B7">
        <w:tc>
          <w:tcPr>
            <w:tcW w:w="574" w:type="dxa"/>
            <w:shd w:val="clear" w:color="auto" w:fill="auto"/>
          </w:tcPr>
          <w:p w14:paraId="0EE63AA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20</w:t>
            </w:r>
          </w:p>
        </w:tc>
        <w:tc>
          <w:tcPr>
            <w:tcW w:w="2715" w:type="dxa"/>
            <w:shd w:val="clear" w:color="auto" w:fill="auto"/>
          </w:tcPr>
          <w:p w14:paraId="316549A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4.公教人員保險法第四十八條條文修正草案(修正重點：國營事業員工經繳回其所領取之一次養老給付者，得溯自民國103年6月1日起</w:t>
            </w:r>
            <w:r w:rsidRPr="00026143">
              <w:rPr>
                <w:rFonts w:ascii="標楷體" w:eastAsia="標楷體" w:hAnsi="標楷體"/>
                <w:color w:val="000000" w:themeColor="text1"/>
              </w:rPr>
              <w:lastRenderedPageBreak/>
              <w:t>按月依其原所有之年資紀錄領取公保養老年金。)</w:t>
            </w:r>
          </w:p>
        </w:tc>
        <w:tc>
          <w:tcPr>
            <w:tcW w:w="1984" w:type="dxa"/>
            <w:shd w:val="clear" w:color="auto" w:fill="auto"/>
          </w:tcPr>
          <w:p w14:paraId="15C740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委員王定宇</w:t>
            </w:r>
          </w:p>
          <w:p w14:paraId="1801FDC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等23人 </w:t>
            </w:r>
          </w:p>
          <w:p w14:paraId="1F71E3F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109.04.24</w:t>
            </w:r>
          </w:p>
          <w:p w14:paraId="6F4302F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（10-1-10）</w:t>
            </w:r>
          </w:p>
        </w:tc>
        <w:tc>
          <w:tcPr>
            <w:tcW w:w="1614" w:type="dxa"/>
            <w:shd w:val="clear" w:color="auto" w:fill="auto"/>
          </w:tcPr>
          <w:p w14:paraId="78D5E38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0874AA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F84C01C" w14:textId="77777777" w:rsidTr="00EC13B7">
        <w:tc>
          <w:tcPr>
            <w:tcW w:w="574" w:type="dxa"/>
            <w:shd w:val="clear" w:color="auto" w:fill="auto"/>
          </w:tcPr>
          <w:p w14:paraId="54A838D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21</w:t>
            </w:r>
          </w:p>
        </w:tc>
        <w:tc>
          <w:tcPr>
            <w:tcW w:w="2715" w:type="dxa"/>
            <w:shd w:val="clear" w:color="auto" w:fill="auto"/>
          </w:tcPr>
          <w:p w14:paraId="5498952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5.公教人員保險法第四十八條條文修正草案（修正重點：將99年1月1日至103年5月31日之國營事業退休人員納入公保年金制度，並於103年6月1日發給之。）</w:t>
            </w:r>
          </w:p>
        </w:tc>
        <w:tc>
          <w:tcPr>
            <w:tcW w:w="1984" w:type="dxa"/>
            <w:shd w:val="clear" w:color="auto" w:fill="auto"/>
          </w:tcPr>
          <w:p w14:paraId="7C9EA9D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委員黃國書</w:t>
            </w:r>
          </w:p>
          <w:p w14:paraId="6DE7AC6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等25人 </w:t>
            </w:r>
          </w:p>
          <w:p w14:paraId="6BCD9D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109.04.24 </w:t>
            </w:r>
          </w:p>
          <w:p w14:paraId="4A21CB4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（10-1-10）</w:t>
            </w:r>
          </w:p>
        </w:tc>
        <w:tc>
          <w:tcPr>
            <w:tcW w:w="1614" w:type="dxa"/>
            <w:shd w:val="clear" w:color="auto" w:fill="auto"/>
          </w:tcPr>
          <w:p w14:paraId="0D7FCD9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AFEE4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E7B2517" w14:textId="77777777" w:rsidTr="00EC13B7">
        <w:tc>
          <w:tcPr>
            <w:tcW w:w="574" w:type="dxa"/>
            <w:shd w:val="clear" w:color="auto" w:fill="auto"/>
          </w:tcPr>
          <w:p w14:paraId="42CAAE5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22</w:t>
            </w:r>
          </w:p>
        </w:tc>
        <w:tc>
          <w:tcPr>
            <w:tcW w:w="2715" w:type="dxa"/>
            <w:shd w:val="clear" w:color="auto" w:fill="auto"/>
          </w:tcPr>
          <w:p w14:paraId="748F13F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6.公教人員保險法第四十八條條文修正草案（修正重點：將國營事業於民國99年1月1日至103年5月31日離退之國營事業人員亦納入年金制度之保障範圍。）</w:t>
            </w:r>
          </w:p>
        </w:tc>
        <w:tc>
          <w:tcPr>
            <w:tcW w:w="1984" w:type="dxa"/>
            <w:shd w:val="clear" w:color="auto" w:fill="auto"/>
          </w:tcPr>
          <w:p w14:paraId="2FFE258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委員林文瑞</w:t>
            </w:r>
          </w:p>
          <w:p w14:paraId="43F27F7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490FCBE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7E0DF2B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tc>
        <w:tc>
          <w:tcPr>
            <w:tcW w:w="1614" w:type="dxa"/>
            <w:shd w:val="clear" w:color="auto" w:fill="auto"/>
          </w:tcPr>
          <w:p w14:paraId="7825779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5069309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4E87243" w14:textId="77777777" w:rsidTr="00EC13B7">
        <w:tc>
          <w:tcPr>
            <w:tcW w:w="574" w:type="dxa"/>
            <w:shd w:val="clear" w:color="auto" w:fill="auto"/>
          </w:tcPr>
          <w:p w14:paraId="054AE1B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23</w:t>
            </w:r>
          </w:p>
        </w:tc>
        <w:tc>
          <w:tcPr>
            <w:tcW w:w="2715" w:type="dxa"/>
            <w:shd w:val="clear" w:color="auto" w:fill="auto"/>
          </w:tcPr>
          <w:p w14:paraId="24C0DA0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7.公教人員保險法第四十八條條文修正草案（修正重點：將於民國99年1月1日至103年5月31日離退之國營事業人員納入公保年金制度，此類人員經繳回其所領取之一次養老給付者，得溯自民國103年6月1日起按月依其原所有之年資紀錄領取公保養老年金。）</w:t>
            </w:r>
          </w:p>
        </w:tc>
        <w:tc>
          <w:tcPr>
            <w:tcW w:w="1984" w:type="dxa"/>
            <w:shd w:val="clear" w:color="auto" w:fill="auto"/>
          </w:tcPr>
          <w:p w14:paraId="157833A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委員高嘉瑜</w:t>
            </w:r>
          </w:p>
          <w:p w14:paraId="3F6164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164A37A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3844CA7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（10-1-15）</w:t>
            </w:r>
          </w:p>
        </w:tc>
        <w:tc>
          <w:tcPr>
            <w:tcW w:w="1614" w:type="dxa"/>
            <w:shd w:val="clear" w:color="auto" w:fill="auto"/>
          </w:tcPr>
          <w:p w14:paraId="4218332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356F96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DA99303" w14:textId="77777777" w:rsidTr="00EC13B7">
        <w:tc>
          <w:tcPr>
            <w:tcW w:w="574" w:type="dxa"/>
            <w:shd w:val="clear" w:color="auto" w:fill="auto"/>
          </w:tcPr>
          <w:p w14:paraId="34742D3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24</w:t>
            </w:r>
          </w:p>
        </w:tc>
        <w:tc>
          <w:tcPr>
            <w:tcW w:w="2715" w:type="dxa"/>
            <w:shd w:val="clear" w:color="auto" w:fill="auto"/>
          </w:tcPr>
          <w:p w14:paraId="67F7454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8.公教人員保險法第四十八條條文修正草案（修正重點：將99年1月1日至103年5月31日之國營事業退休人員納入公保年金制度。）</w:t>
            </w:r>
          </w:p>
        </w:tc>
        <w:tc>
          <w:tcPr>
            <w:tcW w:w="1984" w:type="dxa"/>
            <w:shd w:val="clear" w:color="auto" w:fill="auto"/>
          </w:tcPr>
          <w:p w14:paraId="1429E5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民眾黨黨團</w:t>
            </w:r>
          </w:p>
          <w:p w14:paraId="2646D94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109.09.18 </w:t>
            </w:r>
          </w:p>
          <w:p w14:paraId="070A79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614" w:type="dxa"/>
            <w:shd w:val="clear" w:color="auto" w:fill="auto"/>
          </w:tcPr>
          <w:p w14:paraId="37F31EC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4EFC6C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EFB3694" w14:textId="77777777" w:rsidTr="00EC13B7">
        <w:tc>
          <w:tcPr>
            <w:tcW w:w="574" w:type="dxa"/>
            <w:shd w:val="clear" w:color="auto" w:fill="auto"/>
          </w:tcPr>
          <w:p w14:paraId="6D79C84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25</w:t>
            </w:r>
          </w:p>
        </w:tc>
        <w:tc>
          <w:tcPr>
            <w:tcW w:w="2715" w:type="dxa"/>
            <w:shd w:val="clear" w:color="auto" w:fill="auto"/>
          </w:tcPr>
          <w:p w14:paraId="7406600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公教人員保險法第十二條條文修正草案（修正重點：新增第五項，明定被保險人於保險有效期間懷孕，無論其分娩或早產時是否在保，均得請領公教人員保險生育給付。）</w:t>
            </w:r>
          </w:p>
        </w:tc>
        <w:tc>
          <w:tcPr>
            <w:tcW w:w="1984" w:type="dxa"/>
            <w:shd w:val="clear" w:color="auto" w:fill="auto"/>
          </w:tcPr>
          <w:p w14:paraId="339EEAF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委員劉建國</w:t>
            </w:r>
          </w:p>
          <w:p w14:paraId="72A830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394F645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109.04.17 </w:t>
            </w:r>
          </w:p>
          <w:p w14:paraId="35C8F88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（10-1-9）</w:t>
            </w:r>
          </w:p>
        </w:tc>
        <w:tc>
          <w:tcPr>
            <w:tcW w:w="1614" w:type="dxa"/>
            <w:shd w:val="clear" w:color="auto" w:fill="auto"/>
          </w:tcPr>
          <w:p w14:paraId="79F24EB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5FC2CB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916CECF" w14:textId="77777777" w:rsidTr="00EC13B7">
        <w:tc>
          <w:tcPr>
            <w:tcW w:w="574" w:type="dxa"/>
            <w:shd w:val="clear" w:color="auto" w:fill="auto"/>
          </w:tcPr>
          <w:p w14:paraId="1669A2A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26</w:t>
            </w:r>
          </w:p>
        </w:tc>
        <w:tc>
          <w:tcPr>
            <w:tcW w:w="2715" w:type="dxa"/>
            <w:shd w:val="clear" w:color="auto" w:fill="auto"/>
          </w:tcPr>
          <w:p w14:paraId="6D92E20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1.公教人員保險法第三十六條條文修正草案（</w:t>
            </w:r>
            <w:r w:rsidRPr="00026143">
              <w:rPr>
                <w:rFonts w:ascii="標楷體" w:eastAsia="標楷體" w:hAnsi="標楷體"/>
                <w:color w:val="000000" w:themeColor="text1"/>
              </w:rPr>
              <w:lastRenderedPageBreak/>
              <w:t>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984" w:type="dxa"/>
            <w:shd w:val="clear" w:color="auto" w:fill="auto"/>
          </w:tcPr>
          <w:p w14:paraId="36F5E0D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民眾黨黨團</w:t>
            </w:r>
          </w:p>
          <w:p w14:paraId="11BF57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109.05.29 </w:t>
            </w:r>
          </w:p>
          <w:p w14:paraId="749ACF9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（10-1-15）</w:t>
            </w:r>
          </w:p>
        </w:tc>
        <w:tc>
          <w:tcPr>
            <w:tcW w:w="1614" w:type="dxa"/>
            <w:shd w:val="clear" w:color="auto" w:fill="auto"/>
          </w:tcPr>
          <w:p w14:paraId="721ABB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62" w:type="dxa"/>
            <w:shd w:val="clear" w:color="auto" w:fill="auto"/>
          </w:tcPr>
          <w:p w14:paraId="06A87ED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6A9C395" w14:textId="77777777" w:rsidTr="00EC13B7">
        <w:tc>
          <w:tcPr>
            <w:tcW w:w="574" w:type="dxa"/>
            <w:shd w:val="clear" w:color="auto" w:fill="auto"/>
          </w:tcPr>
          <w:p w14:paraId="4B08805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27</w:t>
            </w:r>
          </w:p>
        </w:tc>
        <w:tc>
          <w:tcPr>
            <w:tcW w:w="2715" w:type="dxa"/>
            <w:shd w:val="clear" w:color="auto" w:fill="auto"/>
          </w:tcPr>
          <w:p w14:paraId="20314D3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2.公教人員保險法第三十六條條文修正草案（修正重點：取消被保險人需繳付保險費滿一定期間始得請領生育給付之限制。）</w:t>
            </w:r>
          </w:p>
        </w:tc>
        <w:tc>
          <w:tcPr>
            <w:tcW w:w="1984" w:type="dxa"/>
            <w:shd w:val="clear" w:color="auto" w:fill="auto"/>
          </w:tcPr>
          <w:p w14:paraId="1E6C4A9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委員邱志偉</w:t>
            </w:r>
          </w:p>
          <w:p w14:paraId="3B76564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45D7B57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7F592C0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614" w:type="dxa"/>
            <w:shd w:val="clear" w:color="auto" w:fill="auto"/>
          </w:tcPr>
          <w:p w14:paraId="1AFB29A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3079407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B54030" w14:textId="77777777" w:rsidTr="00EC13B7">
        <w:tc>
          <w:tcPr>
            <w:tcW w:w="574" w:type="dxa"/>
            <w:shd w:val="clear" w:color="auto" w:fill="auto"/>
          </w:tcPr>
          <w:p w14:paraId="29C0FC2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28</w:t>
            </w:r>
          </w:p>
        </w:tc>
        <w:tc>
          <w:tcPr>
            <w:tcW w:w="2715" w:type="dxa"/>
            <w:shd w:val="clear" w:color="auto" w:fill="auto"/>
          </w:tcPr>
          <w:p w14:paraId="6B953F0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3.公教人員保險法第三十六條條文修正草案(修正重點：增加額外一個月的生育補助，藉以增加年輕夫妻的生育誘因及減少養育兒女之負擔；為精準補助及鼓勵生育，增訂第四項排除補助修正前已分娩或早產者。)</w:t>
            </w:r>
          </w:p>
        </w:tc>
        <w:tc>
          <w:tcPr>
            <w:tcW w:w="1984" w:type="dxa"/>
            <w:shd w:val="clear" w:color="auto" w:fill="auto"/>
          </w:tcPr>
          <w:p w14:paraId="579FBC7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260F1C9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2CC8BF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614" w:type="dxa"/>
            <w:shd w:val="clear" w:color="auto" w:fill="auto"/>
          </w:tcPr>
          <w:p w14:paraId="2C67418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1049C27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1A7BDEE" w14:textId="77777777" w:rsidTr="00EC13B7">
        <w:tc>
          <w:tcPr>
            <w:tcW w:w="574" w:type="dxa"/>
            <w:shd w:val="clear" w:color="auto" w:fill="auto"/>
          </w:tcPr>
          <w:p w14:paraId="5C6C7B2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29</w:t>
            </w:r>
          </w:p>
        </w:tc>
        <w:tc>
          <w:tcPr>
            <w:tcW w:w="2715" w:type="dxa"/>
            <w:shd w:val="clear" w:color="auto" w:fill="auto"/>
          </w:tcPr>
          <w:p w14:paraId="48BD81F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公務人員考績法第十三條條文修正草案（修正重點：增訂曾因酒駕情事記申誡、過或大過者，考績應列丙等。）</w:t>
            </w:r>
          </w:p>
        </w:tc>
        <w:tc>
          <w:tcPr>
            <w:tcW w:w="1984" w:type="dxa"/>
            <w:shd w:val="clear" w:color="auto" w:fill="auto"/>
          </w:tcPr>
          <w:p w14:paraId="293022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委員陳秀</w:t>
            </w:r>
            <w:r w:rsidRPr="00026143">
              <w:rPr>
                <w:rFonts w:ascii="標楷體" w:eastAsia="標楷體" w:hAnsi="標楷體" w:hint="eastAsia"/>
                <w:color w:val="000000" w:themeColor="text1"/>
              </w:rPr>
              <w:t>寳</w:t>
            </w:r>
          </w:p>
          <w:p w14:paraId="36A8315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17人 </w:t>
            </w:r>
          </w:p>
          <w:p w14:paraId="6D7989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109.03.20 </w:t>
            </w:r>
          </w:p>
          <w:p w14:paraId="6AAA79B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（10-1-5）</w:t>
            </w:r>
          </w:p>
          <w:p w14:paraId="290B3A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2EDA454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6A060A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4EA1782" w14:textId="77777777" w:rsidTr="00EC13B7">
        <w:tc>
          <w:tcPr>
            <w:tcW w:w="574" w:type="dxa"/>
            <w:shd w:val="clear" w:color="auto" w:fill="auto"/>
          </w:tcPr>
          <w:p w14:paraId="2B2E2B3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30</w:t>
            </w:r>
          </w:p>
        </w:tc>
        <w:tc>
          <w:tcPr>
            <w:tcW w:w="2715" w:type="dxa"/>
            <w:shd w:val="clear" w:color="auto" w:fill="auto"/>
          </w:tcPr>
          <w:p w14:paraId="253C384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公務人員考績法第十五條條文修正草案(修正重點：規定各機關考績委員會應有一人以上之身心障礙者代表及性別保障比例。)</w:t>
            </w:r>
          </w:p>
        </w:tc>
        <w:tc>
          <w:tcPr>
            <w:tcW w:w="1984" w:type="dxa"/>
            <w:shd w:val="clear" w:color="auto" w:fill="auto"/>
          </w:tcPr>
          <w:p w14:paraId="1247626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委員管碧玲</w:t>
            </w:r>
          </w:p>
          <w:p w14:paraId="5796806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等26人 </w:t>
            </w:r>
          </w:p>
          <w:p w14:paraId="43C9B7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111.11.11</w:t>
            </w:r>
          </w:p>
          <w:p w14:paraId="2C871FE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（10-6-7）</w:t>
            </w:r>
          </w:p>
        </w:tc>
        <w:tc>
          <w:tcPr>
            <w:tcW w:w="1614" w:type="dxa"/>
            <w:shd w:val="clear" w:color="auto" w:fill="auto"/>
          </w:tcPr>
          <w:p w14:paraId="56E0007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6A7DBD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6EE5A4C" w14:textId="77777777" w:rsidTr="00EC13B7">
        <w:tc>
          <w:tcPr>
            <w:tcW w:w="574" w:type="dxa"/>
            <w:shd w:val="clear" w:color="auto" w:fill="auto"/>
          </w:tcPr>
          <w:p w14:paraId="5394CDF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31</w:t>
            </w:r>
          </w:p>
        </w:tc>
        <w:tc>
          <w:tcPr>
            <w:tcW w:w="2715" w:type="dxa"/>
            <w:shd w:val="clear" w:color="auto" w:fill="auto"/>
          </w:tcPr>
          <w:p w14:paraId="0EAE3A6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公務人員考績法第三條條文修正草案(修正重點：針對公務人員於考績年度內任職年資併計達六個月者，辦理另予考績；任職期間符合辦理年終考績或另予考績之規定，惟全無工作事實者，不辦理考績，但</w:t>
            </w:r>
            <w:r w:rsidRPr="00026143">
              <w:rPr>
                <w:rFonts w:ascii="標楷體" w:eastAsia="標楷體" w:hAnsi="標楷體"/>
                <w:color w:val="000000" w:themeColor="text1"/>
              </w:rPr>
              <w:lastRenderedPageBreak/>
              <w:t>經機關選送進修者，增訂但書規定。)</w:t>
            </w:r>
          </w:p>
        </w:tc>
        <w:tc>
          <w:tcPr>
            <w:tcW w:w="1984" w:type="dxa"/>
            <w:shd w:val="clear" w:color="auto" w:fill="auto"/>
          </w:tcPr>
          <w:p w14:paraId="4D03215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委員邱志偉</w:t>
            </w:r>
          </w:p>
          <w:p w14:paraId="0C22C89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2D7730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5081672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614" w:type="dxa"/>
            <w:shd w:val="clear" w:color="auto" w:fill="auto"/>
          </w:tcPr>
          <w:p w14:paraId="0F5F0D5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C8FE26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F83DFA0" w14:textId="77777777" w:rsidTr="00EC13B7">
        <w:tc>
          <w:tcPr>
            <w:tcW w:w="574" w:type="dxa"/>
            <w:shd w:val="clear" w:color="auto" w:fill="auto"/>
          </w:tcPr>
          <w:p w14:paraId="410AE24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32</w:t>
            </w:r>
          </w:p>
        </w:tc>
        <w:tc>
          <w:tcPr>
            <w:tcW w:w="2715" w:type="dxa"/>
            <w:shd w:val="clear" w:color="auto" w:fill="auto"/>
          </w:tcPr>
          <w:p w14:paraId="5996F73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考試院職權行使法草案（共18條。制定重點：為符合憲法增修條文第六條與考試院組織法實質內涵，明確化考試院運作及考試院會議法定人員職權行使範圍，爰制定本法。）</w:t>
            </w:r>
          </w:p>
        </w:tc>
        <w:tc>
          <w:tcPr>
            <w:tcW w:w="1984" w:type="dxa"/>
            <w:shd w:val="clear" w:color="auto" w:fill="auto"/>
          </w:tcPr>
          <w:p w14:paraId="0F96A8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委員鍾佳濱</w:t>
            </w:r>
          </w:p>
          <w:p w14:paraId="21C79D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等22人 </w:t>
            </w:r>
          </w:p>
          <w:p w14:paraId="01E4FFA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109.04.24</w:t>
            </w:r>
          </w:p>
          <w:p w14:paraId="493016F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（10-1-10）</w:t>
            </w:r>
          </w:p>
        </w:tc>
        <w:tc>
          <w:tcPr>
            <w:tcW w:w="1614" w:type="dxa"/>
            <w:shd w:val="clear" w:color="auto" w:fill="auto"/>
          </w:tcPr>
          <w:p w14:paraId="54ECBF4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1973836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02E61A" w14:textId="77777777" w:rsidTr="00EC13B7">
        <w:tc>
          <w:tcPr>
            <w:tcW w:w="574" w:type="dxa"/>
            <w:shd w:val="clear" w:color="auto" w:fill="auto"/>
          </w:tcPr>
          <w:p w14:paraId="0126F09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33</w:t>
            </w:r>
          </w:p>
        </w:tc>
        <w:tc>
          <w:tcPr>
            <w:tcW w:w="2715" w:type="dxa"/>
            <w:shd w:val="clear" w:color="auto" w:fill="auto"/>
          </w:tcPr>
          <w:p w14:paraId="4DE8A73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公務人員保障法第七十七條及第八十四條之一條文修正草案（修正重點：明文規定公務人員可依法提起相應之行政訴訟，請求救濟；派用人員準用本條規定，以維護相關人員之權益。）</w:t>
            </w:r>
          </w:p>
        </w:tc>
        <w:tc>
          <w:tcPr>
            <w:tcW w:w="1984" w:type="dxa"/>
            <w:shd w:val="clear" w:color="auto" w:fill="auto"/>
          </w:tcPr>
          <w:p w14:paraId="7165064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委員羅致政</w:t>
            </w:r>
          </w:p>
          <w:p w14:paraId="4BAF012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13CB03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109.09.25 </w:t>
            </w:r>
          </w:p>
          <w:p w14:paraId="6E63DE5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（10-2-2）</w:t>
            </w:r>
          </w:p>
        </w:tc>
        <w:tc>
          <w:tcPr>
            <w:tcW w:w="1614" w:type="dxa"/>
            <w:shd w:val="clear" w:color="auto" w:fill="auto"/>
          </w:tcPr>
          <w:p w14:paraId="08549D2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311C840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723052B" w14:textId="77777777" w:rsidTr="00EC13B7">
        <w:tc>
          <w:tcPr>
            <w:tcW w:w="574" w:type="dxa"/>
            <w:shd w:val="clear" w:color="auto" w:fill="auto"/>
          </w:tcPr>
          <w:p w14:paraId="4042453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34</w:t>
            </w:r>
          </w:p>
        </w:tc>
        <w:tc>
          <w:tcPr>
            <w:tcW w:w="2715" w:type="dxa"/>
            <w:shd w:val="clear" w:color="auto" w:fill="auto"/>
          </w:tcPr>
          <w:p w14:paraId="4965492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務人員退休撫卹基金管理條例修正草案（修正§1~4、7～13；增訂§5、6。修正重點：刪除委託經營辦法審核程序之規定；配合公營事業移轉民營條例規定，將依法或經政府核定辦理收支結算後應撥交退撫基金之款項，納入退撫基金之來源；為符合法律保留原則，將涉及參加退撫基金人員權利義務事項及退撫基金管理重要事項，由施行細則提升至本條例規範；增訂退撫基金之一切帳冊、單據及業務收支，均免課稅捐。）</w:t>
            </w:r>
          </w:p>
        </w:tc>
        <w:tc>
          <w:tcPr>
            <w:tcW w:w="1984" w:type="dxa"/>
            <w:shd w:val="clear" w:color="auto" w:fill="auto"/>
          </w:tcPr>
          <w:p w14:paraId="4DB4740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委員曾銘宗</w:t>
            </w:r>
          </w:p>
          <w:p w14:paraId="1ED2F0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1D52EA7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109.09.18</w:t>
            </w:r>
          </w:p>
          <w:p w14:paraId="10F8E3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w:t>
            </w:r>
          </w:p>
        </w:tc>
        <w:tc>
          <w:tcPr>
            <w:tcW w:w="1614" w:type="dxa"/>
            <w:shd w:val="clear" w:color="auto" w:fill="auto"/>
          </w:tcPr>
          <w:p w14:paraId="3743D3B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01D17B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510BAAC" w14:textId="77777777" w:rsidTr="00EC13B7">
        <w:tc>
          <w:tcPr>
            <w:tcW w:w="574" w:type="dxa"/>
            <w:shd w:val="clear" w:color="auto" w:fill="auto"/>
          </w:tcPr>
          <w:p w14:paraId="558A25F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35</w:t>
            </w:r>
          </w:p>
        </w:tc>
        <w:tc>
          <w:tcPr>
            <w:tcW w:w="2715" w:type="dxa"/>
            <w:shd w:val="clear" w:color="auto" w:fill="auto"/>
          </w:tcPr>
          <w:p w14:paraId="2FDFBC1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2.公務人員退休撫卹基金管理條例部分條文修正草案（修正§1、4、9、12。修正重點：修正§4配合增加支付項目用語，並保留撫慰金文字；退撫基金之一切帳冊、單據及收入均免課稅捐。）</w:t>
            </w:r>
          </w:p>
        </w:tc>
        <w:tc>
          <w:tcPr>
            <w:tcW w:w="1984" w:type="dxa"/>
            <w:shd w:val="clear" w:color="auto" w:fill="auto"/>
          </w:tcPr>
          <w:p w14:paraId="35408B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委員伍麗華</w:t>
            </w:r>
          </w:p>
          <w:p w14:paraId="0839C3A9" w14:textId="77777777" w:rsidR="00EC13B7" w:rsidRPr="00026143" w:rsidRDefault="00EC13B7" w:rsidP="003F057E">
            <w:pPr>
              <w:kinsoku w:val="0"/>
              <w:topLinePunct/>
              <w:spacing w:line="300" w:lineRule="exact"/>
              <w:rPr>
                <w:rFonts w:ascii="標楷體" w:eastAsia="標楷體" w:hAnsi="標楷體"/>
                <w:color w:val="000000" w:themeColor="text1"/>
                <w:spacing w:val="-30"/>
              </w:rPr>
            </w:pPr>
            <w:r w:rsidRPr="00026143">
              <w:rPr>
                <w:rFonts w:ascii="標楷體" w:eastAsia="標楷體" w:hAnsi="標楷體"/>
                <w:color w:val="000000" w:themeColor="text1"/>
                <w:spacing w:val="-30"/>
              </w:rPr>
              <w:t>Saidhai‧Tahovecahe</w:t>
            </w:r>
          </w:p>
          <w:p w14:paraId="2B13DC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340E27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110.04.16 </w:t>
            </w:r>
          </w:p>
          <w:p w14:paraId="1E09036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（10-3-8）</w:t>
            </w:r>
          </w:p>
        </w:tc>
        <w:tc>
          <w:tcPr>
            <w:tcW w:w="1614" w:type="dxa"/>
            <w:shd w:val="clear" w:color="auto" w:fill="auto"/>
          </w:tcPr>
          <w:p w14:paraId="5AD3B6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7063A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64E1FA" w14:textId="77777777" w:rsidTr="00EC13B7">
        <w:tc>
          <w:tcPr>
            <w:tcW w:w="574" w:type="dxa"/>
            <w:shd w:val="clear" w:color="auto" w:fill="auto"/>
          </w:tcPr>
          <w:p w14:paraId="3DD6210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36</w:t>
            </w:r>
          </w:p>
        </w:tc>
        <w:tc>
          <w:tcPr>
            <w:tcW w:w="2715" w:type="dxa"/>
            <w:shd w:val="clear" w:color="auto" w:fill="auto"/>
          </w:tcPr>
          <w:p w14:paraId="5ABD69B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1.公務人員俸給法第十八條條文修正草案(修正重點：明定政府審議公務人員待遇、薪資、福利之相關會議應邀請全國性公務人員協會出席。)</w:t>
            </w:r>
          </w:p>
        </w:tc>
        <w:tc>
          <w:tcPr>
            <w:tcW w:w="1984" w:type="dxa"/>
            <w:shd w:val="clear" w:color="auto" w:fill="auto"/>
          </w:tcPr>
          <w:p w14:paraId="2F8CCA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民眾黨黨團 </w:t>
            </w:r>
          </w:p>
          <w:p w14:paraId="4739B06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0B30733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614" w:type="dxa"/>
            <w:shd w:val="clear" w:color="auto" w:fill="auto"/>
          </w:tcPr>
          <w:p w14:paraId="5CC1207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806FEA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285A56E" w14:textId="77777777" w:rsidTr="00EC13B7">
        <w:tc>
          <w:tcPr>
            <w:tcW w:w="574" w:type="dxa"/>
            <w:shd w:val="clear" w:color="auto" w:fill="auto"/>
          </w:tcPr>
          <w:p w14:paraId="1C3E176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37</w:t>
            </w:r>
          </w:p>
        </w:tc>
        <w:tc>
          <w:tcPr>
            <w:tcW w:w="2715" w:type="dxa"/>
            <w:shd w:val="clear" w:color="auto" w:fill="auto"/>
          </w:tcPr>
          <w:p w14:paraId="15148D4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2.公務人員俸給法第十八條條文修正草案(修正重點：明定政府審議公務人員待遇、薪資、福利之相關會議應邀請全國性公務人員協會出席。)</w:t>
            </w:r>
          </w:p>
        </w:tc>
        <w:tc>
          <w:tcPr>
            <w:tcW w:w="1984" w:type="dxa"/>
            <w:shd w:val="clear" w:color="auto" w:fill="auto"/>
          </w:tcPr>
          <w:p w14:paraId="507BD15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委員賴香伶</w:t>
            </w:r>
          </w:p>
          <w:p w14:paraId="391B42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5C9D2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110.11.26 </w:t>
            </w:r>
          </w:p>
          <w:p w14:paraId="0AA2B0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（10-4-11）</w:t>
            </w:r>
          </w:p>
        </w:tc>
        <w:tc>
          <w:tcPr>
            <w:tcW w:w="1614" w:type="dxa"/>
            <w:shd w:val="clear" w:color="auto" w:fill="auto"/>
          </w:tcPr>
          <w:p w14:paraId="1E5241D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54B443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BFF5679" w14:textId="77777777" w:rsidTr="00EC13B7">
        <w:tc>
          <w:tcPr>
            <w:tcW w:w="574" w:type="dxa"/>
            <w:shd w:val="clear" w:color="auto" w:fill="auto"/>
          </w:tcPr>
          <w:p w14:paraId="7C282DF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38</w:t>
            </w:r>
          </w:p>
        </w:tc>
        <w:tc>
          <w:tcPr>
            <w:tcW w:w="2715" w:type="dxa"/>
            <w:shd w:val="clear" w:color="auto" w:fill="auto"/>
          </w:tcPr>
          <w:p w14:paraId="2C7982F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公務人員俸給法第二十一條條文修正草案(修正重點：公務人員因有貪污行為，經有罪判決確定或經公務人員懲戒委員會裁判確定而受公務員懲戒法懲戒處分者，應繳回其停職期間所領之本俸。)</w:t>
            </w:r>
          </w:p>
        </w:tc>
        <w:tc>
          <w:tcPr>
            <w:tcW w:w="1984" w:type="dxa"/>
            <w:shd w:val="clear" w:color="auto" w:fill="auto"/>
          </w:tcPr>
          <w:p w14:paraId="4CA1931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時代力量黨團 </w:t>
            </w:r>
          </w:p>
          <w:p w14:paraId="6D94F2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110.11.05</w:t>
            </w:r>
          </w:p>
          <w:p w14:paraId="062289D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614" w:type="dxa"/>
            <w:shd w:val="clear" w:color="auto" w:fill="auto"/>
          </w:tcPr>
          <w:p w14:paraId="760DDB0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C98C66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D87C907" w14:textId="77777777" w:rsidTr="00EC13B7">
        <w:tc>
          <w:tcPr>
            <w:tcW w:w="574" w:type="dxa"/>
            <w:shd w:val="clear" w:color="auto" w:fill="auto"/>
          </w:tcPr>
          <w:p w14:paraId="6DA534A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39</w:t>
            </w:r>
          </w:p>
        </w:tc>
        <w:tc>
          <w:tcPr>
            <w:tcW w:w="2715" w:type="dxa"/>
            <w:shd w:val="clear" w:color="auto" w:fill="auto"/>
          </w:tcPr>
          <w:p w14:paraId="75E0C1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公務人員行政中立法第十七條條文修正草案(修正重點：鑑於本法規範公營事業單位準用本法之行為主體，違反法律明確性原則，爰提案修正予以明確規範適用本法之行為主體。)</w:t>
            </w:r>
          </w:p>
        </w:tc>
        <w:tc>
          <w:tcPr>
            <w:tcW w:w="1984" w:type="dxa"/>
            <w:shd w:val="clear" w:color="auto" w:fill="auto"/>
          </w:tcPr>
          <w:p w14:paraId="4A73FFA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5F23FE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等24人 </w:t>
            </w:r>
          </w:p>
          <w:p w14:paraId="02E8CF8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110.12.03</w:t>
            </w:r>
          </w:p>
          <w:p w14:paraId="386EF8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（10-4-12）</w:t>
            </w:r>
          </w:p>
        </w:tc>
        <w:tc>
          <w:tcPr>
            <w:tcW w:w="1614" w:type="dxa"/>
            <w:shd w:val="clear" w:color="auto" w:fill="auto"/>
          </w:tcPr>
          <w:p w14:paraId="143CCA1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B2174B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D2BEDE5" w14:textId="77777777" w:rsidTr="00EC13B7">
        <w:tc>
          <w:tcPr>
            <w:tcW w:w="574" w:type="dxa"/>
            <w:shd w:val="clear" w:color="auto" w:fill="auto"/>
          </w:tcPr>
          <w:p w14:paraId="6D37FA1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40</w:t>
            </w:r>
          </w:p>
        </w:tc>
        <w:tc>
          <w:tcPr>
            <w:tcW w:w="2715" w:type="dxa"/>
            <w:shd w:val="clear" w:color="auto" w:fill="auto"/>
          </w:tcPr>
          <w:p w14:paraId="178146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法律專業人員資格及任用條例草案(共四章30條。制定重點：法律專業人員涵蓋對象包含法官、檢察官、律師及法制職系公務人員，以兩試資格考試、一年實務學習、甄選（試）及任用等階段考選及培訓優秀法律人才，並依志趣適才適所擔任各法律事務角色職位，以增進司法效能。)</w:t>
            </w:r>
          </w:p>
        </w:tc>
        <w:tc>
          <w:tcPr>
            <w:tcW w:w="1984" w:type="dxa"/>
            <w:shd w:val="clear" w:color="auto" w:fill="auto"/>
          </w:tcPr>
          <w:p w14:paraId="558AC9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181EF7">
              <w:rPr>
                <w:rFonts w:ascii="標楷體" w:eastAsia="標楷體" w:hAnsi="標楷體"/>
                <w:color w:val="000000" w:themeColor="text1"/>
                <w:spacing w:val="-10"/>
              </w:rPr>
              <w:t>考試院、行政院、</w:t>
            </w:r>
            <w:r w:rsidRPr="00026143">
              <w:rPr>
                <w:rFonts w:ascii="標楷體" w:eastAsia="標楷體" w:hAnsi="標楷體"/>
                <w:color w:val="000000" w:themeColor="text1"/>
              </w:rPr>
              <w:t xml:space="preserve">司法院 </w:t>
            </w:r>
          </w:p>
          <w:p w14:paraId="48628BF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111.03.01 </w:t>
            </w:r>
          </w:p>
          <w:p w14:paraId="07A19FD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w:t>
            </w:r>
          </w:p>
          <w:p w14:paraId="5E7CB0C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709771D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CF6A52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7A4324C" w14:textId="77777777" w:rsidTr="00EC13B7">
        <w:tc>
          <w:tcPr>
            <w:tcW w:w="574" w:type="dxa"/>
            <w:shd w:val="clear" w:color="auto" w:fill="auto"/>
          </w:tcPr>
          <w:p w14:paraId="39521A5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41</w:t>
            </w:r>
          </w:p>
        </w:tc>
        <w:tc>
          <w:tcPr>
            <w:tcW w:w="2715" w:type="dxa"/>
            <w:shd w:val="clear" w:color="auto" w:fill="auto"/>
          </w:tcPr>
          <w:p w14:paraId="1DCA807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2.法律專業人員資格及任用條例草案(共30條</w:t>
            </w:r>
            <w:r w:rsidRPr="00026143">
              <w:rPr>
                <w:rFonts w:ascii="標楷體" w:eastAsia="標楷體" w:hAnsi="標楷體"/>
                <w:color w:val="000000" w:themeColor="text1"/>
              </w:rPr>
              <w:lastRenderedPageBreak/>
              <w:t>。制定重點：為考選法律專業人員以培養國家法律人才，特制定本條例。)</w:t>
            </w:r>
          </w:p>
        </w:tc>
        <w:tc>
          <w:tcPr>
            <w:tcW w:w="1984" w:type="dxa"/>
            <w:shd w:val="clear" w:color="auto" w:fill="auto"/>
          </w:tcPr>
          <w:p w14:paraId="7CAFE3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委員高嘉瑜</w:t>
            </w:r>
          </w:p>
          <w:p w14:paraId="02C89F0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等17人</w:t>
            </w:r>
          </w:p>
          <w:p w14:paraId="6589501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111.04.08 </w:t>
            </w:r>
          </w:p>
          <w:p w14:paraId="5FD180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614" w:type="dxa"/>
            <w:shd w:val="clear" w:color="auto" w:fill="auto"/>
          </w:tcPr>
          <w:p w14:paraId="0338EE2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62" w:type="dxa"/>
            <w:shd w:val="clear" w:color="auto" w:fill="auto"/>
          </w:tcPr>
          <w:p w14:paraId="3A15211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46E3107" w14:textId="77777777" w:rsidTr="00EC13B7">
        <w:tc>
          <w:tcPr>
            <w:tcW w:w="574" w:type="dxa"/>
            <w:shd w:val="clear" w:color="auto" w:fill="auto"/>
          </w:tcPr>
          <w:p w14:paraId="512A798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42</w:t>
            </w:r>
          </w:p>
        </w:tc>
        <w:tc>
          <w:tcPr>
            <w:tcW w:w="2715" w:type="dxa"/>
            <w:shd w:val="clear" w:color="auto" w:fill="auto"/>
          </w:tcPr>
          <w:p w14:paraId="6584394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公務人員退休資遣撫卹法第三十七條條文修正草案(修正重點：退除役官兵轉任公職者，其原服軍職之年資應合併計入第二項退休年資。)</w:t>
            </w:r>
          </w:p>
        </w:tc>
        <w:tc>
          <w:tcPr>
            <w:tcW w:w="1984" w:type="dxa"/>
            <w:shd w:val="clear" w:color="auto" w:fill="auto"/>
          </w:tcPr>
          <w:p w14:paraId="1C965CD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委員楊瓊瓔</w:t>
            </w:r>
          </w:p>
          <w:p w14:paraId="4F7399B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20DCC88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51052AE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614" w:type="dxa"/>
            <w:shd w:val="clear" w:color="auto" w:fill="auto"/>
          </w:tcPr>
          <w:p w14:paraId="4E4C77B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6698F14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6EE30A6" w14:textId="77777777" w:rsidTr="00EC13B7">
        <w:tc>
          <w:tcPr>
            <w:tcW w:w="574" w:type="dxa"/>
            <w:shd w:val="clear" w:color="auto" w:fill="auto"/>
          </w:tcPr>
          <w:p w14:paraId="625B9E6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43</w:t>
            </w:r>
          </w:p>
        </w:tc>
        <w:tc>
          <w:tcPr>
            <w:tcW w:w="2715" w:type="dxa"/>
            <w:shd w:val="clear" w:color="auto" w:fill="auto"/>
          </w:tcPr>
          <w:p w14:paraId="6FD8AC7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公務人員退休資遣撫卹法第八十八條條文修正草案(修正重點：駐外人員於退休生效日前未回到國內者，審定機關應不予退休審定。)</w:t>
            </w:r>
          </w:p>
        </w:tc>
        <w:tc>
          <w:tcPr>
            <w:tcW w:w="1984" w:type="dxa"/>
            <w:shd w:val="clear" w:color="auto" w:fill="auto"/>
          </w:tcPr>
          <w:p w14:paraId="665DED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委員王定宇</w:t>
            </w:r>
          </w:p>
          <w:p w14:paraId="3C6A93D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5FB5804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51063AD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614" w:type="dxa"/>
            <w:shd w:val="clear" w:color="auto" w:fill="auto"/>
          </w:tcPr>
          <w:p w14:paraId="770B51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84CD7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A232905" w14:textId="77777777" w:rsidTr="00EC13B7">
        <w:tc>
          <w:tcPr>
            <w:tcW w:w="574" w:type="dxa"/>
            <w:shd w:val="clear" w:color="auto" w:fill="auto"/>
          </w:tcPr>
          <w:p w14:paraId="7ACD166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44</w:t>
            </w:r>
          </w:p>
        </w:tc>
        <w:tc>
          <w:tcPr>
            <w:tcW w:w="2715" w:type="dxa"/>
            <w:shd w:val="clear" w:color="auto" w:fill="auto"/>
          </w:tcPr>
          <w:p w14:paraId="28E2A12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公務人員退休資遣撫卹法第六十七條條文修正草案(修正重點：軍、公、教退休撫卹制度設計以消費者物價指數，做為調整退撫待遇機制之參考指標，應予檢討改善。)</w:t>
            </w:r>
          </w:p>
        </w:tc>
        <w:tc>
          <w:tcPr>
            <w:tcW w:w="1984" w:type="dxa"/>
            <w:shd w:val="clear" w:color="auto" w:fill="auto"/>
          </w:tcPr>
          <w:p w14:paraId="194C2B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1A3770D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等20人</w:t>
            </w:r>
          </w:p>
          <w:p w14:paraId="5BF1C1C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111.04.08</w:t>
            </w:r>
          </w:p>
          <w:p w14:paraId="64A2B91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614" w:type="dxa"/>
            <w:shd w:val="clear" w:color="auto" w:fill="auto"/>
          </w:tcPr>
          <w:p w14:paraId="51A2A49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6791A9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9FDC6E9" w14:textId="77777777" w:rsidTr="00EC13B7">
        <w:tc>
          <w:tcPr>
            <w:tcW w:w="574" w:type="dxa"/>
            <w:shd w:val="clear" w:color="auto" w:fill="auto"/>
          </w:tcPr>
          <w:p w14:paraId="11E97CA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45</w:t>
            </w:r>
          </w:p>
        </w:tc>
        <w:tc>
          <w:tcPr>
            <w:tcW w:w="2715" w:type="dxa"/>
            <w:shd w:val="clear" w:color="auto" w:fill="auto"/>
          </w:tcPr>
          <w:p w14:paraId="455F283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2.公務人員退休資遣撫卹法第六十七條條文修正草案(修正重點：將消費者物價指數累計達5%啟動調整機制下修為2%，兼採重要民生物資消費者物價指數，以及按年計算指數改為按季計算等規定。)</w:t>
            </w:r>
          </w:p>
        </w:tc>
        <w:tc>
          <w:tcPr>
            <w:tcW w:w="1984" w:type="dxa"/>
            <w:shd w:val="clear" w:color="auto" w:fill="auto"/>
          </w:tcPr>
          <w:p w14:paraId="6E95DBB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061B7F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67F396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06F367F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614" w:type="dxa"/>
            <w:shd w:val="clear" w:color="auto" w:fill="auto"/>
          </w:tcPr>
          <w:p w14:paraId="42E70C5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34D27C7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D01565" w14:textId="77777777" w:rsidTr="00EC13B7">
        <w:tc>
          <w:tcPr>
            <w:tcW w:w="574" w:type="dxa"/>
            <w:shd w:val="clear" w:color="auto" w:fill="auto"/>
          </w:tcPr>
          <w:p w14:paraId="67C49EC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46</w:t>
            </w:r>
          </w:p>
        </w:tc>
        <w:tc>
          <w:tcPr>
            <w:tcW w:w="2715" w:type="dxa"/>
            <w:shd w:val="clear" w:color="auto" w:fill="auto"/>
          </w:tcPr>
          <w:p w14:paraId="7D0C12B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退休資遣撫卹法第三十四條條文修正草案(修正重點：刪除「一年內退休生效時」文字；另為使舊新制過渡時期之補償措施早日終結，具舊制年資之現職人員於未來退休時，其補償金支領方式，修正為僅能擇領「一次補償金」，俾做一次性之結算。)</w:t>
            </w:r>
          </w:p>
        </w:tc>
        <w:tc>
          <w:tcPr>
            <w:tcW w:w="1984" w:type="dxa"/>
            <w:shd w:val="clear" w:color="auto" w:fill="auto"/>
          </w:tcPr>
          <w:p w14:paraId="533772F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委員呂玉玲</w:t>
            </w:r>
          </w:p>
          <w:p w14:paraId="114332D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等19人 </w:t>
            </w:r>
          </w:p>
          <w:p w14:paraId="5A0267A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294E593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614" w:type="dxa"/>
            <w:shd w:val="clear" w:color="auto" w:fill="auto"/>
          </w:tcPr>
          <w:p w14:paraId="3DC06E2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1A4E1D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4E59650" w14:textId="77777777" w:rsidTr="00EC13B7">
        <w:tc>
          <w:tcPr>
            <w:tcW w:w="574" w:type="dxa"/>
            <w:shd w:val="clear" w:color="auto" w:fill="auto"/>
          </w:tcPr>
          <w:p w14:paraId="66D18A7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47</w:t>
            </w:r>
          </w:p>
        </w:tc>
        <w:tc>
          <w:tcPr>
            <w:tcW w:w="2715" w:type="dxa"/>
            <w:shd w:val="clear" w:color="auto" w:fill="auto"/>
          </w:tcPr>
          <w:p w14:paraId="0FBB1C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公務人員退休資遣撫卹</w:t>
            </w:r>
            <w:r w:rsidRPr="00026143">
              <w:rPr>
                <w:rFonts w:ascii="標楷體" w:eastAsia="標楷體" w:hAnsi="標楷體"/>
                <w:color w:val="000000" w:themeColor="text1"/>
              </w:rPr>
              <w:lastRenderedPageBreak/>
              <w:t>法第三十八條條文修正草案(修正重點：為維護現職公務人員未來退休權益，增訂該法退休所得替代率附表三之一。)</w:t>
            </w:r>
          </w:p>
        </w:tc>
        <w:tc>
          <w:tcPr>
            <w:tcW w:w="1984" w:type="dxa"/>
            <w:shd w:val="clear" w:color="auto" w:fill="auto"/>
          </w:tcPr>
          <w:p w14:paraId="185194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委員呂玉玲</w:t>
            </w:r>
          </w:p>
          <w:p w14:paraId="0CB7FB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等19人 </w:t>
            </w:r>
          </w:p>
          <w:p w14:paraId="0941F3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421449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614" w:type="dxa"/>
            <w:shd w:val="clear" w:color="auto" w:fill="auto"/>
          </w:tcPr>
          <w:p w14:paraId="1F5B434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62" w:type="dxa"/>
            <w:shd w:val="clear" w:color="auto" w:fill="auto"/>
          </w:tcPr>
          <w:p w14:paraId="0B317F1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150069" w14:textId="77777777" w:rsidTr="00EC13B7">
        <w:tc>
          <w:tcPr>
            <w:tcW w:w="574" w:type="dxa"/>
            <w:shd w:val="clear" w:color="auto" w:fill="auto"/>
          </w:tcPr>
          <w:p w14:paraId="76C41F5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4</w:t>
            </w:r>
            <w:r w:rsidRPr="00026143">
              <w:rPr>
                <w:rFonts w:ascii="標楷體" w:eastAsia="標楷體" w:hAnsi="標楷體"/>
                <w:color w:val="000000" w:themeColor="text1"/>
              </w:rPr>
              <w:t>8</w:t>
            </w:r>
          </w:p>
        </w:tc>
        <w:tc>
          <w:tcPr>
            <w:tcW w:w="2715" w:type="dxa"/>
            <w:shd w:val="clear" w:color="auto" w:fill="auto"/>
          </w:tcPr>
          <w:p w14:paraId="5CF2B00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公務人員退休資遣撫卹法第二十一條及第五十三條條文修正草案(修正重點：銓敘部審查認定因公命令退休以及因公撫卹案件，宜予納入警察、消防、海巡、移民、空勤等執法任務之退休人員相關民間團體。)</w:t>
            </w:r>
          </w:p>
        </w:tc>
        <w:tc>
          <w:tcPr>
            <w:tcW w:w="1984" w:type="dxa"/>
            <w:shd w:val="clear" w:color="auto" w:fill="auto"/>
          </w:tcPr>
          <w:p w14:paraId="6559017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委員游毓蘭</w:t>
            </w:r>
          </w:p>
          <w:p w14:paraId="229B3B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383375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2929A4F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614" w:type="dxa"/>
            <w:shd w:val="clear" w:color="auto" w:fill="auto"/>
          </w:tcPr>
          <w:p w14:paraId="3DAA2BB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445CB83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556A780" w14:textId="77777777" w:rsidTr="00EC13B7">
        <w:tc>
          <w:tcPr>
            <w:tcW w:w="574" w:type="dxa"/>
            <w:shd w:val="clear" w:color="auto" w:fill="auto"/>
          </w:tcPr>
          <w:p w14:paraId="24BD867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r w:rsidRPr="00026143">
              <w:rPr>
                <w:rFonts w:ascii="標楷體" w:eastAsia="標楷體" w:hAnsi="標楷體"/>
                <w:color w:val="000000" w:themeColor="text1"/>
              </w:rPr>
              <w:t>9</w:t>
            </w:r>
          </w:p>
        </w:tc>
        <w:tc>
          <w:tcPr>
            <w:tcW w:w="2715" w:type="dxa"/>
            <w:shd w:val="clear" w:color="auto" w:fill="auto"/>
          </w:tcPr>
          <w:p w14:paraId="15DCB0F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聘用人員聘用條例第一條及第三條條文修正草案(修正重點：新增聘用人員於各機關中員額比例上限，避免破壞文官體制。)</w:t>
            </w:r>
          </w:p>
        </w:tc>
        <w:tc>
          <w:tcPr>
            <w:tcW w:w="1984" w:type="dxa"/>
            <w:shd w:val="clear" w:color="auto" w:fill="auto"/>
          </w:tcPr>
          <w:p w14:paraId="4E7EBC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委員陳以信</w:t>
            </w:r>
          </w:p>
          <w:p w14:paraId="6F0D2F8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67E6000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111.12.16 </w:t>
            </w:r>
          </w:p>
          <w:p w14:paraId="7D9CC5A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（10-6-12）</w:t>
            </w:r>
          </w:p>
        </w:tc>
        <w:tc>
          <w:tcPr>
            <w:tcW w:w="1614" w:type="dxa"/>
            <w:shd w:val="clear" w:color="auto" w:fill="auto"/>
          </w:tcPr>
          <w:p w14:paraId="02580DE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07196C2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3DE9080" w14:textId="77777777" w:rsidTr="00EC13B7">
        <w:tc>
          <w:tcPr>
            <w:tcW w:w="574" w:type="dxa"/>
            <w:shd w:val="clear" w:color="auto" w:fill="auto"/>
          </w:tcPr>
          <w:p w14:paraId="1864C51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w:t>
            </w:r>
            <w:r w:rsidRPr="00026143">
              <w:rPr>
                <w:rFonts w:ascii="標楷體" w:eastAsia="標楷體" w:hAnsi="標楷體"/>
                <w:color w:val="000000" w:themeColor="text1"/>
              </w:rPr>
              <w:t>0</w:t>
            </w:r>
          </w:p>
        </w:tc>
        <w:tc>
          <w:tcPr>
            <w:tcW w:w="2715" w:type="dxa"/>
            <w:shd w:val="clear" w:color="auto" w:fill="auto"/>
          </w:tcPr>
          <w:p w14:paraId="6CE9C7C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公務員服務法第十二條條文修正草案(修正重點：賦予約聘、派遣等</w:t>
            </w:r>
            <w:r w:rsidRPr="00026143">
              <w:rPr>
                <w:rFonts w:ascii="標楷體" w:eastAsia="標楷體" w:hAnsi="標楷體" w:hint="eastAsia"/>
                <w:color w:val="000000" w:themeColor="text1"/>
              </w:rPr>
              <w:t>僱</w:t>
            </w:r>
            <w:r w:rsidRPr="00026143">
              <w:rPr>
                <w:rFonts w:ascii="標楷體" w:eastAsia="標楷體" w:hAnsi="標楷體"/>
                <w:color w:val="000000" w:themeColor="text1"/>
              </w:rPr>
              <w:t>傭形式相關人員於取得公務人員任用資格後得併計休假年資之法源。)</w:t>
            </w:r>
          </w:p>
        </w:tc>
        <w:tc>
          <w:tcPr>
            <w:tcW w:w="1984" w:type="dxa"/>
            <w:shd w:val="clear" w:color="auto" w:fill="auto"/>
          </w:tcPr>
          <w:p w14:paraId="5FA17DD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委員傅</w:t>
            </w:r>
            <w:r w:rsidRPr="00026143">
              <w:rPr>
                <w:rFonts w:ascii="標楷體" w:eastAsia="標楷體" w:hAnsi="標楷體" w:hint="eastAsia"/>
                <w:color w:val="000000" w:themeColor="text1"/>
              </w:rPr>
              <w:t>崐萁</w:t>
            </w:r>
          </w:p>
          <w:p w14:paraId="5164D6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等</w:t>
            </w:r>
            <w:r w:rsidRPr="00026143">
              <w:rPr>
                <w:rFonts w:ascii="標楷體" w:eastAsia="標楷體" w:hAnsi="標楷體"/>
                <w:color w:val="000000" w:themeColor="text1"/>
              </w:rPr>
              <w:t xml:space="preserve">20人 </w:t>
            </w:r>
          </w:p>
          <w:p w14:paraId="2482039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2AD066F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614" w:type="dxa"/>
            <w:shd w:val="clear" w:color="auto" w:fill="auto"/>
          </w:tcPr>
          <w:p w14:paraId="180BB50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142D95F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7C5A56B0" w14:textId="77777777"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bookmarkStart w:id="436" w:name="_Toc361217363"/>
      <w:bookmarkStart w:id="437" w:name="_Toc362968423"/>
      <w:bookmarkStart w:id="438" w:name="_Toc428286990"/>
      <w:bookmarkStart w:id="439" w:name="_Toc510167703"/>
      <w:bookmarkStart w:id="440" w:name="_Toc1401090"/>
      <w:bookmarkStart w:id="441" w:name="_Toc96350536"/>
      <w:r w:rsidRPr="00026143">
        <w:rPr>
          <w:color w:val="000000" w:themeColor="text1"/>
        </w:rPr>
        <w:t>（六）監察院</w:t>
      </w:r>
      <w:r w:rsidRPr="00026143">
        <w:rPr>
          <w:rFonts w:hint="eastAsia"/>
          <w:color w:val="000000" w:themeColor="text1"/>
        </w:rPr>
        <w:t>4</w:t>
      </w:r>
      <w:r w:rsidRPr="00026143">
        <w:rPr>
          <w:color w:val="000000" w:themeColor="text1"/>
        </w:rPr>
        <w:t>案</w:t>
      </w:r>
      <w:bookmarkEnd w:id="436"/>
      <w:bookmarkEnd w:id="437"/>
      <w:bookmarkEnd w:id="438"/>
      <w:bookmarkEnd w:id="439"/>
      <w:bookmarkEnd w:id="440"/>
      <w:bookmarkEnd w:id="441"/>
    </w:p>
    <w:tbl>
      <w:tblPr>
        <w:tblW w:w="874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74"/>
        <w:gridCol w:w="2715"/>
        <w:gridCol w:w="1933"/>
        <w:gridCol w:w="1665"/>
        <w:gridCol w:w="1862"/>
      </w:tblGrid>
      <w:tr w:rsidR="00EC13B7" w:rsidRPr="00026143" w14:paraId="07F54BCB" w14:textId="77777777" w:rsidTr="00B8672D">
        <w:tc>
          <w:tcPr>
            <w:tcW w:w="574" w:type="dxa"/>
            <w:shd w:val="clear" w:color="auto" w:fill="auto"/>
          </w:tcPr>
          <w:p w14:paraId="30BC962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715" w:type="dxa"/>
            <w:shd w:val="clear" w:color="auto" w:fill="auto"/>
          </w:tcPr>
          <w:p w14:paraId="4DD80A9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33" w:type="dxa"/>
            <w:shd w:val="clear" w:color="auto" w:fill="auto"/>
          </w:tcPr>
          <w:p w14:paraId="741B08D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w:t>
            </w:r>
          </w:p>
          <w:p w14:paraId="4C2EEC9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院會交付日期</w:t>
            </w:r>
          </w:p>
          <w:p w14:paraId="3F37E1A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65" w:type="dxa"/>
            <w:shd w:val="clear" w:color="auto" w:fill="auto"/>
          </w:tcPr>
          <w:p w14:paraId="5DD9B53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62" w:type="dxa"/>
            <w:shd w:val="clear" w:color="auto" w:fill="auto"/>
          </w:tcPr>
          <w:p w14:paraId="0409D32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0AEF2F2A" w14:textId="77777777" w:rsidTr="00B8672D">
        <w:tc>
          <w:tcPr>
            <w:tcW w:w="574" w:type="dxa"/>
            <w:shd w:val="clear" w:color="auto" w:fill="auto"/>
          </w:tcPr>
          <w:p w14:paraId="6869641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715" w:type="dxa"/>
            <w:shd w:val="clear" w:color="auto" w:fill="auto"/>
          </w:tcPr>
          <w:p w14:paraId="2E30B84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933" w:type="dxa"/>
            <w:shd w:val="clear" w:color="auto" w:fill="auto"/>
          </w:tcPr>
          <w:p w14:paraId="1E1AE0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時代力量黨團</w:t>
            </w:r>
          </w:p>
          <w:p w14:paraId="08140A8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109.12.04 </w:t>
            </w:r>
          </w:p>
          <w:p w14:paraId="03E4C90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（10-2-6）</w:t>
            </w:r>
          </w:p>
        </w:tc>
        <w:tc>
          <w:tcPr>
            <w:tcW w:w="1665" w:type="dxa"/>
            <w:shd w:val="clear" w:color="auto" w:fill="auto"/>
          </w:tcPr>
          <w:p w14:paraId="7B006E7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862" w:type="dxa"/>
            <w:shd w:val="clear" w:color="auto" w:fill="auto"/>
          </w:tcPr>
          <w:p w14:paraId="5A9B17D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C95871A" w14:textId="77777777" w:rsidTr="00B8672D">
        <w:tc>
          <w:tcPr>
            <w:tcW w:w="574" w:type="dxa"/>
            <w:shd w:val="clear" w:color="auto" w:fill="auto"/>
          </w:tcPr>
          <w:p w14:paraId="14F1026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715" w:type="dxa"/>
            <w:shd w:val="clear" w:color="auto" w:fill="auto"/>
          </w:tcPr>
          <w:p w14:paraId="7CF4E57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監察法第二十八條及第</w:t>
            </w:r>
            <w:r w:rsidRPr="00026143">
              <w:rPr>
                <w:rFonts w:ascii="標楷體" w:eastAsia="標楷體" w:hAnsi="標楷體"/>
                <w:color w:val="000000" w:themeColor="text1"/>
              </w:rPr>
              <w:lastRenderedPageBreak/>
              <w:t>二十九條條文修正草案(修正重點：「警憲當局」修正為「司法或犯罪偵查機關」。)</w:t>
            </w:r>
          </w:p>
        </w:tc>
        <w:tc>
          <w:tcPr>
            <w:tcW w:w="1933" w:type="dxa"/>
            <w:shd w:val="clear" w:color="auto" w:fill="auto"/>
          </w:tcPr>
          <w:p w14:paraId="5A1479E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委員邱志偉</w:t>
            </w:r>
          </w:p>
          <w:p w14:paraId="5E953A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等18人 </w:t>
            </w:r>
          </w:p>
          <w:p w14:paraId="1DF9F6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1973DC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665" w:type="dxa"/>
            <w:shd w:val="clear" w:color="auto" w:fill="auto"/>
          </w:tcPr>
          <w:p w14:paraId="0CD4A3F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62" w:type="dxa"/>
            <w:shd w:val="clear" w:color="auto" w:fill="auto"/>
          </w:tcPr>
          <w:p w14:paraId="54A22C9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916FC85" w14:textId="77777777" w:rsidTr="00B8672D">
        <w:tc>
          <w:tcPr>
            <w:tcW w:w="574" w:type="dxa"/>
            <w:shd w:val="clear" w:color="auto" w:fill="auto"/>
          </w:tcPr>
          <w:p w14:paraId="3F6CE00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715" w:type="dxa"/>
            <w:shd w:val="clear" w:color="auto" w:fill="auto"/>
          </w:tcPr>
          <w:p w14:paraId="4EDABEC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r w:rsidRPr="00026143">
              <w:rPr>
                <w:rFonts w:ascii="標楷體" w:eastAsia="標楷體" w:hAnsi="標楷體"/>
                <w:color w:val="000000" w:themeColor="text1"/>
              </w:rPr>
              <w:t>監察法第八條及第二十六條條文修正草案(修正重點：增訂被調查公務員得申請涉及特定專業職務事項之意見諮詢；明定禁止以調查報告取代彈劾、糾舉或糾正，恪遵正當法律程序；明定調查案件遇有新事證，再次調查時明確之法定程序。)</w:t>
            </w:r>
          </w:p>
        </w:tc>
        <w:tc>
          <w:tcPr>
            <w:tcW w:w="1933" w:type="dxa"/>
            <w:shd w:val="clear" w:color="auto" w:fill="auto"/>
          </w:tcPr>
          <w:p w14:paraId="38D5195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委員葉毓蘭</w:t>
            </w:r>
          </w:p>
          <w:p w14:paraId="623A7BB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等18人 </w:t>
            </w:r>
          </w:p>
          <w:p w14:paraId="78A91C8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0AB778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665" w:type="dxa"/>
            <w:shd w:val="clear" w:color="auto" w:fill="auto"/>
          </w:tcPr>
          <w:p w14:paraId="3BA3092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8A2D01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8B6B77" w14:textId="77777777" w:rsidTr="00C37C56">
        <w:tc>
          <w:tcPr>
            <w:tcW w:w="574" w:type="dxa"/>
            <w:shd w:val="clear" w:color="auto" w:fill="auto"/>
          </w:tcPr>
          <w:p w14:paraId="21E24A4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bookmarkStart w:id="442" w:name="_Toc361217364"/>
            <w:bookmarkStart w:id="443" w:name="_Toc362968424"/>
            <w:bookmarkStart w:id="444" w:name="_Toc428286991"/>
            <w:bookmarkStart w:id="445" w:name="_Toc510167704"/>
            <w:bookmarkStart w:id="446" w:name="_Toc1401094"/>
            <w:bookmarkStart w:id="447" w:name="_Toc96350537"/>
            <w:r w:rsidRPr="00026143">
              <w:rPr>
                <w:rFonts w:ascii="標楷體" w:eastAsia="標楷體" w:hAnsi="標楷體"/>
                <w:color w:val="000000" w:themeColor="text1"/>
              </w:rPr>
              <w:t>4</w:t>
            </w:r>
          </w:p>
        </w:tc>
        <w:tc>
          <w:tcPr>
            <w:tcW w:w="2715" w:type="dxa"/>
            <w:shd w:val="clear" w:color="auto" w:fill="auto"/>
          </w:tcPr>
          <w:p w14:paraId="0147E54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監察法第二十六條條文修正草案(修正重點：監察院以「一案不兩查」與「監察院檔案管理要點」等監察院內規阻擋監察委員自由調閱已結案的調查報告與相關卷宗，限縮監察委員調查權一事，已經嚴重侵害監察委員的法定職權，爰提案修正。)</w:t>
            </w:r>
          </w:p>
        </w:tc>
        <w:tc>
          <w:tcPr>
            <w:tcW w:w="1933" w:type="dxa"/>
            <w:shd w:val="clear" w:color="auto" w:fill="auto"/>
          </w:tcPr>
          <w:p w14:paraId="3E338EB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委員劉櫂豪</w:t>
            </w:r>
          </w:p>
          <w:p w14:paraId="5AF6C59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48081A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111.12.23</w:t>
            </w:r>
          </w:p>
          <w:p w14:paraId="79DE8A9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665" w:type="dxa"/>
            <w:shd w:val="clear" w:color="auto" w:fill="auto"/>
          </w:tcPr>
          <w:p w14:paraId="6977F50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3A00320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7AC3DF0B" w14:textId="199A0C97" w:rsidR="00C37C56" w:rsidRDefault="00C37C56">
      <w:pPr>
        <w:widowControl/>
        <w:rPr>
          <w:color w:val="000000" w:themeColor="text1"/>
        </w:rPr>
        <w:sectPr w:rsidR="00C37C56" w:rsidSect="00EC13B7">
          <w:pgSz w:w="11906" w:h="16838" w:code="9"/>
          <w:pgMar w:top="993" w:right="1701" w:bottom="1134" w:left="1701" w:header="851" w:footer="992" w:gutter="0"/>
          <w:cols w:space="425"/>
          <w:docGrid w:type="lines" w:linePitch="360"/>
        </w:sectPr>
      </w:pPr>
    </w:p>
    <w:p w14:paraId="079F5A79" w14:textId="5FBC5B24" w:rsidR="00EC13B7" w:rsidRPr="00026143" w:rsidRDefault="00EC13B7" w:rsidP="007932B9">
      <w:pPr>
        <w:pStyle w:val="-40"/>
        <w:kinsoku w:val="0"/>
        <w:wordWrap w:val="0"/>
        <w:topLinePunct/>
        <w:spacing w:beforeLines="100" w:before="360" w:afterLines="100" w:after="360" w:line="260" w:lineRule="exact"/>
        <w:ind w:left="1134"/>
        <w:jc w:val="left"/>
        <w:textAlignment w:val="top"/>
        <w:rPr>
          <w:color w:val="000000" w:themeColor="text1"/>
        </w:rPr>
      </w:pPr>
      <w:r w:rsidRPr="00026143">
        <w:rPr>
          <w:color w:val="000000" w:themeColor="text1"/>
        </w:rPr>
        <w:lastRenderedPageBreak/>
        <w:t>（七）其他（包含交付多個委員會聯席審查）</w:t>
      </w:r>
      <w:r w:rsidRPr="00026143">
        <w:rPr>
          <w:rFonts w:hint="eastAsia"/>
          <w:color w:val="000000" w:themeColor="text1"/>
        </w:rPr>
        <w:t>4</w:t>
      </w:r>
      <w:r w:rsidRPr="00026143">
        <w:rPr>
          <w:color w:val="000000" w:themeColor="text1"/>
        </w:rPr>
        <w:t>案</w:t>
      </w:r>
      <w:bookmarkEnd w:id="442"/>
      <w:bookmarkEnd w:id="443"/>
      <w:bookmarkEnd w:id="444"/>
      <w:bookmarkEnd w:id="445"/>
      <w:bookmarkEnd w:id="446"/>
      <w:bookmarkEnd w:id="447"/>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58"/>
        <w:gridCol w:w="2631"/>
        <w:gridCol w:w="1961"/>
        <w:gridCol w:w="1637"/>
        <w:gridCol w:w="1862"/>
      </w:tblGrid>
      <w:tr w:rsidR="00EC13B7" w:rsidRPr="00026143" w14:paraId="0331908A" w14:textId="77777777" w:rsidTr="00EC13B7">
        <w:tc>
          <w:tcPr>
            <w:tcW w:w="658" w:type="dxa"/>
            <w:shd w:val="clear" w:color="auto" w:fill="auto"/>
          </w:tcPr>
          <w:p w14:paraId="075E8F3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31" w:type="dxa"/>
            <w:shd w:val="clear" w:color="auto" w:fill="auto"/>
          </w:tcPr>
          <w:p w14:paraId="51A9718C"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61" w:type="dxa"/>
            <w:shd w:val="clear" w:color="auto" w:fill="auto"/>
          </w:tcPr>
          <w:p w14:paraId="6C75DAA7"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提案委員或機關院會交付日期</w:t>
            </w:r>
          </w:p>
          <w:p w14:paraId="00522DDC"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(會次)</w:t>
            </w:r>
          </w:p>
        </w:tc>
        <w:tc>
          <w:tcPr>
            <w:tcW w:w="1637" w:type="dxa"/>
            <w:shd w:val="clear" w:color="auto" w:fill="auto"/>
          </w:tcPr>
          <w:p w14:paraId="6BB607B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62" w:type="dxa"/>
            <w:shd w:val="clear" w:color="auto" w:fill="auto"/>
          </w:tcPr>
          <w:p w14:paraId="4152090A"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22F9C6A9" w14:textId="77777777" w:rsidTr="00EC13B7">
        <w:tc>
          <w:tcPr>
            <w:tcW w:w="658" w:type="dxa"/>
            <w:shd w:val="clear" w:color="auto" w:fill="auto"/>
          </w:tcPr>
          <w:p w14:paraId="1F82B1B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31" w:type="dxa"/>
            <w:shd w:val="clear" w:color="auto" w:fill="auto"/>
            <w:vAlign w:val="center"/>
          </w:tcPr>
          <w:p w14:paraId="73E75F37" w14:textId="77777777" w:rsidR="00EC13B7" w:rsidRPr="00026143" w:rsidRDefault="00EC13B7" w:rsidP="003F057E">
            <w:pPr>
              <w:kinsoku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廢止「訓政結束程序法」（廢止重點：鑑於本法屬暫時法性質，且其所規定之事項已執行完畢，為符合現今情勢、維護民主憲政體制精神，爰擬提案廢止，以符合中央法規標準法之規定。）</w:t>
            </w:r>
          </w:p>
        </w:tc>
        <w:tc>
          <w:tcPr>
            <w:tcW w:w="1961" w:type="dxa"/>
            <w:shd w:val="clear" w:color="auto" w:fill="auto"/>
          </w:tcPr>
          <w:p w14:paraId="0E3CAD4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委員陳柏惟</w:t>
            </w:r>
          </w:p>
          <w:p w14:paraId="48CF5C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等21人 </w:t>
            </w:r>
          </w:p>
          <w:p w14:paraId="5611C6B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109.05.29</w:t>
            </w:r>
          </w:p>
          <w:p w14:paraId="0301CD7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（10-1-15）</w:t>
            </w:r>
          </w:p>
        </w:tc>
        <w:tc>
          <w:tcPr>
            <w:tcW w:w="1637" w:type="dxa"/>
            <w:shd w:val="clear" w:color="auto" w:fill="auto"/>
          </w:tcPr>
          <w:p w14:paraId="7734771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862" w:type="dxa"/>
            <w:shd w:val="clear" w:color="auto" w:fill="auto"/>
          </w:tcPr>
          <w:p w14:paraId="32CAA3C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14B0E7B3" w14:textId="77777777" w:rsidTr="00EC13B7">
        <w:tc>
          <w:tcPr>
            <w:tcW w:w="658" w:type="dxa"/>
            <w:shd w:val="clear" w:color="auto" w:fill="auto"/>
          </w:tcPr>
          <w:p w14:paraId="6347122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631" w:type="dxa"/>
            <w:shd w:val="clear" w:color="auto" w:fill="auto"/>
            <w:vAlign w:val="center"/>
          </w:tcPr>
          <w:p w14:paraId="3890CE1E" w14:textId="77777777" w:rsidR="00EC13B7" w:rsidRPr="00026143" w:rsidRDefault="00EC13B7" w:rsidP="003F057E">
            <w:pPr>
              <w:kinsoku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廢止「第一屆資深中央民意代表自願退職條例」(廢止重點：截至2022年11月1日止，退職之第一屆資深中央民意代表，僅存國大代表一人</w:t>
            </w:r>
            <w:r w:rsidRPr="00026143">
              <w:rPr>
                <w:rFonts w:ascii="標楷體" w:eastAsia="標楷體" w:hAnsi="標楷體"/>
                <w:color w:val="000000" w:themeColor="text1"/>
              </w:rPr>
              <w:lastRenderedPageBreak/>
              <w:t>，非請領月退職金，雖還有優惠存款之補貼，但已無涉自願退職條例之條文內容，該法已經無存在之必要，爰提案廢止。)</w:t>
            </w:r>
          </w:p>
        </w:tc>
        <w:tc>
          <w:tcPr>
            <w:tcW w:w="1961" w:type="dxa"/>
            <w:shd w:val="clear" w:color="auto" w:fill="auto"/>
          </w:tcPr>
          <w:p w14:paraId="26402E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委員鄭運鵬</w:t>
            </w:r>
          </w:p>
          <w:p w14:paraId="0739BB3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4CD0E30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04A29B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637" w:type="dxa"/>
            <w:shd w:val="clear" w:color="auto" w:fill="auto"/>
          </w:tcPr>
          <w:p w14:paraId="6D429E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2FC431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4E9613" w14:textId="77777777" w:rsidTr="00EC13B7">
        <w:tc>
          <w:tcPr>
            <w:tcW w:w="658" w:type="dxa"/>
            <w:shd w:val="clear" w:color="auto" w:fill="auto"/>
          </w:tcPr>
          <w:p w14:paraId="61B57B5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631" w:type="dxa"/>
            <w:shd w:val="clear" w:color="auto" w:fill="auto"/>
            <w:vAlign w:val="center"/>
          </w:tcPr>
          <w:p w14:paraId="0A48C299" w14:textId="77777777" w:rsidR="00EC13B7" w:rsidRPr="00026143" w:rsidRDefault="00EC13B7" w:rsidP="003F057E">
            <w:pPr>
              <w:kinsoku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廢止「國民大會同意權行使法」(廢止重點：立法院於民國九十三年八月二十三日通過憲法增修條文修正提案，並經任務型國民大會複決，於九十四年六月十日公布施行，任務型國民大會業被廢止，爰提案廢止。)</w:t>
            </w:r>
          </w:p>
        </w:tc>
        <w:tc>
          <w:tcPr>
            <w:tcW w:w="1961" w:type="dxa"/>
            <w:shd w:val="clear" w:color="auto" w:fill="auto"/>
          </w:tcPr>
          <w:p w14:paraId="245E17D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委員鄭運鵬</w:t>
            </w:r>
          </w:p>
          <w:p w14:paraId="48C545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530F155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04B302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637" w:type="dxa"/>
            <w:shd w:val="clear" w:color="auto" w:fill="auto"/>
          </w:tcPr>
          <w:p w14:paraId="6267421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2E5EC8E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5AE18F2" w14:textId="77777777" w:rsidTr="00EC13B7">
        <w:tc>
          <w:tcPr>
            <w:tcW w:w="658" w:type="dxa"/>
            <w:shd w:val="clear" w:color="auto" w:fill="auto"/>
          </w:tcPr>
          <w:p w14:paraId="32DFFAF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631" w:type="dxa"/>
            <w:shd w:val="clear" w:color="auto" w:fill="auto"/>
            <w:vAlign w:val="center"/>
          </w:tcPr>
          <w:p w14:paraId="55AAD78D" w14:textId="77777777" w:rsidR="00EC13B7" w:rsidRPr="00026143" w:rsidRDefault="00EC13B7" w:rsidP="003F057E">
            <w:pPr>
              <w:kinsoku w:val="0"/>
              <w:topLinePunct/>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廢止「國民大會職權行使法」(廢止重點：立法院於民國九十三年八月二十三日通過憲法增修條文修正提案，並經任務型國民大會複決，於九十四年六月十日公布施行，任務型國民大會業被廢止，爰提案廢止。)</w:t>
            </w:r>
          </w:p>
        </w:tc>
        <w:tc>
          <w:tcPr>
            <w:tcW w:w="1961" w:type="dxa"/>
            <w:shd w:val="clear" w:color="auto" w:fill="auto"/>
          </w:tcPr>
          <w:p w14:paraId="161C1A8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委員鄭運鵬</w:t>
            </w:r>
          </w:p>
          <w:p w14:paraId="4F33ADB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等16人 </w:t>
            </w:r>
          </w:p>
          <w:p w14:paraId="0C9C80E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111.12.09 </w:t>
            </w:r>
          </w:p>
          <w:p w14:paraId="6B08F61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（10-6-11）</w:t>
            </w:r>
          </w:p>
        </w:tc>
        <w:tc>
          <w:tcPr>
            <w:tcW w:w="1637" w:type="dxa"/>
            <w:shd w:val="clear" w:color="auto" w:fill="auto"/>
          </w:tcPr>
          <w:p w14:paraId="51D53B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62" w:type="dxa"/>
            <w:shd w:val="clear" w:color="auto" w:fill="auto"/>
          </w:tcPr>
          <w:p w14:paraId="7C67D0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72FFDE24" w14:textId="77777777" w:rsidR="00EC13B7" w:rsidRPr="00026143" w:rsidRDefault="00EC13B7" w:rsidP="007932B9">
      <w:pPr>
        <w:pStyle w:val="1-6"/>
        <w:kinsoku w:val="0"/>
        <w:wordWrap w:val="0"/>
        <w:topLinePunct/>
        <w:spacing w:beforeLines="150" w:before="540" w:after="180" w:line="260" w:lineRule="exact"/>
        <w:ind w:left="1441" w:hanging="1157"/>
        <w:jc w:val="left"/>
        <w:textAlignment w:val="top"/>
        <w:outlineLvl w:val="1"/>
        <w:rPr>
          <w:color w:val="000000" w:themeColor="text1"/>
        </w:rPr>
      </w:pPr>
      <w:bookmarkStart w:id="448" w:name="_Toc361217365"/>
      <w:bookmarkStart w:id="449" w:name="_Toc362968425"/>
      <w:bookmarkStart w:id="450" w:name="_Toc428286992"/>
      <w:r w:rsidRPr="00026143">
        <w:rPr>
          <w:b w:val="0"/>
          <w:color w:val="000000" w:themeColor="text1"/>
        </w:rPr>
        <w:br w:type="page"/>
      </w:r>
      <w:bookmarkStart w:id="451" w:name="_Toc1401095"/>
      <w:bookmarkStart w:id="452" w:name="_Toc96350538"/>
      <w:r w:rsidRPr="00026143">
        <w:rPr>
          <w:color w:val="000000" w:themeColor="text1"/>
        </w:rPr>
        <w:lastRenderedPageBreak/>
        <w:t>〔貳〕預</w:t>
      </w:r>
      <w:r w:rsidRPr="00026143">
        <w:rPr>
          <w:rFonts w:hint="eastAsia"/>
          <w:color w:val="000000" w:themeColor="text1"/>
        </w:rPr>
        <w:t>（</w:t>
      </w:r>
      <w:r w:rsidRPr="00026143">
        <w:rPr>
          <w:color w:val="000000" w:themeColor="text1"/>
        </w:rPr>
        <w:t>決</w:t>
      </w:r>
      <w:r w:rsidRPr="00026143">
        <w:rPr>
          <w:rFonts w:hint="eastAsia"/>
          <w:color w:val="000000" w:themeColor="text1"/>
        </w:rPr>
        <w:t>）</w:t>
      </w:r>
      <w:r w:rsidRPr="00026143">
        <w:rPr>
          <w:color w:val="000000" w:themeColor="text1"/>
        </w:rPr>
        <w:t>算案</w:t>
      </w:r>
      <w:r w:rsidRPr="00026143">
        <w:rPr>
          <w:rFonts w:hint="eastAsia"/>
          <w:color w:val="000000" w:themeColor="text1"/>
        </w:rPr>
        <w:t>2</w:t>
      </w:r>
      <w:r w:rsidRPr="00026143">
        <w:rPr>
          <w:color w:val="000000" w:themeColor="text1"/>
        </w:rPr>
        <w:t>02案</w:t>
      </w:r>
      <w:bookmarkEnd w:id="448"/>
      <w:bookmarkEnd w:id="449"/>
      <w:bookmarkEnd w:id="450"/>
      <w:bookmarkEnd w:id="451"/>
      <w:bookmarkEnd w:id="452"/>
    </w:p>
    <w:p w14:paraId="5CFA104D" w14:textId="77777777" w:rsidR="00EC13B7" w:rsidRPr="00026143" w:rsidRDefault="00EC13B7" w:rsidP="007015C7">
      <w:pPr>
        <w:pStyle w:val="1-6"/>
        <w:numPr>
          <w:ilvl w:val="0"/>
          <w:numId w:val="19"/>
        </w:numPr>
        <w:kinsoku w:val="0"/>
        <w:wordWrap w:val="0"/>
        <w:topLinePunct/>
        <w:spacing w:beforeLines="100" w:before="360" w:afterLines="100" w:after="360" w:line="260" w:lineRule="exact"/>
        <w:jc w:val="left"/>
        <w:textAlignment w:val="top"/>
        <w:outlineLvl w:val="2"/>
        <w:rPr>
          <w:color w:val="000000" w:themeColor="text1"/>
        </w:rPr>
      </w:pPr>
      <w:bookmarkStart w:id="453" w:name="_Toc96350539"/>
      <w:bookmarkStart w:id="454" w:name="_Toc361217374"/>
      <w:bookmarkStart w:id="455" w:name="_Toc362968434"/>
      <w:bookmarkStart w:id="456" w:name="_Toc428287001"/>
      <w:bookmarkStart w:id="457" w:name="_Toc1401101"/>
      <w:bookmarkStart w:id="458" w:name="_Toc96350540"/>
      <w:bookmarkStart w:id="459" w:name="_Toc104285809"/>
      <w:bookmarkStart w:id="460" w:name="_Toc104285808"/>
      <w:r w:rsidRPr="00026143">
        <w:rPr>
          <w:color w:val="000000" w:themeColor="text1"/>
        </w:rPr>
        <w:t>財團法人</w:t>
      </w:r>
      <w:r w:rsidRPr="00026143">
        <w:rPr>
          <w:rFonts w:hint="eastAsia"/>
          <w:color w:val="000000" w:themeColor="text1"/>
        </w:rPr>
        <w:t>3</w:t>
      </w:r>
      <w:r w:rsidRPr="00026143">
        <w:rPr>
          <w:color w:val="000000" w:themeColor="text1"/>
        </w:rPr>
        <w:t>案</w:t>
      </w:r>
      <w:bookmarkEnd w:id="453"/>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EC13B7" w:rsidRPr="00026143" w14:paraId="21DADD73" w14:textId="77777777" w:rsidTr="00EC13B7">
        <w:tc>
          <w:tcPr>
            <w:tcW w:w="574" w:type="dxa"/>
            <w:shd w:val="clear" w:color="auto" w:fill="auto"/>
          </w:tcPr>
          <w:p w14:paraId="00503251" w14:textId="77777777" w:rsidR="00EC13B7" w:rsidRPr="00026143" w:rsidRDefault="00EC13B7"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46" w:type="dxa"/>
            <w:shd w:val="clear" w:color="auto" w:fill="auto"/>
          </w:tcPr>
          <w:p w14:paraId="1FA706D3" w14:textId="77777777"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11" w:type="dxa"/>
            <w:shd w:val="clear" w:color="auto" w:fill="auto"/>
          </w:tcPr>
          <w:p w14:paraId="65BD855F" w14:textId="77777777"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提案機關、院會交付日期(會次)</w:t>
            </w:r>
          </w:p>
        </w:tc>
        <w:tc>
          <w:tcPr>
            <w:tcW w:w="1418" w:type="dxa"/>
            <w:shd w:val="clear" w:color="auto" w:fill="auto"/>
          </w:tcPr>
          <w:p w14:paraId="32B288FF" w14:textId="77777777"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794" w:type="dxa"/>
            <w:shd w:val="clear" w:color="auto" w:fill="auto"/>
          </w:tcPr>
          <w:p w14:paraId="71EB3C1E" w14:textId="77777777" w:rsidR="00061AEB"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w:t>
            </w:r>
            <w:r w:rsidR="00061AEB">
              <w:rPr>
                <w:rFonts w:ascii="標楷體" w:eastAsia="標楷體" w:hAnsi="標楷體" w:hint="eastAsia"/>
                <w:b/>
                <w:color w:val="000000" w:themeColor="text1"/>
              </w:rPr>
              <w:t>、處理</w:t>
            </w:r>
          </w:p>
          <w:p w14:paraId="063E5F4E" w14:textId="63E20BCA"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情形</w:t>
            </w:r>
          </w:p>
        </w:tc>
      </w:tr>
      <w:tr w:rsidR="00EC13B7" w:rsidRPr="00026143" w14:paraId="7B0A0FE0" w14:textId="77777777" w:rsidTr="00EC13B7">
        <w:tc>
          <w:tcPr>
            <w:tcW w:w="574" w:type="dxa"/>
            <w:shd w:val="clear" w:color="auto" w:fill="auto"/>
          </w:tcPr>
          <w:p w14:paraId="646E3B6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46" w:type="dxa"/>
            <w:shd w:val="clear" w:color="auto" w:fill="auto"/>
            <w:vAlign w:val="center"/>
          </w:tcPr>
          <w:p w14:paraId="73E9A1D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法務部函送財團法人犯罪被害人保護協會111年度預算凍結書面報告，請查照案。</w:t>
            </w:r>
          </w:p>
        </w:tc>
        <w:tc>
          <w:tcPr>
            <w:tcW w:w="1911" w:type="dxa"/>
            <w:shd w:val="clear" w:color="auto" w:fill="auto"/>
          </w:tcPr>
          <w:p w14:paraId="64F3145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C5F457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111.05.27</w:t>
            </w:r>
          </w:p>
          <w:p w14:paraId="4DF8982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418" w:type="dxa"/>
            <w:shd w:val="clear" w:color="auto" w:fill="auto"/>
          </w:tcPr>
          <w:p w14:paraId="54F1292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94" w:type="dxa"/>
            <w:shd w:val="clear" w:color="auto" w:fill="auto"/>
          </w:tcPr>
          <w:p w14:paraId="42C42D4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尚未處理</w:t>
            </w:r>
          </w:p>
        </w:tc>
      </w:tr>
      <w:tr w:rsidR="00EC13B7" w:rsidRPr="00026143" w14:paraId="077F3675" w14:textId="77777777" w:rsidTr="00EC13B7">
        <w:tc>
          <w:tcPr>
            <w:tcW w:w="574" w:type="dxa"/>
            <w:shd w:val="clear" w:color="auto" w:fill="auto"/>
          </w:tcPr>
          <w:p w14:paraId="4C0FF3B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646" w:type="dxa"/>
            <w:shd w:val="clear" w:color="auto" w:fill="auto"/>
            <w:vAlign w:val="center"/>
          </w:tcPr>
          <w:p w14:paraId="1B05B0B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司法院函送財團法人法律扶助基金會110年度決算書案。</w:t>
            </w:r>
          </w:p>
        </w:tc>
        <w:tc>
          <w:tcPr>
            <w:tcW w:w="1911" w:type="dxa"/>
            <w:shd w:val="clear" w:color="auto" w:fill="auto"/>
          </w:tcPr>
          <w:p w14:paraId="4458176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028748A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111.09.23</w:t>
            </w:r>
          </w:p>
          <w:p w14:paraId="1AFAEDE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418" w:type="dxa"/>
            <w:shd w:val="clear" w:color="auto" w:fill="auto"/>
          </w:tcPr>
          <w:p w14:paraId="2785C2D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94" w:type="dxa"/>
            <w:shd w:val="clear" w:color="auto" w:fill="auto"/>
          </w:tcPr>
          <w:p w14:paraId="518F74C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6964676" w14:textId="77777777" w:rsidTr="00EC13B7">
        <w:tc>
          <w:tcPr>
            <w:tcW w:w="574" w:type="dxa"/>
            <w:shd w:val="clear" w:color="auto" w:fill="auto"/>
          </w:tcPr>
          <w:p w14:paraId="3658E34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646" w:type="dxa"/>
            <w:shd w:val="clear" w:color="auto" w:fill="auto"/>
            <w:vAlign w:val="center"/>
          </w:tcPr>
          <w:p w14:paraId="0B13B3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法務部函送財團法人臺灣更生保護會、財團法人福建更生保護會及財團法人犯罪被害人保護協會110年度決算書案。</w:t>
            </w:r>
          </w:p>
        </w:tc>
        <w:tc>
          <w:tcPr>
            <w:tcW w:w="1911" w:type="dxa"/>
            <w:shd w:val="clear" w:color="auto" w:fill="auto"/>
          </w:tcPr>
          <w:p w14:paraId="0DE64C6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70D6EA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111.09.23 </w:t>
            </w:r>
          </w:p>
          <w:p w14:paraId="395A935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tc>
        <w:tc>
          <w:tcPr>
            <w:tcW w:w="1418" w:type="dxa"/>
            <w:shd w:val="clear" w:color="auto" w:fill="auto"/>
          </w:tcPr>
          <w:p w14:paraId="62D47EC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94" w:type="dxa"/>
            <w:shd w:val="clear" w:color="auto" w:fill="auto"/>
          </w:tcPr>
          <w:p w14:paraId="0D1054E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bookmarkEnd w:id="454"/>
    <w:bookmarkEnd w:id="455"/>
    <w:bookmarkEnd w:id="456"/>
    <w:bookmarkEnd w:id="457"/>
    <w:p w14:paraId="0E19F237" w14:textId="77777777" w:rsidR="00EC13B7" w:rsidRPr="00026143" w:rsidRDefault="00EC13B7" w:rsidP="007015C7">
      <w:pPr>
        <w:pStyle w:val="1-6"/>
        <w:numPr>
          <w:ilvl w:val="0"/>
          <w:numId w:val="19"/>
        </w:numPr>
        <w:kinsoku w:val="0"/>
        <w:wordWrap w:val="0"/>
        <w:topLinePunct/>
        <w:spacing w:beforeLines="100" w:before="360" w:afterLines="100" w:after="360" w:line="260" w:lineRule="exact"/>
        <w:jc w:val="left"/>
        <w:textAlignment w:val="top"/>
        <w:outlineLvl w:val="2"/>
        <w:rPr>
          <w:color w:val="000000" w:themeColor="text1"/>
        </w:rPr>
      </w:pPr>
      <w:r w:rsidRPr="00026143">
        <w:rPr>
          <w:rFonts w:hint="eastAsia"/>
          <w:color w:val="000000" w:themeColor="text1"/>
        </w:rPr>
        <w:t>預算凍結案14</w:t>
      </w:r>
      <w:r w:rsidRPr="00026143">
        <w:rPr>
          <w:color w:val="000000" w:themeColor="text1"/>
        </w:rPr>
        <w:t>案</w:t>
      </w:r>
      <w:bookmarkEnd w:id="458"/>
    </w:p>
    <w:p w14:paraId="146DD730" w14:textId="77777777" w:rsidR="00EC13B7" w:rsidRPr="00026143" w:rsidRDefault="00EC13B7" w:rsidP="007015C7">
      <w:pPr>
        <w:pStyle w:val="-40"/>
        <w:numPr>
          <w:ilvl w:val="0"/>
          <w:numId w:val="17"/>
        </w:numPr>
        <w:spacing w:before="180" w:after="180"/>
        <w:rPr>
          <w:color w:val="000000" w:themeColor="text1"/>
          <w:lang w:val="x-none"/>
        </w:rPr>
      </w:pPr>
      <w:r w:rsidRPr="00026143">
        <w:rPr>
          <w:color w:val="000000" w:themeColor="text1"/>
          <w:szCs w:val="20"/>
          <w:lang w:eastAsia="ko-KR"/>
        </w:rPr>
        <w:t>行政院3案</w:t>
      </w:r>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EC13B7" w:rsidRPr="00026143" w14:paraId="31FB1897" w14:textId="77777777" w:rsidTr="00EC13B7">
        <w:tc>
          <w:tcPr>
            <w:tcW w:w="574" w:type="dxa"/>
            <w:shd w:val="clear" w:color="auto" w:fill="auto"/>
          </w:tcPr>
          <w:p w14:paraId="54E5108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46" w:type="dxa"/>
            <w:shd w:val="clear" w:color="auto" w:fill="auto"/>
          </w:tcPr>
          <w:p w14:paraId="72B8A8F7"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11" w:type="dxa"/>
            <w:shd w:val="clear" w:color="auto" w:fill="auto"/>
          </w:tcPr>
          <w:p w14:paraId="31371154"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提案機關、院會交付日期(會次)</w:t>
            </w:r>
          </w:p>
        </w:tc>
        <w:tc>
          <w:tcPr>
            <w:tcW w:w="1418" w:type="dxa"/>
            <w:shd w:val="clear" w:color="auto" w:fill="auto"/>
          </w:tcPr>
          <w:p w14:paraId="28A09843"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hint="eastAsia"/>
                <w:b/>
                <w:color w:val="000000" w:themeColor="text1"/>
              </w:rPr>
              <w:t>交付</w:t>
            </w:r>
            <w:r w:rsidRPr="00026143">
              <w:rPr>
                <w:rFonts w:ascii="標楷體" w:eastAsia="標楷體" w:hAnsi="標楷體"/>
                <w:b/>
                <w:color w:val="000000" w:themeColor="text1"/>
              </w:rPr>
              <w:t>委員會</w:t>
            </w:r>
          </w:p>
        </w:tc>
        <w:tc>
          <w:tcPr>
            <w:tcW w:w="1794" w:type="dxa"/>
            <w:shd w:val="clear" w:color="auto" w:fill="auto"/>
          </w:tcPr>
          <w:p w14:paraId="33FE0687"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w:t>
            </w:r>
            <w:r w:rsidRPr="00026143">
              <w:rPr>
                <w:rFonts w:ascii="標楷體" w:eastAsia="標楷體" w:hAnsi="標楷體" w:hint="eastAsia"/>
                <w:b/>
                <w:color w:val="000000" w:themeColor="text1"/>
              </w:rPr>
              <w:t>、處理</w:t>
            </w:r>
          </w:p>
          <w:p w14:paraId="334D27C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情形</w:t>
            </w:r>
          </w:p>
        </w:tc>
      </w:tr>
      <w:tr w:rsidR="00EC13B7" w:rsidRPr="00026143" w14:paraId="40F508EE" w14:textId="77777777" w:rsidTr="00EC13B7">
        <w:tc>
          <w:tcPr>
            <w:tcW w:w="574" w:type="dxa"/>
            <w:shd w:val="clear" w:color="auto" w:fill="auto"/>
          </w:tcPr>
          <w:p w14:paraId="08EB2DE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46" w:type="dxa"/>
            <w:shd w:val="clear" w:color="auto" w:fill="auto"/>
            <w:vAlign w:val="center"/>
          </w:tcPr>
          <w:p w14:paraId="414CB09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為111年度中央政府總預算決議，檢送決議（一）歲出預算凍結10萬元書面報告，請查照案。</w:t>
            </w:r>
          </w:p>
        </w:tc>
        <w:tc>
          <w:tcPr>
            <w:tcW w:w="1911" w:type="dxa"/>
            <w:shd w:val="clear" w:color="auto" w:fill="auto"/>
          </w:tcPr>
          <w:p w14:paraId="36204BA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10023C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40C878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418" w:type="dxa"/>
            <w:shd w:val="clear" w:color="auto" w:fill="auto"/>
          </w:tcPr>
          <w:p w14:paraId="65BFE1C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94" w:type="dxa"/>
            <w:shd w:val="clear" w:color="auto" w:fill="auto"/>
          </w:tcPr>
          <w:p w14:paraId="0D4591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w:t>
            </w:r>
            <w:r w:rsidRPr="00026143">
              <w:rPr>
                <w:rFonts w:ascii="標楷體" w:eastAsia="標楷體" w:hAnsi="標楷體" w:hint="eastAsia"/>
                <w:color w:val="000000" w:themeColor="text1"/>
              </w:rPr>
              <w:t>審查</w:t>
            </w:r>
          </w:p>
        </w:tc>
      </w:tr>
      <w:tr w:rsidR="00EC13B7" w:rsidRPr="00026143" w14:paraId="29062DD8" w14:textId="77777777" w:rsidTr="00EC13B7">
        <w:tc>
          <w:tcPr>
            <w:tcW w:w="574" w:type="dxa"/>
            <w:shd w:val="clear" w:color="auto" w:fill="auto"/>
          </w:tcPr>
          <w:p w14:paraId="1364635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646" w:type="dxa"/>
            <w:shd w:val="clear" w:color="auto" w:fill="auto"/>
            <w:vAlign w:val="center"/>
          </w:tcPr>
          <w:p w14:paraId="0D42A72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為111年度中央政府總預算決議，檢送決議（二）第1目「一般行政」凍結20萬元書面報告，請查照案。</w:t>
            </w:r>
          </w:p>
        </w:tc>
        <w:tc>
          <w:tcPr>
            <w:tcW w:w="1911" w:type="dxa"/>
            <w:shd w:val="clear" w:color="auto" w:fill="auto"/>
          </w:tcPr>
          <w:p w14:paraId="5113CB7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7F70E8C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299EC04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418" w:type="dxa"/>
            <w:shd w:val="clear" w:color="auto" w:fill="auto"/>
          </w:tcPr>
          <w:p w14:paraId="4A43679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94" w:type="dxa"/>
            <w:shd w:val="clear" w:color="auto" w:fill="auto"/>
          </w:tcPr>
          <w:p w14:paraId="16E9F9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w:t>
            </w:r>
            <w:r w:rsidRPr="00026143">
              <w:rPr>
                <w:rFonts w:ascii="標楷體" w:eastAsia="標楷體" w:hAnsi="標楷體" w:hint="eastAsia"/>
                <w:color w:val="000000" w:themeColor="text1"/>
              </w:rPr>
              <w:t>審查</w:t>
            </w:r>
          </w:p>
        </w:tc>
      </w:tr>
      <w:tr w:rsidR="00EC13B7" w:rsidRPr="00026143" w14:paraId="14A14EA1" w14:textId="77777777" w:rsidTr="00EC13B7">
        <w:tc>
          <w:tcPr>
            <w:tcW w:w="574" w:type="dxa"/>
            <w:shd w:val="clear" w:color="auto" w:fill="auto"/>
          </w:tcPr>
          <w:p w14:paraId="6D19715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646" w:type="dxa"/>
            <w:shd w:val="clear" w:color="auto" w:fill="auto"/>
            <w:vAlign w:val="center"/>
          </w:tcPr>
          <w:p w14:paraId="041CEC9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為111年度中央政府總預算決議，檢送決議（三）第2目「促進轉型正義業務」凍結50萬元書面報告，請查照案。</w:t>
            </w:r>
          </w:p>
        </w:tc>
        <w:tc>
          <w:tcPr>
            <w:tcW w:w="1911" w:type="dxa"/>
            <w:shd w:val="clear" w:color="auto" w:fill="auto"/>
          </w:tcPr>
          <w:p w14:paraId="64AD57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6908E3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111.04.22</w:t>
            </w:r>
          </w:p>
          <w:p w14:paraId="1509E88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418" w:type="dxa"/>
            <w:shd w:val="clear" w:color="auto" w:fill="auto"/>
          </w:tcPr>
          <w:p w14:paraId="382A364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94" w:type="dxa"/>
            <w:shd w:val="clear" w:color="auto" w:fill="auto"/>
          </w:tcPr>
          <w:p w14:paraId="4671BE6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w:t>
            </w:r>
            <w:r w:rsidRPr="00026143">
              <w:rPr>
                <w:rFonts w:ascii="標楷體" w:eastAsia="標楷體" w:hAnsi="標楷體" w:hint="eastAsia"/>
                <w:color w:val="000000" w:themeColor="text1"/>
              </w:rPr>
              <w:t>審查</w:t>
            </w:r>
          </w:p>
        </w:tc>
      </w:tr>
    </w:tbl>
    <w:p w14:paraId="0B524398" w14:textId="77777777" w:rsidR="00EC13B7" w:rsidRPr="00026143" w:rsidRDefault="00EC13B7" w:rsidP="007015C7">
      <w:pPr>
        <w:pStyle w:val="-40"/>
        <w:numPr>
          <w:ilvl w:val="0"/>
          <w:numId w:val="17"/>
        </w:numPr>
        <w:spacing w:before="180" w:after="180"/>
        <w:rPr>
          <w:color w:val="000000" w:themeColor="text1"/>
          <w:lang w:val="x-none"/>
        </w:rPr>
      </w:pPr>
      <w:r w:rsidRPr="00026143">
        <w:rPr>
          <w:rFonts w:hint="eastAsia"/>
          <w:color w:val="000000" w:themeColor="text1"/>
          <w:szCs w:val="20"/>
        </w:rPr>
        <w:lastRenderedPageBreak/>
        <w:t>立法院2</w:t>
      </w:r>
      <w:r w:rsidRPr="00026143">
        <w:rPr>
          <w:color w:val="000000" w:themeColor="text1"/>
          <w:szCs w:val="20"/>
          <w:lang w:eastAsia="ko-KR"/>
        </w:rPr>
        <w:t>案</w:t>
      </w:r>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EC13B7" w:rsidRPr="00026143" w14:paraId="7AB2B2BC" w14:textId="77777777" w:rsidTr="00200B77">
        <w:tc>
          <w:tcPr>
            <w:tcW w:w="574" w:type="dxa"/>
            <w:shd w:val="clear" w:color="auto" w:fill="auto"/>
          </w:tcPr>
          <w:p w14:paraId="6DF7CE2C" w14:textId="77777777" w:rsidR="00EC13B7" w:rsidRPr="00026143" w:rsidRDefault="00EC13B7"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46" w:type="dxa"/>
            <w:shd w:val="clear" w:color="auto" w:fill="auto"/>
          </w:tcPr>
          <w:p w14:paraId="56AD516A" w14:textId="77777777" w:rsidR="00EC13B7" w:rsidRPr="00026143" w:rsidRDefault="00EC13B7" w:rsidP="004534CD">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11" w:type="dxa"/>
            <w:shd w:val="clear" w:color="auto" w:fill="auto"/>
          </w:tcPr>
          <w:p w14:paraId="52192AD8" w14:textId="77777777" w:rsidR="00EC13B7" w:rsidRPr="00026143" w:rsidRDefault="00EC13B7" w:rsidP="005742E0">
            <w:pPr>
              <w:kinsoku w:val="0"/>
              <w:wordWrap w:val="0"/>
              <w:topLinePunct/>
              <w:adjustRightInd w:val="0"/>
              <w:snapToGrid w:val="0"/>
              <w:spacing w:line="300" w:lineRule="exact"/>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提案機關、院會交付日期(會次)</w:t>
            </w:r>
          </w:p>
        </w:tc>
        <w:tc>
          <w:tcPr>
            <w:tcW w:w="1418" w:type="dxa"/>
            <w:shd w:val="clear" w:color="auto" w:fill="auto"/>
          </w:tcPr>
          <w:p w14:paraId="2A8D8A6B" w14:textId="77777777" w:rsidR="00EC13B7" w:rsidRPr="00026143" w:rsidRDefault="00EC13B7" w:rsidP="005742E0">
            <w:pPr>
              <w:kinsoku w:val="0"/>
              <w:wordWrap w:val="0"/>
              <w:topLinePunct/>
              <w:adjustRightInd w:val="0"/>
              <w:snapToGrid w:val="0"/>
              <w:spacing w:line="300" w:lineRule="exact"/>
              <w:jc w:val="both"/>
              <w:textAlignment w:val="top"/>
              <w:rPr>
                <w:rFonts w:ascii="標楷體" w:eastAsia="標楷體" w:hAnsi="標楷體"/>
                <w:b/>
                <w:color w:val="000000" w:themeColor="text1"/>
              </w:rPr>
            </w:pPr>
            <w:r w:rsidRPr="00026143">
              <w:rPr>
                <w:rFonts w:ascii="標楷體" w:eastAsia="標楷體" w:hAnsi="標楷體" w:hint="eastAsia"/>
                <w:b/>
                <w:color w:val="000000" w:themeColor="text1"/>
              </w:rPr>
              <w:t>交付</w:t>
            </w:r>
            <w:r w:rsidRPr="00026143">
              <w:rPr>
                <w:rFonts w:ascii="標楷體" w:eastAsia="標楷體" w:hAnsi="標楷體"/>
                <w:b/>
                <w:color w:val="000000" w:themeColor="text1"/>
              </w:rPr>
              <w:t>委員會</w:t>
            </w:r>
          </w:p>
        </w:tc>
        <w:tc>
          <w:tcPr>
            <w:tcW w:w="1794" w:type="dxa"/>
            <w:shd w:val="clear" w:color="auto" w:fill="auto"/>
          </w:tcPr>
          <w:p w14:paraId="1303FE92" w14:textId="77777777" w:rsidR="00EC13B7" w:rsidRPr="00026143" w:rsidRDefault="00EC13B7" w:rsidP="00476FAF">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w:t>
            </w:r>
            <w:r w:rsidRPr="00026143">
              <w:rPr>
                <w:rFonts w:ascii="標楷體" w:eastAsia="標楷體" w:hAnsi="標楷體" w:hint="eastAsia"/>
                <w:b/>
                <w:color w:val="000000" w:themeColor="text1"/>
              </w:rPr>
              <w:t>、處理</w:t>
            </w:r>
          </w:p>
          <w:p w14:paraId="1B49D665" w14:textId="77777777" w:rsidR="00EC13B7" w:rsidRPr="00026143" w:rsidRDefault="00EC13B7" w:rsidP="00476FAF">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情形</w:t>
            </w:r>
          </w:p>
        </w:tc>
      </w:tr>
      <w:tr w:rsidR="00EC13B7" w:rsidRPr="00026143" w14:paraId="4788F94A" w14:textId="77777777" w:rsidTr="00200B77">
        <w:tc>
          <w:tcPr>
            <w:tcW w:w="574" w:type="dxa"/>
            <w:shd w:val="clear" w:color="auto" w:fill="auto"/>
          </w:tcPr>
          <w:p w14:paraId="347FD287" w14:textId="77777777" w:rsidR="00EC13B7" w:rsidRPr="00026143" w:rsidRDefault="00EC13B7"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646" w:type="dxa"/>
            <w:shd w:val="clear" w:color="auto" w:fill="auto"/>
            <w:vAlign w:val="center"/>
          </w:tcPr>
          <w:p w14:paraId="26BC652E" w14:textId="77777777" w:rsidR="00EC13B7" w:rsidRPr="00026143" w:rsidRDefault="00EC13B7" w:rsidP="004534CD">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為110年度中央政府總預算決議，檢送本院單位預算決議（一）預算凍結書面報告，請查照案。</w:t>
            </w:r>
          </w:p>
        </w:tc>
        <w:tc>
          <w:tcPr>
            <w:tcW w:w="1911" w:type="dxa"/>
            <w:shd w:val="clear" w:color="auto" w:fill="auto"/>
          </w:tcPr>
          <w:p w14:paraId="24824AE9" w14:textId="77777777" w:rsidR="00EC13B7" w:rsidRPr="00026143" w:rsidRDefault="00EC13B7"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立法院秘書長 </w:t>
            </w:r>
          </w:p>
          <w:p w14:paraId="3580A523" w14:textId="77777777" w:rsidR="00EC13B7" w:rsidRPr="00026143" w:rsidRDefault="00EC13B7"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110.03.26 </w:t>
            </w:r>
          </w:p>
          <w:p w14:paraId="234BF70C" w14:textId="77777777" w:rsidR="00EC13B7" w:rsidRPr="00026143" w:rsidRDefault="00EC13B7"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（10-3-5）</w:t>
            </w:r>
          </w:p>
        </w:tc>
        <w:tc>
          <w:tcPr>
            <w:tcW w:w="1418" w:type="dxa"/>
            <w:shd w:val="clear" w:color="auto" w:fill="auto"/>
          </w:tcPr>
          <w:p w14:paraId="34515E34" w14:textId="77777777" w:rsidR="00EC13B7" w:rsidRPr="00026143" w:rsidRDefault="00EC13B7"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94" w:type="dxa"/>
            <w:shd w:val="clear" w:color="auto" w:fill="auto"/>
          </w:tcPr>
          <w:p w14:paraId="3097B860" w14:textId="77777777" w:rsidR="00EC13B7" w:rsidRPr="00026143" w:rsidRDefault="00EC13B7"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尚未處理</w:t>
            </w:r>
          </w:p>
        </w:tc>
      </w:tr>
      <w:tr w:rsidR="00EC13B7" w:rsidRPr="00026143" w14:paraId="64EFEC6A" w14:textId="77777777" w:rsidTr="00200B77">
        <w:tc>
          <w:tcPr>
            <w:tcW w:w="574" w:type="dxa"/>
            <w:shd w:val="clear" w:color="auto" w:fill="auto"/>
          </w:tcPr>
          <w:p w14:paraId="6CD0717C" w14:textId="77777777" w:rsidR="00EC13B7" w:rsidRPr="00026143" w:rsidRDefault="00EC13B7"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646" w:type="dxa"/>
            <w:shd w:val="clear" w:color="auto" w:fill="auto"/>
            <w:vAlign w:val="center"/>
          </w:tcPr>
          <w:p w14:paraId="139E8794" w14:textId="77777777" w:rsidR="00EC13B7" w:rsidRPr="00026143" w:rsidRDefault="00EC13B7"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為110年度中央政府總預算決議，檢送歲出決議（二）第4目項下「預算諮詢業務」凍結1千元書面報告，請查照案。</w:t>
            </w:r>
          </w:p>
        </w:tc>
        <w:tc>
          <w:tcPr>
            <w:tcW w:w="1911" w:type="dxa"/>
            <w:shd w:val="clear" w:color="auto" w:fill="auto"/>
          </w:tcPr>
          <w:p w14:paraId="43C3F109" w14:textId="77777777" w:rsidR="00EC13B7" w:rsidRPr="00026143" w:rsidRDefault="00EC13B7"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立法院秘書長 </w:t>
            </w:r>
          </w:p>
          <w:p w14:paraId="4F02CFEB" w14:textId="77777777" w:rsidR="00EC13B7" w:rsidRPr="00026143" w:rsidRDefault="00EC13B7"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110.03.26</w:t>
            </w:r>
          </w:p>
          <w:p w14:paraId="39EF488F" w14:textId="77777777" w:rsidR="00EC13B7" w:rsidRPr="00026143" w:rsidRDefault="00EC13B7"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（10-3-5）</w:t>
            </w:r>
          </w:p>
        </w:tc>
        <w:tc>
          <w:tcPr>
            <w:tcW w:w="1418" w:type="dxa"/>
            <w:shd w:val="clear" w:color="auto" w:fill="auto"/>
          </w:tcPr>
          <w:p w14:paraId="2BBF55CA" w14:textId="77777777" w:rsidR="00EC13B7" w:rsidRPr="00026143" w:rsidRDefault="00EC13B7"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94" w:type="dxa"/>
            <w:shd w:val="clear" w:color="auto" w:fill="auto"/>
          </w:tcPr>
          <w:p w14:paraId="664AF6EE" w14:textId="77777777" w:rsidR="00EC13B7" w:rsidRPr="00026143" w:rsidRDefault="00EC13B7"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尚未處理</w:t>
            </w:r>
          </w:p>
        </w:tc>
      </w:tr>
    </w:tbl>
    <w:p w14:paraId="634D842F" w14:textId="77777777" w:rsidR="00EC13B7" w:rsidRPr="00026143" w:rsidRDefault="00EC13B7" w:rsidP="007015C7">
      <w:pPr>
        <w:pStyle w:val="-40"/>
        <w:numPr>
          <w:ilvl w:val="0"/>
          <w:numId w:val="17"/>
        </w:numPr>
        <w:spacing w:before="180" w:after="180"/>
        <w:rPr>
          <w:color w:val="000000" w:themeColor="text1"/>
          <w:szCs w:val="20"/>
          <w:lang w:val="x-none" w:eastAsia="ko-KR"/>
        </w:rPr>
      </w:pPr>
      <w:r w:rsidRPr="00026143">
        <w:rPr>
          <w:color w:val="000000" w:themeColor="text1"/>
          <w:szCs w:val="20"/>
          <w:lang w:val="x-none" w:eastAsia="ko-KR"/>
        </w:rPr>
        <w:t>考試院</w:t>
      </w:r>
      <w:r w:rsidRPr="00026143">
        <w:rPr>
          <w:rFonts w:hint="eastAsia"/>
          <w:color w:val="000000" w:themeColor="text1"/>
          <w:szCs w:val="20"/>
          <w:lang w:val="x-none"/>
        </w:rPr>
        <w:t>9</w:t>
      </w:r>
      <w:r w:rsidRPr="00026143">
        <w:rPr>
          <w:color w:val="000000" w:themeColor="text1"/>
          <w:szCs w:val="20"/>
          <w:lang w:val="x-none" w:eastAsia="ko-KR"/>
        </w:rPr>
        <w:t>案</w:t>
      </w:r>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EC13B7" w:rsidRPr="00026143" w14:paraId="289B3D8F" w14:textId="77777777" w:rsidTr="005742E0">
        <w:tc>
          <w:tcPr>
            <w:tcW w:w="574" w:type="dxa"/>
            <w:shd w:val="clear" w:color="auto" w:fill="auto"/>
          </w:tcPr>
          <w:p w14:paraId="2FD4EB92" w14:textId="77777777" w:rsidR="00EC13B7" w:rsidRPr="00026143" w:rsidRDefault="00EC13B7"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646" w:type="dxa"/>
            <w:shd w:val="clear" w:color="auto" w:fill="auto"/>
          </w:tcPr>
          <w:p w14:paraId="165E1A7B" w14:textId="77777777" w:rsidR="00EC13B7" w:rsidRPr="00026143" w:rsidRDefault="00EC13B7" w:rsidP="00EC13B7">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11" w:type="dxa"/>
            <w:shd w:val="clear" w:color="auto" w:fill="auto"/>
          </w:tcPr>
          <w:p w14:paraId="332A9D60" w14:textId="77777777"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提案機關、院會交付日期(會次)</w:t>
            </w:r>
          </w:p>
        </w:tc>
        <w:tc>
          <w:tcPr>
            <w:tcW w:w="1418" w:type="dxa"/>
            <w:shd w:val="clear" w:color="auto" w:fill="auto"/>
          </w:tcPr>
          <w:p w14:paraId="04E44AAA" w14:textId="77777777"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hint="eastAsia"/>
                <w:b/>
                <w:color w:val="000000" w:themeColor="text1"/>
              </w:rPr>
              <w:t>交付</w:t>
            </w:r>
            <w:r w:rsidRPr="00026143">
              <w:rPr>
                <w:rFonts w:ascii="標楷體" w:eastAsia="標楷體" w:hAnsi="標楷體"/>
                <w:b/>
                <w:color w:val="000000" w:themeColor="text1"/>
              </w:rPr>
              <w:t>委員會</w:t>
            </w:r>
          </w:p>
        </w:tc>
        <w:tc>
          <w:tcPr>
            <w:tcW w:w="1794" w:type="dxa"/>
            <w:shd w:val="clear" w:color="auto" w:fill="auto"/>
          </w:tcPr>
          <w:p w14:paraId="4511069E" w14:textId="77777777"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w:t>
            </w:r>
            <w:r w:rsidRPr="00026143">
              <w:rPr>
                <w:rFonts w:ascii="標楷體" w:eastAsia="標楷體" w:hAnsi="標楷體" w:hint="eastAsia"/>
                <w:b/>
                <w:color w:val="000000" w:themeColor="text1"/>
              </w:rPr>
              <w:t>、處理</w:t>
            </w:r>
          </w:p>
          <w:p w14:paraId="3937B158" w14:textId="77777777" w:rsidR="00EC13B7" w:rsidRPr="00026143" w:rsidRDefault="00EC13B7"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情形</w:t>
            </w:r>
          </w:p>
        </w:tc>
      </w:tr>
      <w:tr w:rsidR="00EC13B7" w:rsidRPr="00026143" w14:paraId="53BC9E86" w14:textId="77777777" w:rsidTr="00EC13B7">
        <w:tc>
          <w:tcPr>
            <w:tcW w:w="574" w:type="dxa"/>
            <w:shd w:val="clear" w:color="auto" w:fill="auto"/>
          </w:tcPr>
          <w:p w14:paraId="6695607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t>1</w:t>
            </w:r>
          </w:p>
        </w:tc>
        <w:tc>
          <w:tcPr>
            <w:tcW w:w="2646" w:type="dxa"/>
            <w:shd w:val="clear" w:color="auto" w:fill="auto"/>
          </w:tcPr>
          <w:p w14:paraId="0BA2234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公務人員保障暨培訓委員會函，為111年度中央政府總預算決議，檢送決議（一）「國外旅費」預算凍結30％書面報告，請查照案。</w:t>
            </w:r>
          </w:p>
        </w:tc>
        <w:tc>
          <w:tcPr>
            <w:tcW w:w="1911" w:type="dxa"/>
            <w:shd w:val="clear" w:color="auto" w:fill="auto"/>
          </w:tcPr>
          <w:p w14:paraId="662F114F" w14:textId="77777777" w:rsidR="00EC13B7" w:rsidRPr="00026143" w:rsidRDefault="00EC13B7" w:rsidP="00EC13B7">
            <w:pPr>
              <w:rPr>
                <w:rFonts w:ascii="標楷體" w:eastAsia="標楷體" w:hAnsi="標楷體"/>
              </w:rPr>
            </w:pPr>
            <w:r w:rsidRPr="00026143">
              <w:rPr>
                <w:rFonts w:ascii="標楷體" w:eastAsia="標楷體" w:hAnsi="標楷體"/>
              </w:rPr>
              <w:t xml:space="preserve">公務人員保障暨培訓委員會 </w:t>
            </w:r>
          </w:p>
          <w:p w14:paraId="36B7F358" w14:textId="77777777" w:rsidR="00EC13B7" w:rsidRPr="00026143" w:rsidRDefault="00EC13B7" w:rsidP="00EC13B7">
            <w:pPr>
              <w:rPr>
                <w:rFonts w:ascii="標楷體" w:eastAsia="標楷體" w:hAnsi="標楷體"/>
              </w:rPr>
            </w:pPr>
            <w:r w:rsidRPr="00026143">
              <w:rPr>
                <w:rFonts w:ascii="標楷體" w:eastAsia="標楷體" w:hAnsi="標楷體"/>
              </w:rPr>
              <w:t xml:space="preserve">111.03.18 </w:t>
            </w:r>
          </w:p>
          <w:p w14:paraId="49FF432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t>（10-5-4）</w:t>
            </w:r>
          </w:p>
        </w:tc>
        <w:tc>
          <w:tcPr>
            <w:tcW w:w="1418" w:type="dxa"/>
            <w:shd w:val="clear" w:color="auto" w:fill="auto"/>
          </w:tcPr>
          <w:p w14:paraId="60C0BE6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司法及法制</w:t>
            </w:r>
          </w:p>
        </w:tc>
        <w:tc>
          <w:tcPr>
            <w:tcW w:w="1794" w:type="dxa"/>
            <w:shd w:val="clear" w:color="auto" w:fill="auto"/>
          </w:tcPr>
          <w:p w14:paraId="35A782BE" w14:textId="1BBB45EC"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764F7389"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(10-6-8)報告及詢答完畢，另定期繼續處理。</w:t>
            </w:r>
          </w:p>
          <w:p w14:paraId="46348059" w14:textId="72D758D6"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672CBF61"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14A5533A" w14:textId="4BCBBF49"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2576A59F"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tc>
      </w:tr>
      <w:tr w:rsidR="00EC13B7" w:rsidRPr="00026143" w14:paraId="7A3FA937" w14:textId="77777777" w:rsidTr="00EC13B7">
        <w:tc>
          <w:tcPr>
            <w:tcW w:w="574" w:type="dxa"/>
            <w:shd w:val="clear" w:color="auto" w:fill="auto"/>
          </w:tcPr>
          <w:p w14:paraId="061A6BC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t>2</w:t>
            </w:r>
          </w:p>
        </w:tc>
        <w:tc>
          <w:tcPr>
            <w:tcW w:w="2646" w:type="dxa"/>
            <w:shd w:val="clear" w:color="auto" w:fill="auto"/>
          </w:tcPr>
          <w:p w14:paraId="3EA45BE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公務人員保障暨培訓委員會函，為111年度中央政府總預算決議，檢送決議（二）「一般行政」預算凍結5萬元書面報告，請查照案。</w:t>
            </w:r>
          </w:p>
        </w:tc>
        <w:tc>
          <w:tcPr>
            <w:tcW w:w="1911" w:type="dxa"/>
            <w:shd w:val="clear" w:color="auto" w:fill="auto"/>
          </w:tcPr>
          <w:p w14:paraId="42665468" w14:textId="77777777" w:rsidR="00EC13B7" w:rsidRPr="00026143" w:rsidRDefault="00EC13B7" w:rsidP="00EC13B7">
            <w:pPr>
              <w:rPr>
                <w:rFonts w:ascii="標楷體" w:eastAsia="標楷體" w:hAnsi="標楷體"/>
              </w:rPr>
            </w:pPr>
            <w:r w:rsidRPr="00026143">
              <w:rPr>
                <w:rFonts w:ascii="標楷體" w:eastAsia="標楷體" w:hAnsi="標楷體"/>
              </w:rPr>
              <w:t xml:space="preserve">公務人員保障暨培訓委員會 </w:t>
            </w:r>
          </w:p>
          <w:p w14:paraId="6AC0E90E" w14:textId="77777777" w:rsidR="00EC13B7" w:rsidRPr="00026143" w:rsidRDefault="00EC13B7" w:rsidP="00EC13B7">
            <w:pPr>
              <w:rPr>
                <w:rFonts w:ascii="標楷體" w:eastAsia="標楷體" w:hAnsi="標楷體"/>
              </w:rPr>
            </w:pPr>
            <w:r w:rsidRPr="00026143">
              <w:rPr>
                <w:rFonts w:ascii="標楷體" w:eastAsia="標楷體" w:hAnsi="標楷體"/>
              </w:rPr>
              <w:t xml:space="preserve">111.03.18 </w:t>
            </w:r>
          </w:p>
          <w:p w14:paraId="05B99EA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t>（10-5-4）</w:t>
            </w:r>
          </w:p>
        </w:tc>
        <w:tc>
          <w:tcPr>
            <w:tcW w:w="1418" w:type="dxa"/>
            <w:shd w:val="clear" w:color="auto" w:fill="auto"/>
          </w:tcPr>
          <w:p w14:paraId="3D08E52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司法及法制</w:t>
            </w:r>
          </w:p>
        </w:tc>
        <w:tc>
          <w:tcPr>
            <w:tcW w:w="1794" w:type="dxa"/>
            <w:shd w:val="clear" w:color="auto" w:fill="auto"/>
          </w:tcPr>
          <w:p w14:paraId="6EA98D7A" w14:textId="26501BE2"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79A56964"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(10-6-8)報告及詢答完畢，另定期繼續處理。</w:t>
            </w:r>
          </w:p>
          <w:p w14:paraId="15D2DC3D" w14:textId="5233626C"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5557DBB0"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0F1445C3" w14:textId="40F241A8"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17C4F6E0"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tc>
      </w:tr>
      <w:tr w:rsidR="00EC13B7" w:rsidRPr="00026143" w14:paraId="10E2A326" w14:textId="77777777" w:rsidTr="00EC13B7">
        <w:tc>
          <w:tcPr>
            <w:tcW w:w="574" w:type="dxa"/>
            <w:shd w:val="clear" w:color="auto" w:fill="auto"/>
          </w:tcPr>
          <w:p w14:paraId="774BABD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t>3</w:t>
            </w:r>
          </w:p>
        </w:tc>
        <w:tc>
          <w:tcPr>
            <w:tcW w:w="2646" w:type="dxa"/>
            <w:shd w:val="clear" w:color="auto" w:fill="auto"/>
          </w:tcPr>
          <w:p w14:paraId="2D0D84D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w:t>
            </w:r>
            <w:r w:rsidRPr="00026143">
              <w:rPr>
                <w:rFonts w:ascii="標楷體" w:eastAsia="標楷體" w:hAnsi="標楷體"/>
              </w:rPr>
              <w:lastRenderedPageBreak/>
              <w:t>送決議（三）「保障暨培訓」預算凍結5萬元書面報告，請查照案。</w:t>
            </w:r>
          </w:p>
        </w:tc>
        <w:tc>
          <w:tcPr>
            <w:tcW w:w="1911" w:type="dxa"/>
            <w:shd w:val="clear" w:color="auto" w:fill="auto"/>
          </w:tcPr>
          <w:p w14:paraId="7AAD3B09" w14:textId="77777777" w:rsidR="00EC13B7" w:rsidRPr="00026143" w:rsidRDefault="00EC13B7" w:rsidP="00EC13B7">
            <w:pPr>
              <w:rPr>
                <w:rFonts w:ascii="標楷體" w:eastAsia="標楷體" w:hAnsi="標楷體"/>
              </w:rPr>
            </w:pPr>
            <w:r w:rsidRPr="00026143">
              <w:rPr>
                <w:rFonts w:ascii="標楷體" w:eastAsia="標楷體" w:hAnsi="標楷體"/>
              </w:rPr>
              <w:lastRenderedPageBreak/>
              <w:t xml:space="preserve">公務人員保障暨培訓委員會 </w:t>
            </w:r>
          </w:p>
          <w:p w14:paraId="62BEC4CC" w14:textId="77777777" w:rsidR="00EC13B7" w:rsidRPr="00026143" w:rsidRDefault="00EC13B7" w:rsidP="00EC13B7">
            <w:pPr>
              <w:rPr>
                <w:rFonts w:ascii="標楷體" w:eastAsia="標楷體" w:hAnsi="標楷體"/>
              </w:rPr>
            </w:pPr>
            <w:r w:rsidRPr="00026143">
              <w:rPr>
                <w:rFonts w:ascii="標楷體" w:eastAsia="標楷體" w:hAnsi="標楷體"/>
              </w:rPr>
              <w:t xml:space="preserve">111.03.18 </w:t>
            </w:r>
          </w:p>
          <w:p w14:paraId="4B90C21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lastRenderedPageBreak/>
              <w:t>（10-5-4）</w:t>
            </w:r>
          </w:p>
        </w:tc>
        <w:tc>
          <w:tcPr>
            <w:tcW w:w="1418" w:type="dxa"/>
            <w:shd w:val="clear" w:color="auto" w:fill="auto"/>
          </w:tcPr>
          <w:p w14:paraId="0B73C3F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lastRenderedPageBreak/>
              <w:t>司法及法制</w:t>
            </w:r>
          </w:p>
        </w:tc>
        <w:tc>
          <w:tcPr>
            <w:tcW w:w="1794" w:type="dxa"/>
            <w:shd w:val="clear" w:color="auto" w:fill="auto"/>
          </w:tcPr>
          <w:p w14:paraId="662E0FCE" w14:textId="5905DF20"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1021495A"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w:t>
            </w:r>
            <w:r w:rsidRPr="00FE7109">
              <w:rPr>
                <w:rFonts w:ascii="標楷體" w:eastAsia="標楷體" w:hAnsi="標楷體" w:hint="eastAsia"/>
                <w:spacing w:val="-20"/>
              </w:rPr>
              <w:lastRenderedPageBreak/>
              <w:t>繼續處理。</w:t>
            </w:r>
          </w:p>
          <w:p w14:paraId="091D5D6A" w14:textId="691001C3"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46954E46"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42E9EF1E" w14:textId="20EBFD9D"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2387194F"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tc>
      </w:tr>
      <w:tr w:rsidR="00EC13B7" w:rsidRPr="00026143" w14:paraId="36B9CD46" w14:textId="77777777" w:rsidTr="00EC13B7">
        <w:tc>
          <w:tcPr>
            <w:tcW w:w="574" w:type="dxa"/>
            <w:shd w:val="clear" w:color="auto" w:fill="auto"/>
          </w:tcPr>
          <w:p w14:paraId="6199AC2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lastRenderedPageBreak/>
              <w:t>4</w:t>
            </w:r>
          </w:p>
        </w:tc>
        <w:tc>
          <w:tcPr>
            <w:tcW w:w="2646" w:type="dxa"/>
            <w:shd w:val="clear" w:color="auto" w:fill="auto"/>
          </w:tcPr>
          <w:p w14:paraId="5F6EAC6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公務人員保障暨培訓委員會函，為111年度中央政府總預算決議，檢送決議（六）「保障暨培訓」預算凍結5萬元書面報告，請查照案。</w:t>
            </w:r>
          </w:p>
        </w:tc>
        <w:tc>
          <w:tcPr>
            <w:tcW w:w="1911" w:type="dxa"/>
            <w:shd w:val="clear" w:color="auto" w:fill="auto"/>
          </w:tcPr>
          <w:p w14:paraId="33D91A3A" w14:textId="77777777" w:rsidR="00EC13B7" w:rsidRPr="00026143" w:rsidRDefault="00EC13B7" w:rsidP="00EC13B7">
            <w:pPr>
              <w:rPr>
                <w:rFonts w:ascii="標楷體" w:eastAsia="標楷體" w:hAnsi="標楷體"/>
              </w:rPr>
            </w:pPr>
            <w:r w:rsidRPr="00026143">
              <w:rPr>
                <w:rFonts w:ascii="標楷體" w:eastAsia="標楷體" w:hAnsi="標楷體"/>
              </w:rPr>
              <w:t xml:space="preserve">公務人員保障暨培訓委員會 </w:t>
            </w:r>
          </w:p>
          <w:p w14:paraId="2ACFF3FF" w14:textId="77777777" w:rsidR="00EC13B7" w:rsidRPr="00026143" w:rsidRDefault="00EC13B7" w:rsidP="00EC13B7">
            <w:pPr>
              <w:rPr>
                <w:rFonts w:ascii="標楷體" w:eastAsia="標楷體" w:hAnsi="標楷體"/>
              </w:rPr>
            </w:pPr>
            <w:r w:rsidRPr="00026143">
              <w:rPr>
                <w:rFonts w:ascii="標楷體" w:eastAsia="標楷體" w:hAnsi="標楷體"/>
              </w:rPr>
              <w:t xml:space="preserve">111.03.18 </w:t>
            </w:r>
          </w:p>
          <w:p w14:paraId="06D037B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t>（10-5-4）</w:t>
            </w:r>
          </w:p>
        </w:tc>
        <w:tc>
          <w:tcPr>
            <w:tcW w:w="1418" w:type="dxa"/>
            <w:shd w:val="clear" w:color="auto" w:fill="auto"/>
          </w:tcPr>
          <w:p w14:paraId="7CF5EBD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司法及法制</w:t>
            </w:r>
          </w:p>
        </w:tc>
        <w:tc>
          <w:tcPr>
            <w:tcW w:w="1794" w:type="dxa"/>
            <w:shd w:val="clear" w:color="auto" w:fill="auto"/>
          </w:tcPr>
          <w:p w14:paraId="17BF6B16" w14:textId="2FC084C6"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257BFAB8"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(10-6-8)報告及詢答完畢，另定期繼續處理。</w:t>
            </w:r>
          </w:p>
          <w:p w14:paraId="7247FE05" w14:textId="6665B996"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4EE8EE9A"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4E0704C6" w14:textId="3D11C820"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7E4EF92A"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tc>
      </w:tr>
      <w:tr w:rsidR="00EC13B7" w:rsidRPr="00026143" w14:paraId="227A39FA" w14:textId="77777777" w:rsidTr="00EC13B7">
        <w:tc>
          <w:tcPr>
            <w:tcW w:w="574" w:type="dxa"/>
            <w:shd w:val="clear" w:color="auto" w:fill="auto"/>
          </w:tcPr>
          <w:p w14:paraId="1104CA9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rPr>
              <w:t>5</w:t>
            </w:r>
          </w:p>
        </w:tc>
        <w:tc>
          <w:tcPr>
            <w:tcW w:w="2646" w:type="dxa"/>
            <w:shd w:val="clear" w:color="auto" w:fill="auto"/>
          </w:tcPr>
          <w:p w14:paraId="7FDC429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公務人員保障暨培訓委員會函，為111年度中央政府總預算決議，檢送決議（八）「一般行政」預算凍結60萬元書面報告，請查照案。</w:t>
            </w:r>
          </w:p>
        </w:tc>
        <w:tc>
          <w:tcPr>
            <w:tcW w:w="1911" w:type="dxa"/>
            <w:shd w:val="clear" w:color="auto" w:fill="auto"/>
          </w:tcPr>
          <w:p w14:paraId="3FF2945C" w14:textId="77777777" w:rsidR="00EC13B7" w:rsidRPr="00026143" w:rsidRDefault="00EC13B7" w:rsidP="00EC13B7">
            <w:pPr>
              <w:rPr>
                <w:rFonts w:ascii="標楷體" w:eastAsia="標楷體" w:hAnsi="標楷體"/>
              </w:rPr>
            </w:pPr>
            <w:r w:rsidRPr="00026143">
              <w:rPr>
                <w:rFonts w:ascii="標楷體" w:eastAsia="標楷體" w:hAnsi="標楷體"/>
              </w:rPr>
              <w:t xml:space="preserve">公務人員保障暨培訓委員會 </w:t>
            </w:r>
          </w:p>
          <w:p w14:paraId="5832659C" w14:textId="77777777" w:rsidR="00EC13B7" w:rsidRPr="00026143" w:rsidRDefault="00EC13B7" w:rsidP="00EC13B7">
            <w:pPr>
              <w:rPr>
                <w:rFonts w:ascii="標楷體" w:eastAsia="標楷體" w:hAnsi="標楷體"/>
              </w:rPr>
            </w:pPr>
            <w:r w:rsidRPr="00026143">
              <w:rPr>
                <w:rFonts w:ascii="標楷體" w:eastAsia="標楷體" w:hAnsi="標楷體"/>
              </w:rPr>
              <w:t>111.03.18</w:t>
            </w:r>
          </w:p>
          <w:p w14:paraId="207109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t>（10-5-4）</w:t>
            </w:r>
          </w:p>
        </w:tc>
        <w:tc>
          <w:tcPr>
            <w:tcW w:w="1418" w:type="dxa"/>
            <w:shd w:val="clear" w:color="auto" w:fill="auto"/>
          </w:tcPr>
          <w:p w14:paraId="2B93FDE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司法及法制</w:t>
            </w:r>
          </w:p>
        </w:tc>
        <w:tc>
          <w:tcPr>
            <w:tcW w:w="1794" w:type="dxa"/>
            <w:shd w:val="clear" w:color="auto" w:fill="auto"/>
          </w:tcPr>
          <w:p w14:paraId="29140F48" w14:textId="27558001"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019B0218"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(10-6-8)報告及詢答完畢，另定期繼續處理。</w:t>
            </w:r>
          </w:p>
          <w:p w14:paraId="0D177699" w14:textId="3DC1070B"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582D8982"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56EB165C" w14:textId="770384B5"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13C5B33F"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tc>
      </w:tr>
      <w:tr w:rsidR="00EC13B7" w:rsidRPr="00026143" w14:paraId="415738E4" w14:textId="77777777" w:rsidTr="00EC13B7">
        <w:tc>
          <w:tcPr>
            <w:tcW w:w="574" w:type="dxa"/>
            <w:shd w:val="clear" w:color="auto" w:fill="auto"/>
          </w:tcPr>
          <w:p w14:paraId="460EE73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t>6</w:t>
            </w:r>
          </w:p>
        </w:tc>
        <w:tc>
          <w:tcPr>
            <w:tcW w:w="2646" w:type="dxa"/>
            <w:shd w:val="clear" w:color="auto" w:fill="auto"/>
          </w:tcPr>
          <w:p w14:paraId="44C9EA9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公務人員保障暨培訓委員會函，為111年度中央政府總預算決議，檢送決議（九）「一般行政」預算凍結20萬元書面報告，請查照案。</w:t>
            </w:r>
          </w:p>
        </w:tc>
        <w:tc>
          <w:tcPr>
            <w:tcW w:w="1911" w:type="dxa"/>
            <w:shd w:val="clear" w:color="auto" w:fill="auto"/>
          </w:tcPr>
          <w:p w14:paraId="1138D3F6" w14:textId="77777777" w:rsidR="00EC13B7" w:rsidRPr="00026143" w:rsidRDefault="00EC13B7" w:rsidP="00EC13B7">
            <w:pPr>
              <w:rPr>
                <w:rFonts w:ascii="標楷體" w:eastAsia="標楷體" w:hAnsi="標楷體"/>
              </w:rPr>
            </w:pPr>
            <w:r w:rsidRPr="00026143">
              <w:rPr>
                <w:rFonts w:ascii="標楷體" w:eastAsia="標楷體" w:hAnsi="標楷體"/>
              </w:rPr>
              <w:t xml:space="preserve">公務人員保障暨培訓委員會 </w:t>
            </w:r>
          </w:p>
          <w:p w14:paraId="4C282D94" w14:textId="77777777" w:rsidR="00EC13B7" w:rsidRPr="00026143" w:rsidRDefault="00EC13B7" w:rsidP="00EC13B7">
            <w:pPr>
              <w:rPr>
                <w:rFonts w:ascii="標楷體" w:eastAsia="標楷體" w:hAnsi="標楷體"/>
              </w:rPr>
            </w:pPr>
            <w:r w:rsidRPr="00026143">
              <w:rPr>
                <w:rFonts w:ascii="標楷體" w:eastAsia="標楷體" w:hAnsi="標楷體"/>
              </w:rPr>
              <w:t xml:space="preserve">111.03.18 </w:t>
            </w:r>
          </w:p>
          <w:p w14:paraId="3C695CD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t>（10-5-4）</w:t>
            </w:r>
          </w:p>
        </w:tc>
        <w:tc>
          <w:tcPr>
            <w:tcW w:w="1418" w:type="dxa"/>
            <w:shd w:val="clear" w:color="auto" w:fill="auto"/>
          </w:tcPr>
          <w:p w14:paraId="311C327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司法及法制</w:t>
            </w:r>
          </w:p>
        </w:tc>
        <w:tc>
          <w:tcPr>
            <w:tcW w:w="1794" w:type="dxa"/>
            <w:shd w:val="clear" w:color="auto" w:fill="auto"/>
          </w:tcPr>
          <w:p w14:paraId="168E8C7E" w14:textId="4C6B3E75"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75B079CA"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(10-6-8)報告及詢答完畢，另定期繼續處理。</w:t>
            </w:r>
          </w:p>
          <w:p w14:paraId="5B14DFA8" w14:textId="2A6F80AA"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4AD528F7"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5BE99896" w14:textId="4F10F243"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2B8FA91B"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tc>
      </w:tr>
      <w:tr w:rsidR="00EC13B7" w:rsidRPr="00026143" w14:paraId="480C187D" w14:textId="77777777" w:rsidTr="00EC13B7">
        <w:tc>
          <w:tcPr>
            <w:tcW w:w="574" w:type="dxa"/>
            <w:shd w:val="clear" w:color="auto" w:fill="auto"/>
          </w:tcPr>
          <w:p w14:paraId="4A2E52A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t>7</w:t>
            </w:r>
          </w:p>
        </w:tc>
        <w:tc>
          <w:tcPr>
            <w:tcW w:w="2646" w:type="dxa"/>
            <w:shd w:val="clear" w:color="auto" w:fill="auto"/>
          </w:tcPr>
          <w:p w14:paraId="6E24AF1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w:t>
            </w:r>
            <w:r w:rsidRPr="00026143">
              <w:rPr>
                <w:rFonts w:ascii="標楷體" w:eastAsia="標楷體" w:hAnsi="標楷體"/>
              </w:rPr>
              <w:lastRenderedPageBreak/>
              <w:t>送決議（十）「保障暨培訓」預算凍結10萬元書面報告，請查照案。</w:t>
            </w:r>
          </w:p>
        </w:tc>
        <w:tc>
          <w:tcPr>
            <w:tcW w:w="1911" w:type="dxa"/>
            <w:shd w:val="clear" w:color="auto" w:fill="auto"/>
          </w:tcPr>
          <w:p w14:paraId="105F20CA" w14:textId="77777777" w:rsidR="00EC13B7" w:rsidRPr="00026143" w:rsidRDefault="00EC13B7" w:rsidP="00EC13B7">
            <w:pPr>
              <w:rPr>
                <w:rFonts w:ascii="標楷體" w:eastAsia="標楷體" w:hAnsi="標楷體"/>
              </w:rPr>
            </w:pPr>
            <w:r w:rsidRPr="00026143">
              <w:rPr>
                <w:rFonts w:ascii="標楷體" w:eastAsia="標楷體" w:hAnsi="標楷體"/>
              </w:rPr>
              <w:lastRenderedPageBreak/>
              <w:t>公務人員保障暨培訓委員會</w:t>
            </w:r>
          </w:p>
          <w:p w14:paraId="2C79A7D9" w14:textId="77777777" w:rsidR="00EC13B7" w:rsidRPr="00026143" w:rsidRDefault="00EC13B7" w:rsidP="00EC13B7">
            <w:pPr>
              <w:rPr>
                <w:rFonts w:ascii="標楷體" w:eastAsia="標楷體" w:hAnsi="標楷體"/>
              </w:rPr>
            </w:pPr>
            <w:r w:rsidRPr="00026143">
              <w:rPr>
                <w:rFonts w:ascii="標楷體" w:eastAsia="標楷體" w:hAnsi="標楷體"/>
              </w:rPr>
              <w:t>111.03.18</w:t>
            </w:r>
          </w:p>
          <w:p w14:paraId="5228E7B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lastRenderedPageBreak/>
              <w:t>（10-5-4）</w:t>
            </w:r>
          </w:p>
        </w:tc>
        <w:tc>
          <w:tcPr>
            <w:tcW w:w="1418" w:type="dxa"/>
            <w:shd w:val="clear" w:color="auto" w:fill="auto"/>
          </w:tcPr>
          <w:p w14:paraId="064EB7B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lastRenderedPageBreak/>
              <w:t>司法及法制</w:t>
            </w:r>
          </w:p>
        </w:tc>
        <w:tc>
          <w:tcPr>
            <w:tcW w:w="1794" w:type="dxa"/>
            <w:shd w:val="clear" w:color="auto" w:fill="auto"/>
          </w:tcPr>
          <w:p w14:paraId="3342E01C" w14:textId="5C86202C" w:rsidR="00EC13B7" w:rsidRPr="00FE7109" w:rsidRDefault="00EC13B7" w:rsidP="00EC13B7">
            <w:pPr>
              <w:rPr>
                <w:rFonts w:ascii="標楷體" w:eastAsia="標楷體" w:hAnsi="標楷體"/>
                <w:spacing w:val="-20"/>
                <w:szCs w:val="28"/>
              </w:rPr>
            </w:pPr>
            <w:r w:rsidRPr="00FE7109">
              <w:rPr>
                <w:rFonts w:ascii="標楷體" w:eastAsia="標楷體" w:hAnsi="標楷體" w:hint="eastAsia"/>
                <w:spacing w:val="-20"/>
                <w:szCs w:val="28"/>
              </w:rPr>
              <w:t>1.本會</w:t>
            </w:r>
            <w:r w:rsidRPr="00FE7109">
              <w:rPr>
                <w:rFonts w:ascii="標楷體" w:eastAsia="標楷體" w:hAnsi="標楷體"/>
                <w:spacing w:val="-20"/>
                <w:szCs w:val="28"/>
              </w:rPr>
              <w:t>111.10.20</w:t>
            </w:r>
          </w:p>
          <w:p w14:paraId="279C4DF7" w14:textId="77777777" w:rsidR="00EC13B7" w:rsidRPr="00FE7109" w:rsidRDefault="00EC13B7" w:rsidP="00EC13B7">
            <w:pPr>
              <w:rPr>
                <w:rFonts w:ascii="標楷體" w:eastAsia="標楷體" w:hAnsi="標楷體"/>
                <w:spacing w:val="-20"/>
                <w:szCs w:val="28"/>
              </w:rPr>
            </w:pPr>
            <w:r w:rsidRPr="00FE7109">
              <w:rPr>
                <w:rFonts w:ascii="標楷體" w:eastAsia="標楷體" w:hAnsi="標楷體" w:hint="eastAsia"/>
                <w:spacing w:val="-20"/>
                <w:szCs w:val="28"/>
              </w:rPr>
              <w:t>(10-6-8)報告及詢答完畢，另定期</w:t>
            </w:r>
            <w:r w:rsidRPr="00FE7109">
              <w:rPr>
                <w:rFonts w:ascii="標楷體" w:eastAsia="標楷體" w:hAnsi="標楷體" w:hint="eastAsia"/>
                <w:spacing w:val="-20"/>
                <w:szCs w:val="28"/>
              </w:rPr>
              <w:lastRenderedPageBreak/>
              <w:t>繼續處理。</w:t>
            </w:r>
          </w:p>
          <w:p w14:paraId="5454B413" w14:textId="217D3268" w:rsidR="00EC13B7" w:rsidRPr="00FE7109" w:rsidRDefault="00EC13B7" w:rsidP="00EC13B7">
            <w:pPr>
              <w:rPr>
                <w:rFonts w:ascii="標楷體" w:eastAsia="標楷體" w:hAnsi="標楷體"/>
                <w:spacing w:val="-20"/>
                <w:szCs w:val="28"/>
              </w:rPr>
            </w:pPr>
            <w:r w:rsidRPr="00FE7109">
              <w:rPr>
                <w:rFonts w:ascii="標楷體" w:eastAsia="標楷體" w:hAnsi="標楷體" w:hint="eastAsia"/>
                <w:spacing w:val="-20"/>
                <w:szCs w:val="28"/>
              </w:rPr>
              <w:t>2.本會</w:t>
            </w:r>
            <w:r w:rsidRPr="00FE7109">
              <w:rPr>
                <w:rFonts w:ascii="標楷體" w:eastAsia="標楷體" w:hAnsi="標楷體"/>
                <w:spacing w:val="-20"/>
                <w:szCs w:val="28"/>
              </w:rPr>
              <w:t>111.1</w:t>
            </w:r>
            <w:r w:rsidRPr="00FE7109">
              <w:rPr>
                <w:rFonts w:ascii="標楷體" w:eastAsia="標楷體" w:hAnsi="標楷體" w:hint="eastAsia"/>
                <w:spacing w:val="-20"/>
                <w:szCs w:val="28"/>
              </w:rPr>
              <w:t>1</w:t>
            </w:r>
            <w:r w:rsidRPr="00FE7109">
              <w:rPr>
                <w:rFonts w:ascii="標楷體" w:eastAsia="標楷體" w:hAnsi="標楷體"/>
                <w:spacing w:val="-20"/>
                <w:szCs w:val="28"/>
              </w:rPr>
              <w:t>.2</w:t>
            </w:r>
          </w:p>
          <w:p w14:paraId="508D0E59" w14:textId="77777777" w:rsidR="00EC13B7" w:rsidRPr="00FE7109" w:rsidRDefault="00EC13B7" w:rsidP="00EC13B7">
            <w:pPr>
              <w:rPr>
                <w:rFonts w:ascii="標楷體" w:eastAsia="標楷體" w:hAnsi="標楷體"/>
                <w:spacing w:val="-20"/>
                <w:szCs w:val="28"/>
              </w:rPr>
            </w:pPr>
            <w:r w:rsidRPr="00FE7109">
              <w:rPr>
                <w:rFonts w:ascii="標楷體" w:eastAsia="標楷體" w:hAnsi="標楷體" w:hint="eastAsia"/>
                <w:spacing w:val="-20"/>
                <w:szCs w:val="28"/>
              </w:rPr>
              <w:t>(10-6-11)另定期繼續處理。</w:t>
            </w:r>
          </w:p>
          <w:p w14:paraId="2D595A4D" w14:textId="6944E445" w:rsidR="00EC13B7" w:rsidRPr="00FE7109" w:rsidRDefault="00EC13B7" w:rsidP="00EC13B7">
            <w:pPr>
              <w:rPr>
                <w:rFonts w:ascii="標楷體" w:eastAsia="標楷體" w:hAnsi="標楷體"/>
                <w:spacing w:val="-20"/>
                <w:szCs w:val="28"/>
              </w:rPr>
            </w:pPr>
            <w:r w:rsidRPr="00FE7109">
              <w:rPr>
                <w:rFonts w:ascii="標楷體" w:eastAsia="標楷體" w:hAnsi="標楷體" w:hint="eastAsia"/>
                <w:spacing w:val="-20"/>
                <w:szCs w:val="28"/>
              </w:rPr>
              <w:t>3</w:t>
            </w:r>
            <w:r w:rsidRPr="00FE7109">
              <w:rPr>
                <w:rFonts w:ascii="標楷體" w:eastAsia="標楷體" w:hAnsi="標楷體"/>
                <w:spacing w:val="-20"/>
                <w:szCs w:val="28"/>
              </w:rPr>
              <w:t>.</w:t>
            </w:r>
            <w:r w:rsidRPr="00FE7109">
              <w:rPr>
                <w:rFonts w:ascii="標楷體" w:eastAsia="標楷體" w:hAnsi="標楷體" w:hint="eastAsia"/>
                <w:spacing w:val="-20"/>
                <w:szCs w:val="28"/>
              </w:rPr>
              <w:t>本會</w:t>
            </w:r>
            <w:r w:rsidRPr="00FE7109">
              <w:rPr>
                <w:rFonts w:ascii="標楷體" w:eastAsia="標楷體" w:hAnsi="標楷體"/>
                <w:spacing w:val="-20"/>
                <w:szCs w:val="28"/>
              </w:rPr>
              <w:t>111.12.7</w:t>
            </w:r>
          </w:p>
          <w:p w14:paraId="57EA069A"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szCs w:val="28"/>
              </w:rPr>
              <w:t>(10-6-</w:t>
            </w:r>
            <w:r w:rsidRPr="00FE7109">
              <w:rPr>
                <w:rFonts w:ascii="標楷體" w:eastAsia="標楷體" w:hAnsi="標楷體"/>
                <w:spacing w:val="-20"/>
                <w:szCs w:val="28"/>
              </w:rPr>
              <w:t>24</w:t>
            </w:r>
            <w:r w:rsidRPr="00FE7109">
              <w:rPr>
                <w:rFonts w:ascii="標楷體" w:eastAsia="標楷體" w:hAnsi="標楷體" w:hint="eastAsia"/>
                <w:spacing w:val="-20"/>
                <w:szCs w:val="28"/>
              </w:rPr>
              <w:t>)另定期繼續處理。</w:t>
            </w:r>
          </w:p>
        </w:tc>
      </w:tr>
      <w:tr w:rsidR="00EC13B7" w:rsidRPr="00026143" w14:paraId="17B21CD3" w14:textId="77777777" w:rsidTr="00EC13B7">
        <w:tc>
          <w:tcPr>
            <w:tcW w:w="574" w:type="dxa"/>
            <w:shd w:val="clear" w:color="auto" w:fill="auto"/>
          </w:tcPr>
          <w:p w14:paraId="1314456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lastRenderedPageBreak/>
              <w:t>8</w:t>
            </w:r>
          </w:p>
        </w:tc>
        <w:tc>
          <w:tcPr>
            <w:tcW w:w="2646" w:type="dxa"/>
            <w:shd w:val="clear" w:color="auto" w:fill="auto"/>
          </w:tcPr>
          <w:p w14:paraId="0BB68F8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公務人員保障暨培訓委員會函，為111年度中央政府總預算決議，檢送決議（十一）「保障暨培訓」預算凍結100萬元書面報告，請查照案。</w:t>
            </w:r>
          </w:p>
        </w:tc>
        <w:tc>
          <w:tcPr>
            <w:tcW w:w="1911" w:type="dxa"/>
            <w:shd w:val="clear" w:color="auto" w:fill="auto"/>
          </w:tcPr>
          <w:p w14:paraId="75AC059A" w14:textId="77777777" w:rsidR="00EC13B7" w:rsidRPr="00026143" w:rsidRDefault="00EC13B7" w:rsidP="00EC13B7">
            <w:pPr>
              <w:rPr>
                <w:rFonts w:ascii="標楷體" w:eastAsia="標楷體" w:hAnsi="標楷體"/>
              </w:rPr>
            </w:pPr>
            <w:r w:rsidRPr="00026143">
              <w:rPr>
                <w:rFonts w:ascii="標楷體" w:eastAsia="標楷體" w:hAnsi="標楷體"/>
              </w:rPr>
              <w:t xml:space="preserve">公務人員保障暨培訓委員會 </w:t>
            </w:r>
          </w:p>
          <w:p w14:paraId="635FD88F" w14:textId="77777777" w:rsidR="00EC13B7" w:rsidRPr="00026143" w:rsidRDefault="00EC13B7" w:rsidP="00EC13B7">
            <w:pPr>
              <w:rPr>
                <w:rFonts w:ascii="標楷體" w:eastAsia="標楷體" w:hAnsi="標楷體"/>
              </w:rPr>
            </w:pPr>
            <w:r w:rsidRPr="00026143">
              <w:rPr>
                <w:rFonts w:ascii="標楷體" w:eastAsia="標楷體" w:hAnsi="標楷體"/>
              </w:rPr>
              <w:t>111.03.18</w:t>
            </w:r>
          </w:p>
          <w:p w14:paraId="6F03CA4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rPr>
              <w:t>（10-5-4）</w:t>
            </w:r>
          </w:p>
        </w:tc>
        <w:tc>
          <w:tcPr>
            <w:tcW w:w="1418" w:type="dxa"/>
            <w:shd w:val="clear" w:color="auto" w:fill="auto"/>
          </w:tcPr>
          <w:p w14:paraId="7F73E7F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rPr>
              <w:t>司法及法制</w:t>
            </w:r>
          </w:p>
        </w:tc>
        <w:tc>
          <w:tcPr>
            <w:tcW w:w="1794" w:type="dxa"/>
            <w:shd w:val="clear" w:color="auto" w:fill="auto"/>
          </w:tcPr>
          <w:p w14:paraId="485566C0" w14:textId="00288132"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0F53A3ED"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(10-6-8)報告及詢答完畢，另定期繼續處理。</w:t>
            </w:r>
          </w:p>
          <w:p w14:paraId="0ADDF78A" w14:textId="5DBD9729"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006E2D66"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5968D6DE" w14:textId="5A305636"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2607E392" w14:textId="77777777" w:rsidR="00EC13B7" w:rsidRPr="00FE7109"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tc>
      </w:tr>
      <w:tr w:rsidR="00EC13B7" w:rsidRPr="00026143" w14:paraId="6D676CB5" w14:textId="77777777" w:rsidTr="00EC13B7">
        <w:tc>
          <w:tcPr>
            <w:tcW w:w="574" w:type="dxa"/>
            <w:shd w:val="clear" w:color="auto" w:fill="auto"/>
          </w:tcPr>
          <w:p w14:paraId="27089AC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rPr>
              <w:t>9</w:t>
            </w:r>
          </w:p>
        </w:tc>
        <w:tc>
          <w:tcPr>
            <w:tcW w:w="2646" w:type="dxa"/>
            <w:shd w:val="clear" w:color="auto" w:fill="auto"/>
          </w:tcPr>
          <w:p w14:paraId="1025984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公務人員保障暨培訓委員會函，為111年度中央政府總預算決議，檢送國家文官學院「國家文官培訓業務」凍結10萬元書面報告（更正本），請查照案。</w:t>
            </w:r>
          </w:p>
        </w:tc>
        <w:tc>
          <w:tcPr>
            <w:tcW w:w="1911" w:type="dxa"/>
            <w:shd w:val="clear" w:color="auto" w:fill="auto"/>
          </w:tcPr>
          <w:p w14:paraId="0D4EF405" w14:textId="77777777" w:rsidR="00EC13B7" w:rsidRPr="00026143" w:rsidRDefault="00EC13B7" w:rsidP="00EC13B7">
            <w:pPr>
              <w:rPr>
                <w:rFonts w:ascii="標楷體" w:eastAsia="標楷體" w:hAnsi="標楷體"/>
              </w:rPr>
            </w:pPr>
            <w:r w:rsidRPr="00026143">
              <w:rPr>
                <w:rFonts w:ascii="標楷體" w:eastAsia="標楷體" w:hAnsi="標楷體" w:hint="eastAsia"/>
              </w:rPr>
              <w:t xml:space="preserve">公務人員保障暨培訓委員會 </w:t>
            </w:r>
          </w:p>
          <w:p w14:paraId="28F427B4" w14:textId="77777777" w:rsidR="00EC13B7" w:rsidRPr="00026143" w:rsidRDefault="00EC13B7" w:rsidP="00EC13B7">
            <w:pPr>
              <w:rPr>
                <w:rFonts w:ascii="標楷體" w:eastAsia="標楷體" w:hAnsi="標楷體"/>
              </w:rPr>
            </w:pPr>
            <w:r w:rsidRPr="00026143">
              <w:rPr>
                <w:rFonts w:ascii="標楷體" w:eastAsia="標楷體" w:hAnsi="標楷體" w:hint="eastAsia"/>
              </w:rPr>
              <w:t xml:space="preserve">111.10.07 </w:t>
            </w:r>
          </w:p>
          <w:p w14:paraId="39A3ED9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rPr>
              <w:t>（10-6-3）</w:t>
            </w:r>
          </w:p>
        </w:tc>
        <w:tc>
          <w:tcPr>
            <w:tcW w:w="1418" w:type="dxa"/>
            <w:shd w:val="clear" w:color="auto" w:fill="auto"/>
          </w:tcPr>
          <w:p w14:paraId="60DECBD0" w14:textId="77777777" w:rsidR="00EC13B7" w:rsidRPr="003E7365" w:rsidRDefault="00EC13B7" w:rsidP="003E7365">
            <w:pPr>
              <w:ind w:leftChars="-39" w:left="-16" w:hangingChars="39" w:hanging="78"/>
              <w:rPr>
                <w:rFonts w:ascii="標楷體" w:eastAsia="標楷體" w:hAnsi="標楷體"/>
                <w:spacing w:val="-20"/>
              </w:rPr>
            </w:pPr>
            <w:r w:rsidRPr="003E7365">
              <w:rPr>
                <w:rFonts w:ascii="標楷體" w:eastAsia="標楷體" w:hAnsi="標楷體" w:hint="eastAsia"/>
                <w:spacing w:val="-20"/>
              </w:rPr>
              <w:t>司法及法制；</w:t>
            </w:r>
          </w:p>
          <w:p w14:paraId="5E3DE47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rPr>
              <w:t>前送之書面報告同意撤回</w:t>
            </w:r>
          </w:p>
        </w:tc>
        <w:tc>
          <w:tcPr>
            <w:tcW w:w="1794" w:type="dxa"/>
            <w:shd w:val="clear" w:color="auto" w:fill="auto"/>
          </w:tcPr>
          <w:p w14:paraId="57E5D5F3" w14:textId="48B267C9"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1.本會</w:t>
            </w:r>
            <w:r w:rsidRPr="00FE7109">
              <w:rPr>
                <w:rFonts w:ascii="標楷體" w:eastAsia="標楷體" w:hAnsi="標楷體"/>
                <w:spacing w:val="-20"/>
              </w:rPr>
              <w:t>111.10.20</w:t>
            </w:r>
          </w:p>
          <w:p w14:paraId="274DA066" w14:textId="77777777"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(10-6-8)報告及詢答完畢，另定期繼續處理。</w:t>
            </w:r>
          </w:p>
          <w:p w14:paraId="504A4E61" w14:textId="77777777" w:rsidR="00092D31" w:rsidRPr="00FE7109" w:rsidRDefault="00EC13B7" w:rsidP="00EC13B7">
            <w:pPr>
              <w:rPr>
                <w:rFonts w:ascii="標楷體" w:eastAsia="標楷體" w:hAnsi="標楷體"/>
                <w:spacing w:val="-20"/>
              </w:rPr>
            </w:pPr>
            <w:r w:rsidRPr="00FE7109">
              <w:rPr>
                <w:rFonts w:ascii="標楷體" w:eastAsia="標楷體" w:hAnsi="標楷體" w:hint="eastAsia"/>
                <w:spacing w:val="-20"/>
              </w:rPr>
              <w:t>2.本會</w:t>
            </w:r>
            <w:r w:rsidRPr="00FE7109">
              <w:rPr>
                <w:rFonts w:ascii="標楷體" w:eastAsia="標楷體" w:hAnsi="標楷體"/>
                <w:spacing w:val="-20"/>
              </w:rPr>
              <w:t>111.1</w:t>
            </w:r>
            <w:r w:rsidRPr="00FE7109">
              <w:rPr>
                <w:rFonts w:ascii="標楷體" w:eastAsia="標楷體" w:hAnsi="標楷體" w:hint="eastAsia"/>
                <w:spacing w:val="-20"/>
              </w:rPr>
              <w:t>1</w:t>
            </w:r>
            <w:r w:rsidRPr="00FE7109">
              <w:rPr>
                <w:rFonts w:ascii="標楷體" w:eastAsia="標楷體" w:hAnsi="標楷體"/>
                <w:spacing w:val="-20"/>
              </w:rPr>
              <w:t>.2</w:t>
            </w:r>
          </w:p>
          <w:p w14:paraId="73A32869" w14:textId="027EA9F2" w:rsidR="00EC13B7" w:rsidRPr="00FE7109" w:rsidRDefault="00EC13B7" w:rsidP="00EC13B7">
            <w:pPr>
              <w:rPr>
                <w:rFonts w:ascii="標楷體" w:eastAsia="標楷體" w:hAnsi="標楷體"/>
                <w:spacing w:val="-20"/>
              </w:rPr>
            </w:pPr>
            <w:r w:rsidRPr="00FE7109">
              <w:rPr>
                <w:rFonts w:ascii="標楷體" w:eastAsia="標楷體" w:hAnsi="標楷體" w:hint="eastAsia"/>
                <w:spacing w:val="-20"/>
              </w:rPr>
              <w:t>(10-6-11)另定期繼續處理。</w:t>
            </w:r>
          </w:p>
          <w:p w14:paraId="5D1FBDC1" w14:textId="23E48EA5" w:rsidR="00092D31" w:rsidRPr="00FE7109" w:rsidRDefault="00EC13B7" w:rsidP="00092D31">
            <w:pPr>
              <w:rPr>
                <w:rFonts w:ascii="標楷體" w:eastAsia="標楷體" w:hAnsi="標楷體"/>
                <w:spacing w:val="-20"/>
              </w:rPr>
            </w:pPr>
            <w:r w:rsidRPr="00FE7109">
              <w:rPr>
                <w:rFonts w:ascii="標楷體" w:eastAsia="標楷體" w:hAnsi="標楷體" w:hint="eastAsia"/>
                <w:spacing w:val="-20"/>
              </w:rPr>
              <w:t>3</w:t>
            </w:r>
            <w:r w:rsidRPr="00FE7109">
              <w:rPr>
                <w:rFonts w:ascii="標楷體" w:eastAsia="標楷體" w:hAnsi="標楷體"/>
                <w:spacing w:val="-20"/>
              </w:rPr>
              <w:t>.</w:t>
            </w:r>
            <w:r w:rsidRPr="00FE7109">
              <w:rPr>
                <w:rFonts w:ascii="標楷體" w:eastAsia="標楷體" w:hAnsi="標楷體" w:hint="eastAsia"/>
                <w:spacing w:val="-20"/>
              </w:rPr>
              <w:t>本會</w:t>
            </w:r>
            <w:r w:rsidRPr="00FE7109">
              <w:rPr>
                <w:rFonts w:ascii="標楷體" w:eastAsia="標楷體" w:hAnsi="標楷體"/>
                <w:spacing w:val="-20"/>
              </w:rPr>
              <w:t>111.12.7</w:t>
            </w:r>
          </w:p>
          <w:p w14:paraId="7E5E467F" w14:textId="77777777" w:rsidR="00EC13B7" w:rsidRDefault="00EC13B7" w:rsidP="00092D31">
            <w:pPr>
              <w:rPr>
                <w:rFonts w:ascii="標楷體" w:eastAsia="標楷體" w:hAnsi="標楷體"/>
                <w:spacing w:val="-20"/>
              </w:rPr>
            </w:pPr>
            <w:r w:rsidRPr="00FE7109">
              <w:rPr>
                <w:rFonts w:ascii="標楷體" w:eastAsia="標楷體" w:hAnsi="標楷體" w:hint="eastAsia"/>
                <w:spacing w:val="-20"/>
              </w:rPr>
              <w:t>(10-6-</w:t>
            </w:r>
            <w:r w:rsidRPr="00FE7109">
              <w:rPr>
                <w:rFonts w:ascii="標楷體" w:eastAsia="標楷體" w:hAnsi="標楷體"/>
                <w:spacing w:val="-20"/>
              </w:rPr>
              <w:t>24</w:t>
            </w:r>
            <w:r w:rsidRPr="00FE7109">
              <w:rPr>
                <w:rFonts w:ascii="標楷體" w:eastAsia="標楷體" w:hAnsi="標楷體" w:hint="eastAsia"/>
                <w:spacing w:val="-20"/>
              </w:rPr>
              <w:t>)另定期繼續處理。</w:t>
            </w:r>
          </w:p>
          <w:p w14:paraId="7F0B3E71" w14:textId="4EA72C60" w:rsidR="00D90CB3" w:rsidRPr="00FE7109" w:rsidRDefault="00D90CB3" w:rsidP="00092D31">
            <w:pPr>
              <w:rPr>
                <w:rFonts w:ascii="標楷體" w:eastAsia="標楷體" w:hAnsi="標楷體"/>
                <w:color w:val="000000" w:themeColor="text1"/>
                <w:spacing w:val="-20"/>
              </w:rPr>
            </w:pPr>
          </w:p>
        </w:tc>
      </w:tr>
    </w:tbl>
    <w:p w14:paraId="33C25F1B" w14:textId="77777777" w:rsidR="00EC13B7" w:rsidRPr="00026143" w:rsidRDefault="00EC13B7" w:rsidP="007932B9">
      <w:pPr>
        <w:pStyle w:val="1-6"/>
        <w:kinsoku w:val="0"/>
        <w:wordWrap w:val="0"/>
        <w:topLinePunct/>
        <w:spacing w:beforeLines="100" w:before="360" w:afterLines="100" w:after="360" w:line="300" w:lineRule="exact"/>
        <w:ind w:left="1548" w:hanging="697"/>
        <w:jc w:val="left"/>
        <w:textAlignment w:val="top"/>
        <w:outlineLvl w:val="2"/>
        <w:rPr>
          <w:color w:val="000000" w:themeColor="text1"/>
        </w:rPr>
      </w:pPr>
      <w:bookmarkStart w:id="461" w:name="_Toc361217375"/>
      <w:bookmarkStart w:id="462" w:name="_Toc362968435"/>
      <w:bookmarkStart w:id="463" w:name="_Toc428287002"/>
      <w:bookmarkStart w:id="464" w:name="_Toc1401102"/>
      <w:bookmarkStart w:id="465" w:name="_Toc96350542"/>
      <w:bookmarkEnd w:id="459"/>
      <w:bookmarkEnd w:id="460"/>
      <w:r w:rsidRPr="00026143">
        <w:rPr>
          <w:rFonts w:hint="eastAsia"/>
          <w:color w:val="000000" w:themeColor="text1"/>
        </w:rPr>
        <w:t>三</w:t>
      </w:r>
      <w:r w:rsidRPr="00026143">
        <w:rPr>
          <w:color w:val="000000" w:themeColor="text1"/>
        </w:rPr>
        <w:t>、其他</w:t>
      </w:r>
      <w:r w:rsidRPr="00026143">
        <w:rPr>
          <w:rFonts w:hint="eastAsia"/>
          <w:color w:val="000000" w:themeColor="text1"/>
        </w:rPr>
        <w:t>1</w:t>
      </w:r>
      <w:r w:rsidRPr="00026143">
        <w:rPr>
          <w:color w:val="000000" w:themeColor="text1"/>
        </w:rPr>
        <w:t>85案</w:t>
      </w:r>
      <w:bookmarkEnd w:id="461"/>
      <w:bookmarkEnd w:id="462"/>
      <w:bookmarkEnd w:id="463"/>
      <w:bookmarkEnd w:id="464"/>
      <w:bookmarkEnd w:id="465"/>
    </w:p>
    <w:tbl>
      <w:tblPr>
        <w:tblW w:w="8386"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5"/>
        <w:gridCol w:w="2562"/>
        <w:gridCol w:w="1995"/>
        <w:gridCol w:w="1597"/>
        <w:gridCol w:w="1657"/>
      </w:tblGrid>
      <w:tr w:rsidR="00EC13B7" w:rsidRPr="00026143" w14:paraId="07FC2C87" w14:textId="77777777" w:rsidTr="006612A0">
        <w:tc>
          <w:tcPr>
            <w:tcW w:w="575" w:type="dxa"/>
            <w:shd w:val="clear" w:color="auto" w:fill="auto"/>
          </w:tcPr>
          <w:p w14:paraId="42C7525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562" w:type="dxa"/>
            <w:shd w:val="clear" w:color="auto" w:fill="auto"/>
          </w:tcPr>
          <w:p w14:paraId="73ADE083"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95" w:type="dxa"/>
            <w:shd w:val="clear" w:color="auto" w:fill="auto"/>
          </w:tcPr>
          <w:p w14:paraId="708B01CA"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提案機關、院會交付日期(會次)</w:t>
            </w:r>
          </w:p>
        </w:tc>
        <w:tc>
          <w:tcPr>
            <w:tcW w:w="1597" w:type="dxa"/>
            <w:shd w:val="clear" w:color="auto" w:fill="auto"/>
          </w:tcPr>
          <w:p w14:paraId="1FD09A7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hint="eastAsia"/>
                <w:b/>
                <w:color w:val="000000" w:themeColor="text1"/>
              </w:rPr>
              <w:t>交付</w:t>
            </w:r>
            <w:r w:rsidRPr="00026143">
              <w:rPr>
                <w:rFonts w:ascii="標楷體" w:eastAsia="標楷體" w:hAnsi="標楷體"/>
                <w:b/>
                <w:color w:val="000000" w:themeColor="text1"/>
              </w:rPr>
              <w:t>委員會</w:t>
            </w:r>
          </w:p>
        </w:tc>
        <w:tc>
          <w:tcPr>
            <w:tcW w:w="1657" w:type="dxa"/>
            <w:shd w:val="clear" w:color="auto" w:fill="auto"/>
          </w:tcPr>
          <w:p w14:paraId="20C3B435"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w:t>
            </w:r>
            <w:r w:rsidRPr="00026143">
              <w:rPr>
                <w:rFonts w:ascii="標楷體" w:eastAsia="標楷體" w:hAnsi="標楷體" w:hint="eastAsia"/>
                <w:b/>
                <w:color w:val="000000" w:themeColor="text1"/>
              </w:rPr>
              <w:t>、</w:t>
            </w:r>
            <w:r w:rsidRPr="00026143">
              <w:rPr>
                <w:rFonts w:ascii="標楷體" w:eastAsia="標楷體" w:hAnsi="標楷體"/>
                <w:b/>
                <w:color w:val="000000" w:themeColor="text1"/>
              </w:rPr>
              <w:t>處理</w:t>
            </w:r>
          </w:p>
          <w:p w14:paraId="0EE52654"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情形</w:t>
            </w:r>
          </w:p>
        </w:tc>
      </w:tr>
      <w:tr w:rsidR="00EC13B7" w:rsidRPr="00026143" w14:paraId="0B3CCC92" w14:textId="77777777" w:rsidTr="006612A0">
        <w:tc>
          <w:tcPr>
            <w:tcW w:w="575" w:type="dxa"/>
            <w:shd w:val="clear" w:color="auto" w:fill="auto"/>
          </w:tcPr>
          <w:p w14:paraId="7044D98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562" w:type="dxa"/>
            <w:shd w:val="clear" w:color="auto" w:fill="auto"/>
          </w:tcPr>
          <w:p w14:paraId="1C593F5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為110年度中央政府總預算決議，檢送該府決議（三）、（五）、（十三）、（十四）及（十五）書面報告，請查照案。</w:t>
            </w:r>
          </w:p>
        </w:tc>
        <w:tc>
          <w:tcPr>
            <w:tcW w:w="1995" w:type="dxa"/>
            <w:shd w:val="clear" w:color="auto" w:fill="auto"/>
          </w:tcPr>
          <w:p w14:paraId="26DFFB3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總統府 </w:t>
            </w:r>
          </w:p>
          <w:p w14:paraId="79B47A0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110.03.26 </w:t>
            </w:r>
          </w:p>
          <w:p w14:paraId="1BBAB9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（10-3-5）</w:t>
            </w:r>
          </w:p>
        </w:tc>
        <w:tc>
          <w:tcPr>
            <w:tcW w:w="1597" w:type="dxa"/>
            <w:shd w:val="clear" w:color="auto" w:fill="auto"/>
          </w:tcPr>
          <w:p w14:paraId="6567BAA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77053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C8F4DB" w14:textId="77777777" w:rsidTr="006612A0">
        <w:tc>
          <w:tcPr>
            <w:tcW w:w="575" w:type="dxa"/>
            <w:shd w:val="clear" w:color="auto" w:fill="auto"/>
          </w:tcPr>
          <w:p w14:paraId="3680C65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562" w:type="dxa"/>
            <w:shd w:val="clear" w:color="auto" w:fill="auto"/>
          </w:tcPr>
          <w:p w14:paraId="054503F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司法院函送該院暨財團法人法律扶助基金會109年第4季政策宣</w:t>
            </w:r>
            <w:r w:rsidRPr="00026143">
              <w:rPr>
                <w:rFonts w:ascii="標楷體" w:eastAsia="標楷體" w:hAnsi="標楷體"/>
                <w:color w:val="000000" w:themeColor="text1"/>
              </w:rPr>
              <w:lastRenderedPageBreak/>
              <w:t>導之執行情形表，請查照案。</w:t>
            </w:r>
          </w:p>
        </w:tc>
        <w:tc>
          <w:tcPr>
            <w:tcW w:w="1995" w:type="dxa"/>
            <w:shd w:val="clear" w:color="auto" w:fill="auto"/>
          </w:tcPr>
          <w:p w14:paraId="43B6F6B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 </w:t>
            </w:r>
          </w:p>
          <w:p w14:paraId="5D22F92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110.04.23</w:t>
            </w:r>
          </w:p>
          <w:p w14:paraId="21BE56D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597" w:type="dxa"/>
            <w:shd w:val="clear" w:color="auto" w:fill="auto"/>
          </w:tcPr>
          <w:p w14:paraId="1E165CF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AF9F21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462A08" w14:textId="77777777" w:rsidTr="006612A0">
        <w:tc>
          <w:tcPr>
            <w:tcW w:w="575" w:type="dxa"/>
            <w:shd w:val="clear" w:color="auto" w:fill="auto"/>
          </w:tcPr>
          <w:p w14:paraId="55665E9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562" w:type="dxa"/>
            <w:shd w:val="clear" w:color="auto" w:fill="auto"/>
          </w:tcPr>
          <w:p w14:paraId="5348537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促進轉型正義委員會函送109年第4季辦理政策宣導之執行情形表，請查照案。</w:t>
            </w:r>
          </w:p>
        </w:tc>
        <w:tc>
          <w:tcPr>
            <w:tcW w:w="1995" w:type="dxa"/>
            <w:shd w:val="clear" w:color="auto" w:fill="auto"/>
          </w:tcPr>
          <w:p w14:paraId="18B729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45CA11C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7417F2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597" w:type="dxa"/>
            <w:shd w:val="clear" w:color="auto" w:fill="auto"/>
          </w:tcPr>
          <w:p w14:paraId="55CD6C7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4C608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684C7ED" w14:textId="77777777" w:rsidTr="006612A0">
        <w:tc>
          <w:tcPr>
            <w:tcW w:w="575" w:type="dxa"/>
            <w:shd w:val="clear" w:color="auto" w:fill="auto"/>
          </w:tcPr>
          <w:p w14:paraId="2AC7666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562" w:type="dxa"/>
            <w:shd w:val="clear" w:color="auto" w:fill="auto"/>
          </w:tcPr>
          <w:p w14:paraId="3EB11E4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為110年度中央政府總預算決議，檢送該部決議（三）「預備文官團」政策架構與規劃期程書面報告，請查照案。</w:t>
            </w:r>
          </w:p>
        </w:tc>
        <w:tc>
          <w:tcPr>
            <w:tcW w:w="1995" w:type="dxa"/>
            <w:shd w:val="clear" w:color="auto" w:fill="auto"/>
          </w:tcPr>
          <w:p w14:paraId="2BE2F9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考選部 </w:t>
            </w:r>
          </w:p>
          <w:p w14:paraId="3D7D67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0EF09A7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597" w:type="dxa"/>
            <w:shd w:val="clear" w:color="auto" w:fill="auto"/>
          </w:tcPr>
          <w:p w14:paraId="3F618DA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C835C9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6595EA5" w14:textId="77777777" w:rsidTr="006612A0">
        <w:tc>
          <w:tcPr>
            <w:tcW w:w="575" w:type="dxa"/>
            <w:shd w:val="clear" w:color="auto" w:fill="auto"/>
          </w:tcPr>
          <w:p w14:paraId="5EF6C79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562" w:type="dxa"/>
            <w:shd w:val="clear" w:color="auto" w:fill="auto"/>
          </w:tcPr>
          <w:p w14:paraId="3C537BF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法務部函送109年第4季該部及所屬機關、主管財團法人於媒體辦理政策宣導相關廣告彙整表，請查照案。</w:t>
            </w:r>
          </w:p>
        </w:tc>
        <w:tc>
          <w:tcPr>
            <w:tcW w:w="1995" w:type="dxa"/>
            <w:shd w:val="clear" w:color="auto" w:fill="auto"/>
          </w:tcPr>
          <w:p w14:paraId="69C78E9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7B62B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12A4E08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5A477FE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40386D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685C6BC" w14:textId="77777777" w:rsidTr="006612A0">
        <w:tc>
          <w:tcPr>
            <w:tcW w:w="575" w:type="dxa"/>
            <w:shd w:val="clear" w:color="auto" w:fill="auto"/>
          </w:tcPr>
          <w:p w14:paraId="7D90A6A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562" w:type="dxa"/>
            <w:shd w:val="clear" w:color="auto" w:fill="auto"/>
          </w:tcPr>
          <w:p w14:paraId="3157004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司法院函送109年度第4季「補捐助團體及個人經費執行情形表」，請查照案。</w:t>
            </w:r>
          </w:p>
        </w:tc>
        <w:tc>
          <w:tcPr>
            <w:tcW w:w="1995" w:type="dxa"/>
            <w:shd w:val="clear" w:color="auto" w:fill="auto"/>
          </w:tcPr>
          <w:p w14:paraId="71B398D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11FC18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0F4B55E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582C3DF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451F0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5B1D03C" w14:textId="77777777" w:rsidTr="006612A0">
        <w:tc>
          <w:tcPr>
            <w:tcW w:w="575" w:type="dxa"/>
            <w:shd w:val="clear" w:color="auto" w:fill="auto"/>
          </w:tcPr>
          <w:p w14:paraId="1525E3A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w:t>
            </w:r>
          </w:p>
        </w:tc>
        <w:tc>
          <w:tcPr>
            <w:tcW w:w="2562" w:type="dxa"/>
            <w:shd w:val="clear" w:color="auto" w:fill="auto"/>
          </w:tcPr>
          <w:p w14:paraId="699B50D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為110年度中央政府總預算決議，檢送公務人力發展學院決議（二）書面報告，請查照案。</w:t>
            </w:r>
          </w:p>
        </w:tc>
        <w:tc>
          <w:tcPr>
            <w:tcW w:w="1995" w:type="dxa"/>
            <w:shd w:val="clear" w:color="auto" w:fill="auto"/>
          </w:tcPr>
          <w:p w14:paraId="067913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6DEA6BA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55319F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6BB12E1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7410D8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3C320BE" w14:textId="77777777" w:rsidTr="006612A0">
        <w:tc>
          <w:tcPr>
            <w:tcW w:w="575" w:type="dxa"/>
            <w:shd w:val="clear" w:color="auto" w:fill="auto"/>
          </w:tcPr>
          <w:p w14:paraId="718E6AD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w:t>
            </w:r>
          </w:p>
        </w:tc>
        <w:tc>
          <w:tcPr>
            <w:tcW w:w="2562" w:type="dxa"/>
            <w:shd w:val="clear" w:color="auto" w:fill="auto"/>
          </w:tcPr>
          <w:p w14:paraId="7FA6445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為110年度中央政府總預算決議，檢送廉政署預算決議事項書面報告，請查照案。</w:t>
            </w:r>
          </w:p>
        </w:tc>
        <w:tc>
          <w:tcPr>
            <w:tcW w:w="1995" w:type="dxa"/>
            <w:shd w:val="clear" w:color="auto" w:fill="auto"/>
          </w:tcPr>
          <w:p w14:paraId="28980C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6C19F27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110.04.30</w:t>
            </w:r>
          </w:p>
          <w:p w14:paraId="3A76F6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00D791F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90805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086E68D" w14:textId="77777777" w:rsidTr="006612A0">
        <w:tc>
          <w:tcPr>
            <w:tcW w:w="575" w:type="dxa"/>
            <w:shd w:val="clear" w:color="auto" w:fill="auto"/>
          </w:tcPr>
          <w:p w14:paraId="1FCC21C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w:t>
            </w:r>
          </w:p>
        </w:tc>
        <w:tc>
          <w:tcPr>
            <w:tcW w:w="2562" w:type="dxa"/>
            <w:shd w:val="clear" w:color="auto" w:fill="auto"/>
          </w:tcPr>
          <w:p w14:paraId="7538491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為110年度中央政府總預算決議，檢送該會決議（一）、（十四）、（十六）及（十九）書面報告，請查照案。</w:t>
            </w:r>
          </w:p>
        </w:tc>
        <w:tc>
          <w:tcPr>
            <w:tcW w:w="1995" w:type="dxa"/>
            <w:shd w:val="clear" w:color="auto" w:fill="auto"/>
          </w:tcPr>
          <w:p w14:paraId="0B5834D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51EF2A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5F47755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536C8A6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60673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2DBF3B8" w14:textId="77777777" w:rsidTr="006612A0">
        <w:tc>
          <w:tcPr>
            <w:tcW w:w="575" w:type="dxa"/>
            <w:shd w:val="clear" w:color="auto" w:fill="auto"/>
          </w:tcPr>
          <w:p w14:paraId="124793C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w:t>
            </w:r>
          </w:p>
        </w:tc>
        <w:tc>
          <w:tcPr>
            <w:tcW w:w="2562" w:type="dxa"/>
            <w:shd w:val="clear" w:color="auto" w:fill="auto"/>
          </w:tcPr>
          <w:p w14:paraId="5EFD09F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為110年度中央政府總預算決議，檢送該會決議（五）書面報告，請查照案。</w:t>
            </w:r>
          </w:p>
        </w:tc>
        <w:tc>
          <w:tcPr>
            <w:tcW w:w="1995" w:type="dxa"/>
            <w:shd w:val="clear" w:color="auto" w:fill="auto"/>
          </w:tcPr>
          <w:p w14:paraId="247835E9" w14:textId="46A2864A"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0921A4B4" w14:textId="77777777" w:rsidR="008A269F"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32B8F287" w14:textId="22E36836"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7C3CF86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A13C0E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5B0D8A0" w14:textId="77777777" w:rsidTr="006612A0">
        <w:tc>
          <w:tcPr>
            <w:tcW w:w="575" w:type="dxa"/>
            <w:shd w:val="clear" w:color="auto" w:fill="auto"/>
          </w:tcPr>
          <w:p w14:paraId="7B21D49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w:t>
            </w:r>
          </w:p>
        </w:tc>
        <w:tc>
          <w:tcPr>
            <w:tcW w:w="2562" w:type="dxa"/>
            <w:shd w:val="clear" w:color="auto" w:fill="auto"/>
          </w:tcPr>
          <w:p w14:paraId="5BE4F99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為110年度中央政府總預算決議，檢送該會決議（六）書面報告，請查照案。</w:t>
            </w:r>
          </w:p>
        </w:tc>
        <w:tc>
          <w:tcPr>
            <w:tcW w:w="1995" w:type="dxa"/>
            <w:shd w:val="clear" w:color="auto" w:fill="auto"/>
          </w:tcPr>
          <w:p w14:paraId="7A492A1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63E0B2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3E33C70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63664CA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69679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6AA1A48" w14:textId="77777777" w:rsidTr="006612A0">
        <w:tc>
          <w:tcPr>
            <w:tcW w:w="575" w:type="dxa"/>
            <w:shd w:val="clear" w:color="auto" w:fill="auto"/>
          </w:tcPr>
          <w:p w14:paraId="5C73477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w:t>
            </w:r>
          </w:p>
        </w:tc>
        <w:tc>
          <w:tcPr>
            <w:tcW w:w="2562" w:type="dxa"/>
            <w:shd w:val="clear" w:color="auto" w:fill="auto"/>
          </w:tcPr>
          <w:p w14:paraId="4D899C2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為110年度中央政府總預算決議，檢送該會決議（七）書面報告，請查照案。</w:t>
            </w:r>
          </w:p>
        </w:tc>
        <w:tc>
          <w:tcPr>
            <w:tcW w:w="1995" w:type="dxa"/>
            <w:shd w:val="clear" w:color="auto" w:fill="auto"/>
          </w:tcPr>
          <w:p w14:paraId="3338BB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2278E3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12B33A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00CCFE4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3441A1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67639F" w14:textId="77777777" w:rsidTr="006612A0">
        <w:tc>
          <w:tcPr>
            <w:tcW w:w="575" w:type="dxa"/>
            <w:shd w:val="clear" w:color="auto" w:fill="auto"/>
          </w:tcPr>
          <w:p w14:paraId="76BF225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w:t>
            </w:r>
          </w:p>
        </w:tc>
        <w:tc>
          <w:tcPr>
            <w:tcW w:w="2562" w:type="dxa"/>
            <w:shd w:val="clear" w:color="auto" w:fill="auto"/>
          </w:tcPr>
          <w:p w14:paraId="1D95F3F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w:t>
            </w:r>
            <w:r w:rsidRPr="00026143">
              <w:rPr>
                <w:rFonts w:ascii="標楷體" w:eastAsia="標楷體" w:hAnsi="標楷體"/>
                <w:color w:val="000000" w:themeColor="text1"/>
              </w:rPr>
              <w:lastRenderedPageBreak/>
              <w:t>預算決議，檢送該會決議（十）書面報告，請查照案。</w:t>
            </w:r>
          </w:p>
        </w:tc>
        <w:tc>
          <w:tcPr>
            <w:tcW w:w="1995" w:type="dxa"/>
            <w:shd w:val="clear" w:color="auto" w:fill="auto"/>
          </w:tcPr>
          <w:p w14:paraId="1CBD552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促進轉型正義委</w:t>
            </w:r>
            <w:r w:rsidRPr="00026143">
              <w:rPr>
                <w:rFonts w:ascii="標楷體" w:eastAsia="標楷體" w:hAnsi="標楷體"/>
                <w:color w:val="000000" w:themeColor="text1"/>
              </w:rPr>
              <w:lastRenderedPageBreak/>
              <w:t xml:space="preserve">員會 </w:t>
            </w:r>
          </w:p>
          <w:p w14:paraId="267772E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4F8016A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7FF205D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02D70F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EC9D1AD" w14:textId="77777777" w:rsidTr="006612A0">
        <w:tc>
          <w:tcPr>
            <w:tcW w:w="575" w:type="dxa"/>
            <w:shd w:val="clear" w:color="auto" w:fill="auto"/>
          </w:tcPr>
          <w:p w14:paraId="0C657E7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14</w:t>
            </w:r>
          </w:p>
        </w:tc>
        <w:tc>
          <w:tcPr>
            <w:tcW w:w="2562" w:type="dxa"/>
            <w:shd w:val="clear" w:color="auto" w:fill="auto"/>
          </w:tcPr>
          <w:p w14:paraId="2CB1727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為110年度中央政府總預算決議，檢送該會決議（十五）書面報告，請查照案。</w:t>
            </w:r>
          </w:p>
        </w:tc>
        <w:tc>
          <w:tcPr>
            <w:tcW w:w="1995" w:type="dxa"/>
            <w:shd w:val="clear" w:color="auto" w:fill="auto"/>
          </w:tcPr>
          <w:p w14:paraId="2E8069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w:t>
            </w:r>
          </w:p>
          <w:p w14:paraId="0F6547D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3B819D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7691AE7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DDF68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B1DCBF8" w14:textId="77777777" w:rsidTr="006612A0">
        <w:tc>
          <w:tcPr>
            <w:tcW w:w="575" w:type="dxa"/>
            <w:shd w:val="clear" w:color="auto" w:fill="auto"/>
          </w:tcPr>
          <w:p w14:paraId="6F7D917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w:t>
            </w:r>
          </w:p>
        </w:tc>
        <w:tc>
          <w:tcPr>
            <w:tcW w:w="2562" w:type="dxa"/>
            <w:shd w:val="clear" w:color="auto" w:fill="auto"/>
          </w:tcPr>
          <w:p w14:paraId="3F4193B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為110年度中央政府總預算決議，檢送該會決議（十七）書面報告，請查照案。</w:t>
            </w:r>
          </w:p>
        </w:tc>
        <w:tc>
          <w:tcPr>
            <w:tcW w:w="1995" w:type="dxa"/>
            <w:shd w:val="clear" w:color="auto" w:fill="auto"/>
          </w:tcPr>
          <w:p w14:paraId="51CC8A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2EDAF13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2065C3A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7B0F6EE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A1E653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B76F401" w14:textId="77777777" w:rsidTr="006612A0">
        <w:tc>
          <w:tcPr>
            <w:tcW w:w="575" w:type="dxa"/>
            <w:shd w:val="clear" w:color="auto" w:fill="auto"/>
          </w:tcPr>
          <w:p w14:paraId="6126AC8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w:t>
            </w:r>
          </w:p>
        </w:tc>
        <w:tc>
          <w:tcPr>
            <w:tcW w:w="2562" w:type="dxa"/>
            <w:shd w:val="clear" w:color="auto" w:fill="auto"/>
          </w:tcPr>
          <w:p w14:paraId="23B5A32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為110年度中央政府總預算決議，檢送該會決議（十八）書面報告，請查照案。</w:t>
            </w:r>
          </w:p>
        </w:tc>
        <w:tc>
          <w:tcPr>
            <w:tcW w:w="1995" w:type="dxa"/>
            <w:shd w:val="clear" w:color="auto" w:fill="auto"/>
          </w:tcPr>
          <w:p w14:paraId="0A4160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091515A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110.04.30 </w:t>
            </w:r>
          </w:p>
          <w:p w14:paraId="08EC117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（10-3-10）</w:t>
            </w:r>
          </w:p>
        </w:tc>
        <w:tc>
          <w:tcPr>
            <w:tcW w:w="1597" w:type="dxa"/>
            <w:shd w:val="clear" w:color="auto" w:fill="auto"/>
          </w:tcPr>
          <w:p w14:paraId="6367CB3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FECD36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0CB2BA" w14:textId="77777777" w:rsidTr="006612A0">
        <w:tc>
          <w:tcPr>
            <w:tcW w:w="575" w:type="dxa"/>
            <w:shd w:val="clear" w:color="auto" w:fill="auto"/>
          </w:tcPr>
          <w:p w14:paraId="7D7B9F2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w:t>
            </w:r>
          </w:p>
        </w:tc>
        <w:tc>
          <w:tcPr>
            <w:tcW w:w="2562" w:type="dxa"/>
            <w:shd w:val="clear" w:color="auto" w:fill="auto"/>
          </w:tcPr>
          <w:p w14:paraId="0A96993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為110年度中央政府總預算決議，檢送該總處決議（七）書面報告，請查照案。</w:t>
            </w:r>
          </w:p>
        </w:tc>
        <w:tc>
          <w:tcPr>
            <w:tcW w:w="1995" w:type="dxa"/>
            <w:shd w:val="clear" w:color="auto" w:fill="auto"/>
          </w:tcPr>
          <w:p w14:paraId="4E8127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4BC5F2E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0404555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597" w:type="dxa"/>
            <w:shd w:val="clear" w:color="auto" w:fill="auto"/>
          </w:tcPr>
          <w:p w14:paraId="3549F69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186DE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4995992" w14:textId="77777777" w:rsidTr="006612A0">
        <w:tc>
          <w:tcPr>
            <w:tcW w:w="575" w:type="dxa"/>
            <w:shd w:val="clear" w:color="auto" w:fill="auto"/>
          </w:tcPr>
          <w:p w14:paraId="283184F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w:t>
            </w:r>
          </w:p>
        </w:tc>
        <w:tc>
          <w:tcPr>
            <w:tcW w:w="2562" w:type="dxa"/>
            <w:shd w:val="clear" w:color="auto" w:fill="auto"/>
          </w:tcPr>
          <w:p w14:paraId="0EC74AE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為110年度中央政府總預算決議，檢送該總處決議（十一）勞務承攬工作及勞工權益保障書面報告，請查照案。</w:t>
            </w:r>
          </w:p>
        </w:tc>
        <w:tc>
          <w:tcPr>
            <w:tcW w:w="1995" w:type="dxa"/>
            <w:shd w:val="clear" w:color="auto" w:fill="auto"/>
          </w:tcPr>
          <w:p w14:paraId="0E906E5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55E58F7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62BE9BB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597" w:type="dxa"/>
            <w:shd w:val="clear" w:color="auto" w:fill="auto"/>
          </w:tcPr>
          <w:p w14:paraId="45692F4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F4852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E24DB18" w14:textId="77777777" w:rsidTr="006612A0">
        <w:tc>
          <w:tcPr>
            <w:tcW w:w="575" w:type="dxa"/>
            <w:shd w:val="clear" w:color="auto" w:fill="auto"/>
          </w:tcPr>
          <w:p w14:paraId="4A0E06E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19</w:t>
            </w:r>
          </w:p>
        </w:tc>
        <w:tc>
          <w:tcPr>
            <w:tcW w:w="2562" w:type="dxa"/>
            <w:shd w:val="clear" w:color="auto" w:fill="auto"/>
          </w:tcPr>
          <w:p w14:paraId="172B0BE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為110年度中央政府總預算決議，檢送該總處決議（十二）人事業務資訊系統資通安全防護書面報告，請查照案。</w:t>
            </w:r>
          </w:p>
        </w:tc>
        <w:tc>
          <w:tcPr>
            <w:tcW w:w="1995" w:type="dxa"/>
            <w:shd w:val="clear" w:color="auto" w:fill="auto"/>
          </w:tcPr>
          <w:p w14:paraId="69757EA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5B88BA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276DD81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597" w:type="dxa"/>
            <w:shd w:val="clear" w:color="auto" w:fill="auto"/>
          </w:tcPr>
          <w:p w14:paraId="3C08878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E4452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AA5A05B" w14:textId="77777777" w:rsidTr="006612A0">
        <w:tc>
          <w:tcPr>
            <w:tcW w:w="575" w:type="dxa"/>
            <w:shd w:val="clear" w:color="auto" w:fill="auto"/>
          </w:tcPr>
          <w:p w14:paraId="36F5E13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20</w:t>
            </w:r>
          </w:p>
        </w:tc>
        <w:tc>
          <w:tcPr>
            <w:tcW w:w="2562" w:type="dxa"/>
            <w:shd w:val="clear" w:color="auto" w:fill="auto"/>
          </w:tcPr>
          <w:p w14:paraId="11CCD47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為110年度中央政府總預算決議，檢送該總處決議（十三）中央政府機關員額規劃及運用書面報告，請查照案。</w:t>
            </w:r>
          </w:p>
        </w:tc>
        <w:tc>
          <w:tcPr>
            <w:tcW w:w="1995" w:type="dxa"/>
            <w:shd w:val="clear" w:color="auto" w:fill="auto"/>
          </w:tcPr>
          <w:p w14:paraId="7A00A86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0648A3C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2BC0AE0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597" w:type="dxa"/>
            <w:shd w:val="clear" w:color="auto" w:fill="auto"/>
          </w:tcPr>
          <w:p w14:paraId="19E182D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B641C7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3493C80" w14:textId="77777777" w:rsidTr="006612A0">
        <w:tc>
          <w:tcPr>
            <w:tcW w:w="575" w:type="dxa"/>
            <w:shd w:val="clear" w:color="auto" w:fill="auto"/>
          </w:tcPr>
          <w:p w14:paraId="4F059EB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21</w:t>
            </w:r>
          </w:p>
        </w:tc>
        <w:tc>
          <w:tcPr>
            <w:tcW w:w="2562" w:type="dxa"/>
            <w:shd w:val="clear" w:color="auto" w:fill="auto"/>
          </w:tcPr>
          <w:p w14:paraId="25A5F22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為110年度中央政府總預算決議，檢送該總處決議（二十一）中央政府機關員額運用狀況書面報告，請查照案。</w:t>
            </w:r>
          </w:p>
        </w:tc>
        <w:tc>
          <w:tcPr>
            <w:tcW w:w="1995" w:type="dxa"/>
            <w:shd w:val="clear" w:color="auto" w:fill="auto"/>
          </w:tcPr>
          <w:p w14:paraId="6A4678D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2C9680F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24DE215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597" w:type="dxa"/>
            <w:shd w:val="clear" w:color="auto" w:fill="auto"/>
          </w:tcPr>
          <w:p w14:paraId="78B163B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84A3E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BB922B" w14:textId="77777777" w:rsidTr="006612A0">
        <w:tc>
          <w:tcPr>
            <w:tcW w:w="575" w:type="dxa"/>
            <w:shd w:val="clear" w:color="auto" w:fill="auto"/>
          </w:tcPr>
          <w:p w14:paraId="0BA2EC1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22</w:t>
            </w:r>
          </w:p>
        </w:tc>
        <w:tc>
          <w:tcPr>
            <w:tcW w:w="2562" w:type="dxa"/>
            <w:shd w:val="clear" w:color="auto" w:fill="auto"/>
          </w:tcPr>
          <w:p w14:paraId="0448164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為110年度中央政府總預算決議，檢送該總處決議（二十三）派遣歸零後多元人力運用書面報告，請查照案。</w:t>
            </w:r>
          </w:p>
        </w:tc>
        <w:tc>
          <w:tcPr>
            <w:tcW w:w="1995" w:type="dxa"/>
            <w:shd w:val="clear" w:color="auto" w:fill="auto"/>
          </w:tcPr>
          <w:p w14:paraId="5C8B9F8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7373A99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110.05.07 </w:t>
            </w:r>
          </w:p>
          <w:p w14:paraId="373D5AB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（10-3-11）</w:t>
            </w:r>
          </w:p>
        </w:tc>
        <w:tc>
          <w:tcPr>
            <w:tcW w:w="1597" w:type="dxa"/>
            <w:shd w:val="clear" w:color="auto" w:fill="auto"/>
          </w:tcPr>
          <w:p w14:paraId="47CD46E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92565B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A1F533" w14:textId="77777777" w:rsidTr="006612A0">
        <w:tc>
          <w:tcPr>
            <w:tcW w:w="575" w:type="dxa"/>
            <w:shd w:val="clear" w:color="auto" w:fill="auto"/>
          </w:tcPr>
          <w:p w14:paraId="28E3450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23</w:t>
            </w:r>
          </w:p>
        </w:tc>
        <w:tc>
          <w:tcPr>
            <w:tcW w:w="2562" w:type="dxa"/>
            <w:shd w:val="clear" w:color="auto" w:fill="auto"/>
          </w:tcPr>
          <w:p w14:paraId="31DCDDD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w:t>
            </w:r>
            <w:r w:rsidRPr="00026143">
              <w:rPr>
                <w:rFonts w:ascii="標楷體" w:eastAsia="標楷體" w:hAnsi="標楷體"/>
                <w:color w:val="000000" w:themeColor="text1"/>
              </w:rPr>
              <w:lastRenderedPageBreak/>
              <w:t>函送110年第1季辦理政策宣導之執行情形表，請查照案。</w:t>
            </w:r>
          </w:p>
        </w:tc>
        <w:tc>
          <w:tcPr>
            <w:tcW w:w="1995" w:type="dxa"/>
            <w:shd w:val="clear" w:color="auto" w:fill="auto"/>
          </w:tcPr>
          <w:p w14:paraId="01382E7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促進轉型正義委</w:t>
            </w:r>
            <w:r w:rsidRPr="00026143">
              <w:rPr>
                <w:rFonts w:ascii="標楷體" w:eastAsia="標楷體" w:hAnsi="標楷體"/>
                <w:color w:val="000000" w:themeColor="text1"/>
              </w:rPr>
              <w:lastRenderedPageBreak/>
              <w:t xml:space="preserve">員會 </w:t>
            </w:r>
          </w:p>
          <w:p w14:paraId="635B7A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4777503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474D8A3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04BBAB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FC14E67" w14:textId="77777777" w:rsidTr="006612A0">
        <w:tc>
          <w:tcPr>
            <w:tcW w:w="575" w:type="dxa"/>
            <w:shd w:val="clear" w:color="auto" w:fill="auto"/>
          </w:tcPr>
          <w:p w14:paraId="16486CF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24</w:t>
            </w:r>
          </w:p>
        </w:tc>
        <w:tc>
          <w:tcPr>
            <w:tcW w:w="2562" w:type="dxa"/>
            <w:shd w:val="clear" w:color="auto" w:fill="auto"/>
          </w:tcPr>
          <w:p w14:paraId="7387EAA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為110年度中央政府總預算決議，檢送該部決議（十九）書面報告，請查照案。</w:t>
            </w:r>
          </w:p>
        </w:tc>
        <w:tc>
          <w:tcPr>
            <w:tcW w:w="1995" w:type="dxa"/>
            <w:shd w:val="clear" w:color="auto" w:fill="auto"/>
          </w:tcPr>
          <w:p w14:paraId="4041329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03E16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08F707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07E905F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19582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BCC2AD" w14:textId="77777777" w:rsidTr="006612A0">
        <w:tc>
          <w:tcPr>
            <w:tcW w:w="575" w:type="dxa"/>
            <w:shd w:val="clear" w:color="auto" w:fill="auto"/>
          </w:tcPr>
          <w:p w14:paraId="25E99F2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25</w:t>
            </w:r>
          </w:p>
        </w:tc>
        <w:tc>
          <w:tcPr>
            <w:tcW w:w="2562" w:type="dxa"/>
            <w:shd w:val="clear" w:color="auto" w:fill="auto"/>
          </w:tcPr>
          <w:p w14:paraId="0E8C98C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為110年度中央政府總預算決議，檢送該部決議（二十二）書面報告，請查照案。</w:t>
            </w:r>
          </w:p>
        </w:tc>
        <w:tc>
          <w:tcPr>
            <w:tcW w:w="1995" w:type="dxa"/>
            <w:shd w:val="clear" w:color="auto" w:fill="auto"/>
          </w:tcPr>
          <w:p w14:paraId="42CDE7C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04297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45C20A3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400E9A5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B4435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81D164" w14:textId="77777777" w:rsidTr="006612A0">
        <w:tc>
          <w:tcPr>
            <w:tcW w:w="575" w:type="dxa"/>
            <w:shd w:val="clear" w:color="auto" w:fill="auto"/>
          </w:tcPr>
          <w:p w14:paraId="2E85578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26</w:t>
            </w:r>
          </w:p>
        </w:tc>
        <w:tc>
          <w:tcPr>
            <w:tcW w:w="2562" w:type="dxa"/>
            <w:shd w:val="clear" w:color="auto" w:fill="auto"/>
          </w:tcPr>
          <w:p w14:paraId="4C7C2A2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為110年度中央政府總預算決議，檢送該部決議（三十七）書面報告，請查照案。</w:t>
            </w:r>
          </w:p>
        </w:tc>
        <w:tc>
          <w:tcPr>
            <w:tcW w:w="1995" w:type="dxa"/>
            <w:shd w:val="clear" w:color="auto" w:fill="auto"/>
          </w:tcPr>
          <w:p w14:paraId="526A6FB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84C8CE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0BC585E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33AFCE6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A8E48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C8D8EC6" w14:textId="77777777" w:rsidTr="006612A0">
        <w:tc>
          <w:tcPr>
            <w:tcW w:w="575" w:type="dxa"/>
            <w:shd w:val="clear" w:color="auto" w:fill="auto"/>
          </w:tcPr>
          <w:p w14:paraId="724ABB8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27</w:t>
            </w:r>
          </w:p>
        </w:tc>
        <w:tc>
          <w:tcPr>
            <w:tcW w:w="2562" w:type="dxa"/>
            <w:shd w:val="clear" w:color="auto" w:fill="auto"/>
          </w:tcPr>
          <w:p w14:paraId="3808E77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為110年度中央政府總預算決議，檢送調查局決議（二）書面報告，請查照案。</w:t>
            </w:r>
          </w:p>
        </w:tc>
        <w:tc>
          <w:tcPr>
            <w:tcW w:w="1995" w:type="dxa"/>
            <w:shd w:val="clear" w:color="auto" w:fill="auto"/>
          </w:tcPr>
          <w:p w14:paraId="48A557C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A25AEC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62AE222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4D618F5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2C577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4750AA" w14:textId="77777777" w:rsidTr="006612A0">
        <w:tc>
          <w:tcPr>
            <w:tcW w:w="575" w:type="dxa"/>
            <w:shd w:val="clear" w:color="auto" w:fill="auto"/>
          </w:tcPr>
          <w:p w14:paraId="3DAB3B1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28</w:t>
            </w:r>
          </w:p>
        </w:tc>
        <w:tc>
          <w:tcPr>
            <w:tcW w:w="2562" w:type="dxa"/>
            <w:shd w:val="clear" w:color="auto" w:fill="auto"/>
          </w:tcPr>
          <w:p w14:paraId="6D06B02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為110年度中央政府總預算決議，檢送該部決議（四）「法官、檢察官剝奪或減少退休金規定要件是否過於限縮」書面報告，請查照案。</w:t>
            </w:r>
          </w:p>
        </w:tc>
        <w:tc>
          <w:tcPr>
            <w:tcW w:w="1995" w:type="dxa"/>
            <w:shd w:val="clear" w:color="auto" w:fill="auto"/>
          </w:tcPr>
          <w:p w14:paraId="34A1B1D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銓敘部 </w:t>
            </w:r>
          </w:p>
          <w:p w14:paraId="3A30A3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76F4C5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274EFF2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C9FDF5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FEE7C56" w14:textId="77777777" w:rsidTr="006612A0">
        <w:tc>
          <w:tcPr>
            <w:tcW w:w="575" w:type="dxa"/>
            <w:shd w:val="clear" w:color="auto" w:fill="auto"/>
          </w:tcPr>
          <w:p w14:paraId="16EE579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29</w:t>
            </w:r>
          </w:p>
        </w:tc>
        <w:tc>
          <w:tcPr>
            <w:tcW w:w="2562" w:type="dxa"/>
            <w:shd w:val="clear" w:color="auto" w:fill="auto"/>
          </w:tcPr>
          <w:p w14:paraId="50A3CAF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為110年度中央政府總預算決議，檢送「文官體制基礎下之聘用人員人事法制推動情形書面報告」，請查照案。</w:t>
            </w:r>
          </w:p>
        </w:tc>
        <w:tc>
          <w:tcPr>
            <w:tcW w:w="1995" w:type="dxa"/>
            <w:shd w:val="clear" w:color="auto" w:fill="auto"/>
          </w:tcPr>
          <w:p w14:paraId="36AD86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銓敘部 </w:t>
            </w:r>
          </w:p>
          <w:p w14:paraId="3A0D952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361F92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7446B49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78BF97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4012BDD" w14:textId="77777777" w:rsidTr="006612A0">
        <w:tc>
          <w:tcPr>
            <w:tcW w:w="575" w:type="dxa"/>
            <w:shd w:val="clear" w:color="auto" w:fill="auto"/>
          </w:tcPr>
          <w:p w14:paraId="6B24BFD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30</w:t>
            </w:r>
          </w:p>
        </w:tc>
        <w:tc>
          <w:tcPr>
            <w:tcW w:w="2562" w:type="dxa"/>
            <w:shd w:val="clear" w:color="auto" w:fill="auto"/>
          </w:tcPr>
          <w:p w14:paraId="7BE16C3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為110年度中央政府總預算決議，檢送歲出第4款第1項決議（十七）書面報告，請查照案。</w:t>
            </w:r>
          </w:p>
        </w:tc>
        <w:tc>
          <w:tcPr>
            <w:tcW w:w="1995" w:type="dxa"/>
            <w:shd w:val="clear" w:color="auto" w:fill="auto"/>
          </w:tcPr>
          <w:p w14:paraId="12010E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4DA4E80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110.05.14</w:t>
            </w:r>
          </w:p>
          <w:p w14:paraId="4A65BB38" w14:textId="3E6F1398"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3BCC1E0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0A98F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52D6320" w14:textId="77777777" w:rsidTr="006612A0">
        <w:tc>
          <w:tcPr>
            <w:tcW w:w="575" w:type="dxa"/>
            <w:shd w:val="clear" w:color="auto" w:fill="auto"/>
          </w:tcPr>
          <w:p w14:paraId="5BFC8C8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31</w:t>
            </w:r>
          </w:p>
        </w:tc>
        <w:tc>
          <w:tcPr>
            <w:tcW w:w="2562" w:type="dxa"/>
            <w:shd w:val="clear" w:color="auto" w:fill="auto"/>
          </w:tcPr>
          <w:p w14:paraId="02A92A8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為110年度中央政府總預算決議，檢送歲出第4款第1項決議（三十六）書面報告，請查照案。</w:t>
            </w:r>
          </w:p>
        </w:tc>
        <w:tc>
          <w:tcPr>
            <w:tcW w:w="1995" w:type="dxa"/>
            <w:shd w:val="clear" w:color="auto" w:fill="auto"/>
          </w:tcPr>
          <w:p w14:paraId="2ED1826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368502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27C307C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000EFC1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9EAF10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A732AEF" w14:textId="77777777" w:rsidTr="006612A0">
        <w:tc>
          <w:tcPr>
            <w:tcW w:w="575" w:type="dxa"/>
            <w:shd w:val="clear" w:color="auto" w:fill="auto"/>
          </w:tcPr>
          <w:p w14:paraId="594091F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32</w:t>
            </w:r>
          </w:p>
        </w:tc>
        <w:tc>
          <w:tcPr>
            <w:tcW w:w="2562" w:type="dxa"/>
            <w:shd w:val="clear" w:color="auto" w:fill="auto"/>
          </w:tcPr>
          <w:p w14:paraId="1D2CE50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為110年度中央政府總預算決議，檢送歲出第4款第1項決議（四十八）書面報告，請查照案。</w:t>
            </w:r>
          </w:p>
        </w:tc>
        <w:tc>
          <w:tcPr>
            <w:tcW w:w="1995" w:type="dxa"/>
            <w:shd w:val="clear" w:color="auto" w:fill="auto"/>
          </w:tcPr>
          <w:p w14:paraId="5E5A589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4B0665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4F72253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69099C4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0BCEA3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04C1EA7" w14:textId="77777777" w:rsidTr="006612A0">
        <w:tc>
          <w:tcPr>
            <w:tcW w:w="575" w:type="dxa"/>
            <w:shd w:val="clear" w:color="auto" w:fill="auto"/>
          </w:tcPr>
          <w:p w14:paraId="0F42E79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33</w:t>
            </w:r>
          </w:p>
        </w:tc>
        <w:tc>
          <w:tcPr>
            <w:tcW w:w="2562" w:type="dxa"/>
            <w:shd w:val="clear" w:color="auto" w:fill="auto"/>
          </w:tcPr>
          <w:p w14:paraId="14BA903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為110年度中央政府總預算決議，檢送歲出第4款第1項決議（六十四）書面報告，請查照案。</w:t>
            </w:r>
          </w:p>
        </w:tc>
        <w:tc>
          <w:tcPr>
            <w:tcW w:w="1995" w:type="dxa"/>
            <w:shd w:val="clear" w:color="auto" w:fill="auto"/>
          </w:tcPr>
          <w:p w14:paraId="543BBF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13395D2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1AB6B66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6E8020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4753A5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2005EE" w14:textId="77777777" w:rsidTr="006612A0">
        <w:tc>
          <w:tcPr>
            <w:tcW w:w="575" w:type="dxa"/>
            <w:shd w:val="clear" w:color="auto" w:fill="auto"/>
          </w:tcPr>
          <w:p w14:paraId="6340E0F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34</w:t>
            </w:r>
          </w:p>
        </w:tc>
        <w:tc>
          <w:tcPr>
            <w:tcW w:w="2562" w:type="dxa"/>
            <w:shd w:val="clear" w:color="auto" w:fill="auto"/>
          </w:tcPr>
          <w:p w14:paraId="4B02ED3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為110年度中央政府總預算決議，檢送歲出第4款第1項決議（七十）書面報告，請查照案。</w:t>
            </w:r>
          </w:p>
        </w:tc>
        <w:tc>
          <w:tcPr>
            <w:tcW w:w="1995" w:type="dxa"/>
            <w:shd w:val="clear" w:color="auto" w:fill="auto"/>
          </w:tcPr>
          <w:p w14:paraId="4A5466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22E743B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110.05.14 </w:t>
            </w:r>
          </w:p>
          <w:p w14:paraId="1D1DA61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（10-3-12）</w:t>
            </w:r>
          </w:p>
        </w:tc>
        <w:tc>
          <w:tcPr>
            <w:tcW w:w="1597" w:type="dxa"/>
            <w:shd w:val="clear" w:color="auto" w:fill="auto"/>
          </w:tcPr>
          <w:p w14:paraId="1579755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F9701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381E24" w14:textId="77777777" w:rsidTr="006612A0">
        <w:tc>
          <w:tcPr>
            <w:tcW w:w="575" w:type="dxa"/>
            <w:shd w:val="clear" w:color="auto" w:fill="auto"/>
          </w:tcPr>
          <w:p w14:paraId="5A902AE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35</w:t>
            </w:r>
          </w:p>
        </w:tc>
        <w:tc>
          <w:tcPr>
            <w:tcW w:w="2562" w:type="dxa"/>
            <w:shd w:val="clear" w:color="auto" w:fill="auto"/>
          </w:tcPr>
          <w:p w14:paraId="67CA45D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法務部函，為財團法人臺灣更生保護會110年度預算決議，檢送輔導人力改善需求書面報告，請查照案。</w:t>
            </w:r>
          </w:p>
        </w:tc>
        <w:tc>
          <w:tcPr>
            <w:tcW w:w="1995" w:type="dxa"/>
            <w:shd w:val="clear" w:color="auto" w:fill="auto"/>
          </w:tcPr>
          <w:p w14:paraId="55E641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D60BB5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02FFC2B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28DD8C5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65CF5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094C24" w14:textId="77777777" w:rsidTr="006612A0">
        <w:tc>
          <w:tcPr>
            <w:tcW w:w="575" w:type="dxa"/>
            <w:shd w:val="clear" w:color="auto" w:fill="auto"/>
          </w:tcPr>
          <w:p w14:paraId="4EE918C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36</w:t>
            </w:r>
          </w:p>
        </w:tc>
        <w:tc>
          <w:tcPr>
            <w:tcW w:w="2562" w:type="dxa"/>
            <w:shd w:val="clear" w:color="auto" w:fill="auto"/>
          </w:tcPr>
          <w:p w14:paraId="5F6871F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法務部函，為財團法人臺灣更生保護會110年度預算決議，檢送更生人就業支持方案書面報告，請查照案。</w:t>
            </w:r>
          </w:p>
        </w:tc>
        <w:tc>
          <w:tcPr>
            <w:tcW w:w="1995" w:type="dxa"/>
            <w:shd w:val="clear" w:color="auto" w:fill="auto"/>
          </w:tcPr>
          <w:p w14:paraId="44EA061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60F8CB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110.05.21</w:t>
            </w:r>
          </w:p>
          <w:p w14:paraId="439DB5C7" w14:textId="287443E0"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14535FB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D8BFA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4BB17AF" w14:textId="77777777" w:rsidTr="006612A0">
        <w:tc>
          <w:tcPr>
            <w:tcW w:w="575" w:type="dxa"/>
            <w:shd w:val="clear" w:color="auto" w:fill="auto"/>
          </w:tcPr>
          <w:p w14:paraId="25BAD8F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37</w:t>
            </w:r>
          </w:p>
        </w:tc>
        <w:tc>
          <w:tcPr>
            <w:tcW w:w="2562" w:type="dxa"/>
            <w:shd w:val="clear" w:color="auto" w:fill="auto"/>
          </w:tcPr>
          <w:p w14:paraId="0C227E6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考試院函，為110年度中央政府總預算決議，檢送決議（七）公部門之聘用、約聘人員勞動條件相關保障機制書面報告，請查照案。</w:t>
            </w:r>
          </w:p>
        </w:tc>
        <w:tc>
          <w:tcPr>
            <w:tcW w:w="1995" w:type="dxa"/>
            <w:shd w:val="clear" w:color="auto" w:fill="auto"/>
          </w:tcPr>
          <w:p w14:paraId="22582D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考試院 </w:t>
            </w:r>
          </w:p>
          <w:p w14:paraId="2BCBF4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4A7FB5F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207468F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CECD5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7435354" w14:textId="77777777" w:rsidTr="006612A0">
        <w:tc>
          <w:tcPr>
            <w:tcW w:w="575" w:type="dxa"/>
            <w:shd w:val="clear" w:color="auto" w:fill="auto"/>
          </w:tcPr>
          <w:p w14:paraId="6888637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38</w:t>
            </w:r>
          </w:p>
        </w:tc>
        <w:tc>
          <w:tcPr>
            <w:tcW w:w="2562" w:type="dxa"/>
            <w:shd w:val="clear" w:color="auto" w:fill="auto"/>
          </w:tcPr>
          <w:p w14:paraId="535CFD0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考試院函，為110年度中央政府總預算決議，檢送決議（八）及（九）修改獎補助申請條件相關資料，請查照案。</w:t>
            </w:r>
          </w:p>
        </w:tc>
        <w:tc>
          <w:tcPr>
            <w:tcW w:w="1995" w:type="dxa"/>
            <w:shd w:val="clear" w:color="auto" w:fill="auto"/>
          </w:tcPr>
          <w:p w14:paraId="31651C1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考試院 </w:t>
            </w:r>
          </w:p>
          <w:p w14:paraId="0EF2761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06A845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0079DCC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E185A0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55344E0" w14:textId="77777777" w:rsidTr="006612A0">
        <w:tc>
          <w:tcPr>
            <w:tcW w:w="575" w:type="dxa"/>
            <w:shd w:val="clear" w:color="auto" w:fill="auto"/>
          </w:tcPr>
          <w:p w14:paraId="1CE0A21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39</w:t>
            </w:r>
          </w:p>
        </w:tc>
        <w:tc>
          <w:tcPr>
            <w:tcW w:w="2562" w:type="dxa"/>
            <w:shd w:val="clear" w:color="auto" w:fill="auto"/>
          </w:tcPr>
          <w:p w14:paraId="70B65D3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考試院函，為110年度中央政府總預算決議，檢送決議（十五）「首長及副首長專用車使用情形及因應考試委員縮減之調整規劃」書面報告，請查照案。</w:t>
            </w:r>
          </w:p>
        </w:tc>
        <w:tc>
          <w:tcPr>
            <w:tcW w:w="1995" w:type="dxa"/>
            <w:shd w:val="clear" w:color="auto" w:fill="auto"/>
          </w:tcPr>
          <w:p w14:paraId="1F23B8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考試院 </w:t>
            </w:r>
          </w:p>
          <w:p w14:paraId="387115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654DCAC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746847D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F9A163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99A7212" w14:textId="77777777" w:rsidTr="006612A0">
        <w:tc>
          <w:tcPr>
            <w:tcW w:w="575" w:type="dxa"/>
            <w:shd w:val="clear" w:color="auto" w:fill="auto"/>
          </w:tcPr>
          <w:p w14:paraId="568619B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40</w:t>
            </w:r>
          </w:p>
        </w:tc>
        <w:tc>
          <w:tcPr>
            <w:tcW w:w="2562" w:type="dxa"/>
            <w:shd w:val="clear" w:color="auto" w:fill="auto"/>
          </w:tcPr>
          <w:p w14:paraId="71967C1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考試院函，為110年度中央政府總預算決議，檢送決議（十六）「近5年出國考察議題及未來精進作為」書面報告，請查照案。</w:t>
            </w:r>
          </w:p>
        </w:tc>
        <w:tc>
          <w:tcPr>
            <w:tcW w:w="1995" w:type="dxa"/>
            <w:shd w:val="clear" w:color="auto" w:fill="auto"/>
          </w:tcPr>
          <w:p w14:paraId="3523780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考試院 </w:t>
            </w:r>
          </w:p>
          <w:p w14:paraId="2CC0F0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00E581A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7FAC2AC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AF0F9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C7C72DA" w14:textId="77777777" w:rsidTr="006612A0">
        <w:tc>
          <w:tcPr>
            <w:tcW w:w="575" w:type="dxa"/>
            <w:shd w:val="clear" w:color="auto" w:fill="auto"/>
          </w:tcPr>
          <w:p w14:paraId="1516F2D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41</w:t>
            </w:r>
          </w:p>
        </w:tc>
        <w:tc>
          <w:tcPr>
            <w:tcW w:w="2562" w:type="dxa"/>
            <w:shd w:val="clear" w:color="auto" w:fill="auto"/>
          </w:tcPr>
          <w:p w14:paraId="2C6F9EF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監察院函，為110年度中央政府總預算決議</w:t>
            </w:r>
            <w:r w:rsidRPr="00026143">
              <w:rPr>
                <w:rFonts w:ascii="標楷體" w:eastAsia="標楷體" w:hAnsi="標楷體"/>
                <w:color w:val="000000" w:themeColor="text1"/>
              </w:rPr>
              <w:lastRenderedPageBreak/>
              <w:t>，檢送該院決議（四）書面報告，請查照案。</w:t>
            </w:r>
          </w:p>
        </w:tc>
        <w:tc>
          <w:tcPr>
            <w:tcW w:w="1995" w:type="dxa"/>
            <w:shd w:val="clear" w:color="auto" w:fill="auto"/>
          </w:tcPr>
          <w:p w14:paraId="51332B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監察院 </w:t>
            </w:r>
          </w:p>
          <w:p w14:paraId="330C19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724CF0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（10-3-13）</w:t>
            </w:r>
          </w:p>
        </w:tc>
        <w:tc>
          <w:tcPr>
            <w:tcW w:w="1597" w:type="dxa"/>
            <w:shd w:val="clear" w:color="auto" w:fill="auto"/>
          </w:tcPr>
          <w:p w14:paraId="0CB5003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16D5A0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169B7E9" w14:textId="77777777" w:rsidTr="006612A0">
        <w:tc>
          <w:tcPr>
            <w:tcW w:w="575" w:type="dxa"/>
            <w:shd w:val="clear" w:color="auto" w:fill="auto"/>
          </w:tcPr>
          <w:p w14:paraId="6D4EC8D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42</w:t>
            </w:r>
          </w:p>
        </w:tc>
        <w:tc>
          <w:tcPr>
            <w:tcW w:w="2562" w:type="dxa"/>
            <w:shd w:val="clear" w:color="auto" w:fill="auto"/>
          </w:tcPr>
          <w:p w14:paraId="027AFFE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監察院函，為110年度中央政府總預算決議，檢送該院決議（五）書面報告，請查照案。</w:t>
            </w:r>
          </w:p>
        </w:tc>
        <w:tc>
          <w:tcPr>
            <w:tcW w:w="1995" w:type="dxa"/>
            <w:shd w:val="clear" w:color="auto" w:fill="auto"/>
          </w:tcPr>
          <w:p w14:paraId="43B7EB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 </w:t>
            </w:r>
          </w:p>
          <w:p w14:paraId="01DA275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29251CD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0FD10A5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186F4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4C17CE" w14:textId="77777777" w:rsidTr="006612A0">
        <w:tc>
          <w:tcPr>
            <w:tcW w:w="575" w:type="dxa"/>
            <w:shd w:val="clear" w:color="auto" w:fill="auto"/>
          </w:tcPr>
          <w:p w14:paraId="1FC126E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43</w:t>
            </w:r>
          </w:p>
        </w:tc>
        <w:tc>
          <w:tcPr>
            <w:tcW w:w="2562" w:type="dxa"/>
            <w:shd w:val="clear" w:color="auto" w:fill="auto"/>
          </w:tcPr>
          <w:p w14:paraId="4FFE742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監察院函，為110年度中央政府總預算決議，檢送該院決議（九）書面報告，請查照案。</w:t>
            </w:r>
          </w:p>
        </w:tc>
        <w:tc>
          <w:tcPr>
            <w:tcW w:w="1995" w:type="dxa"/>
            <w:shd w:val="clear" w:color="auto" w:fill="auto"/>
          </w:tcPr>
          <w:p w14:paraId="6FBA45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 </w:t>
            </w:r>
          </w:p>
          <w:p w14:paraId="57F996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110.05.21</w:t>
            </w:r>
          </w:p>
          <w:p w14:paraId="1D1015E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0D25117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21CC8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8030663" w14:textId="77777777" w:rsidTr="006612A0">
        <w:tc>
          <w:tcPr>
            <w:tcW w:w="575" w:type="dxa"/>
            <w:shd w:val="clear" w:color="auto" w:fill="auto"/>
          </w:tcPr>
          <w:p w14:paraId="5339E3B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44</w:t>
            </w:r>
          </w:p>
        </w:tc>
        <w:tc>
          <w:tcPr>
            <w:tcW w:w="2562" w:type="dxa"/>
            <w:shd w:val="clear" w:color="auto" w:fill="auto"/>
          </w:tcPr>
          <w:p w14:paraId="6EE1F84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監察院函，為110年度中央政府總預算決議，檢送該院決議（二十五）書面報告，請查照案。</w:t>
            </w:r>
          </w:p>
        </w:tc>
        <w:tc>
          <w:tcPr>
            <w:tcW w:w="1995" w:type="dxa"/>
            <w:shd w:val="clear" w:color="auto" w:fill="auto"/>
          </w:tcPr>
          <w:p w14:paraId="6DFEFEA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 </w:t>
            </w:r>
          </w:p>
          <w:p w14:paraId="6A7D44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62B16DB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4BCB3DC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F0EDB6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3712637" w14:textId="77777777" w:rsidTr="006612A0">
        <w:tc>
          <w:tcPr>
            <w:tcW w:w="575" w:type="dxa"/>
            <w:shd w:val="clear" w:color="auto" w:fill="auto"/>
          </w:tcPr>
          <w:p w14:paraId="7718B7E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45</w:t>
            </w:r>
          </w:p>
        </w:tc>
        <w:tc>
          <w:tcPr>
            <w:tcW w:w="2562" w:type="dxa"/>
            <w:shd w:val="clear" w:color="auto" w:fill="auto"/>
          </w:tcPr>
          <w:p w14:paraId="0A537AF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立法院秘書長函，為110年度中央政府總預算決議，檢送本院單位預算決議（三十三）書面報告，請查照案。</w:t>
            </w:r>
          </w:p>
        </w:tc>
        <w:tc>
          <w:tcPr>
            <w:tcW w:w="1995" w:type="dxa"/>
            <w:shd w:val="clear" w:color="auto" w:fill="auto"/>
          </w:tcPr>
          <w:p w14:paraId="3FA07C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立法院秘書長 </w:t>
            </w:r>
          </w:p>
          <w:p w14:paraId="0AE5FA0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110.05.21</w:t>
            </w:r>
          </w:p>
          <w:p w14:paraId="33B5952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5828560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E7A433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E3ABC4" w14:textId="77777777" w:rsidTr="006612A0">
        <w:tc>
          <w:tcPr>
            <w:tcW w:w="575" w:type="dxa"/>
            <w:shd w:val="clear" w:color="auto" w:fill="auto"/>
          </w:tcPr>
          <w:p w14:paraId="36D3DD4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46</w:t>
            </w:r>
          </w:p>
        </w:tc>
        <w:tc>
          <w:tcPr>
            <w:tcW w:w="2562" w:type="dxa"/>
            <w:shd w:val="clear" w:color="auto" w:fill="auto"/>
          </w:tcPr>
          <w:p w14:paraId="78DCC9B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立法院秘書長函，為110年度中央政府總預算決議，檢送本院單位預算決議（三十四）書面報告，請查照案。</w:t>
            </w:r>
          </w:p>
        </w:tc>
        <w:tc>
          <w:tcPr>
            <w:tcW w:w="1995" w:type="dxa"/>
            <w:shd w:val="clear" w:color="auto" w:fill="auto"/>
          </w:tcPr>
          <w:p w14:paraId="4932E1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立法院秘書長 </w:t>
            </w:r>
          </w:p>
          <w:p w14:paraId="3FF711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110.05.21</w:t>
            </w:r>
          </w:p>
          <w:p w14:paraId="046D64F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73C68EF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367D85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93A014D" w14:textId="77777777" w:rsidTr="006612A0">
        <w:tc>
          <w:tcPr>
            <w:tcW w:w="575" w:type="dxa"/>
            <w:shd w:val="clear" w:color="auto" w:fill="auto"/>
          </w:tcPr>
          <w:p w14:paraId="76416B7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47</w:t>
            </w:r>
          </w:p>
        </w:tc>
        <w:tc>
          <w:tcPr>
            <w:tcW w:w="2562" w:type="dxa"/>
            <w:shd w:val="clear" w:color="auto" w:fill="auto"/>
          </w:tcPr>
          <w:p w14:paraId="46C3EE2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法務部函，為110年度中央政府總預算決議，檢送該部決議（二十五）書面報告，請查照案。</w:t>
            </w:r>
          </w:p>
        </w:tc>
        <w:tc>
          <w:tcPr>
            <w:tcW w:w="1995" w:type="dxa"/>
            <w:shd w:val="clear" w:color="auto" w:fill="auto"/>
          </w:tcPr>
          <w:p w14:paraId="6594EE4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1D85903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27F9EB2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39BE8C2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E13D0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981B5CF" w14:textId="77777777" w:rsidTr="006612A0">
        <w:tc>
          <w:tcPr>
            <w:tcW w:w="575" w:type="dxa"/>
            <w:shd w:val="clear" w:color="auto" w:fill="auto"/>
          </w:tcPr>
          <w:p w14:paraId="0150A92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48</w:t>
            </w:r>
          </w:p>
        </w:tc>
        <w:tc>
          <w:tcPr>
            <w:tcW w:w="2562" w:type="dxa"/>
            <w:shd w:val="clear" w:color="auto" w:fill="auto"/>
          </w:tcPr>
          <w:p w14:paraId="0E7566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法務部函，為110年度中央政府總預算決議，檢送該部決議（三十）書面報告，請查照案。</w:t>
            </w:r>
          </w:p>
        </w:tc>
        <w:tc>
          <w:tcPr>
            <w:tcW w:w="1995" w:type="dxa"/>
            <w:shd w:val="clear" w:color="auto" w:fill="auto"/>
          </w:tcPr>
          <w:p w14:paraId="48DACA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CA08B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0604CC0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0113AD6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AF08DE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154B927" w14:textId="77777777" w:rsidTr="006612A0">
        <w:tc>
          <w:tcPr>
            <w:tcW w:w="575" w:type="dxa"/>
            <w:shd w:val="clear" w:color="auto" w:fill="auto"/>
          </w:tcPr>
          <w:p w14:paraId="70289D3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49</w:t>
            </w:r>
          </w:p>
        </w:tc>
        <w:tc>
          <w:tcPr>
            <w:tcW w:w="2562" w:type="dxa"/>
            <w:shd w:val="clear" w:color="auto" w:fill="auto"/>
          </w:tcPr>
          <w:p w14:paraId="6123363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法務部函，為110年度中央政府總預算決議，檢送提起非常上訴之比例偏低書面報告，請查照案。</w:t>
            </w:r>
          </w:p>
        </w:tc>
        <w:tc>
          <w:tcPr>
            <w:tcW w:w="1995" w:type="dxa"/>
            <w:shd w:val="clear" w:color="auto" w:fill="auto"/>
          </w:tcPr>
          <w:p w14:paraId="1EE3DEE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6EA44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110.05.21</w:t>
            </w:r>
          </w:p>
          <w:p w14:paraId="044304D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1A1D87D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9F043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98381E9" w14:textId="77777777" w:rsidTr="006612A0">
        <w:tc>
          <w:tcPr>
            <w:tcW w:w="575" w:type="dxa"/>
            <w:shd w:val="clear" w:color="auto" w:fill="auto"/>
          </w:tcPr>
          <w:p w14:paraId="7A4FBE8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50</w:t>
            </w:r>
          </w:p>
        </w:tc>
        <w:tc>
          <w:tcPr>
            <w:tcW w:w="2562" w:type="dxa"/>
            <w:shd w:val="clear" w:color="auto" w:fill="auto"/>
          </w:tcPr>
          <w:p w14:paraId="604DCF3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法務部函，為110年度中央政府總預算決議，檢送女性監所工作者申請生理假需求書面報告，請查照案。</w:t>
            </w:r>
          </w:p>
        </w:tc>
        <w:tc>
          <w:tcPr>
            <w:tcW w:w="1995" w:type="dxa"/>
            <w:shd w:val="clear" w:color="auto" w:fill="auto"/>
          </w:tcPr>
          <w:p w14:paraId="24140A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FE8E0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110.05.21</w:t>
            </w:r>
          </w:p>
          <w:p w14:paraId="14083D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1B39C8C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2D892C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A4E82F" w14:textId="77777777" w:rsidTr="006612A0">
        <w:tc>
          <w:tcPr>
            <w:tcW w:w="575" w:type="dxa"/>
            <w:shd w:val="clear" w:color="auto" w:fill="auto"/>
          </w:tcPr>
          <w:p w14:paraId="651B822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51</w:t>
            </w:r>
          </w:p>
        </w:tc>
        <w:tc>
          <w:tcPr>
            <w:tcW w:w="2562" w:type="dxa"/>
            <w:shd w:val="clear" w:color="auto" w:fill="auto"/>
          </w:tcPr>
          <w:p w14:paraId="6B5D59C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w:t>
            </w:r>
            <w:r w:rsidRPr="00026143">
              <w:rPr>
                <w:rFonts w:ascii="標楷體" w:eastAsia="標楷體" w:hAnsi="標楷體"/>
                <w:color w:val="000000" w:themeColor="text1"/>
              </w:rPr>
              <w:lastRenderedPageBreak/>
              <w:t>函，為110年度中央政府總預算決議，檢送該總處決議（六）公務人員差勤時數上限等框架性規範書面報告，請查照案。</w:t>
            </w:r>
          </w:p>
        </w:tc>
        <w:tc>
          <w:tcPr>
            <w:tcW w:w="1995" w:type="dxa"/>
            <w:shd w:val="clear" w:color="auto" w:fill="auto"/>
          </w:tcPr>
          <w:p w14:paraId="7749FCE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行政院人事行政</w:t>
            </w:r>
            <w:r w:rsidRPr="00026143">
              <w:rPr>
                <w:rFonts w:ascii="標楷體" w:eastAsia="標楷體" w:hAnsi="標楷體"/>
                <w:color w:val="000000" w:themeColor="text1"/>
              </w:rPr>
              <w:lastRenderedPageBreak/>
              <w:t xml:space="preserve">總處 </w:t>
            </w:r>
          </w:p>
          <w:p w14:paraId="6C794E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04BF40A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381F8F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2DDA66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45B2E29" w14:textId="77777777" w:rsidTr="006612A0">
        <w:tc>
          <w:tcPr>
            <w:tcW w:w="575" w:type="dxa"/>
            <w:shd w:val="clear" w:color="auto" w:fill="auto"/>
          </w:tcPr>
          <w:p w14:paraId="076C266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52</w:t>
            </w:r>
          </w:p>
        </w:tc>
        <w:tc>
          <w:tcPr>
            <w:tcW w:w="2562" w:type="dxa"/>
            <w:shd w:val="clear" w:color="auto" w:fill="auto"/>
          </w:tcPr>
          <w:p w14:paraId="5B09C9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行政院人事行政總處函，為110年度中央政府總預算決議，檢送該總處決議（十七）公務人員差勤時數上限等框架性規範書面報告，請查照案。</w:t>
            </w:r>
          </w:p>
        </w:tc>
        <w:tc>
          <w:tcPr>
            <w:tcW w:w="1995" w:type="dxa"/>
            <w:shd w:val="clear" w:color="auto" w:fill="auto"/>
          </w:tcPr>
          <w:p w14:paraId="2194961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5C4FAA8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774DEE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03C8A4C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3663DB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E9C4611" w14:textId="77777777" w:rsidTr="006612A0">
        <w:tc>
          <w:tcPr>
            <w:tcW w:w="575" w:type="dxa"/>
            <w:shd w:val="clear" w:color="auto" w:fill="auto"/>
          </w:tcPr>
          <w:p w14:paraId="7906C51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53</w:t>
            </w:r>
          </w:p>
        </w:tc>
        <w:tc>
          <w:tcPr>
            <w:tcW w:w="2562" w:type="dxa"/>
            <w:shd w:val="clear" w:color="auto" w:fill="auto"/>
          </w:tcPr>
          <w:p w14:paraId="13C305C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行政院人事行政總處函，為110年度中央政府總預算決議，檢送該總處決議（二十）公務人員差勤時數上限等框架性規範書面報告，請查照案。</w:t>
            </w:r>
          </w:p>
        </w:tc>
        <w:tc>
          <w:tcPr>
            <w:tcW w:w="1995" w:type="dxa"/>
            <w:shd w:val="clear" w:color="auto" w:fill="auto"/>
          </w:tcPr>
          <w:p w14:paraId="3BC16CA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0671EF7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5BFCE69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102850A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5AB10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43DD54" w14:textId="77777777" w:rsidTr="006612A0">
        <w:tc>
          <w:tcPr>
            <w:tcW w:w="575" w:type="dxa"/>
            <w:shd w:val="clear" w:color="auto" w:fill="auto"/>
          </w:tcPr>
          <w:p w14:paraId="0C38BEB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54</w:t>
            </w:r>
          </w:p>
        </w:tc>
        <w:tc>
          <w:tcPr>
            <w:tcW w:w="2562" w:type="dxa"/>
            <w:shd w:val="clear" w:color="auto" w:fill="auto"/>
          </w:tcPr>
          <w:p w14:paraId="77FA13D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行政院人事行政總處函，為110年度中央政府總預算決議，檢送該總處決議（三十）如何結算公務人員年度未能補休完畢之加班時數書面報告，請查照案。</w:t>
            </w:r>
          </w:p>
        </w:tc>
        <w:tc>
          <w:tcPr>
            <w:tcW w:w="1995" w:type="dxa"/>
            <w:shd w:val="clear" w:color="auto" w:fill="auto"/>
          </w:tcPr>
          <w:p w14:paraId="4FD87F1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3F8F862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001AF50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25375D2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7FE20F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AF7FEBE" w14:textId="77777777" w:rsidTr="006612A0">
        <w:tc>
          <w:tcPr>
            <w:tcW w:w="575" w:type="dxa"/>
            <w:shd w:val="clear" w:color="auto" w:fill="auto"/>
          </w:tcPr>
          <w:p w14:paraId="058EB67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55</w:t>
            </w:r>
          </w:p>
        </w:tc>
        <w:tc>
          <w:tcPr>
            <w:tcW w:w="2562" w:type="dxa"/>
            <w:shd w:val="clear" w:color="auto" w:fill="auto"/>
          </w:tcPr>
          <w:p w14:paraId="4EF98EC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考選部函，為110年度中央政府總預算決議，檢送該部決議（八）「109年律師考試辦理之檢討報告」，請查照案。</w:t>
            </w:r>
          </w:p>
        </w:tc>
        <w:tc>
          <w:tcPr>
            <w:tcW w:w="1995" w:type="dxa"/>
            <w:shd w:val="clear" w:color="auto" w:fill="auto"/>
          </w:tcPr>
          <w:p w14:paraId="56E7229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考選部 </w:t>
            </w:r>
          </w:p>
          <w:p w14:paraId="7C26BA7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110.05.21 </w:t>
            </w:r>
          </w:p>
          <w:p w14:paraId="74CC6F9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tc>
        <w:tc>
          <w:tcPr>
            <w:tcW w:w="1597" w:type="dxa"/>
            <w:shd w:val="clear" w:color="auto" w:fill="auto"/>
          </w:tcPr>
          <w:p w14:paraId="61E230E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D7ACC2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03D96D3" w14:textId="77777777" w:rsidTr="006612A0">
        <w:tc>
          <w:tcPr>
            <w:tcW w:w="575" w:type="dxa"/>
            <w:shd w:val="clear" w:color="auto" w:fill="auto"/>
          </w:tcPr>
          <w:p w14:paraId="06F4866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56</w:t>
            </w:r>
          </w:p>
        </w:tc>
        <w:tc>
          <w:tcPr>
            <w:tcW w:w="2562" w:type="dxa"/>
            <w:shd w:val="clear" w:color="auto" w:fill="auto"/>
          </w:tcPr>
          <w:p w14:paraId="6DD607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司法院函送110年第1季辦理政策宣導之執行情形表，請查照案。</w:t>
            </w:r>
          </w:p>
        </w:tc>
        <w:tc>
          <w:tcPr>
            <w:tcW w:w="1995" w:type="dxa"/>
            <w:shd w:val="clear" w:color="auto" w:fill="auto"/>
          </w:tcPr>
          <w:p w14:paraId="46F4FA4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3F32CE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1B19F1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597" w:type="dxa"/>
            <w:shd w:val="clear" w:color="auto" w:fill="auto"/>
          </w:tcPr>
          <w:p w14:paraId="4D47E48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A16300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0D12E1" w14:textId="77777777" w:rsidTr="006612A0">
        <w:tc>
          <w:tcPr>
            <w:tcW w:w="575" w:type="dxa"/>
            <w:shd w:val="clear" w:color="auto" w:fill="auto"/>
          </w:tcPr>
          <w:p w14:paraId="75CFD00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57</w:t>
            </w:r>
          </w:p>
        </w:tc>
        <w:tc>
          <w:tcPr>
            <w:tcW w:w="2562" w:type="dxa"/>
            <w:shd w:val="clear" w:color="auto" w:fill="auto"/>
          </w:tcPr>
          <w:p w14:paraId="406D73C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法務部函送110年第1季該部及所屬機關、主管財團法人於媒體辦理政策宣導彙整表，請查照案。</w:t>
            </w:r>
          </w:p>
        </w:tc>
        <w:tc>
          <w:tcPr>
            <w:tcW w:w="1995" w:type="dxa"/>
            <w:shd w:val="clear" w:color="auto" w:fill="auto"/>
          </w:tcPr>
          <w:p w14:paraId="41FFE9F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11BFA3E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110.10.22 </w:t>
            </w:r>
          </w:p>
          <w:p w14:paraId="0000132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（10-4-6）</w:t>
            </w:r>
          </w:p>
        </w:tc>
        <w:tc>
          <w:tcPr>
            <w:tcW w:w="1597" w:type="dxa"/>
            <w:shd w:val="clear" w:color="auto" w:fill="auto"/>
          </w:tcPr>
          <w:p w14:paraId="1DEBECD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EEA42A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64A3BC3" w14:textId="77777777" w:rsidTr="006612A0">
        <w:tc>
          <w:tcPr>
            <w:tcW w:w="575" w:type="dxa"/>
            <w:shd w:val="clear" w:color="auto" w:fill="auto"/>
          </w:tcPr>
          <w:p w14:paraId="1C9A43B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58</w:t>
            </w:r>
          </w:p>
        </w:tc>
        <w:tc>
          <w:tcPr>
            <w:tcW w:w="2562" w:type="dxa"/>
            <w:shd w:val="clear" w:color="auto" w:fill="auto"/>
          </w:tcPr>
          <w:p w14:paraId="6525893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法務部函，為110年度中央政府總預算決議，檢送「智慧監視系統與監視器死角整合計</w:t>
            </w:r>
            <w:r w:rsidRPr="00026143">
              <w:rPr>
                <w:rFonts w:ascii="標楷體" w:eastAsia="標楷體" w:hAnsi="標楷體"/>
                <w:color w:val="000000" w:themeColor="text1"/>
              </w:rPr>
              <w:lastRenderedPageBreak/>
              <w:t>畫」書面報告，請查照案。</w:t>
            </w:r>
          </w:p>
        </w:tc>
        <w:tc>
          <w:tcPr>
            <w:tcW w:w="1995" w:type="dxa"/>
            <w:shd w:val="clear" w:color="auto" w:fill="auto"/>
          </w:tcPr>
          <w:p w14:paraId="6C0D0D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法務部 </w:t>
            </w:r>
          </w:p>
          <w:p w14:paraId="4BC5BC1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7BCC9C9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739FFA1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B4AF94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52DAA3" w14:textId="77777777" w:rsidTr="006612A0">
        <w:tc>
          <w:tcPr>
            <w:tcW w:w="575" w:type="dxa"/>
            <w:shd w:val="clear" w:color="auto" w:fill="auto"/>
          </w:tcPr>
          <w:p w14:paraId="48E3844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59</w:t>
            </w:r>
          </w:p>
        </w:tc>
        <w:tc>
          <w:tcPr>
            <w:tcW w:w="2562" w:type="dxa"/>
            <w:shd w:val="clear" w:color="auto" w:fill="auto"/>
          </w:tcPr>
          <w:p w14:paraId="5B575D5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法務部函，為110年度中央政府總預算決議，檢送「智慧監獄之系統建置及網路傳輸」書面報告，請查照案。</w:t>
            </w:r>
          </w:p>
        </w:tc>
        <w:tc>
          <w:tcPr>
            <w:tcW w:w="1995" w:type="dxa"/>
            <w:shd w:val="clear" w:color="auto" w:fill="auto"/>
          </w:tcPr>
          <w:p w14:paraId="41A54EA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DC7AB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110.10.29</w:t>
            </w:r>
          </w:p>
          <w:p w14:paraId="6FFBA1A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2375F0F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EAA177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7706D90" w14:textId="77777777" w:rsidTr="006612A0">
        <w:tc>
          <w:tcPr>
            <w:tcW w:w="575" w:type="dxa"/>
            <w:shd w:val="clear" w:color="auto" w:fill="auto"/>
          </w:tcPr>
          <w:p w14:paraId="2B9A983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60</w:t>
            </w:r>
          </w:p>
        </w:tc>
        <w:tc>
          <w:tcPr>
            <w:tcW w:w="2562" w:type="dxa"/>
            <w:shd w:val="clear" w:color="auto" w:fill="auto"/>
          </w:tcPr>
          <w:p w14:paraId="64CEA9F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法務部函，為110年度中央政府總預算決議，檢送「智慧監獄系統改善措施」書面報告，請查照案。</w:t>
            </w:r>
          </w:p>
        </w:tc>
        <w:tc>
          <w:tcPr>
            <w:tcW w:w="1995" w:type="dxa"/>
            <w:shd w:val="clear" w:color="auto" w:fill="auto"/>
          </w:tcPr>
          <w:p w14:paraId="675B016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950DD3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110.10.29</w:t>
            </w:r>
          </w:p>
          <w:p w14:paraId="1E43BE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27F5080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E427AD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2F8F8EC" w14:textId="77777777" w:rsidTr="006612A0">
        <w:tc>
          <w:tcPr>
            <w:tcW w:w="575" w:type="dxa"/>
            <w:shd w:val="clear" w:color="auto" w:fill="auto"/>
          </w:tcPr>
          <w:p w14:paraId="0F28222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61</w:t>
            </w:r>
          </w:p>
        </w:tc>
        <w:tc>
          <w:tcPr>
            <w:tcW w:w="2562" w:type="dxa"/>
            <w:shd w:val="clear" w:color="auto" w:fill="auto"/>
          </w:tcPr>
          <w:p w14:paraId="11B2064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法務部函，為110年度中央政府總預算決議，檢送智慧監獄計畫隱私疑義書面報告，請查照案。</w:t>
            </w:r>
          </w:p>
        </w:tc>
        <w:tc>
          <w:tcPr>
            <w:tcW w:w="1995" w:type="dxa"/>
            <w:shd w:val="clear" w:color="auto" w:fill="auto"/>
          </w:tcPr>
          <w:p w14:paraId="75A7DE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401A05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0D71B36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5DFB4E6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CFCA2A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54F7DC6" w14:textId="77777777" w:rsidTr="006612A0">
        <w:tc>
          <w:tcPr>
            <w:tcW w:w="575" w:type="dxa"/>
            <w:shd w:val="clear" w:color="auto" w:fill="auto"/>
          </w:tcPr>
          <w:p w14:paraId="3472532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62</w:t>
            </w:r>
          </w:p>
        </w:tc>
        <w:tc>
          <w:tcPr>
            <w:tcW w:w="2562" w:type="dxa"/>
            <w:shd w:val="clear" w:color="auto" w:fill="auto"/>
          </w:tcPr>
          <w:p w14:paraId="20ED85D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法務部函，為110年度中央政府總預算決議，檢送「近五年在監死亡之原因人數統計與是否經死因調查」書面報告，請查照案。</w:t>
            </w:r>
          </w:p>
        </w:tc>
        <w:tc>
          <w:tcPr>
            <w:tcW w:w="1995" w:type="dxa"/>
            <w:shd w:val="clear" w:color="auto" w:fill="auto"/>
          </w:tcPr>
          <w:p w14:paraId="5335690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30BAB3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31B3CC6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59B61F9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AE7450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2D272E" w14:textId="77777777" w:rsidTr="006612A0">
        <w:tc>
          <w:tcPr>
            <w:tcW w:w="575" w:type="dxa"/>
            <w:shd w:val="clear" w:color="auto" w:fill="auto"/>
          </w:tcPr>
          <w:p w14:paraId="6598EE2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63</w:t>
            </w:r>
          </w:p>
        </w:tc>
        <w:tc>
          <w:tcPr>
            <w:tcW w:w="2562" w:type="dxa"/>
            <w:shd w:val="clear" w:color="auto" w:fill="auto"/>
          </w:tcPr>
          <w:p w14:paraId="36F5CE4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法務部函，為110年度中央政府總預算決議，檢送「試辦專業輔導人力於個別處遇工作模式」書面報告，請查照案。</w:t>
            </w:r>
          </w:p>
        </w:tc>
        <w:tc>
          <w:tcPr>
            <w:tcW w:w="1995" w:type="dxa"/>
            <w:shd w:val="clear" w:color="auto" w:fill="auto"/>
          </w:tcPr>
          <w:p w14:paraId="0EF7276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3AB04B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1859C59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46FD962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975684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1668D45" w14:textId="77777777" w:rsidTr="006612A0">
        <w:tc>
          <w:tcPr>
            <w:tcW w:w="575" w:type="dxa"/>
            <w:shd w:val="clear" w:color="auto" w:fill="auto"/>
          </w:tcPr>
          <w:p w14:paraId="7744F7E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64</w:t>
            </w:r>
          </w:p>
        </w:tc>
        <w:tc>
          <w:tcPr>
            <w:tcW w:w="2562" w:type="dxa"/>
            <w:shd w:val="clear" w:color="auto" w:fill="auto"/>
          </w:tcPr>
          <w:p w14:paraId="2BE87F2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法務部函，為110年度中央政府總預算決議，檢送「改善矯正機構醫療人力比例」書面報告，請查照案。</w:t>
            </w:r>
          </w:p>
        </w:tc>
        <w:tc>
          <w:tcPr>
            <w:tcW w:w="1995" w:type="dxa"/>
            <w:shd w:val="clear" w:color="auto" w:fill="auto"/>
          </w:tcPr>
          <w:p w14:paraId="116250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3B8640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53E2F6C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45210E2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0289EF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DD7920" w14:textId="77777777" w:rsidTr="006612A0">
        <w:tc>
          <w:tcPr>
            <w:tcW w:w="575" w:type="dxa"/>
            <w:shd w:val="clear" w:color="auto" w:fill="auto"/>
          </w:tcPr>
          <w:p w14:paraId="6646645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65</w:t>
            </w:r>
          </w:p>
        </w:tc>
        <w:tc>
          <w:tcPr>
            <w:tcW w:w="2562" w:type="dxa"/>
            <w:shd w:val="clear" w:color="auto" w:fill="auto"/>
          </w:tcPr>
          <w:p w14:paraId="3585048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法務部函，為110年度中央政府總預算決議，檢送矯正署決議（十五）書面報告，請查照案。</w:t>
            </w:r>
          </w:p>
        </w:tc>
        <w:tc>
          <w:tcPr>
            <w:tcW w:w="1995" w:type="dxa"/>
            <w:shd w:val="clear" w:color="auto" w:fill="auto"/>
          </w:tcPr>
          <w:p w14:paraId="4B0B601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E735E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7AEEDBC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387309B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048547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7CC5FB8" w14:textId="77777777" w:rsidTr="006612A0">
        <w:tc>
          <w:tcPr>
            <w:tcW w:w="575" w:type="dxa"/>
            <w:shd w:val="clear" w:color="auto" w:fill="auto"/>
          </w:tcPr>
          <w:p w14:paraId="087CB24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66</w:t>
            </w:r>
          </w:p>
        </w:tc>
        <w:tc>
          <w:tcPr>
            <w:tcW w:w="2562" w:type="dxa"/>
            <w:shd w:val="clear" w:color="auto" w:fill="auto"/>
          </w:tcPr>
          <w:p w14:paraId="32D0AFC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法務部函，為110年度中央政府總預算決議，檢送矯正署決議（十九）書面報告，請查照案。</w:t>
            </w:r>
          </w:p>
        </w:tc>
        <w:tc>
          <w:tcPr>
            <w:tcW w:w="1995" w:type="dxa"/>
            <w:shd w:val="clear" w:color="auto" w:fill="auto"/>
          </w:tcPr>
          <w:p w14:paraId="0AF438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629D8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1E5FD23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5D0F756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5187EF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A13E899" w14:textId="77777777" w:rsidTr="006612A0">
        <w:tc>
          <w:tcPr>
            <w:tcW w:w="575" w:type="dxa"/>
            <w:shd w:val="clear" w:color="auto" w:fill="auto"/>
          </w:tcPr>
          <w:p w14:paraId="4680C4F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67</w:t>
            </w:r>
          </w:p>
        </w:tc>
        <w:tc>
          <w:tcPr>
            <w:tcW w:w="2562" w:type="dxa"/>
            <w:shd w:val="clear" w:color="auto" w:fill="auto"/>
          </w:tcPr>
          <w:p w14:paraId="551167F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w:t>
            </w:r>
            <w:r w:rsidRPr="00026143">
              <w:rPr>
                <w:rFonts w:ascii="標楷體" w:eastAsia="標楷體" w:hAnsi="標楷體"/>
                <w:color w:val="000000" w:themeColor="text1"/>
              </w:rPr>
              <w:lastRenderedPageBreak/>
              <w:t>，檢送矯正署決議（二十）書面報告，請查照案。</w:t>
            </w:r>
          </w:p>
        </w:tc>
        <w:tc>
          <w:tcPr>
            <w:tcW w:w="1995" w:type="dxa"/>
            <w:shd w:val="clear" w:color="auto" w:fill="auto"/>
          </w:tcPr>
          <w:p w14:paraId="17CE2A9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法務部 </w:t>
            </w:r>
          </w:p>
          <w:p w14:paraId="5B450E7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0347DD3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（10-4-7）</w:t>
            </w:r>
          </w:p>
        </w:tc>
        <w:tc>
          <w:tcPr>
            <w:tcW w:w="1597" w:type="dxa"/>
            <w:shd w:val="clear" w:color="auto" w:fill="auto"/>
          </w:tcPr>
          <w:p w14:paraId="76FF655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3EDFC8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F62AD34" w14:textId="77777777" w:rsidTr="006612A0">
        <w:tc>
          <w:tcPr>
            <w:tcW w:w="575" w:type="dxa"/>
            <w:shd w:val="clear" w:color="auto" w:fill="auto"/>
          </w:tcPr>
          <w:p w14:paraId="58CEF90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68</w:t>
            </w:r>
          </w:p>
        </w:tc>
        <w:tc>
          <w:tcPr>
            <w:tcW w:w="2562" w:type="dxa"/>
            <w:shd w:val="clear" w:color="auto" w:fill="auto"/>
          </w:tcPr>
          <w:p w14:paraId="1733FA9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法務部函，為110年度中央政府總預算決議，檢送矯正署決議（二十四）書面報告，請查照案。</w:t>
            </w:r>
          </w:p>
        </w:tc>
        <w:tc>
          <w:tcPr>
            <w:tcW w:w="1995" w:type="dxa"/>
            <w:shd w:val="clear" w:color="auto" w:fill="auto"/>
          </w:tcPr>
          <w:p w14:paraId="4020B75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2273C1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7638CE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7C5866F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672DB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883EC2E" w14:textId="77777777" w:rsidTr="006612A0">
        <w:tc>
          <w:tcPr>
            <w:tcW w:w="575" w:type="dxa"/>
            <w:shd w:val="clear" w:color="auto" w:fill="auto"/>
          </w:tcPr>
          <w:p w14:paraId="679B7B8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69</w:t>
            </w:r>
          </w:p>
        </w:tc>
        <w:tc>
          <w:tcPr>
            <w:tcW w:w="2562" w:type="dxa"/>
            <w:shd w:val="clear" w:color="auto" w:fill="auto"/>
          </w:tcPr>
          <w:p w14:paraId="52DFE45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法務部函，為110年度中央政府總預算決議，檢送矯正署決議（二十九）書面報告，請查照案。</w:t>
            </w:r>
          </w:p>
        </w:tc>
        <w:tc>
          <w:tcPr>
            <w:tcW w:w="1995" w:type="dxa"/>
            <w:shd w:val="clear" w:color="auto" w:fill="auto"/>
          </w:tcPr>
          <w:p w14:paraId="724854D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BECB25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110.10.29</w:t>
            </w:r>
          </w:p>
          <w:p w14:paraId="2283CBB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352BFAB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33DE4E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2F607A" w14:textId="77777777" w:rsidTr="006612A0">
        <w:tc>
          <w:tcPr>
            <w:tcW w:w="575" w:type="dxa"/>
            <w:shd w:val="clear" w:color="auto" w:fill="auto"/>
          </w:tcPr>
          <w:p w14:paraId="68086E4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70</w:t>
            </w:r>
          </w:p>
        </w:tc>
        <w:tc>
          <w:tcPr>
            <w:tcW w:w="2562" w:type="dxa"/>
            <w:shd w:val="clear" w:color="auto" w:fill="auto"/>
          </w:tcPr>
          <w:p w14:paraId="267ADA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法務部函，為110年度中央政府總預算決議，檢送矯正署新（擴）建工程進度落後書面報告，請查照案。</w:t>
            </w:r>
          </w:p>
        </w:tc>
        <w:tc>
          <w:tcPr>
            <w:tcW w:w="1995" w:type="dxa"/>
            <w:shd w:val="clear" w:color="auto" w:fill="auto"/>
          </w:tcPr>
          <w:p w14:paraId="520E08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F69671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09A51E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1E8818F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632568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0C5C984" w14:textId="77777777" w:rsidTr="006612A0">
        <w:tc>
          <w:tcPr>
            <w:tcW w:w="575" w:type="dxa"/>
            <w:shd w:val="clear" w:color="auto" w:fill="auto"/>
          </w:tcPr>
          <w:p w14:paraId="1894E87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71</w:t>
            </w:r>
          </w:p>
        </w:tc>
        <w:tc>
          <w:tcPr>
            <w:tcW w:w="2562" w:type="dxa"/>
            <w:shd w:val="clear" w:color="auto" w:fill="auto"/>
          </w:tcPr>
          <w:p w14:paraId="23A6BCE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法務部函，為110年度中央政府總預算決議，檢送矯正署所屬機關外部視察小組組成分析書面報告，請查照案。</w:t>
            </w:r>
          </w:p>
        </w:tc>
        <w:tc>
          <w:tcPr>
            <w:tcW w:w="1995" w:type="dxa"/>
            <w:shd w:val="clear" w:color="auto" w:fill="auto"/>
          </w:tcPr>
          <w:p w14:paraId="4EAAA39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351D8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75F9019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6CBF6C0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6A1304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FD57FA8" w14:textId="77777777" w:rsidTr="006612A0">
        <w:tc>
          <w:tcPr>
            <w:tcW w:w="575" w:type="dxa"/>
            <w:shd w:val="clear" w:color="auto" w:fill="auto"/>
          </w:tcPr>
          <w:p w14:paraId="6ED0AFD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72</w:t>
            </w:r>
          </w:p>
        </w:tc>
        <w:tc>
          <w:tcPr>
            <w:tcW w:w="2562" w:type="dxa"/>
            <w:shd w:val="clear" w:color="auto" w:fill="auto"/>
          </w:tcPr>
          <w:p w14:paraId="56F75B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法務部函，為110年度中央政府總預算決議，檢送矯正署律師接見業務之改善情形書面報告，請查照案。</w:t>
            </w:r>
          </w:p>
        </w:tc>
        <w:tc>
          <w:tcPr>
            <w:tcW w:w="1995" w:type="dxa"/>
            <w:shd w:val="clear" w:color="auto" w:fill="auto"/>
          </w:tcPr>
          <w:p w14:paraId="6A886E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EF4DDF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62F45C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539F62D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49EEC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E2AF8F1" w14:textId="77777777" w:rsidTr="006612A0">
        <w:tc>
          <w:tcPr>
            <w:tcW w:w="575" w:type="dxa"/>
            <w:shd w:val="clear" w:color="auto" w:fill="auto"/>
          </w:tcPr>
          <w:p w14:paraId="3C8F4FC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73</w:t>
            </w:r>
          </w:p>
        </w:tc>
        <w:tc>
          <w:tcPr>
            <w:tcW w:w="2562" w:type="dxa"/>
            <w:shd w:val="clear" w:color="auto" w:fill="auto"/>
          </w:tcPr>
          <w:p w14:paraId="60F4A0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法務部函，為110年度中央政府總預算決議，檢送矯正署精神病療養專區設置、心理及戒護不足情況書面報告，請查照案。</w:t>
            </w:r>
          </w:p>
        </w:tc>
        <w:tc>
          <w:tcPr>
            <w:tcW w:w="1995" w:type="dxa"/>
            <w:shd w:val="clear" w:color="auto" w:fill="auto"/>
          </w:tcPr>
          <w:p w14:paraId="23B73C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799357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5BA437A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45F8927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C18601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1187F6F" w14:textId="77777777" w:rsidTr="006612A0">
        <w:tc>
          <w:tcPr>
            <w:tcW w:w="575" w:type="dxa"/>
            <w:shd w:val="clear" w:color="auto" w:fill="auto"/>
          </w:tcPr>
          <w:p w14:paraId="519D245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74</w:t>
            </w:r>
          </w:p>
        </w:tc>
        <w:tc>
          <w:tcPr>
            <w:tcW w:w="2562" w:type="dxa"/>
            <w:shd w:val="clear" w:color="auto" w:fill="auto"/>
          </w:tcPr>
          <w:p w14:paraId="14891CD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法務部函，為110年度中央政府總預算決議，檢送矯正署全面盤點教誨師人力缺口書面報告，請查照案。</w:t>
            </w:r>
          </w:p>
        </w:tc>
        <w:tc>
          <w:tcPr>
            <w:tcW w:w="1995" w:type="dxa"/>
            <w:shd w:val="clear" w:color="auto" w:fill="auto"/>
          </w:tcPr>
          <w:p w14:paraId="6B2527A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B6ECB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110.10.29 </w:t>
            </w:r>
          </w:p>
          <w:p w14:paraId="3476FAF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tc>
        <w:tc>
          <w:tcPr>
            <w:tcW w:w="1597" w:type="dxa"/>
            <w:shd w:val="clear" w:color="auto" w:fill="auto"/>
          </w:tcPr>
          <w:p w14:paraId="538589A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4FDA10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C5BF0B3" w14:textId="77777777" w:rsidTr="006612A0">
        <w:tc>
          <w:tcPr>
            <w:tcW w:w="575" w:type="dxa"/>
            <w:shd w:val="clear" w:color="auto" w:fill="auto"/>
          </w:tcPr>
          <w:p w14:paraId="33DDAE0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75</w:t>
            </w:r>
          </w:p>
        </w:tc>
        <w:tc>
          <w:tcPr>
            <w:tcW w:w="2562" w:type="dxa"/>
            <w:shd w:val="clear" w:color="auto" w:fill="auto"/>
          </w:tcPr>
          <w:p w14:paraId="5A69065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總統府函送110年第2季辦理政策及業務宣導之執行情形表，請查照案。</w:t>
            </w:r>
          </w:p>
        </w:tc>
        <w:tc>
          <w:tcPr>
            <w:tcW w:w="1995" w:type="dxa"/>
            <w:shd w:val="clear" w:color="auto" w:fill="auto"/>
          </w:tcPr>
          <w:p w14:paraId="0A246D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總統府 </w:t>
            </w:r>
          </w:p>
          <w:p w14:paraId="327E2F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110.12.17 </w:t>
            </w:r>
          </w:p>
          <w:p w14:paraId="2DF3B90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（10-4-14）</w:t>
            </w:r>
          </w:p>
        </w:tc>
        <w:tc>
          <w:tcPr>
            <w:tcW w:w="1597" w:type="dxa"/>
            <w:shd w:val="clear" w:color="auto" w:fill="auto"/>
          </w:tcPr>
          <w:p w14:paraId="7A0EE65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657" w:type="dxa"/>
            <w:shd w:val="clear" w:color="auto" w:fill="auto"/>
          </w:tcPr>
          <w:p w14:paraId="28A851E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B544F79" w14:textId="77777777" w:rsidTr="006612A0">
        <w:tc>
          <w:tcPr>
            <w:tcW w:w="575" w:type="dxa"/>
            <w:shd w:val="clear" w:color="auto" w:fill="auto"/>
          </w:tcPr>
          <w:p w14:paraId="4E2DE9A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76</w:t>
            </w:r>
          </w:p>
        </w:tc>
        <w:tc>
          <w:tcPr>
            <w:tcW w:w="2562" w:type="dxa"/>
            <w:shd w:val="clear" w:color="auto" w:fill="auto"/>
          </w:tcPr>
          <w:p w14:paraId="526A8C3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促進轉型正義委員會函送110年第2季辦理</w:t>
            </w:r>
            <w:r w:rsidRPr="00026143">
              <w:rPr>
                <w:rFonts w:ascii="標楷體" w:eastAsia="標楷體" w:hAnsi="標楷體"/>
                <w:color w:val="000000" w:themeColor="text1"/>
              </w:rPr>
              <w:lastRenderedPageBreak/>
              <w:t>政策及業務宣導之執行情形表，請查照案。</w:t>
            </w:r>
          </w:p>
        </w:tc>
        <w:tc>
          <w:tcPr>
            <w:tcW w:w="1995" w:type="dxa"/>
            <w:shd w:val="clear" w:color="auto" w:fill="auto"/>
          </w:tcPr>
          <w:p w14:paraId="5C91987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促進轉型正義委員會 </w:t>
            </w:r>
          </w:p>
          <w:p w14:paraId="58938E9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110.12.17 </w:t>
            </w:r>
          </w:p>
          <w:p w14:paraId="2FD2CE0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（10-4-14）</w:t>
            </w:r>
          </w:p>
        </w:tc>
        <w:tc>
          <w:tcPr>
            <w:tcW w:w="1597" w:type="dxa"/>
            <w:shd w:val="clear" w:color="auto" w:fill="auto"/>
          </w:tcPr>
          <w:p w14:paraId="4537278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6FF4545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0FA70BC" w14:textId="77777777" w:rsidTr="006612A0">
        <w:tc>
          <w:tcPr>
            <w:tcW w:w="575" w:type="dxa"/>
            <w:shd w:val="clear" w:color="auto" w:fill="auto"/>
          </w:tcPr>
          <w:p w14:paraId="3C797B8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77</w:t>
            </w:r>
          </w:p>
        </w:tc>
        <w:tc>
          <w:tcPr>
            <w:tcW w:w="2562" w:type="dxa"/>
            <w:shd w:val="clear" w:color="auto" w:fill="auto"/>
          </w:tcPr>
          <w:p w14:paraId="1B85723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促進轉型正義委員會函送110年第3季辦理政策及業務宣導之執行情形表，請查照案。</w:t>
            </w:r>
          </w:p>
        </w:tc>
        <w:tc>
          <w:tcPr>
            <w:tcW w:w="1995" w:type="dxa"/>
            <w:shd w:val="clear" w:color="auto" w:fill="auto"/>
          </w:tcPr>
          <w:p w14:paraId="697C79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675ABAE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110.12.17 </w:t>
            </w:r>
          </w:p>
          <w:p w14:paraId="1EC0A6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（10-4-14）</w:t>
            </w:r>
          </w:p>
        </w:tc>
        <w:tc>
          <w:tcPr>
            <w:tcW w:w="1597" w:type="dxa"/>
            <w:shd w:val="clear" w:color="auto" w:fill="auto"/>
          </w:tcPr>
          <w:p w14:paraId="5FCDD3D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645708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5D25DBF" w14:textId="77777777" w:rsidTr="006612A0">
        <w:tc>
          <w:tcPr>
            <w:tcW w:w="575" w:type="dxa"/>
            <w:shd w:val="clear" w:color="auto" w:fill="auto"/>
          </w:tcPr>
          <w:p w14:paraId="02C3D50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78</w:t>
            </w:r>
          </w:p>
        </w:tc>
        <w:tc>
          <w:tcPr>
            <w:tcW w:w="2562" w:type="dxa"/>
            <w:shd w:val="clear" w:color="auto" w:fill="auto"/>
          </w:tcPr>
          <w:p w14:paraId="2DCF79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法務部函送110年第2季辦理政策及業務宣導之執行情形表，請查照案。</w:t>
            </w:r>
          </w:p>
        </w:tc>
        <w:tc>
          <w:tcPr>
            <w:tcW w:w="1995" w:type="dxa"/>
            <w:shd w:val="clear" w:color="auto" w:fill="auto"/>
          </w:tcPr>
          <w:p w14:paraId="0B65D05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BF54CD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110.12.17 </w:t>
            </w:r>
          </w:p>
          <w:p w14:paraId="6C912A9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（10-4-14）</w:t>
            </w:r>
          </w:p>
        </w:tc>
        <w:tc>
          <w:tcPr>
            <w:tcW w:w="1597" w:type="dxa"/>
            <w:shd w:val="clear" w:color="auto" w:fill="auto"/>
          </w:tcPr>
          <w:p w14:paraId="181BF14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304AFA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4E9DED5" w14:textId="77777777" w:rsidTr="006612A0">
        <w:tc>
          <w:tcPr>
            <w:tcW w:w="575" w:type="dxa"/>
            <w:shd w:val="clear" w:color="auto" w:fill="auto"/>
          </w:tcPr>
          <w:p w14:paraId="5263535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79</w:t>
            </w:r>
          </w:p>
        </w:tc>
        <w:tc>
          <w:tcPr>
            <w:tcW w:w="2562" w:type="dxa"/>
            <w:shd w:val="clear" w:color="auto" w:fill="auto"/>
          </w:tcPr>
          <w:p w14:paraId="477FF64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司法院函送110年第2季辦理政策及業務宣導之執行情形表，請查照案。</w:t>
            </w:r>
          </w:p>
        </w:tc>
        <w:tc>
          <w:tcPr>
            <w:tcW w:w="1995" w:type="dxa"/>
            <w:shd w:val="clear" w:color="auto" w:fill="auto"/>
          </w:tcPr>
          <w:p w14:paraId="131725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7A11416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110.12.17 </w:t>
            </w:r>
          </w:p>
          <w:p w14:paraId="0306B46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（10-4-14）</w:t>
            </w:r>
          </w:p>
        </w:tc>
        <w:tc>
          <w:tcPr>
            <w:tcW w:w="1597" w:type="dxa"/>
            <w:shd w:val="clear" w:color="auto" w:fill="auto"/>
          </w:tcPr>
          <w:p w14:paraId="3344B9C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E98BF2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C06812" w14:textId="77777777" w:rsidTr="006612A0">
        <w:tc>
          <w:tcPr>
            <w:tcW w:w="575" w:type="dxa"/>
            <w:shd w:val="clear" w:color="auto" w:fill="auto"/>
          </w:tcPr>
          <w:p w14:paraId="4B167CE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80</w:t>
            </w:r>
          </w:p>
        </w:tc>
        <w:tc>
          <w:tcPr>
            <w:tcW w:w="2562" w:type="dxa"/>
            <w:shd w:val="clear" w:color="auto" w:fill="auto"/>
          </w:tcPr>
          <w:p w14:paraId="38C2769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法務部函送110年第3季辦理政策及業務宣導之執行情形表，請查照案。</w:t>
            </w:r>
          </w:p>
        </w:tc>
        <w:tc>
          <w:tcPr>
            <w:tcW w:w="1995" w:type="dxa"/>
            <w:shd w:val="clear" w:color="auto" w:fill="auto"/>
          </w:tcPr>
          <w:p w14:paraId="174B91E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3FBA5FF" w14:textId="77777777" w:rsidR="00777298"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110.12.17 </w:t>
            </w:r>
          </w:p>
          <w:p w14:paraId="49296D70" w14:textId="2AA76C8A"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（10-4-14）</w:t>
            </w:r>
          </w:p>
        </w:tc>
        <w:tc>
          <w:tcPr>
            <w:tcW w:w="1597" w:type="dxa"/>
            <w:shd w:val="clear" w:color="auto" w:fill="auto"/>
          </w:tcPr>
          <w:p w14:paraId="55583A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4D0DD2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8480724" w14:textId="77777777" w:rsidTr="006612A0">
        <w:tc>
          <w:tcPr>
            <w:tcW w:w="575" w:type="dxa"/>
            <w:shd w:val="clear" w:color="auto" w:fill="auto"/>
          </w:tcPr>
          <w:p w14:paraId="2F656B0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81</w:t>
            </w:r>
          </w:p>
        </w:tc>
        <w:tc>
          <w:tcPr>
            <w:tcW w:w="2562" w:type="dxa"/>
            <w:shd w:val="clear" w:color="auto" w:fill="auto"/>
          </w:tcPr>
          <w:p w14:paraId="60C6F7D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總統府函送110年第3季辦理政策及業務宣導之執行情形表，請查照案。</w:t>
            </w:r>
          </w:p>
        </w:tc>
        <w:tc>
          <w:tcPr>
            <w:tcW w:w="1995" w:type="dxa"/>
            <w:shd w:val="clear" w:color="auto" w:fill="auto"/>
          </w:tcPr>
          <w:p w14:paraId="4C1F550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總統府 </w:t>
            </w:r>
          </w:p>
          <w:p w14:paraId="690D46B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110.12.17 </w:t>
            </w:r>
          </w:p>
          <w:p w14:paraId="3D5F4A5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（10-4-14）</w:t>
            </w:r>
          </w:p>
        </w:tc>
        <w:tc>
          <w:tcPr>
            <w:tcW w:w="1597" w:type="dxa"/>
            <w:shd w:val="clear" w:color="auto" w:fill="auto"/>
          </w:tcPr>
          <w:p w14:paraId="0BB33C8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657" w:type="dxa"/>
            <w:shd w:val="clear" w:color="auto" w:fill="auto"/>
          </w:tcPr>
          <w:p w14:paraId="7626C45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86C0A1C" w14:textId="77777777" w:rsidTr="006612A0">
        <w:tc>
          <w:tcPr>
            <w:tcW w:w="575" w:type="dxa"/>
            <w:shd w:val="clear" w:color="auto" w:fill="auto"/>
          </w:tcPr>
          <w:p w14:paraId="0E46C48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82</w:t>
            </w:r>
          </w:p>
        </w:tc>
        <w:tc>
          <w:tcPr>
            <w:tcW w:w="2562" w:type="dxa"/>
            <w:shd w:val="clear" w:color="auto" w:fill="auto"/>
          </w:tcPr>
          <w:p w14:paraId="4BEE175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法務部函，為110年度中央政府總預算決議，檢送重新評估監所管理員體格檢查及體能測驗標準合理性書面報告，請查照案。</w:t>
            </w:r>
          </w:p>
        </w:tc>
        <w:tc>
          <w:tcPr>
            <w:tcW w:w="1995" w:type="dxa"/>
            <w:shd w:val="clear" w:color="auto" w:fill="auto"/>
          </w:tcPr>
          <w:p w14:paraId="0802CD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6E89369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210021F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597" w:type="dxa"/>
            <w:shd w:val="clear" w:color="auto" w:fill="auto"/>
          </w:tcPr>
          <w:p w14:paraId="1D24A66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20F84F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787A55" w14:textId="77777777" w:rsidTr="006612A0">
        <w:tc>
          <w:tcPr>
            <w:tcW w:w="575" w:type="dxa"/>
            <w:shd w:val="clear" w:color="auto" w:fill="auto"/>
          </w:tcPr>
          <w:p w14:paraId="73CCB7F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83</w:t>
            </w:r>
          </w:p>
        </w:tc>
        <w:tc>
          <w:tcPr>
            <w:tcW w:w="2562" w:type="dxa"/>
            <w:shd w:val="clear" w:color="auto" w:fill="auto"/>
          </w:tcPr>
          <w:p w14:paraId="0FBAC99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法務部函，為110年度中央政府總預算決議，檢送「改善自營作業產品以內部銷售為主情形及提升外部銷售狀況」書面報告，請查照案。</w:t>
            </w:r>
          </w:p>
        </w:tc>
        <w:tc>
          <w:tcPr>
            <w:tcW w:w="1995" w:type="dxa"/>
            <w:shd w:val="clear" w:color="auto" w:fill="auto"/>
          </w:tcPr>
          <w:p w14:paraId="0BD367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84084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6E27E21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597" w:type="dxa"/>
            <w:shd w:val="clear" w:color="auto" w:fill="auto"/>
          </w:tcPr>
          <w:p w14:paraId="0B1A548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C2A227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C8A3E2" w14:textId="77777777" w:rsidTr="006612A0">
        <w:tc>
          <w:tcPr>
            <w:tcW w:w="575" w:type="dxa"/>
            <w:shd w:val="clear" w:color="auto" w:fill="auto"/>
          </w:tcPr>
          <w:p w14:paraId="73F9DF9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84</w:t>
            </w:r>
          </w:p>
        </w:tc>
        <w:tc>
          <w:tcPr>
            <w:tcW w:w="2562" w:type="dxa"/>
            <w:shd w:val="clear" w:color="auto" w:fill="auto"/>
          </w:tcPr>
          <w:p w14:paraId="5402FC4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法務部函，為110年度中央政府總預算決議，檢送「遏止新興毒品危害」書面報告，請查照案。</w:t>
            </w:r>
          </w:p>
        </w:tc>
        <w:tc>
          <w:tcPr>
            <w:tcW w:w="1995" w:type="dxa"/>
            <w:shd w:val="clear" w:color="auto" w:fill="auto"/>
          </w:tcPr>
          <w:p w14:paraId="1195A6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35284E7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6656B1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597" w:type="dxa"/>
            <w:shd w:val="clear" w:color="auto" w:fill="auto"/>
          </w:tcPr>
          <w:p w14:paraId="26F3A4C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C04AF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F0D08B4" w14:textId="77777777" w:rsidTr="006612A0">
        <w:tc>
          <w:tcPr>
            <w:tcW w:w="575" w:type="dxa"/>
            <w:shd w:val="clear" w:color="auto" w:fill="auto"/>
          </w:tcPr>
          <w:p w14:paraId="4E43DCF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85</w:t>
            </w:r>
          </w:p>
        </w:tc>
        <w:tc>
          <w:tcPr>
            <w:tcW w:w="2562" w:type="dxa"/>
            <w:shd w:val="clear" w:color="auto" w:fill="auto"/>
          </w:tcPr>
          <w:p w14:paraId="1C80844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法務部函，為110年度中央政府總預算決議，檢送矯正署改善矯正機關以勞務承攬進用心理及社工人員措施書面報告，請查照案。</w:t>
            </w:r>
          </w:p>
        </w:tc>
        <w:tc>
          <w:tcPr>
            <w:tcW w:w="1995" w:type="dxa"/>
            <w:shd w:val="clear" w:color="auto" w:fill="auto"/>
          </w:tcPr>
          <w:p w14:paraId="095ECF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1544FDA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111.03.04 </w:t>
            </w:r>
          </w:p>
          <w:p w14:paraId="12C36FE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597" w:type="dxa"/>
            <w:shd w:val="clear" w:color="auto" w:fill="auto"/>
          </w:tcPr>
          <w:p w14:paraId="6EA86C9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E5A08B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6C1777D" w14:textId="77777777" w:rsidTr="006612A0">
        <w:tc>
          <w:tcPr>
            <w:tcW w:w="575" w:type="dxa"/>
            <w:shd w:val="clear" w:color="auto" w:fill="auto"/>
          </w:tcPr>
          <w:p w14:paraId="6213D26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86</w:t>
            </w:r>
          </w:p>
        </w:tc>
        <w:tc>
          <w:tcPr>
            <w:tcW w:w="2562" w:type="dxa"/>
            <w:shd w:val="clear" w:color="auto" w:fill="auto"/>
          </w:tcPr>
          <w:p w14:paraId="2D7AD02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司法院函，為110年度中央政府總預算決議，檢送歲出第4款第1項決議（四十四）書面報告，請查照案。</w:t>
            </w:r>
          </w:p>
        </w:tc>
        <w:tc>
          <w:tcPr>
            <w:tcW w:w="1995" w:type="dxa"/>
            <w:shd w:val="clear" w:color="auto" w:fill="auto"/>
          </w:tcPr>
          <w:p w14:paraId="5B8FED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3B93CA6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2FC8DB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597" w:type="dxa"/>
            <w:shd w:val="clear" w:color="auto" w:fill="auto"/>
          </w:tcPr>
          <w:p w14:paraId="47A860B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19330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2631101" w14:textId="77777777" w:rsidTr="006612A0">
        <w:tc>
          <w:tcPr>
            <w:tcW w:w="575" w:type="dxa"/>
            <w:shd w:val="clear" w:color="auto" w:fill="auto"/>
          </w:tcPr>
          <w:p w14:paraId="6711AC0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87</w:t>
            </w:r>
          </w:p>
        </w:tc>
        <w:tc>
          <w:tcPr>
            <w:tcW w:w="2562" w:type="dxa"/>
            <w:shd w:val="clear" w:color="auto" w:fill="auto"/>
          </w:tcPr>
          <w:p w14:paraId="2C02976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法務部函，為110年度中央政府總預算決議，檢送該部決議（九）書面報告，請查照案。</w:t>
            </w:r>
          </w:p>
        </w:tc>
        <w:tc>
          <w:tcPr>
            <w:tcW w:w="1995" w:type="dxa"/>
            <w:shd w:val="clear" w:color="auto" w:fill="auto"/>
          </w:tcPr>
          <w:p w14:paraId="7A7685E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FFCFAE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1732BBC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597" w:type="dxa"/>
            <w:shd w:val="clear" w:color="auto" w:fill="auto"/>
          </w:tcPr>
          <w:p w14:paraId="105B64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D243D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7ACA171" w14:textId="77777777" w:rsidTr="006612A0">
        <w:tc>
          <w:tcPr>
            <w:tcW w:w="575" w:type="dxa"/>
            <w:shd w:val="clear" w:color="auto" w:fill="auto"/>
          </w:tcPr>
          <w:p w14:paraId="7D9003B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88</w:t>
            </w:r>
          </w:p>
        </w:tc>
        <w:tc>
          <w:tcPr>
            <w:tcW w:w="2562" w:type="dxa"/>
            <w:shd w:val="clear" w:color="auto" w:fill="auto"/>
          </w:tcPr>
          <w:p w14:paraId="18EA7D3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法務部函，為110年度中央政府總預算決議，檢送該部決議（二十九）書面報告，請查照案。</w:t>
            </w:r>
          </w:p>
        </w:tc>
        <w:tc>
          <w:tcPr>
            <w:tcW w:w="1995" w:type="dxa"/>
            <w:shd w:val="clear" w:color="auto" w:fill="auto"/>
          </w:tcPr>
          <w:p w14:paraId="76D247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C052D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6DA70F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597" w:type="dxa"/>
            <w:shd w:val="clear" w:color="auto" w:fill="auto"/>
          </w:tcPr>
          <w:p w14:paraId="3D18F3C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14D907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CAA8E6" w14:textId="77777777" w:rsidTr="006612A0">
        <w:tc>
          <w:tcPr>
            <w:tcW w:w="575" w:type="dxa"/>
            <w:shd w:val="clear" w:color="auto" w:fill="auto"/>
          </w:tcPr>
          <w:p w14:paraId="54BA2EF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89</w:t>
            </w:r>
          </w:p>
        </w:tc>
        <w:tc>
          <w:tcPr>
            <w:tcW w:w="2562" w:type="dxa"/>
            <w:shd w:val="clear" w:color="auto" w:fill="auto"/>
          </w:tcPr>
          <w:p w14:paraId="05A8809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法務部函，為110年度中央政府總預算決議，檢送該部決議（四十）書面報告，請查照案。</w:t>
            </w:r>
          </w:p>
        </w:tc>
        <w:tc>
          <w:tcPr>
            <w:tcW w:w="1995" w:type="dxa"/>
            <w:shd w:val="clear" w:color="auto" w:fill="auto"/>
          </w:tcPr>
          <w:p w14:paraId="2C596A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D55E94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111.03.25 </w:t>
            </w:r>
          </w:p>
          <w:p w14:paraId="63E38D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tc>
        <w:tc>
          <w:tcPr>
            <w:tcW w:w="1597" w:type="dxa"/>
            <w:shd w:val="clear" w:color="auto" w:fill="auto"/>
          </w:tcPr>
          <w:p w14:paraId="2BA91AC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1741E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33A5A9B" w14:textId="77777777" w:rsidTr="006612A0">
        <w:tc>
          <w:tcPr>
            <w:tcW w:w="575" w:type="dxa"/>
            <w:shd w:val="clear" w:color="auto" w:fill="auto"/>
          </w:tcPr>
          <w:p w14:paraId="2FBE3A4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90</w:t>
            </w:r>
          </w:p>
        </w:tc>
        <w:tc>
          <w:tcPr>
            <w:tcW w:w="2562" w:type="dxa"/>
            <w:shd w:val="clear" w:color="auto" w:fill="auto"/>
          </w:tcPr>
          <w:p w14:paraId="2FCF5F0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司法院函，為110年度中央政府總預算決議，檢送歲出第4款第1項決議（六十五）書面報告，請查照案。</w:t>
            </w:r>
          </w:p>
        </w:tc>
        <w:tc>
          <w:tcPr>
            <w:tcW w:w="1995" w:type="dxa"/>
            <w:shd w:val="clear" w:color="auto" w:fill="auto"/>
          </w:tcPr>
          <w:p w14:paraId="417DA58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0C44DE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111.04.01 </w:t>
            </w:r>
          </w:p>
          <w:p w14:paraId="4915CB0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（10-5-6）</w:t>
            </w:r>
          </w:p>
        </w:tc>
        <w:tc>
          <w:tcPr>
            <w:tcW w:w="1597" w:type="dxa"/>
            <w:shd w:val="clear" w:color="auto" w:fill="auto"/>
          </w:tcPr>
          <w:p w14:paraId="641A6D5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4E153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CB5156F" w14:textId="77777777" w:rsidTr="006612A0">
        <w:tc>
          <w:tcPr>
            <w:tcW w:w="575" w:type="dxa"/>
            <w:shd w:val="clear" w:color="auto" w:fill="auto"/>
          </w:tcPr>
          <w:p w14:paraId="60B2AED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91</w:t>
            </w:r>
          </w:p>
        </w:tc>
        <w:tc>
          <w:tcPr>
            <w:tcW w:w="2562" w:type="dxa"/>
            <w:shd w:val="clear" w:color="auto" w:fill="auto"/>
          </w:tcPr>
          <w:p w14:paraId="41EA79B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司法院秘書長函，為110年度中央政府總預算決議，檢送國民法官制度宣傳計畫書面報告，請查照案。</w:t>
            </w:r>
          </w:p>
        </w:tc>
        <w:tc>
          <w:tcPr>
            <w:tcW w:w="1995" w:type="dxa"/>
            <w:shd w:val="clear" w:color="auto" w:fill="auto"/>
          </w:tcPr>
          <w:p w14:paraId="5B4B8AB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司法院秘書長 </w:t>
            </w:r>
          </w:p>
          <w:p w14:paraId="7C155B4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111.04.08 </w:t>
            </w:r>
          </w:p>
          <w:p w14:paraId="5A5BB9F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tc>
        <w:tc>
          <w:tcPr>
            <w:tcW w:w="1597" w:type="dxa"/>
            <w:shd w:val="clear" w:color="auto" w:fill="auto"/>
          </w:tcPr>
          <w:p w14:paraId="0BFA064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1CFD1E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606BC9F" w14:textId="77777777" w:rsidTr="006612A0">
        <w:tc>
          <w:tcPr>
            <w:tcW w:w="575" w:type="dxa"/>
            <w:shd w:val="clear" w:color="auto" w:fill="auto"/>
          </w:tcPr>
          <w:p w14:paraId="7A04473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92</w:t>
            </w:r>
          </w:p>
        </w:tc>
        <w:tc>
          <w:tcPr>
            <w:tcW w:w="2562" w:type="dxa"/>
            <w:shd w:val="clear" w:color="auto" w:fill="auto"/>
          </w:tcPr>
          <w:p w14:paraId="112C3D6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促進轉型正義委員會函送110年第4季辦理政策及業務宣導之執行情形表，請查照案。</w:t>
            </w:r>
          </w:p>
        </w:tc>
        <w:tc>
          <w:tcPr>
            <w:tcW w:w="1995" w:type="dxa"/>
            <w:shd w:val="clear" w:color="auto" w:fill="auto"/>
          </w:tcPr>
          <w:p w14:paraId="693B819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2AE73F0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046A63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597" w:type="dxa"/>
            <w:shd w:val="clear" w:color="auto" w:fill="auto"/>
          </w:tcPr>
          <w:p w14:paraId="0086BB9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BD7EF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F4BE9F5" w14:textId="77777777" w:rsidTr="006612A0">
        <w:tc>
          <w:tcPr>
            <w:tcW w:w="575" w:type="dxa"/>
            <w:shd w:val="clear" w:color="auto" w:fill="auto"/>
          </w:tcPr>
          <w:p w14:paraId="3B7EEC0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93</w:t>
            </w:r>
          </w:p>
        </w:tc>
        <w:tc>
          <w:tcPr>
            <w:tcW w:w="2562" w:type="dxa"/>
            <w:shd w:val="clear" w:color="auto" w:fill="auto"/>
          </w:tcPr>
          <w:p w14:paraId="0F32120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監察院秘書長函送110年度第4季政策及業務宣導執行情形，請查照案。</w:t>
            </w:r>
          </w:p>
        </w:tc>
        <w:tc>
          <w:tcPr>
            <w:tcW w:w="1995" w:type="dxa"/>
            <w:shd w:val="clear" w:color="auto" w:fill="auto"/>
          </w:tcPr>
          <w:p w14:paraId="0EEA5A9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監察院秘書長 </w:t>
            </w:r>
          </w:p>
          <w:p w14:paraId="4FA1B6E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111.04.22 </w:t>
            </w:r>
          </w:p>
          <w:p w14:paraId="09F2C5A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（10-5-9）</w:t>
            </w:r>
          </w:p>
        </w:tc>
        <w:tc>
          <w:tcPr>
            <w:tcW w:w="1597" w:type="dxa"/>
            <w:shd w:val="clear" w:color="auto" w:fill="auto"/>
          </w:tcPr>
          <w:p w14:paraId="4194D28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55CAC5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13D7821" w14:textId="77777777" w:rsidTr="006612A0">
        <w:tc>
          <w:tcPr>
            <w:tcW w:w="575" w:type="dxa"/>
            <w:shd w:val="clear" w:color="auto" w:fill="auto"/>
          </w:tcPr>
          <w:p w14:paraId="2E5B34D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94</w:t>
            </w:r>
          </w:p>
        </w:tc>
        <w:tc>
          <w:tcPr>
            <w:tcW w:w="2562" w:type="dxa"/>
            <w:shd w:val="clear" w:color="auto" w:fill="auto"/>
          </w:tcPr>
          <w:p w14:paraId="7C0812D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促進轉型正義委員會函，為111年度中央政府總預算決議，檢送決議(十九)「改善政治檔案徵集數位化進度」專案報告，請查照案。</w:t>
            </w:r>
          </w:p>
        </w:tc>
        <w:tc>
          <w:tcPr>
            <w:tcW w:w="1995" w:type="dxa"/>
            <w:shd w:val="clear" w:color="auto" w:fill="auto"/>
          </w:tcPr>
          <w:p w14:paraId="5CC6EA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562DF62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3C4A3C3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597" w:type="dxa"/>
            <w:shd w:val="clear" w:color="auto" w:fill="auto"/>
          </w:tcPr>
          <w:p w14:paraId="06F6083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7A5085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B4D41C1" w14:textId="77777777" w:rsidTr="006612A0">
        <w:tc>
          <w:tcPr>
            <w:tcW w:w="575" w:type="dxa"/>
            <w:shd w:val="clear" w:color="auto" w:fill="auto"/>
          </w:tcPr>
          <w:p w14:paraId="2E3635E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95</w:t>
            </w:r>
          </w:p>
        </w:tc>
        <w:tc>
          <w:tcPr>
            <w:tcW w:w="2562" w:type="dxa"/>
            <w:shd w:val="clear" w:color="auto" w:fill="auto"/>
          </w:tcPr>
          <w:p w14:paraId="70BE7CF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立法院秘書長函，為111年度中央政府總預算決議，檢送本院單位</w:t>
            </w:r>
            <w:r w:rsidRPr="00026143">
              <w:rPr>
                <w:rFonts w:ascii="標楷體" w:eastAsia="標楷體" w:hAnsi="標楷體"/>
                <w:color w:val="000000" w:themeColor="text1"/>
              </w:rPr>
              <w:lastRenderedPageBreak/>
              <w:t>預算決議（三十九）公費助理調薪計畫書面報告，請查照案。</w:t>
            </w:r>
          </w:p>
        </w:tc>
        <w:tc>
          <w:tcPr>
            <w:tcW w:w="1995" w:type="dxa"/>
            <w:shd w:val="clear" w:color="auto" w:fill="auto"/>
          </w:tcPr>
          <w:p w14:paraId="56CCEED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立法院秘書長 </w:t>
            </w:r>
          </w:p>
          <w:p w14:paraId="0EF3FE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111.05.06 </w:t>
            </w:r>
          </w:p>
          <w:p w14:paraId="417C53B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（10-5-11）</w:t>
            </w:r>
          </w:p>
        </w:tc>
        <w:tc>
          <w:tcPr>
            <w:tcW w:w="1597" w:type="dxa"/>
            <w:shd w:val="clear" w:color="auto" w:fill="auto"/>
          </w:tcPr>
          <w:p w14:paraId="59A526B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FCA34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7ECA120" w14:textId="77777777" w:rsidTr="006612A0">
        <w:tc>
          <w:tcPr>
            <w:tcW w:w="575" w:type="dxa"/>
            <w:shd w:val="clear" w:color="auto" w:fill="auto"/>
          </w:tcPr>
          <w:p w14:paraId="5DE083D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96</w:t>
            </w:r>
          </w:p>
        </w:tc>
        <w:tc>
          <w:tcPr>
            <w:tcW w:w="2562" w:type="dxa"/>
            <w:shd w:val="clear" w:color="auto" w:fill="auto"/>
          </w:tcPr>
          <w:p w14:paraId="092EE3B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銓敘部函，為110年度中央政府總預算附屬單位預算決議，檢送「公務人員退休撫卹基金委託經營交易費預算編列檢討報告」，請查照案。</w:t>
            </w:r>
          </w:p>
        </w:tc>
        <w:tc>
          <w:tcPr>
            <w:tcW w:w="1995" w:type="dxa"/>
            <w:shd w:val="clear" w:color="auto" w:fill="auto"/>
          </w:tcPr>
          <w:p w14:paraId="66E1B83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銓敘部 </w:t>
            </w:r>
          </w:p>
          <w:p w14:paraId="7C64272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111.05.13 </w:t>
            </w:r>
          </w:p>
          <w:p w14:paraId="293F37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（10-5-12）</w:t>
            </w:r>
          </w:p>
        </w:tc>
        <w:tc>
          <w:tcPr>
            <w:tcW w:w="1597" w:type="dxa"/>
            <w:shd w:val="clear" w:color="auto" w:fill="auto"/>
          </w:tcPr>
          <w:p w14:paraId="79392B8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148FB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932998A" w14:textId="77777777" w:rsidTr="006612A0">
        <w:tc>
          <w:tcPr>
            <w:tcW w:w="575" w:type="dxa"/>
            <w:shd w:val="clear" w:color="auto" w:fill="auto"/>
          </w:tcPr>
          <w:p w14:paraId="1BEE0AB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97</w:t>
            </w:r>
          </w:p>
        </w:tc>
        <w:tc>
          <w:tcPr>
            <w:tcW w:w="2562" w:type="dxa"/>
            <w:shd w:val="clear" w:color="auto" w:fill="auto"/>
          </w:tcPr>
          <w:p w14:paraId="161DC9E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銓敘部函，為111年度中央政府總預算決議，檢送基金投資績效現況書面報告，請查照案。</w:t>
            </w:r>
          </w:p>
        </w:tc>
        <w:tc>
          <w:tcPr>
            <w:tcW w:w="1995" w:type="dxa"/>
            <w:shd w:val="clear" w:color="auto" w:fill="auto"/>
          </w:tcPr>
          <w:p w14:paraId="0FD757F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銓敘部 </w:t>
            </w:r>
          </w:p>
          <w:p w14:paraId="53568FA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3AD1A2E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176267D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53624E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A23E469" w14:textId="77777777" w:rsidTr="006612A0">
        <w:tc>
          <w:tcPr>
            <w:tcW w:w="575" w:type="dxa"/>
            <w:shd w:val="clear" w:color="auto" w:fill="auto"/>
          </w:tcPr>
          <w:p w14:paraId="25394B5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98</w:t>
            </w:r>
          </w:p>
        </w:tc>
        <w:tc>
          <w:tcPr>
            <w:tcW w:w="2562" w:type="dxa"/>
            <w:shd w:val="clear" w:color="auto" w:fill="auto"/>
          </w:tcPr>
          <w:p w14:paraId="220C9E3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銓敘部函，為111年度中央政府總預算決議，檢送該部決議（九）研議增列資通安全相關職系之說明，請查照案。</w:t>
            </w:r>
          </w:p>
        </w:tc>
        <w:tc>
          <w:tcPr>
            <w:tcW w:w="1995" w:type="dxa"/>
            <w:shd w:val="clear" w:color="auto" w:fill="auto"/>
          </w:tcPr>
          <w:p w14:paraId="591EEB7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銓敘部 </w:t>
            </w:r>
          </w:p>
          <w:p w14:paraId="123B15C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7FBE86C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4B46195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B47520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E8E9CEE" w14:textId="77777777" w:rsidTr="006612A0">
        <w:tc>
          <w:tcPr>
            <w:tcW w:w="575" w:type="dxa"/>
            <w:shd w:val="clear" w:color="auto" w:fill="auto"/>
          </w:tcPr>
          <w:p w14:paraId="2DFE7D9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99</w:t>
            </w:r>
          </w:p>
        </w:tc>
        <w:tc>
          <w:tcPr>
            <w:tcW w:w="2562" w:type="dxa"/>
            <w:shd w:val="clear" w:color="auto" w:fill="auto"/>
          </w:tcPr>
          <w:p w14:paraId="1725D85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行政院人事行政總處函，為111年度中央政府總預算決議，檢送決議（十二）加強協助公部門設置職場托育設施書面報告，請查照案。</w:t>
            </w:r>
          </w:p>
        </w:tc>
        <w:tc>
          <w:tcPr>
            <w:tcW w:w="1995" w:type="dxa"/>
            <w:shd w:val="clear" w:color="auto" w:fill="auto"/>
          </w:tcPr>
          <w:p w14:paraId="21E92F1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09C042A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2FC9A4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65A99CC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6F0CA5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340D1CE" w14:textId="77777777" w:rsidTr="006612A0">
        <w:tc>
          <w:tcPr>
            <w:tcW w:w="575" w:type="dxa"/>
            <w:shd w:val="clear" w:color="auto" w:fill="auto"/>
          </w:tcPr>
          <w:p w14:paraId="50273AF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100</w:t>
            </w:r>
          </w:p>
        </w:tc>
        <w:tc>
          <w:tcPr>
            <w:tcW w:w="2562" w:type="dxa"/>
            <w:shd w:val="clear" w:color="auto" w:fill="auto"/>
          </w:tcPr>
          <w:p w14:paraId="0C0CF94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行政院人事行政總處函，為111年度中央政府總預算決議，檢送決議（十四）建立制度化之軍公教人員調薪機制書面報告，請查照案。</w:t>
            </w:r>
          </w:p>
        </w:tc>
        <w:tc>
          <w:tcPr>
            <w:tcW w:w="1995" w:type="dxa"/>
            <w:shd w:val="clear" w:color="auto" w:fill="auto"/>
          </w:tcPr>
          <w:p w14:paraId="68C40EC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4478D1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6A192EF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632B550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068E5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D6BEEF7" w14:textId="77777777" w:rsidTr="006612A0">
        <w:tc>
          <w:tcPr>
            <w:tcW w:w="575" w:type="dxa"/>
            <w:shd w:val="clear" w:color="auto" w:fill="auto"/>
          </w:tcPr>
          <w:p w14:paraId="08BD942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101</w:t>
            </w:r>
          </w:p>
        </w:tc>
        <w:tc>
          <w:tcPr>
            <w:tcW w:w="2562" w:type="dxa"/>
            <w:shd w:val="clear" w:color="auto" w:fill="auto"/>
          </w:tcPr>
          <w:p w14:paraId="6BE90DC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行政院人事行政總處函，為111年度中央政府總預算決議，檢送決議（十九）辦理公教人員育嬰留職停薪津貼加發補助書面報告，請查照案。</w:t>
            </w:r>
          </w:p>
        </w:tc>
        <w:tc>
          <w:tcPr>
            <w:tcW w:w="1995" w:type="dxa"/>
            <w:shd w:val="clear" w:color="auto" w:fill="auto"/>
          </w:tcPr>
          <w:p w14:paraId="66C2904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5126509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45EF2F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03FCA3F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E2A723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3F7D132" w14:textId="77777777" w:rsidTr="006612A0">
        <w:tc>
          <w:tcPr>
            <w:tcW w:w="575" w:type="dxa"/>
            <w:shd w:val="clear" w:color="auto" w:fill="auto"/>
          </w:tcPr>
          <w:p w14:paraId="00BB247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102</w:t>
            </w:r>
          </w:p>
        </w:tc>
        <w:tc>
          <w:tcPr>
            <w:tcW w:w="2562" w:type="dxa"/>
            <w:shd w:val="clear" w:color="auto" w:fill="auto"/>
          </w:tcPr>
          <w:p w14:paraId="2671CB0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行政院人事行政總處函，為111年度中央政府總預算決議，檢送決議（十三）保障非典型</w:t>
            </w:r>
            <w:r w:rsidRPr="00026143">
              <w:rPr>
                <w:rFonts w:ascii="標楷體" w:eastAsia="標楷體" w:hAnsi="標楷體"/>
                <w:color w:val="000000" w:themeColor="text1"/>
              </w:rPr>
              <w:lastRenderedPageBreak/>
              <w:t>勞工權益書面報告，請查照案。</w:t>
            </w:r>
          </w:p>
        </w:tc>
        <w:tc>
          <w:tcPr>
            <w:tcW w:w="1995" w:type="dxa"/>
            <w:shd w:val="clear" w:color="auto" w:fill="auto"/>
          </w:tcPr>
          <w:p w14:paraId="7687C74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行政院人事行政總處</w:t>
            </w:r>
          </w:p>
          <w:p w14:paraId="51F4E9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3BAB580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375DF50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A8E665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24E9693" w14:textId="77777777" w:rsidTr="006612A0">
        <w:tc>
          <w:tcPr>
            <w:tcW w:w="575" w:type="dxa"/>
            <w:shd w:val="clear" w:color="auto" w:fill="auto"/>
          </w:tcPr>
          <w:p w14:paraId="4521459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103</w:t>
            </w:r>
          </w:p>
        </w:tc>
        <w:tc>
          <w:tcPr>
            <w:tcW w:w="2562" w:type="dxa"/>
            <w:shd w:val="clear" w:color="auto" w:fill="auto"/>
          </w:tcPr>
          <w:p w14:paraId="2878080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行政院人事行政總處函，為111年度中央政府總預算決議，檢送決議（三十八）釋字第785號框架性規範書面報告，請查照案。</w:t>
            </w:r>
          </w:p>
        </w:tc>
        <w:tc>
          <w:tcPr>
            <w:tcW w:w="1995" w:type="dxa"/>
            <w:shd w:val="clear" w:color="auto" w:fill="auto"/>
          </w:tcPr>
          <w:p w14:paraId="1FD7C6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320D3EF4" w14:textId="77777777" w:rsidR="00777298"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33F1DE3E" w14:textId="4A034015"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60E7C67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6B5AA2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C957DA9" w14:textId="77777777" w:rsidTr="006612A0">
        <w:tc>
          <w:tcPr>
            <w:tcW w:w="575" w:type="dxa"/>
            <w:shd w:val="clear" w:color="auto" w:fill="auto"/>
          </w:tcPr>
          <w:p w14:paraId="4BF38CD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104</w:t>
            </w:r>
          </w:p>
        </w:tc>
        <w:tc>
          <w:tcPr>
            <w:tcW w:w="2562" w:type="dxa"/>
            <w:shd w:val="clear" w:color="auto" w:fill="auto"/>
          </w:tcPr>
          <w:p w14:paraId="5970306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行政院人事行政總處函，為111年度中央政府總預算決議，檢送決議（五十一）釋字第785號解釋框架性規範之研議進度書面報告，請查照案。</w:t>
            </w:r>
          </w:p>
        </w:tc>
        <w:tc>
          <w:tcPr>
            <w:tcW w:w="1995" w:type="dxa"/>
            <w:shd w:val="clear" w:color="auto" w:fill="auto"/>
          </w:tcPr>
          <w:p w14:paraId="3FFF01F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34FB53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28B75A0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1D05D36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38CD3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5D1C9DF" w14:textId="77777777" w:rsidTr="006612A0">
        <w:tc>
          <w:tcPr>
            <w:tcW w:w="575" w:type="dxa"/>
            <w:shd w:val="clear" w:color="auto" w:fill="auto"/>
          </w:tcPr>
          <w:p w14:paraId="1E02A54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105</w:t>
            </w:r>
          </w:p>
        </w:tc>
        <w:tc>
          <w:tcPr>
            <w:tcW w:w="2562" w:type="dxa"/>
            <w:shd w:val="clear" w:color="auto" w:fill="auto"/>
          </w:tcPr>
          <w:p w14:paraId="668C137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司法院函，為111年度中央政府總預算決議，檢送歲出第4款第1項決議（十四）書面報告，請查照案。</w:t>
            </w:r>
          </w:p>
        </w:tc>
        <w:tc>
          <w:tcPr>
            <w:tcW w:w="1995" w:type="dxa"/>
            <w:shd w:val="clear" w:color="auto" w:fill="auto"/>
          </w:tcPr>
          <w:p w14:paraId="26D3F2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2BF8038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64AC32D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3D27A2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49B532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FCEEBB9" w14:textId="77777777" w:rsidTr="006612A0">
        <w:tc>
          <w:tcPr>
            <w:tcW w:w="575" w:type="dxa"/>
            <w:shd w:val="clear" w:color="auto" w:fill="auto"/>
          </w:tcPr>
          <w:p w14:paraId="1C3A4D8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106</w:t>
            </w:r>
          </w:p>
        </w:tc>
        <w:tc>
          <w:tcPr>
            <w:tcW w:w="2562" w:type="dxa"/>
            <w:shd w:val="clear" w:color="auto" w:fill="auto"/>
          </w:tcPr>
          <w:p w14:paraId="03BCDB8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立法院秘書長函，為111年度中央政府總預算決議，檢送本院單位預算決議（四十七）及（四十八）報告，請查照案。</w:t>
            </w:r>
          </w:p>
        </w:tc>
        <w:tc>
          <w:tcPr>
            <w:tcW w:w="1995" w:type="dxa"/>
            <w:shd w:val="clear" w:color="auto" w:fill="auto"/>
          </w:tcPr>
          <w:p w14:paraId="7F3EBF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立法院秘書長 </w:t>
            </w:r>
          </w:p>
          <w:p w14:paraId="254C56C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111.05.20 </w:t>
            </w:r>
          </w:p>
          <w:p w14:paraId="7CAA88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（10-5-13）</w:t>
            </w:r>
          </w:p>
        </w:tc>
        <w:tc>
          <w:tcPr>
            <w:tcW w:w="1597" w:type="dxa"/>
            <w:shd w:val="clear" w:color="auto" w:fill="auto"/>
          </w:tcPr>
          <w:p w14:paraId="35501A1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D068FF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尚未處理</w:t>
            </w:r>
          </w:p>
        </w:tc>
      </w:tr>
      <w:tr w:rsidR="00EC13B7" w:rsidRPr="00026143" w14:paraId="3124F6A5" w14:textId="77777777" w:rsidTr="006612A0">
        <w:tc>
          <w:tcPr>
            <w:tcW w:w="575" w:type="dxa"/>
            <w:shd w:val="clear" w:color="auto" w:fill="auto"/>
          </w:tcPr>
          <w:p w14:paraId="2035F9F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107</w:t>
            </w:r>
          </w:p>
        </w:tc>
        <w:tc>
          <w:tcPr>
            <w:tcW w:w="2562" w:type="dxa"/>
            <w:shd w:val="clear" w:color="auto" w:fill="auto"/>
          </w:tcPr>
          <w:p w14:paraId="51C43A5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行政院人事行政總處函，為111年度中央政府總預算決議，檢送決議（五）增設女性專用廁所或性別友善廁所書面報告，請查照案。</w:t>
            </w:r>
          </w:p>
        </w:tc>
        <w:tc>
          <w:tcPr>
            <w:tcW w:w="1995" w:type="dxa"/>
            <w:shd w:val="clear" w:color="auto" w:fill="auto"/>
          </w:tcPr>
          <w:p w14:paraId="6FFE4C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09D18B5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46DAEB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597" w:type="dxa"/>
            <w:shd w:val="clear" w:color="auto" w:fill="auto"/>
          </w:tcPr>
          <w:p w14:paraId="57934DF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921CF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B159A75" w14:textId="77777777" w:rsidTr="006612A0">
        <w:tc>
          <w:tcPr>
            <w:tcW w:w="575" w:type="dxa"/>
            <w:shd w:val="clear" w:color="auto" w:fill="auto"/>
          </w:tcPr>
          <w:p w14:paraId="7216F34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108</w:t>
            </w:r>
          </w:p>
        </w:tc>
        <w:tc>
          <w:tcPr>
            <w:tcW w:w="2562" w:type="dxa"/>
            <w:shd w:val="clear" w:color="auto" w:fill="auto"/>
          </w:tcPr>
          <w:p w14:paraId="757FD4B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行政院人事行政總處函，為111年度中央政府總預算決議，檢送決議（十七）輪班公務人員工時書面報告，請查照案。</w:t>
            </w:r>
          </w:p>
        </w:tc>
        <w:tc>
          <w:tcPr>
            <w:tcW w:w="1995" w:type="dxa"/>
            <w:shd w:val="clear" w:color="auto" w:fill="auto"/>
          </w:tcPr>
          <w:p w14:paraId="441150D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675838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3E77B20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597" w:type="dxa"/>
            <w:shd w:val="clear" w:color="auto" w:fill="auto"/>
          </w:tcPr>
          <w:p w14:paraId="10F4EF9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F9826C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BFFA932" w14:textId="77777777" w:rsidTr="006612A0">
        <w:tc>
          <w:tcPr>
            <w:tcW w:w="575" w:type="dxa"/>
            <w:shd w:val="clear" w:color="auto" w:fill="auto"/>
          </w:tcPr>
          <w:p w14:paraId="76D34A6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109</w:t>
            </w:r>
          </w:p>
        </w:tc>
        <w:tc>
          <w:tcPr>
            <w:tcW w:w="2562" w:type="dxa"/>
            <w:shd w:val="clear" w:color="auto" w:fill="auto"/>
          </w:tcPr>
          <w:p w14:paraId="22D936D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行政院人事行政總處函，為111年度中央政府總預算決議，檢送決議（五十三）「取消國旅卡，恢復不休假加班費」之可行性書面報告，請查照案。</w:t>
            </w:r>
          </w:p>
        </w:tc>
        <w:tc>
          <w:tcPr>
            <w:tcW w:w="1995" w:type="dxa"/>
            <w:shd w:val="clear" w:color="auto" w:fill="auto"/>
          </w:tcPr>
          <w:p w14:paraId="0219BA9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3017D6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1D82185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597" w:type="dxa"/>
            <w:shd w:val="clear" w:color="auto" w:fill="auto"/>
          </w:tcPr>
          <w:p w14:paraId="22ED4F2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5013F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3E7FF52" w14:textId="77777777" w:rsidTr="006612A0">
        <w:tc>
          <w:tcPr>
            <w:tcW w:w="575" w:type="dxa"/>
            <w:shd w:val="clear" w:color="auto" w:fill="auto"/>
          </w:tcPr>
          <w:p w14:paraId="3A0A9B1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110</w:t>
            </w:r>
          </w:p>
        </w:tc>
        <w:tc>
          <w:tcPr>
            <w:tcW w:w="2562" w:type="dxa"/>
            <w:shd w:val="clear" w:color="auto" w:fill="auto"/>
          </w:tcPr>
          <w:p w14:paraId="43EB7B9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w:t>
            </w:r>
            <w:r w:rsidRPr="00026143">
              <w:rPr>
                <w:rFonts w:ascii="標楷體" w:eastAsia="標楷體" w:hAnsi="標楷體"/>
                <w:color w:val="000000" w:themeColor="text1"/>
              </w:rPr>
              <w:lastRenderedPageBreak/>
              <w:t>函，為111年度中央政府總預算決議，檢送決議（三十）「警察人員執行勤務遭受暴力或意外危害致全失能或半失能照護辦法」檢討書面報告，請查照案。</w:t>
            </w:r>
          </w:p>
        </w:tc>
        <w:tc>
          <w:tcPr>
            <w:tcW w:w="1995" w:type="dxa"/>
            <w:shd w:val="clear" w:color="auto" w:fill="auto"/>
          </w:tcPr>
          <w:p w14:paraId="3BF24F3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行政院人事行政</w:t>
            </w:r>
            <w:r w:rsidRPr="00026143">
              <w:rPr>
                <w:rFonts w:ascii="標楷體" w:eastAsia="標楷體" w:hAnsi="標楷體"/>
                <w:color w:val="000000" w:themeColor="text1"/>
              </w:rPr>
              <w:lastRenderedPageBreak/>
              <w:t xml:space="preserve">總處 </w:t>
            </w:r>
          </w:p>
          <w:p w14:paraId="59D4C8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5326E95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597" w:type="dxa"/>
            <w:shd w:val="clear" w:color="auto" w:fill="auto"/>
          </w:tcPr>
          <w:p w14:paraId="16D346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423D47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073741" w14:textId="77777777" w:rsidTr="006612A0">
        <w:tc>
          <w:tcPr>
            <w:tcW w:w="575" w:type="dxa"/>
            <w:shd w:val="clear" w:color="auto" w:fill="auto"/>
          </w:tcPr>
          <w:p w14:paraId="363AD7A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111</w:t>
            </w:r>
          </w:p>
        </w:tc>
        <w:tc>
          <w:tcPr>
            <w:tcW w:w="2562" w:type="dxa"/>
            <w:shd w:val="clear" w:color="auto" w:fill="auto"/>
          </w:tcPr>
          <w:p w14:paraId="0A6F62C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法務部函，為111年度中央政府總預算決議，檢送矯正署決議（十九）書面報告，請查照案。</w:t>
            </w:r>
          </w:p>
        </w:tc>
        <w:tc>
          <w:tcPr>
            <w:tcW w:w="1995" w:type="dxa"/>
            <w:shd w:val="clear" w:color="auto" w:fill="auto"/>
          </w:tcPr>
          <w:p w14:paraId="6E2E43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FDF02C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297A37F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597" w:type="dxa"/>
            <w:shd w:val="clear" w:color="auto" w:fill="auto"/>
          </w:tcPr>
          <w:p w14:paraId="50C247C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847EAC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5BFA1D" w14:textId="77777777" w:rsidTr="006612A0">
        <w:tc>
          <w:tcPr>
            <w:tcW w:w="575" w:type="dxa"/>
            <w:shd w:val="clear" w:color="auto" w:fill="auto"/>
          </w:tcPr>
          <w:p w14:paraId="51DF735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112</w:t>
            </w:r>
          </w:p>
        </w:tc>
        <w:tc>
          <w:tcPr>
            <w:tcW w:w="2562" w:type="dxa"/>
            <w:shd w:val="clear" w:color="auto" w:fill="auto"/>
          </w:tcPr>
          <w:p w14:paraId="0459537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立法院秘書長函，為111年度中央政府總預算決議，檢送半年內如何改善立法院國會圖書館專案報告，請查照案。</w:t>
            </w:r>
          </w:p>
        </w:tc>
        <w:tc>
          <w:tcPr>
            <w:tcW w:w="1995" w:type="dxa"/>
            <w:shd w:val="clear" w:color="auto" w:fill="auto"/>
          </w:tcPr>
          <w:p w14:paraId="71E4855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立法院秘書長 </w:t>
            </w:r>
          </w:p>
          <w:p w14:paraId="66DBB3B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111.09.30 </w:t>
            </w:r>
          </w:p>
          <w:p w14:paraId="158A695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（10-6-2）</w:t>
            </w:r>
          </w:p>
        </w:tc>
        <w:tc>
          <w:tcPr>
            <w:tcW w:w="1597" w:type="dxa"/>
            <w:shd w:val="clear" w:color="auto" w:fill="auto"/>
          </w:tcPr>
          <w:p w14:paraId="79F8241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F8D7F5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尚未處理</w:t>
            </w:r>
          </w:p>
        </w:tc>
      </w:tr>
      <w:tr w:rsidR="00EC13B7" w:rsidRPr="00026143" w14:paraId="71BF78DC" w14:textId="77777777" w:rsidTr="006612A0">
        <w:tc>
          <w:tcPr>
            <w:tcW w:w="575" w:type="dxa"/>
            <w:shd w:val="clear" w:color="auto" w:fill="auto"/>
          </w:tcPr>
          <w:p w14:paraId="0D96F08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113</w:t>
            </w:r>
          </w:p>
        </w:tc>
        <w:tc>
          <w:tcPr>
            <w:tcW w:w="2562" w:type="dxa"/>
            <w:shd w:val="clear" w:color="auto" w:fill="auto"/>
          </w:tcPr>
          <w:p w14:paraId="7295EAD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法務部函，為110年度中央政府總預算附屬單位預算決議，檢送矯正機關作業基金決議第15項「公共關係費運用及營運規劃」書面報告，請查照案。</w:t>
            </w:r>
          </w:p>
        </w:tc>
        <w:tc>
          <w:tcPr>
            <w:tcW w:w="1995" w:type="dxa"/>
            <w:shd w:val="clear" w:color="auto" w:fill="auto"/>
          </w:tcPr>
          <w:p w14:paraId="7C5E3F3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6AC4BB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5AE2905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597" w:type="dxa"/>
            <w:shd w:val="clear" w:color="auto" w:fill="auto"/>
          </w:tcPr>
          <w:p w14:paraId="40C91F8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ECBF69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A093D8" w14:textId="77777777" w:rsidTr="006612A0">
        <w:tc>
          <w:tcPr>
            <w:tcW w:w="575" w:type="dxa"/>
            <w:shd w:val="clear" w:color="auto" w:fill="auto"/>
          </w:tcPr>
          <w:p w14:paraId="598C7BB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114</w:t>
            </w:r>
          </w:p>
        </w:tc>
        <w:tc>
          <w:tcPr>
            <w:tcW w:w="2562" w:type="dxa"/>
            <w:shd w:val="clear" w:color="auto" w:fill="auto"/>
          </w:tcPr>
          <w:p w14:paraId="7D74108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法務部函，為110年度中央政府總預算附屬單位預算決議，檢送矯正機關作業基金決議第26項「提高自主監外作業量能」書面報告，請查照案。</w:t>
            </w:r>
          </w:p>
        </w:tc>
        <w:tc>
          <w:tcPr>
            <w:tcW w:w="1995" w:type="dxa"/>
            <w:shd w:val="clear" w:color="auto" w:fill="auto"/>
          </w:tcPr>
          <w:p w14:paraId="68ABB39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1E163F1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5680146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597" w:type="dxa"/>
            <w:shd w:val="clear" w:color="auto" w:fill="auto"/>
          </w:tcPr>
          <w:p w14:paraId="0A9B773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939D4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5BDA919" w14:textId="77777777" w:rsidTr="006612A0">
        <w:tc>
          <w:tcPr>
            <w:tcW w:w="575" w:type="dxa"/>
            <w:shd w:val="clear" w:color="auto" w:fill="auto"/>
          </w:tcPr>
          <w:p w14:paraId="4D54724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115</w:t>
            </w:r>
          </w:p>
        </w:tc>
        <w:tc>
          <w:tcPr>
            <w:tcW w:w="2562" w:type="dxa"/>
            <w:shd w:val="clear" w:color="auto" w:fill="auto"/>
          </w:tcPr>
          <w:p w14:paraId="3BB0D91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法務部函，為110年度中央政府總預算附屬單位預算決議，檢送矯正機關作業基金決議第2項「提高自主監外作業量能」書面報告，請查照案。</w:t>
            </w:r>
          </w:p>
        </w:tc>
        <w:tc>
          <w:tcPr>
            <w:tcW w:w="1995" w:type="dxa"/>
            <w:shd w:val="clear" w:color="auto" w:fill="auto"/>
          </w:tcPr>
          <w:p w14:paraId="0A855C9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393EC6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38498A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597" w:type="dxa"/>
            <w:shd w:val="clear" w:color="auto" w:fill="auto"/>
          </w:tcPr>
          <w:p w14:paraId="7850625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EDAAA2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08A51A" w14:textId="77777777" w:rsidTr="006612A0">
        <w:tc>
          <w:tcPr>
            <w:tcW w:w="575" w:type="dxa"/>
            <w:shd w:val="clear" w:color="auto" w:fill="auto"/>
          </w:tcPr>
          <w:p w14:paraId="380D209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116</w:t>
            </w:r>
          </w:p>
        </w:tc>
        <w:tc>
          <w:tcPr>
            <w:tcW w:w="2562" w:type="dxa"/>
            <w:shd w:val="clear" w:color="auto" w:fill="auto"/>
          </w:tcPr>
          <w:p w14:paraId="6AA8FC8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法務部函，為110年度中央政府總預算附屬單位預算決議，檢送矯正機關作業基金決議第12項「補償金制度執行情形」書面報告，請查照案。</w:t>
            </w:r>
          </w:p>
        </w:tc>
        <w:tc>
          <w:tcPr>
            <w:tcW w:w="1995" w:type="dxa"/>
            <w:shd w:val="clear" w:color="auto" w:fill="auto"/>
          </w:tcPr>
          <w:p w14:paraId="6FECAA8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65579F1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6D7F144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597" w:type="dxa"/>
            <w:shd w:val="clear" w:color="auto" w:fill="auto"/>
          </w:tcPr>
          <w:p w14:paraId="3F3A3A0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7D185D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2D6D13E" w14:textId="77777777" w:rsidTr="006612A0">
        <w:tc>
          <w:tcPr>
            <w:tcW w:w="575" w:type="dxa"/>
            <w:shd w:val="clear" w:color="auto" w:fill="auto"/>
          </w:tcPr>
          <w:p w14:paraId="72B2DD6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117</w:t>
            </w:r>
          </w:p>
        </w:tc>
        <w:tc>
          <w:tcPr>
            <w:tcW w:w="2562" w:type="dxa"/>
            <w:shd w:val="clear" w:color="auto" w:fill="auto"/>
          </w:tcPr>
          <w:p w14:paraId="52E4246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法務部函，為110年度中央政府總預算附屬單位預算決議，檢送毒品防制基金決議第18項書面報告，請查照案。</w:t>
            </w:r>
          </w:p>
        </w:tc>
        <w:tc>
          <w:tcPr>
            <w:tcW w:w="1995" w:type="dxa"/>
            <w:shd w:val="clear" w:color="auto" w:fill="auto"/>
          </w:tcPr>
          <w:p w14:paraId="1555BD5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154C98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3690C78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597" w:type="dxa"/>
            <w:shd w:val="clear" w:color="auto" w:fill="auto"/>
          </w:tcPr>
          <w:p w14:paraId="6B4341D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E4186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247943" w14:textId="77777777" w:rsidTr="006612A0">
        <w:tc>
          <w:tcPr>
            <w:tcW w:w="575" w:type="dxa"/>
            <w:shd w:val="clear" w:color="auto" w:fill="auto"/>
          </w:tcPr>
          <w:p w14:paraId="0625E99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118</w:t>
            </w:r>
          </w:p>
        </w:tc>
        <w:tc>
          <w:tcPr>
            <w:tcW w:w="2562" w:type="dxa"/>
            <w:shd w:val="clear" w:color="auto" w:fill="auto"/>
          </w:tcPr>
          <w:p w14:paraId="777E932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法務部函，為110年度中央政府總預算附屬單位預算決議，檢送毒品防制基金決議第17項書面報告，請查照案。</w:t>
            </w:r>
          </w:p>
        </w:tc>
        <w:tc>
          <w:tcPr>
            <w:tcW w:w="1995" w:type="dxa"/>
            <w:shd w:val="clear" w:color="auto" w:fill="auto"/>
          </w:tcPr>
          <w:p w14:paraId="4DDF4AF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A4AFB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799028C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597" w:type="dxa"/>
            <w:shd w:val="clear" w:color="auto" w:fill="auto"/>
          </w:tcPr>
          <w:p w14:paraId="2A7A333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D0A95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39267BD" w14:textId="77777777" w:rsidTr="006612A0">
        <w:tc>
          <w:tcPr>
            <w:tcW w:w="575" w:type="dxa"/>
            <w:shd w:val="clear" w:color="auto" w:fill="auto"/>
          </w:tcPr>
          <w:p w14:paraId="344CAC5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119</w:t>
            </w:r>
          </w:p>
        </w:tc>
        <w:tc>
          <w:tcPr>
            <w:tcW w:w="2562" w:type="dxa"/>
            <w:shd w:val="clear" w:color="auto" w:fill="auto"/>
          </w:tcPr>
          <w:p w14:paraId="7C7D98B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法務部函，為110年度中央政府總預算附屬單位預算決議，檢送毒品防制基金決議第14項書面報告，請查照案。</w:t>
            </w:r>
          </w:p>
        </w:tc>
        <w:tc>
          <w:tcPr>
            <w:tcW w:w="1995" w:type="dxa"/>
            <w:shd w:val="clear" w:color="auto" w:fill="auto"/>
          </w:tcPr>
          <w:p w14:paraId="7958AD5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A00105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111.10.07 </w:t>
            </w:r>
          </w:p>
          <w:p w14:paraId="4F7EE8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tc>
        <w:tc>
          <w:tcPr>
            <w:tcW w:w="1597" w:type="dxa"/>
            <w:shd w:val="clear" w:color="auto" w:fill="auto"/>
          </w:tcPr>
          <w:p w14:paraId="52ABCC4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3C97B7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588E9AA" w14:textId="77777777" w:rsidTr="006612A0">
        <w:tc>
          <w:tcPr>
            <w:tcW w:w="575" w:type="dxa"/>
            <w:shd w:val="clear" w:color="auto" w:fill="auto"/>
          </w:tcPr>
          <w:p w14:paraId="22A2798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120</w:t>
            </w:r>
          </w:p>
        </w:tc>
        <w:tc>
          <w:tcPr>
            <w:tcW w:w="2562" w:type="dxa"/>
            <w:shd w:val="clear" w:color="auto" w:fill="auto"/>
          </w:tcPr>
          <w:p w14:paraId="4E1D0EE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法務部函送111年第1季辦理政策及業務宣導之執行情形表，請查照案。</w:t>
            </w:r>
          </w:p>
        </w:tc>
        <w:tc>
          <w:tcPr>
            <w:tcW w:w="1995" w:type="dxa"/>
            <w:shd w:val="clear" w:color="auto" w:fill="auto"/>
          </w:tcPr>
          <w:p w14:paraId="4BD18C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法務部 </w:t>
            </w:r>
          </w:p>
          <w:p w14:paraId="40F8DFF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26B5FA9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2E5BAB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0DDF95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7A2541B" w14:textId="77777777" w:rsidTr="006612A0">
        <w:tc>
          <w:tcPr>
            <w:tcW w:w="575" w:type="dxa"/>
            <w:shd w:val="clear" w:color="auto" w:fill="auto"/>
          </w:tcPr>
          <w:p w14:paraId="0078FCC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121</w:t>
            </w:r>
          </w:p>
        </w:tc>
        <w:tc>
          <w:tcPr>
            <w:tcW w:w="2562" w:type="dxa"/>
            <w:shd w:val="clear" w:color="auto" w:fill="auto"/>
          </w:tcPr>
          <w:p w14:paraId="3C86D00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總統府函送111年第1季辦理政策及業務宣導之執行情形表，請查照案。</w:t>
            </w:r>
          </w:p>
        </w:tc>
        <w:tc>
          <w:tcPr>
            <w:tcW w:w="1995" w:type="dxa"/>
            <w:shd w:val="clear" w:color="auto" w:fill="auto"/>
          </w:tcPr>
          <w:p w14:paraId="1AE6DBE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總統府 </w:t>
            </w:r>
          </w:p>
          <w:p w14:paraId="258E35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5BA3BB7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335C62A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657" w:type="dxa"/>
            <w:shd w:val="clear" w:color="auto" w:fill="auto"/>
          </w:tcPr>
          <w:p w14:paraId="7A4296D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6523342" w14:textId="77777777" w:rsidTr="006612A0">
        <w:tc>
          <w:tcPr>
            <w:tcW w:w="575" w:type="dxa"/>
            <w:shd w:val="clear" w:color="auto" w:fill="auto"/>
          </w:tcPr>
          <w:p w14:paraId="5981761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122</w:t>
            </w:r>
          </w:p>
        </w:tc>
        <w:tc>
          <w:tcPr>
            <w:tcW w:w="2562" w:type="dxa"/>
            <w:shd w:val="clear" w:color="auto" w:fill="auto"/>
          </w:tcPr>
          <w:p w14:paraId="569C018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考試院秘書長函送「考試院及所屬部會111年第1季辦理政策及業務宣導之執行情形表」，請查照案。</w:t>
            </w:r>
          </w:p>
        </w:tc>
        <w:tc>
          <w:tcPr>
            <w:tcW w:w="1995" w:type="dxa"/>
            <w:shd w:val="clear" w:color="auto" w:fill="auto"/>
          </w:tcPr>
          <w:p w14:paraId="39F2B80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考試院秘書長 </w:t>
            </w:r>
          </w:p>
          <w:p w14:paraId="2F8BFD8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111.10.28</w:t>
            </w:r>
          </w:p>
          <w:p w14:paraId="2889007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2AE40E2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09FFD3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356C6404" w14:textId="77777777" w:rsidTr="006612A0">
        <w:tc>
          <w:tcPr>
            <w:tcW w:w="575" w:type="dxa"/>
            <w:shd w:val="clear" w:color="auto" w:fill="auto"/>
          </w:tcPr>
          <w:p w14:paraId="0A85484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123</w:t>
            </w:r>
          </w:p>
        </w:tc>
        <w:tc>
          <w:tcPr>
            <w:tcW w:w="2562" w:type="dxa"/>
            <w:shd w:val="clear" w:color="auto" w:fill="auto"/>
          </w:tcPr>
          <w:p w14:paraId="363211A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司法院函送111年第1季辦理政策及業務宣導之執行情形表，請查照案。</w:t>
            </w:r>
          </w:p>
        </w:tc>
        <w:tc>
          <w:tcPr>
            <w:tcW w:w="1995" w:type="dxa"/>
            <w:shd w:val="clear" w:color="auto" w:fill="auto"/>
          </w:tcPr>
          <w:p w14:paraId="39DBE8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司法院 </w:t>
            </w:r>
          </w:p>
          <w:p w14:paraId="448445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215847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52B42C3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651017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A61EA81" w14:textId="77777777" w:rsidTr="006612A0">
        <w:tc>
          <w:tcPr>
            <w:tcW w:w="575" w:type="dxa"/>
            <w:shd w:val="clear" w:color="auto" w:fill="auto"/>
          </w:tcPr>
          <w:p w14:paraId="1A45AE9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124</w:t>
            </w:r>
          </w:p>
        </w:tc>
        <w:tc>
          <w:tcPr>
            <w:tcW w:w="2562" w:type="dxa"/>
            <w:shd w:val="clear" w:color="auto" w:fill="auto"/>
          </w:tcPr>
          <w:p w14:paraId="7E46C49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考選部函，為110年度中央政府總預算附屬單位預算決議，檢送考選業務基金決議第4項考試舞弊案檢討書面報告，請查照案。</w:t>
            </w:r>
          </w:p>
        </w:tc>
        <w:tc>
          <w:tcPr>
            <w:tcW w:w="1995" w:type="dxa"/>
            <w:shd w:val="clear" w:color="auto" w:fill="auto"/>
          </w:tcPr>
          <w:p w14:paraId="7BF0E5D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考選部 </w:t>
            </w:r>
          </w:p>
          <w:p w14:paraId="63AE553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320870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08C1941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055A75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D84B118" w14:textId="77777777" w:rsidTr="006612A0">
        <w:tc>
          <w:tcPr>
            <w:tcW w:w="575" w:type="dxa"/>
            <w:shd w:val="clear" w:color="auto" w:fill="auto"/>
          </w:tcPr>
          <w:p w14:paraId="196E439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125</w:t>
            </w:r>
          </w:p>
        </w:tc>
        <w:tc>
          <w:tcPr>
            <w:tcW w:w="2562" w:type="dxa"/>
            <w:shd w:val="clear" w:color="auto" w:fill="auto"/>
          </w:tcPr>
          <w:p w14:paraId="36239A8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立法院秘書長函，為111年度中央政府總預算決議，檢送本院單位預算決議（三十八）書面報告，請查照案。</w:t>
            </w:r>
          </w:p>
        </w:tc>
        <w:tc>
          <w:tcPr>
            <w:tcW w:w="1995" w:type="dxa"/>
            <w:shd w:val="clear" w:color="auto" w:fill="auto"/>
          </w:tcPr>
          <w:p w14:paraId="0EECCA8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立法院秘書長 </w:t>
            </w:r>
          </w:p>
          <w:p w14:paraId="2D222C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1302CED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6DC5EF6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5D7F73A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7DDE259" w14:textId="77777777" w:rsidTr="006612A0">
        <w:tc>
          <w:tcPr>
            <w:tcW w:w="575" w:type="dxa"/>
            <w:shd w:val="clear" w:color="auto" w:fill="auto"/>
          </w:tcPr>
          <w:p w14:paraId="668AE75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126</w:t>
            </w:r>
          </w:p>
        </w:tc>
        <w:tc>
          <w:tcPr>
            <w:tcW w:w="2562" w:type="dxa"/>
            <w:shd w:val="clear" w:color="auto" w:fill="auto"/>
          </w:tcPr>
          <w:p w14:paraId="79D9FE1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國家安全會議函，為111年度中央政府總預算決議，檢送歲出第1款第2項決議（四）書面報告，請查照案。</w:t>
            </w:r>
          </w:p>
        </w:tc>
        <w:tc>
          <w:tcPr>
            <w:tcW w:w="1995" w:type="dxa"/>
            <w:shd w:val="clear" w:color="auto" w:fill="auto"/>
          </w:tcPr>
          <w:p w14:paraId="3AF5EAD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國家安全會議 </w:t>
            </w:r>
          </w:p>
          <w:p w14:paraId="073EE0F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124A548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48999A3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47BEA57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BB74819" w14:textId="77777777" w:rsidTr="006612A0">
        <w:tc>
          <w:tcPr>
            <w:tcW w:w="575" w:type="dxa"/>
            <w:shd w:val="clear" w:color="auto" w:fill="auto"/>
          </w:tcPr>
          <w:p w14:paraId="16416BA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127</w:t>
            </w:r>
          </w:p>
        </w:tc>
        <w:tc>
          <w:tcPr>
            <w:tcW w:w="2562" w:type="dxa"/>
            <w:shd w:val="clear" w:color="auto" w:fill="auto"/>
          </w:tcPr>
          <w:p w14:paraId="66CC31F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國家安全會議函，為111年度中央政府總預算決議，檢送歲出第1款第2項決議（十一）書面報告，請查照案。</w:t>
            </w:r>
          </w:p>
        </w:tc>
        <w:tc>
          <w:tcPr>
            <w:tcW w:w="1995" w:type="dxa"/>
            <w:shd w:val="clear" w:color="auto" w:fill="auto"/>
          </w:tcPr>
          <w:p w14:paraId="42A6EA4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國家安全會議 </w:t>
            </w:r>
          </w:p>
          <w:p w14:paraId="1876ECE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111.10.28</w:t>
            </w:r>
          </w:p>
          <w:p w14:paraId="256A3EF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77FE71A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775B116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9C14DB2" w14:textId="77777777" w:rsidTr="006612A0">
        <w:tc>
          <w:tcPr>
            <w:tcW w:w="575" w:type="dxa"/>
            <w:shd w:val="clear" w:color="auto" w:fill="auto"/>
          </w:tcPr>
          <w:p w14:paraId="4155E36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128</w:t>
            </w:r>
          </w:p>
        </w:tc>
        <w:tc>
          <w:tcPr>
            <w:tcW w:w="2562" w:type="dxa"/>
            <w:shd w:val="clear" w:color="auto" w:fill="auto"/>
          </w:tcPr>
          <w:p w14:paraId="170133F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國家安全會議函，為111年度中央政府總預算決議，檢送歲出第1款第2項決議（十）書面報告，請查照案。</w:t>
            </w:r>
          </w:p>
        </w:tc>
        <w:tc>
          <w:tcPr>
            <w:tcW w:w="1995" w:type="dxa"/>
            <w:shd w:val="clear" w:color="auto" w:fill="auto"/>
          </w:tcPr>
          <w:p w14:paraId="243467C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國家安全會議 </w:t>
            </w:r>
          </w:p>
          <w:p w14:paraId="097CE7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17C5115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7E35EFD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763E293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AAF7488" w14:textId="77777777" w:rsidTr="006612A0">
        <w:tc>
          <w:tcPr>
            <w:tcW w:w="575" w:type="dxa"/>
            <w:shd w:val="clear" w:color="auto" w:fill="auto"/>
          </w:tcPr>
          <w:p w14:paraId="17CE909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129</w:t>
            </w:r>
          </w:p>
        </w:tc>
        <w:tc>
          <w:tcPr>
            <w:tcW w:w="2562" w:type="dxa"/>
            <w:shd w:val="clear" w:color="auto" w:fill="auto"/>
          </w:tcPr>
          <w:p w14:paraId="6A8DAC0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行政院人事行政總處函，為111年度中央政府總預算決議，檢送該總處決議（十六）研擬適合我國之精神障礙觸法者社會復歸體系之說明，請查照案。</w:t>
            </w:r>
          </w:p>
        </w:tc>
        <w:tc>
          <w:tcPr>
            <w:tcW w:w="1995" w:type="dxa"/>
            <w:shd w:val="clear" w:color="auto" w:fill="auto"/>
          </w:tcPr>
          <w:p w14:paraId="580E35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行政院人事行政總處 </w:t>
            </w:r>
          </w:p>
          <w:p w14:paraId="341CEF5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55171E2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72EC521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6F166F0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870B9A6" w14:textId="77777777" w:rsidTr="006612A0">
        <w:tc>
          <w:tcPr>
            <w:tcW w:w="575" w:type="dxa"/>
            <w:shd w:val="clear" w:color="auto" w:fill="auto"/>
          </w:tcPr>
          <w:p w14:paraId="4816566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130</w:t>
            </w:r>
          </w:p>
        </w:tc>
        <w:tc>
          <w:tcPr>
            <w:tcW w:w="2562" w:type="dxa"/>
            <w:shd w:val="clear" w:color="auto" w:fill="auto"/>
          </w:tcPr>
          <w:p w14:paraId="1BFD94D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行政院人事行政總處函，為111年度中央政府總預算決議，檢送該總處決議（五十二）環境資源部組織改造進度書面報告，請查照案。</w:t>
            </w:r>
          </w:p>
        </w:tc>
        <w:tc>
          <w:tcPr>
            <w:tcW w:w="1995" w:type="dxa"/>
            <w:shd w:val="clear" w:color="auto" w:fill="auto"/>
          </w:tcPr>
          <w:p w14:paraId="6A43093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行政院人事行政總處 </w:t>
            </w:r>
          </w:p>
          <w:p w14:paraId="28C657E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5C27249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64B38F5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578FF3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339E8E6" w14:textId="77777777" w:rsidTr="006612A0">
        <w:tc>
          <w:tcPr>
            <w:tcW w:w="575" w:type="dxa"/>
            <w:shd w:val="clear" w:color="auto" w:fill="auto"/>
          </w:tcPr>
          <w:p w14:paraId="278EE6E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131</w:t>
            </w:r>
          </w:p>
        </w:tc>
        <w:tc>
          <w:tcPr>
            <w:tcW w:w="2562" w:type="dxa"/>
            <w:shd w:val="clear" w:color="auto" w:fill="auto"/>
          </w:tcPr>
          <w:p w14:paraId="303CFE5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行政院人事行政總處函，為111年度中央政府總預算決議，檢送該總處決議（四十三）改善人力問題書面報告，請查照案。</w:t>
            </w:r>
          </w:p>
        </w:tc>
        <w:tc>
          <w:tcPr>
            <w:tcW w:w="1995" w:type="dxa"/>
            <w:shd w:val="clear" w:color="auto" w:fill="auto"/>
          </w:tcPr>
          <w:p w14:paraId="2EF621F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行政院人事行政總處 </w:t>
            </w:r>
          </w:p>
          <w:p w14:paraId="3381590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0440E45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4883C68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0264E1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AEB6344" w14:textId="77777777" w:rsidTr="006612A0">
        <w:tc>
          <w:tcPr>
            <w:tcW w:w="575" w:type="dxa"/>
            <w:shd w:val="clear" w:color="auto" w:fill="auto"/>
          </w:tcPr>
          <w:p w14:paraId="0FA8A4F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132</w:t>
            </w:r>
          </w:p>
        </w:tc>
        <w:tc>
          <w:tcPr>
            <w:tcW w:w="2562" w:type="dxa"/>
            <w:shd w:val="clear" w:color="auto" w:fill="auto"/>
          </w:tcPr>
          <w:p w14:paraId="53CC4C7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行政院人事行政總處函，為111年度中央政府總預算決議，檢送該總處決議（四十八）多元人力運用情形書面報告，請查照案。</w:t>
            </w:r>
          </w:p>
        </w:tc>
        <w:tc>
          <w:tcPr>
            <w:tcW w:w="1995" w:type="dxa"/>
            <w:shd w:val="clear" w:color="auto" w:fill="auto"/>
          </w:tcPr>
          <w:p w14:paraId="5F9DB9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行政院人事行政總處 </w:t>
            </w:r>
          </w:p>
          <w:p w14:paraId="40E75E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0716EA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1524A96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3A82E7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764D81C" w14:textId="77777777" w:rsidTr="006612A0">
        <w:tc>
          <w:tcPr>
            <w:tcW w:w="575" w:type="dxa"/>
            <w:shd w:val="clear" w:color="auto" w:fill="auto"/>
          </w:tcPr>
          <w:p w14:paraId="434C113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133</w:t>
            </w:r>
          </w:p>
        </w:tc>
        <w:tc>
          <w:tcPr>
            <w:tcW w:w="2562" w:type="dxa"/>
            <w:shd w:val="clear" w:color="auto" w:fill="auto"/>
          </w:tcPr>
          <w:p w14:paraId="583CC82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考試院函，為111年度中央政府總預算決議，檢送決議（八）針對修憲之主張與立場書面報告，請查照案。</w:t>
            </w:r>
          </w:p>
        </w:tc>
        <w:tc>
          <w:tcPr>
            <w:tcW w:w="1995" w:type="dxa"/>
            <w:shd w:val="clear" w:color="auto" w:fill="auto"/>
          </w:tcPr>
          <w:p w14:paraId="2ED6D5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考試院 </w:t>
            </w:r>
          </w:p>
          <w:p w14:paraId="02BC55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0E3052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6ED2162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0CA816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401B1FB" w14:textId="77777777" w:rsidTr="006612A0">
        <w:tc>
          <w:tcPr>
            <w:tcW w:w="575" w:type="dxa"/>
            <w:shd w:val="clear" w:color="auto" w:fill="auto"/>
          </w:tcPr>
          <w:p w14:paraId="62C37CE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134</w:t>
            </w:r>
          </w:p>
        </w:tc>
        <w:tc>
          <w:tcPr>
            <w:tcW w:w="2562" w:type="dxa"/>
            <w:shd w:val="clear" w:color="auto" w:fill="auto"/>
          </w:tcPr>
          <w:p w14:paraId="009B250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考選部函，為111年度中央政府總預算決議，檢送該部決議（七）「公務員雙語書面報告」，請查照案。</w:t>
            </w:r>
          </w:p>
        </w:tc>
        <w:tc>
          <w:tcPr>
            <w:tcW w:w="1995" w:type="dxa"/>
            <w:shd w:val="clear" w:color="auto" w:fill="auto"/>
          </w:tcPr>
          <w:p w14:paraId="5AE91E9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考選部 </w:t>
            </w:r>
          </w:p>
          <w:p w14:paraId="3C48646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4040698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021E57E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611E572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5280684" w14:textId="77777777" w:rsidTr="006612A0">
        <w:tc>
          <w:tcPr>
            <w:tcW w:w="575" w:type="dxa"/>
            <w:shd w:val="clear" w:color="auto" w:fill="auto"/>
          </w:tcPr>
          <w:p w14:paraId="3015D9F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135</w:t>
            </w:r>
          </w:p>
        </w:tc>
        <w:tc>
          <w:tcPr>
            <w:tcW w:w="2562" w:type="dxa"/>
            <w:shd w:val="clear" w:color="auto" w:fill="auto"/>
          </w:tcPr>
          <w:p w14:paraId="515825F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銓敘部函，為111年度中央政府總預算決議，檢送「公立學校教職員退休資遣撫卹條例將高等教育教師與其他公教人員一致性處理之檢討分析書面報告」，請查照案。</w:t>
            </w:r>
          </w:p>
        </w:tc>
        <w:tc>
          <w:tcPr>
            <w:tcW w:w="1995" w:type="dxa"/>
            <w:shd w:val="clear" w:color="auto" w:fill="auto"/>
          </w:tcPr>
          <w:p w14:paraId="3DB5158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銓敘部 </w:t>
            </w:r>
          </w:p>
          <w:p w14:paraId="67088B2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111.10.28 </w:t>
            </w:r>
          </w:p>
          <w:p w14:paraId="4DCE40B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（10-6-5）</w:t>
            </w:r>
          </w:p>
        </w:tc>
        <w:tc>
          <w:tcPr>
            <w:tcW w:w="1597" w:type="dxa"/>
            <w:shd w:val="clear" w:color="auto" w:fill="auto"/>
          </w:tcPr>
          <w:p w14:paraId="7C956A2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657" w:type="dxa"/>
            <w:shd w:val="clear" w:color="auto" w:fill="auto"/>
          </w:tcPr>
          <w:p w14:paraId="0B15FA1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607649C1" w14:textId="77777777" w:rsidTr="006612A0">
        <w:tc>
          <w:tcPr>
            <w:tcW w:w="575" w:type="dxa"/>
            <w:shd w:val="clear" w:color="auto" w:fill="auto"/>
          </w:tcPr>
          <w:p w14:paraId="4B8EDEB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136</w:t>
            </w:r>
          </w:p>
        </w:tc>
        <w:tc>
          <w:tcPr>
            <w:tcW w:w="2562" w:type="dxa"/>
            <w:shd w:val="clear" w:color="auto" w:fill="auto"/>
          </w:tcPr>
          <w:p w14:paraId="430276A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司法院函，為111年度中央政府總預算決議，檢送歲出第4款第1項決議（五十一）書面報告，請查照案。</w:t>
            </w:r>
          </w:p>
        </w:tc>
        <w:tc>
          <w:tcPr>
            <w:tcW w:w="1995" w:type="dxa"/>
            <w:shd w:val="clear" w:color="auto" w:fill="auto"/>
          </w:tcPr>
          <w:p w14:paraId="508FE28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3AF13A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536E0AD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3FA36A5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B32A1C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E21BCF7" w14:textId="77777777" w:rsidTr="006612A0">
        <w:tc>
          <w:tcPr>
            <w:tcW w:w="575" w:type="dxa"/>
            <w:shd w:val="clear" w:color="auto" w:fill="auto"/>
          </w:tcPr>
          <w:p w14:paraId="34F85CF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137</w:t>
            </w:r>
          </w:p>
        </w:tc>
        <w:tc>
          <w:tcPr>
            <w:tcW w:w="2562" w:type="dxa"/>
            <w:shd w:val="clear" w:color="auto" w:fill="auto"/>
          </w:tcPr>
          <w:p w14:paraId="3712254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監察院函，為111年度中央政府總預算決議，檢送該院決議（三十）書面報告，請查照案。</w:t>
            </w:r>
          </w:p>
        </w:tc>
        <w:tc>
          <w:tcPr>
            <w:tcW w:w="1995" w:type="dxa"/>
            <w:shd w:val="clear" w:color="auto" w:fill="auto"/>
          </w:tcPr>
          <w:p w14:paraId="4E2CD03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 </w:t>
            </w:r>
          </w:p>
          <w:p w14:paraId="283C830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347B94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03FB427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930BF2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AC9581F" w14:textId="77777777" w:rsidTr="006612A0">
        <w:tc>
          <w:tcPr>
            <w:tcW w:w="575" w:type="dxa"/>
            <w:shd w:val="clear" w:color="auto" w:fill="auto"/>
          </w:tcPr>
          <w:p w14:paraId="2F5B375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138</w:t>
            </w:r>
          </w:p>
        </w:tc>
        <w:tc>
          <w:tcPr>
            <w:tcW w:w="2562" w:type="dxa"/>
            <w:shd w:val="clear" w:color="auto" w:fill="auto"/>
          </w:tcPr>
          <w:p w14:paraId="59677FE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法務部函，為111年度中央政府總預算決議，檢送第12款第1項決議（十二）書面報告，請查照案。</w:t>
            </w:r>
          </w:p>
        </w:tc>
        <w:tc>
          <w:tcPr>
            <w:tcW w:w="1995" w:type="dxa"/>
            <w:shd w:val="clear" w:color="auto" w:fill="auto"/>
          </w:tcPr>
          <w:p w14:paraId="72A3166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59EC0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6655C8C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0404C00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547B3C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4ABBA0" w14:textId="77777777" w:rsidTr="006612A0">
        <w:tc>
          <w:tcPr>
            <w:tcW w:w="575" w:type="dxa"/>
            <w:shd w:val="clear" w:color="auto" w:fill="auto"/>
          </w:tcPr>
          <w:p w14:paraId="4946943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139</w:t>
            </w:r>
          </w:p>
        </w:tc>
        <w:tc>
          <w:tcPr>
            <w:tcW w:w="2562" w:type="dxa"/>
            <w:shd w:val="clear" w:color="auto" w:fill="auto"/>
          </w:tcPr>
          <w:p w14:paraId="33B21FC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法務部函，為111年度中央政府總預算決議，檢送第12款第6項決議（四）書面報告，請查照案。</w:t>
            </w:r>
          </w:p>
        </w:tc>
        <w:tc>
          <w:tcPr>
            <w:tcW w:w="1995" w:type="dxa"/>
            <w:shd w:val="clear" w:color="auto" w:fill="auto"/>
          </w:tcPr>
          <w:p w14:paraId="537B29C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36FDBDF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3F6E437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041EFAA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383C5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530549" w14:textId="77777777" w:rsidTr="006612A0">
        <w:tc>
          <w:tcPr>
            <w:tcW w:w="575" w:type="dxa"/>
            <w:shd w:val="clear" w:color="auto" w:fill="auto"/>
          </w:tcPr>
          <w:p w14:paraId="0B0CCB2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140</w:t>
            </w:r>
          </w:p>
        </w:tc>
        <w:tc>
          <w:tcPr>
            <w:tcW w:w="2562" w:type="dxa"/>
            <w:shd w:val="clear" w:color="auto" w:fill="auto"/>
          </w:tcPr>
          <w:p w14:paraId="04D9A14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法務部函，為111年度中央政府總預算決議，檢送第12款第1項決議（九）書面報告，請查照案。</w:t>
            </w:r>
          </w:p>
        </w:tc>
        <w:tc>
          <w:tcPr>
            <w:tcW w:w="1995" w:type="dxa"/>
            <w:shd w:val="clear" w:color="auto" w:fill="auto"/>
          </w:tcPr>
          <w:p w14:paraId="2C0E11E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32D1288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1D0C8E9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05C6547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4A3933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FF8BA6B" w14:textId="77777777" w:rsidTr="006612A0">
        <w:tc>
          <w:tcPr>
            <w:tcW w:w="575" w:type="dxa"/>
            <w:shd w:val="clear" w:color="auto" w:fill="auto"/>
          </w:tcPr>
          <w:p w14:paraId="35FEA1B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141</w:t>
            </w:r>
          </w:p>
        </w:tc>
        <w:tc>
          <w:tcPr>
            <w:tcW w:w="2562" w:type="dxa"/>
            <w:shd w:val="clear" w:color="auto" w:fill="auto"/>
          </w:tcPr>
          <w:p w14:paraId="048F3F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法務部函，為111年度中央政府總預算決議，檢送第12款第37項決議（九）書面報告，請查照案。</w:t>
            </w:r>
          </w:p>
        </w:tc>
        <w:tc>
          <w:tcPr>
            <w:tcW w:w="1995" w:type="dxa"/>
            <w:shd w:val="clear" w:color="auto" w:fill="auto"/>
          </w:tcPr>
          <w:p w14:paraId="06749CD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2B0C5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129AAB2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52A5903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49AC15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C17753D" w14:textId="77777777" w:rsidTr="006612A0">
        <w:tc>
          <w:tcPr>
            <w:tcW w:w="575" w:type="dxa"/>
            <w:shd w:val="clear" w:color="auto" w:fill="auto"/>
          </w:tcPr>
          <w:p w14:paraId="7414661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142</w:t>
            </w:r>
          </w:p>
        </w:tc>
        <w:tc>
          <w:tcPr>
            <w:tcW w:w="2562" w:type="dxa"/>
            <w:shd w:val="clear" w:color="auto" w:fill="auto"/>
          </w:tcPr>
          <w:p w14:paraId="4D9DB50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法務部函，為111年度中央政府總預算決議，檢送第12款第37項</w:t>
            </w:r>
            <w:r w:rsidRPr="00026143">
              <w:rPr>
                <w:rFonts w:ascii="標楷體" w:eastAsia="標楷體" w:hAnsi="標楷體"/>
                <w:color w:val="000000" w:themeColor="text1"/>
              </w:rPr>
              <w:lastRenderedPageBreak/>
              <w:t>決議（二）書面報告，請查照案。</w:t>
            </w:r>
          </w:p>
        </w:tc>
        <w:tc>
          <w:tcPr>
            <w:tcW w:w="1995" w:type="dxa"/>
            <w:shd w:val="clear" w:color="auto" w:fill="auto"/>
          </w:tcPr>
          <w:p w14:paraId="3635E52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法務部 </w:t>
            </w:r>
          </w:p>
          <w:p w14:paraId="4CA57B7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037F2E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411D02F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106C7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CB7A454" w14:textId="77777777" w:rsidTr="006612A0">
        <w:tc>
          <w:tcPr>
            <w:tcW w:w="575" w:type="dxa"/>
            <w:shd w:val="clear" w:color="auto" w:fill="auto"/>
          </w:tcPr>
          <w:p w14:paraId="3AF9707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143</w:t>
            </w:r>
          </w:p>
        </w:tc>
        <w:tc>
          <w:tcPr>
            <w:tcW w:w="2562" w:type="dxa"/>
            <w:shd w:val="clear" w:color="auto" w:fill="auto"/>
          </w:tcPr>
          <w:p w14:paraId="0E5C4DC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法務部函，為111年度中央政府總預算決議，檢送第12款第5項決議（十七）矯正署書面報告，請查照案。</w:t>
            </w:r>
          </w:p>
        </w:tc>
        <w:tc>
          <w:tcPr>
            <w:tcW w:w="1995" w:type="dxa"/>
            <w:shd w:val="clear" w:color="auto" w:fill="auto"/>
          </w:tcPr>
          <w:p w14:paraId="0620051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156FEF4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023AC81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241BD42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AA6D1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71D9481" w14:textId="77777777" w:rsidTr="006612A0">
        <w:tc>
          <w:tcPr>
            <w:tcW w:w="575" w:type="dxa"/>
            <w:shd w:val="clear" w:color="auto" w:fill="auto"/>
          </w:tcPr>
          <w:p w14:paraId="3C27F6F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144</w:t>
            </w:r>
          </w:p>
        </w:tc>
        <w:tc>
          <w:tcPr>
            <w:tcW w:w="2562" w:type="dxa"/>
            <w:shd w:val="clear" w:color="auto" w:fill="auto"/>
          </w:tcPr>
          <w:p w14:paraId="64395FE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法務部函，為111年度中央政府總預算決議，檢送第12款第5項決議（十八）書面報告，請查照案。</w:t>
            </w:r>
          </w:p>
        </w:tc>
        <w:tc>
          <w:tcPr>
            <w:tcW w:w="1995" w:type="dxa"/>
            <w:shd w:val="clear" w:color="auto" w:fill="auto"/>
          </w:tcPr>
          <w:p w14:paraId="08201C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301551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7529E2F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62F408F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70A098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2A60C02" w14:textId="77777777" w:rsidTr="006612A0">
        <w:tc>
          <w:tcPr>
            <w:tcW w:w="575" w:type="dxa"/>
            <w:shd w:val="clear" w:color="auto" w:fill="auto"/>
          </w:tcPr>
          <w:p w14:paraId="74D705B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145</w:t>
            </w:r>
          </w:p>
        </w:tc>
        <w:tc>
          <w:tcPr>
            <w:tcW w:w="2562" w:type="dxa"/>
            <w:shd w:val="clear" w:color="auto" w:fill="auto"/>
          </w:tcPr>
          <w:p w14:paraId="7803D43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法務部函，為111年度中央政府總預算決議，檢送第12款第5項決議（二十五）書面報告，請查照案。</w:t>
            </w:r>
          </w:p>
        </w:tc>
        <w:tc>
          <w:tcPr>
            <w:tcW w:w="1995" w:type="dxa"/>
            <w:shd w:val="clear" w:color="auto" w:fill="auto"/>
          </w:tcPr>
          <w:p w14:paraId="45F110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C102C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238F6F4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50ABA1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369F34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FE3329" w14:textId="77777777" w:rsidTr="006612A0">
        <w:tc>
          <w:tcPr>
            <w:tcW w:w="575" w:type="dxa"/>
            <w:shd w:val="clear" w:color="auto" w:fill="auto"/>
          </w:tcPr>
          <w:p w14:paraId="67278B2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146</w:t>
            </w:r>
          </w:p>
        </w:tc>
        <w:tc>
          <w:tcPr>
            <w:tcW w:w="2562" w:type="dxa"/>
            <w:shd w:val="clear" w:color="auto" w:fill="auto"/>
          </w:tcPr>
          <w:p w14:paraId="7313579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法務部函，為111年度中央政府總預算決議，檢送第12款第5項決議（二十一）「矯正機關員工協助方案辦理情形」書面報告，請查照案。</w:t>
            </w:r>
          </w:p>
        </w:tc>
        <w:tc>
          <w:tcPr>
            <w:tcW w:w="1995" w:type="dxa"/>
            <w:shd w:val="clear" w:color="auto" w:fill="auto"/>
          </w:tcPr>
          <w:p w14:paraId="48156EE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94BEBA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709D5DA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601EE22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BD6D0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56A3C6C" w14:textId="77777777" w:rsidTr="006612A0">
        <w:tc>
          <w:tcPr>
            <w:tcW w:w="575" w:type="dxa"/>
            <w:shd w:val="clear" w:color="auto" w:fill="auto"/>
          </w:tcPr>
          <w:p w14:paraId="24FD5E5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147</w:t>
            </w:r>
          </w:p>
        </w:tc>
        <w:tc>
          <w:tcPr>
            <w:tcW w:w="2562" w:type="dxa"/>
            <w:shd w:val="clear" w:color="auto" w:fill="auto"/>
          </w:tcPr>
          <w:p w14:paraId="271852F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法務部函，為111年度中央政府總預算決議，檢送第12款第5項決議（七）「研議以戒護比訂定危險加給之經費評估」書面報告，請查照案。</w:t>
            </w:r>
          </w:p>
        </w:tc>
        <w:tc>
          <w:tcPr>
            <w:tcW w:w="1995" w:type="dxa"/>
            <w:shd w:val="clear" w:color="auto" w:fill="auto"/>
          </w:tcPr>
          <w:p w14:paraId="6B34C6F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62C2ED9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111.11.04</w:t>
            </w:r>
          </w:p>
          <w:p w14:paraId="6B229D3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29F71B0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7D3DA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77837D5" w14:textId="77777777" w:rsidTr="006612A0">
        <w:tc>
          <w:tcPr>
            <w:tcW w:w="575" w:type="dxa"/>
            <w:shd w:val="clear" w:color="auto" w:fill="auto"/>
          </w:tcPr>
          <w:p w14:paraId="379CD88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148</w:t>
            </w:r>
          </w:p>
        </w:tc>
        <w:tc>
          <w:tcPr>
            <w:tcW w:w="2562" w:type="dxa"/>
            <w:shd w:val="clear" w:color="auto" w:fill="auto"/>
          </w:tcPr>
          <w:p w14:paraId="172B45A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法務部函，為111年度中央政府總預算決議，檢送第12款第1項決議（五十八）書面報告，請查照案。</w:t>
            </w:r>
          </w:p>
        </w:tc>
        <w:tc>
          <w:tcPr>
            <w:tcW w:w="1995" w:type="dxa"/>
            <w:shd w:val="clear" w:color="auto" w:fill="auto"/>
          </w:tcPr>
          <w:p w14:paraId="721AE6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D13A6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45DF9B5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2E56F10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869A1F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6DEAB3B" w14:textId="77777777" w:rsidTr="006612A0">
        <w:tc>
          <w:tcPr>
            <w:tcW w:w="575" w:type="dxa"/>
            <w:shd w:val="clear" w:color="auto" w:fill="auto"/>
          </w:tcPr>
          <w:p w14:paraId="0A02C6D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149</w:t>
            </w:r>
          </w:p>
        </w:tc>
        <w:tc>
          <w:tcPr>
            <w:tcW w:w="2562" w:type="dxa"/>
            <w:shd w:val="clear" w:color="auto" w:fill="auto"/>
          </w:tcPr>
          <w:p w14:paraId="2791EAA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法務部函，為111年度中央政府總預算決議，檢送第12款第1項決議（十三）書面報告，請查照案。</w:t>
            </w:r>
          </w:p>
        </w:tc>
        <w:tc>
          <w:tcPr>
            <w:tcW w:w="1995" w:type="dxa"/>
            <w:shd w:val="clear" w:color="auto" w:fill="auto"/>
          </w:tcPr>
          <w:p w14:paraId="23E3373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ECA4E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1233CCE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6848089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E7F5B4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B013E60" w14:textId="77777777" w:rsidTr="006612A0">
        <w:tc>
          <w:tcPr>
            <w:tcW w:w="575" w:type="dxa"/>
            <w:shd w:val="clear" w:color="auto" w:fill="auto"/>
          </w:tcPr>
          <w:p w14:paraId="075BE5D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150</w:t>
            </w:r>
          </w:p>
        </w:tc>
        <w:tc>
          <w:tcPr>
            <w:tcW w:w="2562" w:type="dxa"/>
            <w:shd w:val="clear" w:color="auto" w:fill="auto"/>
          </w:tcPr>
          <w:p w14:paraId="6B8DB9D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法務部函，為111年度中央政府總預算決議，檢送第12款第5項決議（十二）書面報告，請查照案。</w:t>
            </w:r>
          </w:p>
        </w:tc>
        <w:tc>
          <w:tcPr>
            <w:tcW w:w="1995" w:type="dxa"/>
            <w:shd w:val="clear" w:color="auto" w:fill="auto"/>
          </w:tcPr>
          <w:p w14:paraId="371FE2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D3B377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43CAABF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5134DCC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405BB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9DAD1E9" w14:textId="77777777" w:rsidTr="006612A0">
        <w:tc>
          <w:tcPr>
            <w:tcW w:w="575" w:type="dxa"/>
            <w:shd w:val="clear" w:color="auto" w:fill="auto"/>
          </w:tcPr>
          <w:p w14:paraId="19C2993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151</w:t>
            </w:r>
          </w:p>
        </w:tc>
        <w:tc>
          <w:tcPr>
            <w:tcW w:w="2562" w:type="dxa"/>
            <w:shd w:val="clear" w:color="auto" w:fill="auto"/>
          </w:tcPr>
          <w:p w14:paraId="597C3FC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法務部函，為111年度中央政府總預算決議，檢送第12款第5項決議（三十二）書面報告，請查照案。</w:t>
            </w:r>
          </w:p>
        </w:tc>
        <w:tc>
          <w:tcPr>
            <w:tcW w:w="1995" w:type="dxa"/>
            <w:shd w:val="clear" w:color="auto" w:fill="auto"/>
          </w:tcPr>
          <w:p w14:paraId="0EA8622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6CC970D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06FAD4A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5FBDD25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03AC66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D5F3A7" w14:textId="77777777" w:rsidTr="006612A0">
        <w:tc>
          <w:tcPr>
            <w:tcW w:w="575" w:type="dxa"/>
            <w:shd w:val="clear" w:color="auto" w:fill="auto"/>
          </w:tcPr>
          <w:p w14:paraId="1AB3A5B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152</w:t>
            </w:r>
          </w:p>
        </w:tc>
        <w:tc>
          <w:tcPr>
            <w:tcW w:w="2562" w:type="dxa"/>
            <w:shd w:val="clear" w:color="auto" w:fill="auto"/>
          </w:tcPr>
          <w:p w14:paraId="78E9680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法務部函，為111年度中央政府總預算決議，檢送第12款第5項決議（二十八）強制工作累進處遇之折抵等問題書面報告，請查照案。</w:t>
            </w:r>
          </w:p>
        </w:tc>
        <w:tc>
          <w:tcPr>
            <w:tcW w:w="1995" w:type="dxa"/>
            <w:shd w:val="clear" w:color="auto" w:fill="auto"/>
          </w:tcPr>
          <w:p w14:paraId="2D4882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1BF633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364D040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439F4C7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14645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6E90AE8" w14:textId="77777777" w:rsidTr="006612A0">
        <w:tc>
          <w:tcPr>
            <w:tcW w:w="575" w:type="dxa"/>
            <w:shd w:val="clear" w:color="auto" w:fill="auto"/>
          </w:tcPr>
          <w:p w14:paraId="1DF1152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153</w:t>
            </w:r>
          </w:p>
        </w:tc>
        <w:tc>
          <w:tcPr>
            <w:tcW w:w="2562" w:type="dxa"/>
            <w:shd w:val="clear" w:color="auto" w:fill="auto"/>
          </w:tcPr>
          <w:p w14:paraId="44C5379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法務部函，為111年度中央政府總預算決議，檢送第12款第1項決議（四十四）書面報告，請查照案。</w:t>
            </w:r>
          </w:p>
        </w:tc>
        <w:tc>
          <w:tcPr>
            <w:tcW w:w="1995" w:type="dxa"/>
            <w:shd w:val="clear" w:color="auto" w:fill="auto"/>
          </w:tcPr>
          <w:p w14:paraId="5CF234B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2DDCF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111.11.04 </w:t>
            </w:r>
          </w:p>
          <w:p w14:paraId="226CC0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（10-6-6）</w:t>
            </w:r>
          </w:p>
        </w:tc>
        <w:tc>
          <w:tcPr>
            <w:tcW w:w="1597" w:type="dxa"/>
            <w:shd w:val="clear" w:color="auto" w:fill="auto"/>
          </w:tcPr>
          <w:p w14:paraId="411EF84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C279E1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27D55D3" w14:textId="77777777" w:rsidTr="006612A0">
        <w:tc>
          <w:tcPr>
            <w:tcW w:w="575" w:type="dxa"/>
            <w:shd w:val="clear" w:color="auto" w:fill="auto"/>
          </w:tcPr>
          <w:p w14:paraId="655460B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154</w:t>
            </w:r>
          </w:p>
        </w:tc>
        <w:tc>
          <w:tcPr>
            <w:tcW w:w="2562" w:type="dxa"/>
            <w:shd w:val="clear" w:color="auto" w:fill="auto"/>
          </w:tcPr>
          <w:p w14:paraId="710F1ED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行政院人事行政總處函，為111年度中央政府總預算決議，檢送決議（四十四）調整俸給建議案之標準化作業程序書面報告，請查照案。</w:t>
            </w:r>
          </w:p>
        </w:tc>
        <w:tc>
          <w:tcPr>
            <w:tcW w:w="1995" w:type="dxa"/>
            <w:shd w:val="clear" w:color="auto" w:fill="auto"/>
          </w:tcPr>
          <w:p w14:paraId="6C1E766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67B0D0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053576B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6F19286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32F8E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044B896" w14:textId="77777777" w:rsidTr="006612A0">
        <w:tc>
          <w:tcPr>
            <w:tcW w:w="575" w:type="dxa"/>
            <w:shd w:val="clear" w:color="auto" w:fill="auto"/>
          </w:tcPr>
          <w:p w14:paraId="5D5250E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155</w:t>
            </w:r>
          </w:p>
        </w:tc>
        <w:tc>
          <w:tcPr>
            <w:tcW w:w="2562" w:type="dxa"/>
            <w:shd w:val="clear" w:color="auto" w:fill="auto"/>
          </w:tcPr>
          <w:p w14:paraId="39F5775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行政院人事行政總處函，為111年度中央政府總預算決議，檢送決議（三十六）軍公教員工待遇審議委員會納入基層員工代表書面報告，請查照案。</w:t>
            </w:r>
          </w:p>
        </w:tc>
        <w:tc>
          <w:tcPr>
            <w:tcW w:w="1995" w:type="dxa"/>
            <w:shd w:val="clear" w:color="auto" w:fill="auto"/>
          </w:tcPr>
          <w:p w14:paraId="18EF456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2E4563B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3710512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0805486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4DB7D3C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F5406F0" w14:textId="77777777" w:rsidTr="006612A0">
        <w:tc>
          <w:tcPr>
            <w:tcW w:w="575" w:type="dxa"/>
            <w:shd w:val="clear" w:color="auto" w:fill="auto"/>
          </w:tcPr>
          <w:p w14:paraId="076A21E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156</w:t>
            </w:r>
          </w:p>
        </w:tc>
        <w:tc>
          <w:tcPr>
            <w:tcW w:w="2562" w:type="dxa"/>
            <w:shd w:val="clear" w:color="auto" w:fill="auto"/>
          </w:tcPr>
          <w:p w14:paraId="0DA3FC8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行政院人事行政總處函，為111年度中央政府總預算決議，檢送決議（三十七）歷次軍公教員工待遇審議委員會完整會議紀錄公告上網書面報告，請查照案。</w:t>
            </w:r>
          </w:p>
        </w:tc>
        <w:tc>
          <w:tcPr>
            <w:tcW w:w="1995" w:type="dxa"/>
            <w:shd w:val="clear" w:color="auto" w:fill="auto"/>
          </w:tcPr>
          <w:p w14:paraId="671B9DC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行政院人事行政總處 </w:t>
            </w:r>
          </w:p>
          <w:p w14:paraId="2981F51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79A3C2C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1A7517B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91B172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03FC0F1" w14:textId="77777777" w:rsidTr="006612A0">
        <w:tc>
          <w:tcPr>
            <w:tcW w:w="575" w:type="dxa"/>
            <w:shd w:val="clear" w:color="auto" w:fill="auto"/>
          </w:tcPr>
          <w:p w14:paraId="159B01E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157</w:t>
            </w:r>
          </w:p>
        </w:tc>
        <w:tc>
          <w:tcPr>
            <w:tcW w:w="2562" w:type="dxa"/>
            <w:shd w:val="clear" w:color="auto" w:fill="auto"/>
          </w:tcPr>
          <w:p w14:paraId="76A3BC4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法務部函，為111年度中央政府總預算決議，檢送「檢察機關打造視覺障礙及低視能者友善環境書面報告」，請查照案。</w:t>
            </w:r>
          </w:p>
        </w:tc>
        <w:tc>
          <w:tcPr>
            <w:tcW w:w="1995" w:type="dxa"/>
            <w:shd w:val="clear" w:color="auto" w:fill="auto"/>
          </w:tcPr>
          <w:p w14:paraId="027BAC3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D8A968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28BD2C4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7C59A1D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5A1EE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3826966" w14:textId="77777777" w:rsidTr="006612A0">
        <w:tc>
          <w:tcPr>
            <w:tcW w:w="575" w:type="dxa"/>
            <w:shd w:val="clear" w:color="auto" w:fill="auto"/>
          </w:tcPr>
          <w:p w14:paraId="28D97D2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158</w:t>
            </w:r>
          </w:p>
        </w:tc>
        <w:tc>
          <w:tcPr>
            <w:tcW w:w="2562" w:type="dxa"/>
            <w:shd w:val="clear" w:color="auto" w:fill="auto"/>
          </w:tcPr>
          <w:p w14:paraId="3AA3CD7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w:t>
            </w:r>
            <w:r w:rsidRPr="00026143">
              <w:rPr>
                <w:rFonts w:ascii="標楷體" w:eastAsia="標楷體" w:hAnsi="標楷體"/>
                <w:color w:val="000000" w:themeColor="text1"/>
              </w:rPr>
              <w:lastRenderedPageBreak/>
              <w:t>中央政府總預算決議，檢送該部決議（三十八）書面報告，請查照案。</w:t>
            </w:r>
          </w:p>
        </w:tc>
        <w:tc>
          <w:tcPr>
            <w:tcW w:w="1995" w:type="dxa"/>
            <w:shd w:val="clear" w:color="auto" w:fill="auto"/>
          </w:tcPr>
          <w:p w14:paraId="390F07B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法務部 </w:t>
            </w:r>
          </w:p>
          <w:p w14:paraId="10A86A2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111.12.02 </w:t>
            </w:r>
          </w:p>
          <w:p w14:paraId="27FE00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566B413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6BB17FD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ED607C4" w14:textId="77777777" w:rsidTr="006612A0">
        <w:tc>
          <w:tcPr>
            <w:tcW w:w="575" w:type="dxa"/>
            <w:shd w:val="clear" w:color="auto" w:fill="auto"/>
          </w:tcPr>
          <w:p w14:paraId="0D121F2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159</w:t>
            </w:r>
          </w:p>
        </w:tc>
        <w:tc>
          <w:tcPr>
            <w:tcW w:w="2562" w:type="dxa"/>
            <w:shd w:val="clear" w:color="auto" w:fill="auto"/>
          </w:tcPr>
          <w:p w14:paraId="0B41343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法務部函，為111年度中央政府總預算決議，檢送矯正署決議（二十四）書面報告，請查照案。</w:t>
            </w:r>
          </w:p>
        </w:tc>
        <w:tc>
          <w:tcPr>
            <w:tcW w:w="1995" w:type="dxa"/>
            <w:shd w:val="clear" w:color="auto" w:fill="auto"/>
          </w:tcPr>
          <w:p w14:paraId="5F7D0C2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B481C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78847A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0D6C82E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6E6C9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FE3E888" w14:textId="77777777" w:rsidTr="006612A0">
        <w:tc>
          <w:tcPr>
            <w:tcW w:w="575" w:type="dxa"/>
            <w:shd w:val="clear" w:color="auto" w:fill="auto"/>
          </w:tcPr>
          <w:p w14:paraId="63F4B53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160</w:t>
            </w:r>
          </w:p>
        </w:tc>
        <w:tc>
          <w:tcPr>
            <w:tcW w:w="2562" w:type="dxa"/>
            <w:shd w:val="clear" w:color="auto" w:fill="auto"/>
          </w:tcPr>
          <w:p w14:paraId="3DD8854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法務部函，為111年度中央政府總預算決議，檢送該部決議（三十三）書面報告，請查照案。</w:t>
            </w:r>
          </w:p>
        </w:tc>
        <w:tc>
          <w:tcPr>
            <w:tcW w:w="1995" w:type="dxa"/>
            <w:shd w:val="clear" w:color="auto" w:fill="auto"/>
          </w:tcPr>
          <w:p w14:paraId="367DB2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F289FA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2482359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324FC7B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9AD7E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DE29B0E" w14:textId="77777777" w:rsidTr="006612A0">
        <w:tc>
          <w:tcPr>
            <w:tcW w:w="575" w:type="dxa"/>
            <w:shd w:val="clear" w:color="auto" w:fill="auto"/>
          </w:tcPr>
          <w:p w14:paraId="755C9B5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161</w:t>
            </w:r>
          </w:p>
        </w:tc>
        <w:tc>
          <w:tcPr>
            <w:tcW w:w="2562" w:type="dxa"/>
            <w:shd w:val="clear" w:color="auto" w:fill="auto"/>
          </w:tcPr>
          <w:p w14:paraId="7CC16FE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法務部函，為111年度中央政府總預算決議，檢送該部決議（五十二）書面報告，請查照案。</w:t>
            </w:r>
          </w:p>
        </w:tc>
        <w:tc>
          <w:tcPr>
            <w:tcW w:w="1995" w:type="dxa"/>
            <w:shd w:val="clear" w:color="auto" w:fill="auto"/>
          </w:tcPr>
          <w:p w14:paraId="23EF4D2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E6EE53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111.12.02 </w:t>
            </w:r>
          </w:p>
          <w:p w14:paraId="6F5B92D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（10-6-10）</w:t>
            </w:r>
          </w:p>
        </w:tc>
        <w:tc>
          <w:tcPr>
            <w:tcW w:w="1597" w:type="dxa"/>
            <w:shd w:val="clear" w:color="auto" w:fill="auto"/>
          </w:tcPr>
          <w:p w14:paraId="271C4C1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3A00B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3FCC88" w14:textId="77777777" w:rsidTr="006612A0">
        <w:tc>
          <w:tcPr>
            <w:tcW w:w="575" w:type="dxa"/>
            <w:shd w:val="clear" w:color="auto" w:fill="auto"/>
          </w:tcPr>
          <w:p w14:paraId="69632EB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162</w:t>
            </w:r>
          </w:p>
        </w:tc>
        <w:tc>
          <w:tcPr>
            <w:tcW w:w="2562" w:type="dxa"/>
            <w:shd w:val="clear" w:color="auto" w:fill="auto"/>
          </w:tcPr>
          <w:p w14:paraId="1D0513E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監察院秘書長函送111年度第2季政策及業務宣導執行情形，請查照案。</w:t>
            </w:r>
          </w:p>
        </w:tc>
        <w:tc>
          <w:tcPr>
            <w:tcW w:w="1995" w:type="dxa"/>
            <w:shd w:val="clear" w:color="auto" w:fill="auto"/>
          </w:tcPr>
          <w:p w14:paraId="66D864F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監察院秘書長 </w:t>
            </w:r>
          </w:p>
          <w:p w14:paraId="16A5795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652C1DB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687D215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375E0D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F059F5A" w14:textId="77777777" w:rsidTr="006612A0">
        <w:tc>
          <w:tcPr>
            <w:tcW w:w="575" w:type="dxa"/>
            <w:shd w:val="clear" w:color="auto" w:fill="auto"/>
          </w:tcPr>
          <w:p w14:paraId="3696663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163</w:t>
            </w:r>
          </w:p>
        </w:tc>
        <w:tc>
          <w:tcPr>
            <w:tcW w:w="2562" w:type="dxa"/>
            <w:shd w:val="clear" w:color="auto" w:fill="auto"/>
          </w:tcPr>
          <w:p w14:paraId="42DCC3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監察院秘書長函送111年度第3季政策及業務宣導執行情形，請查照案。</w:t>
            </w:r>
          </w:p>
        </w:tc>
        <w:tc>
          <w:tcPr>
            <w:tcW w:w="1995" w:type="dxa"/>
            <w:shd w:val="clear" w:color="auto" w:fill="auto"/>
          </w:tcPr>
          <w:p w14:paraId="2A4F2A5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監察院秘書長 </w:t>
            </w:r>
          </w:p>
          <w:p w14:paraId="3A183A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4E80742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30F41AF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1FBC1F3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000D711" w14:textId="77777777" w:rsidTr="006612A0">
        <w:tc>
          <w:tcPr>
            <w:tcW w:w="575" w:type="dxa"/>
            <w:shd w:val="clear" w:color="auto" w:fill="auto"/>
          </w:tcPr>
          <w:p w14:paraId="65BEFF8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164</w:t>
            </w:r>
          </w:p>
        </w:tc>
        <w:tc>
          <w:tcPr>
            <w:tcW w:w="2562" w:type="dxa"/>
            <w:shd w:val="clear" w:color="auto" w:fill="auto"/>
          </w:tcPr>
          <w:p w14:paraId="6B5DFB5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司法院函送111年度截至第2季止「公務預算對民間團體及個人補（捐）助經費彙總表」，請查照案。</w:t>
            </w:r>
          </w:p>
        </w:tc>
        <w:tc>
          <w:tcPr>
            <w:tcW w:w="1995" w:type="dxa"/>
            <w:shd w:val="clear" w:color="auto" w:fill="auto"/>
          </w:tcPr>
          <w:p w14:paraId="0F7F366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1E560D1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6640193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4415581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1E1017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1C2EC49" w14:textId="77777777" w:rsidTr="006612A0">
        <w:tc>
          <w:tcPr>
            <w:tcW w:w="575" w:type="dxa"/>
            <w:shd w:val="clear" w:color="auto" w:fill="auto"/>
          </w:tcPr>
          <w:p w14:paraId="2B47758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165</w:t>
            </w:r>
          </w:p>
        </w:tc>
        <w:tc>
          <w:tcPr>
            <w:tcW w:w="2562" w:type="dxa"/>
            <w:shd w:val="clear" w:color="auto" w:fill="auto"/>
          </w:tcPr>
          <w:p w14:paraId="6F7592E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司法院函送111年第2季辦理政策及業務宣導之執行情形表，請查照案。</w:t>
            </w:r>
          </w:p>
        </w:tc>
        <w:tc>
          <w:tcPr>
            <w:tcW w:w="1995" w:type="dxa"/>
            <w:shd w:val="clear" w:color="auto" w:fill="auto"/>
          </w:tcPr>
          <w:p w14:paraId="0C91FC0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577EEE2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3B8395A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4210093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C3D967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50A1DF8" w14:textId="77777777" w:rsidTr="006612A0">
        <w:tc>
          <w:tcPr>
            <w:tcW w:w="575" w:type="dxa"/>
            <w:shd w:val="clear" w:color="auto" w:fill="auto"/>
          </w:tcPr>
          <w:p w14:paraId="0DEF934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166</w:t>
            </w:r>
          </w:p>
        </w:tc>
        <w:tc>
          <w:tcPr>
            <w:tcW w:w="2562" w:type="dxa"/>
            <w:shd w:val="clear" w:color="auto" w:fill="auto"/>
          </w:tcPr>
          <w:p w14:paraId="3AF0B2D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司法院函送111年第3季辦理政策及業務宣導之執行情形表，請查照案。</w:t>
            </w:r>
          </w:p>
        </w:tc>
        <w:tc>
          <w:tcPr>
            <w:tcW w:w="1995" w:type="dxa"/>
            <w:shd w:val="clear" w:color="auto" w:fill="auto"/>
          </w:tcPr>
          <w:p w14:paraId="3F0A1C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01EC9E4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6D80B7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7E03DC1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51F18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2F92FA" w14:textId="77777777" w:rsidTr="006612A0">
        <w:tc>
          <w:tcPr>
            <w:tcW w:w="575" w:type="dxa"/>
            <w:shd w:val="clear" w:color="auto" w:fill="auto"/>
          </w:tcPr>
          <w:p w14:paraId="302C8FC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167</w:t>
            </w:r>
          </w:p>
        </w:tc>
        <w:tc>
          <w:tcPr>
            <w:tcW w:w="2562" w:type="dxa"/>
            <w:shd w:val="clear" w:color="auto" w:fill="auto"/>
          </w:tcPr>
          <w:p w14:paraId="3894B99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司法院函送111年度截至第3季止之「公務預算對民間團體及個人補（捐）助經費彙總表」，請查照案。</w:t>
            </w:r>
          </w:p>
        </w:tc>
        <w:tc>
          <w:tcPr>
            <w:tcW w:w="1995" w:type="dxa"/>
            <w:shd w:val="clear" w:color="auto" w:fill="auto"/>
          </w:tcPr>
          <w:p w14:paraId="3CA05F5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6F779BF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5AA77ED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66B9E0C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3F1615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C24D8D" w14:textId="77777777" w:rsidTr="006612A0">
        <w:tc>
          <w:tcPr>
            <w:tcW w:w="575" w:type="dxa"/>
            <w:shd w:val="clear" w:color="auto" w:fill="auto"/>
          </w:tcPr>
          <w:p w14:paraId="62267B4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168</w:t>
            </w:r>
          </w:p>
        </w:tc>
        <w:tc>
          <w:tcPr>
            <w:tcW w:w="2562" w:type="dxa"/>
            <w:shd w:val="clear" w:color="auto" w:fill="auto"/>
          </w:tcPr>
          <w:p w14:paraId="79533EC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法務部函送111年第2</w:t>
            </w:r>
            <w:r w:rsidRPr="00026143">
              <w:rPr>
                <w:rFonts w:ascii="標楷體" w:eastAsia="標楷體" w:hAnsi="標楷體"/>
                <w:color w:val="000000" w:themeColor="text1"/>
              </w:rPr>
              <w:lastRenderedPageBreak/>
              <w:t>季中央政府預算補助社會團體、人民團體、財團法人及個人之補助經費概況表，請查照案。</w:t>
            </w:r>
          </w:p>
        </w:tc>
        <w:tc>
          <w:tcPr>
            <w:tcW w:w="1995" w:type="dxa"/>
            <w:shd w:val="clear" w:color="auto" w:fill="auto"/>
          </w:tcPr>
          <w:p w14:paraId="099D6F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法務部 </w:t>
            </w:r>
          </w:p>
          <w:p w14:paraId="77B8511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111.12.23 </w:t>
            </w:r>
          </w:p>
          <w:p w14:paraId="750C47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7313AFE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657" w:type="dxa"/>
            <w:shd w:val="clear" w:color="auto" w:fill="auto"/>
          </w:tcPr>
          <w:p w14:paraId="555075C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4DA4216" w14:textId="77777777" w:rsidTr="006612A0">
        <w:tc>
          <w:tcPr>
            <w:tcW w:w="575" w:type="dxa"/>
            <w:shd w:val="clear" w:color="auto" w:fill="auto"/>
          </w:tcPr>
          <w:p w14:paraId="5B25C4E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169</w:t>
            </w:r>
          </w:p>
        </w:tc>
        <w:tc>
          <w:tcPr>
            <w:tcW w:w="2562" w:type="dxa"/>
            <w:shd w:val="clear" w:color="auto" w:fill="auto"/>
          </w:tcPr>
          <w:p w14:paraId="5300CCD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法務部函送111年第2季辦理政策及業務宣導之執行情形表，請查照案。</w:t>
            </w:r>
          </w:p>
        </w:tc>
        <w:tc>
          <w:tcPr>
            <w:tcW w:w="1995" w:type="dxa"/>
            <w:shd w:val="clear" w:color="auto" w:fill="auto"/>
          </w:tcPr>
          <w:p w14:paraId="60BED0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134670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111.12.23</w:t>
            </w:r>
          </w:p>
          <w:p w14:paraId="1051D4A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2E5843A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B28BCA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082F7F5" w14:textId="77777777" w:rsidTr="006612A0">
        <w:tc>
          <w:tcPr>
            <w:tcW w:w="575" w:type="dxa"/>
            <w:shd w:val="clear" w:color="auto" w:fill="auto"/>
          </w:tcPr>
          <w:p w14:paraId="342623A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170</w:t>
            </w:r>
          </w:p>
        </w:tc>
        <w:tc>
          <w:tcPr>
            <w:tcW w:w="2562" w:type="dxa"/>
            <w:shd w:val="clear" w:color="auto" w:fill="auto"/>
          </w:tcPr>
          <w:p w14:paraId="3632997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法務部函送111年第3季中央政府預算補助社會團體、人民團體、財團法人及個人之補助經費概況表，請查照案。</w:t>
            </w:r>
          </w:p>
        </w:tc>
        <w:tc>
          <w:tcPr>
            <w:tcW w:w="1995" w:type="dxa"/>
            <w:shd w:val="clear" w:color="auto" w:fill="auto"/>
          </w:tcPr>
          <w:p w14:paraId="4E35E48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48D3D1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396DE6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482D2D6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8347BE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9C4C3B2" w14:textId="77777777" w:rsidTr="006612A0">
        <w:tc>
          <w:tcPr>
            <w:tcW w:w="575" w:type="dxa"/>
            <w:shd w:val="clear" w:color="auto" w:fill="auto"/>
          </w:tcPr>
          <w:p w14:paraId="1B6F491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171</w:t>
            </w:r>
          </w:p>
        </w:tc>
        <w:tc>
          <w:tcPr>
            <w:tcW w:w="2562" w:type="dxa"/>
            <w:shd w:val="clear" w:color="auto" w:fill="auto"/>
          </w:tcPr>
          <w:p w14:paraId="175313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總統府函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為111年度中央政府總預算決議，檢送決議（五）、（七）、（九）、（十五）至（十八）書面報告，請查照案。</w:t>
            </w:r>
          </w:p>
        </w:tc>
        <w:tc>
          <w:tcPr>
            <w:tcW w:w="1995" w:type="dxa"/>
            <w:shd w:val="clear" w:color="auto" w:fill="auto"/>
          </w:tcPr>
          <w:p w14:paraId="693043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總統府 </w:t>
            </w:r>
          </w:p>
          <w:p w14:paraId="7B9ADF5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7F76016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6D20209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48EEA7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69611B0" w14:textId="77777777" w:rsidTr="006612A0">
        <w:tc>
          <w:tcPr>
            <w:tcW w:w="575" w:type="dxa"/>
            <w:shd w:val="clear" w:color="auto" w:fill="auto"/>
          </w:tcPr>
          <w:p w14:paraId="0C946AEB"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172</w:t>
            </w:r>
          </w:p>
        </w:tc>
        <w:tc>
          <w:tcPr>
            <w:tcW w:w="2562" w:type="dxa"/>
            <w:shd w:val="clear" w:color="auto" w:fill="auto"/>
          </w:tcPr>
          <w:p w14:paraId="34D6788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銓敘部函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為111年度中央政府總預算決議，檢送「公務人員現行年金(月退休金)給付計算方式能否真實呈現所得替代率檢討分析書面報告」</w:t>
            </w:r>
            <w:r w:rsidRPr="00026143">
              <w:rPr>
                <w:rFonts w:ascii="標楷體" w:eastAsia="標楷體" w:hAnsi="標楷體" w:hint="eastAsia"/>
                <w:color w:val="000000" w:themeColor="text1"/>
              </w:rPr>
              <w:t>，</w:t>
            </w:r>
            <w:r w:rsidRPr="00026143">
              <w:rPr>
                <w:rFonts w:ascii="標楷體" w:eastAsia="標楷體" w:hAnsi="標楷體"/>
                <w:color w:val="000000" w:themeColor="text1"/>
              </w:rPr>
              <w:t>請查照案。</w:t>
            </w:r>
          </w:p>
        </w:tc>
        <w:tc>
          <w:tcPr>
            <w:tcW w:w="1995" w:type="dxa"/>
            <w:shd w:val="clear" w:color="auto" w:fill="auto"/>
          </w:tcPr>
          <w:p w14:paraId="22DAFE5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銓敘部 </w:t>
            </w:r>
          </w:p>
          <w:p w14:paraId="465BBF3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111.12.23</w:t>
            </w:r>
          </w:p>
          <w:p w14:paraId="48C2C37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72D1B86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29CDB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21F3A9C" w14:textId="77777777" w:rsidTr="006612A0">
        <w:tc>
          <w:tcPr>
            <w:tcW w:w="575" w:type="dxa"/>
            <w:shd w:val="clear" w:color="auto" w:fill="auto"/>
          </w:tcPr>
          <w:p w14:paraId="4631320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173</w:t>
            </w:r>
          </w:p>
        </w:tc>
        <w:tc>
          <w:tcPr>
            <w:tcW w:w="2562" w:type="dxa"/>
            <w:shd w:val="clear" w:color="auto" w:fill="auto"/>
          </w:tcPr>
          <w:p w14:paraId="68590D0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銓敘部函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為111年度中央政府總預算決議，檢送「公務人員退休撫卹基金中長期財務規劃因應方案」，請查照案。</w:t>
            </w:r>
          </w:p>
        </w:tc>
        <w:tc>
          <w:tcPr>
            <w:tcW w:w="1995" w:type="dxa"/>
            <w:shd w:val="clear" w:color="auto" w:fill="auto"/>
          </w:tcPr>
          <w:p w14:paraId="3B54F7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銓敘部 </w:t>
            </w:r>
          </w:p>
          <w:p w14:paraId="459826B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111.12.23</w:t>
            </w:r>
          </w:p>
          <w:p w14:paraId="7913046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699C411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A7A55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3A33CEF" w14:textId="77777777" w:rsidTr="006612A0">
        <w:tc>
          <w:tcPr>
            <w:tcW w:w="575" w:type="dxa"/>
            <w:shd w:val="clear" w:color="auto" w:fill="auto"/>
          </w:tcPr>
          <w:p w14:paraId="731831A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174</w:t>
            </w:r>
          </w:p>
        </w:tc>
        <w:tc>
          <w:tcPr>
            <w:tcW w:w="2562" w:type="dxa"/>
            <w:shd w:val="clear" w:color="auto" w:fill="auto"/>
          </w:tcPr>
          <w:p w14:paraId="0236FD9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為111年度中央政府總預算決議，檢送該會決議（十八）書面報告，請查照案。</w:t>
            </w:r>
          </w:p>
        </w:tc>
        <w:tc>
          <w:tcPr>
            <w:tcW w:w="1995" w:type="dxa"/>
            <w:shd w:val="clear" w:color="auto" w:fill="auto"/>
          </w:tcPr>
          <w:p w14:paraId="12AA41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28ADE99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32E6638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4B85E61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AD8362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AFD9A2" w14:textId="77777777" w:rsidTr="006612A0">
        <w:tc>
          <w:tcPr>
            <w:tcW w:w="575" w:type="dxa"/>
            <w:shd w:val="clear" w:color="auto" w:fill="auto"/>
          </w:tcPr>
          <w:p w14:paraId="2865558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175</w:t>
            </w:r>
          </w:p>
        </w:tc>
        <w:tc>
          <w:tcPr>
            <w:tcW w:w="2562" w:type="dxa"/>
            <w:shd w:val="clear" w:color="auto" w:fill="auto"/>
          </w:tcPr>
          <w:p w14:paraId="528FA29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為111年度中央政府總預算決議，檢送該會決議（七）臺灣省黨部文件系列檔案移歸國家發展委員會書面</w:t>
            </w:r>
            <w:r w:rsidRPr="00026143">
              <w:rPr>
                <w:rFonts w:ascii="標楷體" w:eastAsia="標楷體" w:hAnsi="標楷體"/>
                <w:color w:val="000000" w:themeColor="text1"/>
              </w:rPr>
              <w:lastRenderedPageBreak/>
              <w:t>報告，請查照案。</w:t>
            </w:r>
          </w:p>
        </w:tc>
        <w:tc>
          <w:tcPr>
            <w:tcW w:w="1995" w:type="dxa"/>
            <w:shd w:val="clear" w:color="auto" w:fill="auto"/>
          </w:tcPr>
          <w:p w14:paraId="6B5D66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促進轉型正義委員會 </w:t>
            </w:r>
          </w:p>
          <w:p w14:paraId="7938E34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1674BC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1771E38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733AE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B18E83E" w14:textId="77777777" w:rsidTr="006612A0">
        <w:tc>
          <w:tcPr>
            <w:tcW w:w="575" w:type="dxa"/>
            <w:shd w:val="clear" w:color="auto" w:fill="auto"/>
          </w:tcPr>
          <w:p w14:paraId="493D11A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176</w:t>
            </w:r>
          </w:p>
        </w:tc>
        <w:tc>
          <w:tcPr>
            <w:tcW w:w="2562" w:type="dxa"/>
            <w:shd w:val="clear" w:color="auto" w:fill="auto"/>
          </w:tcPr>
          <w:p w14:paraId="46DA88B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為111年度中央政府總預算決議，檢送該會決議（八）公布特定威權受害者監控行為之決策者與監督者書面報告，請查照案。</w:t>
            </w:r>
          </w:p>
        </w:tc>
        <w:tc>
          <w:tcPr>
            <w:tcW w:w="1995" w:type="dxa"/>
            <w:shd w:val="clear" w:color="auto" w:fill="auto"/>
          </w:tcPr>
          <w:p w14:paraId="48BC6B1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7F642B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40ECE7D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5B86E1F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097D02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69595E3" w14:textId="77777777" w:rsidTr="006612A0">
        <w:tc>
          <w:tcPr>
            <w:tcW w:w="575" w:type="dxa"/>
            <w:shd w:val="clear" w:color="auto" w:fill="auto"/>
          </w:tcPr>
          <w:p w14:paraId="4592735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177</w:t>
            </w:r>
          </w:p>
        </w:tc>
        <w:tc>
          <w:tcPr>
            <w:tcW w:w="2562" w:type="dxa"/>
            <w:shd w:val="clear" w:color="auto" w:fill="auto"/>
          </w:tcPr>
          <w:p w14:paraId="1E5F516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為111年度中央政府總預算決議，檢送該會決議（九）轉型正義工作常態化書面報告，請查照案。</w:t>
            </w:r>
          </w:p>
        </w:tc>
        <w:tc>
          <w:tcPr>
            <w:tcW w:w="1995" w:type="dxa"/>
            <w:shd w:val="clear" w:color="auto" w:fill="auto"/>
          </w:tcPr>
          <w:p w14:paraId="49C3C2B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7612244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31066E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5EDAE16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E05FB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6594413" w14:textId="77777777" w:rsidTr="006612A0">
        <w:tc>
          <w:tcPr>
            <w:tcW w:w="575" w:type="dxa"/>
            <w:shd w:val="clear" w:color="auto" w:fill="auto"/>
          </w:tcPr>
          <w:p w14:paraId="03A3DE1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178</w:t>
            </w:r>
          </w:p>
        </w:tc>
        <w:tc>
          <w:tcPr>
            <w:tcW w:w="2562" w:type="dxa"/>
            <w:shd w:val="clear" w:color="auto" w:fill="auto"/>
          </w:tcPr>
          <w:p w14:paraId="408CBE4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為111年度中央政府總預算決議，檢送該會決議（十六）機關未來如何轉型書面報告，請查照案。</w:t>
            </w:r>
          </w:p>
        </w:tc>
        <w:tc>
          <w:tcPr>
            <w:tcW w:w="1995" w:type="dxa"/>
            <w:shd w:val="clear" w:color="auto" w:fill="auto"/>
          </w:tcPr>
          <w:p w14:paraId="726D598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68115E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7D5B6EF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37BDB08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32A3C5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BF70246" w14:textId="77777777" w:rsidTr="006612A0">
        <w:tc>
          <w:tcPr>
            <w:tcW w:w="575" w:type="dxa"/>
            <w:shd w:val="clear" w:color="auto" w:fill="auto"/>
          </w:tcPr>
          <w:p w14:paraId="2995536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179</w:t>
            </w:r>
          </w:p>
        </w:tc>
        <w:tc>
          <w:tcPr>
            <w:tcW w:w="2562" w:type="dxa"/>
            <w:shd w:val="clear" w:color="auto" w:fill="auto"/>
          </w:tcPr>
          <w:p w14:paraId="60ADD10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為111年度中央政府總預算決議，檢送該會決議（二十）「中正勳章」是否屬於威權象徵書面報告，請查照案。</w:t>
            </w:r>
          </w:p>
        </w:tc>
        <w:tc>
          <w:tcPr>
            <w:tcW w:w="1995" w:type="dxa"/>
            <w:shd w:val="clear" w:color="auto" w:fill="auto"/>
          </w:tcPr>
          <w:p w14:paraId="0739E29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52B664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3A2F760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49CF175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28C07F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B66D201" w14:textId="77777777" w:rsidTr="006612A0">
        <w:tc>
          <w:tcPr>
            <w:tcW w:w="575" w:type="dxa"/>
            <w:shd w:val="clear" w:color="auto" w:fill="auto"/>
          </w:tcPr>
          <w:p w14:paraId="4E1F3D5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180</w:t>
            </w:r>
          </w:p>
        </w:tc>
        <w:tc>
          <w:tcPr>
            <w:tcW w:w="2562" w:type="dxa"/>
            <w:shd w:val="clear" w:color="auto" w:fill="auto"/>
          </w:tcPr>
          <w:p w14:paraId="1F8089C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為111年度中央政府總預算決議，檢送該會決議（二十一）「采玉大勳章」具體設立緣由書面報告，請查照案。</w:t>
            </w:r>
          </w:p>
        </w:tc>
        <w:tc>
          <w:tcPr>
            <w:tcW w:w="1995" w:type="dxa"/>
            <w:shd w:val="clear" w:color="auto" w:fill="auto"/>
          </w:tcPr>
          <w:p w14:paraId="213224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1BB41B1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677F283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1436223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BCC65B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568E4C1" w14:textId="77777777" w:rsidTr="006612A0">
        <w:tc>
          <w:tcPr>
            <w:tcW w:w="575" w:type="dxa"/>
            <w:shd w:val="clear" w:color="auto" w:fill="auto"/>
          </w:tcPr>
          <w:p w14:paraId="629356F0"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181</w:t>
            </w:r>
          </w:p>
        </w:tc>
        <w:tc>
          <w:tcPr>
            <w:tcW w:w="2562" w:type="dxa"/>
            <w:shd w:val="clear" w:color="auto" w:fill="auto"/>
          </w:tcPr>
          <w:p w14:paraId="497B28A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促進轉型正義委員會函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為111年度中央政府總預算決議，檢送該會決議（二十二）三軍儀隊撤離中正紀念堂之政策建議書面報告，請查照案。</w:t>
            </w:r>
          </w:p>
        </w:tc>
        <w:tc>
          <w:tcPr>
            <w:tcW w:w="1995" w:type="dxa"/>
            <w:shd w:val="clear" w:color="auto" w:fill="auto"/>
          </w:tcPr>
          <w:p w14:paraId="14D364F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促進轉型正義委員會 </w:t>
            </w:r>
          </w:p>
          <w:p w14:paraId="0CD5FAF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080A241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08171C9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79B1647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65D46BA" w14:textId="77777777" w:rsidTr="006612A0">
        <w:tc>
          <w:tcPr>
            <w:tcW w:w="575" w:type="dxa"/>
            <w:shd w:val="clear" w:color="auto" w:fill="auto"/>
          </w:tcPr>
          <w:p w14:paraId="441C95C2"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182</w:t>
            </w:r>
          </w:p>
        </w:tc>
        <w:tc>
          <w:tcPr>
            <w:tcW w:w="2562" w:type="dxa"/>
            <w:shd w:val="clear" w:color="auto" w:fill="auto"/>
          </w:tcPr>
          <w:p w14:paraId="17A9FE8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監察院函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w:t>
            </w:r>
            <w:r w:rsidRPr="00026143">
              <w:rPr>
                <w:rFonts w:ascii="標楷體" w:eastAsia="標楷體" w:hAnsi="標楷體" w:hint="eastAsia"/>
                <w:color w:val="000000" w:themeColor="text1"/>
              </w:rPr>
              <w:t>，</w:t>
            </w:r>
            <w:r w:rsidRPr="00026143">
              <w:rPr>
                <w:rFonts w:ascii="標楷體" w:eastAsia="標楷體" w:hAnsi="標楷體"/>
                <w:color w:val="000000" w:themeColor="text1"/>
              </w:rPr>
              <w:t>檢送歲出第6款第1項決議（十五）書面報告，請查照案。</w:t>
            </w:r>
          </w:p>
        </w:tc>
        <w:tc>
          <w:tcPr>
            <w:tcW w:w="1995" w:type="dxa"/>
            <w:shd w:val="clear" w:color="auto" w:fill="auto"/>
          </w:tcPr>
          <w:p w14:paraId="6F9767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監察院 </w:t>
            </w:r>
          </w:p>
          <w:p w14:paraId="1E6D520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62F00E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2E5F092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0EEE486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42CCC2F" w14:textId="77777777" w:rsidTr="006612A0">
        <w:tc>
          <w:tcPr>
            <w:tcW w:w="575" w:type="dxa"/>
            <w:shd w:val="clear" w:color="auto" w:fill="auto"/>
          </w:tcPr>
          <w:p w14:paraId="236F3233"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183</w:t>
            </w:r>
          </w:p>
        </w:tc>
        <w:tc>
          <w:tcPr>
            <w:tcW w:w="2562" w:type="dxa"/>
            <w:shd w:val="clear" w:color="auto" w:fill="auto"/>
          </w:tcPr>
          <w:p w14:paraId="7BE5A63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為111年度中央政府總預算決議，檢送該部廉政署通過決議事項相關書面報告，請查照案。</w:t>
            </w:r>
          </w:p>
        </w:tc>
        <w:tc>
          <w:tcPr>
            <w:tcW w:w="1995" w:type="dxa"/>
            <w:shd w:val="clear" w:color="auto" w:fill="auto"/>
          </w:tcPr>
          <w:p w14:paraId="3425939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209B25E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7B0ABF6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665E99A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5638980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0AD7D7" w14:textId="77777777" w:rsidTr="006612A0">
        <w:tc>
          <w:tcPr>
            <w:tcW w:w="575" w:type="dxa"/>
            <w:shd w:val="clear" w:color="auto" w:fill="auto"/>
          </w:tcPr>
          <w:p w14:paraId="55A21525"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184</w:t>
            </w:r>
          </w:p>
        </w:tc>
        <w:tc>
          <w:tcPr>
            <w:tcW w:w="2562" w:type="dxa"/>
            <w:shd w:val="clear" w:color="auto" w:fill="auto"/>
          </w:tcPr>
          <w:p w14:paraId="4611FFC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w:t>
            </w:r>
            <w:r w:rsidRPr="00026143">
              <w:rPr>
                <w:rFonts w:ascii="標楷體" w:eastAsia="標楷體" w:hAnsi="標楷體" w:hint="eastAsia"/>
                <w:color w:val="000000" w:themeColor="text1"/>
              </w:rPr>
              <w:t>，</w:t>
            </w:r>
            <w:r w:rsidRPr="00026143">
              <w:rPr>
                <w:rFonts w:ascii="標楷體" w:eastAsia="標楷體" w:hAnsi="標楷體"/>
                <w:color w:val="000000" w:themeColor="text1"/>
              </w:rPr>
              <w:t>為111年度中央政府總預算決議，檢送第12款第5項決議（三十）書面報告，請查照案。</w:t>
            </w:r>
          </w:p>
        </w:tc>
        <w:tc>
          <w:tcPr>
            <w:tcW w:w="1995" w:type="dxa"/>
            <w:shd w:val="clear" w:color="auto" w:fill="auto"/>
          </w:tcPr>
          <w:p w14:paraId="3B8DB51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4668A6E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111.12.23 </w:t>
            </w:r>
          </w:p>
          <w:p w14:paraId="37D859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（10-6-13）</w:t>
            </w:r>
          </w:p>
        </w:tc>
        <w:tc>
          <w:tcPr>
            <w:tcW w:w="1597" w:type="dxa"/>
            <w:shd w:val="clear" w:color="auto" w:fill="auto"/>
          </w:tcPr>
          <w:p w14:paraId="01E9366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6AD7E8C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D6591A9" w14:textId="77777777" w:rsidTr="006612A0">
        <w:tc>
          <w:tcPr>
            <w:tcW w:w="575" w:type="dxa"/>
            <w:shd w:val="clear" w:color="auto" w:fill="auto"/>
          </w:tcPr>
          <w:p w14:paraId="53073C1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185</w:t>
            </w:r>
          </w:p>
        </w:tc>
        <w:tc>
          <w:tcPr>
            <w:tcW w:w="2562" w:type="dxa"/>
            <w:shd w:val="clear" w:color="auto" w:fill="auto"/>
          </w:tcPr>
          <w:p w14:paraId="5798B78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法務部函送111年第3季辦理政策及業務宣導之執行情形表，請查照案。</w:t>
            </w:r>
          </w:p>
        </w:tc>
        <w:tc>
          <w:tcPr>
            <w:tcW w:w="1995" w:type="dxa"/>
            <w:shd w:val="clear" w:color="auto" w:fill="auto"/>
          </w:tcPr>
          <w:p w14:paraId="18C5EEA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7C61DF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112.01.09 </w:t>
            </w:r>
          </w:p>
          <w:p w14:paraId="51BB9F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（10-6-15）</w:t>
            </w:r>
          </w:p>
        </w:tc>
        <w:tc>
          <w:tcPr>
            <w:tcW w:w="1597" w:type="dxa"/>
            <w:shd w:val="clear" w:color="auto" w:fill="auto"/>
          </w:tcPr>
          <w:p w14:paraId="25CFEBA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657" w:type="dxa"/>
            <w:shd w:val="clear" w:color="auto" w:fill="auto"/>
          </w:tcPr>
          <w:p w14:paraId="3490ADB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2C91D91C" w14:textId="77777777" w:rsidR="00EC13B7" w:rsidRPr="00026143" w:rsidRDefault="00EC13B7" w:rsidP="007932B9">
      <w:pPr>
        <w:pStyle w:val="1-6"/>
        <w:kinsoku w:val="0"/>
        <w:wordWrap w:val="0"/>
        <w:topLinePunct/>
        <w:spacing w:beforeLines="150" w:before="540" w:afterLines="100" w:after="360" w:line="260" w:lineRule="exact"/>
        <w:ind w:left="1441" w:hanging="1157"/>
        <w:jc w:val="left"/>
        <w:textAlignment w:val="top"/>
        <w:outlineLvl w:val="1"/>
        <w:rPr>
          <w:color w:val="000000" w:themeColor="text1"/>
        </w:rPr>
      </w:pPr>
      <w:bookmarkStart w:id="466" w:name="_Toc361217377"/>
      <w:bookmarkStart w:id="467" w:name="_Toc362968437"/>
      <w:bookmarkStart w:id="468" w:name="_Toc428287004"/>
      <w:bookmarkStart w:id="469" w:name="_Toc1401104"/>
      <w:bookmarkStart w:id="470" w:name="_Toc96350543"/>
      <w:bookmarkStart w:id="471" w:name="_Toc361217376"/>
      <w:bookmarkStart w:id="472" w:name="_Toc362968436"/>
      <w:bookmarkStart w:id="473" w:name="_Toc428287003"/>
      <w:bookmarkStart w:id="474" w:name="_Toc1401103"/>
      <w:r w:rsidRPr="00026143">
        <w:rPr>
          <w:color w:val="000000" w:themeColor="text1"/>
        </w:rPr>
        <w:t>〔</w:t>
      </w:r>
      <w:r w:rsidRPr="00026143">
        <w:rPr>
          <w:rFonts w:hint="eastAsia"/>
          <w:color w:val="000000" w:themeColor="text1"/>
        </w:rPr>
        <w:t>參</w:t>
      </w:r>
      <w:r w:rsidRPr="00026143">
        <w:rPr>
          <w:color w:val="000000" w:themeColor="text1"/>
        </w:rPr>
        <w:t>〕行政命令案</w:t>
      </w:r>
      <w:r w:rsidRPr="00026143">
        <w:rPr>
          <w:rFonts w:hint="eastAsia"/>
          <w:color w:val="000000" w:themeColor="text1"/>
        </w:rPr>
        <w:t>30</w:t>
      </w:r>
      <w:r w:rsidRPr="00026143">
        <w:rPr>
          <w:color w:val="000000" w:themeColor="text1"/>
        </w:rPr>
        <w:t>案</w:t>
      </w:r>
      <w:bookmarkEnd w:id="466"/>
      <w:bookmarkEnd w:id="467"/>
      <w:bookmarkEnd w:id="468"/>
      <w:bookmarkEnd w:id="469"/>
      <w:bookmarkEnd w:id="470"/>
    </w:p>
    <w:tbl>
      <w:tblPr>
        <w:tblW w:w="8442"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5"/>
        <w:gridCol w:w="2436"/>
        <w:gridCol w:w="1990"/>
        <w:gridCol w:w="1700"/>
        <w:gridCol w:w="1741"/>
      </w:tblGrid>
      <w:tr w:rsidR="00EC13B7" w:rsidRPr="00026143" w14:paraId="08EF7633" w14:textId="77777777" w:rsidTr="004E6426">
        <w:tc>
          <w:tcPr>
            <w:tcW w:w="575" w:type="dxa"/>
            <w:shd w:val="clear" w:color="auto" w:fill="auto"/>
          </w:tcPr>
          <w:p w14:paraId="7242E368" w14:textId="77777777" w:rsidR="00EC13B7" w:rsidRPr="00026143" w:rsidRDefault="00EC13B7" w:rsidP="003F057E">
            <w:pPr>
              <w:kinsoku w:val="0"/>
              <w:topLinePunct/>
              <w:adjustRightInd w:val="0"/>
              <w:snapToGrid w:val="0"/>
              <w:spacing w:line="300" w:lineRule="exact"/>
              <w:ind w:leftChars="-48" w:left="-79" w:rightChars="-50" w:right="-120" w:hangingChars="15" w:hanging="36"/>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436" w:type="dxa"/>
            <w:shd w:val="clear" w:color="auto" w:fill="auto"/>
          </w:tcPr>
          <w:p w14:paraId="0B1AFDA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1990" w:type="dxa"/>
            <w:shd w:val="clear" w:color="auto" w:fill="auto"/>
          </w:tcPr>
          <w:p w14:paraId="2580ABE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提案機關、院會交付日期(會次)</w:t>
            </w:r>
          </w:p>
        </w:tc>
        <w:tc>
          <w:tcPr>
            <w:tcW w:w="1700" w:type="dxa"/>
            <w:shd w:val="clear" w:color="auto" w:fill="auto"/>
          </w:tcPr>
          <w:p w14:paraId="544EBEE3"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741" w:type="dxa"/>
            <w:shd w:val="clear" w:color="auto" w:fill="auto"/>
          </w:tcPr>
          <w:p w14:paraId="6BFDF6BC"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23238057" w14:textId="77777777" w:rsidTr="004E6426">
        <w:tc>
          <w:tcPr>
            <w:tcW w:w="575" w:type="dxa"/>
            <w:shd w:val="clear" w:color="auto" w:fill="auto"/>
          </w:tcPr>
          <w:p w14:paraId="65962538"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w:t>
            </w:r>
          </w:p>
        </w:tc>
        <w:tc>
          <w:tcPr>
            <w:tcW w:w="2436" w:type="dxa"/>
            <w:shd w:val="clear" w:color="auto" w:fill="auto"/>
          </w:tcPr>
          <w:p w14:paraId="4C1EB30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教育部函，為修正「公立學校教職員退休資遣撫卹條例施行細則」第七條及第一百二十九條條文，請查照案。</w:t>
            </w:r>
          </w:p>
        </w:tc>
        <w:tc>
          <w:tcPr>
            <w:tcW w:w="1990" w:type="dxa"/>
            <w:shd w:val="clear" w:color="auto" w:fill="auto"/>
          </w:tcPr>
          <w:p w14:paraId="50C6092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教育部 </w:t>
            </w:r>
          </w:p>
          <w:p w14:paraId="5859E43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110.10.08 </w:t>
            </w:r>
          </w:p>
          <w:p w14:paraId="0B9459D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（10-4-4）</w:t>
            </w:r>
          </w:p>
        </w:tc>
        <w:tc>
          <w:tcPr>
            <w:tcW w:w="1700" w:type="dxa"/>
            <w:shd w:val="clear" w:color="auto" w:fill="auto"/>
          </w:tcPr>
          <w:p w14:paraId="554824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741" w:type="dxa"/>
            <w:shd w:val="clear" w:color="auto" w:fill="auto"/>
          </w:tcPr>
          <w:p w14:paraId="4BBBFBB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017572E7"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111.09.23</w:t>
            </w:r>
          </w:p>
          <w:p w14:paraId="05B59BB7" w14:textId="46352FBE"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（10-6-1）展延</w:t>
            </w:r>
          </w:p>
        </w:tc>
      </w:tr>
      <w:tr w:rsidR="00EC13B7" w:rsidRPr="00026143" w14:paraId="68C54899" w14:textId="77777777" w:rsidTr="004E6426">
        <w:tc>
          <w:tcPr>
            <w:tcW w:w="575" w:type="dxa"/>
            <w:shd w:val="clear" w:color="auto" w:fill="auto"/>
          </w:tcPr>
          <w:p w14:paraId="23FF60AD"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w:t>
            </w:r>
          </w:p>
        </w:tc>
        <w:tc>
          <w:tcPr>
            <w:tcW w:w="2436" w:type="dxa"/>
            <w:shd w:val="clear" w:color="auto" w:fill="auto"/>
          </w:tcPr>
          <w:p w14:paraId="172C82E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行政院函，為中華民國110年5月26日制定公布之「國立臺灣歷史博物館組織法」及「國立臺灣文學館組織法」，定自110年10月17日施行，請查照案。</w:t>
            </w:r>
          </w:p>
        </w:tc>
        <w:tc>
          <w:tcPr>
            <w:tcW w:w="1990" w:type="dxa"/>
            <w:shd w:val="clear" w:color="auto" w:fill="auto"/>
          </w:tcPr>
          <w:p w14:paraId="21A57D6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 </w:t>
            </w:r>
          </w:p>
          <w:p w14:paraId="64C9A55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110.12.17 </w:t>
            </w:r>
          </w:p>
          <w:p w14:paraId="26D83C1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（10-4-14）</w:t>
            </w:r>
          </w:p>
        </w:tc>
        <w:tc>
          <w:tcPr>
            <w:tcW w:w="1700" w:type="dxa"/>
            <w:shd w:val="clear" w:color="auto" w:fill="auto"/>
          </w:tcPr>
          <w:p w14:paraId="5087120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741" w:type="dxa"/>
            <w:shd w:val="clear" w:color="auto" w:fill="auto"/>
          </w:tcPr>
          <w:p w14:paraId="68CA98A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732002F0"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111.09.23</w:t>
            </w:r>
          </w:p>
          <w:p w14:paraId="3F4F859A" w14:textId="37487E3F"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（10-6-1）展延</w:t>
            </w:r>
          </w:p>
        </w:tc>
      </w:tr>
      <w:tr w:rsidR="00EC13B7" w:rsidRPr="00026143" w14:paraId="14D7444E" w14:textId="77777777" w:rsidTr="004E6426">
        <w:tc>
          <w:tcPr>
            <w:tcW w:w="575" w:type="dxa"/>
            <w:shd w:val="clear" w:color="auto" w:fill="auto"/>
          </w:tcPr>
          <w:p w14:paraId="737F05B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3</w:t>
            </w:r>
          </w:p>
        </w:tc>
        <w:tc>
          <w:tcPr>
            <w:tcW w:w="2436" w:type="dxa"/>
            <w:shd w:val="clear" w:color="auto" w:fill="auto"/>
          </w:tcPr>
          <w:p w14:paraId="6B0C6D5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教育部函，為修正「教育部體育署處務規程」第四條、第五條、第十六條條文及「教育部體育署編制表」，請查照案。</w:t>
            </w:r>
          </w:p>
        </w:tc>
        <w:tc>
          <w:tcPr>
            <w:tcW w:w="1990" w:type="dxa"/>
            <w:shd w:val="clear" w:color="auto" w:fill="auto"/>
          </w:tcPr>
          <w:p w14:paraId="56CC881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教育部 </w:t>
            </w:r>
          </w:p>
          <w:p w14:paraId="7F8DA5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110.12.17 </w:t>
            </w:r>
          </w:p>
          <w:p w14:paraId="7807CDB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（10-4-14）</w:t>
            </w:r>
          </w:p>
        </w:tc>
        <w:tc>
          <w:tcPr>
            <w:tcW w:w="1700" w:type="dxa"/>
            <w:shd w:val="clear" w:color="auto" w:fill="auto"/>
          </w:tcPr>
          <w:p w14:paraId="5E6B382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司法及法制、教育及文化</w:t>
            </w:r>
          </w:p>
        </w:tc>
        <w:tc>
          <w:tcPr>
            <w:tcW w:w="1741" w:type="dxa"/>
            <w:shd w:val="clear" w:color="auto" w:fill="auto"/>
          </w:tcPr>
          <w:p w14:paraId="5255E7D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0B63C324"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111.09.23</w:t>
            </w:r>
          </w:p>
          <w:p w14:paraId="44ABFB5F" w14:textId="49A649A3"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（10-6-1）展延</w:t>
            </w:r>
          </w:p>
        </w:tc>
      </w:tr>
      <w:tr w:rsidR="00EC13B7" w:rsidRPr="00026143" w14:paraId="3EC1730A" w14:textId="77777777" w:rsidTr="004E6426">
        <w:tc>
          <w:tcPr>
            <w:tcW w:w="575" w:type="dxa"/>
            <w:shd w:val="clear" w:color="auto" w:fill="auto"/>
          </w:tcPr>
          <w:p w14:paraId="2164212E"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p>
        </w:tc>
        <w:tc>
          <w:tcPr>
            <w:tcW w:w="2436" w:type="dxa"/>
            <w:shd w:val="clear" w:color="auto" w:fill="auto"/>
          </w:tcPr>
          <w:p w14:paraId="1959A81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司法院函送「國民法官費用支給辦法」，請查照案。</w:t>
            </w:r>
          </w:p>
        </w:tc>
        <w:tc>
          <w:tcPr>
            <w:tcW w:w="1990" w:type="dxa"/>
            <w:shd w:val="clear" w:color="auto" w:fill="auto"/>
          </w:tcPr>
          <w:p w14:paraId="1F91838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司法院 </w:t>
            </w:r>
          </w:p>
          <w:p w14:paraId="2C6F5C0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111.03.18 </w:t>
            </w:r>
          </w:p>
          <w:p w14:paraId="472998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（10-5-4）</w:t>
            </w:r>
          </w:p>
        </w:tc>
        <w:tc>
          <w:tcPr>
            <w:tcW w:w="1700" w:type="dxa"/>
            <w:shd w:val="clear" w:color="auto" w:fill="auto"/>
          </w:tcPr>
          <w:p w14:paraId="21D16B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7A242ED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30F65BBD"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111.11.25</w:t>
            </w:r>
          </w:p>
          <w:p w14:paraId="5926C0DB" w14:textId="2511A512"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（10-6-9）展延</w:t>
            </w:r>
          </w:p>
        </w:tc>
      </w:tr>
      <w:tr w:rsidR="00EC13B7" w:rsidRPr="00026143" w14:paraId="230A3017" w14:textId="77777777" w:rsidTr="004E6426">
        <w:tc>
          <w:tcPr>
            <w:tcW w:w="575" w:type="dxa"/>
            <w:shd w:val="clear" w:color="auto" w:fill="auto"/>
          </w:tcPr>
          <w:p w14:paraId="1E672C8A"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w:t>
            </w:r>
          </w:p>
        </w:tc>
        <w:tc>
          <w:tcPr>
            <w:tcW w:w="2436" w:type="dxa"/>
            <w:shd w:val="clear" w:color="auto" w:fill="auto"/>
          </w:tcPr>
          <w:p w14:paraId="77245EC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司法院函送「憲法法庭閱卷規則」，請查照案。</w:t>
            </w:r>
          </w:p>
        </w:tc>
        <w:tc>
          <w:tcPr>
            <w:tcW w:w="1990" w:type="dxa"/>
            <w:shd w:val="clear" w:color="auto" w:fill="auto"/>
          </w:tcPr>
          <w:p w14:paraId="4955F9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司法院 </w:t>
            </w:r>
          </w:p>
          <w:p w14:paraId="0248D6C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111.03.18 </w:t>
            </w:r>
          </w:p>
          <w:p w14:paraId="3F63B2A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（10-5-4）</w:t>
            </w:r>
          </w:p>
        </w:tc>
        <w:tc>
          <w:tcPr>
            <w:tcW w:w="1700" w:type="dxa"/>
            <w:shd w:val="clear" w:color="auto" w:fill="auto"/>
          </w:tcPr>
          <w:p w14:paraId="6EC8C8B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27CA145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286107EF"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111.11.25</w:t>
            </w:r>
          </w:p>
          <w:p w14:paraId="0E7B1611" w14:textId="4F3B1352"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（10-6-9）展延</w:t>
            </w:r>
          </w:p>
        </w:tc>
      </w:tr>
      <w:tr w:rsidR="00EC13B7" w:rsidRPr="00026143" w14:paraId="16BF1309" w14:textId="77777777" w:rsidTr="004E6426">
        <w:tc>
          <w:tcPr>
            <w:tcW w:w="575" w:type="dxa"/>
            <w:shd w:val="clear" w:color="auto" w:fill="auto"/>
          </w:tcPr>
          <w:p w14:paraId="58E3B8B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6</w:t>
            </w:r>
          </w:p>
        </w:tc>
        <w:tc>
          <w:tcPr>
            <w:tcW w:w="2436" w:type="dxa"/>
            <w:shd w:val="clear" w:color="auto" w:fill="auto"/>
          </w:tcPr>
          <w:p w14:paraId="333361C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司法院函送「憲法訴訟書狀規則」，請查照案。</w:t>
            </w:r>
          </w:p>
        </w:tc>
        <w:tc>
          <w:tcPr>
            <w:tcW w:w="1990" w:type="dxa"/>
            <w:shd w:val="clear" w:color="auto" w:fill="auto"/>
          </w:tcPr>
          <w:p w14:paraId="553B33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司法院 </w:t>
            </w:r>
          </w:p>
          <w:p w14:paraId="5B268F4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111.03.18 </w:t>
            </w:r>
          </w:p>
          <w:p w14:paraId="71525E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（10-5-4）</w:t>
            </w:r>
          </w:p>
        </w:tc>
        <w:tc>
          <w:tcPr>
            <w:tcW w:w="1700" w:type="dxa"/>
            <w:shd w:val="clear" w:color="auto" w:fill="auto"/>
          </w:tcPr>
          <w:p w14:paraId="0001E19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6338820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4302B27D"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111.11.25</w:t>
            </w:r>
          </w:p>
          <w:p w14:paraId="09E0F90D" w14:textId="44210D29"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（10-6-9）展延</w:t>
            </w:r>
          </w:p>
        </w:tc>
      </w:tr>
      <w:tr w:rsidR="00EC13B7" w:rsidRPr="00026143" w14:paraId="76B1837E" w14:textId="77777777" w:rsidTr="004E6426">
        <w:tc>
          <w:tcPr>
            <w:tcW w:w="575" w:type="dxa"/>
            <w:shd w:val="clear" w:color="auto" w:fill="auto"/>
          </w:tcPr>
          <w:p w14:paraId="3B49F34C"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7</w:t>
            </w:r>
          </w:p>
        </w:tc>
        <w:tc>
          <w:tcPr>
            <w:tcW w:w="2436" w:type="dxa"/>
            <w:shd w:val="clear" w:color="auto" w:fill="auto"/>
          </w:tcPr>
          <w:p w14:paraId="1F0778D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司法院函送「憲法訴訟卷宗保管歸檔及保存辦法」，請查照案。</w:t>
            </w:r>
          </w:p>
        </w:tc>
        <w:tc>
          <w:tcPr>
            <w:tcW w:w="1990" w:type="dxa"/>
            <w:shd w:val="clear" w:color="auto" w:fill="auto"/>
          </w:tcPr>
          <w:p w14:paraId="7CB3757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司法院 </w:t>
            </w:r>
          </w:p>
          <w:p w14:paraId="0BAF551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111.03.18 </w:t>
            </w:r>
          </w:p>
          <w:p w14:paraId="60611A9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（10-5-4）</w:t>
            </w:r>
          </w:p>
        </w:tc>
        <w:tc>
          <w:tcPr>
            <w:tcW w:w="1700" w:type="dxa"/>
            <w:shd w:val="clear" w:color="auto" w:fill="auto"/>
          </w:tcPr>
          <w:p w14:paraId="08450F2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5C6258C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73D3E2CA"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111.11.25</w:t>
            </w:r>
          </w:p>
          <w:p w14:paraId="43F3AFF1" w14:textId="63D81614"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（10-6-9）展延</w:t>
            </w:r>
          </w:p>
        </w:tc>
      </w:tr>
      <w:tr w:rsidR="00EC13B7" w:rsidRPr="00026143" w14:paraId="480BDCDA" w14:textId="77777777" w:rsidTr="004E6426">
        <w:tc>
          <w:tcPr>
            <w:tcW w:w="575" w:type="dxa"/>
            <w:shd w:val="clear" w:color="auto" w:fill="auto"/>
          </w:tcPr>
          <w:p w14:paraId="130E7BE7"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8</w:t>
            </w:r>
          </w:p>
        </w:tc>
        <w:tc>
          <w:tcPr>
            <w:tcW w:w="2436" w:type="dxa"/>
            <w:shd w:val="clear" w:color="auto" w:fill="auto"/>
          </w:tcPr>
          <w:p w14:paraId="2DB3FB9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司法院函送「憲法法庭錄音錄影及其利用保存辦法」，請查照案。</w:t>
            </w:r>
          </w:p>
        </w:tc>
        <w:tc>
          <w:tcPr>
            <w:tcW w:w="1990" w:type="dxa"/>
            <w:shd w:val="clear" w:color="auto" w:fill="auto"/>
          </w:tcPr>
          <w:p w14:paraId="6CC7FCA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司法院 </w:t>
            </w:r>
          </w:p>
          <w:p w14:paraId="4F33F4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111.03.18 </w:t>
            </w:r>
          </w:p>
          <w:p w14:paraId="172B18A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（10-5-4）</w:t>
            </w:r>
          </w:p>
        </w:tc>
        <w:tc>
          <w:tcPr>
            <w:tcW w:w="1700" w:type="dxa"/>
            <w:shd w:val="clear" w:color="auto" w:fill="auto"/>
          </w:tcPr>
          <w:p w14:paraId="6B5E4C6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1BA62E6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703B1022"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111.11.25</w:t>
            </w:r>
          </w:p>
          <w:p w14:paraId="514E6880" w14:textId="3BDEDFC3"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（10-6-9）展延</w:t>
            </w:r>
          </w:p>
        </w:tc>
      </w:tr>
      <w:tr w:rsidR="00EC13B7" w:rsidRPr="00026143" w14:paraId="6537C949" w14:textId="77777777" w:rsidTr="004E6426">
        <w:tc>
          <w:tcPr>
            <w:tcW w:w="575" w:type="dxa"/>
            <w:shd w:val="clear" w:color="auto" w:fill="auto"/>
          </w:tcPr>
          <w:p w14:paraId="0A2475A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9</w:t>
            </w:r>
          </w:p>
        </w:tc>
        <w:tc>
          <w:tcPr>
            <w:tcW w:w="2436" w:type="dxa"/>
            <w:shd w:val="clear" w:color="auto" w:fill="auto"/>
          </w:tcPr>
          <w:p w14:paraId="33C36FE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司法院函送「國民參與審判案件審理計畫準則」，請查照案。</w:t>
            </w:r>
          </w:p>
        </w:tc>
        <w:tc>
          <w:tcPr>
            <w:tcW w:w="1990" w:type="dxa"/>
            <w:shd w:val="clear" w:color="auto" w:fill="auto"/>
          </w:tcPr>
          <w:p w14:paraId="6BA997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司法院 </w:t>
            </w:r>
          </w:p>
          <w:p w14:paraId="6418E55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111.04.15 </w:t>
            </w:r>
          </w:p>
          <w:p w14:paraId="2A235F1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（10-5-8）</w:t>
            </w:r>
          </w:p>
        </w:tc>
        <w:tc>
          <w:tcPr>
            <w:tcW w:w="1700" w:type="dxa"/>
            <w:shd w:val="clear" w:color="auto" w:fill="auto"/>
          </w:tcPr>
          <w:p w14:paraId="2A032A4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5679BF7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1AC07247"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111.11.25</w:t>
            </w:r>
          </w:p>
          <w:p w14:paraId="17B3BBC9" w14:textId="42F70D2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（10-6-9）展延</w:t>
            </w:r>
          </w:p>
        </w:tc>
      </w:tr>
      <w:tr w:rsidR="00EC13B7" w:rsidRPr="00026143" w14:paraId="7D3B4934" w14:textId="77777777" w:rsidTr="004E6426">
        <w:tc>
          <w:tcPr>
            <w:tcW w:w="575" w:type="dxa"/>
            <w:shd w:val="clear" w:color="auto" w:fill="auto"/>
          </w:tcPr>
          <w:p w14:paraId="2831E95C"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10</w:t>
            </w:r>
          </w:p>
        </w:tc>
        <w:tc>
          <w:tcPr>
            <w:tcW w:w="2436" w:type="dxa"/>
            <w:shd w:val="clear" w:color="auto" w:fill="auto"/>
          </w:tcPr>
          <w:p w14:paraId="1DD2413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國防部函，為修正「國防大學組織規程」第五條及第六條條文，請查照案。</w:t>
            </w:r>
          </w:p>
        </w:tc>
        <w:tc>
          <w:tcPr>
            <w:tcW w:w="1990" w:type="dxa"/>
            <w:shd w:val="clear" w:color="auto" w:fill="auto"/>
          </w:tcPr>
          <w:p w14:paraId="261CD0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國防部 </w:t>
            </w:r>
          </w:p>
          <w:p w14:paraId="3A6ADE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111.04.22 </w:t>
            </w:r>
          </w:p>
          <w:p w14:paraId="30F089D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（10-5-9）</w:t>
            </w:r>
          </w:p>
        </w:tc>
        <w:tc>
          <w:tcPr>
            <w:tcW w:w="1700" w:type="dxa"/>
            <w:shd w:val="clear" w:color="auto" w:fill="auto"/>
          </w:tcPr>
          <w:p w14:paraId="16E52DB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司法及法制、外交及國防</w:t>
            </w:r>
          </w:p>
        </w:tc>
        <w:tc>
          <w:tcPr>
            <w:tcW w:w="1741" w:type="dxa"/>
            <w:shd w:val="clear" w:color="auto" w:fill="auto"/>
          </w:tcPr>
          <w:p w14:paraId="71177DD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7030B153" w14:textId="77777777" w:rsidR="004E6426"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111.11.25</w:t>
            </w:r>
          </w:p>
          <w:p w14:paraId="2D42F845" w14:textId="38034311"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（10-6-9）展延</w:t>
            </w:r>
          </w:p>
        </w:tc>
      </w:tr>
      <w:tr w:rsidR="00EC13B7" w:rsidRPr="00026143" w14:paraId="47F70E9A" w14:textId="77777777" w:rsidTr="004E6426">
        <w:tc>
          <w:tcPr>
            <w:tcW w:w="575" w:type="dxa"/>
            <w:shd w:val="clear" w:color="auto" w:fill="auto"/>
          </w:tcPr>
          <w:p w14:paraId="66743D6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11</w:t>
            </w:r>
          </w:p>
        </w:tc>
        <w:tc>
          <w:tcPr>
            <w:tcW w:w="2436" w:type="dxa"/>
            <w:shd w:val="clear" w:color="auto" w:fill="auto"/>
          </w:tcPr>
          <w:p w14:paraId="1465BAB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行政院函送「促進轉型正義基金收支保管及運用辦法」，請查照案。</w:t>
            </w:r>
          </w:p>
        </w:tc>
        <w:tc>
          <w:tcPr>
            <w:tcW w:w="1990" w:type="dxa"/>
            <w:shd w:val="clear" w:color="auto" w:fill="auto"/>
          </w:tcPr>
          <w:p w14:paraId="1DB9E8B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 </w:t>
            </w:r>
          </w:p>
          <w:p w14:paraId="00205D5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74AA7FD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700" w:type="dxa"/>
            <w:shd w:val="clear" w:color="auto" w:fill="auto"/>
          </w:tcPr>
          <w:p w14:paraId="4BF6564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445808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085CBD11" w14:textId="77777777" w:rsidR="007F1BC7"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w:t>
            </w:r>
            <w:r w:rsidRPr="00026143">
              <w:rPr>
                <w:rFonts w:ascii="標楷體" w:eastAsia="標楷體" w:hAnsi="標楷體"/>
                <w:color w:val="000000" w:themeColor="text1"/>
              </w:rPr>
              <w:t>2</w:t>
            </w:r>
            <w:r w:rsidRPr="00026143">
              <w:rPr>
                <w:rFonts w:ascii="標楷體" w:eastAsia="標楷體" w:hAnsi="標楷體" w:hint="eastAsia"/>
                <w:color w:val="000000" w:themeColor="text1"/>
              </w:rPr>
              <w:t>.</w:t>
            </w:r>
            <w:r w:rsidRPr="00026143">
              <w:rPr>
                <w:rFonts w:ascii="標楷體" w:eastAsia="標楷體" w:hAnsi="標楷體"/>
                <w:color w:val="000000" w:themeColor="text1"/>
              </w:rPr>
              <w:t>01</w:t>
            </w:r>
            <w:r w:rsidRPr="00026143">
              <w:rPr>
                <w:rFonts w:ascii="標楷體" w:eastAsia="標楷體" w:hAnsi="標楷體" w:hint="eastAsia"/>
                <w:color w:val="000000" w:themeColor="text1"/>
              </w:rPr>
              <w:t>.</w:t>
            </w:r>
            <w:r w:rsidRPr="00026143">
              <w:rPr>
                <w:rFonts w:ascii="標楷體" w:eastAsia="標楷體" w:hAnsi="標楷體"/>
                <w:color w:val="000000" w:themeColor="text1"/>
              </w:rPr>
              <w:t>09</w:t>
            </w:r>
          </w:p>
          <w:p w14:paraId="00473CE0" w14:textId="7A2213C1"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w:t>
            </w:r>
            <w:r w:rsidRPr="00026143">
              <w:rPr>
                <w:rFonts w:ascii="標楷體" w:eastAsia="標楷體" w:hAnsi="標楷體"/>
                <w:color w:val="000000" w:themeColor="text1"/>
              </w:rPr>
              <w:t>15</w:t>
            </w:r>
            <w:r w:rsidRPr="00026143">
              <w:rPr>
                <w:rFonts w:ascii="標楷體" w:eastAsia="標楷體" w:hAnsi="標楷體" w:hint="eastAsia"/>
                <w:color w:val="000000" w:themeColor="text1"/>
              </w:rPr>
              <w:t>）展延</w:t>
            </w:r>
          </w:p>
        </w:tc>
      </w:tr>
      <w:tr w:rsidR="00EC13B7" w:rsidRPr="00026143" w14:paraId="0AFA08DD" w14:textId="77777777" w:rsidTr="004E6426">
        <w:tc>
          <w:tcPr>
            <w:tcW w:w="575" w:type="dxa"/>
            <w:shd w:val="clear" w:color="auto" w:fill="auto"/>
          </w:tcPr>
          <w:p w14:paraId="6BF810B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12</w:t>
            </w:r>
          </w:p>
        </w:tc>
        <w:tc>
          <w:tcPr>
            <w:tcW w:w="2436" w:type="dxa"/>
            <w:shd w:val="clear" w:color="auto" w:fill="auto"/>
          </w:tcPr>
          <w:p w14:paraId="26A75FB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監察院函，為修正「監察法施行細則」第十四條之一條文，請查照案。</w:t>
            </w:r>
          </w:p>
        </w:tc>
        <w:tc>
          <w:tcPr>
            <w:tcW w:w="1990" w:type="dxa"/>
            <w:shd w:val="clear" w:color="auto" w:fill="auto"/>
          </w:tcPr>
          <w:p w14:paraId="7E0F610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監察院 </w:t>
            </w:r>
          </w:p>
          <w:p w14:paraId="2F09D47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2729609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700" w:type="dxa"/>
            <w:shd w:val="clear" w:color="auto" w:fill="auto"/>
          </w:tcPr>
          <w:p w14:paraId="796BDFB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741" w:type="dxa"/>
            <w:shd w:val="clear" w:color="auto" w:fill="auto"/>
          </w:tcPr>
          <w:p w14:paraId="3A716AC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p w14:paraId="3038FBB6" w14:textId="77777777" w:rsidR="007F1BC7"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w:t>
            </w:r>
            <w:r w:rsidRPr="00026143">
              <w:rPr>
                <w:rFonts w:ascii="標楷體" w:eastAsia="標楷體" w:hAnsi="標楷體"/>
                <w:color w:val="000000" w:themeColor="text1"/>
              </w:rPr>
              <w:t>2</w:t>
            </w:r>
            <w:r w:rsidRPr="00026143">
              <w:rPr>
                <w:rFonts w:ascii="標楷體" w:eastAsia="標楷體" w:hAnsi="標楷體" w:hint="eastAsia"/>
                <w:color w:val="000000" w:themeColor="text1"/>
              </w:rPr>
              <w:t>.</w:t>
            </w:r>
            <w:r w:rsidRPr="00026143">
              <w:rPr>
                <w:rFonts w:ascii="標楷體" w:eastAsia="標楷體" w:hAnsi="標楷體"/>
                <w:color w:val="000000" w:themeColor="text1"/>
              </w:rPr>
              <w:t>01</w:t>
            </w:r>
            <w:r w:rsidRPr="00026143">
              <w:rPr>
                <w:rFonts w:ascii="標楷體" w:eastAsia="標楷體" w:hAnsi="標楷體" w:hint="eastAsia"/>
                <w:color w:val="000000" w:themeColor="text1"/>
              </w:rPr>
              <w:t>.</w:t>
            </w:r>
            <w:r w:rsidRPr="00026143">
              <w:rPr>
                <w:rFonts w:ascii="標楷體" w:eastAsia="標楷體" w:hAnsi="標楷體"/>
                <w:color w:val="000000" w:themeColor="text1"/>
              </w:rPr>
              <w:t>09</w:t>
            </w:r>
          </w:p>
          <w:p w14:paraId="2C1A60A3" w14:textId="4A68C421"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w:t>
            </w:r>
            <w:r w:rsidRPr="00026143">
              <w:rPr>
                <w:rFonts w:ascii="標楷體" w:eastAsia="標楷體" w:hAnsi="標楷體"/>
                <w:color w:val="000000" w:themeColor="text1"/>
              </w:rPr>
              <w:t>15</w:t>
            </w:r>
            <w:r w:rsidRPr="00026143">
              <w:rPr>
                <w:rFonts w:ascii="標楷體" w:eastAsia="標楷體" w:hAnsi="標楷體" w:hint="eastAsia"/>
                <w:color w:val="000000" w:themeColor="text1"/>
              </w:rPr>
              <w:t>）展延</w:t>
            </w:r>
          </w:p>
        </w:tc>
      </w:tr>
      <w:tr w:rsidR="00EC13B7" w:rsidRPr="00026143" w14:paraId="58923B12" w14:textId="77777777" w:rsidTr="004E6426">
        <w:tc>
          <w:tcPr>
            <w:tcW w:w="575" w:type="dxa"/>
            <w:shd w:val="clear" w:color="auto" w:fill="auto"/>
          </w:tcPr>
          <w:p w14:paraId="3532A9E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13</w:t>
            </w:r>
          </w:p>
        </w:tc>
        <w:tc>
          <w:tcPr>
            <w:tcW w:w="2436" w:type="dxa"/>
            <w:shd w:val="clear" w:color="auto" w:fill="auto"/>
          </w:tcPr>
          <w:p w14:paraId="73ABDAE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衛生福利部函，為修正「衛生福利部疾病管制署編制表」，請查照案。</w:t>
            </w:r>
          </w:p>
        </w:tc>
        <w:tc>
          <w:tcPr>
            <w:tcW w:w="1990" w:type="dxa"/>
            <w:shd w:val="clear" w:color="auto" w:fill="auto"/>
          </w:tcPr>
          <w:p w14:paraId="22FAAD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衛生福利部 </w:t>
            </w:r>
          </w:p>
          <w:p w14:paraId="05D1C98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111.05.13 </w:t>
            </w:r>
          </w:p>
          <w:p w14:paraId="5C2BF1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（10-5-12）</w:t>
            </w:r>
          </w:p>
        </w:tc>
        <w:tc>
          <w:tcPr>
            <w:tcW w:w="1700" w:type="dxa"/>
            <w:shd w:val="clear" w:color="auto" w:fill="auto"/>
          </w:tcPr>
          <w:p w14:paraId="1CDE244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741" w:type="dxa"/>
            <w:shd w:val="clear" w:color="auto" w:fill="auto"/>
          </w:tcPr>
          <w:p w14:paraId="1121CBC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79CB701F" w14:textId="77777777" w:rsidTr="004E6426">
        <w:tc>
          <w:tcPr>
            <w:tcW w:w="575" w:type="dxa"/>
            <w:shd w:val="clear" w:color="auto" w:fill="auto"/>
          </w:tcPr>
          <w:p w14:paraId="7CF115D3"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14</w:t>
            </w:r>
          </w:p>
        </w:tc>
        <w:tc>
          <w:tcPr>
            <w:tcW w:w="2436" w:type="dxa"/>
            <w:shd w:val="clear" w:color="auto" w:fill="auto"/>
          </w:tcPr>
          <w:p w14:paraId="47DF3C4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勞動部函，為修正「勞動部職業安全衛生署編制表」，請查照案。</w:t>
            </w:r>
          </w:p>
        </w:tc>
        <w:tc>
          <w:tcPr>
            <w:tcW w:w="1990" w:type="dxa"/>
            <w:shd w:val="clear" w:color="auto" w:fill="auto"/>
          </w:tcPr>
          <w:p w14:paraId="5A178C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勞動部 </w:t>
            </w:r>
          </w:p>
          <w:p w14:paraId="547663F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111.05.27 </w:t>
            </w:r>
          </w:p>
          <w:p w14:paraId="5CE4F30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（10-5-14）</w:t>
            </w:r>
          </w:p>
        </w:tc>
        <w:tc>
          <w:tcPr>
            <w:tcW w:w="1700" w:type="dxa"/>
            <w:shd w:val="clear" w:color="auto" w:fill="auto"/>
          </w:tcPr>
          <w:p w14:paraId="564C7BF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司法及法制、社會福利及衛生環境</w:t>
            </w:r>
          </w:p>
        </w:tc>
        <w:tc>
          <w:tcPr>
            <w:tcW w:w="1741" w:type="dxa"/>
            <w:shd w:val="clear" w:color="auto" w:fill="auto"/>
          </w:tcPr>
          <w:p w14:paraId="4F3D329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A2F3990" w14:textId="77777777" w:rsidTr="004E6426">
        <w:tc>
          <w:tcPr>
            <w:tcW w:w="575" w:type="dxa"/>
            <w:shd w:val="clear" w:color="auto" w:fill="auto"/>
          </w:tcPr>
          <w:p w14:paraId="0C995338"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15</w:t>
            </w:r>
          </w:p>
        </w:tc>
        <w:tc>
          <w:tcPr>
            <w:tcW w:w="2436" w:type="dxa"/>
            <w:shd w:val="clear" w:color="auto" w:fill="auto"/>
          </w:tcPr>
          <w:p w14:paraId="711A4BD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行政院函送「數位發展部處務規程」、「數位發展部數位產業署處務規程」、「數位發展部資通安全署處務規程」、「數位發展部編制表」、「數位發展部數位產業署編制表」、「數位發展部資通安全署編制表」，並自111年8月27日生效，請查照案。</w:t>
            </w:r>
          </w:p>
        </w:tc>
        <w:tc>
          <w:tcPr>
            <w:tcW w:w="1990" w:type="dxa"/>
            <w:shd w:val="clear" w:color="auto" w:fill="auto"/>
          </w:tcPr>
          <w:p w14:paraId="18DCF97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行政院 </w:t>
            </w:r>
          </w:p>
          <w:p w14:paraId="705AE2B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111.10.14</w:t>
            </w:r>
          </w:p>
          <w:p w14:paraId="69B908F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（10-6-4）</w:t>
            </w:r>
          </w:p>
        </w:tc>
        <w:tc>
          <w:tcPr>
            <w:tcW w:w="1700" w:type="dxa"/>
            <w:shd w:val="clear" w:color="auto" w:fill="auto"/>
          </w:tcPr>
          <w:p w14:paraId="7A9A78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司法及法制、交通</w:t>
            </w:r>
          </w:p>
        </w:tc>
        <w:tc>
          <w:tcPr>
            <w:tcW w:w="1741" w:type="dxa"/>
            <w:shd w:val="clear" w:color="auto" w:fill="auto"/>
          </w:tcPr>
          <w:p w14:paraId="130D8EE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24A2F7FC" w14:textId="77777777" w:rsidTr="004E6426">
        <w:tc>
          <w:tcPr>
            <w:tcW w:w="575" w:type="dxa"/>
            <w:shd w:val="clear" w:color="auto" w:fill="auto"/>
          </w:tcPr>
          <w:p w14:paraId="50C00B6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16</w:t>
            </w:r>
          </w:p>
        </w:tc>
        <w:tc>
          <w:tcPr>
            <w:tcW w:w="2436" w:type="dxa"/>
            <w:shd w:val="clear" w:color="auto" w:fill="auto"/>
          </w:tcPr>
          <w:p w14:paraId="728229D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衛生福利部函，為修</w:t>
            </w:r>
            <w:r w:rsidRPr="00026143">
              <w:rPr>
                <w:rFonts w:ascii="標楷體" w:eastAsia="標楷體" w:hAnsi="標楷體"/>
                <w:color w:val="000000" w:themeColor="text1"/>
              </w:rPr>
              <w:lastRenderedPageBreak/>
              <w:t>正「衛生福利部處務規程」第五條、第十二條、第十三條之二條文及「衛生福利部編制表」，請查照案。</w:t>
            </w:r>
          </w:p>
        </w:tc>
        <w:tc>
          <w:tcPr>
            <w:tcW w:w="1990" w:type="dxa"/>
            <w:shd w:val="clear" w:color="auto" w:fill="auto"/>
          </w:tcPr>
          <w:p w14:paraId="068BD22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衛生福利部</w:t>
            </w:r>
          </w:p>
          <w:p w14:paraId="3D0A131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111.11.18 </w:t>
            </w:r>
          </w:p>
          <w:p w14:paraId="468B029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700" w:type="dxa"/>
            <w:shd w:val="clear" w:color="auto" w:fill="auto"/>
          </w:tcPr>
          <w:p w14:paraId="5DEE4A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r w:rsidRPr="00026143">
              <w:rPr>
                <w:rFonts w:ascii="標楷體" w:eastAsia="標楷體" w:hAnsi="標楷體"/>
                <w:color w:val="000000" w:themeColor="text1"/>
              </w:rPr>
              <w:lastRenderedPageBreak/>
              <w:t>社會福利及衛生環境</w:t>
            </w:r>
          </w:p>
        </w:tc>
        <w:tc>
          <w:tcPr>
            <w:tcW w:w="1741" w:type="dxa"/>
            <w:shd w:val="clear" w:color="auto" w:fill="auto"/>
          </w:tcPr>
          <w:p w14:paraId="19B7361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尚未審查</w:t>
            </w:r>
          </w:p>
        </w:tc>
      </w:tr>
      <w:tr w:rsidR="00EC13B7" w:rsidRPr="00026143" w14:paraId="6A4168AB" w14:textId="77777777" w:rsidTr="004E6426">
        <w:tc>
          <w:tcPr>
            <w:tcW w:w="575" w:type="dxa"/>
            <w:shd w:val="clear" w:color="auto" w:fill="auto"/>
          </w:tcPr>
          <w:p w14:paraId="1B103A0B"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17</w:t>
            </w:r>
          </w:p>
        </w:tc>
        <w:tc>
          <w:tcPr>
            <w:tcW w:w="2436" w:type="dxa"/>
            <w:shd w:val="clear" w:color="auto" w:fill="auto"/>
          </w:tcPr>
          <w:p w14:paraId="588F740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衛生福利部函，為修正「衛生福利部疾病管制署編制表」，請查照案。</w:t>
            </w:r>
          </w:p>
        </w:tc>
        <w:tc>
          <w:tcPr>
            <w:tcW w:w="1990" w:type="dxa"/>
            <w:shd w:val="clear" w:color="auto" w:fill="auto"/>
          </w:tcPr>
          <w:p w14:paraId="126283E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衛生福利部 </w:t>
            </w:r>
          </w:p>
          <w:p w14:paraId="686A6B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55A7941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700" w:type="dxa"/>
            <w:shd w:val="clear" w:color="auto" w:fill="auto"/>
          </w:tcPr>
          <w:p w14:paraId="18E8A38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司法及法制、社會福利及衛生環境</w:t>
            </w:r>
          </w:p>
        </w:tc>
        <w:tc>
          <w:tcPr>
            <w:tcW w:w="1741" w:type="dxa"/>
            <w:shd w:val="clear" w:color="auto" w:fill="auto"/>
          </w:tcPr>
          <w:p w14:paraId="2FD71B5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B0695F" w14:textId="77777777" w:rsidTr="004E6426">
        <w:tc>
          <w:tcPr>
            <w:tcW w:w="575" w:type="dxa"/>
            <w:shd w:val="clear" w:color="auto" w:fill="auto"/>
          </w:tcPr>
          <w:p w14:paraId="6A59569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18</w:t>
            </w:r>
          </w:p>
        </w:tc>
        <w:tc>
          <w:tcPr>
            <w:tcW w:w="2436" w:type="dxa"/>
            <w:shd w:val="clear" w:color="auto" w:fill="auto"/>
          </w:tcPr>
          <w:p w14:paraId="005AC87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勞動部函，為修正「勞動部勞工保險局處務規程」及「勞動部勞工保險局編制表」，請查照案。</w:t>
            </w:r>
          </w:p>
        </w:tc>
        <w:tc>
          <w:tcPr>
            <w:tcW w:w="1990" w:type="dxa"/>
            <w:shd w:val="clear" w:color="auto" w:fill="auto"/>
          </w:tcPr>
          <w:p w14:paraId="35C9B4F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勞動部 </w:t>
            </w:r>
          </w:p>
          <w:p w14:paraId="162FDD2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45448B6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700" w:type="dxa"/>
            <w:shd w:val="clear" w:color="auto" w:fill="auto"/>
          </w:tcPr>
          <w:p w14:paraId="71A4742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司法及法制、社會福利及衛生環境</w:t>
            </w:r>
          </w:p>
        </w:tc>
        <w:tc>
          <w:tcPr>
            <w:tcW w:w="1741" w:type="dxa"/>
            <w:shd w:val="clear" w:color="auto" w:fill="auto"/>
          </w:tcPr>
          <w:p w14:paraId="4D0A2EC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33F89FE" w14:textId="77777777" w:rsidTr="004E6426">
        <w:tc>
          <w:tcPr>
            <w:tcW w:w="575" w:type="dxa"/>
            <w:shd w:val="clear" w:color="auto" w:fill="auto"/>
          </w:tcPr>
          <w:p w14:paraId="7CC7316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19</w:t>
            </w:r>
          </w:p>
        </w:tc>
        <w:tc>
          <w:tcPr>
            <w:tcW w:w="2436" w:type="dxa"/>
            <w:shd w:val="clear" w:color="auto" w:fill="auto"/>
          </w:tcPr>
          <w:p w14:paraId="00BE6E9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法務部函送「監護處分評估小組作業辦法」，請查照案。</w:t>
            </w:r>
          </w:p>
        </w:tc>
        <w:tc>
          <w:tcPr>
            <w:tcW w:w="1990" w:type="dxa"/>
            <w:shd w:val="clear" w:color="auto" w:fill="auto"/>
          </w:tcPr>
          <w:p w14:paraId="24A4952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8FAE9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2CD38A7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700" w:type="dxa"/>
            <w:shd w:val="clear" w:color="auto" w:fill="auto"/>
          </w:tcPr>
          <w:p w14:paraId="4A74C92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41" w:type="dxa"/>
            <w:shd w:val="clear" w:color="auto" w:fill="auto"/>
          </w:tcPr>
          <w:p w14:paraId="7D55E50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76A0C5F" w14:textId="77777777" w:rsidTr="004E6426">
        <w:tc>
          <w:tcPr>
            <w:tcW w:w="575" w:type="dxa"/>
            <w:shd w:val="clear" w:color="auto" w:fill="auto"/>
          </w:tcPr>
          <w:p w14:paraId="179DB05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20</w:t>
            </w:r>
          </w:p>
        </w:tc>
        <w:tc>
          <w:tcPr>
            <w:tcW w:w="2436" w:type="dxa"/>
            <w:shd w:val="clear" w:color="auto" w:fill="auto"/>
          </w:tcPr>
          <w:p w14:paraId="1781BB2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考試院函，為修正「典試法施行細則」第四條條文，請查照案。</w:t>
            </w:r>
          </w:p>
        </w:tc>
        <w:tc>
          <w:tcPr>
            <w:tcW w:w="1990" w:type="dxa"/>
            <w:shd w:val="clear" w:color="auto" w:fill="auto"/>
          </w:tcPr>
          <w:p w14:paraId="66F511E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考試院 </w:t>
            </w:r>
          </w:p>
          <w:p w14:paraId="62BC52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6DB266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700" w:type="dxa"/>
            <w:shd w:val="clear" w:color="auto" w:fill="auto"/>
          </w:tcPr>
          <w:p w14:paraId="700A8D5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41" w:type="dxa"/>
            <w:shd w:val="clear" w:color="auto" w:fill="auto"/>
          </w:tcPr>
          <w:p w14:paraId="5FDDB4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75F9C1F" w14:textId="77777777" w:rsidTr="004E6426">
        <w:tc>
          <w:tcPr>
            <w:tcW w:w="575" w:type="dxa"/>
            <w:shd w:val="clear" w:color="auto" w:fill="auto"/>
          </w:tcPr>
          <w:p w14:paraId="1A696E15"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21</w:t>
            </w:r>
          </w:p>
        </w:tc>
        <w:tc>
          <w:tcPr>
            <w:tcW w:w="2436" w:type="dxa"/>
            <w:shd w:val="clear" w:color="auto" w:fill="auto"/>
          </w:tcPr>
          <w:p w14:paraId="59B0DFB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經濟部函，為修正「經濟部所屬事業人員退休撫卹及資遣辦法」第五條及第十七條條文，請查照案。</w:t>
            </w:r>
          </w:p>
        </w:tc>
        <w:tc>
          <w:tcPr>
            <w:tcW w:w="1990" w:type="dxa"/>
            <w:shd w:val="clear" w:color="auto" w:fill="auto"/>
          </w:tcPr>
          <w:p w14:paraId="718433C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經濟部 </w:t>
            </w:r>
          </w:p>
          <w:p w14:paraId="77C2EBC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0BDCEC3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p w14:paraId="355EE49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700" w:type="dxa"/>
            <w:shd w:val="clear" w:color="auto" w:fill="auto"/>
          </w:tcPr>
          <w:p w14:paraId="1474D3F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司法及法制、經濟</w:t>
            </w:r>
          </w:p>
        </w:tc>
        <w:tc>
          <w:tcPr>
            <w:tcW w:w="1741" w:type="dxa"/>
            <w:shd w:val="clear" w:color="auto" w:fill="auto"/>
          </w:tcPr>
          <w:p w14:paraId="60F58E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CB3207F" w14:textId="77777777" w:rsidTr="004E6426">
        <w:tc>
          <w:tcPr>
            <w:tcW w:w="575" w:type="dxa"/>
            <w:shd w:val="clear" w:color="auto" w:fill="auto"/>
          </w:tcPr>
          <w:p w14:paraId="39F52DCD"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22</w:t>
            </w:r>
          </w:p>
        </w:tc>
        <w:tc>
          <w:tcPr>
            <w:tcW w:w="2436" w:type="dxa"/>
            <w:shd w:val="clear" w:color="auto" w:fill="auto"/>
          </w:tcPr>
          <w:p w14:paraId="0DEAD17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金融監督管理委員會函，為修正「金融監督管理委員會銀行局處務規程」部分條文，請查照案。</w:t>
            </w:r>
          </w:p>
        </w:tc>
        <w:tc>
          <w:tcPr>
            <w:tcW w:w="1990" w:type="dxa"/>
            <w:shd w:val="clear" w:color="auto" w:fill="auto"/>
          </w:tcPr>
          <w:p w14:paraId="36CCAA69" w14:textId="6D6404AA"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金融監督管理委員會</w:t>
            </w:r>
          </w:p>
          <w:p w14:paraId="64B23E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111.11.18 </w:t>
            </w:r>
          </w:p>
          <w:p w14:paraId="25095CB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700" w:type="dxa"/>
            <w:shd w:val="clear" w:color="auto" w:fill="auto"/>
          </w:tcPr>
          <w:p w14:paraId="7336635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司法及法制、財政</w:t>
            </w:r>
          </w:p>
        </w:tc>
        <w:tc>
          <w:tcPr>
            <w:tcW w:w="1741" w:type="dxa"/>
            <w:shd w:val="clear" w:color="auto" w:fill="auto"/>
          </w:tcPr>
          <w:p w14:paraId="088E0DC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2A0AFDE" w14:textId="77777777" w:rsidTr="004E6426">
        <w:tc>
          <w:tcPr>
            <w:tcW w:w="575" w:type="dxa"/>
            <w:shd w:val="clear" w:color="auto" w:fill="auto"/>
          </w:tcPr>
          <w:p w14:paraId="0EF2917D"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23</w:t>
            </w:r>
          </w:p>
        </w:tc>
        <w:tc>
          <w:tcPr>
            <w:tcW w:w="2436" w:type="dxa"/>
            <w:shd w:val="clear" w:color="auto" w:fill="auto"/>
          </w:tcPr>
          <w:p w14:paraId="0AC42AB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交通部函，為修正「交通部處務規程」第七條條文，請查照案。</w:t>
            </w:r>
          </w:p>
        </w:tc>
        <w:tc>
          <w:tcPr>
            <w:tcW w:w="1990" w:type="dxa"/>
            <w:shd w:val="clear" w:color="auto" w:fill="auto"/>
          </w:tcPr>
          <w:p w14:paraId="22A7CB8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交通部 </w:t>
            </w:r>
          </w:p>
          <w:p w14:paraId="1A37EF7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111.11.18</w:t>
            </w:r>
          </w:p>
          <w:p w14:paraId="6EEA272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（10-6-8）</w:t>
            </w:r>
          </w:p>
        </w:tc>
        <w:tc>
          <w:tcPr>
            <w:tcW w:w="1700" w:type="dxa"/>
            <w:shd w:val="clear" w:color="auto" w:fill="auto"/>
          </w:tcPr>
          <w:p w14:paraId="27EDFB1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741" w:type="dxa"/>
            <w:shd w:val="clear" w:color="auto" w:fill="auto"/>
          </w:tcPr>
          <w:p w14:paraId="6FC639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CB857B8" w14:textId="77777777" w:rsidTr="004E6426">
        <w:tc>
          <w:tcPr>
            <w:tcW w:w="575" w:type="dxa"/>
            <w:shd w:val="clear" w:color="auto" w:fill="auto"/>
          </w:tcPr>
          <w:p w14:paraId="0987ACB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24</w:t>
            </w:r>
          </w:p>
        </w:tc>
        <w:tc>
          <w:tcPr>
            <w:tcW w:w="2436" w:type="dxa"/>
            <w:shd w:val="clear" w:color="auto" w:fill="auto"/>
          </w:tcPr>
          <w:p w14:paraId="34F8E25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行政院函，為修正「中央政府機關員額管理辦法」部分條文，請查照案。</w:t>
            </w:r>
          </w:p>
        </w:tc>
        <w:tc>
          <w:tcPr>
            <w:tcW w:w="1990" w:type="dxa"/>
            <w:shd w:val="clear" w:color="auto" w:fill="auto"/>
          </w:tcPr>
          <w:p w14:paraId="28F049A8" w14:textId="77777777" w:rsidR="007F1BC7"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2A84AE12" w14:textId="77777777" w:rsidR="007F1BC7"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4B10B804" w14:textId="1A1B75D8"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（10-6-9）</w:t>
            </w:r>
          </w:p>
        </w:tc>
        <w:tc>
          <w:tcPr>
            <w:tcW w:w="1700" w:type="dxa"/>
            <w:shd w:val="clear" w:color="auto" w:fill="auto"/>
          </w:tcPr>
          <w:p w14:paraId="5B704E1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41" w:type="dxa"/>
            <w:shd w:val="clear" w:color="auto" w:fill="auto"/>
          </w:tcPr>
          <w:p w14:paraId="7E6FA9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7FABCC" w14:textId="77777777" w:rsidTr="004E6426">
        <w:tc>
          <w:tcPr>
            <w:tcW w:w="575" w:type="dxa"/>
            <w:shd w:val="clear" w:color="auto" w:fill="auto"/>
          </w:tcPr>
          <w:p w14:paraId="6709E3B7"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25</w:t>
            </w:r>
          </w:p>
        </w:tc>
        <w:tc>
          <w:tcPr>
            <w:tcW w:w="2436" w:type="dxa"/>
            <w:shd w:val="clear" w:color="auto" w:fill="auto"/>
          </w:tcPr>
          <w:p w14:paraId="0171D45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法務部函送「平復威權統治時期司法不法及行政不法審查會組織及運作辦法」，請查照案。</w:t>
            </w:r>
          </w:p>
        </w:tc>
        <w:tc>
          <w:tcPr>
            <w:tcW w:w="1990" w:type="dxa"/>
            <w:shd w:val="clear" w:color="auto" w:fill="auto"/>
          </w:tcPr>
          <w:p w14:paraId="06EB3CC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986B8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106837F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（10-6-9）</w:t>
            </w:r>
          </w:p>
        </w:tc>
        <w:tc>
          <w:tcPr>
            <w:tcW w:w="1700" w:type="dxa"/>
            <w:shd w:val="clear" w:color="auto" w:fill="auto"/>
          </w:tcPr>
          <w:p w14:paraId="09375F1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41" w:type="dxa"/>
            <w:shd w:val="clear" w:color="auto" w:fill="auto"/>
          </w:tcPr>
          <w:p w14:paraId="2C472C6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BE23B3A" w14:textId="77777777" w:rsidTr="004E6426">
        <w:tc>
          <w:tcPr>
            <w:tcW w:w="575" w:type="dxa"/>
            <w:shd w:val="clear" w:color="auto" w:fill="auto"/>
          </w:tcPr>
          <w:p w14:paraId="59EE85AA"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26</w:t>
            </w:r>
          </w:p>
        </w:tc>
        <w:tc>
          <w:tcPr>
            <w:tcW w:w="2436" w:type="dxa"/>
            <w:shd w:val="clear" w:color="auto" w:fill="auto"/>
          </w:tcPr>
          <w:p w14:paraId="2E8AB71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司法院函，為修正「法院辦理促進轉型正</w:t>
            </w:r>
            <w:r w:rsidRPr="00026143">
              <w:rPr>
                <w:rFonts w:ascii="標楷體" w:eastAsia="標楷體" w:hAnsi="標楷體"/>
                <w:color w:val="000000" w:themeColor="text1"/>
              </w:rPr>
              <w:lastRenderedPageBreak/>
              <w:t>義條例第六條救濟案件審理辦法」，請查照案。</w:t>
            </w:r>
          </w:p>
        </w:tc>
        <w:tc>
          <w:tcPr>
            <w:tcW w:w="1990" w:type="dxa"/>
            <w:shd w:val="clear" w:color="auto" w:fill="auto"/>
          </w:tcPr>
          <w:p w14:paraId="1A9F535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司法院 </w:t>
            </w:r>
          </w:p>
          <w:p w14:paraId="6D4BE8F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111.11.25 </w:t>
            </w:r>
          </w:p>
          <w:p w14:paraId="14365CA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（10-6-9）</w:t>
            </w:r>
          </w:p>
        </w:tc>
        <w:tc>
          <w:tcPr>
            <w:tcW w:w="1700" w:type="dxa"/>
            <w:shd w:val="clear" w:color="auto" w:fill="auto"/>
          </w:tcPr>
          <w:p w14:paraId="048E0AD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741" w:type="dxa"/>
            <w:shd w:val="clear" w:color="auto" w:fill="auto"/>
          </w:tcPr>
          <w:p w14:paraId="584220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0ACB06E" w14:textId="77777777" w:rsidTr="004E6426">
        <w:tc>
          <w:tcPr>
            <w:tcW w:w="575" w:type="dxa"/>
            <w:shd w:val="clear" w:color="auto" w:fill="auto"/>
          </w:tcPr>
          <w:p w14:paraId="31070D2B"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2</w:t>
            </w:r>
            <w:r w:rsidRPr="00026143">
              <w:rPr>
                <w:rFonts w:ascii="標楷體" w:eastAsia="標楷體" w:hAnsi="標楷體"/>
                <w:color w:val="000000" w:themeColor="text1"/>
              </w:rPr>
              <w:t>7</w:t>
            </w:r>
          </w:p>
        </w:tc>
        <w:tc>
          <w:tcPr>
            <w:tcW w:w="2436" w:type="dxa"/>
            <w:shd w:val="clear" w:color="auto" w:fill="auto"/>
          </w:tcPr>
          <w:p w14:paraId="7690F014"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行政院函，為中華民國111年1月19日制定公布之「國家資通安全研究院設置條例」，定自112年1月1日施行，請查照案。</w:t>
            </w:r>
          </w:p>
        </w:tc>
        <w:tc>
          <w:tcPr>
            <w:tcW w:w="1990" w:type="dxa"/>
            <w:shd w:val="clear" w:color="auto" w:fill="auto"/>
          </w:tcPr>
          <w:p w14:paraId="315717B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7535A9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112.01.09</w:t>
            </w:r>
          </w:p>
          <w:p w14:paraId="26B10A7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（10-6-15）</w:t>
            </w:r>
          </w:p>
        </w:tc>
        <w:tc>
          <w:tcPr>
            <w:tcW w:w="1700" w:type="dxa"/>
            <w:shd w:val="clear" w:color="auto" w:fill="auto"/>
          </w:tcPr>
          <w:p w14:paraId="70EC6C9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741" w:type="dxa"/>
            <w:shd w:val="clear" w:color="auto" w:fill="auto"/>
          </w:tcPr>
          <w:p w14:paraId="390F07D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B810C0E" w14:textId="77777777" w:rsidTr="004E6426">
        <w:tc>
          <w:tcPr>
            <w:tcW w:w="575" w:type="dxa"/>
            <w:shd w:val="clear" w:color="auto" w:fill="auto"/>
          </w:tcPr>
          <w:p w14:paraId="4BF91FF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8</w:t>
            </w:r>
          </w:p>
        </w:tc>
        <w:tc>
          <w:tcPr>
            <w:tcW w:w="2436" w:type="dxa"/>
            <w:shd w:val="clear" w:color="auto" w:fill="auto"/>
          </w:tcPr>
          <w:p w14:paraId="2F4BFC7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司法院函，為修正「國民法官費用支給辦法」第三條、第十五條及第二十三條條文，請查照案。</w:t>
            </w:r>
          </w:p>
        </w:tc>
        <w:tc>
          <w:tcPr>
            <w:tcW w:w="1990" w:type="dxa"/>
            <w:shd w:val="clear" w:color="auto" w:fill="auto"/>
          </w:tcPr>
          <w:p w14:paraId="1120D10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33008A3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112.01.09 </w:t>
            </w:r>
          </w:p>
          <w:p w14:paraId="36C2ECB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（10-6-15）</w:t>
            </w:r>
          </w:p>
        </w:tc>
        <w:tc>
          <w:tcPr>
            <w:tcW w:w="1700" w:type="dxa"/>
            <w:shd w:val="clear" w:color="auto" w:fill="auto"/>
          </w:tcPr>
          <w:p w14:paraId="6F00240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41" w:type="dxa"/>
            <w:shd w:val="clear" w:color="auto" w:fill="auto"/>
          </w:tcPr>
          <w:p w14:paraId="73735B4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620A00D" w14:textId="77777777" w:rsidTr="004E6426">
        <w:tc>
          <w:tcPr>
            <w:tcW w:w="575" w:type="dxa"/>
            <w:shd w:val="clear" w:color="auto" w:fill="auto"/>
          </w:tcPr>
          <w:p w14:paraId="10B85286"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2</w:t>
            </w:r>
            <w:r w:rsidRPr="00026143">
              <w:rPr>
                <w:rFonts w:ascii="標楷體" w:eastAsia="標楷體" w:hAnsi="標楷體"/>
                <w:color w:val="000000" w:themeColor="text1"/>
              </w:rPr>
              <w:t>9</w:t>
            </w:r>
          </w:p>
        </w:tc>
        <w:tc>
          <w:tcPr>
            <w:tcW w:w="2436" w:type="dxa"/>
            <w:shd w:val="clear" w:color="auto" w:fill="auto"/>
          </w:tcPr>
          <w:p w14:paraId="0A42A59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司法院、行政院函送「國民法官法施行細則」，請查照案。</w:t>
            </w:r>
          </w:p>
        </w:tc>
        <w:tc>
          <w:tcPr>
            <w:tcW w:w="1990" w:type="dxa"/>
            <w:shd w:val="clear" w:color="auto" w:fill="auto"/>
          </w:tcPr>
          <w:p w14:paraId="39D658B5" w14:textId="6646A844"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司法院、行政院</w:t>
            </w:r>
          </w:p>
          <w:p w14:paraId="6F15F7F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112.01.09 </w:t>
            </w:r>
          </w:p>
          <w:p w14:paraId="38D67A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（10-6-15）</w:t>
            </w:r>
          </w:p>
        </w:tc>
        <w:tc>
          <w:tcPr>
            <w:tcW w:w="1700" w:type="dxa"/>
            <w:shd w:val="clear" w:color="auto" w:fill="auto"/>
          </w:tcPr>
          <w:p w14:paraId="17359E0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741" w:type="dxa"/>
            <w:shd w:val="clear" w:color="auto" w:fill="auto"/>
          </w:tcPr>
          <w:p w14:paraId="7EFB34A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C3CF2E" w14:textId="77777777" w:rsidTr="004E6426">
        <w:tc>
          <w:tcPr>
            <w:tcW w:w="575" w:type="dxa"/>
            <w:shd w:val="clear" w:color="auto" w:fill="auto"/>
          </w:tcPr>
          <w:p w14:paraId="2CA8C60D"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30</w:t>
            </w:r>
          </w:p>
        </w:tc>
        <w:tc>
          <w:tcPr>
            <w:tcW w:w="2436" w:type="dxa"/>
            <w:shd w:val="clear" w:color="auto" w:fill="auto"/>
          </w:tcPr>
          <w:p w14:paraId="61C2A47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國家通訊傳播委員會函，為修正「國家通訊傳播委員會處務規程」及「國家通訊傳播委員會編制表」，請查照案。</w:t>
            </w:r>
          </w:p>
        </w:tc>
        <w:tc>
          <w:tcPr>
            <w:tcW w:w="1990" w:type="dxa"/>
            <w:shd w:val="clear" w:color="auto" w:fill="auto"/>
          </w:tcPr>
          <w:p w14:paraId="032BFE2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國家通訊傳播委員會 </w:t>
            </w:r>
          </w:p>
          <w:p w14:paraId="49C1523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112.01.09</w:t>
            </w:r>
          </w:p>
          <w:p w14:paraId="187AF49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（10-6-15）</w:t>
            </w:r>
          </w:p>
        </w:tc>
        <w:tc>
          <w:tcPr>
            <w:tcW w:w="1700" w:type="dxa"/>
            <w:shd w:val="clear" w:color="auto" w:fill="auto"/>
          </w:tcPr>
          <w:p w14:paraId="4006776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司法及法制、交通</w:t>
            </w:r>
          </w:p>
        </w:tc>
        <w:tc>
          <w:tcPr>
            <w:tcW w:w="1741" w:type="dxa"/>
            <w:shd w:val="clear" w:color="auto" w:fill="auto"/>
          </w:tcPr>
          <w:p w14:paraId="531FCB3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1CE92FB6" w14:textId="77777777" w:rsidR="00EC13B7" w:rsidRPr="00026143" w:rsidRDefault="00EC13B7" w:rsidP="007932B9">
      <w:pPr>
        <w:pStyle w:val="1-6"/>
        <w:kinsoku w:val="0"/>
        <w:wordWrap w:val="0"/>
        <w:topLinePunct/>
        <w:spacing w:beforeLines="150" w:before="540" w:afterLines="100" w:after="360" w:line="260" w:lineRule="exact"/>
        <w:ind w:left="1441" w:hanging="1157"/>
        <w:jc w:val="left"/>
        <w:textAlignment w:val="top"/>
        <w:outlineLvl w:val="1"/>
        <w:rPr>
          <w:color w:val="000000" w:themeColor="text1"/>
        </w:rPr>
      </w:pPr>
      <w:bookmarkStart w:id="475" w:name="_Toc96350544"/>
      <w:r w:rsidRPr="00026143">
        <w:rPr>
          <w:color w:val="000000" w:themeColor="text1"/>
        </w:rPr>
        <w:t>〔</w:t>
      </w:r>
      <w:r w:rsidRPr="00026143">
        <w:rPr>
          <w:rFonts w:hint="eastAsia"/>
          <w:color w:val="000000" w:themeColor="text1"/>
        </w:rPr>
        <w:t>肆</w:t>
      </w:r>
      <w:r w:rsidRPr="00026143">
        <w:rPr>
          <w:color w:val="000000" w:themeColor="text1"/>
        </w:rPr>
        <w:t>〕立法院內規</w:t>
      </w:r>
      <w:r w:rsidRPr="00026143">
        <w:rPr>
          <w:rFonts w:hint="eastAsia"/>
          <w:color w:val="000000" w:themeColor="text1"/>
        </w:rPr>
        <w:t>5</w:t>
      </w:r>
      <w:r w:rsidRPr="00026143">
        <w:rPr>
          <w:color w:val="000000" w:themeColor="text1"/>
        </w:rPr>
        <w:t>案</w:t>
      </w:r>
      <w:bookmarkEnd w:id="471"/>
      <w:bookmarkEnd w:id="472"/>
      <w:bookmarkEnd w:id="473"/>
      <w:bookmarkEnd w:id="474"/>
      <w:bookmarkEnd w:id="475"/>
    </w:p>
    <w:tbl>
      <w:tblPr>
        <w:tblW w:w="8356"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4"/>
        <w:gridCol w:w="2325"/>
        <w:gridCol w:w="2092"/>
        <w:gridCol w:w="1559"/>
        <w:gridCol w:w="1806"/>
      </w:tblGrid>
      <w:tr w:rsidR="00EC13B7" w:rsidRPr="00026143" w14:paraId="364A6925" w14:textId="77777777" w:rsidTr="007932B9">
        <w:tc>
          <w:tcPr>
            <w:tcW w:w="574" w:type="dxa"/>
            <w:shd w:val="clear" w:color="auto" w:fill="auto"/>
          </w:tcPr>
          <w:p w14:paraId="38D812AA" w14:textId="77777777" w:rsidR="00EC13B7" w:rsidRPr="00026143" w:rsidRDefault="00EC13B7" w:rsidP="003F057E">
            <w:pPr>
              <w:kinsoku w:val="0"/>
              <w:topLinePunct/>
              <w:adjustRightInd w:val="0"/>
              <w:snapToGrid w:val="0"/>
              <w:spacing w:line="300" w:lineRule="exact"/>
              <w:ind w:leftChars="-48" w:left="-79" w:rightChars="-50" w:right="-120" w:hangingChars="15" w:hanging="36"/>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325" w:type="dxa"/>
            <w:shd w:val="clear" w:color="auto" w:fill="auto"/>
          </w:tcPr>
          <w:p w14:paraId="5450CA6A"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議案名稱</w:t>
            </w:r>
          </w:p>
        </w:tc>
        <w:tc>
          <w:tcPr>
            <w:tcW w:w="2092" w:type="dxa"/>
            <w:shd w:val="clear" w:color="auto" w:fill="auto"/>
          </w:tcPr>
          <w:p w14:paraId="3A72295D"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 (會次)</w:t>
            </w:r>
          </w:p>
        </w:tc>
        <w:tc>
          <w:tcPr>
            <w:tcW w:w="1559" w:type="dxa"/>
            <w:shd w:val="clear" w:color="auto" w:fill="auto"/>
          </w:tcPr>
          <w:p w14:paraId="48A99AFE"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06" w:type="dxa"/>
            <w:shd w:val="clear" w:color="auto" w:fill="auto"/>
          </w:tcPr>
          <w:p w14:paraId="2DABE3AF"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242DEE98" w14:textId="77777777" w:rsidTr="007932B9">
        <w:tc>
          <w:tcPr>
            <w:tcW w:w="574" w:type="dxa"/>
            <w:shd w:val="clear" w:color="auto" w:fill="auto"/>
          </w:tcPr>
          <w:p w14:paraId="5FB08F99"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325" w:type="dxa"/>
            <w:shd w:val="clear" w:color="auto" w:fill="auto"/>
          </w:tcPr>
          <w:p w14:paraId="1381D4A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2092" w:type="dxa"/>
            <w:shd w:val="clear" w:color="auto" w:fill="auto"/>
          </w:tcPr>
          <w:p w14:paraId="76C7A5A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委員鍾佳濱</w:t>
            </w:r>
          </w:p>
          <w:p w14:paraId="642A6D6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等14人 </w:t>
            </w:r>
          </w:p>
          <w:p w14:paraId="4AB3E6C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109.03.03 </w:t>
            </w:r>
          </w:p>
          <w:p w14:paraId="72A847E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（10-1-2）</w:t>
            </w:r>
          </w:p>
        </w:tc>
        <w:tc>
          <w:tcPr>
            <w:tcW w:w="1559" w:type="dxa"/>
            <w:shd w:val="clear" w:color="auto" w:fill="auto"/>
          </w:tcPr>
          <w:p w14:paraId="3CDABE2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806" w:type="dxa"/>
            <w:shd w:val="clear" w:color="auto" w:fill="auto"/>
          </w:tcPr>
          <w:p w14:paraId="2EBD032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03A9309E" w14:textId="77777777" w:rsidTr="007932B9">
        <w:tc>
          <w:tcPr>
            <w:tcW w:w="574" w:type="dxa"/>
            <w:shd w:val="clear" w:color="auto" w:fill="auto"/>
          </w:tcPr>
          <w:p w14:paraId="1126FC63"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325" w:type="dxa"/>
            <w:shd w:val="clear" w:color="auto" w:fill="auto"/>
          </w:tcPr>
          <w:p w14:paraId="1FAD1A2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立法院議事規則第九條及第二十二條條文修正草案（修正重點：將臨時提案處</w:t>
            </w:r>
            <w:r w:rsidRPr="00026143">
              <w:rPr>
                <w:rFonts w:ascii="標楷體" w:eastAsia="標楷體" w:hAnsi="標楷體" w:hint="eastAsia"/>
                <w:color w:val="000000" w:themeColor="text1"/>
              </w:rPr>
              <w:lastRenderedPageBreak/>
              <w:t>理時間提前至下午一時至二時為之；廢除國是論壇制度。）</w:t>
            </w:r>
          </w:p>
        </w:tc>
        <w:tc>
          <w:tcPr>
            <w:tcW w:w="2092" w:type="dxa"/>
            <w:shd w:val="clear" w:color="auto" w:fill="auto"/>
          </w:tcPr>
          <w:p w14:paraId="4ED1799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委員賴瑞隆</w:t>
            </w:r>
          </w:p>
          <w:p w14:paraId="5531DEB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等20人 </w:t>
            </w:r>
          </w:p>
          <w:p w14:paraId="7539AB9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 xml:space="preserve">109.03.13 </w:t>
            </w:r>
          </w:p>
          <w:p w14:paraId="4078473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（10-1-4）</w:t>
            </w:r>
          </w:p>
        </w:tc>
        <w:tc>
          <w:tcPr>
            <w:tcW w:w="1559" w:type="dxa"/>
            <w:shd w:val="clear" w:color="auto" w:fill="auto"/>
          </w:tcPr>
          <w:p w14:paraId="615041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司法及法制</w:t>
            </w:r>
          </w:p>
        </w:tc>
        <w:tc>
          <w:tcPr>
            <w:tcW w:w="1806" w:type="dxa"/>
            <w:shd w:val="clear" w:color="auto" w:fill="auto"/>
          </w:tcPr>
          <w:p w14:paraId="5EFBF9C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hint="eastAsia"/>
                <w:color w:val="000000" w:themeColor="text1"/>
              </w:rPr>
              <w:t>尚未審查</w:t>
            </w:r>
          </w:p>
        </w:tc>
      </w:tr>
      <w:tr w:rsidR="00EC13B7" w:rsidRPr="00026143" w14:paraId="428D4A19" w14:textId="77777777" w:rsidTr="00EC13B7">
        <w:tc>
          <w:tcPr>
            <w:tcW w:w="574" w:type="dxa"/>
            <w:shd w:val="clear" w:color="auto" w:fill="auto"/>
          </w:tcPr>
          <w:p w14:paraId="0CBAC62A"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325" w:type="dxa"/>
            <w:shd w:val="clear" w:color="auto" w:fill="auto"/>
          </w:tcPr>
          <w:p w14:paraId="7450E58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立法院議事規則第八條條文修正草案(修正重點：立法委員提出之法律案與其他提案，將提案人與連署人一併列計門檻人數中。修正法律案立法委員提案提案人及連署人合計超過十六人。其他提案，合計應超過十一人以上。)</w:t>
            </w:r>
          </w:p>
        </w:tc>
        <w:tc>
          <w:tcPr>
            <w:tcW w:w="2092" w:type="dxa"/>
            <w:shd w:val="clear" w:color="auto" w:fill="auto"/>
          </w:tcPr>
          <w:p w14:paraId="5E82C66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委員鄭運鵬</w:t>
            </w:r>
          </w:p>
          <w:p w14:paraId="5A01832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0710678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110.11.05 </w:t>
            </w:r>
          </w:p>
          <w:p w14:paraId="1B61488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（10-4-8）</w:t>
            </w:r>
          </w:p>
        </w:tc>
        <w:tc>
          <w:tcPr>
            <w:tcW w:w="1559" w:type="dxa"/>
            <w:shd w:val="clear" w:color="auto" w:fill="auto"/>
          </w:tcPr>
          <w:p w14:paraId="7E28B86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6" w:type="dxa"/>
            <w:shd w:val="clear" w:color="auto" w:fill="auto"/>
          </w:tcPr>
          <w:p w14:paraId="7B38868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096E457" w14:textId="77777777" w:rsidTr="00EC13B7">
        <w:tc>
          <w:tcPr>
            <w:tcW w:w="574" w:type="dxa"/>
            <w:shd w:val="clear" w:color="auto" w:fill="auto"/>
          </w:tcPr>
          <w:p w14:paraId="41607A52"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325" w:type="dxa"/>
            <w:shd w:val="clear" w:color="auto" w:fill="auto"/>
          </w:tcPr>
          <w:p w14:paraId="2D41827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1.立法院程序委員會組織規程第五條條文修正草案（修正重點：將已通過組改機關名稱予以修正。）</w:t>
            </w:r>
          </w:p>
        </w:tc>
        <w:tc>
          <w:tcPr>
            <w:tcW w:w="2092" w:type="dxa"/>
            <w:shd w:val="clear" w:color="auto" w:fill="auto"/>
          </w:tcPr>
          <w:p w14:paraId="4535FD0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委員劉櫂豪</w:t>
            </w:r>
          </w:p>
          <w:p w14:paraId="4339809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等17人 </w:t>
            </w:r>
          </w:p>
          <w:p w14:paraId="1006E26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109.12.04 </w:t>
            </w:r>
          </w:p>
          <w:p w14:paraId="7328FA3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（10-2-6）</w:t>
            </w:r>
          </w:p>
        </w:tc>
        <w:tc>
          <w:tcPr>
            <w:tcW w:w="1559" w:type="dxa"/>
            <w:shd w:val="clear" w:color="auto" w:fill="auto"/>
          </w:tcPr>
          <w:p w14:paraId="0614C81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6" w:type="dxa"/>
            <w:shd w:val="clear" w:color="auto" w:fill="auto"/>
          </w:tcPr>
          <w:p w14:paraId="664BAF7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1C8E85D" w14:textId="77777777" w:rsidTr="00EC13B7">
        <w:tc>
          <w:tcPr>
            <w:tcW w:w="574" w:type="dxa"/>
            <w:shd w:val="clear" w:color="auto" w:fill="auto"/>
          </w:tcPr>
          <w:p w14:paraId="37C28000"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325" w:type="dxa"/>
            <w:shd w:val="clear" w:color="auto" w:fill="auto"/>
          </w:tcPr>
          <w:p w14:paraId="3BB541C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2.立法院程序委員會組織規程第五條及第六條條文修正草案（修正重點：配合行政院組織調整，修正各委員會審查之總預算案分配之部會名稱）</w:t>
            </w:r>
          </w:p>
        </w:tc>
        <w:tc>
          <w:tcPr>
            <w:tcW w:w="2092" w:type="dxa"/>
            <w:shd w:val="clear" w:color="auto" w:fill="auto"/>
          </w:tcPr>
          <w:p w14:paraId="33A9B3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委員鍾佳濱</w:t>
            </w:r>
          </w:p>
          <w:p w14:paraId="1061D6F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等20人 </w:t>
            </w:r>
          </w:p>
          <w:p w14:paraId="1481ACF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111.09.30 </w:t>
            </w:r>
          </w:p>
          <w:p w14:paraId="4DD609C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（10-6-2）</w:t>
            </w:r>
          </w:p>
        </w:tc>
        <w:tc>
          <w:tcPr>
            <w:tcW w:w="1559" w:type="dxa"/>
            <w:shd w:val="clear" w:color="auto" w:fill="auto"/>
          </w:tcPr>
          <w:p w14:paraId="2742D78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6" w:type="dxa"/>
            <w:shd w:val="clear" w:color="auto" w:fill="auto"/>
          </w:tcPr>
          <w:p w14:paraId="4A538959"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1386E0C6" w14:textId="77777777" w:rsidR="00EC13B7" w:rsidRPr="00026143" w:rsidRDefault="00EC13B7" w:rsidP="007932B9">
      <w:pPr>
        <w:pStyle w:val="1-6"/>
        <w:kinsoku w:val="0"/>
        <w:wordWrap w:val="0"/>
        <w:topLinePunct/>
        <w:spacing w:beforeLines="150" w:before="540" w:afterLines="100" w:after="360" w:line="300" w:lineRule="exact"/>
        <w:ind w:left="1441" w:hanging="1157"/>
        <w:jc w:val="left"/>
        <w:textAlignment w:val="top"/>
        <w:outlineLvl w:val="1"/>
        <w:rPr>
          <w:color w:val="000000" w:themeColor="text1"/>
        </w:rPr>
      </w:pPr>
      <w:bookmarkStart w:id="476" w:name="_Toc96350545"/>
      <w:r w:rsidRPr="00026143">
        <w:rPr>
          <w:color w:val="000000" w:themeColor="text1"/>
        </w:rPr>
        <w:t>〔</w:t>
      </w:r>
      <w:r w:rsidRPr="00026143">
        <w:rPr>
          <w:rFonts w:hint="eastAsia"/>
          <w:color w:val="000000" w:themeColor="text1"/>
        </w:rPr>
        <w:t>伍</w:t>
      </w:r>
      <w:r w:rsidRPr="00026143">
        <w:rPr>
          <w:color w:val="000000" w:themeColor="text1"/>
        </w:rPr>
        <w:t>〕其他議案</w:t>
      </w:r>
      <w:r w:rsidRPr="00026143">
        <w:rPr>
          <w:rFonts w:hint="eastAsia"/>
          <w:color w:val="000000" w:themeColor="text1"/>
        </w:rPr>
        <w:t>17案</w:t>
      </w:r>
      <w:bookmarkEnd w:id="476"/>
    </w:p>
    <w:tbl>
      <w:tblPr>
        <w:tblW w:w="8358" w:type="dxa"/>
        <w:tblInd w:w="7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5"/>
        <w:gridCol w:w="2389"/>
        <w:gridCol w:w="2035"/>
        <w:gridCol w:w="1551"/>
        <w:gridCol w:w="1808"/>
      </w:tblGrid>
      <w:tr w:rsidR="00EC13B7" w:rsidRPr="00026143" w14:paraId="392AD1F2" w14:textId="77777777" w:rsidTr="00067EF7">
        <w:tc>
          <w:tcPr>
            <w:tcW w:w="575" w:type="dxa"/>
            <w:shd w:val="clear" w:color="auto" w:fill="auto"/>
          </w:tcPr>
          <w:p w14:paraId="3869CD1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389" w:type="dxa"/>
            <w:shd w:val="clear" w:color="auto" w:fill="auto"/>
          </w:tcPr>
          <w:p w14:paraId="4DEEE9CA"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法案名稱</w:t>
            </w:r>
          </w:p>
        </w:tc>
        <w:tc>
          <w:tcPr>
            <w:tcW w:w="2035" w:type="dxa"/>
            <w:shd w:val="clear" w:color="auto" w:fill="auto"/>
          </w:tcPr>
          <w:p w14:paraId="618BC7D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提案機關、院會交付日期(會次)</w:t>
            </w:r>
          </w:p>
        </w:tc>
        <w:tc>
          <w:tcPr>
            <w:tcW w:w="1551" w:type="dxa"/>
            <w:shd w:val="clear" w:color="auto" w:fill="auto"/>
          </w:tcPr>
          <w:p w14:paraId="4A7D8A2C"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hint="eastAsia"/>
                <w:b/>
                <w:color w:val="000000" w:themeColor="text1"/>
              </w:rPr>
              <w:t>交付</w:t>
            </w:r>
            <w:r w:rsidRPr="00026143">
              <w:rPr>
                <w:rFonts w:ascii="標楷體" w:eastAsia="標楷體" w:hAnsi="標楷體"/>
                <w:b/>
                <w:color w:val="000000" w:themeColor="text1"/>
              </w:rPr>
              <w:t>委員會</w:t>
            </w:r>
          </w:p>
        </w:tc>
        <w:tc>
          <w:tcPr>
            <w:tcW w:w="1808" w:type="dxa"/>
            <w:shd w:val="clear" w:color="auto" w:fill="auto"/>
          </w:tcPr>
          <w:p w14:paraId="4D2A8D6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w:t>
            </w:r>
            <w:r w:rsidRPr="00026143">
              <w:rPr>
                <w:rFonts w:ascii="標楷體" w:eastAsia="標楷體" w:hAnsi="標楷體" w:hint="eastAsia"/>
                <w:b/>
                <w:color w:val="000000" w:themeColor="text1"/>
              </w:rPr>
              <w:t>、處理</w:t>
            </w:r>
          </w:p>
          <w:p w14:paraId="747EA271" w14:textId="77777777" w:rsidR="00EC13B7" w:rsidRPr="00026143" w:rsidRDefault="00EC13B7" w:rsidP="003F057E">
            <w:pPr>
              <w:kinsoku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情形</w:t>
            </w:r>
          </w:p>
        </w:tc>
      </w:tr>
      <w:tr w:rsidR="00EC13B7" w:rsidRPr="00026143" w14:paraId="2782FBDA" w14:textId="77777777" w:rsidTr="009E71DE">
        <w:tc>
          <w:tcPr>
            <w:tcW w:w="575" w:type="dxa"/>
            <w:shd w:val="clear" w:color="auto" w:fill="auto"/>
          </w:tcPr>
          <w:p w14:paraId="3AC5055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389" w:type="dxa"/>
            <w:shd w:val="clear" w:color="auto" w:fill="auto"/>
          </w:tcPr>
          <w:p w14:paraId="336B691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為本院第9屆第1會期第20次會議制定資恐防制法之附帶決議，檢送該院辦理情形，請查照案。</w:t>
            </w:r>
          </w:p>
        </w:tc>
        <w:tc>
          <w:tcPr>
            <w:tcW w:w="2035" w:type="dxa"/>
            <w:shd w:val="clear" w:color="auto" w:fill="auto"/>
          </w:tcPr>
          <w:p w14:paraId="3AABB34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6809AAC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109.03.27 </w:t>
            </w:r>
          </w:p>
          <w:p w14:paraId="55E92AB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（10-1-6）</w:t>
            </w:r>
          </w:p>
        </w:tc>
        <w:tc>
          <w:tcPr>
            <w:tcW w:w="1551" w:type="dxa"/>
            <w:shd w:val="clear" w:color="auto" w:fill="auto"/>
          </w:tcPr>
          <w:p w14:paraId="6D17D46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63CD9F9"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尚未處理</w:t>
            </w:r>
          </w:p>
        </w:tc>
      </w:tr>
      <w:tr w:rsidR="00EC13B7" w:rsidRPr="00026143" w14:paraId="63930864" w14:textId="77777777" w:rsidTr="009E71DE">
        <w:tc>
          <w:tcPr>
            <w:tcW w:w="575" w:type="dxa"/>
            <w:shd w:val="clear" w:color="auto" w:fill="auto"/>
          </w:tcPr>
          <w:p w14:paraId="67049E3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w:t>
            </w:r>
          </w:p>
        </w:tc>
        <w:tc>
          <w:tcPr>
            <w:tcW w:w="2389" w:type="dxa"/>
            <w:shd w:val="clear" w:color="auto" w:fill="auto"/>
          </w:tcPr>
          <w:p w14:paraId="3737149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行政院秘書長函送前瞻基礎建設計畫數位建設項下「強化政府基層機關資安防護及區域聯防計畫」及「強化國家資安基礎建</w:t>
            </w:r>
            <w:r w:rsidRPr="00026143">
              <w:rPr>
                <w:rFonts w:ascii="標楷體" w:eastAsia="標楷體" w:hAnsi="標楷體"/>
                <w:color w:val="000000" w:themeColor="text1"/>
              </w:rPr>
              <w:lastRenderedPageBreak/>
              <w:t>設計畫」108年度執行進度及績效報告，請查照案。</w:t>
            </w:r>
          </w:p>
        </w:tc>
        <w:tc>
          <w:tcPr>
            <w:tcW w:w="2035" w:type="dxa"/>
            <w:shd w:val="clear" w:color="auto" w:fill="auto"/>
          </w:tcPr>
          <w:p w14:paraId="571D2EC2"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行政院秘書長 </w:t>
            </w:r>
          </w:p>
          <w:p w14:paraId="15979CC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109.05.08 </w:t>
            </w:r>
          </w:p>
          <w:p w14:paraId="746618A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（10-1-12）</w:t>
            </w:r>
          </w:p>
        </w:tc>
        <w:tc>
          <w:tcPr>
            <w:tcW w:w="1551" w:type="dxa"/>
            <w:shd w:val="clear" w:color="auto" w:fill="auto"/>
          </w:tcPr>
          <w:p w14:paraId="0BCD2F9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59A6804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本會109.12.7舉行「因應數位發展部成立，公、私部門資安人力建制及產業資源探討」公聽</w:t>
            </w:r>
            <w:r w:rsidRPr="00026143">
              <w:rPr>
                <w:rFonts w:ascii="標楷體" w:eastAsia="標楷體" w:hAnsi="標楷體"/>
                <w:color w:val="000000" w:themeColor="text1"/>
              </w:rPr>
              <w:lastRenderedPageBreak/>
              <w:t>會。</w:t>
            </w:r>
          </w:p>
        </w:tc>
      </w:tr>
      <w:tr w:rsidR="00EC13B7" w:rsidRPr="00026143" w14:paraId="2A0060E8" w14:textId="77777777" w:rsidTr="009E71DE">
        <w:tc>
          <w:tcPr>
            <w:tcW w:w="575" w:type="dxa"/>
            <w:shd w:val="clear" w:color="auto" w:fill="auto"/>
          </w:tcPr>
          <w:p w14:paraId="1AB5C8CF"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w:t>
            </w:r>
          </w:p>
        </w:tc>
        <w:tc>
          <w:tcPr>
            <w:tcW w:w="2389" w:type="dxa"/>
            <w:shd w:val="clear" w:color="auto" w:fill="auto"/>
          </w:tcPr>
          <w:p w14:paraId="4AE576E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108年司法院所屬機關通訊監察業務統計年報。</w:t>
            </w:r>
          </w:p>
        </w:tc>
        <w:tc>
          <w:tcPr>
            <w:tcW w:w="2035" w:type="dxa"/>
            <w:shd w:val="clear" w:color="auto" w:fill="auto"/>
          </w:tcPr>
          <w:p w14:paraId="6010581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6E11073B"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109.05.15 </w:t>
            </w:r>
          </w:p>
          <w:p w14:paraId="1E4F533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（10-1-13）</w:t>
            </w:r>
          </w:p>
        </w:tc>
        <w:tc>
          <w:tcPr>
            <w:tcW w:w="1551" w:type="dxa"/>
            <w:shd w:val="clear" w:color="auto" w:fill="auto"/>
          </w:tcPr>
          <w:p w14:paraId="6437B39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7F2004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0D27E44" w14:textId="77777777" w:rsidTr="009E71DE">
        <w:tc>
          <w:tcPr>
            <w:tcW w:w="575" w:type="dxa"/>
            <w:shd w:val="clear" w:color="auto" w:fill="auto"/>
          </w:tcPr>
          <w:p w14:paraId="6B926CF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389" w:type="dxa"/>
            <w:shd w:val="clear" w:color="auto" w:fill="auto"/>
          </w:tcPr>
          <w:p w14:paraId="6B6AFA8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法務部函送108年度通訊監察之相關統計資料，請查照案。</w:t>
            </w:r>
          </w:p>
        </w:tc>
        <w:tc>
          <w:tcPr>
            <w:tcW w:w="2035" w:type="dxa"/>
            <w:shd w:val="clear" w:color="auto" w:fill="auto"/>
          </w:tcPr>
          <w:p w14:paraId="021ABD5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6DE0BB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109.05.15 </w:t>
            </w:r>
          </w:p>
          <w:p w14:paraId="1F74614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（10-1-13）</w:t>
            </w:r>
          </w:p>
        </w:tc>
        <w:tc>
          <w:tcPr>
            <w:tcW w:w="1551" w:type="dxa"/>
            <w:shd w:val="clear" w:color="auto" w:fill="auto"/>
          </w:tcPr>
          <w:p w14:paraId="4EC4733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18545C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885466E" w14:textId="77777777" w:rsidTr="009E71DE">
        <w:tc>
          <w:tcPr>
            <w:tcW w:w="575" w:type="dxa"/>
            <w:shd w:val="clear" w:color="auto" w:fill="auto"/>
          </w:tcPr>
          <w:p w14:paraId="3642DF87"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389" w:type="dxa"/>
            <w:shd w:val="clear" w:color="auto" w:fill="auto"/>
          </w:tcPr>
          <w:p w14:paraId="3E861C4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「國家資通安全情勢報告」、「公務機關資安稽核概況報告」及「國家資通安全發展方案」，請查照案。</w:t>
            </w:r>
          </w:p>
        </w:tc>
        <w:tc>
          <w:tcPr>
            <w:tcW w:w="2035" w:type="dxa"/>
            <w:shd w:val="clear" w:color="auto" w:fill="auto"/>
          </w:tcPr>
          <w:p w14:paraId="39F8A32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12978ED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5B50BEF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551" w:type="dxa"/>
            <w:shd w:val="clear" w:color="auto" w:fill="auto"/>
          </w:tcPr>
          <w:p w14:paraId="43BB5EF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63774B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A57D8D6" w14:textId="77777777" w:rsidTr="009E71DE">
        <w:tc>
          <w:tcPr>
            <w:tcW w:w="575" w:type="dxa"/>
            <w:shd w:val="clear" w:color="auto" w:fill="auto"/>
          </w:tcPr>
          <w:p w14:paraId="4BEBBB68"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389" w:type="dxa"/>
            <w:shd w:val="clear" w:color="auto" w:fill="auto"/>
          </w:tcPr>
          <w:p w14:paraId="2D816FA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為本院第9屆第8會期第14次會議修正監獄行刑法通過附帶決議，檢送研擬監所管理員值勤條例專案報告，請查照案。</w:t>
            </w:r>
          </w:p>
        </w:tc>
        <w:tc>
          <w:tcPr>
            <w:tcW w:w="2035" w:type="dxa"/>
            <w:shd w:val="clear" w:color="auto" w:fill="auto"/>
          </w:tcPr>
          <w:p w14:paraId="59A44E1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0F541FE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109.10.23 </w:t>
            </w:r>
          </w:p>
          <w:p w14:paraId="29586AB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（10-2-4）</w:t>
            </w:r>
          </w:p>
        </w:tc>
        <w:tc>
          <w:tcPr>
            <w:tcW w:w="1551" w:type="dxa"/>
            <w:shd w:val="clear" w:color="auto" w:fill="auto"/>
          </w:tcPr>
          <w:p w14:paraId="4003804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15CA5F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尚未處理</w:t>
            </w:r>
          </w:p>
        </w:tc>
      </w:tr>
      <w:tr w:rsidR="00EC13B7" w:rsidRPr="00026143" w14:paraId="363B6A03" w14:textId="77777777" w:rsidTr="009E71DE">
        <w:tc>
          <w:tcPr>
            <w:tcW w:w="575" w:type="dxa"/>
            <w:shd w:val="clear" w:color="auto" w:fill="auto"/>
          </w:tcPr>
          <w:p w14:paraId="572656FE"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w:t>
            </w:r>
          </w:p>
        </w:tc>
        <w:tc>
          <w:tcPr>
            <w:tcW w:w="2389" w:type="dxa"/>
            <w:shd w:val="clear" w:color="auto" w:fill="auto"/>
          </w:tcPr>
          <w:p w14:paraId="74E4328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司法院函送本院修正中央政府機關總員額法第三條、第四條及第十一條條文通過附帶決議之書面報告，請查照案。</w:t>
            </w:r>
          </w:p>
        </w:tc>
        <w:tc>
          <w:tcPr>
            <w:tcW w:w="2035" w:type="dxa"/>
            <w:shd w:val="clear" w:color="auto" w:fill="auto"/>
          </w:tcPr>
          <w:p w14:paraId="7173403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6D73F38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109.12.18 </w:t>
            </w:r>
          </w:p>
          <w:p w14:paraId="145218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（10-2-8）</w:t>
            </w:r>
          </w:p>
        </w:tc>
        <w:tc>
          <w:tcPr>
            <w:tcW w:w="1551" w:type="dxa"/>
            <w:shd w:val="clear" w:color="auto" w:fill="auto"/>
          </w:tcPr>
          <w:p w14:paraId="2C7AF38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3DC51D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821F5CA" w14:textId="77777777" w:rsidTr="009E71DE">
        <w:tc>
          <w:tcPr>
            <w:tcW w:w="575" w:type="dxa"/>
            <w:shd w:val="clear" w:color="auto" w:fill="auto"/>
          </w:tcPr>
          <w:p w14:paraId="205EB994"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w:t>
            </w:r>
          </w:p>
        </w:tc>
        <w:tc>
          <w:tcPr>
            <w:tcW w:w="2389" w:type="dxa"/>
            <w:shd w:val="clear" w:color="auto" w:fill="auto"/>
          </w:tcPr>
          <w:p w14:paraId="6D0216F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司法院函送本院第9屆第1會期第20次會議制定資恐防制法之附帶決議辦理情形，請查照案。</w:t>
            </w:r>
          </w:p>
        </w:tc>
        <w:tc>
          <w:tcPr>
            <w:tcW w:w="2035" w:type="dxa"/>
            <w:shd w:val="clear" w:color="auto" w:fill="auto"/>
          </w:tcPr>
          <w:p w14:paraId="0438D8E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13E5EC7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110.03.05 </w:t>
            </w:r>
          </w:p>
          <w:p w14:paraId="76AD3CD6"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（10-3-2）</w:t>
            </w:r>
          </w:p>
        </w:tc>
        <w:tc>
          <w:tcPr>
            <w:tcW w:w="1551" w:type="dxa"/>
            <w:shd w:val="clear" w:color="auto" w:fill="auto"/>
          </w:tcPr>
          <w:p w14:paraId="6F03D30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0C2B18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尚未處理</w:t>
            </w:r>
          </w:p>
        </w:tc>
      </w:tr>
      <w:tr w:rsidR="00EC13B7" w:rsidRPr="00026143" w14:paraId="46ECD01A" w14:textId="77777777" w:rsidTr="009E71DE">
        <w:tc>
          <w:tcPr>
            <w:tcW w:w="575" w:type="dxa"/>
            <w:shd w:val="clear" w:color="auto" w:fill="auto"/>
          </w:tcPr>
          <w:p w14:paraId="59DF2D7C"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w:t>
            </w:r>
          </w:p>
        </w:tc>
        <w:tc>
          <w:tcPr>
            <w:tcW w:w="2389" w:type="dxa"/>
            <w:shd w:val="clear" w:color="auto" w:fill="auto"/>
          </w:tcPr>
          <w:p w14:paraId="61E0D0F3"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法務部函送109年度通訊監察相關統計資料，請查照案。</w:t>
            </w:r>
          </w:p>
        </w:tc>
        <w:tc>
          <w:tcPr>
            <w:tcW w:w="2035" w:type="dxa"/>
            <w:shd w:val="clear" w:color="auto" w:fill="auto"/>
          </w:tcPr>
          <w:p w14:paraId="08BCF17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法務部 </w:t>
            </w:r>
          </w:p>
          <w:p w14:paraId="538921E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110.04.23 </w:t>
            </w:r>
          </w:p>
          <w:p w14:paraId="4EE5639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（10-3-9）</w:t>
            </w:r>
          </w:p>
        </w:tc>
        <w:tc>
          <w:tcPr>
            <w:tcW w:w="1551" w:type="dxa"/>
            <w:shd w:val="clear" w:color="auto" w:fill="auto"/>
          </w:tcPr>
          <w:p w14:paraId="51299FA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4DF55D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2F9EA82" w14:textId="77777777" w:rsidTr="009E71DE">
        <w:tc>
          <w:tcPr>
            <w:tcW w:w="575" w:type="dxa"/>
            <w:shd w:val="clear" w:color="auto" w:fill="auto"/>
          </w:tcPr>
          <w:p w14:paraId="05F85BB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w:t>
            </w:r>
          </w:p>
        </w:tc>
        <w:tc>
          <w:tcPr>
            <w:tcW w:w="2389" w:type="dxa"/>
            <w:shd w:val="clear" w:color="auto" w:fill="auto"/>
          </w:tcPr>
          <w:p w14:paraId="23E39FB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行政院函送109年「國家資通安全情勢報告」、109年「公務機關資安稽核概況報告」及「國家資通安全發展方案」，請查照案。</w:t>
            </w:r>
          </w:p>
        </w:tc>
        <w:tc>
          <w:tcPr>
            <w:tcW w:w="2035" w:type="dxa"/>
            <w:shd w:val="clear" w:color="auto" w:fill="auto"/>
          </w:tcPr>
          <w:p w14:paraId="6E735C0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5A9ED1A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110.11.19 </w:t>
            </w:r>
          </w:p>
          <w:p w14:paraId="19DF0FB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（10-4-10）</w:t>
            </w:r>
          </w:p>
          <w:p w14:paraId="1D6A19C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p>
        </w:tc>
        <w:tc>
          <w:tcPr>
            <w:tcW w:w="1551" w:type="dxa"/>
            <w:shd w:val="clear" w:color="auto" w:fill="auto"/>
          </w:tcPr>
          <w:p w14:paraId="0A6C83CD"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008F70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B348962" w14:textId="77777777" w:rsidTr="009E71DE">
        <w:tc>
          <w:tcPr>
            <w:tcW w:w="575" w:type="dxa"/>
            <w:shd w:val="clear" w:color="auto" w:fill="auto"/>
          </w:tcPr>
          <w:p w14:paraId="78A6800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11</w:t>
            </w:r>
          </w:p>
        </w:tc>
        <w:tc>
          <w:tcPr>
            <w:tcW w:w="2389" w:type="dxa"/>
            <w:shd w:val="clear" w:color="auto" w:fill="auto"/>
          </w:tcPr>
          <w:p w14:paraId="268B5FE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司法院函送臺灣高等法院新建聯合檔案暨贓證物庫大樓成本效益分析，請查照案。</w:t>
            </w:r>
          </w:p>
        </w:tc>
        <w:tc>
          <w:tcPr>
            <w:tcW w:w="2035" w:type="dxa"/>
            <w:shd w:val="clear" w:color="auto" w:fill="auto"/>
          </w:tcPr>
          <w:p w14:paraId="4BEAA0B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0323919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110.11.26 </w:t>
            </w:r>
          </w:p>
          <w:p w14:paraId="0695789F"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（10-4-11）</w:t>
            </w:r>
          </w:p>
        </w:tc>
        <w:tc>
          <w:tcPr>
            <w:tcW w:w="1551" w:type="dxa"/>
            <w:shd w:val="clear" w:color="auto" w:fill="auto"/>
          </w:tcPr>
          <w:p w14:paraId="2F411DA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701BF28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EC4A476" w14:textId="77777777" w:rsidTr="009E71DE">
        <w:tc>
          <w:tcPr>
            <w:tcW w:w="575" w:type="dxa"/>
            <w:shd w:val="clear" w:color="auto" w:fill="auto"/>
          </w:tcPr>
          <w:p w14:paraId="298776C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w:t>
            </w:r>
          </w:p>
        </w:tc>
        <w:tc>
          <w:tcPr>
            <w:tcW w:w="2389" w:type="dxa"/>
            <w:shd w:val="clear" w:color="auto" w:fill="auto"/>
          </w:tcPr>
          <w:p w14:paraId="4CE3913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行政院函，為指定第</w:t>
            </w:r>
            <w:r w:rsidRPr="00026143">
              <w:rPr>
                <w:rFonts w:ascii="標楷體" w:eastAsia="標楷體" w:hAnsi="標楷體"/>
                <w:color w:val="000000" w:themeColor="text1"/>
              </w:rPr>
              <w:lastRenderedPageBreak/>
              <w:t>三方支付服務業為洗錢防制法第五條第三項第五款之非金融事業或人員、其適用之交易型態，以及不適用第九條第一項申報規定，請查照案。</w:t>
            </w:r>
          </w:p>
        </w:tc>
        <w:tc>
          <w:tcPr>
            <w:tcW w:w="2035" w:type="dxa"/>
            <w:shd w:val="clear" w:color="auto" w:fill="auto"/>
          </w:tcPr>
          <w:p w14:paraId="5146F9A5"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行政院 </w:t>
            </w:r>
          </w:p>
          <w:p w14:paraId="2AE402C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111.03.04 </w:t>
            </w:r>
          </w:p>
          <w:p w14:paraId="084BBCAE"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（10-5-2）</w:t>
            </w:r>
          </w:p>
        </w:tc>
        <w:tc>
          <w:tcPr>
            <w:tcW w:w="1551" w:type="dxa"/>
            <w:shd w:val="clear" w:color="auto" w:fill="auto"/>
          </w:tcPr>
          <w:p w14:paraId="5C9202A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08" w:type="dxa"/>
            <w:shd w:val="clear" w:color="auto" w:fill="auto"/>
          </w:tcPr>
          <w:p w14:paraId="687C9748"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6A717D" w14:textId="77777777" w:rsidTr="009E71DE">
        <w:tc>
          <w:tcPr>
            <w:tcW w:w="575" w:type="dxa"/>
            <w:shd w:val="clear" w:color="auto" w:fill="auto"/>
          </w:tcPr>
          <w:p w14:paraId="28E60DA6"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13</w:t>
            </w:r>
          </w:p>
        </w:tc>
        <w:tc>
          <w:tcPr>
            <w:tcW w:w="2389" w:type="dxa"/>
            <w:shd w:val="clear" w:color="auto" w:fill="auto"/>
          </w:tcPr>
          <w:p w14:paraId="1CA6576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行政院秘書長函送前瞻基礎建設計畫數位建設項下「臺灣資安卓越深耕─資安卓越中心計畫」110年度執行進度及績效報告，請查照案。</w:t>
            </w:r>
          </w:p>
        </w:tc>
        <w:tc>
          <w:tcPr>
            <w:tcW w:w="2035" w:type="dxa"/>
            <w:shd w:val="clear" w:color="auto" w:fill="auto"/>
          </w:tcPr>
          <w:p w14:paraId="347493F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行政院秘書長 </w:t>
            </w:r>
          </w:p>
          <w:p w14:paraId="775D3A6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4E9578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551" w:type="dxa"/>
            <w:shd w:val="clear" w:color="auto" w:fill="auto"/>
          </w:tcPr>
          <w:p w14:paraId="5734EC8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462C69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2FA15E5" w14:textId="77777777" w:rsidTr="009E71DE">
        <w:tc>
          <w:tcPr>
            <w:tcW w:w="575" w:type="dxa"/>
            <w:shd w:val="clear" w:color="auto" w:fill="auto"/>
          </w:tcPr>
          <w:p w14:paraId="1A90BD4D"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w:t>
            </w:r>
          </w:p>
        </w:tc>
        <w:tc>
          <w:tcPr>
            <w:tcW w:w="2389" w:type="dxa"/>
            <w:shd w:val="clear" w:color="auto" w:fill="auto"/>
          </w:tcPr>
          <w:p w14:paraId="3DBAF43C"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行政院秘書長函送前瞻基礎建設計畫數位建設項下「強化政府基層機關資安防護及區域聯防計畫」及「強化國家資安基礎建設計畫」110年度執行進度及績效報告，請查照案。</w:t>
            </w:r>
          </w:p>
        </w:tc>
        <w:tc>
          <w:tcPr>
            <w:tcW w:w="2035" w:type="dxa"/>
            <w:shd w:val="clear" w:color="auto" w:fill="auto"/>
          </w:tcPr>
          <w:p w14:paraId="483883A7"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行政院秘書長 </w:t>
            </w:r>
          </w:p>
          <w:p w14:paraId="3B1F800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111.04.29 </w:t>
            </w:r>
          </w:p>
          <w:p w14:paraId="4280392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（10-5-10）</w:t>
            </w:r>
          </w:p>
        </w:tc>
        <w:tc>
          <w:tcPr>
            <w:tcW w:w="1551" w:type="dxa"/>
            <w:shd w:val="clear" w:color="auto" w:fill="auto"/>
          </w:tcPr>
          <w:p w14:paraId="4C1D837B"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349D84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D7D7E04" w14:textId="77777777" w:rsidTr="009E71DE">
        <w:tc>
          <w:tcPr>
            <w:tcW w:w="575" w:type="dxa"/>
            <w:shd w:val="clear" w:color="auto" w:fill="auto"/>
          </w:tcPr>
          <w:p w14:paraId="2F26DBB1"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w:t>
            </w:r>
          </w:p>
        </w:tc>
        <w:tc>
          <w:tcPr>
            <w:tcW w:w="2389" w:type="dxa"/>
            <w:shd w:val="clear" w:color="auto" w:fill="auto"/>
          </w:tcPr>
          <w:p w14:paraId="00C6E58E"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司法院函送本院制定勞動事件法通過附帶決議第2項書面報告，請查照案。</w:t>
            </w:r>
          </w:p>
        </w:tc>
        <w:tc>
          <w:tcPr>
            <w:tcW w:w="2035" w:type="dxa"/>
            <w:shd w:val="clear" w:color="auto" w:fill="auto"/>
          </w:tcPr>
          <w:p w14:paraId="69611A4D"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司法院 </w:t>
            </w:r>
          </w:p>
          <w:p w14:paraId="4D3AF223"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111.05.27 </w:t>
            </w:r>
          </w:p>
          <w:p w14:paraId="6967F8D0"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（10-5-14）</w:t>
            </w:r>
          </w:p>
        </w:tc>
        <w:tc>
          <w:tcPr>
            <w:tcW w:w="1551" w:type="dxa"/>
            <w:shd w:val="clear" w:color="auto" w:fill="auto"/>
          </w:tcPr>
          <w:p w14:paraId="54C12412"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10919E95"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A21AEE" w14:textId="77777777" w:rsidTr="009E71DE">
        <w:tc>
          <w:tcPr>
            <w:tcW w:w="575" w:type="dxa"/>
            <w:shd w:val="clear" w:color="auto" w:fill="auto"/>
          </w:tcPr>
          <w:p w14:paraId="125828A9"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w:t>
            </w:r>
          </w:p>
        </w:tc>
        <w:tc>
          <w:tcPr>
            <w:tcW w:w="2389" w:type="dxa"/>
            <w:shd w:val="clear" w:color="auto" w:fill="auto"/>
          </w:tcPr>
          <w:p w14:paraId="5B1CA0A0"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科技部函送「太空中心預算之使用項目計畫」書面報告，請查照案。</w:t>
            </w:r>
          </w:p>
        </w:tc>
        <w:tc>
          <w:tcPr>
            <w:tcW w:w="2035" w:type="dxa"/>
            <w:shd w:val="clear" w:color="auto" w:fill="auto"/>
          </w:tcPr>
          <w:p w14:paraId="744B1408"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科技部 </w:t>
            </w:r>
          </w:p>
          <w:p w14:paraId="7F4C650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111.09.30 </w:t>
            </w:r>
          </w:p>
          <w:p w14:paraId="30CD7E2A"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（10-6-2）</w:t>
            </w:r>
          </w:p>
        </w:tc>
        <w:tc>
          <w:tcPr>
            <w:tcW w:w="1551" w:type="dxa"/>
            <w:shd w:val="clear" w:color="auto" w:fill="auto"/>
          </w:tcPr>
          <w:p w14:paraId="566DCE06"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司法及法制、教育及文化</w:t>
            </w:r>
          </w:p>
        </w:tc>
        <w:tc>
          <w:tcPr>
            <w:tcW w:w="1808" w:type="dxa"/>
            <w:shd w:val="clear" w:color="auto" w:fill="auto"/>
          </w:tcPr>
          <w:p w14:paraId="4D85A1EF"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E9DF308" w14:textId="77777777" w:rsidTr="009E71DE">
        <w:tc>
          <w:tcPr>
            <w:tcW w:w="575" w:type="dxa"/>
            <w:shd w:val="clear" w:color="auto" w:fill="auto"/>
          </w:tcPr>
          <w:p w14:paraId="57EFCC6A" w14:textId="77777777" w:rsidR="00EC13B7" w:rsidRPr="00026143" w:rsidRDefault="00EC13B7" w:rsidP="003F057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w:t>
            </w:r>
          </w:p>
        </w:tc>
        <w:tc>
          <w:tcPr>
            <w:tcW w:w="2389" w:type="dxa"/>
            <w:shd w:val="clear" w:color="auto" w:fill="auto"/>
          </w:tcPr>
          <w:p w14:paraId="2581E1F1"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行政院函送本院修正中華民國刑法第一百八十五條之三條文通過附帶決議之相關報告，請查照案。</w:t>
            </w:r>
          </w:p>
        </w:tc>
        <w:tc>
          <w:tcPr>
            <w:tcW w:w="2035" w:type="dxa"/>
            <w:shd w:val="clear" w:color="auto" w:fill="auto"/>
          </w:tcPr>
          <w:p w14:paraId="02C58F74"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行政院 </w:t>
            </w:r>
          </w:p>
          <w:p w14:paraId="701D11C1"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111.09.30 </w:t>
            </w:r>
          </w:p>
          <w:p w14:paraId="263F174C" w14:textId="77777777" w:rsidR="00EC13B7" w:rsidRPr="00026143" w:rsidRDefault="00EC13B7" w:rsidP="003F057E">
            <w:pPr>
              <w:kinsoku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（10-6-2）</w:t>
            </w:r>
          </w:p>
        </w:tc>
        <w:tc>
          <w:tcPr>
            <w:tcW w:w="1551" w:type="dxa"/>
            <w:shd w:val="clear" w:color="auto" w:fill="auto"/>
          </w:tcPr>
          <w:p w14:paraId="5D6D84AA"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D876797" w14:textId="77777777" w:rsidR="00EC13B7" w:rsidRPr="00026143" w:rsidRDefault="00EC13B7" w:rsidP="003F057E">
            <w:pPr>
              <w:kinsoku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6C815850" w14:textId="77777777" w:rsidR="00EC13B7" w:rsidRPr="00026143" w:rsidRDefault="00EC13B7" w:rsidP="007932B9">
      <w:pPr>
        <w:pStyle w:val="1-6"/>
        <w:kinsoku w:val="0"/>
        <w:wordWrap w:val="0"/>
        <w:topLinePunct/>
        <w:spacing w:beforeLines="150" w:before="540" w:afterLines="100" w:after="360" w:line="300" w:lineRule="exact"/>
        <w:ind w:left="1441" w:hanging="1157"/>
        <w:jc w:val="left"/>
        <w:textAlignment w:val="top"/>
        <w:outlineLvl w:val="1"/>
        <w:rPr>
          <w:color w:val="000000" w:themeColor="text1"/>
        </w:rPr>
      </w:pPr>
      <w:bookmarkStart w:id="477" w:name="_Toc96350546"/>
      <w:r w:rsidRPr="00026143">
        <w:rPr>
          <w:color w:val="000000" w:themeColor="text1"/>
        </w:rPr>
        <w:t>〔</w:t>
      </w:r>
      <w:r w:rsidRPr="00026143">
        <w:rPr>
          <w:rFonts w:hint="eastAsia"/>
          <w:color w:val="000000" w:themeColor="text1"/>
        </w:rPr>
        <w:t>陸</w:t>
      </w:r>
      <w:r w:rsidRPr="00026143">
        <w:rPr>
          <w:color w:val="000000" w:themeColor="text1"/>
        </w:rPr>
        <w:t>〕</w:t>
      </w:r>
      <w:r w:rsidRPr="00026143">
        <w:rPr>
          <w:rFonts w:hint="eastAsia"/>
          <w:color w:val="000000" w:themeColor="text1"/>
        </w:rPr>
        <w:t>人民請願案55案</w:t>
      </w:r>
      <w:bookmarkEnd w:id="477"/>
    </w:p>
    <w:tbl>
      <w:tblPr>
        <w:tblW w:w="8358" w:type="dxa"/>
        <w:tblInd w:w="7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5"/>
        <w:gridCol w:w="2403"/>
        <w:gridCol w:w="1937"/>
        <w:gridCol w:w="1635"/>
        <w:gridCol w:w="1808"/>
      </w:tblGrid>
      <w:tr w:rsidR="00EC13B7" w:rsidRPr="00026143" w14:paraId="519F204F" w14:textId="77777777" w:rsidTr="001D175D">
        <w:tc>
          <w:tcPr>
            <w:tcW w:w="575" w:type="dxa"/>
            <w:shd w:val="clear" w:color="auto" w:fill="auto"/>
          </w:tcPr>
          <w:p w14:paraId="3925F02C" w14:textId="77777777" w:rsidR="00EC13B7" w:rsidRPr="00026143" w:rsidRDefault="00EC13B7"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序號</w:t>
            </w:r>
          </w:p>
        </w:tc>
        <w:tc>
          <w:tcPr>
            <w:tcW w:w="2403" w:type="dxa"/>
            <w:shd w:val="clear" w:color="auto" w:fill="auto"/>
          </w:tcPr>
          <w:p w14:paraId="7F7B8C3E" w14:textId="77777777" w:rsidR="00EC13B7" w:rsidRPr="00026143" w:rsidRDefault="00EC13B7" w:rsidP="007932B9">
            <w:pPr>
              <w:kinsoku w:val="0"/>
              <w:topLinePunct/>
              <w:adjustRightInd w:val="0"/>
              <w:snapToGrid w:val="0"/>
              <w:spacing w:line="300" w:lineRule="exact"/>
              <w:jc w:val="distribute"/>
              <w:textAlignment w:val="top"/>
              <w:rPr>
                <w:rFonts w:ascii="標楷體" w:eastAsia="標楷體" w:hAnsi="標楷體"/>
                <w:b/>
                <w:color w:val="000000" w:themeColor="text1"/>
              </w:rPr>
            </w:pPr>
            <w:r w:rsidRPr="00026143">
              <w:rPr>
                <w:rFonts w:ascii="標楷體" w:eastAsia="標楷體" w:hAnsi="標楷體"/>
                <w:b/>
                <w:color w:val="000000" w:themeColor="text1"/>
              </w:rPr>
              <w:t>案由</w:t>
            </w:r>
          </w:p>
        </w:tc>
        <w:tc>
          <w:tcPr>
            <w:tcW w:w="1937" w:type="dxa"/>
            <w:shd w:val="clear" w:color="auto" w:fill="auto"/>
          </w:tcPr>
          <w:p w14:paraId="41C01292" w14:textId="77777777" w:rsidR="00EC13B7" w:rsidRPr="00026143" w:rsidRDefault="00EC13B7" w:rsidP="007932B9">
            <w:pPr>
              <w:spacing w:line="360" w:lineRule="exact"/>
              <w:rPr>
                <w:rFonts w:ascii="標楷體" w:eastAsia="標楷體" w:hAnsi="標楷體"/>
                <w:b/>
                <w:color w:val="000000" w:themeColor="text1"/>
              </w:rPr>
            </w:pPr>
            <w:r w:rsidRPr="00026143">
              <w:rPr>
                <w:rFonts w:ascii="標楷體" w:eastAsia="標楷體" w:hAnsi="標楷體"/>
                <w:b/>
                <w:color w:val="000000" w:themeColor="text1"/>
              </w:rPr>
              <w:t>程序委員會會次</w:t>
            </w:r>
          </w:p>
          <w:p w14:paraId="0095422F" w14:textId="77777777" w:rsidR="00EC13B7" w:rsidRPr="00026143" w:rsidRDefault="00EC13B7" w:rsidP="007932B9">
            <w:pPr>
              <w:spacing w:line="360" w:lineRule="exact"/>
              <w:jc w:val="center"/>
              <w:rPr>
                <w:rFonts w:ascii="標楷體" w:eastAsia="標楷體" w:hAnsi="標楷體"/>
                <w:b/>
                <w:color w:val="000000" w:themeColor="text1"/>
              </w:rPr>
            </w:pPr>
            <w:r w:rsidRPr="00026143">
              <w:rPr>
                <w:rFonts w:ascii="標楷體" w:eastAsia="標楷體" w:hAnsi="標楷體"/>
                <w:b/>
                <w:color w:val="000000" w:themeColor="text1"/>
              </w:rPr>
              <w:t>(發文日期)</w:t>
            </w:r>
          </w:p>
        </w:tc>
        <w:tc>
          <w:tcPr>
            <w:tcW w:w="1635" w:type="dxa"/>
            <w:shd w:val="clear" w:color="auto" w:fill="auto"/>
          </w:tcPr>
          <w:p w14:paraId="7918C210"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審查委員會</w:t>
            </w:r>
          </w:p>
        </w:tc>
        <w:tc>
          <w:tcPr>
            <w:tcW w:w="1808" w:type="dxa"/>
            <w:shd w:val="clear" w:color="auto" w:fill="auto"/>
          </w:tcPr>
          <w:p w14:paraId="45D9DA79" w14:textId="77777777" w:rsidR="00EC13B7" w:rsidRPr="00026143" w:rsidRDefault="00EC13B7"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026143">
              <w:rPr>
                <w:rFonts w:ascii="標楷體" w:eastAsia="標楷體" w:hAnsi="標楷體"/>
                <w:b/>
                <w:color w:val="000000" w:themeColor="text1"/>
              </w:rPr>
              <w:t>審查情形</w:t>
            </w:r>
          </w:p>
        </w:tc>
      </w:tr>
      <w:tr w:rsidR="00EC13B7" w:rsidRPr="00026143" w14:paraId="761B4CFB" w14:textId="77777777" w:rsidTr="00EC13B7">
        <w:tc>
          <w:tcPr>
            <w:tcW w:w="575" w:type="dxa"/>
            <w:shd w:val="clear" w:color="auto" w:fill="auto"/>
          </w:tcPr>
          <w:p w14:paraId="60A7540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w:t>
            </w:r>
          </w:p>
        </w:tc>
        <w:tc>
          <w:tcPr>
            <w:tcW w:w="2403" w:type="dxa"/>
            <w:shd w:val="clear" w:color="auto" w:fill="auto"/>
          </w:tcPr>
          <w:p w14:paraId="0E50A9B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梁春富君等為建請修正公教人員保險法相關規定，將年金孤兒</w:t>
            </w:r>
            <w:r w:rsidRPr="00026143">
              <w:rPr>
                <w:rFonts w:ascii="標楷體" w:eastAsia="標楷體" w:hAnsi="標楷體"/>
                <w:color w:val="000000" w:themeColor="text1"/>
              </w:rPr>
              <w:lastRenderedPageBreak/>
              <w:t>納入公保年金適用對象，並提高年金給付請願文書乙份，請查照審查。</w:t>
            </w:r>
          </w:p>
        </w:tc>
        <w:tc>
          <w:tcPr>
            <w:tcW w:w="1937" w:type="dxa"/>
            <w:shd w:val="clear" w:color="auto" w:fill="auto"/>
          </w:tcPr>
          <w:p w14:paraId="478C1C1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10-2-11</w:t>
            </w:r>
          </w:p>
          <w:p w14:paraId="651E57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(109.12.14)</w:t>
            </w:r>
          </w:p>
        </w:tc>
        <w:tc>
          <w:tcPr>
            <w:tcW w:w="1635" w:type="dxa"/>
            <w:shd w:val="clear" w:color="auto" w:fill="auto"/>
          </w:tcPr>
          <w:p w14:paraId="581C1FB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9F9255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FAA1DAB" w14:textId="77777777" w:rsidTr="00EC13B7">
        <w:tc>
          <w:tcPr>
            <w:tcW w:w="575" w:type="dxa"/>
            <w:shd w:val="clear" w:color="auto" w:fill="auto"/>
          </w:tcPr>
          <w:p w14:paraId="10651E1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w:t>
            </w:r>
          </w:p>
        </w:tc>
        <w:tc>
          <w:tcPr>
            <w:tcW w:w="2403" w:type="dxa"/>
            <w:shd w:val="clear" w:color="auto" w:fill="auto"/>
          </w:tcPr>
          <w:p w14:paraId="12410BC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梁春富君等為請速審議公教人員保險法第48條修正案，以保障年金孤兒退休後之基本生活請願文書4份，請查照審查。</w:t>
            </w:r>
          </w:p>
        </w:tc>
        <w:tc>
          <w:tcPr>
            <w:tcW w:w="1937" w:type="dxa"/>
            <w:shd w:val="clear" w:color="auto" w:fill="auto"/>
          </w:tcPr>
          <w:p w14:paraId="646E024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10-3-1 </w:t>
            </w:r>
          </w:p>
          <w:p w14:paraId="6B5A129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(110.03.03)</w:t>
            </w:r>
          </w:p>
        </w:tc>
        <w:tc>
          <w:tcPr>
            <w:tcW w:w="1635" w:type="dxa"/>
            <w:shd w:val="clear" w:color="auto" w:fill="auto"/>
          </w:tcPr>
          <w:p w14:paraId="7989136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1ABA7F1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2AFBDE1" w14:textId="77777777" w:rsidTr="00EC13B7">
        <w:tc>
          <w:tcPr>
            <w:tcW w:w="575" w:type="dxa"/>
            <w:shd w:val="clear" w:color="auto" w:fill="auto"/>
          </w:tcPr>
          <w:p w14:paraId="3C412F8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w:t>
            </w:r>
          </w:p>
        </w:tc>
        <w:tc>
          <w:tcPr>
            <w:tcW w:w="2403" w:type="dxa"/>
            <w:shd w:val="clear" w:color="auto" w:fill="auto"/>
          </w:tcPr>
          <w:p w14:paraId="2BC9BC3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梁春富君等為陳請儘速審查公教人員保險法第48條修正案，將年金孤兒納入公保年金給付請願文書5份，請查照審查。</w:t>
            </w:r>
          </w:p>
        </w:tc>
        <w:tc>
          <w:tcPr>
            <w:tcW w:w="1937" w:type="dxa"/>
            <w:shd w:val="clear" w:color="auto" w:fill="auto"/>
          </w:tcPr>
          <w:p w14:paraId="75475AB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10-4-9</w:t>
            </w:r>
          </w:p>
          <w:p w14:paraId="4D6FB6D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(110.11.19)</w:t>
            </w:r>
          </w:p>
        </w:tc>
        <w:tc>
          <w:tcPr>
            <w:tcW w:w="1635" w:type="dxa"/>
            <w:shd w:val="clear" w:color="auto" w:fill="auto"/>
          </w:tcPr>
          <w:p w14:paraId="51C5E49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FDE6AB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8662DDC" w14:textId="77777777" w:rsidTr="00EC13B7">
        <w:tc>
          <w:tcPr>
            <w:tcW w:w="575" w:type="dxa"/>
            <w:shd w:val="clear" w:color="auto" w:fill="auto"/>
          </w:tcPr>
          <w:p w14:paraId="2B140F5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w:t>
            </w:r>
          </w:p>
        </w:tc>
        <w:tc>
          <w:tcPr>
            <w:tcW w:w="2403" w:type="dxa"/>
            <w:shd w:val="clear" w:color="auto" w:fill="auto"/>
          </w:tcPr>
          <w:p w14:paraId="3B9D7C1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李兆坤君為建議本院將外交及國防委員會更名為國家安全委員會等案請願文書乙份，請查照審查。</w:t>
            </w:r>
          </w:p>
        </w:tc>
        <w:tc>
          <w:tcPr>
            <w:tcW w:w="1937" w:type="dxa"/>
            <w:shd w:val="clear" w:color="auto" w:fill="auto"/>
          </w:tcPr>
          <w:p w14:paraId="23AD3B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10-2-13</w:t>
            </w:r>
          </w:p>
          <w:p w14:paraId="47C3B3C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(109.12.24)</w:t>
            </w:r>
          </w:p>
        </w:tc>
        <w:tc>
          <w:tcPr>
            <w:tcW w:w="1635" w:type="dxa"/>
            <w:shd w:val="clear" w:color="auto" w:fill="auto"/>
          </w:tcPr>
          <w:p w14:paraId="39D53E0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4BA414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1ED5B1" w14:textId="77777777" w:rsidTr="00EC13B7">
        <w:tc>
          <w:tcPr>
            <w:tcW w:w="575" w:type="dxa"/>
            <w:shd w:val="clear" w:color="auto" w:fill="auto"/>
          </w:tcPr>
          <w:p w14:paraId="42FA233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5</w:t>
            </w:r>
          </w:p>
        </w:tc>
        <w:tc>
          <w:tcPr>
            <w:tcW w:w="2403" w:type="dxa"/>
            <w:shd w:val="clear" w:color="auto" w:fill="auto"/>
          </w:tcPr>
          <w:p w14:paraId="1124F99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李兆坤君為就廢止國民大會相關法律與法規命令提出建議請願文書乙份，請查照審查。</w:t>
            </w:r>
          </w:p>
        </w:tc>
        <w:tc>
          <w:tcPr>
            <w:tcW w:w="1937" w:type="dxa"/>
            <w:shd w:val="clear" w:color="auto" w:fill="auto"/>
          </w:tcPr>
          <w:p w14:paraId="5287500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10-5-1 </w:t>
            </w:r>
          </w:p>
          <w:p w14:paraId="2C15C4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(111.03.04)</w:t>
            </w:r>
          </w:p>
        </w:tc>
        <w:tc>
          <w:tcPr>
            <w:tcW w:w="1635" w:type="dxa"/>
            <w:shd w:val="clear" w:color="auto" w:fill="auto"/>
          </w:tcPr>
          <w:p w14:paraId="5A30B4A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198E59F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59F372F" w14:textId="77777777" w:rsidTr="00EC13B7">
        <w:tc>
          <w:tcPr>
            <w:tcW w:w="575" w:type="dxa"/>
            <w:shd w:val="clear" w:color="auto" w:fill="auto"/>
          </w:tcPr>
          <w:p w14:paraId="0AF8A32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6</w:t>
            </w:r>
          </w:p>
        </w:tc>
        <w:tc>
          <w:tcPr>
            <w:tcW w:w="2403" w:type="dxa"/>
            <w:shd w:val="clear" w:color="auto" w:fill="auto"/>
          </w:tcPr>
          <w:p w14:paraId="7F98877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陳人杰君為毒品危害防制條例第35條之1第3項有違憲之虞請願文書乙份，請查照審查。</w:t>
            </w:r>
          </w:p>
        </w:tc>
        <w:tc>
          <w:tcPr>
            <w:tcW w:w="1937" w:type="dxa"/>
            <w:shd w:val="clear" w:color="auto" w:fill="auto"/>
          </w:tcPr>
          <w:p w14:paraId="199251E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10-2-13 </w:t>
            </w:r>
          </w:p>
          <w:p w14:paraId="1D5BD04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(109.12.24)</w:t>
            </w:r>
          </w:p>
        </w:tc>
        <w:tc>
          <w:tcPr>
            <w:tcW w:w="1635" w:type="dxa"/>
            <w:shd w:val="clear" w:color="auto" w:fill="auto"/>
          </w:tcPr>
          <w:p w14:paraId="6651D55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C7312A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5662442" w14:textId="77777777" w:rsidTr="00EC13B7">
        <w:tc>
          <w:tcPr>
            <w:tcW w:w="575" w:type="dxa"/>
            <w:shd w:val="clear" w:color="auto" w:fill="auto"/>
          </w:tcPr>
          <w:p w14:paraId="1814C7A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7</w:t>
            </w:r>
          </w:p>
        </w:tc>
        <w:tc>
          <w:tcPr>
            <w:tcW w:w="2403" w:type="dxa"/>
            <w:shd w:val="clear" w:color="auto" w:fill="auto"/>
          </w:tcPr>
          <w:p w14:paraId="703B8F9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吳浚銨君為新修正通過之民事訴訟法第249條及第249條之1，侵害憲法保障之訴訟權事請願文書乙份，請查照審查。</w:t>
            </w:r>
          </w:p>
        </w:tc>
        <w:tc>
          <w:tcPr>
            <w:tcW w:w="1937" w:type="dxa"/>
            <w:shd w:val="clear" w:color="auto" w:fill="auto"/>
          </w:tcPr>
          <w:p w14:paraId="3800190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10-3-1 </w:t>
            </w:r>
          </w:p>
          <w:p w14:paraId="76CCE98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(110.03.03)</w:t>
            </w:r>
          </w:p>
        </w:tc>
        <w:tc>
          <w:tcPr>
            <w:tcW w:w="1635" w:type="dxa"/>
            <w:shd w:val="clear" w:color="auto" w:fill="auto"/>
          </w:tcPr>
          <w:p w14:paraId="2E288F0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504D4D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7CA8C72" w14:textId="77777777" w:rsidTr="00EC13B7">
        <w:tc>
          <w:tcPr>
            <w:tcW w:w="575" w:type="dxa"/>
            <w:shd w:val="clear" w:color="auto" w:fill="auto"/>
          </w:tcPr>
          <w:p w14:paraId="3A89BDE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8</w:t>
            </w:r>
          </w:p>
        </w:tc>
        <w:tc>
          <w:tcPr>
            <w:tcW w:w="2403" w:type="dxa"/>
            <w:shd w:val="clear" w:color="auto" w:fill="auto"/>
          </w:tcPr>
          <w:p w14:paraId="514672F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黃資榮君為建請修正民法債篇第422條條文請願文書2份，請查照審查。</w:t>
            </w:r>
          </w:p>
        </w:tc>
        <w:tc>
          <w:tcPr>
            <w:tcW w:w="1937" w:type="dxa"/>
            <w:shd w:val="clear" w:color="auto" w:fill="auto"/>
          </w:tcPr>
          <w:p w14:paraId="16B6900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w:t>
            </w:r>
          </w:p>
          <w:p w14:paraId="74C146B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(110.03.03)</w:t>
            </w:r>
          </w:p>
        </w:tc>
        <w:tc>
          <w:tcPr>
            <w:tcW w:w="1635" w:type="dxa"/>
            <w:shd w:val="clear" w:color="auto" w:fill="auto"/>
          </w:tcPr>
          <w:p w14:paraId="35C3E92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37D52A7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0F2E595" w14:textId="77777777" w:rsidTr="00EC13B7">
        <w:tc>
          <w:tcPr>
            <w:tcW w:w="575" w:type="dxa"/>
            <w:shd w:val="clear" w:color="auto" w:fill="auto"/>
          </w:tcPr>
          <w:p w14:paraId="007A9EE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9</w:t>
            </w:r>
          </w:p>
        </w:tc>
        <w:tc>
          <w:tcPr>
            <w:tcW w:w="2403" w:type="dxa"/>
            <w:shd w:val="clear" w:color="auto" w:fill="auto"/>
          </w:tcPr>
          <w:p w14:paraId="7B2E9AD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張凱翔君為建議修正教師待遇條例部分條文請願文書乙份，請查照審查。</w:t>
            </w:r>
          </w:p>
        </w:tc>
        <w:tc>
          <w:tcPr>
            <w:tcW w:w="1937" w:type="dxa"/>
            <w:shd w:val="clear" w:color="auto" w:fill="auto"/>
          </w:tcPr>
          <w:p w14:paraId="45F740A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w:t>
            </w:r>
          </w:p>
          <w:p w14:paraId="39778F7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(110.03.03)</w:t>
            </w:r>
          </w:p>
        </w:tc>
        <w:tc>
          <w:tcPr>
            <w:tcW w:w="1635" w:type="dxa"/>
            <w:shd w:val="clear" w:color="auto" w:fill="auto"/>
          </w:tcPr>
          <w:p w14:paraId="3AC6E74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7BA3409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CA2EA44" w14:textId="77777777" w:rsidTr="00EC13B7">
        <w:tc>
          <w:tcPr>
            <w:tcW w:w="575" w:type="dxa"/>
            <w:shd w:val="clear" w:color="auto" w:fill="auto"/>
          </w:tcPr>
          <w:p w14:paraId="415E6C7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10</w:t>
            </w:r>
          </w:p>
        </w:tc>
        <w:tc>
          <w:tcPr>
            <w:tcW w:w="2403" w:type="dxa"/>
            <w:shd w:val="clear" w:color="auto" w:fill="auto"/>
          </w:tcPr>
          <w:p w14:paraId="5E738A7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張凱翔君為建議修正</w:t>
            </w:r>
            <w:r w:rsidRPr="00026143">
              <w:rPr>
                <w:rFonts w:ascii="標楷體" w:eastAsia="標楷體" w:hAnsi="標楷體"/>
                <w:color w:val="000000" w:themeColor="text1"/>
              </w:rPr>
              <w:lastRenderedPageBreak/>
              <w:t>憲法訴訟法第59條及第92條條文請願文書乙份，請查照審查。</w:t>
            </w:r>
          </w:p>
        </w:tc>
        <w:tc>
          <w:tcPr>
            <w:tcW w:w="1937" w:type="dxa"/>
            <w:shd w:val="clear" w:color="auto" w:fill="auto"/>
          </w:tcPr>
          <w:p w14:paraId="1194A9E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10-3-1</w:t>
            </w:r>
          </w:p>
          <w:p w14:paraId="0F473AF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(110.03.03)</w:t>
            </w:r>
          </w:p>
        </w:tc>
        <w:tc>
          <w:tcPr>
            <w:tcW w:w="1635" w:type="dxa"/>
            <w:shd w:val="clear" w:color="auto" w:fill="auto"/>
          </w:tcPr>
          <w:p w14:paraId="3AAD0D9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08" w:type="dxa"/>
            <w:shd w:val="clear" w:color="auto" w:fill="auto"/>
          </w:tcPr>
          <w:p w14:paraId="1BEF0BC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0900521" w14:textId="77777777" w:rsidTr="00EC13B7">
        <w:tc>
          <w:tcPr>
            <w:tcW w:w="575" w:type="dxa"/>
            <w:shd w:val="clear" w:color="auto" w:fill="auto"/>
          </w:tcPr>
          <w:p w14:paraId="510215E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11</w:t>
            </w:r>
          </w:p>
        </w:tc>
        <w:tc>
          <w:tcPr>
            <w:tcW w:w="2403" w:type="dxa"/>
            <w:shd w:val="clear" w:color="auto" w:fill="auto"/>
          </w:tcPr>
          <w:p w14:paraId="580F520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陳金財君為建議修正毒品危害防制條例第20條及第23條條文請願文書乙份，請查照審查。</w:t>
            </w:r>
          </w:p>
        </w:tc>
        <w:tc>
          <w:tcPr>
            <w:tcW w:w="1937" w:type="dxa"/>
            <w:shd w:val="clear" w:color="auto" w:fill="auto"/>
          </w:tcPr>
          <w:p w14:paraId="5EC9B95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10-3-1 </w:t>
            </w:r>
          </w:p>
          <w:p w14:paraId="7BD83BA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(110.03.03)</w:t>
            </w:r>
          </w:p>
        </w:tc>
        <w:tc>
          <w:tcPr>
            <w:tcW w:w="1635" w:type="dxa"/>
            <w:shd w:val="clear" w:color="auto" w:fill="auto"/>
          </w:tcPr>
          <w:p w14:paraId="3175A24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8E050F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71D05A" w14:textId="77777777" w:rsidTr="00EC13B7">
        <w:tc>
          <w:tcPr>
            <w:tcW w:w="575" w:type="dxa"/>
            <w:shd w:val="clear" w:color="auto" w:fill="auto"/>
          </w:tcPr>
          <w:p w14:paraId="5021893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12</w:t>
            </w:r>
          </w:p>
        </w:tc>
        <w:tc>
          <w:tcPr>
            <w:tcW w:w="2403" w:type="dxa"/>
            <w:shd w:val="clear" w:color="auto" w:fill="auto"/>
          </w:tcPr>
          <w:p w14:paraId="3199249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顏義勇君為累犯加重刑期違憲，陳請依司法院釋字第775號解釋意旨修法請願文書2份，請查照審查。</w:t>
            </w:r>
          </w:p>
        </w:tc>
        <w:tc>
          <w:tcPr>
            <w:tcW w:w="1937" w:type="dxa"/>
            <w:shd w:val="clear" w:color="auto" w:fill="auto"/>
          </w:tcPr>
          <w:p w14:paraId="5B1CD3F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10-3-7</w:t>
            </w:r>
          </w:p>
          <w:p w14:paraId="7BFCD69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(110.04.15)</w:t>
            </w:r>
          </w:p>
        </w:tc>
        <w:tc>
          <w:tcPr>
            <w:tcW w:w="1635" w:type="dxa"/>
            <w:shd w:val="clear" w:color="auto" w:fill="auto"/>
          </w:tcPr>
          <w:p w14:paraId="2DC2391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F155BD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6072C85" w14:textId="77777777" w:rsidTr="00EC13B7">
        <w:tc>
          <w:tcPr>
            <w:tcW w:w="575" w:type="dxa"/>
            <w:shd w:val="clear" w:color="auto" w:fill="auto"/>
          </w:tcPr>
          <w:p w14:paraId="4652E6D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13</w:t>
            </w:r>
          </w:p>
        </w:tc>
        <w:tc>
          <w:tcPr>
            <w:tcW w:w="2403" w:type="dxa"/>
            <w:shd w:val="clear" w:color="auto" w:fill="auto"/>
          </w:tcPr>
          <w:p w14:paraId="756E66E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台灣國際私法研究會為就涉外民事法律適用法第46條條文修正草案提出意見請願文書乙份，請查照審查。</w:t>
            </w:r>
          </w:p>
        </w:tc>
        <w:tc>
          <w:tcPr>
            <w:tcW w:w="1937" w:type="dxa"/>
            <w:shd w:val="clear" w:color="auto" w:fill="auto"/>
          </w:tcPr>
          <w:p w14:paraId="276F5B0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10-3-13</w:t>
            </w:r>
          </w:p>
          <w:p w14:paraId="760305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(110.05.19)</w:t>
            </w:r>
          </w:p>
        </w:tc>
        <w:tc>
          <w:tcPr>
            <w:tcW w:w="1635" w:type="dxa"/>
            <w:shd w:val="clear" w:color="auto" w:fill="auto"/>
          </w:tcPr>
          <w:p w14:paraId="6CE9E0E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365735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461F944" w14:textId="77777777" w:rsidTr="00EC13B7">
        <w:tc>
          <w:tcPr>
            <w:tcW w:w="575" w:type="dxa"/>
            <w:shd w:val="clear" w:color="auto" w:fill="auto"/>
          </w:tcPr>
          <w:p w14:paraId="1C43C89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14</w:t>
            </w:r>
          </w:p>
        </w:tc>
        <w:tc>
          <w:tcPr>
            <w:tcW w:w="2403" w:type="dxa"/>
            <w:shd w:val="clear" w:color="auto" w:fill="auto"/>
          </w:tcPr>
          <w:p w14:paraId="6F729C9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彭鈺龍君為憲法訴訟法將於111年1月4日施行，因其裁判憲法審查制度牴觸憲法第78條等規定，陳請重新妥為規定請願文書乙份，請查照審查。</w:t>
            </w:r>
          </w:p>
        </w:tc>
        <w:tc>
          <w:tcPr>
            <w:tcW w:w="1937" w:type="dxa"/>
            <w:shd w:val="clear" w:color="auto" w:fill="auto"/>
          </w:tcPr>
          <w:p w14:paraId="1AED7FD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10-3-13 </w:t>
            </w:r>
          </w:p>
          <w:p w14:paraId="244DCC5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(110.05.19)</w:t>
            </w:r>
          </w:p>
        </w:tc>
        <w:tc>
          <w:tcPr>
            <w:tcW w:w="1635" w:type="dxa"/>
            <w:shd w:val="clear" w:color="auto" w:fill="auto"/>
          </w:tcPr>
          <w:p w14:paraId="57A52E2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76E7598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6A75B86" w14:textId="77777777" w:rsidTr="00EC13B7">
        <w:tc>
          <w:tcPr>
            <w:tcW w:w="575" w:type="dxa"/>
            <w:shd w:val="clear" w:color="auto" w:fill="auto"/>
          </w:tcPr>
          <w:p w14:paraId="5DA47726"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15</w:t>
            </w:r>
          </w:p>
        </w:tc>
        <w:tc>
          <w:tcPr>
            <w:tcW w:w="2403" w:type="dxa"/>
            <w:shd w:val="clear" w:color="auto" w:fill="auto"/>
          </w:tcPr>
          <w:p w14:paraId="097BD7A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彭鈺龍君為建請暫停憲法訴訟法於111年1月4日施行請願文書乙份，請查照審查。</w:t>
            </w:r>
          </w:p>
        </w:tc>
        <w:tc>
          <w:tcPr>
            <w:tcW w:w="1937" w:type="dxa"/>
            <w:shd w:val="clear" w:color="auto" w:fill="auto"/>
          </w:tcPr>
          <w:p w14:paraId="6F0CFC4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10-4-1 </w:t>
            </w:r>
          </w:p>
          <w:p w14:paraId="60363A9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(110.10.01)</w:t>
            </w:r>
          </w:p>
        </w:tc>
        <w:tc>
          <w:tcPr>
            <w:tcW w:w="1635" w:type="dxa"/>
            <w:shd w:val="clear" w:color="auto" w:fill="auto"/>
          </w:tcPr>
          <w:p w14:paraId="1B7322D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B0CD72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3870B76" w14:textId="77777777" w:rsidTr="00EC13B7">
        <w:tc>
          <w:tcPr>
            <w:tcW w:w="575" w:type="dxa"/>
            <w:shd w:val="clear" w:color="auto" w:fill="auto"/>
          </w:tcPr>
          <w:p w14:paraId="7D6EE16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16</w:t>
            </w:r>
          </w:p>
        </w:tc>
        <w:tc>
          <w:tcPr>
            <w:tcW w:w="2403" w:type="dxa"/>
            <w:shd w:val="clear" w:color="auto" w:fill="auto"/>
          </w:tcPr>
          <w:p w14:paraId="21CAB97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羅敏雄君為建請修正公務人員考績法、公務員服務法請願文書乙份，請查照審查。</w:t>
            </w:r>
          </w:p>
        </w:tc>
        <w:tc>
          <w:tcPr>
            <w:tcW w:w="1937" w:type="dxa"/>
            <w:shd w:val="clear" w:color="auto" w:fill="auto"/>
          </w:tcPr>
          <w:p w14:paraId="793AAE5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10-4-1 </w:t>
            </w:r>
          </w:p>
          <w:p w14:paraId="5B407B0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(110.10.01)</w:t>
            </w:r>
          </w:p>
        </w:tc>
        <w:tc>
          <w:tcPr>
            <w:tcW w:w="1635" w:type="dxa"/>
            <w:shd w:val="clear" w:color="auto" w:fill="auto"/>
          </w:tcPr>
          <w:p w14:paraId="53BCB9F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A36632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B993D87" w14:textId="77777777" w:rsidTr="00EC13B7">
        <w:tc>
          <w:tcPr>
            <w:tcW w:w="575" w:type="dxa"/>
            <w:shd w:val="clear" w:color="auto" w:fill="auto"/>
          </w:tcPr>
          <w:p w14:paraId="4ECF997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17</w:t>
            </w:r>
          </w:p>
        </w:tc>
        <w:tc>
          <w:tcPr>
            <w:tcW w:w="2403" w:type="dxa"/>
            <w:shd w:val="clear" w:color="auto" w:fill="auto"/>
          </w:tcPr>
          <w:p w14:paraId="0D3F3DC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吳世綸君等28人(如附表)為於刑之執行前，令入勞動場所強制工作三年之保安處分，是否為一罪兩罰？陳請修法請願文書28份，請查照審查。</w:t>
            </w:r>
          </w:p>
        </w:tc>
        <w:tc>
          <w:tcPr>
            <w:tcW w:w="1937" w:type="dxa"/>
            <w:shd w:val="clear" w:color="auto" w:fill="auto"/>
          </w:tcPr>
          <w:p w14:paraId="4E31C31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10-4-1 </w:t>
            </w:r>
          </w:p>
          <w:p w14:paraId="66158A30"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(110.10.01)</w:t>
            </w:r>
          </w:p>
        </w:tc>
        <w:tc>
          <w:tcPr>
            <w:tcW w:w="1635" w:type="dxa"/>
            <w:shd w:val="clear" w:color="auto" w:fill="auto"/>
          </w:tcPr>
          <w:p w14:paraId="63634EE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73D7746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96899FC" w14:textId="77777777" w:rsidTr="00EC13B7">
        <w:tc>
          <w:tcPr>
            <w:tcW w:w="575" w:type="dxa"/>
            <w:shd w:val="clear" w:color="auto" w:fill="auto"/>
          </w:tcPr>
          <w:p w14:paraId="30DA412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18</w:t>
            </w:r>
          </w:p>
        </w:tc>
        <w:tc>
          <w:tcPr>
            <w:tcW w:w="2403" w:type="dxa"/>
            <w:shd w:val="clear" w:color="auto" w:fill="auto"/>
          </w:tcPr>
          <w:p w14:paraId="4003531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郭登昌君為提出行刑累進處遇條例之修正</w:t>
            </w:r>
            <w:r w:rsidRPr="00026143">
              <w:rPr>
                <w:rFonts w:ascii="標楷體" w:eastAsia="標楷體" w:hAnsi="標楷體"/>
                <w:color w:val="000000" w:themeColor="text1"/>
              </w:rPr>
              <w:lastRenderedPageBreak/>
              <w:t>建議請願文書乙份，請查照審查。</w:t>
            </w:r>
          </w:p>
        </w:tc>
        <w:tc>
          <w:tcPr>
            <w:tcW w:w="1937" w:type="dxa"/>
            <w:shd w:val="clear" w:color="auto" w:fill="auto"/>
          </w:tcPr>
          <w:p w14:paraId="5A97308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10-4-4</w:t>
            </w:r>
          </w:p>
          <w:p w14:paraId="752CC9E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(110.10.15)</w:t>
            </w:r>
          </w:p>
        </w:tc>
        <w:tc>
          <w:tcPr>
            <w:tcW w:w="1635" w:type="dxa"/>
            <w:shd w:val="clear" w:color="auto" w:fill="auto"/>
          </w:tcPr>
          <w:p w14:paraId="524BC67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008B73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08DC102" w14:textId="77777777" w:rsidTr="00EC13B7">
        <w:tc>
          <w:tcPr>
            <w:tcW w:w="575" w:type="dxa"/>
            <w:shd w:val="clear" w:color="auto" w:fill="auto"/>
          </w:tcPr>
          <w:p w14:paraId="2CE8217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19</w:t>
            </w:r>
          </w:p>
        </w:tc>
        <w:tc>
          <w:tcPr>
            <w:tcW w:w="2403" w:type="dxa"/>
            <w:shd w:val="clear" w:color="auto" w:fill="auto"/>
          </w:tcPr>
          <w:p w14:paraId="60582ED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黃則惟君等2人為於刑之執行前，令入勞動場所強制工作三年之保安處分，是否為一罪兩罰？陳請修法請願文書乙份，請查照審查。</w:t>
            </w:r>
          </w:p>
        </w:tc>
        <w:tc>
          <w:tcPr>
            <w:tcW w:w="1937" w:type="dxa"/>
            <w:shd w:val="clear" w:color="auto" w:fill="auto"/>
          </w:tcPr>
          <w:p w14:paraId="320AB85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10-4-4 </w:t>
            </w:r>
          </w:p>
          <w:p w14:paraId="604DC1B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(110.10.15)</w:t>
            </w:r>
          </w:p>
        </w:tc>
        <w:tc>
          <w:tcPr>
            <w:tcW w:w="1635" w:type="dxa"/>
            <w:shd w:val="clear" w:color="auto" w:fill="auto"/>
          </w:tcPr>
          <w:p w14:paraId="220D252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D563DC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B5C0005" w14:textId="77777777" w:rsidTr="00EC13B7">
        <w:tc>
          <w:tcPr>
            <w:tcW w:w="575" w:type="dxa"/>
            <w:shd w:val="clear" w:color="auto" w:fill="auto"/>
          </w:tcPr>
          <w:p w14:paraId="793233F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20</w:t>
            </w:r>
          </w:p>
        </w:tc>
        <w:tc>
          <w:tcPr>
            <w:tcW w:w="2403" w:type="dxa"/>
            <w:shd w:val="clear" w:color="auto" w:fill="auto"/>
          </w:tcPr>
          <w:p w14:paraId="1600FE4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邱伊翎君為陳請儘速完成監察院國家人權委員會職權行使法之立法請願文書乙份，請查照審查。</w:t>
            </w:r>
          </w:p>
        </w:tc>
        <w:tc>
          <w:tcPr>
            <w:tcW w:w="1937" w:type="dxa"/>
            <w:shd w:val="clear" w:color="auto" w:fill="auto"/>
          </w:tcPr>
          <w:p w14:paraId="3F269D9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10-4-5 </w:t>
            </w:r>
          </w:p>
          <w:p w14:paraId="47796AF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(110.10.15)</w:t>
            </w:r>
          </w:p>
        </w:tc>
        <w:tc>
          <w:tcPr>
            <w:tcW w:w="1635" w:type="dxa"/>
            <w:shd w:val="clear" w:color="auto" w:fill="auto"/>
          </w:tcPr>
          <w:p w14:paraId="180AA61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B93421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1064EF6" w14:textId="77777777" w:rsidTr="00EC13B7">
        <w:tc>
          <w:tcPr>
            <w:tcW w:w="575" w:type="dxa"/>
            <w:shd w:val="clear" w:color="auto" w:fill="auto"/>
          </w:tcPr>
          <w:p w14:paraId="63797D2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21</w:t>
            </w:r>
          </w:p>
        </w:tc>
        <w:tc>
          <w:tcPr>
            <w:tcW w:w="2403" w:type="dxa"/>
            <w:shd w:val="clear" w:color="auto" w:fill="auto"/>
          </w:tcPr>
          <w:p w14:paraId="46C444D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台灣南社為發起關於「共諜案危及台灣國家安全」連署聲明，提出中華民國刑法、國家機密保護法等修正建議請願文書乙份，請查照審查。</w:t>
            </w:r>
          </w:p>
        </w:tc>
        <w:tc>
          <w:tcPr>
            <w:tcW w:w="1937" w:type="dxa"/>
            <w:shd w:val="clear" w:color="auto" w:fill="auto"/>
          </w:tcPr>
          <w:p w14:paraId="72920B5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p w14:paraId="67C96ED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(110.11.03)</w:t>
            </w:r>
          </w:p>
        </w:tc>
        <w:tc>
          <w:tcPr>
            <w:tcW w:w="1635" w:type="dxa"/>
            <w:shd w:val="clear" w:color="auto" w:fill="auto"/>
          </w:tcPr>
          <w:p w14:paraId="35ADA8A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22B451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9DC5303" w14:textId="77777777" w:rsidTr="00EC13B7">
        <w:tc>
          <w:tcPr>
            <w:tcW w:w="575" w:type="dxa"/>
            <w:shd w:val="clear" w:color="auto" w:fill="auto"/>
          </w:tcPr>
          <w:p w14:paraId="5A0FF16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22</w:t>
            </w:r>
          </w:p>
        </w:tc>
        <w:tc>
          <w:tcPr>
            <w:tcW w:w="2403" w:type="dxa"/>
            <w:shd w:val="clear" w:color="auto" w:fill="auto"/>
          </w:tcPr>
          <w:p w14:paraId="30AD0BE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徐德義君為中華民國刑法第78條第2項有違憲之虞，陳請修法請願文書乙份，請查照審查。</w:t>
            </w:r>
          </w:p>
        </w:tc>
        <w:tc>
          <w:tcPr>
            <w:tcW w:w="1937" w:type="dxa"/>
            <w:shd w:val="clear" w:color="auto" w:fill="auto"/>
          </w:tcPr>
          <w:p w14:paraId="79AE970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10-4-7 </w:t>
            </w:r>
          </w:p>
          <w:p w14:paraId="39E5AA6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(110.11.03)</w:t>
            </w:r>
          </w:p>
        </w:tc>
        <w:tc>
          <w:tcPr>
            <w:tcW w:w="1635" w:type="dxa"/>
            <w:shd w:val="clear" w:color="auto" w:fill="auto"/>
          </w:tcPr>
          <w:p w14:paraId="3AC74C2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AC104A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CE37759" w14:textId="77777777" w:rsidTr="00EC13B7">
        <w:tc>
          <w:tcPr>
            <w:tcW w:w="575" w:type="dxa"/>
            <w:shd w:val="clear" w:color="auto" w:fill="auto"/>
          </w:tcPr>
          <w:p w14:paraId="0469537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23</w:t>
            </w:r>
          </w:p>
        </w:tc>
        <w:tc>
          <w:tcPr>
            <w:tcW w:w="2403" w:type="dxa"/>
            <w:shd w:val="clear" w:color="auto" w:fill="auto"/>
          </w:tcPr>
          <w:p w14:paraId="57B49B2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周正倫君等2人為於刑之執行前，令入勞動場所強制工作三年之保安處分，是否為一罪兩罰？陳請修法請願文書各乙份，請查照審查。</w:t>
            </w:r>
          </w:p>
        </w:tc>
        <w:tc>
          <w:tcPr>
            <w:tcW w:w="1937" w:type="dxa"/>
            <w:shd w:val="clear" w:color="auto" w:fill="auto"/>
          </w:tcPr>
          <w:p w14:paraId="46B02E1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10-4-7</w:t>
            </w:r>
          </w:p>
          <w:p w14:paraId="6FE4C77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(110.11.03)</w:t>
            </w:r>
          </w:p>
        </w:tc>
        <w:tc>
          <w:tcPr>
            <w:tcW w:w="1635" w:type="dxa"/>
            <w:shd w:val="clear" w:color="auto" w:fill="auto"/>
          </w:tcPr>
          <w:p w14:paraId="36C46F3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8EBE60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A3BE0C6" w14:textId="77777777" w:rsidTr="00EC13B7">
        <w:tc>
          <w:tcPr>
            <w:tcW w:w="575" w:type="dxa"/>
            <w:shd w:val="clear" w:color="auto" w:fill="auto"/>
          </w:tcPr>
          <w:p w14:paraId="3D667A0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24</w:t>
            </w:r>
          </w:p>
        </w:tc>
        <w:tc>
          <w:tcPr>
            <w:tcW w:w="2403" w:type="dxa"/>
            <w:shd w:val="clear" w:color="auto" w:fill="auto"/>
          </w:tcPr>
          <w:p w14:paraId="1F636F2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彭鈺龍君為司法院110年12月3日第197次會議通過刑事訴訟法等三法修正草案，有牴觸憲法第16條等規定事請願文書乙份，請查照審查。</w:t>
            </w:r>
          </w:p>
        </w:tc>
        <w:tc>
          <w:tcPr>
            <w:tcW w:w="1937" w:type="dxa"/>
            <w:shd w:val="clear" w:color="auto" w:fill="auto"/>
          </w:tcPr>
          <w:p w14:paraId="44AAF4A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10-4-14 </w:t>
            </w:r>
          </w:p>
          <w:p w14:paraId="6D78257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(110.12.28)</w:t>
            </w:r>
          </w:p>
        </w:tc>
        <w:tc>
          <w:tcPr>
            <w:tcW w:w="1635" w:type="dxa"/>
            <w:shd w:val="clear" w:color="auto" w:fill="auto"/>
          </w:tcPr>
          <w:p w14:paraId="354364E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758213B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0977A46" w14:textId="77777777" w:rsidTr="00EC13B7">
        <w:tc>
          <w:tcPr>
            <w:tcW w:w="575" w:type="dxa"/>
            <w:shd w:val="clear" w:color="auto" w:fill="auto"/>
          </w:tcPr>
          <w:p w14:paraId="062ADEE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25</w:t>
            </w:r>
          </w:p>
        </w:tc>
        <w:tc>
          <w:tcPr>
            <w:tcW w:w="2403" w:type="dxa"/>
            <w:shd w:val="clear" w:color="auto" w:fill="auto"/>
          </w:tcPr>
          <w:p w14:paraId="35B5142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黃識軒君為建請政府重視媒體產業發展及人才培育，特提出「中華民國全球傳媒事務局組織條例草案」請願文書乙份，請查</w:t>
            </w:r>
            <w:r w:rsidRPr="00026143">
              <w:rPr>
                <w:rFonts w:ascii="標楷體" w:eastAsia="標楷體" w:hAnsi="標楷體"/>
                <w:color w:val="000000" w:themeColor="text1"/>
              </w:rPr>
              <w:lastRenderedPageBreak/>
              <w:t>照審查。</w:t>
            </w:r>
          </w:p>
        </w:tc>
        <w:tc>
          <w:tcPr>
            <w:tcW w:w="1937" w:type="dxa"/>
            <w:shd w:val="clear" w:color="auto" w:fill="auto"/>
          </w:tcPr>
          <w:p w14:paraId="7ED2579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10-4-14</w:t>
            </w:r>
          </w:p>
          <w:p w14:paraId="6677CDC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(110.12.28)</w:t>
            </w:r>
          </w:p>
        </w:tc>
        <w:tc>
          <w:tcPr>
            <w:tcW w:w="1635" w:type="dxa"/>
            <w:shd w:val="clear" w:color="auto" w:fill="auto"/>
          </w:tcPr>
          <w:p w14:paraId="1D1EC19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3FF54CF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F2D0757" w14:textId="77777777" w:rsidTr="00EC13B7">
        <w:tc>
          <w:tcPr>
            <w:tcW w:w="575" w:type="dxa"/>
            <w:shd w:val="clear" w:color="auto" w:fill="auto"/>
          </w:tcPr>
          <w:p w14:paraId="0E3AACA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26</w:t>
            </w:r>
          </w:p>
        </w:tc>
        <w:tc>
          <w:tcPr>
            <w:tcW w:w="2403" w:type="dxa"/>
            <w:shd w:val="clear" w:color="auto" w:fill="auto"/>
          </w:tcPr>
          <w:p w14:paraId="7BFDE7E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臺灣亞洲時報黃識軒君為請儘速完成「中華民國全球傳媒事務局組織條例草案」審議，並暫緩或中止設立數位發展部請願文書乙份，請查照審查。</w:t>
            </w:r>
          </w:p>
        </w:tc>
        <w:tc>
          <w:tcPr>
            <w:tcW w:w="1937" w:type="dxa"/>
            <w:shd w:val="clear" w:color="auto" w:fill="auto"/>
          </w:tcPr>
          <w:p w14:paraId="56B7022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10-5-7 </w:t>
            </w:r>
          </w:p>
          <w:p w14:paraId="45D98B3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(111.04.15)</w:t>
            </w:r>
          </w:p>
        </w:tc>
        <w:tc>
          <w:tcPr>
            <w:tcW w:w="1635" w:type="dxa"/>
            <w:shd w:val="clear" w:color="auto" w:fill="auto"/>
          </w:tcPr>
          <w:p w14:paraId="45BEDE6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665EC7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880C383" w14:textId="77777777" w:rsidTr="00EC13B7">
        <w:tc>
          <w:tcPr>
            <w:tcW w:w="575" w:type="dxa"/>
            <w:shd w:val="clear" w:color="auto" w:fill="auto"/>
          </w:tcPr>
          <w:p w14:paraId="0D7F6F5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27</w:t>
            </w:r>
          </w:p>
        </w:tc>
        <w:tc>
          <w:tcPr>
            <w:tcW w:w="2403" w:type="dxa"/>
            <w:shd w:val="clear" w:color="auto" w:fill="auto"/>
          </w:tcPr>
          <w:p w14:paraId="6CDF5B8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謝朝和君為陳請修正中華民國刑法施行法第7條之2第2項但書請願文書乙份，請查照審查。</w:t>
            </w:r>
          </w:p>
        </w:tc>
        <w:tc>
          <w:tcPr>
            <w:tcW w:w="1937" w:type="dxa"/>
            <w:shd w:val="clear" w:color="auto" w:fill="auto"/>
          </w:tcPr>
          <w:p w14:paraId="4FC7651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10-4-15 </w:t>
            </w:r>
          </w:p>
          <w:p w14:paraId="2F7D365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(111.01.10)</w:t>
            </w:r>
          </w:p>
        </w:tc>
        <w:tc>
          <w:tcPr>
            <w:tcW w:w="1635" w:type="dxa"/>
            <w:shd w:val="clear" w:color="auto" w:fill="auto"/>
          </w:tcPr>
          <w:p w14:paraId="719A501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7FE795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71188F7" w14:textId="77777777" w:rsidTr="00EC13B7">
        <w:tc>
          <w:tcPr>
            <w:tcW w:w="575" w:type="dxa"/>
            <w:shd w:val="clear" w:color="auto" w:fill="auto"/>
          </w:tcPr>
          <w:p w14:paraId="4ED93D13"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28</w:t>
            </w:r>
          </w:p>
        </w:tc>
        <w:tc>
          <w:tcPr>
            <w:tcW w:w="2403" w:type="dxa"/>
            <w:shd w:val="clear" w:color="auto" w:fill="auto"/>
          </w:tcPr>
          <w:p w14:paraId="7F08DC7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葉方叡君所提破產法第2條第1項條文修正草案請願文書乙份，請查照審查。</w:t>
            </w:r>
          </w:p>
        </w:tc>
        <w:tc>
          <w:tcPr>
            <w:tcW w:w="1937" w:type="dxa"/>
            <w:shd w:val="clear" w:color="auto" w:fill="auto"/>
          </w:tcPr>
          <w:p w14:paraId="11FF986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10-5-1 </w:t>
            </w:r>
          </w:p>
          <w:p w14:paraId="15867DF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(111.03.04)</w:t>
            </w:r>
          </w:p>
        </w:tc>
        <w:tc>
          <w:tcPr>
            <w:tcW w:w="1635" w:type="dxa"/>
            <w:shd w:val="clear" w:color="auto" w:fill="auto"/>
          </w:tcPr>
          <w:p w14:paraId="639B185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5001908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DDF8883" w14:textId="77777777" w:rsidTr="00EC13B7">
        <w:tc>
          <w:tcPr>
            <w:tcW w:w="575" w:type="dxa"/>
            <w:shd w:val="clear" w:color="auto" w:fill="auto"/>
          </w:tcPr>
          <w:p w14:paraId="26C05F59"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29</w:t>
            </w:r>
          </w:p>
        </w:tc>
        <w:tc>
          <w:tcPr>
            <w:tcW w:w="2403" w:type="dxa"/>
            <w:shd w:val="clear" w:color="auto" w:fill="auto"/>
          </w:tcPr>
          <w:p w14:paraId="3D16973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葉方叡君為就司法改革強調檢審分離制度之必要性，提出軍事審判法部分條文修正草案請願文書乙份，請查照審查。</w:t>
            </w:r>
          </w:p>
        </w:tc>
        <w:tc>
          <w:tcPr>
            <w:tcW w:w="1937" w:type="dxa"/>
            <w:shd w:val="clear" w:color="auto" w:fill="auto"/>
          </w:tcPr>
          <w:p w14:paraId="26B440E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10-5-1</w:t>
            </w:r>
          </w:p>
          <w:p w14:paraId="6C2A6D3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(111.03.04)</w:t>
            </w:r>
          </w:p>
        </w:tc>
        <w:tc>
          <w:tcPr>
            <w:tcW w:w="1635" w:type="dxa"/>
            <w:shd w:val="clear" w:color="auto" w:fill="auto"/>
          </w:tcPr>
          <w:p w14:paraId="32AC3FD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15197D1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B8FC418" w14:textId="77777777" w:rsidTr="00EC13B7">
        <w:tc>
          <w:tcPr>
            <w:tcW w:w="575" w:type="dxa"/>
            <w:shd w:val="clear" w:color="auto" w:fill="auto"/>
          </w:tcPr>
          <w:p w14:paraId="5384B7D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30</w:t>
            </w:r>
          </w:p>
        </w:tc>
        <w:tc>
          <w:tcPr>
            <w:tcW w:w="2403" w:type="dxa"/>
            <w:shd w:val="clear" w:color="auto" w:fill="auto"/>
          </w:tcPr>
          <w:p w14:paraId="258CCFE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邵招明君為刑事訴訟法增訂第160條之1條文草案，建議應溯及既往請願文書乙份，請查照審查。</w:t>
            </w:r>
          </w:p>
        </w:tc>
        <w:tc>
          <w:tcPr>
            <w:tcW w:w="1937" w:type="dxa"/>
            <w:shd w:val="clear" w:color="auto" w:fill="auto"/>
          </w:tcPr>
          <w:p w14:paraId="261097E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10-5-3</w:t>
            </w:r>
          </w:p>
          <w:p w14:paraId="659F46B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(111.03.24)</w:t>
            </w:r>
          </w:p>
        </w:tc>
        <w:tc>
          <w:tcPr>
            <w:tcW w:w="1635" w:type="dxa"/>
            <w:shd w:val="clear" w:color="auto" w:fill="auto"/>
          </w:tcPr>
          <w:p w14:paraId="2A699CC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30AF2E4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EACBB83" w14:textId="77777777" w:rsidTr="00EC13B7">
        <w:tc>
          <w:tcPr>
            <w:tcW w:w="575" w:type="dxa"/>
            <w:shd w:val="clear" w:color="auto" w:fill="auto"/>
          </w:tcPr>
          <w:p w14:paraId="6562A62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31</w:t>
            </w:r>
          </w:p>
        </w:tc>
        <w:tc>
          <w:tcPr>
            <w:tcW w:w="2403" w:type="dxa"/>
            <w:shd w:val="clear" w:color="auto" w:fill="auto"/>
          </w:tcPr>
          <w:p w14:paraId="148E2E4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陳樹彬君等為陳請修正中華民國刑法第90條第1項條文，強制工作可折抵本刑請願文書乙份，請查照審查。</w:t>
            </w:r>
          </w:p>
        </w:tc>
        <w:tc>
          <w:tcPr>
            <w:tcW w:w="1937" w:type="dxa"/>
            <w:shd w:val="clear" w:color="auto" w:fill="auto"/>
          </w:tcPr>
          <w:p w14:paraId="2D91D4B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10-5-5</w:t>
            </w:r>
          </w:p>
          <w:p w14:paraId="4E99A361"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(111.04.01)</w:t>
            </w:r>
          </w:p>
        </w:tc>
        <w:tc>
          <w:tcPr>
            <w:tcW w:w="1635" w:type="dxa"/>
            <w:shd w:val="clear" w:color="auto" w:fill="auto"/>
          </w:tcPr>
          <w:p w14:paraId="771D9D9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633DCD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B9DF178" w14:textId="77777777" w:rsidTr="00EC13B7">
        <w:tc>
          <w:tcPr>
            <w:tcW w:w="575" w:type="dxa"/>
            <w:shd w:val="clear" w:color="auto" w:fill="auto"/>
          </w:tcPr>
          <w:p w14:paraId="53A27764"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32</w:t>
            </w:r>
          </w:p>
        </w:tc>
        <w:tc>
          <w:tcPr>
            <w:tcW w:w="2403" w:type="dxa"/>
            <w:shd w:val="clear" w:color="auto" w:fill="auto"/>
          </w:tcPr>
          <w:p w14:paraId="1ACB194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臺灣二二八關懷總會等為就「財團法人二二八事件紀念基金會」改組為「財團法人威權統治時期國家不法行為被害者權利回復基金會」相關修法乙事，聲明表達堅決不同意請願文書乙份，請查照審查。</w:t>
            </w:r>
          </w:p>
        </w:tc>
        <w:tc>
          <w:tcPr>
            <w:tcW w:w="1937" w:type="dxa"/>
            <w:shd w:val="clear" w:color="auto" w:fill="auto"/>
          </w:tcPr>
          <w:p w14:paraId="7C94E25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10-5-7</w:t>
            </w:r>
          </w:p>
          <w:p w14:paraId="76BB72D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(111.04.15)</w:t>
            </w:r>
          </w:p>
        </w:tc>
        <w:tc>
          <w:tcPr>
            <w:tcW w:w="1635" w:type="dxa"/>
            <w:shd w:val="clear" w:color="auto" w:fill="auto"/>
          </w:tcPr>
          <w:p w14:paraId="1030FF6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2C35B9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E28F181" w14:textId="77777777" w:rsidTr="00EC13B7">
        <w:tc>
          <w:tcPr>
            <w:tcW w:w="575" w:type="dxa"/>
            <w:shd w:val="clear" w:color="auto" w:fill="auto"/>
          </w:tcPr>
          <w:p w14:paraId="5545703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33</w:t>
            </w:r>
          </w:p>
        </w:tc>
        <w:tc>
          <w:tcPr>
            <w:tcW w:w="2403" w:type="dxa"/>
            <w:shd w:val="clear" w:color="auto" w:fill="auto"/>
          </w:tcPr>
          <w:p w14:paraId="63EEF63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張法安君為就公務人</w:t>
            </w:r>
            <w:r w:rsidRPr="00026143">
              <w:rPr>
                <w:rFonts w:ascii="標楷體" w:eastAsia="標楷體" w:hAnsi="標楷體"/>
                <w:color w:val="000000" w:themeColor="text1"/>
              </w:rPr>
              <w:lastRenderedPageBreak/>
              <w:t>員任用法第28條第1項第8款修正草案有違憲之虞請願文書乙份，請查照審查。</w:t>
            </w:r>
          </w:p>
        </w:tc>
        <w:tc>
          <w:tcPr>
            <w:tcW w:w="1937" w:type="dxa"/>
            <w:shd w:val="clear" w:color="auto" w:fill="auto"/>
          </w:tcPr>
          <w:p w14:paraId="6167E4E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10-5-11 </w:t>
            </w:r>
          </w:p>
          <w:p w14:paraId="69C5851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(111.05.13)</w:t>
            </w:r>
          </w:p>
        </w:tc>
        <w:tc>
          <w:tcPr>
            <w:tcW w:w="1635" w:type="dxa"/>
            <w:shd w:val="clear" w:color="auto" w:fill="auto"/>
          </w:tcPr>
          <w:p w14:paraId="598F203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司法及法制</w:t>
            </w:r>
          </w:p>
        </w:tc>
        <w:tc>
          <w:tcPr>
            <w:tcW w:w="1808" w:type="dxa"/>
            <w:shd w:val="clear" w:color="auto" w:fill="auto"/>
          </w:tcPr>
          <w:p w14:paraId="62D3B08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3197D1B" w14:textId="77777777" w:rsidTr="00EC13B7">
        <w:tc>
          <w:tcPr>
            <w:tcW w:w="575" w:type="dxa"/>
            <w:shd w:val="clear" w:color="auto" w:fill="auto"/>
          </w:tcPr>
          <w:p w14:paraId="33C5CB5D"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34</w:t>
            </w:r>
          </w:p>
        </w:tc>
        <w:tc>
          <w:tcPr>
            <w:tcW w:w="2403" w:type="dxa"/>
            <w:shd w:val="clear" w:color="auto" w:fill="auto"/>
          </w:tcPr>
          <w:p w14:paraId="46177F0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趙建民君為建請成立行政院臺灣聾人手語委員會，併附「行政院臺灣聾人手語委員會組織法草案」及其所提修正條文等資料請願文書2份，請查照審查。</w:t>
            </w:r>
          </w:p>
        </w:tc>
        <w:tc>
          <w:tcPr>
            <w:tcW w:w="1937" w:type="dxa"/>
            <w:shd w:val="clear" w:color="auto" w:fill="auto"/>
          </w:tcPr>
          <w:p w14:paraId="0E71445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10-5-11 </w:t>
            </w:r>
          </w:p>
          <w:p w14:paraId="2A58007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(111.05.13)</w:t>
            </w:r>
          </w:p>
        </w:tc>
        <w:tc>
          <w:tcPr>
            <w:tcW w:w="1635" w:type="dxa"/>
            <w:shd w:val="clear" w:color="auto" w:fill="auto"/>
          </w:tcPr>
          <w:p w14:paraId="0D17CCC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5178A1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8371134" w14:textId="77777777" w:rsidTr="00EC13B7">
        <w:tc>
          <w:tcPr>
            <w:tcW w:w="575" w:type="dxa"/>
            <w:shd w:val="clear" w:color="auto" w:fill="auto"/>
          </w:tcPr>
          <w:p w14:paraId="13E14C1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35</w:t>
            </w:r>
          </w:p>
        </w:tc>
        <w:tc>
          <w:tcPr>
            <w:tcW w:w="2403" w:type="dxa"/>
            <w:shd w:val="clear" w:color="auto" w:fill="auto"/>
          </w:tcPr>
          <w:p w14:paraId="45314C6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王炳龍君為請制定訴訟當事人保護法等請願文書2份，請查照審查。</w:t>
            </w:r>
          </w:p>
        </w:tc>
        <w:tc>
          <w:tcPr>
            <w:tcW w:w="1937" w:type="dxa"/>
            <w:shd w:val="clear" w:color="auto" w:fill="auto"/>
          </w:tcPr>
          <w:p w14:paraId="0F4BCAE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10-5-13 </w:t>
            </w:r>
          </w:p>
          <w:p w14:paraId="69B4CDF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(111.05.26)</w:t>
            </w:r>
          </w:p>
        </w:tc>
        <w:tc>
          <w:tcPr>
            <w:tcW w:w="1635" w:type="dxa"/>
            <w:shd w:val="clear" w:color="auto" w:fill="auto"/>
          </w:tcPr>
          <w:p w14:paraId="584DB3A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37F2C9D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66359C" w14:textId="77777777" w:rsidTr="00EC13B7">
        <w:tc>
          <w:tcPr>
            <w:tcW w:w="575" w:type="dxa"/>
            <w:shd w:val="clear" w:color="auto" w:fill="auto"/>
          </w:tcPr>
          <w:p w14:paraId="739BE3A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36</w:t>
            </w:r>
          </w:p>
        </w:tc>
        <w:tc>
          <w:tcPr>
            <w:tcW w:w="2403" w:type="dxa"/>
            <w:shd w:val="clear" w:color="auto" w:fill="auto"/>
          </w:tcPr>
          <w:p w14:paraId="3E78C5D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申永平君為請修正中華民國刑法第79條之1第2項條文請願文書乙份，請查照審查。</w:t>
            </w:r>
          </w:p>
        </w:tc>
        <w:tc>
          <w:tcPr>
            <w:tcW w:w="1937" w:type="dxa"/>
            <w:shd w:val="clear" w:color="auto" w:fill="auto"/>
          </w:tcPr>
          <w:p w14:paraId="3A4AE36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 </w:t>
            </w:r>
          </w:p>
          <w:p w14:paraId="6602005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75D4E0D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2C2E8B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8D51A1D" w14:textId="77777777" w:rsidTr="00EC13B7">
        <w:tc>
          <w:tcPr>
            <w:tcW w:w="575" w:type="dxa"/>
            <w:shd w:val="clear" w:color="auto" w:fill="auto"/>
          </w:tcPr>
          <w:p w14:paraId="0E234A9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37</w:t>
            </w:r>
          </w:p>
        </w:tc>
        <w:tc>
          <w:tcPr>
            <w:tcW w:w="2403" w:type="dxa"/>
            <w:shd w:val="clear" w:color="auto" w:fill="auto"/>
          </w:tcPr>
          <w:p w14:paraId="7AF12DB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許錦榮君為強制委任律師制度剝奪人民訴訟權，建請修法刪除民事訴訟法第466條之1條文請願文書乙份，請查照審查。</w:t>
            </w:r>
          </w:p>
        </w:tc>
        <w:tc>
          <w:tcPr>
            <w:tcW w:w="1937" w:type="dxa"/>
            <w:shd w:val="clear" w:color="auto" w:fill="auto"/>
          </w:tcPr>
          <w:p w14:paraId="11733F7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 </w:t>
            </w:r>
          </w:p>
          <w:p w14:paraId="0D55F3F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357D5F1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5B5C1B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B77273E" w14:textId="77777777" w:rsidTr="00EC13B7">
        <w:tc>
          <w:tcPr>
            <w:tcW w:w="575" w:type="dxa"/>
            <w:shd w:val="clear" w:color="auto" w:fill="auto"/>
          </w:tcPr>
          <w:p w14:paraId="3257B0D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38</w:t>
            </w:r>
          </w:p>
        </w:tc>
        <w:tc>
          <w:tcPr>
            <w:tcW w:w="2403" w:type="dxa"/>
            <w:shd w:val="clear" w:color="auto" w:fill="auto"/>
          </w:tcPr>
          <w:p w14:paraId="6926F31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張家茂君為受刑人外役監遴選條件過於苛刻，建請修正外役監條例第4條條文請願文書2份，請查照審查。</w:t>
            </w:r>
          </w:p>
        </w:tc>
        <w:tc>
          <w:tcPr>
            <w:tcW w:w="1937" w:type="dxa"/>
            <w:shd w:val="clear" w:color="auto" w:fill="auto"/>
          </w:tcPr>
          <w:p w14:paraId="1648261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 </w:t>
            </w:r>
          </w:p>
          <w:p w14:paraId="68EA732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p w14:paraId="054FC854"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p>
          <w:p w14:paraId="60C5045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635" w:type="dxa"/>
            <w:shd w:val="clear" w:color="auto" w:fill="auto"/>
          </w:tcPr>
          <w:p w14:paraId="0144AF4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3046A8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30067FEF" w14:textId="77777777" w:rsidTr="00EC13B7">
        <w:tc>
          <w:tcPr>
            <w:tcW w:w="575" w:type="dxa"/>
            <w:shd w:val="clear" w:color="auto" w:fill="auto"/>
          </w:tcPr>
          <w:p w14:paraId="452939E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39</w:t>
            </w:r>
          </w:p>
        </w:tc>
        <w:tc>
          <w:tcPr>
            <w:tcW w:w="2403" w:type="dxa"/>
            <w:shd w:val="clear" w:color="auto" w:fill="auto"/>
          </w:tcPr>
          <w:p w14:paraId="59A0597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黃錦川君為104年5月29日公教人員保險法第48條修法不公，致公保年金制度淪一國兩制，陳請協助速審公教人員保險法修正請願文書乙份，請查照審查。</w:t>
            </w:r>
          </w:p>
        </w:tc>
        <w:tc>
          <w:tcPr>
            <w:tcW w:w="1937" w:type="dxa"/>
            <w:shd w:val="clear" w:color="auto" w:fill="auto"/>
          </w:tcPr>
          <w:p w14:paraId="7794392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p w14:paraId="0C61D66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206BE93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66DFBA9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E1FAA24" w14:textId="77777777" w:rsidTr="00EC13B7">
        <w:tc>
          <w:tcPr>
            <w:tcW w:w="575" w:type="dxa"/>
            <w:shd w:val="clear" w:color="auto" w:fill="auto"/>
          </w:tcPr>
          <w:p w14:paraId="0466D37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40</w:t>
            </w:r>
          </w:p>
        </w:tc>
        <w:tc>
          <w:tcPr>
            <w:tcW w:w="2403" w:type="dxa"/>
            <w:shd w:val="clear" w:color="auto" w:fill="auto"/>
          </w:tcPr>
          <w:p w14:paraId="77CA1A7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趙文錦君為建請修正行政程序法第173條第2項及訴願法第60條條文請願文書乙份，請查照審查。</w:t>
            </w:r>
          </w:p>
        </w:tc>
        <w:tc>
          <w:tcPr>
            <w:tcW w:w="1937" w:type="dxa"/>
            <w:shd w:val="clear" w:color="auto" w:fill="auto"/>
          </w:tcPr>
          <w:p w14:paraId="1F6662E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 </w:t>
            </w:r>
          </w:p>
          <w:p w14:paraId="35EE2FA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0DA823A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66C26F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0505C27" w14:textId="77777777" w:rsidTr="00EC13B7">
        <w:tc>
          <w:tcPr>
            <w:tcW w:w="575" w:type="dxa"/>
            <w:shd w:val="clear" w:color="auto" w:fill="auto"/>
          </w:tcPr>
          <w:p w14:paraId="1FCF342C"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41</w:t>
            </w:r>
          </w:p>
        </w:tc>
        <w:tc>
          <w:tcPr>
            <w:tcW w:w="2403" w:type="dxa"/>
            <w:shd w:val="clear" w:color="auto" w:fill="auto"/>
          </w:tcPr>
          <w:p w14:paraId="6B1130A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倪有康君為建請修法以避免各式金融詐欺犯於前刑案定讞前運用空窗期再犯請願文書乙份，請查照審查。</w:t>
            </w:r>
          </w:p>
        </w:tc>
        <w:tc>
          <w:tcPr>
            <w:tcW w:w="1937" w:type="dxa"/>
            <w:shd w:val="clear" w:color="auto" w:fill="auto"/>
          </w:tcPr>
          <w:p w14:paraId="0D84917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 </w:t>
            </w:r>
          </w:p>
          <w:p w14:paraId="31CD8CE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35A41BE4"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73CED1B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7B9D43A" w14:textId="77777777" w:rsidTr="00EC13B7">
        <w:tc>
          <w:tcPr>
            <w:tcW w:w="575" w:type="dxa"/>
            <w:shd w:val="clear" w:color="auto" w:fill="auto"/>
          </w:tcPr>
          <w:p w14:paraId="05EC3BF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42</w:t>
            </w:r>
          </w:p>
        </w:tc>
        <w:tc>
          <w:tcPr>
            <w:tcW w:w="2403" w:type="dxa"/>
            <w:shd w:val="clear" w:color="auto" w:fill="auto"/>
          </w:tcPr>
          <w:p w14:paraId="52C5D0A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胡仁傑君為依中華民國刑法第78條假釋撤銷後，其交付保護管束日數不算入刑期內之規定有違憲之虞，陳請修法請願文書乙份，請查照審查。</w:t>
            </w:r>
          </w:p>
        </w:tc>
        <w:tc>
          <w:tcPr>
            <w:tcW w:w="1937" w:type="dxa"/>
            <w:shd w:val="clear" w:color="auto" w:fill="auto"/>
          </w:tcPr>
          <w:p w14:paraId="09E30AB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p w14:paraId="661EB2B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42BC1FE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621BF6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281CD314" w14:textId="77777777" w:rsidTr="00EC13B7">
        <w:tc>
          <w:tcPr>
            <w:tcW w:w="575" w:type="dxa"/>
            <w:shd w:val="clear" w:color="auto" w:fill="auto"/>
          </w:tcPr>
          <w:p w14:paraId="4F0F72D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43</w:t>
            </w:r>
          </w:p>
        </w:tc>
        <w:tc>
          <w:tcPr>
            <w:tcW w:w="2403" w:type="dxa"/>
            <w:shd w:val="clear" w:color="auto" w:fill="auto"/>
          </w:tcPr>
          <w:p w14:paraId="1EB462D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社團法人台灣數位女力聯盟張凱強君為因應性私秘影像犯罪防制作業之亟需，提出刑法、犯罪被害人保護法等修正建議請願文書乙份，請查照審查。</w:t>
            </w:r>
          </w:p>
        </w:tc>
        <w:tc>
          <w:tcPr>
            <w:tcW w:w="1937" w:type="dxa"/>
            <w:shd w:val="clear" w:color="auto" w:fill="auto"/>
          </w:tcPr>
          <w:p w14:paraId="093FA9D2"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 </w:t>
            </w:r>
          </w:p>
          <w:p w14:paraId="6A62921C"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628C3E8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39485CC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3C3498A" w14:textId="77777777" w:rsidTr="00EC13B7">
        <w:tc>
          <w:tcPr>
            <w:tcW w:w="575" w:type="dxa"/>
            <w:shd w:val="clear" w:color="auto" w:fill="auto"/>
          </w:tcPr>
          <w:p w14:paraId="74DA7F5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44</w:t>
            </w:r>
          </w:p>
        </w:tc>
        <w:tc>
          <w:tcPr>
            <w:tcW w:w="2403" w:type="dxa"/>
            <w:shd w:val="clear" w:color="auto" w:fill="auto"/>
          </w:tcPr>
          <w:p w14:paraId="7D549EC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涂玲瓏君為建請儘速修法，刑事，未破案者，可連續延期，至破案為止；民事，因刑事未破案者，不限2年期限請願文書乙份，請查照審查。</w:t>
            </w:r>
          </w:p>
        </w:tc>
        <w:tc>
          <w:tcPr>
            <w:tcW w:w="1937" w:type="dxa"/>
            <w:shd w:val="clear" w:color="auto" w:fill="auto"/>
          </w:tcPr>
          <w:p w14:paraId="325BEE2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10-6-1</w:t>
            </w:r>
          </w:p>
          <w:p w14:paraId="0BCCB22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46DC37E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95A2ED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A66B8FC" w14:textId="77777777" w:rsidTr="00EC13B7">
        <w:tc>
          <w:tcPr>
            <w:tcW w:w="575" w:type="dxa"/>
            <w:shd w:val="clear" w:color="auto" w:fill="auto"/>
          </w:tcPr>
          <w:p w14:paraId="55E91AC2"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color w:val="000000" w:themeColor="text1"/>
              </w:rPr>
              <w:t>45</w:t>
            </w:r>
          </w:p>
        </w:tc>
        <w:tc>
          <w:tcPr>
            <w:tcW w:w="2403" w:type="dxa"/>
            <w:shd w:val="clear" w:color="auto" w:fill="auto"/>
          </w:tcPr>
          <w:p w14:paraId="6AB4665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南山學校財團法人新北市南山高級中學棋藝社擬具刑事訴訟法第186條第1項修正草案，俾能落實保障人權及符合兒童權利公約請願文書乙份，請查照審查。</w:t>
            </w:r>
          </w:p>
        </w:tc>
        <w:tc>
          <w:tcPr>
            <w:tcW w:w="1937" w:type="dxa"/>
            <w:shd w:val="clear" w:color="auto" w:fill="auto"/>
          </w:tcPr>
          <w:p w14:paraId="25C6AD4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 </w:t>
            </w:r>
          </w:p>
          <w:p w14:paraId="51F1A9C6"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(111.09.30)</w:t>
            </w:r>
          </w:p>
        </w:tc>
        <w:tc>
          <w:tcPr>
            <w:tcW w:w="1635" w:type="dxa"/>
            <w:shd w:val="clear" w:color="auto" w:fill="auto"/>
          </w:tcPr>
          <w:p w14:paraId="3F0AE0E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1F61EA5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D72BC42" w14:textId="77777777" w:rsidTr="00EC13B7">
        <w:tc>
          <w:tcPr>
            <w:tcW w:w="575" w:type="dxa"/>
            <w:shd w:val="clear" w:color="auto" w:fill="auto"/>
          </w:tcPr>
          <w:p w14:paraId="21D35EAF"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r w:rsidRPr="00026143">
              <w:rPr>
                <w:rFonts w:ascii="標楷體" w:eastAsia="標楷體" w:hAnsi="標楷體"/>
                <w:color w:val="000000" w:themeColor="text1"/>
              </w:rPr>
              <w:t>6</w:t>
            </w:r>
          </w:p>
        </w:tc>
        <w:tc>
          <w:tcPr>
            <w:tcW w:w="2403" w:type="dxa"/>
            <w:shd w:val="clear" w:color="auto" w:fill="auto"/>
          </w:tcPr>
          <w:p w14:paraId="44E42FD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陳文松君等為建請修正國家賠償法，就終局判決發還之扣押物逾期致損及權益事，應受保護予以賠償請願文書乙份，請查照審查。</w:t>
            </w:r>
          </w:p>
        </w:tc>
        <w:tc>
          <w:tcPr>
            <w:tcW w:w="1937" w:type="dxa"/>
            <w:shd w:val="clear" w:color="auto" w:fill="auto"/>
          </w:tcPr>
          <w:p w14:paraId="010B79B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10-6-3</w:t>
            </w:r>
          </w:p>
          <w:p w14:paraId="3049F11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(111.10.14)</w:t>
            </w:r>
          </w:p>
        </w:tc>
        <w:tc>
          <w:tcPr>
            <w:tcW w:w="1635" w:type="dxa"/>
            <w:shd w:val="clear" w:color="auto" w:fill="auto"/>
          </w:tcPr>
          <w:p w14:paraId="1FB310B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33953082"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09921CB3" w14:textId="77777777" w:rsidTr="00EC13B7">
        <w:tc>
          <w:tcPr>
            <w:tcW w:w="575" w:type="dxa"/>
            <w:shd w:val="clear" w:color="auto" w:fill="auto"/>
          </w:tcPr>
          <w:p w14:paraId="35AD2E0B"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r w:rsidRPr="00026143">
              <w:rPr>
                <w:rFonts w:ascii="標楷體" w:eastAsia="標楷體" w:hAnsi="標楷體"/>
                <w:color w:val="000000" w:themeColor="text1"/>
              </w:rPr>
              <w:t>7</w:t>
            </w:r>
          </w:p>
        </w:tc>
        <w:tc>
          <w:tcPr>
            <w:tcW w:w="2403" w:type="dxa"/>
            <w:shd w:val="clear" w:color="auto" w:fill="auto"/>
          </w:tcPr>
          <w:p w14:paraId="4FCC3A2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林添旺君編著「公僕與納稅人（淺論行政院訴願法111年5月</w:t>
            </w:r>
            <w:r w:rsidRPr="00026143">
              <w:rPr>
                <w:rFonts w:ascii="標楷體" w:eastAsia="標楷體" w:hAnsi="標楷體" w:hint="eastAsia"/>
                <w:color w:val="000000" w:themeColor="text1"/>
              </w:rPr>
              <w:lastRenderedPageBreak/>
              <w:t>19日修正條文）」，俾供修正訴願法之參考請願文書乙份，請查照審查。</w:t>
            </w:r>
          </w:p>
        </w:tc>
        <w:tc>
          <w:tcPr>
            <w:tcW w:w="1937" w:type="dxa"/>
            <w:shd w:val="clear" w:color="auto" w:fill="auto"/>
          </w:tcPr>
          <w:p w14:paraId="68E0DCE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10-6-3 </w:t>
            </w:r>
          </w:p>
          <w:p w14:paraId="1587CD8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(111.10.14)</w:t>
            </w:r>
          </w:p>
        </w:tc>
        <w:tc>
          <w:tcPr>
            <w:tcW w:w="1635" w:type="dxa"/>
            <w:shd w:val="clear" w:color="auto" w:fill="auto"/>
          </w:tcPr>
          <w:p w14:paraId="15E5A48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5E627D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5434814" w14:textId="77777777" w:rsidTr="00EC13B7">
        <w:tc>
          <w:tcPr>
            <w:tcW w:w="575" w:type="dxa"/>
            <w:shd w:val="clear" w:color="auto" w:fill="auto"/>
          </w:tcPr>
          <w:p w14:paraId="4563B31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4</w:t>
            </w:r>
            <w:r w:rsidRPr="00026143">
              <w:rPr>
                <w:rFonts w:ascii="標楷體" w:eastAsia="標楷體" w:hAnsi="標楷體"/>
                <w:color w:val="000000" w:themeColor="text1"/>
              </w:rPr>
              <w:t>8</w:t>
            </w:r>
          </w:p>
        </w:tc>
        <w:tc>
          <w:tcPr>
            <w:tcW w:w="2403" w:type="dxa"/>
            <w:shd w:val="clear" w:color="auto" w:fill="auto"/>
          </w:tcPr>
          <w:p w14:paraId="1CDACF81"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趙維焜君為懲治盜匪條例業於</w:t>
            </w:r>
            <w:r w:rsidRPr="00E35795">
              <w:rPr>
                <w:rFonts w:ascii="標楷體" w:eastAsia="標楷體" w:hAnsi="標楷體" w:hint="eastAsia"/>
                <w:color w:val="000000" w:themeColor="text1"/>
                <w:spacing w:val="-20"/>
              </w:rPr>
              <w:t>91年1月30</w:t>
            </w:r>
            <w:r w:rsidRPr="00026143">
              <w:rPr>
                <w:rFonts w:ascii="標楷體" w:eastAsia="標楷體" w:hAnsi="標楷體" w:hint="eastAsia"/>
                <w:color w:val="000000" w:themeColor="text1"/>
              </w:rPr>
              <w:t>日廢止，就違反前開條例尚在執行或殘刑之受刑人，應修法有配套措施保障其權益請願文書乙份，請查照審查。</w:t>
            </w:r>
          </w:p>
        </w:tc>
        <w:tc>
          <w:tcPr>
            <w:tcW w:w="1937" w:type="dxa"/>
            <w:shd w:val="clear" w:color="auto" w:fill="auto"/>
          </w:tcPr>
          <w:p w14:paraId="1157404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10-6-5 </w:t>
            </w:r>
          </w:p>
          <w:p w14:paraId="5B4A01BE"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(111.10.28)</w:t>
            </w:r>
          </w:p>
        </w:tc>
        <w:tc>
          <w:tcPr>
            <w:tcW w:w="1635" w:type="dxa"/>
            <w:shd w:val="clear" w:color="auto" w:fill="auto"/>
          </w:tcPr>
          <w:p w14:paraId="4131ABF7"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99F09A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465E2DD" w14:textId="77777777" w:rsidTr="00EC13B7">
        <w:tc>
          <w:tcPr>
            <w:tcW w:w="575" w:type="dxa"/>
            <w:shd w:val="clear" w:color="auto" w:fill="auto"/>
          </w:tcPr>
          <w:p w14:paraId="11310860"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4</w:t>
            </w:r>
            <w:r w:rsidRPr="00026143">
              <w:rPr>
                <w:rFonts w:ascii="標楷體" w:eastAsia="標楷體" w:hAnsi="標楷體"/>
                <w:color w:val="000000" w:themeColor="text1"/>
              </w:rPr>
              <w:t>9</w:t>
            </w:r>
          </w:p>
        </w:tc>
        <w:tc>
          <w:tcPr>
            <w:tcW w:w="2403" w:type="dxa"/>
            <w:shd w:val="clear" w:color="auto" w:fill="auto"/>
          </w:tcPr>
          <w:p w14:paraId="211B0DF0"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耿繼文君為請正視警察工作之特殊性，修改不合時宜之法令，建議中華民國刑法增訂襲警加重刑責二分之一等請願文書乙份，請查照審查。</w:t>
            </w:r>
          </w:p>
        </w:tc>
        <w:tc>
          <w:tcPr>
            <w:tcW w:w="1937" w:type="dxa"/>
            <w:shd w:val="clear" w:color="auto" w:fill="auto"/>
          </w:tcPr>
          <w:p w14:paraId="25F27978"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10-6-5 </w:t>
            </w:r>
          </w:p>
          <w:p w14:paraId="622ABCCB"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(111.10.28)</w:t>
            </w:r>
          </w:p>
        </w:tc>
        <w:tc>
          <w:tcPr>
            <w:tcW w:w="1635" w:type="dxa"/>
            <w:shd w:val="clear" w:color="auto" w:fill="auto"/>
          </w:tcPr>
          <w:p w14:paraId="1C99AD89"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4EA328ED"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6E0AB872" w14:textId="77777777" w:rsidTr="00EC13B7">
        <w:tc>
          <w:tcPr>
            <w:tcW w:w="575" w:type="dxa"/>
            <w:shd w:val="clear" w:color="auto" w:fill="auto"/>
          </w:tcPr>
          <w:p w14:paraId="33BD1F2A"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w:t>
            </w:r>
            <w:r w:rsidRPr="00026143">
              <w:rPr>
                <w:rFonts w:ascii="標楷體" w:eastAsia="標楷體" w:hAnsi="標楷體"/>
                <w:color w:val="000000" w:themeColor="text1"/>
              </w:rPr>
              <w:t>0</w:t>
            </w:r>
          </w:p>
        </w:tc>
        <w:tc>
          <w:tcPr>
            <w:tcW w:w="2403" w:type="dxa"/>
            <w:shd w:val="clear" w:color="auto" w:fill="auto"/>
          </w:tcPr>
          <w:p w14:paraId="796150CA"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王興華君等為犯罪嫌疑人偽刻印章以偽造本票，受害人依現有法規只能向簡易庭提起確認債權不存在之訴，因無力繳交巨額訴訟費及不允許聲請訴訟救助，致名下財產遭強制執行，陳請修法杜絕漏洞請願文書乙份，請查照審查。</w:t>
            </w:r>
          </w:p>
        </w:tc>
        <w:tc>
          <w:tcPr>
            <w:tcW w:w="1937" w:type="dxa"/>
            <w:shd w:val="clear" w:color="auto" w:fill="auto"/>
          </w:tcPr>
          <w:p w14:paraId="256560FA"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10-6-5 </w:t>
            </w:r>
          </w:p>
          <w:p w14:paraId="3D46199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(111.10.28)</w:t>
            </w:r>
          </w:p>
        </w:tc>
        <w:tc>
          <w:tcPr>
            <w:tcW w:w="1635" w:type="dxa"/>
            <w:shd w:val="clear" w:color="auto" w:fill="auto"/>
          </w:tcPr>
          <w:p w14:paraId="45503CE6"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323D203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7094D82A" w14:textId="77777777" w:rsidTr="00EC13B7">
        <w:tc>
          <w:tcPr>
            <w:tcW w:w="575" w:type="dxa"/>
            <w:shd w:val="clear" w:color="auto" w:fill="auto"/>
          </w:tcPr>
          <w:p w14:paraId="2C52EA05"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w:t>
            </w:r>
            <w:r w:rsidRPr="00026143">
              <w:rPr>
                <w:rFonts w:ascii="標楷體" w:eastAsia="標楷體" w:hAnsi="標楷體"/>
                <w:color w:val="000000" w:themeColor="text1"/>
              </w:rPr>
              <w:t>1</w:t>
            </w:r>
          </w:p>
        </w:tc>
        <w:tc>
          <w:tcPr>
            <w:tcW w:w="2403" w:type="dxa"/>
            <w:shd w:val="clear" w:color="auto" w:fill="auto"/>
          </w:tcPr>
          <w:p w14:paraId="03E89E5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李元興君為陳請修正中華民國刑法第77條第2項重罪不得假釋規定(三振法案)請願文書乙份，請查照審查。</w:t>
            </w:r>
          </w:p>
        </w:tc>
        <w:tc>
          <w:tcPr>
            <w:tcW w:w="1937" w:type="dxa"/>
            <w:shd w:val="clear" w:color="auto" w:fill="auto"/>
          </w:tcPr>
          <w:p w14:paraId="0E0FC90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10-6-8 </w:t>
            </w:r>
          </w:p>
          <w:p w14:paraId="0EA0AFD9"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(111.11.21)</w:t>
            </w:r>
          </w:p>
        </w:tc>
        <w:tc>
          <w:tcPr>
            <w:tcW w:w="1635" w:type="dxa"/>
            <w:shd w:val="clear" w:color="auto" w:fill="auto"/>
          </w:tcPr>
          <w:p w14:paraId="4586CD2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5F7A442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4128D40C" w14:textId="77777777" w:rsidTr="00EC13B7">
        <w:tc>
          <w:tcPr>
            <w:tcW w:w="575" w:type="dxa"/>
            <w:shd w:val="clear" w:color="auto" w:fill="auto"/>
          </w:tcPr>
          <w:p w14:paraId="1935C137"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52</w:t>
            </w:r>
          </w:p>
        </w:tc>
        <w:tc>
          <w:tcPr>
            <w:tcW w:w="2403" w:type="dxa"/>
            <w:shd w:val="clear" w:color="auto" w:fill="auto"/>
          </w:tcPr>
          <w:p w14:paraId="3E421B7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廖博揚君為就行刑累進處遇條例有違憲之虞事請願文書乙份，請查照審查。</w:t>
            </w:r>
          </w:p>
        </w:tc>
        <w:tc>
          <w:tcPr>
            <w:tcW w:w="1937" w:type="dxa"/>
            <w:shd w:val="clear" w:color="auto" w:fill="auto"/>
          </w:tcPr>
          <w:p w14:paraId="092599A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10-6-10 </w:t>
            </w:r>
          </w:p>
          <w:p w14:paraId="028540B7"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(111.12.02)</w:t>
            </w:r>
          </w:p>
        </w:tc>
        <w:tc>
          <w:tcPr>
            <w:tcW w:w="1635" w:type="dxa"/>
            <w:shd w:val="clear" w:color="auto" w:fill="auto"/>
          </w:tcPr>
          <w:p w14:paraId="4D106F2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0A85916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1F752B35" w14:textId="77777777" w:rsidTr="00EC13B7">
        <w:tc>
          <w:tcPr>
            <w:tcW w:w="575" w:type="dxa"/>
            <w:shd w:val="clear" w:color="auto" w:fill="auto"/>
          </w:tcPr>
          <w:p w14:paraId="565B94D8"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53</w:t>
            </w:r>
          </w:p>
        </w:tc>
        <w:tc>
          <w:tcPr>
            <w:tcW w:w="2403" w:type="dxa"/>
            <w:shd w:val="clear" w:color="auto" w:fill="auto"/>
          </w:tcPr>
          <w:p w14:paraId="1269FD0F"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崔邦興君為對司法院釋字第812號解釋宣告強制工作違憲，不溯及既往顯有侵害人民訴訟權等權益，陳</w:t>
            </w:r>
            <w:r w:rsidRPr="00026143">
              <w:rPr>
                <w:rFonts w:ascii="標楷體" w:eastAsia="標楷體" w:hAnsi="標楷體" w:hint="eastAsia"/>
                <w:color w:val="000000" w:themeColor="text1"/>
              </w:rPr>
              <w:lastRenderedPageBreak/>
              <w:t>請制定專法補償請願文書乙份，請查照審查。</w:t>
            </w:r>
          </w:p>
        </w:tc>
        <w:tc>
          <w:tcPr>
            <w:tcW w:w="1937" w:type="dxa"/>
            <w:shd w:val="clear" w:color="auto" w:fill="auto"/>
          </w:tcPr>
          <w:p w14:paraId="071DF315"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lastRenderedPageBreak/>
              <w:t xml:space="preserve">10-6-12 </w:t>
            </w:r>
          </w:p>
          <w:p w14:paraId="23031CC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(111.12.19)</w:t>
            </w:r>
          </w:p>
        </w:tc>
        <w:tc>
          <w:tcPr>
            <w:tcW w:w="1635" w:type="dxa"/>
            <w:shd w:val="clear" w:color="auto" w:fill="auto"/>
          </w:tcPr>
          <w:p w14:paraId="4975032C"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9077DE3"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026143" w14:paraId="5DDB7961" w14:textId="77777777" w:rsidTr="00EC13B7">
        <w:tc>
          <w:tcPr>
            <w:tcW w:w="575" w:type="dxa"/>
            <w:shd w:val="clear" w:color="auto" w:fill="auto"/>
          </w:tcPr>
          <w:p w14:paraId="6D075D81"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lastRenderedPageBreak/>
              <w:t>5</w:t>
            </w:r>
            <w:r w:rsidRPr="00026143">
              <w:rPr>
                <w:rFonts w:ascii="標楷體" w:eastAsia="標楷體" w:hAnsi="標楷體"/>
                <w:color w:val="000000" w:themeColor="text1"/>
              </w:rPr>
              <w:t>4</w:t>
            </w:r>
          </w:p>
        </w:tc>
        <w:tc>
          <w:tcPr>
            <w:tcW w:w="2403" w:type="dxa"/>
            <w:shd w:val="clear" w:color="auto" w:fill="auto"/>
          </w:tcPr>
          <w:p w14:paraId="4E9B021E"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高杰森君為對監獄行刑法第7條等及行刑累進處遇條例第28條等條文，提出個人見解供參請願文書乙份，請查照審查。</w:t>
            </w:r>
          </w:p>
        </w:tc>
        <w:tc>
          <w:tcPr>
            <w:tcW w:w="1937" w:type="dxa"/>
            <w:shd w:val="clear" w:color="auto" w:fill="auto"/>
          </w:tcPr>
          <w:p w14:paraId="2BAD143D"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10-6-15 </w:t>
            </w:r>
          </w:p>
          <w:p w14:paraId="29EE2BBF"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(112.01.06)</w:t>
            </w:r>
          </w:p>
        </w:tc>
        <w:tc>
          <w:tcPr>
            <w:tcW w:w="1635" w:type="dxa"/>
            <w:shd w:val="clear" w:color="auto" w:fill="auto"/>
          </w:tcPr>
          <w:p w14:paraId="31111215"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76EF855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r w:rsidR="00EC13B7" w:rsidRPr="00CB537F" w14:paraId="6884DA2A" w14:textId="77777777" w:rsidTr="00EC13B7">
        <w:tc>
          <w:tcPr>
            <w:tcW w:w="575" w:type="dxa"/>
            <w:shd w:val="clear" w:color="auto" w:fill="auto"/>
          </w:tcPr>
          <w:p w14:paraId="47CC542E" w14:textId="77777777" w:rsidR="00EC13B7" w:rsidRPr="00026143" w:rsidRDefault="00EC13B7" w:rsidP="00EC13B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026143">
              <w:rPr>
                <w:rFonts w:ascii="標楷體" w:eastAsia="標楷體" w:hAnsi="標楷體" w:hint="eastAsia"/>
                <w:color w:val="000000" w:themeColor="text1"/>
              </w:rPr>
              <w:t>55</w:t>
            </w:r>
          </w:p>
        </w:tc>
        <w:tc>
          <w:tcPr>
            <w:tcW w:w="2403" w:type="dxa"/>
            <w:shd w:val="clear" w:color="auto" w:fill="auto"/>
          </w:tcPr>
          <w:p w14:paraId="04C64FAB"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hint="eastAsia"/>
                <w:color w:val="000000" w:themeColor="text1"/>
              </w:rPr>
              <w:t>李偉原君為陳請檢視毒品危害防制條例規定，販賣者刑度輕於食用毒品者，及食用毒品者是否適用一罪一罰請願文書乙份，請查照審查。</w:t>
            </w:r>
          </w:p>
        </w:tc>
        <w:tc>
          <w:tcPr>
            <w:tcW w:w="1937" w:type="dxa"/>
            <w:shd w:val="clear" w:color="auto" w:fill="auto"/>
          </w:tcPr>
          <w:p w14:paraId="46EAF64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 xml:space="preserve">10-6-16 </w:t>
            </w:r>
          </w:p>
          <w:p w14:paraId="3EF64973" w14:textId="77777777" w:rsidR="00EC13B7" w:rsidRPr="00026143" w:rsidRDefault="00EC13B7" w:rsidP="00EC13B7">
            <w:pPr>
              <w:kinsoku w:val="0"/>
              <w:wordWrap w:val="0"/>
              <w:topLinePunct/>
              <w:adjustRightInd w:val="0"/>
              <w:snapToGrid w:val="0"/>
              <w:spacing w:line="300" w:lineRule="exact"/>
              <w:textAlignment w:val="top"/>
              <w:rPr>
                <w:rFonts w:ascii="標楷體" w:eastAsia="標楷體" w:hAnsi="標楷體"/>
                <w:color w:val="000000" w:themeColor="text1"/>
              </w:rPr>
            </w:pPr>
            <w:r w:rsidRPr="00026143">
              <w:rPr>
                <w:rFonts w:ascii="標楷體" w:eastAsia="標楷體" w:hAnsi="標楷體"/>
                <w:color w:val="000000" w:themeColor="text1"/>
              </w:rPr>
              <w:t>(112.01.12)</w:t>
            </w:r>
          </w:p>
        </w:tc>
        <w:tc>
          <w:tcPr>
            <w:tcW w:w="1635" w:type="dxa"/>
            <w:shd w:val="clear" w:color="auto" w:fill="auto"/>
          </w:tcPr>
          <w:p w14:paraId="096C83D8" w14:textId="77777777" w:rsidR="00EC13B7" w:rsidRPr="00026143"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司法及法制</w:t>
            </w:r>
          </w:p>
        </w:tc>
        <w:tc>
          <w:tcPr>
            <w:tcW w:w="1808" w:type="dxa"/>
            <w:shd w:val="clear" w:color="auto" w:fill="auto"/>
          </w:tcPr>
          <w:p w14:paraId="230A9863" w14:textId="77777777" w:rsidR="00EC13B7" w:rsidRPr="001A7E5A" w:rsidRDefault="00EC13B7" w:rsidP="00EC13B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026143">
              <w:rPr>
                <w:rFonts w:ascii="標楷體" w:eastAsia="標楷體" w:hAnsi="標楷體"/>
                <w:color w:val="000000" w:themeColor="text1"/>
              </w:rPr>
              <w:t>尚未審查</w:t>
            </w:r>
          </w:p>
        </w:tc>
      </w:tr>
    </w:tbl>
    <w:p w14:paraId="4BB2730B" w14:textId="77777777" w:rsidR="00EC13B7" w:rsidRPr="00BA2116" w:rsidRDefault="00EC13B7" w:rsidP="007932B9">
      <w:pPr>
        <w:snapToGrid w:val="0"/>
        <w:spacing w:line="490" w:lineRule="exact"/>
        <w:jc w:val="both"/>
        <w:rPr>
          <w:rFonts w:ascii="標楷體" w:eastAsia="標楷體" w:hAnsi="標楷體"/>
          <w:color w:val="000000" w:themeColor="text1"/>
          <w:sz w:val="28"/>
          <w:szCs w:val="28"/>
        </w:rPr>
        <w:sectPr w:rsidR="00EC13B7" w:rsidRPr="00BA2116" w:rsidSect="00C37C56">
          <w:type w:val="continuous"/>
          <w:pgSz w:w="11906" w:h="16838" w:code="9"/>
          <w:pgMar w:top="993" w:right="1701" w:bottom="1134" w:left="1701" w:header="851" w:footer="992" w:gutter="0"/>
          <w:cols w:space="425"/>
          <w:docGrid w:type="lines" w:linePitch="360"/>
        </w:sectPr>
      </w:pPr>
    </w:p>
    <w:p w14:paraId="7E715FF6" w14:textId="77777777" w:rsidR="00421BB5" w:rsidRPr="009C1E3E" w:rsidRDefault="00421BB5" w:rsidP="00421BB5">
      <w:pPr>
        <w:pStyle w:val="-f3"/>
        <w:spacing w:before="180" w:after="180"/>
        <w:ind w:left="0"/>
        <w:outlineLvl w:val="0"/>
        <w:rPr>
          <w:rStyle w:val="af1"/>
          <w:rFonts w:ascii="標楷體" w:hAnsi="標楷體"/>
          <w:color w:val="000000" w:themeColor="text1"/>
          <w:szCs w:val="36"/>
        </w:rPr>
      </w:pPr>
      <w:bookmarkStart w:id="478" w:name="_Toc57123277"/>
      <w:bookmarkStart w:id="479" w:name="_Toc361213598"/>
      <w:bookmarkStart w:id="480" w:name="_Toc361923746"/>
      <w:bookmarkStart w:id="481" w:name="_Toc363206600"/>
      <w:bookmarkStart w:id="482" w:name="_Toc401935952"/>
      <w:bookmarkStart w:id="483" w:name="_Toc57123278"/>
      <w:r>
        <w:rPr>
          <w:rFonts w:hint="eastAsia"/>
        </w:rPr>
        <w:lastRenderedPageBreak/>
        <w:t>柒</w:t>
      </w:r>
      <w:r w:rsidRPr="00CD5083">
        <w:t>、</w:t>
      </w:r>
      <w:r w:rsidRPr="009C1E3E">
        <w:t>院會逕付二讀之議</w:t>
      </w:r>
      <w:r w:rsidRPr="00E35795">
        <w:rPr>
          <w:rFonts w:ascii="標楷體" w:hAnsi="標楷體"/>
          <w:color w:val="000000" w:themeColor="text1"/>
        </w:rPr>
        <w:t>案</w:t>
      </w:r>
      <w:r w:rsidRPr="00E35795">
        <w:rPr>
          <w:rFonts w:ascii="標楷體" w:hAnsi="標楷體" w:hint="eastAsia"/>
          <w:color w:val="000000" w:themeColor="text1"/>
        </w:rPr>
        <w:t>25</w:t>
      </w:r>
      <w:r w:rsidRPr="00E35795">
        <w:rPr>
          <w:rStyle w:val="af1"/>
          <w:rFonts w:ascii="標楷體" w:hAnsi="標楷體"/>
          <w:color w:val="000000" w:themeColor="text1"/>
          <w:szCs w:val="36"/>
          <w:u w:val="none"/>
        </w:rPr>
        <w:t>案</w:t>
      </w:r>
      <w:bookmarkEnd w:id="478"/>
    </w:p>
    <w:p w14:paraId="5E7B5C26" w14:textId="77777777" w:rsidR="00421BB5" w:rsidRPr="00490FEE" w:rsidRDefault="00421BB5" w:rsidP="00421BB5">
      <w:pPr>
        <w:pStyle w:val="afffffc"/>
        <w:spacing w:before="180" w:after="180"/>
        <w:outlineLvl w:val="1"/>
        <w:rPr>
          <w:color w:val="000000" w:themeColor="text1"/>
        </w:rPr>
      </w:pPr>
      <w:r w:rsidRPr="00E35795">
        <w:rPr>
          <w:rStyle w:val="af1"/>
          <w:color w:val="000000" w:themeColor="text1"/>
          <w:szCs w:val="28"/>
          <w:u w:val="none"/>
        </w:rPr>
        <w:t>［壹］</w:t>
      </w:r>
      <w:r w:rsidRPr="009C1E3E">
        <w:rPr>
          <w:color w:val="000000" w:themeColor="text1"/>
        </w:rPr>
        <w:t>法律</w:t>
      </w:r>
      <w:r w:rsidRPr="00490FEE">
        <w:rPr>
          <w:color w:val="000000" w:themeColor="text1"/>
        </w:rPr>
        <w:t>案</w:t>
      </w:r>
      <w:bookmarkEnd w:id="479"/>
      <w:bookmarkEnd w:id="480"/>
      <w:bookmarkEnd w:id="481"/>
      <w:r>
        <w:rPr>
          <w:rFonts w:hint="eastAsia"/>
          <w:color w:val="000000" w:themeColor="text1"/>
        </w:rPr>
        <w:t>25</w:t>
      </w:r>
      <w:r w:rsidRPr="00490FEE">
        <w:rPr>
          <w:rFonts w:hint="eastAsia"/>
          <w:color w:val="000000" w:themeColor="text1"/>
        </w:rPr>
        <w:t>案</w:t>
      </w:r>
      <w:bookmarkEnd w:id="482"/>
      <w:bookmarkEnd w:id="483"/>
    </w:p>
    <w:p w14:paraId="3D8AFA57" w14:textId="77777777" w:rsidR="00421BB5" w:rsidRPr="00215B2B" w:rsidRDefault="00421BB5" w:rsidP="005D30E8">
      <w:pPr>
        <w:pStyle w:val="-40"/>
        <w:spacing w:beforeLines="100" w:before="360" w:afterLines="100" w:after="360"/>
        <w:outlineLvl w:val="2"/>
      </w:pPr>
      <w:bookmarkStart w:id="484" w:name="_Toc401935954"/>
      <w:bookmarkStart w:id="485" w:name="_Toc57123280"/>
      <w:r>
        <w:rPr>
          <w:rFonts w:hint="eastAsia"/>
          <w:color w:val="000000" w:themeColor="text1"/>
        </w:rPr>
        <w:t>一</w:t>
      </w:r>
      <w:r w:rsidRPr="00B607F4">
        <w:rPr>
          <w:color w:val="000000" w:themeColor="text1"/>
        </w:rPr>
        <w:t>、</w:t>
      </w:r>
      <w:bookmarkStart w:id="486" w:name="_Toc361213599"/>
      <w:bookmarkStart w:id="487" w:name="_Toc361923747"/>
      <w:bookmarkStart w:id="488" w:name="_Toc363206601"/>
      <w:bookmarkStart w:id="489" w:name="_Toc401935953"/>
      <w:bookmarkStart w:id="490" w:name="_Toc57123279"/>
      <w:r w:rsidRPr="00215B2B">
        <w:t>組織法</w:t>
      </w:r>
      <w:bookmarkEnd w:id="486"/>
      <w:bookmarkEnd w:id="487"/>
      <w:bookmarkEnd w:id="488"/>
      <w:r>
        <w:rPr>
          <w:rFonts w:hint="eastAsia"/>
        </w:rPr>
        <w:t>4</w:t>
      </w:r>
      <w:r w:rsidRPr="00215B2B">
        <w:rPr>
          <w:rFonts w:hint="eastAsia"/>
        </w:rPr>
        <w:t>案</w:t>
      </w:r>
      <w:bookmarkEnd w:id="489"/>
      <w:bookmarkEnd w:id="490"/>
    </w:p>
    <w:tbl>
      <w:tblPr>
        <w:tblW w:w="878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421BB5" w:rsidRPr="00215B2B" w14:paraId="0B422CDE" w14:textId="77777777" w:rsidTr="00421BB5">
        <w:tc>
          <w:tcPr>
            <w:tcW w:w="709" w:type="dxa"/>
            <w:tcMar>
              <w:top w:w="85" w:type="dxa"/>
              <w:bottom w:w="85" w:type="dxa"/>
            </w:tcMar>
          </w:tcPr>
          <w:p w14:paraId="17B2C1F6" w14:textId="77777777" w:rsidR="00421BB5" w:rsidRPr="00215B2B" w:rsidRDefault="00421BB5" w:rsidP="00AD4F84">
            <w:pPr>
              <w:kinsoku w:val="0"/>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序號</w:t>
            </w:r>
          </w:p>
        </w:tc>
        <w:tc>
          <w:tcPr>
            <w:tcW w:w="2127" w:type="dxa"/>
            <w:tcMar>
              <w:top w:w="85" w:type="dxa"/>
              <w:bottom w:w="85" w:type="dxa"/>
            </w:tcMar>
          </w:tcPr>
          <w:p w14:paraId="3FC7B27D" w14:textId="77777777" w:rsidR="00421BB5" w:rsidRPr="00215B2B" w:rsidRDefault="00421BB5" w:rsidP="00AD4F84">
            <w:pPr>
              <w:kinsoku w:val="0"/>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議案名稱</w:t>
            </w:r>
          </w:p>
        </w:tc>
        <w:tc>
          <w:tcPr>
            <w:tcW w:w="2268" w:type="dxa"/>
            <w:tcMar>
              <w:top w:w="85" w:type="dxa"/>
              <w:bottom w:w="85" w:type="dxa"/>
            </w:tcMar>
          </w:tcPr>
          <w:p w14:paraId="6B17411F" w14:textId="77777777" w:rsidR="00421BB5" w:rsidRPr="00215B2B" w:rsidRDefault="00421BB5" w:rsidP="00AD4F84">
            <w:pPr>
              <w:kinsoku w:val="0"/>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提案委員或機關</w:t>
            </w:r>
          </w:p>
          <w:p w14:paraId="762A28B0" w14:textId="77777777" w:rsidR="00421BB5" w:rsidRPr="00215B2B" w:rsidRDefault="00421BB5" w:rsidP="00AD4F84">
            <w:pPr>
              <w:kinsoku w:val="0"/>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院會逕付二讀日期（會次）</w:t>
            </w:r>
          </w:p>
        </w:tc>
        <w:tc>
          <w:tcPr>
            <w:tcW w:w="3685" w:type="dxa"/>
            <w:tcMar>
              <w:top w:w="85" w:type="dxa"/>
              <w:bottom w:w="85" w:type="dxa"/>
            </w:tcMar>
          </w:tcPr>
          <w:p w14:paraId="4A67CD77" w14:textId="77777777" w:rsidR="00421BB5" w:rsidRPr="00215B2B" w:rsidRDefault="00421BB5" w:rsidP="00AD4F84">
            <w:pPr>
              <w:kinsoku w:val="0"/>
              <w:adjustRightInd w:val="0"/>
              <w:snapToGrid w:val="0"/>
              <w:spacing w:line="280" w:lineRule="exact"/>
              <w:ind w:left="240" w:hangingChars="100" w:hanging="240"/>
              <w:jc w:val="center"/>
              <w:textAlignment w:val="baseline"/>
              <w:rPr>
                <w:rFonts w:ascii="標楷體" w:eastAsia="標楷體" w:hAnsi="標楷體"/>
                <w:b/>
                <w:kern w:val="0"/>
              </w:rPr>
            </w:pPr>
            <w:r w:rsidRPr="00215B2B">
              <w:rPr>
                <w:rFonts w:ascii="標楷體" w:eastAsia="標楷體" w:hAnsi="標楷體"/>
                <w:b/>
                <w:kern w:val="0"/>
              </w:rPr>
              <w:t>審查情形</w:t>
            </w:r>
          </w:p>
        </w:tc>
      </w:tr>
      <w:tr w:rsidR="00421BB5" w:rsidRPr="00215B2B" w14:paraId="0B3CEB16" w14:textId="77777777" w:rsidTr="00421BB5">
        <w:tc>
          <w:tcPr>
            <w:tcW w:w="709" w:type="dxa"/>
            <w:tcMar>
              <w:top w:w="85" w:type="dxa"/>
              <w:bottom w:w="85" w:type="dxa"/>
            </w:tcMar>
          </w:tcPr>
          <w:p w14:paraId="04C003F0" w14:textId="77777777" w:rsidR="00421BB5" w:rsidRPr="00253ACF" w:rsidRDefault="00421BB5" w:rsidP="00AD4F84">
            <w:pPr>
              <w:kinsoku w:val="0"/>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2127" w:type="dxa"/>
            <w:tcMar>
              <w:top w:w="85" w:type="dxa"/>
              <w:bottom w:w="85" w:type="dxa"/>
            </w:tcMar>
          </w:tcPr>
          <w:p w14:paraId="5563C602" w14:textId="77777777" w:rsidR="00421BB5" w:rsidRPr="00AA58FB" w:rsidRDefault="00421BB5" w:rsidP="00AD4F84">
            <w:pPr>
              <w:kinsoku w:val="0"/>
              <w:adjustRightInd w:val="0"/>
              <w:snapToGrid w:val="0"/>
              <w:spacing w:line="260" w:lineRule="exact"/>
              <w:rPr>
                <w:rFonts w:ascii="標楷體" w:eastAsia="標楷體" w:hAnsi="標楷體"/>
              </w:rPr>
            </w:pPr>
            <w:r w:rsidRPr="00413D42">
              <w:rPr>
                <w:rFonts w:ascii="標楷體" w:eastAsia="標楷體" w:hAnsi="標楷體" w:hint="eastAsia"/>
              </w:rPr>
              <w:t>國家運動科學中心設置條例草案</w:t>
            </w:r>
          </w:p>
        </w:tc>
        <w:tc>
          <w:tcPr>
            <w:tcW w:w="2268" w:type="dxa"/>
            <w:tcMar>
              <w:top w:w="85" w:type="dxa"/>
              <w:bottom w:w="85" w:type="dxa"/>
            </w:tcMar>
          </w:tcPr>
          <w:p w14:paraId="6FB020ED" w14:textId="77777777" w:rsidR="00421BB5" w:rsidRPr="006719D5" w:rsidRDefault="00421BB5" w:rsidP="00AD4F84">
            <w:pPr>
              <w:kinsoku w:val="0"/>
              <w:spacing w:line="300" w:lineRule="exact"/>
              <w:rPr>
                <w:rFonts w:ascii="標楷體" w:eastAsia="標楷體" w:hAnsi="標楷體"/>
                <w:color w:val="000000"/>
                <w:kern w:val="0"/>
              </w:rPr>
            </w:pPr>
            <w:r w:rsidRPr="00413D42">
              <w:rPr>
                <w:rFonts w:ascii="標楷體" w:eastAsia="標楷體" w:hAnsi="標楷體" w:hint="eastAsia"/>
                <w:color w:val="000000"/>
                <w:kern w:val="0"/>
              </w:rPr>
              <w:t>委員吳思瑤等26人</w:t>
            </w:r>
            <w:r>
              <w:rPr>
                <w:rFonts w:ascii="標楷體" w:eastAsia="標楷體" w:hAnsi="標楷體" w:hint="eastAsia"/>
                <w:color w:val="000000"/>
                <w:kern w:val="0"/>
              </w:rPr>
              <w:t xml:space="preserve"> 111.12.09</w:t>
            </w:r>
            <w:r w:rsidRPr="006719D5">
              <w:rPr>
                <w:rFonts w:ascii="標楷體" w:eastAsia="標楷體" w:hAnsi="標楷體" w:hint="eastAsia"/>
                <w:color w:val="000000"/>
                <w:kern w:val="0"/>
              </w:rPr>
              <w:t xml:space="preserve"> </w:t>
            </w:r>
          </w:p>
          <w:p w14:paraId="52EC1B02" w14:textId="77777777" w:rsidR="00421BB5" w:rsidRPr="00BD6230" w:rsidRDefault="00421BB5" w:rsidP="00AD4F84">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10-6-11</w:t>
            </w:r>
            <w:r w:rsidRPr="006719D5">
              <w:rPr>
                <w:rFonts w:ascii="標楷體" w:eastAsia="標楷體" w:hAnsi="標楷體" w:hint="eastAsia"/>
                <w:color w:val="000000"/>
                <w:kern w:val="0"/>
              </w:rPr>
              <w:t>）</w:t>
            </w:r>
          </w:p>
        </w:tc>
        <w:tc>
          <w:tcPr>
            <w:tcW w:w="3685" w:type="dxa"/>
            <w:tcMar>
              <w:top w:w="85" w:type="dxa"/>
              <w:bottom w:w="85" w:type="dxa"/>
            </w:tcMar>
          </w:tcPr>
          <w:p w14:paraId="46D4FFC1"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111.12.09</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-11）逕付二讀</w:t>
            </w:r>
            <w:r w:rsidRPr="00695ADD">
              <w:rPr>
                <w:rFonts w:ascii="標楷體" w:eastAsia="標楷體" w:hAnsi="標楷體" w:hint="eastAsia"/>
              </w:rPr>
              <w:t>，與相關提案併案協商。</w:t>
            </w:r>
          </w:p>
          <w:p w14:paraId="74647BC2"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2.111.12.30黨團協商。</w:t>
            </w:r>
          </w:p>
          <w:p w14:paraId="4DECA9DA" w14:textId="77777777" w:rsidR="00421BB5" w:rsidRPr="00790A80"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EC6551">
              <w:rPr>
                <w:rFonts w:ascii="標楷體" w:eastAsia="標楷體" w:hAnsi="標楷體" w:hint="eastAsia"/>
              </w:rPr>
              <w:t>院會</w:t>
            </w:r>
            <w:r w:rsidRPr="00EC6551">
              <w:rPr>
                <w:rFonts w:ascii="標楷體" w:eastAsia="標楷體" w:hAnsi="標楷體"/>
              </w:rPr>
              <w:t>112.1.10</w:t>
            </w:r>
            <w:r w:rsidRPr="003B0164">
              <w:rPr>
                <w:rFonts w:ascii="標楷體" w:eastAsia="標楷體" w:hAnsi="標楷體" w:hint="eastAsia"/>
              </w:rPr>
              <w:t>（</w:t>
            </w:r>
            <w:r>
              <w:rPr>
                <w:rFonts w:ascii="標楷體" w:eastAsia="標楷體" w:hAnsi="標楷體"/>
              </w:rPr>
              <w:t>10-6-15</w:t>
            </w:r>
            <w:r>
              <w:rPr>
                <w:rFonts w:ascii="標楷體" w:eastAsia="標楷體" w:hAnsi="標楷體" w:hint="eastAsia"/>
              </w:rPr>
              <w:t>）</w:t>
            </w:r>
            <w:r w:rsidRPr="00EC6551">
              <w:rPr>
                <w:rFonts w:ascii="標楷體" w:eastAsia="標楷體" w:hAnsi="標楷體" w:hint="eastAsia"/>
              </w:rPr>
              <w:t>三讀制定國家運動科學中心設置條例</w:t>
            </w:r>
            <w:r>
              <w:rPr>
                <w:rFonts w:ascii="標楷體" w:eastAsia="標楷體" w:hAnsi="標楷體" w:hint="eastAsia"/>
              </w:rPr>
              <w:t>。</w:t>
            </w:r>
          </w:p>
        </w:tc>
      </w:tr>
      <w:tr w:rsidR="00421BB5" w:rsidRPr="00215B2B" w14:paraId="3B48CBFE" w14:textId="77777777" w:rsidTr="00421BB5">
        <w:tc>
          <w:tcPr>
            <w:tcW w:w="709" w:type="dxa"/>
            <w:tcMar>
              <w:top w:w="85" w:type="dxa"/>
              <w:bottom w:w="85" w:type="dxa"/>
            </w:tcMar>
          </w:tcPr>
          <w:p w14:paraId="3B136B22" w14:textId="77777777" w:rsidR="00421BB5" w:rsidRDefault="00421BB5" w:rsidP="00AD4F84">
            <w:pPr>
              <w:kinsoku w:val="0"/>
              <w:adjustRightInd w:val="0"/>
              <w:snapToGrid w:val="0"/>
              <w:spacing w:line="260" w:lineRule="exact"/>
              <w:jc w:val="center"/>
              <w:rPr>
                <w:rFonts w:ascii="標楷體" w:eastAsia="標楷體" w:hAnsi="標楷體"/>
              </w:rPr>
            </w:pPr>
            <w:r>
              <w:rPr>
                <w:rFonts w:ascii="標楷體" w:eastAsia="標楷體" w:hAnsi="標楷體" w:hint="eastAsia"/>
              </w:rPr>
              <w:t>2</w:t>
            </w:r>
          </w:p>
        </w:tc>
        <w:tc>
          <w:tcPr>
            <w:tcW w:w="2127" w:type="dxa"/>
            <w:tcMar>
              <w:top w:w="85" w:type="dxa"/>
              <w:bottom w:w="85" w:type="dxa"/>
            </w:tcMar>
          </w:tcPr>
          <w:p w14:paraId="7301BD68" w14:textId="77777777" w:rsidR="00421BB5" w:rsidRPr="00AA58FB" w:rsidRDefault="00421BB5" w:rsidP="00AD4F84">
            <w:pPr>
              <w:kinsoku w:val="0"/>
              <w:adjustRightInd w:val="0"/>
              <w:snapToGrid w:val="0"/>
              <w:spacing w:line="260" w:lineRule="exact"/>
              <w:rPr>
                <w:rFonts w:ascii="標楷體" w:eastAsia="標楷體" w:hAnsi="標楷體"/>
              </w:rPr>
            </w:pPr>
            <w:r w:rsidRPr="00C30204">
              <w:rPr>
                <w:rFonts w:ascii="標楷體" w:eastAsia="標楷體" w:hAnsi="標楷體" w:hint="eastAsia"/>
              </w:rPr>
              <w:t>國家運動科學中心設置條例草案</w:t>
            </w:r>
          </w:p>
        </w:tc>
        <w:tc>
          <w:tcPr>
            <w:tcW w:w="2268" w:type="dxa"/>
            <w:tcMar>
              <w:top w:w="85" w:type="dxa"/>
              <w:bottom w:w="85" w:type="dxa"/>
            </w:tcMar>
          </w:tcPr>
          <w:p w14:paraId="24CC389E" w14:textId="77777777" w:rsidR="00421BB5" w:rsidRPr="006719D5" w:rsidRDefault="00421BB5" w:rsidP="00AD4F84">
            <w:pPr>
              <w:kinsoku w:val="0"/>
              <w:spacing w:line="300" w:lineRule="exact"/>
              <w:rPr>
                <w:rFonts w:ascii="標楷體" w:eastAsia="標楷體" w:hAnsi="標楷體"/>
                <w:color w:val="000000"/>
                <w:kern w:val="0"/>
              </w:rPr>
            </w:pPr>
            <w:r w:rsidRPr="00C30204">
              <w:rPr>
                <w:rFonts w:ascii="標楷體" w:eastAsia="標楷體" w:hAnsi="標楷體" w:hint="eastAsia"/>
                <w:color w:val="000000"/>
                <w:kern w:val="0"/>
              </w:rPr>
              <w:t>時代力量黨團</w:t>
            </w:r>
            <w:r>
              <w:rPr>
                <w:rFonts w:ascii="標楷體" w:eastAsia="標楷體" w:hAnsi="標楷體" w:hint="eastAsia"/>
                <w:color w:val="000000"/>
                <w:kern w:val="0"/>
              </w:rPr>
              <w:t xml:space="preserve"> 111.12.09</w:t>
            </w:r>
            <w:r w:rsidRPr="006719D5">
              <w:rPr>
                <w:rFonts w:ascii="標楷體" w:eastAsia="標楷體" w:hAnsi="標楷體" w:hint="eastAsia"/>
                <w:color w:val="000000"/>
                <w:kern w:val="0"/>
              </w:rPr>
              <w:t xml:space="preserve"> </w:t>
            </w:r>
          </w:p>
          <w:p w14:paraId="49A4C65C" w14:textId="77777777" w:rsidR="00421BB5" w:rsidRPr="00BD6230" w:rsidRDefault="00421BB5" w:rsidP="00AD4F84">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10-6-11</w:t>
            </w:r>
            <w:r w:rsidRPr="006719D5">
              <w:rPr>
                <w:rFonts w:ascii="標楷體" w:eastAsia="標楷體" w:hAnsi="標楷體" w:hint="eastAsia"/>
                <w:color w:val="000000"/>
                <w:kern w:val="0"/>
              </w:rPr>
              <w:t>）</w:t>
            </w:r>
          </w:p>
        </w:tc>
        <w:tc>
          <w:tcPr>
            <w:tcW w:w="3685" w:type="dxa"/>
            <w:tcMar>
              <w:top w:w="85" w:type="dxa"/>
              <w:bottom w:w="85" w:type="dxa"/>
            </w:tcMar>
          </w:tcPr>
          <w:p w14:paraId="515AA3C4"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111.12.09</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-11）逕付二讀</w:t>
            </w:r>
            <w:r w:rsidRPr="00695ADD">
              <w:rPr>
                <w:rFonts w:ascii="標楷體" w:eastAsia="標楷體" w:hAnsi="標楷體" w:hint="eastAsia"/>
              </w:rPr>
              <w:t>，與相關提案併案協商。</w:t>
            </w:r>
          </w:p>
          <w:p w14:paraId="1D498912"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2.111.12.30黨團協商。</w:t>
            </w:r>
          </w:p>
          <w:p w14:paraId="291C3C7A" w14:textId="77777777" w:rsidR="00421BB5" w:rsidRPr="00695ADD"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EC6551">
              <w:rPr>
                <w:rFonts w:ascii="標楷體" w:eastAsia="標楷體" w:hAnsi="標楷體" w:hint="eastAsia"/>
              </w:rPr>
              <w:t>院會</w:t>
            </w:r>
            <w:r w:rsidRPr="00EC6551">
              <w:rPr>
                <w:rFonts w:ascii="標楷體" w:eastAsia="標楷體" w:hAnsi="標楷體"/>
              </w:rPr>
              <w:t>112.1.10</w:t>
            </w:r>
            <w:r w:rsidRPr="003B0164">
              <w:rPr>
                <w:rFonts w:ascii="標楷體" w:eastAsia="標楷體" w:hAnsi="標楷體" w:hint="eastAsia"/>
              </w:rPr>
              <w:t>（</w:t>
            </w:r>
            <w:r>
              <w:rPr>
                <w:rFonts w:ascii="標楷體" w:eastAsia="標楷體" w:hAnsi="標楷體"/>
              </w:rPr>
              <w:t>10-6-15</w:t>
            </w:r>
            <w:r>
              <w:rPr>
                <w:rFonts w:ascii="標楷體" w:eastAsia="標楷體" w:hAnsi="標楷體" w:hint="eastAsia"/>
              </w:rPr>
              <w:t>）</w:t>
            </w:r>
            <w:r w:rsidRPr="00EC6551">
              <w:rPr>
                <w:rFonts w:ascii="標楷體" w:eastAsia="標楷體" w:hAnsi="標楷體" w:hint="eastAsia"/>
              </w:rPr>
              <w:t>三讀制定國家運動科學中心設置條例</w:t>
            </w:r>
            <w:r>
              <w:rPr>
                <w:rFonts w:ascii="標楷體" w:eastAsia="標楷體" w:hAnsi="標楷體" w:hint="eastAsia"/>
              </w:rPr>
              <w:t>。</w:t>
            </w:r>
          </w:p>
        </w:tc>
      </w:tr>
      <w:tr w:rsidR="00421BB5" w:rsidRPr="00215B2B" w14:paraId="6609134E" w14:textId="77777777" w:rsidTr="00421BB5">
        <w:tc>
          <w:tcPr>
            <w:tcW w:w="709" w:type="dxa"/>
            <w:tcMar>
              <w:top w:w="85" w:type="dxa"/>
              <w:bottom w:w="85" w:type="dxa"/>
            </w:tcMar>
          </w:tcPr>
          <w:p w14:paraId="72C6A789" w14:textId="77777777" w:rsidR="00421BB5" w:rsidRDefault="00421BB5" w:rsidP="00AD4F84">
            <w:pPr>
              <w:kinsoku w:val="0"/>
              <w:adjustRightInd w:val="0"/>
              <w:snapToGrid w:val="0"/>
              <w:spacing w:line="260" w:lineRule="exact"/>
              <w:jc w:val="center"/>
              <w:rPr>
                <w:rFonts w:ascii="標楷體" w:eastAsia="標楷體" w:hAnsi="標楷體"/>
              </w:rPr>
            </w:pPr>
            <w:r>
              <w:rPr>
                <w:rFonts w:ascii="標楷體" w:eastAsia="標楷體" w:hAnsi="標楷體" w:hint="eastAsia"/>
              </w:rPr>
              <w:t>3</w:t>
            </w:r>
          </w:p>
        </w:tc>
        <w:tc>
          <w:tcPr>
            <w:tcW w:w="2127" w:type="dxa"/>
            <w:tcMar>
              <w:top w:w="85" w:type="dxa"/>
              <w:bottom w:w="85" w:type="dxa"/>
            </w:tcMar>
          </w:tcPr>
          <w:p w14:paraId="4A1631EC" w14:textId="77777777" w:rsidR="00421BB5" w:rsidRPr="00C30204" w:rsidRDefault="00421BB5" w:rsidP="00AD4F84">
            <w:pPr>
              <w:kinsoku w:val="0"/>
              <w:adjustRightInd w:val="0"/>
              <w:snapToGrid w:val="0"/>
              <w:spacing w:line="260" w:lineRule="exact"/>
              <w:rPr>
                <w:rFonts w:ascii="標楷體" w:eastAsia="標楷體" w:hAnsi="標楷體"/>
              </w:rPr>
            </w:pPr>
            <w:r w:rsidRPr="00C30204">
              <w:rPr>
                <w:rFonts w:ascii="標楷體" w:eastAsia="標楷體" w:hAnsi="標楷體" w:hint="eastAsia"/>
              </w:rPr>
              <w:t>國家運動科學中心設置條例草案</w:t>
            </w:r>
          </w:p>
        </w:tc>
        <w:tc>
          <w:tcPr>
            <w:tcW w:w="2268" w:type="dxa"/>
            <w:tcMar>
              <w:top w:w="85" w:type="dxa"/>
              <w:bottom w:w="85" w:type="dxa"/>
            </w:tcMar>
          </w:tcPr>
          <w:p w14:paraId="50860E04" w14:textId="77777777" w:rsidR="00421BB5" w:rsidRPr="006719D5" w:rsidRDefault="00421BB5" w:rsidP="00AD4F84">
            <w:pPr>
              <w:kinsoku w:val="0"/>
              <w:spacing w:line="300" w:lineRule="exact"/>
              <w:rPr>
                <w:rFonts w:ascii="標楷體" w:eastAsia="標楷體" w:hAnsi="標楷體"/>
                <w:color w:val="000000"/>
                <w:kern w:val="0"/>
              </w:rPr>
            </w:pPr>
            <w:r w:rsidRPr="00413D42">
              <w:rPr>
                <w:rFonts w:ascii="標楷體" w:eastAsia="標楷體" w:hAnsi="標楷體" w:hint="eastAsia"/>
                <w:color w:val="000000"/>
                <w:kern w:val="0"/>
              </w:rPr>
              <w:t>委員</w:t>
            </w:r>
            <w:r w:rsidRPr="00307249">
              <w:rPr>
                <w:rFonts w:ascii="標楷體" w:eastAsia="標楷體" w:hAnsi="標楷體" w:hint="eastAsia"/>
                <w:color w:val="000000"/>
                <w:kern w:val="0"/>
              </w:rPr>
              <w:t>賴品妤等17人</w:t>
            </w:r>
            <w:r>
              <w:rPr>
                <w:rFonts w:ascii="標楷體" w:eastAsia="標楷體" w:hAnsi="標楷體" w:hint="eastAsia"/>
                <w:color w:val="000000"/>
                <w:kern w:val="0"/>
              </w:rPr>
              <w:t xml:space="preserve"> 111.12.16</w:t>
            </w:r>
            <w:r w:rsidRPr="006719D5">
              <w:rPr>
                <w:rFonts w:ascii="標楷體" w:eastAsia="標楷體" w:hAnsi="標楷體" w:hint="eastAsia"/>
                <w:color w:val="000000"/>
                <w:kern w:val="0"/>
              </w:rPr>
              <w:t xml:space="preserve"> </w:t>
            </w:r>
          </w:p>
          <w:p w14:paraId="41D47CC8" w14:textId="77777777" w:rsidR="00421BB5" w:rsidRPr="00C30204" w:rsidRDefault="00421BB5" w:rsidP="00AD4F84">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10-6-12</w:t>
            </w:r>
            <w:r w:rsidRPr="006719D5">
              <w:rPr>
                <w:rFonts w:ascii="標楷體" w:eastAsia="標楷體" w:hAnsi="標楷體" w:hint="eastAsia"/>
                <w:color w:val="000000"/>
                <w:kern w:val="0"/>
              </w:rPr>
              <w:t>）</w:t>
            </w:r>
          </w:p>
        </w:tc>
        <w:tc>
          <w:tcPr>
            <w:tcW w:w="3685" w:type="dxa"/>
            <w:tcMar>
              <w:top w:w="85" w:type="dxa"/>
              <w:bottom w:w="85" w:type="dxa"/>
            </w:tcMar>
          </w:tcPr>
          <w:p w14:paraId="0FC3C985"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111.12.16</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-12）逕付二讀</w:t>
            </w:r>
            <w:r w:rsidRPr="00695ADD">
              <w:rPr>
                <w:rFonts w:ascii="標楷體" w:eastAsia="標楷體" w:hAnsi="標楷體" w:hint="eastAsia"/>
              </w:rPr>
              <w:t>，與相關提案併案協商。</w:t>
            </w:r>
          </w:p>
          <w:p w14:paraId="6516A405"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2.111.12.30黨團協商。</w:t>
            </w:r>
          </w:p>
          <w:p w14:paraId="309F3034" w14:textId="77777777" w:rsidR="00421BB5" w:rsidRPr="00695ADD"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EC6551">
              <w:rPr>
                <w:rFonts w:ascii="標楷體" w:eastAsia="標楷體" w:hAnsi="標楷體" w:hint="eastAsia"/>
              </w:rPr>
              <w:t>院會</w:t>
            </w:r>
            <w:r w:rsidRPr="00EC6551">
              <w:rPr>
                <w:rFonts w:ascii="標楷體" w:eastAsia="標楷體" w:hAnsi="標楷體"/>
              </w:rPr>
              <w:t>112.1.10</w:t>
            </w:r>
            <w:r w:rsidRPr="003B0164">
              <w:rPr>
                <w:rFonts w:ascii="標楷體" w:eastAsia="標楷體" w:hAnsi="標楷體" w:hint="eastAsia"/>
              </w:rPr>
              <w:t>（</w:t>
            </w:r>
            <w:r>
              <w:rPr>
                <w:rFonts w:ascii="標楷體" w:eastAsia="標楷體" w:hAnsi="標楷體"/>
              </w:rPr>
              <w:t>10-6-15</w:t>
            </w:r>
            <w:r>
              <w:rPr>
                <w:rFonts w:ascii="標楷體" w:eastAsia="標楷體" w:hAnsi="標楷體" w:hint="eastAsia"/>
              </w:rPr>
              <w:t>）</w:t>
            </w:r>
            <w:r w:rsidRPr="00EC6551">
              <w:rPr>
                <w:rFonts w:ascii="標楷體" w:eastAsia="標楷體" w:hAnsi="標楷體" w:hint="eastAsia"/>
              </w:rPr>
              <w:t>三讀制定國家運動科學中心設置條例</w:t>
            </w:r>
            <w:r>
              <w:rPr>
                <w:rFonts w:ascii="標楷體" w:eastAsia="標楷體" w:hAnsi="標楷體" w:hint="eastAsia"/>
              </w:rPr>
              <w:t>。</w:t>
            </w:r>
          </w:p>
        </w:tc>
      </w:tr>
      <w:tr w:rsidR="00421BB5" w:rsidRPr="00215B2B" w14:paraId="4E5C87DF" w14:textId="77777777" w:rsidTr="00421BB5">
        <w:tc>
          <w:tcPr>
            <w:tcW w:w="709" w:type="dxa"/>
            <w:tcMar>
              <w:top w:w="85" w:type="dxa"/>
              <w:bottom w:w="85" w:type="dxa"/>
            </w:tcMar>
          </w:tcPr>
          <w:p w14:paraId="05367E11" w14:textId="77777777" w:rsidR="00421BB5" w:rsidRDefault="00421BB5" w:rsidP="00AD4F84">
            <w:pPr>
              <w:kinsoku w:val="0"/>
              <w:adjustRightInd w:val="0"/>
              <w:snapToGrid w:val="0"/>
              <w:spacing w:line="260" w:lineRule="exact"/>
              <w:jc w:val="center"/>
              <w:rPr>
                <w:rFonts w:ascii="標楷體" w:eastAsia="標楷體" w:hAnsi="標楷體"/>
              </w:rPr>
            </w:pPr>
            <w:r>
              <w:rPr>
                <w:rFonts w:ascii="標楷體" w:eastAsia="標楷體" w:hAnsi="標楷體" w:hint="eastAsia"/>
              </w:rPr>
              <w:t>4</w:t>
            </w:r>
          </w:p>
        </w:tc>
        <w:tc>
          <w:tcPr>
            <w:tcW w:w="2127" w:type="dxa"/>
            <w:tcMar>
              <w:top w:w="85" w:type="dxa"/>
              <w:bottom w:w="85" w:type="dxa"/>
            </w:tcMar>
          </w:tcPr>
          <w:p w14:paraId="168F06C7" w14:textId="77777777" w:rsidR="00421BB5" w:rsidRPr="0023770A" w:rsidRDefault="00421BB5" w:rsidP="00AD4F84">
            <w:pPr>
              <w:kinsoku w:val="0"/>
              <w:adjustRightInd w:val="0"/>
              <w:snapToGrid w:val="0"/>
              <w:spacing w:line="260" w:lineRule="exact"/>
              <w:rPr>
                <w:rFonts w:ascii="標楷體" w:eastAsia="標楷體" w:hAnsi="標楷體"/>
              </w:rPr>
            </w:pPr>
            <w:r w:rsidRPr="0023770A">
              <w:rPr>
                <w:rFonts w:ascii="標楷體" w:eastAsia="標楷體" w:hAnsi="標楷體" w:hint="eastAsia"/>
              </w:rPr>
              <w:t>國家運動科學中心設置條例草案</w:t>
            </w:r>
          </w:p>
        </w:tc>
        <w:tc>
          <w:tcPr>
            <w:tcW w:w="2268" w:type="dxa"/>
            <w:tcMar>
              <w:top w:w="85" w:type="dxa"/>
              <w:bottom w:w="85" w:type="dxa"/>
            </w:tcMar>
          </w:tcPr>
          <w:p w14:paraId="0803C767" w14:textId="77777777" w:rsidR="00421BB5" w:rsidRPr="0023770A" w:rsidRDefault="00421BB5" w:rsidP="00AD4F84">
            <w:pPr>
              <w:kinsoku w:val="0"/>
              <w:spacing w:line="300" w:lineRule="exact"/>
              <w:rPr>
                <w:rFonts w:ascii="標楷體" w:eastAsia="標楷體" w:hAnsi="標楷體"/>
                <w:color w:val="000000"/>
                <w:kern w:val="0"/>
              </w:rPr>
            </w:pPr>
            <w:r w:rsidRPr="0023770A">
              <w:rPr>
                <w:rFonts w:ascii="標楷體" w:eastAsia="標楷體" w:hAnsi="標楷體" w:hint="eastAsia"/>
                <w:color w:val="000000"/>
                <w:kern w:val="0"/>
              </w:rPr>
              <w:t xml:space="preserve">委員范雲等18人 111.12.02 </w:t>
            </w:r>
          </w:p>
          <w:p w14:paraId="14057C5C" w14:textId="77777777" w:rsidR="00421BB5" w:rsidRPr="0023770A" w:rsidRDefault="00421BB5" w:rsidP="00AD4F84">
            <w:pPr>
              <w:kinsoku w:val="0"/>
              <w:spacing w:line="300" w:lineRule="exact"/>
              <w:rPr>
                <w:rFonts w:ascii="標楷體" w:eastAsia="標楷體" w:hAnsi="標楷體"/>
                <w:color w:val="000000"/>
                <w:kern w:val="0"/>
              </w:rPr>
            </w:pPr>
            <w:r w:rsidRPr="0023770A">
              <w:rPr>
                <w:rFonts w:ascii="標楷體" w:eastAsia="標楷體" w:hAnsi="標楷體" w:hint="eastAsia"/>
                <w:color w:val="000000"/>
                <w:kern w:val="0"/>
              </w:rPr>
              <w:t>（10-6-10）</w:t>
            </w:r>
          </w:p>
        </w:tc>
        <w:tc>
          <w:tcPr>
            <w:tcW w:w="3685" w:type="dxa"/>
            <w:tcMar>
              <w:top w:w="85" w:type="dxa"/>
              <w:bottom w:w="85" w:type="dxa"/>
            </w:tcMar>
          </w:tcPr>
          <w:p w14:paraId="318082E8"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23770A">
              <w:rPr>
                <w:rFonts w:ascii="標楷體" w:eastAsia="標楷體" w:hAnsi="標楷體" w:hint="eastAsia"/>
              </w:rPr>
              <w:t>111.12.16（10-6-12）自司法及法制</w:t>
            </w:r>
            <w:r>
              <w:rPr>
                <w:rFonts w:ascii="標楷體" w:eastAsia="標楷體" w:hAnsi="標楷體" w:hint="eastAsia"/>
              </w:rPr>
              <w:t>、教育及文化兩</w:t>
            </w:r>
            <w:r w:rsidRPr="0023770A">
              <w:rPr>
                <w:rFonts w:ascii="標楷體" w:eastAsia="標楷體" w:hAnsi="標楷體" w:hint="eastAsia"/>
              </w:rPr>
              <w:t>委員會抽出逕付二讀，與相關提案併案協商。</w:t>
            </w:r>
          </w:p>
          <w:p w14:paraId="2A2ABB93" w14:textId="77777777" w:rsidR="00421BB5"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2.111.12.30黨團協商。</w:t>
            </w:r>
          </w:p>
          <w:p w14:paraId="446AC035" w14:textId="77777777" w:rsidR="00421BB5" w:rsidRPr="0023770A" w:rsidRDefault="00421BB5" w:rsidP="00AD4F84">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EC6551">
              <w:rPr>
                <w:rFonts w:ascii="標楷體" w:eastAsia="標楷體" w:hAnsi="標楷體" w:hint="eastAsia"/>
              </w:rPr>
              <w:t>院會</w:t>
            </w:r>
            <w:r w:rsidRPr="00EC6551">
              <w:rPr>
                <w:rFonts w:ascii="標楷體" w:eastAsia="標楷體" w:hAnsi="標楷體"/>
              </w:rPr>
              <w:t>112.1.10</w:t>
            </w:r>
            <w:r w:rsidRPr="003B0164">
              <w:rPr>
                <w:rFonts w:ascii="標楷體" w:eastAsia="標楷體" w:hAnsi="標楷體" w:hint="eastAsia"/>
              </w:rPr>
              <w:t>（</w:t>
            </w:r>
            <w:r>
              <w:rPr>
                <w:rFonts w:ascii="標楷體" w:eastAsia="標楷體" w:hAnsi="標楷體"/>
              </w:rPr>
              <w:t>10-6-15</w:t>
            </w:r>
            <w:r>
              <w:rPr>
                <w:rFonts w:ascii="標楷體" w:eastAsia="標楷體" w:hAnsi="標楷體" w:hint="eastAsia"/>
              </w:rPr>
              <w:t>）</w:t>
            </w:r>
            <w:r w:rsidRPr="00EC6551">
              <w:rPr>
                <w:rFonts w:ascii="標楷體" w:eastAsia="標楷體" w:hAnsi="標楷體" w:hint="eastAsia"/>
              </w:rPr>
              <w:t>三讀制定國家運動科學中心設置條例</w:t>
            </w:r>
            <w:r>
              <w:rPr>
                <w:rFonts w:ascii="標楷體" w:eastAsia="標楷體" w:hAnsi="標楷體" w:hint="eastAsia"/>
              </w:rPr>
              <w:t>。</w:t>
            </w:r>
          </w:p>
        </w:tc>
      </w:tr>
    </w:tbl>
    <w:p w14:paraId="4ED54EF3" w14:textId="77777777" w:rsidR="00421BB5" w:rsidRPr="00490FEE" w:rsidRDefault="00421BB5" w:rsidP="005D30E8">
      <w:pPr>
        <w:pStyle w:val="-40"/>
        <w:spacing w:beforeLines="100" w:before="360" w:afterLines="100" w:after="360"/>
        <w:outlineLvl w:val="2"/>
        <w:rPr>
          <w:color w:val="000000" w:themeColor="text1"/>
        </w:rPr>
      </w:pPr>
      <w:r>
        <w:rPr>
          <w:rFonts w:hint="eastAsia"/>
          <w:color w:val="000000" w:themeColor="text1"/>
        </w:rPr>
        <w:t>二、</w:t>
      </w:r>
      <w:r w:rsidRPr="00490FEE">
        <w:rPr>
          <w:rFonts w:hint="eastAsia"/>
          <w:color w:val="000000" w:themeColor="text1"/>
        </w:rPr>
        <w:t>作用</w:t>
      </w:r>
      <w:r w:rsidRPr="00490FEE">
        <w:rPr>
          <w:color w:val="000000" w:themeColor="text1"/>
        </w:rPr>
        <w:t>法</w:t>
      </w:r>
      <w:r>
        <w:rPr>
          <w:rFonts w:hint="eastAsia"/>
          <w:color w:val="000000" w:themeColor="text1"/>
        </w:rPr>
        <w:t>21</w:t>
      </w:r>
      <w:r w:rsidRPr="00490FEE">
        <w:rPr>
          <w:rFonts w:hint="eastAsia"/>
          <w:color w:val="000000" w:themeColor="text1"/>
        </w:rPr>
        <w:t>案</w:t>
      </w:r>
      <w:bookmarkEnd w:id="484"/>
      <w:bookmarkEnd w:id="485"/>
    </w:p>
    <w:tbl>
      <w:tblPr>
        <w:tblW w:w="878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421BB5" w:rsidRPr="00490FEE" w14:paraId="1ED1F2AF" w14:textId="77777777" w:rsidTr="00421BB5">
        <w:tc>
          <w:tcPr>
            <w:tcW w:w="709" w:type="dxa"/>
            <w:tcMar>
              <w:top w:w="85" w:type="dxa"/>
              <w:bottom w:w="85" w:type="dxa"/>
            </w:tcMar>
            <w:vAlign w:val="center"/>
          </w:tcPr>
          <w:p w14:paraId="6842B16B" w14:textId="77777777" w:rsidR="00421BB5" w:rsidRPr="00490FEE" w:rsidRDefault="00421BB5" w:rsidP="00F7741E">
            <w:pPr>
              <w:kinsoku w:val="0"/>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序號</w:t>
            </w:r>
          </w:p>
        </w:tc>
        <w:tc>
          <w:tcPr>
            <w:tcW w:w="2127" w:type="dxa"/>
            <w:tcMar>
              <w:top w:w="85" w:type="dxa"/>
              <w:bottom w:w="85" w:type="dxa"/>
            </w:tcMar>
            <w:vAlign w:val="center"/>
          </w:tcPr>
          <w:p w14:paraId="619D3A59" w14:textId="77777777" w:rsidR="00421BB5" w:rsidRPr="00490FEE" w:rsidRDefault="00421BB5" w:rsidP="00F7741E">
            <w:pPr>
              <w:kinsoku w:val="0"/>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議案名稱</w:t>
            </w:r>
          </w:p>
        </w:tc>
        <w:tc>
          <w:tcPr>
            <w:tcW w:w="2268" w:type="dxa"/>
            <w:tcMar>
              <w:top w:w="85" w:type="dxa"/>
              <w:bottom w:w="85" w:type="dxa"/>
            </w:tcMar>
            <w:vAlign w:val="center"/>
          </w:tcPr>
          <w:p w14:paraId="67D4586C" w14:textId="77777777" w:rsidR="00421BB5" w:rsidRPr="00490FEE" w:rsidRDefault="00421BB5" w:rsidP="00F7741E">
            <w:pPr>
              <w:kinsoku w:val="0"/>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提案委員或機關、</w:t>
            </w:r>
          </w:p>
          <w:p w14:paraId="58511D3F" w14:textId="77777777" w:rsidR="00421BB5" w:rsidRPr="00490FEE" w:rsidRDefault="00421BB5" w:rsidP="00F7741E">
            <w:pPr>
              <w:kinsoku w:val="0"/>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院會逕付二讀日期（會次）</w:t>
            </w:r>
          </w:p>
        </w:tc>
        <w:tc>
          <w:tcPr>
            <w:tcW w:w="3685" w:type="dxa"/>
            <w:tcMar>
              <w:top w:w="85" w:type="dxa"/>
              <w:bottom w:w="85" w:type="dxa"/>
            </w:tcMar>
            <w:vAlign w:val="center"/>
          </w:tcPr>
          <w:p w14:paraId="3ADBD6F3" w14:textId="77777777" w:rsidR="00421BB5" w:rsidRPr="00490FEE" w:rsidRDefault="00421BB5" w:rsidP="00F7741E">
            <w:pPr>
              <w:kinsoku w:val="0"/>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審查情形</w:t>
            </w:r>
          </w:p>
        </w:tc>
      </w:tr>
      <w:tr w:rsidR="00421BB5" w:rsidRPr="00490FEE" w14:paraId="4DAF8C5E" w14:textId="77777777" w:rsidTr="00421BB5">
        <w:trPr>
          <w:trHeight w:val="74"/>
        </w:trPr>
        <w:tc>
          <w:tcPr>
            <w:tcW w:w="709" w:type="dxa"/>
            <w:tcMar>
              <w:top w:w="85" w:type="dxa"/>
              <w:bottom w:w="85" w:type="dxa"/>
            </w:tcMar>
          </w:tcPr>
          <w:p w14:paraId="7757E535"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127" w:type="dxa"/>
            <w:tcMar>
              <w:top w:w="85" w:type="dxa"/>
              <w:bottom w:w="85" w:type="dxa"/>
            </w:tcMar>
          </w:tcPr>
          <w:p w14:paraId="020126F5" w14:textId="77777777" w:rsidR="00421BB5" w:rsidRPr="00B86C57" w:rsidRDefault="00421BB5" w:rsidP="00F7741E">
            <w:pPr>
              <w:kinsoku w:val="0"/>
              <w:adjustRightInd w:val="0"/>
              <w:snapToGrid w:val="0"/>
              <w:spacing w:line="260" w:lineRule="exact"/>
              <w:rPr>
                <w:rFonts w:ascii="標楷體" w:eastAsia="標楷體" w:hAnsi="標楷體"/>
              </w:rPr>
            </w:pPr>
            <w:r w:rsidRPr="00B86C57">
              <w:rPr>
                <w:rFonts w:ascii="標楷體" w:eastAsia="標楷體" w:hAnsi="標楷體" w:hint="eastAsia"/>
              </w:rPr>
              <w:t>民事訴訟法第二百四十九條及第二百四十九條之</w:t>
            </w:r>
            <w:r w:rsidRPr="00B86C57">
              <w:rPr>
                <w:rFonts w:ascii="標楷體" w:eastAsia="標楷體" w:hAnsi="標楷體" w:hint="eastAsia"/>
              </w:rPr>
              <w:lastRenderedPageBreak/>
              <w:t>一條文修正草案</w:t>
            </w:r>
          </w:p>
        </w:tc>
        <w:tc>
          <w:tcPr>
            <w:tcW w:w="2268" w:type="dxa"/>
            <w:tcMar>
              <w:top w:w="85" w:type="dxa"/>
              <w:bottom w:w="85" w:type="dxa"/>
            </w:tcMar>
          </w:tcPr>
          <w:p w14:paraId="01402C7F" w14:textId="77777777" w:rsidR="00421BB5" w:rsidRDefault="00421BB5" w:rsidP="00F7741E">
            <w:pPr>
              <w:kinsoku w:val="0"/>
              <w:adjustRightInd w:val="0"/>
              <w:snapToGrid w:val="0"/>
              <w:spacing w:line="260" w:lineRule="exact"/>
              <w:rPr>
                <w:rFonts w:ascii="標楷體" w:eastAsia="標楷體" w:hAnsi="標楷體"/>
              </w:rPr>
            </w:pPr>
            <w:r w:rsidRPr="00B86C57">
              <w:rPr>
                <w:rFonts w:ascii="標楷體" w:eastAsia="標楷體" w:hAnsi="標楷體" w:hint="eastAsia"/>
              </w:rPr>
              <w:lastRenderedPageBreak/>
              <w:t>委員周春米等19人</w:t>
            </w:r>
            <w:r>
              <w:rPr>
                <w:rFonts w:ascii="標楷體" w:eastAsia="標楷體" w:hAnsi="標楷體" w:hint="eastAsia"/>
              </w:rPr>
              <w:t xml:space="preserve"> </w:t>
            </w:r>
            <w:r w:rsidRPr="00B86C57">
              <w:rPr>
                <w:rFonts w:ascii="標楷體" w:eastAsia="標楷體" w:hAnsi="標楷體"/>
              </w:rPr>
              <w:t>109</w:t>
            </w:r>
            <w:r w:rsidRPr="00B86C57">
              <w:rPr>
                <w:rFonts w:ascii="標楷體" w:eastAsia="標楷體" w:hAnsi="標楷體" w:hint="eastAsia"/>
              </w:rPr>
              <w:t>.</w:t>
            </w:r>
            <w:r w:rsidRPr="00B86C57">
              <w:rPr>
                <w:rFonts w:ascii="標楷體" w:eastAsia="標楷體" w:hAnsi="標楷體"/>
              </w:rPr>
              <w:t>12</w:t>
            </w:r>
            <w:r w:rsidRPr="00B86C57">
              <w:rPr>
                <w:rFonts w:ascii="標楷體" w:eastAsia="標楷體" w:hAnsi="標楷體" w:hint="eastAsia"/>
              </w:rPr>
              <w:t>.30</w:t>
            </w:r>
            <w:r w:rsidRPr="00B86C57">
              <w:rPr>
                <w:rFonts w:ascii="標楷體" w:eastAsia="標楷體" w:hAnsi="標楷體"/>
              </w:rPr>
              <w:t xml:space="preserve"> </w:t>
            </w:r>
          </w:p>
          <w:p w14:paraId="15F7AD0E" w14:textId="77777777" w:rsidR="00421BB5" w:rsidRPr="00B86C57" w:rsidRDefault="00421BB5" w:rsidP="00F7741E">
            <w:pPr>
              <w:kinsoku w:val="0"/>
              <w:adjustRightInd w:val="0"/>
              <w:snapToGrid w:val="0"/>
              <w:spacing w:line="26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w:t>
            </w:r>
            <w:r>
              <w:rPr>
                <w:rFonts w:ascii="標楷體" w:eastAsia="標楷體" w:hAnsi="標楷體"/>
              </w:rPr>
              <w:t>2</w:t>
            </w:r>
            <w:r>
              <w:rPr>
                <w:rFonts w:ascii="標楷體" w:eastAsia="標楷體" w:hAnsi="標楷體" w:hint="eastAsia"/>
              </w:rPr>
              <w:t>-1</w:t>
            </w:r>
            <w:r>
              <w:rPr>
                <w:rFonts w:ascii="標楷體" w:eastAsia="標楷體" w:hAnsi="標楷體"/>
              </w:rPr>
              <w:t>1</w:t>
            </w:r>
            <w:r w:rsidRPr="00B019ED">
              <w:rPr>
                <w:rFonts w:ascii="標楷體" w:eastAsia="標楷體" w:hAnsi="標楷體" w:hint="eastAsia"/>
              </w:rPr>
              <w:t>）</w:t>
            </w:r>
          </w:p>
        </w:tc>
        <w:tc>
          <w:tcPr>
            <w:tcW w:w="3685" w:type="dxa"/>
            <w:tcMar>
              <w:top w:w="85" w:type="dxa"/>
              <w:bottom w:w="85" w:type="dxa"/>
            </w:tcMar>
          </w:tcPr>
          <w:p w14:paraId="59B69CF0" w14:textId="77777777" w:rsidR="00421BB5" w:rsidRPr="00B86C57" w:rsidRDefault="00421BB5" w:rsidP="00F7741E">
            <w:pPr>
              <w:kinsoku w:val="0"/>
              <w:adjustRightInd w:val="0"/>
              <w:snapToGrid w:val="0"/>
              <w:spacing w:line="260" w:lineRule="exact"/>
              <w:rPr>
                <w:rFonts w:ascii="標楷體" w:eastAsia="標楷體" w:hAnsi="標楷體"/>
              </w:rPr>
            </w:pPr>
            <w:r w:rsidRPr="00B86C57">
              <w:rPr>
                <w:rFonts w:ascii="標楷體" w:eastAsia="標楷體" w:hAnsi="標楷體" w:hint="eastAsia"/>
              </w:rPr>
              <w:t>院會109.12.30（10-2-11）逕付二讀。</w:t>
            </w:r>
          </w:p>
        </w:tc>
      </w:tr>
      <w:tr w:rsidR="00421BB5" w:rsidRPr="00490FEE" w14:paraId="0B1239BF" w14:textId="77777777" w:rsidTr="00421BB5">
        <w:trPr>
          <w:trHeight w:val="74"/>
        </w:trPr>
        <w:tc>
          <w:tcPr>
            <w:tcW w:w="709" w:type="dxa"/>
            <w:tcMar>
              <w:top w:w="85" w:type="dxa"/>
              <w:bottom w:w="85" w:type="dxa"/>
            </w:tcMar>
          </w:tcPr>
          <w:p w14:paraId="62A8D4C1"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2</w:t>
            </w:r>
          </w:p>
        </w:tc>
        <w:tc>
          <w:tcPr>
            <w:tcW w:w="2127" w:type="dxa"/>
            <w:tcMar>
              <w:top w:w="85" w:type="dxa"/>
              <w:bottom w:w="85" w:type="dxa"/>
            </w:tcMar>
          </w:tcPr>
          <w:p w14:paraId="01F6CB74" w14:textId="77777777" w:rsidR="00421BB5" w:rsidRPr="00D24A31" w:rsidRDefault="00421BB5" w:rsidP="00F7741E">
            <w:pPr>
              <w:kinsoku w:val="0"/>
              <w:adjustRightInd w:val="0"/>
              <w:snapToGrid w:val="0"/>
              <w:spacing w:line="260" w:lineRule="exact"/>
              <w:rPr>
                <w:rFonts w:ascii="標楷體" w:eastAsia="標楷體" w:hAnsi="標楷體"/>
              </w:rPr>
            </w:pPr>
            <w:r w:rsidRPr="00BB15A2">
              <w:rPr>
                <w:rFonts w:ascii="標楷體" w:eastAsia="標楷體" w:hAnsi="標楷體" w:hint="eastAsia"/>
              </w:rPr>
              <w:t>犯罪被害人保護法修正草案</w:t>
            </w:r>
          </w:p>
        </w:tc>
        <w:tc>
          <w:tcPr>
            <w:tcW w:w="2268" w:type="dxa"/>
            <w:tcMar>
              <w:top w:w="85" w:type="dxa"/>
              <w:bottom w:w="85" w:type="dxa"/>
            </w:tcMar>
          </w:tcPr>
          <w:p w14:paraId="73E7E4B9" w14:textId="77777777" w:rsidR="00421BB5" w:rsidRDefault="00421BB5" w:rsidP="00F7741E">
            <w:pPr>
              <w:kinsoku w:val="0"/>
              <w:adjustRightInd w:val="0"/>
              <w:snapToGrid w:val="0"/>
              <w:spacing w:line="260" w:lineRule="exact"/>
              <w:rPr>
                <w:rFonts w:ascii="標楷體" w:eastAsia="標楷體" w:hAnsi="標楷體"/>
              </w:rPr>
            </w:pPr>
            <w:r w:rsidRPr="00695ADD">
              <w:rPr>
                <w:rFonts w:ascii="標楷體" w:eastAsia="標楷體" w:hAnsi="標楷體" w:hint="eastAsia"/>
              </w:rPr>
              <w:t>委員</w:t>
            </w:r>
            <w:r w:rsidRPr="00BB15A2">
              <w:rPr>
                <w:rFonts w:ascii="標楷體" w:eastAsia="標楷體" w:hAnsi="標楷體" w:hint="eastAsia"/>
              </w:rPr>
              <w:t>葉毓蘭等16人</w:t>
            </w:r>
            <w:r>
              <w:rPr>
                <w:rFonts w:ascii="標楷體" w:eastAsia="標楷體" w:hAnsi="標楷體" w:hint="eastAsia"/>
              </w:rPr>
              <w:t xml:space="preserve"> </w:t>
            </w:r>
            <w:r>
              <w:rPr>
                <w:rFonts w:ascii="標楷體" w:eastAsia="標楷體" w:hAnsi="標楷體"/>
              </w:rPr>
              <w:t>1</w:t>
            </w:r>
            <w:r>
              <w:rPr>
                <w:rFonts w:ascii="標楷體" w:eastAsia="標楷體" w:hAnsi="標楷體" w:hint="eastAsia"/>
              </w:rPr>
              <w:t>11</w:t>
            </w:r>
            <w:r w:rsidRPr="00695ADD">
              <w:rPr>
                <w:rFonts w:ascii="標楷體" w:eastAsia="標楷體" w:hAnsi="標楷體" w:hint="eastAsia"/>
              </w:rPr>
              <w:t>.</w:t>
            </w:r>
            <w:r>
              <w:rPr>
                <w:rFonts w:ascii="標楷體" w:eastAsia="標楷體" w:hAnsi="標楷體" w:hint="eastAsia"/>
              </w:rPr>
              <w:t>05.2</w:t>
            </w:r>
            <w:r w:rsidRPr="00695ADD">
              <w:rPr>
                <w:rFonts w:ascii="標楷體" w:eastAsia="標楷體" w:hAnsi="標楷體" w:hint="eastAsia"/>
              </w:rPr>
              <w:t>0</w:t>
            </w:r>
            <w:r>
              <w:rPr>
                <w:rFonts w:ascii="標楷體" w:eastAsia="標楷體" w:hAnsi="標楷體"/>
              </w:rPr>
              <w:t xml:space="preserve"> </w:t>
            </w:r>
          </w:p>
          <w:p w14:paraId="223E8745" w14:textId="77777777" w:rsidR="00421BB5" w:rsidRPr="00D24A31" w:rsidRDefault="00421BB5" w:rsidP="00F7741E">
            <w:pPr>
              <w:kinsoku w:val="0"/>
              <w:adjustRightInd w:val="0"/>
              <w:snapToGrid w:val="0"/>
              <w:spacing w:line="26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10-5-13</w:t>
            </w:r>
            <w:r w:rsidRPr="00B019ED">
              <w:rPr>
                <w:rFonts w:ascii="標楷體" w:eastAsia="標楷體" w:hAnsi="標楷體" w:hint="eastAsia"/>
              </w:rPr>
              <w:t>）</w:t>
            </w:r>
          </w:p>
        </w:tc>
        <w:tc>
          <w:tcPr>
            <w:tcW w:w="3685" w:type="dxa"/>
            <w:tcMar>
              <w:top w:w="85" w:type="dxa"/>
              <w:bottom w:w="85" w:type="dxa"/>
            </w:tcMar>
          </w:tcPr>
          <w:p w14:paraId="53D8286C"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111.05.20</w:t>
            </w:r>
            <w:r w:rsidRPr="00695ADD">
              <w:rPr>
                <w:rFonts w:ascii="標楷體" w:eastAsia="標楷體" w:hAnsi="標楷體" w:hint="eastAsia"/>
              </w:rPr>
              <w:t>（</w:t>
            </w:r>
            <w:r>
              <w:rPr>
                <w:rFonts w:ascii="標楷體" w:eastAsia="標楷體" w:hAnsi="標楷體" w:hint="eastAsia"/>
              </w:rPr>
              <w:t>10-5-13）逕付二讀</w:t>
            </w:r>
            <w:r w:rsidRPr="00695ADD">
              <w:rPr>
                <w:rFonts w:ascii="標楷體" w:eastAsia="標楷體" w:hAnsi="標楷體" w:hint="eastAsia"/>
              </w:rPr>
              <w:t>，與相關提案併案協商。</w:t>
            </w:r>
          </w:p>
          <w:p w14:paraId="2693A694"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w:t>
            </w:r>
            <w:r w:rsidRPr="00073D36">
              <w:rPr>
                <w:rFonts w:ascii="標楷體" w:eastAsia="標楷體" w:hAnsi="標楷體" w:hint="eastAsia"/>
              </w:rPr>
              <w:t>111.11.9黨團協商。</w:t>
            </w:r>
          </w:p>
          <w:p w14:paraId="096A5276"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F457FD">
              <w:rPr>
                <w:rFonts w:ascii="標楷體" w:eastAsia="標楷體" w:hAnsi="標楷體" w:hint="eastAsia"/>
              </w:rPr>
              <w:t>.111.12.22黨團協商。</w:t>
            </w:r>
          </w:p>
          <w:p w14:paraId="4EEA3269"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4</w:t>
            </w:r>
            <w:r w:rsidRPr="00476050">
              <w:rPr>
                <w:rFonts w:ascii="標楷體" w:eastAsia="標楷體" w:hAnsi="標楷體" w:hint="eastAsia"/>
              </w:rPr>
              <w:t>.112.1.4黨團協商。</w:t>
            </w:r>
          </w:p>
          <w:p w14:paraId="099CD32B"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DC0293">
              <w:rPr>
                <w:rFonts w:ascii="標楷體" w:eastAsia="標楷體" w:hAnsi="標楷體" w:hint="eastAsia"/>
              </w:rPr>
              <w:t>5.112.1.5黨團協商。</w:t>
            </w:r>
          </w:p>
          <w:p w14:paraId="605DD71C" w14:textId="77777777" w:rsidR="00421BB5" w:rsidRPr="00073D36"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6.</w:t>
            </w:r>
            <w:r w:rsidRPr="009B3B04">
              <w:rPr>
                <w:rFonts w:ascii="標楷體" w:eastAsia="標楷體" w:hAnsi="標楷體" w:hint="eastAsia"/>
              </w:rPr>
              <w:t>院會</w:t>
            </w:r>
            <w:r>
              <w:rPr>
                <w:rFonts w:ascii="標楷體" w:eastAsia="標楷體" w:hAnsi="標楷體" w:hint="eastAsia"/>
              </w:rPr>
              <w:t>112.1.7</w:t>
            </w:r>
            <w:r w:rsidRPr="00695ADD">
              <w:rPr>
                <w:rFonts w:ascii="標楷體" w:eastAsia="標楷體" w:hAnsi="標楷體" w:hint="eastAsia"/>
              </w:rPr>
              <w:t>（</w:t>
            </w:r>
            <w:r>
              <w:rPr>
                <w:rFonts w:ascii="標楷體" w:eastAsia="標楷體" w:hAnsi="標楷體" w:hint="eastAsia"/>
              </w:rPr>
              <w:t>10-6-14）</w:t>
            </w:r>
            <w:r w:rsidRPr="009B3B04">
              <w:rPr>
                <w:rFonts w:ascii="標楷體" w:eastAsia="標楷體" w:hAnsi="標楷體" w:hint="eastAsia"/>
              </w:rPr>
              <w:t>三讀</w:t>
            </w:r>
            <w:r w:rsidRPr="00F25FD7">
              <w:rPr>
                <w:rFonts w:ascii="標楷體" w:eastAsia="標楷體" w:hAnsi="標楷體" w:hint="eastAsia"/>
              </w:rPr>
              <w:t>名稱修正為「犯罪被害人權益保障法」；並修正全文</w:t>
            </w:r>
            <w:r>
              <w:rPr>
                <w:rFonts w:ascii="標楷體" w:eastAsia="標楷體" w:hAnsi="標楷體" w:hint="eastAsia"/>
              </w:rPr>
              <w:t>。</w:t>
            </w:r>
          </w:p>
        </w:tc>
      </w:tr>
      <w:tr w:rsidR="00421BB5" w:rsidRPr="00490FEE" w14:paraId="3C565FE1" w14:textId="77777777" w:rsidTr="00421BB5">
        <w:trPr>
          <w:trHeight w:val="74"/>
        </w:trPr>
        <w:tc>
          <w:tcPr>
            <w:tcW w:w="709" w:type="dxa"/>
            <w:tcMar>
              <w:top w:w="85" w:type="dxa"/>
              <w:bottom w:w="85" w:type="dxa"/>
            </w:tcMar>
          </w:tcPr>
          <w:p w14:paraId="553E0F6E" w14:textId="77777777" w:rsidR="00421BB5" w:rsidRPr="009D7A67"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127" w:type="dxa"/>
            <w:tcMar>
              <w:top w:w="85" w:type="dxa"/>
              <w:bottom w:w="85" w:type="dxa"/>
            </w:tcMar>
          </w:tcPr>
          <w:p w14:paraId="48E2CDE5" w14:textId="77777777" w:rsidR="00421BB5" w:rsidRPr="002A171D" w:rsidRDefault="00421BB5" w:rsidP="00F7741E">
            <w:pPr>
              <w:kinsoku w:val="0"/>
              <w:adjustRightInd w:val="0"/>
              <w:snapToGrid w:val="0"/>
              <w:spacing w:line="260" w:lineRule="exact"/>
              <w:rPr>
                <w:rFonts w:ascii="標楷體" w:eastAsia="標楷體" w:hAnsi="標楷體"/>
              </w:rPr>
            </w:pPr>
            <w:r w:rsidRPr="00106CCC">
              <w:rPr>
                <w:rFonts w:ascii="標楷體" w:eastAsia="標楷體" w:hAnsi="標楷體" w:hint="eastAsia"/>
              </w:rPr>
              <w:t>公務人員退休資遣撫卹法第九十三條及第九十五條條文修正草案</w:t>
            </w:r>
          </w:p>
        </w:tc>
        <w:tc>
          <w:tcPr>
            <w:tcW w:w="2268" w:type="dxa"/>
            <w:tcMar>
              <w:top w:w="85" w:type="dxa"/>
              <w:bottom w:w="85" w:type="dxa"/>
            </w:tcMar>
          </w:tcPr>
          <w:p w14:paraId="4001A95A" w14:textId="77777777" w:rsidR="00421BB5" w:rsidRDefault="00421BB5" w:rsidP="00F7741E">
            <w:pPr>
              <w:kinsoku w:val="0"/>
              <w:adjustRightInd w:val="0"/>
              <w:snapToGrid w:val="0"/>
              <w:spacing w:line="260" w:lineRule="exact"/>
              <w:rPr>
                <w:rFonts w:ascii="標楷體" w:eastAsia="標楷體" w:hAnsi="標楷體"/>
              </w:rPr>
            </w:pPr>
            <w:r w:rsidRPr="00EC5352">
              <w:rPr>
                <w:rFonts w:ascii="標楷體" w:eastAsia="標楷體" w:hAnsi="標楷體"/>
              </w:rPr>
              <w:t>委員</w:t>
            </w:r>
            <w:r w:rsidRPr="00106CCC">
              <w:rPr>
                <w:rFonts w:ascii="標楷體" w:eastAsia="標楷體" w:hAnsi="標楷體" w:hint="eastAsia"/>
              </w:rPr>
              <w:t>許智傑等19人</w:t>
            </w:r>
            <w:r>
              <w:rPr>
                <w:rFonts w:ascii="標楷體" w:eastAsia="標楷體" w:hAnsi="標楷體" w:hint="eastAsia"/>
              </w:rPr>
              <w:t xml:space="preserve"> </w:t>
            </w:r>
            <w:r>
              <w:rPr>
                <w:rFonts w:ascii="標楷體" w:eastAsia="標楷體" w:hAnsi="標楷體"/>
              </w:rPr>
              <w:t>111.05.</w:t>
            </w:r>
            <w:r>
              <w:rPr>
                <w:rFonts w:ascii="標楷體" w:eastAsia="標楷體" w:hAnsi="標楷體" w:hint="eastAsia"/>
              </w:rPr>
              <w:t>27</w:t>
            </w:r>
            <w:r w:rsidRPr="00EC5352">
              <w:rPr>
                <w:rFonts w:ascii="標楷體" w:eastAsia="標楷體" w:hAnsi="標楷體"/>
              </w:rPr>
              <w:t xml:space="preserve"> </w:t>
            </w:r>
          </w:p>
          <w:p w14:paraId="1ACAAF66" w14:textId="77777777" w:rsidR="00421BB5" w:rsidRPr="00EC5352" w:rsidRDefault="00421BB5" w:rsidP="00F7741E">
            <w:pPr>
              <w:kinsoku w:val="0"/>
              <w:adjustRightInd w:val="0"/>
              <w:snapToGrid w:val="0"/>
              <w:spacing w:line="26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10-5-14</w:t>
            </w:r>
            <w:r w:rsidRPr="00B019ED">
              <w:rPr>
                <w:rFonts w:ascii="標楷體" w:eastAsia="標楷體" w:hAnsi="標楷體" w:hint="eastAsia"/>
              </w:rPr>
              <w:t>）</w:t>
            </w:r>
          </w:p>
        </w:tc>
        <w:tc>
          <w:tcPr>
            <w:tcW w:w="3685" w:type="dxa"/>
            <w:tcMar>
              <w:top w:w="85" w:type="dxa"/>
              <w:bottom w:w="85" w:type="dxa"/>
            </w:tcMar>
          </w:tcPr>
          <w:p w14:paraId="6CB79D64"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111.05.27</w:t>
            </w:r>
            <w:r w:rsidRPr="00695ADD">
              <w:rPr>
                <w:rFonts w:ascii="標楷體" w:eastAsia="標楷體" w:hAnsi="標楷體" w:hint="eastAsia"/>
              </w:rPr>
              <w:t>（</w:t>
            </w:r>
            <w:r>
              <w:rPr>
                <w:rFonts w:ascii="標楷體" w:eastAsia="標楷體" w:hAnsi="標楷體" w:hint="eastAsia"/>
              </w:rPr>
              <w:t>10-5-14）逕付二讀</w:t>
            </w:r>
            <w:r w:rsidRPr="00695ADD">
              <w:rPr>
                <w:rFonts w:ascii="標楷體" w:eastAsia="標楷體" w:hAnsi="標楷體" w:hint="eastAsia"/>
              </w:rPr>
              <w:t>，與相關提案併案協商。</w:t>
            </w:r>
          </w:p>
          <w:p w14:paraId="5B1DEE27"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w:t>
            </w:r>
            <w:r w:rsidRPr="007E0894">
              <w:rPr>
                <w:rFonts w:ascii="標楷體" w:eastAsia="標楷體" w:hAnsi="標楷體" w:hint="eastAsia"/>
              </w:rPr>
              <w:t>.111.12.2黨團協商。</w:t>
            </w:r>
          </w:p>
          <w:p w14:paraId="26462C81"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.111.12</w:t>
            </w:r>
            <w:r>
              <w:rPr>
                <w:rFonts w:ascii="標楷體" w:eastAsia="標楷體" w:hAnsi="標楷體" w:hint="eastAsia"/>
              </w:rPr>
              <w:t>.</w:t>
            </w:r>
            <w:r>
              <w:rPr>
                <w:rFonts w:ascii="標楷體" w:eastAsia="標楷體" w:hAnsi="標楷體"/>
              </w:rPr>
              <w:t>13</w:t>
            </w:r>
            <w:r w:rsidRPr="007E0894">
              <w:rPr>
                <w:rFonts w:ascii="標楷體" w:eastAsia="標楷體" w:hAnsi="標楷體" w:hint="eastAsia"/>
              </w:rPr>
              <w:t>黨團協商。</w:t>
            </w:r>
          </w:p>
          <w:p w14:paraId="6D261EA3"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545964">
              <w:rPr>
                <w:rFonts w:ascii="標楷體" w:eastAsia="標楷體" w:hAnsi="標楷體" w:hint="eastAsia"/>
              </w:rPr>
              <w:t>.111.12.15黨團協商。</w:t>
            </w:r>
          </w:p>
          <w:p w14:paraId="6A7241E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sidRPr="007A5904">
              <w:rPr>
                <w:rFonts w:ascii="標楷體" w:eastAsia="標楷體" w:hAnsi="標楷體" w:hint="eastAsia"/>
              </w:rPr>
              <w:t>院會</w:t>
            </w:r>
            <w:r>
              <w:rPr>
                <w:rFonts w:ascii="標楷體" w:eastAsia="標楷體" w:hAnsi="標楷體"/>
              </w:rPr>
              <w:t>111.12.16</w:t>
            </w:r>
            <w:r w:rsidRPr="00695ADD">
              <w:rPr>
                <w:rFonts w:ascii="標楷體" w:eastAsia="標楷體" w:hAnsi="標楷體" w:hint="eastAsia"/>
              </w:rPr>
              <w:t>（</w:t>
            </w:r>
            <w:r w:rsidRPr="007A5904">
              <w:rPr>
                <w:rFonts w:ascii="標楷體" w:eastAsia="標楷體" w:hAnsi="標楷體"/>
              </w:rPr>
              <w:t>10-6-12)</w:t>
            </w:r>
            <w:r w:rsidRPr="007A5904">
              <w:rPr>
                <w:rFonts w:ascii="標楷體" w:eastAsia="標楷體" w:hAnsi="標楷體" w:hint="eastAsia"/>
              </w:rPr>
              <w:t>三讀修正第九十三條及第九十五條條文</w:t>
            </w:r>
            <w:r>
              <w:rPr>
                <w:rFonts w:ascii="標楷體" w:eastAsia="標楷體" w:hAnsi="標楷體" w:hint="eastAsia"/>
              </w:rPr>
              <w:t>。</w:t>
            </w:r>
          </w:p>
        </w:tc>
      </w:tr>
      <w:tr w:rsidR="00421BB5" w:rsidRPr="00490FEE" w14:paraId="5D02276C" w14:textId="77777777" w:rsidTr="00421BB5">
        <w:trPr>
          <w:trHeight w:val="74"/>
        </w:trPr>
        <w:tc>
          <w:tcPr>
            <w:tcW w:w="709" w:type="dxa"/>
            <w:tcMar>
              <w:top w:w="85" w:type="dxa"/>
              <w:bottom w:w="85" w:type="dxa"/>
            </w:tcMar>
          </w:tcPr>
          <w:p w14:paraId="58A92057" w14:textId="77777777" w:rsidR="00421BB5" w:rsidRPr="009D7A67"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127" w:type="dxa"/>
            <w:tcMar>
              <w:top w:w="85" w:type="dxa"/>
              <w:bottom w:w="85" w:type="dxa"/>
            </w:tcMar>
          </w:tcPr>
          <w:p w14:paraId="6B4A8F22"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rPr>
              <w:t>中華民國刑法部分條文修正草案</w:t>
            </w:r>
          </w:p>
        </w:tc>
        <w:tc>
          <w:tcPr>
            <w:tcW w:w="2268" w:type="dxa"/>
            <w:tcMar>
              <w:top w:w="85" w:type="dxa"/>
              <w:bottom w:w="85" w:type="dxa"/>
            </w:tcMar>
          </w:tcPr>
          <w:p w14:paraId="2661E9EA" w14:textId="77777777" w:rsidR="00421BB5" w:rsidRDefault="00421BB5" w:rsidP="00F7741E">
            <w:pPr>
              <w:kinsoku w:val="0"/>
              <w:spacing w:line="300" w:lineRule="exact"/>
              <w:rPr>
                <w:rFonts w:ascii="標楷體" w:eastAsia="標楷體" w:hAnsi="標楷體"/>
                <w:color w:val="000000"/>
                <w:kern w:val="0"/>
              </w:rPr>
            </w:pPr>
            <w:r>
              <w:rPr>
                <w:rFonts w:ascii="標楷體" w:eastAsia="標楷體" w:hAnsi="標楷體"/>
                <w:color w:val="000000"/>
                <w:kern w:val="0"/>
              </w:rPr>
              <w:t>委員</w:t>
            </w:r>
            <w:r>
              <w:rPr>
                <w:rFonts w:ascii="標楷體" w:eastAsia="標楷體" w:hAnsi="標楷體" w:hint="eastAsia"/>
                <w:color w:val="000000"/>
                <w:kern w:val="0"/>
              </w:rPr>
              <w:t>張其祿</w:t>
            </w:r>
            <w:r w:rsidRPr="00FE3952">
              <w:rPr>
                <w:rFonts w:ascii="標楷體" w:eastAsia="標楷體" w:hAnsi="標楷體"/>
                <w:color w:val="000000"/>
                <w:kern w:val="0"/>
              </w:rPr>
              <w:t>等</w:t>
            </w:r>
            <w:r>
              <w:rPr>
                <w:rFonts w:ascii="標楷體" w:eastAsia="標楷體" w:hAnsi="標楷體"/>
                <w:color w:val="000000"/>
                <w:kern w:val="0"/>
              </w:rPr>
              <w:t>18</w:t>
            </w:r>
            <w:r w:rsidRPr="00FE3952">
              <w:rPr>
                <w:rFonts w:ascii="標楷體" w:eastAsia="標楷體" w:hAnsi="標楷體"/>
                <w:color w:val="000000"/>
                <w:kern w:val="0"/>
              </w:rPr>
              <w:t>人</w:t>
            </w:r>
            <w:r>
              <w:rPr>
                <w:rFonts w:ascii="標楷體" w:eastAsia="標楷體" w:hAnsi="標楷體" w:hint="eastAsia"/>
                <w:color w:val="000000"/>
                <w:kern w:val="0"/>
              </w:rPr>
              <w:t xml:space="preserve"> </w:t>
            </w:r>
            <w:r>
              <w:rPr>
                <w:rFonts w:ascii="標楷體" w:eastAsia="標楷體" w:hAnsi="標楷體"/>
                <w:color w:val="000000"/>
                <w:kern w:val="0"/>
              </w:rPr>
              <w:t>111.09.2</w:t>
            </w:r>
            <w:r w:rsidRPr="00FE3952">
              <w:rPr>
                <w:rFonts w:ascii="標楷體" w:eastAsia="標楷體" w:hAnsi="標楷體"/>
                <w:color w:val="000000"/>
                <w:kern w:val="0"/>
              </w:rPr>
              <w:t xml:space="preserve">3 </w:t>
            </w:r>
          </w:p>
          <w:p w14:paraId="1557727A" w14:textId="77777777" w:rsidR="00421BB5" w:rsidRPr="00FE3952" w:rsidRDefault="00421BB5" w:rsidP="00F7741E">
            <w:pPr>
              <w:kinsoku w:val="0"/>
              <w:spacing w:line="300" w:lineRule="exact"/>
              <w:rPr>
                <w:rFonts w:ascii="標楷體" w:eastAsia="標楷體" w:hAnsi="標楷體"/>
                <w:color w:val="000000"/>
                <w:kern w:val="0"/>
              </w:rPr>
            </w:pPr>
            <w:r w:rsidRPr="00FE3952">
              <w:rPr>
                <w:rFonts w:ascii="標楷體" w:eastAsia="標楷體" w:hAnsi="標楷體"/>
                <w:color w:val="000000"/>
                <w:kern w:val="0"/>
              </w:rPr>
              <w:t>（</w:t>
            </w:r>
            <w:r>
              <w:rPr>
                <w:rFonts w:ascii="標楷體" w:eastAsia="標楷體" w:hAnsi="標楷體"/>
                <w:color w:val="000000"/>
                <w:kern w:val="0"/>
              </w:rPr>
              <w:t>10-6-1</w:t>
            </w:r>
            <w:r w:rsidRPr="00FE3952">
              <w:rPr>
                <w:rFonts w:ascii="標楷體" w:eastAsia="標楷體" w:hAnsi="標楷體"/>
                <w:color w:val="000000"/>
                <w:kern w:val="0"/>
              </w:rPr>
              <w:t>）</w:t>
            </w:r>
          </w:p>
        </w:tc>
        <w:tc>
          <w:tcPr>
            <w:tcW w:w="3685" w:type="dxa"/>
            <w:tcMar>
              <w:top w:w="85" w:type="dxa"/>
              <w:bottom w:w="85" w:type="dxa"/>
            </w:tcMar>
          </w:tcPr>
          <w:p w14:paraId="56CF7C33"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111.0</w:t>
            </w:r>
            <w:r>
              <w:rPr>
                <w:rFonts w:ascii="標楷體" w:eastAsia="標楷體" w:hAnsi="標楷體"/>
              </w:rPr>
              <w:t>9</w:t>
            </w:r>
            <w:r>
              <w:rPr>
                <w:rFonts w:ascii="標楷體" w:eastAsia="標楷體" w:hAnsi="標楷體" w:hint="eastAsia"/>
              </w:rPr>
              <w:t>.2</w:t>
            </w:r>
            <w:r>
              <w:rPr>
                <w:rFonts w:ascii="標楷體" w:eastAsia="標楷體" w:hAnsi="標楷體"/>
              </w:rPr>
              <w:t>3</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-1）逕付二讀</w:t>
            </w:r>
            <w:r w:rsidRPr="00695ADD">
              <w:rPr>
                <w:rFonts w:ascii="標楷體" w:eastAsia="標楷體" w:hAnsi="標楷體" w:hint="eastAsia"/>
              </w:rPr>
              <w:t>，與相關提案併案協商。</w:t>
            </w:r>
          </w:p>
          <w:p w14:paraId="70DC8E1C"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B616B">
              <w:rPr>
                <w:rFonts w:ascii="標楷體" w:eastAsia="標楷體" w:hAnsi="標楷體" w:hint="eastAsia"/>
              </w:rPr>
              <w:t>2.111.11.9黨團協商。</w:t>
            </w:r>
          </w:p>
          <w:p w14:paraId="5844C35A"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457FD">
              <w:rPr>
                <w:rFonts w:ascii="標楷體" w:eastAsia="標楷體" w:hAnsi="標楷體" w:hint="eastAsia"/>
              </w:rPr>
              <w:t>3.111.12.22黨團協商。</w:t>
            </w:r>
          </w:p>
          <w:p w14:paraId="61074536"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4</w:t>
            </w:r>
            <w:r w:rsidRPr="00476050">
              <w:rPr>
                <w:rFonts w:ascii="標楷體" w:eastAsia="標楷體" w:hAnsi="標楷體" w:hint="eastAsia"/>
              </w:rPr>
              <w:t>.112.1.4黨團協商。</w:t>
            </w:r>
          </w:p>
          <w:p w14:paraId="6EF7099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DC0293">
              <w:rPr>
                <w:rFonts w:ascii="標楷體" w:eastAsia="標楷體" w:hAnsi="標楷體" w:hint="eastAsia"/>
              </w:rPr>
              <w:t>5.112.1.5黨團協商。</w:t>
            </w:r>
          </w:p>
          <w:p w14:paraId="163727E5" w14:textId="77777777" w:rsidR="00421BB5" w:rsidRPr="00FB616B" w:rsidRDefault="00421BB5" w:rsidP="00F7741E">
            <w:pPr>
              <w:kinsoku w:val="0"/>
              <w:adjustRightInd w:val="0"/>
              <w:snapToGrid w:val="0"/>
              <w:spacing w:line="260" w:lineRule="exact"/>
              <w:ind w:left="240" w:hangingChars="100" w:hanging="240"/>
              <w:rPr>
                <w:rFonts w:ascii="標楷體" w:eastAsia="標楷體" w:hAnsi="標楷體"/>
              </w:rPr>
            </w:pPr>
            <w:r w:rsidRPr="00AC6D74">
              <w:rPr>
                <w:rFonts w:ascii="標楷體" w:eastAsia="標楷體" w:hAnsi="標楷體" w:hint="eastAsia"/>
              </w:rPr>
              <w:t>6.院會112.1.7</w:t>
            </w:r>
            <w:r w:rsidRPr="003B0164">
              <w:rPr>
                <w:rFonts w:ascii="標楷體" w:eastAsia="標楷體" w:hAnsi="標楷體" w:hint="eastAsia"/>
              </w:rPr>
              <w:t>（</w:t>
            </w:r>
            <w:r w:rsidRPr="00AC6D74">
              <w:rPr>
                <w:rFonts w:ascii="標楷體" w:eastAsia="標楷體" w:hAnsi="標楷體" w:hint="eastAsia"/>
              </w:rPr>
              <w:t>10-6-14</w:t>
            </w:r>
            <w:r>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增訂第二十八章之一章名及第三百十九條之一至第三百十九條之六條文；並修正第十條及第九十一條之一條文</w:t>
            </w:r>
            <w:r>
              <w:rPr>
                <w:rFonts w:ascii="標楷體" w:eastAsia="標楷體" w:hAnsi="標楷體" w:hint="eastAsia"/>
              </w:rPr>
              <w:t>。</w:t>
            </w:r>
          </w:p>
        </w:tc>
      </w:tr>
      <w:tr w:rsidR="00421BB5" w:rsidRPr="00490FEE" w14:paraId="3E696A9B" w14:textId="77777777" w:rsidTr="00421BB5">
        <w:trPr>
          <w:trHeight w:val="74"/>
        </w:trPr>
        <w:tc>
          <w:tcPr>
            <w:tcW w:w="709" w:type="dxa"/>
            <w:tcMar>
              <w:top w:w="85" w:type="dxa"/>
              <w:bottom w:w="85" w:type="dxa"/>
            </w:tcMar>
          </w:tcPr>
          <w:p w14:paraId="36AF5305" w14:textId="77777777" w:rsidR="00421BB5" w:rsidRPr="009D7A67"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127" w:type="dxa"/>
            <w:tcMar>
              <w:top w:w="85" w:type="dxa"/>
              <w:bottom w:w="85" w:type="dxa"/>
            </w:tcMar>
          </w:tcPr>
          <w:p w14:paraId="7F10B929"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公立學校教職員個人專戶制退休資遣撫卹條例草案</w:t>
            </w:r>
          </w:p>
        </w:tc>
        <w:tc>
          <w:tcPr>
            <w:tcW w:w="2268" w:type="dxa"/>
            <w:tcMar>
              <w:top w:w="85" w:type="dxa"/>
              <w:bottom w:w="85" w:type="dxa"/>
            </w:tcMar>
          </w:tcPr>
          <w:p w14:paraId="3F9C4BA3" w14:textId="77777777" w:rsidR="00421BB5" w:rsidRDefault="00421BB5" w:rsidP="00F7741E">
            <w:pPr>
              <w:kinsoku w:val="0"/>
              <w:spacing w:line="300" w:lineRule="exact"/>
              <w:rPr>
                <w:rFonts w:ascii="標楷體" w:eastAsia="標楷體" w:hAnsi="標楷體"/>
                <w:color w:val="000000"/>
                <w:kern w:val="0"/>
              </w:rPr>
            </w:pPr>
            <w:r w:rsidRPr="00FF5F20">
              <w:rPr>
                <w:rFonts w:ascii="標楷體" w:eastAsia="標楷體" w:hAnsi="標楷體" w:hint="eastAsia"/>
                <w:color w:val="000000"/>
                <w:kern w:val="0"/>
              </w:rPr>
              <w:t>委員林奕華等16人</w:t>
            </w:r>
            <w:r>
              <w:rPr>
                <w:rFonts w:ascii="標楷體" w:eastAsia="標楷體" w:hAnsi="標楷體" w:hint="eastAsia"/>
                <w:color w:val="000000"/>
                <w:kern w:val="0"/>
              </w:rPr>
              <w:t xml:space="preserve"> 111.09.30</w:t>
            </w:r>
          </w:p>
          <w:p w14:paraId="6A0E7BDD" w14:textId="77777777" w:rsidR="00421BB5" w:rsidRPr="00FF5F20" w:rsidRDefault="00421BB5" w:rsidP="00F7741E">
            <w:pPr>
              <w:kinsoku w:val="0"/>
              <w:spacing w:line="300" w:lineRule="exact"/>
              <w:rPr>
                <w:rFonts w:ascii="標楷體" w:eastAsia="標楷體" w:hAnsi="標楷體"/>
                <w:color w:val="000000"/>
                <w:kern w:val="0"/>
              </w:rPr>
            </w:pPr>
            <w:r w:rsidRPr="00FE3952">
              <w:rPr>
                <w:rFonts w:ascii="標楷體" w:eastAsia="標楷體" w:hAnsi="標楷體"/>
                <w:color w:val="000000"/>
                <w:kern w:val="0"/>
              </w:rPr>
              <w:t>（</w:t>
            </w:r>
            <w:r>
              <w:rPr>
                <w:rFonts w:ascii="標楷體" w:eastAsia="標楷體" w:hAnsi="標楷體"/>
                <w:color w:val="000000"/>
                <w:kern w:val="0"/>
              </w:rPr>
              <w:t>10-6-2</w:t>
            </w:r>
            <w:r w:rsidRPr="00FE3952">
              <w:rPr>
                <w:rFonts w:ascii="標楷體" w:eastAsia="標楷體" w:hAnsi="標楷體"/>
                <w:color w:val="000000"/>
                <w:kern w:val="0"/>
              </w:rPr>
              <w:t>）</w:t>
            </w:r>
          </w:p>
        </w:tc>
        <w:tc>
          <w:tcPr>
            <w:tcW w:w="3685" w:type="dxa"/>
            <w:tcMar>
              <w:top w:w="85" w:type="dxa"/>
              <w:bottom w:w="85" w:type="dxa"/>
            </w:tcMar>
          </w:tcPr>
          <w:p w14:paraId="48B2AA59"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111.0</w:t>
            </w:r>
            <w:r>
              <w:rPr>
                <w:rFonts w:ascii="標楷體" w:eastAsia="標楷體" w:hAnsi="標楷體"/>
              </w:rPr>
              <w:t>9</w:t>
            </w:r>
            <w:r>
              <w:rPr>
                <w:rFonts w:ascii="標楷體" w:eastAsia="標楷體" w:hAnsi="標楷體" w:hint="eastAsia"/>
              </w:rPr>
              <w:t>.30</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-2）逕付二讀</w:t>
            </w:r>
            <w:r w:rsidRPr="00695ADD">
              <w:rPr>
                <w:rFonts w:ascii="標楷體" w:eastAsia="標楷體" w:hAnsi="標楷體" w:hint="eastAsia"/>
              </w:rPr>
              <w:t>，與相關提案併案協商。</w:t>
            </w:r>
          </w:p>
          <w:p w14:paraId="093DE2BD"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w:t>
            </w:r>
            <w:r w:rsidRPr="007E0894">
              <w:rPr>
                <w:rFonts w:ascii="標楷體" w:eastAsia="標楷體" w:hAnsi="標楷體" w:hint="eastAsia"/>
              </w:rPr>
              <w:t>.111.12.2黨團協商。</w:t>
            </w:r>
          </w:p>
          <w:p w14:paraId="26302E4D"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101BAC">
              <w:rPr>
                <w:rFonts w:ascii="標楷體" w:eastAsia="標楷體" w:hAnsi="標楷體" w:hint="eastAsia"/>
              </w:rPr>
              <w:t>3.111.12.13黨團協商。</w:t>
            </w:r>
          </w:p>
          <w:p w14:paraId="216CF7F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545964">
              <w:rPr>
                <w:rFonts w:ascii="標楷體" w:eastAsia="標楷體" w:hAnsi="標楷體" w:hint="eastAsia"/>
              </w:rPr>
              <w:t>4.111.12.15黨團協商。</w:t>
            </w:r>
          </w:p>
          <w:p w14:paraId="6C70CCB0" w14:textId="77777777" w:rsidR="00421BB5" w:rsidRPr="000D2B3A"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sidRPr="003F67BF">
              <w:rPr>
                <w:rFonts w:ascii="標楷體" w:eastAsia="標楷體" w:hAnsi="標楷體" w:hint="eastAsia"/>
              </w:rPr>
              <w:t>院會</w:t>
            </w:r>
            <w:r w:rsidRPr="003F67BF">
              <w:rPr>
                <w:rFonts w:ascii="標楷體" w:eastAsia="標楷體" w:hAnsi="標楷體"/>
              </w:rPr>
              <w:t>111.12.16</w:t>
            </w:r>
            <w:r w:rsidRPr="003B0164">
              <w:rPr>
                <w:rFonts w:ascii="標楷體" w:eastAsia="標楷體" w:hAnsi="標楷體" w:hint="eastAsia"/>
              </w:rPr>
              <w:t>（</w:t>
            </w:r>
            <w:r w:rsidRPr="003F67BF">
              <w:rPr>
                <w:rFonts w:ascii="標楷體" w:eastAsia="標楷體" w:hAnsi="標楷體"/>
              </w:rPr>
              <w:t>10-6-12</w:t>
            </w:r>
            <w:r>
              <w:rPr>
                <w:rFonts w:ascii="標楷體" w:eastAsia="標楷體" w:hAnsi="標楷體" w:hint="eastAsia"/>
              </w:rPr>
              <w:t>）</w:t>
            </w:r>
            <w:r w:rsidRPr="003F67BF">
              <w:rPr>
                <w:rFonts w:ascii="標楷體" w:eastAsia="標楷體" w:hAnsi="標楷體" w:hint="eastAsia"/>
              </w:rPr>
              <w:t>三讀制定公立學校教職員個人專戶制退休資遣撫卹條例</w:t>
            </w:r>
            <w:r>
              <w:rPr>
                <w:rFonts w:ascii="標楷體" w:eastAsia="標楷體" w:hAnsi="標楷體" w:hint="eastAsia"/>
              </w:rPr>
              <w:t>。</w:t>
            </w:r>
          </w:p>
        </w:tc>
      </w:tr>
      <w:tr w:rsidR="00421BB5" w:rsidRPr="00490FEE" w14:paraId="01361FCD" w14:textId="77777777" w:rsidTr="00421BB5">
        <w:trPr>
          <w:trHeight w:val="74"/>
        </w:trPr>
        <w:tc>
          <w:tcPr>
            <w:tcW w:w="709" w:type="dxa"/>
            <w:tcMar>
              <w:top w:w="85" w:type="dxa"/>
              <w:bottom w:w="85" w:type="dxa"/>
            </w:tcMar>
          </w:tcPr>
          <w:p w14:paraId="6D2BA116" w14:textId="77777777" w:rsidR="00421BB5" w:rsidRPr="009D7A67"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6</w:t>
            </w:r>
          </w:p>
        </w:tc>
        <w:tc>
          <w:tcPr>
            <w:tcW w:w="2127" w:type="dxa"/>
            <w:tcMar>
              <w:top w:w="85" w:type="dxa"/>
              <w:bottom w:w="85" w:type="dxa"/>
            </w:tcMar>
          </w:tcPr>
          <w:p w14:paraId="3DCFAE98"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中華民國刑法第三百十五條之二條文修正草案</w:t>
            </w:r>
          </w:p>
        </w:tc>
        <w:tc>
          <w:tcPr>
            <w:tcW w:w="2268" w:type="dxa"/>
            <w:tcMar>
              <w:top w:w="85" w:type="dxa"/>
              <w:bottom w:w="85" w:type="dxa"/>
            </w:tcMar>
          </w:tcPr>
          <w:p w14:paraId="6369E2BF" w14:textId="77777777" w:rsidR="00421BB5" w:rsidRDefault="00421BB5" w:rsidP="00F7741E">
            <w:pPr>
              <w:kinsoku w:val="0"/>
              <w:spacing w:line="300" w:lineRule="exact"/>
              <w:rPr>
                <w:rFonts w:ascii="標楷體" w:eastAsia="標楷體" w:hAnsi="標楷體"/>
                <w:color w:val="000000"/>
                <w:kern w:val="0"/>
              </w:rPr>
            </w:pPr>
            <w:r w:rsidRPr="00FF5F20">
              <w:rPr>
                <w:rFonts w:ascii="標楷體" w:eastAsia="標楷體" w:hAnsi="標楷體" w:hint="eastAsia"/>
                <w:color w:val="000000"/>
                <w:kern w:val="0"/>
              </w:rPr>
              <w:t>委員高嘉瑜等20人</w:t>
            </w:r>
            <w:r>
              <w:rPr>
                <w:rFonts w:ascii="標楷體" w:eastAsia="標楷體" w:hAnsi="標楷體" w:hint="eastAsia"/>
                <w:color w:val="000000"/>
                <w:kern w:val="0"/>
              </w:rPr>
              <w:t xml:space="preserve"> 111.09.30</w:t>
            </w:r>
          </w:p>
          <w:p w14:paraId="702C97F2" w14:textId="77777777" w:rsidR="00421BB5" w:rsidRPr="00FF5F20" w:rsidRDefault="00421BB5" w:rsidP="00F7741E">
            <w:pPr>
              <w:kinsoku w:val="0"/>
              <w:spacing w:line="300" w:lineRule="exact"/>
              <w:rPr>
                <w:rFonts w:ascii="標楷體" w:eastAsia="標楷體" w:hAnsi="標楷體"/>
                <w:color w:val="000000"/>
                <w:kern w:val="0"/>
              </w:rPr>
            </w:pPr>
            <w:r w:rsidRPr="00FE3952">
              <w:rPr>
                <w:rFonts w:ascii="標楷體" w:eastAsia="標楷體" w:hAnsi="標楷體"/>
                <w:color w:val="000000"/>
                <w:kern w:val="0"/>
              </w:rPr>
              <w:t>（</w:t>
            </w:r>
            <w:r>
              <w:rPr>
                <w:rFonts w:ascii="標楷體" w:eastAsia="標楷體" w:hAnsi="標楷體"/>
                <w:color w:val="000000"/>
                <w:kern w:val="0"/>
              </w:rPr>
              <w:t>10-6-2</w:t>
            </w:r>
            <w:r w:rsidRPr="00FE3952">
              <w:rPr>
                <w:rFonts w:ascii="標楷體" w:eastAsia="標楷體" w:hAnsi="標楷體"/>
                <w:color w:val="000000"/>
                <w:kern w:val="0"/>
              </w:rPr>
              <w:t>）</w:t>
            </w:r>
          </w:p>
        </w:tc>
        <w:tc>
          <w:tcPr>
            <w:tcW w:w="3685" w:type="dxa"/>
            <w:tcMar>
              <w:top w:w="85" w:type="dxa"/>
              <w:bottom w:w="85" w:type="dxa"/>
            </w:tcMar>
          </w:tcPr>
          <w:p w14:paraId="79CE0197"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111.0</w:t>
            </w:r>
            <w:r>
              <w:rPr>
                <w:rFonts w:ascii="標楷體" w:eastAsia="標楷體" w:hAnsi="標楷體"/>
              </w:rPr>
              <w:t>9</w:t>
            </w:r>
            <w:r>
              <w:rPr>
                <w:rFonts w:ascii="標楷體" w:eastAsia="標楷體" w:hAnsi="標楷體" w:hint="eastAsia"/>
              </w:rPr>
              <w:t>.30</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-2）逕付二讀</w:t>
            </w:r>
            <w:r w:rsidRPr="00695ADD">
              <w:rPr>
                <w:rFonts w:ascii="標楷體" w:eastAsia="標楷體" w:hAnsi="標楷體" w:hint="eastAsia"/>
              </w:rPr>
              <w:t>，與相關提案併案協商。</w:t>
            </w:r>
          </w:p>
          <w:p w14:paraId="6F200699"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B616B">
              <w:rPr>
                <w:rFonts w:ascii="標楷體" w:eastAsia="標楷體" w:hAnsi="標楷體" w:hint="eastAsia"/>
              </w:rPr>
              <w:t>2.111.11.9黨團協商。</w:t>
            </w:r>
          </w:p>
          <w:p w14:paraId="3AAA0874"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457FD">
              <w:rPr>
                <w:rFonts w:ascii="標楷體" w:eastAsia="標楷體" w:hAnsi="標楷體" w:hint="eastAsia"/>
              </w:rPr>
              <w:t>3.111.12.22黨團協商。</w:t>
            </w:r>
          </w:p>
          <w:p w14:paraId="2813212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476050">
              <w:rPr>
                <w:rFonts w:ascii="標楷體" w:eastAsia="標楷體" w:hAnsi="標楷體" w:hint="eastAsia"/>
              </w:rPr>
              <w:t>4.112.1.4黨團協商。</w:t>
            </w:r>
          </w:p>
          <w:p w14:paraId="00EAEAC6"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DC0293">
              <w:rPr>
                <w:rFonts w:ascii="標楷體" w:eastAsia="標楷體" w:hAnsi="標楷體" w:hint="eastAsia"/>
              </w:rPr>
              <w:t>5.112.1.5黨團協商。</w:t>
            </w:r>
          </w:p>
          <w:p w14:paraId="4F3D641A"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sidRPr="00AC6D74">
              <w:rPr>
                <w:rFonts w:ascii="標楷體" w:eastAsia="標楷體" w:hAnsi="標楷體" w:hint="eastAsia"/>
              </w:rPr>
              <w:t>6.院會112.1.7</w:t>
            </w:r>
            <w:r w:rsidRPr="003B0164">
              <w:rPr>
                <w:rFonts w:ascii="標楷體" w:eastAsia="標楷體" w:hAnsi="標楷體" w:hint="eastAsia"/>
              </w:rPr>
              <w:t>（</w:t>
            </w:r>
            <w:r w:rsidRPr="00AC6D74">
              <w:rPr>
                <w:rFonts w:ascii="標楷體" w:eastAsia="標楷體" w:hAnsi="標楷體" w:hint="eastAsia"/>
              </w:rPr>
              <w:t>10-6-14</w:t>
            </w:r>
            <w:r>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增訂第二十八章之一章名及第三百十九條之一至第三百十九條之六條文；並修正第十條及第九十一條之一條文。</w:t>
            </w:r>
          </w:p>
        </w:tc>
      </w:tr>
      <w:tr w:rsidR="00421BB5" w:rsidRPr="00490FEE" w14:paraId="4F1E269C" w14:textId="77777777" w:rsidTr="00421BB5">
        <w:trPr>
          <w:trHeight w:val="74"/>
        </w:trPr>
        <w:tc>
          <w:tcPr>
            <w:tcW w:w="709" w:type="dxa"/>
            <w:tcMar>
              <w:top w:w="85" w:type="dxa"/>
              <w:bottom w:w="85" w:type="dxa"/>
            </w:tcMar>
          </w:tcPr>
          <w:p w14:paraId="146EBF10" w14:textId="77777777" w:rsidR="00421BB5" w:rsidRPr="009D7A67"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7</w:t>
            </w:r>
          </w:p>
        </w:tc>
        <w:tc>
          <w:tcPr>
            <w:tcW w:w="2127" w:type="dxa"/>
            <w:tcMar>
              <w:top w:w="85" w:type="dxa"/>
              <w:bottom w:w="85" w:type="dxa"/>
            </w:tcMar>
          </w:tcPr>
          <w:p w14:paraId="77A47624"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中華民國刑法部</w:t>
            </w:r>
            <w:r w:rsidRPr="00AA58FB">
              <w:rPr>
                <w:rFonts w:ascii="標楷體" w:eastAsia="標楷體" w:hAnsi="標楷體" w:hint="eastAsia"/>
              </w:rPr>
              <w:lastRenderedPageBreak/>
              <w:t>分條文修正草案</w:t>
            </w:r>
          </w:p>
        </w:tc>
        <w:tc>
          <w:tcPr>
            <w:tcW w:w="2268" w:type="dxa"/>
            <w:tcMar>
              <w:top w:w="85" w:type="dxa"/>
              <w:bottom w:w="85" w:type="dxa"/>
            </w:tcMar>
          </w:tcPr>
          <w:p w14:paraId="7B554AA8" w14:textId="77777777" w:rsidR="00421BB5" w:rsidRDefault="00421BB5" w:rsidP="00F7741E">
            <w:pPr>
              <w:kinsoku w:val="0"/>
              <w:spacing w:line="300" w:lineRule="exact"/>
              <w:rPr>
                <w:rFonts w:ascii="標楷體" w:eastAsia="標楷體" w:hAnsi="標楷體"/>
                <w:color w:val="000000"/>
                <w:kern w:val="0"/>
              </w:rPr>
            </w:pPr>
            <w:r w:rsidRPr="00166137">
              <w:rPr>
                <w:rFonts w:ascii="標楷體" w:eastAsia="標楷體" w:hAnsi="標楷體" w:hint="eastAsia"/>
                <w:color w:val="000000"/>
                <w:kern w:val="0"/>
              </w:rPr>
              <w:lastRenderedPageBreak/>
              <w:t>委員游毓蘭等20人</w:t>
            </w:r>
            <w:r>
              <w:rPr>
                <w:rFonts w:ascii="標楷體" w:eastAsia="標楷體" w:hAnsi="標楷體" w:hint="eastAsia"/>
                <w:color w:val="000000"/>
                <w:kern w:val="0"/>
              </w:rPr>
              <w:t xml:space="preserve"> </w:t>
            </w:r>
            <w:r>
              <w:rPr>
                <w:rFonts w:ascii="標楷體" w:eastAsia="標楷體" w:hAnsi="標楷體" w:hint="eastAsia"/>
                <w:color w:val="000000"/>
                <w:kern w:val="0"/>
              </w:rPr>
              <w:lastRenderedPageBreak/>
              <w:t>111.10.07</w:t>
            </w:r>
          </w:p>
          <w:p w14:paraId="121E1621" w14:textId="77777777" w:rsidR="00421BB5" w:rsidRPr="00FF5F20" w:rsidRDefault="00421BB5" w:rsidP="00F7741E">
            <w:pPr>
              <w:kinsoku w:val="0"/>
              <w:spacing w:line="300" w:lineRule="exact"/>
              <w:rPr>
                <w:rFonts w:ascii="標楷體" w:eastAsia="標楷體" w:hAnsi="標楷體"/>
                <w:color w:val="000000"/>
                <w:kern w:val="0"/>
              </w:rPr>
            </w:pPr>
            <w:r w:rsidRPr="00FE3952">
              <w:rPr>
                <w:rFonts w:ascii="標楷體" w:eastAsia="標楷體" w:hAnsi="標楷體"/>
                <w:color w:val="000000"/>
                <w:kern w:val="0"/>
              </w:rPr>
              <w:t>（</w:t>
            </w:r>
            <w:r>
              <w:rPr>
                <w:rFonts w:ascii="標楷體" w:eastAsia="標楷體" w:hAnsi="標楷體"/>
                <w:color w:val="000000"/>
                <w:kern w:val="0"/>
              </w:rPr>
              <w:t>10-6-3</w:t>
            </w:r>
            <w:r w:rsidRPr="00FE3952">
              <w:rPr>
                <w:rFonts w:ascii="標楷體" w:eastAsia="標楷體" w:hAnsi="標楷體"/>
                <w:color w:val="000000"/>
                <w:kern w:val="0"/>
              </w:rPr>
              <w:t>）</w:t>
            </w:r>
          </w:p>
        </w:tc>
        <w:tc>
          <w:tcPr>
            <w:tcW w:w="3685" w:type="dxa"/>
            <w:tcMar>
              <w:top w:w="85" w:type="dxa"/>
              <w:bottom w:w="85" w:type="dxa"/>
            </w:tcMar>
          </w:tcPr>
          <w:p w14:paraId="2743B6A6"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lastRenderedPageBreak/>
              <w:t>1.</w:t>
            </w:r>
            <w:r w:rsidRPr="00695ADD">
              <w:rPr>
                <w:rFonts w:ascii="標楷體" w:eastAsia="標楷體" w:hAnsi="標楷體" w:hint="eastAsia"/>
              </w:rPr>
              <w:t>院會</w:t>
            </w:r>
            <w:r>
              <w:rPr>
                <w:rFonts w:ascii="標楷體" w:eastAsia="標楷體" w:hAnsi="標楷體" w:hint="eastAsia"/>
              </w:rPr>
              <w:t>111.10.07</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-3）逕付</w:t>
            </w:r>
            <w:r>
              <w:rPr>
                <w:rFonts w:ascii="標楷體" w:eastAsia="標楷體" w:hAnsi="標楷體" w:hint="eastAsia"/>
              </w:rPr>
              <w:lastRenderedPageBreak/>
              <w:t>二讀</w:t>
            </w:r>
            <w:r w:rsidRPr="00695ADD">
              <w:rPr>
                <w:rFonts w:ascii="標楷體" w:eastAsia="標楷體" w:hAnsi="標楷體" w:hint="eastAsia"/>
              </w:rPr>
              <w:t>，與相關提案併案協商。</w:t>
            </w:r>
          </w:p>
          <w:p w14:paraId="6BC2BCCB"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B616B">
              <w:rPr>
                <w:rFonts w:ascii="標楷體" w:eastAsia="標楷體" w:hAnsi="標楷體" w:hint="eastAsia"/>
              </w:rPr>
              <w:t>2.111.11.9黨團協商。</w:t>
            </w:r>
          </w:p>
          <w:p w14:paraId="28D1A45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457FD">
              <w:rPr>
                <w:rFonts w:ascii="標楷體" w:eastAsia="標楷體" w:hAnsi="標楷體" w:hint="eastAsia"/>
              </w:rPr>
              <w:t>3.111.12.22黨團協商。</w:t>
            </w:r>
          </w:p>
          <w:p w14:paraId="0D9998E9"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476050">
              <w:rPr>
                <w:rFonts w:ascii="標楷體" w:eastAsia="標楷體" w:hAnsi="標楷體" w:hint="eastAsia"/>
              </w:rPr>
              <w:t>4.112.1.4黨團協商。</w:t>
            </w:r>
          </w:p>
          <w:p w14:paraId="588BE22F"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DC0293">
              <w:rPr>
                <w:rFonts w:ascii="標楷體" w:eastAsia="標楷體" w:hAnsi="標楷體" w:hint="eastAsia"/>
              </w:rPr>
              <w:t>5.112.1.5黨團協商。</w:t>
            </w:r>
          </w:p>
          <w:p w14:paraId="0971001E"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sidRPr="00AC6D74">
              <w:rPr>
                <w:rFonts w:ascii="標楷體" w:eastAsia="標楷體" w:hAnsi="標楷體" w:hint="eastAsia"/>
              </w:rPr>
              <w:t>6.院會112.1.7</w:t>
            </w:r>
            <w:r w:rsidRPr="00695ADD">
              <w:rPr>
                <w:rFonts w:ascii="標楷體" w:eastAsia="標楷體" w:hAnsi="標楷體" w:hint="eastAsia"/>
              </w:rPr>
              <w:t>（</w:t>
            </w:r>
            <w:r w:rsidRPr="00AC6D74">
              <w:rPr>
                <w:rFonts w:ascii="標楷體" w:eastAsia="標楷體" w:hAnsi="標楷體" w:hint="eastAsia"/>
              </w:rPr>
              <w:t>10-6-14</w:t>
            </w:r>
            <w:r>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增訂第二十八章之一章名及第三百十九條之一至第三百十九條之六條文；並修正第十條及第九十一條之一條文。</w:t>
            </w:r>
          </w:p>
        </w:tc>
      </w:tr>
      <w:tr w:rsidR="00421BB5" w:rsidRPr="00490FEE" w14:paraId="1FB84B77" w14:textId="77777777" w:rsidTr="00421BB5">
        <w:trPr>
          <w:trHeight w:val="74"/>
        </w:trPr>
        <w:tc>
          <w:tcPr>
            <w:tcW w:w="709" w:type="dxa"/>
            <w:tcMar>
              <w:top w:w="85" w:type="dxa"/>
              <w:bottom w:w="85" w:type="dxa"/>
            </w:tcMar>
          </w:tcPr>
          <w:p w14:paraId="52BC12DA" w14:textId="77777777" w:rsidR="00421BB5" w:rsidRPr="009D7A67"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8</w:t>
            </w:r>
          </w:p>
        </w:tc>
        <w:tc>
          <w:tcPr>
            <w:tcW w:w="2127" w:type="dxa"/>
            <w:tcMar>
              <w:top w:w="85" w:type="dxa"/>
              <w:bottom w:w="85" w:type="dxa"/>
            </w:tcMar>
          </w:tcPr>
          <w:p w14:paraId="142C096B"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中華民國刑法部分條文修正草案</w:t>
            </w:r>
          </w:p>
        </w:tc>
        <w:tc>
          <w:tcPr>
            <w:tcW w:w="2268" w:type="dxa"/>
            <w:tcMar>
              <w:top w:w="85" w:type="dxa"/>
              <w:bottom w:w="85" w:type="dxa"/>
            </w:tcMar>
          </w:tcPr>
          <w:p w14:paraId="787207A3" w14:textId="77777777" w:rsidR="00421BB5" w:rsidRDefault="00421BB5" w:rsidP="00F7741E">
            <w:pPr>
              <w:kinsoku w:val="0"/>
              <w:spacing w:line="300" w:lineRule="exact"/>
              <w:rPr>
                <w:rFonts w:ascii="標楷體" w:eastAsia="標楷體" w:hAnsi="標楷體"/>
                <w:color w:val="000000"/>
                <w:kern w:val="0"/>
              </w:rPr>
            </w:pPr>
            <w:r w:rsidRPr="00DD3D15">
              <w:rPr>
                <w:rFonts w:ascii="標楷體" w:eastAsia="標楷體" w:hAnsi="標楷體" w:hint="eastAsia"/>
                <w:color w:val="000000"/>
                <w:kern w:val="0"/>
              </w:rPr>
              <w:t>委員萬美玲等22人</w:t>
            </w:r>
            <w:r>
              <w:rPr>
                <w:rFonts w:ascii="標楷體" w:eastAsia="標楷體" w:hAnsi="標楷體" w:hint="eastAsia"/>
                <w:color w:val="000000"/>
                <w:kern w:val="0"/>
              </w:rPr>
              <w:t xml:space="preserve"> 111.10.14</w:t>
            </w:r>
          </w:p>
          <w:p w14:paraId="499BFA24" w14:textId="77777777" w:rsidR="00421BB5" w:rsidRPr="00166137" w:rsidRDefault="00421BB5" w:rsidP="00F7741E">
            <w:pPr>
              <w:kinsoku w:val="0"/>
              <w:spacing w:line="300" w:lineRule="exact"/>
              <w:rPr>
                <w:rFonts w:ascii="標楷體" w:eastAsia="標楷體" w:hAnsi="標楷體"/>
                <w:color w:val="000000"/>
                <w:kern w:val="0"/>
              </w:rPr>
            </w:pPr>
            <w:r w:rsidRPr="00FE3952">
              <w:rPr>
                <w:rFonts w:ascii="標楷體" w:eastAsia="標楷體" w:hAnsi="標楷體"/>
                <w:color w:val="000000"/>
                <w:kern w:val="0"/>
              </w:rPr>
              <w:t>（</w:t>
            </w:r>
            <w:r>
              <w:rPr>
                <w:rFonts w:ascii="標楷體" w:eastAsia="標楷體" w:hAnsi="標楷體"/>
                <w:color w:val="000000"/>
                <w:kern w:val="0"/>
              </w:rPr>
              <w:t>10-6-4</w:t>
            </w:r>
            <w:r w:rsidRPr="00FE3952">
              <w:rPr>
                <w:rFonts w:ascii="標楷體" w:eastAsia="標楷體" w:hAnsi="標楷體"/>
                <w:color w:val="000000"/>
                <w:kern w:val="0"/>
              </w:rPr>
              <w:t>）</w:t>
            </w:r>
          </w:p>
        </w:tc>
        <w:tc>
          <w:tcPr>
            <w:tcW w:w="3685" w:type="dxa"/>
            <w:tcMar>
              <w:top w:w="85" w:type="dxa"/>
              <w:bottom w:w="85" w:type="dxa"/>
            </w:tcMar>
          </w:tcPr>
          <w:p w14:paraId="7FD80FB7"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111.10.14</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-4）逕付二讀</w:t>
            </w:r>
            <w:r w:rsidRPr="00695ADD">
              <w:rPr>
                <w:rFonts w:ascii="標楷體" w:eastAsia="標楷體" w:hAnsi="標楷體" w:hint="eastAsia"/>
              </w:rPr>
              <w:t>，與相關提案併案協商。</w:t>
            </w:r>
          </w:p>
          <w:p w14:paraId="1EDFDB1D"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B616B">
              <w:rPr>
                <w:rFonts w:ascii="標楷體" w:eastAsia="標楷體" w:hAnsi="標楷體" w:hint="eastAsia"/>
              </w:rPr>
              <w:t>2.111.11.9黨團協商。</w:t>
            </w:r>
          </w:p>
          <w:p w14:paraId="0CE5B64A"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457FD">
              <w:rPr>
                <w:rFonts w:ascii="標楷體" w:eastAsia="標楷體" w:hAnsi="標楷體" w:hint="eastAsia"/>
              </w:rPr>
              <w:t>3.111.12.22黨團協商。</w:t>
            </w:r>
          </w:p>
          <w:p w14:paraId="638EE4AF"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476050">
              <w:rPr>
                <w:rFonts w:ascii="標楷體" w:eastAsia="標楷體" w:hAnsi="標楷體" w:hint="eastAsia"/>
              </w:rPr>
              <w:t>4.112.1.4黨團協商。</w:t>
            </w:r>
          </w:p>
          <w:p w14:paraId="7BE8096D"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DC0293">
              <w:rPr>
                <w:rFonts w:ascii="標楷體" w:eastAsia="標楷體" w:hAnsi="標楷體" w:hint="eastAsia"/>
              </w:rPr>
              <w:t>5.112.1.5黨團協商。</w:t>
            </w:r>
          </w:p>
          <w:p w14:paraId="0FBEA478"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sidRPr="00AC6D74">
              <w:rPr>
                <w:rFonts w:ascii="標楷體" w:eastAsia="標楷體" w:hAnsi="標楷體" w:hint="eastAsia"/>
              </w:rPr>
              <w:t>6.院會112.1.7</w:t>
            </w:r>
            <w:r w:rsidRPr="00695ADD">
              <w:rPr>
                <w:rFonts w:ascii="標楷體" w:eastAsia="標楷體" w:hAnsi="標楷體" w:hint="eastAsia"/>
              </w:rPr>
              <w:t>（</w:t>
            </w:r>
            <w:r w:rsidRPr="00AC6D74">
              <w:rPr>
                <w:rFonts w:ascii="標楷體" w:eastAsia="標楷體" w:hAnsi="標楷體" w:hint="eastAsia"/>
              </w:rPr>
              <w:t>10-6-14</w:t>
            </w:r>
            <w:r>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增訂第二十八章之一章名及第三百十九條之一至第三百十九條之六條文；並修正第十條及第九十一條之一條文。</w:t>
            </w:r>
          </w:p>
        </w:tc>
      </w:tr>
      <w:tr w:rsidR="00421BB5" w:rsidRPr="00490FEE" w14:paraId="45B6346F" w14:textId="77777777" w:rsidTr="00421BB5">
        <w:trPr>
          <w:trHeight w:val="74"/>
        </w:trPr>
        <w:tc>
          <w:tcPr>
            <w:tcW w:w="709" w:type="dxa"/>
            <w:tcMar>
              <w:top w:w="85" w:type="dxa"/>
              <w:bottom w:w="85" w:type="dxa"/>
            </w:tcMar>
          </w:tcPr>
          <w:p w14:paraId="7C33CCB9" w14:textId="77777777" w:rsidR="00421BB5" w:rsidRPr="009D7A67"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9</w:t>
            </w:r>
          </w:p>
        </w:tc>
        <w:tc>
          <w:tcPr>
            <w:tcW w:w="2127" w:type="dxa"/>
            <w:tcMar>
              <w:top w:w="85" w:type="dxa"/>
              <w:bottom w:w="85" w:type="dxa"/>
            </w:tcMar>
          </w:tcPr>
          <w:p w14:paraId="6A41D3C2"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中華民國刑法部分條文修正草案</w:t>
            </w:r>
          </w:p>
        </w:tc>
        <w:tc>
          <w:tcPr>
            <w:tcW w:w="2268" w:type="dxa"/>
            <w:tcMar>
              <w:top w:w="85" w:type="dxa"/>
              <w:bottom w:w="85" w:type="dxa"/>
            </w:tcMar>
          </w:tcPr>
          <w:p w14:paraId="7A65B1BC" w14:textId="77777777" w:rsidR="00421BB5" w:rsidRPr="006719D5" w:rsidRDefault="00421BB5" w:rsidP="00F7741E">
            <w:pPr>
              <w:kinsoku w:val="0"/>
              <w:spacing w:line="300" w:lineRule="exact"/>
              <w:rPr>
                <w:rFonts w:ascii="標楷體" w:eastAsia="標楷體" w:hAnsi="標楷體"/>
                <w:color w:val="000000"/>
                <w:kern w:val="0"/>
              </w:rPr>
            </w:pPr>
            <w:r>
              <w:rPr>
                <w:rFonts w:ascii="標楷體" w:eastAsia="標楷體" w:hAnsi="標楷體" w:hint="eastAsia"/>
                <w:color w:val="000000"/>
                <w:kern w:val="0"/>
              </w:rPr>
              <w:t>時代力量</w:t>
            </w:r>
            <w:r w:rsidRPr="006719D5">
              <w:rPr>
                <w:rFonts w:ascii="標楷體" w:eastAsia="標楷體" w:hAnsi="標楷體" w:hint="eastAsia"/>
                <w:color w:val="000000"/>
                <w:kern w:val="0"/>
              </w:rPr>
              <w:t>黨團</w:t>
            </w:r>
            <w:r>
              <w:rPr>
                <w:rFonts w:ascii="標楷體" w:eastAsia="標楷體" w:hAnsi="標楷體" w:hint="eastAsia"/>
                <w:color w:val="000000"/>
                <w:kern w:val="0"/>
              </w:rPr>
              <w:t xml:space="preserve"> 111.10.28</w:t>
            </w:r>
            <w:r w:rsidRPr="006719D5">
              <w:rPr>
                <w:rFonts w:ascii="標楷體" w:eastAsia="標楷體" w:hAnsi="標楷體" w:hint="eastAsia"/>
                <w:color w:val="000000"/>
                <w:kern w:val="0"/>
              </w:rPr>
              <w:t xml:space="preserve"> </w:t>
            </w:r>
          </w:p>
          <w:p w14:paraId="2A606798" w14:textId="77777777" w:rsidR="00421BB5" w:rsidRPr="00DD3D15"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10-6-5</w:t>
            </w:r>
            <w:r w:rsidRPr="006719D5">
              <w:rPr>
                <w:rFonts w:ascii="標楷體" w:eastAsia="標楷體" w:hAnsi="標楷體" w:hint="eastAsia"/>
                <w:color w:val="000000"/>
                <w:kern w:val="0"/>
              </w:rPr>
              <w:t>）</w:t>
            </w:r>
          </w:p>
        </w:tc>
        <w:tc>
          <w:tcPr>
            <w:tcW w:w="3685" w:type="dxa"/>
            <w:tcMar>
              <w:top w:w="85" w:type="dxa"/>
              <w:bottom w:w="85" w:type="dxa"/>
            </w:tcMar>
          </w:tcPr>
          <w:p w14:paraId="4F72F415"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111.10.28</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-5）逕付二讀</w:t>
            </w:r>
            <w:r w:rsidRPr="00695ADD">
              <w:rPr>
                <w:rFonts w:ascii="標楷體" w:eastAsia="標楷體" w:hAnsi="標楷體" w:hint="eastAsia"/>
              </w:rPr>
              <w:t>，與相關提案併案協商。</w:t>
            </w:r>
          </w:p>
          <w:p w14:paraId="080A968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B616B">
              <w:rPr>
                <w:rFonts w:ascii="標楷體" w:eastAsia="標楷體" w:hAnsi="標楷體" w:hint="eastAsia"/>
              </w:rPr>
              <w:t>2.111.11.9黨團協商。</w:t>
            </w:r>
          </w:p>
          <w:p w14:paraId="193CBAA4"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F457FD">
              <w:rPr>
                <w:rFonts w:ascii="標楷體" w:eastAsia="標楷體" w:hAnsi="標楷體" w:hint="eastAsia"/>
              </w:rPr>
              <w:t>3.111.12.22黨團協商。</w:t>
            </w:r>
          </w:p>
          <w:p w14:paraId="49D0EF0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476050">
              <w:rPr>
                <w:rFonts w:ascii="標楷體" w:eastAsia="標楷體" w:hAnsi="標楷體" w:hint="eastAsia"/>
              </w:rPr>
              <w:t>4.112.1.4黨團協商。</w:t>
            </w:r>
          </w:p>
          <w:p w14:paraId="6F6DF9DD"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DC0293">
              <w:rPr>
                <w:rFonts w:ascii="標楷體" w:eastAsia="標楷體" w:hAnsi="標楷體" w:hint="eastAsia"/>
              </w:rPr>
              <w:t>5.112.1.5黨團協商。</w:t>
            </w:r>
          </w:p>
          <w:p w14:paraId="691780D4"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sidRPr="00AC6D74">
              <w:rPr>
                <w:rFonts w:ascii="標楷體" w:eastAsia="標楷體" w:hAnsi="標楷體" w:hint="eastAsia"/>
              </w:rPr>
              <w:t>6.院會112.1.7</w:t>
            </w:r>
            <w:r w:rsidRPr="00695ADD">
              <w:rPr>
                <w:rFonts w:ascii="標楷體" w:eastAsia="標楷體" w:hAnsi="標楷體" w:hint="eastAsia"/>
              </w:rPr>
              <w:t>（</w:t>
            </w:r>
            <w:r w:rsidRPr="00AC6D74">
              <w:rPr>
                <w:rFonts w:ascii="標楷體" w:eastAsia="標楷體" w:hAnsi="標楷體" w:hint="eastAsia"/>
              </w:rPr>
              <w:t>10-6-14</w:t>
            </w:r>
            <w:r>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增訂第二十八章之一章名及第三百十九條之一至第三百十九條之六條文；並修正第十條及第九十一條之一條文。</w:t>
            </w:r>
          </w:p>
        </w:tc>
      </w:tr>
      <w:tr w:rsidR="00421BB5" w:rsidRPr="00490FEE" w14:paraId="05C20C3F" w14:textId="77777777" w:rsidTr="00421BB5">
        <w:trPr>
          <w:trHeight w:val="74"/>
        </w:trPr>
        <w:tc>
          <w:tcPr>
            <w:tcW w:w="709" w:type="dxa"/>
            <w:tcMar>
              <w:top w:w="85" w:type="dxa"/>
              <w:bottom w:w="85" w:type="dxa"/>
            </w:tcMar>
          </w:tcPr>
          <w:p w14:paraId="7A0663FB"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10</w:t>
            </w:r>
          </w:p>
        </w:tc>
        <w:tc>
          <w:tcPr>
            <w:tcW w:w="2127" w:type="dxa"/>
            <w:tcMar>
              <w:top w:w="85" w:type="dxa"/>
              <w:bottom w:w="85" w:type="dxa"/>
            </w:tcMar>
          </w:tcPr>
          <w:p w14:paraId="62369655"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中華民國刑法部分條文修正草案</w:t>
            </w:r>
          </w:p>
        </w:tc>
        <w:tc>
          <w:tcPr>
            <w:tcW w:w="2268" w:type="dxa"/>
            <w:tcMar>
              <w:top w:w="85" w:type="dxa"/>
              <w:bottom w:w="85" w:type="dxa"/>
            </w:tcMar>
          </w:tcPr>
          <w:p w14:paraId="63322859"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Pr>
                <w:rFonts w:ascii="標楷體" w:eastAsia="標楷體" w:hAnsi="標楷體" w:hint="eastAsia"/>
                <w:color w:val="000000"/>
                <w:kern w:val="0"/>
              </w:rPr>
              <w:t>李昆澤</w:t>
            </w:r>
            <w:r w:rsidRPr="00BD6230">
              <w:rPr>
                <w:rFonts w:ascii="標楷體" w:eastAsia="標楷體" w:hAnsi="標楷體" w:hint="eastAsia"/>
                <w:color w:val="000000"/>
                <w:kern w:val="0"/>
              </w:rPr>
              <w:t>等</w:t>
            </w:r>
            <w:r>
              <w:rPr>
                <w:rFonts w:ascii="標楷體" w:eastAsia="標楷體" w:hAnsi="標楷體" w:hint="eastAsia"/>
                <w:color w:val="000000"/>
                <w:kern w:val="0"/>
              </w:rPr>
              <w:t>19</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111.11.11</w:t>
            </w:r>
            <w:r w:rsidRPr="006719D5">
              <w:rPr>
                <w:rFonts w:ascii="標楷體" w:eastAsia="標楷體" w:hAnsi="標楷體" w:hint="eastAsia"/>
                <w:color w:val="000000"/>
                <w:kern w:val="0"/>
              </w:rPr>
              <w:t xml:space="preserve"> </w:t>
            </w:r>
          </w:p>
          <w:p w14:paraId="1642C6A3" w14:textId="77777777" w:rsidR="00421BB5" w:rsidRPr="00DD3D15"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10-6-7</w:t>
            </w:r>
            <w:r w:rsidRPr="006719D5">
              <w:rPr>
                <w:rFonts w:ascii="標楷體" w:eastAsia="標楷體" w:hAnsi="標楷體" w:hint="eastAsia"/>
                <w:color w:val="000000"/>
                <w:kern w:val="0"/>
              </w:rPr>
              <w:t>）</w:t>
            </w:r>
          </w:p>
        </w:tc>
        <w:tc>
          <w:tcPr>
            <w:tcW w:w="3685" w:type="dxa"/>
            <w:tcMar>
              <w:top w:w="85" w:type="dxa"/>
              <w:bottom w:w="85" w:type="dxa"/>
            </w:tcMar>
          </w:tcPr>
          <w:p w14:paraId="1ACB08B3"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695ADD">
              <w:rPr>
                <w:rFonts w:ascii="標楷體" w:eastAsia="標楷體" w:hAnsi="標楷體" w:hint="eastAsia"/>
              </w:rPr>
              <w:t>院會</w:t>
            </w:r>
            <w:r>
              <w:rPr>
                <w:rFonts w:ascii="標楷體" w:eastAsia="標楷體" w:hAnsi="標楷體" w:hint="eastAsia"/>
              </w:rPr>
              <w:t>111.11.11</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-7）逕付二讀</w:t>
            </w:r>
            <w:r w:rsidRPr="00695ADD">
              <w:rPr>
                <w:rFonts w:ascii="標楷體" w:eastAsia="標楷體" w:hAnsi="標楷體" w:hint="eastAsia"/>
              </w:rPr>
              <w:t>，與相關提案併案協商。</w:t>
            </w:r>
          </w:p>
          <w:p w14:paraId="7A197851"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F457FD">
              <w:rPr>
                <w:rFonts w:ascii="標楷體" w:eastAsia="標楷體" w:hAnsi="標楷體" w:hint="eastAsia"/>
              </w:rPr>
              <w:t>.111.12.22黨團協商。</w:t>
            </w:r>
          </w:p>
          <w:p w14:paraId="3E29AB98"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476050">
              <w:rPr>
                <w:rFonts w:ascii="標楷體" w:eastAsia="標楷體" w:hAnsi="標楷體" w:hint="eastAsia"/>
              </w:rPr>
              <w:t>.112.1.4黨團協商。</w:t>
            </w:r>
          </w:p>
          <w:p w14:paraId="5FA8BCE9"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4</w:t>
            </w:r>
            <w:r w:rsidRPr="00DC0293">
              <w:rPr>
                <w:rFonts w:ascii="標楷體" w:eastAsia="標楷體" w:hAnsi="標楷體" w:hint="eastAsia"/>
              </w:rPr>
              <w:t>.112.1.5黨團協商。</w:t>
            </w:r>
          </w:p>
          <w:p w14:paraId="6764168D"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sidRPr="00AC6D74">
              <w:rPr>
                <w:rFonts w:ascii="標楷體" w:eastAsia="標楷體" w:hAnsi="標楷體" w:hint="eastAsia"/>
              </w:rPr>
              <w:t>.院會112.1.7</w:t>
            </w:r>
            <w:r w:rsidRPr="00695ADD">
              <w:rPr>
                <w:rFonts w:ascii="標楷體" w:eastAsia="標楷體" w:hAnsi="標楷體" w:hint="eastAsia"/>
              </w:rPr>
              <w:t>（</w:t>
            </w:r>
            <w:r w:rsidRPr="00AC6D74">
              <w:rPr>
                <w:rFonts w:ascii="標楷體" w:eastAsia="標楷體" w:hAnsi="標楷體" w:hint="eastAsia"/>
              </w:rPr>
              <w:t>10-6-14</w:t>
            </w:r>
            <w:r>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增訂第二十八章之一章名及第三百十九條之一至第三百十九條之六條文；並修正第十條及第九十一條之一條文。</w:t>
            </w:r>
          </w:p>
        </w:tc>
      </w:tr>
      <w:tr w:rsidR="00421BB5" w:rsidRPr="00490FEE" w14:paraId="2D05C1A1" w14:textId="77777777" w:rsidTr="00421BB5">
        <w:trPr>
          <w:trHeight w:val="74"/>
        </w:trPr>
        <w:tc>
          <w:tcPr>
            <w:tcW w:w="709" w:type="dxa"/>
            <w:tcMar>
              <w:top w:w="85" w:type="dxa"/>
              <w:bottom w:w="85" w:type="dxa"/>
            </w:tcMar>
          </w:tcPr>
          <w:p w14:paraId="005C8B62"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11</w:t>
            </w:r>
          </w:p>
        </w:tc>
        <w:tc>
          <w:tcPr>
            <w:tcW w:w="2127" w:type="dxa"/>
            <w:tcMar>
              <w:top w:w="85" w:type="dxa"/>
              <w:bottom w:w="85" w:type="dxa"/>
            </w:tcMar>
          </w:tcPr>
          <w:p w14:paraId="795BCE71" w14:textId="77777777" w:rsidR="00421BB5" w:rsidRPr="006719D5" w:rsidRDefault="00421BB5" w:rsidP="00F7741E">
            <w:pPr>
              <w:kinsoku w:val="0"/>
              <w:adjustRightInd w:val="0"/>
              <w:snapToGrid w:val="0"/>
              <w:spacing w:line="260" w:lineRule="exact"/>
              <w:rPr>
                <w:rFonts w:ascii="標楷體" w:eastAsia="標楷體" w:hAnsi="標楷體"/>
                <w:color w:val="000000"/>
                <w:kern w:val="0"/>
              </w:rPr>
            </w:pPr>
            <w:r w:rsidRPr="00831B0F">
              <w:rPr>
                <w:rFonts w:ascii="標楷體" w:eastAsia="標楷體" w:hAnsi="標楷體" w:hint="eastAsia"/>
              </w:rPr>
              <w:t>公務人員退休資遣撫卹法第九十三條及第九十五條條文修正草案</w:t>
            </w:r>
          </w:p>
        </w:tc>
        <w:tc>
          <w:tcPr>
            <w:tcW w:w="2268" w:type="dxa"/>
            <w:tcMar>
              <w:top w:w="85" w:type="dxa"/>
              <w:bottom w:w="85" w:type="dxa"/>
            </w:tcMar>
          </w:tcPr>
          <w:p w14:paraId="520BCCD2"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sidRPr="00225DD1">
              <w:rPr>
                <w:rFonts w:ascii="標楷體" w:eastAsia="標楷體" w:hAnsi="標楷體" w:hint="eastAsia"/>
                <w:color w:val="000000"/>
                <w:kern w:val="0"/>
              </w:rPr>
              <w:t>鄭正鈐</w:t>
            </w:r>
            <w:r w:rsidRPr="00BD6230">
              <w:rPr>
                <w:rFonts w:ascii="標楷體" w:eastAsia="標楷體" w:hAnsi="標楷體" w:hint="eastAsia"/>
                <w:color w:val="000000"/>
                <w:kern w:val="0"/>
              </w:rPr>
              <w:t>等</w:t>
            </w:r>
            <w:r>
              <w:rPr>
                <w:rFonts w:ascii="標楷體" w:eastAsia="標楷體" w:hAnsi="標楷體" w:hint="eastAsia"/>
                <w:color w:val="000000"/>
                <w:kern w:val="0"/>
              </w:rPr>
              <w:t>19</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111.05.13</w:t>
            </w:r>
            <w:r w:rsidRPr="006719D5">
              <w:rPr>
                <w:rFonts w:ascii="標楷體" w:eastAsia="標楷體" w:hAnsi="標楷體" w:hint="eastAsia"/>
                <w:color w:val="000000"/>
                <w:kern w:val="0"/>
              </w:rPr>
              <w:t xml:space="preserve"> </w:t>
            </w:r>
          </w:p>
          <w:p w14:paraId="29BD819C"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10-5-12</w:t>
            </w:r>
            <w:r w:rsidRPr="006719D5">
              <w:rPr>
                <w:rFonts w:ascii="標楷體" w:eastAsia="標楷體" w:hAnsi="標楷體" w:hint="eastAsia"/>
                <w:color w:val="000000"/>
                <w:kern w:val="0"/>
              </w:rPr>
              <w:t>）</w:t>
            </w:r>
          </w:p>
        </w:tc>
        <w:tc>
          <w:tcPr>
            <w:tcW w:w="3685" w:type="dxa"/>
            <w:tcMar>
              <w:top w:w="85" w:type="dxa"/>
              <w:bottom w:w="85" w:type="dxa"/>
            </w:tcMar>
          </w:tcPr>
          <w:p w14:paraId="66221809"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36B7E">
              <w:rPr>
                <w:rFonts w:ascii="標楷體" w:eastAsia="標楷體" w:hAnsi="標楷體" w:hint="eastAsia"/>
              </w:rPr>
              <w:t>院會111.11.15（10-6-7）自司法及法制委員會抽出逕付二</w:t>
            </w:r>
            <w:r w:rsidRPr="004D417D">
              <w:rPr>
                <w:rFonts w:ascii="標楷體" w:eastAsia="標楷體" w:hAnsi="標楷體" w:hint="eastAsia"/>
              </w:rPr>
              <w:t>讀，與相關提案併案協商。</w:t>
            </w:r>
          </w:p>
          <w:p w14:paraId="4500ED5B"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0D2B3A">
              <w:rPr>
                <w:rFonts w:ascii="標楷體" w:eastAsia="標楷體" w:hAnsi="標楷體" w:hint="eastAsia"/>
              </w:rPr>
              <w:t>2.111.12.2黨團協商。</w:t>
            </w:r>
          </w:p>
          <w:p w14:paraId="4F9E9EF7"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101BAC">
              <w:rPr>
                <w:rFonts w:ascii="標楷體" w:eastAsia="標楷體" w:hAnsi="標楷體" w:hint="eastAsia"/>
              </w:rPr>
              <w:t>3.111.12.13黨團協商。</w:t>
            </w:r>
          </w:p>
          <w:p w14:paraId="13453A95"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545964">
              <w:rPr>
                <w:rFonts w:ascii="標楷體" w:eastAsia="標楷體" w:hAnsi="標楷體" w:hint="eastAsia"/>
              </w:rPr>
              <w:t>4.111.12.15黨團協商。</w:t>
            </w:r>
          </w:p>
          <w:p w14:paraId="61E5193A" w14:textId="77777777" w:rsidR="00421BB5" w:rsidRPr="000D2B3A" w:rsidRDefault="00421BB5" w:rsidP="00F7741E">
            <w:pPr>
              <w:kinsoku w:val="0"/>
              <w:adjustRightInd w:val="0"/>
              <w:snapToGrid w:val="0"/>
              <w:spacing w:line="260" w:lineRule="exact"/>
              <w:ind w:left="240" w:hangingChars="100" w:hanging="240"/>
              <w:rPr>
                <w:rFonts w:ascii="標楷體" w:eastAsia="標楷體" w:hAnsi="標楷體"/>
              </w:rPr>
            </w:pPr>
            <w:r w:rsidRPr="0081310A">
              <w:rPr>
                <w:rFonts w:ascii="標楷體" w:eastAsia="標楷體" w:hAnsi="標楷體" w:hint="eastAsia"/>
              </w:rPr>
              <w:t>5.院會111.12.16</w:t>
            </w:r>
            <w:r w:rsidRPr="00695ADD">
              <w:rPr>
                <w:rFonts w:ascii="標楷體" w:eastAsia="標楷體" w:hAnsi="標楷體" w:hint="eastAsia"/>
              </w:rPr>
              <w:t>（</w:t>
            </w:r>
            <w:r w:rsidRPr="0081310A">
              <w:rPr>
                <w:rFonts w:ascii="標楷體" w:eastAsia="標楷體" w:hAnsi="標楷體" w:hint="eastAsia"/>
              </w:rPr>
              <w:t>10-6-12</w:t>
            </w:r>
            <w:r>
              <w:rPr>
                <w:rFonts w:ascii="標楷體" w:eastAsia="標楷體" w:hAnsi="標楷體" w:hint="eastAsia"/>
              </w:rPr>
              <w:t>）</w:t>
            </w:r>
            <w:r w:rsidRPr="0081310A">
              <w:rPr>
                <w:rFonts w:ascii="標楷體" w:eastAsia="標楷體" w:hAnsi="標楷體" w:hint="eastAsia"/>
              </w:rPr>
              <w:t>三讀修正第九十三條及第九十五</w:t>
            </w:r>
            <w:r w:rsidRPr="0081310A">
              <w:rPr>
                <w:rFonts w:ascii="標楷體" w:eastAsia="標楷體" w:hAnsi="標楷體" w:hint="eastAsia"/>
              </w:rPr>
              <w:lastRenderedPageBreak/>
              <w:t>條條文。</w:t>
            </w:r>
          </w:p>
        </w:tc>
      </w:tr>
      <w:tr w:rsidR="00421BB5" w:rsidRPr="00490FEE" w14:paraId="3DD3BB81" w14:textId="77777777" w:rsidTr="00421BB5">
        <w:trPr>
          <w:trHeight w:val="74"/>
        </w:trPr>
        <w:tc>
          <w:tcPr>
            <w:tcW w:w="709" w:type="dxa"/>
            <w:tcMar>
              <w:top w:w="85" w:type="dxa"/>
              <w:bottom w:w="85" w:type="dxa"/>
            </w:tcMar>
          </w:tcPr>
          <w:p w14:paraId="50E2051E"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12</w:t>
            </w:r>
          </w:p>
        </w:tc>
        <w:tc>
          <w:tcPr>
            <w:tcW w:w="2127" w:type="dxa"/>
            <w:tcMar>
              <w:top w:w="85" w:type="dxa"/>
              <w:bottom w:w="85" w:type="dxa"/>
            </w:tcMar>
          </w:tcPr>
          <w:p w14:paraId="09EB429E" w14:textId="77777777" w:rsidR="00421BB5" w:rsidRPr="00831B0F" w:rsidRDefault="00421BB5" w:rsidP="00F7741E">
            <w:pPr>
              <w:kinsoku w:val="0"/>
              <w:adjustRightInd w:val="0"/>
              <w:snapToGrid w:val="0"/>
              <w:spacing w:line="260" w:lineRule="exact"/>
              <w:rPr>
                <w:rFonts w:ascii="標楷體" w:eastAsia="標楷體" w:hAnsi="標楷體"/>
              </w:rPr>
            </w:pPr>
            <w:r w:rsidRPr="004F126C">
              <w:rPr>
                <w:rFonts w:ascii="標楷體" w:eastAsia="標楷體" w:hAnsi="標楷體" w:hint="eastAsia"/>
              </w:rPr>
              <w:t>學校法人及其所屬私立學校教職員退休撫卹離職資遣條例第八條條文修正草案</w:t>
            </w:r>
          </w:p>
        </w:tc>
        <w:tc>
          <w:tcPr>
            <w:tcW w:w="2268" w:type="dxa"/>
            <w:tcMar>
              <w:top w:w="85" w:type="dxa"/>
              <w:bottom w:w="85" w:type="dxa"/>
            </w:tcMar>
          </w:tcPr>
          <w:p w14:paraId="21675E66"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sidRPr="004F126C">
              <w:rPr>
                <w:rFonts w:ascii="標楷體" w:eastAsia="標楷體" w:hAnsi="標楷體" w:hint="eastAsia"/>
                <w:color w:val="000000"/>
                <w:kern w:val="0"/>
              </w:rPr>
              <w:t>林奕華</w:t>
            </w:r>
            <w:r w:rsidRPr="00BD6230">
              <w:rPr>
                <w:rFonts w:ascii="標楷體" w:eastAsia="標楷體" w:hAnsi="標楷體" w:hint="eastAsia"/>
                <w:color w:val="000000"/>
                <w:kern w:val="0"/>
              </w:rPr>
              <w:t>等</w:t>
            </w:r>
            <w:r>
              <w:rPr>
                <w:rFonts w:ascii="標楷體" w:eastAsia="標楷體" w:hAnsi="標楷體" w:hint="eastAsia"/>
                <w:color w:val="000000"/>
                <w:kern w:val="0"/>
              </w:rPr>
              <w:t>16</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111.11.18</w:t>
            </w:r>
            <w:r w:rsidRPr="006719D5">
              <w:rPr>
                <w:rFonts w:ascii="標楷體" w:eastAsia="標楷體" w:hAnsi="標楷體" w:hint="eastAsia"/>
                <w:color w:val="000000"/>
                <w:kern w:val="0"/>
              </w:rPr>
              <w:t xml:space="preserve"> </w:t>
            </w:r>
          </w:p>
          <w:p w14:paraId="159D2EF9"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10-6-8</w:t>
            </w:r>
            <w:r w:rsidRPr="006719D5">
              <w:rPr>
                <w:rFonts w:ascii="標楷體" w:eastAsia="標楷體" w:hAnsi="標楷體" w:hint="eastAsia"/>
                <w:color w:val="000000"/>
                <w:kern w:val="0"/>
              </w:rPr>
              <w:t>）</w:t>
            </w:r>
          </w:p>
        </w:tc>
        <w:tc>
          <w:tcPr>
            <w:tcW w:w="3685" w:type="dxa"/>
            <w:tcMar>
              <w:top w:w="85" w:type="dxa"/>
              <w:bottom w:w="85" w:type="dxa"/>
            </w:tcMar>
          </w:tcPr>
          <w:p w14:paraId="4A1FB79C" w14:textId="77777777" w:rsidR="00421BB5" w:rsidRPr="004D417D" w:rsidRDefault="00421BB5" w:rsidP="00F7741E">
            <w:pPr>
              <w:kinsoku w:val="0"/>
              <w:adjustRightInd w:val="0"/>
              <w:snapToGrid w:val="0"/>
              <w:spacing w:line="260" w:lineRule="exact"/>
              <w:rPr>
                <w:rFonts w:ascii="標楷體" w:eastAsia="標楷體" w:hAnsi="標楷體"/>
              </w:rPr>
            </w:pPr>
            <w:r w:rsidRPr="00695ADD">
              <w:rPr>
                <w:rFonts w:ascii="標楷體" w:eastAsia="標楷體" w:hAnsi="標楷體" w:hint="eastAsia"/>
              </w:rPr>
              <w:t>院會</w:t>
            </w:r>
            <w:r>
              <w:rPr>
                <w:rFonts w:ascii="標楷體" w:eastAsia="標楷體" w:hAnsi="標楷體" w:hint="eastAsia"/>
              </w:rPr>
              <w:t>111.11.18</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-8）逕付二讀</w:t>
            </w:r>
            <w:r w:rsidRPr="00695ADD">
              <w:rPr>
                <w:rFonts w:ascii="標楷體" w:eastAsia="標楷體" w:hAnsi="標楷體" w:hint="eastAsia"/>
              </w:rPr>
              <w:t>，與相關提案併案協商。</w:t>
            </w:r>
          </w:p>
        </w:tc>
      </w:tr>
      <w:tr w:rsidR="00421BB5" w:rsidRPr="00490FEE" w14:paraId="23A793FC" w14:textId="77777777" w:rsidTr="00421BB5">
        <w:trPr>
          <w:trHeight w:val="74"/>
        </w:trPr>
        <w:tc>
          <w:tcPr>
            <w:tcW w:w="709" w:type="dxa"/>
            <w:tcMar>
              <w:top w:w="85" w:type="dxa"/>
              <w:bottom w:w="85" w:type="dxa"/>
            </w:tcMar>
          </w:tcPr>
          <w:p w14:paraId="7ECD29E9"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13</w:t>
            </w:r>
          </w:p>
        </w:tc>
        <w:tc>
          <w:tcPr>
            <w:tcW w:w="2127" w:type="dxa"/>
            <w:tcMar>
              <w:top w:w="85" w:type="dxa"/>
              <w:bottom w:w="85" w:type="dxa"/>
            </w:tcMar>
          </w:tcPr>
          <w:p w14:paraId="1FCDDEFC"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公務人員個人專戶制退休資遣撫卹法草案</w:t>
            </w:r>
          </w:p>
        </w:tc>
        <w:tc>
          <w:tcPr>
            <w:tcW w:w="2268" w:type="dxa"/>
            <w:tcMar>
              <w:top w:w="85" w:type="dxa"/>
              <w:bottom w:w="85" w:type="dxa"/>
            </w:tcMar>
          </w:tcPr>
          <w:p w14:paraId="37F02F75"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Pr>
                <w:rFonts w:ascii="標楷體" w:eastAsia="標楷體" w:hAnsi="標楷體" w:hint="eastAsia"/>
                <w:color w:val="000000"/>
                <w:kern w:val="0"/>
              </w:rPr>
              <w:t>游毓蘭</w:t>
            </w:r>
            <w:r w:rsidRPr="00BD6230">
              <w:rPr>
                <w:rFonts w:ascii="標楷體" w:eastAsia="標楷體" w:hAnsi="標楷體" w:hint="eastAsia"/>
                <w:color w:val="000000"/>
                <w:kern w:val="0"/>
              </w:rPr>
              <w:t>等</w:t>
            </w:r>
            <w:r>
              <w:rPr>
                <w:rFonts w:ascii="標楷體" w:eastAsia="標楷體" w:hAnsi="標楷體" w:hint="eastAsia"/>
                <w:color w:val="000000"/>
                <w:kern w:val="0"/>
              </w:rPr>
              <w:t>16</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111.11.18</w:t>
            </w:r>
            <w:r w:rsidRPr="006719D5">
              <w:rPr>
                <w:rFonts w:ascii="標楷體" w:eastAsia="標楷體" w:hAnsi="標楷體" w:hint="eastAsia"/>
                <w:color w:val="000000"/>
                <w:kern w:val="0"/>
              </w:rPr>
              <w:t xml:space="preserve"> </w:t>
            </w:r>
          </w:p>
          <w:p w14:paraId="1459610A"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10-6-8</w:t>
            </w:r>
            <w:r w:rsidRPr="006719D5">
              <w:rPr>
                <w:rFonts w:ascii="標楷體" w:eastAsia="標楷體" w:hAnsi="標楷體" w:hint="eastAsia"/>
                <w:color w:val="000000"/>
                <w:kern w:val="0"/>
              </w:rPr>
              <w:t>）</w:t>
            </w:r>
          </w:p>
        </w:tc>
        <w:tc>
          <w:tcPr>
            <w:tcW w:w="3685" w:type="dxa"/>
            <w:tcMar>
              <w:top w:w="85" w:type="dxa"/>
              <w:bottom w:w="85" w:type="dxa"/>
            </w:tcMar>
          </w:tcPr>
          <w:p w14:paraId="43EC85B0"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111.11.18</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-8）逕付二讀</w:t>
            </w:r>
            <w:r w:rsidRPr="00695ADD">
              <w:rPr>
                <w:rFonts w:ascii="標楷體" w:eastAsia="標楷體" w:hAnsi="標楷體" w:hint="eastAsia"/>
              </w:rPr>
              <w:t>，與相關提案併案協商。</w:t>
            </w:r>
          </w:p>
          <w:p w14:paraId="63D18E99"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0D2B3A">
              <w:rPr>
                <w:rFonts w:ascii="標楷體" w:eastAsia="標楷體" w:hAnsi="標楷體" w:hint="eastAsia"/>
              </w:rPr>
              <w:t>2.111.12.2黨團協商。</w:t>
            </w:r>
          </w:p>
          <w:p w14:paraId="79585F5E"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101BAC">
              <w:rPr>
                <w:rFonts w:ascii="標楷體" w:eastAsia="標楷體" w:hAnsi="標楷體" w:hint="eastAsia"/>
              </w:rPr>
              <w:t>3.111.12.13黨團協商。</w:t>
            </w:r>
          </w:p>
          <w:p w14:paraId="4E4F868B"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545964">
              <w:rPr>
                <w:rFonts w:ascii="標楷體" w:eastAsia="標楷體" w:hAnsi="標楷體" w:hint="eastAsia"/>
              </w:rPr>
              <w:t>4.111.12.15黨團協商。</w:t>
            </w:r>
          </w:p>
          <w:p w14:paraId="5BE963D4"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sidRPr="00875EB0">
              <w:rPr>
                <w:rFonts w:ascii="標楷體" w:eastAsia="標楷體" w:hAnsi="標楷體" w:hint="eastAsia"/>
              </w:rPr>
              <w:t>院會</w:t>
            </w:r>
            <w:r w:rsidRPr="00875EB0">
              <w:rPr>
                <w:rFonts w:ascii="標楷體" w:eastAsia="標楷體" w:hAnsi="標楷體"/>
              </w:rPr>
              <w:t>111.12.16</w:t>
            </w:r>
            <w:r w:rsidRPr="00695ADD">
              <w:rPr>
                <w:rFonts w:ascii="標楷體" w:eastAsia="標楷體" w:hAnsi="標楷體" w:hint="eastAsia"/>
              </w:rPr>
              <w:t>（</w:t>
            </w:r>
            <w:r w:rsidRPr="00875EB0">
              <w:rPr>
                <w:rFonts w:ascii="標楷體" w:eastAsia="標楷體" w:hAnsi="標楷體"/>
              </w:rPr>
              <w:t>10-6-12</w:t>
            </w:r>
            <w:r>
              <w:rPr>
                <w:rFonts w:ascii="標楷體" w:eastAsia="標楷體" w:hAnsi="標楷體" w:hint="eastAsia"/>
              </w:rPr>
              <w:t>）</w:t>
            </w:r>
            <w:r w:rsidRPr="00875EB0">
              <w:rPr>
                <w:rFonts w:ascii="標楷體" w:eastAsia="標楷體" w:hAnsi="標楷體" w:hint="eastAsia"/>
              </w:rPr>
              <w:t>三讀制定公務人員個人專戶制退休資遣撫卹法</w:t>
            </w:r>
            <w:r>
              <w:rPr>
                <w:rFonts w:ascii="標楷體" w:eastAsia="標楷體" w:hAnsi="標楷體" w:hint="eastAsia"/>
              </w:rPr>
              <w:t>。</w:t>
            </w:r>
          </w:p>
        </w:tc>
      </w:tr>
      <w:tr w:rsidR="00421BB5" w:rsidRPr="00490FEE" w14:paraId="42A2F195" w14:textId="77777777" w:rsidTr="00421BB5">
        <w:trPr>
          <w:trHeight w:val="74"/>
        </w:trPr>
        <w:tc>
          <w:tcPr>
            <w:tcW w:w="709" w:type="dxa"/>
            <w:tcMar>
              <w:top w:w="85" w:type="dxa"/>
              <w:bottom w:w="85" w:type="dxa"/>
            </w:tcMar>
          </w:tcPr>
          <w:p w14:paraId="6EE4E776"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14</w:t>
            </w:r>
          </w:p>
        </w:tc>
        <w:tc>
          <w:tcPr>
            <w:tcW w:w="2127" w:type="dxa"/>
            <w:tcMar>
              <w:top w:w="85" w:type="dxa"/>
              <w:bottom w:w="85" w:type="dxa"/>
            </w:tcMar>
          </w:tcPr>
          <w:p w14:paraId="5E908D8E"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公務人員退休資遣撫卹法第九十三條及第九十五條條文修正草案</w:t>
            </w:r>
          </w:p>
        </w:tc>
        <w:tc>
          <w:tcPr>
            <w:tcW w:w="2268" w:type="dxa"/>
            <w:tcMar>
              <w:top w:w="85" w:type="dxa"/>
              <w:bottom w:w="85" w:type="dxa"/>
            </w:tcMar>
          </w:tcPr>
          <w:p w14:paraId="6A936BCE"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Pr>
                <w:rFonts w:ascii="標楷體" w:eastAsia="標楷體" w:hAnsi="標楷體" w:hint="eastAsia"/>
                <w:color w:val="000000"/>
                <w:kern w:val="0"/>
              </w:rPr>
              <w:t>游毓蘭</w:t>
            </w:r>
            <w:r w:rsidRPr="00BD6230">
              <w:rPr>
                <w:rFonts w:ascii="標楷體" w:eastAsia="標楷體" w:hAnsi="標楷體" w:hint="eastAsia"/>
                <w:color w:val="000000"/>
                <w:kern w:val="0"/>
              </w:rPr>
              <w:t>等</w:t>
            </w:r>
            <w:r>
              <w:rPr>
                <w:rFonts w:ascii="標楷體" w:eastAsia="標楷體" w:hAnsi="標楷體" w:hint="eastAsia"/>
                <w:color w:val="000000"/>
                <w:kern w:val="0"/>
              </w:rPr>
              <w:t>17</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111.11.18</w:t>
            </w:r>
            <w:r w:rsidRPr="006719D5">
              <w:rPr>
                <w:rFonts w:ascii="標楷體" w:eastAsia="標楷體" w:hAnsi="標楷體" w:hint="eastAsia"/>
                <w:color w:val="000000"/>
                <w:kern w:val="0"/>
              </w:rPr>
              <w:t xml:space="preserve"> </w:t>
            </w:r>
          </w:p>
          <w:p w14:paraId="349BBB44"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10-6-8</w:t>
            </w:r>
            <w:r w:rsidRPr="006719D5">
              <w:rPr>
                <w:rFonts w:ascii="標楷體" w:eastAsia="標楷體" w:hAnsi="標楷體" w:hint="eastAsia"/>
                <w:color w:val="000000"/>
                <w:kern w:val="0"/>
              </w:rPr>
              <w:t>）</w:t>
            </w:r>
          </w:p>
        </w:tc>
        <w:tc>
          <w:tcPr>
            <w:tcW w:w="3685" w:type="dxa"/>
            <w:tcMar>
              <w:top w:w="85" w:type="dxa"/>
              <w:bottom w:w="85" w:type="dxa"/>
            </w:tcMar>
          </w:tcPr>
          <w:p w14:paraId="556BFC17"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111.11.18</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-8）逕付二讀</w:t>
            </w:r>
            <w:r w:rsidRPr="00695ADD">
              <w:rPr>
                <w:rFonts w:ascii="標楷體" w:eastAsia="標楷體" w:hAnsi="標楷體" w:hint="eastAsia"/>
              </w:rPr>
              <w:t>，與相關提案併案協商。</w:t>
            </w:r>
          </w:p>
          <w:p w14:paraId="2AB2D6C6"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0D2B3A">
              <w:rPr>
                <w:rFonts w:ascii="標楷體" w:eastAsia="標楷體" w:hAnsi="標楷體" w:hint="eastAsia"/>
              </w:rPr>
              <w:t>2.111.12.2黨團協商。</w:t>
            </w:r>
          </w:p>
          <w:p w14:paraId="29E62A4B"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101BAC">
              <w:rPr>
                <w:rFonts w:ascii="標楷體" w:eastAsia="標楷體" w:hAnsi="標楷體" w:hint="eastAsia"/>
              </w:rPr>
              <w:t>3.111.12.13黨團協商。</w:t>
            </w:r>
          </w:p>
          <w:p w14:paraId="7DF15A35"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545964">
              <w:rPr>
                <w:rFonts w:ascii="標楷體" w:eastAsia="標楷體" w:hAnsi="標楷體" w:hint="eastAsia"/>
              </w:rPr>
              <w:t>4.111.12.15黨團協商。</w:t>
            </w:r>
          </w:p>
          <w:p w14:paraId="2F1E90BA"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sidRPr="003F67BF">
              <w:rPr>
                <w:rFonts w:ascii="標楷體" w:eastAsia="標楷體" w:hAnsi="標楷體" w:hint="eastAsia"/>
              </w:rPr>
              <w:t>5.院會111.12.16</w:t>
            </w:r>
            <w:r w:rsidRPr="00695ADD">
              <w:rPr>
                <w:rFonts w:ascii="標楷體" w:eastAsia="標楷體" w:hAnsi="標楷體" w:hint="eastAsia"/>
              </w:rPr>
              <w:t>（</w:t>
            </w:r>
            <w:r w:rsidRPr="003F67BF">
              <w:rPr>
                <w:rFonts w:ascii="標楷體" w:eastAsia="標楷體" w:hAnsi="標楷體" w:hint="eastAsia"/>
              </w:rPr>
              <w:t>10-6-12</w:t>
            </w:r>
            <w:r>
              <w:rPr>
                <w:rFonts w:ascii="標楷體" w:eastAsia="標楷體" w:hAnsi="標楷體" w:hint="eastAsia"/>
              </w:rPr>
              <w:t>）</w:t>
            </w:r>
            <w:r w:rsidRPr="003F67BF">
              <w:rPr>
                <w:rFonts w:ascii="標楷體" w:eastAsia="標楷體" w:hAnsi="標楷體" w:hint="eastAsia"/>
              </w:rPr>
              <w:t>三讀修正第九十三條及第九十五條條文。</w:t>
            </w:r>
          </w:p>
        </w:tc>
      </w:tr>
      <w:tr w:rsidR="00421BB5" w:rsidRPr="00490FEE" w14:paraId="36905F9B" w14:textId="77777777" w:rsidTr="00421BB5">
        <w:trPr>
          <w:trHeight w:val="74"/>
        </w:trPr>
        <w:tc>
          <w:tcPr>
            <w:tcW w:w="709" w:type="dxa"/>
            <w:tcMar>
              <w:top w:w="85" w:type="dxa"/>
              <w:bottom w:w="85" w:type="dxa"/>
            </w:tcMar>
          </w:tcPr>
          <w:p w14:paraId="001ABBF2"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15</w:t>
            </w:r>
          </w:p>
        </w:tc>
        <w:tc>
          <w:tcPr>
            <w:tcW w:w="2127" w:type="dxa"/>
            <w:tcMar>
              <w:top w:w="85" w:type="dxa"/>
              <w:bottom w:w="85" w:type="dxa"/>
            </w:tcMar>
          </w:tcPr>
          <w:p w14:paraId="1CA8EC16"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公立學校教職員個人專戶制退休資遣撫卹條例草案</w:t>
            </w:r>
          </w:p>
        </w:tc>
        <w:tc>
          <w:tcPr>
            <w:tcW w:w="2268" w:type="dxa"/>
            <w:tcMar>
              <w:top w:w="85" w:type="dxa"/>
              <w:bottom w:w="85" w:type="dxa"/>
            </w:tcMar>
          </w:tcPr>
          <w:p w14:paraId="1775D22D"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Pr>
                <w:rFonts w:ascii="標楷體" w:eastAsia="標楷體" w:hAnsi="標楷體" w:hint="eastAsia"/>
                <w:color w:val="000000"/>
                <w:kern w:val="0"/>
              </w:rPr>
              <w:t>游毓蘭</w:t>
            </w:r>
            <w:r w:rsidRPr="00BD6230">
              <w:rPr>
                <w:rFonts w:ascii="標楷體" w:eastAsia="標楷體" w:hAnsi="標楷體" w:hint="eastAsia"/>
                <w:color w:val="000000"/>
                <w:kern w:val="0"/>
              </w:rPr>
              <w:t>等</w:t>
            </w:r>
            <w:r>
              <w:rPr>
                <w:rFonts w:ascii="標楷體" w:eastAsia="標楷體" w:hAnsi="標楷體" w:hint="eastAsia"/>
                <w:color w:val="000000"/>
                <w:kern w:val="0"/>
              </w:rPr>
              <w:t>16</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111.11.18</w:t>
            </w:r>
            <w:r w:rsidRPr="006719D5">
              <w:rPr>
                <w:rFonts w:ascii="標楷體" w:eastAsia="標楷體" w:hAnsi="標楷體" w:hint="eastAsia"/>
                <w:color w:val="000000"/>
                <w:kern w:val="0"/>
              </w:rPr>
              <w:t xml:space="preserve"> </w:t>
            </w:r>
          </w:p>
          <w:p w14:paraId="1E0CC378"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10-6-8</w:t>
            </w:r>
            <w:r w:rsidRPr="006719D5">
              <w:rPr>
                <w:rFonts w:ascii="標楷體" w:eastAsia="標楷體" w:hAnsi="標楷體" w:hint="eastAsia"/>
                <w:color w:val="000000"/>
                <w:kern w:val="0"/>
              </w:rPr>
              <w:t>）</w:t>
            </w:r>
          </w:p>
        </w:tc>
        <w:tc>
          <w:tcPr>
            <w:tcW w:w="3685" w:type="dxa"/>
            <w:tcMar>
              <w:top w:w="85" w:type="dxa"/>
              <w:bottom w:w="85" w:type="dxa"/>
            </w:tcMar>
          </w:tcPr>
          <w:p w14:paraId="6AB39221"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111.11.18</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-8）逕付二讀</w:t>
            </w:r>
            <w:r w:rsidRPr="00695ADD">
              <w:rPr>
                <w:rFonts w:ascii="標楷體" w:eastAsia="標楷體" w:hAnsi="標楷體" w:hint="eastAsia"/>
              </w:rPr>
              <w:t>，與相關提案併案協商。</w:t>
            </w:r>
          </w:p>
          <w:p w14:paraId="05F9FD65"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0D2B3A">
              <w:rPr>
                <w:rFonts w:ascii="標楷體" w:eastAsia="標楷體" w:hAnsi="標楷體" w:hint="eastAsia"/>
              </w:rPr>
              <w:t>2.111.12.2黨團協商。</w:t>
            </w:r>
          </w:p>
          <w:p w14:paraId="627AB367"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101BAC">
              <w:rPr>
                <w:rFonts w:ascii="標楷體" w:eastAsia="標楷體" w:hAnsi="標楷體" w:hint="eastAsia"/>
              </w:rPr>
              <w:t>3.111.12.13黨團協商。</w:t>
            </w:r>
          </w:p>
          <w:p w14:paraId="18415A9A"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545964">
              <w:rPr>
                <w:rFonts w:ascii="標楷體" w:eastAsia="標楷體" w:hAnsi="標楷體" w:hint="eastAsia"/>
              </w:rPr>
              <w:t>4.111.12.15黨團協商。</w:t>
            </w:r>
          </w:p>
          <w:p w14:paraId="1E3D73CE"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sidRPr="003F67BF">
              <w:rPr>
                <w:rFonts w:ascii="標楷體" w:eastAsia="標楷體" w:hAnsi="標楷體" w:hint="eastAsia"/>
              </w:rPr>
              <w:t>院會</w:t>
            </w:r>
            <w:r w:rsidRPr="003F67BF">
              <w:rPr>
                <w:rFonts w:ascii="標楷體" w:eastAsia="標楷體" w:hAnsi="標楷體"/>
              </w:rPr>
              <w:t>111.12.16</w:t>
            </w:r>
            <w:r w:rsidRPr="00695ADD">
              <w:rPr>
                <w:rFonts w:ascii="標楷體" w:eastAsia="標楷體" w:hAnsi="標楷體" w:hint="eastAsia"/>
              </w:rPr>
              <w:t>（</w:t>
            </w:r>
            <w:r w:rsidRPr="003F67BF">
              <w:rPr>
                <w:rFonts w:ascii="標楷體" w:eastAsia="標楷體" w:hAnsi="標楷體"/>
              </w:rPr>
              <w:t>10-6-12</w:t>
            </w:r>
            <w:r>
              <w:rPr>
                <w:rFonts w:ascii="標楷體" w:eastAsia="標楷體" w:hAnsi="標楷體" w:hint="eastAsia"/>
              </w:rPr>
              <w:t>）</w:t>
            </w:r>
            <w:r w:rsidRPr="003F67BF">
              <w:rPr>
                <w:rFonts w:ascii="標楷體" w:eastAsia="標楷體" w:hAnsi="標楷體" w:hint="eastAsia"/>
              </w:rPr>
              <w:t>三讀制定公立學校教職員個人專戶制退休資遣撫卹條例</w:t>
            </w:r>
            <w:r>
              <w:rPr>
                <w:rFonts w:ascii="標楷體" w:eastAsia="標楷體" w:hAnsi="標楷體" w:hint="eastAsia"/>
              </w:rPr>
              <w:t>。</w:t>
            </w:r>
          </w:p>
        </w:tc>
      </w:tr>
      <w:tr w:rsidR="00421BB5" w:rsidRPr="00490FEE" w14:paraId="56FAF109" w14:textId="77777777" w:rsidTr="00421BB5">
        <w:trPr>
          <w:trHeight w:val="74"/>
        </w:trPr>
        <w:tc>
          <w:tcPr>
            <w:tcW w:w="709" w:type="dxa"/>
            <w:tcMar>
              <w:top w:w="85" w:type="dxa"/>
              <w:bottom w:w="85" w:type="dxa"/>
            </w:tcMar>
          </w:tcPr>
          <w:p w14:paraId="5BB098DF"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16</w:t>
            </w:r>
          </w:p>
        </w:tc>
        <w:tc>
          <w:tcPr>
            <w:tcW w:w="2127" w:type="dxa"/>
            <w:tcMar>
              <w:top w:w="85" w:type="dxa"/>
              <w:bottom w:w="85" w:type="dxa"/>
            </w:tcMar>
          </w:tcPr>
          <w:p w14:paraId="20E57B81"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公立學校教職員退休資遣撫卹條例第九十八條及第一百條條文修正草案</w:t>
            </w:r>
          </w:p>
        </w:tc>
        <w:tc>
          <w:tcPr>
            <w:tcW w:w="2268" w:type="dxa"/>
            <w:tcMar>
              <w:top w:w="85" w:type="dxa"/>
              <w:bottom w:w="85" w:type="dxa"/>
            </w:tcMar>
          </w:tcPr>
          <w:p w14:paraId="1EBFCB33"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Pr>
                <w:rFonts w:ascii="標楷體" w:eastAsia="標楷體" w:hAnsi="標楷體" w:hint="eastAsia"/>
                <w:color w:val="000000"/>
                <w:kern w:val="0"/>
              </w:rPr>
              <w:t>游毓蘭</w:t>
            </w:r>
            <w:r w:rsidRPr="00BD6230">
              <w:rPr>
                <w:rFonts w:ascii="標楷體" w:eastAsia="標楷體" w:hAnsi="標楷體" w:hint="eastAsia"/>
                <w:color w:val="000000"/>
                <w:kern w:val="0"/>
              </w:rPr>
              <w:t>等</w:t>
            </w:r>
            <w:r>
              <w:rPr>
                <w:rFonts w:ascii="標楷體" w:eastAsia="標楷體" w:hAnsi="標楷體" w:hint="eastAsia"/>
                <w:color w:val="000000"/>
                <w:kern w:val="0"/>
              </w:rPr>
              <w:t>17</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111.11.18</w:t>
            </w:r>
            <w:r w:rsidRPr="006719D5">
              <w:rPr>
                <w:rFonts w:ascii="標楷體" w:eastAsia="標楷體" w:hAnsi="標楷體" w:hint="eastAsia"/>
                <w:color w:val="000000"/>
                <w:kern w:val="0"/>
              </w:rPr>
              <w:t xml:space="preserve"> </w:t>
            </w:r>
          </w:p>
          <w:p w14:paraId="3EE31402"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10-6-8</w:t>
            </w:r>
            <w:r w:rsidRPr="006719D5">
              <w:rPr>
                <w:rFonts w:ascii="標楷體" w:eastAsia="標楷體" w:hAnsi="標楷體" w:hint="eastAsia"/>
                <w:color w:val="000000"/>
                <w:kern w:val="0"/>
              </w:rPr>
              <w:t>）</w:t>
            </w:r>
          </w:p>
        </w:tc>
        <w:tc>
          <w:tcPr>
            <w:tcW w:w="3685" w:type="dxa"/>
            <w:tcMar>
              <w:top w:w="85" w:type="dxa"/>
              <w:bottom w:w="85" w:type="dxa"/>
            </w:tcMar>
          </w:tcPr>
          <w:p w14:paraId="28835836"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111.11.18</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-8）逕付二讀</w:t>
            </w:r>
            <w:r w:rsidRPr="00695ADD">
              <w:rPr>
                <w:rFonts w:ascii="標楷體" w:eastAsia="標楷體" w:hAnsi="標楷體" w:hint="eastAsia"/>
              </w:rPr>
              <w:t>，與相關提案併案協商。</w:t>
            </w:r>
          </w:p>
          <w:p w14:paraId="51DBCE08"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0D2B3A">
              <w:rPr>
                <w:rFonts w:ascii="標楷體" w:eastAsia="標楷體" w:hAnsi="標楷體" w:hint="eastAsia"/>
              </w:rPr>
              <w:t>2.111.12.2黨團協商。</w:t>
            </w:r>
          </w:p>
          <w:p w14:paraId="787BEE8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101BAC">
              <w:rPr>
                <w:rFonts w:ascii="標楷體" w:eastAsia="標楷體" w:hAnsi="標楷體" w:hint="eastAsia"/>
              </w:rPr>
              <w:t>3.111.12.13黨團協商。</w:t>
            </w:r>
          </w:p>
          <w:p w14:paraId="4579D6C1"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sidRPr="00545964">
              <w:rPr>
                <w:rFonts w:ascii="標楷體" w:eastAsia="標楷體" w:hAnsi="標楷體" w:hint="eastAsia"/>
              </w:rPr>
              <w:t>4.111.12.15黨團協商。</w:t>
            </w:r>
          </w:p>
          <w:p w14:paraId="6E3088BF"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sidRPr="005B313F">
              <w:rPr>
                <w:rFonts w:ascii="標楷體" w:eastAsia="標楷體" w:hAnsi="標楷體" w:hint="eastAsia"/>
              </w:rPr>
              <w:t>院會</w:t>
            </w:r>
            <w:r w:rsidRPr="005B313F">
              <w:rPr>
                <w:rFonts w:ascii="標楷體" w:eastAsia="標楷體" w:hAnsi="標楷體"/>
              </w:rPr>
              <w:t>111.12.16</w:t>
            </w:r>
            <w:r w:rsidRPr="00695ADD">
              <w:rPr>
                <w:rFonts w:ascii="標楷體" w:eastAsia="標楷體" w:hAnsi="標楷體" w:hint="eastAsia"/>
              </w:rPr>
              <w:t>（</w:t>
            </w:r>
            <w:r w:rsidRPr="005B313F">
              <w:rPr>
                <w:rFonts w:ascii="標楷體" w:eastAsia="標楷體" w:hAnsi="標楷體"/>
              </w:rPr>
              <w:t>10-6-12</w:t>
            </w:r>
            <w:r>
              <w:rPr>
                <w:rFonts w:ascii="標楷體" w:eastAsia="標楷體" w:hAnsi="標楷體" w:hint="eastAsia"/>
              </w:rPr>
              <w:t>）</w:t>
            </w:r>
            <w:r w:rsidRPr="005B313F">
              <w:rPr>
                <w:rFonts w:ascii="標楷體" w:eastAsia="標楷體" w:hAnsi="標楷體" w:hint="eastAsia"/>
              </w:rPr>
              <w:t>三讀修正第九十八條及第一百條條文</w:t>
            </w:r>
            <w:r>
              <w:rPr>
                <w:rFonts w:ascii="標楷體" w:eastAsia="標楷體" w:hAnsi="標楷體" w:hint="eastAsia"/>
              </w:rPr>
              <w:t>。</w:t>
            </w:r>
          </w:p>
        </w:tc>
      </w:tr>
      <w:tr w:rsidR="00421BB5" w:rsidRPr="00490FEE" w14:paraId="1BB98E89" w14:textId="77777777" w:rsidTr="00421BB5">
        <w:trPr>
          <w:trHeight w:val="74"/>
        </w:trPr>
        <w:tc>
          <w:tcPr>
            <w:tcW w:w="709" w:type="dxa"/>
            <w:tcMar>
              <w:top w:w="85" w:type="dxa"/>
              <w:bottom w:w="85" w:type="dxa"/>
            </w:tcMar>
          </w:tcPr>
          <w:p w14:paraId="73FDC49A"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17</w:t>
            </w:r>
          </w:p>
        </w:tc>
        <w:tc>
          <w:tcPr>
            <w:tcW w:w="2127" w:type="dxa"/>
            <w:tcMar>
              <w:top w:w="85" w:type="dxa"/>
              <w:bottom w:w="85" w:type="dxa"/>
            </w:tcMar>
          </w:tcPr>
          <w:p w14:paraId="696C3C15" w14:textId="77777777" w:rsidR="00421BB5" w:rsidRPr="00AA58FB" w:rsidRDefault="00421BB5" w:rsidP="00F7741E">
            <w:pPr>
              <w:kinsoku w:val="0"/>
              <w:adjustRightInd w:val="0"/>
              <w:snapToGrid w:val="0"/>
              <w:spacing w:line="260" w:lineRule="exact"/>
              <w:rPr>
                <w:rFonts w:ascii="標楷體" w:eastAsia="標楷體" w:hAnsi="標楷體"/>
              </w:rPr>
            </w:pPr>
            <w:r w:rsidRPr="00AA58FB">
              <w:rPr>
                <w:rFonts w:ascii="標楷體" w:eastAsia="標楷體" w:hAnsi="標楷體" w:hint="eastAsia"/>
              </w:rPr>
              <w:t>中華民國刑法增訂第三百十九條之一條文草案</w:t>
            </w:r>
          </w:p>
        </w:tc>
        <w:tc>
          <w:tcPr>
            <w:tcW w:w="2268" w:type="dxa"/>
            <w:tcMar>
              <w:top w:w="85" w:type="dxa"/>
              <w:bottom w:w="85" w:type="dxa"/>
            </w:tcMar>
          </w:tcPr>
          <w:p w14:paraId="7849E072"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sidRPr="00857E14">
              <w:rPr>
                <w:rFonts w:ascii="標楷體" w:eastAsia="標楷體" w:hAnsi="標楷體" w:hint="eastAsia"/>
                <w:color w:val="000000"/>
                <w:kern w:val="0"/>
              </w:rPr>
              <w:t>范雲等20</w:t>
            </w:r>
            <w:r w:rsidRPr="00BD6230">
              <w:rPr>
                <w:rFonts w:ascii="標楷體" w:eastAsia="標楷體" w:hAnsi="標楷體" w:hint="eastAsia"/>
                <w:color w:val="000000"/>
                <w:kern w:val="0"/>
              </w:rPr>
              <w:t>人</w:t>
            </w:r>
            <w:r>
              <w:rPr>
                <w:rFonts w:ascii="標楷體" w:eastAsia="標楷體" w:hAnsi="標楷體" w:hint="eastAsia"/>
                <w:color w:val="000000"/>
                <w:kern w:val="0"/>
              </w:rPr>
              <w:t xml:space="preserve"> 111.11.18</w:t>
            </w:r>
            <w:r w:rsidRPr="006719D5">
              <w:rPr>
                <w:rFonts w:ascii="標楷體" w:eastAsia="標楷體" w:hAnsi="標楷體" w:hint="eastAsia"/>
                <w:color w:val="000000"/>
                <w:kern w:val="0"/>
              </w:rPr>
              <w:t xml:space="preserve"> </w:t>
            </w:r>
          </w:p>
          <w:p w14:paraId="4534680E"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10-6-8</w:t>
            </w:r>
            <w:r w:rsidRPr="006719D5">
              <w:rPr>
                <w:rFonts w:ascii="標楷體" w:eastAsia="標楷體" w:hAnsi="標楷體" w:hint="eastAsia"/>
                <w:color w:val="000000"/>
                <w:kern w:val="0"/>
              </w:rPr>
              <w:t>）</w:t>
            </w:r>
          </w:p>
        </w:tc>
        <w:tc>
          <w:tcPr>
            <w:tcW w:w="3685" w:type="dxa"/>
            <w:tcMar>
              <w:top w:w="85" w:type="dxa"/>
              <w:bottom w:w="85" w:type="dxa"/>
            </w:tcMar>
          </w:tcPr>
          <w:p w14:paraId="0688B7A2"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695ADD">
              <w:rPr>
                <w:rFonts w:ascii="標楷體" w:eastAsia="標楷體" w:hAnsi="標楷體" w:hint="eastAsia"/>
              </w:rPr>
              <w:t>院會</w:t>
            </w:r>
            <w:r>
              <w:rPr>
                <w:rFonts w:ascii="標楷體" w:eastAsia="標楷體" w:hAnsi="標楷體" w:hint="eastAsia"/>
              </w:rPr>
              <w:t>111.11.18</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-8）逕付二讀</w:t>
            </w:r>
            <w:r w:rsidRPr="00695ADD">
              <w:rPr>
                <w:rFonts w:ascii="標楷體" w:eastAsia="標楷體" w:hAnsi="標楷體" w:hint="eastAsia"/>
              </w:rPr>
              <w:t>，與相關提案併案協商。</w:t>
            </w:r>
          </w:p>
          <w:p w14:paraId="45F96D76"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F457FD">
              <w:rPr>
                <w:rFonts w:ascii="標楷體" w:eastAsia="標楷體" w:hAnsi="標楷體" w:hint="eastAsia"/>
              </w:rPr>
              <w:t>.111.12.22黨團協商。</w:t>
            </w:r>
          </w:p>
          <w:p w14:paraId="0CE916C5"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sidRPr="00476050">
              <w:rPr>
                <w:rFonts w:ascii="標楷體" w:eastAsia="標楷體" w:hAnsi="標楷體" w:hint="eastAsia"/>
              </w:rPr>
              <w:t>.112.1.4黨團協商。</w:t>
            </w:r>
          </w:p>
          <w:p w14:paraId="651B414E"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4</w:t>
            </w:r>
            <w:r w:rsidRPr="00DC0293">
              <w:rPr>
                <w:rFonts w:ascii="標楷體" w:eastAsia="標楷體" w:hAnsi="標楷體" w:hint="eastAsia"/>
              </w:rPr>
              <w:t>.112.1.5黨團協商。</w:t>
            </w:r>
          </w:p>
          <w:p w14:paraId="61A540F3"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sidRPr="00AC6D74">
              <w:rPr>
                <w:rFonts w:ascii="標楷體" w:eastAsia="標楷體" w:hAnsi="標楷體" w:hint="eastAsia"/>
              </w:rPr>
              <w:t>.院會112.1.7</w:t>
            </w:r>
            <w:r w:rsidRPr="00695ADD">
              <w:rPr>
                <w:rFonts w:ascii="標楷體" w:eastAsia="標楷體" w:hAnsi="標楷體" w:hint="eastAsia"/>
              </w:rPr>
              <w:t>（</w:t>
            </w:r>
            <w:r w:rsidRPr="00AC6D74">
              <w:rPr>
                <w:rFonts w:ascii="標楷體" w:eastAsia="標楷體" w:hAnsi="標楷體" w:hint="eastAsia"/>
              </w:rPr>
              <w:t>10-6-14</w:t>
            </w:r>
            <w:r>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增訂第二十八章之一章名及第三百十九條之一至第三百十九條之六條文；並修正第十條及第九十一條之一條文。</w:t>
            </w:r>
          </w:p>
        </w:tc>
      </w:tr>
      <w:tr w:rsidR="00421BB5" w:rsidRPr="00490FEE" w14:paraId="484A8D5A" w14:textId="77777777" w:rsidTr="00421BB5">
        <w:trPr>
          <w:trHeight w:val="74"/>
        </w:trPr>
        <w:tc>
          <w:tcPr>
            <w:tcW w:w="709" w:type="dxa"/>
            <w:tcMar>
              <w:top w:w="85" w:type="dxa"/>
              <w:bottom w:w="85" w:type="dxa"/>
            </w:tcMar>
          </w:tcPr>
          <w:p w14:paraId="389DD298"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18</w:t>
            </w:r>
          </w:p>
        </w:tc>
        <w:tc>
          <w:tcPr>
            <w:tcW w:w="2127" w:type="dxa"/>
            <w:tcMar>
              <w:top w:w="85" w:type="dxa"/>
              <w:bottom w:w="85" w:type="dxa"/>
            </w:tcMar>
          </w:tcPr>
          <w:p w14:paraId="19A4ED3C" w14:textId="77777777" w:rsidR="00421BB5" w:rsidRPr="00AA58FB" w:rsidRDefault="00421BB5" w:rsidP="00F7741E">
            <w:pPr>
              <w:kinsoku w:val="0"/>
              <w:adjustRightInd w:val="0"/>
              <w:snapToGrid w:val="0"/>
              <w:spacing w:line="260" w:lineRule="exact"/>
              <w:rPr>
                <w:rFonts w:ascii="標楷體" w:eastAsia="標楷體" w:hAnsi="標楷體"/>
              </w:rPr>
            </w:pPr>
            <w:r w:rsidRPr="00853CC4">
              <w:rPr>
                <w:rFonts w:ascii="標楷體" w:eastAsia="標楷體" w:hAnsi="標楷體" w:hint="eastAsia"/>
              </w:rPr>
              <w:t>公立學校教職員退休資遣撫卹條例第九十八條及第一百條條文修正草案</w:t>
            </w:r>
          </w:p>
        </w:tc>
        <w:tc>
          <w:tcPr>
            <w:tcW w:w="2268" w:type="dxa"/>
            <w:tcMar>
              <w:top w:w="85" w:type="dxa"/>
              <w:bottom w:w="85" w:type="dxa"/>
            </w:tcMar>
          </w:tcPr>
          <w:p w14:paraId="672DCC5E" w14:textId="77777777" w:rsidR="00421BB5" w:rsidRPr="006719D5" w:rsidRDefault="00421BB5" w:rsidP="00F7741E">
            <w:pPr>
              <w:kinsoku w:val="0"/>
              <w:spacing w:line="300" w:lineRule="exact"/>
              <w:rPr>
                <w:rFonts w:ascii="標楷體" w:eastAsia="標楷體" w:hAnsi="標楷體"/>
                <w:color w:val="000000"/>
                <w:kern w:val="0"/>
              </w:rPr>
            </w:pPr>
            <w:r w:rsidRPr="00853CC4">
              <w:rPr>
                <w:rFonts w:ascii="標楷體" w:eastAsia="標楷體" w:hAnsi="標楷體" w:hint="eastAsia"/>
                <w:color w:val="000000"/>
                <w:kern w:val="0"/>
              </w:rPr>
              <w:t>委員林奕華等16人</w:t>
            </w:r>
            <w:r>
              <w:rPr>
                <w:rFonts w:ascii="標楷體" w:eastAsia="標楷體" w:hAnsi="標楷體" w:hint="eastAsia"/>
                <w:color w:val="000000"/>
                <w:kern w:val="0"/>
              </w:rPr>
              <w:t xml:space="preserve"> 111.12.09</w:t>
            </w:r>
            <w:r w:rsidRPr="006719D5">
              <w:rPr>
                <w:rFonts w:ascii="標楷體" w:eastAsia="標楷體" w:hAnsi="標楷體" w:hint="eastAsia"/>
                <w:color w:val="000000"/>
                <w:kern w:val="0"/>
              </w:rPr>
              <w:t xml:space="preserve"> </w:t>
            </w:r>
          </w:p>
          <w:p w14:paraId="63062D7B"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10-6-11</w:t>
            </w:r>
            <w:r w:rsidRPr="006719D5">
              <w:rPr>
                <w:rFonts w:ascii="標楷體" w:eastAsia="標楷體" w:hAnsi="標楷體" w:hint="eastAsia"/>
                <w:color w:val="000000"/>
                <w:kern w:val="0"/>
              </w:rPr>
              <w:t>）</w:t>
            </w:r>
          </w:p>
        </w:tc>
        <w:tc>
          <w:tcPr>
            <w:tcW w:w="3685" w:type="dxa"/>
            <w:tcMar>
              <w:top w:w="85" w:type="dxa"/>
              <w:bottom w:w="85" w:type="dxa"/>
            </w:tcMar>
          </w:tcPr>
          <w:p w14:paraId="7F0BA0C5"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695ADD">
              <w:rPr>
                <w:rFonts w:ascii="標楷體" w:eastAsia="標楷體" w:hAnsi="標楷體" w:hint="eastAsia"/>
              </w:rPr>
              <w:t>院會</w:t>
            </w:r>
            <w:r>
              <w:rPr>
                <w:rFonts w:ascii="標楷體" w:eastAsia="標楷體" w:hAnsi="標楷體" w:hint="eastAsia"/>
              </w:rPr>
              <w:t>111.12.09</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-11）逕付二讀</w:t>
            </w:r>
            <w:r w:rsidRPr="00695ADD">
              <w:rPr>
                <w:rFonts w:ascii="標楷體" w:eastAsia="標楷體" w:hAnsi="標楷體" w:hint="eastAsia"/>
              </w:rPr>
              <w:t>，與相關提案併案協商。</w:t>
            </w:r>
          </w:p>
          <w:p w14:paraId="7C23A4A4"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101BAC">
              <w:rPr>
                <w:rFonts w:ascii="標楷體" w:eastAsia="標楷體" w:hAnsi="標楷體" w:hint="eastAsia"/>
              </w:rPr>
              <w:t>.111.12.13黨團協商。</w:t>
            </w:r>
          </w:p>
          <w:p w14:paraId="7E702A2D"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545964">
              <w:rPr>
                <w:rFonts w:ascii="標楷體" w:eastAsia="標楷體" w:hAnsi="標楷體" w:hint="eastAsia"/>
              </w:rPr>
              <w:t>.111.12.15黨團協商。</w:t>
            </w:r>
          </w:p>
          <w:p w14:paraId="300EF144" w14:textId="77777777" w:rsidR="00421BB5" w:rsidRPr="00695ADD"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4</w:t>
            </w:r>
            <w:r w:rsidRPr="002A2E25">
              <w:rPr>
                <w:rFonts w:ascii="標楷體" w:eastAsia="標楷體" w:hAnsi="標楷體" w:hint="eastAsia"/>
              </w:rPr>
              <w:t>.院會111.12.16</w:t>
            </w:r>
            <w:r w:rsidRPr="00695ADD">
              <w:rPr>
                <w:rFonts w:ascii="標楷體" w:eastAsia="標楷體" w:hAnsi="標楷體" w:hint="eastAsia"/>
              </w:rPr>
              <w:t>（</w:t>
            </w:r>
            <w:r w:rsidRPr="002A2E25">
              <w:rPr>
                <w:rFonts w:ascii="標楷體" w:eastAsia="標楷體" w:hAnsi="標楷體" w:hint="eastAsia"/>
              </w:rPr>
              <w:t>10-6-12</w:t>
            </w:r>
            <w:r>
              <w:rPr>
                <w:rFonts w:ascii="標楷體" w:eastAsia="標楷體" w:hAnsi="標楷體" w:hint="eastAsia"/>
              </w:rPr>
              <w:t>）</w:t>
            </w:r>
            <w:r w:rsidRPr="002A2E25">
              <w:rPr>
                <w:rFonts w:ascii="標楷體" w:eastAsia="標楷體" w:hAnsi="標楷體" w:hint="eastAsia"/>
              </w:rPr>
              <w:t>三讀修正第九十八條及第一百條條文。</w:t>
            </w:r>
          </w:p>
        </w:tc>
      </w:tr>
      <w:tr w:rsidR="00421BB5" w:rsidRPr="00490FEE" w14:paraId="75BA0003" w14:textId="77777777" w:rsidTr="00421BB5">
        <w:trPr>
          <w:trHeight w:val="74"/>
        </w:trPr>
        <w:tc>
          <w:tcPr>
            <w:tcW w:w="709" w:type="dxa"/>
            <w:tcMar>
              <w:top w:w="85" w:type="dxa"/>
              <w:bottom w:w="85" w:type="dxa"/>
            </w:tcMar>
          </w:tcPr>
          <w:p w14:paraId="6F1D92C1"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19</w:t>
            </w:r>
          </w:p>
        </w:tc>
        <w:tc>
          <w:tcPr>
            <w:tcW w:w="2127" w:type="dxa"/>
            <w:tcMar>
              <w:top w:w="85" w:type="dxa"/>
              <w:bottom w:w="85" w:type="dxa"/>
            </w:tcMar>
          </w:tcPr>
          <w:p w14:paraId="5C93E6E1" w14:textId="77777777" w:rsidR="00421BB5" w:rsidRPr="00AA58FB" w:rsidRDefault="00421BB5" w:rsidP="00F7741E">
            <w:pPr>
              <w:kinsoku w:val="0"/>
              <w:adjustRightInd w:val="0"/>
              <w:snapToGrid w:val="0"/>
              <w:spacing w:line="260" w:lineRule="exact"/>
              <w:rPr>
                <w:rFonts w:ascii="標楷體" w:eastAsia="標楷體" w:hAnsi="標楷體"/>
              </w:rPr>
            </w:pPr>
            <w:r w:rsidRPr="00C30204">
              <w:rPr>
                <w:rFonts w:ascii="標楷體" w:eastAsia="標楷體" w:hAnsi="標楷體" w:hint="eastAsia"/>
              </w:rPr>
              <w:t>學校法人及其所屬私立學校教職員退休撫卹離職資遣條例第八條條文修正草案</w:t>
            </w:r>
          </w:p>
        </w:tc>
        <w:tc>
          <w:tcPr>
            <w:tcW w:w="2268" w:type="dxa"/>
            <w:tcMar>
              <w:top w:w="85" w:type="dxa"/>
              <w:bottom w:w="85" w:type="dxa"/>
            </w:tcMar>
          </w:tcPr>
          <w:p w14:paraId="310D2DD1" w14:textId="77777777" w:rsidR="00421BB5" w:rsidRPr="006719D5" w:rsidRDefault="00421BB5" w:rsidP="00F7741E">
            <w:pPr>
              <w:kinsoku w:val="0"/>
              <w:spacing w:line="300" w:lineRule="exact"/>
              <w:rPr>
                <w:rFonts w:ascii="標楷體" w:eastAsia="標楷體" w:hAnsi="標楷體"/>
                <w:color w:val="000000"/>
                <w:kern w:val="0"/>
              </w:rPr>
            </w:pPr>
            <w:r w:rsidRPr="00C30204">
              <w:rPr>
                <w:rFonts w:ascii="標楷體" w:eastAsia="標楷體" w:hAnsi="標楷體" w:hint="eastAsia"/>
                <w:color w:val="000000"/>
                <w:kern w:val="0"/>
              </w:rPr>
              <w:t>時代力量黨團</w:t>
            </w:r>
            <w:r>
              <w:rPr>
                <w:rFonts w:ascii="標楷體" w:eastAsia="標楷體" w:hAnsi="標楷體" w:hint="eastAsia"/>
                <w:color w:val="000000"/>
                <w:kern w:val="0"/>
              </w:rPr>
              <w:t xml:space="preserve"> 111.12.09</w:t>
            </w:r>
            <w:r w:rsidRPr="006719D5">
              <w:rPr>
                <w:rFonts w:ascii="標楷體" w:eastAsia="標楷體" w:hAnsi="標楷體" w:hint="eastAsia"/>
                <w:color w:val="000000"/>
                <w:kern w:val="0"/>
              </w:rPr>
              <w:t xml:space="preserve"> </w:t>
            </w:r>
          </w:p>
          <w:p w14:paraId="61A369DD" w14:textId="77777777" w:rsidR="00421BB5" w:rsidRPr="00BD6230"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10-6-11</w:t>
            </w:r>
            <w:r w:rsidRPr="006719D5">
              <w:rPr>
                <w:rFonts w:ascii="標楷體" w:eastAsia="標楷體" w:hAnsi="標楷體" w:hint="eastAsia"/>
                <w:color w:val="000000"/>
                <w:kern w:val="0"/>
              </w:rPr>
              <w:t>）</w:t>
            </w:r>
          </w:p>
        </w:tc>
        <w:tc>
          <w:tcPr>
            <w:tcW w:w="3685" w:type="dxa"/>
            <w:tcMar>
              <w:top w:w="85" w:type="dxa"/>
              <w:bottom w:w="85" w:type="dxa"/>
            </w:tcMar>
          </w:tcPr>
          <w:p w14:paraId="5521334D" w14:textId="77777777" w:rsidR="00421BB5" w:rsidRPr="00695ADD" w:rsidRDefault="00421BB5" w:rsidP="00F7741E">
            <w:pPr>
              <w:kinsoku w:val="0"/>
              <w:adjustRightInd w:val="0"/>
              <w:snapToGrid w:val="0"/>
              <w:spacing w:line="260" w:lineRule="exact"/>
              <w:rPr>
                <w:rFonts w:ascii="標楷體" w:eastAsia="標楷體" w:hAnsi="標楷體"/>
              </w:rPr>
            </w:pPr>
            <w:r w:rsidRPr="00695ADD">
              <w:rPr>
                <w:rFonts w:ascii="標楷體" w:eastAsia="標楷體" w:hAnsi="標楷體" w:hint="eastAsia"/>
              </w:rPr>
              <w:t>院會</w:t>
            </w:r>
            <w:r>
              <w:rPr>
                <w:rFonts w:ascii="標楷體" w:eastAsia="標楷體" w:hAnsi="標楷體" w:hint="eastAsia"/>
              </w:rPr>
              <w:t>111.12.09</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-11）逕付二讀</w:t>
            </w:r>
            <w:r w:rsidRPr="00695ADD">
              <w:rPr>
                <w:rFonts w:ascii="標楷體" w:eastAsia="標楷體" w:hAnsi="標楷體" w:hint="eastAsia"/>
              </w:rPr>
              <w:t>，與相關提案併案協商。</w:t>
            </w:r>
          </w:p>
        </w:tc>
      </w:tr>
      <w:tr w:rsidR="00421BB5" w:rsidRPr="00490FEE" w14:paraId="7A60F3DB" w14:textId="77777777" w:rsidTr="00421BB5">
        <w:trPr>
          <w:trHeight w:val="74"/>
        </w:trPr>
        <w:tc>
          <w:tcPr>
            <w:tcW w:w="709" w:type="dxa"/>
            <w:tcMar>
              <w:top w:w="85" w:type="dxa"/>
              <w:bottom w:w="85" w:type="dxa"/>
            </w:tcMar>
          </w:tcPr>
          <w:p w14:paraId="7B9F7AA2"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20</w:t>
            </w:r>
          </w:p>
        </w:tc>
        <w:tc>
          <w:tcPr>
            <w:tcW w:w="2127" w:type="dxa"/>
            <w:tcMar>
              <w:top w:w="85" w:type="dxa"/>
              <w:bottom w:w="85" w:type="dxa"/>
            </w:tcMar>
          </w:tcPr>
          <w:p w14:paraId="30308952" w14:textId="77777777" w:rsidR="00421BB5" w:rsidRPr="00D24A31" w:rsidRDefault="00421BB5" w:rsidP="00F7741E">
            <w:pPr>
              <w:kinsoku w:val="0"/>
              <w:adjustRightInd w:val="0"/>
              <w:snapToGrid w:val="0"/>
              <w:spacing w:line="260" w:lineRule="exact"/>
              <w:rPr>
                <w:rFonts w:ascii="標楷體" w:eastAsia="標楷體" w:hAnsi="標楷體"/>
              </w:rPr>
            </w:pPr>
            <w:r w:rsidRPr="00100A8B">
              <w:rPr>
                <w:rFonts w:ascii="標楷體" w:eastAsia="標楷體" w:hAnsi="標楷體" w:hint="eastAsia"/>
              </w:rPr>
              <w:t>犯罪被害人保護法第二十九條之一條文修正草案</w:t>
            </w:r>
          </w:p>
        </w:tc>
        <w:tc>
          <w:tcPr>
            <w:tcW w:w="2268" w:type="dxa"/>
            <w:tcMar>
              <w:top w:w="85" w:type="dxa"/>
              <w:bottom w:w="85" w:type="dxa"/>
            </w:tcMar>
          </w:tcPr>
          <w:p w14:paraId="5110DAFE" w14:textId="77777777" w:rsidR="00421BB5" w:rsidRDefault="00421BB5" w:rsidP="00F7741E">
            <w:pPr>
              <w:kinsoku w:val="0"/>
              <w:adjustRightInd w:val="0"/>
              <w:snapToGrid w:val="0"/>
              <w:spacing w:line="260" w:lineRule="exact"/>
              <w:rPr>
                <w:rFonts w:ascii="標楷體" w:eastAsia="標楷體" w:hAnsi="標楷體"/>
              </w:rPr>
            </w:pPr>
            <w:r w:rsidRPr="00695ADD">
              <w:rPr>
                <w:rFonts w:ascii="標楷體" w:eastAsia="標楷體" w:hAnsi="標楷體" w:hint="eastAsia"/>
              </w:rPr>
              <w:t>委員</w:t>
            </w:r>
            <w:r w:rsidRPr="00100A8B">
              <w:rPr>
                <w:rFonts w:ascii="標楷體" w:eastAsia="標楷體" w:hAnsi="標楷體" w:hint="eastAsia"/>
              </w:rPr>
              <w:t>林宜瑾等17人</w:t>
            </w:r>
            <w:r>
              <w:rPr>
                <w:rFonts w:ascii="標楷體" w:eastAsia="標楷體" w:hAnsi="標楷體" w:hint="eastAsia"/>
              </w:rPr>
              <w:t xml:space="preserve"> </w:t>
            </w:r>
            <w:r>
              <w:rPr>
                <w:rFonts w:ascii="標楷體" w:eastAsia="標楷體" w:hAnsi="標楷體"/>
              </w:rPr>
              <w:t>1</w:t>
            </w:r>
            <w:r>
              <w:rPr>
                <w:rFonts w:ascii="標楷體" w:eastAsia="標楷體" w:hAnsi="標楷體" w:hint="eastAsia"/>
              </w:rPr>
              <w:t>11</w:t>
            </w:r>
            <w:r w:rsidRPr="00695ADD">
              <w:rPr>
                <w:rFonts w:ascii="標楷體" w:eastAsia="標楷體" w:hAnsi="標楷體" w:hint="eastAsia"/>
              </w:rPr>
              <w:t>.</w:t>
            </w:r>
            <w:r>
              <w:rPr>
                <w:rFonts w:ascii="標楷體" w:eastAsia="標楷體" w:hAnsi="標楷體" w:hint="eastAsia"/>
              </w:rPr>
              <w:t>12.23</w:t>
            </w:r>
            <w:r>
              <w:rPr>
                <w:rFonts w:ascii="標楷體" w:eastAsia="標楷體" w:hAnsi="標楷體"/>
              </w:rPr>
              <w:t xml:space="preserve"> </w:t>
            </w:r>
          </w:p>
          <w:p w14:paraId="0EAE11B3" w14:textId="77777777" w:rsidR="00421BB5" w:rsidRPr="00D24A31" w:rsidRDefault="00421BB5" w:rsidP="00F7741E">
            <w:pPr>
              <w:kinsoku w:val="0"/>
              <w:adjustRightInd w:val="0"/>
              <w:snapToGrid w:val="0"/>
              <w:spacing w:line="26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10-6-13</w:t>
            </w:r>
            <w:r w:rsidRPr="00B019ED">
              <w:rPr>
                <w:rFonts w:ascii="標楷體" w:eastAsia="標楷體" w:hAnsi="標楷體" w:hint="eastAsia"/>
              </w:rPr>
              <w:t>）</w:t>
            </w:r>
          </w:p>
        </w:tc>
        <w:tc>
          <w:tcPr>
            <w:tcW w:w="3685" w:type="dxa"/>
            <w:tcMar>
              <w:top w:w="85" w:type="dxa"/>
              <w:bottom w:w="85" w:type="dxa"/>
            </w:tcMar>
          </w:tcPr>
          <w:p w14:paraId="46E9C82F" w14:textId="77777777" w:rsidR="00421BB5"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rPr>
              <w:t>1.</w:t>
            </w:r>
            <w:r w:rsidRPr="00476050">
              <w:rPr>
                <w:rFonts w:ascii="標楷體" w:eastAsia="標楷體" w:hAnsi="標楷體" w:hint="eastAsia"/>
              </w:rPr>
              <w:t>院會111.12.23（10-6-13）逕付二讀，與相關提案併案協商。</w:t>
            </w:r>
          </w:p>
          <w:p w14:paraId="11B189D8" w14:textId="77777777" w:rsidR="00421BB5" w:rsidRDefault="00421BB5" w:rsidP="00F7741E">
            <w:pPr>
              <w:kinsoku w:val="0"/>
              <w:adjustRightInd w:val="0"/>
              <w:snapToGrid w:val="0"/>
              <w:spacing w:line="260" w:lineRule="exact"/>
              <w:rPr>
                <w:rFonts w:ascii="標楷體" w:eastAsia="標楷體" w:hAnsi="標楷體"/>
              </w:rPr>
            </w:pPr>
            <w:r>
              <w:rPr>
                <w:rFonts w:ascii="標楷體" w:eastAsia="標楷體" w:hAnsi="標楷體"/>
              </w:rPr>
              <w:t>2</w:t>
            </w:r>
            <w:r w:rsidRPr="00476050">
              <w:rPr>
                <w:rFonts w:ascii="標楷體" w:eastAsia="標楷體" w:hAnsi="標楷體" w:hint="eastAsia"/>
              </w:rPr>
              <w:t>.112.1.4黨團協商。</w:t>
            </w:r>
          </w:p>
          <w:p w14:paraId="6301E3FB" w14:textId="77777777" w:rsidR="00421BB5" w:rsidRDefault="00421BB5" w:rsidP="00F7741E">
            <w:pPr>
              <w:kinsoku w:val="0"/>
              <w:adjustRightInd w:val="0"/>
              <w:snapToGrid w:val="0"/>
              <w:spacing w:line="260" w:lineRule="exact"/>
              <w:rPr>
                <w:rFonts w:ascii="標楷體" w:eastAsia="標楷體" w:hAnsi="標楷體"/>
              </w:rPr>
            </w:pPr>
            <w:r w:rsidRPr="00DC0293">
              <w:rPr>
                <w:rFonts w:ascii="標楷體" w:eastAsia="標楷體" w:hAnsi="標楷體" w:hint="eastAsia"/>
              </w:rPr>
              <w:t>3.112.1.5黨團協商。</w:t>
            </w:r>
          </w:p>
          <w:p w14:paraId="5A93FD15" w14:textId="77777777" w:rsidR="00421BB5" w:rsidRPr="00073D36" w:rsidRDefault="00421BB5" w:rsidP="00F7741E">
            <w:pPr>
              <w:kinsoku w:val="0"/>
              <w:adjustRightInd w:val="0"/>
              <w:snapToGrid w:val="0"/>
              <w:spacing w:line="260" w:lineRule="exact"/>
              <w:ind w:left="240" w:hangingChars="100" w:hanging="240"/>
              <w:rPr>
                <w:rFonts w:ascii="標楷體" w:eastAsia="標楷體" w:hAnsi="標楷體"/>
              </w:rPr>
            </w:pPr>
            <w:r>
              <w:rPr>
                <w:rFonts w:ascii="標楷體" w:eastAsia="標楷體" w:hAnsi="標楷體" w:hint="eastAsia"/>
              </w:rPr>
              <w:t>4</w:t>
            </w:r>
            <w:r w:rsidRPr="00AC6D74">
              <w:rPr>
                <w:rFonts w:ascii="標楷體" w:eastAsia="標楷體" w:hAnsi="標楷體" w:hint="eastAsia"/>
              </w:rPr>
              <w:t>.院會112.1.7</w:t>
            </w:r>
            <w:r w:rsidRPr="00695ADD">
              <w:rPr>
                <w:rFonts w:ascii="標楷體" w:eastAsia="標楷體" w:hAnsi="標楷體" w:hint="eastAsia"/>
              </w:rPr>
              <w:t>（</w:t>
            </w:r>
            <w:r w:rsidRPr="00AC6D74">
              <w:rPr>
                <w:rFonts w:ascii="標楷體" w:eastAsia="標楷體" w:hAnsi="標楷體" w:hint="eastAsia"/>
              </w:rPr>
              <w:t>10-6-14</w:t>
            </w:r>
            <w:r w:rsidRPr="00476050">
              <w:rPr>
                <w:rFonts w:ascii="標楷體" w:eastAsia="標楷體" w:hAnsi="標楷體" w:hint="eastAsia"/>
              </w:rPr>
              <w:t>）</w:t>
            </w:r>
            <w:r w:rsidRPr="00AC6D74">
              <w:rPr>
                <w:rFonts w:ascii="標楷體" w:eastAsia="標楷體" w:hAnsi="標楷體" w:hint="eastAsia"/>
              </w:rPr>
              <w:t>三讀</w:t>
            </w:r>
            <w:r w:rsidRPr="00F25FD7">
              <w:rPr>
                <w:rFonts w:ascii="標楷體" w:eastAsia="標楷體" w:hAnsi="標楷體" w:hint="eastAsia"/>
              </w:rPr>
              <w:t>名稱修正為「犯罪被害人權益保障法」；並修正全文</w:t>
            </w:r>
            <w:r>
              <w:rPr>
                <w:rFonts w:ascii="標楷體" w:eastAsia="標楷體" w:hAnsi="標楷體" w:hint="eastAsia"/>
              </w:rPr>
              <w:t>。</w:t>
            </w:r>
          </w:p>
        </w:tc>
      </w:tr>
      <w:tr w:rsidR="00421BB5" w:rsidRPr="00490FEE" w14:paraId="67635261" w14:textId="77777777" w:rsidTr="00421BB5">
        <w:trPr>
          <w:trHeight w:val="74"/>
        </w:trPr>
        <w:tc>
          <w:tcPr>
            <w:tcW w:w="709" w:type="dxa"/>
            <w:tcMar>
              <w:top w:w="85" w:type="dxa"/>
              <w:bottom w:w="85" w:type="dxa"/>
            </w:tcMar>
          </w:tcPr>
          <w:p w14:paraId="7478019B" w14:textId="77777777" w:rsidR="00421BB5" w:rsidRDefault="00421BB5" w:rsidP="00F7741E">
            <w:pPr>
              <w:kinsoku w:val="0"/>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21</w:t>
            </w:r>
          </w:p>
        </w:tc>
        <w:tc>
          <w:tcPr>
            <w:tcW w:w="2127" w:type="dxa"/>
            <w:tcMar>
              <w:top w:w="85" w:type="dxa"/>
              <w:bottom w:w="85" w:type="dxa"/>
            </w:tcMar>
          </w:tcPr>
          <w:p w14:paraId="3AE28AA0" w14:textId="77777777" w:rsidR="00421BB5" w:rsidRPr="00C30204" w:rsidRDefault="00421BB5" w:rsidP="00F7741E">
            <w:pPr>
              <w:kinsoku w:val="0"/>
              <w:adjustRightInd w:val="0"/>
              <w:snapToGrid w:val="0"/>
              <w:spacing w:line="260" w:lineRule="exact"/>
              <w:rPr>
                <w:rFonts w:ascii="標楷體" w:eastAsia="標楷體" w:hAnsi="標楷體"/>
              </w:rPr>
            </w:pPr>
            <w:r w:rsidRPr="00D43358">
              <w:rPr>
                <w:rFonts w:ascii="標楷體" w:eastAsia="標楷體" w:hAnsi="標楷體" w:hint="eastAsia"/>
              </w:rPr>
              <w:t>憲法訴訟法第六條及第八十四條條文修正草案</w:t>
            </w:r>
          </w:p>
        </w:tc>
        <w:tc>
          <w:tcPr>
            <w:tcW w:w="2268" w:type="dxa"/>
            <w:tcMar>
              <w:top w:w="85" w:type="dxa"/>
              <w:bottom w:w="85" w:type="dxa"/>
            </w:tcMar>
          </w:tcPr>
          <w:p w14:paraId="1FECE495" w14:textId="77777777" w:rsidR="00421BB5" w:rsidRPr="006719D5" w:rsidRDefault="00421BB5" w:rsidP="00F7741E">
            <w:pPr>
              <w:kinsoku w:val="0"/>
              <w:spacing w:line="300" w:lineRule="exact"/>
              <w:rPr>
                <w:rFonts w:ascii="標楷體" w:eastAsia="標楷體" w:hAnsi="標楷體"/>
                <w:color w:val="000000"/>
                <w:kern w:val="0"/>
              </w:rPr>
            </w:pPr>
            <w:r w:rsidRPr="00BD6230">
              <w:rPr>
                <w:rFonts w:ascii="標楷體" w:eastAsia="標楷體" w:hAnsi="標楷體" w:hint="eastAsia"/>
                <w:color w:val="000000"/>
                <w:kern w:val="0"/>
              </w:rPr>
              <w:t>委員</w:t>
            </w:r>
            <w:r w:rsidRPr="00D43358">
              <w:rPr>
                <w:rFonts w:ascii="標楷體" w:eastAsia="標楷體" w:hAnsi="標楷體" w:hint="eastAsia"/>
                <w:color w:val="000000"/>
                <w:kern w:val="0"/>
              </w:rPr>
              <w:t>陳以信等18人</w:t>
            </w:r>
            <w:r>
              <w:rPr>
                <w:rFonts w:ascii="標楷體" w:eastAsia="標楷體" w:hAnsi="標楷體" w:hint="eastAsia"/>
                <w:color w:val="000000"/>
                <w:kern w:val="0"/>
              </w:rPr>
              <w:t xml:space="preserve"> 112.01.09</w:t>
            </w:r>
            <w:r w:rsidRPr="006719D5">
              <w:rPr>
                <w:rFonts w:ascii="標楷體" w:eastAsia="標楷體" w:hAnsi="標楷體" w:hint="eastAsia"/>
                <w:color w:val="000000"/>
                <w:kern w:val="0"/>
              </w:rPr>
              <w:t xml:space="preserve"> </w:t>
            </w:r>
          </w:p>
          <w:p w14:paraId="5E09F468" w14:textId="77777777" w:rsidR="00421BB5" w:rsidRPr="00C30204" w:rsidRDefault="00421BB5" w:rsidP="00F7741E">
            <w:pPr>
              <w:kinsoku w:val="0"/>
              <w:spacing w:line="300" w:lineRule="exact"/>
              <w:rPr>
                <w:rFonts w:ascii="標楷體" w:eastAsia="標楷體" w:hAnsi="標楷體"/>
                <w:color w:val="000000"/>
                <w:kern w:val="0"/>
              </w:rPr>
            </w:pPr>
            <w:r w:rsidRPr="006719D5">
              <w:rPr>
                <w:rFonts w:ascii="標楷體" w:eastAsia="標楷體" w:hAnsi="標楷體" w:hint="eastAsia"/>
                <w:color w:val="000000"/>
                <w:kern w:val="0"/>
              </w:rPr>
              <w:t>（</w:t>
            </w:r>
            <w:r>
              <w:rPr>
                <w:rFonts w:ascii="標楷體" w:eastAsia="標楷體" w:hAnsi="標楷體" w:hint="eastAsia"/>
                <w:color w:val="000000"/>
                <w:kern w:val="0"/>
              </w:rPr>
              <w:t>10-6-15</w:t>
            </w:r>
            <w:r w:rsidRPr="006719D5">
              <w:rPr>
                <w:rFonts w:ascii="標楷體" w:eastAsia="標楷體" w:hAnsi="標楷體" w:hint="eastAsia"/>
                <w:color w:val="000000"/>
                <w:kern w:val="0"/>
              </w:rPr>
              <w:t>）</w:t>
            </w:r>
          </w:p>
        </w:tc>
        <w:tc>
          <w:tcPr>
            <w:tcW w:w="3685" w:type="dxa"/>
            <w:tcMar>
              <w:top w:w="85" w:type="dxa"/>
              <w:bottom w:w="85" w:type="dxa"/>
            </w:tcMar>
          </w:tcPr>
          <w:p w14:paraId="3EF2102D" w14:textId="77777777" w:rsidR="00421BB5" w:rsidRPr="00695ADD" w:rsidRDefault="00421BB5" w:rsidP="00F7741E">
            <w:pPr>
              <w:kinsoku w:val="0"/>
              <w:adjustRightInd w:val="0"/>
              <w:snapToGrid w:val="0"/>
              <w:spacing w:line="260" w:lineRule="exact"/>
              <w:rPr>
                <w:rFonts w:ascii="標楷體" w:eastAsia="標楷體" w:hAnsi="標楷體"/>
              </w:rPr>
            </w:pPr>
            <w:r w:rsidRPr="00695ADD">
              <w:rPr>
                <w:rFonts w:ascii="標楷體" w:eastAsia="標楷體" w:hAnsi="標楷體" w:hint="eastAsia"/>
              </w:rPr>
              <w:t>院會</w:t>
            </w:r>
            <w:r>
              <w:rPr>
                <w:rFonts w:ascii="標楷體" w:eastAsia="標楷體" w:hAnsi="標楷體" w:hint="eastAsia"/>
              </w:rPr>
              <w:t>112.01.09</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6</w:t>
            </w:r>
            <w:r>
              <w:rPr>
                <w:rFonts w:ascii="標楷體" w:eastAsia="標楷體" w:hAnsi="標楷體" w:hint="eastAsia"/>
              </w:rPr>
              <w:t>-15）逕付二讀</w:t>
            </w:r>
            <w:r w:rsidRPr="00695ADD">
              <w:rPr>
                <w:rFonts w:ascii="標楷體" w:eastAsia="標楷體" w:hAnsi="標楷體" w:hint="eastAsia"/>
              </w:rPr>
              <w:t>，與相關提案併案協商。</w:t>
            </w:r>
          </w:p>
        </w:tc>
      </w:tr>
    </w:tbl>
    <w:p w14:paraId="685C50BE" w14:textId="77777777" w:rsidR="00421BB5" w:rsidRDefault="00421BB5"/>
    <w:p w14:paraId="38926C61" w14:textId="77777777" w:rsidR="00421BB5" w:rsidRDefault="00421BB5" w:rsidP="00421BB5">
      <w:r>
        <w:br w:type="page"/>
      </w:r>
    </w:p>
    <w:p w14:paraId="64549988" w14:textId="77777777" w:rsidR="00421BB5" w:rsidRPr="00B67D9C" w:rsidRDefault="00421BB5" w:rsidP="00421BB5">
      <w:pPr>
        <w:keepNext/>
        <w:tabs>
          <w:tab w:val="left" w:pos="851"/>
        </w:tabs>
        <w:adjustRightInd w:val="0"/>
        <w:snapToGrid w:val="0"/>
        <w:spacing w:beforeLines="50" w:before="180" w:afterLines="50" w:after="180"/>
        <w:jc w:val="both"/>
        <w:outlineLvl w:val="0"/>
        <w:rPr>
          <w:rFonts w:eastAsia="標楷體"/>
          <w:b/>
          <w:bCs/>
          <w:color w:val="000000" w:themeColor="text1"/>
          <w:sz w:val="28"/>
          <w:szCs w:val="48"/>
        </w:rPr>
      </w:pPr>
      <w:bookmarkStart w:id="491" w:name="_Toc96350551"/>
      <w:r w:rsidRPr="00B67D9C">
        <w:rPr>
          <w:rFonts w:eastAsia="標楷體" w:hint="eastAsia"/>
          <w:b/>
          <w:bCs/>
          <w:color w:val="000000" w:themeColor="text1"/>
          <w:sz w:val="28"/>
          <w:szCs w:val="48"/>
        </w:rPr>
        <w:lastRenderedPageBreak/>
        <w:t>捌</w:t>
      </w:r>
      <w:r w:rsidRPr="00B67D9C">
        <w:rPr>
          <w:rFonts w:eastAsia="標楷體"/>
          <w:b/>
          <w:bCs/>
          <w:color w:val="000000" w:themeColor="text1"/>
          <w:sz w:val="28"/>
          <w:szCs w:val="48"/>
        </w:rPr>
        <w:t>、</w:t>
      </w:r>
      <w:r w:rsidRPr="00B67D9C">
        <w:rPr>
          <w:rFonts w:eastAsia="標楷體" w:hint="eastAsia"/>
          <w:b/>
          <w:bCs/>
          <w:color w:val="000000" w:themeColor="text1"/>
          <w:sz w:val="28"/>
          <w:szCs w:val="48"/>
        </w:rPr>
        <w:t>院會撤回或同意改交其他委員會</w:t>
      </w:r>
      <w:r w:rsidRPr="00B67D9C">
        <w:rPr>
          <w:rFonts w:eastAsia="標楷體"/>
          <w:b/>
          <w:bCs/>
          <w:color w:val="000000" w:themeColor="text1"/>
          <w:sz w:val="28"/>
          <w:szCs w:val="48"/>
        </w:rPr>
        <w:t>議案</w:t>
      </w:r>
      <w:r w:rsidRPr="00B67D9C">
        <w:rPr>
          <w:rFonts w:eastAsia="標楷體" w:hint="eastAsia"/>
          <w:b/>
          <w:bCs/>
          <w:color w:val="000000" w:themeColor="text1"/>
          <w:sz w:val="28"/>
          <w:szCs w:val="48"/>
        </w:rPr>
        <w:t>11</w:t>
      </w:r>
      <w:r w:rsidRPr="00B67D9C">
        <w:rPr>
          <w:rFonts w:eastAsia="標楷體"/>
          <w:b/>
          <w:bCs/>
          <w:color w:val="000000" w:themeColor="text1"/>
          <w:sz w:val="28"/>
          <w:szCs w:val="48"/>
        </w:rPr>
        <w:t>案</w:t>
      </w:r>
      <w:bookmarkEnd w:id="491"/>
    </w:p>
    <w:p w14:paraId="1C92DD83" w14:textId="77777777" w:rsidR="00421BB5" w:rsidRPr="00B67D9C" w:rsidRDefault="00421BB5" w:rsidP="007015C7">
      <w:pPr>
        <w:keepNext/>
        <w:numPr>
          <w:ilvl w:val="0"/>
          <w:numId w:val="14"/>
        </w:numPr>
        <w:tabs>
          <w:tab w:val="left" w:pos="1276"/>
        </w:tabs>
        <w:adjustRightInd w:val="0"/>
        <w:snapToGrid w:val="0"/>
        <w:spacing w:beforeLines="100" w:before="360" w:afterLines="100" w:after="360" w:line="260" w:lineRule="exact"/>
        <w:ind w:left="1146" w:hanging="862"/>
        <w:jc w:val="both"/>
        <w:outlineLvl w:val="1"/>
        <w:rPr>
          <w:rFonts w:ascii="標楷體" w:eastAsia="標楷體" w:hAnsi="標楷體"/>
          <w:b/>
          <w:bCs/>
          <w:color w:val="000000" w:themeColor="text1"/>
          <w:sz w:val="28"/>
          <w:szCs w:val="28"/>
          <w:u w:val="single"/>
        </w:rPr>
      </w:pPr>
      <w:bookmarkStart w:id="492" w:name="_Toc96350552"/>
      <w:r w:rsidRPr="00B67D9C">
        <w:rPr>
          <w:rFonts w:ascii="標楷體" w:eastAsia="標楷體" w:hAnsi="標楷體" w:hint="eastAsia"/>
          <w:b/>
          <w:bCs/>
          <w:color w:val="000000" w:themeColor="text1"/>
          <w:sz w:val="28"/>
          <w:szCs w:val="36"/>
        </w:rPr>
        <w:t>院會撤回議</w:t>
      </w:r>
      <w:hyperlink w:anchor="〔壹〕法律案272案" w:history="1">
        <w:r w:rsidRPr="00160444">
          <w:rPr>
            <w:rFonts w:ascii="標楷體" w:eastAsia="標楷體" w:hAnsi="標楷體"/>
            <w:b/>
            <w:bCs/>
            <w:color w:val="000000" w:themeColor="text1"/>
            <w:sz w:val="28"/>
            <w:szCs w:val="28"/>
          </w:rPr>
          <w:t>案</w:t>
        </w:r>
        <w:r w:rsidRPr="00160444">
          <w:rPr>
            <w:rFonts w:ascii="標楷體" w:eastAsia="標楷體" w:hAnsi="標楷體" w:hint="eastAsia"/>
            <w:b/>
            <w:bCs/>
            <w:color w:val="000000" w:themeColor="text1"/>
            <w:sz w:val="28"/>
            <w:szCs w:val="28"/>
          </w:rPr>
          <w:t>11</w:t>
        </w:r>
        <w:r w:rsidRPr="00160444">
          <w:rPr>
            <w:rFonts w:ascii="標楷體" w:eastAsia="標楷體" w:hAnsi="標楷體"/>
            <w:b/>
            <w:bCs/>
            <w:color w:val="000000" w:themeColor="text1"/>
            <w:sz w:val="28"/>
            <w:szCs w:val="28"/>
          </w:rPr>
          <w:t>案</w:t>
        </w:r>
        <w:bookmarkEnd w:id="492"/>
      </w:hyperlink>
    </w:p>
    <w:tbl>
      <w:tblPr>
        <w:tblW w:w="0" w:type="auto"/>
        <w:tblInd w:w="-4"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ook w:val="04A0" w:firstRow="1" w:lastRow="0" w:firstColumn="1" w:lastColumn="0" w:noHBand="0" w:noVBand="1"/>
      </w:tblPr>
      <w:tblGrid>
        <w:gridCol w:w="697"/>
        <w:gridCol w:w="2500"/>
        <w:gridCol w:w="1898"/>
        <w:gridCol w:w="1549"/>
        <w:gridCol w:w="1818"/>
      </w:tblGrid>
      <w:tr w:rsidR="00421BB5" w:rsidRPr="00B67D9C" w14:paraId="211F057D" w14:textId="77777777" w:rsidTr="00421BB5">
        <w:tc>
          <w:tcPr>
            <w:tcW w:w="697" w:type="dxa"/>
            <w:shd w:val="clear" w:color="auto" w:fill="auto"/>
          </w:tcPr>
          <w:p w14:paraId="49489BAB" w14:textId="77777777" w:rsidR="00421BB5" w:rsidRPr="00B67D9C" w:rsidRDefault="00421BB5" w:rsidP="00421BB5">
            <w:pPr>
              <w:autoSpaceDE w:val="0"/>
              <w:autoSpaceDN w:val="0"/>
              <w:snapToGrid w:val="0"/>
              <w:spacing w:line="300" w:lineRule="exact"/>
              <w:jc w:val="center"/>
              <w:rPr>
                <w:rFonts w:ascii="標楷體" w:eastAsia="標楷體" w:hAnsi="標楷體"/>
                <w:b/>
                <w:color w:val="000000" w:themeColor="text1"/>
                <w:lang w:eastAsia="ko-KR"/>
              </w:rPr>
            </w:pPr>
            <w:r w:rsidRPr="00B67D9C">
              <w:rPr>
                <w:rFonts w:ascii="標楷體" w:eastAsia="標楷體" w:hAnsi="標楷體"/>
                <w:b/>
                <w:color w:val="000000" w:themeColor="text1"/>
                <w:lang w:eastAsia="ko-KR"/>
              </w:rPr>
              <w:t>序號</w:t>
            </w:r>
          </w:p>
        </w:tc>
        <w:tc>
          <w:tcPr>
            <w:tcW w:w="2500" w:type="dxa"/>
            <w:shd w:val="clear" w:color="auto" w:fill="auto"/>
          </w:tcPr>
          <w:p w14:paraId="0188C7FD" w14:textId="77777777" w:rsidR="00421BB5" w:rsidRPr="00B67D9C" w:rsidRDefault="00421BB5" w:rsidP="00421BB5">
            <w:pPr>
              <w:kinsoku w:val="0"/>
              <w:topLinePunct/>
              <w:autoSpaceDE w:val="0"/>
              <w:autoSpaceDN w:val="0"/>
              <w:snapToGrid w:val="0"/>
              <w:spacing w:line="300" w:lineRule="exact"/>
              <w:jc w:val="center"/>
              <w:rPr>
                <w:rFonts w:ascii="標楷體" w:eastAsia="標楷體" w:hAnsi="標楷體"/>
                <w:b/>
                <w:color w:val="000000" w:themeColor="text1"/>
                <w:lang w:eastAsia="ko-KR"/>
              </w:rPr>
            </w:pPr>
            <w:r w:rsidRPr="00B67D9C">
              <w:rPr>
                <w:rFonts w:ascii="標楷體" w:eastAsia="標楷體" w:hAnsi="標楷體"/>
                <w:b/>
                <w:color w:val="000000" w:themeColor="text1"/>
                <w:lang w:eastAsia="ko-KR"/>
              </w:rPr>
              <w:t>議案名稱</w:t>
            </w:r>
          </w:p>
        </w:tc>
        <w:tc>
          <w:tcPr>
            <w:tcW w:w="1898" w:type="dxa"/>
            <w:shd w:val="clear" w:color="auto" w:fill="auto"/>
          </w:tcPr>
          <w:p w14:paraId="776CF8B8" w14:textId="77777777" w:rsidR="00421BB5" w:rsidRPr="00B67D9C" w:rsidRDefault="00421BB5" w:rsidP="00421BB5">
            <w:pPr>
              <w:autoSpaceDE w:val="0"/>
              <w:autoSpaceDN w:val="0"/>
              <w:snapToGrid w:val="0"/>
              <w:spacing w:line="300" w:lineRule="exact"/>
              <w:jc w:val="center"/>
              <w:rPr>
                <w:rFonts w:ascii="標楷體" w:eastAsia="Malgun Gothic" w:hAnsi="標楷體"/>
                <w:b/>
                <w:color w:val="000000" w:themeColor="text1"/>
                <w:lang w:eastAsia="ko-KR"/>
              </w:rPr>
            </w:pPr>
            <w:r w:rsidRPr="00B67D9C">
              <w:rPr>
                <w:rFonts w:ascii="標楷體" w:eastAsia="標楷體" w:hAnsi="標楷體"/>
                <w:b/>
                <w:color w:val="000000" w:themeColor="text1"/>
                <w:lang w:eastAsia="ko-KR"/>
              </w:rPr>
              <w:t>提案委員或機關</w:t>
            </w:r>
          </w:p>
          <w:p w14:paraId="2A8E9372" w14:textId="77777777" w:rsidR="00421BB5" w:rsidRPr="00B67D9C" w:rsidRDefault="00421BB5" w:rsidP="00421BB5">
            <w:pPr>
              <w:autoSpaceDE w:val="0"/>
              <w:autoSpaceDN w:val="0"/>
              <w:snapToGrid w:val="0"/>
              <w:spacing w:line="300" w:lineRule="exact"/>
              <w:jc w:val="center"/>
              <w:rPr>
                <w:rFonts w:ascii="標楷體" w:eastAsia="Malgun Gothic" w:hAnsi="標楷體"/>
                <w:b/>
                <w:color w:val="000000" w:themeColor="text1"/>
                <w:lang w:eastAsia="ko-KR"/>
              </w:rPr>
            </w:pPr>
            <w:r w:rsidRPr="00B67D9C">
              <w:rPr>
                <w:rFonts w:ascii="標楷體" w:eastAsia="標楷體" w:hAnsi="標楷體"/>
                <w:b/>
                <w:color w:val="000000" w:themeColor="text1"/>
                <w:lang w:eastAsia="ko-KR"/>
              </w:rPr>
              <w:t>院會交付日期</w:t>
            </w:r>
          </w:p>
          <w:p w14:paraId="3ABB514F" w14:textId="77777777" w:rsidR="00421BB5" w:rsidRPr="00B67D9C" w:rsidRDefault="00421BB5" w:rsidP="00421BB5">
            <w:pPr>
              <w:autoSpaceDE w:val="0"/>
              <w:autoSpaceDN w:val="0"/>
              <w:snapToGrid w:val="0"/>
              <w:spacing w:line="300" w:lineRule="exact"/>
              <w:jc w:val="center"/>
              <w:rPr>
                <w:rFonts w:ascii="標楷體" w:eastAsia="標楷體" w:hAnsi="標楷體"/>
                <w:b/>
                <w:color w:val="000000" w:themeColor="text1"/>
                <w:lang w:eastAsia="ko-KR"/>
              </w:rPr>
            </w:pPr>
            <w:r w:rsidRPr="00B67D9C">
              <w:rPr>
                <w:rFonts w:ascii="標楷體" w:eastAsia="標楷體" w:hAnsi="標楷體"/>
                <w:b/>
                <w:color w:val="000000" w:themeColor="text1"/>
                <w:lang w:eastAsia="ko-KR"/>
              </w:rPr>
              <w:t>(會次)</w:t>
            </w:r>
          </w:p>
        </w:tc>
        <w:tc>
          <w:tcPr>
            <w:tcW w:w="1549" w:type="dxa"/>
            <w:shd w:val="clear" w:color="auto" w:fill="auto"/>
          </w:tcPr>
          <w:p w14:paraId="3F2B15D2" w14:textId="77777777" w:rsidR="00421BB5" w:rsidRPr="00B67D9C" w:rsidRDefault="00421BB5" w:rsidP="00421BB5">
            <w:pPr>
              <w:autoSpaceDE w:val="0"/>
              <w:autoSpaceDN w:val="0"/>
              <w:snapToGrid w:val="0"/>
              <w:spacing w:line="300" w:lineRule="exact"/>
              <w:jc w:val="center"/>
              <w:rPr>
                <w:rFonts w:ascii="標楷體" w:eastAsia="標楷體" w:hAnsi="標楷體"/>
                <w:b/>
                <w:color w:val="000000" w:themeColor="text1"/>
                <w:lang w:eastAsia="ko-KR"/>
              </w:rPr>
            </w:pPr>
            <w:r w:rsidRPr="00B67D9C">
              <w:rPr>
                <w:rFonts w:ascii="標楷體" w:eastAsia="標楷體" w:hAnsi="標楷體"/>
                <w:b/>
                <w:color w:val="000000" w:themeColor="text1"/>
                <w:lang w:eastAsia="ko-KR"/>
              </w:rPr>
              <w:t>審查委員會</w:t>
            </w:r>
          </w:p>
        </w:tc>
        <w:tc>
          <w:tcPr>
            <w:tcW w:w="1818" w:type="dxa"/>
            <w:shd w:val="clear" w:color="auto" w:fill="auto"/>
          </w:tcPr>
          <w:p w14:paraId="72F0F61F" w14:textId="5C722385" w:rsidR="00421BB5" w:rsidRPr="00B67D9C" w:rsidRDefault="00421BB5" w:rsidP="00421BB5">
            <w:pPr>
              <w:autoSpaceDE w:val="0"/>
              <w:autoSpaceDN w:val="0"/>
              <w:snapToGrid w:val="0"/>
              <w:spacing w:line="300" w:lineRule="exact"/>
              <w:jc w:val="center"/>
              <w:rPr>
                <w:rFonts w:ascii="標楷體" w:eastAsia="標楷體" w:hAnsi="標楷體"/>
                <w:b/>
                <w:color w:val="000000" w:themeColor="text1"/>
                <w:lang w:eastAsia="ko-KR"/>
              </w:rPr>
            </w:pPr>
            <w:r w:rsidRPr="00B67D9C">
              <w:rPr>
                <w:rFonts w:ascii="標楷體" w:eastAsia="標楷體" w:hAnsi="標楷體"/>
                <w:b/>
                <w:color w:val="000000" w:themeColor="text1"/>
                <w:lang w:eastAsia="ko-KR"/>
              </w:rPr>
              <w:t>審查</w:t>
            </w:r>
            <w:r w:rsidR="009729BE">
              <w:rPr>
                <w:rFonts w:ascii="標楷體" w:eastAsia="標楷體" w:hAnsi="標楷體" w:hint="eastAsia"/>
                <w:b/>
                <w:color w:val="000000" w:themeColor="text1"/>
              </w:rPr>
              <w:t>、處理</w:t>
            </w:r>
            <w:r w:rsidRPr="00B67D9C">
              <w:rPr>
                <w:rFonts w:ascii="標楷體" w:eastAsia="標楷體" w:hAnsi="標楷體"/>
                <w:b/>
                <w:color w:val="000000" w:themeColor="text1"/>
                <w:lang w:eastAsia="ko-KR"/>
              </w:rPr>
              <w:t>情形</w:t>
            </w:r>
          </w:p>
        </w:tc>
      </w:tr>
      <w:tr w:rsidR="00421BB5" w:rsidRPr="00B67D9C" w14:paraId="63278CEC" w14:textId="77777777" w:rsidTr="00421BB5">
        <w:tc>
          <w:tcPr>
            <w:tcW w:w="697" w:type="dxa"/>
            <w:shd w:val="clear" w:color="auto" w:fill="auto"/>
          </w:tcPr>
          <w:p w14:paraId="3E225A90"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color w:val="000000" w:themeColor="text1"/>
                <w:lang w:eastAsia="ko-KR"/>
              </w:rPr>
              <w:t>1</w:t>
            </w:r>
          </w:p>
        </w:tc>
        <w:tc>
          <w:tcPr>
            <w:tcW w:w="2500" w:type="dxa"/>
            <w:shd w:val="clear" w:color="auto" w:fill="auto"/>
          </w:tcPr>
          <w:p w14:paraId="46F90B19"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color w:val="000000" w:themeColor="text1"/>
              </w:rPr>
              <w:t>監察法部分條文修正草案（修正§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898" w:type="dxa"/>
            <w:shd w:val="clear" w:color="auto" w:fill="auto"/>
          </w:tcPr>
          <w:p w14:paraId="5B2B8E2E"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監察院 </w:t>
            </w:r>
          </w:p>
          <w:p w14:paraId="30FA5B38"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109.05.22 </w:t>
            </w:r>
          </w:p>
          <w:p w14:paraId="0F8A4B63"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（10-1-14）</w:t>
            </w:r>
          </w:p>
        </w:tc>
        <w:tc>
          <w:tcPr>
            <w:tcW w:w="1549" w:type="dxa"/>
            <w:shd w:val="clear" w:color="auto" w:fill="auto"/>
          </w:tcPr>
          <w:p w14:paraId="477AD8DA"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司法及法制</w:t>
            </w:r>
          </w:p>
        </w:tc>
        <w:tc>
          <w:tcPr>
            <w:tcW w:w="1818" w:type="dxa"/>
            <w:shd w:val="clear" w:color="auto" w:fill="auto"/>
          </w:tcPr>
          <w:p w14:paraId="4EDDEC66" w14:textId="427C821E"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w:t>
            </w:r>
            <w:r w:rsidRPr="00B67D9C">
              <w:rPr>
                <w:rFonts w:ascii="標楷體" w:eastAsia="標楷體" w:hAnsi="標楷體"/>
                <w:color w:val="000000" w:themeColor="text1"/>
              </w:rPr>
              <w:t>尚未審查</w:t>
            </w:r>
            <w:r w:rsidR="004A524A">
              <w:rPr>
                <w:rFonts w:ascii="標楷體" w:eastAsia="標楷體" w:hAnsi="標楷體" w:hint="eastAsia"/>
                <w:color w:val="000000" w:themeColor="text1"/>
              </w:rPr>
              <w:t>。</w:t>
            </w:r>
          </w:p>
          <w:p w14:paraId="32C2F0A7"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w:t>
            </w:r>
            <w:r w:rsidRPr="00B67D9C">
              <w:rPr>
                <w:rFonts w:ascii="標楷體" w:eastAsia="標楷體" w:hAnsi="標楷體"/>
                <w:color w:val="000000" w:themeColor="text1"/>
              </w:rPr>
              <w:t>院會</w:t>
            </w:r>
          </w:p>
          <w:p w14:paraId="7B970A36"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109.9.18</w:t>
            </w:r>
          </w:p>
          <w:p w14:paraId="6C6FA7C2" w14:textId="77777777" w:rsidR="00421BB5" w:rsidRPr="00B67D9C" w:rsidRDefault="00421BB5" w:rsidP="00421BB5">
            <w:pPr>
              <w:adjustRightInd w:val="0"/>
              <w:snapToGrid w:val="0"/>
              <w:spacing w:line="300" w:lineRule="exact"/>
              <w:ind w:leftChars="67" w:left="238" w:hangingChars="32" w:hanging="77"/>
              <w:textAlignment w:val="baseline"/>
              <w:rPr>
                <w:rFonts w:ascii="標楷體" w:eastAsia="標楷體" w:hAnsi="標楷體"/>
                <w:color w:val="000000" w:themeColor="text1"/>
              </w:rPr>
            </w:pPr>
            <w:r w:rsidRPr="00B67D9C">
              <w:rPr>
                <w:rFonts w:ascii="標楷體" w:eastAsia="標楷體" w:hAnsi="標楷體" w:hint="eastAsia"/>
                <w:color w:val="000000" w:themeColor="text1"/>
              </w:rPr>
              <w:t>（</w:t>
            </w:r>
            <w:r w:rsidRPr="00B67D9C">
              <w:rPr>
                <w:rFonts w:ascii="標楷體" w:eastAsia="標楷體" w:hAnsi="標楷體"/>
                <w:color w:val="000000" w:themeColor="text1"/>
              </w:rPr>
              <w:t>10-2-</w:t>
            </w:r>
            <w:r w:rsidRPr="00B67D9C">
              <w:rPr>
                <w:rFonts w:ascii="標楷體" w:eastAsia="標楷體" w:hAnsi="標楷體" w:hint="eastAsia"/>
                <w:color w:val="000000" w:themeColor="text1"/>
              </w:rPr>
              <w:t>1）</w:t>
            </w:r>
          </w:p>
          <w:p w14:paraId="1283BE48"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color w:val="000000" w:themeColor="text1"/>
              </w:rPr>
              <w:t>同意撤回。</w:t>
            </w:r>
          </w:p>
        </w:tc>
      </w:tr>
      <w:tr w:rsidR="00421BB5" w:rsidRPr="00B67D9C" w14:paraId="5EFDADAB" w14:textId="77777777" w:rsidTr="00421BB5">
        <w:tc>
          <w:tcPr>
            <w:tcW w:w="697" w:type="dxa"/>
            <w:shd w:val="clear" w:color="auto" w:fill="auto"/>
          </w:tcPr>
          <w:p w14:paraId="7F561F7C"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color w:val="000000" w:themeColor="text1"/>
                <w:lang w:eastAsia="ko-KR"/>
              </w:rPr>
              <w:t>2</w:t>
            </w:r>
          </w:p>
        </w:tc>
        <w:tc>
          <w:tcPr>
            <w:tcW w:w="2500" w:type="dxa"/>
            <w:shd w:val="clear" w:color="auto" w:fill="auto"/>
          </w:tcPr>
          <w:p w14:paraId="2602CB83"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color w:val="000000" w:themeColor="text1"/>
              </w:rPr>
              <w:t>監試法修正草案（修正§2~5；新增§1；刪除現行§2。修正重點：明定依法舉行之國家考試，應由考試院函請監察院推派監察委員監試；必要監試事項，調整為彌封姓名冊之固封與開拆對號、試題之拆封、應考人考試成績之審查及考試錄取或及格人員之確認。）</w:t>
            </w:r>
          </w:p>
        </w:tc>
        <w:tc>
          <w:tcPr>
            <w:tcW w:w="1898" w:type="dxa"/>
            <w:shd w:val="clear" w:color="auto" w:fill="auto"/>
          </w:tcPr>
          <w:p w14:paraId="544636FB"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考試院 </w:t>
            </w:r>
          </w:p>
          <w:p w14:paraId="24B82595"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109.02.21 </w:t>
            </w:r>
          </w:p>
          <w:p w14:paraId="47869C45"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（10-1-1）</w:t>
            </w:r>
          </w:p>
          <w:p w14:paraId="1225E66D"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p>
        </w:tc>
        <w:tc>
          <w:tcPr>
            <w:tcW w:w="1549" w:type="dxa"/>
            <w:shd w:val="clear" w:color="auto" w:fill="auto"/>
          </w:tcPr>
          <w:p w14:paraId="53059187"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司法及法制</w:t>
            </w:r>
          </w:p>
        </w:tc>
        <w:tc>
          <w:tcPr>
            <w:tcW w:w="1818" w:type="dxa"/>
            <w:shd w:val="clear" w:color="auto" w:fill="auto"/>
          </w:tcPr>
          <w:p w14:paraId="17ACCF26" w14:textId="4189ADAE"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color w:val="000000" w:themeColor="text1"/>
              </w:rPr>
              <w:t>1.尚未審查</w:t>
            </w:r>
            <w:r w:rsidR="005D73E9">
              <w:rPr>
                <w:rFonts w:ascii="標楷體" w:eastAsia="標楷體" w:hAnsi="標楷體" w:hint="eastAsia"/>
                <w:color w:val="000000" w:themeColor="text1"/>
              </w:rPr>
              <w:t>。</w:t>
            </w:r>
          </w:p>
          <w:p w14:paraId="5B9395E2"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color w:val="000000" w:themeColor="text1"/>
              </w:rPr>
              <w:t>2.院會</w:t>
            </w:r>
          </w:p>
          <w:p w14:paraId="47E9D7F7"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109.12.4</w:t>
            </w:r>
          </w:p>
          <w:p w14:paraId="710F08E7"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w:t>
            </w:r>
            <w:r w:rsidRPr="00B67D9C">
              <w:rPr>
                <w:rFonts w:ascii="標楷體" w:eastAsia="標楷體" w:hAnsi="標楷體"/>
                <w:color w:val="000000" w:themeColor="text1"/>
              </w:rPr>
              <w:t>10-2-6</w:t>
            </w:r>
            <w:r w:rsidRPr="00B67D9C">
              <w:rPr>
                <w:rFonts w:ascii="標楷體" w:eastAsia="標楷體" w:hAnsi="標楷體" w:hint="eastAsia"/>
                <w:color w:val="000000" w:themeColor="text1"/>
              </w:rPr>
              <w:t>）</w:t>
            </w:r>
          </w:p>
          <w:p w14:paraId="68D56E84"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color w:val="000000" w:themeColor="text1"/>
              </w:rPr>
              <w:t>同意撤回。</w:t>
            </w:r>
          </w:p>
        </w:tc>
      </w:tr>
      <w:tr w:rsidR="00421BB5" w:rsidRPr="00B67D9C" w14:paraId="0696FE5D" w14:textId="77777777" w:rsidTr="00421BB5">
        <w:tc>
          <w:tcPr>
            <w:tcW w:w="697" w:type="dxa"/>
            <w:shd w:val="clear" w:color="auto" w:fill="auto"/>
          </w:tcPr>
          <w:p w14:paraId="44FC72A8"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color w:val="000000" w:themeColor="text1"/>
                <w:lang w:eastAsia="ko-KR"/>
              </w:rPr>
              <w:t>3</w:t>
            </w:r>
          </w:p>
        </w:tc>
        <w:tc>
          <w:tcPr>
            <w:tcW w:w="2500" w:type="dxa"/>
            <w:shd w:val="clear" w:color="auto" w:fill="auto"/>
          </w:tcPr>
          <w:p w14:paraId="23C76256"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color w:val="000000" w:themeColor="text1"/>
              </w:rPr>
              <w:t>農田水利會組織通則第十九條之二及第三十八條之一條文修正草案（修正重點：刑法已將沒收修正為具獨立性之法律效果，不再為從刑，且追徵、追繳</w:t>
            </w:r>
            <w:r w:rsidRPr="00B67D9C">
              <w:rPr>
                <w:rFonts w:ascii="標楷體" w:eastAsia="標楷體" w:hAnsi="標楷體"/>
                <w:color w:val="000000" w:themeColor="text1"/>
              </w:rPr>
              <w:lastRenderedPageBreak/>
              <w:t>、抵償之規定均已自從刑之種類刪除，爰刪除本法沒收及追繳之規定。）</w:t>
            </w:r>
          </w:p>
        </w:tc>
        <w:tc>
          <w:tcPr>
            <w:tcW w:w="1898" w:type="dxa"/>
            <w:shd w:val="clear" w:color="auto" w:fill="auto"/>
          </w:tcPr>
          <w:p w14:paraId="331445C6"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lastRenderedPageBreak/>
              <w:t xml:space="preserve">行政院 </w:t>
            </w:r>
          </w:p>
          <w:p w14:paraId="2BC5902D"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109.03.27 </w:t>
            </w:r>
          </w:p>
          <w:p w14:paraId="5538E09E"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（10-1-6）</w:t>
            </w:r>
          </w:p>
        </w:tc>
        <w:tc>
          <w:tcPr>
            <w:tcW w:w="1549" w:type="dxa"/>
            <w:shd w:val="clear" w:color="auto" w:fill="auto"/>
          </w:tcPr>
          <w:p w14:paraId="020DF82D"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司法及法制、經濟</w:t>
            </w:r>
          </w:p>
        </w:tc>
        <w:tc>
          <w:tcPr>
            <w:tcW w:w="1818" w:type="dxa"/>
            <w:shd w:val="clear" w:color="auto" w:fill="auto"/>
          </w:tcPr>
          <w:p w14:paraId="6CF6839A" w14:textId="1D4029B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color w:val="000000" w:themeColor="text1"/>
              </w:rPr>
              <w:t>1.尚未審查</w:t>
            </w:r>
            <w:r w:rsidR="005D73E9">
              <w:rPr>
                <w:rFonts w:ascii="標楷體" w:eastAsia="標楷體" w:hAnsi="標楷體" w:hint="eastAsia"/>
                <w:color w:val="000000" w:themeColor="text1"/>
              </w:rPr>
              <w:t>。</w:t>
            </w:r>
          </w:p>
          <w:p w14:paraId="4823A00F"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color w:val="000000" w:themeColor="text1"/>
              </w:rPr>
              <w:t>2.院會</w:t>
            </w:r>
          </w:p>
          <w:p w14:paraId="19C04C9F"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109.12.18</w:t>
            </w:r>
          </w:p>
          <w:p w14:paraId="01483C31"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w:t>
            </w:r>
            <w:r w:rsidRPr="00B67D9C">
              <w:rPr>
                <w:rFonts w:ascii="標楷體" w:eastAsia="標楷體" w:hAnsi="標楷體"/>
                <w:color w:val="000000" w:themeColor="text1"/>
              </w:rPr>
              <w:t>10-2-8</w:t>
            </w:r>
            <w:r w:rsidRPr="00B67D9C">
              <w:rPr>
                <w:rFonts w:ascii="標楷體" w:eastAsia="標楷體" w:hAnsi="標楷體" w:hint="eastAsia"/>
                <w:color w:val="000000" w:themeColor="text1"/>
              </w:rPr>
              <w:t>）</w:t>
            </w:r>
          </w:p>
          <w:p w14:paraId="4B39E1C4"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color w:val="000000" w:themeColor="text1"/>
              </w:rPr>
              <w:t>同意撤回。</w:t>
            </w:r>
          </w:p>
        </w:tc>
      </w:tr>
      <w:tr w:rsidR="00421BB5" w:rsidRPr="00B67D9C" w14:paraId="7B553E5D" w14:textId="77777777" w:rsidTr="00421BB5">
        <w:tc>
          <w:tcPr>
            <w:tcW w:w="697" w:type="dxa"/>
            <w:shd w:val="clear" w:color="auto" w:fill="auto"/>
          </w:tcPr>
          <w:p w14:paraId="69A8F2C6"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lastRenderedPageBreak/>
              <w:t>4</w:t>
            </w:r>
          </w:p>
        </w:tc>
        <w:tc>
          <w:tcPr>
            <w:tcW w:w="2500" w:type="dxa"/>
            <w:shd w:val="clear" w:color="auto" w:fill="auto"/>
          </w:tcPr>
          <w:p w14:paraId="11769097"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hint="eastAsia"/>
                <w:color w:val="000000" w:themeColor="text1"/>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等職權；派查之案件，對於無正當理由規避、拒絕或妨礙調查者，調查委員得依法提案糾彈，或經審議後處予一定額度範圍之罰鍰；監察法第二十六條條文修正草案修正重點：明定監察院調查權之</w:t>
            </w:r>
            <w:r w:rsidRPr="00B67D9C">
              <w:rPr>
                <w:rFonts w:ascii="標楷體" w:eastAsia="標楷體" w:hAnsi="標楷體" w:hint="eastAsia"/>
                <w:color w:val="000000" w:themeColor="text1"/>
              </w:rPr>
              <w:lastRenderedPageBreak/>
              <w:t>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898" w:type="dxa"/>
            <w:shd w:val="clear" w:color="auto" w:fill="auto"/>
          </w:tcPr>
          <w:p w14:paraId="0C95B199"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lastRenderedPageBreak/>
              <w:t xml:space="preserve">監察院 </w:t>
            </w:r>
          </w:p>
          <w:p w14:paraId="65CAEBA8"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 xml:space="preserve">109.09.18 </w:t>
            </w:r>
          </w:p>
          <w:p w14:paraId="34BF8B43"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（10-2-1）</w:t>
            </w:r>
          </w:p>
        </w:tc>
        <w:tc>
          <w:tcPr>
            <w:tcW w:w="1549" w:type="dxa"/>
            <w:shd w:val="clear" w:color="auto" w:fill="auto"/>
          </w:tcPr>
          <w:p w14:paraId="334E4D27"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司法及法制</w:t>
            </w:r>
          </w:p>
        </w:tc>
        <w:tc>
          <w:tcPr>
            <w:tcW w:w="1818" w:type="dxa"/>
            <w:shd w:val="clear" w:color="auto" w:fill="auto"/>
          </w:tcPr>
          <w:p w14:paraId="5DF29367"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1.本會</w:t>
            </w:r>
          </w:p>
          <w:p w14:paraId="3E0DC623"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109.11.16</w:t>
            </w:r>
          </w:p>
          <w:p w14:paraId="3176FFE3"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(10-2-11)</w:t>
            </w:r>
          </w:p>
          <w:p w14:paraId="3D4372C5"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另定期繼續審查。</w:t>
            </w:r>
          </w:p>
          <w:p w14:paraId="5F96B818"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34216A54"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110.2.26</w:t>
            </w:r>
          </w:p>
          <w:p w14:paraId="00F8EACB"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（10-3-1）</w:t>
            </w:r>
          </w:p>
          <w:p w14:paraId="68540BCA"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同意撤回。</w:t>
            </w:r>
          </w:p>
        </w:tc>
      </w:tr>
      <w:tr w:rsidR="00421BB5" w:rsidRPr="00B67D9C" w14:paraId="62904DE1" w14:textId="77777777" w:rsidTr="00421BB5">
        <w:tc>
          <w:tcPr>
            <w:tcW w:w="697" w:type="dxa"/>
            <w:shd w:val="clear" w:color="auto" w:fill="auto"/>
          </w:tcPr>
          <w:p w14:paraId="1046765E"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lastRenderedPageBreak/>
              <w:t>5</w:t>
            </w:r>
          </w:p>
        </w:tc>
        <w:tc>
          <w:tcPr>
            <w:tcW w:w="2500" w:type="dxa"/>
            <w:shd w:val="clear" w:color="auto" w:fill="auto"/>
          </w:tcPr>
          <w:p w14:paraId="7A379BEF"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hint="eastAsia"/>
                <w:color w:val="000000" w:themeColor="text1"/>
              </w:rPr>
              <w:t>司法院釋字第七四八號解釋施行法第二十條條文修正草案（修正重點：同性伴侶締結婚姻後，雙方當事人若共同收養子女或一方收養他方之子女時，準用民法關於收養之規定。）</w:t>
            </w:r>
          </w:p>
        </w:tc>
        <w:tc>
          <w:tcPr>
            <w:tcW w:w="1898" w:type="dxa"/>
            <w:shd w:val="clear" w:color="auto" w:fill="auto"/>
          </w:tcPr>
          <w:p w14:paraId="42660AF9"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時代力量黨團</w:t>
            </w:r>
          </w:p>
          <w:p w14:paraId="5FBFC2B4"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 xml:space="preserve">109.12.24 </w:t>
            </w:r>
          </w:p>
          <w:p w14:paraId="5A9D61D5"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（10-2-9）</w:t>
            </w:r>
          </w:p>
        </w:tc>
        <w:tc>
          <w:tcPr>
            <w:tcW w:w="1549" w:type="dxa"/>
            <w:shd w:val="clear" w:color="auto" w:fill="auto"/>
          </w:tcPr>
          <w:p w14:paraId="62BF1E8A"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司法及法制</w:t>
            </w:r>
          </w:p>
        </w:tc>
        <w:tc>
          <w:tcPr>
            <w:tcW w:w="1818" w:type="dxa"/>
            <w:shd w:val="clear" w:color="auto" w:fill="auto"/>
          </w:tcPr>
          <w:p w14:paraId="59037F21" w14:textId="6A4D3145"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1.尚未審查</w:t>
            </w:r>
            <w:r w:rsidR="005D73E9">
              <w:rPr>
                <w:rFonts w:ascii="標楷體" w:eastAsia="標楷體" w:hAnsi="標楷體" w:hint="eastAsia"/>
                <w:color w:val="000000" w:themeColor="text1"/>
              </w:rPr>
              <w:t>。</w:t>
            </w:r>
          </w:p>
          <w:p w14:paraId="7630FD83"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507A7357"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110.4.23</w:t>
            </w:r>
          </w:p>
          <w:p w14:paraId="04A7A80D"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（10-3-9）</w:t>
            </w:r>
          </w:p>
          <w:p w14:paraId="2EE6AD3A"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同意撤回。</w:t>
            </w:r>
          </w:p>
        </w:tc>
      </w:tr>
      <w:tr w:rsidR="00421BB5" w:rsidRPr="00B67D9C" w14:paraId="2CC24A1E" w14:textId="77777777" w:rsidTr="00421BB5">
        <w:tc>
          <w:tcPr>
            <w:tcW w:w="697" w:type="dxa"/>
            <w:shd w:val="clear" w:color="auto" w:fill="auto"/>
          </w:tcPr>
          <w:p w14:paraId="55089956"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6</w:t>
            </w:r>
          </w:p>
        </w:tc>
        <w:tc>
          <w:tcPr>
            <w:tcW w:w="2500" w:type="dxa"/>
            <w:shd w:val="clear" w:color="auto" w:fill="auto"/>
          </w:tcPr>
          <w:p w14:paraId="45EF67F6"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hint="eastAsia"/>
                <w:color w:val="000000" w:themeColor="text1"/>
              </w:rPr>
              <w:t>公務員服務法部分條文修正草案（修正§13、14；刪除§14-2、14-3。修正重點：修正公務員禁止經營商業及投資相關規定，並增訂緩衝期間之規定；整併並修正公務員兼職規定。）</w:t>
            </w:r>
          </w:p>
        </w:tc>
        <w:tc>
          <w:tcPr>
            <w:tcW w:w="1898" w:type="dxa"/>
            <w:shd w:val="clear" w:color="auto" w:fill="auto"/>
          </w:tcPr>
          <w:p w14:paraId="0C741B8B"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 xml:space="preserve">考試院 </w:t>
            </w:r>
          </w:p>
          <w:p w14:paraId="5D51486F"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 xml:space="preserve">109.09.18 </w:t>
            </w:r>
          </w:p>
          <w:p w14:paraId="1254B939"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（10-2-1）</w:t>
            </w:r>
          </w:p>
        </w:tc>
        <w:tc>
          <w:tcPr>
            <w:tcW w:w="1549" w:type="dxa"/>
            <w:shd w:val="clear" w:color="auto" w:fill="auto"/>
          </w:tcPr>
          <w:p w14:paraId="57526C97"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司法及法制</w:t>
            </w:r>
          </w:p>
        </w:tc>
        <w:tc>
          <w:tcPr>
            <w:tcW w:w="1818" w:type="dxa"/>
            <w:shd w:val="clear" w:color="auto" w:fill="auto"/>
          </w:tcPr>
          <w:p w14:paraId="101CAF21" w14:textId="373A4AFE"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1.尚未審查</w:t>
            </w:r>
            <w:r w:rsidR="005D73E9">
              <w:rPr>
                <w:rFonts w:ascii="標楷體" w:eastAsia="標楷體" w:hAnsi="標楷體" w:hint="eastAsia"/>
                <w:color w:val="000000" w:themeColor="text1"/>
              </w:rPr>
              <w:t>。</w:t>
            </w:r>
          </w:p>
          <w:p w14:paraId="37774966"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7647A1AC"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110.12.10</w:t>
            </w:r>
          </w:p>
          <w:p w14:paraId="35123899"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（10-4-13）</w:t>
            </w:r>
          </w:p>
          <w:p w14:paraId="17121BD4"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同意撤回。</w:t>
            </w:r>
          </w:p>
        </w:tc>
      </w:tr>
      <w:tr w:rsidR="00421BB5" w:rsidRPr="00B67D9C" w14:paraId="38806ECA" w14:textId="77777777" w:rsidTr="00421BB5">
        <w:tc>
          <w:tcPr>
            <w:tcW w:w="697" w:type="dxa"/>
            <w:shd w:val="clear" w:color="auto" w:fill="auto"/>
          </w:tcPr>
          <w:p w14:paraId="34A219EB"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7</w:t>
            </w:r>
          </w:p>
        </w:tc>
        <w:tc>
          <w:tcPr>
            <w:tcW w:w="2500" w:type="dxa"/>
            <w:shd w:val="clear" w:color="auto" w:fill="auto"/>
          </w:tcPr>
          <w:p w14:paraId="49C92EFA"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color w:val="000000" w:themeColor="text1"/>
              </w:rPr>
              <w:t>公務員服務法第十一條及第二十五條條文修正草案(修正重點：因應司法院釋字第785號解釋之意旨，要求服務法應就業務性質特殊須實施輪班、輪休之機關，設定符合憲法服公職權及健康權保障之框架性規範。明訂公務員辦公時數、休息日</w:t>
            </w:r>
            <w:r w:rsidRPr="00B67D9C">
              <w:rPr>
                <w:rFonts w:ascii="標楷體" w:eastAsia="標楷體" w:hAnsi="標楷體"/>
                <w:color w:val="000000" w:themeColor="text1"/>
              </w:rPr>
              <w:lastRenderedPageBreak/>
              <w:t>數，以及延長辦公時數上限等規定；另授權相關機關訂定勤休規範。)</w:t>
            </w:r>
          </w:p>
        </w:tc>
        <w:tc>
          <w:tcPr>
            <w:tcW w:w="1898" w:type="dxa"/>
            <w:shd w:val="clear" w:color="auto" w:fill="auto"/>
          </w:tcPr>
          <w:p w14:paraId="461C0828"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lastRenderedPageBreak/>
              <w:t xml:space="preserve">考試院 </w:t>
            </w:r>
          </w:p>
          <w:p w14:paraId="3C71D07B"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110.10.22 </w:t>
            </w:r>
          </w:p>
          <w:p w14:paraId="7557D260"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（10-4-6）</w:t>
            </w:r>
          </w:p>
          <w:p w14:paraId="452EA8F5"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p>
        </w:tc>
        <w:tc>
          <w:tcPr>
            <w:tcW w:w="1549" w:type="dxa"/>
            <w:shd w:val="clear" w:color="auto" w:fill="auto"/>
          </w:tcPr>
          <w:p w14:paraId="2A14910D"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司法及法制</w:t>
            </w:r>
          </w:p>
        </w:tc>
        <w:tc>
          <w:tcPr>
            <w:tcW w:w="1818" w:type="dxa"/>
            <w:shd w:val="clear" w:color="auto" w:fill="auto"/>
          </w:tcPr>
          <w:p w14:paraId="720D7596"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w:t>
            </w:r>
            <w:r w:rsidRPr="00B67D9C">
              <w:rPr>
                <w:rFonts w:ascii="標楷體" w:eastAsia="標楷體" w:hAnsi="標楷體"/>
                <w:color w:val="000000" w:themeColor="text1"/>
              </w:rPr>
              <w:t>本會</w:t>
            </w:r>
          </w:p>
          <w:p w14:paraId="096501D8"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color w:val="000000" w:themeColor="text1"/>
              </w:rPr>
              <w:t>1</w:t>
            </w:r>
            <w:r w:rsidRPr="00B67D9C">
              <w:rPr>
                <w:rFonts w:ascii="標楷體" w:eastAsia="標楷體" w:hAnsi="標楷體" w:hint="eastAsia"/>
                <w:color w:val="000000" w:themeColor="text1"/>
              </w:rPr>
              <w:t>11</w:t>
            </w:r>
            <w:r w:rsidRPr="00B67D9C">
              <w:rPr>
                <w:rFonts w:ascii="標楷體" w:eastAsia="標楷體" w:hAnsi="標楷體"/>
                <w:color w:val="000000" w:themeColor="text1"/>
              </w:rPr>
              <w:t>.</w:t>
            </w:r>
            <w:r w:rsidRPr="00B67D9C">
              <w:rPr>
                <w:rFonts w:ascii="標楷體" w:eastAsia="標楷體" w:hAnsi="標楷體" w:hint="eastAsia"/>
                <w:color w:val="000000" w:themeColor="text1"/>
              </w:rPr>
              <w:t>4</w:t>
            </w:r>
            <w:r w:rsidRPr="00B67D9C">
              <w:rPr>
                <w:rFonts w:ascii="標楷體" w:eastAsia="標楷體" w:hAnsi="標楷體"/>
                <w:color w:val="000000" w:themeColor="text1"/>
              </w:rPr>
              <w:t>.</w:t>
            </w:r>
            <w:r w:rsidRPr="00B67D9C">
              <w:rPr>
                <w:rFonts w:ascii="標楷體" w:eastAsia="標楷體" w:hAnsi="標楷體" w:hint="eastAsia"/>
                <w:color w:val="000000" w:themeColor="text1"/>
              </w:rPr>
              <w:t>7</w:t>
            </w:r>
            <w:r w:rsidRPr="00B67D9C">
              <w:rPr>
                <w:rFonts w:ascii="標楷體" w:eastAsia="標楷體" w:hAnsi="標楷體"/>
                <w:color w:val="000000" w:themeColor="text1"/>
              </w:rPr>
              <w:t>舉行「</w:t>
            </w:r>
            <w:r w:rsidRPr="00B67D9C">
              <w:rPr>
                <w:rFonts w:ascii="標楷體" w:eastAsia="標楷體" w:hAnsi="標楷體" w:hint="eastAsia"/>
                <w:color w:val="000000" w:themeColor="text1"/>
              </w:rPr>
              <w:t>司法院釋字第785號公務員健康權入法</w:t>
            </w:r>
            <w:r w:rsidRPr="00B67D9C">
              <w:rPr>
                <w:rFonts w:ascii="標楷體" w:eastAsia="標楷體" w:hAnsi="標楷體"/>
                <w:color w:val="000000" w:themeColor="text1"/>
              </w:rPr>
              <w:t>」公聽會。</w:t>
            </w:r>
          </w:p>
          <w:p w14:paraId="030462CF"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5A4F6089"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111.4.22</w:t>
            </w:r>
          </w:p>
          <w:p w14:paraId="32375099"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（10-5-9）</w:t>
            </w:r>
          </w:p>
          <w:p w14:paraId="0F1BCC7C"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同意撤回。</w:t>
            </w:r>
          </w:p>
        </w:tc>
      </w:tr>
      <w:tr w:rsidR="00421BB5" w:rsidRPr="00B67D9C" w14:paraId="26F5C830" w14:textId="77777777" w:rsidTr="00421BB5">
        <w:tc>
          <w:tcPr>
            <w:tcW w:w="697" w:type="dxa"/>
            <w:shd w:val="clear" w:color="auto" w:fill="auto"/>
          </w:tcPr>
          <w:p w14:paraId="322708A3"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lastRenderedPageBreak/>
              <w:t>8</w:t>
            </w:r>
          </w:p>
        </w:tc>
        <w:tc>
          <w:tcPr>
            <w:tcW w:w="2500" w:type="dxa"/>
            <w:shd w:val="clear" w:color="auto" w:fill="auto"/>
          </w:tcPr>
          <w:p w14:paraId="1E83131C"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color w:val="000000" w:themeColor="text1"/>
              </w:rPr>
              <w:t>國史館函，為111年度中央政府總預算決議，檢送決議（二）預算凍結書面報告，請查照案。</w:t>
            </w:r>
          </w:p>
        </w:tc>
        <w:tc>
          <w:tcPr>
            <w:tcW w:w="1898" w:type="dxa"/>
            <w:shd w:val="clear" w:color="auto" w:fill="auto"/>
          </w:tcPr>
          <w:p w14:paraId="2580CE00"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國史館 </w:t>
            </w:r>
          </w:p>
          <w:p w14:paraId="596B8BA6"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111.04.01 </w:t>
            </w:r>
          </w:p>
          <w:p w14:paraId="0DD93B3F"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（10-5-6）</w:t>
            </w:r>
          </w:p>
        </w:tc>
        <w:tc>
          <w:tcPr>
            <w:tcW w:w="1549" w:type="dxa"/>
            <w:shd w:val="clear" w:color="auto" w:fill="auto"/>
          </w:tcPr>
          <w:p w14:paraId="61C28E7E"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司法及法制</w:t>
            </w:r>
          </w:p>
        </w:tc>
        <w:tc>
          <w:tcPr>
            <w:tcW w:w="1818" w:type="dxa"/>
            <w:shd w:val="clear" w:color="auto" w:fill="auto"/>
          </w:tcPr>
          <w:p w14:paraId="7FE150DC" w14:textId="73C4CA74"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1.尚未處理</w:t>
            </w:r>
            <w:r w:rsidR="005D73E9">
              <w:rPr>
                <w:rFonts w:ascii="標楷體" w:eastAsia="標楷體" w:hAnsi="標楷體" w:hint="eastAsia"/>
                <w:color w:val="000000" w:themeColor="text1"/>
              </w:rPr>
              <w:t>。</w:t>
            </w:r>
          </w:p>
          <w:p w14:paraId="01E80701"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3D61673D"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111.4.29</w:t>
            </w:r>
          </w:p>
          <w:p w14:paraId="5CC259A4"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（10-5-10）同意撤回。</w:t>
            </w:r>
          </w:p>
        </w:tc>
      </w:tr>
      <w:tr w:rsidR="00421BB5" w:rsidRPr="00B67D9C" w14:paraId="3DDA5A61" w14:textId="77777777" w:rsidTr="00421BB5">
        <w:tc>
          <w:tcPr>
            <w:tcW w:w="697" w:type="dxa"/>
            <w:shd w:val="clear" w:color="auto" w:fill="auto"/>
          </w:tcPr>
          <w:p w14:paraId="3E0DAA96"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9</w:t>
            </w:r>
          </w:p>
        </w:tc>
        <w:tc>
          <w:tcPr>
            <w:tcW w:w="2500" w:type="dxa"/>
            <w:shd w:val="clear" w:color="auto" w:fill="auto"/>
          </w:tcPr>
          <w:p w14:paraId="2D560B78"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color w:val="000000" w:themeColor="text1"/>
              </w:rPr>
              <w:t>公務人員保障暨培訓委員會函，為111年度中央政府總預算決議，檢送國家文官學院「一般行政」預算凍結10萬元書面報告，請查照案。</w:t>
            </w:r>
          </w:p>
        </w:tc>
        <w:tc>
          <w:tcPr>
            <w:tcW w:w="1898" w:type="dxa"/>
            <w:shd w:val="clear" w:color="auto" w:fill="auto"/>
          </w:tcPr>
          <w:p w14:paraId="5902BF4D"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rPr>
            </w:pPr>
            <w:r w:rsidRPr="00B67D9C">
              <w:rPr>
                <w:rFonts w:ascii="標楷體" w:eastAsia="標楷體" w:hAnsi="標楷體"/>
                <w:color w:val="000000" w:themeColor="text1"/>
              </w:rPr>
              <w:t xml:space="preserve">公務人員保障暨培訓委員會 </w:t>
            </w:r>
          </w:p>
          <w:p w14:paraId="5971DC77"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 xml:space="preserve">111.03.18 </w:t>
            </w:r>
          </w:p>
          <w:p w14:paraId="0023A5DD"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（10-5-4）</w:t>
            </w:r>
          </w:p>
        </w:tc>
        <w:tc>
          <w:tcPr>
            <w:tcW w:w="1549" w:type="dxa"/>
            <w:shd w:val="clear" w:color="auto" w:fill="auto"/>
          </w:tcPr>
          <w:p w14:paraId="729EC096"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司法及法制</w:t>
            </w:r>
          </w:p>
        </w:tc>
        <w:tc>
          <w:tcPr>
            <w:tcW w:w="1818" w:type="dxa"/>
            <w:shd w:val="clear" w:color="auto" w:fill="auto"/>
          </w:tcPr>
          <w:p w14:paraId="4F4F2843" w14:textId="1A6CF01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color w:val="000000" w:themeColor="text1"/>
              </w:rPr>
              <w:t>1.尚未處理</w:t>
            </w:r>
            <w:r w:rsidR="005D73E9">
              <w:rPr>
                <w:rFonts w:ascii="標楷體" w:eastAsia="標楷體" w:hAnsi="標楷體" w:hint="eastAsia"/>
                <w:color w:val="000000" w:themeColor="text1"/>
              </w:rPr>
              <w:t>。</w:t>
            </w:r>
          </w:p>
          <w:p w14:paraId="2AC87E9D"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68AE1291"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111.10.7</w:t>
            </w:r>
          </w:p>
          <w:p w14:paraId="790B3417"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（10-6-3）同意撤回。</w:t>
            </w:r>
          </w:p>
        </w:tc>
      </w:tr>
      <w:tr w:rsidR="00421BB5" w:rsidRPr="00B67D9C" w14:paraId="7B0EAACE" w14:textId="77777777" w:rsidTr="00421BB5">
        <w:tc>
          <w:tcPr>
            <w:tcW w:w="697" w:type="dxa"/>
            <w:shd w:val="clear" w:color="auto" w:fill="auto"/>
          </w:tcPr>
          <w:p w14:paraId="7CCA172C"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10</w:t>
            </w:r>
          </w:p>
        </w:tc>
        <w:tc>
          <w:tcPr>
            <w:tcW w:w="2500" w:type="dxa"/>
            <w:shd w:val="clear" w:color="auto" w:fill="auto"/>
          </w:tcPr>
          <w:p w14:paraId="6FE7EE50"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hint="eastAsia"/>
                <w:color w:val="000000" w:themeColor="text1"/>
              </w:rPr>
              <w:t>內政部組織法修正草案（共7條。修正重點：各內部單位之分工職掌，依中央行政機關組織基準法第八條第一項，另於本部處務規程定之；增設國土管理署、國家公園署。）</w:t>
            </w:r>
          </w:p>
        </w:tc>
        <w:tc>
          <w:tcPr>
            <w:tcW w:w="1898" w:type="dxa"/>
            <w:shd w:val="clear" w:color="auto" w:fill="auto"/>
          </w:tcPr>
          <w:p w14:paraId="2FAE72AB"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委員鄭天財</w:t>
            </w:r>
          </w:p>
          <w:p w14:paraId="5271CA7C"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Sra Kacaw</w:t>
            </w:r>
          </w:p>
          <w:p w14:paraId="7271D202"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 xml:space="preserve">等18人 </w:t>
            </w:r>
          </w:p>
          <w:p w14:paraId="13928433"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 xml:space="preserve">111.09.23 </w:t>
            </w:r>
          </w:p>
          <w:p w14:paraId="76E65A89"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（10-6-1）</w:t>
            </w:r>
          </w:p>
        </w:tc>
        <w:tc>
          <w:tcPr>
            <w:tcW w:w="1549" w:type="dxa"/>
            <w:shd w:val="clear" w:color="auto" w:fill="auto"/>
          </w:tcPr>
          <w:p w14:paraId="7E2C3AF1"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司法及法制、內政</w:t>
            </w:r>
          </w:p>
        </w:tc>
        <w:tc>
          <w:tcPr>
            <w:tcW w:w="1818" w:type="dxa"/>
            <w:shd w:val="clear" w:color="auto" w:fill="auto"/>
          </w:tcPr>
          <w:p w14:paraId="01DE3574" w14:textId="1BA09AE4"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1.尚未審查</w:t>
            </w:r>
            <w:r w:rsidR="005D73E9">
              <w:rPr>
                <w:rFonts w:ascii="標楷體" w:eastAsia="標楷體" w:hAnsi="標楷體" w:hint="eastAsia"/>
                <w:color w:val="000000" w:themeColor="text1"/>
              </w:rPr>
              <w:t>。</w:t>
            </w:r>
          </w:p>
          <w:p w14:paraId="44B54708"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7972D7F8"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111.10.28</w:t>
            </w:r>
          </w:p>
          <w:p w14:paraId="45D442AC"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（10-6-5）同意撤回。</w:t>
            </w:r>
          </w:p>
        </w:tc>
      </w:tr>
      <w:tr w:rsidR="00421BB5" w:rsidRPr="00B67D9C" w14:paraId="154F15CE" w14:textId="77777777" w:rsidTr="00421BB5">
        <w:tc>
          <w:tcPr>
            <w:tcW w:w="697" w:type="dxa"/>
            <w:shd w:val="clear" w:color="auto" w:fill="auto"/>
          </w:tcPr>
          <w:p w14:paraId="7CBB975E" w14:textId="77777777" w:rsidR="00421BB5" w:rsidRPr="00B67D9C" w:rsidRDefault="00421BB5" w:rsidP="00421BB5">
            <w:pPr>
              <w:wordWrap w:val="0"/>
              <w:autoSpaceDE w:val="0"/>
              <w:autoSpaceDN w:val="0"/>
              <w:snapToGrid w:val="0"/>
              <w:spacing w:line="360" w:lineRule="exact"/>
              <w:jc w:val="center"/>
              <w:rPr>
                <w:rFonts w:ascii="標楷體" w:eastAsia="標楷體" w:hAnsi="標楷體"/>
                <w:color w:val="000000" w:themeColor="text1"/>
                <w:lang w:eastAsia="ko-KR"/>
              </w:rPr>
            </w:pPr>
            <w:r w:rsidRPr="00B67D9C">
              <w:rPr>
                <w:rFonts w:ascii="標楷體" w:eastAsia="標楷體" w:hAnsi="標楷體" w:hint="eastAsia"/>
                <w:color w:val="000000" w:themeColor="text1"/>
                <w:lang w:eastAsia="ko-KR"/>
              </w:rPr>
              <w:t>11</w:t>
            </w:r>
          </w:p>
        </w:tc>
        <w:tc>
          <w:tcPr>
            <w:tcW w:w="2500" w:type="dxa"/>
            <w:shd w:val="clear" w:color="auto" w:fill="auto"/>
          </w:tcPr>
          <w:p w14:paraId="43AAFF23" w14:textId="77777777" w:rsidR="00421BB5" w:rsidRPr="00B67D9C" w:rsidRDefault="00421BB5" w:rsidP="00421BB5">
            <w:pPr>
              <w:kinsoku w:val="0"/>
              <w:wordWrap w:val="0"/>
              <w:topLinePunct/>
              <w:autoSpaceDE w:val="0"/>
              <w:autoSpaceDN w:val="0"/>
              <w:snapToGrid w:val="0"/>
              <w:jc w:val="both"/>
              <w:rPr>
                <w:rFonts w:ascii="標楷體" w:eastAsia="標楷體" w:hAnsi="標楷體"/>
                <w:color w:val="000000" w:themeColor="text1"/>
              </w:rPr>
            </w:pPr>
            <w:r w:rsidRPr="00B67D9C">
              <w:rPr>
                <w:rFonts w:ascii="標楷體" w:eastAsia="標楷體" w:hAnsi="標楷體"/>
                <w:color w:val="000000" w:themeColor="text1"/>
              </w:rPr>
              <w:t>教育人員任用條例部分條文修正草案(修正§31；增訂§31-1~3。修正重點：檢討本條例所定各類教育人員之解聘、免職及消極資格等相關規定，爰提案修正。)</w:t>
            </w:r>
          </w:p>
        </w:tc>
        <w:tc>
          <w:tcPr>
            <w:tcW w:w="1898" w:type="dxa"/>
            <w:shd w:val="clear" w:color="auto" w:fill="auto"/>
          </w:tcPr>
          <w:p w14:paraId="120AC3A6"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rPr>
            </w:pPr>
            <w:r w:rsidRPr="00B67D9C">
              <w:rPr>
                <w:rFonts w:ascii="標楷體" w:eastAsia="標楷體" w:hAnsi="標楷體"/>
                <w:color w:val="000000" w:themeColor="text1"/>
              </w:rPr>
              <w:t>委員張廖萬堅</w:t>
            </w:r>
          </w:p>
          <w:p w14:paraId="42007A4A"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rPr>
            </w:pPr>
            <w:r w:rsidRPr="00B67D9C">
              <w:rPr>
                <w:rFonts w:ascii="標楷體" w:eastAsia="標楷體" w:hAnsi="標楷體"/>
                <w:color w:val="000000" w:themeColor="text1"/>
              </w:rPr>
              <w:t>等20人</w:t>
            </w:r>
          </w:p>
          <w:p w14:paraId="2760518F"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rPr>
            </w:pPr>
            <w:r w:rsidRPr="00B67D9C">
              <w:rPr>
                <w:rFonts w:ascii="標楷體" w:eastAsia="標楷體" w:hAnsi="標楷體"/>
                <w:color w:val="000000" w:themeColor="text1"/>
              </w:rPr>
              <w:t xml:space="preserve">111.11.18 </w:t>
            </w:r>
          </w:p>
          <w:p w14:paraId="3525AB46"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rPr>
            </w:pPr>
            <w:r w:rsidRPr="00B67D9C">
              <w:rPr>
                <w:rFonts w:ascii="標楷體" w:eastAsia="標楷體" w:hAnsi="標楷體"/>
                <w:color w:val="000000" w:themeColor="text1"/>
              </w:rPr>
              <w:t>（10-6-8）</w:t>
            </w:r>
          </w:p>
        </w:tc>
        <w:tc>
          <w:tcPr>
            <w:tcW w:w="1549" w:type="dxa"/>
            <w:shd w:val="clear" w:color="auto" w:fill="auto"/>
          </w:tcPr>
          <w:p w14:paraId="01286B7C" w14:textId="77777777" w:rsidR="00421BB5" w:rsidRPr="00B67D9C" w:rsidRDefault="00421BB5" w:rsidP="00421BB5">
            <w:pPr>
              <w:wordWrap w:val="0"/>
              <w:autoSpaceDE w:val="0"/>
              <w:autoSpaceDN w:val="0"/>
              <w:snapToGrid w:val="0"/>
              <w:spacing w:line="360" w:lineRule="exact"/>
              <w:jc w:val="both"/>
              <w:rPr>
                <w:rFonts w:ascii="標楷體" w:eastAsia="標楷體" w:hAnsi="標楷體"/>
                <w:color w:val="000000" w:themeColor="text1"/>
                <w:lang w:eastAsia="ko-KR"/>
              </w:rPr>
            </w:pPr>
            <w:r w:rsidRPr="00B67D9C">
              <w:rPr>
                <w:rFonts w:ascii="標楷體" w:eastAsia="標楷體" w:hAnsi="標楷體"/>
                <w:color w:val="000000" w:themeColor="text1"/>
                <w:lang w:eastAsia="ko-KR"/>
              </w:rPr>
              <w:t>司法及法制、教育及文化</w:t>
            </w:r>
          </w:p>
        </w:tc>
        <w:tc>
          <w:tcPr>
            <w:tcW w:w="1818" w:type="dxa"/>
            <w:shd w:val="clear" w:color="auto" w:fill="auto"/>
          </w:tcPr>
          <w:p w14:paraId="06B0195D" w14:textId="0F1E72AA"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1.尚未審查</w:t>
            </w:r>
            <w:r w:rsidR="005D73E9">
              <w:rPr>
                <w:rFonts w:ascii="標楷體" w:eastAsia="標楷體" w:hAnsi="標楷體" w:hint="eastAsia"/>
                <w:color w:val="000000" w:themeColor="text1"/>
              </w:rPr>
              <w:t>。</w:t>
            </w:r>
          </w:p>
          <w:p w14:paraId="2CC9C9CC" w14:textId="77777777" w:rsidR="00421BB5" w:rsidRPr="00B67D9C" w:rsidRDefault="00421BB5" w:rsidP="00421BB5">
            <w:pPr>
              <w:adjustRightInd w:val="0"/>
              <w:snapToGrid w:val="0"/>
              <w:spacing w:line="300" w:lineRule="exact"/>
              <w:ind w:left="240" w:hangingChars="100" w:hanging="240"/>
              <w:textAlignment w:val="baseline"/>
              <w:rPr>
                <w:rFonts w:ascii="標楷體" w:eastAsia="標楷體" w:hAnsi="標楷體"/>
                <w:color w:val="000000" w:themeColor="text1"/>
              </w:rPr>
            </w:pPr>
            <w:r w:rsidRPr="00B67D9C">
              <w:rPr>
                <w:rFonts w:ascii="標楷體" w:eastAsia="標楷體" w:hAnsi="標楷體" w:hint="eastAsia"/>
                <w:color w:val="000000" w:themeColor="text1"/>
              </w:rPr>
              <w:t>2.院會</w:t>
            </w:r>
          </w:p>
          <w:p w14:paraId="544F6140" w14:textId="77777777" w:rsidR="00421BB5" w:rsidRPr="00B67D9C" w:rsidRDefault="00421BB5" w:rsidP="00421BB5">
            <w:pPr>
              <w:adjustRightInd w:val="0"/>
              <w:snapToGrid w:val="0"/>
              <w:spacing w:line="300" w:lineRule="exact"/>
              <w:ind w:leftChars="100" w:left="240" w:firstLineChars="2" w:firstLine="5"/>
              <w:textAlignment w:val="baseline"/>
              <w:rPr>
                <w:rFonts w:ascii="標楷體" w:eastAsia="標楷體" w:hAnsi="標楷體"/>
                <w:color w:val="000000" w:themeColor="text1"/>
              </w:rPr>
            </w:pPr>
            <w:r w:rsidRPr="00B67D9C">
              <w:rPr>
                <w:rFonts w:ascii="標楷體" w:eastAsia="標楷體" w:hAnsi="標楷體" w:hint="eastAsia"/>
                <w:color w:val="000000" w:themeColor="text1"/>
              </w:rPr>
              <w:t>111.12.9</w:t>
            </w:r>
          </w:p>
          <w:p w14:paraId="0452B70C"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（10-6-11）</w:t>
            </w:r>
          </w:p>
          <w:p w14:paraId="7444FA9C" w14:textId="77777777" w:rsidR="00421BB5" w:rsidRPr="00B67D9C" w:rsidRDefault="00421BB5" w:rsidP="00421BB5">
            <w:pPr>
              <w:adjustRightInd w:val="0"/>
              <w:snapToGrid w:val="0"/>
              <w:spacing w:line="300" w:lineRule="exact"/>
              <w:ind w:leftChars="96" w:left="237" w:hangingChars="3" w:hanging="7"/>
              <w:textAlignment w:val="baseline"/>
              <w:rPr>
                <w:rFonts w:ascii="標楷體" w:eastAsia="標楷體" w:hAnsi="標楷體"/>
                <w:color w:val="000000" w:themeColor="text1"/>
              </w:rPr>
            </w:pPr>
            <w:r w:rsidRPr="00B67D9C">
              <w:rPr>
                <w:rFonts w:ascii="標楷體" w:eastAsia="標楷體" w:hAnsi="標楷體" w:hint="eastAsia"/>
                <w:color w:val="000000" w:themeColor="text1"/>
              </w:rPr>
              <w:t>同意撤回。</w:t>
            </w:r>
          </w:p>
        </w:tc>
      </w:tr>
    </w:tbl>
    <w:p w14:paraId="16043F4E" w14:textId="77777777" w:rsidR="00421BB5" w:rsidRPr="00B67D9C" w:rsidRDefault="00421BB5" w:rsidP="005D30E8">
      <w:pPr>
        <w:numPr>
          <w:ilvl w:val="0"/>
          <w:numId w:val="14"/>
        </w:numPr>
        <w:snapToGrid w:val="0"/>
        <w:spacing w:beforeLines="100" w:before="360" w:afterLines="100" w:after="360" w:line="260" w:lineRule="exact"/>
        <w:ind w:left="1146" w:hanging="862"/>
        <w:jc w:val="both"/>
        <w:outlineLvl w:val="1"/>
        <w:rPr>
          <w:rFonts w:ascii="標楷體" w:eastAsia="標楷體" w:hAnsi="標楷體"/>
          <w:b/>
          <w:color w:val="000000" w:themeColor="text1"/>
          <w:sz w:val="28"/>
          <w:szCs w:val="28"/>
        </w:rPr>
      </w:pPr>
      <w:bookmarkStart w:id="493" w:name="_Toc96350553"/>
      <w:r w:rsidRPr="00B67D9C">
        <w:rPr>
          <w:rFonts w:ascii="標楷體" w:eastAsia="標楷體" w:hAnsi="標楷體" w:hint="eastAsia"/>
          <w:b/>
          <w:color w:val="000000" w:themeColor="text1"/>
          <w:sz w:val="28"/>
          <w:szCs w:val="28"/>
        </w:rPr>
        <w:t>院會同意改交其他委員會</w:t>
      </w:r>
      <w:r w:rsidRPr="00B67D9C">
        <w:rPr>
          <w:rFonts w:ascii="標楷體" w:eastAsia="標楷體" w:hAnsi="標楷體"/>
          <w:b/>
          <w:color w:val="000000" w:themeColor="text1"/>
          <w:sz w:val="28"/>
          <w:szCs w:val="28"/>
        </w:rPr>
        <w:t>議案</w:t>
      </w:r>
      <w:r w:rsidRPr="00B67D9C">
        <w:rPr>
          <w:rFonts w:ascii="標楷體" w:eastAsia="標楷體" w:hAnsi="標楷體" w:hint="eastAsia"/>
          <w:b/>
          <w:color w:val="000000" w:themeColor="text1"/>
          <w:sz w:val="28"/>
          <w:szCs w:val="28"/>
        </w:rPr>
        <w:t>0</w:t>
      </w:r>
      <w:r w:rsidRPr="00B67D9C">
        <w:rPr>
          <w:rFonts w:ascii="標楷體" w:eastAsia="標楷體" w:hAnsi="標楷體"/>
          <w:b/>
          <w:color w:val="000000" w:themeColor="text1"/>
          <w:sz w:val="28"/>
          <w:szCs w:val="28"/>
        </w:rPr>
        <w:t>案</w:t>
      </w:r>
      <w:bookmarkEnd w:id="493"/>
    </w:p>
    <w:p w14:paraId="3BFD410B" w14:textId="77777777" w:rsidR="00421BB5" w:rsidRPr="00B67D9C" w:rsidRDefault="00421BB5" w:rsidP="00421BB5">
      <w:pPr>
        <w:rPr>
          <w:color w:val="000000" w:themeColor="text1"/>
        </w:rPr>
      </w:pPr>
    </w:p>
    <w:p w14:paraId="7DB51530" w14:textId="77777777" w:rsidR="00421BB5" w:rsidRPr="00B67D9C" w:rsidRDefault="00421BB5" w:rsidP="00421BB5">
      <w:pPr>
        <w:snapToGrid w:val="0"/>
        <w:spacing w:line="490" w:lineRule="exact"/>
        <w:jc w:val="both"/>
        <w:rPr>
          <w:rFonts w:ascii="標楷體" w:eastAsia="標楷體" w:hAnsi="標楷體"/>
          <w:color w:val="000000" w:themeColor="text1"/>
          <w:sz w:val="28"/>
          <w:szCs w:val="28"/>
        </w:rPr>
      </w:pPr>
    </w:p>
    <w:p w14:paraId="26FADC9B" w14:textId="77777777" w:rsidR="00421BB5" w:rsidRPr="00B67D9C" w:rsidRDefault="00421BB5"/>
    <w:p w14:paraId="4E4F5FC3" w14:textId="77777777" w:rsidR="00421BB5" w:rsidRDefault="00421BB5" w:rsidP="004E0094">
      <w:pPr>
        <w:keepNext/>
        <w:spacing w:beforeLines="100" w:before="360" w:afterLines="100" w:after="360" w:line="500" w:lineRule="exact"/>
        <w:jc w:val="both"/>
        <w:rPr>
          <w:rFonts w:ascii="標楷體" w:eastAsia="標楷體" w:hAnsi="標楷體"/>
          <w:color w:val="000000" w:themeColor="text1"/>
          <w:sz w:val="28"/>
          <w:szCs w:val="28"/>
        </w:rPr>
        <w:sectPr w:rsidR="00421BB5" w:rsidSect="00EB3514">
          <w:pgSz w:w="11906" w:h="16838" w:code="9"/>
          <w:pgMar w:top="993" w:right="1701" w:bottom="1134" w:left="1701" w:header="851" w:footer="992" w:gutter="0"/>
          <w:cols w:space="425"/>
          <w:docGrid w:type="lines" w:linePitch="360"/>
        </w:sectPr>
      </w:pPr>
    </w:p>
    <w:p w14:paraId="4F9A5BEE" w14:textId="77777777" w:rsidR="00421BB5" w:rsidRPr="00D65AED" w:rsidRDefault="00421BB5" w:rsidP="00421BB5">
      <w:pPr>
        <w:keepNext/>
        <w:spacing w:beforeLines="100" w:before="360" w:afterLines="100" w:after="360" w:line="500" w:lineRule="exact"/>
        <w:jc w:val="both"/>
        <w:outlineLvl w:val="0"/>
        <w:rPr>
          <w:rFonts w:ascii="標楷體" w:eastAsia="標楷體" w:hAnsi="標楷體"/>
          <w:b/>
          <w:noProof/>
          <w:color w:val="000000"/>
          <w:sz w:val="32"/>
          <w:szCs w:val="32"/>
        </w:rPr>
      </w:pPr>
      <w:bookmarkStart w:id="494" w:name="_Toc1401116"/>
      <w:bookmarkStart w:id="495" w:name="_Toc96350554"/>
      <w:r w:rsidRPr="00D65AED">
        <w:rPr>
          <w:rFonts w:ascii="標楷體" w:eastAsia="標楷體" w:hAnsi="標楷體"/>
          <w:b/>
          <w:bCs/>
          <w:noProof/>
          <w:color w:val="000000"/>
          <w:kern w:val="52"/>
          <w:sz w:val="32"/>
          <w:szCs w:val="32"/>
        </w:rPr>
        <w:lastRenderedPageBreak/>
        <w:t>附錄</w:t>
      </w:r>
      <w:bookmarkEnd w:id="494"/>
      <w:r w:rsidRPr="00D65AED">
        <w:rPr>
          <w:rFonts w:ascii="標楷體" w:eastAsia="標楷體" w:hAnsi="標楷體" w:hint="eastAsia"/>
          <w:b/>
          <w:noProof/>
          <w:color w:val="000000"/>
          <w:sz w:val="32"/>
          <w:szCs w:val="32"/>
        </w:rPr>
        <w:t>［壹］本會期歷次會議議事錄</w:t>
      </w:r>
      <w:bookmarkEnd w:id="495"/>
    </w:p>
    <w:p w14:paraId="6FC5A368" w14:textId="77777777" w:rsidR="00421BB5" w:rsidRPr="00D65AED" w:rsidRDefault="00421BB5" w:rsidP="007015C7">
      <w:pPr>
        <w:keepNext/>
        <w:numPr>
          <w:ilvl w:val="0"/>
          <w:numId w:val="24"/>
        </w:numPr>
        <w:spacing w:beforeLines="100" w:before="360" w:afterLines="100" w:after="360" w:line="500" w:lineRule="exact"/>
        <w:jc w:val="both"/>
        <w:outlineLvl w:val="1"/>
        <w:rPr>
          <w:rFonts w:ascii="標楷體" w:eastAsia="標楷體" w:hAnsi="標楷體"/>
          <w:b/>
          <w:noProof/>
          <w:color w:val="000000"/>
          <w:sz w:val="32"/>
          <w:szCs w:val="32"/>
        </w:rPr>
      </w:pPr>
      <w:bookmarkStart w:id="496" w:name="_Toc96350555"/>
      <w:r w:rsidRPr="00D65AED">
        <w:rPr>
          <w:rFonts w:ascii="標楷體" w:eastAsia="標楷體" w:hAnsi="標楷體" w:hint="eastAsia"/>
          <w:b/>
          <w:noProof/>
          <w:color w:val="000000"/>
          <w:sz w:val="32"/>
          <w:szCs w:val="32"/>
        </w:rPr>
        <w:t>召集委員會議議事錄</w:t>
      </w:r>
      <w:bookmarkEnd w:id="496"/>
    </w:p>
    <w:p w14:paraId="0C1AC6D8" w14:textId="77777777" w:rsidR="00421BB5" w:rsidRPr="00D65AED" w:rsidRDefault="00421BB5" w:rsidP="00421BB5">
      <w:pPr>
        <w:snapToGrid w:val="0"/>
        <w:spacing w:line="500" w:lineRule="exact"/>
        <w:ind w:rightChars="-139" w:right="-334"/>
        <w:jc w:val="both"/>
        <w:outlineLvl w:val="2"/>
        <w:rPr>
          <w:rFonts w:ascii="標楷體" w:eastAsia="標楷體" w:hAnsi="標楷體"/>
          <w:b/>
          <w:spacing w:val="-8"/>
          <w:sz w:val="28"/>
          <w:szCs w:val="28"/>
        </w:rPr>
      </w:pPr>
      <w:r w:rsidRPr="00D65AED">
        <w:rPr>
          <w:rFonts w:ascii="標楷體" w:eastAsia="標楷體" w:hAnsi="標楷體"/>
          <w:b/>
          <w:spacing w:val="-8"/>
          <w:sz w:val="28"/>
          <w:szCs w:val="28"/>
        </w:rPr>
        <w:t>立法院第</w:t>
      </w:r>
      <w:r w:rsidRPr="00D65AED">
        <w:rPr>
          <w:rFonts w:ascii="標楷體" w:eastAsia="標楷體" w:hAnsi="標楷體" w:hint="eastAsia"/>
          <w:b/>
          <w:spacing w:val="-8"/>
          <w:sz w:val="28"/>
          <w:szCs w:val="28"/>
        </w:rPr>
        <w:t>10</w:t>
      </w:r>
      <w:r w:rsidRPr="00D65AED">
        <w:rPr>
          <w:rFonts w:ascii="標楷體" w:eastAsia="標楷體" w:hAnsi="標楷體"/>
          <w:b/>
          <w:spacing w:val="-8"/>
          <w:sz w:val="28"/>
          <w:szCs w:val="28"/>
        </w:rPr>
        <w:t>屆第</w:t>
      </w:r>
      <w:r w:rsidRPr="00D65AED">
        <w:rPr>
          <w:rFonts w:ascii="標楷體" w:eastAsia="標楷體" w:hAnsi="標楷體" w:hint="eastAsia"/>
          <w:b/>
          <w:spacing w:val="-8"/>
          <w:sz w:val="28"/>
          <w:szCs w:val="28"/>
        </w:rPr>
        <w:t>6會</w:t>
      </w:r>
      <w:r w:rsidRPr="00D65AED">
        <w:rPr>
          <w:rFonts w:ascii="標楷體" w:eastAsia="標楷體" w:hAnsi="標楷體"/>
          <w:b/>
          <w:spacing w:val="-8"/>
          <w:sz w:val="28"/>
          <w:szCs w:val="28"/>
        </w:rPr>
        <w:t>期司法及法制委員會第1次召集委員會議議</w:t>
      </w:r>
      <w:r w:rsidRPr="00D65AED">
        <w:rPr>
          <w:rFonts w:ascii="標楷體" w:eastAsia="標楷體" w:hAnsi="標楷體" w:hint="eastAsia"/>
          <w:b/>
          <w:spacing w:val="-8"/>
          <w:sz w:val="28"/>
          <w:szCs w:val="28"/>
        </w:rPr>
        <w:t>事錄</w:t>
      </w:r>
    </w:p>
    <w:p w14:paraId="7A4AFBE5" w14:textId="77777777" w:rsidR="00421BB5" w:rsidRPr="00D65AED" w:rsidRDefault="00421BB5" w:rsidP="00421BB5">
      <w:pPr>
        <w:snapToGrid w:val="0"/>
        <w:spacing w:line="500" w:lineRule="exact"/>
        <w:ind w:left="1418" w:rightChars="-139" w:right="-334" w:hanging="1418"/>
        <w:jc w:val="both"/>
        <w:rPr>
          <w:rFonts w:ascii="標楷體" w:eastAsia="標楷體" w:hAnsi="標楷體"/>
          <w:spacing w:val="-10"/>
          <w:sz w:val="28"/>
          <w:szCs w:val="28"/>
        </w:rPr>
      </w:pPr>
      <w:r w:rsidRPr="00D65AED">
        <w:rPr>
          <w:rFonts w:ascii="標楷體" w:eastAsia="標楷體" w:hAnsi="標楷體"/>
          <w:sz w:val="28"/>
          <w:szCs w:val="28"/>
        </w:rPr>
        <w:t>時    間：</w:t>
      </w:r>
      <w:r w:rsidRPr="00D65AED">
        <w:rPr>
          <w:rFonts w:ascii="標楷體" w:eastAsia="標楷體" w:hAnsi="標楷體"/>
          <w:spacing w:val="-10"/>
          <w:sz w:val="28"/>
          <w:szCs w:val="28"/>
        </w:rPr>
        <w:t>中華民國111</w:t>
      </w:r>
      <w:r w:rsidRPr="00D65AED">
        <w:rPr>
          <w:rFonts w:ascii="標楷體" w:eastAsia="標楷體" w:hAnsi="標楷體" w:hint="eastAsia"/>
          <w:spacing w:val="-10"/>
          <w:sz w:val="28"/>
          <w:szCs w:val="28"/>
        </w:rPr>
        <w:t>年9</w:t>
      </w:r>
      <w:r w:rsidRPr="00D65AED">
        <w:rPr>
          <w:rFonts w:ascii="標楷體" w:eastAsia="標楷體" w:hAnsi="標楷體"/>
          <w:spacing w:val="-10"/>
          <w:sz w:val="28"/>
          <w:szCs w:val="28"/>
        </w:rPr>
        <w:t>月</w:t>
      </w:r>
      <w:r w:rsidRPr="00D65AED">
        <w:rPr>
          <w:rFonts w:ascii="標楷體" w:eastAsia="標楷體" w:hAnsi="標楷體" w:hint="eastAsia"/>
          <w:spacing w:val="-10"/>
          <w:sz w:val="28"/>
          <w:szCs w:val="28"/>
        </w:rPr>
        <w:t>2</w:t>
      </w:r>
      <w:r w:rsidRPr="00D65AED">
        <w:rPr>
          <w:rFonts w:ascii="標楷體" w:eastAsia="標楷體" w:hAnsi="標楷體"/>
          <w:spacing w:val="-10"/>
          <w:sz w:val="28"/>
          <w:szCs w:val="28"/>
        </w:rPr>
        <w:t>8日（星期</w:t>
      </w:r>
      <w:r w:rsidRPr="00D65AED">
        <w:rPr>
          <w:rFonts w:ascii="標楷體" w:eastAsia="標楷體" w:hAnsi="標楷體" w:hint="eastAsia"/>
          <w:spacing w:val="-10"/>
          <w:sz w:val="28"/>
          <w:szCs w:val="28"/>
        </w:rPr>
        <w:t>三</w:t>
      </w:r>
      <w:r w:rsidRPr="00D65AED">
        <w:rPr>
          <w:rFonts w:ascii="標楷體" w:eastAsia="標楷體" w:hAnsi="標楷體"/>
          <w:spacing w:val="-10"/>
          <w:sz w:val="28"/>
          <w:szCs w:val="28"/>
        </w:rPr>
        <w:t>）</w:t>
      </w:r>
      <w:r w:rsidRPr="00D65AED">
        <w:rPr>
          <w:rFonts w:ascii="標楷體" w:eastAsia="標楷體" w:hAnsi="標楷體" w:hint="eastAsia"/>
          <w:spacing w:val="-10"/>
          <w:sz w:val="28"/>
          <w:szCs w:val="28"/>
        </w:rPr>
        <w:t>上</w:t>
      </w:r>
      <w:r w:rsidRPr="00D65AED">
        <w:rPr>
          <w:rFonts w:ascii="標楷體" w:eastAsia="標楷體" w:hAnsi="標楷體"/>
          <w:spacing w:val="-10"/>
          <w:sz w:val="28"/>
          <w:szCs w:val="28"/>
        </w:rPr>
        <w:t>午</w:t>
      </w:r>
      <w:r w:rsidRPr="00D65AED">
        <w:rPr>
          <w:rFonts w:ascii="標楷體" w:eastAsia="標楷體" w:hAnsi="標楷體" w:hint="eastAsia"/>
          <w:spacing w:val="-10"/>
          <w:sz w:val="28"/>
          <w:szCs w:val="28"/>
        </w:rPr>
        <w:t>9時7分至9時13分</w:t>
      </w:r>
    </w:p>
    <w:p w14:paraId="29AE7F92" w14:textId="77777777" w:rsidR="00421BB5" w:rsidRPr="00D65AED" w:rsidRDefault="00421BB5" w:rsidP="00421BB5">
      <w:pPr>
        <w:snapToGrid w:val="0"/>
        <w:spacing w:line="500" w:lineRule="exact"/>
        <w:ind w:rightChars="-21" w:right="-50"/>
        <w:jc w:val="both"/>
        <w:rPr>
          <w:rFonts w:ascii="標楷體" w:eastAsia="標楷體" w:hAnsi="標楷體"/>
          <w:sz w:val="28"/>
          <w:szCs w:val="28"/>
        </w:rPr>
      </w:pPr>
      <w:r w:rsidRPr="00D65AED">
        <w:rPr>
          <w:rFonts w:ascii="標楷體" w:eastAsia="標楷體" w:hAnsi="標楷體"/>
          <w:sz w:val="28"/>
          <w:szCs w:val="28"/>
        </w:rPr>
        <w:t>地    點：本院紅樓302會議室</w:t>
      </w:r>
    </w:p>
    <w:p w14:paraId="2660D5CA" w14:textId="77777777" w:rsidR="00421BB5" w:rsidRPr="00D65AED" w:rsidRDefault="00421BB5" w:rsidP="00421BB5">
      <w:pPr>
        <w:snapToGrid w:val="0"/>
        <w:spacing w:line="500" w:lineRule="exact"/>
        <w:ind w:left="1400" w:rightChars="-21" w:right="-50" w:hangingChars="500" w:hanging="1400"/>
        <w:jc w:val="both"/>
        <w:rPr>
          <w:rFonts w:ascii="標楷體" w:eastAsia="標楷體" w:hAnsi="標楷體"/>
          <w:sz w:val="28"/>
          <w:szCs w:val="28"/>
        </w:rPr>
      </w:pPr>
      <w:r w:rsidRPr="00D65AED">
        <w:rPr>
          <w:rFonts w:ascii="標楷體" w:eastAsia="標楷體" w:hAnsi="標楷體"/>
          <w:sz w:val="28"/>
          <w:szCs w:val="28"/>
        </w:rPr>
        <w:t>出席召集委員：</w:t>
      </w: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p w14:paraId="6BF66060" w14:textId="77777777" w:rsidR="00421BB5" w:rsidRPr="00D65AED" w:rsidRDefault="00421BB5" w:rsidP="00421BB5">
      <w:pPr>
        <w:snapToGrid w:val="0"/>
        <w:spacing w:line="500" w:lineRule="exact"/>
        <w:ind w:rightChars="-21" w:right="-50"/>
        <w:jc w:val="both"/>
        <w:rPr>
          <w:rFonts w:ascii="標楷體" w:eastAsia="標楷體" w:hAnsi="標楷體"/>
          <w:sz w:val="28"/>
          <w:szCs w:val="28"/>
        </w:rPr>
      </w:pPr>
      <w:r w:rsidRPr="00D65AED">
        <w:rPr>
          <w:rFonts w:ascii="標楷體" w:eastAsia="標楷體" w:hAnsi="標楷體"/>
          <w:sz w:val="28"/>
          <w:szCs w:val="28"/>
        </w:rPr>
        <w:t>列席人員：本會全體職員</w:t>
      </w:r>
    </w:p>
    <w:p w14:paraId="65DC3357" w14:textId="77777777" w:rsidR="00421BB5" w:rsidRPr="00D65AED" w:rsidRDefault="00421BB5" w:rsidP="00421BB5">
      <w:pPr>
        <w:snapToGrid w:val="0"/>
        <w:spacing w:beforeLines="50" w:before="180" w:line="500" w:lineRule="exact"/>
        <w:ind w:rightChars="-21" w:right="-50" w:firstLineChars="400" w:firstLine="1121"/>
        <w:jc w:val="both"/>
        <w:rPr>
          <w:rFonts w:ascii="標楷體" w:eastAsia="標楷體" w:hAnsi="標楷體"/>
          <w:b/>
          <w:sz w:val="28"/>
          <w:szCs w:val="28"/>
        </w:rPr>
      </w:pPr>
      <w:r w:rsidRPr="00D65AED">
        <w:rPr>
          <w:rFonts w:ascii="標楷體" w:eastAsia="標楷體" w:hAnsi="標楷體"/>
          <w:b/>
          <w:sz w:val="28"/>
          <w:szCs w:val="28"/>
        </w:rPr>
        <w:t>報  告  事  項</w:t>
      </w:r>
    </w:p>
    <w:p w14:paraId="4BAA832C" w14:textId="77777777" w:rsidR="00421BB5" w:rsidRPr="00D65AED" w:rsidRDefault="00421BB5" w:rsidP="00421BB5">
      <w:pPr>
        <w:pStyle w:val="a9"/>
        <w:kinsoku w:val="0"/>
        <w:autoSpaceDE w:val="0"/>
        <w:autoSpaceDN w:val="0"/>
        <w:ind w:left="574" w:rightChars="-21" w:right="-50" w:hangingChars="205" w:hanging="574"/>
        <w:rPr>
          <w:snapToGrid w:val="0"/>
          <w:kern w:val="0"/>
        </w:rPr>
      </w:pPr>
      <w:r w:rsidRPr="00D65AED">
        <w:rPr>
          <w:rFonts w:hint="eastAsia"/>
          <w:snapToGrid w:val="0"/>
          <w:kern w:val="0"/>
        </w:rPr>
        <w:t>一、</w:t>
      </w:r>
      <w:r w:rsidRPr="00D65AED">
        <w:rPr>
          <w:snapToGrid w:val="0"/>
          <w:kern w:val="0"/>
        </w:rPr>
        <w:t>本會邀請法務部部長、行政院人事行政總處人事長、考選部部長、銓敘部部長、公務人員保障暨培訓委員會主任委員等</w:t>
      </w:r>
      <w:r w:rsidRPr="00D65AED">
        <w:rPr>
          <w:rFonts w:hint="eastAsia"/>
          <w:snapToGrid w:val="0"/>
          <w:kern w:val="0"/>
        </w:rPr>
        <w:t>列席</w:t>
      </w:r>
      <w:r w:rsidRPr="00D65AED">
        <w:rPr>
          <w:snapToGrid w:val="0"/>
          <w:kern w:val="0"/>
        </w:rPr>
        <w:t>業務報告並備</w:t>
      </w:r>
      <w:r w:rsidRPr="00D65AED">
        <w:rPr>
          <w:rFonts w:hint="eastAsia"/>
          <w:snapToGrid w:val="0"/>
          <w:kern w:val="0"/>
        </w:rPr>
        <w:t>質</w:t>
      </w:r>
      <w:r w:rsidRPr="00D65AED">
        <w:rPr>
          <w:snapToGrid w:val="0"/>
          <w:kern w:val="0"/>
        </w:rPr>
        <w:t>詢，及擬定本會期立法計畫，</w:t>
      </w:r>
      <w:r w:rsidRPr="00D65AED">
        <w:rPr>
          <w:rFonts w:hint="eastAsia"/>
          <w:snapToGrid w:val="0"/>
          <w:kern w:val="0"/>
        </w:rPr>
        <w:t>並得邀請司法院及監察院秘書長列席說明</w:t>
      </w:r>
      <w:r w:rsidRPr="00D65AED">
        <w:rPr>
          <w:snapToGrid w:val="0"/>
          <w:kern w:val="0"/>
        </w:rPr>
        <w:t>立法計畫，依例由輪值召集委員排定。</w:t>
      </w:r>
    </w:p>
    <w:p w14:paraId="6776FE68" w14:textId="77777777" w:rsidR="00421BB5" w:rsidRPr="00D65AED" w:rsidRDefault="00421BB5" w:rsidP="00421BB5">
      <w:pPr>
        <w:pStyle w:val="a9"/>
        <w:kinsoku w:val="0"/>
        <w:autoSpaceDE w:val="0"/>
        <w:autoSpaceDN w:val="0"/>
        <w:ind w:left="574" w:rightChars="-21" w:right="-50" w:hangingChars="205" w:hanging="574"/>
      </w:pPr>
      <w:r w:rsidRPr="00D65AED">
        <w:rPr>
          <w:rFonts w:hint="eastAsia"/>
        </w:rPr>
        <w:t>二、</w:t>
      </w:r>
      <w:r w:rsidRPr="00D65AED">
        <w:t>本會召開公聽會，邀請學者專家，由輪值召集委員決定。</w:t>
      </w:r>
    </w:p>
    <w:p w14:paraId="5B0ACA4D" w14:textId="77777777" w:rsidR="00421BB5" w:rsidRPr="00D65AED" w:rsidRDefault="00421BB5" w:rsidP="00421BB5">
      <w:pPr>
        <w:pStyle w:val="a9"/>
        <w:kinsoku w:val="0"/>
        <w:autoSpaceDE w:val="0"/>
        <w:ind w:left="574" w:rightChars="-21" w:right="-50" w:hangingChars="205" w:hanging="574"/>
      </w:pPr>
      <w:r w:rsidRPr="00D65AED">
        <w:rPr>
          <w:rFonts w:hint="eastAsia"/>
        </w:rPr>
        <w:t>三、</w:t>
      </w:r>
      <w:r w:rsidRPr="00D65AED">
        <w:t>本會與相關</w:t>
      </w:r>
      <w:r w:rsidRPr="00D65AED">
        <w:rPr>
          <w:rFonts w:hint="eastAsia"/>
        </w:rPr>
        <w:t>院</w:t>
      </w:r>
      <w:r w:rsidRPr="00D65AED">
        <w:t>部會協調聯繫經費，</w:t>
      </w:r>
      <w:r w:rsidRPr="00D65AED">
        <w:rPr>
          <w:snapToGrid w:val="0"/>
          <w:kern w:val="0"/>
        </w:rPr>
        <w:t>依例每會期</w:t>
      </w:r>
      <w:r w:rsidRPr="00D65AED">
        <w:t>每位召</w:t>
      </w:r>
      <w:r w:rsidRPr="00D65AED">
        <w:rPr>
          <w:rFonts w:hint="eastAsia"/>
        </w:rPr>
        <w:t>集</w:t>
      </w:r>
      <w:r w:rsidRPr="00D65AED">
        <w:t>委</w:t>
      </w:r>
      <w:r w:rsidRPr="00D65AED">
        <w:rPr>
          <w:rFonts w:hint="eastAsia"/>
        </w:rPr>
        <w:t>員</w:t>
      </w:r>
      <w:r w:rsidRPr="00D65AED">
        <w:t>6</w:t>
      </w:r>
      <w:r w:rsidRPr="00D65AED">
        <w:t>萬元，由</w:t>
      </w:r>
      <w:r w:rsidRPr="00D65AED">
        <w:t>2</w:t>
      </w:r>
      <w:r w:rsidRPr="00D65AED">
        <w:t>位召集委員協商後動支。</w:t>
      </w:r>
    </w:p>
    <w:p w14:paraId="47FFC2BD" w14:textId="77777777" w:rsidR="00421BB5" w:rsidRPr="00D65AED" w:rsidRDefault="00421BB5" w:rsidP="00421BB5">
      <w:pPr>
        <w:pStyle w:val="a9"/>
        <w:kinsoku w:val="0"/>
        <w:autoSpaceDE w:val="0"/>
        <w:autoSpaceDN w:val="0"/>
        <w:ind w:left="574" w:rightChars="-21" w:right="-50" w:hangingChars="205" w:hanging="574"/>
      </w:pPr>
      <w:r w:rsidRPr="00D65AED">
        <w:rPr>
          <w:rFonts w:hint="eastAsia"/>
        </w:rPr>
        <w:t>四、</w:t>
      </w:r>
      <w:r w:rsidRPr="00D65AED">
        <w:t>議事處理，依例：</w:t>
      </w:r>
    </w:p>
    <w:p w14:paraId="39DEB38A" w14:textId="77777777" w:rsidR="00421BB5" w:rsidRPr="00D65AED" w:rsidRDefault="00421BB5" w:rsidP="00421BB5">
      <w:pPr>
        <w:pStyle w:val="a9"/>
        <w:ind w:leftChars="199" w:left="1318" w:rightChars="-21" w:right="-50" w:hangingChars="300" w:hanging="840"/>
      </w:pPr>
      <w:r w:rsidRPr="00D65AED">
        <w:t>（一）本會開會時間為上午</w:t>
      </w:r>
      <w:r w:rsidRPr="00D65AED">
        <w:t>9</w:t>
      </w:r>
      <w:r w:rsidRPr="00D65AED">
        <w:t>時至</w:t>
      </w:r>
      <w:r w:rsidRPr="00D65AED">
        <w:t>12</w:t>
      </w:r>
      <w:r w:rsidRPr="00D65AED">
        <w:t>時，下午</w:t>
      </w:r>
      <w:r w:rsidRPr="00D65AED">
        <w:t>2</w:t>
      </w:r>
      <w:r w:rsidRPr="00D65AED">
        <w:t>時</w:t>
      </w:r>
      <w:r w:rsidRPr="00D65AED">
        <w:t>30</w:t>
      </w:r>
      <w:r w:rsidRPr="00D65AED">
        <w:t>分至</w:t>
      </w:r>
      <w:r w:rsidRPr="00D65AED">
        <w:t>5</w:t>
      </w:r>
      <w:r w:rsidRPr="00D65AED">
        <w:t>時</w:t>
      </w:r>
      <w:r w:rsidRPr="00D65AED">
        <w:t>30</w:t>
      </w:r>
      <w:r w:rsidRPr="00D65AED">
        <w:t>分。</w:t>
      </w:r>
    </w:p>
    <w:p w14:paraId="2F9A77AC" w14:textId="77777777" w:rsidR="00421BB5" w:rsidRPr="00D65AED" w:rsidRDefault="00421BB5" w:rsidP="00421BB5">
      <w:pPr>
        <w:pStyle w:val="a9"/>
        <w:ind w:left="1333" w:rightChars="-21" w:right="-50" w:firstLineChars="0" w:hanging="851"/>
      </w:pPr>
      <w:r w:rsidRPr="00D65AED">
        <w:rPr>
          <w:rFonts w:hint="eastAsia"/>
        </w:rPr>
        <w:t>（二）</w:t>
      </w:r>
      <w:r w:rsidRPr="00D65AED">
        <w:t>委員開會簽到，於散會前在會場親自辦理；在散會後要求簽到之委員，於開會通知單時間內（上午半天會議至上午</w:t>
      </w:r>
      <w:r w:rsidRPr="00D65AED">
        <w:t>12</w:t>
      </w:r>
      <w:r w:rsidRPr="00D65AED">
        <w:t>時止；全天會議及下午半天會議至下午</w:t>
      </w:r>
      <w:r w:rsidRPr="00D65AED">
        <w:t>5</w:t>
      </w:r>
      <w:r w:rsidRPr="00D65AED">
        <w:t>時</w:t>
      </w:r>
      <w:r w:rsidRPr="00D65AED">
        <w:t>30</w:t>
      </w:r>
      <w:r w:rsidRPr="00D65AED">
        <w:t>分止），得予簽到。但主席宣告延會（流會）後，不再辦理簽到。</w:t>
      </w:r>
    </w:p>
    <w:p w14:paraId="53EDC059" w14:textId="77777777" w:rsidR="00421BB5" w:rsidRPr="00D65AED" w:rsidRDefault="00421BB5" w:rsidP="00421BB5">
      <w:pPr>
        <w:pStyle w:val="a9"/>
        <w:ind w:left="1333" w:rightChars="-21" w:right="-50" w:firstLineChars="0" w:hanging="851"/>
      </w:pPr>
      <w:r w:rsidRPr="00D65AED">
        <w:rPr>
          <w:rFonts w:hint="eastAsia"/>
        </w:rPr>
        <w:t>（三）</w:t>
      </w:r>
      <w:r w:rsidRPr="00D65AED">
        <w:t>本會開始受理委員發言登記，如同時有多位委員在場時，發言登記之先後順序，由在場委員先行協商，協商不成，以簽到順序定之。自行以紙張簽名張貼於會場或以其他方式為之者，不予受理。</w:t>
      </w:r>
    </w:p>
    <w:p w14:paraId="62F8FF61" w14:textId="77777777" w:rsidR="00421BB5" w:rsidRPr="00D65AED" w:rsidRDefault="00421BB5" w:rsidP="00421BB5">
      <w:pPr>
        <w:pStyle w:val="a9"/>
        <w:ind w:left="1333" w:rightChars="-21" w:right="-50" w:firstLineChars="0" w:hanging="1333"/>
        <w:rPr>
          <w:b/>
        </w:rPr>
      </w:pPr>
      <w:r w:rsidRPr="00D65AED">
        <w:rPr>
          <w:rFonts w:hint="eastAsia"/>
          <w:b/>
        </w:rPr>
        <w:t>決定：第一項至第四項，依例辦理。</w:t>
      </w:r>
    </w:p>
    <w:p w14:paraId="056A1F68" w14:textId="77777777" w:rsidR="00421BB5" w:rsidRPr="00D65AED" w:rsidRDefault="00421BB5" w:rsidP="00421BB5">
      <w:pPr>
        <w:snapToGrid w:val="0"/>
        <w:spacing w:beforeLines="50" w:before="180" w:line="500" w:lineRule="exact"/>
        <w:ind w:rightChars="-21" w:right="-50" w:firstLineChars="398" w:firstLine="1115"/>
        <w:jc w:val="both"/>
        <w:rPr>
          <w:rFonts w:ascii="標楷體" w:eastAsia="標楷體" w:hAnsi="標楷體"/>
          <w:b/>
          <w:sz w:val="28"/>
          <w:szCs w:val="28"/>
        </w:rPr>
      </w:pPr>
      <w:r w:rsidRPr="00D65AED">
        <w:rPr>
          <w:rFonts w:ascii="標楷體" w:eastAsia="標楷體" w:hAnsi="標楷體"/>
          <w:b/>
          <w:sz w:val="28"/>
          <w:szCs w:val="28"/>
        </w:rPr>
        <w:lastRenderedPageBreak/>
        <w:t>討  論  事  項</w:t>
      </w:r>
    </w:p>
    <w:p w14:paraId="53439339" w14:textId="77777777" w:rsidR="00421BB5" w:rsidRPr="00D65AED" w:rsidRDefault="00421BB5" w:rsidP="00421BB5">
      <w:pPr>
        <w:pStyle w:val="a9"/>
        <w:kinsoku w:val="0"/>
        <w:autoSpaceDE w:val="0"/>
        <w:ind w:left="574" w:rightChars="-139" w:right="-334" w:hangingChars="205" w:hanging="574"/>
      </w:pPr>
      <w:r w:rsidRPr="00D65AED">
        <w:rPr>
          <w:rFonts w:hint="eastAsia"/>
        </w:rPr>
        <w:t>一、</w:t>
      </w:r>
      <w:r w:rsidRPr="00D65AED">
        <w:t>本會</w:t>
      </w:r>
      <w:r w:rsidRPr="00D65AED">
        <w:rPr>
          <w:snapToGrid w:val="0"/>
          <w:kern w:val="0"/>
        </w:rPr>
        <w:t>召集</w:t>
      </w:r>
      <w:r w:rsidRPr="00D65AED">
        <w:t>委員輪值要點及輪值表稿（如附件</w:t>
      </w:r>
      <w:r w:rsidRPr="00D65AED">
        <w:t>1</w:t>
      </w:r>
      <w:r w:rsidRPr="00D65AED">
        <w:t>、</w:t>
      </w:r>
      <w:r w:rsidRPr="00D65AED">
        <w:t>2</w:t>
      </w:r>
      <w:r w:rsidRPr="00D65AED">
        <w:t>），提請決議案。</w:t>
      </w:r>
    </w:p>
    <w:p w14:paraId="6273E59F" w14:textId="77777777" w:rsidR="00421BB5" w:rsidRPr="00D65AED" w:rsidRDefault="00421BB5" w:rsidP="00421BB5">
      <w:pPr>
        <w:pStyle w:val="a9"/>
        <w:ind w:left="1333" w:rightChars="-21" w:right="-50" w:firstLineChars="0" w:hanging="1333"/>
        <w:rPr>
          <w:b/>
        </w:rPr>
      </w:pPr>
      <w:r w:rsidRPr="00D65AED">
        <w:rPr>
          <w:rFonts w:hint="eastAsia"/>
          <w:b/>
        </w:rPr>
        <w:t>決議：</w:t>
      </w:r>
      <w:r w:rsidRPr="00D65AED">
        <w:rPr>
          <w:b/>
        </w:rPr>
        <w:t>本會召集委員輪值要點及輪值表如附件</w:t>
      </w:r>
      <w:r w:rsidRPr="00D65AED">
        <w:rPr>
          <w:b/>
        </w:rPr>
        <w:t>1</w:t>
      </w:r>
      <w:r w:rsidRPr="00D65AED">
        <w:rPr>
          <w:b/>
        </w:rPr>
        <w:t>、</w:t>
      </w:r>
      <w:r w:rsidRPr="00D65AED">
        <w:rPr>
          <w:b/>
        </w:rPr>
        <w:t>2</w:t>
      </w:r>
      <w:r w:rsidRPr="00D65AED">
        <w:rPr>
          <w:rFonts w:hint="eastAsia"/>
          <w:b/>
        </w:rPr>
        <w:t>。</w:t>
      </w:r>
    </w:p>
    <w:p w14:paraId="133CDE87" w14:textId="77777777" w:rsidR="00421BB5" w:rsidRPr="00D65AED" w:rsidRDefault="00421BB5" w:rsidP="00421BB5">
      <w:pPr>
        <w:pStyle w:val="a9"/>
        <w:kinsoku w:val="0"/>
        <w:autoSpaceDE w:val="0"/>
        <w:ind w:left="574" w:rightChars="-21" w:right="-50" w:hangingChars="205" w:hanging="574"/>
      </w:pPr>
      <w:r w:rsidRPr="00D65AED">
        <w:rPr>
          <w:rFonts w:hint="eastAsia"/>
        </w:rPr>
        <w:t>二</w:t>
      </w:r>
      <w:r w:rsidRPr="00D65AED">
        <w:t>、</w:t>
      </w:r>
      <w:r w:rsidRPr="00D65AED">
        <w:rPr>
          <w:rFonts w:hint="eastAsia"/>
        </w:rPr>
        <w:t>第</w:t>
      </w:r>
      <w:r w:rsidRPr="00D65AED">
        <w:rPr>
          <w:rFonts w:hint="eastAsia"/>
        </w:rPr>
        <w:t>10</w:t>
      </w:r>
      <w:r w:rsidRPr="00D65AED">
        <w:rPr>
          <w:rFonts w:hint="eastAsia"/>
        </w:rPr>
        <w:t>屆第</w:t>
      </w:r>
      <w:r w:rsidRPr="00D65AED">
        <w:rPr>
          <w:rFonts w:hint="eastAsia"/>
        </w:rPr>
        <w:t>6</w:t>
      </w:r>
      <w:r w:rsidRPr="00D65AED">
        <w:rPr>
          <w:rFonts w:hint="eastAsia"/>
        </w:rPr>
        <w:t>會期本會召集委員主持分組審查預算分配表（如附件</w:t>
      </w:r>
      <w:r w:rsidRPr="00D65AED">
        <w:rPr>
          <w:rFonts w:hint="eastAsia"/>
        </w:rPr>
        <w:t>3</w:t>
      </w:r>
      <w:r w:rsidRPr="00D65AED">
        <w:rPr>
          <w:rFonts w:hint="eastAsia"/>
        </w:rPr>
        <w:t>），提請決議案。</w:t>
      </w:r>
    </w:p>
    <w:p w14:paraId="2131ABC0" w14:textId="77777777" w:rsidR="00421BB5" w:rsidRPr="00D65AED" w:rsidRDefault="00421BB5" w:rsidP="00421BB5">
      <w:pPr>
        <w:pStyle w:val="a9"/>
        <w:ind w:leftChars="-12" w:left="812" w:rightChars="-21" w:right="-50" w:hangingChars="300" w:hanging="841"/>
        <w:rPr>
          <w:b/>
        </w:rPr>
      </w:pPr>
      <w:r w:rsidRPr="00D65AED">
        <w:rPr>
          <w:b/>
        </w:rPr>
        <w:t>決議：俟院會</w:t>
      </w:r>
      <w:r w:rsidRPr="00D65AED">
        <w:rPr>
          <w:rFonts w:hint="eastAsia"/>
          <w:b/>
        </w:rPr>
        <w:t>付委</w:t>
      </w:r>
      <w:r w:rsidRPr="00D65AED">
        <w:rPr>
          <w:b/>
        </w:rPr>
        <w:t>後</w:t>
      </w:r>
      <w:r w:rsidRPr="00D65AED">
        <w:rPr>
          <w:rFonts w:hint="eastAsia"/>
          <w:b/>
        </w:rPr>
        <w:t>依</w:t>
      </w:r>
      <w:r w:rsidRPr="00D65AED">
        <w:rPr>
          <w:b/>
        </w:rPr>
        <w:t>附表</w:t>
      </w:r>
      <w:r w:rsidRPr="00D65AED">
        <w:rPr>
          <w:rFonts w:hint="eastAsia"/>
          <w:b/>
        </w:rPr>
        <w:t>3</w:t>
      </w:r>
      <w:r w:rsidRPr="00D65AED">
        <w:rPr>
          <w:rFonts w:hint="eastAsia"/>
          <w:b/>
        </w:rPr>
        <w:t>之</w:t>
      </w:r>
      <w:r w:rsidRPr="00D65AED">
        <w:rPr>
          <w:b/>
        </w:rPr>
        <w:t>分組審查</w:t>
      </w:r>
      <w:r w:rsidRPr="00D65AED">
        <w:rPr>
          <w:rFonts w:hint="eastAsia"/>
          <w:b/>
        </w:rPr>
        <w:t>分配</w:t>
      </w:r>
      <w:r w:rsidRPr="00D65AED">
        <w:rPr>
          <w:b/>
        </w:rPr>
        <w:t>表，由</w:t>
      </w:r>
      <w:r w:rsidRPr="00D65AED">
        <w:rPr>
          <w:rFonts w:hint="eastAsia"/>
          <w:b/>
        </w:rPr>
        <w:t>2</w:t>
      </w:r>
      <w:r w:rsidRPr="00D65AED">
        <w:rPr>
          <w:b/>
        </w:rPr>
        <w:t>位召集委員分別主持。</w:t>
      </w:r>
    </w:p>
    <w:p w14:paraId="09969BE7" w14:textId="77777777" w:rsidR="00421BB5" w:rsidRPr="00D65AED" w:rsidRDefault="00421BB5" w:rsidP="00421BB5">
      <w:pPr>
        <w:pStyle w:val="a9"/>
        <w:kinsoku w:val="0"/>
        <w:autoSpaceDE w:val="0"/>
        <w:ind w:left="574" w:rightChars="-21" w:right="-50" w:hangingChars="205" w:hanging="574"/>
      </w:pPr>
      <w:r w:rsidRPr="00D65AED">
        <w:rPr>
          <w:rFonts w:hint="eastAsia"/>
        </w:rPr>
        <w:t>三、</w:t>
      </w:r>
      <w:r w:rsidRPr="00D65AED">
        <w:t>請</w:t>
      </w:r>
      <w:r w:rsidRPr="00D65AED">
        <w:rPr>
          <w:snapToGrid w:val="0"/>
          <w:kern w:val="0"/>
        </w:rPr>
        <w:t>推舉</w:t>
      </w:r>
      <w:r w:rsidRPr="00D65AED">
        <w:t>召集委員</w:t>
      </w:r>
      <w:r w:rsidRPr="00D65AED">
        <w:rPr>
          <w:rFonts w:hint="eastAsia"/>
        </w:rPr>
        <w:t>1</w:t>
      </w:r>
      <w:r w:rsidRPr="00D65AED">
        <w:t>人為本委員會擔任紀律委員會召集委員。</w:t>
      </w:r>
    </w:p>
    <w:p w14:paraId="71E79467" w14:textId="77777777" w:rsidR="00421BB5" w:rsidRPr="00D65AED" w:rsidRDefault="00421BB5" w:rsidP="00421BB5">
      <w:pPr>
        <w:snapToGrid w:val="0"/>
        <w:spacing w:line="500" w:lineRule="exact"/>
        <w:ind w:leftChars="1" w:left="1123" w:rightChars="-21" w:right="-50" w:hangingChars="400" w:hanging="1121"/>
        <w:jc w:val="both"/>
        <w:rPr>
          <w:rFonts w:ascii="標楷體" w:eastAsia="標楷體" w:hAnsi="標楷體"/>
          <w:b/>
          <w:sz w:val="28"/>
          <w:szCs w:val="28"/>
        </w:rPr>
      </w:pPr>
      <w:r w:rsidRPr="00D65AED">
        <w:rPr>
          <w:rFonts w:ascii="標楷體" w:eastAsia="標楷體" w:hAnsi="標楷體" w:hint="eastAsia"/>
          <w:b/>
          <w:sz w:val="28"/>
          <w:szCs w:val="28"/>
        </w:rPr>
        <w:t>決議：推舉林</w:t>
      </w:r>
      <w:r w:rsidRPr="00D65AED">
        <w:rPr>
          <w:rFonts w:ascii="標楷體" w:eastAsia="標楷體" w:hAnsi="標楷體"/>
          <w:b/>
          <w:sz w:val="28"/>
          <w:szCs w:val="28"/>
        </w:rPr>
        <w:t>召集委員</w:t>
      </w:r>
      <w:r w:rsidRPr="00D65AED">
        <w:rPr>
          <w:rFonts w:ascii="標楷體" w:eastAsia="標楷體" w:hAnsi="標楷體" w:hint="eastAsia"/>
          <w:b/>
          <w:sz w:val="28"/>
          <w:szCs w:val="28"/>
        </w:rPr>
        <w:t>思銘為本委員會擔任</w:t>
      </w:r>
      <w:r w:rsidRPr="00D65AED">
        <w:rPr>
          <w:rFonts w:ascii="標楷體" w:eastAsia="標楷體" w:hAnsi="標楷體"/>
          <w:b/>
          <w:sz w:val="28"/>
          <w:szCs w:val="28"/>
        </w:rPr>
        <w:t>紀律委員會召集委員。</w:t>
      </w:r>
    </w:p>
    <w:p w14:paraId="5C35290E" w14:textId="77777777" w:rsidR="00421BB5" w:rsidRPr="00D65AED" w:rsidRDefault="00421BB5" w:rsidP="00421BB5">
      <w:pPr>
        <w:snapToGrid w:val="0"/>
        <w:spacing w:beforeLines="50" w:before="180" w:line="500" w:lineRule="exact"/>
        <w:ind w:leftChars="1" w:left="1122" w:rightChars="-21" w:right="-50" w:hangingChars="400" w:hanging="1120"/>
        <w:jc w:val="both"/>
        <w:rPr>
          <w:rFonts w:ascii="標楷體" w:eastAsia="標楷體" w:hAnsi="標楷體"/>
          <w:sz w:val="28"/>
          <w:szCs w:val="28"/>
        </w:rPr>
      </w:pPr>
      <w:r w:rsidRPr="00D65AED">
        <w:rPr>
          <w:rFonts w:ascii="標楷體" w:eastAsia="標楷體" w:hAnsi="標楷體" w:hint="eastAsia"/>
          <w:sz w:val="28"/>
          <w:szCs w:val="28"/>
        </w:rPr>
        <w:t>散會</w:t>
      </w:r>
    </w:p>
    <w:p w14:paraId="7E74DED1" w14:textId="77777777" w:rsidR="00421BB5" w:rsidRPr="00D65AED" w:rsidRDefault="00421BB5" w:rsidP="00421BB5">
      <w:pPr>
        <w:snapToGrid w:val="0"/>
        <w:spacing w:beforeLines="50" w:before="180" w:line="500" w:lineRule="exact"/>
        <w:ind w:leftChars="1" w:left="1122" w:rightChars="-21" w:right="-50" w:hangingChars="400" w:hanging="1120"/>
        <w:jc w:val="both"/>
        <w:rPr>
          <w:rFonts w:ascii="標楷體" w:eastAsia="標楷體" w:hAnsi="標楷體"/>
          <w:sz w:val="28"/>
          <w:szCs w:val="28"/>
        </w:rPr>
      </w:pPr>
    </w:p>
    <w:p w14:paraId="6494E4DF" w14:textId="77777777" w:rsidR="00421BB5" w:rsidRPr="00D65AED" w:rsidRDefault="00421BB5" w:rsidP="00421BB5">
      <w:pPr>
        <w:widowControl/>
        <w:jc w:val="right"/>
        <w:rPr>
          <w:rFonts w:ascii="標楷體" w:eastAsia="標楷體" w:hAnsi="標楷體"/>
          <w:sz w:val="28"/>
          <w:szCs w:val="28"/>
        </w:rPr>
      </w:pPr>
      <w:r w:rsidRPr="00D65AED">
        <w:rPr>
          <w:rFonts w:ascii="標楷體" w:eastAsia="標楷體" w:hAnsi="標楷體"/>
          <w:sz w:val="32"/>
          <w:szCs w:val="32"/>
        </w:rPr>
        <w:br w:type="page"/>
      </w:r>
      <w:r w:rsidRPr="00D65AED">
        <w:rPr>
          <w:rFonts w:ascii="標楷體" w:eastAsia="標楷體" w:hAnsi="標楷體"/>
          <w:sz w:val="28"/>
          <w:szCs w:val="28"/>
        </w:rPr>
        <w:lastRenderedPageBreak/>
        <w:t>（附件</w:t>
      </w:r>
      <w:r w:rsidRPr="00D65AED">
        <w:rPr>
          <w:rFonts w:ascii="標楷體" w:eastAsia="標楷體" w:hAnsi="標楷體" w:hint="eastAsia"/>
          <w:sz w:val="28"/>
          <w:szCs w:val="28"/>
        </w:rPr>
        <w:t>1</w:t>
      </w:r>
      <w:r w:rsidRPr="00D65AED">
        <w:rPr>
          <w:rFonts w:ascii="標楷體" w:eastAsia="標楷體" w:hAnsi="標楷體"/>
          <w:sz w:val="28"/>
          <w:szCs w:val="28"/>
        </w:rPr>
        <w:t>）</w:t>
      </w:r>
    </w:p>
    <w:p w14:paraId="3F1D1D0C" w14:textId="77777777" w:rsidR="00421BB5" w:rsidRPr="00D65AED" w:rsidRDefault="00421BB5" w:rsidP="00421BB5">
      <w:pPr>
        <w:pStyle w:val="afa"/>
        <w:snapToGrid w:val="0"/>
        <w:spacing w:afterLines="50" w:after="180" w:line="500" w:lineRule="exact"/>
        <w:ind w:rightChars="-21" w:right="-50"/>
        <w:jc w:val="center"/>
        <w:rPr>
          <w:rFonts w:ascii="標楷體" w:eastAsia="標楷體" w:hAnsi="標楷體"/>
          <w:b/>
          <w:sz w:val="28"/>
          <w:szCs w:val="28"/>
        </w:rPr>
      </w:pPr>
      <w:r w:rsidRPr="00D65AED">
        <w:rPr>
          <w:rFonts w:ascii="標楷體" w:eastAsia="標楷體" w:hAnsi="標楷體"/>
          <w:b/>
          <w:sz w:val="28"/>
          <w:szCs w:val="28"/>
        </w:rPr>
        <w:t>立法院司法及法制委員會召集委員輪值要點</w:t>
      </w:r>
    </w:p>
    <w:p w14:paraId="5AF02DA0" w14:textId="77777777" w:rsidR="00421BB5" w:rsidRPr="00D65AED" w:rsidRDefault="00421BB5" w:rsidP="00421BB5">
      <w:pPr>
        <w:pStyle w:val="afa"/>
        <w:snapToGrid w:val="0"/>
        <w:spacing w:line="500" w:lineRule="exact"/>
        <w:ind w:left="560" w:rightChars="-21" w:right="-50" w:hangingChars="200" w:hanging="560"/>
        <w:jc w:val="both"/>
        <w:rPr>
          <w:rFonts w:ascii="標楷體" w:eastAsia="標楷體" w:hAnsi="標楷體"/>
          <w:sz w:val="28"/>
          <w:szCs w:val="28"/>
        </w:rPr>
      </w:pPr>
      <w:r w:rsidRPr="00D65AED">
        <w:rPr>
          <w:rFonts w:ascii="標楷體" w:eastAsia="標楷體" w:hAnsi="標楷體" w:hint="eastAsia"/>
          <w:sz w:val="28"/>
          <w:szCs w:val="28"/>
        </w:rPr>
        <w:t>一、</w:t>
      </w:r>
      <w:r w:rsidRPr="00D65AED">
        <w:rPr>
          <w:rFonts w:ascii="標楷體" w:eastAsia="標楷體" w:hAnsi="標楷體"/>
          <w:sz w:val="28"/>
          <w:szCs w:val="28"/>
        </w:rPr>
        <w:t>為辦理司法及法制委員會（以下簡稱本會）召集委員輪值事宜，特訂定本要點。</w:t>
      </w:r>
    </w:p>
    <w:p w14:paraId="4B132BEA" w14:textId="77777777" w:rsidR="00421BB5" w:rsidRPr="00D65AED" w:rsidRDefault="00421BB5" w:rsidP="00421BB5">
      <w:pPr>
        <w:pStyle w:val="afa"/>
        <w:snapToGrid w:val="0"/>
        <w:spacing w:line="500" w:lineRule="exact"/>
        <w:ind w:left="560" w:rightChars="-21" w:right="-50" w:hangingChars="200" w:hanging="560"/>
        <w:jc w:val="both"/>
        <w:rPr>
          <w:rFonts w:ascii="標楷體" w:eastAsia="標楷體" w:hAnsi="標楷體"/>
          <w:sz w:val="28"/>
          <w:szCs w:val="28"/>
        </w:rPr>
      </w:pPr>
      <w:r w:rsidRPr="00D65AED">
        <w:rPr>
          <w:rFonts w:ascii="標楷體" w:eastAsia="標楷體" w:hAnsi="標楷體" w:hint="eastAsia"/>
          <w:sz w:val="28"/>
          <w:szCs w:val="28"/>
        </w:rPr>
        <w:t>二、</w:t>
      </w:r>
      <w:r w:rsidRPr="00D65AED">
        <w:rPr>
          <w:rFonts w:ascii="標楷體" w:eastAsia="標楷體" w:hAnsi="標楷體"/>
          <w:sz w:val="28"/>
          <w:szCs w:val="28"/>
        </w:rPr>
        <w:t>本會召集委員輪值及其輪值期間公務之處理，除其他法令另有規定外，依本要點之規定。</w:t>
      </w:r>
    </w:p>
    <w:p w14:paraId="39889337" w14:textId="77777777" w:rsidR="00421BB5" w:rsidRPr="00D65AED" w:rsidRDefault="00421BB5" w:rsidP="00421BB5">
      <w:pPr>
        <w:pStyle w:val="afa"/>
        <w:snapToGrid w:val="0"/>
        <w:spacing w:line="500" w:lineRule="exact"/>
        <w:ind w:left="560" w:rightChars="-21" w:right="-50" w:hangingChars="200" w:hanging="560"/>
        <w:jc w:val="both"/>
        <w:rPr>
          <w:rFonts w:ascii="標楷體" w:eastAsia="標楷體" w:hAnsi="標楷體"/>
          <w:sz w:val="28"/>
          <w:szCs w:val="28"/>
        </w:rPr>
      </w:pPr>
      <w:r w:rsidRPr="00D65AED">
        <w:rPr>
          <w:rFonts w:ascii="標楷體" w:eastAsia="標楷體" w:hAnsi="標楷體"/>
          <w:sz w:val="28"/>
          <w:szCs w:val="28"/>
        </w:rPr>
        <w:t>三、召集委員會議，由輪值召集委員於必要時召集之，並擔任主席。</w:t>
      </w:r>
    </w:p>
    <w:p w14:paraId="47846B57" w14:textId="77777777" w:rsidR="00421BB5" w:rsidRPr="00D65AED" w:rsidRDefault="00421BB5" w:rsidP="00421BB5">
      <w:pPr>
        <w:pStyle w:val="afa"/>
        <w:snapToGrid w:val="0"/>
        <w:spacing w:line="500" w:lineRule="exact"/>
        <w:ind w:rightChars="-21" w:right="-50" w:firstLineChars="200" w:firstLine="560"/>
        <w:jc w:val="both"/>
        <w:rPr>
          <w:rFonts w:ascii="標楷體" w:eastAsia="標楷體" w:hAnsi="標楷體"/>
          <w:sz w:val="28"/>
          <w:szCs w:val="28"/>
        </w:rPr>
      </w:pPr>
      <w:r w:rsidRPr="00D65AED">
        <w:rPr>
          <w:rFonts w:ascii="標楷體" w:eastAsia="標楷體" w:hAnsi="標楷體"/>
          <w:sz w:val="28"/>
          <w:szCs w:val="28"/>
        </w:rPr>
        <w:t>召集委員會議決定之事項如下：</w:t>
      </w:r>
    </w:p>
    <w:p w14:paraId="3E16B196" w14:textId="77777777" w:rsidR="00421BB5" w:rsidRPr="00D65AED" w:rsidRDefault="00421BB5" w:rsidP="00421BB5">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D65AED">
        <w:rPr>
          <w:rFonts w:ascii="標楷體" w:eastAsia="標楷體" w:hAnsi="標楷體"/>
          <w:sz w:val="28"/>
          <w:szCs w:val="28"/>
        </w:rPr>
        <w:t>（一）召集委員輪值要點。</w:t>
      </w:r>
    </w:p>
    <w:p w14:paraId="07A79E30" w14:textId="77777777" w:rsidR="00421BB5" w:rsidRPr="00D65AED" w:rsidRDefault="00421BB5" w:rsidP="00421BB5">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D65AED">
        <w:rPr>
          <w:rFonts w:ascii="標楷體" w:eastAsia="標楷體" w:hAnsi="標楷體"/>
          <w:sz w:val="28"/>
          <w:szCs w:val="28"/>
        </w:rPr>
        <w:t>（二）召集委員輪值表。</w:t>
      </w:r>
    </w:p>
    <w:p w14:paraId="446C50FC" w14:textId="77777777" w:rsidR="00421BB5" w:rsidRPr="00D65AED" w:rsidRDefault="00421BB5" w:rsidP="00421BB5">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D65AED">
        <w:rPr>
          <w:rFonts w:ascii="標楷體" w:eastAsia="標楷體" w:hAnsi="標楷體"/>
          <w:sz w:val="28"/>
          <w:szCs w:val="28"/>
        </w:rPr>
        <w:t>（三）相關院部</w:t>
      </w:r>
      <w:r w:rsidRPr="00D65AED">
        <w:rPr>
          <w:rFonts w:ascii="標楷體" w:eastAsia="標楷體" w:hAnsi="標楷體" w:hint="eastAsia"/>
          <w:sz w:val="28"/>
          <w:szCs w:val="28"/>
        </w:rPr>
        <w:t>會</w:t>
      </w:r>
      <w:r w:rsidRPr="00D65AED">
        <w:rPr>
          <w:rFonts w:ascii="標楷體" w:eastAsia="標楷體" w:hAnsi="標楷體"/>
          <w:sz w:val="28"/>
          <w:szCs w:val="28"/>
        </w:rPr>
        <w:t>預算之審查方式。</w:t>
      </w:r>
    </w:p>
    <w:p w14:paraId="0A6B9A35" w14:textId="77777777" w:rsidR="00421BB5" w:rsidRPr="00D65AED" w:rsidRDefault="00421BB5" w:rsidP="00421BB5">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D65AED">
        <w:rPr>
          <w:rFonts w:ascii="標楷體" w:eastAsia="標楷體" w:hAnsi="標楷體"/>
          <w:sz w:val="28"/>
          <w:szCs w:val="28"/>
        </w:rPr>
        <w:t>（四）國外考察事項。</w:t>
      </w:r>
    </w:p>
    <w:p w14:paraId="5D07A1BE" w14:textId="77777777" w:rsidR="00421BB5" w:rsidRPr="00D65AED" w:rsidRDefault="00421BB5" w:rsidP="00421BB5">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D65AED">
        <w:rPr>
          <w:rFonts w:ascii="標楷體" w:eastAsia="標楷體" w:hAnsi="標楷體"/>
          <w:sz w:val="28"/>
          <w:szCs w:val="28"/>
        </w:rPr>
        <w:t>（五）其他有關本會應處理之重大事項。</w:t>
      </w:r>
    </w:p>
    <w:p w14:paraId="08D4E299" w14:textId="77777777" w:rsidR="00421BB5" w:rsidRPr="00D65AED" w:rsidRDefault="00421BB5" w:rsidP="00421BB5">
      <w:pPr>
        <w:pStyle w:val="afa"/>
        <w:snapToGrid w:val="0"/>
        <w:spacing w:line="500" w:lineRule="exact"/>
        <w:ind w:leftChars="1" w:left="453" w:rightChars="-21" w:right="-50" w:hangingChars="161" w:hanging="451"/>
        <w:jc w:val="both"/>
        <w:rPr>
          <w:rFonts w:ascii="標楷體" w:eastAsia="標楷體" w:hAnsi="標楷體"/>
          <w:sz w:val="28"/>
          <w:szCs w:val="28"/>
        </w:rPr>
      </w:pPr>
      <w:r w:rsidRPr="00D65AED">
        <w:rPr>
          <w:rFonts w:ascii="標楷體" w:eastAsia="標楷體" w:hAnsi="標楷體"/>
          <w:sz w:val="28"/>
          <w:szCs w:val="28"/>
        </w:rPr>
        <w:t>四</w:t>
      </w:r>
      <w:r w:rsidRPr="00D65AED">
        <w:rPr>
          <w:rFonts w:ascii="標楷體" w:eastAsia="標楷體" w:hAnsi="標楷體" w:hint="eastAsia"/>
          <w:sz w:val="28"/>
          <w:szCs w:val="28"/>
        </w:rPr>
        <w:t>、</w:t>
      </w:r>
      <w:r w:rsidRPr="00D65AED">
        <w:rPr>
          <w:rFonts w:ascii="標楷體" w:eastAsia="標楷體" w:hAnsi="標楷體"/>
          <w:sz w:val="28"/>
          <w:szCs w:val="28"/>
        </w:rPr>
        <w:t>本會會議之議程，由輪值召集委員排定。</w:t>
      </w:r>
    </w:p>
    <w:p w14:paraId="6A05C2A0" w14:textId="77777777" w:rsidR="00421BB5" w:rsidRPr="00D65AED" w:rsidRDefault="00421BB5" w:rsidP="00421BB5">
      <w:pPr>
        <w:pStyle w:val="afa"/>
        <w:snapToGrid w:val="0"/>
        <w:spacing w:line="500" w:lineRule="exact"/>
        <w:ind w:left="560" w:rightChars="-21" w:right="-50" w:hangingChars="200" w:hanging="560"/>
        <w:jc w:val="both"/>
        <w:rPr>
          <w:rFonts w:ascii="標楷體" w:eastAsia="標楷體" w:hAnsi="標楷體"/>
          <w:sz w:val="28"/>
          <w:szCs w:val="28"/>
        </w:rPr>
      </w:pPr>
      <w:r w:rsidRPr="00D65AED">
        <w:rPr>
          <w:rFonts w:ascii="標楷體" w:eastAsia="標楷體" w:hAnsi="標楷體"/>
          <w:sz w:val="28"/>
          <w:szCs w:val="28"/>
        </w:rPr>
        <w:t>五、輪值召集委員負責召集輪值當週之會議，並擔任主席。如不克擔任主席，應商請本會另一召集委員代理；另一召集委員不克代理時，得商請本會委員代理。</w:t>
      </w:r>
    </w:p>
    <w:p w14:paraId="7A08530E" w14:textId="77777777" w:rsidR="00421BB5" w:rsidRPr="00D65AED" w:rsidRDefault="00421BB5" w:rsidP="00421BB5">
      <w:pPr>
        <w:pStyle w:val="afa"/>
        <w:snapToGrid w:val="0"/>
        <w:spacing w:line="500" w:lineRule="exact"/>
        <w:ind w:left="560" w:rightChars="-21" w:right="-50" w:hangingChars="200" w:hanging="560"/>
        <w:jc w:val="both"/>
        <w:rPr>
          <w:rFonts w:ascii="標楷體" w:eastAsia="標楷體" w:hAnsi="標楷體"/>
          <w:sz w:val="28"/>
          <w:szCs w:val="28"/>
        </w:rPr>
      </w:pPr>
      <w:r w:rsidRPr="00D65AED">
        <w:rPr>
          <w:rFonts w:ascii="標楷體" w:eastAsia="標楷體" w:hAnsi="標楷體"/>
          <w:sz w:val="28"/>
          <w:szCs w:val="28"/>
        </w:rPr>
        <w:t>六、輪值召集委員於輪值期間處理日常公務及批閱一般公文，如不克處理，應商請本會另一召集委員代理。</w:t>
      </w:r>
    </w:p>
    <w:p w14:paraId="2C67459C" w14:textId="77777777" w:rsidR="00421BB5" w:rsidRPr="00D65AED" w:rsidRDefault="00421BB5" w:rsidP="00421BB5">
      <w:pPr>
        <w:pStyle w:val="afa"/>
        <w:snapToGrid w:val="0"/>
        <w:spacing w:line="500" w:lineRule="exact"/>
        <w:ind w:left="560" w:rightChars="-21" w:right="-50" w:hangingChars="200" w:hanging="560"/>
        <w:jc w:val="both"/>
        <w:rPr>
          <w:rFonts w:ascii="標楷體" w:eastAsia="標楷體" w:hAnsi="標楷體"/>
          <w:sz w:val="28"/>
          <w:szCs w:val="28"/>
        </w:rPr>
      </w:pPr>
    </w:p>
    <w:p w14:paraId="10E63F87" w14:textId="77777777" w:rsidR="00421BB5" w:rsidRPr="00D65AED" w:rsidRDefault="00421BB5" w:rsidP="00421BB5">
      <w:pPr>
        <w:widowControl/>
        <w:adjustRightInd w:val="0"/>
        <w:snapToGrid w:val="0"/>
        <w:jc w:val="right"/>
        <w:rPr>
          <w:rFonts w:ascii="標楷體" w:eastAsia="標楷體" w:hAnsi="標楷體"/>
          <w:sz w:val="28"/>
          <w:szCs w:val="28"/>
        </w:rPr>
      </w:pPr>
      <w:r w:rsidRPr="00D65AED">
        <w:rPr>
          <w:rFonts w:ascii="標楷體" w:eastAsia="標楷體" w:hAnsi="標楷體"/>
          <w:sz w:val="28"/>
          <w:szCs w:val="28"/>
        </w:rPr>
        <w:br w:type="page"/>
      </w:r>
    </w:p>
    <w:p w14:paraId="6C1FC6F4" w14:textId="77777777" w:rsidR="00421BB5" w:rsidRPr="00D65AED" w:rsidRDefault="00421BB5" w:rsidP="00421BB5">
      <w:pPr>
        <w:spacing w:line="500" w:lineRule="exact"/>
        <w:ind w:leftChars="2" w:left="425" w:rightChars="-21" w:right="-50" w:hangingChars="150" w:hanging="420"/>
        <w:jc w:val="center"/>
        <w:rPr>
          <w:rFonts w:ascii="標楷體" w:eastAsia="標楷體" w:hAnsi="標楷體"/>
          <w:b/>
          <w:bCs/>
          <w:sz w:val="28"/>
          <w:szCs w:val="28"/>
        </w:rPr>
      </w:pPr>
      <w:r w:rsidRPr="00D65AED">
        <w:rPr>
          <w:rFonts w:ascii="標楷體" w:eastAsia="標楷體" w:hAnsi="標楷體" w:hint="eastAsia"/>
          <w:b/>
          <w:bCs/>
          <w:sz w:val="28"/>
          <w:szCs w:val="28"/>
        </w:rPr>
        <w:lastRenderedPageBreak/>
        <w:t>【</w:t>
      </w:r>
      <w:r w:rsidRPr="00D65AED">
        <w:rPr>
          <w:rFonts w:ascii="標楷體" w:eastAsia="標楷體" w:hAnsi="標楷體" w:hint="eastAsia"/>
          <w:b/>
          <w:sz w:val="28"/>
          <w:szCs w:val="28"/>
        </w:rPr>
        <w:t>立法院第10屆第6會期</w:t>
      </w:r>
      <w:r w:rsidRPr="00D65AED">
        <w:rPr>
          <w:rFonts w:ascii="標楷體" w:eastAsia="標楷體" w:hAnsi="標楷體" w:hint="eastAsia"/>
          <w:b/>
          <w:bCs/>
          <w:sz w:val="28"/>
          <w:szCs w:val="28"/>
        </w:rPr>
        <w:t>】</w:t>
      </w:r>
    </w:p>
    <w:p w14:paraId="1A205F3A"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z w:val="28"/>
          <w:szCs w:val="28"/>
        </w:rPr>
        <w:t>司法及法制委員會召集委員輪值表（11</w:t>
      </w:r>
      <w:r w:rsidRPr="00D65AED">
        <w:rPr>
          <w:rFonts w:ascii="標楷體" w:eastAsia="標楷體" w:hAnsi="標楷體"/>
          <w:b/>
          <w:bCs/>
          <w:sz w:val="28"/>
          <w:szCs w:val="28"/>
        </w:rPr>
        <w:t>1</w:t>
      </w:r>
      <w:r w:rsidRPr="00D65AED">
        <w:rPr>
          <w:rFonts w:ascii="標楷體" w:eastAsia="標楷體" w:hAnsi="標楷體" w:hint="eastAsia"/>
          <w:b/>
          <w:bCs/>
          <w:sz w:val="28"/>
          <w:szCs w:val="28"/>
        </w:rPr>
        <w:t>年9月至11</w:t>
      </w:r>
      <w:r w:rsidRPr="00D65AED">
        <w:rPr>
          <w:rFonts w:ascii="標楷體" w:eastAsia="標楷體" w:hAnsi="標楷體"/>
          <w:b/>
          <w:bCs/>
          <w:sz w:val="28"/>
          <w:szCs w:val="28"/>
        </w:rPr>
        <w:t>2</w:t>
      </w:r>
      <w:r w:rsidRPr="00D65AED">
        <w:rPr>
          <w:rFonts w:ascii="標楷體" w:eastAsia="標楷體" w:hAnsi="標楷體" w:hint="eastAsia"/>
          <w:b/>
          <w:bCs/>
          <w:sz w:val="28"/>
          <w:szCs w:val="28"/>
        </w:rPr>
        <w:t>年1月）</w:t>
      </w:r>
    </w:p>
    <w:tbl>
      <w:tblPr>
        <w:tblW w:w="8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81"/>
        <w:gridCol w:w="4394"/>
      </w:tblGrid>
      <w:tr w:rsidR="00421BB5" w:rsidRPr="00D65AED" w14:paraId="6A15EE7A" w14:textId="77777777" w:rsidTr="00421BB5">
        <w:trPr>
          <w:cantSplit/>
          <w:trHeight w:val="57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14:paraId="66F1ECCA"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z w:val="28"/>
                <w:szCs w:val="28"/>
              </w:rPr>
              <w:t>輪  值  召  集  委  員  及  日  期</w:t>
            </w:r>
          </w:p>
        </w:tc>
      </w:tr>
      <w:tr w:rsidR="00421BB5" w:rsidRPr="00D65AED" w14:paraId="27768FD4" w14:textId="77777777" w:rsidTr="00421BB5">
        <w:trPr>
          <w:trHeight w:val="603"/>
        </w:trPr>
        <w:tc>
          <w:tcPr>
            <w:tcW w:w="4281" w:type="dxa"/>
            <w:tcBorders>
              <w:top w:val="single" w:sz="4" w:space="0" w:color="auto"/>
              <w:left w:val="single" w:sz="4" w:space="0" w:color="auto"/>
              <w:bottom w:val="single" w:sz="4" w:space="0" w:color="auto"/>
              <w:right w:val="single" w:sz="4" w:space="0" w:color="auto"/>
            </w:tcBorders>
            <w:vAlign w:val="center"/>
            <w:hideMark/>
          </w:tcPr>
          <w:p w14:paraId="666AAA24"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z w:val="28"/>
                <w:szCs w:val="28"/>
              </w:rPr>
              <w:t>林召集委員思銘</w:t>
            </w:r>
          </w:p>
        </w:tc>
        <w:tc>
          <w:tcPr>
            <w:tcW w:w="4394" w:type="dxa"/>
            <w:tcBorders>
              <w:top w:val="single" w:sz="4" w:space="0" w:color="auto"/>
              <w:left w:val="single" w:sz="4" w:space="0" w:color="auto"/>
              <w:bottom w:val="single" w:sz="4" w:space="0" w:color="auto"/>
              <w:right w:val="single" w:sz="4" w:space="0" w:color="auto"/>
            </w:tcBorders>
            <w:vAlign w:val="center"/>
            <w:hideMark/>
          </w:tcPr>
          <w:p w14:paraId="250E0F88"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z w:val="28"/>
                <w:szCs w:val="28"/>
              </w:rPr>
              <w:t>陳召集委員歐珀</w:t>
            </w:r>
          </w:p>
        </w:tc>
      </w:tr>
      <w:tr w:rsidR="00421BB5" w:rsidRPr="00D65AED" w14:paraId="2A85A882"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0A786D12"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57"/>
                <w:kern w:val="0"/>
                <w:sz w:val="28"/>
                <w:szCs w:val="28"/>
              </w:rPr>
              <w:t>9月2</w:t>
            </w:r>
            <w:r w:rsidRPr="00C023B8">
              <w:rPr>
                <w:rFonts w:ascii="標楷體" w:eastAsia="標楷體" w:hAnsi="標楷體"/>
                <w:b/>
                <w:bCs/>
                <w:spacing w:val="57"/>
                <w:kern w:val="0"/>
                <w:sz w:val="28"/>
                <w:szCs w:val="28"/>
              </w:rPr>
              <w:t>8</w:t>
            </w:r>
            <w:r w:rsidRPr="00C023B8">
              <w:rPr>
                <w:rFonts w:ascii="標楷體" w:eastAsia="標楷體" w:hAnsi="標楷體" w:hint="eastAsia"/>
                <w:b/>
                <w:bCs/>
                <w:spacing w:val="57"/>
                <w:kern w:val="0"/>
                <w:sz w:val="28"/>
                <w:szCs w:val="28"/>
              </w:rPr>
              <w:t>日至10月2</w:t>
            </w:r>
            <w:r w:rsidRPr="00C023B8">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48FCEFBB"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64"/>
                <w:kern w:val="0"/>
                <w:sz w:val="28"/>
                <w:szCs w:val="28"/>
              </w:rPr>
              <w:t>10月3日至10月9</w:t>
            </w:r>
            <w:r w:rsidRPr="00D65AED">
              <w:rPr>
                <w:rFonts w:ascii="標楷體" w:eastAsia="標楷體" w:hAnsi="標楷體" w:hint="eastAsia"/>
                <w:b/>
                <w:bCs/>
                <w:spacing w:val="-1"/>
                <w:kern w:val="0"/>
                <w:sz w:val="28"/>
                <w:szCs w:val="28"/>
              </w:rPr>
              <w:t>日</w:t>
            </w:r>
          </w:p>
        </w:tc>
      </w:tr>
      <w:tr w:rsidR="00421BB5" w:rsidRPr="00D65AED" w14:paraId="7BCF7DAF"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649E5951"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37"/>
                <w:kern w:val="0"/>
                <w:sz w:val="28"/>
                <w:szCs w:val="28"/>
              </w:rPr>
              <w:t>10月1</w:t>
            </w:r>
            <w:r w:rsidRPr="00C023B8">
              <w:rPr>
                <w:rFonts w:ascii="標楷體" w:eastAsia="標楷體" w:hAnsi="標楷體"/>
                <w:b/>
                <w:bCs/>
                <w:spacing w:val="37"/>
                <w:kern w:val="0"/>
                <w:sz w:val="28"/>
                <w:szCs w:val="28"/>
              </w:rPr>
              <w:t>0</w:t>
            </w:r>
            <w:r w:rsidRPr="00C023B8">
              <w:rPr>
                <w:rFonts w:ascii="標楷體" w:eastAsia="標楷體" w:hAnsi="標楷體" w:hint="eastAsia"/>
                <w:b/>
                <w:bCs/>
                <w:spacing w:val="37"/>
                <w:kern w:val="0"/>
                <w:sz w:val="28"/>
                <w:szCs w:val="28"/>
              </w:rPr>
              <w:t>日至10月1</w:t>
            </w:r>
            <w:r w:rsidRPr="00C023B8">
              <w:rPr>
                <w:rFonts w:ascii="標楷體" w:eastAsia="標楷體" w:hAnsi="標楷體"/>
                <w:b/>
                <w:bCs/>
                <w:spacing w:val="37"/>
                <w:kern w:val="0"/>
                <w:sz w:val="28"/>
                <w:szCs w:val="28"/>
              </w:rPr>
              <w:t>6</w:t>
            </w:r>
            <w:r w:rsidRPr="00C023B8">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29D56D51"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43"/>
                <w:kern w:val="0"/>
                <w:sz w:val="28"/>
                <w:szCs w:val="28"/>
              </w:rPr>
              <w:t>10月1</w:t>
            </w:r>
            <w:r w:rsidRPr="00D65AED">
              <w:rPr>
                <w:rFonts w:ascii="標楷體" w:eastAsia="標楷體" w:hAnsi="標楷體"/>
                <w:b/>
                <w:bCs/>
                <w:spacing w:val="43"/>
                <w:kern w:val="0"/>
                <w:sz w:val="28"/>
                <w:szCs w:val="28"/>
              </w:rPr>
              <w:t>7</w:t>
            </w:r>
            <w:r w:rsidRPr="00D65AED">
              <w:rPr>
                <w:rFonts w:ascii="標楷體" w:eastAsia="標楷體" w:hAnsi="標楷體" w:hint="eastAsia"/>
                <w:b/>
                <w:bCs/>
                <w:spacing w:val="43"/>
                <w:kern w:val="0"/>
                <w:sz w:val="28"/>
                <w:szCs w:val="28"/>
              </w:rPr>
              <w:t>日至10月2</w:t>
            </w:r>
            <w:r w:rsidRPr="00D65AED">
              <w:rPr>
                <w:rFonts w:ascii="標楷體" w:eastAsia="標楷體" w:hAnsi="標楷體"/>
                <w:b/>
                <w:bCs/>
                <w:spacing w:val="43"/>
                <w:kern w:val="0"/>
                <w:sz w:val="28"/>
                <w:szCs w:val="28"/>
              </w:rPr>
              <w:t>3</w:t>
            </w:r>
            <w:r w:rsidRPr="00D65AED">
              <w:rPr>
                <w:rFonts w:ascii="標楷體" w:eastAsia="標楷體" w:hAnsi="標楷體" w:hint="eastAsia"/>
                <w:b/>
                <w:bCs/>
                <w:kern w:val="0"/>
                <w:sz w:val="28"/>
                <w:szCs w:val="28"/>
              </w:rPr>
              <w:t>日</w:t>
            </w:r>
          </w:p>
        </w:tc>
      </w:tr>
      <w:tr w:rsidR="00421BB5" w:rsidRPr="00D65AED" w14:paraId="3EEB482A"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6215AACB"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37"/>
                <w:kern w:val="0"/>
                <w:sz w:val="28"/>
                <w:szCs w:val="28"/>
              </w:rPr>
              <w:t>10月</w:t>
            </w:r>
            <w:r w:rsidRPr="00C023B8">
              <w:rPr>
                <w:rFonts w:ascii="標楷體" w:eastAsia="標楷體" w:hAnsi="標楷體"/>
                <w:b/>
                <w:bCs/>
                <w:spacing w:val="37"/>
                <w:kern w:val="0"/>
                <w:sz w:val="28"/>
                <w:szCs w:val="28"/>
              </w:rPr>
              <w:t>24</w:t>
            </w:r>
            <w:r w:rsidRPr="00C023B8">
              <w:rPr>
                <w:rFonts w:ascii="標楷體" w:eastAsia="標楷體" w:hAnsi="標楷體" w:hint="eastAsia"/>
                <w:b/>
                <w:bCs/>
                <w:spacing w:val="37"/>
                <w:kern w:val="0"/>
                <w:sz w:val="28"/>
                <w:szCs w:val="28"/>
              </w:rPr>
              <w:t>日至10月3</w:t>
            </w:r>
            <w:r w:rsidRPr="00C023B8">
              <w:rPr>
                <w:rFonts w:ascii="標楷體" w:eastAsia="標楷體" w:hAnsi="標楷體"/>
                <w:b/>
                <w:bCs/>
                <w:spacing w:val="37"/>
                <w:kern w:val="0"/>
                <w:sz w:val="28"/>
                <w:szCs w:val="28"/>
              </w:rPr>
              <w:t>0</w:t>
            </w:r>
            <w:r w:rsidRPr="00C023B8">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74461046"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53"/>
                <w:kern w:val="0"/>
                <w:sz w:val="28"/>
                <w:szCs w:val="28"/>
              </w:rPr>
              <w:t>1</w:t>
            </w:r>
            <w:r w:rsidRPr="00D65AED">
              <w:rPr>
                <w:rFonts w:ascii="標楷體" w:eastAsia="標楷體" w:hAnsi="標楷體"/>
                <w:b/>
                <w:bCs/>
                <w:spacing w:val="53"/>
                <w:kern w:val="0"/>
                <w:sz w:val="28"/>
                <w:szCs w:val="28"/>
              </w:rPr>
              <w:t>0</w:t>
            </w:r>
            <w:r w:rsidRPr="00D65AED">
              <w:rPr>
                <w:rFonts w:ascii="標楷體" w:eastAsia="標楷體" w:hAnsi="標楷體" w:hint="eastAsia"/>
                <w:b/>
                <w:bCs/>
                <w:spacing w:val="53"/>
                <w:kern w:val="0"/>
                <w:sz w:val="28"/>
                <w:szCs w:val="28"/>
              </w:rPr>
              <w:t>月</w:t>
            </w:r>
            <w:r w:rsidRPr="00D65AED">
              <w:rPr>
                <w:rFonts w:ascii="標楷體" w:eastAsia="標楷體" w:hAnsi="標楷體"/>
                <w:b/>
                <w:bCs/>
                <w:spacing w:val="53"/>
                <w:kern w:val="0"/>
                <w:sz w:val="28"/>
                <w:szCs w:val="28"/>
              </w:rPr>
              <w:t>31</w:t>
            </w:r>
            <w:r w:rsidRPr="00D65AED">
              <w:rPr>
                <w:rFonts w:ascii="標楷體" w:eastAsia="標楷體" w:hAnsi="標楷體" w:hint="eastAsia"/>
                <w:b/>
                <w:bCs/>
                <w:spacing w:val="53"/>
                <w:kern w:val="0"/>
                <w:sz w:val="28"/>
                <w:szCs w:val="28"/>
              </w:rPr>
              <w:t>日至11月6</w:t>
            </w:r>
            <w:r w:rsidRPr="00D65AED">
              <w:rPr>
                <w:rFonts w:ascii="標楷體" w:eastAsia="標楷體" w:hAnsi="標楷體" w:hint="eastAsia"/>
                <w:b/>
                <w:bCs/>
                <w:spacing w:val="-1"/>
                <w:kern w:val="0"/>
                <w:sz w:val="28"/>
                <w:szCs w:val="28"/>
              </w:rPr>
              <w:t>日</w:t>
            </w:r>
          </w:p>
        </w:tc>
      </w:tr>
      <w:tr w:rsidR="00421BB5" w:rsidRPr="00D65AED" w14:paraId="65BC44BE"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633C3B1D"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47"/>
                <w:kern w:val="0"/>
                <w:sz w:val="28"/>
                <w:szCs w:val="28"/>
              </w:rPr>
              <w:t>11月7日至11月1</w:t>
            </w:r>
            <w:r w:rsidRPr="00C023B8">
              <w:rPr>
                <w:rFonts w:ascii="標楷體" w:eastAsia="標楷體" w:hAnsi="標楷體"/>
                <w:b/>
                <w:bCs/>
                <w:spacing w:val="47"/>
                <w:kern w:val="0"/>
                <w:sz w:val="28"/>
                <w:szCs w:val="28"/>
              </w:rPr>
              <w:t>3</w:t>
            </w:r>
            <w:r w:rsidRPr="00C023B8">
              <w:rPr>
                <w:rFonts w:ascii="標楷體" w:eastAsia="標楷體" w:hAnsi="標楷體" w:hint="eastAsia"/>
                <w:b/>
                <w:bCs/>
                <w:spacing w:val="-2"/>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18B4A8CB"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43"/>
                <w:kern w:val="0"/>
                <w:sz w:val="28"/>
                <w:szCs w:val="28"/>
              </w:rPr>
              <w:t>11月1</w:t>
            </w:r>
            <w:r w:rsidRPr="00D65AED">
              <w:rPr>
                <w:rFonts w:ascii="標楷體" w:eastAsia="標楷體" w:hAnsi="標楷體"/>
                <w:b/>
                <w:bCs/>
                <w:spacing w:val="43"/>
                <w:kern w:val="0"/>
                <w:sz w:val="28"/>
                <w:szCs w:val="28"/>
              </w:rPr>
              <w:t>4</w:t>
            </w:r>
            <w:r w:rsidRPr="00D65AED">
              <w:rPr>
                <w:rFonts w:ascii="標楷體" w:eastAsia="標楷體" w:hAnsi="標楷體" w:hint="eastAsia"/>
                <w:b/>
                <w:bCs/>
                <w:spacing w:val="43"/>
                <w:kern w:val="0"/>
                <w:sz w:val="28"/>
                <w:szCs w:val="28"/>
              </w:rPr>
              <w:t>日至11月2</w:t>
            </w:r>
            <w:r w:rsidRPr="00D65AED">
              <w:rPr>
                <w:rFonts w:ascii="標楷體" w:eastAsia="標楷體" w:hAnsi="標楷體"/>
                <w:b/>
                <w:bCs/>
                <w:spacing w:val="43"/>
                <w:kern w:val="0"/>
                <w:sz w:val="28"/>
                <w:szCs w:val="28"/>
              </w:rPr>
              <w:t>0</w:t>
            </w:r>
            <w:r w:rsidRPr="00D65AED">
              <w:rPr>
                <w:rFonts w:ascii="標楷體" w:eastAsia="標楷體" w:hAnsi="標楷體" w:hint="eastAsia"/>
                <w:b/>
                <w:bCs/>
                <w:kern w:val="0"/>
                <w:sz w:val="28"/>
                <w:szCs w:val="28"/>
              </w:rPr>
              <w:t>日</w:t>
            </w:r>
          </w:p>
        </w:tc>
      </w:tr>
      <w:tr w:rsidR="00421BB5" w:rsidRPr="00D65AED" w14:paraId="64ECF79B"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02A6146E"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37"/>
                <w:kern w:val="0"/>
                <w:sz w:val="28"/>
                <w:szCs w:val="28"/>
              </w:rPr>
              <w:t>11月2</w:t>
            </w:r>
            <w:r w:rsidRPr="00C023B8">
              <w:rPr>
                <w:rFonts w:ascii="標楷體" w:eastAsia="標楷體" w:hAnsi="標楷體"/>
                <w:b/>
                <w:bCs/>
                <w:spacing w:val="37"/>
                <w:kern w:val="0"/>
                <w:sz w:val="28"/>
                <w:szCs w:val="28"/>
              </w:rPr>
              <w:t>1</w:t>
            </w:r>
            <w:r w:rsidRPr="00C023B8">
              <w:rPr>
                <w:rFonts w:ascii="標楷體" w:eastAsia="標楷體" w:hAnsi="標楷體" w:hint="eastAsia"/>
                <w:b/>
                <w:bCs/>
                <w:spacing w:val="37"/>
                <w:kern w:val="0"/>
                <w:sz w:val="28"/>
                <w:szCs w:val="28"/>
              </w:rPr>
              <w:t>日至11月2</w:t>
            </w:r>
            <w:r w:rsidRPr="00C023B8">
              <w:rPr>
                <w:rFonts w:ascii="標楷體" w:eastAsia="標楷體" w:hAnsi="標楷體"/>
                <w:b/>
                <w:bCs/>
                <w:spacing w:val="37"/>
                <w:kern w:val="0"/>
                <w:sz w:val="28"/>
                <w:szCs w:val="28"/>
              </w:rPr>
              <w:t>7</w:t>
            </w:r>
            <w:r w:rsidRPr="00C023B8">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386A668D"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53"/>
                <w:kern w:val="0"/>
                <w:sz w:val="28"/>
                <w:szCs w:val="28"/>
              </w:rPr>
              <w:t>11月2</w:t>
            </w:r>
            <w:r w:rsidRPr="00D65AED">
              <w:rPr>
                <w:rFonts w:ascii="標楷體" w:eastAsia="標楷體" w:hAnsi="標楷體"/>
                <w:b/>
                <w:bCs/>
                <w:spacing w:val="53"/>
                <w:kern w:val="0"/>
                <w:sz w:val="28"/>
                <w:szCs w:val="28"/>
              </w:rPr>
              <w:t>8</w:t>
            </w:r>
            <w:r w:rsidRPr="00D65AED">
              <w:rPr>
                <w:rFonts w:ascii="標楷體" w:eastAsia="標楷體" w:hAnsi="標楷體" w:hint="eastAsia"/>
                <w:b/>
                <w:bCs/>
                <w:spacing w:val="53"/>
                <w:kern w:val="0"/>
                <w:sz w:val="28"/>
                <w:szCs w:val="28"/>
              </w:rPr>
              <w:t>日至12月4</w:t>
            </w:r>
            <w:r w:rsidRPr="00D65AED">
              <w:rPr>
                <w:rFonts w:ascii="標楷體" w:eastAsia="標楷體" w:hAnsi="標楷體" w:hint="eastAsia"/>
                <w:b/>
                <w:bCs/>
                <w:spacing w:val="-1"/>
                <w:kern w:val="0"/>
                <w:sz w:val="28"/>
                <w:szCs w:val="28"/>
              </w:rPr>
              <w:t>日</w:t>
            </w:r>
          </w:p>
        </w:tc>
      </w:tr>
      <w:tr w:rsidR="00421BB5" w:rsidRPr="00D65AED" w14:paraId="740EE62C"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71E3D19E"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47"/>
                <w:kern w:val="0"/>
                <w:sz w:val="28"/>
                <w:szCs w:val="28"/>
              </w:rPr>
              <w:t>12月5日至12月1</w:t>
            </w:r>
            <w:r w:rsidRPr="00C023B8">
              <w:rPr>
                <w:rFonts w:ascii="標楷體" w:eastAsia="標楷體" w:hAnsi="標楷體"/>
                <w:b/>
                <w:bCs/>
                <w:spacing w:val="47"/>
                <w:kern w:val="0"/>
                <w:sz w:val="28"/>
                <w:szCs w:val="28"/>
              </w:rPr>
              <w:t>1</w:t>
            </w:r>
            <w:r w:rsidRPr="00C023B8">
              <w:rPr>
                <w:rFonts w:ascii="標楷體" w:eastAsia="標楷體" w:hAnsi="標楷體" w:hint="eastAsia"/>
                <w:b/>
                <w:bCs/>
                <w:spacing w:val="-2"/>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4BED9235"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43"/>
                <w:kern w:val="0"/>
                <w:sz w:val="28"/>
                <w:szCs w:val="28"/>
              </w:rPr>
              <w:t>12月1</w:t>
            </w:r>
            <w:r w:rsidRPr="00D65AED">
              <w:rPr>
                <w:rFonts w:ascii="標楷體" w:eastAsia="標楷體" w:hAnsi="標楷體"/>
                <w:b/>
                <w:bCs/>
                <w:spacing w:val="43"/>
                <w:kern w:val="0"/>
                <w:sz w:val="28"/>
                <w:szCs w:val="28"/>
              </w:rPr>
              <w:t>2</w:t>
            </w:r>
            <w:r w:rsidRPr="00D65AED">
              <w:rPr>
                <w:rFonts w:ascii="標楷體" w:eastAsia="標楷體" w:hAnsi="標楷體" w:hint="eastAsia"/>
                <w:b/>
                <w:bCs/>
                <w:spacing w:val="43"/>
                <w:kern w:val="0"/>
                <w:sz w:val="28"/>
                <w:szCs w:val="28"/>
              </w:rPr>
              <w:t>日至12月1</w:t>
            </w:r>
            <w:r w:rsidRPr="00D65AED">
              <w:rPr>
                <w:rFonts w:ascii="標楷體" w:eastAsia="標楷體" w:hAnsi="標楷體"/>
                <w:b/>
                <w:bCs/>
                <w:spacing w:val="43"/>
                <w:kern w:val="0"/>
                <w:sz w:val="28"/>
                <w:szCs w:val="28"/>
              </w:rPr>
              <w:t>8</w:t>
            </w:r>
            <w:r w:rsidRPr="00D65AED">
              <w:rPr>
                <w:rFonts w:ascii="標楷體" w:eastAsia="標楷體" w:hAnsi="標楷體" w:hint="eastAsia"/>
                <w:b/>
                <w:bCs/>
                <w:kern w:val="0"/>
                <w:sz w:val="28"/>
                <w:szCs w:val="28"/>
              </w:rPr>
              <w:t>日</w:t>
            </w:r>
          </w:p>
        </w:tc>
      </w:tr>
      <w:tr w:rsidR="00421BB5" w:rsidRPr="00D65AED" w14:paraId="63B7531D"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7AA12DE7"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37"/>
                <w:kern w:val="0"/>
                <w:sz w:val="28"/>
                <w:szCs w:val="28"/>
              </w:rPr>
              <w:t>12月</w:t>
            </w:r>
            <w:r w:rsidRPr="00C023B8">
              <w:rPr>
                <w:rFonts w:ascii="標楷體" w:eastAsia="標楷體" w:hAnsi="標楷體"/>
                <w:b/>
                <w:bCs/>
                <w:spacing w:val="37"/>
                <w:kern w:val="0"/>
                <w:sz w:val="28"/>
                <w:szCs w:val="28"/>
              </w:rPr>
              <w:t>19</w:t>
            </w:r>
            <w:r w:rsidRPr="00C023B8">
              <w:rPr>
                <w:rFonts w:ascii="標楷體" w:eastAsia="標楷體" w:hAnsi="標楷體" w:hint="eastAsia"/>
                <w:b/>
                <w:bCs/>
                <w:spacing w:val="37"/>
                <w:kern w:val="0"/>
                <w:sz w:val="28"/>
                <w:szCs w:val="28"/>
              </w:rPr>
              <w:t>日至12月2</w:t>
            </w:r>
            <w:r w:rsidRPr="00C023B8">
              <w:rPr>
                <w:rFonts w:ascii="標楷體" w:eastAsia="標楷體" w:hAnsi="標楷體"/>
                <w:b/>
                <w:bCs/>
                <w:spacing w:val="37"/>
                <w:kern w:val="0"/>
                <w:sz w:val="28"/>
                <w:szCs w:val="28"/>
              </w:rPr>
              <w:t>5</w:t>
            </w:r>
            <w:r w:rsidRPr="00C023B8">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146AE3F1"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64"/>
                <w:kern w:val="0"/>
                <w:sz w:val="28"/>
                <w:szCs w:val="28"/>
              </w:rPr>
              <w:t>12月2</w:t>
            </w:r>
            <w:r w:rsidRPr="00D65AED">
              <w:rPr>
                <w:rFonts w:ascii="標楷體" w:eastAsia="標楷體" w:hAnsi="標楷體"/>
                <w:b/>
                <w:bCs/>
                <w:spacing w:val="64"/>
                <w:kern w:val="0"/>
                <w:sz w:val="28"/>
                <w:szCs w:val="28"/>
              </w:rPr>
              <w:t>6</w:t>
            </w:r>
            <w:r w:rsidRPr="00D65AED">
              <w:rPr>
                <w:rFonts w:ascii="標楷體" w:eastAsia="標楷體" w:hAnsi="標楷體" w:hint="eastAsia"/>
                <w:b/>
                <w:bCs/>
                <w:spacing w:val="64"/>
                <w:kern w:val="0"/>
                <w:sz w:val="28"/>
                <w:szCs w:val="28"/>
              </w:rPr>
              <w:t>日至1月1</w:t>
            </w:r>
            <w:r w:rsidRPr="00D65AED">
              <w:rPr>
                <w:rFonts w:ascii="標楷體" w:eastAsia="標楷體" w:hAnsi="標楷體" w:hint="eastAsia"/>
                <w:b/>
                <w:bCs/>
                <w:spacing w:val="-1"/>
                <w:kern w:val="0"/>
                <w:sz w:val="28"/>
                <w:szCs w:val="28"/>
              </w:rPr>
              <w:t>日</w:t>
            </w:r>
          </w:p>
        </w:tc>
      </w:tr>
      <w:tr w:rsidR="00421BB5" w:rsidRPr="00D65AED" w14:paraId="12EA79C0"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0AFC7314"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83"/>
                <w:kern w:val="0"/>
                <w:sz w:val="28"/>
                <w:szCs w:val="28"/>
              </w:rPr>
              <w:t>1月2日至1月8</w:t>
            </w:r>
            <w:r w:rsidRPr="00C023B8">
              <w:rPr>
                <w:rFonts w:ascii="標楷體" w:eastAsia="標楷體" w:hAnsi="標楷體" w:hint="eastAsia"/>
                <w:b/>
                <w:bCs/>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11D77D31"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pacing w:val="76"/>
                <w:kern w:val="0"/>
                <w:sz w:val="28"/>
                <w:szCs w:val="28"/>
              </w:rPr>
              <w:t>1月9日至1月1</w:t>
            </w:r>
            <w:r w:rsidRPr="00D65AED">
              <w:rPr>
                <w:rFonts w:ascii="標楷體" w:eastAsia="標楷體" w:hAnsi="標楷體"/>
                <w:b/>
                <w:bCs/>
                <w:spacing w:val="76"/>
                <w:kern w:val="0"/>
                <w:sz w:val="28"/>
                <w:szCs w:val="28"/>
              </w:rPr>
              <w:t>5</w:t>
            </w:r>
            <w:r w:rsidRPr="00D65AED">
              <w:rPr>
                <w:rFonts w:ascii="標楷體" w:eastAsia="標楷體" w:hAnsi="標楷體" w:hint="eastAsia"/>
                <w:b/>
                <w:bCs/>
                <w:spacing w:val="2"/>
                <w:kern w:val="0"/>
                <w:sz w:val="28"/>
                <w:szCs w:val="28"/>
              </w:rPr>
              <w:t>日</w:t>
            </w:r>
          </w:p>
        </w:tc>
      </w:tr>
      <w:tr w:rsidR="00421BB5" w:rsidRPr="00D65AED" w14:paraId="7AE0D7C9"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484D7006"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C023B8">
              <w:rPr>
                <w:rFonts w:ascii="標楷體" w:eastAsia="標楷體" w:hAnsi="標楷體" w:hint="eastAsia"/>
                <w:b/>
                <w:bCs/>
                <w:spacing w:val="57"/>
                <w:kern w:val="0"/>
                <w:sz w:val="28"/>
                <w:szCs w:val="28"/>
              </w:rPr>
              <w:t>1月1</w:t>
            </w:r>
            <w:r w:rsidRPr="00C023B8">
              <w:rPr>
                <w:rFonts w:ascii="標楷體" w:eastAsia="標楷體" w:hAnsi="標楷體"/>
                <w:b/>
                <w:bCs/>
                <w:spacing w:val="57"/>
                <w:kern w:val="0"/>
                <w:sz w:val="28"/>
                <w:szCs w:val="28"/>
              </w:rPr>
              <w:t>6</w:t>
            </w:r>
            <w:r w:rsidRPr="00C023B8">
              <w:rPr>
                <w:rFonts w:ascii="標楷體" w:eastAsia="標楷體" w:hAnsi="標楷體" w:hint="eastAsia"/>
                <w:b/>
                <w:bCs/>
                <w:spacing w:val="57"/>
                <w:kern w:val="0"/>
                <w:sz w:val="28"/>
                <w:szCs w:val="28"/>
              </w:rPr>
              <w:t>日至1月2</w:t>
            </w:r>
            <w:r w:rsidRPr="00C023B8">
              <w:rPr>
                <w:rFonts w:ascii="標楷體" w:eastAsia="標楷體" w:hAnsi="標楷體"/>
                <w:b/>
                <w:bCs/>
                <w:spacing w:val="57"/>
                <w:kern w:val="0"/>
                <w:sz w:val="28"/>
                <w:szCs w:val="28"/>
              </w:rPr>
              <w:t>2</w:t>
            </w:r>
            <w:r w:rsidRPr="00C023B8">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5DCF75A3"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u w:val="single" w:color="FFFFFF"/>
              </w:rPr>
            </w:pPr>
            <w:r w:rsidRPr="00D65AED">
              <w:rPr>
                <w:rFonts w:ascii="標楷體" w:eastAsia="標楷體" w:hAnsi="標楷體" w:hint="eastAsia"/>
                <w:b/>
                <w:bCs/>
                <w:spacing w:val="64"/>
                <w:kern w:val="0"/>
                <w:sz w:val="28"/>
                <w:szCs w:val="28"/>
                <w:u w:val="single" w:color="FFFFFF"/>
              </w:rPr>
              <w:t>1月2</w:t>
            </w:r>
            <w:r w:rsidRPr="00D65AED">
              <w:rPr>
                <w:rFonts w:ascii="標楷體" w:eastAsia="標楷體" w:hAnsi="標楷體"/>
                <w:b/>
                <w:bCs/>
                <w:spacing w:val="64"/>
                <w:kern w:val="0"/>
                <w:sz w:val="28"/>
                <w:szCs w:val="28"/>
                <w:u w:val="single" w:color="FFFFFF"/>
              </w:rPr>
              <w:t>3</w:t>
            </w:r>
            <w:r w:rsidRPr="00D65AED">
              <w:rPr>
                <w:rFonts w:ascii="標楷體" w:eastAsia="標楷體" w:hAnsi="標楷體" w:hint="eastAsia"/>
                <w:b/>
                <w:bCs/>
                <w:spacing w:val="64"/>
                <w:kern w:val="0"/>
                <w:sz w:val="28"/>
                <w:szCs w:val="28"/>
                <w:u w:val="single" w:color="FFFFFF"/>
              </w:rPr>
              <w:t>日至1月2</w:t>
            </w:r>
            <w:r w:rsidRPr="00D65AED">
              <w:rPr>
                <w:rFonts w:ascii="標楷體" w:eastAsia="標楷體" w:hAnsi="標楷體"/>
                <w:b/>
                <w:bCs/>
                <w:spacing w:val="64"/>
                <w:kern w:val="0"/>
                <w:sz w:val="28"/>
                <w:szCs w:val="28"/>
                <w:u w:val="single" w:color="FFFFFF"/>
              </w:rPr>
              <w:t>9</w:t>
            </w:r>
            <w:r w:rsidRPr="00D65AED">
              <w:rPr>
                <w:rFonts w:ascii="標楷體" w:eastAsia="標楷體" w:hAnsi="標楷體" w:hint="eastAsia"/>
                <w:b/>
                <w:bCs/>
                <w:spacing w:val="-1"/>
                <w:kern w:val="0"/>
                <w:sz w:val="28"/>
                <w:szCs w:val="28"/>
                <w:u w:val="single" w:color="FFFFFF"/>
              </w:rPr>
              <w:t>日</w:t>
            </w:r>
          </w:p>
        </w:tc>
      </w:tr>
      <w:tr w:rsidR="00421BB5" w:rsidRPr="00D65AED" w14:paraId="18FFDE75" w14:textId="77777777" w:rsidTr="00421BB5">
        <w:trPr>
          <w:cantSplit/>
          <w:trHeight w:val="630"/>
        </w:trPr>
        <w:tc>
          <w:tcPr>
            <w:tcW w:w="4281" w:type="dxa"/>
            <w:tcBorders>
              <w:top w:val="single" w:sz="4" w:space="0" w:color="auto"/>
              <w:left w:val="single" w:sz="4" w:space="0" w:color="auto"/>
              <w:bottom w:val="single" w:sz="4" w:space="0" w:color="auto"/>
              <w:right w:val="single" w:sz="4" w:space="0" w:color="auto"/>
            </w:tcBorders>
            <w:noWrap/>
            <w:tcMar>
              <w:top w:w="0" w:type="dxa"/>
              <w:left w:w="284" w:type="dxa"/>
              <w:bottom w:w="0" w:type="dxa"/>
              <w:right w:w="284" w:type="dxa"/>
            </w:tcMar>
          </w:tcPr>
          <w:p w14:paraId="1EC3379A"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pacing w:val="57"/>
                <w:kern w:val="0"/>
                <w:sz w:val="28"/>
                <w:szCs w:val="28"/>
              </w:rPr>
            </w:pPr>
            <w:r w:rsidRPr="00D65AED">
              <w:rPr>
                <w:rFonts w:ascii="標楷體" w:eastAsia="標楷體" w:hAnsi="標楷體" w:hint="eastAsia"/>
                <w:b/>
                <w:bCs/>
                <w:spacing w:val="57"/>
                <w:kern w:val="0"/>
                <w:sz w:val="28"/>
                <w:szCs w:val="28"/>
              </w:rPr>
              <w:t>1月30日至1月31</w:t>
            </w:r>
            <w:r w:rsidRPr="00D65AED">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l2br w:val="single" w:sz="4" w:space="0" w:color="auto"/>
            </w:tcBorders>
            <w:noWrap/>
            <w:tcMar>
              <w:top w:w="0" w:type="dxa"/>
              <w:left w:w="284" w:type="dxa"/>
              <w:bottom w:w="0" w:type="dxa"/>
              <w:right w:w="284" w:type="dxa"/>
            </w:tcMar>
          </w:tcPr>
          <w:p w14:paraId="4238D2E8"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p>
        </w:tc>
      </w:tr>
      <w:tr w:rsidR="00421BB5" w:rsidRPr="00D65AED" w14:paraId="1DC65452" w14:textId="77777777" w:rsidTr="00421BB5">
        <w:trPr>
          <w:cantSplit/>
          <w:trHeight w:val="51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14:paraId="2B05EF9E"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r w:rsidRPr="00D65AED">
              <w:rPr>
                <w:rFonts w:ascii="標楷體" w:eastAsia="標楷體" w:hAnsi="標楷體" w:hint="eastAsia"/>
                <w:b/>
                <w:bCs/>
                <w:sz w:val="28"/>
                <w:szCs w:val="28"/>
              </w:rPr>
              <w:t>附          記</w:t>
            </w:r>
          </w:p>
        </w:tc>
      </w:tr>
      <w:tr w:rsidR="00421BB5" w:rsidRPr="00D65AED" w14:paraId="1946E6C7" w14:textId="77777777" w:rsidTr="00421BB5">
        <w:trPr>
          <w:cantSplit/>
          <w:trHeight w:val="1690"/>
        </w:trPr>
        <w:tc>
          <w:tcPr>
            <w:tcW w:w="8675" w:type="dxa"/>
            <w:gridSpan w:val="2"/>
            <w:tcBorders>
              <w:top w:val="single" w:sz="4" w:space="0" w:color="auto"/>
              <w:left w:val="single" w:sz="4" w:space="0" w:color="auto"/>
              <w:bottom w:val="single" w:sz="4" w:space="0" w:color="auto"/>
              <w:right w:val="single" w:sz="4" w:space="0" w:color="auto"/>
            </w:tcBorders>
            <w:hideMark/>
          </w:tcPr>
          <w:p w14:paraId="5C9D920C" w14:textId="77777777" w:rsidR="00421BB5" w:rsidRPr="00D65AED" w:rsidRDefault="00421BB5" w:rsidP="00421BB5">
            <w:pPr>
              <w:spacing w:line="500" w:lineRule="exact"/>
              <w:ind w:leftChars="2" w:left="425" w:rightChars="-21" w:right="-50" w:hangingChars="150" w:hanging="420"/>
              <w:rPr>
                <w:rFonts w:ascii="標楷體" w:eastAsia="標楷體" w:hAnsi="標楷體"/>
                <w:b/>
                <w:bCs/>
                <w:sz w:val="28"/>
                <w:szCs w:val="28"/>
              </w:rPr>
            </w:pPr>
            <w:r w:rsidRPr="00D65AED">
              <w:rPr>
                <w:rFonts w:ascii="標楷體" w:eastAsia="標楷體" w:hAnsi="標楷體" w:hint="eastAsia"/>
                <w:b/>
                <w:bCs/>
                <w:sz w:val="28"/>
                <w:szCs w:val="28"/>
              </w:rPr>
              <w:t>1、輪值期間，如委員會會議因故停開時，仍按本輪值表所排定日期輪值，不再更改。</w:t>
            </w:r>
          </w:p>
          <w:p w14:paraId="23F8C268" w14:textId="77777777" w:rsidR="00421BB5" w:rsidRPr="00D65AED" w:rsidRDefault="00421BB5" w:rsidP="00421BB5">
            <w:pPr>
              <w:spacing w:line="500" w:lineRule="exact"/>
              <w:ind w:leftChars="2" w:left="5" w:rightChars="-21" w:right="-50"/>
              <w:rPr>
                <w:rFonts w:ascii="標楷體" w:eastAsia="標楷體" w:hAnsi="標楷體"/>
                <w:b/>
                <w:bCs/>
                <w:sz w:val="28"/>
                <w:szCs w:val="28"/>
              </w:rPr>
            </w:pPr>
            <w:r w:rsidRPr="00D65AED">
              <w:rPr>
                <w:rFonts w:ascii="標楷體" w:eastAsia="標楷體" w:hAnsi="標楷體" w:hint="eastAsia"/>
                <w:b/>
                <w:bCs/>
                <w:sz w:val="28"/>
                <w:szCs w:val="28"/>
              </w:rPr>
              <w:t>2、次週議程由輪值召集委員於每週三下午5時前排定。</w:t>
            </w:r>
          </w:p>
        </w:tc>
      </w:tr>
    </w:tbl>
    <w:p w14:paraId="50100F59" w14:textId="77777777" w:rsidR="00421BB5" w:rsidRPr="00D65AED" w:rsidRDefault="00421BB5" w:rsidP="00421BB5">
      <w:pPr>
        <w:spacing w:afterLines="50" w:after="180" w:line="500" w:lineRule="exact"/>
        <w:ind w:leftChars="2" w:left="5" w:rightChars="-21" w:right="-50"/>
        <w:jc w:val="center"/>
        <w:rPr>
          <w:rFonts w:ascii="標楷體" w:eastAsia="標楷體" w:hAnsi="標楷體"/>
          <w:b/>
          <w:bCs/>
          <w:sz w:val="28"/>
          <w:szCs w:val="28"/>
        </w:rPr>
      </w:pPr>
    </w:p>
    <w:p w14:paraId="1329A5DF" w14:textId="77777777" w:rsidR="00421BB5" w:rsidRPr="00D65AED" w:rsidRDefault="00421BB5" w:rsidP="00421BB5">
      <w:pPr>
        <w:widowControl/>
        <w:jc w:val="right"/>
        <w:rPr>
          <w:rFonts w:ascii="標楷體" w:eastAsia="標楷體" w:hAnsi="標楷體"/>
          <w:sz w:val="28"/>
          <w:szCs w:val="28"/>
        </w:rPr>
      </w:pPr>
      <w:r w:rsidRPr="00D65AED">
        <w:rPr>
          <w:rFonts w:ascii="標楷體" w:eastAsia="標楷體" w:hAnsi="標楷體"/>
          <w:b/>
          <w:bCs/>
          <w:sz w:val="28"/>
          <w:szCs w:val="28"/>
        </w:rPr>
        <w:br w:type="page"/>
      </w:r>
      <w:r w:rsidRPr="00D65AED">
        <w:rPr>
          <w:rFonts w:ascii="標楷體" w:eastAsia="標楷體" w:hAnsi="標楷體" w:hint="eastAsia"/>
          <w:b/>
          <w:bCs/>
          <w:sz w:val="28"/>
          <w:szCs w:val="28"/>
        </w:rPr>
        <w:lastRenderedPageBreak/>
        <w:t xml:space="preserve">                                                   </w:t>
      </w:r>
    </w:p>
    <w:p w14:paraId="3FCD1C00" w14:textId="77777777" w:rsidR="00421BB5" w:rsidRPr="00D65AED" w:rsidRDefault="00421BB5" w:rsidP="00421BB5">
      <w:pPr>
        <w:snapToGrid w:val="0"/>
        <w:spacing w:beforeLines="50" w:before="180" w:line="100" w:lineRule="atLeast"/>
        <w:ind w:leftChars="-295" w:left="-282" w:rightChars="-21" w:right="-50" w:hangingChars="152" w:hanging="426"/>
        <w:jc w:val="center"/>
        <w:rPr>
          <w:rFonts w:ascii="標楷體" w:eastAsia="標楷體" w:hAnsi="標楷體"/>
          <w:b/>
          <w:sz w:val="28"/>
          <w:szCs w:val="28"/>
        </w:rPr>
      </w:pPr>
      <w:r w:rsidRPr="00D65AED">
        <w:rPr>
          <w:rFonts w:ascii="標楷體" w:eastAsia="標楷體" w:hAnsi="標楷體" w:hint="eastAsia"/>
          <w:b/>
          <w:sz w:val="28"/>
          <w:szCs w:val="28"/>
        </w:rPr>
        <w:t xml:space="preserve">   </w:t>
      </w:r>
      <w:r w:rsidRPr="00D65AED">
        <w:rPr>
          <w:rFonts w:ascii="標楷體" w:eastAsia="標楷體" w:hAnsi="標楷體"/>
          <w:b/>
          <w:sz w:val="28"/>
          <w:szCs w:val="28"/>
        </w:rPr>
        <w:t>第</w:t>
      </w:r>
      <w:r w:rsidRPr="00D65AED">
        <w:rPr>
          <w:rFonts w:ascii="標楷體" w:eastAsia="標楷體" w:hAnsi="標楷體" w:hint="eastAsia"/>
          <w:b/>
          <w:sz w:val="28"/>
          <w:szCs w:val="28"/>
        </w:rPr>
        <w:t>10</w:t>
      </w:r>
      <w:r w:rsidRPr="00D65AED">
        <w:rPr>
          <w:rFonts w:ascii="標楷體" w:eastAsia="標楷體" w:hAnsi="標楷體"/>
          <w:b/>
          <w:sz w:val="28"/>
          <w:szCs w:val="28"/>
        </w:rPr>
        <w:t>屆第</w:t>
      </w:r>
      <w:r w:rsidRPr="00D65AED">
        <w:rPr>
          <w:rFonts w:ascii="標楷體" w:eastAsia="標楷體" w:hAnsi="標楷體" w:hint="eastAsia"/>
          <w:b/>
          <w:sz w:val="28"/>
          <w:szCs w:val="28"/>
        </w:rPr>
        <w:t>6</w:t>
      </w:r>
      <w:r w:rsidRPr="00D65AED">
        <w:rPr>
          <w:rFonts w:ascii="標楷體" w:eastAsia="標楷體" w:hAnsi="標楷體"/>
          <w:b/>
          <w:sz w:val="28"/>
          <w:szCs w:val="28"/>
        </w:rPr>
        <w:t>會期司法及法制委員會召集委員主持分組審查預算分配表</w:t>
      </w:r>
    </w:p>
    <w:p w14:paraId="3AB80A7C" w14:textId="77777777" w:rsidR="00421BB5" w:rsidRPr="00D65AED" w:rsidRDefault="00421BB5" w:rsidP="00421BB5">
      <w:pPr>
        <w:spacing w:beforeLines="20" w:before="72" w:afterLines="50" w:after="180" w:line="400" w:lineRule="exact"/>
        <w:ind w:leftChars="-123" w:left="-15" w:hangingChars="100" w:hanging="280"/>
        <w:rPr>
          <w:rFonts w:ascii="標楷體" w:eastAsia="標楷體" w:hAnsi="標楷體"/>
          <w:b/>
          <w:sz w:val="28"/>
          <w:szCs w:val="28"/>
        </w:rPr>
      </w:pPr>
      <w:r w:rsidRPr="00D65AED">
        <w:rPr>
          <w:rFonts w:ascii="標楷體" w:eastAsia="標楷體" w:hAnsi="標楷體"/>
          <w:b/>
          <w:sz w:val="28"/>
          <w:szCs w:val="28"/>
        </w:rPr>
        <w:t>一、公務預算</w:t>
      </w:r>
    </w:p>
    <w:tbl>
      <w:tblPr>
        <w:tblW w:w="9083"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74"/>
        <w:gridCol w:w="5009"/>
      </w:tblGrid>
      <w:tr w:rsidR="00421BB5" w:rsidRPr="00D65AED" w14:paraId="7105BD5E" w14:textId="77777777" w:rsidTr="00421BB5">
        <w:trPr>
          <w:trHeight w:val="715"/>
        </w:trPr>
        <w:tc>
          <w:tcPr>
            <w:tcW w:w="4074" w:type="dxa"/>
            <w:vAlign w:val="center"/>
          </w:tcPr>
          <w:p w14:paraId="417712C2" w14:textId="77777777" w:rsidR="00421BB5" w:rsidRPr="00D65AED" w:rsidRDefault="00421BB5" w:rsidP="00421BB5">
            <w:pPr>
              <w:spacing w:beforeLines="50" w:before="180" w:line="420" w:lineRule="exact"/>
              <w:jc w:val="center"/>
              <w:rPr>
                <w:rFonts w:ascii="標楷體" w:eastAsia="標楷體" w:hAnsi="標楷體"/>
                <w:sz w:val="28"/>
                <w:szCs w:val="28"/>
              </w:rPr>
            </w:pP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w:t>
            </w:r>
          </w:p>
        </w:tc>
        <w:tc>
          <w:tcPr>
            <w:tcW w:w="5009" w:type="dxa"/>
            <w:tcMar>
              <w:top w:w="28" w:type="dxa"/>
              <w:left w:w="57" w:type="dxa"/>
              <w:bottom w:w="28" w:type="dxa"/>
              <w:right w:w="57" w:type="dxa"/>
            </w:tcMar>
            <w:vAlign w:val="center"/>
          </w:tcPr>
          <w:p w14:paraId="101782E8" w14:textId="77777777" w:rsidR="00421BB5" w:rsidRPr="00D65AED" w:rsidRDefault="00421BB5" w:rsidP="00421BB5">
            <w:pPr>
              <w:kinsoku w:val="0"/>
              <w:autoSpaceDE w:val="0"/>
              <w:autoSpaceDN w:val="0"/>
              <w:spacing w:line="42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1.</w:t>
            </w:r>
            <w:r w:rsidRPr="00D65AED">
              <w:rPr>
                <w:rFonts w:ascii="標楷體" w:eastAsia="標楷體" w:hAnsi="標楷體"/>
                <w:b/>
                <w:sz w:val="28"/>
                <w:szCs w:val="28"/>
              </w:rPr>
              <w:t>總統府</w:t>
            </w:r>
            <w:r w:rsidRPr="00D65AED">
              <w:rPr>
                <w:rFonts w:ascii="標楷體" w:eastAsia="標楷體" w:hAnsi="標楷體"/>
                <w:sz w:val="28"/>
                <w:szCs w:val="28"/>
              </w:rPr>
              <w:t>（總統府、國家安全會議、國史館及國史館臺灣文獻館）等主管收支部分</w:t>
            </w:r>
            <w:r w:rsidRPr="00D65AED">
              <w:rPr>
                <w:rFonts w:ascii="標楷體" w:eastAsia="標楷體" w:hAnsi="標楷體" w:hint="eastAsia"/>
                <w:sz w:val="28"/>
                <w:szCs w:val="28"/>
              </w:rPr>
              <w:t>。</w:t>
            </w:r>
          </w:p>
        </w:tc>
      </w:tr>
      <w:tr w:rsidR="00421BB5" w:rsidRPr="00D65AED" w14:paraId="6B684C2A" w14:textId="77777777" w:rsidTr="00421BB5">
        <w:trPr>
          <w:trHeight w:val="715"/>
        </w:trPr>
        <w:tc>
          <w:tcPr>
            <w:tcW w:w="4074" w:type="dxa"/>
            <w:vAlign w:val="center"/>
          </w:tcPr>
          <w:p w14:paraId="043EBD1B" w14:textId="77777777" w:rsidR="00421BB5" w:rsidRPr="00D65AED" w:rsidRDefault="00421BB5" w:rsidP="00421BB5">
            <w:pPr>
              <w:spacing w:beforeLines="50" w:before="180" w:line="420" w:lineRule="exact"/>
              <w:jc w:val="center"/>
              <w:rPr>
                <w:rFonts w:ascii="標楷體" w:eastAsia="標楷體" w:hAnsi="標楷體"/>
                <w:sz w:val="28"/>
                <w:szCs w:val="28"/>
              </w:rPr>
            </w:pPr>
            <w:r w:rsidRPr="00D65AED">
              <w:rPr>
                <w:rFonts w:ascii="標楷體" w:eastAsia="標楷體" w:hAnsi="標楷體" w:hint="eastAsia"/>
                <w:sz w:val="28"/>
                <w:szCs w:val="28"/>
              </w:rPr>
              <w:t>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tc>
        <w:tc>
          <w:tcPr>
            <w:tcW w:w="5009" w:type="dxa"/>
            <w:tcMar>
              <w:top w:w="28" w:type="dxa"/>
              <w:left w:w="57" w:type="dxa"/>
              <w:bottom w:w="28" w:type="dxa"/>
              <w:right w:w="57" w:type="dxa"/>
            </w:tcMar>
            <w:vAlign w:val="center"/>
          </w:tcPr>
          <w:p w14:paraId="75E97552" w14:textId="77777777" w:rsidR="00421BB5" w:rsidRPr="00D65AED" w:rsidRDefault="00421BB5" w:rsidP="00421BB5">
            <w:pPr>
              <w:kinsoku w:val="0"/>
              <w:autoSpaceDE w:val="0"/>
              <w:autoSpaceDN w:val="0"/>
              <w:spacing w:line="42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hint="eastAsia"/>
                <w:sz w:val="28"/>
                <w:szCs w:val="28"/>
              </w:rPr>
              <w:t>2</w:t>
            </w:r>
            <w:r w:rsidRPr="00D65AED">
              <w:rPr>
                <w:rFonts w:ascii="標楷體" w:eastAsia="標楷體" w:hAnsi="標楷體"/>
                <w:sz w:val="28"/>
                <w:szCs w:val="28"/>
              </w:rPr>
              <w:t>.</w:t>
            </w:r>
            <w:r w:rsidRPr="00D65AED">
              <w:rPr>
                <w:rFonts w:ascii="標楷體" w:eastAsia="標楷體" w:hAnsi="標楷體"/>
                <w:b/>
                <w:sz w:val="28"/>
                <w:szCs w:val="28"/>
              </w:rPr>
              <w:t>法務部</w:t>
            </w:r>
            <w:r w:rsidRPr="00D65AED">
              <w:rPr>
                <w:rFonts w:ascii="標楷體" w:eastAsia="標楷體" w:hAnsi="標楷體"/>
                <w:sz w:val="28"/>
                <w:szCs w:val="28"/>
              </w:rPr>
              <w:t>、司法官學院、法醫研究所、廉政署、矯正署及所屬、行政執行署及所屬、調查局、最高檢察署、高等檢察署等主管收支部分。</w:t>
            </w:r>
          </w:p>
          <w:p w14:paraId="1846B3B1" w14:textId="77777777" w:rsidR="00421BB5" w:rsidRPr="00D65AED" w:rsidRDefault="00421BB5" w:rsidP="00421BB5">
            <w:pPr>
              <w:spacing w:line="420" w:lineRule="exact"/>
              <w:ind w:left="301"/>
              <w:jc w:val="both"/>
              <w:rPr>
                <w:rFonts w:ascii="標楷體" w:eastAsia="標楷體" w:hAnsi="標楷體"/>
                <w:sz w:val="28"/>
                <w:szCs w:val="28"/>
              </w:rPr>
            </w:pPr>
            <w:r w:rsidRPr="00D65AED">
              <w:rPr>
                <w:rFonts w:ascii="標楷體" w:eastAsia="標楷體" w:hAnsi="標楷體"/>
                <w:sz w:val="28"/>
                <w:szCs w:val="28"/>
              </w:rPr>
              <w:t>各高分檢</w:t>
            </w:r>
            <w:r w:rsidRPr="00D65AED">
              <w:rPr>
                <w:rFonts w:ascii="標楷體" w:eastAsia="標楷體" w:hAnsi="標楷體" w:hint="eastAsia"/>
                <w:sz w:val="28"/>
                <w:szCs w:val="28"/>
              </w:rPr>
              <w:t>署</w:t>
            </w:r>
            <w:r w:rsidRPr="00D65AED">
              <w:rPr>
                <w:rFonts w:ascii="標楷體" w:eastAsia="標楷體" w:hAnsi="標楷體"/>
                <w:sz w:val="28"/>
                <w:szCs w:val="28"/>
              </w:rPr>
              <w:t>及各地檢署等主管收支部分。</w:t>
            </w:r>
          </w:p>
        </w:tc>
      </w:tr>
      <w:tr w:rsidR="00421BB5" w:rsidRPr="00D65AED" w14:paraId="0F2C560D" w14:textId="77777777" w:rsidTr="00421BB5">
        <w:trPr>
          <w:trHeight w:val="715"/>
        </w:trPr>
        <w:tc>
          <w:tcPr>
            <w:tcW w:w="4074" w:type="dxa"/>
            <w:vAlign w:val="center"/>
          </w:tcPr>
          <w:p w14:paraId="1B3ED04F" w14:textId="77777777" w:rsidR="00421BB5" w:rsidRPr="00D65AED" w:rsidRDefault="00421BB5" w:rsidP="00421BB5">
            <w:pPr>
              <w:spacing w:beforeLines="50" w:before="180" w:line="420" w:lineRule="exact"/>
              <w:jc w:val="center"/>
              <w:rPr>
                <w:rFonts w:ascii="標楷體" w:eastAsia="標楷體" w:hAnsi="標楷體"/>
                <w:sz w:val="28"/>
                <w:szCs w:val="28"/>
              </w:rPr>
            </w:pPr>
            <w:r w:rsidRPr="00D65AED">
              <w:rPr>
                <w:rFonts w:ascii="標楷體" w:eastAsia="標楷體" w:hAnsi="標楷體" w:hint="eastAsia"/>
                <w:sz w:val="28"/>
                <w:szCs w:val="28"/>
              </w:rPr>
              <w:t>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tc>
        <w:tc>
          <w:tcPr>
            <w:tcW w:w="5009" w:type="dxa"/>
            <w:tcMar>
              <w:top w:w="28" w:type="dxa"/>
              <w:left w:w="57" w:type="dxa"/>
              <w:bottom w:w="28" w:type="dxa"/>
              <w:right w:w="57" w:type="dxa"/>
            </w:tcMar>
            <w:vAlign w:val="center"/>
          </w:tcPr>
          <w:p w14:paraId="53CA33A6" w14:textId="77777777" w:rsidR="00421BB5" w:rsidRPr="00D65AED" w:rsidRDefault="00421BB5" w:rsidP="00421BB5">
            <w:pPr>
              <w:kinsoku w:val="0"/>
              <w:autoSpaceDE w:val="0"/>
              <w:autoSpaceDN w:val="0"/>
              <w:spacing w:line="42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hint="eastAsia"/>
                <w:sz w:val="28"/>
                <w:szCs w:val="28"/>
              </w:rPr>
              <w:t>3</w:t>
            </w:r>
            <w:r w:rsidRPr="00D65AED">
              <w:rPr>
                <w:rFonts w:ascii="標楷體" w:eastAsia="標楷體" w:hAnsi="標楷體"/>
                <w:sz w:val="28"/>
                <w:szCs w:val="28"/>
              </w:rPr>
              <w:t>.</w:t>
            </w:r>
            <w:r w:rsidRPr="00D65AED">
              <w:rPr>
                <w:rFonts w:ascii="標楷體" w:eastAsia="標楷體" w:hAnsi="標楷體"/>
                <w:b/>
                <w:sz w:val="28"/>
                <w:szCs w:val="28"/>
              </w:rPr>
              <w:t>行政院人事行政總處</w:t>
            </w:r>
            <w:r w:rsidRPr="00D65AED">
              <w:rPr>
                <w:rFonts w:ascii="標楷體" w:eastAsia="標楷體" w:hAnsi="標楷體"/>
                <w:sz w:val="28"/>
                <w:szCs w:val="28"/>
              </w:rPr>
              <w:t>（行政院人事行政總處、公務人力發展</w:t>
            </w:r>
            <w:r w:rsidRPr="00D65AED">
              <w:rPr>
                <w:rFonts w:ascii="標楷體" w:eastAsia="標楷體" w:hAnsi="標楷體" w:hint="eastAsia"/>
                <w:sz w:val="28"/>
                <w:szCs w:val="28"/>
              </w:rPr>
              <w:t>學院</w:t>
            </w:r>
            <w:r w:rsidRPr="00D65AED">
              <w:rPr>
                <w:rFonts w:ascii="標楷體" w:eastAsia="標楷體" w:hAnsi="標楷體"/>
                <w:sz w:val="28"/>
                <w:szCs w:val="28"/>
              </w:rPr>
              <w:t>）等主管收支部分</w:t>
            </w:r>
            <w:r w:rsidRPr="00D65AED">
              <w:rPr>
                <w:rFonts w:ascii="標楷體" w:eastAsia="標楷體" w:hAnsi="標楷體" w:hint="eastAsia"/>
                <w:sz w:val="28"/>
                <w:szCs w:val="28"/>
              </w:rPr>
              <w:t>。</w:t>
            </w:r>
          </w:p>
        </w:tc>
      </w:tr>
      <w:tr w:rsidR="00421BB5" w:rsidRPr="00D65AED" w14:paraId="3A99D1E5" w14:textId="77777777" w:rsidTr="00421BB5">
        <w:trPr>
          <w:trHeight w:val="552"/>
        </w:trPr>
        <w:tc>
          <w:tcPr>
            <w:tcW w:w="4074" w:type="dxa"/>
            <w:vAlign w:val="center"/>
          </w:tcPr>
          <w:p w14:paraId="32EDF608" w14:textId="77777777" w:rsidR="00421BB5" w:rsidRPr="00D65AED" w:rsidRDefault="00421BB5" w:rsidP="00421BB5">
            <w:pPr>
              <w:adjustRightInd w:val="0"/>
              <w:snapToGrid w:val="0"/>
              <w:spacing w:line="420" w:lineRule="exact"/>
              <w:jc w:val="center"/>
              <w:rPr>
                <w:rFonts w:ascii="標楷體" w:eastAsia="標楷體" w:hAnsi="標楷體"/>
                <w:sz w:val="28"/>
                <w:szCs w:val="28"/>
              </w:rPr>
            </w:pP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w:t>
            </w:r>
          </w:p>
        </w:tc>
        <w:tc>
          <w:tcPr>
            <w:tcW w:w="5009" w:type="dxa"/>
            <w:tcMar>
              <w:top w:w="28" w:type="dxa"/>
              <w:left w:w="57" w:type="dxa"/>
              <w:bottom w:w="28" w:type="dxa"/>
              <w:right w:w="57" w:type="dxa"/>
            </w:tcMar>
            <w:vAlign w:val="center"/>
          </w:tcPr>
          <w:p w14:paraId="6E046B6B" w14:textId="77777777" w:rsidR="00421BB5" w:rsidRPr="00D65AED" w:rsidRDefault="00421BB5" w:rsidP="00421BB5">
            <w:pPr>
              <w:kinsoku w:val="0"/>
              <w:autoSpaceDE w:val="0"/>
              <w:autoSpaceDN w:val="0"/>
              <w:adjustRightInd w:val="0"/>
              <w:snapToGrid w:val="0"/>
              <w:spacing w:line="42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4.</w:t>
            </w:r>
            <w:r w:rsidRPr="00D65AED">
              <w:rPr>
                <w:rFonts w:ascii="標楷體" w:eastAsia="標楷體" w:hAnsi="標楷體"/>
                <w:b/>
                <w:sz w:val="28"/>
                <w:szCs w:val="28"/>
              </w:rPr>
              <w:t>立法院</w:t>
            </w:r>
            <w:r w:rsidRPr="00D65AED">
              <w:rPr>
                <w:rFonts w:ascii="標楷體" w:eastAsia="標楷體" w:hAnsi="標楷體"/>
                <w:sz w:val="28"/>
                <w:szCs w:val="28"/>
              </w:rPr>
              <w:t>主管收支部分。</w:t>
            </w:r>
          </w:p>
        </w:tc>
      </w:tr>
      <w:tr w:rsidR="00421BB5" w:rsidRPr="00D65AED" w14:paraId="04961D89" w14:textId="77777777" w:rsidTr="00421BB5">
        <w:trPr>
          <w:trHeight w:val="715"/>
        </w:trPr>
        <w:tc>
          <w:tcPr>
            <w:tcW w:w="4074" w:type="dxa"/>
            <w:vAlign w:val="center"/>
          </w:tcPr>
          <w:p w14:paraId="3A1618EE" w14:textId="77777777" w:rsidR="00421BB5" w:rsidRPr="00D65AED" w:rsidRDefault="00421BB5" w:rsidP="00421BB5">
            <w:pPr>
              <w:spacing w:beforeLines="50" w:before="180" w:line="420" w:lineRule="exact"/>
              <w:ind w:leftChars="-7" w:hangingChars="6" w:hanging="17"/>
              <w:jc w:val="center"/>
              <w:rPr>
                <w:rFonts w:ascii="標楷體" w:eastAsia="標楷體" w:hAnsi="標楷體"/>
                <w:sz w:val="28"/>
                <w:szCs w:val="28"/>
              </w:rPr>
            </w:pP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w:t>
            </w:r>
          </w:p>
        </w:tc>
        <w:tc>
          <w:tcPr>
            <w:tcW w:w="5009" w:type="dxa"/>
            <w:tcMar>
              <w:top w:w="28" w:type="dxa"/>
              <w:left w:w="57" w:type="dxa"/>
              <w:bottom w:w="28" w:type="dxa"/>
              <w:right w:w="57" w:type="dxa"/>
            </w:tcMar>
            <w:vAlign w:val="center"/>
          </w:tcPr>
          <w:p w14:paraId="7CC73B06" w14:textId="77777777" w:rsidR="00421BB5" w:rsidRPr="00D65AED" w:rsidRDefault="00421BB5" w:rsidP="00421BB5">
            <w:pPr>
              <w:kinsoku w:val="0"/>
              <w:autoSpaceDE w:val="0"/>
              <w:autoSpaceDN w:val="0"/>
              <w:spacing w:line="42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5.</w:t>
            </w:r>
            <w:r w:rsidRPr="00D65AED">
              <w:rPr>
                <w:rFonts w:ascii="標楷體" w:eastAsia="標楷體" w:hAnsi="標楷體"/>
                <w:b/>
                <w:sz w:val="28"/>
                <w:szCs w:val="28"/>
              </w:rPr>
              <w:t>司法院</w:t>
            </w:r>
            <w:r w:rsidRPr="00D65AED">
              <w:rPr>
                <w:rFonts w:ascii="標楷體" w:eastAsia="標楷體" w:hAnsi="標楷體"/>
                <w:sz w:val="28"/>
                <w:szCs w:val="28"/>
              </w:rPr>
              <w:t>、最高法院、最高行政法院、懲</w:t>
            </w:r>
            <w:r w:rsidRPr="00D65AED">
              <w:rPr>
                <w:rFonts w:ascii="標楷體" w:eastAsia="標楷體" w:hAnsi="標楷體" w:hint="eastAsia"/>
                <w:sz w:val="28"/>
                <w:szCs w:val="28"/>
              </w:rPr>
              <w:t>戒法院</w:t>
            </w:r>
            <w:r w:rsidRPr="00D65AED">
              <w:rPr>
                <w:rFonts w:ascii="標楷體" w:eastAsia="標楷體" w:hAnsi="標楷體"/>
                <w:sz w:val="28"/>
                <w:szCs w:val="28"/>
              </w:rPr>
              <w:t>、法官學院、智</w:t>
            </w:r>
            <w:r w:rsidRPr="00D65AED">
              <w:rPr>
                <w:rFonts w:ascii="標楷體" w:eastAsia="標楷體" w:hAnsi="標楷體" w:hint="eastAsia"/>
                <w:sz w:val="28"/>
                <w:szCs w:val="28"/>
              </w:rPr>
              <w:t>財法院</w:t>
            </w:r>
            <w:r w:rsidRPr="00D65AED">
              <w:rPr>
                <w:rFonts w:ascii="標楷體" w:eastAsia="標楷體" w:hAnsi="標楷體"/>
                <w:sz w:val="28"/>
                <w:szCs w:val="28"/>
              </w:rPr>
              <w:t>等主管收支部分。</w:t>
            </w:r>
          </w:p>
          <w:p w14:paraId="023049D9" w14:textId="77777777" w:rsidR="00421BB5" w:rsidRPr="00D65AED" w:rsidRDefault="00421BB5" w:rsidP="00421BB5">
            <w:pPr>
              <w:spacing w:line="420" w:lineRule="exact"/>
              <w:ind w:leftChars="109" w:left="264" w:hanging="2"/>
              <w:jc w:val="both"/>
              <w:rPr>
                <w:rFonts w:ascii="標楷體" w:eastAsia="標楷體" w:hAnsi="標楷體"/>
                <w:spacing w:val="-8"/>
                <w:sz w:val="28"/>
                <w:szCs w:val="28"/>
              </w:rPr>
            </w:pPr>
            <w:r w:rsidRPr="00D65AED">
              <w:rPr>
                <w:rFonts w:ascii="標楷體" w:eastAsia="標楷體" w:hAnsi="標楷體"/>
                <w:spacing w:val="-8"/>
                <w:sz w:val="28"/>
                <w:szCs w:val="28"/>
              </w:rPr>
              <w:t>高等法院及各高等行政法院等主管收支部分。</w:t>
            </w:r>
          </w:p>
          <w:p w14:paraId="118DB645" w14:textId="77777777" w:rsidR="00421BB5" w:rsidRPr="00D65AED" w:rsidRDefault="00421BB5" w:rsidP="00421BB5">
            <w:pPr>
              <w:spacing w:line="420" w:lineRule="exact"/>
              <w:ind w:leftChars="109" w:left="264" w:hanging="2"/>
              <w:jc w:val="both"/>
              <w:rPr>
                <w:rFonts w:ascii="標楷體" w:eastAsia="標楷體" w:hAnsi="標楷體"/>
                <w:sz w:val="28"/>
                <w:szCs w:val="28"/>
              </w:rPr>
            </w:pPr>
            <w:r w:rsidRPr="00D65AED">
              <w:rPr>
                <w:rFonts w:ascii="標楷體" w:eastAsia="標楷體" w:hAnsi="標楷體"/>
                <w:sz w:val="28"/>
                <w:szCs w:val="28"/>
              </w:rPr>
              <w:t>各高分院、各地方法院、臺灣高雄少年及家事法院等主管收支部分。</w:t>
            </w:r>
          </w:p>
        </w:tc>
      </w:tr>
      <w:tr w:rsidR="00421BB5" w:rsidRPr="00D65AED" w14:paraId="04F88CF2" w14:textId="77777777" w:rsidTr="00421BB5">
        <w:trPr>
          <w:trHeight w:val="297"/>
        </w:trPr>
        <w:tc>
          <w:tcPr>
            <w:tcW w:w="4074" w:type="dxa"/>
            <w:vAlign w:val="center"/>
          </w:tcPr>
          <w:p w14:paraId="0DF7B82F" w14:textId="77777777" w:rsidR="00421BB5" w:rsidRPr="00D65AED" w:rsidRDefault="00421BB5" w:rsidP="00421BB5">
            <w:pPr>
              <w:spacing w:beforeLines="50" w:before="180" w:line="420" w:lineRule="exact"/>
              <w:jc w:val="center"/>
              <w:rPr>
                <w:rFonts w:ascii="標楷體" w:eastAsia="標楷體" w:hAnsi="標楷體"/>
                <w:sz w:val="28"/>
                <w:szCs w:val="28"/>
              </w:rPr>
            </w:pP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w:t>
            </w:r>
          </w:p>
        </w:tc>
        <w:tc>
          <w:tcPr>
            <w:tcW w:w="5009" w:type="dxa"/>
            <w:tcMar>
              <w:top w:w="28" w:type="dxa"/>
              <w:left w:w="57" w:type="dxa"/>
              <w:bottom w:w="28" w:type="dxa"/>
              <w:right w:w="57" w:type="dxa"/>
            </w:tcMar>
            <w:vAlign w:val="center"/>
          </w:tcPr>
          <w:p w14:paraId="7361AB61" w14:textId="77777777" w:rsidR="00421BB5" w:rsidRPr="00D65AED" w:rsidRDefault="00421BB5" w:rsidP="00421BB5">
            <w:pPr>
              <w:kinsoku w:val="0"/>
              <w:autoSpaceDE w:val="0"/>
              <w:autoSpaceDN w:val="0"/>
              <w:spacing w:line="42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6.</w:t>
            </w:r>
            <w:r w:rsidRPr="00D65AED">
              <w:rPr>
                <w:rFonts w:ascii="標楷體" w:eastAsia="標楷體" w:hAnsi="標楷體"/>
                <w:b/>
                <w:sz w:val="28"/>
                <w:szCs w:val="28"/>
              </w:rPr>
              <w:t>考試院</w:t>
            </w:r>
            <w:r w:rsidRPr="00D65AED">
              <w:rPr>
                <w:rFonts w:ascii="標楷體" w:eastAsia="標楷體" w:hAnsi="標楷體"/>
                <w:sz w:val="28"/>
                <w:szCs w:val="28"/>
              </w:rPr>
              <w:t>、考選部、銓敘部、公務人員保障暨培訓委員會、國家文官學院及所屬、公務人員退休撫卹基金監理委員會、公務人員退休撫卹基金管理委員會等主管收支部分。</w:t>
            </w:r>
          </w:p>
        </w:tc>
      </w:tr>
      <w:tr w:rsidR="00421BB5" w:rsidRPr="00D65AED" w14:paraId="195CD365" w14:textId="77777777" w:rsidTr="00421BB5">
        <w:trPr>
          <w:trHeight w:val="495"/>
        </w:trPr>
        <w:tc>
          <w:tcPr>
            <w:tcW w:w="4074" w:type="dxa"/>
            <w:vAlign w:val="center"/>
          </w:tcPr>
          <w:p w14:paraId="4E43D82F" w14:textId="77777777" w:rsidR="00421BB5" w:rsidRPr="00D65AED" w:rsidRDefault="00421BB5" w:rsidP="00421BB5">
            <w:pPr>
              <w:spacing w:line="420" w:lineRule="exact"/>
              <w:jc w:val="center"/>
              <w:rPr>
                <w:rFonts w:ascii="標楷體" w:eastAsia="標楷體" w:hAnsi="標楷體"/>
                <w:sz w:val="28"/>
                <w:szCs w:val="28"/>
              </w:rPr>
            </w:pPr>
            <w:r w:rsidRPr="00D65AED">
              <w:rPr>
                <w:rFonts w:ascii="標楷體" w:eastAsia="標楷體" w:hAnsi="標楷體" w:hint="eastAsia"/>
                <w:sz w:val="28"/>
                <w:szCs w:val="28"/>
              </w:rPr>
              <w:t>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tc>
        <w:tc>
          <w:tcPr>
            <w:tcW w:w="5009" w:type="dxa"/>
            <w:tcMar>
              <w:top w:w="28" w:type="dxa"/>
              <w:left w:w="57" w:type="dxa"/>
              <w:bottom w:w="28" w:type="dxa"/>
              <w:right w:w="57" w:type="dxa"/>
            </w:tcMar>
            <w:vAlign w:val="center"/>
          </w:tcPr>
          <w:p w14:paraId="1BC96CBA" w14:textId="77777777" w:rsidR="00421BB5" w:rsidRPr="00D65AED" w:rsidRDefault="00421BB5" w:rsidP="00421BB5">
            <w:pPr>
              <w:kinsoku w:val="0"/>
              <w:autoSpaceDE w:val="0"/>
              <w:autoSpaceDN w:val="0"/>
              <w:spacing w:line="42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kern w:val="16"/>
                <w:sz w:val="28"/>
                <w:szCs w:val="28"/>
              </w:rPr>
              <w:t>7.</w:t>
            </w:r>
            <w:r w:rsidRPr="00D65AED">
              <w:rPr>
                <w:rFonts w:ascii="標楷體" w:eastAsia="標楷體" w:hAnsi="標楷體"/>
                <w:b/>
                <w:sz w:val="28"/>
                <w:szCs w:val="28"/>
              </w:rPr>
              <w:t>監察院</w:t>
            </w:r>
            <w:r w:rsidRPr="00D65AED">
              <w:rPr>
                <w:rFonts w:ascii="標楷體" w:eastAsia="標楷體" w:hAnsi="標楷體"/>
                <w:sz w:val="28"/>
                <w:szCs w:val="28"/>
              </w:rPr>
              <w:t>主管收支部分。</w:t>
            </w:r>
          </w:p>
        </w:tc>
      </w:tr>
    </w:tbl>
    <w:p w14:paraId="19268988" w14:textId="77777777" w:rsidR="00421BB5" w:rsidRPr="00D65AED" w:rsidRDefault="00421BB5" w:rsidP="00421BB5">
      <w:pPr>
        <w:spacing w:beforeLines="50" w:before="180" w:afterLines="50" w:after="180" w:line="400" w:lineRule="exact"/>
        <w:ind w:leftChars="-123" w:left="-15" w:hangingChars="100" w:hanging="280"/>
        <w:rPr>
          <w:rFonts w:ascii="標楷體" w:eastAsia="標楷體" w:hAnsi="標楷體"/>
          <w:sz w:val="28"/>
          <w:szCs w:val="28"/>
        </w:rPr>
      </w:pPr>
    </w:p>
    <w:p w14:paraId="7676F6F3" w14:textId="77777777" w:rsidR="00421BB5" w:rsidRPr="00D65AED" w:rsidRDefault="00421BB5" w:rsidP="00421BB5">
      <w:pPr>
        <w:spacing w:beforeLines="50" w:before="180" w:afterLines="50" w:after="180" w:line="400" w:lineRule="exact"/>
        <w:ind w:leftChars="-123" w:left="-15" w:hangingChars="100" w:hanging="280"/>
        <w:rPr>
          <w:rFonts w:ascii="標楷體" w:eastAsia="標楷體" w:hAnsi="標楷體"/>
          <w:sz w:val="28"/>
          <w:szCs w:val="28"/>
        </w:rPr>
      </w:pPr>
    </w:p>
    <w:p w14:paraId="4CECD298" w14:textId="77777777" w:rsidR="00421BB5" w:rsidRPr="00D65AED" w:rsidRDefault="00421BB5" w:rsidP="00421BB5">
      <w:pPr>
        <w:spacing w:beforeLines="120" w:before="432" w:afterLines="70" w:after="252" w:line="400" w:lineRule="exact"/>
        <w:ind w:leftChars="-123" w:left="-15" w:hangingChars="100" w:hanging="280"/>
        <w:rPr>
          <w:rFonts w:ascii="標楷體" w:eastAsia="標楷體" w:hAnsi="標楷體"/>
          <w:b/>
          <w:sz w:val="28"/>
          <w:szCs w:val="28"/>
        </w:rPr>
      </w:pPr>
      <w:r w:rsidRPr="00D65AED">
        <w:rPr>
          <w:rFonts w:ascii="標楷體" w:eastAsia="標楷體" w:hAnsi="標楷體"/>
          <w:b/>
          <w:sz w:val="28"/>
          <w:szCs w:val="28"/>
        </w:rPr>
        <w:t>二、附屬單位預算及綜計表</w:t>
      </w:r>
      <w:r w:rsidRPr="00D65AED">
        <w:rPr>
          <w:rFonts w:ascii="標楷體" w:eastAsia="標楷體" w:hAnsi="標楷體" w:hint="eastAsia"/>
          <w:b/>
          <w:sz w:val="28"/>
          <w:szCs w:val="28"/>
        </w:rPr>
        <w:t>—</w:t>
      </w:r>
      <w:r w:rsidRPr="00D65AED">
        <w:rPr>
          <w:rFonts w:ascii="標楷體" w:eastAsia="標楷體" w:hAnsi="標楷體"/>
          <w:b/>
          <w:sz w:val="28"/>
          <w:szCs w:val="28"/>
        </w:rPr>
        <w:t>非營業部分及財團法人預算</w:t>
      </w:r>
    </w:p>
    <w:tbl>
      <w:tblPr>
        <w:tblW w:w="9001" w:type="dxa"/>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102"/>
        <w:gridCol w:w="4899"/>
      </w:tblGrid>
      <w:tr w:rsidR="00421BB5" w:rsidRPr="00D65AED" w14:paraId="6E995D28" w14:textId="77777777" w:rsidTr="00421BB5">
        <w:trPr>
          <w:trHeight w:val="715"/>
        </w:trPr>
        <w:tc>
          <w:tcPr>
            <w:tcW w:w="4102" w:type="dxa"/>
            <w:vAlign w:val="center"/>
          </w:tcPr>
          <w:p w14:paraId="3457F70C" w14:textId="77777777" w:rsidR="00421BB5" w:rsidRPr="00D65AED" w:rsidRDefault="00421BB5" w:rsidP="00421BB5">
            <w:pPr>
              <w:spacing w:line="440" w:lineRule="exact"/>
              <w:ind w:firstLineChars="3" w:firstLine="8"/>
              <w:jc w:val="center"/>
              <w:rPr>
                <w:rFonts w:ascii="標楷體" w:eastAsia="標楷體" w:hAnsi="標楷體"/>
                <w:sz w:val="28"/>
                <w:szCs w:val="28"/>
              </w:rPr>
            </w:pPr>
            <w:r w:rsidRPr="00D65AED">
              <w:rPr>
                <w:rFonts w:ascii="標楷體" w:eastAsia="標楷體" w:hAnsi="標楷體" w:hint="eastAsia"/>
                <w:sz w:val="28"/>
                <w:szCs w:val="28"/>
              </w:rPr>
              <w:t>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tc>
        <w:tc>
          <w:tcPr>
            <w:tcW w:w="4899" w:type="dxa"/>
            <w:tcMar>
              <w:top w:w="28" w:type="dxa"/>
              <w:left w:w="57" w:type="dxa"/>
              <w:bottom w:w="28" w:type="dxa"/>
              <w:right w:w="57" w:type="dxa"/>
            </w:tcMar>
            <w:vAlign w:val="center"/>
          </w:tcPr>
          <w:p w14:paraId="2DAD5B6E" w14:textId="77777777" w:rsidR="00421BB5" w:rsidRPr="00D65AED" w:rsidRDefault="00421BB5" w:rsidP="00421BB5">
            <w:pPr>
              <w:kinsoku w:val="0"/>
              <w:wordWrap w:val="0"/>
              <w:autoSpaceDE w:val="0"/>
              <w:autoSpaceDN w:val="0"/>
              <w:spacing w:beforeLines="20" w:before="72" w:afterLines="20" w:after="72" w:line="44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1.</w:t>
            </w:r>
            <w:r w:rsidRPr="00D65AED">
              <w:rPr>
                <w:rFonts w:ascii="標楷體" w:eastAsia="標楷體" w:hAnsi="標楷體"/>
                <w:b/>
                <w:sz w:val="28"/>
                <w:szCs w:val="28"/>
              </w:rPr>
              <w:t>法務部</w:t>
            </w:r>
            <w:r w:rsidRPr="00D65AED">
              <w:rPr>
                <w:rFonts w:ascii="標楷體" w:eastAsia="標楷體" w:hAnsi="標楷體"/>
                <w:sz w:val="28"/>
                <w:szCs w:val="28"/>
              </w:rPr>
              <w:t>矯正機關作業基金</w:t>
            </w:r>
          </w:p>
        </w:tc>
      </w:tr>
      <w:tr w:rsidR="00421BB5" w:rsidRPr="00D65AED" w14:paraId="367B66EC" w14:textId="77777777" w:rsidTr="00421BB5">
        <w:trPr>
          <w:trHeight w:val="715"/>
        </w:trPr>
        <w:tc>
          <w:tcPr>
            <w:tcW w:w="4102" w:type="dxa"/>
            <w:vAlign w:val="center"/>
          </w:tcPr>
          <w:p w14:paraId="0C97AB57" w14:textId="77777777" w:rsidR="00421BB5" w:rsidRPr="00D65AED" w:rsidRDefault="00421BB5" w:rsidP="00421BB5">
            <w:pPr>
              <w:spacing w:line="440" w:lineRule="exact"/>
              <w:ind w:firstLineChars="3" w:firstLine="8"/>
              <w:jc w:val="center"/>
              <w:rPr>
                <w:rFonts w:ascii="標楷體" w:eastAsia="標楷體" w:hAnsi="標楷體"/>
                <w:sz w:val="28"/>
                <w:szCs w:val="28"/>
              </w:rPr>
            </w:pPr>
            <w:r w:rsidRPr="00D65AED">
              <w:rPr>
                <w:rFonts w:ascii="標楷體" w:eastAsia="標楷體" w:hAnsi="標楷體" w:hint="eastAsia"/>
                <w:sz w:val="28"/>
                <w:szCs w:val="28"/>
              </w:rPr>
              <w:t>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tc>
        <w:tc>
          <w:tcPr>
            <w:tcW w:w="4899" w:type="dxa"/>
            <w:tcMar>
              <w:top w:w="28" w:type="dxa"/>
              <w:left w:w="57" w:type="dxa"/>
              <w:bottom w:w="28" w:type="dxa"/>
              <w:right w:w="57" w:type="dxa"/>
            </w:tcMar>
            <w:vAlign w:val="center"/>
          </w:tcPr>
          <w:p w14:paraId="3194D9FC" w14:textId="77777777" w:rsidR="00421BB5" w:rsidRPr="00D65AED" w:rsidRDefault="00421BB5" w:rsidP="00421BB5">
            <w:pPr>
              <w:kinsoku w:val="0"/>
              <w:wordWrap w:val="0"/>
              <w:autoSpaceDE w:val="0"/>
              <w:autoSpaceDN w:val="0"/>
              <w:spacing w:beforeLines="20" w:before="72" w:afterLines="20" w:after="72" w:line="44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hint="eastAsia"/>
                <w:sz w:val="28"/>
                <w:szCs w:val="28"/>
              </w:rPr>
              <w:t>2.毒品防制基金（</w:t>
            </w:r>
            <w:r w:rsidRPr="00D65AED">
              <w:rPr>
                <w:rFonts w:ascii="標楷體" w:eastAsia="標楷體" w:hAnsi="標楷體" w:hint="eastAsia"/>
                <w:b/>
                <w:sz w:val="28"/>
                <w:szCs w:val="28"/>
              </w:rPr>
              <w:t>法務部</w:t>
            </w:r>
            <w:r w:rsidRPr="00D65AED">
              <w:rPr>
                <w:rFonts w:ascii="標楷體" w:eastAsia="標楷體" w:hAnsi="標楷體" w:hint="eastAsia"/>
                <w:sz w:val="28"/>
                <w:szCs w:val="28"/>
              </w:rPr>
              <w:t>主管）</w:t>
            </w:r>
          </w:p>
        </w:tc>
      </w:tr>
      <w:tr w:rsidR="00421BB5" w:rsidRPr="00D65AED" w14:paraId="4AF0E083" w14:textId="77777777" w:rsidTr="00421BB5">
        <w:trPr>
          <w:trHeight w:val="724"/>
        </w:trPr>
        <w:tc>
          <w:tcPr>
            <w:tcW w:w="4102" w:type="dxa"/>
            <w:vAlign w:val="center"/>
          </w:tcPr>
          <w:p w14:paraId="3728456D" w14:textId="77777777" w:rsidR="00421BB5" w:rsidRPr="00D65AED" w:rsidRDefault="00421BB5" w:rsidP="00421BB5">
            <w:pPr>
              <w:spacing w:line="440" w:lineRule="exact"/>
              <w:ind w:firstLineChars="3" w:firstLine="8"/>
              <w:jc w:val="center"/>
              <w:rPr>
                <w:rFonts w:ascii="標楷體" w:eastAsia="標楷體" w:hAnsi="標楷體"/>
                <w:sz w:val="28"/>
                <w:szCs w:val="28"/>
              </w:rPr>
            </w:pPr>
            <w:r w:rsidRPr="00D65AED">
              <w:rPr>
                <w:rFonts w:ascii="標楷體" w:eastAsia="標楷體" w:hAnsi="標楷體" w:hint="eastAsia"/>
                <w:sz w:val="28"/>
                <w:szCs w:val="28"/>
              </w:rPr>
              <w:t>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tc>
        <w:tc>
          <w:tcPr>
            <w:tcW w:w="4899" w:type="dxa"/>
            <w:tcMar>
              <w:top w:w="28" w:type="dxa"/>
              <w:left w:w="57" w:type="dxa"/>
              <w:bottom w:w="28" w:type="dxa"/>
              <w:right w:w="57" w:type="dxa"/>
            </w:tcMar>
            <w:vAlign w:val="center"/>
          </w:tcPr>
          <w:p w14:paraId="1EFC2A56" w14:textId="77777777" w:rsidR="00421BB5" w:rsidRPr="00D65AED" w:rsidRDefault="00421BB5" w:rsidP="00421BB5">
            <w:pPr>
              <w:kinsoku w:val="0"/>
              <w:wordWrap w:val="0"/>
              <w:autoSpaceDE w:val="0"/>
              <w:autoSpaceDN w:val="0"/>
              <w:spacing w:beforeLines="20" w:before="72" w:afterLines="20" w:after="72" w:line="44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hint="eastAsia"/>
                <w:sz w:val="28"/>
                <w:szCs w:val="28"/>
              </w:rPr>
              <w:t>3</w:t>
            </w:r>
            <w:r w:rsidRPr="00D65AED">
              <w:rPr>
                <w:rFonts w:ascii="標楷體" w:eastAsia="標楷體" w:hAnsi="標楷體"/>
                <w:sz w:val="28"/>
                <w:szCs w:val="28"/>
              </w:rPr>
              <w:t>.中央公教人員急難救助基金</w:t>
            </w:r>
            <w:r w:rsidRPr="00D65AED">
              <w:rPr>
                <w:rFonts w:ascii="標楷體" w:eastAsia="標楷體" w:hAnsi="標楷體" w:hint="eastAsia"/>
                <w:sz w:val="28"/>
                <w:szCs w:val="28"/>
              </w:rPr>
              <w:t>（</w:t>
            </w:r>
            <w:r w:rsidRPr="00D65AED">
              <w:rPr>
                <w:rFonts w:ascii="標楷體" w:eastAsia="標楷體" w:hAnsi="標楷體" w:hint="eastAsia"/>
                <w:b/>
                <w:sz w:val="28"/>
                <w:szCs w:val="28"/>
              </w:rPr>
              <w:t>行政院</w:t>
            </w:r>
            <w:r w:rsidRPr="00D65AED">
              <w:rPr>
                <w:rFonts w:ascii="標楷體" w:eastAsia="標楷體" w:hAnsi="標楷體"/>
                <w:b/>
                <w:sz w:val="28"/>
                <w:szCs w:val="28"/>
              </w:rPr>
              <w:t>人事行政總處</w:t>
            </w:r>
            <w:r w:rsidRPr="00D65AED">
              <w:rPr>
                <w:rFonts w:ascii="標楷體" w:eastAsia="標楷體" w:hAnsi="標楷體"/>
                <w:sz w:val="28"/>
                <w:szCs w:val="28"/>
              </w:rPr>
              <w:t>主管）</w:t>
            </w:r>
          </w:p>
        </w:tc>
      </w:tr>
      <w:tr w:rsidR="00421BB5" w:rsidRPr="00D65AED" w14:paraId="0CD9CC49" w14:textId="77777777" w:rsidTr="00421BB5">
        <w:trPr>
          <w:trHeight w:val="856"/>
        </w:trPr>
        <w:tc>
          <w:tcPr>
            <w:tcW w:w="4102" w:type="dxa"/>
            <w:vAlign w:val="center"/>
          </w:tcPr>
          <w:p w14:paraId="15E1CF12" w14:textId="77777777" w:rsidR="00421BB5" w:rsidRPr="00D65AED" w:rsidRDefault="00421BB5" w:rsidP="00421BB5">
            <w:pPr>
              <w:spacing w:line="440" w:lineRule="exact"/>
              <w:ind w:firstLineChars="3" w:firstLine="8"/>
              <w:jc w:val="center"/>
              <w:rPr>
                <w:rFonts w:ascii="標楷體" w:eastAsia="標楷體" w:hAnsi="標楷體"/>
                <w:sz w:val="28"/>
                <w:szCs w:val="28"/>
              </w:rPr>
            </w:pP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w:t>
            </w:r>
          </w:p>
        </w:tc>
        <w:tc>
          <w:tcPr>
            <w:tcW w:w="4899" w:type="dxa"/>
            <w:tcMar>
              <w:top w:w="28" w:type="dxa"/>
              <w:left w:w="57" w:type="dxa"/>
              <w:bottom w:w="28" w:type="dxa"/>
              <w:right w:w="57" w:type="dxa"/>
            </w:tcMar>
            <w:vAlign w:val="center"/>
          </w:tcPr>
          <w:p w14:paraId="12D191FA" w14:textId="77777777" w:rsidR="00421BB5" w:rsidRPr="00D65AED" w:rsidRDefault="00421BB5" w:rsidP="00421BB5">
            <w:pPr>
              <w:kinsoku w:val="0"/>
              <w:wordWrap w:val="0"/>
              <w:autoSpaceDE w:val="0"/>
              <w:autoSpaceDN w:val="0"/>
              <w:spacing w:beforeLines="20" w:before="72" w:afterLines="20" w:after="72" w:line="44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4</w:t>
            </w:r>
            <w:r w:rsidRPr="00D65AED">
              <w:rPr>
                <w:rFonts w:ascii="標楷體" w:eastAsia="標楷體" w:hAnsi="標楷體" w:hint="eastAsia"/>
                <w:sz w:val="28"/>
                <w:szCs w:val="28"/>
              </w:rPr>
              <w:t>.</w:t>
            </w:r>
            <w:r w:rsidRPr="00D65AED">
              <w:rPr>
                <w:rFonts w:ascii="標楷體" w:eastAsia="標楷體" w:hAnsi="標楷體"/>
                <w:sz w:val="28"/>
                <w:szCs w:val="28"/>
              </w:rPr>
              <w:t>考選業務基金（</w:t>
            </w:r>
            <w:r w:rsidRPr="00D65AED">
              <w:rPr>
                <w:rFonts w:ascii="標楷體" w:eastAsia="標楷體" w:hAnsi="標楷體"/>
                <w:b/>
                <w:sz w:val="28"/>
                <w:szCs w:val="28"/>
              </w:rPr>
              <w:t>考試院</w:t>
            </w:r>
            <w:r w:rsidRPr="00D65AED">
              <w:rPr>
                <w:rFonts w:ascii="標楷體" w:eastAsia="標楷體" w:hAnsi="標楷體"/>
                <w:sz w:val="28"/>
                <w:szCs w:val="28"/>
              </w:rPr>
              <w:t>考選部主管）</w:t>
            </w:r>
          </w:p>
        </w:tc>
      </w:tr>
      <w:tr w:rsidR="00421BB5" w:rsidRPr="00D65AED" w14:paraId="6573C247" w14:textId="77777777" w:rsidTr="00421BB5">
        <w:trPr>
          <w:trHeight w:val="826"/>
        </w:trPr>
        <w:tc>
          <w:tcPr>
            <w:tcW w:w="4102" w:type="dxa"/>
            <w:vAlign w:val="center"/>
          </w:tcPr>
          <w:p w14:paraId="1A7EC34B" w14:textId="77777777" w:rsidR="00421BB5" w:rsidRPr="00D65AED" w:rsidRDefault="00421BB5" w:rsidP="00421BB5">
            <w:pPr>
              <w:spacing w:line="440" w:lineRule="exact"/>
              <w:ind w:firstLineChars="3" w:firstLine="8"/>
              <w:jc w:val="center"/>
              <w:rPr>
                <w:rFonts w:ascii="標楷體" w:eastAsia="標楷體" w:hAnsi="標楷體"/>
                <w:sz w:val="28"/>
                <w:szCs w:val="28"/>
              </w:rPr>
            </w:pP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w:t>
            </w:r>
          </w:p>
        </w:tc>
        <w:tc>
          <w:tcPr>
            <w:tcW w:w="4899" w:type="dxa"/>
            <w:tcMar>
              <w:top w:w="28" w:type="dxa"/>
              <w:left w:w="57" w:type="dxa"/>
              <w:bottom w:w="28" w:type="dxa"/>
              <w:right w:w="57" w:type="dxa"/>
            </w:tcMar>
            <w:vAlign w:val="center"/>
          </w:tcPr>
          <w:p w14:paraId="0C16E59F" w14:textId="77777777" w:rsidR="00421BB5" w:rsidRPr="00D65AED" w:rsidRDefault="00421BB5" w:rsidP="00421BB5">
            <w:pPr>
              <w:kinsoku w:val="0"/>
              <w:wordWrap w:val="0"/>
              <w:autoSpaceDE w:val="0"/>
              <w:autoSpaceDN w:val="0"/>
              <w:spacing w:beforeLines="20" w:before="72" w:afterLines="20" w:after="72" w:line="44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5.公務人員退休撫卹基金（</w:t>
            </w:r>
            <w:r w:rsidRPr="00D65AED">
              <w:rPr>
                <w:rFonts w:ascii="標楷體" w:eastAsia="標楷體" w:hAnsi="標楷體"/>
                <w:b/>
                <w:sz w:val="28"/>
                <w:szCs w:val="28"/>
              </w:rPr>
              <w:t>考試院</w:t>
            </w:r>
            <w:r w:rsidRPr="00D65AED">
              <w:rPr>
                <w:rFonts w:ascii="標楷體" w:eastAsia="標楷體" w:hAnsi="標楷體"/>
                <w:sz w:val="28"/>
                <w:szCs w:val="28"/>
              </w:rPr>
              <w:t>銓敘部主管）</w:t>
            </w:r>
          </w:p>
        </w:tc>
      </w:tr>
      <w:tr w:rsidR="00421BB5" w:rsidRPr="00D65AED" w14:paraId="299877F7" w14:textId="77777777" w:rsidTr="00421BB5">
        <w:trPr>
          <w:trHeight w:val="700"/>
        </w:trPr>
        <w:tc>
          <w:tcPr>
            <w:tcW w:w="4102" w:type="dxa"/>
            <w:vAlign w:val="center"/>
          </w:tcPr>
          <w:p w14:paraId="24F0FC81" w14:textId="77777777" w:rsidR="00421BB5" w:rsidRPr="00D65AED" w:rsidRDefault="00421BB5" w:rsidP="00421BB5">
            <w:pPr>
              <w:spacing w:line="440" w:lineRule="exact"/>
              <w:ind w:firstLineChars="3" w:firstLine="8"/>
              <w:jc w:val="center"/>
              <w:rPr>
                <w:rFonts w:ascii="標楷體" w:eastAsia="標楷體" w:hAnsi="標楷體"/>
                <w:sz w:val="28"/>
                <w:szCs w:val="28"/>
              </w:rPr>
            </w:pPr>
            <w:r w:rsidRPr="00D65AED">
              <w:rPr>
                <w:rFonts w:ascii="標楷體" w:eastAsia="標楷體" w:hAnsi="標楷體" w:hint="eastAsia"/>
                <w:sz w:val="28"/>
                <w:szCs w:val="28"/>
              </w:rPr>
              <w:t>陳</w:t>
            </w:r>
            <w:r w:rsidRPr="00D65AED">
              <w:rPr>
                <w:rFonts w:ascii="標楷體" w:eastAsia="標楷體" w:hAnsi="標楷體"/>
                <w:sz w:val="28"/>
                <w:szCs w:val="28"/>
              </w:rPr>
              <w:t>召集委員</w:t>
            </w:r>
            <w:r w:rsidRPr="00D65AED">
              <w:rPr>
                <w:rFonts w:ascii="標楷體" w:eastAsia="標楷體" w:hAnsi="標楷體" w:hint="eastAsia"/>
                <w:sz w:val="28"/>
                <w:szCs w:val="28"/>
              </w:rPr>
              <w:t>歐珀</w:t>
            </w:r>
          </w:p>
        </w:tc>
        <w:tc>
          <w:tcPr>
            <w:tcW w:w="4899" w:type="dxa"/>
            <w:tcMar>
              <w:top w:w="28" w:type="dxa"/>
              <w:left w:w="57" w:type="dxa"/>
              <w:bottom w:w="28" w:type="dxa"/>
              <w:right w:w="57" w:type="dxa"/>
            </w:tcMar>
            <w:vAlign w:val="center"/>
          </w:tcPr>
          <w:p w14:paraId="4C13AB1E" w14:textId="77777777" w:rsidR="00421BB5" w:rsidRPr="00D65AED" w:rsidRDefault="00421BB5" w:rsidP="00421BB5">
            <w:pPr>
              <w:kinsoku w:val="0"/>
              <w:wordWrap w:val="0"/>
              <w:autoSpaceDE w:val="0"/>
              <w:autoSpaceDN w:val="0"/>
              <w:spacing w:beforeLines="20" w:before="72" w:afterLines="20" w:after="72" w:line="44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6.財團法人法律扶助基金會</w:t>
            </w:r>
            <w:r w:rsidRPr="00D65AED">
              <w:rPr>
                <w:rFonts w:ascii="標楷體" w:eastAsia="標楷體" w:hAnsi="標楷體"/>
                <w:sz w:val="28"/>
                <w:szCs w:val="22"/>
              </w:rPr>
              <w:t>預算書（</w:t>
            </w:r>
            <w:r w:rsidRPr="00D65AED">
              <w:rPr>
                <w:rFonts w:ascii="標楷體" w:eastAsia="標楷體" w:hAnsi="標楷體"/>
                <w:b/>
                <w:sz w:val="28"/>
                <w:szCs w:val="28"/>
              </w:rPr>
              <w:t>司法院</w:t>
            </w:r>
            <w:r w:rsidRPr="00D65AED">
              <w:rPr>
                <w:rFonts w:ascii="標楷體" w:eastAsia="標楷體" w:hAnsi="標楷體"/>
                <w:sz w:val="28"/>
                <w:szCs w:val="28"/>
              </w:rPr>
              <w:t>主管）</w:t>
            </w:r>
          </w:p>
        </w:tc>
      </w:tr>
      <w:tr w:rsidR="00421BB5" w:rsidRPr="00D65AED" w14:paraId="5A5F2AE6" w14:textId="77777777" w:rsidTr="00421BB5">
        <w:trPr>
          <w:trHeight w:val="720"/>
        </w:trPr>
        <w:tc>
          <w:tcPr>
            <w:tcW w:w="4102" w:type="dxa"/>
            <w:vAlign w:val="center"/>
          </w:tcPr>
          <w:p w14:paraId="593EFEF1" w14:textId="77777777" w:rsidR="00421BB5" w:rsidRPr="00D65AED" w:rsidRDefault="00421BB5" w:rsidP="00421BB5">
            <w:pPr>
              <w:spacing w:line="440" w:lineRule="exact"/>
              <w:ind w:firstLineChars="3" w:firstLine="8"/>
              <w:jc w:val="center"/>
              <w:rPr>
                <w:rFonts w:ascii="標楷體" w:eastAsia="標楷體" w:hAnsi="標楷體"/>
                <w:sz w:val="28"/>
                <w:szCs w:val="28"/>
              </w:rPr>
            </w:pPr>
            <w:r w:rsidRPr="00D65AED">
              <w:rPr>
                <w:rFonts w:ascii="標楷體" w:eastAsia="標楷體" w:hAnsi="標楷體" w:hint="eastAsia"/>
                <w:sz w:val="28"/>
                <w:szCs w:val="28"/>
              </w:rPr>
              <w:t>林</w:t>
            </w:r>
            <w:r w:rsidRPr="00D65AED">
              <w:rPr>
                <w:rFonts w:ascii="標楷體" w:eastAsia="標楷體" w:hAnsi="標楷體"/>
                <w:sz w:val="28"/>
                <w:szCs w:val="28"/>
              </w:rPr>
              <w:t>召集委員</w:t>
            </w:r>
            <w:r w:rsidRPr="00D65AED">
              <w:rPr>
                <w:rFonts w:ascii="標楷體" w:eastAsia="標楷體" w:hAnsi="標楷體" w:hint="eastAsia"/>
                <w:sz w:val="28"/>
                <w:szCs w:val="28"/>
              </w:rPr>
              <w:t>思銘</w:t>
            </w:r>
          </w:p>
        </w:tc>
        <w:tc>
          <w:tcPr>
            <w:tcW w:w="4899" w:type="dxa"/>
            <w:tcMar>
              <w:top w:w="28" w:type="dxa"/>
              <w:left w:w="57" w:type="dxa"/>
              <w:bottom w:w="28" w:type="dxa"/>
              <w:right w:w="57" w:type="dxa"/>
            </w:tcMar>
            <w:vAlign w:val="center"/>
          </w:tcPr>
          <w:p w14:paraId="60C756F0" w14:textId="77777777" w:rsidR="00421BB5" w:rsidRPr="00D65AED" w:rsidRDefault="00421BB5" w:rsidP="00421BB5">
            <w:pPr>
              <w:kinsoku w:val="0"/>
              <w:wordWrap w:val="0"/>
              <w:autoSpaceDE w:val="0"/>
              <w:autoSpaceDN w:val="0"/>
              <w:spacing w:beforeLines="20" w:before="72" w:afterLines="20" w:after="72" w:line="440" w:lineRule="exact"/>
              <w:ind w:leftChars="5" w:left="250" w:rightChars="17" w:right="41" w:hangingChars="85" w:hanging="238"/>
              <w:jc w:val="both"/>
              <w:rPr>
                <w:rFonts w:ascii="標楷體" w:eastAsia="標楷體" w:hAnsi="標楷體"/>
                <w:sz w:val="28"/>
                <w:szCs w:val="28"/>
              </w:rPr>
            </w:pPr>
            <w:r w:rsidRPr="00D65AED">
              <w:rPr>
                <w:rFonts w:ascii="標楷體" w:eastAsia="標楷體" w:hAnsi="標楷體"/>
                <w:sz w:val="28"/>
                <w:szCs w:val="28"/>
              </w:rPr>
              <w:t>7.財團法人</w:t>
            </w:r>
            <w:r w:rsidRPr="00D65AED">
              <w:rPr>
                <w:rFonts w:ascii="標楷體" w:eastAsia="標楷體" w:hAnsi="標楷體"/>
                <w:sz w:val="28"/>
                <w:szCs w:val="22"/>
              </w:rPr>
              <w:t>臺灣更生保護會、福建更生保護會及犯罪被害人保護協會預算書（</w:t>
            </w:r>
            <w:r w:rsidRPr="00D65AED">
              <w:rPr>
                <w:rFonts w:ascii="標楷體" w:eastAsia="標楷體" w:hAnsi="標楷體"/>
                <w:b/>
                <w:sz w:val="28"/>
                <w:szCs w:val="28"/>
              </w:rPr>
              <w:t>法務部</w:t>
            </w:r>
            <w:r w:rsidRPr="00D65AED">
              <w:rPr>
                <w:rFonts w:ascii="標楷體" w:eastAsia="標楷體" w:hAnsi="標楷體"/>
                <w:sz w:val="28"/>
                <w:szCs w:val="28"/>
              </w:rPr>
              <w:t>主管）</w:t>
            </w:r>
          </w:p>
        </w:tc>
      </w:tr>
    </w:tbl>
    <w:p w14:paraId="0FFDA11C" w14:textId="77777777" w:rsidR="00421BB5" w:rsidRPr="00D65AED" w:rsidRDefault="00421BB5" w:rsidP="00421BB5">
      <w:pPr>
        <w:pStyle w:val="afa"/>
        <w:snapToGrid w:val="0"/>
        <w:spacing w:line="360" w:lineRule="exact"/>
        <w:ind w:rightChars="-21" w:right="-50" w:firstLineChars="2379" w:firstLine="6661"/>
        <w:rPr>
          <w:rFonts w:ascii="標楷體" w:eastAsia="標楷體" w:hAnsi="標楷體"/>
          <w:sz w:val="28"/>
          <w:szCs w:val="28"/>
        </w:rPr>
      </w:pPr>
    </w:p>
    <w:p w14:paraId="101A63B3" w14:textId="77777777" w:rsidR="00421BB5" w:rsidRPr="00D65AED" w:rsidRDefault="00421BB5" w:rsidP="00421BB5">
      <w:pPr>
        <w:snapToGrid w:val="0"/>
        <w:spacing w:line="100" w:lineRule="atLeast"/>
        <w:ind w:rightChars="-12" w:right="-29"/>
        <w:jc w:val="right"/>
        <w:rPr>
          <w:rFonts w:ascii="標楷體" w:eastAsia="標楷體" w:hAnsi="標楷體"/>
          <w:sz w:val="28"/>
          <w:szCs w:val="28"/>
        </w:rPr>
      </w:pPr>
    </w:p>
    <w:p w14:paraId="5F6F8A2A" w14:textId="77777777" w:rsidR="00421BB5" w:rsidRPr="00D65AED" w:rsidRDefault="00421BB5" w:rsidP="00421BB5">
      <w:pPr>
        <w:snapToGrid w:val="0"/>
        <w:spacing w:line="100" w:lineRule="atLeast"/>
        <w:ind w:rightChars="-12" w:right="-29"/>
        <w:jc w:val="right"/>
        <w:rPr>
          <w:rFonts w:ascii="標楷體" w:eastAsia="標楷體" w:hAnsi="標楷體"/>
          <w:sz w:val="28"/>
          <w:szCs w:val="28"/>
        </w:rPr>
      </w:pPr>
    </w:p>
    <w:p w14:paraId="551459AE" w14:textId="77777777" w:rsidR="00421BB5" w:rsidRPr="00D65AED" w:rsidRDefault="00421BB5" w:rsidP="00421BB5">
      <w:pPr>
        <w:keepNext/>
        <w:spacing w:beforeLines="100" w:before="360" w:afterLines="100" w:after="360" w:line="500" w:lineRule="exact"/>
        <w:jc w:val="both"/>
        <w:outlineLvl w:val="1"/>
        <w:rPr>
          <w:rFonts w:ascii="標楷體" w:eastAsia="標楷體" w:hAnsi="標楷體"/>
          <w:b/>
          <w:noProof/>
          <w:color w:val="000000"/>
          <w:sz w:val="32"/>
          <w:szCs w:val="32"/>
        </w:rPr>
      </w:pPr>
      <w:r w:rsidRPr="00D65AED">
        <w:rPr>
          <w:rFonts w:ascii="標楷體" w:eastAsia="標楷體" w:hAnsi="標楷體"/>
          <w:sz w:val="28"/>
          <w:szCs w:val="28"/>
        </w:rPr>
        <w:br w:type="page"/>
      </w:r>
      <w:bookmarkStart w:id="497" w:name="_Toc96350557"/>
      <w:r w:rsidRPr="00D65AED">
        <w:rPr>
          <w:rFonts w:ascii="標楷體" w:eastAsia="標楷體" w:hAnsi="標楷體" w:hint="eastAsia"/>
          <w:b/>
          <w:noProof/>
          <w:color w:val="000000"/>
          <w:sz w:val="32"/>
          <w:szCs w:val="32"/>
        </w:rPr>
        <w:lastRenderedPageBreak/>
        <w:t>二、本會全體委員會議議事錄</w:t>
      </w:r>
      <w:bookmarkEnd w:id="497"/>
    </w:p>
    <w:p w14:paraId="08C13BAF" w14:textId="77777777" w:rsidR="00421BB5" w:rsidRPr="00AA182D" w:rsidRDefault="00421BB5" w:rsidP="00421BB5">
      <w:pPr>
        <w:spacing w:beforeLines="50" w:before="180" w:afterLines="50" w:after="180" w:line="360" w:lineRule="exact"/>
        <w:outlineLvl w:val="2"/>
        <w:rPr>
          <w:rFonts w:ascii="標楷體" w:eastAsia="標楷體" w:hAnsi="標楷體"/>
          <w:b/>
          <w:spacing w:val="-4"/>
          <w:sz w:val="28"/>
          <w:szCs w:val="28"/>
        </w:rPr>
      </w:pPr>
      <w:r w:rsidRPr="00AA182D">
        <w:rPr>
          <w:rFonts w:ascii="標楷體" w:eastAsia="標楷體" w:hAnsi="標楷體" w:hint="eastAsia"/>
          <w:b/>
          <w:spacing w:val="-4"/>
          <w:sz w:val="28"/>
          <w:szCs w:val="28"/>
        </w:rPr>
        <w:t>立法院第</w:t>
      </w:r>
      <w:r w:rsidRPr="00AA182D">
        <w:rPr>
          <w:rFonts w:ascii="標楷體" w:eastAsia="標楷體" w:hAnsi="標楷體"/>
          <w:b/>
          <w:spacing w:val="-4"/>
          <w:sz w:val="28"/>
          <w:szCs w:val="28"/>
        </w:rPr>
        <w:t>10</w:t>
      </w:r>
      <w:r w:rsidRPr="00AA182D">
        <w:rPr>
          <w:rFonts w:ascii="標楷體" w:eastAsia="標楷體" w:hAnsi="標楷體" w:hint="eastAsia"/>
          <w:b/>
          <w:spacing w:val="-4"/>
          <w:sz w:val="28"/>
          <w:szCs w:val="28"/>
        </w:rPr>
        <w:t>屆第6會期司法及法制委員會第1次全體委員會議議事錄</w:t>
      </w:r>
    </w:p>
    <w:p w14:paraId="781B6962" w14:textId="77777777" w:rsidR="00421BB5" w:rsidRPr="00D65AED" w:rsidRDefault="00421BB5" w:rsidP="00421BB5">
      <w:pPr>
        <w:snapToGrid w:val="0"/>
        <w:spacing w:beforeLines="50" w:before="180" w:line="360" w:lineRule="exact"/>
        <w:ind w:left="1400" w:hangingChars="500" w:hanging="1400"/>
        <w:jc w:val="both"/>
        <w:rPr>
          <w:rFonts w:ascii="標楷體" w:eastAsia="標楷體" w:hAnsi="標楷體"/>
          <w:sz w:val="28"/>
          <w:szCs w:val="28"/>
        </w:rPr>
      </w:pPr>
      <w:r w:rsidRPr="00D65AED">
        <w:rPr>
          <w:rFonts w:ascii="標楷體" w:eastAsia="標楷體" w:hAnsi="標楷體" w:hint="eastAsia"/>
          <w:sz w:val="28"/>
          <w:szCs w:val="28"/>
        </w:rPr>
        <w:t>時    間：</w:t>
      </w:r>
      <w:r w:rsidRPr="00D65AED">
        <w:rPr>
          <w:rFonts w:ascii="標楷體" w:eastAsia="標楷體" w:hAnsi="標楷體" w:hint="eastAsia"/>
          <w:spacing w:val="-14"/>
          <w:sz w:val="28"/>
          <w:szCs w:val="28"/>
        </w:rPr>
        <w:t>中華民國111年9月28日（星期三）上午9時</w:t>
      </w:r>
      <w:r w:rsidRPr="00D65AED">
        <w:rPr>
          <w:rFonts w:ascii="標楷體" w:eastAsia="標楷體" w:hAnsi="標楷體"/>
          <w:spacing w:val="-14"/>
          <w:sz w:val="28"/>
          <w:szCs w:val="28"/>
        </w:rPr>
        <w:t>3</w:t>
      </w:r>
      <w:r w:rsidRPr="00D65AED">
        <w:rPr>
          <w:rFonts w:ascii="標楷體" w:eastAsia="標楷體" w:hAnsi="標楷體" w:hint="eastAsia"/>
          <w:spacing w:val="-14"/>
          <w:sz w:val="28"/>
          <w:szCs w:val="28"/>
        </w:rPr>
        <w:t>分至9時</w:t>
      </w:r>
      <w:r w:rsidRPr="00D65AED">
        <w:rPr>
          <w:rFonts w:ascii="標楷體" w:eastAsia="標楷體" w:hAnsi="標楷體"/>
          <w:spacing w:val="-14"/>
          <w:sz w:val="28"/>
          <w:szCs w:val="28"/>
        </w:rPr>
        <w:t>6</w:t>
      </w:r>
      <w:r w:rsidRPr="00D65AED">
        <w:rPr>
          <w:rFonts w:ascii="標楷體" w:eastAsia="標楷體" w:hAnsi="標楷體" w:hint="eastAsia"/>
          <w:spacing w:val="-14"/>
          <w:sz w:val="28"/>
          <w:szCs w:val="28"/>
        </w:rPr>
        <w:t>分</w:t>
      </w:r>
    </w:p>
    <w:p w14:paraId="4EA6D960"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地    點：本院紅樓302會議室</w:t>
      </w:r>
    </w:p>
    <w:p w14:paraId="71EE0C9E"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出席委員：游毓蘭</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p>
    <w:p w14:paraId="5466F3F2" w14:textId="77777777" w:rsidR="00421BB5" w:rsidRPr="00D65AED" w:rsidRDefault="00421BB5" w:rsidP="00421BB5">
      <w:pPr>
        <w:snapToGrid w:val="0"/>
        <w:spacing w:line="360" w:lineRule="exact"/>
        <w:ind w:firstLineChars="505" w:firstLine="1414"/>
        <w:jc w:val="both"/>
        <w:rPr>
          <w:rFonts w:ascii="標楷體" w:eastAsia="標楷體" w:hAnsi="標楷體"/>
          <w:sz w:val="28"/>
          <w:szCs w:val="28"/>
        </w:rPr>
      </w:pP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周春米</w:t>
      </w:r>
      <w:r w:rsidRPr="00D65AED">
        <w:rPr>
          <w:rFonts w:ascii="標楷體" w:eastAsia="標楷體" w:hAnsi="標楷體"/>
          <w:sz w:val="28"/>
          <w:szCs w:val="28"/>
        </w:rPr>
        <w:tab/>
      </w:r>
      <w:r w:rsidRPr="00D65AED">
        <w:rPr>
          <w:rFonts w:ascii="標楷體" w:eastAsia="標楷體" w:hAnsi="標楷體" w:hint="eastAsia"/>
          <w:sz w:val="28"/>
          <w:szCs w:val="28"/>
        </w:rPr>
        <w:t>柯建銘</w:t>
      </w:r>
      <w:r w:rsidRPr="00D65AED">
        <w:rPr>
          <w:rFonts w:ascii="標楷體" w:eastAsia="標楷體" w:hAnsi="標楷體"/>
          <w:sz w:val="28"/>
          <w:szCs w:val="28"/>
        </w:rPr>
        <w:tab/>
      </w:r>
      <w:r w:rsidRPr="00D65AED">
        <w:rPr>
          <w:rFonts w:ascii="標楷體" w:eastAsia="標楷體" w:hAnsi="標楷體" w:hint="eastAsia"/>
          <w:sz w:val="28"/>
          <w:szCs w:val="28"/>
        </w:rPr>
        <w:t>游錫堃</w:t>
      </w:r>
    </w:p>
    <w:p w14:paraId="0CA97025" w14:textId="77777777" w:rsidR="00421BB5" w:rsidRPr="00D65AED" w:rsidRDefault="00421BB5" w:rsidP="00421BB5">
      <w:pPr>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委員出席1</w:t>
      </w:r>
      <w:r w:rsidRPr="00D65AED">
        <w:rPr>
          <w:rFonts w:ascii="標楷體" w:eastAsia="標楷體" w:hAnsi="標楷體"/>
          <w:sz w:val="28"/>
          <w:szCs w:val="28"/>
        </w:rPr>
        <w:t>1</w:t>
      </w:r>
      <w:r w:rsidRPr="00D65AED">
        <w:rPr>
          <w:rFonts w:ascii="標楷體" w:eastAsia="標楷體" w:hAnsi="標楷體" w:hint="eastAsia"/>
          <w:sz w:val="28"/>
          <w:szCs w:val="28"/>
        </w:rPr>
        <w:t>人</w:t>
      </w:r>
    </w:p>
    <w:p w14:paraId="5B3FFE20"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請假委員：鄭運鵬</w:t>
      </w:r>
    </w:p>
    <w:p w14:paraId="410504CA"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w:t>
      </w:r>
      <w:r w:rsidRPr="00D65AED">
        <w:rPr>
          <w:rFonts w:ascii="標楷體" w:eastAsia="標楷體" w:hAnsi="標楷體"/>
          <w:sz w:val="28"/>
          <w:szCs w:val="28"/>
        </w:rPr>
        <w:t>1</w:t>
      </w:r>
      <w:r w:rsidRPr="00D65AED">
        <w:rPr>
          <w:rFonts w:ascii="標楷體" w:eastAsia="標楷體" w:hAnsi="標楷體" w:hint="eastAsia"/>
          <w:sz w:val="28"/>
          <w:szCs w:val="28"/>
        </w:rPr>
        <w:t>人</w:t>
      </w:r>
    </w:p>
    <w:p w14:paraId="78959A30"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主    席：曾委員銘宗</w:t>
      </w:r>
    </w:p>
    <w:p w14:paraId="1E49175B"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7511B188"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42D4A671"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紀    錄：簡任秘書  陳杏枝</w:t>
      </w:r>
    </w:p>
    <w:p w14:paraId="73021696" w14:textId="77777777" w:rsidR="00421BB5" w:rsidRPr="00D65AED" w:rsidRDefault="00421BB5" w:rsidP="00421BB5">
      <w:pPr>
        <w:snapToGrid w:val="0"/>
        <w:spacing w:line="360" w:lineRule="exact"/>
        <w:ind w:leftChars="590" w:left="1441" w:hangingChars="9" w:hanging="25"/>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32297B05" w14:textId="77777777" w:rsidR="00421BB5" w:rsidRPr="00D65AED" w:rsidRDefault="00421BB5" w:rsidP="00421BB5">
      <w:pPr>
        <w:snapToGrid w:val="0"/>
        <w:spacing w:line="360" w:lineRule="exact"/>
        <w:ind w:leftChars="590" w:left="1441" w:hangingChars="9" w:hanging="25"/>
        <w:jc w:val="both"/>
        <w:rPr>
          <w:rFonts w:ascii="標楷體" w:eastAsia="標楷體" w:hAnsi="標楷體"/>
          <w:sz w:val="28"/>
          <w:szCs w:val="28"/>
        </w:rPr>
      </w:pPr>
      <w:r w:rsidRPr="00D65AED">
        <w:rPr>
          <w:rFonts w:ascii="標楷體" w:eastAsia="標楷體" w:hAnsi="標楷體" w:hint="eastAsia"/>
          <w:sz w:val="28"/>
          <w:szCs w:val="28"/>
        </w:rPr>
        <w:t>科    長　鮑夏明</w:t>
      </w:r>
    </w:p>
    <w:p w14:paraId="7C613279" w14:textId="77777777" w:rsidR="00421BB5" w:rsidRPr="00D65AED" w:rsidRDefault="00421BB5" w:rsidP="00421BB5">
      <w:pPr>
        <w:snapToGrid w:val="0"/>
        <w:spacing w:line="360" w:lineRule="exact"/>
        <w:ind w:leftChars="590" w:left="1441" w:hangingChars="9" w:hanging="25"/>
        <w:jc w:val="both"/>
        <w:rPr>
          <w:rFonts w:ascii="標楷體" w:eastAsia="標楷體" w:hAnsi="標楷體"/>
          <w:sz w:val="28"/>
          <w:szCs w:val="28"/>
        </w:rPr>
      </w:pPr>
      <w:r w:rsidRPr="00D65AED">
        <w:rPr>
          <w:rFonts w:ascii="標楷體" w:eastAsia="標楷體" w:hAnsi="標楷體" w:hint="eastAsia"/>
          <w:sz w:val="28"/>
          <w:szCs w:val="28"/>
        </w:rPr>
        <w:t>專　　員　林宗賢</w:t>
      </w:r>
    </w:p>
    <w:p w14:paraId="37DA4CFC" w14:textId="77777777" w:rsidR="00421BB5" w:rsidRPr="00D65AED" w:rsidRDefault="00421BB5" w:rsidP="00421BB5">
      <w:pPr>
        <w:snapToGrid w:val="0"/>
        <w:spacing w:beforeLines="50" w:before="180" w:line="360" w:lineRule="exact"/>
        <w:ind w:firstLineChars="300" w:firstLine="841"/>
        <w:jc w:val="both"/>
        <w:rPr>
          <w:rFonts w:ascii="標楷體" w:eastAsia="標楷體" w:hAnsi="標楷體"/>
          <w:b/>
          <w:sz w:val="28"/>
          <w:szCs w:val="28"/>
        </w:rPr>
      </w:pPr>
      <w:r w:rsidRPr="00D65AED">
        <w:rPr>
          <w:rFonts w:ascii="標楷體" w:eastAsia="標楷體" w:hAnsi="標楷體" w:hint="eastAsia"/>
          <w:b/>
          <w:sz w:val="28"/>
          <w:szCs w:val="28"/>
        </w:rPr>
        <w:t>報 告 事 項</w:t>
      </w:r>
    </w:p>
    <w:p w14:paraId="4CC8314B" w14:textId="77777777" w:rsidR="00421BB5" w:rsidRPr="00D65AED" w:rsidRDefault="00421BB5" w:rsidP="00421BB5">
      <w:pPr>
        <w:pStyle w:val="ab"/>
        <w:spacing w:line="360" w:lineRule="exact"/>
        <w:ind w:left="656" w:hangingChars="205" w:hanging="656"/>
        <w:jc w:val="both"/>
        <w:rPr>
          <w:rFonts w:ascii="標楷體" w:hAnsi="標楷體"/>
          <w:szCs w:val="28"/>
        </w:rPr>
      </w:pPr>
      <w:r w:rsidRPr="00D65AED">
        <w:rPr>
          <w:rFonts w:ascii="標楷體" w:hAnsi="標楷體" w:hint="eastAsia"/>
          <w:szCs w:val="28"/>
        </w:rPr>
        <w:t>一、本院第10屆第6會期各委員會召集委員選舉時間及地點，業經本院第10屆第6會期第1次會議決定照案通過在案。</w:t>
      </w:r>
    </w:p>
    <w:p w14:paraId="3717EA9B" w14:textId="77777777" w:rsidR="00421BB5" w:rsidRPr="00D65AED" w:rsidRDefault="00421BB5" w:rsidP="00421BB5">
      <w:pPr>
        <w:pStyle w:val="ab"/>
        <w:spacing w:line="360" w:lineRule="exact"/>
        <w:ind w:left="2"/>
        <w:jc w:val="both"/>
        <w:rPr>
          <w:rFonts w:ascii="標楷體" w:hAnsi="標楷體"/>
          <w:szCs w:val="28"/>
        </w:rPr>
      </w:pPr>
      <w:r w:rsidRPr="00D65AED">
        <w:rPr>
          <w:rFonts w:ascii="標楷體" w:hAnsi="標楷體" w:hint="eastAsia"/>
          <w:szCs w:val="28"/>
        </w:rPr>
        <w:t>二、宣讀本會期本會召集委員選舉人名冊。</w:t>
      </w:r>
    </w:p>
    <w:p w14:paraId="2B90066A" w14:textId="77777777" w:rsidR="00421BB5" w:rsidRPr="00D65AED" w:rsidRDefault="00421BB5" w:rsidP="00421BB5">
      <w:pPr>
        <w:snapToGrid w:val="0"/>
        <w:spacing w:beforeLines="50" w:before="180" w:line="360" w:lineRule="exact"/>
        <w:ind w:firstLineChars="300" w:firstLine="841"/>
        <w:jc w:val="both"/>
        <w:rPr>
          <w:rFonts w:ascii="標楷體" w:eastAsia="標楷體" w:hAnsi="標楷體"/>
          <w:b/>
          <w:sz w:val="28"/>
          <w:szCs w:val="28"/>
        </w:rPr>
      </w:pPr>
      <w:r w:rsidRPr="00D65AED">
        <w:rPr>
          <w:rFonts w:ascii="標楷體" w:eastAsia="標楷體" w:hAnsi="標楷體" w:hint="eastAsia"/>
          <w:b/>
          <w:sz w:val="28"/>
          <w:szCs w:val="28"/>
        </w:rPr>
        <w:t xml:space="preserve">選 舉 事 項 </w:t>
      </w:r>
    </w:p>
    <w:p w14:paraId="4F52DCA2"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選舉第10屆第6會期本會召集委員。</w:t>
      </w:r>
    </w:p>
    <w:p w14:paraId="38E721AC"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sz w:val="28"/>
          <w:szCs w:val="28"/>
        </w:rPr>
        <w:t>(依立法院各委員會召集委員選舉辦法第5條</w:t>
      </w:r>
      <w:r w:rsidRPr="00D65AED">
        <w:rPr>
          <w:rFonts w:ascii="標楷體" w:eastAsia="標楷體" w:hAnsi="標楷體" w:hint="eastAsia"/>
          <w:sz w:val="28"/>
          <w:szCs w:val="28"/>
        </w:rPr>
        <w:t>及第8條規定，</w:t>
      </w:r>
      <w:r w:rsidRPr="00D65AED">
        <w:rPr>
          <w:rFonts w:ascii="標楷體" w:eastAsia="標楷體" w:hAnsi="標楷體"/>
          <w:sz w:val="28"/>
          <w:szCs w:val="28"/>
        </w:rPr>
        <w:t>召集委員之選舉，以無記名單記法票選之。但經</w:t>
      </w:r>
      <w:r w:rsidRPr="00D65AED">
        <w:rPr>
          <w:rFonts w:ascii="標楷體" w:eastAsia="標楷體" w:hAnsi="標楷體" w:cs="新細明體" w:hint="eastAsia"/>
          <w:kern w:val="0"/>
          <w:sz w:val="28"/>
          <w:szCs w:val="28"/>
        </w:rPr>
        <w:t>各該委員會全體委員，或經各黨團及未參加黨團之該委員會委員之書面同意，亦得以推選方式行之。以推選行之者，由各該委員會出席委員簽名，或由各黨團及未參加黨團之該委員會委員簽名定之。</w:t>
      </w:r>
      <w:r w:rsidRPr="00D65AED">
        <w:rPr>
          <w:rFonts w:ascii="標楷體" w:eastAsia="標楷體" w:hAnsi="標楷體"/>
          <w:sz w:val="28"/>
          <w:szCs w:val="28"/>
        </w:rPr>
        <w:t>)</w:t>
      </w:r>
    </w:p>
    <w:p w14:paraId="21AF023C" w14:textId="63DFFEE7" w:rsidR="00421BB5" w:rsidRPr="00D65AED" w:rsidRDefault="00421BB5" w:rsidP="00007145">
      <w:pPr>
        <w:snapToGrid w:val="0"/>
        <w:spacing w:line="360" w:lineRule="exact"/>
        <w:ind w:left="1400" w:hangingChars="500" w:hanging="1400"/>
        <w:rPr>
          <w:rFonts w:ascii="標楷體" w:eastAsia="標楷體" w:hAnsi="標楷體"/>
          <w:sz w:val="28"/>
          <w:szCs w:val="28"/>
        </w:rPr>
      </w:pPr>
      <w:r w:rsidRPr="00D65AED">
        <w:rPr>
          <w:rFonts w:ascii="標楷體" w:eastAsia="標楷體" w:hAnsi="標楷體" w:hint="eastAsia"/>
          <w:sz w:val="28"/>
          <w:szCs w:val="28"/>
        </w:rPr>
        <w:t>主席宣告：推選陳委員歐珀、林委員思銘為立法院第10屆第6會期司法及法制委員會召集委員。</w:t>
      </w:r>
    </w:p>
    <w:p w14:paraId="51F57BD5" w14:textId="77777777" w:rsidR="00421BB5" w:rsidRPr="00D65AED" w:rsidRDefault="00421BB5" w:rsidP="00421BB5">
      <w:pPr>
        <w:snapToGrid w:val="0"/>
        <w:spacing w:line="360" w:lineRule="exact"/>
        <w:rPr>
          <w:rFonts w:ascii="標楷體" w:eastAsia="標楷體" w:hAnsi="標楷體"/>
          <w:sz w:val="28"/>
          <w:szCs w:val="28"/>
        </w:rPr>
      </w:pPr>
      <w:r w:rsidRPr="00D65AED">
        <w:rPr>
          <w:rFonts w:ascii="標楷體" w:eastAsia="標楷體" w:hAnsi="標楷體" w:hint="eastAsia"/>
          <w:sz w:val="28"/>
          <w:szCs w:val="28"/>
        </w:rPr>
        <w:t>散會</w:t>
      </w:r>
    </w:p>
    <w:p w14:paraId="519C7185" w14:textId="77777777" w:rsidR="00421BB5" w:rsidRPr="00AA182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AA182D">
        <w:rPr>
          <w:rFonts w:ascii="標楷體" w:eastAsia="標楷體" w:hAnsi="標楷體" w:hint="eastAsia"/>
          <w:b/>
          <w:spacing w:val="-4"/>
          <w:sz w:val="28"/>
          <w:szCs w:val="28"/>
        </w:rPr>
        <w:lastRenderedPageBreak/>
        <w:t>立法院第10屆第6會期司法及法制委員會第2次全體委員會議議事錄</w:t>
      </w:r>
    </w:p>
    <w:p w14:paraId="79BBDEAB" w14:textId="77777777" w:rsidR="00421BB5" w:rsidRPr="00D65AED" w:rsidRDefault="00421BB5" w:rsidP="00421BB5">
      <w:pPr>
        <w:pStyle w:val="-9"/>
        <w:spacing w:line="240" w:lineRule="auto"/>
        <w:ind w:left="1417" w:rightChars="-118" w:right="-283" w:hangingChars="506" w:hanging="1417"/>
        <w:jc w:val="left"/>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spacing w:val="-12"/>
          <w:sz w:val="28"/>
          <w:szCs w:val="28"/>
        </w:rPr>
        <w:t>中華民國111年</w:t>
      </w:r>
      <w:r w:rsidRPr="00D65AED">
        <w:rPr>
          <w:rFonts w:ascii="標楷體" w:hAnsi="標楷體" w:hint="eastAsia"/>
          <w:spacing w:val="-12"/>
          <w:sz w:val="28"/>
          <w:szCs w:val="28"/>
        </w:rPr>
        <w:t>9月29</w:t>
      </w:r>
      <w:r w:rsidRPr="00D65AED">
        <w:rPr>
          <w:rFonts w:ascii="標楷體" w:hAnsi="標楷體"/>
          <w:spacing w:val="-12"/>
          <w:sz w:val="28"/>
          <w:szCs w:val="28"/>
        </w:rPr>
        <w:t>日（星期</w:t>
      </w:r>
      <w:r w:rsidRPr="00D65AED">
        <w:rPr>
          <w:rFonts w:ascii="標楷體" w:hAnsi="標楷體" w:hint="eastAsia"/>
          <w:spacing w:val="-12"/>
          <w:sz w:val="28"/>
          <w:szCs w:val="28"/>
        </w:rPr>
        <w:t>四</w:t>
      </w:r>
      <w:r w:rsidRPr="00D65AED">
        <w:rPr>
          <w:rFonts w:ascii="標楷體" w:hAnsi="標楷體"/>
          <w:spacing w:val="-12"/>
          <w:sz w:val="28"/>
          <w:szCs w:val="28"/>
        </w:rPr>
        <w:t>）上午9時至1</w:t>
      </w:r>
      <w:r w:rsidRPr="00D65AED">
        <w:rPr>
          <w:rFonts w:ascii="標楷體" w:hAnsi="標楷體" w:hint="eastAsia"/>
          <w:spacing w:val="-12"/>
          <w:sz w:val="28"/>
          <w:szCs w:val="28"/>
        </w:rPr>
        <w:t>2時39分</w:t>
      </w:r>
    </w:p>
    <w:p w14:paraId="375A40C8" w14:textId="77777777" w:rsidR="00421BB5" w:rsidRPr="00D65AED" w:rsidRDefault="00421BB5" w:rsidP="00421BB5">
      <w:pPr>
        <w:pStyle w:val="-9"/>
        <w:spacing w:line="240" w:lineRule="auto"/>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1C73F979"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hint="eastAsia"/>
          <w:sz w:val="28"/>
          <w:szCs w:val="28"/>
        </w:rPr>
        <w:tab/>
        <w:t>黃世杰</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陳以信</w:t>
      </w:r>
    </w:p>
    <w:p w14:paraId="28364F01" w14:textId="77777777" w:rsidR="00421BB5" w:rsidRPr="00D65AED" w:rsidRDefault="00421BB5" w:rsidP="00421BB5">
      <w:pPr>
        <w:snapToGrid w:val="0"/>
        <w:ind w:firstLineChars="505" w:firstLine="1414"/>
        <w:jc w:val="both"/>
        <w:rPr>
          <w:rFonts w:ascii="標楷體" w:eastAsia="標楷體" w:hAnsi="標楷體"/>
          <w:sz w:val="28"/>
          <w:szCs w:val="28"/>
        </w:rPr>
      </w:pP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柯建銘</w:t>
      </w:r>
      <w:r w:rsidRPr="00D65AED">
        <w:rPr>
          <w:rFonts w:ascii="標楷體" w:eastAsia="標楷體" w:hAnsi="標楷體"/>
          <w:sz w:val="28"/>
          <w:szCs w:val="28"/>
        </w:rPr>
        <w:tab/>
      </w:r>
    </w:p>
    <w:p w14:paraId="4681AE1B" w14:textId="77777777" w:rsidR="00421BB5" w:rsidRPr="00D65AED" w:rsidRDefault="00421BB5" w:rsidP="00421BB5">
      <w:pPr>
        <w:snapToGrid w:val="0"/>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委員出席9人</w:t>
      </w:r>
    </w:p>
    <w:p w14:paraId="78012C5B" w14:textId="77777777" w:rsidR="00421BB5" w:rsidRPr="00D65AED" w:rsidRDefault="00421BB5" w:rsidP="00421BB5">
      <w:pPr>
        <w:adjustRightInd w:val="0"/>
        <w:snapToGrid w:val="0"/>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賴士葆</w:t>
      </w:r>
      <w:r w:rsidRPr="00D65AED">
        <w:rPr>
          <w:rFonts w:ascii="標楷體" w:eastAsia="標楷體" w:hAnsi="標楷體"/>
          <w:sz w:val="28"/>
          <w:szCs w:val="28"/>
        </w:rPr>
        <w:tab/>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林德福</w:t>
      </w:r>
      <w:r w:rsidRPr="00D65AED">
        <w:rPr>
          <w:rFonts w:ascii="標楷體" w:eastAsia="標楷體" w:hAnsi="標楷體"/>
          <w:color w:val="000000"/>
          <w:sz w:val="28"/>
          <w:szCs w:val="28"/>
        </w:rPr>
        <w:tab/>
      </w: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p>
    <w:p w14:paraId="600F8423" w14:textId="77777777" w:rsidR="00421BB5" w:rsidRPr="00D65AED" w:rsidRDefault="00421BB5" w:rsidP="00421BB5">
      <w:pPr>
        <w:adjustRightInd w:val="0"/>
        <w:snapToGrid w:val="0"/>
        <w:ind w:leftChars="577" w:left="1399" w:hangingChars="5" w:hanging="14"/>
        <w:jc w:val="both"/>
        <w:rPr>
          <w:rFonts w:ascii="標楷體" w:eastAsia="標楷體" w:hAnsi="標楷體"/>
          <w:sz w:val="28"/>
        </w:rPr>
      </w:pPr>
      <w:r w:rsidRPr="00D65AED">
        <w:rPr>
          <w:rFonts w:ascii="標楷體" w:eastAsia="標楷體" w:hAnsi="標楷體" w:hint="eastAsia"/>
          <w:sz w:val="28"/>
        </w:rPr>
        <w:t>張其祿</w:t>
      </w:r>
      <w:r w:rsidRPr="00D65AED">
        <w:rPr>
          <w:rFonts w:ascii="標楷體" w:eastAsia="標楷體" w:hAnsi="標楷體"/>
          <w:sz w:val="28"/>
        </w:rPr>
        <w:tab/>
      </w:r>
      <w:r w:rsidRPr="00D65AED">
        <w:rPr>
          <w:rFonts w:ascii="標楷體" w:eastAsia="標楷體" w:hAnsi="標楷體" w:hint="eastAsia"/>
          <w:sz w:val="28"/>
        </w:rPr>
        <w:t>高嘉瑜</w:t>
      </w:r>
      <w:r w:rsidRPr="00D65AED">
        <w:rPr>
          <w:rFonts w:ascii="標楷體" w:eastAsia="標楷體" w:hAnsi="標楷體"/>
          <w:sz w:val="28"/>
        </w:rPr>
        <w:tab/>
      </w:r>
      <w:r w:rsidRPr="00D65AED">
        <w:rPr>
          <w:rFonts w:ascii="標楷體" w:eastAsia="標楷體" w:hAnsi="標楷體" w:hint="eastAsia"/>
          <w:color w:val="000000"/>
          <w:sz w:val="28"/>
          <w:szCs w:val="28"/>
        </w:rPr>
        <w:t>邱顯智</w:t>
      </w:r>
    </w:p>
    <w:p w14:paraId="4E4D0DE7" w14:textId="77777777" w:rsidR="00421BB5" w:rsidRPr="00D65AED" w:rsidRDefault="00421BB5" w:rsidP="00421BB5">
      <w:pPr>
        <w:widowControl/>
        <w:snapToGrid w:val="0"/>
        <w:ind w:leftChars="396" w:left="950"/>
        <w:jc w:val="both"/>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委員列席</w:t>
      </w:r>
      <w:r w:rsidRPr="00D65AED">
        <w:rPr>
          <w:rFonts w:ascii="標楷體" w:eastAsia="標楷體" w:hAnsi="標楷體" w:hint="eastAsia"/>
          <w:sz w:val="28"/>
          <w:szCs w:val="28"/>
        </w:rPr>
        <w:t>9</w:t>
      </w:r>
      <w:r w:rsidRPr="00D65AED">
        <w:rPr>
          <w:rFonts w:ascii="標楷體" w:eastAsia="標楷體" w:hAnsi="標楷體"/>
          <w:sz w:val="28"/>
          <w:szCs w:val="28"/>
        </w:rPr>
        <w:t>人</w:t>
      </w:r>
    </w:p>
    <w:p w14:paraId="7D1B32ED"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請假委員：鄭運鵬</w:t>
      </w:r>
      <w:r w:rsidRPr="00D65AED">
        <w:rPr>
          <w:rFonts w:ascii="標楷體" w:eastAsia="標楷體" w:hAnsi="標楷體"/>
          <w:sz w:val="28"/>
          <w:szCs w:val="28"/>
        </w:rPr>
        <w:tab/>
      </w:r>
      <w:r w:rsidRPr="00D65AED">
        <w:rPr>
          <w:rFonts w:ascii="標楷體" w:eastAsia="標楷體" w:hAnsi="標楷體" w:hint="eastAsia"/>
          <w:sz w:val="28"/>
          <w:szCs w:val="28"/>
        </w:rPr>
        <w:t>周春米</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177DB067"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w:t>
      </w:r>
      <w:r w:rsidRPr="00D65AED">
        <w:rPr>
          <w:rFonts w:ascii="標楷體" w:eastAsia="標楷體" w:hAnsi="標楷體"/>
          <w:sz w:val="28"/>
          <w:szCs w:val="28"/>
        </w:rPr>
        <w:t>3</w:t>
      </w:r>
      <w:r w:rsidRPr="00D65AED">
        <w:rPr>
          <w:rFonts w:ascii="標楷體" w:eastAsia="標楷體" w:hAnsi="標楷體" w:hint="eastAsia"/>
          <w:sz w:val="28"/>
          <w:szCs w:val="28"/>
        </w:rPr>
        <w:t>人</w:t>
      </w:r>
    </w:p>
    <w:p w14:paraId="4BE50E19" w14:textId="77777777" w:rsidR="00421BB5" w:rsidRPr="00D65AED" w:rsidRDefault="00421BB5" w:rsidP="00421BB5">
      <w:pPr>
        <w:pStyle w:val="-9"/>
        <w:spacing w:line="240" w:lineRule="auto"/>
        <w:ind w:left="2240" w:hangingChars="800" w:hanging="2240"/>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司法院副秘書長　黃麟倫（秘書長請假）</w:t>
      </w:r>
    </w:p>
    <w:p w14:paraId="2D5AB524" w14:textId="77777777" w:rsidR="00421BB5" w:rsidRPr="00D65AED" w:rsidRDefault="00421BB5" w:rsidP="00421BB5">
      <w:pPr>
        <w:pStyle w:val="-9"/>
        <w:spacing w:line="240" w:lineRule="auto"/>
        <w:ind w:leftChars="589" w:left="2240" w:hangingChars="295" w:hanging="826"/>
        <w:rPr>
          <w:rFonts w:ascii="標楷體" w:hAnsi="標楷體"/>
          <w:sz w:val="28"/>
          <w:szCs w:val="28"/>
        </w:rPr>
      </w:pPr>
      <w:r w:rsidRPr="00D65AED">
        <w:rPr>
          <w:rFonts w:ascii="標楷體" w:hAnsi="標楷體" w:hint="eastAsia"/>
          <w:sz w:val="28"/>
          <w:szCs w:val="28"/>
        </w:rPr>
        <w:t>法務部部長　蔡清祥</w:t>
      </w:r>
    </w:p>
    <w:p w14:paraId="0BE3FAAD" w14:textId="77777777" w:rsidR="00421BB5" w:rsidRPr="00D65AED" w:rsidRDefault="00421BB5" w:rsidP="00421BB5">
      <w:pPr>
        <w:pStyle w:val="-9"/>
        <w:spacing w:line="240" w:lineRule="auto"/>
        <w:ind w:leftChars="583" w:left="2236" w:hangingChars="299" w:hanging="837"/>
        <w:rPr>
          <w:rFonts w:ascii="標楷體" w:hAnsi="標楷體"/>
          <w:sz w:val="28"/>
          <w:szCs w:val="28"/>
        </w:rPr>
      </w:pPr>
      <w:r w:rsidRPr="00D65AED">
        <w:rPr>
          <w:rFonts w:ascii="標楷體" w:hAnsi="標楷體" w:hint="eastAsia"/>
          <w:sz w:val="28"/>
          <w:szCs w:val="28"/>
        </w:rPr>
        <w:t>法務部矯正署署長　黃俊棠</w:t>
      </w:r>
    </w:p>
    <w:p w14:paraId="44147519" w14:textId="77777777" w:rsidR="00421BB5" w:rsidRPr="00D65AED" w:rsidRDefault="00421BB5" w:rsidP="00421BB5">
      <w:pPr>
        <w:pStyle w:val="-9"/>
        <w:spacing w:line="240" w:lineRule="auto"/>
        <w:ind w:leftChars="583" w:left="2231" w:hangingChars="297" w:hanging="832"/>
        <w:rPr>
          <w:rFonts w:ascii="標楷體" w:hAnsi="標楷體"/>
          <w:sz w:val="28"/>
          <w:szCs w:val="28"/>
        </w:rPr>
      </w:pPr>
      <w:r w:rsidRPr="00D65AED">
        <w:rPr>
          <w:rFonts w:ascii="標楷體" w:hAnsi="標楷體" w:hint="eastAsia"/>
          <w:sz w:val="28"/>
          <w:szCs w:val="28"/>
        </w:rPr>
        <w:t xml:space="preserve">法務部調查局局長　</w:t>
      </w:r>
      <w:r w:rsidRPr="00D65AED">
        <w:rPr>
          <w:rFonts w:ascii="標楷體" w:hAnsi="標楷體"/>
          <w:sz w:val="28"/>
          <w:szCs w:val="28"/>
        </w:rPr>
        <w:t>王俊力</w:t>
      </w:r>
    </w:p>
    <w:p w14:paraId="5FDD070A" w14:textId="77777777" w:rsidR="00421BB5" w:rsidRPr="00D65AED" w:rsidRDefault="00421BB5" w:rsidP="00421BB5">
      <w:pPr>
        <w:pStyle w:val="-9"/>
        <w:spacing w:line="240" w:lineRule="auto"/>
        <w:ind w:leftChars="578" w:left="2230" w:hangingChars="301" w:hanging="843"/>
        <w:rPr>
          <w:rFonts w:ascii="標楷體" w:hAnsi="標楷體"/>
          <w:sz w:val="28"/>
          <w:szCs w:val="28"/>
        </w:rPr>
      </w:pPr>
      <w:r w:rsidRPr="00D65AED">
        <w:rPr>
          <w:rFonts w:ascii="標楷體" w:hAnsi="標楷體" w:hint="eastAsia"/>
          <w:sz w:val="28"/>
          <w:szCs w:val="28"/>
        </w:rPr>
        <w:t>內政部常務次長　吳堂安（部長請假）</w:t>
      </w:r>
    </w:p>
    <w:p w14:paraId="3D63E4FF" w14:textId="77777777" w:rsidR="00421BB5" w:rsidRPr="00D65AED" w:rsidRDefault="00421BB5" w:rsidP="00421BB5">
      <w:pPr>
        <w:pStyle w:val="-9"/>
        <w:spacing w:line="240" w:lineRule="auto"/>
        <w:ind w:leftChars="572" w:left="2233" w:hangingChars="307" w:hanging="860"/>
        <w:rPr>
          <w:rFonts w:ascii="標楷體" w:hAnsi="標楷體"/>
          <w:sz w:val="28"/>
          <w:szCs w:val="28"/>
        </w:rPr>
      </w:pPr>
      <w:r w:rsidRPr="00D65AED">
        <w:rPr>
          <w:rFonts w:ascii="標楷體" w:hAnsi="標楷體" w:hint="eastAsia"/>
          <w:sz w:val="28"/>
          <w:szCs w:val="28"/>
        </w:rPr>
        <w:t>內政部警政署副署長　林順家（署長請假）</w:t>
      </w:r>
    </w:p>
    <w:p w14:paraId="3C54E6B9" w14:textId="77777777" w:rsidR="00421BB5" w:rsidRPr="00D65AED" w:rsidRDefault="00421BB5" w:rsidP="00421BB5">
      <w:pPr>
        <w:pStyle w:val="-9"/>
        <w:spacing w:line="240" w:lineRule="auto"/>
        <w:ind w:leftChars="571" w:left="2238" w:hangingChars="310" w:hanging="868"/>
        <w:rPr>
          <w:rFonts w:ascii="標楷體" w:hAnsi="標楷體"/>
          <w:sz w:val="28"/>
          <w:szCs w:val="28"/>
        </w:rPr>
      </w:pPr>
      <w:r w:rsidRPr="00D65AED">
        <w:rPr>
          <w:rFonts w:ascii="標楷體" w:hAnsi="標楷體" w:hint="eastAsia"/>
          <w:sz w:val="28"/>
          <w:szCs w:val="28"/>
        </w:rPr>
        <w:t>海洋委員會海巡署副署長　蔡長孟（署長請假）</w:t>
      </w:r>
    </w:p>
    <w:p w14:paraId="20242A1D" w14:textId="77777777" w:rsidR="00421BB5" w:rsidRPr="00D65AED" w:rsidRDefault="00421BB5" w:rsidP="00421BB5">
      <w:pPr>
        <w:adjustRightInd w:val="0"/>
        <w:snapToGrid w:val="0"/>
        <w:ind w:left="1364" w:rightChars="-355" w:right="-852" w:hangingChars="487" w:hanging="1364"/>
        <w:jc w:val="both"/>
        <w:rPr>
          <w:rFonts w:ascii="標楷體" w:eastAsia="標楷體" w:hAnsi="標楷體"/>
          <w:sz w:val="28"/>
          <w:szCs w:val="28"/>
        </w:rPr>
      </w:pPr>
      <w:r w:rsidRPr="00D65AED">
        <w:rPr>
          <w:rFonts w:ascii="標楷體" w:eastAsia="標楷體" w:hAnsi="標楷體"/>
          <w:kern w:val="0"/>
          <w:sz w:val="28"/>
          <w:szCs w:val="28"/>
          <w:fitText w:val="1120" w:id="1776055808"/>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26706B62"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41D46811"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0CA9295F"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50A4E924"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6190FCCB"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123ED51C"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0F825317" w14:textId="77777777" w:rsidR="00421BB5" w:rsidRPr="00D65AED" w:rsidRDefault="00421BB5" w:rsidP="00421BB5">
      <w:pPr>
        <w:pStyle w:val="afffff2"/>
        <w:spacing w:beforeLines="50" w:before="180" w:line="240" w:lineRule="auto"/>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15BA4A83" w14:textId="77777777" w:rsidR="00421BB5" w:rsidRPr="00D65AED" w:rsidRDefault="00421BB5" w:rsidP="007015C7">
      <w:pPr>
        <w:pStyle w:val="afffff4"/>
        <w:numPr>
          <w:ilvl w:val="0"/>
          <w:numId w:val="15"/>
        </w:numPr>
        <w:spacing w:line="240" w:lineRule="auto"/>
        <w:ind w:left="560" w:hanging="560"/>
        <w:jc w:val="both"/>
        <w:rPr>
          <w:rFonts w:ascii="標楷體" w:hAnsi="標楷體"/>
          <w:sz w:val="28"/>
          <w:szCs w:val="28"/>
        </w:rPr>
      </w:pPr>
      <w:r w:rsidRPr="00D65AED">
        <w:rPr>
          <w:rFonts w:ascii="標楷體" w:hAnsi="標楷體" w:hint="eastAsia"/>
          <w:sz w:val="28"/>
          <w:szCs w:val="28"/>
        </w:rPr>
        <w:t>宣讀上次會議議事錄。</w:t>
      </w:r>
    </w:p>
    <w:p w14:paraId="26C93D10" w14:textId="77777777" w:rsidR="00421BB5" w:rsidRPr="00D65AED" w:rsidRDefault="00421BB5" w:rsidP="00421BB5">
      <w:pPr>
        <w:pStyle w:val="afffff4"/>
        <w:spacing w:line="240" w:lineRule="auto"/>
        <w:ind w:left="0" w:firstLineChars="0" w:firstLine="0"/>
        <w:jc w:val="both"/>
        <w:rPr>
          <w:rFonts w:ascii="標楷體" w:hAnsi="標楷體"/>
          <w:sz w:val="28"/>
          <w:szCs w:val="28"/>
        </w:rPr>
      </w:pPr>
      <w:r w:rsidRPr="00D65AED">
        <w:rPr>
          <w:rFonts w:ascii="標楷體" w:hAnsi="標楷體" w:hint="eastAsia"/>
          <w:sz w:val="28"/>
          <w:szCs w:val="28"/>
        </w:rPr>
        <w:t>決定：確定。</w:t>
      </w:r>
    </w:p>
    <w:p w14:paraId="11384E81" w14:textId="77777777" w:rsidR="00421BB5" w:rsidRPr="00D65AED" w:rsidRDefault="00421BB5" w:rsidP="00421BB5">
      <w:pPr>
        <w:pStyle w:val="afffff4"/>
        <w:spacing w:line="240" w:lineRule="auto"/>
        <w:ind w:left="560" w:hanging="560"/>
        <w:jc w:val="distribute"/>
        <w:rPr>
          <w:rFonts w:ascii="標楷體" w:hAnsi="標楷體"/>
          <w:sz w:val="28"/>
          <w:szCs w:val="28"/>
        </w:rPr>
      </w:pPr>
      <w:r w:rsidRPr="00D65AED">
        <w:rPr>
          <w:rFonts w:ascii="標楷體" w:hAnsi="標楷體" w:hint="eastAsia"/>
          <w:sz w:val="28"/>
          <w:szCs w:val="28"/>
        </w:rPr>
        <w:t>二、邀請司法院秘書長、法務部部長、法務部矯正署署長、法務部調查局局長、內政部部長、內政部警政署署長、海洋委員會海巡署署長率所屬相關單位列席就「面對槍聲四起及員警因犯罪案件犧牲，臺灣司法如何全面因應及防範」進行專題報告，並備質詢。</w:t>
      </w:r>
    </w:p>
    <w:p w14:paraId="38286D7A" w14:textId="77777777" w:rsidR="00421BB5" w:rsidRPr="00D65AED" w:rsidRDefault="00421BB5" w:rsidP="00421BB5">
      <w:pPr>
        <w:overflowPunct w:val="0"/>
        <w:adjustRightInd w:val="0"/>
        <w:snapToGrid w:val="0"/>
        <w:ind w:leftChars="-1" w:left="284" w:hangingChars="102" w:hanging="286"/>
        <w:jc w:val="both"/>
        <w:rPr>
          <w:rFonts w:ascii="標楷體" w:eastAsia="標楷體" w:hAnsi="標楷體"/>
          <w:sz w:val="28"/>
          <w:szCs w:val="28"/>
        </w:rPr>
      </w:pPr>
      <w:r w:rsidRPr="00D65AED">
        <w:rPr>
          <w:rFonts w:ascii="標楷體" w:eastAsia="標楷體" w:hAnsi="標楷體" w:hint="eastAsia"/>
          <w:sz w:val="28"/>
          <w:szCs w:val="28"/>
        </w:rPr>
        <w:t>（本次會議有委員陳歐珀、曾銘宗、黃世杰、游毓蘭、江永昌、陳玉珍、陳以信、賴士葆、林思銘、李貴敏、林德福、</w:t>
      </w:r>
      <w:r w:rsidRPr="00D65AED">
        <w:rPr>
          <w:rFonts w:ascii="標楷體" w:eastAsia="標楷體" w:hAnsi="標楷體"/>
          <w:spacing w:val="-20"/>
          <w:w w:val="98"/>
          <w:sz w:val="28"/>
          <w:szCs w:val="28"/>
        </w:rPr>
        <w:t>鄭天財Sra</w:t>
      </w:r>
      <w:r w:rsidRPr="00D65AED">
        <w:rPr>
          <w:rFonts w:ascii="標楷體" w:eastAsia="標楷體" w:hAnsi="標楷體" w:hint="eastAsia"/>
          <w:spacing w:val="-20"/>
          <w:w w:val="98"/>
          <w:sz w:val="28"/>
          <w:szCs w:val="28"/>
        </w:rPr>
        <w:t xml:space="preserve"> </w:t>
      </w:r>
      <w:r w:rsidRPr="00D65AED">
        <w:rPr>
          <w:rFonts w:ascii="標楷體" w:eastAsia="標楷體" w:hAnsi="標楷體"/>
          <w:spacing w:val="-20"/>
          <w:w w:val="98"/>
          <w:sz w:val="28"/>
          <w:szCs w:val="28"/>
        </w:rPr>
        <w:t>Kacaw</w:t>
      </w:r>
      <w:r w:rsidRPr="00D65AED">
        <w:rPr>
          <w:rFonts w:ascii="標楷體" w:eastAsia="標楷體" w:hAnsi="標楷體" w:hint="eastAsia"/>
          <w:sz w:val="28"/>
          <w:szCs w:val="28"/>
        </w:rPr>
        <w:t>、陳椒華、邱顯智、張其祿、高嘉瑜、洪孟楷提出質詢；委員劉建國、周春米提出書面質詢。）</w:t>
      </w:r>
    </w:p>
    <w:p w14:paraId="01FCA728" w14:textId="77777777" w:rsidR="00421BB5" w:rsidRPr="00D65AED" w:rsidRDefault="00421BB5" w:rsidP="00421BB5">
      <w:pPr>
        <w:pStyle w:val="afffff4"/>
        <w:spacing w:line="240" w:lineRule="auto"/>
        <w:ind w:firstLineChars="0"/>
        <w:jc w:val="both"/>
        <w:rPr>
          <w:rFonts w:ascii="標楷體" w:hAnsi="標楷體"/>
          <w:sz w:val="28"/>
          <w:szCs w:val="28"/>
        </w:rPr>
      </w:pPr>
      <w:r w:rsidRPr="00D65AED">
        <w:rPr>
          <w:rFonts w:ascii="標楷體" w:hAnsi="標楷體" w:hint="eastAsia"/>
          <w:sz w:val="28"/>
          <w:szCs w:val="28"/>
        </w:rPr>
        <w:t>決定：</w:t>
      </w:r>
    </w:p>
    <w:p w14:paraId="54A56818" w14:textId="77777777" w:rsidR="00421BB5" w:rsidRPr="00D65AED" w:rsidRDefault="00421BB5" w:rsidP="00421BB5">
      <w:pPr>
        <w:pStyle w:val="afffff4"/>
        <w:spacing w:line="240" w:lineRule="auto"/>
        <w:ind w:firstLineChars="0"/>
        <w:jc w:val="both"/>
        <w:rPr>
          <w:rFonts w:ascii="標楷體" w:hAnsi="標楷體"/>
          <w:sz w:val="28"/>
          <w:szCs w:val="28"/>
        </w:rPr>
      </w:pPr>
      <w:r w:rsidRPr="00D65AED">
        <w:rPr>
          <w:rFonts w:ascii="標楷體" w:hAnsi="標楷體" w:hint="eastAsia"/>
          <w:sz w:val="28"/>
          <w:szCs w:val="28"/>
        </w:rPr>
        <w:t>一、報告及詢答完畢。</w:t>
      </w:r>
    </w:p>
    <w:p w14:paraId="68975442" w14:textId="77777777" w:rsidR="00421BB5" w:rsidRPr="00D65AED" w:rsidRDefault="00421BB5" w:rsidP="00421BB5">
      <w:pPr>
        <w:pStyle w:val="afffff4"/>
        <w:spacing w:line="240" w:lineRule="auto"/>
        <w:ind w:firstLineChars="0"/>
        <w:jc w:val="distribute"/>
        <w:rPr>
          <w:rFonts w:ascii="標楷體" w:hAnsi="標楷體"/>
          <w:sz w:val="28"/>
          <w:szCs w:val="28"/>
        </w:rPr>
      </w:pPr>
      <w:r w:rsidRPr="00D65AED">
        <w:rPr>
          <w:rFonts w:ascii="標楷體" w:hAnsi="標楷體" w:hint="eastAsia"/>
          <w:sz w:val="28"/>
          <w:szCs w:val="28"/>
        </w:rPr>
        <w:lastRenderedPageBreak/>
        <w:t>二、</w:t>
      </w:r>
      <w:r w:rsidRPr="00D65AED">
        <w:rPr>
          <w:rFonts w:ascii="標楷體" w:hAnsi="標楷體"/>
          <w:sz w:val="28"/>
          <w:szCs w:val="28"/>
        </w:rPr>
        <w:t>委員質詢時，要求提供相關資料或以書面答復者，請相關機關儘</w:t>
      </w:r>
    </w:p>
    <w:p w14:paraId="10885C45" w14:textId="77777777" w:rsidR="00421BB5" w:rsidRPr="00D65AED" w:rsidRDefault="00421BB5" w:rsidP="00421BB5">
      <w:pPr>
        <w:pStyle w:val="afffff4"/>
        <w:spacing w:line="240" w:lineRule="auto"/>
        <w:ind w:firstLineChars="0" w:hanging="66"/>
        <w:jc w:val="both"/>
        <w:rPr>
          <w:rFonts w:ascii="標楷體" w:hAnsi="標楷體"/>
          <w:sz w:val="28"/>
          <w:szCs w:val="28"/>
        </w:rPr>
      </w:pPr>
      <w:r w:rsidRPr="00D65AED">
        <w:rPr>
          <w:rFonts w:ascii="標楷體" w:hAnsi="標楷體"/>
          <w:sz w:val="28"/>
          <w:szCs w:val="28"/>
        </w:rPr>
        <w:t>速送交個別委員及本會。</w:t>
      </w:r>
    </w:p>
    <w:p w14:paraId="5A4872F2" w14:textId="77777777" w:rsidR="00421BB5" w:rsidRPr="00D65AED" w:rsidRDefault="00421BB5" w:rsidP="00421BB5">
      <w:pPr>
        <w:autoSpaceDN w:val="0"/>
        <w:contextualSpacing/>
        <w:jc w:val="both"/>
        <w:rPr>
          <w:rFonts w:ascii="標楷體" w:eastAsia="標楷體" w:hAnsi="標楷體"/>
          <w:sz w:val="28"/>
          <w:szCs w:val="28"/>
        </w:rPr>
      </w:pPr>
      <w:r w:rsidRPr="00D65AED">
        <w:rPr>
          <w:rFonts w:ascii="標楷體" w:eastAsia="標楷體" w:hAnsi="標楷體"/>
          <w:sz w:val="28"/>
          <w:szCs w:val="28"/>
        </w:rPr>
        <w:t>散會</w:t>
      </w:r>
    </w:p>
    <w:p w14:paraId="286E8A61" w14:textId="77777777" w:rsidR="00421BB5" w:rsidRPr="00D65AED" w:rsidRDefault="00421BB5" w:rsidP="00421BB5">
      <w:pPr>
        <w:adjustRightInd w:val="0"/>
        <w:snapToGrid w:val="0"/>
        <w:spacing w:beforeLines="50" w:before="180" w:line="360" w:lineRule="exact"/>
        <w:jc w:val="both"/>
        <w:rPr>
          <w:rFonts w:ascii="標楷體" w:eastAsia="標楷體" w:hAnsi="標楷體"/>
          <w:sz w:val="28"/>
          <w:szCs w:val="28"/>
        </w:rPr>
      </w:pPr>
    </w:p>
    <w:p w14:paraId="33BF6443"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bookmarkStart w:id="498" w:name="_Toc311127773"/>
      <w:bookmarkStart w:id="499" w:name="_Toc311127621"/>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會期司法及法制委員會第3次全體委員會議議事錄</w:t>
      </w:r>
      <w:bookmarkEnd w:id="498"/>
      <w:bookmarkEnd w:id="499"/>
    </w:p>
    <w:p w14:paraId="50761A95" w14:textId="77777777" w:rsidR="00421BB5" w:rsidRPr="00D65AED" w:rsidRDefault="00421BB5" w:rsidP="00421BB5">
      <w:pPr>
        <w:pStyle w:val="-9"/>
        <w:spacing w:line="360" w:lineRule="exact"/>
        <w:ind w:leftChars="1" w:left="1416" w:hangingChars="505" w:hanging="1414"/>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pacing w:val="-10"/>
          <w:sz w:val="28"/>
          <w:szCs w:val="28"/>
        </w:rPr>
        <w:t>：中華民國1</w:t>
      </w:r>
      <w:r w:rsidRPr="00D65AED">
        <w:rPr>
          <w:rFonts w:ascii="標楷體" w:hAnsi="標楷體" w:hint="eastAsia"/>
          <w:spacing w:val="-10"/>
          <w:sz w:val="28"/>
          <w:szCs w:val="28"/>
        </w:rPr>
        <w:t>11</w:t>
      </w:r>
      <w:r w:rsidRPr="00D65AED">
        <w:rPr>
          <w:rFonts w:ascii="標楷體" w:hAnsi="標楷體"/>
          <w:spacing w:val="-10"/>
          <w:sz w:val="28"/>
          <w:szCs w:val="28"/>
        </w:rPr>
        <w:t>年</w:t>
      </w:r>
      <w:r w:rsidRPr="00D65AED">
        <w:rPr>
          <w:rFonts w:ascii="標楷體" w:hAnsi="標楷體" w:hint="eastAsia"/>
          <w:spacing w:val="-10"/>
          <w:sz w:val="28"/>
          <w:szCs w:val="28"/>
        </w:rPr>
        <w:t>10</w:t>
      </w:r>
      <w:r w:rsidRPr="00D65AED">
        <w:rPr>
          <w:rFonts w:ascii="標楷體" w:hAnsi="標楷體"/>
          <w:spacing w:val="-10"/>
          <w:sz w:val="28"/>
          <w:szCs w:val="28"/>
        </w:rPr>
        <w:t>月</w:t>
      </w:r>
      <w:r w:rsidRPr="00D65AED">
        <w:rPr>
          <w:rFonts w:ascii="標楷體" w:hAnsi="標楷體" w:hint="eastAsia"/>
          <w:spacing w:val="-10"/>
          <w:sz w:val="28"/>
          <w:szCs w:val="28"/>
        </w:rPr>
        <w:t>3</w:t>
      </w:r>
      <w:r w:rsidRPr="00D65AED">
        <w:rPr>
          <w:rFonts w:ascii="標楷體" w:hAnsi="標楷體"/>
          <w:spacing w:val="-10"/>
          <w:sz w:val="28"/>
          <w:szCs w:val="28"/>
        </w:rPr>
        <w:t>日（星期一）上午9時至</w:t>
      </w:r>
      <w:r w:rsidRPr="00D65AED">
        <w:rPr>
          <w:rFonts w:ascii="標楷體" w:hAnsi="標楷體" w:hint="eastAsia"/>
          <w:spacing w:val="-10"/>
          <w:sz w:val="28"/>
          <w:szCs w:val="28"/>
        </w:rPr>
        <w:t>1</w:t>
      </w:r>
      <w:r w:rsidRPr="00D65AED">
        <w:rPr>
          <w:rFonts w:ascii="標楷體" w:hAnsi="標楷體"/>
          <w:spacing w:val="-10"/>
          <w:sz w:val="28"/>
          <w:szCs w:val="28"/>
        </w:rPr>
        <w:t>2時</w:t>
      </w:r>
      <w:r w:rsidRPr="00D65AED">
        <w:rPr>
          <w:rFonts w:ascii="標楷體" w:hAnsi="標楷體" w:hint="eastAsia"/>
          <w:spacing w:val="-10"/>
          <w:sz w:val="28"/>
          <w:szCs w:val="28"/>
        </w:rPr>
        <w:t>1</w:t>
      </w:r>
      <w:r w:rsidRPr="00D65AED">
        <w:rPr>
          <w:rFonts w:ascii="標楷體" w:hAnsi="標楷體"/>
          <w:spacing w:val="-10"/>
          <w:sz w:val="28"/>
          <w:szCs w:val="28"/>
        </w:rPr>
        <w:t>分</w:t>
      </w:r>
    </w:p>
    <w:p w14:paraId="5DE6A177"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73CD3C2D" w14:textId="77777777" w:rsidR="00421BB5" w:rsidRPr="00D65AED" w:rsidRDefault="00421BB5" w:rsidP="00421BB5">
      <w:pPr>
        <w:pStyle w:val="-9"/>
        <w:spacing w:line="360" w:lineRule="exact"/>
        <w:ind w:left="1364" w:hanging="1364"/>
        <w:rPr>
          <w:rFonts w:ascii="標楷體" w:hAnsi="標楷體"/>
          <w:sz w:val="28"/>
          <w:szCs w:val="28"/>
          <w:highlight w:val="yellow"/>
        </w:rPr>
      </w:pPr>
      <w:r w:rsidRPr="00D65AED">
        <w:rPr>
          <w:rFonts w:ascii="標楷體" w:hAnsi="標楷體"/>
          <w:sz w:val="28"/>
          <w:szCs w:val="28"/>
        </w:rPr>
        <w:t>出席委員</w:t>
      </w:r>
      <w:r w:rsidRPr="00D65AED">
        <w:rPr>
          <w:rFonts w:ascii="標楷體" w:hAnsi="標楷體" w:hint="eastAsia"/>
          <w:sz w:val="28"/>
          <w:szCs w:val="28"/>
        </w:rPr>
        <w:t>：游毓蘭</w:t>
      </w:r>
      <w:r w:rsidRPr="00D65AED">
        <w:rPr>
          <w:rFonts w:ascii="標楷體" w:hAnsi="標楷體"/>
          <w:sz w:val="28"/>
          <w:szCs w:val="28"/>
        </w:rPr>
        <w:tab/>
      </w:r>
      <w:r w:rsidRPr="00D65AED">
        <w:rPr>
          <w:rFonts w:ascii="標楷體" w:hAnsi="標楷體" w:hint="eastAsia"/>
          <w:sz w:val="28"/>
          <w:szCs w:val="28"/>
        </w:rPr>
        <w:t>陳歐珀</w:t>
      </w:r>
      <w:r w:rsidRPr="00D65AED">
        <w:rPr>
          <w:rFonts w:ascii="標楷體" w:hAnsi="標楷體"/>
          <w:sz w:val="28"/>
          <w:szCs w:val="28"/>
        </w:rPr>
        <w:tab/>
      </w:r>
      <w:r w:rsidRPr="00D65AED">
        <w:rPr>
          <w:rFonts w:ascii="標楷體" w:hAnsi="標楷體" w:hint="eastAsia"/>
          <w:sz w:val="28"/>
          <w:szCs w:val="28"/>
        </w:rPr>
        <w:t>曾銘宗</w:t>
      </w:r>
      <w:r w:rsidRPr="00D65AED">
        <w:rPr>
          <w:rFonts w:ascii="標楷體" w:hAnsi="標楷體"/>
          <w:sz w:val="28"/>
          <w:szCs w:val="28"/>
        </w:rPr>
        <w:tab/>
      </w:r>
      <w:r w:rsidRPr="00D65AED">
        <w:rPr>
          <w:rFonts w:ascii="標楷體" w:hAnsi="標楷體" w:hint="eastAsia"/>
          <w:sz w:val="28"/>
          <w:szCs w:val="28"/>
        </w:rPr>
        <w:t>黃世杰</w:t>
      </w:r>
      <w:r w:rsidRPr="00D65AED">
        <w:rPr>
          <w:rFonts w:ascii="標楷體" w:hAnsi="標楷體"/>
          <w:sz w:val="28"/>
          <w:szCs w:val="28"/>
        </w:rPr>
        <w:tab/>
      </w:r>
      <w:r w:rsidRPr="00D65AED">
        <w:rPr>
          <w:rFonts w:ascii="標楷體" w:hAnsi="標楷體" w:hint="eastAsia"/>
          <w:sz w:val="28"/>
          <w:szCs w:val="28"/>
        </w:rPr>
        <w:t>林思銘</w:t>
      </w:r>
      <w:r w:rsidRPr="00D65AED">
        <w:rPr>
          <w:rFonts w:ascii="標楷體" w:hAnsi="標楷體"/>
          <w:sz w:val="28"/>
          <w:szCs w:val="28"/>
        </w:rPr>
        <w:tab/>
      </w:r>
      <w:r w:rsidRPr="00D65AED">
        <w:rPr>
          <w:rFonts w:ascii="標楷體" w:hAnsi="標楷體" w:hint="eastAsia"/>
          <w:sz w:val="28"/>
          <w:szCs w:val="28"/>
        </w:rPr>
        <w:t>陳玉珍</w:t>
      </w:r>
      <w:r w:rsidRPr="00D65AED">
        <w:rPr>
          <w:rFonts w:ascii="標楷體" w:hAnsi="標楷體"/>
          <w:sz w:val="28"/>
          <w:szCs w:val="28"/>
        </w:rPr>
        <w:tab/>
      </w:r>
      <w:r w:rsidRPr="00D65AED">
        <w:rPr>
          <w:rFonts w:ascii="標楷體" w:hAnsi="標楷體" w:hint="eastAsia"/>
          <w:sz w:val="28"/>
          <w:szCs w:val="28"/>
        </w:rPr>
        <w:t>江永昌</w:t>
      </w:r>
    </w:p>
    <w:p w14:paraId="238A8468"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柯建銘</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14065F94"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委員出席</w:t>
      </w:r>
      <w:r w:rsidRPr="00D65AED">
        <w:rPr>
          <w:rFonts w:ascii="標楷體" w:eastAsia="標楷體" w:hAnsi="標楷體" w:hint="eastAsia"/>
          <w:sz w:val="28"/>
          <w:szCs w:val="28"/>
        </w:rPr>
        <w:t>10</w:t>
      </w:r>
      <w:r w:rsidRPr="00D65AED">
        <w:rPr>
          <w:rFonts w:ascii="標楷體" w:eastAsia="標楷體" w:hAnsi="標楷體"/>
          <w:sz w:val="28"/>
          <w:szCs w:val="28"/>
        </w:rPr>
        <w:t>人</w:t>
      </w:r>
    </w:p>
    <w:p w14:paraId="538D636B"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bookmarkStart w:id="500" w:name="_Hlk83580725"/>
      <w:r w:rsidRPr="00D65AED">
        <w:rPr>
          <w:rFonts w:ascii="標楷體" w:eastAsia="標楷體" w:hAnsi="標楷體" w:hint="eastAsia"/>
          <w:color w:val="000000"/>
          <w:sz w:val="28"/>
          <w:szCs w:val="28"/>
        </w:rPr>
        <w:t>李貴敏</w:t>
      </w:r>
      <w:r w:rsidRPr="00D65AED">
        <w:rPr>
          <w:rFonts w:ascii="標楷體" w:eastAsia="標楷體" w:hAnsi="標楷體"/>
          <w:color w:val="000000"/>
          <w:sz w:val="28"/>
          <w:szCs w:val="28"/>
        </w:rPr>
        <w:tab/>
      </w:r>
      <w:r w:rsidRPr="00D65AED">
        <w:rPr>
          <w:rFonts w:ascii="標楷體" w:eastAsia="標楷體" w:hAnsi="標楷體" w:hint="eastAsia"/>
          <w:color w:val="000000"/>
          <w:sz w:val="28"/>
          <w:szCs w:val="28"/>
        </w:rPr>
        <w:t>李德維</w:t>
      </w:r>
      <w:r w:rsidRPr="00D65AED">
        <w:rPr>
          <w:rFonts w:ascii="標楷體" w:eastAsia="標楷體" w:hAnsi="標楷體"/>
          <w:color w:val="000000"/>
          <w:sz w:val="28"/>
          <w:szCs w:val="28"/>
        </w:rPr>
        <w:tab/>
      </w:r>
      <w:r w:rsidRPr="00D65AED">
        <w:rPr>
          <w:rFonts w:ascii="標楷體" w:eastAsia="標楷體" w:hAnsi="標楷體" w:hint="eastAsia"/>
          <w:spacing w:val="10"/>
          <w:sz w:val="28"/>
          <w:szCs w:val="28"/>
        </w:rPr>
        <w:t>陳椒華</w:t>
      </w:r>
      <w:r w:rsidRPr="00D65AED">
        <w:rPr>
          <w:rFonts w:ascii="標楷體" w:eastAsia="標楷體" w:hAnsi="標楷體"/>
          <w:spacing w:val="10"/>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hint="eastAsia"/>
          <w:sz w:val="28"/>
          <w:szCs w:val="28"/>
        </w:rPr>
        <w:t>林奕華</w:t>
      </w:r>
      <w:r w:rsidRPr="00D65AED">
        <w:rPr>
          <w:rFonts w:ascii="標楷體" w:eastAsia="標楷體" w:hAnsi="標楷體"/>
          <w:sz w:val="28"/>
          <w:szCs w:val="28"/>
        </w:rPr>
        <w:tab/>
      </w:r>
      <w:r w:rsidRPr="00D65AED">
        <w:rPr>
          <w:rFonts w:ascii="標楷體" w:eastAsia="標楷體" w:hAnsi="標楷體" w:hint="eastAsia"/>
          <w:sz w:val="28"/>
          <w:szCs w:val="28"/>
        </w:rPr>
        <w:t>鄭正鈐</w:t>
      </w:r>
      <w:r w:rsidRPr="00D65AED">
        <w:rPr>
          <w:rFonts w:ascii="標楷體" w:eastAsia="標楷體" w:hAnsi="標楷體"/>
          <w:sz w:val="28"/>
          <w:szCs w:val="28"/>
        </w:rPr>
        <w:tab/>
      </w:r>
      <w:r w:rsidRPr="00D65AED">
        <w:rPr>
          <w:rFonts w:ascii="標楷體" w:eastAsia="標楷體" w:hAnsi="標楷體" w:hint="eastAsia"/>
          <w:sz w:val="28"/>
          <w:szCs w:val="28"/>
        </w:rPr>
        <w:t>孔文吉</w:t>
      </w:r>
    </w:p>
    <w:p w14:paraId="722BD19D"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kern w:val="0"/>
          <w:sz w:val="28"/>
          <w:szCs w:val="28"/>
        </w:rPr>
      </w:pPr>
      <w:r w:rsidRPr="00D65AED">
        <w:rPr>
          <w:rFonts w:ascii="標楷體" w:eastAsia="標楷體" w:hAnsi="標楷體" w:hint="eastAsia"/>
          <w:sz w:val="28"/>
          <w:szCs w:val="28"/>
        </w:rPr>
        <w:t>邱顯智</w:t>
      </w:r>
      <w:r w:rsidRPr="00D65AED">
        <w:rPr>
          <w:rFonts w:ascii="標楷體" w:eastAsia="標楷體" w:hAnsi="標楷體"/>
          <w:sz w:val="28"/>
          <w:szCs w:val="28"/>
        </w:rPr>
        <w:tab/>
      </w:r>
      <w:r w:rsidRPr="00D65AED">
        <w:rPr>
          <w:rFonts w:ascii="標楷體" w:eastAsia="標楷體" w:hAnsi="標楷體" w:hint="eastAsia"/>
          <w:sz w:val="28"/>
          <w:szCs w:val="28"/>
        </w:rPr>
        <w:t>謝衣</w:t>
      </w:r>
      <w:r w:rsidRPr="00D65AED">
        <w:rPr>
          <w:rFonts w:ascii="標楷體" w:eastAsia="標楷體" w:hAnsi="標楷體"/>
          <w:sz w:val="28"/>
          <w:szCs w:val="28"/>
        </w:rPr>
        <w:tab/>
      </w: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color w:val="000000"/>
          <w:sz w:val="28"/>
          <w:szCs w:val="28"/>
        </w:rPr>
        <w:t>何欣純</w:t>
      </w:r>
      <w:r w:rsidRPr="00D65AED">
        <w:rPr>
          <w:rFonts w:ascii="標楷體" w:eastAsia="標楷體" w:hAnsi="標楷體"/>
          <w:color w:val="000000"/>
          <w:sz w:val="28"/>
          <w:szCs w:val="28"/>
        </w:rPr>
        <w:tab/>
      </w:r>
      <w:r w:rsidRPr="00D65AED">
        <w:rPr>
          <w:rFonts w:ascii="標楷體" w:eastAsia="標楷體" w:hAnsi="標楷體" w:hint="eastAsia"/>
          <w:kern w:val="0"/>
          <w:sz w:val="28"/>
          <w:szCs w:val="28"/>
        </w:rPr>
        <w:t>高嘉瑜</w:t>
      </w:r>
      <w:r w:rsidRPr="00D65AED">
        <w:rPr>
          <w:rFonts w:ascii="標楷體" w:eastAsia="標楷體" w:hAnsi="標楷體"/>
          <w:kern w:val="0"/>
          <w:sz w:val="28"/>
          <w:szCs w:val="28"/>
        </w:rPr>
        <w:tab/>
      </w:r>
      <w:r w:rsidRPr="00D65AED">
        <w:rPr>
          <w:rFonts w:ascii="標楷體" w:eastAsia="標楷體" w:hAnsi="標楷體" w:hint="eastAsia"/>
          <w:kern w:val="0"/>
          <w:sz w:val="28"/>
          <w:szCs w:val="28"/>
        </w:rPr>
        <w:t>賴士葆</w:t>
      </w:r>
    </w:p>
    <w:bookmarkEnd w:id="500"/>
    <w:p w14:paraId="16157AC2"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14</w:t>
      </w:r>
      <w:r w:rsidRPr="00D65AED">
        <w:rPr>
          <w:rFonts w:ascii="標楷體" w:eastAsia="標楷體" w:hAnsi="標楷體"/>
          <w:sz w:val="28"/>
          <w:szCs w:val="28"/>
        </w:rPr>
        <w:t>人</w:t>
      </w:r>
    </w:p>
    <w:p w14:paraId="51132EBB" w14:textId="77777777" w:rsidR="00421BB5" w:rsidRPr="00D65AED" w:rsidRDefault="00421BB5" w:rsidP="00421BB5">
      <w:pPr>
        <w:pStyle w:val="-9"/>
        <w:spacing w:line="360" w:lineRule="exact"/>
        <w:ind w:leftChars="1" w:left="1416" w:hangingChars="505" w:hanging="1414"/>
        <w:rPr>
          <w:rFonts w:ascii="標楷體" w:hAnsi="標楷體"/>
          <w:sz w:val="28"/>
          <w:szCs w:val="28"/>
        </w:rPr>
      </w:pPr>
      <w:r w:rsidRPr="00D65AED">
        <w:rPr>
          <w:rFonts w:ascii="標楷體" w:hAnsi="標楷體"/>
          <w:sz w:val="28"/>
          <w:szCs w:val="28"/>
        </w:rPr>
        <w:t>請假委員：鄭運鵬</w:t>
      </w:r>
      <w:r w:rsidRPr="00D65AED">
        <w:rPr>
          <w:rFonts w:ascii="標楷體" w:hAnsi="標楷體"/>
          <w:sz w:val="28"/>
          <w:szCs w:val="28"/>
        </w:rPr>
        <w:tab/>
      </w:r>
      <w:r w:rsidRPr="00D65AED">
        <w:rPr>
          <w:rFonts w:ascii="標楷體" w:hAnsi="標楷體" w:hint="eastAsia"/>
          <w:sz w:val="28"/>
          <w:szCs w:val="28"/>
        </w:rPr>
        <w:t>周春米</w:t>
      </w:r>
    </w:p>
    <w:p w14:paraId="67F495FF"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請假2人</w:t>
      </w:r>
    </w:p>
    <w:p w14:paraId="2D2B3E37"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司法院副秘書長　黃麟倫</w:t>
      </w:r>
    </w:p>
    <w:p w14:paraId="6EFE9101"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sz w:val="28"/>
          <w:szCs w:val="28"/>
        </w:rPr>
      </w:pPr>
      <w:r w:rsidRPr="00D65AED">
        <w:rPr>
          <w:rFonts w:ascii="標楷體" w:eastAsia="標楷體" w:hAnsi="標楷體" w:hint="eastAsia"/>
          <w:sz w:val="28"/>
          <w:szCs w:val="28"/>
        </w:rPr>
        <w:t>法務部部長　蔡清祥</w:t>
      </w:r>
    </w:p>
    <w:p w14:paraId="370DC914"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sz w:val="28"/>
          <w:szCs w:val="28"/>
        </w:rPr>
      </w:pPr>
      <w:r w:rsidRPr="00D65AED">
        <w:rPr>
          <w:rFonts w:ascii="標楷體" w:eastAsia="標楷體" w:hAnsi="標楷體" w:hint="eastAsia"/>
          <w:sz w:val="28"/>
          <w:szCs w:val="28"/>
        </w:rPr>
        <w:t>法務部調查局局長　王俊力</w:t>
      </w:r>
    </w:p>
    <w:p w14:paraId="26E7C588"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sz w:val="28"/>
          <w:szCs w:val="28"/>
        </w:rPr>
      </w:pPr>
      <w:r w:rsidRPr="00D65AED">
        <w:rPr>
          <w:rFonts w:ascii="標楷體" w:eastAsia="標楷體" w:hAnsi="標楷體" w:hint="eastAsia"/>
          <w:sz w:val="28"/>
          <w:szCs w:val="28"/>
        </w:rPr>
        <w:t>法務部廉政署署長　莊榮松</w:t>
      </w:r>
    </w:p>
    <w:p w14:paraId="2491ADE7"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sz w:val="28"/>
          <w:szCs w:val="28"/>
        </w:rPr>
      </w:pPr>
      <w:r w:rsidRPr="00D65AED">
        <w:rPr>
          <w:rFonts w:ascii="標楷體" w:eastAsia="標楷體" w:hAnsi="標楷體" w:hint="eastAsia"/>
          <w:sz w:val="28"/>
          <w:szCs w:val="28"/>
        </w:rPr>
        <w:t>內政部警政署刑事警察局副局長　邱紹洲</w:t>
      </w:r>
    </w:p>
    <w:p w14:paraId="03C932F1"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陳召集</w:t>
      </w:r>
      <w:r w:rsidRPr="00D65AED">
        <w:rPr>
          <w:rFonts w:ascii="標楷體" w:eastAsia="標楷體" w:hAnsi="標楷體"/>
          <w:sz w:val="28"/>
          <w:szCs w:val="28"/>
        </w:rPr>
        <w:t>委員</w:t>
      </w:r>
      <w:r w:rsidRPr="00D65AED">
        <w:rPr>
          <w:rFonts w:ascii="標楷體" w:eastAsia="標楷體" w:hAnsi="標楷體" w:hint="eastAsia"/>
          <w:sz w:val="28"/>
          <w:szCs w:val="28"/>
        </w:rPr>
        <w:t>歐珀</w:t>
      </w:r>
    </w:p>
    <w:p w14:paraId="58B3E79E" w14:textId="77777777" w:rsidR="00421BB5" w:rsidRPr="00D65AED" w:rsidRDefault="00421BB5" w:rsidP="00421BB5">
      <w:pPr>
        <w:spacing w:line="360" w:lineRule="exact"/>
        <w:ind w:left="1120" w:hangingChars="400" w:hanging="1120"/>
        <w:jc w:val="both"/>
        <w:rPr>
          <w:rFonts w:ascii="標楷體" w:eastAsia="標楷體" w:hAnsi="標楷體"/>
          <w:sz w:val="28"/>
          <w:szCs w:val="28"/>
        </w:rPr>
      </w:pPr>
      <w:r w:rsidRPr="00D65AED">
        <w:rPr>
          <w:rFonts w:ascii="標楷體" w:eastAsia="標楷體" w:hAnsi="標楷體"/>
          <w:kern w:val="0"/>
          <w:sz w:val="28"/>
          <w:szCs w:val="28"/>
          <w:fitText w:val="1120" w:id="972279812"/>
        </w:rPr>
        <w:t>專門委員</w:t>
      </w:r>
      <w:r w:rsidRPr="00D65AED">
        <w:rPr>
          <w:rFonts w:ascii="標楷體" w:eastAsia="標楷體" w:hAnsi="標楷體"/>
          <w:sz w:val="28"/>
          <w:szCs w:val="28"/>
        </w:rPr>
        <w:t>：梁雯</w:t>
      </w:r>
      <w:r w:rsidRPr="00D65AED">
        <w:rPr>
          <w:rFonts w:ascii="標楷體" w:eastAsia="標楷體" w:hAnsi="標楷體" w:hint="eastAsia"/>
          <w:sz w:val="28"/>
          <w:szCs w:val="28"/>
        </w:rPr>
        <w:t>璍</w:t>
      </w:r>
    </w:p>
    <w:p w14:paraId="08C98EB7" w14:textId="77777777" w:rsidR="00421BB5" w:rsidRPr="00D65AED" w:rsidRDefault="00421BB5" w:rsidP="00421BB5">
      <w:pPr>
        <w:tabs>
          <w:tab w:val="left" w:pos="1580"/>
        </w:tabs>
        <w:adjustRightInd w:val="0"/>
        <w:snapToGrid w:val="0"/>
        <w:spacing w:line="360" w:lineRule="exact"/>
        <w:jc w:val="both"/>
        <w:rPr>
          <w:rFonts w:ascii="標楷體" w:eastAsia="標楷體" w:hAnsi="標楷體"/>
          <w:sz w:val="28"/>
          <w:szCs w:val="28"/>
        </w:rPr>
      </w:pPr>
      <w:r w:rsidRPr="00D65AED">
        <w:rPr>
          <w:rFonts w:ascii="標楷體" w:eastAsia="標楷體" w:hAnsi="標楷體"/>
          <w:kern w:val="0"/>
          <w:sz w:val="28"/>
          <w:szCs w:val="28"/>
          <w:fitText w:val="1120" w:id="-1533856767"/>
        </w:rPr>
        <w:t>主任秘書</w:t>
      </w:r>
      <w:r w:rsidRPr="00D65AED">
        <w:rPr>
          <w:rFonts w:ascii="標楷體" w:eastAsia="標楷體" w:hAnsi="標楷體"/>
          <w:sz w:val="28"/>
          <w:szCs w:val="28"/>
        </w:rPr>
        <w:t>：</w:t>
      </w:r>
      <w:r w:rsidRPr="00D65AED">
        <w:rPr>
          <w:rFonts w:ascii="標楷體" w:eastAsia="標楷體" w:hAnsi="標楷體" w:hint="eastAsia"/>
          <w:sz w:val="28"/>
          <w:szCs w:val="28"/>
        </w:rPr>
        <w:t>張智為</w:t>
      </w:r>
    </w:p>
    <w:p w14:paraId="3774AEB0" w14:textId="77777777" w:rsidR="00421BB5" w:rsidRPr="00D65AED" w:rsidRDefault="00421BB5" w:rsidP="00421BB5">
      <w:pPr>
        <w:tabs>
          <w:tab w:val="left" w:pos="2460"/>
        </w:tabs>
        <w:spacing w:line="360" w:lineRule="exact"/>
        <w:ind w:firstLineChars="10" w:firstLine="28"/>
        <w:jc w:val="both"/>
        <w:rPr>
          <w:rFonts w:ascii="標楷體" w:eastAsia="標楷體" w:hAnsi="標楷體"/>
          <w:sz w:val="28"/>
          <w:szCs w:val="28"/>
        </w:rPr>
      </w:pPr>
      <w:r w:rsidRPr="00D65AED">
        <w:rPr>
          <w:rFonts w:ascii="標楷體" w:eastAsia="標楷體" w:hAnsi="標楷體"/>
          <w:kern w:val="0"/>
          <w:sz w:val="28"/>
          <w:szCs w:val="28"/>
          <w:fitText w:val="1120" w:id="972279812"/>
        </w:rPr>
        <w:t>紀    錄</w:t>
      </w:r>
      <w:r w:rsidRPr="00D65AED">
        <w:rPr>
          <w:rFonts w:ascii="標楷體" w:eastAsia="標楷體" w:hAnsi="標楷體"/>
          <w:sz w:val="28"/>
          <w:szCs w:val="28"/>
        </w:rPr>
        <w:t>：簡任秘書</w:t>
      </w:r>
      <w:r w:rsidRPr="00D65AED">
        <w:rPr>
          <w:rFonts w:ascii="標楷體" w:eastAsia="標楷體" w:hAnsi="標楷體" w:hint="eastAsia"/>
          <w:sz w:val="28"/>
          <w:szCs w:val="28"/>
        </w:rPr>
        <w:t xml:space="preserve">　</w:t>
      </w:r>
      <w:r w:rsidRPr="00D65AED">
        <w:rPr>
          <w:rFonts w:ascii="標楷體" w:eastAsia="標楷體" w:hAnsi="標楷體"/>
          <w:sz w:val="28"/>
          <w:szCs w:val="28"/>
        </w:rPr>
        <w:t>陳杏枝</w:t>
      </w:r>
    </w:p>
    <w:p w14:paraId="125E7639" w14:textId="77777777" w:rsidR="00421BB5" w:rsidRPr="00D65AED" w:rsidRDefault="00421BB5" w:rsidP="00421BB5">
      <w:pPr>
        <w:tabs>
          <w:tab w:val="left" w:pos="2460"/>
        </w:tabs>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簡任編審</w:t>
      </w:r>
      <w:r w:rsidRPr="00D65AED">
        <w:rPr>
          <w:rFonts w:ascii="標楷體" w:eastAsia="標楷體" w:hAnsi="標楷體" w:hint="eastAsia"/>
          <w:sz w:val="28"/>
          <w:szCs w:val="28"/>
        </w:rPr>
        <w:t xml:space="preserve">　薛復寧</w:t>
      </w:r>
    </w:p>
    <w:p w14:paraId="4CEA2BD8" w14:textId="77777777" w:rsidR="00421BB5" w:rsidRPr="00D65AED" w:rsidRDefault="00421BB5" w:rsidP="00421BB5">
      <w:pPr>
        <w:spacing w:line="360" w:lineRule="exact"/>
        <w:ind w:firstLineChars="506" w:firstLine="1417"/>
        <w:jc w:val="both"/>
        <w:rPr>
          <w:rFonts w:ascii="標楷體" w:eastAsia="標楷體" w:hAnsi="標楷體"/>
          <w:sz w:val="28"/>
          <w:szCs w:val="28"/>
        </w:rPr>
      </w:pPr>
      <w:r w:rsidRPr="00D65AED">
        <w:rPr>
          <w:rFonts w:ascii="標楷體" w:eastAsia="標楷體" w:hAnsi="標楷體"/>
          <w:sz w:val="28"/>
          <w:szCs w:val="28"/>
        </w:rPr>
        <w:t>科    長</w:t>
      </w:r>
      <w:r w:rsidRPr="00D65AED">
        <w:rPr>
          <w:rFonts w:ascii="標楷體" w:eastAsia="標楷體" w:hAnsi="標楷體" w:hint="eastAsia"/>
          <w:sz w:val="28"/>
          <w:szCs w:val="28"/>
        </w:rPr>
        <w:t xml:space="preserve">　鮑夏明</w:t>
      </w:r>
    </w:p>
    <w:p w14:paraId="4EA0CDB7"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0A00D3EE" w14:textId="77777777" w:rsidR="00421BB5" w:rsidRPr="00D65AED" w:rsidRDefault="00421BB5" w:rsidP="00323CAC">
      <w:pPr>
        <w:numPr>
          <w:ilvl w:val="0"/>
          <w:numId w:val="42"/>
        </w:numPr>
        <w:adjustRightInd w:val="0"/>
        <w:snapToGrid w:val="0"/>
        <w:spacing w:beforeLines="50" w:before="180" w:line="360" w:lineRule="exact"/>
        <w:jc w:val="both"/>
        <w:rPr>
          <w:rFonts w:ascii="標楷體" w:eastAsia="標楷體" w:hAnsi="標楷體"/>
          <w:sz w:val="28"/>
          <w:szCs w:val="28"/>
        </w:rPr>
      </w:pPr>
      <w:r w:rsidRPr="00D65AED">
        <w:rPr>
          <w:rFonts w:ascii="標楷體" w:eastAsia="標楷體" w:hAnsi="標楷體"/>
          <w:sz w:val="28"/>
          <w:szCs w:val="28"/>
        </w:rPr>
        <w:t>宣讀上次會議議事錄。</w:t>
      </w:r>
    </w:p>
    <w:p w14:paraId="5CCEFAE5" w14:textId="77777777" w:rsidR="00421BB5" w:rsidRPr="00D65AED" w:rsidRDefault="00421BB5" w:rsidP="00421BB5">
      <w:pPr>
        <w:pStyle w:val="afffff2"/>
        <w:spacing w:line="360" w:lineRule="exact"/>
        <w:ind w:leftChars="0" w:left="840" w:rightChars="0" w:right="0" w:hanging="840"/>
        <w:jc w:val="both"/>
        <w:rPr>
          <w:rFonts w:ascii="標楷體" w:hAnsi="標楷體"/>
          <w:sz w:val="28"/>
          <w:szCs w:val="28"/>
        </w:rPr>
      </w:pPr>
      <w:r w:rsidRPr="00D65AED">
        <w:rPr>
          <w:rFonts w:ascii="標楷體" w:hAnsi="標楷體"/>
          <w:sz w:val="28"/>
          <w:szCs w:val="28"/>
        </w:rPr>
        <w:t>決定：確定。</w:t>
      </w:r>
    </w:p>
    <w:p w14:paraId="0B7C0E31" w14:textId="77777777" w:rsidR="00421BB5" w:rsidRPr="00D65AED" w:rsidRDefault="00421BB5" w:rsidP="00421BB5">
      <w:pPr>
        <w:pStyle w:val="afffff2"/>
        <w:spacing w:line="360" w:lineRule="exact"/>
        <w:ind w:leftChars="0" w:left="560" w:rightChars="0" w:right="0" w:hangingChars="200" w:hanging="560"/>
        <w:jc w:val="both"/>
        <w:rPr>
          <w:rFonts w:ascii="標楷體" w:hAnsi="標楷體" w:cs="Mongolian Baiti"/>
          <w:spacing w:val="-12"/>
          <w:sz w:val="28"/>
          <w:szCs w:val="28"/>
          <w:highlight w:val="yellow"/>
        </w:rPr>
      </w:pPr>
      <w:r w:rsidRPr="00D65AED">
        <w:rPr>
          <w:rFonts w:ascii="標楷體" w:hAnsi="標楷體"/>
          <w:sz w:val="28"/>
          <w:szCs w:val="28"/>
        </w:rPr>
        <w:t>二、</w:t>
      </w:r>
      <w:r w:rsidRPr="00D65AED">
        <w:rPr>
          <w:rFonts w:ascii="標楷體" w:hAnsi="標楷體" w:hint="eastAsia"/>
          <w:sz w:val="28"/>
          <w:szCs w:val="28"/>
        </w:rPr>
        <w:t>邀請司法院副秘書長、法務部部長、法務部調查局局長、法務部廉政署署長、內政部警政署列席就「貪瀆與賄選案件之犯行認定及各縣市查察辦理情形」進行專題報告，並備質詢。</w:t>
      </w:r>
    </w:p>
    <w:p w14:paraId="31392FF7" w14:textId="77777777" w:rsidR="00421BB5" w:rsidRPr="00D65AED" w:rsidRDefault="00421BB5" w:rsidP="00421BB5">
      <w:pPr>
        <w:adjustRightInd w:val="0"/>
        <w:snapToGrid w:val="0"/>
        <w:spacing w:line="360" w:lineRule="exact"/>
        <w:ind w:left="283" w:hangingChars="101" w:hanging="283"/>
        <w:jc w:val="both"/>
        <w:rPr>
          <w:rFonts w:ascii="標楷體" w:eastAsia="標楷體" w:hAnsi="標楷體"/>
          <w:sz w:val="28"/>
          <w:szCs w:val="28"/>
        </w:rPr>
      </w:pPr>
      <w:r w:rsidRPr="00D65AED">
        <w:rPr>
          <w:rFonts w:ascii="標楷體" w:eastAsia="標楷體" w:hAnsi="標楷體"/>
          <w:sz w:val="28"/>
          <w:szCs w:val="28"/>
        </w:rPr>
        <w:t>（本</w:t>
      </w:r>
      <w:r w:rsidRPr="00D65AED">
        <w:rPr>
          <w:rFonts w:ascii="標楷體" w:eastAsia="標楷體" w:hAnsi="標楷體" w:hint="eastAsia"/>
          <w:sz w:val="28"/>
          <w:szCs w:val="28"/>
        </w:rPr>
        <w:t>次會議有</w:t>
      </w:r>
      <w:r w:rsidRPr="00D65AED">
        <w:rPr>
          <w:rFonts w:ascii="標楷體" w:eastAsia="標楷體" w:hAnsi="標楷體"/>
          <w:sz w:val="28"/>
          <w:szCs w:val="28"/>
        </w:rPr>
        <w:t>委員</w:t>
      </w:r>
      <w:r w:rsidRPr="00D65AED">
        <w:rPr>
          <w:rFonts w:ascii="標楷體" w:eastAsia="標楷體" w:hAnsi="標楷體" w:hint="eastAsia"/>
          <w:spacing w:val="-10"/>
          <w:sz w:val="28"/>
          <w:szCs w:val="28"/>
        </w:rPr>
        <w:t>游毓蘭、曾銘宗、陳歐珀、黃世杰、林思銘、江永</w:t>
      </w:r>
      <w:r w:rsidRPr="00D65AED">
        <w:rPr>
          <w:rFonts w:ascii="標楷體" w:eastAsia="標楷體" w:hAnsi="標楷體" w:hint="eastAsia"/>
          <w:sz w:val="28"/>
          <w:szCs w:val="28"/>
        </w:rPr>
        <w:t>昌、</w:t>
      </w:r>
      <w:r w:rsidRPr="00D65AED">
        <w:rPr>
          <w:rFonts w:ascii="標楷體" w:eastAsia="標楷體" w:hAnsi="標楷體" w:hint="eastAsia"/>
          <w:spacing w:val="10"/>
          <w:sz w:val="28"/>
          <w:szCs w:val="28"/>
        </w:rPr>
        <w:t>陳以信、李貴敏、楊瓊瓔</w:t>
      </w:r>
      <w:r w:rsidRPr="00D65AED">
        <w:rPr>
          <w:rFonts w:ascii="標楷體" w:eastAsia="標楷體" w:hAnsi="標楷體"/>
          <w:spacing w:val="10"/>
          <w:sz w:val="28"/>
          <w:szCs w:val="28"/>
        </w:rPr>
        <w:t>、</w:t>
      </w:r>
      <w:r w:rsidRPr="00D65AED">
        <w:rPr>
          <w:rFonts w:ascii="標楷體" w:eastAsia="標楷體" w:hAnsi="標楷體" w:hint="eastAsia"/>
          <w:spacing w:val="10"/>
          <w:sz w:val="28"/>
          <w:szCs w:val="28"/>
        </w:rPr>
        <w:t>張其祿、林奕華、</w:t>
      </w:r>
      <w:r w:rsidRPr="00D65AED">
        <w:rPr>
          <w:rFonts w:ascii="標楷體" w:eastAsia="標楷體" w:hAnsi="標楷體" w:hint="eastAsia"/>
          <w:spacing w:val="10"/>
          <w:kern w:val="0"/>
          <w:sz w:val="28"/>
          <w:szCs w:val="28"/>
        </w:rPr>
        <w:t>賴士葆</w:t>
      </w:r>
      <w:r w:rsidRPr="00D65AED">
        <w:rPr>
          <w:rFonts w:ascii="標楷體" w:eastAsia="標楷體" w:hAnsi="標楷體"/>
          <w:spacing w:val="10"/>
          <w:kern w:val="0"/>
          <w:sz w:val="28"/>
          <w:szCs w:val="28"/>
        </w:rPr>
        <w:t>、</w:t>
      </w:r>
      <w:r w:rsidRPr="00D65AED">
        <w:rPr>
          <w:rFonts w:ascii="標楷體" w:eastAsia="標楷體" w:hAnsi="標楷體" w:hint="eastAsia"/>
          <w:spacing w:val="10"/>
          <w:sz w:val="28"/>
          <w:szCs w:val="28"/>
        </w:rPr>
        <w:t>洪孟楷、孔</w:t>
      </w:r>
      <w:r w:rsidRPr="00D65AED">
        <w:rPr>
          <w:rFonts w:ascii="標楷體" w:eastAsia="標楷體" w:hAnsi="標楷體" w:hint="eastAsia"/>
          <w:sz w:val="28"/>
          <w:szCs w:val="28"/>
        </w:rPr>
        <w:t>文吉</w:t>
      </w:r>
      <w:r w:rsidRPr="00D65AED">
        <w:rPr>
          <w:rFonts w:ascii="標楷體" w:eastAsia="標楷體" w:hAnsi="標楷體"/>
          <w:sz w:val="28"/>
          <w:szCs w:val="28"/>
        </w:rPr>
        <w:t>提出質詢</w:t>
      </w:r>
      <w:r w:rsidRPr="00D65AED">
        <w:rPr>
          <w:rFonts w:ascii="標楷體" w:eastAsia="標楷體" w:hAnsi="標楷體" w:hint="eastAsia"/>
          <w:sz w:val="28"/>
          <w:szCs w:val="28"/>
        </w:rPr>
        <w:t>；委員</w:t>
      </w:r>
      <w:r w:rsidRPr="00D65AED">
        <w:rPr>
          <w:rFonts w:ascii="標楷體" w:eastAsia="標楷體" w:hAnsi="標楷體" w:hint="eastAsia"/>
          <w:spacing w:val="-12"/>
          <w:sz w:val="28"/>
          <w:szCs w:val="28"/>
        </w:rPr>
        <w:t>陳玉珍、周春米、</w:t>
      </w:r>
      <w:r w:rsidRPr="00D65AED">
        <w:rPr>
          <w:rFonts w:ascii="標楷體" w:eastAsia="標楷體" w:hAnsi="標楷體" w:hint="eastAsia"/>
          <w:spacing w:val="10"/>
          <w:sz w:val="28"/>
          <w:szCs w:val="28"/>
        </w:rPr>
        <w:t>劉建國</w:t>
      </w:r>
      <w:r w:rsidRPr="00D65AED">
        <w:rPr>
          <w:rFonts w:ascii="標楷體" w:eastAsia="標楷體" w:hAnsi="標楷體" w:hint="eastAsia"/>
          <w:spacing w:val="-12"/>
          <w:sz w:val="28"/>
          <w:szCs w:val="28"/>
        </w:rPr>
        <w:t>、</w:t>
      </w:r>
      <w:r w:rsidRPr="00D65AED">
        <w:rPr>
          <w:rFonts w:ascii="標楷體" w:eastAsia="標楷體" w:hAnsi="標楷體" w:hint="eastAsia"/>
          <w:spacing w:val="10"/>
          <w:sz w:val="28"/>
          <w:szCs w:val="28"/>
        </w:rPr>
        <w:t>鄭運鵬</w:t>
      </w:r>
      <w:r w:rsidRPr="00D65AED">
        <w:rPr>
          <w:rFonts w:ascii="標楷體" w:eastAsia="標楷體" w:hAnsi="標楷體" w:hint="eastAsia"/>
          <w:sz w:val="28"/>
          <w:szCs w:val="28"/>
        </w:rPr>
        <w:t>提出書面質詢。</w:t>
      </w:r>
      <w:r w:rsidRPr="00D65AED">
        <w:rPr>
          <w:rFonts w:ascii="標楷體" w:eastAsia="標楷體" w:hAnsi="標楷體"/>
          <w:sz w:val="28"/>
          <w:szCs w:val="28"/>
        </w:rPr>
        <w:t>）</w:t>
      </w:r>
    </w:p>
    <w:p w14:paraId="79F1D91D" w14:textId="77777777" w:rsidR="00421BB5" w:rsidRPr="00D65AED" w:rsidRDefault="00421BB5" w:rsidP="00421BB5">
      <w:pPr>
        <w:spacing w:line="360" w:lineRule="exact"/>
        <w:ind w:left="493" w:hangingChars="176" w:hanging="493"/>
        <w:contextualSpacing/>
        <w:jc w:val="both"/>
        <w:rPr>
          <w:rFonts w:ascii="標楷體" w:eastAsia="標楷體" w:hAnsi="標楷體"/>
          <w:bCs/>
          <w:sz w:val="28"/>
          <w:szCs w:val="28"/>
        </w:rPr>
      </w:pPr>
      <w:r w:rsidRPr="00D65AED">
        <w:rPr>
          <w:rFonts w:ascii="標楷體" w:eastAsia="標楷體" w:hAnsi="標楷體"/>
          <w:bCs/>
          <w:sz w:val="28"/>
          <w:szCs w:val="28"/>
        </w:rPr>
        <w:t>決</w:t>
      </w:r>
      <w:r w:rsidRPr="00D65AED">
        <w:rPr>
          <w:rFonts w:ascii="標楷體" w:eastAsia="標楷體" w:hAnsi="標楷體" w:hint="eastAsia"/>
          <w:bCs/>
          <w:sz w:val="28"/>
          <w:szCs w:val="28"/>
        </w:rPr>
        <w:t>定</w:t>
      </w:r>
      <w:r w:rsidRPr="00D65AED">
        <w:rPr>
          <w:rFonts w:ascii="標楷體" w:eastAsia="標楷體" w:hAnsi="標楷體"/>
          <w:bCs/>
          <w:sz w:val="28"/>
          <w:szCs w:val="28"/>
        </w:rPr>
        <w:t>：</w:t>
      </w:r>
    </w:p>
    <w:p w14:paraId="4E232B30"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sz w:val="28"/>
          <w:szCs w:val="28"/>
        </w:rPr>
        <w:t>一、報告及詢答完畢。</w:t>
      </w:r>
    </w:p>
    <w:p w14:paraId="363CC1CE"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二、</w:t>
      </w:r>
      <w:r w:rsidRPr="00D65AED">
        <w:rPr>
          <w:rFonts w:ascii="標楷體" w:eastAsia="標楷體" w:hAnsi="標楷體"/>
          <w:sz w:val="28"/>
          <w:szCs w:val="28"/>
        </w:rPr>
        <w:t>委員質詢時，要求提供相關資料或以書面答復者，請相關機關儘速送交個別委員</w:t>
      </w:r>
      <w:r w:rsidRPr="00D65AED">
        <w:rPr>
          <w:rFonts w:ascii="標楷體" w:eastAsia="標楷體" w:hAnsi="標楷體" w:hint="eastAsia"/>
          <w:sz w:val="28"/>
          <w:szCs w:val="28"/>
        </w:rPr>
        <w:t>及</w:t>
      </w:r>
      <w:r w:rsidRPr="00D65AED">
        <w:rPr>
          <w:rFonts w:ascii="標楷體" w:eastAsia="標楷體" w:hAnsi="標楷體"/>
          <w:sz w:val="28"/>
          <w:szCs w:val="28"/>
        </w:rPr>
        <w:t>本會。</w:t>
      </w:r>
    </w:p>
    <w:p w14:paraId="53E3CEDB"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65838B49"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會期司法及法制委員會第4次全體委員會議議事錄</w:t>
      </w:r>
    </w:p>
    <w:p w14:paraId="028366A9" w14:textId="77777777" w:rsidR="00421BB5" w:rsidRPr="00D65AED" w:rsidRDefault="00421BB5" w:rsidP="00421BB5">
      <w:pPr>
        <w:pStyle w:val="-9"/>
        <w:spacing w:line="360" w:lineRule="exact"/>
        <w:ind w:leftChars="1" w:left="1416" w:hangingChars="505" w:hanging="1414"/>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pacing w:val="-10"/>
          <w:sz w:val="28"/>
          <w:szCs w:val="28"/>
        </w:rPr>
        <w:t>：</w:t>
      </w:r>
      <w:r w:rsidRPr="00D65AED">
        <w:rPr>
          <w:rFonts w:ascii="標楷體" w:hAnsi="標楷體"/>
          <w:spacing w:val="-10"/>
          <w:w w:val="95"/>
          <w:sz w:val="28"/>
          <w:szCs w:val="28"/>
        </w:rPr>
        <w:t>中華民國1</w:t>
      </w:r>
      <w:r w:rsidRPr="00D65AED">
        <w:rPr>
          <w:rFonts w:ascii="標楷體" w:hAnsi="標楷體" w:hint="eastAsia"/>
          <w:spacing w:val="-10"/>
          <w:w w:val="95"/>
          <w:sz w:val="28"/>
          <w:szCs w:val="28"/>
        </w:rPr>
        <w:t>11</w:t>
      </w:r>
      <w:r w:rsidRPr="00D65AED">
        <w:rPr>
          <w:rFonts w:ascii="標楷體" w:hAnsi="標楷體"/>
          <w:spacing w:val="-10"/>
          <w:w w:val="95"/>
          <w:sz w:val="28"/>
          <w:szCs w:val="28"/>
        </w:rPr>
        <w:t>年10月6日（星期</w:t>
      </w:r>
      <w:r w:rsidRPr="00D65AED">
        <w:rPr>
          <w:rFonts w:ascii="標楷體" w:hAnsi="標楷體" w:hint="eastAsia"/>
          <w:spacing w:val="-10"/>
          <w:w w:val="95"/>
          <w:sz w:val="28"/>
          <w:szCs w:val="28"/>
        </w:rPr>
        <w:t>四</w:t>
      </w:r>
      <w:r w:rsidRPr="00D65AED">
        <w:rPr>
          <w:rFonts w:ascii="標楷體" w:hAnsi="標楷體"/>
          <w:spacing w:val="-10"/>
          <w:w w:val="95"/>
          <w:sz w:val="28"/>
          <w:szCs w:val="28"/>
        </w:rPr>
        <w:t>）上午9時至</w:t>
      </w:r>
      <w:r w:rsidRPr="00D65AED">
        <w:rPr>
          <w:rFonts w:ascii="標楷體" w:hAnsi="標楷體" w:hint="eastAsia"/>
          <w:spacing w:val="-10"/>
          <w:w w:val="95"/>
          <w:sz w:val="28"/>
          <w:szCs w:val="28"/>
        </w:rPr>
        <w:t>11</w:t>
      </w:r>
      <w:r w:rsidRPr="00D65AED">
        <w:rPr>
          <w:rFonts w:ascii="標楷體" w:hAnsi="標楷體"/>
          <w:spacing w:val="-10"/>
          <w:w w:val="95"/>
          <w:sz w:val="28"/>
          <w:szCs w:val="28"/>
        </w:rPr>
        <w:t>時</w:t>
      </w:r>
      <w:r w:rsidRPr="00D65AED">
        <w:rPr>
          <w:rFonts w:ascii="標楷體" w:hAnsi="標楷體" w:hint="eastAsia"/>
          <w:spacing w:val="-10"/>
          <w:w w:val="95"/>
          <w:sz w:val="28"/>
          <w:szCs w:val="28"/>
        </w:rPr>
        <w:t>48</w:t>
      </w:r>
      <w:r w:rsidRPr="00D65AED">
        <w:rPr>
          <w:rFonts w:ascii="標楷體" w:hAnsi="標楷體"/>
          <w:spacing w:val="-10"/>
          <w:w w:val="95"/>
          <w:sz w:val="28"/>
          <w:szCs w:val="28"/>
        </w:rPr>
        <w:t>分</w:t>
      </w:r>
    </w:p>
    <w:p w14:paraId="06060D88"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3141CD5C" w14:textId="77777777" w:rsidR="00421BB5" w:rsidRPr="00D65AED" w:rsidRDefault="00421BB5" w:rsidP="00421BB5">
      <w:pPr>
        <w:pStyle w:val="-9"/>
        <w:spacing w:line="360" w:lineRule="exact"/>
        <w:ind w:left="1364" w:hanging="1364"/>
        <w:jc w:val="left"/>
        <w:rPr>
          <w:rFonts w:ascii="標楷體" w:hAnsi="標楷體"/>
          <w:sz w:val="28"/>
          <w:szCs w:val="28"/>
        </w:rPr>
      </w:pPr>
      <w:r w:rsidRPr="00D65AED">
        <w:rPr>
          <w:rFonts w:ascii="標楷體" w:hAnsi="標楷體"/>
          <w:sz w:val="28"/>
          <w:szCs w:val="28"/>
        </w:rPr>
        <w:t>出席委員</w:t>
      </w:r>
      <w:r w:rsidRPr="00D65AED">
        <w:rPr>
          <w:rFonts w:ascii="標楷體" w:hAnsi="標楷體" w:hint="eastAsia"/>
          <w:sz w:val="28"/>
          <w:szCs w:val="28"/>
        </w:rPr>
        <w:t>：鄭運鵬</w:t>
      </w:r>
      <w:r w:rsidRPr="00D65AED">
        <w:rPr>
          <w:rFonts w:ascii="標楷體" w:hAnsi="標楷體"/>
          <w:sz w:val="28"/>
          <w:szCs w:val="28"/>
        </w:rPr>
        <w:tab/>
      </w:r>
      <w:r w:rsidRPr="00D65AED">
        <w:rPr>
          <w:rFonts w:ascii="標楷體" w:hAnsi="標楷體" w:hint="eastAsia"/>
          <w:sz w:val="28"/>
          <w:szCs w:val="28"/>
        </w:rPr>
        <w:t>陳歐珀</w:t>
      </w:r>
      <w:r w:rsidRPr="00D65AED">
        <w:rPr>
          <w:rFonts w:ascii="標楷體" w:hAnsi="標楷體"/>
          <w:sz w:val="28"/>
          <w:szCs w:val="28"/>
        </w:rPr>
        <w:tab/>
      </w:r>
      <w:r w:rsidRPr="00D65AED">
        <w:rPr>
          <w:rFonts w:ascii="標楷體" w:hAnsi="標楷體" w:hint="eastAsia"/>
          <w:sz w:val="28"/>
          <w:szCs w:val="28"/>
        </w:rPr>
        <w:t>曾銘宗</w:t>
      </w:r>
      <w:r w:rsidRPr="00D65AED">
        <w:rPr>
          <w:rFonts w:ascii="標楷體" w:hAnsi="標楷體"/>
          <w:sz w:val="28"/>
          <w:szCs w:val="28"/>
        </w:rPr>
        <w:tab/>
      </w:r>
      <w:r w:rsidRPr="00D65AED">
        <w:rPr>
          <w:rFonts w:ascii="標楷體" w:hAnsi="標楷體" w:hint="eastAsia"/>
          <w:sz w:val="28"/>
          <w:szCs w:val="28"/>
        </w:rPr>
        <w:t>游毓蘭</w:t>
      </w:r>
      <w:r w:rsidRPr="00D65AED">
        <w:rPr>
          <w:rFonts w:ascii="標楷體" w:hAnsi="標楷體"/>
          <w:sz w:val="28"/>
          <w:szCs w:val="28"/>
        </w:rPr>
        <w:tab/>
      </w:r>
      <w:r w:rsidRPr="00D65AED">
        <w:rPr>
          <w:rFonts w:ascii="標楷體" w:hAnsi="標楷體" w:hint="eastAsia"/>
          <w:sz w:val="28"/>
          <w:szCs w:val="28"/>
        </w:rPr>
        <w:t>黃世杰</w:t>
      </w:r>
      <w:r w:rsidRPr="00D65AED">
        <w:rPr>
          <w:rFonts w:ascii="標楷體" w:hAnsi="標楷體"/>
          <w:sz w:val="28"/>
          <w:szCs w:val="28"/>
        </w:rPr>
        <w:tab/>
      </w:r>
      <w:r w:rsidRPr="00D65AED">
        <w:rPr>
          <w:rFonts w:ascii="標楷體" w:hAnsi="標楷體" w:hint="eastAsia"/>
          <w:sz w:val="28"/>
          <w:szCs w:val="28"/>
        </w:rPr>
        <w:t>陳玉珍</w:t>
      </w:r>
      <w:r w:rsidRPr="00D65AED">
        <w:rPr>
          <w:rFonts w:ascii="標楷體" w:hAnsi="標楷體"/>
          <w:sz w:val="28"/>
          <w:szCs w:val="28"/>
        </w:rPr>
        <w:tab/>
      </w:r>
      <w:r w:rsidRPr="00D65AED">
        <w:rPr>
          <w:rFonts w:ascii="標楷體" w:hAnsi="標楷體" w:hint="eastAsia"/>
          <w:sz w:val="28"/>
          <w:szCs w:val="28"/>
        </w:rPr>
        <w:t>林思銘</w:t>
      </w:r>
    </w:p>
    <w:p w14:paraId="447020AC" w14:textId="77777777" w:rsidR="00421BB5" w:rsidRPr="00D65AED" w:rsidRDefault="00421BB5" w:rsidP="00421BB5">
      <w:pPr>
        <w:pStyle w:val="-9"/>
        <w:spacing w:line="360" w:lineRule="exact"/>
        <w:ind w:leftChars="568" w:left="1363" w:firstLineChars="17" w:firstLine="48"/>
        <w:jc w:val="left"/>
        <w:rPr>
          <w:rFonts w:ascii="標楷體" w:hAnsi="標楷體"/>
          <w:sz w:val="28"/>
          <w:szCs w:val="28"/>
        </w:rPr>
      </w:pPr>
      <w:r w:rsidRPr="00D65AED">
        <w:rPr>
          <w:rFonts w:ascii="標楷體" w:hAnsi="標楷體" w:hint="eastAsia"/>
          <w:sz w:val="28"/>
          <w:szCs w:val="28"/>
        </w:rPr>
        <w:t>江永昌</w:t>
      </w:r>
      <w:r w:rsidRPr="00D65AED">
        <w:rPr>
          <w:rFonts w:ascii="標楷體" w:hAnsi="標楷體"/>
          <w:sz w:val="28"/>
          <w:szCs w:val="28"/>
        </w:rPr>
        <w:tab/>
      </w:r>
      <w:r w:rsidRPr="00D65AED">
        <w:rPr>
          <w:rFonts w:ascii="標楷體" w:hAnsi="標楷體" w:hint="eastAsia"/>
          <w:sz w:val="28"/>
          <w:szCs w:val="28"/>
        </w:rPr>
        <w:t>陳以信</w:t>
      </w:r>
      <w:r w:rsidRPr="00D65AED">
        <w:rPr>
          <w:rFonts w:ascii="標楷體" w:hAnsi="標楷體"/>
          <w:sz w:val="28"/>
          <w:szCs w:val="28"/>
        </w:rPr>
        <w:tab/>
      </w:r>
      <w:r w:rsidRPr="00D65AED">
        <w:rPr>
          <w:rFonts w:ascii="標楷體" w:hAnsi="標楷體" w:hint="eastAsia"/>
          <w:sz w:val="28"/>
          <w:szCs w:val="28"/>
        </w:rPr>
        <w:t>柯建銘</w:t>
      </w:r>
    </w:p>
    <w:p w14:paraId="1CA24469"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委員出席</w:t>
      </w:r>
      <w:r w:rsidRPr="00D65AED">
        <w:rPr>
          <w:rFonts w:ascii="標楷體" w:eastAsia="標楷體" w:hAnsi="標楷體" w:hint="eastAsia"/>
          <w:sz w:val="28"/>
          <w:szCs w:val="28"/>
        </w:rPr>
        <w:t>10</w:t>
      </w:r>
      <w:r w:rsidRPr="00D65AED">
        <w:rPr>
          <w:rFonts w:ascii="標楷體" w:eastAsia="標楷體" w:hAnsi="標楷體"/>
          <w:sz w:val="28"/>
          <w:szCs w:val="28"/>
        </w:rPr>
        <w:t>人</w:t>
      </w:r>
    </w:p>
    <w:p w14:paraId="18272ABE" w14:textId="77777777" w:rsidR="00421BB5" w:rsidRPr="00D65AED" w:rsidRDefault="00421BB5" w:rsidP="00421BB5">
      <w:pPr>
        <w:adjustRightInd w:val="0"/>
        <w:snapToGrid w:val="0"/>
        <w:spacing w:line="360" w:lineRule="exact"/>
        <w:ind w:leftChars="-11" w:left="1301" w:hangingChars="474" w:hanging="1327"/>
        <w:jc w:val="both"/>
        <w:rPr>
          <w:rFonts w:ascii="標楷體" w:eastAsia="標楷體" w:hAnsi="標楷體"/>
          <w:sz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邱臣遠</w:t>
      </w:r>
      <w:r w:rsidRPr="00D65AED">
        <w:rPr>
          <w:rFonts w:ascii="標楷體" w:eastAsia="標楷體" w:hAnsi="標楷體"/>
          <w:sz w:val="28"/>
          <w:szCs w:val="28"/>
        </w:rPr>
        <w:tab/>
      </w:r>
      <w:r w:rsidRPr="00D65AED">
        <w:rPr>
          <w:rFonts w:ascii="標楷體" w:eastAsia="標楷體" w:hAnsi="標楷體" w:hint="eastAsia"/>
          <w:sz w:val="28"/>
          <w:szCs w:val="28"/>
        </w:rPr>
        <w:t>羅致政</w:t>
      </w:r>
      <w:r w:rsidRPr="00D65AED">
        <w:rPr>
          <w:rFonts w:ascii="標楷體" w:eastAsia="標楷體" w:hAnsi="標楷體"/>
          <w:sz w:val="28"/>
          <w:szCs w:val="28"/>
        </w:rPr>
        <w:tab/>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林德福</w:t>
      </w:r>
      <w:r w:rsidRPr="00D65AED">
        <w:rPr>
          <w:rFonts w:ascii="標楷體" w:eastAsia="標楷體" w:hAnsi="標楷體"/>
          <w:sz w:val="28"/>
          <w:szCs w:val="28"/>
        </w:rPr>
        <w:tab/>
      </w:r>
      <w:r w:rsidRPr="00D65AED">
        <w:rPr>
          <w:rFonts w:ascii="標楷體" w:eastAsia="標楷體" w:hAnsi="標楷體" w:hint="eastAsia"/>
          <w:sz w:val="28"/>
        </w:rPr>
        <w:t>洪孟楷</w:t>
      </w:r>
      <w:r w:rsidRPr="00D65AED">
        <w:rPr>
          <w:rFonts w:ascii="標楷體" w:eastAsia="標楷體" w:hAnsi="標楷體"/>
          <w:sz w:val="28"/>
        </w:rPr>
        <w:tab/>
      </w: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p>
    <w:p w14:paraId="4072FD8E" w14:textId="77777777" w:rsidR="00236826" w:rsidRDefault="00421BB5" w:rsidP="00421BB5">
      <w:pPr>
        <w:adjustRightInd w:val="0"/>
        <w:snapToGrid w:val="0"/>
        <w:spacing w:line="360" w:lineRule="exact"/>
        <w:ind w:leftChars="571" w:left="1370" w:firstLineChars="3" w:firstLine="8"/>
        <w:rPr>
          <w:rFonts w:ascii="標楷體" w:eastAsia="標楷體" w:hAnsi="標楷體"/>
          <w:sz w:val="28"/>
          <w:szCs w:val="28"/>
        </w:rPr>
      </w:pPr>
      <w:r w:rsidRPr="00D65AED">
        <w:rPr>
          <w:rFonts w:ascii="標楷體" w:eastAsia="標楷體" w:hAnsi="標楷體" w:hint="eastAsia"/>
          <w:sz w:val="28"/>
          <w:szCs w:val="28"/>
        </w:rPr>
        <w:t>孔文吉</w:t>
      </w:r>
      <w:r w:rsidRPr="00D65AED">
        <w:rPr>
          <w:rFonts w:ascii="標楷體" w:eastAsia="標楷體" w:hAnsi="標楷體"/>
          <w:sz w:val="28"/>
          <w:szCs w:val="28"/>
        </w:rPr>
        <w:tab/>
      </w:r>
      <w:r w:rsidRPr="00D65AED">
        <w:rPr>
          <w:rFonts w:ascii="標楷體" w:eastAsia="標楷體" w:hAnsi="標楷體" w:hint="eastAsia"/>
          <w:sz w:val="28"/>
        </w:rPr>
        <w:t>陳椒華</w:t>
      </w:r>
      <w:r w:rsidRPr="00D65AED">
        <w:rPr>
          <w:rFonts w:ascii="標楷體" w:eastAsia="標楷體" w:hAnsi="標楷體"/>
          <w:sz w:val="28"/>
        </w:rPr>
        <w:tab/>
      </w: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sz w:val="28"/>
          <w:szCs w:val="28"/>
        </w:rPr>
        <w:t>謝衣鳯</w:t>
      </w:r>
      <w:r w:rsidRPr="00D65AED">
        <w:rPr>
          <w:rFonts w:ascii="標楷體" w:eastAsia="標楷體" w:hAnsi="標楷體"/>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蔡壁如</w:t>
      </w:r>
      <w:r w:rsidRPr="00D65AED">
        <w:rPr>
          <w:rFonts w:ascii="標楷體" w:eastAsia="標楷體" w:hAnsi="標楷體"/>
          <w:sz w:val="28"/>
          <w:szCs w:val="28"/>
        </w:rPr>
        <w:tab/>
      </w:r>
      <w:r w:rsidRPr="00D65AED">
        <w:rPr>
          <w:rFonts w:ascii="標楷體" w:eastAsia="標楷體" w:hAnsi="標楷體" w:hint="eastAsia"/>
          <w:sz w:val="28"/>
          <w:szCs w:val="28"/>
        </w:rPr>
        <w:t>王美惠</w:t>
      </w:r>
    </w:p>
    <w:p w14:paraId="319F7026" w14:textId="6A184744" w:rsidR="00421BB5" w:rsidRPr="00D65AED" w:rsidRDefault="00421BB5" w:rsidP="00421BB5">
      <w:pPr>
        <w:adjustRightInd w:val="0"/>
        <w:snapToGrid w:val="0"/>
        <w:spacing w:line="360" w:lineRule="exact"/>
        <w:ind w:leftChars="571" w:left="1370" w:firstLineChars="3" w:firstLine="8"/>
        <w:rPr>
          <w:rFonts w:ascii="標楷體" w:eastAsia="標楷體" w:hAnsi="標楷體"/>
          <w:sz w:val="28"/>
          <w:szCs w:val="28"/>
        </w:rPr>
      </w:pP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szCs w:val="28"/>
        </w:rPr>
        <w:t>鄭麗文</w:t>
      </w:r>
      <w:r w:rsidRPr="00D65AED">
        <w:rPr>
          <w:rFonts w:ascii="標楷體" w:eastAsia="標楷體" w:hAnsi="標楷體"/>
          <w:sz w:val="28"/>
          <w:szCs w:val="28"/>
        </w:rPr>
        <w:tab/>
      </w:r>
      <w:r w:rsidRPr="00D65AED">
        <w:rPr>
          <w:rFonts w:ascii="標楷體" w:eastAsia="標楷體" w:hAnsi="標楷體" w:hint="eastAsia"/>
          <w:sz w:val="28"/>
          <w:szCs w:val="28"/>
        </w:rPr>
        <w:t>高嘉瑜</w:t>
      </w:r>
      <w:r w:rsidRPr="00D65AED">
        <w:rPr>
          <w:rFonts w:ascii="標楷體" w:eastAsia="標楷體" w:hAnsi="標楷體"/>
          <w:sz w:val="28"/>
          <w:szCs w:val="28"/>
        </w:rPr>
        <w:tab/>
      </w:r>
      <w:r w:rsidRPr="00D65AED">
        <w:rPr>
          <w:rFonts w:ascii="標楷體" w:eastAsia="標楷體" w:hAnsi="標楷體" w:hint="eastAsia"/>
          <w:sz w:val="28"/>
          <w:szCs w:val="28"/>
        </w:rPr>
        <w:t>邱志偉</w:t>
      </w:r>
      <w:r w:rsidRPr="00D65AED">
        <w:rPr>
          <w:rFonts w:ascii="標楷體" w:eastAsia="標楷體" w:hAnsi="標楷體"/>
          <w:sz w:val="28"/>
          <w:szCs w:val="28"/>
        </w:rPr>
        <w:tab/>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張育美</w:t>
      </w:r>
      <w:r w:rsidRPr="00D65AED">
        <w:rPr>
          <w:rFonts w:ascii="標楷體" w:eastAsia="標楷體" w:hAnsi="標楷體"/>
          <w:sz w:val="28"/>
          <w:szCs w:val="28"/>
        </w:rPr>
        <w:tab/>
      </w:r>
      <w:r w:rsidRPr="00D65AED">
        <w:rPr>
          <w:rFonts w:ascii="標楷體" w:eastAsia="標楷體" w:hAnsi="標楷體" w:hint="eastAsia"/>
          <w:sz w:val="28"/>
          <w:szCs w:val="28"/>
        </w:rPr>
        <w:t>賴瑞隆</w:t>
      </w:r>
    </w:p>
    <w:p w14:paraId="4C9E3354" w14:textId="77777777" w:rsidR="00421BB5" w:rsidRPr="00D65AED" w:rsidRDefault="00421BB5" w:rsidP="00421BB5">
      <w:pPr>
        <w:adjustRightInd w:val="0"/>
        <w:snapToGrid w:val="0"/>
        <w:spacing w:line="360" w:lineRule="exact"/>
        <w:ind w:leftChars="571" w:left="1370" w:firstLineChars="3" w:firstLine="8"/>
        <w:rPr>
          <w:rFonts w:ascii="標楷體" w:eastAsia="標楷體" w:hAnsi="標楷體"/>
          <w:sz w:val="28"/>
          <w:szCs w:val="28"/>
        </w:rPr>
      </w:pPr>
      <w:r w:rsidRPr="00D65AED">
        <w:rPr>
          <w:rFonts w:ascii="標楷體" w:eastAsia="標楷體" w:hAnsi="標楷體" w:hint="eastAsia"/>
          <w:sz w:val="28"/>
          <w:szCs w:val="28"/>
        </w:rPr>
        <w:t>邱顯智</w:t>
      </w:r>
      <w:r w:rsidRPr="00D65AED">
        <w:rPr>
          <w:rFonts w:ascii="標楷體" w:eastAsia="標楷體" w:hAnsi="標楷體"/>
          <w:sz w:val="28"/>
          <w:szCs w:val="28"/>
        </w:rPr>
        <w:tab/>
      </w:r>
      <w:r w:rsidRPr="00D65AED">
        <w:rPr>
          <w:rFonts w:ascii="標楷體" w:eastAsia="標楷體" w:hAnsi="標楷體" w:hint="eastAsia"/>
          <w:sz w:val="28"/>
          <w:szCs w:val="28"/>
        </w:rPr>
        <w:t>陳明文</w:t>
      </w:r>
    </w:p>
    <w:p w14:paraId="6C23E8F7" w14:textId="77777777" w:rsidR="00421BB5" w:rsidRPr="00D65AED" w:rsidRDefault="00421BB5" w:rsidP="00421BB5">
      <w:pPr>
        <w:adjustRightInd w:val="0"/>
        <w:snapToGrid w:val="0"/>
        <w:spacing w:line="360" w:lineRule="exact"/>
        <w:ind w:firstLineChars="485" w:firstLine="1358"/>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22</w:t>
      </w:r>
      <w:r w:rsidRPr="00D65AED">
        <w:rPr>
          <w:rFonts w:ascii="標楷體" w:eastAsia="標楷體" w:hAnsi="標楷體"/>
          <w:sz w:val="28"/>
          <w:szCs w:val="28"/>
        </w:rPr>
        <w:t>人</w:t>
      </w:r>
    </w:p>
    <w:p w14:paraId="38AD4890"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6AC58777"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w:t>
      </w:r>
      <w:r w:rsidRPr="00D65AED">
        <w:rPr>
          <w:rFonts w:ascii="標楷體" w:eastAsia="標楷體" w:hAnsi="標楷體"/>
          <w:sz w:val="28"/>
          <w:szCs w:val="28"/>
        </w:rPr>
        <w:t>2</w:t>
      </w:r>
      <w:r w:rsidRPr="00D65AED">
        <w:rPr>
          <w:rFonts w:ascii="標楷體" w:eastAsia="標楷體" w:hAnsi="標楷體" w:hint="eastAsia"/>
          <w:sz w:val="28"/>
          <w:szCs w:val="28"/>
        </w:rPr>
        <w:t>人</w:t>
      </w:r>
    </w:p>
    <w:p w14:paraId="36EAC130" w14:textId="77777777" w:rsidR="00421BB5" w:rsidRPr="00D65AED" w:rsidRDefault="00421BB5" w:rsidP="00421BB5">
      <w:pPr>
        <w:pStyle w:val="-9"/>
        <w:spacing w:line="360" w:lineRule="exact"/>
        <w:ind w:left="1361" w:hangingChars="486" w:hanging="1361"/>
        <w:rPr>
          <w:rFonts w:ascii="標楷體" w:hAnsi="標楷體"/>
          <w:color w:val="000000"/>
          <w:sz w:val="28"/>
          <w:szCs w:val="28"/>
        </w:rPr>
      </w:pPr>
      <w:r w:rsidRPr="00D65AED">
        <w:rPr>
          <w:rFonts w:ascii="標楷體" w:hAnsi="標楷體"/>
          <w:sz w:val="28"/>
          <w:szCs w:val="28"/>
        </w:rPr>
        <w:t>列席官員：</w:t>
      </w:r>
      <w:r w:rsidRPr="00D65AED">
        <w:rPr>
          <w:rFonts w:ascii="標楷體" w:hAnsi="標楷體" w:hint="eastAsia"/>
          <w:sz w:val="28"/>
          <w:szCs w:val="28"/>
        </w:rPr>
        <w:t>法務部部長　蔡清祥</w:t>
      </w:r>
    </w:p>
    <w:p w14:paraId="67022A13" w14:textId="77777777" w:rsidR="00421BB5" w:rsidRPr="00D65AED" w:rsidRDefault="00421BB5" w:rsidP="00421BB5">
      <w:pPr>
        <w:pStyle w:val="-9"/>
        <w:spacing w:line="360" w:lineRule="exact"/>
        <w:ind w:leftChars="567" w:left="1361" w:firstLineChars="18" w:firstLine="50"/>
        <w:rPr>
          <w:rFonts w:ascii="標楷體" w:hAnsi="標楷體"/>
          <w:color w:val="000000"/>
          <w:sz w:val="28"/>
          <w:szCs w:val="28"/>
        </w:rPr>
      </w:pPr>
      <w:r w:rsidRPr="00D65AED">
        <w:rPr>
          <w:rFonts w:ascii="標楷體" w:hAnsi="標楷體" w:hint="eastAsia"/>
          <w:sz w:val="28"/>
          <w:szCs w:val="28"/>
        </w:rPr>
        <w:t>法務部矯正署署長　黃俊棠</w:t>
      </w:r>
    </w:p>
    <w:p w14:paraId="5914FA5C"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司法院行政訴訟及懲戒廳法官　陳彥霖</w:t>
      </w:r>
    </w:p>
    <w:p w14:paraId="14D58500"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 xml:space="preserve">衛生福利部心理健康司簡任技正　</w:t>
      </w:r>
      <w:r w:rsidRPr="00D65AED">
        <w:rPr>
          <w:rFonts w:ascii="標楷體" w:eastAsia="標楷體" w:hAnsi="標楷體" w:hint="eastAsia"/>
          <w:color w:val="000000"/>
          <w:sz w:val="28"/>
          <w:szCs w:val="28"/>
        </w:rPr>
        <w:t>李炳樟</w:t>
      </w:r>
    </w:p>
    <w:p w14:paraId="5E5C01DA"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 xml:space="preserve">國防部法律事務司法紀調查處副處長　</w:t>
      </w:r>
      <w:r w:rsidRPr="00D65AED">
        <w:rPr>
          <w:rFonts w:ascii="標楷體" w:eastAsia="標楷體" w:hAnsi="標楷體" w:hint="eastAsia"/>
          <w:color w:val="000000"/>
          <w:sz w:val="28"/>
          <w:szCs w:val="28"/>
        </w:rPr>
        <w:t>王為騰</w:t>
      </w:r>
    </w:p>
    <w:p w14:paraId="0ABFF286"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勞動部勞動力發展署專門委員　孫凡茹</w:t>
      </w:r>
    </w:p>
    <w:p w14:paraId="00C7A87E"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教育部學生事務及特殊教育司專門委員　鄭文瑤</w:t>
      </w:r>
    </w:p>
    <w:p w14:paraId="0697AAE4"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color w:val="000000"/>
          <w:sz w:val="28"/>
          <w:szCs w:val="28"/>
        </w:rPr>
      </w:pPr>
      <w:r w:rsidRPr="00D65AED">
        <w:rPr>
          <w:rFonts w:ascii="標楷體" w:eastAsia="標楷體" w:hAnsi="標楷體" w:hint="eastAsia"/>
          <w:sz w:val="28"/>
          <w:szCs w:val="28"/>
        </w:rPr>
        <w:t>內政部警政署刑事警察局警政監　林淵城</w:t>
      </w:r>
    </w:p>
    <w:p w14:paraId="03839A64"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陳召集</w:t>
      </w:r>
      <w:r w:rsidRPr="00D65AED">
        <w:rPr>
          <w:rFonts w:ascii="標楷體" w:eastAsia="標楷體" w:hAnsi="標楷體"/>
          <w:sz w:val="28"/>
          <w:szCs w:val="28"/>
        </w:rPr>
        <w:t>委員</w:t>
      </w:r>
      <w:r w:rsidRPr="00D65AED">
        <w:rPr>
          <w:rFonts w:ascii="標楷體" w:eastAsia="標楷體" w:hAnsi="標楷體" w:hint="eastAsia"/>
          <w:sz w:val="28"/>
          <w:szCs w:val="28"/>
        </w:rPr>
        <w:t>歐珀</w:t>
      </w:r>
    </w:p>
    <w:p w14:paraId="6AC697B8"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5FB760E9"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190DA4C9"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3B777A34"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7197E5CB"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6B5792D5"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19A8D969"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7DA95780"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sz w:val="28"/>
          <w:szCs w:val="28"/>
        </w:rPr>
        <w:t>宣讀上次會議議事錄。</w:t>
      </w:r>
    </w:p>
    <w:p w14:paraId="648EB8D7" w14:textId="77777777" w:rsidR="00421BB5" w:rsidRPr="00D65AED" w:rsidRDefault="00421BB5" w:rsidP="00421BB5">
      <w:pPr>
        <w:pStyle w:val="afffff2"/>
        <w:spacing w:line="360" w:lineRule="exact"/>
        <w:ind w:leftChars="0" w:left="840" w:rightChars="0" w:right="0" w:hanging="840"/>
        <w:jc w:val="both"/>
        <w:rPr>
          <w:rFonts w:ascii="標楷體" w:hAnsi="標楷體"/>
          <w:sz w:val="28"/>
          <w:szCs w:val="28"/>
        </w:rPr>
      </w:pPr>
      <w:r w:rsidRPr="00D65AED">
        <w:rPr>
          <w:rFonts w:ascii="標楷體" w:hAnsi="標楷體"/>
          <w:sz w:val="28"/>
          <w:szCs w:val="28"/>
        </w:rPr>
        <w:t>決定：確定。</w:t>
      </w:r>
    </w:p>
    <w:p w14:paraId="52560D4F"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4A497D8B" w14:textId="77777777" w:rsidR="00421BB5" w:rsidRPr="00D65AED" w:rsidRDefault="00421BB5" w:rsidP="00421BB5">
      <w:pPr>
        <w:adjustRightInd w:val="0"/>
        <w:snapToGrid w:val="0"/>
        <w:spacing w:line="360" w:lineRule="exact"/>
        <w:ind w:leftChars="-1" w:left="-1" w:hanging="1"/>
        <w:jc w:val="both"/>
        <w:rPr>
          <w:rFonts w:ascii="標楷體" w:eastAsia="標楷體" w:hAnsi="標楷體"/>
          <w:sz w:val="28"/>
          <w:szCs w:val="28"/>
        </w:rPr>
      </w:pPr>
      <w:r w:rsidRPr="00D65AED">
        <w:rPr>
          <w:rFonts w:ascii="標楷體" w:eastAsia="標楷體" w:hAnsi="標楷體" w:hint="eastAsia"/>
          <w:sz w:val="28"/>
          <w:szCs w:val="28"/>
        </w:rPr>
        <w:t>併案審查（一）行政院函請審議「外役監條例部分條文修正草案」、（二）委員林岱樺等16人擬具「外役監條例部分條文修正草案」、（三）委員洪孟楷等18人擬具「外役監條例第一條、第四條及第十八條條文修正草案」、（四）委員高嘉瑜等17人擬具「外役監條例第四條條文修正草案」、（五）委員廖婉汝等19人擬具「外役監條例第四條及第二十一條條文修正草案」、（六）國民黨黨團擬具「外役監條例第四條條文修正</w:t>
      </w:r>
      <w:r w:rsidRPr="00D65AED">
        <w:rPr>
          <w:rFonts w:ascii="標楷體" w:eastAsia="標楷體" w:hAnsi="標楷體" w:hint="eastAsia"/>
          <w:sz w:val="28"/>
          <w:szCs w:val="28"/>
        </w:rPr>
        <w:lastRenderedPageBreak/>
        <w:t>草案」、（七）委員林思銘等16人擬具「外役監條例第四條條文修正草案」、（八）台灣民眾黨黨團擬具「外役監條例第四條及第二十一條條文修正草案」及（九）時代力量黨團擬具「外役監條例部分條文修正草案」案。</w:t>
      </w:r>
    </w:p>
    <w:p w14:paraId="00622247" w14:textId="77777777" w:rsidR="00421BB5" w:rsidRPr="00D65AED" w:rsidRDefault="00421BB5" w:rsidP="00421BB5">
      <w:pPr>
        <w:adjustRightInd w:val="0"/>
        <w:snapToGrid w:val="0"/>
        <w:spacing w:line="360" w:lineRule="exact"/>
        <w:ind w:leftChars="5" w:left="194" w:hangingChars="65" w:hanging="182"/>
        <w:jc w:val="both"/>
        <w:rPr>
          <w:rFonts w:ascii="標楷體" w:eastAsia="標楷體" w:hAnsi="標楷體"/>
          <w:sz w:val="28"/>
          <w:szCs w:val="28"/>
        </w:rPr>
      </w:pPr>
      <w:r w:rsidRPr="00D65AED">
        <w:rPr>
          <w:rFonts w:ascii="標楷體" w:eastAsia="標楷體" w:hAnsi="標楷體"/>
          <w:sz w:val="28"/>
          <w:szCs w:val="28"/>
        </w:rPr>
        <w:t>（本</w:t>
      </w:r>
      <w:r w:rsidRPr="00D65AED">
        <w:rPr>
          <w:rFonts w:ascii="標楷體" w:eastAsia="標楷體" w:hAnsi="標楷體" w:hint="eastAsia"/>
          <w:sz w:val="28"/>
          <w:szCs w:val="28"/>
        </w:rPr>
        <w:t>次會議有</w:t>
      </w:r>
      <w:r w:rsidRPr="00D65AED">
        <w:rPr>
          <w:rFonts w:ascii="標楷體" w:eastAsia="標楷體" w:hAnsi="標楷體"/>
          <w:sz w:val="28"/>
          <w:szCs w:val="28"/>
        </w:rPr>
        <w:t>委員</w:t>
      </w:r>
      <w:r w:rsidRPr="00D65AED">
        <w:rPr>
          <w:rFonts w:ascii="標楷體" w:eastAsia="標楷體" w:hAnsi="標楷體" w:hint="eastAsia"/>
          <w:sz w:val="28"/>
          <w:szCs w:val="28"/>
        </w:rPr>
        <w:t>陳玉珍、</w:t>
      </w:r>
      <w:r w:rsidRPr="00D65AED">
        <w:rPr>
          <w:rFonts w:ascii="標楷體" w:eastAsia="標楷體" w:hAnsi="標楷體" w:hint="eastAsia"/>
          <w:spacing w:val="10"/>
          <w:sz w:val="28"/>
          <w:szCs w:val="28"/>
        </w:rPr>
        <w:t>陳歐珀、游毓蘭、黃世杰、林思銘、</w:t>
      </w:r>
      <w:r w:rsidRPr="00D65AED">
        <w:rPr>
          <w:rFonts w:ascii="標楷體" w:eastAsia="標楷體" w:hAnsi="標楷體"/>
          <w:spacing w:val="10"/>
          <w:sz w:val="28"/>
          <w:szCs w:val="28"/>
        </w:rPr>
        <w:t>江永昌</w:t>
      </w:r>
      <w:r w:rsidRPr="00D65AED">
        <w:rPr>
          <w:rFonts w:ascii="標楷體" w:eastAsia="標楷體" w:hAnsi="標楷體" w:hint="eastAsia"/>
          <w:spacing w:val="10"/>
          <w:sz w:val="28"/>
          <w:szCs w:val="28"/>
        </w:rPr>
        <w:t>、陳以信、曾銘宗、</w:t>
      </w:r>
      <w:r w:rsidRPr="00D65AED">
        <w:rPr>
          <w:rFonts w:ascii="標楷體" w:eastAsia="標楷體" w:hAnsi="標楷體" w:hint="eastAsia"/>
          <w:sz w:val="28"/>
          <w:szCs w:val="28"/>
        </w:rPr>
        <w:t>邱臣遠、</w:t>
      </w:r>
      <w:r w:rsidRPr="00D65AED">
        <w:rPr>
          <w:rFonts w:ascii="標楷體" w:eastAsia="標楷體" w:hAnsi="標楷體" w:hint="eastAsia"/>
          <w:sz w:val="28"/>
        </w:rPr>
        <w:t>洪孟楷、</w:t>
      </w:r>
      <w:r w:rsidRPr="00D65AED">
        <w:rPr>
          <w:rFonts w:ascii="標楷體" w:eastAsia="標楷體" w:hAnsi="標楷體" w:hint="eastAsia"/>
          <w:sz w:val="28"/>
          <w:szCs w:val="28"/>
        </w:rPr>
        <w:t>邱顯智、</w:t>
      </w:r>
      <w:r w:rsidRPr="00D65AED">
        <w:rPr>
          <w:rFonts w:ascii="標楷體" w:eastAsia="標楷體" w:hAnsi="標楷體" w:hint="eastAsia"/>
          <w:sz w:val="28"/>
        </w:rPr>
        <w:t>陳椒華、</w:t>
      </w:r>
      <w:r w:rsidRPr="00D65AED">
        <w:rPr>
          <w:rFonts w:ascii="標楷體" w:eastAsia="標楷體" w:hAnsi="標楷體" w:hint="eastAsia"/>
          <w:sz w:val="28"/>
          <w:szCs w:val="28"/>
        </w:rPr>
        <w:t>張其祿</w:t>
      </w:r>
      <w:r w:rsidRPr="00D65AED">
        <w:rPr>
          <w:rFonts w:ascii="標楷體" w:eastAsia="標楷體" w:hAnsi="標楷體"/>
          <w:sz w:val="28"/>
          <w:szCs w:val="28"/>
        </w:rPr>
        <w:t>提出質詢</w:t>
      </w:r>
      <w:r w:rsidRPr="00D65AED">
        <w:rPr>
          <w:rFonts w:ascii="標楷體" w:eastAsia="標楷體" w:hAnsi="標楷體" w:hint="eastAsia"/>
          <w:sz w:val="28"/>
          <w:szCs w:val="28"/>
        </w:rPr>
        <w:t>；委員楊瓊瓔、周春米、</w:t>
      </w:r>
      <w:r w:rsidRPr="00D65AED">
        <w:rPr>
          <w:rFonts w:ascii="標楷體" w:eastAsia="標楷體" w:hAnsi="標楷體" w:hint="eastAsia"/>
          <w:spacing w:val="10"/>
          <w:sz w:val="28"/>
          <w:szCs w:val="28"/>
        </w:rPr>
        <w:t>鄭運鵬、劉建國</w:t>
      </w:r>
      <w:r w:rsidRPr="00D65AED">
        <w:rPr>
          <w:rFonts w:ascii="標楷體" w:eastAsia="標楷體" w:hAnsi="標楷體" w:hint="eastAsia"/>
          <w:sz w:val="28"/>
          <w:szCs w:val="28"/>
        </w:rPr>
        <w:t>提出書面質詢。</w:t>
      </w:r>
      <w:r w:rsidRPr="00D65AED">
        <w:rPr>
          <w:rFonts w:ascii="標楷體" w:eastAsia="標楷體" w:hAnsi="標楷體"/>
          <w:sz w:val="28"/>
          <w:szCs w:val="28"/>
        </w:rPr>
        <w:t>）</w:t>
      </w:r>
    </w:p>
    <w:p w14:paraId="4FC9BD08" w14:textId="77777777" w:rsidR="00421BB5" w:rsidRPr="00D65AED" w:rsidRDefault="00421BB5" w:rsidP="00421BB5">
      <w:pPr>
        <w:spacing w:line="360" w:lineRule="exact"/>
        <w:ind w:left="493" w:hangingChars="176" w:hanging="493"/>
        <w:contextualSpacing/>
        <w:jc w:val="both"/>
        <w:rPr>
          <w:rFonts w:ascii="標楷體" w:eastAsia="標楷體" w:hAnsi="標楷體"/>
          <w:bCs/>
          <w:sz w:val="28"/>
          <w:szCs w:val="28"/>
        </w:rPr>
      </w:pPr>
      <w:r w:rsidRPr="00D65AED">
        <w:rPr>
          <w:rFonts w:ascii="標楷體" w:eastAsia="標楷體" w:hAnsi="標楷體"/>
          <w:bCs/>
          <w:sz w:val="28"/>
          <w:szCs w:val="28"/>
        </w:rPr>
        <w:t>決</w:t>
      </w:r>
      <w:r w:rsidRPr="00D65AED">
        <w:rPr>
          <w:rFonts w:ascii="標楷體" w:eastAsia="標楷體" w:hAnsi="標楷體" w:hint="eastAsia"/>
          <w:bCs/>
          <w:sz w:val="28"/>
          <w:szCs w:val="28"/>
        </w:rPr>
        <w:t>議</w:t>
      </w:r>
      <w:r w:rsidRPr="00D65AED">
        <w:rPr>
          <w:rFonts w:ascii="標楷體" w:eastAsia="標楷體" w:hAnsi="標楷體"/>
          <w:bCs/>
          <w:sz w:val="28"/>
          <w:szCs w:val="28"/>
        </w:rPr>
        <w:t>：</w:t>
      </w:r>
    </w:p>
    <w:p w14:paraId="0965C170" w14:textId="77777777" w:rsidR="00421BB5" w:rsidRPr="00D65AED" w:rsidRDefault="00421BB5" w:rsidP="007015C7">
      <w:pPr>
        <w:pStyle w:val="afffffff2"/>
        <w:numPr>
          <w:ilvl w:val="0"/>
          <w:numId w:val="16"/>
        </w:numPr>
        <w:tabs>
          <w:tab w:val="left" w:pos="2552"/>
        </w:tabs>
        <w:ind w:leftChars="0" w:firstLineChars="0"/>
      </w:pPr>
      <w:r w:rsidRPr="00D65AED">
        <w:rPr>
          <w:rFonts w:hint="eastAsia"/>
        </w:rPr>
        <w:t>報告及詢答完畢。</w:t>
      </w:r>
    </w:p>
    <w:p w14:paraId="1FBAAC46" w14:textId="77777777" w:rsidR="00421BB5" w:rsidRPr="00D65AED" w:rsidRDefault="00421BB5" w:rsidP="007015C7">
      <w:pPr>
        <w:pStyle w:val="afffffff2"/>
        <w:numPr>
          <w:ilvl w:val="0"/>
          <w:numId w:val="16"/>
        </w:numPr>
        <w:tabs>
          <w:tab w:val="left" w:pos="2552"/>
        </w:tabs>
        <w:ind w:leftChars="0" w:firstLineChars="0"/>
      </w:pPr>
      <w:r w:rsidRPr="00D65AED">
        <w:rPr>
          <w:rFonts w:hint="eastAsia"/>
        </w:rPr>
        <w:t>本案另定期繼續</w:t>
      </w:r>
      <w:r w:rsidRPr="00D65AED">
        <w:rPr>
          <w:rFonts w:hint="eastAsia"/>
          <w:spacing w:val="-6"/>
        </w:rPr>
        <w:t>審查</w:t>
      </w:r>
      <w:r w:rsidRPr="00D65AED">
        <w:rPr>
          <w:rFonts w:hint="eastAsia"/>
        </w:rPr>
        <w:t>。</w:t>
      </w:r>
    </w:p>
    <w:p w14:paraId="576FB0F3" w14:textId="77777777" w:rsidR="00421BB5" w:rsidRPr="00D65AED" w:rsidRDefault="00421BB5" w:rsidP="007015C7">
      <w:pPr>
        <w:pStyle w:val="afffffff2"/>
        <w:numPr>
          <w:ilvl w:val="0"/>
          <w:numId w:val="16"/>
        </w:numPr>
        <w:tabs>
          <w:tab w:val="left" w:pos="2552"/>
        </w:tabs>
        <w:ind w:leftChars="0" w:firstLineChars="0"/>
        <w:jc w:val="distribute"/>
      </w:pPr>
      <w:r w:rsidRPr="00D65AED">
        <w:t>委員質詢時，要求提供相關資料或以書面答復者，請相關機關儘</w:t>
      </w:r>
    </w:p>
    <w:p w14:paraId="72E44AF7" w14:textId="77777777" w:rsidR="00421BB5" w:rsidRPr="00D65AED" w:rsidRDefault="00421BB5" w:rsidP="00421BB5">
      <w:pPr>
        <w:pStyle w:val="afffffff2"/>
        <w:ind w:leftChars="0" w:left="567" w:firstLineChars="0" w:firstLine="0"/>
      </w:pPr>
      <w:r w:rsidRPr="00D65AED">
        <w:t>速送交個別委員及本會。</w:t>
      </w:r>
    </w:p>
    <w:p w14:paraId="3B1CED20"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5FC1C727" w14:textId="77777777" w:rsidR="00421BB5" w:rsidRPr="00D65AED" w:rsidRDefault="00421BB5" w:rsidP="00421BB5">
      <w:pPr>
        <w:rPr>
          <w:rFonts w:ascii="標楷體" w:eastAsia="標楷體" w:hAnsi="標楷體"/>
          <w:sz w:val="28"/>
          <w:szCs w:val="28"/>
        </w:rPr>
      </w:pPr>
    </w:p>
    <w:p w14:paraId="28021DE7"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w:t>
      </w:r>
      <w:r w:rsidRPr="00D65AED">
        <w:rPr>
          <w:rFonts w:ascii="標楷體" w:eastAsia="標楷體" w:hAnsi="標楷體"/>
          <w:b/>
          <w:spacing w:val="-4"/>
          <w:sz w:val="28"/>
          <w:szCs w:val="28"/>
        </w:rPr>
        <w:t>5</w:t>
      </w:r>
      <w:r w:rsidRPr="00D65AED">
        <w:rPr>
          <w:rFonts w:ascii="標楷體" w:eastAsia="標楷體" w:hAnsi="標楷體" w:hint="eastAsia"/>
          <w:b/>
          <w:spacing w:val="-4"/>
          <w:sz w:val="28"/>
          <w:szCs w:val="28"/>
        </w:rPr>
        <w:t>次全體委員會議議事錄</w:t>
      </w:r>
    </w:p>
    <w:p w14:paraId="7441EE9F" w14:textId="77777777" w:rsidR="00421BB5" w:rsidRPr="00D65AED" w:rsidRDefault="00421BB5" w:rsidP="00421BB5">
      <w:pPr>
        <w:pStyle w:val="-9"/>
        <w:spacing w:line="400" w:lineRule="exact"/>
        <w:ind w:left="1417" w:hangingChars="506" w:hanging="1417"/>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z w:val="28"/>
          <w:szCs w:val="28"/>
        </w:rPr>
        <w:t>中華民國1</w:t>
      </w:r>
      <w:r w:rsidRPr="00D65AED">
        <w:rPr>
          <w:rFonts w:ascii="標楷體" w:hAnsi="標楷體"/>
          <w:sz w:val="28"/>
          <w:szCs w:val="28"/>
        </w:rPr>
        <w:t>11</w:t>
      </w:r>
      <w:r w:rsidRPr="00D65AED">
        <w:rPr>
          <w:rFonts w:ascii="標楷體" w:hAnsi="標楷體" w:hint="eastAsia"/>
          <w:sz w:val="28"/>
          <w:szCs w:val="28"/>
        </w:rPr>
        <w:t>年10月</w:t>
      </w:r>
      <w:r w:rsidRPr="00D65AED">
        <w:rPr>
          <w:rFonts w:ascii="標楷體" w:hAnsi="標楷體"/>
          <w:sz w:val="28"/>
          <w:szCs w:val="28"/>
        </w:rPr>
        <w:t>12</w:t>
      </w:r>
      <w:r w:rsidRPr="00D65AED">
        <w:rPr>
          <w:rFonts w:ascii="標楷體" w:hAnsi="標楷體" w:hint="eastAsia"/>
          <w:sz w:val="28"/>
          <w:szCs w:val="28"/>
        </w:rPr>
        <w:t>日（星期三）上午9時1分至12時14分</w:t>
      </w:r>
    </w:p>
    <w:p w14:paraId="206C4373" w14:textId="77777777" w:rsidR="00421BB5" w:rsidRPr="00D65AED" w:rsidRDefault="00421BB5" w:rsidP="00421BB5">
      <w:pPr>
        <w:pStyle w:val="-9"/>
        <w:spacing w:line="40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746445A7" w14:textId="77777777" w:rsidR="00421BB5" w:rsidRPr="00D65AED" w:rsidRDefault="00421BB5" w:rsidP="00421BB5">
      <w:pPr>
        <w:snapToGrid w:val="0"/>
        <w:spacing w:line="400" w:lineRule="exact"/>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hint="eastAsia"/>
          <w:sz w:val="28"/>
          <w:szCs w:val="28"/>
        </w:rPr>
        <w:tab/>
        <w:t>鄭運鵬</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p>
    <w:p w14:paraId="45D0FE52" w14:textId="77777777" w:rsidR="00421BB5" w:rsidRPr="00D65AED" w:rsidRDefault="00421BB5" w:rsidP="00421BB5">
      <w:pPr>
        <w:snapToGrid w:val="0"/>
        <w:spacing w:line="400" w:lineRule="exact"/>
        <w:ind w:firstLineChars="505" w:firstLine="1414"/>
        <w:jc w:val="both"/>
        <w:rPr>
          <w:rFonts w:ascii="標楷體" w:eastAsia="標楷體" w:hAnsi="標楷體"/>
          <w:sz w:val="28"/>
          <w:szCs w:val="28"/>
        </w:rPr>
      </w:pP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劉建國</w:t>
      </w:r>
      <w:r w:rsidRPr="00D65AED">
        <w:rPr>
          <w:rFonts w:ascii="標楷體" w:eastAsia="標楷體" w:hAnsi="標楷體"/>
          <w:sz w:val="28"/>
          <w:szCs w:val="28"/>
        </w:rPr>
        <w:tab/>
      </w:r>
      <w:r w:rsidRPr="00D65AED">
        <w:rPr>
          <w:rFonts w:ascii="標楷體" w:eastAsia="標楷體" w:hAnsi="標楷體" w:hint="eastAsia"/>
          <w:sz w:val="28"/>
          <w:szCs w:val="28"/>
        </w:rPr>
        <w:t>柯建銘</w:t>
      </w:r>
    </w:p>
    <w:p w14:paraId="7DB963EE" w14:textId="77777777" w:rsidR="00421BB5" w:rsidRPr="00D65AED" w:rsidRDefault="00421BB5" w:rsidP="00421BB5">
      <w:pPr>
        <w:snapToGrid w:val="0"/>
        <w:spacing w:line="400" w:lineRule="exact"/>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委員出席11人</w:t>
      </w:r>
    </w:p>
    <w:p w14:paraId="4C3BA0FD" w14:textId="77777777" w:rsidR="00421BB5" w:rsidRPr="00D65AED" w:rsidRDefault="00421BB5" w:rsidP="00421BB5">
      <w:pPr>
        <w:adjustRightInd w:val="0"/>
        <w:snapToGrid w:val="0"/>
        <w:spacing w:line="400" w:lineRule="exact"/>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林德福</w:t>
      </w:r>
      <w:r w:rsidRPr="00D65AED">
        <w:rPr>
          <w:rFonts w:ascii="標楷體" w:eastAsia="標楷體" w:hAnsi="標楷體"/>
          <w:sz w:val="28"/>
          <w:szCs w:val="28"/>
        </w:rPr>
        <w:tab/>
      </w:r>
      <w:r w:rsidRPr="00D65AED">
        <w:rPr>
          <w:rFonts w:ascii="標楷體" w:eastAsia="標楷體" w:hAnsi="標楷體" w:hint="eastAsia"/>
          <w:sz w:val="28"/>
          <w:szCs w:val="28"/>
        </w:rPr>
        <w:t>江啟臣</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color w:val="000000"/>
          <w:sz w:val="28"/>
          <w:szCs w:val="28"/>
        </w:rPr>
        <w:t>邱顯智</w:t>
      </w:r>
      <w:r w:rsidRPr="00D65AED">
        <w:rPr>
          <w:rFonts w:ascii="標楷體" w:eastAsia="標楷體" w:hAnsi="標楷體"/>
          <w:color w:val="000000"/>
          <w:sz w:val="28"/>
          <w:szCs w:val="28"/>
        </w:rPr>
        <w:tab/>
      </w:r>
      <w:r w:rsidRPr="00D65AED">
        <w:rPr>
          <w:rFonts w:ascii="標楷體" w:eastAsia="標楷體" w:hAnsi="標楷體" w:hint="eastAsia"/>
          <w:color w:val="000000"/>
          <w:sz w:val="28"/>
          <w:szCs w:val="28"/>
        </w:rPr>
        <w:t>李德維</w:t>
      </w:r>
      <w:r w:rsidRPr="00D65AED">
        <w:rPr>
          <w:rFonts w:ascii="標楷體" w:eastAsia="標楷體" w:hAnsi="標楷體"/>
          <w:color w:val="000000"/>
          <w:sz w:val="28"/>
          <w:szCs w:val="28"/>
        </w:rPr>
        <w:tab/>
      </w:r>
    </w:p>
    <w:p w14:paraId="269BE9BF" w14:textId="77777777" w:rsidR="00421BB5" w:rsidRPr="00D65AED" w:rsidRDefault="00421BB5" w:rsidP="00421BB5">
      <w:pPr>
        <w:adjustRightInd w:val="0"/>
        <w:snapToGrid w:val="0"/>
        <w:spacing w:line="400" w:lineRule="exact"/>
        <w:ind w:leftChars="468" w:left="1123" w:firstLineChars="110" w:firstLine="248"/>
        <w:jc w:val="both"/>
        <w:rPr>
          <w:rFonts w:ascii="標楷體" w:eastAsia="標楷體" w:hAnsi="標楷體"/>
          <w:sz w:val="28"/>
          <w:szCs w:val="28"/>
        </w:rPr>
      </w:pP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呂玉玲</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hint="eastAsia"/>
          <w:sz w:val="28"/>
          <w:szCs w:val="28"/>
        </w:rPr>
        <w:t>何欣純</w:t>
      </w:r>
      <w:r w:rsidRPr="00D65AED">
        <w:rPr>
          <w:rFonts w:ascii="標楷體" w:eastAsia="標楷體" w:hAnsi="標楷體"/>
          <w:sz w:val="28"/>
          <w:szCs w:val="28"/>
        </w:rPr>
        <w:tab/>
      </w: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sz w:val="28"/>
          <w:szCs w:val="28"/>
        </w:rPr>
        <w:t>陳亭妃</w:t>
      </w:r>
    </w:p>
    <w:p w14:paraId="46630413" w14:textId="77777777" w:rsidR="00421BB5" w:rsidRPr="00D65AED" w:rsidRDefault="00421BB5" w:rsidP="00421BB5">
      <w:pPr>
        <w:adjustRightInd w:val="0"/>
        <w:snapToGrid w:val="0"/>
        <w:spacing w:line="400" w:lineRule="exact"/>
        <w:ind w:leftChars="468" w:left="1123" w:firstLineChars="93" w:firstLine="260"/>
        <w:jc w:val="both"/>
        <w:rPr>
          <w:rFonts w:ascii="標楷體" w:eastAsia="標楷體" w:hAnsi="標楷體"/>
          <w:sz w:val="28"/>
        </w:rPr>
      </w:pPr>
      <w:r w:rsidRPr="00D65AED">
        <w:rPr>
          <w:rFonts w:ascii="標楷體" w:eastAsia="標楷體" w:hAnsi="標楷體" w:hint="eastAsia"/>
          <w:sz w:val="28"/>
          <w:szCs w:val="28"/>
        </w:rPr>
        <w:t>王美惠</w:t>
      </w:r>
      <w:r w:rsidRPr="00D65AED">
        <w:rPr>
          <w:rFonts w:ascii="標楷體" w:eastAsia="標楷體" w:hAnsi="標楷體"/>
          <w:sz w:val="28"/>
          <w:szCs w:val="28"/>
        </w:rPr>
        <w:tab/>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陳明文</w:t>
      </w:r>
      <w:r w:rsidRPr="00D65AED">
        <w:rPr>
          <w:rFonts w:ascii="標楷體" w:eastAsia="標楷體" w:hAnsi="標楷體"/>
          <w:sz w:val="28"/>
          <w:szCs w:val="28"/>
        </w:rPr>
        <w:tab/>
      </w:r>
      <w:r w:rsidRPr="00D65AED">
        <w:rPr>
          <w:rFonts w:ascii="標楷體" w:eastAsia="標楷體" w:hAnsi="標楷體" w:hint="eastAsia"/>
          <w:sz w:val="28"/>
          <w:szCs w:val="28"/>
        </w:rPr>
        <w:t>莊競程</w:t>
      </w:r>
      <w:r w:rsidRPr="00D65AED">
        <w:rPr>
          <w:rFonts w:ascii="標楷體" w:eastAsia="標楷體" w:hAnsi="標楷體"/>
          <w:sz w:val="28"/>
          <w:szCs w:val="28"/>
        </w:rPr>
        <w:tab/>
      </w:r>
      <w:r w:rsidRPr="00D65AED">
        <w:rPr>
          <w:rFonts w:ascii="標楷體" w:eastAsia="標楷體" w:hAnsi="標楷體" w:hint="eastAsia"/>
          <w:sz w:val="28"/>
          <w:szCs w:val="28"/>
        </w:rPr>
        <w:t>張育美</w:t>
      </w:r>
      <w:r w:rsidRPr="00D65AED">
        <w:rPr>
          <w:rFonts w:ascii="標楷體" w:eastAsia="標楷體" w:hAnsi="標楷體"/>
          <w:sz w:val="28"/>
          <w:szCs w:val="28"/>
        </w:rPr>
        <w:tab/>
      </w:r>
      <w:r w:rsidRPr="00D65AED">
        <w:rPr>
          <w:rFonts w:ascii="標楷體" w:eastAsia="標楷體" w:hAnsi="標楷體" w:hint="eastAsia"/>
          <w:sz w:val="28"/>
        </w:rPr>
        <w:t>張其祿</w:t>
      </w:r>
      <w:r w:rsidRPr="00D65AED">
        <w:rPr>
          <w:rFonts w:ascii="標楷體" w:eastAsia="標楷體" w:hAnsi="標楷體"/>
          <w:sz w:val="28"/>
        </w:rPr>
        <w:tab/>
      </w:r>
      <w:r w:rsidRPr="00D65AED">
        <w:rPr>
          <w:rFonts w:ascii="標楷體" w:eastAsia="標楷體" w:hAnsi="標楷體" w:hint="eastAsia"/>
          <w:sz w:val="28"/>
        </w:rPr>
        <w:t>鄭麗文</w:t>
      </w:r>
    </w:p>
    <w:p w14:paraId="5FA035E0" w14:textId="77777777" w:rsidR="00421BB5" w:rsidRPr="00D65AED" w:rsidRDefault="00421BB5" w:rsidP="00421BB5">
      <w:pPr>
        <w:adjustRightInd w:val="0"/>
        <w:snapToGrid w:val="0"/>
        <w:spacing w:line="400" w:lineRule="exact"/>
        <w:ind w:leftChars="468" w:left="1123" w:firstLineChars="93" w:firstLine="260"/>
        <w:jc w:val="both"/>
        <w:rPr>
          <w:rFonts w:ascii="標楷體" w:eastAsia="標楷體" w:hAnsi="標楷體"/>
          <w:sz w:val="28"/>
          <w:szCs w:val="28"/>
        </w:rPr>
      </w:pPr>
      <w:r w:rsidRPr="00D65AED">
        <w:rPr>
          <w:rFonts w:ascii="標楷體" w:eastAsia="標楷體" w:hAnsi="標楷體" w:hint="eastAsia"/>
          <w:sz w:val="28"/>
        </w:rPr>
        <w:t>羅明才</w:t>
      </w:r>
      <w:r w:rsidRPr="00D65AED">
        <w:rPr>
          <w:rFonts w:ascii="標楷體" w:eastAsia="標楷體" w:hAnsi="標楷體"/>
          <w:sz w:val="28"/>
        </w:rPr>
        <w:tab/>
      </w:r>
      <w:r w:rsidRPr="00D65AED">
        <w:rPr>
          <w:rFonts w:ascii="標楷體" w:eastAsia="標楷體" w:hAnsi="標楷體" w:hint="eastAsia"/>
          <w:sz w:val="28"/>
        </w:rPr>
        <w:t>何志偉</w:t>
      </w:r>
    </w:p>
    <w:p w14:paraId="203FBE93" w14:textId="77777777" w:rsidR="00421BB5" w:rsidRPr="00D65AED" w:rsidRDefault="00421BB5" w:rsidP="00421BB5">
      <w:pPr>
        <w:widowControl/>
        <w:snapToGrid w:val="0"/>
        <w:spacing w:line="400" w:lineRule="exact"/>
        <w:ind w:leftChars="396" w:left="950"/>
        <w:jc w:val="both"/>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委員列席</w:t>
      </w:r>
      <w:r w:rsidRPr="00D65AED">
        <w:rPr>
          <w:rFonts w:ascii="標楷體" w:eastAsia="標楷體" w:hAnsi="標楷體" w:hint="eastAsia"/>
          <w:sz w:val="28"/>
          <w:szCs w:val="28"/>
        </w:rPr>
        <w:t>21</w:t>
      </w:r>
      <w:r w:rsidRPr="00D65AED">
        <w:rPr>
          <w:rFonts w:ascii="標楷體" w:eastAsia="標楷體" w:hAnsi="標楷體"/>
          <w:sz w:val="28"/>
          <w:szCs w:val="28"/>
        </w:rPr>
        <w:t>人</w:t>
      </w:r>
    </w:p>
    <w:p w14:paraId="487ECBF8"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p>
    <w:p w14:paraId="4363B645" w14:textId="77777777" w:rsidR="00421BB5" w:rsidRPr="00D65AED" w:rsidRDefault="00421BB5" w:rsidP="00421BB5">
      <w:pPr>
        <w:snapToGrid w:val="0"/>
        <w:spacing w:line="40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w:t>
      </w:r>
      <w:r w:rsidRPr="00D65AED">
        <w:rPr>
          <w:rFonts w:ascii="標楷體" w:eastAsia="標楷體" w:hAnsi="標楷體"/>
          <w:sz w:val="28"/>
          <w:szCs w:val="28"/>
        </w:rPr>
        <w:t>1</w:t>
      </w:r>
      <w:r w:rsidRPr="00D65AED">
        <w:rPr>
          <w:rFonts w:ascii="標楷體" w:eastAsia="標楷體" w:hAnsi="標楷體" w:hint="eastAsia"/>
          <w:sz w:val="28"/>
          <w:szCs w:val="28"/>
        </w:rPr>
        <w:t>人</w:t>
      </w:r>
    </w:p>
    <w:p w14:paraId="6354525A" w14:textId="77777777" w:rsidR="00421BB5" w:rsidRPr="00D65AED" w:rsidRDefault="00421BB5" w:rsidP="00421BB5">
      <w:pPr>
        <w:pStyle w:val="-9"/>
        <w:spacing w:line="400" w:lineRule="exact"/>
        <w:ind w:left="1361" w:hangingChars="486" w:hanging="1361"/>
        <w:rPr>
          <w:rFonts w:ascii="標楷體" w:hAnsi="標楷體"/>
          <w:snapToGrid w:val="0"/>
          <w:sz w:val="28"/>
          <w:szCs w:val="28"/>
        </w:rPr>
      </w:pPr>
      <w:r w:rsidRPr="00D65AED">
        <w:rPr>
          <w:rFonts w:ascii="標楷體" w:hAnsi="標楷體"/>
          <w:sz w:val="28"/>
          <w:szCs w:val="28"/>
        </w:rPr>
        <w:t>列席官員：</w:t>
      </w:r>
      <w:r w:rsidRPr="00D65AED">
        <w:rPr>
          <w:rFonts w:ascii="標楷體" w:hAnsi="標楷體"/>
          <w:snapToGrid w:val="0"/>
          <w:sz w:val="28"/>
          <w:szCs w:val="28"/>
        </w:rPr>
        <w:t>考試院</w:t>
      </w:r>
      <w:r w:rsidRPr="00D65AED">
        <w:rPr>
          <w:rFonts w:ascii="標楷體" w:hAnsi="標楷體" w:hint="eastAsia"/>
          <w:snapToGrid w:val="0"/>
          <w:sz w:val="28"/>
          <w:szCs w:val="28"/>
        </w:rPr>
        <w:t>第二組首席參事兼組長　周秋玲（秘書長請假）</w:t>
      </w:r>
    </w:p>
    <w:p w14:paraId="34E82601" w14:textId="77777777" w:rsidR="00421BB5" w:rsidRPr="00D65AED" w:rsidRDefault="00421BB5" w:rsidP="00421BB5">
      <w:pPr>
        <w:pStyle w:val="-9"/>
        <w:spacing w:line="400" w:lineRule="exact"/>
        <w:ind w:leftChars="446" w:left="1070" w:firstLineChars="127" w:firstLine="356"/>
        <w:rPr>
          <w:rFonts w:ascii="標楷體" w:hAnsi="標楷體"/>
          <w:snapToGrid w:val="0"/>
          <w:sz w:val="28"/>
          <w:szCs w:val="28"/>
        </w:rPr>
      </w:pPr>
      <w:r w:rsidRPr="00D65AED">
        <w:rPr>
          <w:rFonts w:ascii="標楷體" w:hAnsi="標楷體"/>
          <w:snapToGrid w:val="0"/>
          <w:sz w:val="28"/>
          <w:szCs w:val="28"/>
        </w:rPr>
        <w:t>銓敘部部長</w:t>
      </w:r>
      <w:r w:rsidRPr="00D65AED">
        <w:rPr>
          <w:rFonts w:ascii="標楷體" w:hAnsi="標楷體" w:hint="eastAsia"/>
          <w:snapToGrid w:val="0"/>
          <w:sz w:val="28"/>
          <w:szCs w:val="28"/>
        </w:rPr>
        <w:t xml:space="preserve">　周志宏</w:t>
      </w:r>
    </w:p>
    <w:p w14:paraId="4906D000" w14:textId="77777777" w:rsidR="00421BB5" w:rsidRPr="00D65AED" w:rsidRDefault="00421BB5" w:rsidP="00421BB5">
      <w:pPr>
        <w:pStyle w:val="-9"/>
        <w:spacing w:line="400" w:lineRule="exact"/>
        <w:ind w:leftChars="590" w:left="2808" w:rightChars="-21" w:right="-50" w:hangingChars="497" w:hanging="1392"/>
        <w:rPr>
          <w:rFonts w:ascii="標楷體" w:hAnsi="標楷體"/>
          <w:sz w:val="28"/>
          <w:szCs w:val="28"/>
          <w:shd w:val="clear" w:color="auto" w:fill="FFFFFF"/>
        </w:rPr>
      </w:pPr>
      <w:r w:rsidRPr="00D65AED">
        <w:rPr>
          <w:rFonts w:ascii="標楷體" w:hAnsi="標楷體"/>
          <w:snapToGrid w:val="0"/>
          <w:sz w:val="28"/>
          <w:szCs w:val="28"/>
        </w:rPr>
        <w:t>公務人員保障暨培訓委員會主任委員</w:t>
      </w:r>
      <w:r w:rsidRPr="00D65AED">
        <w:rPr>
          <w:rFonts w:ascii="標楷體" w:hAnsi="標楷體" w:hint="eastAsia"/>
          <w:snapToGrid w:val="0"/>
          <w:sz w:val="28"/>
          <w:szCs w:val="28"/>
        </w:rPr>
        <w:t xml:space="preserve">　</w:t>
      </w:r>
      <w:r w:rsidRPr="00D65AED">
        <w:rPr>
          <w:rFonts w:ascii="標楷體" w:hAnsi="標楷體" w:hint="eastAsia"/>
          <w:sz w:val="28"/>
          <w:szCs w:val="28"/>
          <w:shd w:val="clear" w:color="auto" w:fill="FFFFFF"/>
        </w:rPr>
        <w:t>郝培芝</w:t>
      </w:r>
    </w:p>
    <w:p w14:paraId="25666F76" w14:textId="77777777" w:rsidR="00421BB5" w:rsidRPr="00D65AED" w:rsidRDefault="00421BB5" w:rsidP="00421BB5">
      <w:pPr>
        <w:pStyle w:val="-9"/>
        <w:spacing w:line="400" w:lineRule="exact"/>
        <w:ind w:leftChars="595" w:left="2800" w:rightChars="-21" w:right="-50" w:hangingChars="490" w:hanging="1372"/>
        <w:rPr>
          <w:rFonts w:ascii="標楷體" w:hAnsi="標楷體"/>
          <w:sz w:val="28"/>
          <w:szCs w:val="28"/>
          <w:shd w:val="clear" w:color="auto" w:fill="FFFFFF"/>
        </w:rPr>
      </w:pPr>
      <w:r w:rsidRPr="00D65AED">
        <w:rPr>
          <w:rFonts w:ascii="標楷體" w:hAnsi="標楷體" w:hint="eastAsia"/>
          <w:sz w:val="28"/>
          <w:szCs w:val="28"/>
          <w:shd w:val="clear" w:color="auto" w:fill="FFFFFF"/>
        </w:rPr>
        <w:t>勞動部政務次長　王尚志</w:t>
      </w:r>
      <w:r w:rsidRPr="00D65AED">
        <w:rPr>
          <w:rFonts w:ascii="標楷體" w:hAnsi="標楷體" w:hint="eastAsia"/>
          <w:snapToGrid w:val="0"/>
          <w:sz w:val="28"/>
          <w:szCs w:val="28"/>
        </w:rPr>
        <w:t>（部長請假）</w:t>
      </w:r>
    </w:p>
    <w:p w14:paraId="65CEC513" w14:textId="77777777" w:rsidR="00421BB5" w:rsidRPr="00D65AED" w:rsidRDefault="00421BB5" w:rsidP="00421BB5">
      <w:pPr>
        <w:pStyle w:val="-9"/>
        <w:spacing w:line="400" w:lineRule="exact"/>
        <w:ind w:leftChars="595" w:left="2800" w:rightChars="-21" w:right="-50" w:hangingChars="490" w:hanging="1372"/>
        <w:rPr>
          <w:rFonts w:ascii="標楷體" w:hAnsi="標楷體"/>
          <w:sz w:val="28"/>
          <w:szCs w:val="28"/>
          <w:shd w:val="clear" w:color="auto" w:fill="FFFFFF"/>
        </w:rPr>
      </w:pPr>
      <w:r w:rsidRPr="00D65AED">
        <w:rPr>
          <w:rFonts w:ascii="標楷體" w:hAnsi="標楷體" w:hint="eastAsia"/>
          <w:sz w:val="28"/>
          <w:szCs w:val="28"/>
          <w:shd w:val="clear" w:color="auto" w:fill="FFFFFF"/>
        </w:rPr>
        <w:t>行政院人事行政總處人事長　蘇俊榮</w:t>
      </w:r>
    </w:p>
    <w:p w14:paraId="486B677B" w14:textId="77777777" w:rsidR="00421BB5" w:rsidRPr="00D65AED" w:rsidRDefault="00421BB5" w:rsidP="00421BB5">
      <w:pPr>
        <w:pStyle w:val="-9"/>
        <w:spacing w:line="400" w:lineRule="exact"/>
        <w:ind w:leftChars="1142" w:left="2741" w:rightChars="-21" w:right="-50" w:firstLineChars="444" w:firstLine="1190"/>
        <w:rPr>
          <w:rFonts w:ascii="標楷體" w:hAnsi="標楷體"/>
          <w:sz w:val="28"/>
          <w:szCs w:val="28"/>
          <w:shd w:val="clear" w:color="auto" w:fill="FFFFFF"/>
        </w:rPr>
      </w:pPr>
      <w:r w:rsidRPr="00D65AED">
        <w:rPr>
          <w:rFonts w:ascii="標楷體" w:hAnsi="標楷體" w:hint="eastAsia"/>
          <w:spacing w:val="-6"/>
          <w:sz w:val="28"/>
          <w:szCs w:val="28"/>
        </w:rPr>
        <w:t>公務人力發展學院院長</w:t>
      </w:r>
      <w:r w:rsidRPr="00D65AED">
        <w:rPr>
          <w:rFonts w:ascii="標楷體" w:hAnsi="標楷體" w:hint="eastAsia"/>
          <w:sz w:val="28"/>
          <w:szCs w:val="28"/>
          <w:shd w:val="clear" w:color="auto" w:fill="FFFFFF"/>
        </w:rPr>
        <w:t xml:space="preserve">　陳明忠</w:t>
      </w:r>
    </w:p>
    <w:p w14:paraId="5B6DC401" w14:textId="77777777" w:rsidR="00421BB5" w:rsidRPr="00D65AED" w:rsidRDefault="00421BB5" w:rsidP="00421BB5">
      <w:pPr>
        <w:pStyle w:val="-9"/>
        <w:spacing w:line="400" w:lineRule="exact"/>
        <w:ind w:leftChars="600" w:left="2801" w:hangingChars="486" w:hanging="1361"/>
        <w:rPr>
          <w:rFonts w:ascii="標楷體" w:hAnsi="標楷體"/>
          <w:sz w:val="28"/>
          <w:szCs w:val="28"/>
        </w:rPr>
      </w:pPr>
      <w:r w:rsidRPr="00D65AED">
        <w:rPr>
          <w:rFonts w:ascii="標楷體" w:hAnsi="標楷體"/>
          <w:snapToGrid w:val="0"/>
          <w:sz w:val="28"/>
          <w:szCs w:val="28"/>
        </w:rPr>
        <w:t>行政院主計總處公務預算處專門委員</w:t>
      </w:r>
      <w:r w:rsidRPr="00D65AED">
        <w:rPr>
          <w:rFonts w:ascii="標楷體" w:hAnsi="標楷體" w:hint="eastAsia"/>
          <w:snapToGrid w:val="0"/>
          <w:sz w:val="28"/>
          <w:szCs w:val="28"/>
        </w:rPr>
        <w:t xml:space="preserve">　</w:t>
      </w:r>
      <w:r w:rsidRPr="00D65AED">
        <w:rPr>
          <w:rFonts w:ascii="標楷體" w:hAnsi="標楷體"/>
          <w:snapToGrid w:val="0"/>
          <w:sz w:val="28"/>
          <w:szCs w:val="28"/>
        </w:rPr>
        <w:t>李翊柔</w:t>
      </w:r>
    </w:p>
    <w:p w14:paraId="1D0550E7" w14:textId="77777777" w:rsidR="00421BB5" w:rsidRPr="00D65AED" w:rsidRDefault="00421BB5" w:rsidP="00421BB5">
      <w:pPr>
        <w:spacing w:line="40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6FFD6F07"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689959D3"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5E17DE46" w14:textId="77777777" w:rsidR="00421BB5" w:rsidRPr="00D65AED" w:rsidRDefault="00421BB5" w:rsidP="00421BB5">
      <w:pPr>
        <w:adjustRightInd w:val="0"/>
        <w:snapToGrid w:val="0"/>
        <w:spacing w:line="400" w:lineRule="exact"/>
        <w:rPr>
          <w:rFonts w:ascii="標楷體" w:eastAsia="標楷體" w:hAnsi="標楷體"/>
          <w:sz w:val="28"/>
          <w:szCs w:val="28"/>
        </w:rPr>
      </w:pPr>
      <w:r w:rsidRPr="00D65AED">
        <w:rPr>
          <w:rFonts w:ascii="標楷體" w:eastAsia="標楷體" w:hAnsi="標楷體" w:hint="eastAsia"/>
          <w:sz w:val="28"/>
          <w:szCs w:val="28"/>
        </w:rPr>
        <w:t>紀    錄：簡任秘書　陳杏枝</w:t>
      </w:r>
    </w:p>
    <w:p w14:paraId="54B70F7A" w14:textId="77777777" w:rsidR="00421BB5" w:rsidRPr="00D65AED" w:rsidRDefault="00421BB5" w:rsidP="00421BB5">
      <w:pPr>
        <w:adjustRightInd w:val="0"/>
        <w:snapToGrid w:val="0"/>
        <w:spacing w:line="40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0DD99251" w14:textId="77777777" w:rsidR="00421BB5" w:rsidRPr="00D65AED" w:rsidRDefault="00421BB5" w:rsidP="00421BB5">
      <w:pPr>
        <w:adjustRightInd w:val="0"/>
        <w:snapToGrid w:val="0"/>
        <w:spacing w:line="40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6ECEDC7A" w14:textId="77777777" w:rsidR="00421BB5" w:rsidRPr="00D65AED" w:rsidRDefault="00421BB5" w:rsidP="00421BB5">
      <w:pPr>
        <w:adjustRightInd w:val="0"/>
        <w:snapToGrid w:val="0"/>
        <w:spacing w:line="40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10ED3739" w14:textId="77777777" w:rsidR="00421BB5" w:rsidRPr="00D65AED" w:rsidRDefault="00421BB5" w:rsidP="00421BB5">
      <w:pPr>
        <w:pStyle w:val="afffff2"/>
        <w:spacing w:beforeLines="50" w:before="180" w:line="40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776C45C5" w14:textId="77777777" w:rsidR="00421BB5" w:rsidRPr="00D65AED" w:rsidRDefault="00421BB5" w:rsidP="00421BB5">
      <w:pPr>
        <w:pStyle w:val="afffff4"/>
        <w:spacing w:line="400" w:lineRule="exact"/>
        <w:ind w:left="560" w:hanging="560"/>
        <w:jc w:val="both"/>
        <w:rPr>
          <w:rFonts w:ascii="標楷體" w:hAnsi="標楷體"/>
          <w:sz w:val="28"/>
          <w:szCs w:val="28"/>
        </w:rPr>
      </w:pPr>
      <w:r w:rsidRPr="00D65AED">
        <w:rPr>
          <w:rFonts w:ascii="標楷體" w:hAnsi="標楷體" w:hint="eastAsia"/>
          <w:sz w:val="28"/>
          <w:szCs w:val="28"/>
        </w:rPr>
        <w:t>一、</w:t>
      </w:r>
      <w:r w:rsidRPr="00D65AED">
        <w:rPr>
          <w:rFonts w:ascii="標楷體" w:hAnsi="標楷體"/>
          <w:sz w:val="28"/>
          <w:szCs w:val="28"/>
        </w:rPr>
        <w:t>宣讀上次會議議事錄</w:t>
      </w:r>
      <w:r w:rsidRPr="00D65AED">
        <w:rPr>
          <w:rFonts w:ascii="標楷體" w:hAnsi="標楷體" w:hint="eastAsia"/>
          <w:sz w:val="28"/>
          <w:szCs w:val="28"/>
        </w:rPr>
        <w:t>。</w:t>
      </w:r>
    </w:p>
    <w:p w14:paraId="0FBD7C06" w14:textId="77777777" w:rsidR="00421BB5" w:rsidRPr="00D65AED" w:rsidRDefault="00421BB5" w:rsidP="00421BB5">
      <w:pPr>
        <w:adjustRightInd w:val="0"/>
        <w:snapToGrid w:val="0"/>
        <w:spacing w:line="40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決定：確定。</w:t>
      </w:r>
    </w:p>
    <w:p w14:paraId="734BA38E" w14:textId="77777777" w:rsidR="00421BB5" w:rsidRPr="00D65AED" w:rsidRDefault="00421BB5" w:rsidP="00421BB5">
      <w:pPr>
        <w:adjustRightInd w:val="0"/>
        <w:snapToGrid w:val="0"/>
        <w:spacing w:line="40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二、邀請考試院秘書長、銓敘部部長、公務人員保障暨培訓委員會主任委員、勞動部部長、行政院人事行政總處人事長率所屬相關單位列席就「改善政府約聘僱人員職場安全及合理薪給」進行專題</w:t>
      </w:r>
      <w:r w:rsidRPr="00D65AED">
        <w:rPr>
          <w:rFonts w:ascii="標楷體" w:eastAsia="標楷體" w:hAnsi="標楷體" w:hint="eastAsia"/>
          <w:kern w:val="0"/>
          <w:sz w:val="28"/>
          <w:szCs w:val="28"/>
        </w:rPr>
        <w:lastRenderedPageBreak/>
        <w:t>報告，並備質詢。</w:t>
      </w:r>
    </w:p>
    <w:p w14:paraId="37CE7353" w14:textId="77777777" w:rsidR="00421BB5" w:rsidRPr="00D65AED" w:rsidRDefault="00421BB5" w:rsidP="00421BB5">
      <w:pPr>
        <w:adjustRightInd w:val="0"/>
        <w:snapToGrid w:val="0"/>
        <w:spacing w:line="40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w:t>
      </w:r>
      <w:r w:rsidRPr="00D65AED">
        <w:rPr>
          <w:rFonts w:ascii="標楷體" w:eastAsia="標楷體" w:hAnsi="標楷體" w:hint="eastAsia"/>
          <w:sz w:val="28"/>
          <w:szCs w:val="28"/>
        </w:rPr>
        <w:t>報告及詢答完畢</w:t>
      </w:r>
      <w:r w:rsidRPr="00D65AED">
        <w:rPr>
          <w:rFonts w:ascii="標楷體" w:eastAsia="標楷體" w:hAnsi="標楷體" w:hint="eastAsia"/>
          <w:kern w:val="0"/>
          <w:sz w:val="28"/>
          <w:szCs w:val="28"/>
        </w:rPr>
        <w:t>。</w:t>
      </w:r>
    </w:p>
    <w:p w14:paraId="062B10FF" w14:textId="77777777" w:rsidR="00421BB5" w:rsidRPr="00D65AED" w:rsidRDefault="00421BB5" w:rsidP="00421BB5">
      <w:pPr>
        <w:adjustRightInd w:val="0"/>
        <w:snapToGrid w:val="0"/>
        <w:spacing w:line="40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三、行政院人事行政總處函，為111年度中央政府總預算決議，檢送決議（三）「公教人員婚喪生育及子女教育補助」預算凍結500萬元書面報告，請查照案。</w:t>
      </w:r>
    </w:p>
    <w:p w14:paraId="3D37B1F2" w14:textId="77777777" w:rsidR="00421BB5" w:rsidRPr="00D65AED" w:rsidRDefault="00421BB5" w:rsidP="00421BB5">
      <w:pPr>
        <w:adjustRightInd w:val="0"/>
        <w:snapToGrid w:val="0"/>
        <w:spacing w:line="40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四、行政院人事行政總處函，為111年度中央政府總預算決議，檢送公務人力發展學院決議（二）「國外旅費」預算凍結20</w:t>
      </w:r>
      <w:r w:rsidRPr="00D65AED">
        <w:rPr>
          <w:rFonts w:ascii="標楷體" w:eastAsia="標楷體" w:hAnsi="標楷體"/>
          <w:kern w:val="0"/>
          <w:sz w:val="28"/>
          <w:szCs w:val="28"/>
        </w:rPr>
        <w:t>%</w:t>
      </w:r>
      <w:r w:rsidRPr="00D65AED">
        <w:rPr>
          <w:rFonts w:ascii="標楷體" w:eastAsia="標楷體" w:hAnsi="標楷體" w:hint="eastAsia"/>
          <w:kern w:val="0"/>
          <w:sz w:val="28"/>
          <w:szCs w:val="28"/>
        </w:rPr>
        <w:t>書面報告，請查照案。</w:t>
      </w:r>
    </w:p>
    <w:p w14:paraId="1CB26A4E" w14:textId="77777777" w:rsidR="00421BB5" w:rsidRPr="00D65AED" w:rsidRDefault="00421BB5" w:rsidP="00421BB5">
      <w:pPr>
        <w:adjustRightInd w:val="0"/>
        <w:snapToGrid w:val="0"/>
        <w:spacing w:line="40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決定：第三案及第四案，均准予備查，提報院會。</w:t>
      </w:r>
    </w:p>
    <w:p w14:paraId="03A50091" w14:textId="77777777" w:rsidR="00421BB5" w:rsidRPr="00D65AED" w:rsidRDefault="00421BB5" w:rsidP="00421BB5">
      <w:pPr>
        <w:pStyle w:val="afffff2"/>
        <w:spacing w:beforeLines="50" w:before="180" w:line="40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6C136010" w14:textId="77777777" w:rsidR="00421BB5" w:rsidRPr="00D65AED" w:rsidRDefault="00421BB5" w:rsidP="00421BB5">
      <w:pPr>
        <w:spacing w:beforeLines="10" w:before="36" w:line="400" w:lineRule="exact"/>
        <w:ind w:left="531" w:hangingChars="198" w:hanging="531"/>
        <w:jc w:val="both"/>
        <w:rPr>
          <w:rFonts w:ascii="標楷體" w:eastAsia="標楷體" w:hAnsi="標楷體"/>
          <w:spacing w:val="-6"/>
          <w:sz w:val="28"/>
          <w:szCs w:val="28"/>
        </w:rPr>
      </w:pPr>
      <w:r w:rsidRPr="00D65AED">
        <w:rPr>
          <w:rFonts w:ascii="標楷體" w:eastAsia="標楷體" w:hAnsi="標楷體" w:hint="eastAsia"/>
          <w:spacing w:val="-6"/>
          <w:sz w:val="28"/>
          <w:szCs w:val="28"/>
        </w:rPr>
        <w:t>一、行政院人事行政總處函，為111年度中央政府總預算決議，檢送決議（一）「智慧創新人事服務」預算凍結770萬元書面報告，請查照案。</w:t>
      </w:r>
    </w:p>
    <w:p w14:paraId="3E593827" w14:textId="77777777" w:rsidR="00421BB5" w:rsidRPr="00D65AED" w:rsidRDefault="00421BB5" w:rsidP="00421BB5">
      <w:pPr>
        <w:spacing w:beforeLines="10" w:before="36" w:line="400" w:lineRule="exact"/>
        <w:ind w:left="531" w:hangingChars="198" w:hanging="531"/>
        <w:jc w:val="both"/>
        <w:rPr>
          <w:rFonts w:ascii="標楷體" w:eastAsia="標楷體" w:hAnsi="標楷體"/>
          <w:spacing w:val="-6"/>
          <w:sz w:val="28"/>
          <w:szCs w:val="28"/>
        </w:rPr>
      </w:pPr>
      <w:r w:rsidRPr="00D65AED">
        <w:rPr>
          <w:rFonts w:ascii="標楷體" w:eastAsia="標楷體" w:hAnsi="標楷體" w:hint="eastAsia"/>
          <w:spacing w:val="-6"/>
          <w:sz w:val="28"/>
          <w:szCs w:val="28"/>
        </w:rPr>
        <w:t>二、行政院人事行政總處函，為111年度中央政府總預算決議，檢送決議（二）「國外旅費」預算凍結20%書面報告，請查照案。</w:t>
      </w:r>
    </w:p>
    <w:p w14:paraId="7FCC1132" w14:textId="77777777" w:rsidR="00421BB5" w:rsidRPr="00D65AED" w:rsidRDefault="00421BB5" w:rsidP="00421BB5">
      <w:pPr>
        <w:spacing w:beforeLines="10" w:before="36" w:line="400" w:lineRule="exact"/>
        <w:ind w:left="531" w:hangingChars="198" w:hanging="531"/>
        <w:jc w:val="both"/>
        <w:rPr>
          <w:rFonts w:ascii="標楷體" w:eastAsia="標楷體" w:hAnsi="標楷體"/>
          <w:spacing w:val="-6"/>
          <w:sz w:val="28"/>
          <w:szCs w:val="28"/>
        </w:rPr>
      </w:pPr>
      <w:r w:rsidRPr="00D65AED">
        <w:rPr>
          <w:rFonts w:ascii="標楷體" w:eastAsia="標楷體" w:hAnsi="標楷體" w:hint="eastAsia"/>
          <w:spacing w:val="-6"/>
          <w:sz w:val="28"/>
          <w:szCs w:val="28"/>
        </w:rPr>
        <w:t>三、行政院人事行政總處函，為111年度中央政府總預算決議，檢送決議（二十八）「資訊服務費」預算凍結200萬元書面報告，請查照案。</w:t>
      </w:r>
    </w:p>
    <w:p w14:paraId="52BCB3FB" w14:textId="77777777" w:rsidR="00421BB5" w:rsidRPr="00D65AED" w:rsidRDefault="00421BB5" w:rsidP="00421BB5">
      <w:pPr>
        <w:spacing w:beforeLines="10" w:before="36" w:line="400" w:lineRule="exact"/>
        <w:ind w:left="531" w:hangingChars="198" w:hanging="531"/>
        <w:jc w:val="both"/>
        <w:rPr>
          <w:rFonts w:ascii="標楷體" w:eastAsia="標楷體" w:hAnsi="標楷體"/>
          <w:spacing w:val="-6"/>
          <w:sz w:val="28"/>
          <w:szCs w:val="28"/>
        </w:rPr>
      </w:pPr>
      <w:r w:rsidRPr="00D65AED">
        <w:rPr>
          <w:rFonts w:ascii="標楷體" w:eastAsia="標楷體" w:hAnsi="標楷體" w:hint="eastAsia"/>
          <w:spacing w:val="-6"/>
          <w:sz w:val="28"/>
          <w:szCs w:val="28"/>
        </w:rPr>
        <w:t>四、行政院人事行政總處函，為111年度中央政府總預算決議，檢送公務人力發展學院決議（一）「人力資源研究發展」預算凍結50萬元書面報告，請查照案。</w:t>
      </w:r>
    </w:p>
    <w:p w14:paraId="2C519819" w14:textId="705CBBA4" w:rsidR="00421BB5" w:rsidRPr="00D65AED" w:rsidRDefault="00421BB5" w:rsidP="00421BB5">
      <w:pPr>
        <w:spacing w:beforeLines="10" w:before="36" w:line="400" w:lineRule="exact"/>
        <w:ind w:left="280" w:rightChars="-12" w:right="-29" w:hangingChars="100" w:hanging="280"/>
        <w:jc w:val="both"/>
        <w:rPr>
          <w:rFonts w:ascii="標楷體" w:eastAsia="標楷體" w:hAnsi="標楷體"/>
          <w:sz w:val="28"/>
          <w:szCs w:val="28"/>
        </w:rPr>
      </w:pPr>
      <w:r w:rsidRPr="00D65AED">
        <w:rPr>
          <w:rFonts w:ascii="標楷體" w:eastAsia="標楷體" w:hAnsi="標楷體" w:hint="eastAsia"/>
          <w:sz w:val="28"/>
          <w:szCs w:val="28"/>
        </w:rPr>
        <w:t>（本次會議有委員曾銘宗、游毓蘭、陳歐珀、江永昌、黃世杰、陳玉珍、林思銘、陳以信、邱顯智、</w:t>
      </w:r>
      <w:r w:rsidRPr="00D65AED">
        <w:rPr>
          <w:rFonts w:ascii="標楷體" w:eastAsia="標楷體" w:hAnsi="標楷體"/>
          <w:spacing w:val="-20"/>
          <w:w w:val="98"/>
          <w:sz w:val="28"/>
          <w:szCs w:val="28"/>
        </w:rPr>
        <w:t>鄭天財Sra</w:t>
      </w:r>
      <w:r w:rsidRPr="00D65AED">
        <w:rPr>
          <w:rFonts w:ascii="標楷體" w:eastAsia="標楷體" w:hAnsi="標楷體" w:hint="eastAsia"/>
          <w:spacing w:val="-20"/>
          <w:w w:val="98"/>
          <w:sz w:val="28"/>
          <w:szCs w:val="28"/>
        </w:rPr>
        <w:t xml:space="preserve"> </w:t>
      </w:r>
      <w:r w:rsidRPr="00D65AED">
        <w:rPr>
          <w:rFonts w:ascii="標楷體" w:eastAsia="標楷體" w:hAnsi="標楷體"/>
          <w:spacing w:val="-20"/>
          <w:w w:val="98"/>
          <w:sz w:val="28"/>
          <w:szCs w:val="28"/>
        </w:rPr>
        <w:t>Kacaw</w:t>
      </w:r>
      <w:r w:rsidRPr="00D65AED">
        <w:rPr>
          <w:rFonts w:ascii="標楷體" w:eastAsia="標楷體" w:hAnsi="標楷體" w:hint="eastAsia"/>
          <w:spacing w:val="-20"/>
          <w:w w:val="98"/>
          <w:sz w:val="28"/>
          <w:szCs w:val="28"/>
        </w:rPr>
        <w:t>、</w:t>
      </w:r>
      <w:r w:rsidRPr="00D65AED">
        <w:rPr>
          <w:rFonts w:ascii="標楷體" w:eastAsia="標楷體" w:hAnsi="標楷體" w:hint="eastAsia"/>
          <w:sz w:val="28"/>
          <w:szCs w:val="28"/>
        </w:rPr>
        <w:t>張其祿、 劉建國提出質詢；委員周春米、鄭運鵬提出書面質詢。）</w:t>
      </w:r>
    </w:p>
    <w:p w14:paraId="5144D0D8" w14:textId="77777777" w:rsidR="00421BB5" w:rsidRPr="00D65AED" w:rsidRDefault="00421BB5" w:rsidP="00421BB5">
      <w:pPr>
        <w:spacing w:line="400" w:lineRule="exact"/>
        <w:contextualSpacing/>
        <w:jc w:val="both"/>
        <w:rPr>
          <w:rFonts w:ascii="標楷體" w:eastAsia="標楷體" w:hAnsi="標楷體"/>
          <w:sz w:val="28"/>
          <w:szCs w:val="28"/>
        </w:rPr>
      </w:pPr>
      <w:r w:rsidRPr="00D65AED">
        <w:rPr>
          <w:rFonts w:ascii="標楷體" w:eastAsia="標楷體" w:hAnsi="標楷體" w:hint="eastAsia"/>
          <w:sz w:val="28"/>
          <w:szCs w:val="28"/>
        </w:rPr>
        <w:t>決議：</w:t>
      </w:r>
    </w:p>
    <w:p w14:paraId="580CDF89" w14:textId="77777777" w:rsidR="00421BB5" w:rsidRPr="00D65AED" w:rsidRDefault="00421BB5" w:rsidP="00421BB5">
      <w:pPr>
        <w:spacing w:line="400" w:lineRule="exact"/>
        <w:contextualSpacing/>
        <w:jc w:val="both"/>
        <w:rPr>
          <w:rFonts w:ascii="標楷體" w:eastAsia="標楷體" w:hAnsi="標楷體"/>
          <w:sz w:val="28"/>
          <w:szCs w:val="28"/>
        </w:rPr>
      </w:pPr>
      <w:r w:rsidRPr="00D65AED">
        <w:rPr>
          <w:rFonts w:ascii="標楷體" w:eastAsia="標楷體" w:hAnsi="標楷體" w:hint="eastAsia"/>
          <w:sz w:val="28"/>
          <w:szCs w:val="28"/>
        </w:rPr>
        <w:t>一、報告及詢答完畢。</w:t>
      </w:r>
    </w:p>
    <w:p w14:paraId="00E86849" w14:textId="77777777" w:rsidR="00421BB5" w:rsidRPr="00D65AED" w:rsidRDefault="00421BB5" w:rsidP="00421BB5">
      <w:pPr>
        <w:spacing w:line="400" w:lineRule="exact"/>
        <w:ind w:left="700" w:hangingChars="250" w:hanging="700"/>
        <w:contextualSpacing/>
        <w:jc w:val="both"/>
        <w:rPr>
          <w:rFonts w:ascii="標楷體" w:eastAsia="標楷體" w:hAnsi="標楷體"/>
          <w:sz w:val="28"/>
          <w:szCs w:val="28"/>
        </w:rPr>
      </w:pPr>
      <w:r w:rsidRPr="00D65AED">
        <w:rPr>
          <w:rFonts w:ascii="標楷體" w:eastAsia="標楷體" w:hAnsi="標楷體" w:hint="eastAsia"/>
          <w:sz w:val="28"/>
          <w:szCs w:val="28"/>
        </w:rPr>
        <w:t>二、第一案至第四案，均准予動支，提報院會。</w:t>
      </w:r>
    </w:p>
    <w:p w14:paraId="6EF56001" w14:textId="77777777" w:rsidR="00421BB5" w:rsidRPr="00D65AED" w:rsidRDefault="00421BB5" w:rsidP="00421BB5">
      <w:pPr>
        <w:spacing w:line="40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三、委員質詢時，要求提供相關資料或以書面答復者，請相關機關儘速送交個別委員及本會。</w:t>
      </w:r>
    </w:p>
    <w:p w14:paraId="5670FC00" w14:textId="77777777" w:rsidR="00421BB5" w:rsidRPr="00D65AED" w:rsidRDefault="00421BB5" w:rsidP="00421BB5">
      <w:pPr>
        <w:adjustRightInd w:val="0"/>
        <w:snapToGrid w:val="0"/>
        <w:spacing w:beforeLines="50" w:before="180" w:line="400" w:lineRule="exact"/>
        <w:ind w:firstLineChars="398" w:firstLine="1115"/>
        <w:jc w:val="both"/>
        <w:rPr>
          <w:rFonts w:ascii="標楷體" w:eastAsia="標楷體" w:hAnsi="標楷體"/>
          <w:b/>
          <w:kern w:val="0"/>
          <w:sz w:val="28"/>
          <w:szCs w:val="28"/>
          <w:lang w:val="x-none"/>
        </w:rPr>
      </w:pPr>
      <w:r w:rsidRPr="00D65AED">
        <w:rPr>
          <w:rFonts w:ascii="標楷體" w:eastAsia="標楷體" w:hAnsi="標楷體" w:hint="eastAsia"/>
          <w:b/>
          <w:kern w:val="0"/>
          <w:sz w:val="28"/>
          <w:szCs w:val="28"/>
          <w:lang w:val="x-none"/>
        </w:rPr>
        <w:t>提　　案</w:t>
      </w:r>
    </w:p>
    <w:p w14:paraId="4780781F" w14:textId="77777777" w:rsidR="00421BB5" w:rsidRPr="00D65AED" w:rsidRDefault="00421BB5" w:rsidP="00421BB5">
      <w:pPr>
        <w:tabs>
          <w:tab w:val="left" w:pos="-180"/>
        </w:tabs>
        <w:kinsoku w:val="0"/>
        <w:snapToGrid w:val="0"/>
        <w:spacing w:line="400" w:lineRule="exact"/>
        <w:ind w:leftChars="-5" w:left="556" w:hangingChars="203" w:hanging="568"/>
        <w:jc w:val="both"/>
        <w:rPr>
          <w:rFonts w:ascii="標楷體" w:eastAsia="標楷體" w:hAnsi="標楷體"/>
          <w:noProof/>
          <w:sz w:val="28"/>
          <w:szCs w:val="28"/>
        </w:rPr>
      </w:pPr>
      <w:r w:rsidRPr="00D65AED">
        <w:rPr>
          <w:rFonts w:ascii="標楷體" w:eastAsia="標楷體" w:hAnsi="標楷體" w:hint="eastAsia"/>
          <w:noProof/>
          <w:sz w:val="28"/>
          <w:szCs w:val="28"/>
        </w:rPr>
        <w:t>一、茲經內政部部長徐國勇在111年10月3日立法院內政委員會答詢時，表示有關退休警察遊行訴求──警察年金給付應比照國軍人員，蔡英文總統、蘇貞昌院長已經聽到有在研究這件事情，惟尚涉及考試院等等。然而，退警團體早向總統府、銓敘部、內政部多個機關陳情多時。經查，銓敘部1</w:t>
      </w:r>
      <w:r w:rsidRPr="00D65AED">
        <w:rPr>
          <w:rFonts w:ascii="標楷體" w:eastAsia="標楷體" w:hAnsi="標楷體"/>
          <w:noProof/>
          <w:sz w:val="28"/>
          <w:szCs w:val="28"/>
        </w:rPr>
        <w:t>09</w:t>
      </w:r>
      <w:r w:rsidRPr="00D65AED">
        <w:rPr>
          <w:rFonts w:ascii="標楷體" w:eastAsia="標楷體" w:hAnsi="標楷體" w:hint="eastAsia"/>
          <w:noProof/>
          <w:sz w:val="28"/>
          <w:szCs w:val="28"/>
        </w:rPr>
        <w:t>年9月25日（部退五字第1</w:t>
      </w:r>
      <w:r w:rsidRPr="00D65AED">
        <w:rPr>
          <w:rFonts w:ascii="標楷體" w:eastAsia="標楷體" w:hAnsi="標楷體"/>
          <w:noProof/>
          <w:sz w:val="28"/>
          <w:szCs w:val="28"/>
        </w:rPr>
        <w:t>094974571</w:t>
      </w:r>
      <w:r w:rsidRPr="00D65AED">
        <w:rPr>
          <w:rFonts w:ascii="標楷體" w:eastAsia="標楷體" w:hAnsi="標楷體" w:hint="eastAsia"/>
          <w:noProof/>
          <w:sz w:val="28"/>
          <w:szCs w:val="28"/>
        </w:rPr>
        <w:t>號）函，表示須待社會形成共識，並且函轉由內政部</w:t>
      </w:r>
      <w:r w:rsidRPr="00D65AED">
        <w:rPr>
          <w:rFonts w:ascii="標楷體" w:eastAsia="標楷體" w:hAnsi="標楷體" w:hint="eastAsia"/>
          <w:noProof/>
          <w:sz w:val="28"/>
          <w:szCs w:val="28"/>
        </w:rPr>
        <w:lastRenderedPageBreak/>
        <w:t>研議；再查，內政部109年12月31日（台內人字第1090071346號）函，則表示正在研議。綜上，徐國勇部長稱總統、院長聽到、研究之說避重就輕，各相關機關早在109年就研議多時無果，均應依下列事項確實研處，面對退警團體訴求，真正體恤警察工作之危險，並避免傷害蔡英文總統公開發言之威信：</w:t>
      </w:r>
    </w:p>
    <w:p w14:paraId="268D1B39" w14:textId="77777777" w:rsidR="00421BB5" w:rsidRPr="00D65AED" w:rsidRDefault="00421BB5" w:rsidP="00421BB5">
      <w:pPr>
        <w:tabs>
          <w:tab w:val="left" w:pos="-180"/>
        </w:tabs>
        <w:kinsoku w:val="0"/>
        <w:snapToGrid w:val="0"/>
        <w:spacing w:line="400" w:lineRule="exact"/>
        <w:ind w:leftChars="245" w:left="1145" w:hangingChars="199" w:hanging="557"/>
        <w:jc w:val="both"/>
        <w:rPr>
          <w:rFonts w:ascii="標楷體" w:eastAsia="標楷體" w:hAnsi="標楷體"/>
          <w:noProof/>
          <w:sz w:val="28"/>
          <w:szCs w:val="28"/>
        </w:rPr>
      </w:pPr>
      <w:r w:rsidRPr="00D65AED">
        <w:rPr>
          <w:rFonts w:ascii="標楷體" w:eastAsia="標楷體" w:hAnsi="標楷體" w:hint="eastAsia"/>
          <w:noProof/>
          <w:sz w:val="28"/>
          <w:szCs w:val="28"/>
        </w:rPr>
        <w:t>一、銓敘部應會同內政部，依據公務人員退休資遣撫卹法第92條，履行考試院及所屬機關建立年金制度監控機制之責，自行依權責研議警察年金比照國軍議題。</w:t>
      </w:r>
    </w:p>
    <w:p w14:paraId="0E5A2B02" w14:textId="77777777" w:rsidR="00421BB5" w:rsidRPr="00D65AED" w:rsidRDefault="00421BB5" w:rsidP="00421BB5">
      <w:pPr>
        <w:tabs>
          <w:tab w:val="left" w:pos="-180"/>
        </w:tabs>
        <w:kinsoku w:val="0"/>
        <w:snapToGrid w:val="0"/>
        <w:spacing w:line="400" w:lineRule="exact"/>
        <w:ind w:leftChars="245" w:left="1145" w:hangingChars="199" w:hanging="557"/>
        <w:jc w:val="both"/>
        <w:rPr>
          <w:rFonts w:ascii="標楷體" w:eastAsia="標楷體" w:hAnsi="標楷體"/>
          <w:noProof/>
          <w:sz w:val="28"/>
          <w:szCs w:val="28"/>
        </w:rPr>
      </w:pPr>
      <w:r w:rsidRPr="00D65AED">
        <w:rPr>
          <w:rFonts w:ascii="標楷體" w:eastAsia="標楷體" w:hAnsi="標楷體" w:hint="eastAsia"/>
          <w:noProof/>
          <w:sz w:val="28"/>
          <w:szCs w:val="28"/>
        </w:rPr>
        <w:t>二、為避免退警團體須流轉於多機關間仍未獲致具體成果，應由行政院人事行政總處會同內政部統籌辦理警察、消防、海巡以及政府機關與退警團體間形成共識。</w:t>
      </w:r>
    </w:p>
    <w:p w14:paraId="3430A247" w14:textId="77777777" w:rsidR="00421BB5" w:rsidRPr="00D65AED" w:rsidRDefault="00421BB5" w:rsidP="00421BB5">
      <w:pPr>
        <w:tabs>
          <w:tab w:val="left" w:pos="-180"/>
        </w:tabs>
        <w:kinsoku w:val="0"/>
        <w:snapToGrid w:val="0"/>
        <w:spacing w:line="400" w:lineRule="exact"/>
        <w:ind w:leftChars="231" w:left="554" w:firstLineChars="207" w:firstLine="580"/>
        <w:jc w:val="both"/>
        <w:rPr>
          <w:rFonts w:ascii="標楷體" w:eastAsia="標楷體" w:hAnsi="標楷體"/>
          <w:noProof/>
          <w:sz w:val="28"/>
          <w:szCs w:val="28"/>
        </w:rPr>
      </w:pPr>
      <w:r w:rsidRPr="00D65AED">
        <w:rPr>
          <w:rFonts w:ascii="標楷體" w:eastAsia="標楷體" w:hAnsi="標楷體" w:hint="eastAsia"/>
          <w:noProof/>
          <w:sz w:val="28"/>
          <w:szCs w:val="28"/>
        </w:rPr>
        <w:t>爰此，要求上述各機關分別處理，於2個月內向立法院司法及法制委員會分別提出書面報告。</w:t>
      </w:r>
    </w:p>
    <w:p w14:paraId="48CE3A43" w14:textId="77777777" w:rsidR="00421BB5" w:rsidRPr="00D65AED" w:rsidRDefault="00421BB5" w:rsidP="00421BB5">
      <w:pPr>
        <w:pStyle w:val="5-1"/>
        <w:spacing w:line="400" w:lineRule="exact"/>
        <w:rPr>
          <w:rFonts w:ascii="標楷體" w:hAnsi="標楷體"/>
        </w:rPr>
      </w:pPr>
      <w:r w:rsidRPr="00D65AED">
        <w:rPr>
          <w:rFonts w:ascii="標楷體" w:hAnsi="標楷體"/>
        </w:rPr>
        <w:t>提案人：</w:t>
      </w:r>
      <w:r w:rsidRPr="00D65AED">
        <w:rPr>
          <w:rFonts w:ascii="標楷體" w:hAnsi="標楷體" w:hint="eastAsia"/>
        </w:rPr>
        <w:t>游毓蘭 林思銘 陳玉珍 曾銘宗</w:t>
      </w:r>
    </w:p>
    <w:p w14:paraId="2A9DE639" w14:textId="77777777" w:rsidR="00421BB5" w:rsidRPr="00D65AED" w:rsidRDefault="00421BB5" w:rsidP="00421BB5">
      <w:pPr>
        <w:pStyle w:val="5-1"/>
        <w:spacing w:line="400" w:lineRule="exact"/>
        <w:ind w:leftChars="1866" w:left="4478" w:firstLineChars="0" w:firstLine="2"/>
        <w:rPr>
          <w:rFonts w:ascii="標楷體" w:hAnsi="標楷體"/>
          <w:szCs w:val="28"/>
        </w:rPr>
      </w:pPr>
      <w:r w:rsidRPr="00D65AED">
        <w:rPr>
          <w:rFonts w:ascii="標楷體" w:hAnsi="標楷體" w:hint="eastAsia"/>
        </w:rPr>
        <w:t xml:space="preserve">陳以信 黃世杰 </w:t>
      </w:r>
      <w:r w:rsidRPr="00D65AED">
        <w:rPr>
          <w:rFonts w:ascii="標楷體" w:hAnsi="標楷體"/>
          <w:spacing w:val="-20"/>
          <w:w w:val="98"/>
          <w:szCs w:val="28"/>
        </w:rPr>
        <w:t>鄭天財Sra</w:t>
      </w:r>
      <w:r w:rsidRPr="00D65AED">
        <w:rPr>
          <w:rFonts w:ascii="標楷體" w:hAnsi="標楷體" w:hint="eastAsia"/>
          <w:spacing w:val="-20"/>
          <w:w w:val="98"/>
          <w:szCs w:val="28"/>
        </w:rPr>
        <w:t xml:space="preserve"> </w:t>
      </w:r>
      <w:r w:rsidRPr="00D65AED">
        <w:rPr>
          <w:rFonts w:ascii="標楷體" w:hAnsi="標楷體"/>
          <w:spacing w:val="-20"/>
          <w:w w:val="98"/>
          <w:szCs w:val="28"/>
        </w:rPr>
        <w:t>Kacaw</w:t>
      </w:r>
    </w:p>
    <w:p w14:paraId="0695CFEF" w14:textId="77777777" w:rsidR="00421BB5" w:rsidRPr="00D65AED" w:rsidRDefault="00421BB5" w:rsidP="00421BB5">
      <w:pPr>
        <w:spacing w:line="400" w:lineRule="exact"/>
        <w:ind w:left="619" w:hangingChars="221" w:hanging="619"/>
        <w:contextualSpacing/>
        <w:jc w:val="both"/>
        <w:rPr>
          <w:rFonts w:ascii="標楷體" w:eastAsia="標楷體" w:hAnsi="標楷體"/>
          <w:noProof/>
          <w:sz w:val="28"/>
          <w:szCs w:val="28"/>
        </w:rPr>
      </w:pPr>
      <w:r w:rsidRPr="00D65AED">
        <w:rPr>
          <w:rFonts w:ascii="標楷體" w:eastAsia="標楷體" w:hAnsi="標楷體" w:hint="eastAsia"/>
          <w:noProof/>
          <w:sz w:val="28"/>
          <w:szCs w:val="28"/>
        </w:rPr>
        <w:t>決議：照案通過。</w:t>
      </w:r>
    </w:p>
    <w:p w14:paraId="3C56B248" w14:textId="77777777" w:rsidR="00421BB5" w:rsidRPr="00D65AED" w:rsidRDefault="00421BB5" w:rsidP="00421BB5">
      <w:pPr>
        <w:spacing w:line="400" w:lineRule="exact"/>
        <w:ind w:left="619" w:hangingChars="221" w:hanging="619"/>
        <w:contextualSpacing/>
        <w:jc w:val="both"/>
        <w:rPr>
          <w:rFonts w:ascii="標楷體" w:eastAsia="標楷體" w:hAnsi="標楷體"/>
          <w:sz w:val="28"/>
          <w:szCs w:val="28"/>
        </w:rPr>
      </w:pPr>
      <w:r w:rsidRPr="00D65AED">
        <w:rPr>
          <w:rFonts w:ascii="標楷體" w:eastAsia="標楷體" w:hAnsi="標楷體" w:hint="eastAsia"/>
          <w:noProof/>
          <w:sz w:val="28"/>
          <w:szCs w:val="28"/>
        </w:rPr>
        <w:t>二、</w:t>
      </w:r>
      <w:r w:rsidRPr="00D65AED">
        <w:rPr>
          <w:rFonts w:ascii="標楷體" w:eastAsia="標楷體" w:hAnsi="標楷體" w:hint="eastAsia"/>
          <w:sz w:val="28"/>
          <w:szCs w:val="28"/>
        </w:rPr>
        <w:t>有鑑於近年來物價變動劇烈，現行年金法律卻規定退休撫卹給付與現職人員脫鉤，危及政府對退休軍公教人員老年經濟安全之保障。111年整體之CPI，1到8月有5個月均突破3%。至於17項重要民生物價，統計111年1月至8月，年增率達到4.4%，雞蛋更達30.1%、沙拉油、調理油達10%。但礙於年改後法律規定，退撫給付無從調整。另外，由於退撫給付是為了保障老年經濟安全，亦須研議物價指標是否有針對高齡族群，分門別類不同品項。爰由銓敘部會商國防部、教育部、行政院主計總處，就現行以整體消費者物價指數年增率正、負5%是否恰當進行檢討，考量是否有必要改採對物價更有敏感性之其他指數、5%是否過高</w:t>
      </w:r>
      <w:r w:rsidRPr="00D65AED">
        <w:rPr>
          <w:rFonts w:ascii="標楷體" w:eastAsia="標楷體" w:hAnsi="標楷體"/>
          <w:sz w:val="28"/>
          <w:szCs w:val="28"/>
        </w:rPr>
        <w:t>…</w:t>
      </w:r>
      <w:r w:rsidRPr="00D65AED">
        <w:rPr>
          <w:rFonts w:ascii="標楷體" w:eastAsia="標楷體" w:hAnsi="標楷體" w:hint="eastAsia"/>
          <w:sz w:val="28"/>
          <w:szCs w:val="28"/>
        </w:rPr>
        <w:t>等各種面向，於2個月內向</w:t>
      </w:r>
      <w:r w:rsidRPr="00D65AED">
        <w:rPr>
          <w:rFonts w:ascii="標楷體" w:eastAsia="標楷體" w:hAnsi="標楷體" w:hint="eastAsia"/>
          <w:noProof/>
          <w:sz w:val="28"/>
          <w:szCs w:val="28"/>
        </w:rPr>
        <w:t>立法院</w:t>
      </w:r>
      <w:r w:rsidRPr="00D65AED">
        <w:rPr>
          <w:rFonts w:ascii="標楷體" w:eastAsia="標楷體" w:hAnsi="標楷體" w:hint="eastAsia"/>
          <w:sz w:val="28"/>
          <w:szCs w:val="28"/>
        </w:rPr>
        <w:t>司法及法制委員會提出書面報告。</w:t>
      </w:r>
    </w:p>
    <w:p w14:paraId="65023F4F" w14:textId="77777777" w:rsidR="00421BB5" w:rsidRPr="00D65AED" w:rsidRDefault="00421BB5" w:rsidP="00421BB5">
      <w:pPr>
        <w:pStyle w:val="5-1"/>
        <w:spacing w:line="400" w:lineRule="exact"/>
        <w:rPr>
          <w:rFonts w:ascii="標楷體" w:hAnsi="標楷體"/>
          <w:szCs w:val="28"/>
        </w:rPr>
      </w:pPr>
      <w:r w:rsidRPr="00D65AED">
        <w:rPr>
          <w:rFonts w:ascii="標楷體" w:hAnsi="標楷體"/>
        </w:rPr>
        <w:t>提案人：</w:t>
      </w:r>
      <w:r w:rsidRPr="00D65AED">
        <w:rPr>
          <w:rFonts w:ascii="標楷體" w:hAnsi="標楷體" w:hint="eastAsia"/>
        </w:rPr>
        <w:t>游毓蘭 林思銘 曾銘宗 陳玉珍</w:t>
      </w:r>
    </w:p>
    <w:p w14:paraId="22439AA9" w14:textId="77777777" w:rsidR="00421BB5" w:rsidRPr="00D65AED" w:rsidRDefault="00421BB5" w:rsidP="00421BB5">
      <w:pPr>
        <w:pStyle w:val="5-1"/>
        <w:spacing w:line="400" w:lineRule="exact"/>
        <w:ind w:leftChars="1866" w:left="4478" w:firstLineChars="0" w:firstLine="0"/>
        <w:rPr>
          <w:rFonts w:ascii="標楷體" w:hAnsi="標楷體"/>
        </w:rPr>
      </w:pPr>
      <w:r w:rsidRPr="00D65AED">
        <w:rPr>
          <w:rFonts w:ascii="標楷體" w:hAnsi="標楷體" w:hint="eastAsia"/>
        </w:rPr>
        <w:t xml:space="preserve">陳以信 </w:t>
      </w:r>
      <w:r w:rsidRPr="00D65AED">
        <w:rPr>
          <w:rFonts w:ascii="標楷體" w:hAnsi="標楷體"/>
          <w:spacing w:val="-20"/>
          <w:w w:val="98"/>
          <w:szCs w:val="28"/>
        </w:rPr>
        <w:t>鄭天財Sra</w:t>
      </w:r>
      <w:r w:rsidRPr="00D65AED">
        <w:rPr>
          <w:rFonts w:ascii="標楷體" w:hAnsi="標楷體" w:hint="eastAsia"/>
          <w:spacing w:val="-20"/>
          <w:w w:val="98"/>
          <w:szCs w:val="28"/>
        </w:rPr>
        <w:t xml:space="preserve"> </w:t>
      </w:r>
      <w:r w:rsidRPr="00D65AED">
        <w:rPr>
          <w:rFonts w:ascii="標楷體" w:hAnsi="標楷體"/>
          <w:spacing w:val="-20"/>
          <w:w w:val="98"/>
          <w:szCs w:val="28"/>
        </w:rPr>
        <w:t>Kacaw</w:t>
      </w:r>
    </w:p>
    <w:p w14:paraId="1690FA86" w14:textId="77777777" w:rsidR="00421BB5" w:rsidRPr="00D65AED" w:rsidRDefault="00421BB5" w:rsidP="00421BB5">
      <w:pPr>
        <w:spacing w:line="400" w:lineRule="exact"/>
        <w:ind w:left="619" w:hangingChars="221" w:hanging="619"/>
        <w:contextualSpacing/>
        <w:jc w:val="both"/>
        <w:rPr>
          <w:rFonts w:ascii="標楷體" w:eastAsia="標楷體" w:hAnsi="標楷體"/>
          <w:noProof/>
          <w:sz w:val="28"/>
          <w:szCs w:val="28"/>
        </w:rPr>
      </w:pPr>
      <w:r w:rsidRPr="00D65AED">
        <w:rPr>
          <w:rFonts w:ascii="標楷體" w:eastAsia="標楷體" w:hAnsi="標楷體" w:hint="eastAsia"/>
          <w:noProof/>
          <w:sz w:val="28"/>
          <w:szCs w:val="28"/>
        </w:rPr>
        <w:t>決議：照案通過。</w:t>
      </w:r>
    </w:p>
    <w:p w14:paraId="52E791D6" w14:textId="77777777" w:rsidR="00421BB5" w:rsidRPr="00D65AED" w:rsidRDefault="00421BB5" w:rsidP="00421BB5">
      <w:pPr>
        <w:spacing w:line="400" w:lineRule="exact"/>
        <w:ind w:left="619" w:hangingChars="221" w:hanging="619"/>
        <w:contextualSpacing/>
        <w:jc w:val="both"/>
        <w:rPr>
          <w:rFonts w:ascii="標楷體" w:eastAsia="標楷體" w:hAnsi="標楷體"/>
          <w:sz w:val="28"/>
          <w:szCs w:val="28"/>
        </w:rPr>
      </w:pPr>
      <w:r w:rsidRPr="00D65AED">
        <w:rPr>
          <w:rFonts w:ascii="標楷體" w:eastAsia="標楷體" w:hAnsi="標楷體" w:hint="eastAsia"/>
          <w:noProof/>
          <w:sz w:val="28"/>
          <w:szCs w:val="28"/>
        </w:rPr>
        <w:t>三、</w:t>
      </w:r>
      <w:r w:rsidRPr="00D65AED">
        <w:rPr>
          <w:rFonts w:ascii="標楷體" w:eastAsia="標楷體" w:hAnsi="標楷體" w:hint="eastAsia"/>
          <w:sz w:val="28"/>
          <w:szCs w:val="28"/>
        </w:rPr>
        <w:t>有鑑於現行警察機關官等結構不合理，警監職位比例過少，人事調度缺乏調節空間。經查，110年一般簡薦委制公務人員中簡任官有10</w:t>
      </w:r>
      <w:r w:rsidRPr="00D65AED">
        <w:rPr>
          <w:rFonts w:ascii="標楷體" w:eastAsia="標楷體" w:hAnsi="標楷體"/>
          <w:sz w:val="28"/>
          <w:szCs w:val="28"/>
        </w:rPr>
        <w:t>,</w:t>
      </w:r>
      <w:r w:rsidRPr="00D65AED">
        <w:rPr>
          <w:rFonts w:ascii="標楷體" w:eastAsia="標楷體" w:hAnsi="標楷體" w:hint="eastAsia"/>
          <w:sz w:val="28"/>
          <w:szCs w:val="28"/>
        </w:rPr>
        <w:t>144人，占全國總公務人員5</w:t>
      </w:r>
      <w:r w:rsidRPr="00D65AED">
        <w:rPr>
          <w:rFonts w:ascii="標楷體" w:eastAsia="標楷體" w:hAnsi="標楷體"/>
          <w:sz w:val="28"/>
          <w:szCs w:val="28"/>
        </w:rPr>
        <w:t>.2%</w:t>
      </w:r>
      <w:r w:rsidRPr="00D65AED">
        <w:rPr>
          <w:rFonts w:ascii="標楷體" w:eastAsia="標楷體" w:hAnsi="標楷體" w:hint="eastAsia"/>
          <w:sz w:val="28"/>
          <w:szCs w:val="28"/>
        </w:rPr>
        <w:t>；惟相應簡任官等之警監職務則僅有454人，占警察人員0</w:t>
      </w:r>
      <w:r w:rsidRPr="00D65AED">
        <w:rPr>
          <w:rFonts w:ascii="標楷體" w:eastAsia="標楷體" w:hAnsi="標楷體"/>
          <w:sz w:val="28"/>
          <w:szCs w:val="28"/>
        </w:rPr>
        <w:t>.52%</w:t>
      </w:r>
      <w:r w:rsidRPr="00D65AED">
        <w:rPr>
          <w:rFonts w:ascii="標楷體" w:eastAsia="標楷體" w:hAnsi="標楷體" w:hint="eastAsia"/>
          <w:sz w:val="28"/>
          <w:szCs w:val="28"/>
        </w:rPr>
        <w:t>。次查，內政部警政署積極推動提升警階職務比例，並在職權內先行盤點職務41人。末查，銓敘部基於其認為警察機關性質與一般行政機關不同，勤務</w:t>
      </w:r>
      <w:r w:rsidRPr="00D65AED">
        <w:rPr>
          <w:rFonts w:ascii="標楷體" w:eastAsia="標楷體" w:hAnsi="標楷體" w:hint="eastAsia"/>
          <w:sz w:val="28"/>
          <w:szCs w:val="28"/>
        </w:rPr>
        <w:lastRenderedPageBreak/>
        <w:t>主要由基層執行，人力配置必然數倍於主管、規劃人員，而立場傾向不支持，因此，僅憑內政部警政署單方面推動，頗有阻力不易有成效。上述認知顯有偏頗，每當提及警察退休撫卹待遇，政府就主張與一般行政機關之衡平性；但有關職務協助其他一般機關，血汗超時加班問題，或本案案旨之官等結構</w:t>
      </w:r>
      <w:r w:rsidRPr="00D65AED">
        <w:rPr>
          <w:rFonts w:ascii="標楷體" w:eastAsia="標楷體" w:hAnsi="標楷體"/>
          <w:sz w:val="28"/>
          <w:szCs w:val="28"/>
        </w:rPr>
        <w:t>……</w:t>
      </w:r>
      <w:r w:rsidRPr="00D65AED">
        <w:rPr>
          <w:rFonts w:ascii="標楷體" w:eastAsia="標楷體" w:hAnsi="標楷體" w:hint="eastAsia"/>
          <w:sz w:val="28"/>
          <w:szCs w:val="28"/>
        </w:rPr>
        <w:t>，復又認為警察機關性質特殊而切割處理，國家對警察極不公平。爰由銓敘部研處，請銓敘部會商內政部及行政院人事行政總處，專案推動提升警監職為整體比例，於2個月內向</w:t>
      </w:r>
      <w:r w:rsidRPr="00D65AED">
        <w:rPr>
          <w:rFonts w:ascii="標楷體" w:eastAsia="標楷體" w:hAnsi="標楷體" w:hint="eastAsia"/>
          <w:noProof/>
          <w:sz w:val="28"/>
          <w:szCs w:val="28"/>
        </w:rPr>
        <w:t>立法院</w:t>
      </w:r>
      <w:r w:rsidRPr="00D65AED">
        <w:rPr>
          <w:rFonts w:ascii="標楷體" w:eastAsia="標楷體" w:hAnsi="標楷體" w:hint="eastAsia"/>
          <w:sz w:val="28"/>
          <w:szCs w:val="28"/>
        </w:rPr>
        <w:t>司法及法制委員會提出書面報告。</w:t>
      </w:r>
    </w:p>
    <w:p w14:paraId="18D2B090" w14:textId="77777777" w:rsidR="00421BB5" w:rsidRPr="00D65AED" w:rsidRDefault="00421BB5" w:rsidP="00421BB5">
      <w:pPr>
        <w:pStyle w:val="5-1"/>
        <w:spacing w:line="400" w:lineRule="exact"/>
        <w:rPr>
          <w:rFonts w:ascii="標楷體" w:hAnsi="標楷體"/>
          <w:szCs w:val="28"/>
        </w:rPr>
      </w:pPr>
      <w:r w:rsidRPr="00D65AED">
        <w:rPr>
          <w:rFonts w:ascii="標楷體" w:hAnsi="標楷體"/>
        </w:rPr>
        <w:t>提案人：</w:t>
      </w:r>
      <w:r w:rsidRPr="00D65AED">
        <w:rPr>
          <w:rFonts w:ascii="標楷體" w:hAnsi="標楷體" w:hint="eastAsia"/>
        </w:rPr>
        <w:t>游毓蘭 林思銘 陳玉珍 曾銘宗</w:t>
      </w:r>
    </w:p>
    <w:p w14:paraId="65CC346A" w14:textId="77777777" w:rsidR="00421BB5" w:rsidRPr="00D65AED" w:rsidRDefault="00421BB5" w:rsidP="00421BB5">
      <w:pPr>
        <w:pStyle w:val="5-1"/>
        <w:spacing w:line="400" w:lineRule="exact"/>
        <w:ind w:leftChars="1866" w:left="4478" w:firstLineChars="0" w:firstLine="0"/>
        <w:rPr>
          <w:rFonts w:ascii="標楷體" w:hAnsi="標楷體"/>
        </w:rPr>
      </w:pPr>
      <w:r w:rsidRPr="00D65AED">
        <w:rPr>
          <w:rFonts w:ascii="標楷體" w:hAnsi="標楷體" w:hint="eastAsia"/>
        </w:rPr>
        <w:t xml:space="preserve">陳以信 </w:t>
      </w:r>
      <w:r w:rsidRPr="00D65AED">
        <w:rPr>
          <w:rFonts w:ascii="標楷體" w:hAnsi="標楷體"/>
          <w:spacing w:val="-20"/>
          <w:w w:val="98"/>
          <w:szCs w:val="28"/>
        </w:rPr>
        <w:t>鄭天財Sra</w:t>
      </w:r>
      <w:r w:rsidRPr="00D65AED">
        <w:rPr>
          <w:rFonts w:ascii="標楷體" w:hAnsi="標楷體" w:hint="eastAsia"/>
          <w:spacing w:val="-20"/>
          <w:w w:val="98"/>
          <w:szCs w:val="28"/>
        </w:rPr>
        <w:t xml:space="preserve"> </w:t>
      </w:r>
      <w:r w:rsidRPr="00D65AED">
        <w:rPr>
          <w:rFonts w:ascii="標楷體" w:hAnsi="標楷體"/>
          <w:spacing w:val="-20"/>
          <w:w w:val="98"/>
          <w:szCs w:val="28"/>
        </w:rPr>
        <w:t>Kacaw</w:t>
      </w:r>
    </w:p>
    <w:p w14:paraId="6603B7DF" w14:textId="77777777" w:rsidR="00421BB5" w:rsidRPr="00D65AED" w:rsidRDefault="00421BB5" w:rsidP="00421BB5">
      <w:pPr>
        <w:spacing w:line="400" w:lineRule="exact"/>
        <w:ind w:left="619" w:hangingChars="221" w:hanging="619"/>
        <w:contextualSpacing/>
        <w:jc w:val="both"/>
        <w:rPr>
          <w:rFonts w:ascii="標楷體" w:eastAsia="標楷體" w:hAnsi="標楷體"/>
          <w:noProof/>
          <w:sz w:val="28"/>
          <w:szCs w:val="28"/>
        </w:rPr>
      </w:pPr>
      <w:r w:rsidRPr="00D65AED">
        <w:rPr>
          <w:rFonts w:ascii="標楷體" w:eastAsia="標楷體" w:hAnsi="標楷體" w:hint="eastAsia"/>
          <w:noProof/>
          <w:sz w:val="28"/>
          <w:szCs w:val="28"/>
        </w:rPr>
        <w:t>決議：照案通過。</w:t>
      </w:r>
    </w:p>
    <w:p w14:paraId="37B1DF65" w14:textId="77777777" w:rsidR="00421BB5" w:rsidRPr="00D65AED" w:rsidRDefault="00421BB5" w:rsidP="00421BB5">
      <w:pPr>
        <w:spacing w:line="400" w:lineRule="exact"/>
        <w:ind w:left="619" w:hangingChars="221" w:hanging="619"/>
        <w:contextualSpacing/>
        <w:jc w:val="both"/>
        <w:rPr>
          <w:rFonts w:ascii="標楷體" w:eastAsia="標楷體" w:hAnsi="標楷體"/>
          <w:sz w:val="28"/>
          <w:szCs w:val="28"/>
        </w:rPr>
      </w:pPr>
      <w:r w:rsidRPr="00D65AED">
        <w:rPr>
          <w:rFonts w:ascii="標楷體" w:eastAsia="標楷體" w:hAnsi="標楷體" w:hint="eastAsia"/>
          <w:noProof/>
          <w:sz w:val="28"/>
          <w:szCs w:val="28"/>
        </w:rPr>
        <w:t>四、</w:t>
      </w:r>
      <w:r w:rsidRPr="00D65AED">
        <w:rPr>
          <w:rFonts w:ascii="標楷體" w:eastAsia="標楷體" w:hAnsi="標楷體" w:hint="eastAsia"/>
          <w:sz w:val="28"/>
          <w:szCs w:val="28"/>
        </w:rPr>
        <w:t>有鑑於現行警察機關有下述違背銓定官等保障之人事作業實務，傷害文官體制甚鉅，亟待檢討改善。經查，內政部警政署長年要求警察官一旦陞遷警監職務，即在整體人事作業時要求事前預簽一般性、未針對任何具體事件之同意書，致服務機關得隨時降調其職務。銓敘部依據人事管理條例第6條規定，有監督指揮各機關人事管理人員之責，應終結案揭警察機關違憲違法之警察機關人事作業。爰由銓敘部研處，請銓敘部會商內政部，並於2個月內向立法院司法及法制委員會提出書面報告。</w:t>
      </w:r>
    </w:p>
    <w:p w14:paraId="3DD4096C" w14:textId="77777777" w:rsidR="00421BB5" w:rsidRPr="00D65AED" w:rsidRDefault="00421BB5" w:rsidP="00421BB5">
      <w:pPr>
        <w:pStyle w:val="5-1"/>
        <w:spacing w:line="400" w:lineRule="exact"/>
        <w:rPr>
          <w:rFonts w:ascii="標楷體" w:hAnsi="標楷體"/>
          <w:szCs w:val="28"/>
        </w:rPr>
      </w:pPr>
      <w:r w:rsidRPr="00D65AED">
        <w:rPr>
          <w:rFonts w:ascii="標楷體" w:hAnsi="標楷體"/>
        </w:rPr>
        <w:t>提案人：</w:t>
      </w:r>
      <w:r w:rsidRPr="00D65AED">
        <w:rPr>
          <w:rFonts w:ascii="標楷體" w:hAnsi="標楷體" w:hint="eastAsia"/>
        </w:rPr>
        <w:t xml:space="preserve">游毓蘭 林思銘 曾銘宗 </w:t>
      </w:r>
      <w:r w:rsidRPr="00D65AED">
        <w:rPr>
          <w:rFonts w:ascii="標楷體" w:hAnsi="標楷體" w:hint="eastAsia"/>
          <w:szCs w:val="28"/>
        </w:rPr>
        <w:t>陳玉珍</w:t>
      </w:r>
    </w:p>
    <w:p w14:paraId="0A7A4503" w14:textId="77777777" w:rsidR="00421BB5" w:rsidRPr="00D65AED" w:rsidRDefault="00421BB5" w:rsidP="00421BB5">
      <w:pPr>
        <w:pStyle w:val="5-1"/>
        <w:spacing w:line="400" w:lineRule="exact"/>
        <w:ind w:leftChars="1866" w:left="4478" w:firstLineChars="0" w:firstLine="0"/>
        <w:rPr>
          <w:rFonts w:ascii="標楷體" w:hAnsi="標楷體"/>
        </w:rPr>
      </w:pPr>
      <w:r w:rsidRPr="00D65AED">
        <w:rPr>
          <w:rFonts w:ascii="標楷體" w:hAnsi="標楷體" w:hint="eastAsia"/>
        </w:rPr>
        <w:t xml:space="preserve">陳以信 </w:t>
      </w:r>
      <w:r w:rsidRPr="00D65AED">
        <w:rPr>
          <w:rFonts w:ascii="標楷體" w:hAnsi="標楷體"/>
          <w:spacing w:val="-20"/>
          <w:w w:val="98"/>
          <w:szCs w:val="28"/>
        </w:rPr>
        <w:t>鄭天財Sra</w:t>
      </w:r>
      <w:r w:rsidRPr="00D65AED">
        <w:rPr>
          <w:rFonts w:ascii="標楷體" w:hAnsi="標楷體" w:hint="eastAsia"/>
          <w:spacing w:val="-20"/>
          <w:w w:val="98"/>
          <w:szCs w:val="28"/>
        </w:rPr>
        <w:t xml:space="preserve"> </w:t>
      </w:r>
      <w:r w:rsidRPr="00D65AED">
        <w:rPr>
          <w:rFonts w:ascii="標楷體" w:hAnsi="標楷體"/>
          <w:spacing w:val="-20"/>
          <w:w w:val="98"/>
          <w:szCs w:val="28"/>
        </w:rPr>
        <w:t>Kacaw</w:t>
      </w:r>
    </w:p>
    <w:p w14:paraId="0FB6303A" w14:textId="77777777" w:rsidR="00421BB5" w:rsidRPr="00D65AED" w:rsidRDefault="00421BB5" w:rsidP="00421BB5">
      <w:pPr>
        <w:spacing w:line="400" w:lineRule="exact"/>
        <w:ind w:left="619" w:hangingChars="221" w:hanging="619"/>
        <w:contextualSpacing/>
        <w:jc w:val="both"/>
        <w:rPr>
          <w:rFonts w:ascii="標楷體" w:eastAsia="標楷體" w:hAnsi="標楷體"/>
          <w:noProof/>
          <w:sz w:val="28"/>
          <w:szCs w:val="28"/>
        </w:rPr>
      </w:pPr>
      <w:r w:rsidRPr="00D65AED">
        <w:rPr>
          <w:rFonts w:ascii="標楷體" w:eastAsia="標楷體" w:hAnsi="標楷體" w:hint="eastAsia"/>
          <w:noProof/>
          <w:sz w:val="28"/>
          <w:szCs w:val="28"/>
        </w:rPr>
        <w:t>決議：照案通過。</w:t>
      </w:r>
    </w:p>
    <w:p w14:paraId="5B64D405" w14:textId="77777777" w:rsidR="00421BB5" w:rsidRPr="00D65AED" w:rsidRDefault="00421BB5" w:rsidP="00421BB5">
      <w:pPr>
        <w:spacing w:line="400" w:lineRule="exact"/>
        <w:ind w:leftChars="11" w:left="625" w:hangingChars="214" w:hanging="599"/>
        <w:contextualSpacing/>
        <w:jc w:val="both"/>
        <w:rPr>
          <w:rFonts w:ascii="標楷體" w:eastAsia="標楷體" w:hAnsi="標楷體"/>
          <w:sz w:val="28"/>
          <w:szCs w:val="28"/>
        </w:rPr>
      </w:pPr>
      <w:r w:rsidRPr="00D65AED">
        <w:rPr>
          <w:rFonts w:ascii="標楷體" w:eastAsia="標楷體" w:hAnsi="標楷體" w:hint="eastAsia"/>
          <w:noProof/>
          <w:sz w:val="28"/>
          <w:szCs w:val="28"/>
        </w:rPr>
        <w:t>五、</w:t>
      </w:r>
      <w:r w:rsidRPr="00D65AED">
        <w:rPr>
          <w:rFonts w:ascii="標楷體" w:eastAsia="標楷體" w:hAnsi="標楷體" w:hint="eastAsia"/>
          <w:sz w:val="28"/>
          <w:szCs w:val="28"/>
        </w:rPr>
        <w:t>立法院司法及法制委員會111年3月30日通過提案，要求行政院人事行政總處等機關，研處調升自民國8</w:t>
      </w:r>
      <w:r w:rsidRPr="00D65AED">
        <w:rPr>
          <w:rFonts w:ascii="標楷體" w:eastAsia="標楷體" w:hAnsi="標楷體"/>
          <w:sz w:val="28"/>
          <w:szCs w:val="28"/>
        </w:rPr>
        <w:t>9</w:t>
      </w:r>
      <w:r w:rsidRPr="00D65AED">
        <w:rPr>
          <w:rFonts w:ascii="標楷體" w:eastAsia="標楷體" w:hAnsi="標楷體" w:hint="eastAsia"/>
          <w:sz w:val="28"/>
          <w:szCs w:val="28"/>
        </w:rPr>
        <w:t>年至今，未曾調整之外勤警消人員每人每月新臺幣17,000元超勤加班費上限。據悉，內政部近日研議並有調升2,000元、調升5,000元二項腹案，最終決定將調升2,000元之方案（即調整至上限19,000元）送至行政院並待核定。然而，據警消基層團體試算，倘若以自89年至今之消費者物價指數年增率，並以89年為17,000元計算，數額應為21</w:t>
      </w:r>
      <w:r w:rsidRPr="00D65AED">
        <w:rPr>
          <w:rFonts w:ascii="標楷體" w:eastAsia="標楷體" w:hAnsi="標楷體"/>
          <w:sz w:val="28"/>
          <w:szCs w:val="28"/>
        </w:rPr>
        <w:t>,</w:t>
      </w:r>
      <w:r w:rsidRPr="00D65AED">
        <w:rPr>
          <w:rFonts w:ascii="標楷體" w:eastAsia="標楷體" w:hAnsi="標楷體" w:hint="eastAsia"/>
          <w:sz w:val="28"/>
          <w:szCs w:val="28"/>
        </w:rPr>
        <w:t>043元，據此，應以調整5,000元之方案較合乎物價變化。另外，就研議物價調整之過程，警消基層團體期盼有關研議勤休狀況以及加班費，有更加制度化之溝通協調管道，而非在個別議題下，被動等待相關機關邀請召開會議。爰此，由行政院人事行政總處會同內政部、行政院主計總處，研處案揭加班費上限之調升方案以及相關事宜，並於2個月內送書面報告至立法院司法及法</w:t>
      </w:r>
      <w:r w:rsidRPr="00D65AED">
        <w:rPr>
          <w:rFonts w:ascii="標楷體" w:eastAsia="標楷體" w:hAnsi="標楷體" w:hint="eastAsia"/>
          <w:sz w:val="28"/>
          <w:szCs w:val="28"/>
        </w:rPr>
        <w:lastRenderedPageBreak/>
        <w:t>制委員會。</w:t>
      </w:r>
    </w:p>
    <w:p w14:paraId="4626B170" w14:textId="77777777" w:rsidR="00421BB5" w:rsidRPr="00D65AED" w:rsidRDefault="00421BB5" w:rsidP="00421BB5">
      <w:pPr>
        <w:pStyle w:val="5-1"/>
        <w:spacing w:line="400" w:lineRule="exact"/>
        <w:rPr>
          <w:rFonts w:ascii="標楷體" w:hAnsi="標楷體"/>
          <w:szCs w:val="28"/>
        </w:rPr>
      </w:pPr>
      <w:r w:rsidRPr="00D65AED">
        <w:rPr>
          <w:rFonts w:ascii="標楷體" w:hAnsi="標楷體"/>
        </w:rPr>
        <w:t>提案人：</w:t>
      </w:r>
      <w:r w:rsidRPr="00D65AED">
        <w:rPr>
          <w:rFonts w:ascii="標楷體" w:hAnsi="標楷體" w:hint="eastAsia"/>
        </w:rPr>
        <w:t xml:space="preserve">游毓蘭 林思銘 曾銘宗 </w:t>
      </w:r>
      <w:r w:rsidRPr="00D65AED">
        <w:rPr>
          <w:rFonts w:ascii="標楷體" w:hAnsi="標楷體" w:hint="eastAsia"/>
          <w:szCs w:val="28"/>
        </w:rPr>
        <w:t>陳玉珍</w:t>
      </w:r>
    </w:p>
    <w:p w14:paraId="5571E58F" w14:textId="77777777" w:rsidR="00421BB5" w:rsidRPr="00D65AED" w:rsidRDefault="00421BB5" w:rsidP="00421BB5">
      <w:pPr>
        <w:pStyle w:val="5-1"/>
        <w:spacing w:line="400" w:lineRule="exact"/>
        <w:ind w:leftChars="1866" w:left="4478" w:firstLineChars="0" w:firstLine="0"/>
        <w:rPr>
          <w:rFonts w:ascii="標楷體" w:hAnsi="標楷體"/>
        </w:rPr>
      </w:pPr>
      <w:r w:rsidRPr="00D65AED">
        <w:rPr>
          <w:rFonts w:ascii="標楷體" w:hAnsi="標楷體" w:hint="eastAsia"/>
        </w:rPr>
        <w:t>陳以信</w:t>
      </w:r>
      <w:r w:rsidRPr="00D65AED">
        <w:rPr>
          <w:rFonts w:ascii="標楷體" w:hAnsi="標楷體" w:hint="eastAsia"/>
          <w:szCs w:val="28"/>
        </w:rPr>
        <w:t xml:space="preserve"> </w:t>
      </w:r>
      <w:r w:rsidRPr="00D65AED">
        <w:rPr>
          <w:rFonts w:ascii="標楷體" w:hAnsi="標楷體"/>
          <w:spacing w:val="-20"/>
          <w:w w:val="98"/>
          <w:szCs w:val="28"/>
        </w:rPr>
        <w:t>鄭天財Sra</w:t>
      </w:r>
      <w:r w:rsidRPr="00D65AED">
        <w:rPr>
          <w:rFonts w:ascii="標楷體" w:hAnsi="標楷體" w:hint="eastAsia"/>
          <w:spacing w:val="-20"/>
          <w:w w:val="98"/>
          <w:szCs w:val="28"/>
        </w:rPr>
        <w:t xml:space="preserve"> </w:t>
      </w:r>
      <w:r w:rsidRPr="00D65AED">
        <w:rPr>
          <w:rFonts w:ascii="標楷體" w:hAnsi="標楷體"/>
          <w:spacing w:val="-20"/>
          <w:w w:val="98"/>
          <w:szCs w:val="28"/>
        </w:rPr>
        <w:t>Kacaw</w:t>
      </w:r>
    </w:p>
    <w:p w14:paraId="0D8090EB" w14:textId="77777777" w:rsidR="00421BB5" w:rsidRPr="00D65AED" w:rsidRDefault="00421BB5" w:rsidP="00421BB5">
      <w:pPr>
        <w:spacing w:line="400" w:lineRule="exact"/>
        <w:ind w:leftChars="11" w:left="625" w:hangingChars="214" w:hanging="599"/>
        <w:contextualSpacing/>
        <w:jc w:val="both"/>
        <w:rPr>
          <w:rFonts w:ascii="標楷體" w:eastAsia="標楷體" w:hAnsi="標楷體"/>
          <w:noProof/>
          <w:sz w:val="28"/>
          <w:szCs w:val="28"/>
        </w:rPr>
      </w:pPr>
      <w:r w:rsidRPr="00D65AED">
        <w:rPr>
          <w:rFonts w:ascii="標楷體" w:eastAsia="標楷體" w:hAnsi="標楷體" w:hint="eastAsia"/>
          <w:noProof/>
          <w:sz w:val="28"/>
          <w:szCs w:val="28"/>
        </w:rPr>
        <w:t>決議：照案通過。</w:t>
      </w:r>
    </w:p>
    <w:p w14:paraId="1844456A" w14:textId="77777777" w:rsidR="00421BB5" w:rsidRPr="00D65AED" w:rsidRDefault="00421BB5" w:rsidP="00421BB5">
      <w:pPr>
        <w:spacing w:line="400" w:lineRule="exact"/>
        <w:ind w:leftChars="5" w:left="617" w:hangingChars="216" w:hanging="605"/>
        <w:contextualSpacing/>
        <w:jc w:val="both"/>
        <w:rPr>
          <w:rFonts w:ascii="標楷體" w:eastAsia="標楷體" w:hAnsi="標楷體"/>
          <w:sz w:val="28"/>
          <w:szCs w:val="28"/>
        </w:rPr>
      </w:pPr>
      <w:r w:rsidRPr="00D65AED">
        <w:rPr>
          <w:rFonts w:ascii="標楷體" w:eastAsia="標楷體" w:hAnsi="標楷體"/>
          <w:sz w:val="28"/>
          <w:szCs w:val="28"/>
        </w:rPr>
        <w:t>散會</w:t>
      </w:r>
    </w:p>
    <w:p w14:paraId="0E27B646"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p>
    <w:p w14:paraId="248848D7"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立法院第10屆第6會期司法及法制委員會第6次全體委員會議議事錄</w:t>
      </w:r>
    </w:p>
    <w:p w14:paraId="1B5F166E" w14:textId="77777777" w:rsidR="00421BB5" w:rsidRPr="00D65AED" w:rsidRDefault="00421BB5" w:rsidP="00421BB5">
      <w:pPr>
        <w:pStyle w:val="-9"/>
        <w:spacing w:line="240" w:lineRule="auto"/>
        <w:ind w:left="1417" w:rightChars="-118" w:right="-283" w:hangingChars="506" w:hanging="1417"/>
        <w:jc w:val="left"/>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spacing w:val="-12"/>
          <w:sz w:val="28"/>
          <w:szCs w:val="28"/>
        </w:rPr>
        <w:t>中華民國111年</w:t>
      </w:r>
      <w:r w:rsidRPr="00D65AED">
        <w:rPr>
          <w:rFonts w:ascii="標楷體" w:hAnsi="標楷體" w:hint="eastAsia"/>
          <w:spacing w:val="-12"/>
          <w:sz w:val="28"/>
          <w:szCs w:val="28"/>
        </w:rPr>
        <w:t>10月</w:t>
      </w:r>
      <w:r w:rsidRPr="00D65AED">
        <w:rPr>
          <w:rFonts w:ascii="標楷體" w:hAnsi="標楷體"/>
          <w:spacing w:val="-12"/>
          <w:sz w:val="28"/>
          <w:szCs w:val="28"/>
        </w:rPr>
        <w:t>13日（星期</w:t>
      </w:r>
      <w:r w:rsidRPr="00D65AED">
        <w:rPr>
          <w:rFonts w:ascii="標楷體" w:hAnsi="標楷體" w:hint="eastAsia"/>
          <w:spacing w:val="-12"/>
          <w:sz w:val="28"/>
          <w:szCs w:val="28"/>
        </w:rPr>
        <w:t>四</w:t>
      </w:r>
      <w:r w:rsidRPr="00D65AED">
        <w:rPr>
          <w:rFonts w:ascii="標楷體" w:hAnsi="標楷體"/>
          <w:spacing w:val="-12"/>
          <w:sz w:val="28"/>
          <w:szCs w:val="28"/>
        </w:rPr>
        <w:t>）上午9時至1</w:t>
      </w:r>
      <w:r w:rsidRPr="00D65AED">
        <w:rPr>
          <w:rFonts w:ascii="標楷體" w:hAnsi="標楷體" w:hint="eastAsia"/>
          <w:spacing w:val="-12"/>
          <w:sz w:val="28"/>
          <w:szCs w:val="28"/>
        </w:rPr>
        <w:t>1時45分</w:t>
      </w:r>
    </w:p>
    <w:p w14:paraId="29EC47E3" w14:textId="77777777" w:rsidR="00421BB5" w:rsidRPr="00D65AED" w:rsidRDefault="00421BB5" w:rsidP="00421BB5">
      <w:pPr>
        <w:pStyle w:val="-9"/>
        <w:spacing w:line="240" w:lineRule="auto"/>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688EA5B5"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hint="eastAsia"/>
          <w:sz w:val="28"/>
          <w:szCs w:val="28"/>
        </w:rPr>
        <w:tab/>
        <w:t>黃世杰</w:t>
      </w:r>
      <w:r w:rsidRPr="00D65AED">
        <w:rPr>
          <w:rFonts w:ascii="標楷體" w:eastAsia="標楷體" w:hAnsi="標楷體"/>
          <w:sz w:val="28"/>
          <w:szCs w:val="28"/>
        </w:rPr>
        <w:tab/>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林思銘</w:t>
      </w:r>
    </w:p>
    <w:p w14:paraId="4377ED37" w14:textId="77777777" w:rsidR="00421BB5" w:rsidRPr="00D65AED" w:rsidRDefault="00421BB5" w:rsidP="00421BB5">
      <w:pPr>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劉建國</w:t>
      </w:r>
      <w:r w:rsidRPr="00D65AED">
        <w:rPr>
          <w:rFonts w:ascii="標楷體" w:eastAsia="標楷體" w:hAnsi="標楷體"/>
          <w:sz w:val="28"/>
          <w:szCs w:val="28"/>
        </w:rPr>
        <w:tab/>
      </w:r>
      <w:r w:rsidRPr="00D65AED">
        <w:rPr>
          <w:rFonts w:ascii="標楷體" w:eastAsia="標楷體" w:hAnsi="標楷體" w:hint="eastAsia"/>
          <w:sz w:val="28"/>
          <w:szCs w:val="28"/>
        </w:rPr>
        <w:t>鄭運鵬</w:t>
      </w:r>
      <w:r w:rsidRPr="00D65AED">
        <w:rPr>
          <w:rFonts w:ascii="標楷體" w:eastAsia="標楷體" w:hAnsi="標楷體"/>
          <w:sz w:val="28"/>
          <w:szCs w:val="28"/>
        </w:rPr>
        <w:tab/>
      </w:r>
    </w:p>
    <w:p w14:paraId="6AD4365D" w14:textId="77777777" w:rsidR="00421BB5" w:rsidRPr="00D65AED" w:rsidRDefault="00421BB5" w:rsidP="00421BB5">
      <w:pPr>
        <w:snapToGrid w:val="0"/>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委員出席10人</w:t>
      </w:r>
    </w:p>
    <w:p w14:paraId="6A367063" w14:textId="77777777" w:rsidR="00421BB5" w:rsidRPr="00D65AED" w:rsidRDefault="00421BB5" w:rsidP="00421BB5">
      <w:pPr>
        <w:adjustRightInd w:val="0"/>
        <w:snapToGrid w:val="0"/>
        <w:ind w:leftChars="-11" w:left="1402" w:hangingChars="510" w:hanging="1428"/>
        <w:jc w:val="both"/>
        <w:rPr>
          <w:rFonts w:ascii="標楷體" w:eastAsia="標楷體" w:hAnsi="標楷體"/>
          <w:color w:val="000000"/>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陳亭妃</w:t>
      </w:r>
      <w:r w:rsidRPr="00D65AED">
        <w:rPr>
          <w:rFonts w:ascii="標楷體" w:eastAsia="標楷體" w:hAnsi="標楷體"/>
          <w:sz w:val="28"/>
          <w:szCs w:val="28"/>
        </w:rPr>
        <w:tab/>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謝衣鳯</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color w:val="000000"/>
          <w:sz w:val="28"/>
          <w:szCs w:val="28"/>
        </w:rPr>
        <w:t>邱顯智</w:t>
      </w:r>
      <w:r w:rsidRPr="00D65AED">
        <w:rPr>
          <w:rFonts w:ascii="標楷體" w:eastAsia="標楷體" w:hAnsi="標楷體"/>
          <w:color w:val="000000"/>
          <w:sz w:val="28"/>
          <w:szCs w:val="28"/>
        </w:rPr>
        <w:tab/>
      </w:r>
      <w:r w:rsidRPr="00D65AED">
        <w:rPr>
          <w:rFonts w:ascii="標楷體" w:eastAsia="標楷體" w:hAnsi="標楷體" w:hint="eastAsia"/>
          <w:sz w:val="28"/>
          <w:szCs w:val="28"/>
        </w:rPr>
        <w:t>洪孟楷</w:t>
      </w:r>
    </w:p>
    <w:p w14:paraId="458287AA" w14:textId="77777777" w:rsidR="00421BB5" w:rsidRPr="00D65AED" w:rsidRDefault="00421BB5" w:rsidP="00421BB5">
      <w:pPr>
        <w:adjustRightInd w:val="0"/>
        <w:snapToGrid w:val="0"/>
        <w:ind w:leftChars="571" w:left="1398" w:hangingChars="10" w:hanging="28"/>
        <w:jc w:val="both"/>
        <w:rPr>
          <w:rFonts w:ascii="標楷體" w:eastAsia="標楷體" w:hAnsi="標楷體"/>
          <w:spacing w:val="-20"/>
          <w:w w:val="95"/>
          <w:sz w:val="28"/>
          <w:szCs w:val="28"/>
        </w:rPr>
      </w:pP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林德福</w:t>
      </w:r>
      <w:r w:rsidRPr="00D65AED">
        <w:rPr>
          <w:rFonts w:ascii="標楷體" w:eastAsia="標楷體" w:hAnsi="標楷體"/>
          <w:sz w:val="28"/>
          <w:szCs w:val="28"/>
        </w:rPr>
        <w:tab/>
      </w:r>
      <w:r w:rsidRPr="00D65AED">
        <w:rPr>
          <w:rFonts w:ascii="標楷體" w:eastAsia="標楷體" w:hAnsi="標楷體" w:hint="eastAsia"/>
          <w:sz w:val="28"/>
          <w:szCs w:val="28"/>
        </w:rPr>
        <w:t>江啟臣</w:t>
      </w:r>
      <w:r w:rsidRPr="00D65AED">
        <w:rPr>
          <w:rFonts w:ascii="標楷體" w:eastAsia="標楷體" w:hAnsi="標楷體"/>
          <w:sz w:val="28"/>
          <w:szCs w:val="28"/>
        </w:rPr>
        <w:tab/>
      </w: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r w:rsidRPr="00D65AED">
        <w:rPr>
          <w:rFonts w:ascii="標楷體" w:eastAsia="標楷體" w:hAnsi="標楷體"/>
          <w:spacing w:val="-20"/>
          <w:w w:val="95"/>
          <w:sz w:val="28"/>
          <w:szCs w:val="28"/>
        </w:rPr>
        <w:tab/>
      </w:r>
      <w:r w:rsidRPr="00D65AED">
        <w:rPr>
          <w:rFonts w:ascii="標楷體" w:eastAsia="標楷體" w:hAnsi="標楷體" w:hint="eastAsia"/>
          <w:color w:val="000000"/>
          <w:sz w:val="28"/>
          <w:szCs w:val="28"/>
        </w:rPr>
        <w:t>楊瓊瓔</w:t>
      </w:r>
      <w:r w:rsidRPr="00D65AED">
        <w:rPr>
          <w:rFonts w:ascii="標楷體" w:eastAsia="標楷體" w:hAnsi="標楷體"/>
          <w:color w:val="000000"/>
          <w:sz w:val="28"/>
          <w:szCs w:val="28"/>
        </w:rPr>
        <w:tab/>
      </w:r>
      <w:r w:rsidRPr="00D65AED">
        <w:rPr>
          <w:rFonts w:ascii="標楷體" w:eastAsia="標楷體" w:hAnsi="標楷體" w:hint="eastAsia"/>
          <w:color w:val="000000"/>
          <w:sz w:val="28"/>
          <w:szCs w:val="28"/>
        </w:rPr>
        <w:t>劉世芳</w:t>
      </w:r>
      <w:r w:rsidRPr="00D65AED">
        <w:rPr>
          <w:rFonts w:ascii="標楷體" w:eastAsia="標楷體" w:hAnsi="標楷體"/>
          <w:color w:val="000000"/>
          <w:sz w:val="28"/>
          <w:szCs w:val="28"/>
        </w:rPr>
        <w:tab/>
      </w:r>
    </w:p>
    <w:p w14:paraId="3B9B6EB5" w14:textId="77777777" w:rsidR="00421BB5" w:rsidRPr="00D65AED" w:rsidRDefault="00421BB5" w:rsidP="00421BB5">
      <w:pPr>
        <w:adjustRightInd w:val="0"/>
        <w:snapToGrid w:val="0"/>
        <w:ind w:leftChars="571" w:left="1398" w:hangingChars="10" w:hanging="28"/>
        <w:jc w:val="both"/>
        <w:rPr>
          <w:rFonts w:ascii="標楷體" w:eastAsia="標楷體" w:hAnsi="標楷體"/>
          <w:sz w:val="28"/>
          <w:szCs w:val="28"/>
        </w:rPr>
      </w:pPr>
      <w:r w:rsidRPr="00D65AED">
        <w:rPr>
          <w:rFonts w:ascii="標楷體" w:eastAsia="標楷體" w:hAnsi="標楷體" w:hint="eastAsia"/>
          <w:sz w:val="28"/>
        </w:rPr>
        <w:t>張其祿</w:t>
      </w:r>
      <w:r w:rsidRPr="00D65AED">
        <w:rPr>
          <w:rFonts w:ascii="標楷體" w:eastAsia="標楷體" w:hAnsi="標楷體"/>
          <w:sz w:val="28"/>
        </w:rPr>
        <w:tab/>
      </w:r>
      <w:r w:rsidRPr="00D65AED">
        <w:rPr>
          <w:rFonts w:ascii="標楷體" w:eastAsia="標楷體" w:hAnsi="標楷體" w:hint="eastAsia"/>
          <w:sz w:val="28"/>
          <w:szCs w:val="28"/>
        </w:rPr>
        <w:t>賴士葆</w:t>
      </w:r>
      <w:r w:rsidRPr="00D65AED">
        <w:rPr>
          <w:rFonts w:ascii="標楷體" w:eastAsia="標楷體" w:hAnsi="標楷體"/>
          <w:sz w:val="28"/>
          <w:szCs w:val="28"/>
        </w:rPr>
        <w:tab/>
      </w:r>
      <w:r w:rsidRPr="00D65AED">
        <w:rPr>
          <w:rFonts w:ascii="標楷體" w:eastAsia="標楷體" w:hAnsi="標楷體" w:hint="eastAsia"/>
          <w:sz w:val="28"/>
          <w:szCs w:val="28"/>
        </w:rPr>
        <w:t>邱志偉</w:t>
      </w:r>
      <w:r w:rsidRPr="00D65AED">
        <w:rPr>
          <w:rFonts w:ascii="標楷體" w:eastAsia="標楷體" w:hAnsi="標楷體"/>
          <w:sz w:val="28"/>
          <w:szCs w:val="28"/>
        </w:rPr>
        <w:tab/>
      </w:r>
      <w:r w:rsidRPr="00D65AED">
        <w:rPr>
          <w:rFonts w:ascii="標楷體" w:eastAsia="標楷體" w:hAnsi="標楷體" w:hint="eastAsia"/>
          <w:sz w:val="28"/>
          <w:szCs w:val="28"/>
        </w:rPr>
        <w:t>羅明才</w:t>
      </w:r>
    </w:p>
    <w:p w14:paraId="54F2E973" w14:textId="77777777" w:rsidR="00421BB5" w:rsidRPr="00D65AED" w:rsidRDefault="00421BB5" w:rsidP="00421BB5">
      <w:pPr>
        <w:adjustRightInd w:val="0"/>
        <w:snapToGrid w:val="0"/>
        <w:ind w:leftChars="571" w:left="1398" w:hangingChars="10" w:hanging="28"/>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17</w:t>
      </w:r>
      <w:r w:rsidRPr="00D65AED">
        <w:rPr>
          <w:rFonts w:ascii="標楷體" w:eastAsia="標楷體" w:hAnsi="標楷體"/>
          <w:sz w:val="28"/>
          <w:szCs w:val="28"/>
        </w:rPr>
        <w:t>人</w:t>
      </w:r>
    </w:p>
    <w:p w14:paraId="05F2B680"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p>
    <w:p w14:paraId="4B4FF82F"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請假1人</w:t>
      </w:r>
    </w:p>
    <w:p w14:paraId="55F0F8F1" w14:textId="77777777" w:rsidR="00421BB5" w:rsidRPr="00D65AED" w:rsidRDefault="00421BB5" w:rsidP="00421BB5">
      <w:pPr>
        <w:pStyle w:val="-9"/>
        <w:spacing w:line="240" w:lineRule="auto"/>
        <w:ind w:left="2240" w:hangingChars="800" w:hanging="2240"/>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考試院第三組參事兼組長　龔癸藝（秘書長請假）</w:t>
      </w:r>
    </w:p>
    <w:p w14:paraId="188B1589" w14:textId="77777777" w:rsidR="00421BB5" w:rsidRPr="00D65AED" w:rsidRDefault="00421BB5" w:rsidP="00421BB5">
      <w:pPr>
        <w:pStyle w:val="-9"/>
        <w:spacing w:line="240" w:lineRule="auto"/>
        <w:ind w:leftChars="589" w:left="2240" w:hangingChars="295" w:hanging="826"/>
        <w:rPr>
          <w:rFonts w:ascii="標楷體" w:hAnsi="標楷體"/>
          <w:sz w:val="28"/>
          <w:szCs w:val="28"/>
        </w:rPr>
      </w:pPr>
      <w:r w:rsidRPr="00D65AED">
        <w:rPr>
          <w:rFonts w:ascii="標楷體" w:hAnsi="標楷體" w:hint="eastAsia"/>
          <w:sz w:val="28"/>
          <w:szCs w:val="28"/>
        </w:rPr>
        <w:t>公務人員退休撫卹基金管理委員會主任委員　周志宏</w:t>
      </w:r>
    </w:p>
    <w:p w14:paraId="2AC5F666" w14:textId="77777777" w:rsidR="00421BB5" w:rsidRPr="00D65AED" w:rsidRDefault="00421BB5" w:rsidP="00421BB5">
      <w:pPr>
        <w:pStyle w:val="-9"/>
        <w:spacing w:line="240" w:lineRule="auto"/>
        <w:ind w:leftChars="583" w:left="2117" w:hangingChars="299" w:hanging="718"/>
        <w:rPr>
          <w:rFonts w:ascii="標楷體" w:hAnsi="標楷體"/>
          <w:spacing w:val="-20"/>
          <w:sz w:val="28"/>
          <w:szCs w:val="28"/>
        </w:rPr>
      </w:pPr>
      <w:r w:rsidRPr="00D65AED">
        <w:rPr>
          <w:rFonts w:ascii="標楷體" w:hAnsi="標楷體" w:hint="eastAsia"/>
          <w:spacing w:val="-20"/>
          <w:sz w:val="28"/>
          <w:szCs w:val="28"/>
        </w:rPr>
        <w:t xml:space="preserve">國家金融安定基金管理委員會執行秘書　</w:t>
      </w:r>
      <w:r w:rsidRPr="00D65AED">
        <w:rPr>
          <w:rFonts w:ascii="標楷體" w:hAnsi="標楷體"/>
          <w:spacing w:val="-20"/>
          <w:sz w:val="28"/>
          <w:szCs w:val="28"/>
        </w:rPr>
        <w:t>阮清華</w:t>
      </w:r>
      <w:r w:rsidRPr="00D65AED">
        <w:rPr>
          <w:rFonts w:ascii="標楷體" w:hAnsi="標楷體" w:hint="eastAsia"/>
          <w:spacing w:val="-20"/>
          <w:sz w:val="28"/>
          <w:szCs w:val="28"/>
        </w:rPr>
        <w:t>（主任委員請假）</w:t>
      </w:r>
    </w:p>
    <w:p w14:paraId="078A616D" w14:textId="77777777" w:rsidR="00421BB5" w:rsidRPr="00D65AED" w:rsidRDefault="00421BB5" w:rsidP="00421BB5">
      <w:pPr>
        <w:pStyle w:val="-9"/>
        <w:spacing w:line="240" w:lineRule="auto"/>
        <w:ind w:leftChars="583" w:left="2231" w:hangingChars="297" w:hanging="832"/>
        <w:rPr>
          <w:rFonts w:ascii="標楷體" w:hAnsi="標楷體"/>
          <w:sz w:val="28"/>
          <w:szCs w:val="28"/>
        </w:rPr>
      </w:pPr>
      <w:r w:rsidRPr="00D65AED">
        <w:rPr>
          <w:rFonts w:ascii="標楷體" w:hAnsi="標楷體" w:hint="eastAsia"/>
          <w:sz w:val="28"/>
          <w:szCs w:val="28"/>
        </w:rPr>
        <w:t>財政部政務</w:t>
      </w:r>
      <w:r w:rsidRPr="00D65AED">
        <w:rPr>
          <w:rFonts w:ascii="標楷體" w:hAnsi="標楷體" w:hint="eastAsia"/>
          <w:spacing w:val="-20"/>
          <w:sz w:val="28"/>
          <w:szCs w:val="28"/>
        </w:rPr>
        <w:t xml:space="preserve">次長　</w:t>
      </w:r>
      <w:r w:rsidRPr="00D65AED">
        <w:rPr>
          <w:rFonts w:ascii="標楷體" w:hAnsi="標楷體"/>
          <w:sz w:val="28"/>
          <w:szCs w:val="28"/>
        </w:rPr>
        <w:t>阮清華</w:t>
      </w:r>
      <w:r w:rsidRPr="00D65AED">
        <w:rPr>
          <w:rFonts w:ascii="標楷體" w:hAnsi="標楷體" w:hint="eastAsia"/>
          <w:sz w:val="28"/>
          <w:szCs w:val="28"/>
        </w:rPr>
        <w:t>（</w:t>
      </w:r>
      <w:r w:rsidRPr="00D65AED">
        <w:rPr>
          <w:rFonts w:ascii="標楷體" w:hAnsi="標楷體" w:hint="eastAsia"/>
          <w:spacing w:val="-20"/>
          <w:sz w:val="28"/>
          <w:szCs w:val="28"/>
        </w:rPr>
        <w:t>部長</w:t>
      </w:r>
      <w:r w:rsidRPr="00D65AED">
        <w:rPr>
          <w:rFonts w:ascii="標楷體" w:hAnsi="標楷體" w:hint="eastAsia"/>
          <w:sz w:val="28"/>
          <w:szCs w:val="28"/>
        </w:rPr>
        <w:t>請假）</w:t>
      </w:r>
    </w:p>
    <w:p w14:paraId="62C8592E" w14:textId="77777777" w:rsidR="00421BB5" w:rsidRPr="00D65AED" w:rsidRDefault="00421BB5" w:rsidP="00421BB5">
      <w:pPr>
        <w:pStyle w:val="-9"/>
        <w:spacing w:line="240" w:lineRule="auto"/>
        <w:ind w:leftChars="578" w:left="2109" w:hangingChars="301" w:hanging="722"/>
        <w:rPr>
          <w:rFonts w:ascii="標楷體" w:hAnsi="標楷體"/>
          <w:spacing w:val="-20"/>
          <w:sz w:val="28"/>
          <w:szCs w:val="28"/>
        </w:rPr>
      </w:pPr>
      <w:r w:rsidRPr="00D65AED">
        <w:rPr>
          <w:rFonts w:ascii="標楷體" w:hAnsi="標楷體" w:hint="eastAsia"/>
          <w:spacing w:val="-20"/>
          <w:sz w:val="28"/>
          <w:szCs w:val="28"/>
        </w:rPr>
        <w:t>金融監督管理委員會</w:t>
      </w:r>
      <w:r w:rsidRPr="00D65AED">
        <w:rPr>
          <w:rFonts w:ascii="標楷體" w:hAnsi="標楷體" w:hint="eastAsia"/>
          <w:color w:val="000000"/>
          <w:spacing w:val="-20"/>
          <w:sz w:val="30"/>
          <w:szCs w:val="30"/>
        </w:rPr>
        <w:t>證券期貨局局長</w:t>
      </w:r>
      <w:r w:rsidRPr="00D65AED">
        <w:rPr>
          <w:rFonts w:ascii="標楷體" w:hAnsi="標楷體" w:hint="eastAsia"/>
          <w:spacing w:val="-20"/>
          <w:sz w:val="28"/>
          <w:szCs w:val="28"/>
        </w:rPr>
        <w:t xml:space="preserve">　張振山（主任委員請假）</w:t>
      </w:r>
    </w:p>
    <w:p w14:paraId="3B121799" w14:textId="77777777" w:rsidR="00421BB5" w:rsidRPr="00D65AED" w:rsidRDefault="00421BB5" w:rsidP="00421BB5">
      <w:pPr>
        <w:adjustRightInd w:val="0"/>
        <w:snapToGrid w:val="0"/>
        <w:ind w:left="1364" w:rightChars="-355" w:right="-852" w:hangingChars="487" w:hanging="1364"/>
        <w:jc w:val="both"/>
        <w:rPr>
          <w:rFonts w:ascii="標楷體" w:eastAsia="標楷體" w:hAnsi="標楷體"/>
          <w:sz w:val="28"/>
          <w:szCs w:val="28"/>
        </w:rPr>
      </w:pPr>
      <w:r w:rsidRPr="00D65AED">
        <w:rPr>
          <w:rFonts w:ascii="標楷體" w:eastAsia="標楷體" w:hAnsi="標楷體"/>
          <w:kern w:val="0"/>
          <w:sz w:val="28"/>
          <w:szCs w:val="28"/>
          <w:fitText w:val="1120" w:id="1776055808"/>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402012E9"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298255AE"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081DB04F"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76016DBC"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2FDBB77D"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1B1B095C"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7742C4D1" w14:textId="77777777" w:rsidR="00421BB5" w:rsidRPr="00D65AED" w:rsidRDefault="00421BB5" w:rsidP="00421BB5">
      <w:pPr>
        <w:pStyle w:val="afffff2"/>
        <w:spacing w:beforeLines="50" w:before="180" w:line="240" w:lineRule="auto"/>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5785812F" w14:textId="77777777" w:rsidR="00421BB5" w:rsidRPr="00D65AED" w:rsidRDefault="00421BB5" w:rsidP="004070C3">
      <w:pPr>
        <w:pStyle w:val="afffff4"/>
        <w:numPr>
          <w:ilvl w:val="0"/>
          <w:numId w:val="43"/>
        </w:numPr>
        <w:spacing w:line="240" w:lineRule="auto"/>
        <w:ind w:firstLineChars="0"/>
        <w:jc w:val="both"/>
        <w:rPr>
          <w:rFonts w:ascii="標楷體" w:hAnsi="標楷體"/>
          <w:sz w:val="28"/>
          <w:szCs w:val="28"/>
        </w:rPr>
      </w:pPr>
      <w:r w:rsidRPr="00D65AED">
        <w:rPr>
          <w:rFonts w:ascii="標楷體" w:hAnsi="標楷體" w:hint="eastAsia"/>
          <w:sz w:val="28"/>
          <w:szCs w:val="28"/>
        </w:rPr>
        <w:t>宣讀上次會議議事錄。</w:t>
      </w:r>
    </w:p>
    <w:p w14:paraId="37B9BA45" w14:textId="77777777" w:rsidR="00421BB5" w:rsidRPr="00D65AED" w:rsidRDefault="00421BB5" w:rsidP="00421BB5">
      <w:pPr>
        <w:pStyle w:val="afffff4"/>
        <w:spacing w:line="240" w:lineRule="auto"/>
        <w:ind w:left="0" w:firstLineChars="0" w:firstLine="0"/>
        <w:jc w:val="both"/>
        <w:rPr>
          <w:rFonts w:ascii="標楷體" w:hAnsi="標楷體"/>
          <w:sz w:val="28"/>
          <w:szCs w:val="28"/>
        </w:rPr>
      </w:pPr>
      <w:r w:rsidRPr="00D65AED">
        <w:rPr>
          <w:rFonts w:ascii="標楷體" w:hAnsi="標楷體" w:hint="eastAsia"/>
          <w:sz w:val="28"/>
          <w:szCs w:val="28"/>
        </w:rPr>
        <w:t>決定：確定。</w:t>
      </w:r>
    </w:p>
    <w:p w14:paraId="6B2BCCDE" w14:textId="77777777" w:rsidR="00421BB5" w:rsidRPr="00D65AED" w:rsidRDefault="00421BB5" w:rsidP="00421BB5">
      <w:pPr>
        <w:pStyle w:val="afffff4"/>
        <w:spacing w:line="240" w:lineRule="auto"/>
        <w:ind w:left="560" w:hanging="560"/>
        <w:jc w:val="both"/>
        <w:rPr>
          <w:rFonts w:ascii="標楷體" w:hAnsi="標楷體"/>
          <w:sz w:val="28"/>
          <w:szCs w:val="28"/>
        </w:rPr>
      </w:pPr>
      <w:r w:rsidRPr="00D65AED">
        <w:rPr>
          <w:rFonts w:ascii="標楷體" w:hAnsi="標楷體" w:hint="eastAsia"/>
          <w:sz w:val="28"/>
          <w:szCs w:val="28"/>
        </w:rPr>
        <w:t>二、邀請考試院秘書長、公務人員退休撫卹基金管理委員會主任委員、國家金融安定基金管理委員會主任委員、財政部部長、金融監督管理委員會主任委員率所屬相關單位列席就「國際金融動盪，維護資本市場及其他金融市場穩定措施與國家金融安定基金進場護盤使用公務人員退休撫卹基金狀況暨111年度盈虧情形」進行專題報告，並備質詢。</w:t>
      </w:r>
    </w:p>
    <w:p w14:paraId="0A5F5EC2" w14:textId="77777777" w:rsidR="00421BB5" w:rsidRPr="00D65AED" w:rsidRDefault="00421BB5" w:rsidP="00421BB5">
      <w:pPr>
        <w:overflowPunct w:val="0"/>
        <w:adjustRightInd w:val="0"/>
        <w:snapToGrid w:val="0"/>
        <w:ind w:leftChars="-53" w:left="13" w:hangingChars="50" w:hanging="140"/>
        <w:jc w:val="both"/>
        <w:rPr>
          <w:rFonts w:ascii="標楷體" w:eastAsia="標楷體" w:hAnsi="標楷體"/>
          <w:sz w:val="28"/>
          <w:szCs w:val="28"/>
        </w:rPr>
      </w:pPr>
      <w:r w:rsidRPr="00D65AED">
        <w:rPr>
          <w:rFonts w:ascii="標楷體" w:eastAsia="標楷體" w:hAnsi="標楷體" w:hint="eastAsia"/>
          <w:sz w:val="28"/>
          <w:szCs w:val="28"/>
        </w:rPr>
        <w:t>（本次會議有委員曾銘宗、陳歐珀、黃世杰、劉建國、游毓蘭、陳玉珍、林思銘、陳以信、李貴敏、邱顯智、江永昌、張其祿提出質詢；委員楊瓊瓔、周春米、陳以信、鄭運鵬提出書面質詢。）</w:t>
      </w:r>
    </w:p>
    <w:p w14:paraId="07C2E091" w14:textId="77777777" w:rsidR="00421BB5" w:rsidRPr="00D65AED" w:rsidRDefault="00421BB5" w:rsidP="00421BB5">
      <w:pPr>
        <w:pStyle w:val="afffff4"/>
        <w:spacing w:line="240" w:lineRule="auto"/>
        <w:ind w:firstLineChars="0"/>
        <w:jc w:val="both"/>
        <w:rPr>
          <w:rFonts w:ascii="標楷體" w:hAnsi="標楷體"/>
          <w:sz w:val="28"/>
          <w:szCs w:val="28"/>
        </w:rPr>
      </w:pPr>
      <w:r w:rsidRPr="00D65AED">
        <w:rPr>
          <w:rFonts w:ascii="標楷體" w:hAnsi="標楷體" w:hint="eastAsia"/>
          <w:sz w:val="28"/>
          <w:szCs w:val="28"/>
        </w:rPr>
        <w:t>決定：</w:t>
      </w:r>
    </w:p>
    <w:p w14:paraId="5A2DD4F8" w14:textId="77777777" w:rsidR="00421BB5" w:rsidRPr="00D65AED" w:rsidRDefault="00421BB5" w:rsidP="00421BB5">
      <w:pPr>
        <w:pStyle w:val="afffff4"/>
        <w:spacing w:line="240" w:lineRule="auto"/>
        <w:ind w:firstLineChars="0"/>
        <w:jc w:val="both"/>
        <w:rPr>
          <w:rFonts w:ascii="標楷體" w:hAnsi="標楷體"/>
          <w:sz w:val="28"/>
          <w:szCs w:val="28"/>
        </w:rPr>
      </w:pPr>
      <w:r w:rsidRPr="00D65AED">
        <w:rPr>
          <w:rFonts w:ascii="標楷體" w:hAnsi="標楷體" w:hint="eastAsia"/>
          <w:sz w:val="28"/>
          <w:szCs w:val="28"/>
        </w:rPr>
        <w:t>一、報告及詢答完畢。</w:t>
      </w:r>
    </w:p>
    <w:p w14:paraId="2B501413" w14:textId="77777777" w:rsidR="00421BB5" w:rsidRPr="00D65AED" w:rsidRDefault="00421BB5" w:rsidP="00421BB5">
      <w:pPr>
        <w:pStyle w:val="afffff4"/>
        <w:spacing w:line="240" w:lineRule="auto"/>
        <w:ind w:firstLineChars="0"/>
        <w:jc w:val="distribute"/>
        <w:rPr>
          <w:rFonts w:ascii="標楷體" w:hAnsi="標楷體"/>
          <w:sz w:val="28"/>
          <w:szCs w:val="28"/>
        </w:rPr>
      </w:pPr>
      <w:r w:rsidRPr="00D65AED">
        <w:rPr>
          <w:rFonts w:ascii="標楷體" w:hAnsi="標楷體" w:hint="eastAsia"/>
          <w:sz w:val="28"/>
          <w:szCs w:val="28"/>
        </w:rPr>
        <w:lastRenderedPageBreak/>
        <w:t>二、</w:t>
      </w:r>
      <w:r w:rsidRPr="00D65AED">
        <w:rPr>
          <w:rFonts w:ascii="標楷體" w:hAnsi="標楷體"/>
          <w:sz w:val="28"/>
          <w:szCs w:val="28"/>
        </w:rPr>
        <w:t>委員質詢時，要求提供相關資料或以書面答復者，請相關機關儘</w:t>
      </w:r>
    </w:p>
    <w:p w14:paraId="3A1ED88C" w14:textId="77777777" w:rsidR="00421BB5" w:rsidRPr="00D65AED" w:rsidRDefault="00421BB5" w:rsidP="00421BB5">
      <w:pPr>
        <w:pStyle w:val="afffff4"/>
        <w:spacing w:line="240" w:lineRule="auto"/>
        <w:ind w:firstLineChars="0" w:hanging="66"/>
        <w:jc w:val="both"/>
        <w:rPr>
          <w:rFonts w:ascii="標楷體" w:hAnsi="標楷體"/>
          <w:sz w:val="28"/>
          <w:szCs w:val="28"/>
        </w:rPr>
      </w:pPr>
      <w:r w:rsidRPr="00D65AED">
        <w:rPr>
          <w:rFonts w:ascii="標楷體" w:hAnsi="標楷體"/>
          <w:sz w:val="28"/>
          <w:szCs w:val="28"/>
        </w:rPr>
        <w:t>速送交個別委員及本會。</w:t>
      </w:r>
    </w:p>
    <w:p w14:paraId="4C663CD0" w14:textId="77777777" w:rsidR="00421BB5" w:rsidRPr="00D65AED" w:rsidRDefault="00421BB5" w:rsidP="00421BB5">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D65AED">
        <w:rPr>
          <w:rFonts w:ascii="標楷體" w:eastAsia="標楷體" w:hAnsi="標楷體" w:hint="eastAsia"/>
          <w:b/>
          <w:kern w:val="0"/>
          <w:sz w:val="28"/>
          <w:szCs w:val="28"/>
          <w:lang w:val="x-none"/>
        </w:rPr>
        <w:t>提　　案</w:t>
      </w:r>
    </w:p>
    <w:p w14:paraId="0937DC1F" w14:textId="77777777" w:rsidR="00421BB5" w:rsidRPr="00D65AED" w:rsidRDefault="00421BB5" w:rsidP="00421BB5">
      <w:pPr>
        <w:tabs>
          <w:tab w:val="left" w:pos="-180"/>
        </w:tabs>
        <w:kinsoku w:val="0"/>
        <w:snapToGrid w:val="0"/>
        <w:spacing w:line="340" w:lineRule="exact"/>
        <w:ind w:leftChars="1" w:left="531" w:hangingChars="189" w:hanging="529"/>
        <w:jc w:val="both"/>
        <w:rPr>
          <w:rFonts w:ascii="標楷體" w:eastAsia="標楷體" w:hAnsi="標楷體"/>
          <w:noProof/>
          <w:sz w:val="28"/>
          <w:szCs w:val="28"/>
        </w:rPr>
      </w:pPr>
      <w:r w:rsidRPr="00D65AED">
        <w:rPr>
          <w:rFonts w:ascii="標楷體" w:eastAsia="標楷體" w:hAnsi="標楷體" w:hint="eastAsia"/>
          <w:noProof/>
          <w:sz w:val="28"/>
          <w:szCs w:val="28"/>
        </w:rPr>
        <w:t>一、有鑑於公務人員將於112年7月1日重行建立新制退撫儲金，惟考試院配套提出之「公務人員退休資遣撫卹法第9</w:t>
      </w:r>
      <w:r w:rsidRPr="00D65AED">
        <w:rPr>
          <w:rFonts w:ascii="標楷體" w:eastAsia="標楷體" w:hAnsi="標楷體"/>
          <w:noProof/>
          <w:sz w:val="28"/>
          <w:szCs w:val="28"/>
        </w:rPr>
        <w:t>3</w:t>
      </w:r>
      <w:r w:rsidRPr="00D65AED">
        <w:rPr>
          <w:rFonts w:ascii="標楷體" w:eastAsia="標楷體" w:hAnsi="標楷體" w:hint="eastAsia"/>
          <w:noProof/>
          <w:sz w:val="28"/>
          <w:szCs w:val="28"/>
        </w:rPr>
        <w:t>條及第9</w:t>
      </w:r>
      <w:r w:rsidRPr="00D65AED">
        <w:rPr>
          <w:rFonts w:ascii="標楷體" w:eastAsia="標楷體" w:hAnsi="標楷體"/>
          <w:noProof/>
          <w:sz w:val="28"/>
          <w:szCs w:val="28"/>
        </w:rPr>
        <w:t>5</w:t>
      </w:r>
      <w:r w:rsidRPr="00D65AED">
        <w:rPr>
          <w:rFonts w:ascii="標楷體" w:eastAsia="標楷體" w:hAnsi="標楷體" w:hint="eastAsia"/>
          <w:noProof/>
          <w:sz w:val="28"/>
          <w:szCs w:val="28"/>
        </w:rPr>
        <w:t>條條文修正草案」，限制政府撥補之責任，僅限於補足建立新制所造成財務之缺口，而非全面針對虧損。草案有所不當，參照「勞工保險條例」第6</w:t>
      </w:r>
      <w:r w:rsidRPr="00D65AED">
        <w:rPr>
          <w:rFonts w:ascii="標楷體" w:eastAsia="標楷體" w:hAnsi="標楷體"/>
          <w:noProof/>
          <w:sz w:val="28"/>
          <w:szCs w:val="28"/>
        </w:rPr>
        <w:t>9</w:t>
      </w:r>
      <w:r w:rsidRPr="00D65AED">
        <w:rPr>
          <w:rFonts w:ascii="標楷體" w:eastAsia="標楷體" w:hAnsi="標楷體" w:hint="eastAsia"/>
          <w:noProof/>
          <w:sz w:val="28"/>
          <w:szCs w:val="28"/>
        </w:rPr>
        <w:t>條規定，政府撥補勞保虧損，未有上述限制。1</w:t>
      </w:r>
      <w:r w:rsidRPr="00D65AED">
        <w:rPr>
          <w:rFonts w:ascii="標楷體" w:eastAsia="標楷體" w:hAnsi="標楷體"/>
          <w:noProof/>
          <w:sz w:val="28"/>
          <w:szCs w:val="28"/>
        </w:rPr>
        <w:t>11</w:t>
      </w:r>
      <w:r w:rsidRPr="00D65AED">
        <w:rPr>
          <w:rFonts w:ascii="標楷體" w:eastAsia="標楷體" w:hAnsi="標楷體" w:hint="eastAsia"/>
          <w:noProof/>
          <w:sz w:val="28"/>
          <w:szCs w:val="28"/>
        </w:rPr>
        <w:t>年撥補經費已高達新臺幣300億元，相形之下新制建立後，原先之公務人員退休撫卹基金無新成員加入，財務恐有憂慮。爰由銓敘部研處案揭事項之改善辦法，並於2個月內向立法院司法及法制委員會提出書面報告。</w:t>
      </w:r>
    </w:p>
    <w:p w14:paraId="3F043B99" w14:textId="77777777" w:rsidR="00421BB5" w:rsidRPr="00D65AED" w:rsidRDefault="00421BB5" w:rsidP="00421BB5">
      <w:pPr>
        <w:pStyle w:val="5-1"/>
        <w:spacing w:line="340" w:lineRule="exact"/>
        <w:rPr>
          <w:rFonts w:ascii="標楷體" w:hAnsi="標楷體"/>
          <w:szCs w:val="28"/>
        </w:rPr>
      </w:pPr>
      <w:r w:rsidRPr="00D65AED">
        <w:rPr>
          <w:rFonts w:ascii="標楷體" w:hAnsi="標楷體"/>
        </w:rPr>
        <w:t>提案人：</w:t>
      </w:r>
      <w:r w:rsidRPr="00D65AED">
        <w:rPr>
          <w:rFonts w:ascii="標楷體" w:hAnsi="標楷體" w:hint="eastAsia"/>
        </w:rPr>
        <w:t>游毓蘭 曾銘宗 林思銘 黃世杰</w:t>
      </w:r>
    </w:p>
    <w:p w14:paraId="206F281D" w14:textId="77777777" w:rsidR="00421BB5" w:rsidRPr="00D65AED" w:rsidRDefault="00421BB5" w:rsidP="00421BB5">
      <w:pPr>
        <w:pStyle w:val="0-4"/>
        <w:ind w:leftChars="-6" w:left="2461" w:hangingChars="884" w:hanging="2475"/>
      </w:pPr>
      <w:r w:rsidRPr="00D65AED">
        <w:rPr>
          <w:rFonts w:hint="eastAsia"/>
        </w:rPr>
        <w:t>決議：照案通過。</w:t>
      </w:r>
    </w:p>
    <w:p w14:paraId="6362979B" w14:textId="77777777" w:rsidR="00421BB5" w:rsidRPr="00D65AED" w:rsidRDefault="00421BB5" w:rsidP="00421BB5">
      <w:pPr>
        <w:autoSpaceDN w:val="0"/>
        <w:spacing w:line="340" w:lineRule="exact"/>
        <w:ind w:leftChars="6" w:left="529" w:hangingChars="184" w:hanging="515"/>
        <w:contextualSpacing/>
        <w:jc w:val="both"/>
        <w:rPr>
          <w:rFonts w:ascii="標楷體" w:eastAsia="標楷體" w:hAnsi="標楷體"/>
          <w:noProof/>
          <w:sz w:val="28"/>
          <w:szCs w:val="28"/>
        </w:rPr>
      </w:pPr>
      <w:r w:rsidRPr="00D65AED">
        <w:rPr>
          <w:rFonts w:ascii="標楷體" w:eastAsia="標楷體" w:hAnsi="標楷體" w:hint="eastAsia"/>
          <w:noProof/>
          <w:sz w:val="28"/>
          <w:szCs w:val="28"/>
        </w:rPr>
        <w:t>二、有鑑於公務人員退休撫卹基金攸關軍公教人員之退休金，應由利害關係人充分參與決策並監督責任。經查，自100至110年，本基金有7個年度未能達成精算報告建議之8.1%目標報酬率，績效表現不穩定；次查，媒體頻頻報導公務人員退休撫卹基金與國家金融安定基金共同進場，達成政策護盤股市任務，造成退休軍公教之憂心，且退休軍公教團體因僅為該基金監理會之成員，而未能參與管理會之投資決策。末查，1</w:t>
      </w:r>
      <w:r w:rsidRPr="00D65AED">
        <w:rPr>
          <w:rFonts w:ascii="標楷體" w:eastAsia="標楷體" w:hAnsi="標楷體"/>
          <w:noProof/>
          <w:sz w:val="28"/>
          <w:szCs w:val="28"/>
        </w:rPr>
        <w:t>12</w:t>
      </w:r>
      <w:r w:rsidRPr="00D65AED">
        <w:rPr>
          <w:rFonts w:ascii="標楷體" w:eastAsia="標楷體" w:hAnsi="標楷體" w:hint="eastAsia"/>
          <w:noProof/>
          <w:sz w:val="28"/>
          <w:szCs w:val="28"/>
        </w:rPr>
        <w:t>年7月1日政府即將重行建立之新進人員退休撫卹制度，提供自主投資選擇權，然而原先適用該基金者，卻未一併納入。綜上，應研議退休軍公教團體之相關參與措施，爰由銓敘部研處案揭事項之分析說明，並於</w:t>
      </w:r>
      <w:r w:rsidRPr="00D65AED">
        <w:rPr>
          <w:rFonts w:ascii="標楷體" w:eastAsia="標楷體" w:hAnsi="標楷體"/>
          <w:noProof/>
          <w:sz w:val="28"/>
          <w:szCs w:val="28"/>
        </w:rPr>
        <w:t>3</w:t>
      </w:r>
      <w:r w:rsidRPr="00D65AED">
        <w:rPr>
          <w:rFonts w:ascii="標楷體" w:eastAsia="標楷體" w:hAnsi="標楷體" w:hint="eastAsia"/>
          <w:noProof/>
          <w:sz w:val="28"/>
          <w:szCs w:val="28"/>
        </w:rPr>
        <w:t>個月內向立法院司法及法制委員會提出書面報告。</w:t>
      </w:r>
    </w:p>
    <w:p w14:paraId="585F028E" w14:textId="77777777" w:rsidR="00421BB5" w:rsidRPr="00D65AED" w:rsidRDefault="00421BB5" w:rsidP="00421BB5">
      <w:pPr>
        <w:pStyle w:val="5-1"/>
        <w:spacing w:line="340" w:lineRule="exact"/>
        <w:rPr>
          <w:rFonts w:ascii="標楷體" w:hAnsi="標楷體"/>
        </w:rPr>
      </w:pPr>
      <w:r w:rsidRPr="00D65AED">
        <w:rPr>
          <w:rFonts w:ascii="標楷體" w:hAnsi="標楷體"/>
        </w:rPr>
        <w:t>提案人：</w:t>
      </w:r>
      <w:r w:rsidRPr="00D65AED">
        <w:rPr>
          <w:rFonts w:ascii="標楷體" w:hAnsi="標楷體" w:hint="eastAsia"/>
        </w:rPr>
        <w:t>游毓蘭 曾銘宗 林思銘 黃世杰</w:t>
      </w:r>
    </w:p>
    <w:p w14:paraId="4FF1D4FB" w14:textId="77777777" w:rsidR="00421BB5" w:rsidRPr="00D65AED" w:rsidRDefault="00421BB5" w:rsidP="00421BB5">
      <w:pPr>
        <w:pStyle w:val="5-1"/>
        <w:spacing w:line="340" w:lineRule="exact"/>
        <w:ind w:leftChars="0" w:left="0" w:firstLineChars="0" w:firstLine="0"/>
        <w:rPr>
          <w:rFonts w:ascii="標楷體" w:hAnsi="標楷體"/>
        </w:rPr>
      </w:pPr>
      <w:r w:rsidRPr="00D65AED">
        <w:rPr>
          <w:rFonts w:ascii="標楷體" w:hAnsi="標楷體" w:hint="eastAsia"/>
        </w:rPr>
        <w:t>決議：照案通過。</w:t>
      </w:r>
    </w:p>
    <w:p w14:paraId="0B848165" w14:textId="77777777" w:rsidR="00421BB5" w:rsidRPr="00D65AED" w:rsidRDefault="00421BB5" w:rsidP="00421BB5">
      <w:pPr>
        <w:autoSpaceDN w:val="0"/>
        <w:contextualSpacing/>
        <w:jc w:val="both"/>
        <w:rPr>
          <w:rFonts w:ascii="標楷體" w:eastAsia="標楷體" w:hAnsi="標楷體"/>
          <w:sz w:val="28"/>
          <w:szCs w:val="28"/>
        </w:rPr>
      </w:pPr>
      <w:r w:rsidRPr="00D65AED">
        <w:rPr>
          <w:rFonts w:ascii="標楷體" w:eastAsia="標楷體" w:hAnsi="標楷體"/>
          <w:sz w:val="28"/>
          <w:szCs w:val="28"/>
        </w:rPr>
        <w:t>散會</w:t>
      </w:r>
    </w:p>
    <w:p w14:paraId="7564BBDB" w14:textId="77777777" w:rsidR="00421BB5" w:rsidRPr="00D65AED" w:rsidRDefault="00421BB5" w:rsidP="00421BB5">
      <w:pPr>
        <w:adjustRightInd w:val="0"/>
        <w:snapToGrid w:val="0"/>
        <w:spacing w:beforeLines="50" w:before="180" w:line="360" w:lineRule="exact"/>
        <w:jc w:val="both"/>
        <w:rPr>
          <w:rFonts w:ascii="標楷體" w:eastAsia="標楷體" w:hAnsi="標楷體"/>
          <w:sz w:val="28"/>
          <w:szCs w:val="28"/>
        </w:rPr>
      </w:pPr>
    </w:p>
    <w:p w14:paraId="3487BB4B"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會期司法及法制委員會第7次全體委員會議議事錄</w:t>
      </w:r>
    </w:p>
    <w:p w14:paraId="5628F41A" w14:textId="77777777" w:rsidR="00421BB5" w:rsidRPr="00D65AED" w:rsidRDefault="00421BB5" w:rsidP="00421BB5">
      <w:pPr>
        <w:pStyle w:val="-9"/>
        <w:spacing w:line="360" w:lineRule="exact"/>
        <w:ind w:leftChars="1" w:left="1416" w:hangingChars="505" w:hanging="1414"/>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pacing w:val="-10"/>
          <w:sz w:val="28"/>
          <w:szCs w:val="28"/>
        </w:rPr>
        <w:t>：中華民國1</w:t>
      </w:r>
      <w:r w:rsidRPr="00D65AED">
        <w:rPr>
          <w:rFonts w:ascii="標楷體" w:hAnsi="標楷體" w:hint="eastAsia"/>
          <w:spacing w:val="-10"/>
          <w:sz w:val="28"/>
          <w:szCs w:val="28"/>
        </w:rPr>
        <w:t>11</w:t>
      </w:r>
      <w:r w:rsidRPr="00D65AED">
        <w:rPr>
          <w:rFonts w:ascii="標楷體" w:hAnsi="標楷體"/>
          <w:spacing w:val="-10"/>
          <w:sz w:val="28"/>
          <w:szCs w:val="28"/>
        </w:rPr>
        <w:t>年</w:t>
      </w:r>
      <w:r w:rsidRPr="00D65AED">
        <w:rPr>
          <w:rFonts w:ascii="標楷體" w:hAnsi="標楷體" w:hint="eastAsia"/>
          <w:spacing w:val="-10"/>
          <w:sz w:val="28"/>
          <w:szCs w:val="28"/>
        </w:rPr>
        <w:t>10</w:t>
      </w:r>
      <w:r w:rsidRPr="00D65AED">
        <w:rPr>
          <w:rFonts w:ascii="標楷體" w:hAnsi="標楷體"/>
          <w:spacing w:val="-10"/>
          <w:sz w:val="28"/>
          <w:szCs w:val="28"/>
        </w:rPr>
        <w:t>月19日（星期</w:t>
      </w:r>
      <w:r w:rsidRPr="00D65AED">
        <w:rPr>
          <w:rFonts w:ascii="標楷體" w:hAnsi="標楷體" w:hint="eastAsia"/>
          <w:spacing w:val="-10"/>
          <w:sz w:val="28"/>
          <w:szCs w:val="28"/>
        </w:rPr>
        <w:t>三</w:t>
      </w:r>
      <w:r w:rsidRPr="00D65AED">
        <w:rPr>
          <w:rFonts w:ascii="標楷體" w:hAnsi="標楷體"/>
          <w:spacing w:val="-10"/>
          <w:sz w:val="28"/>
          <w:szCs w:val="28"/>
        </w:rPr>
        <w:t>）上午9時</w:t>
      </w:r>
      <w:r w:rsidRPr="00D65AED">
        <w:rPr>
          <w:rFonts w:ascii="標楷體" w:hAnsi="標楷體" w:hint="eastAsia"/>
          <w:spacing w:val="-10"/>
          <w:sz w:val="28"/>
          <w:szCs w:val="28"/>
        </w:rPr>
        <w:t>4</w:t>
      </w:r>
      <w:r w:rsidRPr="00D65AED">
        <w:rPr>
          <w:rFonts w:ascii="標楷體" w:hAnsi="標楷體"/>
          <w:spacing w:val="-10"/>
          <w:sz w:val="28"/>
          <w:szCs w:val="28"/>
        </w:rPr>
        <w:t>分至</w:t>
      </w:r>
      <w:r w:rsidRPr="00D65AED">
        <w:rPr>
          <w:rFonts w:ascii="標楷體" w:hAnsi="標楷體" w:hint="eastAsia"/>
          <w:spacing w:val="-10"/>
          <w:sz w:val="28"/>
          <w:szCs w:val="28"/>
        </w:rPr>
        <w:t>11</w:t>
      </w:r>
      <w:r w:rsidRPr="00D65AED">
        <w:rPr>
          <w:rFonts w:ascii="標楷體" w:hAnsi="標楷體"/>
          <w:spacing w:val="-10"/>
          <w:sz w:val="28"/>
          <w:szCs w:val="28"/>
        </w:rPr>
        <w:t>時46分</w:t>
      </w:r>
      <w:r w:rsidRPr="00D65AED">
        <w:rPr>
          <w:rFonts w:ascii="標楷體" w:hAnsi="標楷體" w:hint="eastAsia"/>
          <w:spacing w:val="-10"/>
          <w:sz w:val="28"/>
          <w:szCs w:val="28"/>
        </w:rPr>
        <w:t>、下</w:t>
      </w:r>
      <w:r w:rsidRPr="00D65AED">
        <w:rPr>
          <w:rFonts w:ascii="標楷體" w:hAnsi="標楷體"/>
          <w:spacing w:val="-10"/>
          <w:sz w:val="28"/>
          <w:szCs w:val="28"/>
        </w:rPr>
        <w:t>午</w:t>
      </w:r>
      <w:r w:rsidRPr="00D65AED">
        <w:rPr>
          <w:rFonts w:ascii="標楷體" w:hAnsi="標楷體" w:hint="eastAsia"/>
          <w:spacing w:val="-10"/>
          <w:sz w:val="28"/>
          <w:szCs w:val="28"/>
        </w:rPr>
        <w:t>2</w:t>
      </w:r>
      <w:r w:rsidRPr="00D65AED">
        <w:rPr>
          <w:rFonts w:ascii="標楷體" w:hAnsi="標楷體"/>
          <w:spacing w:val="-10"/>
          <w:sz w:val="28"/>
          <w:szCs w:val="28"/>
        </w:rPr>
        <w:t>時至</w:t>
      </w:r>
      <w:r w:rsidRPr="00D65AED">
        <w:rPr>
          <w:rFonts w:ascii="標楷體" w:hAnsi="標楷體" w:hint="eastAsia"/>
          <w:spacing w:val="-10"/>
          <w:sz w:val="28"/>
          <w:szCs w:val="28"/>
        </w:rPr>
        <w:t>2</w:t>
      </w:r>
      <w:r w:rsidRPr="00D65AED">
        <w:rPr>
          <w:rFonts w:ascii="標楷體" w:hAnsi="標楷體"/>
          <w:spacing w:val="-10"/>
          <w:sz w:val="28"/>
          <w:szCs w:val="28"/>
        </w:rPr>
        <w:t>時</w:t>
      </w:r>
      <w:r w:rsidRPr="00D65AED">
        <w:rPr>
          <w:rFonts w:ascii="標楷體" w:hAnsi="標楷體" w:hint="eastAsia"/>
          <w:spacing w:val="-10"/>
          <w:sz w:val="28"/>
          <w:szCs w:val="28"/>
        </w:rPr>
        <w:t>29</w:t>
      </w:r>
      <w:r w:rsidRPr="00D65AED">
        <w:rPr>
          <w:rFonts w:ascii="標楷體" w:hAnsi="標楷體"/>
          <w:spacing w:val="-10"/>
          <w:sz w:val="28"/>
          <w:szCs w:val="28"/>
        </w:rPr>
        <w:t>分</w:t>
      </w:r>
    </w:p>
    <w:p w14:paraId="7C296AB3"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72CDF55D" w14:textId="77777777" w:rsidR="00996A54" w:rsidRDefault="00421BB5" w:rsidP="00421BB5">
      <w:pPr>
        <w:pStyle w:val="-9"/>
        <w:spacing w:line="360" w:lineRule="exact"/>
        <w:ind w:leftChars="-10" w:left="1429" w:hangingChars="519" w:hanging="1453"/>
        <w:jc w:val="left"/>
        <w:rPr>
          <w:rFonts w:ascii="標楷體" w:hAnsi="標楷體"/>
          <w:sz w:val="28"/>
          <w:szCs w:val="28"/>
        </w:rPr>
      </w:pPr>
      <w:r w:rsidRPr="00D65AED">
        <w:rPr>
          <w:rFonts w:ascii="標楷體" w:hAnsi="標楷體"/>
          <w:sz w:val="28"/>
          <w:szCs w:val="28"/>
        </w:rPr>
        <w:t>出席委員</w:t>
      </w:r>
      <w:r w:rsidRPr="00D65AED">
        <w:rPr>
          <w:rFonts w:ascii="標楷體" w:hAnsi="標楷體" w:hint="eastAsia"/>
          <w:sz w:val="28"/>
          <w:szCs w:val="28"/>
        </w:rPr>
        <w:t>：曾銘宗</w:t>
      </w:r>
      <w:r w:rsidRPr="00D65AED">
        <w:rPr>
          <w:rFonts w:ascii="標楷體" w:hAnsi="標楷體" w:hint="eastAsia"/>
          <w:sz w:val="28"/>
          <w:szCs w:val="28"/>
        </w:rPr>
        <w:tab/>
        <w:t>陳歐珀</w:t>
      </w:r>
      <w:r w:rsidRPr="00D65AED">
        <w:rPr>
          <w:rFonts w:ascii="標楷體" w:hAnsi="標楷體"/>
          <w:sz w:val="28"/>
          <w:szCs w:val="28"/>
        </w:rPr>
        <w:tab/>
      </w:r>
      <w:r w:rsidRPr="00D65AED">
        <w:rPr>
          <w:rFonts w:ascii="標楷體" w:hAnsi="標楷體" w:hint="eastAsia"/>
          <w:sz w:val="28"/>
          <w:szCs w:val="28"/>
        </w:rPr>
        <w:t>游毓蘭</w:t>
      </w:r>
      <w:r w:rsidRPr="00D65AED">
        <w:rPr>
          <w:rFonts w:ascii="標楷體" w:hAnsi="標楷體"/>
          <w:sz w:val="28"/>
          <w:szCs w:val="28"/>
        </w:rPr>
        <w:tab/>
      </w:r>
      <w:r w:rsidRPr="00D65AED">
        <w:rPr>
          <w:rFonts w:ascii="標楷體" w:hAnsi="標楷體" w:hint="eastAsia"/>
          <w:sz w:val="28"/>
          <w:szCs w:val="28"/>
        </w:rPr>
        <w:t>黃世杰</w:t>
      </w:r>
      <w:r w:rsidRPr="00D65AED">
        <w:rPr>
          <w:rFonts w:ascii="標楷體" w:hAnsi="標楷體"/>
          <w:sz w:val="28"/>
          <w:szCs w:val="28"/>
        </w:rPr>
        <w:tab/>
      </w:r>
      <w:r w:rsidRPr="00D65AED">
        <w:rPr>
          <w:rFonts w:ascii="標楷體" w:hAnsi="標楷體" w:hint="eastAsia"/>
          <w:sz w:val="28"/>
          <w:szCs w:val="28"/>
        </w:rPr>
        <w:t>江永昌</w:t>
      </w:r>
      <w:r w:rsidRPr="00D65AED">
        <w:rPr>
          <w:rFonts w:ascii="標楷體" w:hAnsi="標楷體"/>
          <w:sz w:val="28"/>
          <w:szCs w:val="28"/>
        </w:rPr>
        <w:tab/>
      </w:r>
      <w:r w:rsidRPr="00D65AED">
        <w:rPr>
          <w:rFonts w:ascii="標楷體" w:hAnsi="標楷體" w:hint="eastAsia"/>
          <w:sz w:val="28"/>
          <w:szCs w:val="28"/>
        </w:rPr>
        <w:t>林思銘</w:t>
      </w:r>
      <w:r w:rsidRPr="00D65AED">
        <w:rPr>
          <w:rFonts w:ascii="標楷體" w:hAnsi="標楷體"/>
          <w:sz w:val="28"/>
          <w:szCs w:val="28"/>
        </w:rPr>
        <w:tab/>
      </w:r>
      <w:r w:rsidRPr="00D65AED">
        <w:rPr>
          <w:rFonts w:ascii="標楷體" w:hAnsi="標楷體" w:hint="eastAsia"/>
          <w:sz w:val="28"/>
          <w:szCs w:val="28"/>
        </w:rPr>
        <w:t>陳玉珍</w:t>
      </w:r>
    </w:p>
    <w:p w14:paraId="5BEF4C63" w14:textId="3C8FC6E4" w:rsidR="00421BB5" w:rsidRPr="00996A54" w:rsidRDefault="00421BB5" w:rsidP="00996A54">
      <w:pPr>
        <w:adjustRightInd w:val="0"/>
        <w:snapToGrid w:val="0"/>
        <w:spacing w:line="360" w:lineRule="exact"/>
        <w:ind w:leftChars="577" w:left="1385" w:firstLine="1"/>
        <w:rPr>
          <w:rFonts w:ascii="標楷體" w:eastAsia="標楷體" w:hAnsi="標楷體"/>
          <w:sz w:val="28"/>
          <w:szCs w:val="28"/>
        </w:rPr>
      </w:pPr>
      <w:r w:rsidRPr="00996A54">
        <w:rPr>
          <w:rFonts w:ascii="標楷體" w:eastAsia="標楷體" w:hAnsi="標楷體" w:hint="eastAsia"/>
          <w:sz w:val="28"/>
          <w:szCs w:val="28"/>
        </w:rPr>
        <w:t>陳以信</w:t>
      </w:r>
      <w:r w:rsidRPr="00996A54">
        <w:rPr>
          <w:rFonts w:ascii="標楷體" w:eastAsia="標楷體" w:hAnsi="標楷體"/>
          <w:sz w:val="28"/>
          <w:szCs w:val="28"/>
        </w:rPr>
        <w:tab/>
      </w:r>
      <w:r w:rsidRPr="00996A54">
        <w:rPr>
          <w:rFonts w:ascii="標楷體" w:eastAsia="標楷體" w:hAnsi="標楷體" w:hint="eastAsia"/>
          <w:sz w:val="28"/>
          <w:szCs w:val="28"/>
        </w:rPr>
        <w:t>劉建國</w:t>
      </w:r>
      <w:r w:rsidRPr="00996A54">
        <w:rPr>
          <w:rFonts w:ascii="標楷體" w:eastAsia="標楷體" w:hAnsi="標楷體"/>
          <w:sz w:val="28"/>
          <w:szCs w:val="28"/>
        </w:rPr>
        <w:tab/>
      </w:r>
      <w:r w:rsidRPr="00996A54">
        <w:rPr>
          <w:rFonts w:ascii="標楷體" w:eastAsia="標楷體" w:hAnsi="標楷體" w:hint="eastAsia"/>
          <w:sz w:val="28"/>
          <w:szCs w:val="28"/>
        </w:rPr>
        <w:t>鄭運鵬</w:t>
      </w:r>
      <w:r w:rsidRPr="00996A54">
        <w:rPr>
          <w:rFonts w:ascii="標楷體" w:eastAsia="標楷體" w:hAnsi="標楷體"/>
          <w:sz w:val="28"/>
          <w:szCs w:val="28"/>
        </w:rPr>
        <w:tab/>
      </w:r>
      <w:r w:rsidRPr="00996A54">
        <w:rPr>
          <w:rFonts w:ascii="標楷體" w:eastAsia="標楷體" w:hAnsi="標楷體" w:hint="eastAsia"/>
          <w:sz w:val="28"/>
          <w:szCs w:val="28"/>
        </w:rPr>
        <w:t>柯建銘</w:t>
      </w:r>
    </w:p>
    <w:p w14:paraId="06525972"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委員出席</w:t>
      </w:r>
      <w:r w:rsidRPr="00D65AED">
        <w:rPr>
          <w:rFonts w:ascii="標楷體" w:eastAsia="標楷體" w:hAnsi="標楷體" w:hint="eastAsia"/>
          <w:sz w:val="28"/>
          <w:szCs w:val="28"/>
        </w:rPr>
        <w:t>11</w:t>
      </w:r>
      <w:r w:rsidRPr="00D65AED">
        <w:rPr>
          <w:rFonts w:ascii="標楷體" w:eastAsia="標楷體" w:hAnsi="標楷體"/>
          <w:sz w:val="28"/>
          <w:szCs w:val="28"/>
        </w:rPr>
        <w:t>人</w:t>
      </w:r>
    </w:p>
    <w:p w14:paraId="203E17F9" w14:textId="77777777" w:rsidR="00421BB5" w:rsidRPr="00D65AED" w:rsidRDefault="00421BB5" w:rsidP="00421BB5">
      <w:pPr>
        <w:adjustRightInd w:val="0"/>
        <w:snapToGrid w:val="0"/>
        <w:spacing w:line="360" w:lineRule="exact"/>
        <w:ind w:leftChars="-11" w:left="1402" w:hangingChars="510" w:hanging="1428"/>
        <w:rPr>
          <w:rFonts w:ascii="標楷體" w:eastAsia="標楷體" w:hAnsi="標楷體"/>
          <w:spacing w:val="-20"/>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pacing w:val="-20"/>
          <w:w w:val="95"/>
          <w:sz w:val="28"/>
          <w:szCs w:val="28"/>
        </w:rPr>
        <w:t>鄭天財Sra Kacaw</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陳明文</w:t>
      </w:r>
    </w:p>
    <w:p w14:paraId="465FB650" w14:textId="77777777" w:rsidR="00236826" w:rsidRDefault="00421BB5" w:rsidP="00421BB5">
      <w:pPr>
        <w:adjustRightInd w:val="0"/>
        <w:snapToGrid w:val="0"/>
        <w:spacing w:line="360" w:lineRule="exact"/>
        <w:ind w:leftChars="577" w:left="1385" w:firstLine="1"/>
        <w:rPr>
          <w:rFonts w:ascii="標楷體" w:eastAsia="標楷體" w:hAnsi="標楷體"/>
          <w:sz w:val="28"/>
          <w:szCs w:val="28"/>
        </w:rPr>
      </w:pPr>
      <w:r w:rsidRPr="00D65AED">
        <w:rPr>
          <w:rFonts w:ascii="標楷體" w:eastAsia="標楷體" w:hAnsi="標楷體" w:hint="eastAsia"/>
          <w:sz w:val="28"/>
          <w:szCs w:val="28"/>
        </w:rPr>
        <w:t>江啟臣</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hint="eastAsia"/>
          <w:sz w:val="28"/>
          <w:szCs w:val="28"/>
        </w:rPr>
        <w:tab/>
        <w:t>李德維</w:t>
      </w:r>
      <w:r w:rsidRPr="00D65AED">
        <w:rPr>
          <w:rFonts w:ascii="標楷體" w:eastAsia="標楷體" w:hAnsi="標楷體"/>
          <w:sz w:val="28"/>
          <w:szCs w:val="28"/>
        </w:rPr>
        <w:tab/>
      </w: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sz w:val="28"/>
          <w:szCs w:val="28"/>
        </w:rPr>
        <w:t>林德福</w:t>
      </w:r>
      <w:r w:rsidRPr="00D65AED">
        <w:rPr>
          <w:rFonts w:ascii="標楷體" w:eastAsia="標楷體" w:hAnsi="標楷體"/>
          <w:sz w:val="28"/>
          <w:szCs w:val="28"/>
        </w:rPr>
        <w:tab/>
      </w:r>
      <w:r w:rsidRPr="00D65AED">
        <w:rPr>
          <w:rFonts w:ascii="標楷體" w:eastAsia="標楷體" w:hAnsi="標楷體" w:hint="eastAsia"/>
          <w:sz w:val="28"/>
          <w:szCs w:val="28"/>
        </w:rPr>
        <w:t>呂玉玲</w:t>
      </w:r>
      <w:r w:rsidRPr="00D65AED">
        <w:rPr>
          <w:rFonts w:ascii="標楷體" w:eastAsia="標楷體" w:hAnsi="標楷體"/>
          <w:sz w:val="28"/>
          <w:szCs w:val="28"/>
        </w:rPr>
        <w:tab/>
      </w:r>
      <w:r w:rsidRPr="00D65AED">
        <w:rPr>
          <w:rFonts w:ascii="標楷體" w:eastAsia="標楷體" w:hAnsi="標楷體" w:hint="eastAsia"/>
          <w:sz w:val="28"/>
          <w:szCs w:val="28"/>
        </w:rPr>
        <w:t>陳亭妃</w:t>
      </w:r>
    </w:p>
    <w:p w14:paraId="092A6FB8" w14:textId="7056A0B2" w:rsidR="00421BB5" w:rsidRPr="00D65AED" w:rsidRDefault="00421BB5" w:rsidP="00421BB5">
      <w:pPr>
        <w:adjustRightInd w:val="0"/>
        <w:snapToGrid w:val="0"/>
        <w:spacing w:line="360" w:lineRule="exact"/>
        <w:ind w:leftChars="577" w:left="1385" w:firstLine="1"/>
        <w:rPr>
          <w:rFonts w:ascii="標楷體" w:eastAsia="標楷體" w:hAnsi="標楷體"/>
          <w:sz w:val="28"/>
          <w:szCs w:val="28"/>
        </w:rPr>
      </w:pPr>
      <w:r w:rsidRPr="00D65AED">
        <w:rPr>
          <w:rFonts w:ascii="標楷體" w:eastAsia="標楷體" w:hAnsi="標楷體" w:hint="eastAsia"/>
          <w:sz w:val="28"/>
          <w:szCs w:val="28"/>
        </w:rPr>
        <w:t>孔文吉</w:t>
      </w:r>
      <w:r w:rsidRPr="00D65AED">
        <w:rPr>
          <w:rFonts w:ascii="標楷體" w:eastAsia="標楷體" w:hAnsi="標楷體"/>
          <w:sz w:val="28"/>
          <w:szCs w:val="28"/>
        </w:rPr>
        <w:tab/>
      </w:r>
      <w:r w:rsidRPr="00D65AED">
        <w:rPr>
          <w:rFonts w:ascii="標楷體" w:eastAsia="標楷體" w:hAnsi="標楷體" w:hint="eastAsia"/>
          <w:sz w:val="28"/>
          <w:szCs w:val="28"/>
        </w:rPr>
        <w:t>何欣純</w:t>
      </w:r>
      <w:r w:rsidRPr="00D65AED">
        <w:rPr>
          <w:rFonts w:ascii="標楷體" w:eastAsia="標楷體" w:hAnsi="標楷體"/>
          <w:sz w:val="28"/>
          <w:szCs w:val="28"/>
        </w:rPr>
        <w:tab/>
      </w:r>
      <w:r w:rsidRPr="00D65AED">
        <w:rPr>
          <w:rFonts w:ascii="標楷體" w:eastAsia="標楷體" w:hAnsi="標楷體" w:hint="eastAsia"/>
          <w:sz w:val="28"/>
          <w:szCs w:val="28"/>
        </w:rPr>
        <w:t>鄭正鈐</w:t>
      </w:r>
      <w:r w:rsidRPr="00D65AED">
        <w:rPr>
          <w:rFonts w:ascii="標楷體" w:eastAsia="標楷體" w:hAnsi="標楷體"/>
          <w:sz w:val="28"/>
        </w:rPr>
        <w:tab/>
      </w:r>
      <w:r w:rsidRPr="00D65AED">
        <w:rPr>
          <w:rFonts w:ascii="標楷體" w:eastAsia="標楷體" w:hAnsi="標楷體" w:hint="eastAsia"/>
          <w:sz w:val="28"/>
        </w:rPr>
        <w:t>謝衣鳯</w:t>
      </w:r>
      <w:r w:rsidRPr="00D65AED">
        <w:rPr>
          <w:rFonts w:ascii="標楷體" w:eastAsia="標楷體" w:hAnsi="標楷體"/>
          <w:sz w:val="28"/>
        </w:rPr>
        <w:tab/>
      </w:r>
      <w:r w:rsidRPr="00D65AED">
        <w:rPr>
          <w:rFonts w:ascii="標楷體" w:eastAsia="標楷體" w:hAnsi="標楷體" w:hint="eastAsia"/>
          <w:sz w:val="28"/>
        </w:rPr>
        <w:t>廖國棟</w:t>
      </w:r>
      <w:r w:rsidRPr="00D65AED">
        <w:rPr>
          <w:rFonts w:ascii="標楷體" w:eastAsia="標楷體" w:hAnsi="標楷體"/>
          <w:sz w:val="28"/>
        </w:rPr>
        <w:tab/>
      </w:r>
      <w:r w:rsidRPr="00D65AED">
        <w:rPr>
          <w:rFonts w:ascii="標楷體" w:eastAsia="標楷體" w:hAnsi="標楷體" w:hint="eastAsia"/>
          <w:sz w:val="28"/>
        </w:rPr>
        <w:t>張育美</w:t>
      </w:r>
      <w:r w:rsidRPr="00D65AED">
        <w:rPr>
          <w:rFonts w:ascii="標楷體" w:eastAsia="標楷體" w:hAnsi="標楷體"/>
          <w:sz w:val="28"/>
          <w:szCs w:val="28"/>
        </w:rPr>
        <w:tab/>
      </w:r>
      <w:r w:rsidRPr="00D65AED">
        <w:rPr>
          <w:rFonts w:ascii="標楷體" w:eastAsia="標楷體" w:hAnsi="標楷體" w:hint="eastAsia"/>
          <w:sz w:val="28"/>
          <w:szCs w:val="28"/>
        </w:rPr>
        <w:t>許智傑</w:t>
      </w:r>
    </w:p>
    <w:p w14:paraId="3C0CAB87" w14:textId="77777777" w:rsidR="00421BB5" w:rsidRPr="00D65AED" w:rsidRDefault="00421BB5" w:rsidP="00421BB5">
      <w:pPr>
        <w:adjustRightInd w:val="0"/>
        <w:snapToGrid w:val="0"/>
        <w:spacing w:line="360" w:lineRule="exact"/>
        <w:ind w:firstLineChars="490" w:firstLine="1372"/>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20</w:t>
      </w:r>
      <w:r w:rsidRPr="00D65AED">
        <w:rPr>
          <w:rFonts w:ascii="標楷體" w:eastAsia="標楷體" w:hAnsi="標楷體"/>
          <w:sz w:val="28"/>
          <w:szCs w:val="28"/>
        </w:rPr>
        <w:t>人</w:t>
      </w:r>
    </w:p>
    <w:p w14:paraId="4D1D3109"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司法院秘書長　林輝煌</w:t>
      </w:r>
    </w:p>
    <w:p w14:paraId="73EEFBAF" w14:textId="77777777" w:rsidR="00421BB5" w:rsidRPr="00D65AED" w:rsidRDefault="00421BB5" w:rsidP="00421BB5">
      <w:pPr>
        <w:pStyle w:val="-9"/>
        <w:spacing w:line="360" w:lineRule="exact"/>
        <w:ind w:leftChars="567" w:left="1361" w:firstLineChars="23" w:firstLine="64"/>
        <w:rPr>
          <w:rFonts w:ascii="標楷體" w:hAnsi="標楷體"/>
          <w:sz w:val="28"/>
          <w:szCs w:val="28"/>
        </w:rPr>
      </w:pPr>
      <w:r w:rsidRPr="00D65AED">
        <w:rPr>
          <w:rFonts w:ascii="標楷體" w:hAnsi="標楷體" w:hint="eastAsia"/>
          <w:sz w:val="28"/>
          <w:szCs w:val="28"/>
        </w:rPr>
        <w:t>法務部政務次長　蔡碧仲（部長請假）</w:t>
      </w:r>
    </w:p>
    <w:p w14:paraId="323A6B7A" w14:textId="77777777" w:rsidR="00421BB5" w:rsidRPr="00D65AED" w:rsidRDefault="00421BB5" w:rsidP="00421BB5">
      <w:pPr>
        <w:adjustRightInd w:val="0"/>
        <w:snapToGrid w:val="0"/>
        <w:spacing w:line="360" w:lineRule="exact"/>
        <w:ind w:firstLineChars="505" w:firstLine="1414"/>
        <w:jc w:val="both"/>
        <w:rPr>
          <w:rFonts w:ascii="標楷體" w:eastAsia="標楷體" w:hAnsi="標楷體"/>
          <w:kern w:val="0"/>
          <w:sz w:val="28"/>
          <w:szCs w:val="28"/>
          <w:lang w:val="x-none"/>
        </w:rPr>
      </w:pPr>
      <w:r w:rsidRPr="00D65AED">
        <w:rPr>
          <w:rFonts w:ascii="標楷體" w:eastAsia="標楷體" w:hAnsi="標楷體" w:hint="eastAsia"/>
          <w:kern w:val="0"/>
          <w:sz w:val="28"/>
          <w:szCs w:val="28"/>
          <w:lang w:val="x-none"/>
        </w:rPr>
        <w:t xml:space="preserve">最高檢察署主任檢察官　</w:t>
      </w:r>
      <w:r w:rsidRPr="00D65AED">
        <w:rPr>
          <w:rFonts w:ascii="標楷體" w:eastAsia="標楷體" w:hAnsi="標楷體"/>
          <w:kern w:val="0"/>
          <w:sz w:val="28"/>
          <w:szCs w:val="28"/>
          <w:lang w:val="x-none"/>
        </w:rPr>
        <w:t>呂文忠</w:t>
      </w:r>
      <w:r w:rsidRPr="00D65AED">
        <w:rPr>
          <w:rFonts w:ascii="標楷體" w:eastAsia="標楷體" w:hAnsi="標楷體" w:hint="eastAsia"/>
          <w:kern w:val="0"/>
          <w:sz w:val="28"/>
          <w:szCs w:val="28"/>
          <w:lang w:val="x-none"/>
        </w:rPr>
        <w:t>（檢察總長請假）</w:t>
      </w:r>
    </w:p>
    <w:p w14:paraId="0639E763" w14:textId="77777777" w:rsidR="00421BB5" w:rsidRPr="00D65AED" w:rsidRDefault="00421BB5" w:rsidP="00421BB5">
      <w:pPr>
        <w:adjustRightInd w:val="0"/>
        <w:snapToGrid w:val="0"/>
        <w:spacing w:line="360" w:lineRule="exact"/>
        <w:ind w:firstLineChars="505" w:firstLine="1414"/>
        <w:jc w:val="both"/>
        <w:rPr>
          <w:rFonts w:ascii="標楷體" w:eastAsia="標楷體" w:hAnsi="標楷體"/>
          <w:kern w:val="0"/>
          <w:sz w:val="28"/>
          <w:szCs w:val="28"/>
          <w:lang w:val="x-none"/>
        </w:rPr>
      </w:pPr>
      <w:r w:rsidRPr="00D65AED">
        <w:rPr>
          <w:rFonts w:ascii="標楷體" w:eastAsia="標楷體" w:hAnsi="標楷體" w:hint="eastAsia"/>
          <w:kern w:val="0"/>
          <w:sz w:val="28"/>
          <w:szCs w:val="28"/>
          <w:lang w:val="x-none"/>
        </w:rPr>
        <w:t>立法院</w:t>
      </w:r>
      <w:r w:rsidRPr="00D65AED">
        <w:rPr>
          <w:rFonts w:ascii="標楷體" w:eastAsia="標楷體" w:hAnsi="標楷體"/>
          <w:kern w:val="0"/>
          <w:sz w:val="28"/>
          <w:szCs w:val="28"/>
          <w:lang w:val="x-none"/>
        </w:rPr>
        <w:t>法制局第三組組長</w:t>
      </w:r>
      <w:r w:rsidRPr="00D65AED">
        <w:rPr>
          <w:rFonts w:ascii="標楷體" w:eastAsia="標楷體" w:hAnsi="標楷體" w:hint="eastAsia"/>
          <w:kern w:val="0"/>
          <w:sz w:val="28"/>
          <w:szCs w:val="28"/>
          <w:lang w:val="x-none"/>
        </w:rPr>
        <w:t xml:space="preserve">　</w:t>
      </w:r>
      <w:r w:rsidRPr="00D65AED">
        <w:rPr>
          <w:rFonts w:ascii="標楷體" w:eastAsia="標楷體" w:hAnsi="標楷體"/>
          <w:kern w:val="0"/>
          <w:sz w:val="28"/>
          <w:szCs w:val="28"/>
          <w:lang w:val="x-none"/>
        </w:rPr>
        <w:t>廖曼利</w:t>
      </w:r>
    </w:p>
    <w:p w14:paraId="766E800D"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kern w:val="0"/>
          <w:sz w:val="28"/>
          <w:szCs w:val="28"/>
          <w:lang w:val="x-none"/>
        </w:rPr>
      </w:pPr>
      <w:r w:rsidRPr="00D65AED">
        <w:rPr>
          <w:rFonts w:ascii="標楷體" w:eastAsia="標楷體" w:hAnsi="標楷體" w:hint="eastAsia"/>
          <w:kern w:val="0"/>
          <w:sz w:val="28"/>
          <w:szCs w:val="28"/>
          <w:lang w:val="x-none"/>
        </w:rPr>
        <w:t>衛生福利部心理健康司簡任技正　李炳樟</w:t>
      </w:r>
    </w:p>
    <w:p w14:paraId="083370AE" w14:textId="77777777" w:rsidR="00421BB5" w:rsidRPr="00D65AED" w:rsidRDefault="00421BB5" w:rsidP="00421BB5">
      <w:pPr>
        <w:adjustRightInd w:val="0"/>
        <w:snapToGrid w:val="0"/>
        <w:ind w:left="1364" w:rightChars="-355" w:right="-852" w:hangingChars="487" w:hanging="1364"/>
        <w:jc w:val="both"/>
        <w:rPr>
          <w:rFonts w:ascii="標楷體" w:eastAsia="標楷體" w:hAnsi="標楷體"/>
          <w:sz w:val="28"/>
          <w:szCs w:val="28"/>
        </w:rPr>
      </w:pPr>
      <w:r w:rsidRPr="00D65AED">
        <w:rPr>
          <w:rFonts w:ascii="標楷體" w:eastAsia="標楷體" w:hAnsi="標楷體"/>
          <w:kern w:val="0"/>
          <w:sz w:val="28"/>
          <w:szCs w:val="28"/>
          <w:fitText w:val="1120" w:id="-1433690880"/>
        </w:rPr>
        <w:t>主    席</w:t>
      </w:r>
      <w:r w:rsidRPr="00D65AED">
        <w:rPr>
          <w:rFonts w:ascii="標楷體" w:eastAsia="標楷體" w:hAnsi="標楷體"/>
          <w:sz w:val="28"/>
          <w:szCs w:val="28"/>
        </w:rPr>
        <w:t>：</w:t>
      </w:r>
      <w:r w:rsidRPr="00D65AED">
        <w:rPr>
          <w:rFonts w:ascii="標楷體" w:eastAsia="標楷體" w:hAnsi="標楷體" w:hint="eastAsia"/>
          <w:sz w:val="28"/>
          <w:szCs w:val="28"/>
        </w:rPr>
        <w:t>陳召集委員歐珀</w:t>
      </w:r>
    </w:p>
    <w:p w14:paraId="387683BA"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35A8391C"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11A3A60A"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4E259052"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121E6698"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33528FAA"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015E3A50"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16EFC277"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sz w:val="28"/>
          <w:szCs w:val="28"/>
        </w:rPr>
        <w:t>宣讀上次會議議事錄。</w:t>
      </w:r>
    </w:p>
    <w:p w14:paraId="070419F0" w14:textId="77777777" w:rsidR="00421BB5" w:rsidRPr="00D65AED" w:rsidRDefault="00421BB5" w:rsidP="00421BB5">
      <w:pPr>
        <w:pStyle w:val="afffff2"/>
        <w:spacing w:line="360" w:lineRule="exact"/>
        <w:ind w:leftChars="0" w:left="840" w:rightChars="0" w:right="0" w:hanging="840"/>
        <w:jc w:val="both"/>
        <w:rPr>
          <w:rFonts w:ascii="標楷體" w:hAnsi="標楷體"/>
          <w:sz w:val="28"/>
          <w:szCs w:val="28"/>
        </w:rPr>
      </w:pPr>
      <w:r w:rsidRPr="00D65AED">
        <w:rPr>
          <w:rFonts w:ascii="標楷體" w:hAnsi="標楷體"/>
          <w:sz w:val="28"/>
          <w:szCs w:val="28"/>
        </w:rPr>
        <w:t>決定：確定。</w:t>
      </w:r>
    </w:p>
    <w:p w14:paraId="4363CED6"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6702C43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一、審查司法院、行政院函請審議「刑事訴訟法部分條文修正草案」案。</w:t>
      </w:r>
    </w:p>
    <w:p w14:paraId="702F4E3F"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二、審查司法院、行政院函請審議「刑事訴訟法施行法增訂第七條之二十三條文草案」案。</w:t>
      </w:r>
    </w:p>
    <w:p w14:paraId="61D9AAE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三、併案審查（一）司法院函請審議「憲法訴訟法部分條文修正草案」、（二）委員鍾佳濱等17人擬具「憲法訴訟法第四十九條及第九十五條條文修正草案」、（三）台灣民眾黨黨團擬具「憲法訴訟法部分條文修正草案」、（四）台灣民眾黨黨團擬具「憲法訴訟法第五十九條條文修正草案」及（五）委員鄭天財Sra Kacaw等16人擬具「憲法訴訟法第十九條之一及第三十條條文修正草案」案。</w:t>
      </w:r>
    </w:p>
    <w:p w14:paraId="767EBFBA" w14:textId="77777777" w:rsidR="00421BB5" w:rsidRPr="00D65AED" w:rsidRDefault="00421BB5" w:rsidP="00421BB5">
      <w:pPr>
        <w:adjustRightInd w:val="0"/>
        <w:snapToGrid w:val="0"/>
        <w:spacing w:line="360" w:lineRule="exact"/>
        <w:ind w:left="283" w:hangingChars="101" w:hanging="283"/>
        <w:jc w:val="both"/>
        <w:rPr>
          <w:rFonts w:ascii="標楷體" w:eastAsia="標楷體" w:hAnsi="標楷體"/>
          <w:sz w:val="28"/>
          <w:szCs w:val="28"/>
        </w:rPr>
      </w:pPr>
      <w:r w:rsidRPr="00D65AED">
        <w:rPr>
          <w:rFonts w:ascii="標楷體" w:eastAsia="標楷體" w:hAnsi="標楷體" w:hint="eastAsia"/>
          <w:sz w:val="28"/>
          <w:szCs w:val="28"/>
        </w:rPr>
        <w:t>（</w:t>
      </w:r>
      <w:r w:rsidRPr="00D65AED">
        <w:rPr>
          <w:rFonts w:ascii="標楷體" w:eastAsia="標楷體" w:hAnsi="標楷體"/>
          <w:sz w:val="28"/>
          <w:szCs w:val="28"/>
        </w:rPr>
        <w:t>本</w:t>
      </w:r>
      <w:r w:rsidRPr="00D65AED">
        <w:rPr>
          <w:rFonts w:ascii="標楷體" w:eastAsia="標楷體" w:hAnsi="標楷體" w:hint="eastAsia"/>
          <w:sz w:val="28"/>
          <w:szCs w:val="28"/>
        </w:rPr>
        <w:t>次會議有</w:t>
      </w:r>
      <w:r w:rsidRPr="00D65AED">
        <w:rPr>
          <w:rFonts w:ascii="標楷體" w:eastAsia="標楷體" w:hAnsi="標楷體"/>
          <w:sz w:val="28"/>
          <w:szCs w:val="28"/>
        </w:rPr>
        <w:t>委員</w:t>
      </w:r>
      <w:r w:rsidRPr="00D65AED">
        <w:rPr>
          <w:rFonts w:ascii="標楷體" w:eastAsia="標楷體" w:hAnsi="標楷體" w:hint="eastAsia"/>
          <w:spacing w:val="10"/>
          <w:sz w:val="28"/>
          <w:szCs w:val="28"/>
        </w:rPr>
        <w:t>曾銘宗、游毓蘭、陳歐珀</w:t>
      </w:r>
      <w:r w:rsidRPr="00D65AED">
        <w:rPr>
          <w:rFonts w:ascii="標楷體" w:eastAsia="標楷體" w:hAnsi="標楷體"/>
          <w:spacing w:val="10"/>
          <w:sz w:val="28"/>
          <w:szCs w:val="28"/>
        </w:rPr>
        <w:t>、</w:t>
      </w:r>
      <w:r w:rsidRPr="00D65AED">
        <w:rPr>
          <w:rFonts w:ascii="標楷體" w:eastAsia="標楷體" w:hAnsi="標楷體" w:hint="eastAsia"/>
          <w:sz w:val="28"/>
          <w:szCs w:val="28"/>
        </w:rPr>
        <w:t>黃世杰、</w:t>
      </w:r>
      <w:r w:rsidRPr="00D65AED">
        <w:rPr>
          <w:rFonts w:ascii="標楷體" w:eastAsia="標楷體" w:hAnsi="標楷體"/>
          <w:spacing w:val="10"/>
          <w:sz w:val="28"/>
          <w:szCs w:val="28"/>
        </w:rPr>
        <w:t>江永昌</w:t>
      </w:r>
      <w:r w:rsidRPr="00D65AED">
        <w:rPr>
          <w:rFonts w:ascii="標楷體" w:eastAsia="標楷體" w:hAnsi="標楷體" w:hint="eastAsia"/>
          <w:spacing w:val="10"/>
          <w:sz w:val="28"/>
          <w:szCs w:val="28"/>
        </w:rPr>
        <w:t>、林</w:t>
      </w:r>
      <w:r w:rsidRPr="00D65AED">
        <w:rPr>
          <w:rFonts w:ascii="標楷體" w:eastAsia="標楷體" w:hAnsi="標楷體" w:hint="eastAsia"/>
          <w:spacing w:val="10"/>
          <w:sz w:val="28"/>
          <w:szCs w:val="28"/>
        </w:rPr>
        <w:lastRenderedPageBreak/>
        <w:t>思銘、陳玉珍、陳以信、鄭天財Sra Kacaw、劉建國</w:t>
      </w:r>
      <w:r w:rsidRPr="00D65AED">
        <w:rPr>
          <w:rFonts w:ascii="標楷體" w:eastAsia="標楷體" w:hAnsi="標楷體"/>
          <w:spacing w:val="10"/>
          <w:sz w:val="28"/>
          <w:szCs w:val="28"/>
        </w:rPr>
        <w:t>提出質詢</w:t>
      </w:r>
      <w:r w:rsidRPr="00D65AED">
        <w:rPr>
          <w:rFonts w:ascii="標楷體" w:eastAsia="標楷體" w:hAnsi="標楷體" w:hint="eastAsia"/>
          <w:spacing w:val="10"/>
          <w:sz w:val="28"/>
          <w:szCs w:val="28"/>
        </w:rPr>
        <w:t>；</w:t>
      </w:r>
      <w:r w:rsidRPr="00D65AED">
        <w:rPr>
          <w:rFonts w:ascii="標楷體" w:eastAsia="標楷體" w:hAnsi="標楷體" w:hint="eastAsia"/>
          <w:sz w:val="28"/>
          <w:szCs w:val="28"/>
        </w:rPr>
        <w:t>委員許智傑、周春米、鄭運鵬</w:t>
      </w:r>
      <w:r w:rsidRPr="00D65AED">
        <w:rPr>
          <w:rFonts w:ascii="標楷體" w:eastAsia="標楷體" w:hAnsi="標楷體" w:hint="eastAsia"/>
          <w:spacing w:val="10"/>
          <w:sz w:val="28"/>
          <w:szCs w:val="28"/>
        </w:rPr>
        <w:t>、</w:t>
      </w:r>
      <w:r w:rsidRPr="00D65AED">
        <w:rPr>
          <w:rFonts w:ascii="標楷體" w:eastAsia="標楷體" w:hAnsi="標楷體" w:hint="eastAsia"/>
          <w:sz w:val="28"/>
          <w:szCs w:val="28"/>
        </w:rPr>
        <w:t>黃世杰提出書面質詢。）</w:t>
      </w:r>
    </w:p>
    <w:p w14:paraId="778E31E9" w14:textId="77777777" w:rsidR="00421BB5" w:rsidRPr="00D65AED" w:rsidRDefault="00421BB5" w:rsidP="00421BB5">
      <w:pPr>
        <w:spacing w:line="360" w:lineRule="exact"/>
        <w:ind w:left="493" w:hangingChars="176" w:hanging="493"/>
        <w:contextualSpacing/>
        <w:jc w:val="both"/>
        <w:rPr>
          <w:rFonts w:ascii="標楷體" w:eastAsia="標楷體" w:hAnsi="標楷體"/>
          <w:bCs/>
          <w:sz w:val="28"/>
          <w:szCs w:val="28"/>
        </w:rPr>
      </w:pPr>
      <w:r w:rsidRPr="00D65AED">
        <w:rPr>
          <w:rFonts w:ascii="標楷體" w:eastAsia="標楷體" w:hAnsi="標楷體"/>
          <w:bCs/>
          <w:sz w:val="28"/>
          <w:szCs w:val="28"/>
        </w:rPr>
        <w:t>決</w:t>
      </w:r>
      <w:r w:rsidRPr="00D65AED">
        <w:rPr>
          <w:rFonts w:ascii="標楷體" w:eastAsia="標楷體" w:hAnsi="標楷體" w:hint="eastAsia"/>
          <w:bCs/>
          <w:sz w:val="28"/>
          <w:szCs w:val="28"/>
        </w:rPr>
        <w:t>議</w:t>
      </w:r>
      <w:r w:rsidRPr="00D65AED">
        <w:rPr>
          <w:rFonts w:ascii="標楷體" w:eastAsia="標楷體" w:hAnsi="標楷體"/>
          <w:bCs/>
          <w:sz w:val="28"/>
          <w:szCs w:val="28"/>
        </w:rPr>
        <w:t>：</w:t>
      </w:r>
    </w:p>
    <w:p w14:paraId="251DB4DA" w14:textId="77777777" w:rsidR="00421BB5" w:rsidRPr="00D65AED" w:rsidRDefault="00421BB5" w:rsidP="00421BB5">
      <w:pPr>
        <w:spacing w:line="360" w:lineRule="exact"/>
        <w:contextualSpacing/>
        <w:jc w:val="both"/>
        <w:rPr>
          <w:rFonts w:ascii="標楷體" w:eastAsia="標楷體" w:hAnsi="標楷體"/>
          <w:bCs/>
          <w:sz w:val="28"/>
          <w:szCs w:val="28"/>
        </w:rPr>
      </w:pPr>
      <w:r w:rsidRPr="00D65AED">
        <w:rPr>
          <w:rFonts w:ascii="標楷體" w:eastAsia="標楷體" w:hAnsi="標楷體" w:hint="eastAsia"/>
          <w:sz w:val="28"/>
          <w:szCs w:val="28"/>
        </w:rPr>
        <w:t>一、</w:t>
      </w:r>
      <w:r w:rsidRPr="00D65AED">
        <w:rPr>
          <w:rFonts w:ascii="標楷體" w:eastAsia="標楷體" w:hAnsi="標楷體"/>
          <w:sz w:val="28"/>
          <w:szCs w:val="28"/>
        </w:rPr>
        <w:t>報告及詢答完畢</w:t>
      </w:r>
      <w:r w:rsidRPr="00D65AED">
        <w:rPr>
          <w:rFonts w:ascii="標楷體" w:eastAsia="標楷體" w:hAnsi="標楷體" w:hint="eastAsia"/>
          <w:sz w:val="28"/>
          <w:szCs w:val="28"/>
        </w:rPr>
        <w:t>。</w:t>
      </w:r>
    </w:p>
    <w:p w14:paraId="7FAFD6C0" w14:textId="77777777" w:rsidR="00421BB5" w:rsidRPr="00D65AED" w:rsidRDefault="00421BB5" w:rsidP="00421BB5">
      <w:pPr>
        <w:spacing w:line="360" w:lineRule="exact"/>
        <w:contextualSpacing/>
        <w:jc w:val="both"/>
        <w:rPr>
          <w:rFonts w:ascii="標楷體" w:eastAsia="標楷體" w:hAnsi="標楷體"/>
          <w:bCs/>
          <w:sz w:val="28"/>
          <w:szCs w:val="28"/>
        </w:rPr>
      </w:pPr>
      <w:r w:rsidRPr="00D65AED">
        <w:rPr>
          <w:rFonts w:ascii="標楷體" w:eastAsia="標楷體" w:hAnsi="標楷體" w:hint="eastAsia"/>
          <w:sz w:val="28"/>
          <w:szCs w:val="28"/>
        </w:rPr>
        <w:t>二、「刑事訴訟法部分條文修正草案」：</w:t>
      </w:r>
    </w:p>
    <w:p w14:paraId="17CE6F80" w14:textId="77777777" w:rsidR="00421BB5" w:rsidRPr="00D65AED" w:rsidRDefault="00421BB5" w:rsidP="00421BB5">
      <w:pPr>
        <w:spacing w:line="360" w:lineRule="exact"/>
        <w:ind w:firstLineChars="101" w:firstLine="283"/>
        <w:contextualSpacing/>
        <w:jc w:val="both"/>
        <w:rPr>
          <w:rFonts w:ascii="標楷體" w:eastAsia="標楷體" w:hAnsi="標楷體"/>
          <w:sz w:val="28"/>
          <w:szCs w:val="28"/>
        </w:rPr>
      </w:pPr>
      <w:r w:rsidRPr="00D65AED">
        <w:rPr>
          <w:rFonts w:ascii="標楷體" w:eastAsia="標楷體" w:hAnsi="標楷體" w:hint="eastAsia"/>
          <w:sz w:val="28"/>
          <w:szCs w:val="28"/>
        </w:rPr>
        <w:t>(一)逕行逐條審查。</w:t>
      </w:r>
    </w:p>
    <w:p w14:paraId="65983CC4" w14:textId="77777777" w:rsidR="00421BB5" w:rsidRPr="00D65AED" w:rsidRDefault="00421BB5" w:rsidP="00421BB5">
      <w:pPr>
        <w:spacing w:line="360" w:lineRule="exact"/>
        <w:ind w:left="2" w:firstLineChars="99" w:firstLine="277"/>
        <w:contextualSpacing/>
        <w:jc w:val="both"/>
        <w:rPr>
          <w:rFonts w:ascii="標楷體" w:eastAsia="標楷體" w:hAnsi="標楷體"/>
          <w:sz w:val="28"/>
          <w:szCs w:val="28"/>
        </w:rPr>
      </w:pPr>
      <w:r w:rsidRPr="00D65AED">
        <w:rPr>
          <w:rFonts w:ascii="標楷體" w:eastAsia="標楷體" w:hAnsi="標楷體" w:hint="eastAsia"/>
          <w:sz w:val="28"/>
          <w:szCs w:val="28"/>
        </w:rPr>
        <w:t>(二)第四百八十一條</w:t>
      </w:r>
      <w:r w:rsidRPr="00D65AED">
        <w:rPr>
          <w:rFonts w:ascii="標楷體" w:eastAsia="標楷體" w:hAnsi="標楷體" w:hint="eastAsia"/>
          <w:kern w:val="0"/>
          <w:sz w:val="28"/>
          <w:szCs w:val="28"/>
        </w:rPr>
        <w:t>，修正如下：</w:t>
      </w:r>
    </w:p>
    <w:p w14:paraId="1C601F0B" w14:textId="77777777" w:rsidR="00421BB5" w:rsidRPr="00D65AED" w:rsidRDefault="00421BB5" w:rsidP="00421BB5">
      <w:pPr>
        <w:adjustRightInd w:val="0"/>
        <w:snapToGrid w:val="0"/>
        <w:spacing w:line="340" w:lineRule="exact"/>
        <w:ind w:leftChars="359" w:left="1316" w:hangingChars="162" w:hanging="454"/>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第四百八十一條　</w:t>
      </w:r>
      <w:r w:rsidRPr="00D65AED">
        <w:rPr>
          <w:rFonts w:ascii="標楷體" w:eastAsia="標楷體" w:hAnsi="標楷體" w:hint="eastAsia"/>
          <w:kern w:val="0"/>
          <w:sz w:val="28"/>
          <w:szCs w:val="28"/>
          <w:u w:val="single"/>
        </w:rPr>
        <w:t>下列刑法第一編第十二章保安處分事項</w:t>
      </w:r>
      <w:r w:rsidRPr="00D65AED">
        <w:rPr>
          <w:rFonts w:ascii="標楷體" w:eastAsia="標楷體" w:hAnsi="標楷體" w:hint="eastAsia"/>
          <w:kern w:val="0"/>
          <w:sz w:val="28"/>
          <w:szCs w:val="28"/>
        </w:rPr>
        <w:t>，由</w:t>
      </w:r>
    </w:p>
    <w:p w14:paraId="2E93BBCB" w14:textId="77777777" w:rsidR="00421BB5" w:rsidRPr="00D65AED" w:rsidRDefault="00421BB5" w:rsidP="00421BB5">
      <w:pPr>
        <w:adjustRightInd w:val="0"/>
        <w:snapToGrid w:val="0"/>
        <w:spacing w:line="340" w:lineRule="exact"/>
        <w:ind w:leftChars="478" w:left="1315" w:hangingChars="60" w:hanging="168"/>
        <w:jc w:val="both"/>
        <w:rPr>
          <w:rFonts w:ascii="標楷體" w:eastAsia="標楷體" w:hAnsi="標楷體"/>
          <w:kern w:val="0"/>
          <w:sz w:val="28"/>
          <w:szCs w:val="28"/>
        </w:rPr>
      </w:pPr>
      <w:r w:rsidRPr="00D65AED">
        <w:rPr>
          <w:rFonts w:ascii="標楷體" w:eastAsia="標楷體" w:hAnsi="標楷體" w:hint="eastAsia"/>
          <w:kern w:val="0"/>
          <w:sz w:val="28"/>
          <w:szCs w:val="28"/>
        </w:rPr>
        <w:t>檢察官聲請該案犯罪事實最後裁判之法院裁定之</w:t>
      </w:r>
      <w:r w:rsidRPr="00D65AED">
        <w:rPr>
          <w:rFonts w:ascii="標楷體" w:eastAsia="標楷體" w:hAnsi="標楷體" w:hint="eastAsia"/>
          <w:kern w:val="0"/>
          <w:sz w:val="28"/>
          <w:szCs w:val="28"/>
          <w:u w:val="single"/>
        </w:rPr>
        <w:t>：</w:t>
      </w:r>
    </w:p>
    <w:p w14:paraId="74982991" w14:textId="77777777" w:rsidR="00421BB5" w:rsidRPr="00D65AED" w:rsidRDefault="00421BB5" w:rsidP="00421BB5">
      <w:pPr>
        <w:adjustRightInd w:val="0"/>
        <w:snapToGrid w:val="0"/>
        <w:spacing w:line="340" w:lineRule="exact"/>
        <w:ind w:leftChars="485" w:left="1693" w:hangingChars="189" w:hanging="529"/>
        <w:jc w:val="both"/>
        <w:rPr>
          <w:rFonts w:ascii="標楷體" w:eastAsia="標楷體" w:hAnsi="標楷體"/>
          <w:kern w:val="0"/>
          <w:sz w:val="28"/>
          <w:szCs w:val="28"/>
        </w:rPr>
      </w:pPr>
      <w:r w:rsidRPr="00D65AED">
        <w:rPr>
          <w:rFonts w:ascii="標楷體" w:eastAsia="標楷體" w:hAnsi="標楷體" w:hint="eastAsia"/>
          <w:kern w:val="0"/>
          <w:sz w:val="28"/>
          <w:szCs w:val="28"/>
          <w:u w:val="single"/>
        </w:rPr>
        <w:t>一、</w:t>
      </w:r>
      <w:r w:rsidRPr="00D65AED">
        <w:rPr>
          <w:rFonts w:ascii="標楷體" w:eastAsia="標楷體" w:hAnsi="標楷體" w:hint="eastAsia"/>
          <w:kern w:val="0"/>
          <w:sz w:val="28"/>
          <w:szCs w:val="28"/>
        </w:rPr>
        <w:t>依刑法第八十七條第三項前段許可延長</w:t>
      </w:r>
      <w:r w:rsidRPr="00D65AED">
        <w:rPr>
          <w:rFonts w:ascii="標楷體" w:eastAsia="標楷體" w:hAnsi="標楷體" w:hint="eastAsia"/>
          <w:kern w:val="0"/>
          <w:sz w:val="28"/>
          <w:szCs w:val="28"/>
          <w:u w:val="single"/>
        </w:rPr>
        <w:t>監護，</w:t>
      </w:r>
      <w:r w:rsidRPr="00D65AED">
        <w:rPr>
          <w:rFonts w:ascii="標楷體" w:eastAsia="標楷體" w:hAnsi="標楷體" w:hint="eastAsia"/>
          <w:kern w:val="0"/>
          <w:sz w:val="28"/>
          <w:szCs w:val="28"/>
        </w:rPr>
        <w:t>第九十一條之一第一項施以強制治療，</w:t>
      </w:r>
      <w:r w:rsidRPr="00D65AED">
        <w:rPr>
          <w:rFonts w:ascii="標楷體" w:eastAsia="標楷體" w:hAnsi="標楷體" w:hint="eastAsia"/>
          <w:kern w:val="0"/>
          <w:sz w:val="28"/>
          <w:szCs w:val="28"/>
          <w:u w:val="single"/>
        </w:rPr>
        <w:t>第九十二條第二項撤銷保護管束執行原處分，</w:t>
      </w:r>
      <w:r w:rsidRPr="00D65AED">
        <w:rPr>
          <w:rFonts w:ascii="標楷體" w:eastAsia="標楷體" w:hAnsi="標楷體" w:hint="eastAsia"/>
          <w:kern w:val="0"/>
          <w:sz w:val="28"/>
          <w:szCs w:val="28"/>
        </w:rPr>
        <w:t>第九十九條許可</w:t>
      </w:r>
      <w:r w:rsidRPr="00D65AED">
        <w:rPr>
          <w:rFonts w:ascii="標楷體" w:eastAsia="標楷體" w:hAnsi="標楷體" w:hint="eastAsia"/>
          <w:kern w:val="0"/>
          <w:sz w:val="28"/>
          <w:szCs w:val="28"/>
          <w:u w:val="single"/>
        </w:rPr>
        <w:t>拘束人身自由</w:t>
      </w:r>
      <w:r w:rsidRPr="00D65AED">
        <w:rPr>
          <w:rFonts w:ascii="標楷體" w:eastAsia="標楷體" w:hAnsi="標楷體" w:hint="eastAsia"/>
          <w:kern w:val="0"/>
          <w:sz w:val="28"/>
          <w:szCs w:val="28"/>
        </w:rPr>
        <w:t>處分之執行</w:t>
      </w:r>
      <w:r w:rsidRPr="00D65AED">
        <w:rPr>
          <w:rFonts w:ascii="標楷體" w:eastAsia="標楷體" w:hAnsi="標楷體" w:hint="eastAsia"/>
          <w:kern w:val="0"/>
          <w:sz w:val="28"/>
          <w:szCs w:val="28"/>
          <w:u w:val="single"/>
        </w:rPr>
        <w:t>，及其他拘束人身自由之保安處分者</w:t>
      </w:r>
      <w:r w:rsidRPr="00D65AED">
        <w:rPr>
          <w:rFonts w:ascii="標楷體" w:eastAsia="標楷體" w:hAnsi="標楷體" w:hint="eastAsia"/>
          <w:kern w:val="0"/>
          <w:sz w:val="28"/>
          <w:szCs w:val="28"/>
        </w:rPr>
        <w:t>。</w:t>
      </w:r>
    </w:p>
    <w:p w14:paraId="0C7FA32E" w14:textId="77777777" w:rsidR="00421BB5" w:rsidRPr="00D65AED" w:rsidRDefault="00421BB5" w:rsidP="00421BB5">
      <w:pPr>
        <w:adjustRightInd w:val="0"/>
        <w:snapToGrid w:val="0"/>
        <w:spacing w:line="340" w:lineRule="exact"/>
        <w:ind w:leftChars="485" w:left="1735" w:hangingChars="204" w:hanging="571"/>
        <w:jc w:val="both"/>
        <w:rPr>
          <w:rFonts w:ascii="標楷體" w:eastAsia="標楷體" w:hAnsi="標楷體"/>
          <w:kern w:val="0"/>
          <w:sz w:val="28"/>
          <w:szCs w:val="28"/>
        </w:rPr>
      </w:pPr>
      <w:r w:rsidRPr="00D65AED">
        <w:rPr>
          <w:rFonts w:ascii="標楷體" w:eastAsia="標楷體" w:hAnsi="標楷體" w:hint="eastAsia"/>
          <w:kern w:val="0"/>
          <w:sz w:val="28"/>
          <w:szCs w:val="28"/>
          <w:u w:val="single"/>
        </w:rPr>
        <w:t>二、依刑法</w:t>
      </w:r>
      <w:r w:rsidRPr="00D65AED">
        <w:rPr>
          <w:rFonts w:ascii="標楷體" w:eastAsia="標楷體" w:hAnsi="標楷體" w:hint="eastAsia"/>
          <w:kern w:val="0"/>
          <w:sz w:val="28"/>
          <w:szCs w:val="28"/>
        </w:rPr>
        <w:t>第八十六條第三項但書、第八十七條第三項但書、第八十八條第二項但書、第八十九條第二項但書或第九十八條第一項前段免其處分之執行，</w:t>
      </w:r>
      <w:r w:rsidRPr="00D65AED">
        <w:rPr>
          <w:rFonts w:ascii="標楷體" w:eastAsia="標楷體" w:hAnsi="標楷體" w:hint="eastAsia"/>
          <w:kern w:val="0"/>
          <w:sz w:val="28"/>
          <w:szCs w:val="28"/>
          <w:u w:val="single"/>
        </w:rPr>
        <w:t>第九十一條之一</w:t>
      </w:r>
      <w:r w:rsidRPr="00D65AED">
        <w:rPr>
          <w:rFonts w:ascii="標楷體" w:eastAsia="標楷體" w:hAnsi="標楷體" w:hint="eastAsia"/>
          <w:kern w:val="0"/>
          <w:sz w:val="28"/>
          <w:szCs w:val="28"/>
        </w:rPr>
        <w:t>第二項停止強制治療，</w:t>
      </w:r>
      <w:r w:rsidRPr="00D65AED">
        <w:rPr>
          <w:rFonts w:ascii="標楷體" w:eastAsia="標楷體" w:hAnsi="標楷體" w:hint="eastAsia"/>
          <w:kern w:val="0"/>
          <w:sz w:val="28"/>
          <w:szCs w:val="28"/>
          <w:u w:val="single"/>
        </w:rPr>
        <w:t>第九十二條第一項以保護管束替代，</w:t>
      </w:r>
      <w:r w:rsidRPr="00D65AED">
        <w:rPr>
          <w:rFonts w:ascii="標楷體" w:eastAsia="標楷體" w:hAnsi="標楷體" w:hint="eastAsia"/>
          <w:kern w:val="0"/>
          <w:sz w:val="28"/>
          <w:szCs w:val="28"/>
        </w:rPr>
        <w:t>第九十三條第二項付保護管束，第九十八條第一項後段、第二項、第三項免其刑之執行</w:t>
      </w:r>
      <w:r w:rsidRPr="00D65AED">
        <w:rPr>
          <w:rFonts w:ascii="標楷體" w:eastAsia="標楷體" w:hAnsi="標楷體" w:hint="eastAsia"/>
          <w:kern w:val="0"/>
          <w:sz w:val="28"/>
          <w:szCs w:val="28"/>
          <w:u w:val="single"/>
        </w:rPr>
        <w:t>，</w:t>
      </w:r>
      <w:r w:rsidRPr="00D65AED">
        <w:rPr>
          <w:rFonts w:ascii="標楷體" w:eastAsia="標楷體" w:hAnsi="標楷體" w:hint="eastAsia"/>
          <w:kern w:val="0"/>
          <w:sz w:val="28"/>
          <w:szCs w:val="28"/>
        </w:rPr>
        <w:t>第九十九條許可</w:t>
      </w:r>
      <w:r w:rsidRPr="00D65AED">
        <w:rPr>
          <w:rFonts w:ascii="標楷體" w:eastAsia="標楷體" w:hAnsi="標楷體" w:hint="eastAsia"/>
          <w:kern w:val="0"/>
          <w:sz w:val="28"/>
          <w:szCs w:val="28"/>
          <w:u w:val="single"/>
        </w:rPr>
        <w:t>非拘束人身自由</w:t>
      </w:r>
      <w:r w:rsidRPr="00D65AED">
        <w:rPr>
          <w:rFonts w:ascii="標楷體" w:eastAsia="標楷體" w:hAnsi="標楷體" w:hint="eastAsia"/>
          <w:kern w:val="0"/>
          <w:sz w:val="28"/>
          <w:szCs w:val="28"/>
        </w:rPr>
        <w:t>處分之執行</w:t>
      </w:r>
      <w:r w:rsidRPr="00D65AED">
        <w:rPr>
          <w:rFonts w:ascii="標楷體" w:eastAsia="標楷體" w:hAnsi="標楷體" w:hint="eastAsia"/>
          <w:kern w:val="0"/>
          <w:sz w:val="28"/>
          <w:szCs w:val="28"/>
          <w:u w:val="single"/>
        </w:rPr>
        <w:t>，及其他非拘束人身自由之保安處分者</w:t>
      </w:r>
      <w:r w:rsidRPr="00D65AED">
        <w:rPr>
          <w:rFonts w:ascii="標楷體" w:eastAsia="標楷體" w:hAnsi="標楷體" w:hint="eastAsia"/>
          <w:kern w:val="0"/>
          <w:sz w:val="28"/>
          <w:szCs w:val="28"/>
        </w:rPr>
        <w:t>。</w:t>
      </w:r>
    </w:p>
    <w:p w14:paraId="17A3C6CC" w14:textId="77777777" w:rsidR="00421BB5" w:rsidRPr="00D65AED" w:rsidRDefault="00421BB5" w:rsidP="00421BB5">
      <w:pPr>
        <w:adjustRightInd w:val="0"/>
        <w:snapToGrid w:val="0"/>
        <w:spacing w:line="340" w:lineRule="exact"/>
        <w:ind w:leftChars="478" w:left="1147" w:firstLineChars="145" w:firstLine="406"/>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 檢察官依刑法第十八條第一項或第十九條第一項而為不起訴之處分者，如認有宣告保安處分之必要，得聲請法院裁定之。</w:t>
      </w:r>
      <w:r w:rsidRPr="00D65AED">
        <w:rPr>
          <w:rFonts w:ascii="標楷體" w:eastAsia="標楷體" w:hAnsi="標楷體" w:hint="eastAsia"/>
          <w:kern w:val="0"/>
          <w:sz w:val="28"/>
          <w:szCs w:val="28"/>
        </w:rPr>
        <w:br/>
        <w:t xml:space="preserve">　　法院裁判時未併宣告保安處分，而檢察官認為有宣告之必要者，得於裁判後三個月內，聲請法院裁定之。</w:t>
      </w:r>
    </w:p>
    <w:p w14:paraId="010E4499" w14:textId="77777777" w:rsidR="00421BB5" w:rsidRPr="00D65AED" w:rsidRDefault="00421BB5" w:rsidP="00421BB5">
      <w:pPr>
        <w:spacing w:line="360" w:lineRule="exact"/>
        <w:ind w:leftChars="123" w:left="827" w:hangingChars="190" w:hanging="532"/>
        <w:contextualSpacing/>
        <w:jc w:val="both"/>
        <w:rPr>
          <w:rFonts w:ascii="標楷體" w:eastAsia="標楷體" w:hAnsi="標楷體"/>
          <w:sz w:val="28"/>
          <w:szCs w:val="28"/>
        </w:rPr>
      </w:pPr>
      <w:r w:rsidRPr="00D65AED">
        <w:rPr>
          <w:rFonts w:ascii="標楷體" w:eastAsia="標楷體" w:hAnsi="標楷體" w:hint="eastAsia"/>
          <w:sz w:val="28"/>
          <w:szCs w:val="28"/>
        </w:rPr>
        <w:t>(三)增訂第四百八十一條之一、第四百八十一條之三及第四百八十一條之五至第四百八十一條之七，均照案通過。</w:t>
      </w:r>
    </w:p>
    <w:p w14:paraId="1B6A55CF" w14:textId="77777777" w:rsidR="00421BB5" w:rsidRPr="00D65AED" w:rsidRDefault="00421BB5" w:rsidP="00421BB5">
      <w:pPr>
        <w:spacing w:line="360" w:lineRule="exact"/>
        <w:ind w:leftChars="123" w:left="827" w:hangingChars="190" w:hanging="532"/>
        <w:contextualSpacing/>
        <w:jc w:val="both"/>
        <w:rPr>
          <w:rFonts w:ascii="標楷體" w:eastAsia="標楷體" w:hAnsi="標楷體"/>
          <w:sz w:val="28"/>
          <w:szCs w:val="28"/>
        </w:rPr>
      </w:pPr>
      <w:r w:rsidRPr="00D65AED">
        <w:rPr>
          <w:rFonts w:ascii="標楷體" w:eastAsia="標楷體" w:hAnsi="標楷體" w:hint="eastAsia"/>
          <w:sz w:val="28"/>
          <w:szCs w:val="28"/>
        </w:rPr>
        <w:t>(四)增訂第四百八十一條之二，除將第一項序文首句修正為「檢察官</w:t>
      </w:r>
      <w:r w:rsidRPr="00D65AED">
        <w:rPr>
          <w:rFonts w:ascii="標楷體" w:eastAsia="標楷體" w:hAnsi="標楷體" w:hint="eastAsia"/>
          <w:sz w:val="28"/>
          <w:szCs w:val="28"/>
          <w:u w:val="single"/>
        </w:rPr>
        <w:t>依刑法第一編第十二章</w:t>
      </w:r>
      <w:r w:rsidRPr="00D65AED">
        <w:rPr>
          <w:rFonts w:ascii="標楷體" w:eastAsia="標楷體" w:hAnsi="標楷體" w:hint="eastAsia"/>
          <w:sz w:val="28"/>
          <w:szCs w:val="28"/>
        </w:rPr>
        <w:t>聲請為下列處分」及第一款修正為「一、依刑法第八十七條第三項前段許可延長監護，</w:t>
      </w:r>
      <w:r w:rsidRPr="00D65AED">
        <w:rPr>
          <w:rFonts w:ascii="標楷體" w:eastAsia="標楷體" w:hAnsi="標楷體" w:hint="eastAsia"/>
          <w:sz w:val="28"/>
          <w:szCs w:val="28"/>
          <w:u w:val="single"/>
        </w:rPr>
        <w:t>或許可延長其他拘束人身自由之保安處分，</w:t>
      </w:r>
      <w:r w:rsidRPr="00D65AED">
        <w:rPr>
          <w:rFonts w:ascii="標楷體" w:eastAsia="標楷體" w:hAnsi="標楷體" w:hint="eastAsia"/>
          <w:sz w:val="28"/>
          <w:szCs w:val="28"/>
        </w:rPr>
        <w:t>至遲於執行期間屆滿之二個月前。」外，餘照案通過。</w:t>
      </w:r>
    </w:p>
    <w:p w14:paraId="596AB0D4" w14:textId="77777777" w:rsidR="00421BB5" w:rsidRPr="00D65AED" w:rsidRDefault="00421BB5" w:rsidP="00421BB5">
      <w:pPr>
        <w:spacing w:line="360" w:lineRule="exact"/>
        <w:ind w:leftChars="123" w:left="827" w:hangingChars="190" w:hanging="532"/>
        <w:contextualSpacing/>
        <w:jc w:val="both"/>
        <w:rPr>
          <w:rFonts w:ascii="標楷體" w:eastAsia="標楷體" w:hAnsi="標楷體"/>
          <w:sz w:val="28"/>
          <w:szCs w:val="28"/>
        </w:rPr>
      </w:pPr>
      <w:r w:rsidRPr="00D65AED">
        <w:rPr>
          <w:rFonts w:ascii="標楷體" w:eastAsia="標楷體" w:hAnsi="標楷體" w:hint="eastAsia"/>
          <w:sz w:val="28"/>
          <w:szCs w:val="28"/>
        </w:rPr>
        <w:t>(五)增訂第四百八十一條之四，除增訂第六項為「</w:t>
      </w:r>
      <w:r w:rsidRPr="00D65AED">
        <w:rPr>
          <w:rFonts w:ascii="標楷體" w:eastAsia="標楷體" w:hAnsi="標楷體" w:hint="eastAsia"/>
          <w:sz w:val="28"/>
          <w:szCs w:val="28"/>
          <w:u w:val="single"/>
        </w:rPr>
        <w:t>依第一項至第三項得檢閱卷宗及證物或抄錄、重製或攝影者，除本條另有規定外，準用第三十八條之一規定之閱卷規則。</w:t>
      </w:r>
      <w:r w:rsidRPr="00D65AED">
        <w:rPr>
          <w:rFonts w:ascii="標楷體" w:eastAsia="標楷體" w:hAnsi="標楷體" w:hint="eastAsia"/>
          <w:sz w:val="28"/>
          <w:szCs w:val="28"/>
        </w:rPr>
        <w:t>」外，餘照案通過。</w:t>
      </w:r>
    </w:p>
    <w:p w14:paraId="6D0E970F" w14:textId="77777777" w:rsidR="00421BB5" w:rsidRPr="00D65AED" w:rsidRDefault="00421BB5" w:rsidP="00421BB5">
      <w:pPr>
        <w:spacing w:line="360" w:lineRule="exact"/>
        <w:ind w:firstLineChars="101" w:firstLine="283"/>
        <w:contextualSpacing/>
        <w:jc w:val="distribute"/>
        <w:rPr>
          <w:rFonts w:ascii="標楷體" w:eastAsia="標楷體" w:hAnsi="標楷體"/>
          <w:sz w:val="28"/>
          <w:szCs w:val="28"/>
        </w:rPr>
      </w:pPr>
      <w:r w:rsidRPr="00D65AED">
        <w:rPr>
          <w:rFonts w:ascii="標楷體" w:eastAsia="標楷體" w:hAnsi="標楷體" w:hint="eastAsia"/>
          <w:sz w:val="28"/>
          <w:szCs w:val="28"/>
        </w:rPr>
        <w:t>(六)本案審查完竣，擬具審查報告，提請院會公決；不須交由黨團</w:t>
      </w:r>
    </w:p>
    <w:p w14:paraId="63C5FB1B" w14:textId="77777777" w:rsidR="00421BB5" w:rsidRPr="00D65AED" w:rsidRDefault="00421BB5" w:rsidP="00421BB5">
      <w:pPr>
        <w:spacing w:line="360" w:lineRule="exact"/>
        <w:ind w:firstLineChars="305" w:firstLine="854"/>
        <w:contextualSpacing/>
        <w:jc w:val="both"/>
        <w:rPr>
          <w:rFonts w:ascii="標楷體" w:eastAsia="標楷體" w:hAnsi="標楷體"/>
          <w:sz w:val="28"/>
          <w:szCs w:val="28"/>
        </w:rPr>
      </w:pPr>
      <w:r w:rsidRPr="00D65AED">
        <w:rPr>
          <w:rFonts w:ascii="標楷體" w:eastAsia="標楷體" w:hAnsi="標楷體" w:hint="eastAsia"/>
          <w:sz w:val="28"/>
          <w:szCs w:val="28"/>
        </w:rPr>
        <w:t>協商；院會討論時，由陳召集委員歐珀出席說明。</w:t>
      </w:r>
    </w:p>
    <w:p w14:paraId="3D3F20F0" w14:textId="77777777" w:rsidR="00421BB5" w:rsidRPr="00D65AED" w:rsidRDefault="00421BB5" w:rsidP="00421BB5">
      <w:pPr>
        <w:spacing w:line="360" w:lineRule="exact"/>
        <w:ind w:firstLineChars="110" w:firstLine="308"/>
        <w:contextualSpacing/>
        <w:jc w:val="distribute"/>
        <w:rPr>
          <w:rFonts w:ascii="標楷體" w:eastAsia="標楷體" w:hAnsi="標楷體"/>
          <w:sz w:val="28"/>
          <w:szCs w:val="28"/>
        </w:rPr>
      </w:pPr>
      <w:r w:rsidRPr="00D65AED">
        <w:rPr>
          <w:rFonts w:ascii="標楷體" w:eastAsia="標楷體" w:hAnsi="標楷體" w:hint="eastAsia"/>
          <w:sz w:val="28"/>
          <w:szCs w:val="28"/>
        </w:rPr>
        <w:t>(七)條次、引述條文部分文字及法制用字用語，授權主席及議事</w:t>
      </w:r>
    </w:p>
    <w:p w14:paraId="39DF60C5" w14:textId="77777777" w:rsidR="00421BB5" w:rsidRPr="00D65AED" w:rsidRDefault="00421BB5" w:rsidP="00421BB5">
      <w:pPr>
        <w:spacing w:line="360" w:lineRule="exact"/>
        <w:ind w:left="2" w:firstLineChars="309" w:firstLine="865"/>
        <w:contextualSpacing/>
        <w:jc w:val="both"/>
        <w:rPr>
          <w:rFonts w:ascii="標楷體" w:eastAsia="標楷體" w:hAnsi="標楷體"/>
          <w:sz w:val="28"/>
          <w:szCs w:val="28"/>
        </w:rPr>
      </w:pPr>
      <w:r w:rsidRPr="00D65AED">
        <w:rPr>
          <w:rFonts w:ascii="標楷體" w:eastAsia="標楷體" w:hAnsi="標楷體" w:hint="eastAsia"/>
          <w:sz w:val="28"/>
          <w:szCs w:val="28"/>
        </w:rPr>
        <w:t>人員整理。</w:t>
      </w:r>
    </w:p>
    <w:p w14:paraId="49902747"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三、「刑事訴訟法施行法增訂第七條之二十三條文草案」：</w:t>
      </w:r>
    </w:p>
    <w:p w14:paraId="3A3FB419" w14:textId="77777777" w:rsidR="00421BB5" w:rsidRPr="00D65AED" w:rsidRDefault="00421BB5" w:rsidP="00421BB5">
      <w:pPr>
        <w:spacing w:line="360" w:lineRule="exact"/>
        <w:ind w:firstLineChars="101" w:firstLine="283"/>
        <w:contextualSpacing/>
        <w:jc w:val="both"/>
        <w:rPr>
          <w:rFonts w:ascii="標楷體" w:eastAsia="標楷體" w:hAnsi="標楷體"/>
          <w:sz w:val="28"/>
          <w:szCs w:val="28"/>
        </w:rPr>
      </w:pPr>
      <w:r w:rsidRPr="00D65AED">
        <w:rPr>
          <w:rFonts w:ascii="標楷體" w:eastAsia="標楷體" w:hAnsi="標楷體" w:hint="eastAsia"/>
          <w:sz w:val="28"/>
          <w:szCs w:val="28"/>
        </w:rPr>
        <w:lastRenderedPageBreak/>
        <w:t>(一)逕行逐條審查。</w:t>
      </w:r>
    </w:p>
    <w:p w14:paraId="38ECECBD" w14:textId="77777777" w:rsidR="00421BB5" w:rsidRPr="00D65AED" w:rsidRDefault="00421BB5" w:rsidP="00421BB5">
      <w:pPr>
        <w:spacing w:line="360" w:lineRule="exact"/>
        <w:ind w:leftChars="117" w:left="855" w:hangingChars="205" w:hanging="574"/>
        <w:contextualSpacing/>
        <w:jc w:val="both"/>
        <w:rPr>
          <w:rFonts w:ascii="標楷體" w:eastAsia="標楷體" w:hAnsi="標楷體"/>
          <w:sz w:val="28"/>
          <w:szCs w:val="28"/>
        </w:rPr>
      </w:pPr>
      <w:r w:rsidRPr="00D65AED">
        <w:rPr>
          <w:rFonts w:ascii="標楷體" w:eastAsia="標楷體" w:hAnsi="標楷體" w:hint="eastAsia"/>
          <w:sz w:val="28"/>
          <w:szCs w:val="28"/>
        </w:rPr>
        <w:t>(二)增訂第七條之二十三，除條次修正為「第七條之</w:t>
      </w:r>
      <w:r w:rsidRPr="00D65AED">
        <w:rPr>
          <w:rFonts w:ascii="標楷體" w:eastAsia="標楷體" w:hAnsi="標楷體" w:hint="eastAsia"/>
          <w:sz w:val="28"/>
          <w:szCs w:val="28"/>
          <w:u w:val="single"/>
        </w:rPr>
        <w:t>十四」</w:t>
      </w:r>
      <w:r w:rsidRPr="00D65AED">
        <w:rPr>
          <w:rFonts w:ascii="標楷體" w:eastAsia="標楷體" w:hAnsi="標楷體" w:hint="eastAsia"/>
          <w:sz w:val="28"/>
          <w:szCs w:val="28"/>
        </w:rPr>
        <w:t>，並將第一項予以刪除，第二項遞移為第一項，及首句文字修正為「中華民國</w:t>
      </w:r>
      <w:r w:rsidRPr="00D65AED">
        <w:rPr>
          <w:rFonts w:ascii="標楷體" w:eastAsia="標楷體" w:hAnsi="標楷體" w:hint="eastAsia"/>
          <w:sz w:val="28"/>
          <w:szCs w:val="28"/>
          <w:u w:val="single"/>
        </w:rPr>
        <w:t>○</w:t>
      </w:r>
      <w:r w:rsidRPr="00D65AED">
        <w:rPr>
          <w:rFonts w:ascii="標楷體" w:eastAsia="標楷體" w:hAnsi="標楷體" w:hint="eastAsia"/>
          <w:sz w:val="28"/>
          <w:szCs w:val="28"/>
        </w:rPr>
        <w:t>年○月○日修正通過之刑事訴訟法部分條文施行前」外，餘照案通過。</w:t>
      </w:r>
    </w:p>
    <w:p w14:paraId="7442D756" w14:textId="77777777" w:rsidR="00421BB5" w:rsidRPr="00D65AED" w:rsidRDefault="00421BB5" w:rsidP="00421BB5">
      <w:pPr>
        <w:spacing w:line="360" w:lineRule="exact"/>
        <w:ind w:firstLineChars="101" w:firstLine="283"/>
        <w:contextualSpacing/>
        <w:jc w:val="distribute"/>
        <w:rPr>
          <w:rFonts w:ascii="標楷體" w:eastAsia="標楷體" w:hAnsi="標楷體"/>
          <w:sz w:val="28"/>
          <w:szCs w:val="28"/>
        </w:rPr>
      </w:pPr>
      <w:r w:rsidRPr="00D65AED">
        <w:rPr>
          <w:rFonts w:ascii="標楷體" w:eastAsia="標楷體" w:hAnsi="標楷體" w:hint="eastAsia"/>
          <w:sz w:val="28"/>
          <w:szCs w:val="28"/>
        </w:rPr>
        <w:t>(三)本案審查完竣，擬具審查報告，提請院會公決；不須交由黨團</w:t>
      </w:r>
    </w:p>
    <w:p w14:paraId="434C05CA" w14:textId="77777777" w:rsidR="00421BB5" w:rsidRPr="00D65AED" w:rsidRDefault="00421BB5" w:rsidP="00421BB5">
      <w:pPr>
        <w:spacing w:line="360" w:lineRule="exact"/>
        <w:ind w:firstLineChars="305" w:firstLine="854"/>
        <w:contextualSpacing/>
        <w:jc w:val="both"/>
        <w:rPr>
          <w:rFonts w:ascii="標楷體" w:eastAsia="標楷體" w:hAnsi="標楷體"/>
          <w:sz w:val="28"/>
          <w:szCs w:val="28"/>
        </w:rPr>
      </w:pPr>
      <w:r w:rsidRPr="00D65AED">
        <w:rPr>
          <w:rFonts w:ascii="標楷體" w:eastAsia="標楷體" w:hAnsi="標楷體" w:hint="eastAsia"/>
          <w:sz w:val="28"/>
          <w:szCs w:val="28"/>
        </w:rPr>
        <w:t>協商；院會討論時，由陳召集委員歐珀出席說明。</w:t>
      </w:r>
    </w:p>
    <w:p w14:paraId="5686E07C" w14:textId="77777777" w:rsidR="00421BB5" w:rsidRPr="00D65AED" w:rsidRDefault="00421BB5" w:rsidP="00421BB5">
      <w:pPr>
        <w:spacing w:line="360" w:lineRule="exact"/>
        <w:ind w:firstLineChars="110" w:firstLine="308"/>
        <w:contextualSpacing/>
        <w:jc w:val="distribute"/>
        <w:rPr>
          <w:rFonts w:ascii="標楷體" w:eastAsia="標楷體" w:hAnsi="標楷體"/>
          <w:sz w:val="28"/>
          <w:szCs w:val="28"/>
        </w:rPr>
      </w:pPr>
      <w:r w:rsidRPr="00D65AED">
        <w:rPr>
          <w:rFonts w:ascii="標楷體" w:eastAsia="標楷體" w:hAnsi="標楷體" w:hint="eastAsia"/>
          <w:sz w:val="28"/>
          <w:szCs w:val="28"/>
        </w:rPr>
        <w:t>(四)條次、引述條文部分文字及法制用字用語，授權主席及議事</w:t>
      </w:r>
    </w:p>
    <w:p w14:paraId="0F5EE78A" w14:textId="77777777" w:rsidR="00421BB5" w:rsidRPr="00D65AED" w:rsidRDefault="00421BB5" w:rsidP="00421BB5">
      <w:pPr>
        <w:spacing w:line="360" w:lineRule="exact"/>
        <w:ind w:left="2" w:firstLineChars="309" w:firstLine="865"/>
        <w:contextualSpacing/>
        <w:jc w:val="both"/>
        <w:rPr>
          <w:rFonts w:ascii="標楷體" w:eastAsia="標楷體" w:hAnsi="標楷體"/>
          <w:sz w:val="28"/>
          <w:szCs w:val="28"/>
        </w:rPr>
      </w:pPr>
      <w:r w:rsidRPr="00D65AED">
        <w:rPr>
          <w:rFonts w:ascii="標楷體" w:eastAsia="標楷體" w:hAnsi="標楷體" w:hint="eastAsia"/>
          <w:sz w:val="28"/>
          <w:szCs w:val="28"/>
        </w:rPr>
        <w:t>人員整理。</w:t>
      </w:r>
    </w:p>
    <w:p w14:paraId="46E56197"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四、「憲法訴訟法部分條文修正草案」等</w:t>
      </w:r>
      <w:r w:rsidRPr="00D65AED">
        <w:rPr>
          <w:rFonts w:ascii="標楷體" w:eastAsia="標楷體" w:hAnsi="標楷體"/>
          <w:sz w:val="28"/>
          <w:szCs w:val="28"/>
        </w:rPr>
        <w:t>5</w:t>
      </w:r>
      <w:r w:rsidRPr="00D65AED">
        <w:rPr>
          <w:rFonts w:ascii="標楷體" w:eastAsia="標楷體" w:hAnsi="標楷體" w:hint="eastAsia"/>
          <w:sz w:val="28"/>
          <w:szCs w:val="28"/>
        </w:rPr>
        <w:t>案：本案另定期繼續審查。</w:t>
      </w:r>
    </w:p>
    <w:p w14:paraId="68DDAA21" w14:textId="77777777" w:rsidR="00421BB5" w:rsidRPr="00D65AED" w:rsidRDefault="00421BB5" w:rsidP="00421BB5">
      <w:pPr>
        <w:kinsoku w:val="0"/>
        <w:spacing w:line="360" w:lineRule="exact"/>
        <w:ind w:leftChars="6" w:left="543" w:hangingChars="189" w:hanging="529"/>
        <w:contextualSpacing/>
        <w:jc w:val="both"/>
        <w:rPr>
          <w:rFonts w:ascii="標楷體" w:eastAsia="標楷體" w:hAnsi="標楷體"/>
          <w:sz w:val="28"/>
          <w:szCs w:val="28"/>
        </w:rPr>
      </w:pPr>
      <w:r w:rsidRPr="00D65AED">
        <w:rPr>
          <w:rFonts w:ascii="標楷體" w:eastAsia="標楷體" w:hAnsi="標楷體" w:hint="eastAsia"/>
          <w:sz w:val="28"/>
          <w:szCs w:val="28"/>
        </w:rPr>
        <w:t>五、</w:t>
      </w:r>
      <w:r w:rsidRPr="00D65AED">
        <w:rPr>
          <w:rFonts w:ascii="標楷體" w:eastAsia="標楷體" w:hAnsi="標楷體"/>
          <w:sz w:val="28"/>
          <w:szCs w:val="28"/>
        </w:rPr>
        <w:t>委員質詢時，要求提供相關資料或以書面答復者，請相關機關儘速送交個別委員</w:t>
      </w:r>
      <w:r w:rsidRPr="00D65AED">
        <w:rPr>
          <w:rFonts w:ascii="標楷體" w:eastAsia="標楷體" w:hAnsi="標楷體" w:hint="eastAsia"/>
          <w:sz w:val="28"/>
          <w:szCs w:val="28"/>
        </w:rPr>
        <w:t>及</w:t>
      </w:r>
      <w:r w:rsidRPr="00D65AED">
        <w:rPr>
          <w:rFonts w:ascii="標楷體" w:eastAsia="標楷體" w:hAnsi="標楷體"/>
          <w:sz w:val="28"/>
          <w:szCs w:val="28"/>
        </w:rPr>
        <w:t>本會。</w:t>
      </w:r>
    </w:p>
    <w:p w14:paraId="1AD4B0BF"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6C8D536B" w14:textId="77777777" w:rsidR="00421BB5" w:rsidRPr="00D65AED" w:rsidRDefault="00421BB5" w:rsidP="00421BB5">
      <w:pPr>
        <w:rPr>
          <w:rFonts w:ascii="標楷體" w:eastAsia="標楷體" w:hAnsi="標楷體"/>
          <w:sz w:val="28"/>
          <w:szCs w:val="28"/>
        </w:rPr>
      </w:pPr>
    </w:p>
    <w:p w14:paraId="04C62D61"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w:t>
      </w:r>
      <w:r w:rsidRPr="00D65AED">
        <w:rPr>
          <w:rFonts w:ascii="標楷體" w:eastAsia="標楷體" w:hAnsi="標楷體"/>
          <w:b/>
          <w:spacing w:val="-4"/>
          <w:sz w:val="28"/>
          <w:szCs w:val="28"/>
        </w:rPr>
        <w:t>8</w:t>
      </w:r>
      <w:r w:rsidRPr="00D65AED">
        <w:rPr>
          <w:rFonts w:ascii="標楷體" w:eastAsia="標楷體" w:hAnsi="標楷體" w:hint="eastAsia"/>
          <w:b/>
          <w:spacing w:val="-4"/>
          <w:sz w:val="28"/>
          <w:szCs w:val="28"/>
        </w:rPr>
        <w:t>次全體委員會議議事錄</w:t>
      </w:r>
    </w:p>
    <w:p w14:paraId="41C79F4E" w14:textId="77777777" w:rsidR="00421BB5" w:rsidRPr="00D65AED" w:rsidRDefault="00421BB5" w:rsidP="00421BB5">
      <w:pPr>
        <w:pStyle w:val="-9"/>
        <w:spacing w:line="360" w:lineRule="exact"/>
        <w:ind w:left="1417" w:hangingChars="506" w:hanging="1417"/>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z w:val="28"/>
          <w:szCs w:val="28"/>
        </w:rPr>
        <w:t>中華民國1</w:t>
      </w:r>
      <w:r w:rsidRPr="00D65AED">
        <w:rPr>
          <w:rFonts w:ascii="標楷體" w:hAnsi="標楷體"/>
          <w:sz w:val="28"/>
          <w:szCs w:val="28"/>
        </w:rPr>
        <w:t>11</w:t>
      </w:r>
      <w:r w:rsidRPr="00D65AED">
        <w:rPr>
          <w:rFonts w:ascii="標楷體" w:hAnsi="標楷體" w:hint="eastAsia"/>
          <w:sz w:val="28"/>
          <w:szCs w:val="28"/>
        </w:rPr>
        <w:t>年10月</w:t>
      </w:r>
      <w:r w:rsidRPr="00D65AED">
        <w:rPr>
          <w:rFonts w:ascii="標楷體" w:hAnsi="標楷體"/>
          <w:sz w:val="28"/>
          <w:szCs w:val="28"/>
        </w:rPr>
        <w:t>20</w:t>
      </w:r>
      <w:r w:rsidRPr="00D65AED">
        <w:rPr>
          <w:rFonts w:ascii="標楷體" w:hAnsi="標楷體" w:hint="eastAsia"/>
          <w:sz w:val="28"/>
          <w:szCs w:val="28"/>
        </w:rPr>
        <w:t>日（星期四）上午9時至12時35分</w:t>
      </w:r>
    </w:p>
    <w:p w14:paraId="22374E9A"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3ECF2690" w14:textId="77777777" w:rsidR="00421BB5" w:rsidRPr="00D65AED" w:rsidRDefault="00421BB5" w:rsidP="00421BB5">
      <w:pPr>
        <w:snapToGrid w:val="0"/>
        <w:ind w:leftChars="-17" w:left="1398" w:hangingChars="514" w:hanging="1439"/>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hint="eastAsia"/>
          <w:sz w:val="28"/>
          <w:szCs w:val="28"/>
        </w:rPr>
        <w:tab/>
        <w:t>游毓蘭</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陳以信</w:t>
      </w:r>
    </w:p>
    <w:p w14:paraId="2C073A21" w14:textId="77777777" w:rsidR="00421BB5" w:rsidRPr="00D65AED" w:rsidRDefault="00421BB5" w:rsidP="00421BB5">
      <w:pPr>
        <w:snapToGrid w:val="0"/>
        <w:ind w:leftChars="571" w:left="1395" w:hangingChars="9" w:hanging="25"/>
        <w:rPr>
          <w:rFonts w:ascii="標楷體" w:eastAsia="標楷體" w:hAnsi="標楷體"/>
          <w:sz w:val="28"/>
          <w:szCs w:val="28"/>
        </w:rPr>
      </w:pP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周春米</w:t>
      </w:r>
      <w:r w:rsidRPr="00D65AED">
        <w:rPr>
          <w:rFonts w:ascii="標楷體" w:eastAsia="標楷體" w:hAnsi="標楷體"/>
          <w:sz w:val="28"/>
          <w:szCs w:val="28"/>
        </w:rPr>
        <w:tab/>
      </w:r>
      <w:r w:rsidRPr="00D65AED">
        <w:rPr>
          <w:rFonts w:ascii="標楷體" w:eastAsia="標楷體" w:hAnsi="標楷體" w:hint="eastAsia"/>
          <w:sz w:val="28"/>
          <w:szCs w:val="28"/>
        </w:rPr>
        <w:t>柯建銘</w:t>
      </w:r>
      <w:r w:rsidRPr="00D65AED">
        <w:rPr>
          <w:rFonts w:ascii="標楷體" w:eastAsia="標楷體" w:hAnsi="標楷體"/>
          <w:sz w:val="28"/>
          <w:szCs w:val="28"/>
        </w:rPr>
        <w:tab/>
      </w:r>
    </w:p>
    <w:p w14:paraId="2C4DD955" w14:textId="77777777" w:rsidR="00421BB5" w:rsidRPr="00D65AED" w:rsidRDefault="00421BB5" w:rsidP="00421BB5">
      <w:pPr>
        <w:snapToGrid w:val="0"/>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委員出席11人</w:t>
      </w:r>
    </w:p>
    <w:p w14:paraId="41976772" w14:textId="77777777" w:rsidR="00421BB5" w:rsidRPr="00D65AED" w:rsidRDefault="00421BB5" w:rsidP="00421BB5">
      <w:pPr>
        <w:adjustRightInd w:val="0"/>
        <w:snapToGrid w:val="0"/>
        <w:ind w:leftChars="-11" w:left="1402" w:hangingChars="510" w:hanging="1428"/>
        <w:jc w:val="both"/>
        <w:rPr>
          <w:rFonts w:ascii="標楷體" w:eastAsia="標楷體" w:hAnsi="標楷體"/>
          <w:spacing w:val="-20"/>
          <w:w w:val="95"/>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楊瓊瓔</w:t>
      </w:r>
    </w:p>
    <w:p w14:paraId="42299E15" w14:textId="77777777" w:rsidR="007F281E" w:rsidRDefault="00421BB5" w:rsidP="00421BB5">
      <w:pPr>
        <w:adjustRightInd w:val="0"/>
        <w:snapToGrid w:val="0"/>
        <w:ind w:leftChars="577" w:left="1399" w:hangingChars="5" w:hanging="14"/>
        <w:rPr>
          <w:rFonts w:ascii="標楷體" w:eastAsia="標楷體" w:hAnsi="標楷體"/>
          <w:sz w:val="28"/>
          <w:szCs w:val="28"/>
        </w:rPr>
      </w:pPr>
      <w:r w:rsidRPr="00D65AED">
        <w:rPr>
          <w:rFonts w:ascii="標楷體" w:eastAsia="標楷體" w:hAnsi="標楷體" w:hint="eastAsia"/>
          <w:sz w:val="28"/>
          <w:szCs w:val="28"/>
        </w:rPr>
        <w:t>吳玉琴</w:t>
      </w:r>
      <w:r w:rsidRPr="00D65AED">
        <w:rPr>
          <w:rFonts w:ascii="標楷體" w:eastAsia="標楷體" w:hAnsi="標楷體"/>
          <w:sz w:val="28"/>
          <w:szCs w:val="28"/>
        </w:rPr>
        <w:tab/>
      </w:r>
      <w:r w:rsidRPr="00D65AED">
        <w:rPr>
          <w:rFonts w:ascii="標楷體" w:eastAsia="標楷體" w:hAnsi="標楷體" w:hint="eastAsia"/>
          <w:sz w:val="28"/>
        </w:rPr>
        <w:t>高嘉瑜</w:t>
      </w:r>
      <w:r w:rsidRPr="00D65AED">
        <w:rPr>
          <w:rFonts w:ascii="標楷體" w:eastAsia="標楷體" w:hAnsi="標楷體"/>
          <w:sz w:val="28"/>
        </w:rPr>
        <w:tab/>
      </w:r>
      <w:r w:rsidRPr="00D65AED">
        <w:rPr>
          <w:rFonts w:ascii="標楷體" w:eastAsia="標楷體" w:hAnsi="標楷體" w:hint="eastAsia"/>
          <w:sz w:val="28"/>
        </w:rPr>
        <w:t>廖婉汝</w:t>
      </w:r>
      <w:r w:rsidRPr="00D65AED">
        <w:rPr>
          <w:rFonts w:ascii="標楷體" w:eastAsia="標楷體" w:hAnsi="標楷體"/>
          <w:sz w:val="28"/>
        </w:rPr>
        <w:tab/>
      </w:r>
      <w:r w:rsidRPr="00D65AED">
        <w:rPr>
          <w:rFonts w:ascii="標楷體" w:eastAsia="標楷體" w:hAnsi="標楷體" w:hint="eastAsia"/>
          <w:sz w:val="28"/>
        </w:rPr>
        <w:t>陳明文</w:t>
      </w:r>
      <w:r w:rsidRPr="00D65AED">
        <w:rPr>
          <w:rFonts w:ascii="標楷體" w:eastAsia="標楷體" w:hAnsi="標楷體"/>
          <w:sz w:val="28"/>
        </w:rPr>
        <w:tab/>
      </w:r>
      <w:r w:rsidRPr="00D65AED">
        <w:rPr>
          <w:rFonts w:ascii="標楷體" w:eastAsia="標楷體" w:hAnsi="標楷體" w:hint="eastAsia"/>
          <w:sz w:val="28"/>
        </w:rPr>
        <w:t>何欣純</w:t>
      </w:r>
      <w:r w:rsidRPr="00D65AED">
        <w:rPr>
          <w:rFonts w:ascii="標楷體" w:eastAsia="標楷體" w:hAnsi="標楷體"/>
          <w:sz w:val="28"/>
        </w:rPr>
        <w:tab/>
      </w:r>
      <w:r w:rsidRPr="00D65AED">
        <w:rPr>
          <w:rFonts w:ascii="標楷體" w:eastAsia="標楷體" w:hAnsi="標楷體" w:hint="eastAsia"/>
          <w:sz w:val="28"/>
        </w:rPr>
        <w:t>鄭正鈐</w:t>
      </w:r>
      <w:r w:rsidRPr="00D65AED">
        <w:rPr>
          <w:rFonts w:ascii="標楷體" w:eastAsia="標楷體" w:hAnsi="標楷體"/>
          <w:sz w:val="28"/>
        </w:rPr>
        <w:tab/>
      </w:r>
      <w:r w:rsidRPr="00D65AED">
        <w:rPr>
          <w:rFonts w:ascii="標楷體" w:eastAsia="標楷體" w:hAnsi="標楷體" w:hint="eastAsia"/>
          <w:sz w:val="28"/>
          <w:szCs w:val="28"/>
        </w:rPr>
        <w:t>張其祿</w:t>
      </w:r>
    </w:p>
    <w:p w14:paraId="68686AE3" w14:textId="4063726D" w:rsidR="00421BB5" w:rsidRPr="00D65AED" w:rsidRDefault="00421BB5" w:rsidP="00421BB5">
      <w:pPr>
        <w:adjustRightInd w:val="0"/>
        <w:snapToGrid w:val="0"/>
        <w:ind w:leftChars="577" w:left="1399" w:hangingChars="5" w:hanging="14"/>
        <w:rPr>
          <w:rFonts w:ascii="標楷體" w:eastAsia="標楷體" w:hAnsi="標楷體"/>
          <w:sz w:val="28"/>
          <w:szCs w:val="28"/>
        </w:rPr>
      </w:pPr>
      <w:r w:rsidRPr="00D65AED">
        <w:rPr>
          <w:rFonts w:ascii="標楷體" w:eastAsia="標楷體" w:hAnsi="標楷體" w:hint="eastAsia"/>
          <w:sz w:val="28"/>
          <w:szCs w:val="28"/>
        </w:rPr>
        <w:t>廖國棟Sufin．Siluko</w:t>
      </w:r>
      <w:r w:rsidRPr="00D65AED">
        <w:rPr>
          <w:rFonts w:ascii="標楷體" w:eastAsia="標楷體" w:hAnsi="標楷體"/>
          <w:sz w:val="28"/>
          <w:szCs w:val="28"/>
        </w:rPr>
        <w:tab/>
      </w:r>
      <w:r w:rsidRPr="00D65AED">
        <w:rPr>
          <w:rFonts w:ascii="標楷體" w:eastAsia="標楷體" w:hAnsi="標楷體" w:hint="eastAsia"/>
          <w:sz w:val="28"/>
          <w:szCs w:val="28"/>
        </w:rPr>
        <w:t>邱志偉</w:t>
      </w:r>
      <w:r w:rsidRPr="00D65AED">
        <w:rPr>
          <w:rFonts w:ascii="標楷體" w:eastAsia="標楷體" w:hAnsi="標楷體"/>
          <w:sz w:val="28"/>
          <w:szCs w:val="28"/>
        </w:rPr>
        <w:tab/>
      </w:r>
    </w:p>
    <w:p w14:paraId="08D96494" w14:textId="77777777" w:rsidR="00421BB5" w:rsidRPr="00D65AED" w:rsidRDefault="00421BB5" w:rsidP="00421BB5">
      <w:pPr>
        <w:widowControl/>
        <w:snapToGrid w:val="0"/>
        <w:ind w:leftChars="396" w:left="950"/>
        <w:jc w:val="both"/>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委員列席</w:t>
      </w:r>
      <w:r w:rsidRPr="00D65AED">
        <w:rPr>
          <w:rFonts w:ascii="標楷體" w:eastAsia="標楷體" w:hAnsi="標楷體" w:hint="eastAsia"/>
          <w:sz w:val="28"/>
          <w:szCs w:val="28"/>
        </w:rPr>
        <w:t>15</w:t>
      </w:r>
      <w:r w:rsidRPr="00D65AED">
        <w:rPr>
          <w:rFonts w:ascii="標楷體" w:eastAsia="標楷體" w:hAnsi="標楷體"/>
          <w:sz w:val="28"/>
          <w:szCs w:val="28"/>
        </w:rPr>
        <w:t>人</w:t>
      </w:r>
    </w:p>
    <w:p w14:paraId="16F43AA4"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spacing w:val="-28"/>
          <w:sz w:val="28"/>
          <w:szCs w:val="28"/>
        </w:rPr>
        <w:t>考</w:t>
      </w:r>
      <w:r w:rsidRPr="00D65AED">
        <w:rPr>
          <w:rFonts w:ascii="標楷體" w:hAnsi="標楷體"/>
          <w:spacing w:val="-26"/>
          <w:sz w:val="28"/>
          <w:szCs w:val="28"/>
        </w:rPr>
        <w:t>試院</w:t>
      </w:r>
      <w:r w:rsidRPr="00D65AED">
        <w:rPr>
          <w:rFonts w:ascii="標楷體" w:hAnsi="標楷體" w:hint="eastAsia"/>
          <w:spacing w:val="-26"/>
          <w:sz w:val="28"/>
          <w:szCs w:val="28"/>
        </w:rPr>
        <w:t xml:space="preserve">副院長兼公務人員退休撫卹基金監理委員會主任委員  </w:t>
      </w:r>
      <w:r w:rsidRPr="00D65AED">
        <w:rPr>
          <w:rFonts w:ascii="標楷體" w:hAnsi="標楷體" w:hint="eastAsia"/>
          <w:snapToGrid w:val="0"/>
          <w:spacing w:val="-20"/>
          <w:sz w:val="28"/>
          <w:szCs w:val="28"/>
        </w:rPr>
        <w:t>周弘憲</w:t>
      </w:r>
    </w:p>
    <w:p w14:paraId="327A53E3" w14:textId="77777777" w:rsidR="00421BB5" w:rsidRPr="00D65AED" w:rsidRDefault="00421BB5" w:rsidP="00421BB5">
      <w:pPr>
        <w:pStyle w:val="-9"/>
        <w:spacing w:line="360" w:lineRule="exact"/>
        <w:ind w:leftChars="863" w:left="2799" w:hangingChars="260" w:hanging="728"/>
        <w:rPr>
          <w:rFonts w:ascii="標楷體" w:hAnsi="標楷體"/>
          <w:snapToGrid w:val="0"/>
          <w:sz w:val="28"/>
          <w:szCs w:val="28"/>
        </w:rPr>
      </w:pPr>
      <w:r w:rsidRPr="00D65AED">
        <w:rPr>
          <w:rFonts w:ascii="標楷體" w:hAnsi="標楷體" w:hint="eastAsia"/>
          <w:snapToGrid w:val="0"/>
          <w:sz w:val="28"/>
          <w:szCs w:val="28"/>
        </w:rPr>
        <w:t xml:space="preserve">秘書長　</w:t>
      </w:r>
      <w:r w:rsidRPr="00D65AED">
        <w:rPr>
          <w:rFonts w:ascii="標楷體" w:hAnsi="標楷體" w:hint="eastAsia"/>
          <w:sz w:val="28"/>
          <w:szCs w:val="28"/>
          <w:shd w:val="clear" w:color="auto" w:fill="FFFFFF"/>
        </w:rPr>
        <w:t>劉建忻</w:t>
      </w:r>
    </w:p>
    <w:p w14:paraId="19F0E8AF" w14:textId="77777777" w:rsidR="00421BB5" w:rsidRPr="00D65AED" w:rsidRDefault="00421BB5" w:rsidP="00421BB5">
      <w:pPr>
        <w:pStyle w:val="-9"/>
        <w:spacing w:line="360" w:lineRule="exact"/>
        <w:ind w:leftChars="600" w:left="2801" w:hangingChars="486" w:hanging="1361"/>
        <w:rPr>
          <w:rFonts w:ascii="標楷體" w:hAnsi="標楷體"/>
          <w:snapToGrid w:val="0"/>
          <w:sz w:val="28"/>
          <w:szCs w:val="28"/>
        </w:rPr>
      </w:pPr>
      <w:r w:rsidRPr="00D65AED">
        <w:rPr>
          <w:rFonts w:ascii="標楷體" w:hAnsi="標楷體"/>
          <w:snapToGrid w:val="0"/>
          <w:sz w:val="28"/>
          <w:szCs w:val="28"/>
        </w:rPr>
        <w:t>考選部部長</w:t>
      </w:r>
      <w:r w:rsidRPr="00D65AED">
        <w:rPr>
          <w:rFonts w:ascii="標楷體" w:hAnsi="標楷體" w:hint="eastAsia"/>
          <w:snapToGrid w:val="0"/>
          <w:sz w:val="28"/>
          <w:szCs w:val="28"/>
        </w:rPr>
        <w:t xml:space="preserve">　許舒翔</w:t>
      </w:r>
    </w:p>
    <w:p w14:paraId="4A1B4469" w14:textId="77777777" w:rsidR="00421BB5" w:rsidRPr="00D65AED" w:rsidRDefault="00421BB5" w:rsidP="00421BB5">
      <w:pPr>
        <w:pStyle w:val="-9"/>
        <w:spacing w:line="360" w:lineRule="exact"/>
        <w:ind w:leftChars="446" w:left="1070" w:firstLineChars="166" w:firstLine="385"/>
        <w:rPr>
          <w:rFonts w:ascii="標楷體" w:hAnsi="標楷體"/>
          <w:snapToGrid w:val="0"/>
          <w:spacing w:val="-24"/>
          <w:sz w:val="28"/>
          <w:szCs w:val="28"/>
        </w:rPr>
      </w:pPr>
      <w:r w:rsidRPr="00D65AED">
        <w:rPr>
          <w:rFonts w:ascii="標楷體" w:hAnsi="標楷體"/>
          <w:snapToGrid w:val="0"/>
          <w:spacing w:val="-24"/>
          <w:sz w:val="28"/>
          <w:szCs w:val="28"/>
        </w:rPr>
        <w:t xml:space="preserve">銓敘部部長兼公務人員退休撫卹基金管理委員會主任委員  </w:t>
      </w:r>
      <w:r w:rsidRPr="00D65AED">
        <w:rPr>
          <w:rFonts w:ascii="標楷體" w:hAnsi="標楷體" w:hint="eastAsia"/>
          <w:snapToGrid w:val="0"/>
          <w:sz w:val="28"/>
          <w:szCs w:val="28"/>
        </w:rPr>
        <w:t>周志宏</w:t>
      </w:r>
    </w:p>
    <w:p w14:paraId="131C4AE3" w14:textId="77777777" w:rsidR="00421BB5" w:rsidRPr="00D65AED" w:rsidRDefault="00421BB5" w:rsidP="00421BB5">
      <w:pPr>
        <w:pStyle w:val="-9"/>
        <w:spacing w:line="360" w:lineRule="exact"/>
        <w:ind w:leftChars="600" w:left="2568" w:rightChars="-21" w:right="-50" w:hangingChars="486" w:hanging="1128"/>
        <w:rPr>
          <w:rFonts w:ascii="標楷體" w:hAnsi="標楷體"/>
          <w:snapToGrid w:val="0"/>
          <w:sz w:val="28"/>
          <w:szCs w:val="28"/>
        </w:rPr>
      </w:pPr>
      <w:r w:rsidRPr="00D65AED">
        <w:rPr>
          <w:rFonts w:ascii="標楷體" w:hAnsi="標楷體"/>
          <w:spacing w:val="-24"/>
          <w:sz w:val="28"/>
          <w:szCs w:val="28"/>
        </w:rPr>
        <w:t xml:space="preserve">公務人員保障暨培訓委員會主任委員兼國家文官學院院長  </w:t>
      </w:r>
      <w:r w:rsidRPr="00D65AED">
        <w:rPr>
          <w:rFonts w:ascii="標楷體" w:hAnsi="標楷體" w:hint="eastAsia"/>
          <w:sz w:val="28"/>
          <w:szCs w:val="28"/>
          <w:shd w:val="clear" w:color="auto" w:fill="FFFFFF"/>
        </w:rPr>
        <w:t>郝培芝</w:t>
      </w:r>
    </w:p>
    <w:p w14:paraId="3F7198AB" w14:textId="77777777" w:rsidR="00421BB5" w:rsidRPr="00D65AED" w:rsidRDefault="00421BB5" w:rsidP="00421BB5">
      <w:pPr>
        <w:pStyle w:val="-9"/>
        <w:spacing w:line="360" w:lineRule="exact"/>
        <w:ind w:leftChars="600" w:left="2801" w:hangingChars="486" w:hanging="1361"/>
        <w:rPr>
          <w:rFonts w:ascii="標楷體" w:hAnsi="標楷體"/>
          <w:snapToGrid w:val="0"/>
          <w:sz w:val="28"/>
          <w:szCs w:val="28"/>
        </w:rPr>
      </w:pPr>
      <w:r w:rsidRPr="00D65AED">
        <w:rPr>
          <w:rFonts w:ascii="標楷體" w:hAnsi="標楷體"/>
          <w:snapToGrid w:val="0"/>
          <w:sz w:val="28"/>
          <w:szCs w:val="28"/>
        </w:rPr>
        <w:t>行政院主計總處公務預算處</w:t>
      </w:r>
      <w:r w:rsidRPr="00D65AED">
        <w:rPr>
          <w:rFonts w:ascii="標楷體" w:hAnsi="標楷體" w:hint="eastAsia"/>
          <w:snapToGrid w:val="0"/>
          <w:sz w:val="28"/>
          <w:szCs w:val="28"/>
        </w:rPr>
        <w:t>專門委員　吳銘修</w:t>
      </w:r>
    </w:p>
    <w:p w14:paraId="03FAA66D" w14:textId="77777777" w:rsidR="00421BB5" w:rsidRPr="00D65AED" w:rsidRDefault="00421BB5" w:rsidP="00421BB5">
      <w:pPr>
        <w:pStyle w:val="-9"/>
        <w:spacing w:line="360" w:lineRule="exact"/>
        <w:ind w:leftChars="1150" w:left="2760" w:firstLineChars="234" w:firstLine="655"/>
        <w:rPr>
          <w:rFonts w:ascii="標楷體" w:hAnsi="標楷體"/>
          <w:sz w:val="28"/>
          <w:szCs w:val="28"/>
        </w:rPr>
      </w:pPr>
      <w:r w:rsidRPr="00D65AED">
        <w:rPr>
          <w:rFonts w:ascii="標楷體" w:hAnsi="標楷體" w:hint="eastAsia"/>
          <w:sz w:val="28"/>
          <w:szCs w:val="28"/>
        </w:rPr>
        <w:t>基金預算處專門委員　吳婉玉</w:t>
      </w:r>
    </w:p>
    <w:p w14:paraId="41CF4FF5"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陳召集委員歐珀</w:t>
      </w:r>
    </w:p>
    <w:p w14:paraId="493B31DC"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7EF4A62D"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0A9803B6"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04D31E3C"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323B915B"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32441452"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78CC5378"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51AB1FF3" w14:textId="77777777" w:rsidR="00421BB5" w:rsidRPr="00D65AED" w:rsidRDefault="00421BB5" w:rsidP="00421BB5">
      <w:pPr>
        <w:pStyle w:val="afffff4"/>
        <w:spacing w:line="360" w:lineRule="exact"/>
        <w:ind w:left="560" w:hanging="560"/>
        <w:jc w:val="both"/>
        <w:rPr>
          <w:rFonts w:ascii="標楷體" w:hAnsi="標楷體"/>
          <w:sz w:val="28"/>
          <w:szCs w:val="28"/>
        </w:rPr>
      </w:pPr>
      <w:r w:rsidRPr="00D65AED">
        <w:rPr>
          <w:rFonts w:ascii="標楷體" w:hAnsi="標楷體" w:hint="eastAsia"/>
          <w:sz w:val="28"/>
          <w:szCs w:val="28"/>
        </w:rPr>
        <w:t>一、</w:t>
      </w:r>
      <w:r w:rsidRPr="00D65AED">
        <w:rPr>
          <w:rFonts w:ascii="標楷體" w:hAnsi="標楷體"/>
          <w:sz w:val="28"/>
          <w:szCs w:val="28"/>
        </w:rPr>
        <w:t>宣讀上次會議議事錄</w:t>
      </w:r>
      <w:r w:rsidRPr="00D65AED">
        <w:rPr>
          <w:rFonts w:ascii="標楷體" w:hAnsi="標楷體" w:hint="eastAsia"/>
          <w:sz w:val="28"/>
          <w:szCs w:val="28"/>
        </w:rPr>
        <w:t>。</w:t>
      </w:r>
    </w:p>
    <w:p w14:paraId="2CF582C6"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決定：確定。</w:t>
      </w:r>
    </w:p>
    <w:p w14:paraId="61A6A312" w14:textId="77777777" w:rsidR="00421BB5" w:rsidRPr="00D65AED" w:rsidRDefault="00421BB5" w:rsidP="00421BB5">
      <w:pPr>
        <w:kinsoku w:val="0"/>
        <w:overflowPunct w:val="0"/>
        <w:autoSpaceDE w:val="0"/>
        <w:autoSpaceDN w:val="0"/>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w:t>
      </w:r>
      <w:r w:rsidRPr="00D65AED">
        <w:rPr>
          <w:rFonts w:ascii="標楷體" w:eastAsia="標楷體" w:hAnsi="標楷體"/>
          <w:kern w:val="0"/>
          <w:sz w:val="28"/>
          <w:szCs w:val="28"/>
        </w:rPr>
        <w:t>邀請考試院秘書長、考選部部長、銓敘部部長及公務人員保障暨培訓委員會主任委員列席報告業務概況及立法計畫，並備質詢。</w:t>
      </w:r>
    </w:p>
    <w:p w14:paraId="50CACBC5"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決定：報告及詢答完畢。</w:t>
      </w:r>
    </w:p>
    <w:p w14:paraId="0EF8236E"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kern w:val="0"/>
          <w:sz w:val="28"/>
          <w:szCs w:val="28"/>
        </w:rPr>
        <w:t>三、考試院函，為111年度中央政府總預算決議，檢送凍結該院「一般行政」500萬元書面報告，請查照案。</w:t>
      </w:r>
    </w:p>
    <w:p w14:paraId="6073E4C9"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kern w:val="0"/>
          <w:sz w:val="28"/>
          <w:szCs w:val="28"/>
        </w:rPr>
        <w:t>四、考試院函，為111年度中央政府總預算決議，檢送凍結該院「法制業務」項下「法制作業及法規編印」5萬元書面報告，請查照案。</w:t>
      </w:r>
    </w:p>
    <w:p w14:paraId="591CEB34"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kern w:val="0"/>
          <w:sz w:val="28"/>
          <w:szCs w:val="28"/>
        </w:rPr>
        <w:t>五、考試院函，為111年度中央政府總預算決議，檢送凍結該院「施政業務及督導」30萬元書面報告，請查照案。</w:t>
      </w:r>
    </w:p>
    <w:p w14:paraId="45781137"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六、考選部函，為111年度中央政府總預算決議，檢送該部決議（一）</w:t>
      </w:r>
      <w:r w:rsidRPr="00D65AED">
        <w:rPr>
          <w:rFonts w:ascii="標楷體" w:eastAsia="標楷體" w:hAnsi="標楷體" w:hint="eastAsia"/>
          <w:kern w:val="0"/>
          <w:sz w:val="28"/>
          <w:szCs w:val="28"/>
        </w:rPr>
        <w:lastRenderedPageBreak/>
        <w:t>預算凍結書面報告，請查照案。</w:t>
      </w:r>
    </w:p>
    <w:p w14:paraId="2A395754"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七、考選部函，為111年度中央政府總預算決議，檢送該部決議（二）第2目「考試業務研究改進」凍結50萬元書面報告，請查照案。</w:t>
      </w:r>
    </w:p>
    <w:p w14:paraId="74D7FE04"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八、考選部函，為111年度中央政府總預算決議，檢送該部決議（三）預算凍結書面報告，請查照案。</w:t>
      </w:r>
    </w:p>
    <w:p w14:paraId="1D38CAC1"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九、銓敘部函，為111年度中央政府總預算決議，檢送該部決議（一）凍結「基本行政工作維持」中「業務費」之「國外旅費」30％書面報告，請查照案。</w:t>
      </w:r>
    </w:p>
    <w:p w14:paraId="26C705C9"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十、銓敘部函，為111年度中央政府總預算決議，檢送該部決議（三）凍結「一般建築及設備」100萬元書面報告，請查照案。</w:t>
      </w:r>
    </w:p>
    <w:p w14:paraId="3C35C849"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十一、銓敘部函，為111年度中央政府總預算決議，檢送該部決議（四）凍結「補助公教人員保險事務經費」50萬元書面報告，請查照案。</w:t>
      </w:r>
    </w:p>
    <w:p w14:paraId="7651714E"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十二、銓敘部函，為111年度中央政府總預算決議，檢送該部決議（五）凍結「公務人員退休撫卹管理」50萬元書面報告，請查照案。</w:t>
      </w:r>
    </w:p>
    <w:p w14:paraId="2D74C6E8"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十三、銓敘部函，為111年度中央政府總預算決議，檢送該部決議（六）凍結「公務人員退休業務」30萬元書面報告，請查照案。</w:t>
      </w:r>
    </w:p>
    <w:p w14:paraId="73FF78A3"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十四、銓敘部函，為111年度中央政府總預算決議，檢送該部決議（十二）凍結「資訊系統之使用及管理」50萬元書面報告，請查照案。</w:t>
      </w:r>
    </w:p>
    <w:p w14:paraId="2AC3F48F"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十五、銓敘部函，為111年度中央政府總預算決議，檢送該部決議（十三）凍結「資訊系統之使用及管理」中「業務費」之「資訊服務費」100萬元書面報告，請查照案。</w:t>
      </w:r>
    </w:p>
    <w:p w14:paraId="3A89E8CB"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十六、銓敘部函，為111年度中央政府總預算決議，檢送該部決議（十四）凍結「資訊系統之使用及管理」200萬元書面報告，請查照案。</w:t>
      </w:r>
    </w:p>
    <w:p w14:paraId="57B47B3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十七、銓敘部函，為111年度中央政府總預算決議，檢送該部決議（十五）凍結「人事法制及銓敘」5%書面報告，請查照案。</w:t>
      </w:r>
    </w:p>
    <w:p w14:paraId="41E844D9"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十八、銓敘部函，為111年度中央政府總預算決議，檢送該部決議（十六）凍結「人事法制及銓敘」30萬元書面報告，請查照案。</w:t>
      </w:r>
    </w:p>
    <w:p w14:paraId="06A61E70"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十九、銓敘部函，為111年度中央政府總預算決議，檢送預算凍結書面報告，請查照案。</w:t>
      </w:r>
    </w:p>
    <w:p w14:paraId="2DEA6DD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二十、公務人員保障暨培訓委員會函，為111年度中央政府總預算決議，檢送決議（一）「國外旅費」預算凍結30%書面報告，請查照案。</w:t>
      </w:r>
    </w:p>
    <w:p w14:paraId="158522C2"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二十一、公務人員保障暨培訓委員會函，為111年度中央政府總預算決議，檢送決議（二）「一般行政」預算凍結5萬元書面報告，請查照案。</w:t>
      </w:r>
    </w:p>
    <w:p w14:paraId="2F9328CC"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二十二、公務人員保障暨培訓委員會函，為111年度中央政府總預算決議，檢送決議（三）「保障暨培訓」預算凍結5萬元書面報告，請查照案。</w:t>
      </w:r>
    </w:p>
    <w:p w14:paraId="3B90D60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二十三、公務人員保障暨培訓委員會函，為111年度中央政府總預算決議，檢送決議（六）「保障暨培訓」預算凍結5萬元書面報告，</w:t>
      </w:r>
      <w:r w:rsidRPr="00D65AED">
        <w:rPr>
          <w:rFonts w:ascii="標楷體" w:eastAsia="標楷體" w:hAnsi="標楷體" w:hint="eastAsia"/>
          <w:kern w:val="0"/>
          <w:sz w:val="28"/>
          <w:szCs w:val="28"/>
        </w:rPr>
        <w:lastRenderedPageBreak/>
        <w:t>請查照案。</w:t>
      </w:r>
    </w:p>
    <w:p w14:paraId="3E70968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二十四、公務人員保障暨培訓委員會函，為111年度中央政府總預算決議，檢送決議（八）「一般行政」預算凍結60萬元書面報告，請查照案。</w:t>
      </w:r>
    </w:p>
    <w:p w14:paraId="004C734C"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二十五、公務人員保障暨培訓委員會函，為111年度中央政府總預算決議，檢送決議（九）「一般行政」預算凍結20萬元書面報告，請查照案。</w:t>
      </w:r>
    </w:p>
    <w:p w14:paraId="0FEFD672"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二十六、公務人員保障暨培訓委員會函，為111年度中央政府總預算決議，檢送決議（十）「保障暨培訓」預算凍結10萬元書面報告，請查照案。</w:t>
      </w:r>
    </w:p>
    <w:p w14:paraId="7F0290D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二十七、公務人員保障暨培訓委員會函，為111年度中央政府總預算決議，檢送決議（十一）「保障暨培訓」預算凍結100萬元書面報告，請查照案。</w:t>
      </w:r>
    </w:p>
    <w:p w14:paraId="207C07AB"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二十八、公務人員保障暨培訓委員會函，為111年度中央政府總預算決議，檢送國家文官學院「國家文官培訓業務」凍結10萬元書面報告（更正本），請查照案。</w:t>
      </w:r>
    </w:p>
    <w:p w14:paraId="513EFC91"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決定：第三案至第二十八案均另定期繼續處理。</w:t>
      </w:r>
    </w:p>
    <w:p w14:paraId="786C3185"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69B4BC44" w14:textId="77777777" w:rsidR="00421BB5" w:rsidRPr="00D65AED" w:rsidRDefault="00421BB5" w:rsidP="00421BB5">
      <w:pPr>
        <w:kinsoku w:val="0"/>
        <w:spacing w:line="360" w:lineRule="exact"/>
        <w:contextualSpacing/>
        <w:jc w:val="both"/>
        <w:rPr>
          <w:rFonts w:ascii="標楷體" w:eastAsia="標楷體" w:hAnsi="標楷體"/>
          <w:spacing w:val="-6"/>
          <w:sz w:val="28"/>
          <w:szCs w:val="28"/>
        </w:rPr>
      </w:pPr>
      <w:r w:rsidRPr="00D65AED">
        <w:rPr>
          <w:rFonts w:ascii="標楷體" w:eastAsia="標楷體" w:hAnsi="標楷體" w:hint="eastAsia"/>
          <w:spacing w:val="-6"/>
          <w:sz w:val="28"/>
          <w:szCs w:val="28"/>
        </w:rPr>
        <w:t>一、審查</w:t>
      </w:r>
      <w:r w:rsidRPr="00D65AED">
        <w:rPr>
          <w:rFonts w:ascii="標楷體" w:eastAsia="標楷體" w:hAnsi="標楷體"/>
          <w:spacing w:val="-6"/>
          <w:sz w:val="28"/>
          <w:szCs w:val="28"/>
        </w:rPr>
        <w:t>112</w:t>
      </w:r>
      <w:r w:rsidRPr="00D65AED">
        <w:rPr>
          <w:rFonts w:ascii="標楷體" w:eastAsia="標楷體" w:hAnsi="標楷體" w:hint="eastAsia"/>
          <w:spacing w:val="-6"/>
          <w:sz w:val="28"/>
          <w:szCs w:val="28"/>
        </w:rPr>
        <w:t>年度中央政府總預算案關於考試院及所屬主管收支部分。</w:t>
      </w:r>
    </w:p>
    <w:p w14:paraId="55A76DC5" w14:textId="77777777" w:rsidR="00421BB5" w:rsidRPr="00D65AED" w:rsidRDefault="00421BB5" w:rsidP="00421BB5">
      <w:pPr>
        <w:kinsoku w:val="0"/>
        <w:spacing w:line="360" w:lineRule="exact"/>
        <w:ind w:left="536" w:hangingChars="200" w:hanging="536"/>
        <w:contextualSpacing/>
        <w:jc w:val="both"/>
        <w:rPr>
          <w:rFonts w:ascii="標楷體" w:eastAsia="標楷體" w:hAnsi="標楷體"/>
          <w:sz w:val="28"/>
          <w:szCs w:val="28"/>
          <w:lang w:val="x-none"/>
        </w:rPr>
      </w:pPr>
      <w:r w:rsidRPr="00D65AED">
        <w:rPr>
          <w:rFonts w:ascii="標楷體" w:eastAsia="標楷體" w:hAnsi="標楷體" w:hint="eastAsia"/>
          <w:spacing w:val="-6"/>
          <w:sz w:val="28"/>
          <w:szCs w:val="28"/>
        </w:rPr>
        <w:t>二、審</w:t>
      </w:r>
      <w:r w:rsidRPr="00D65AED">
        <w:rPr>
          <w:rFonts w:ascii="標楷體" w:eastAsia="標楷體" w:hAnsi="標楷體" w:hint="eastAsia"/>
          <w:sz w:val="28"/>
          <w:szCs w:val="28"/>
          <w:lang w:val="x-none"/>
        </w:rPr>
        <w:t>查</w:t>
      </w:r>
      <w:r w:rsidRPr="00D65AED">
        <w:rPr>
          <w:rFonts w:ascii="標楷體" w:eastAsia="標楷體" w:hAnsi="標楷體"/>
          <w:sz w:val="28"/>
          <w:szCs w:val="28"/>
          <w:lang w:val="x-none"/>
        </w:rPr>
        <w:t>112</w:t>
      </w:r>
      <w:r w:rsidRPr="00D65AED">
        <w:rPr>
          <w:rFonts w:ascii="標楷體" w:eastAsia="標楷體" w:hAnsi="標楷體" w:hint="eastAsia"/>
          <w:sz w:val="28"/>
          <w:szCs w:val="28"/>
          <w:lang w:val="x-none"/>
        </w:rPr>
        <w:t>年度中央政府總預算案附屬單位預算非營業部分關於考試院考選部主管「考選業務基金」收支部分。</w:t>
      </w:r>
    </w:p>
    <w:p w14:paraId="132AFC14"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pacing w:val="-6"/>
          <w:sz w:val="28"/>
          <w:szCs w:val="28"/>
        </w:rPr>
      </w:pPr>
      <w:r w:rsidRPr="00D65AED">
        <w:rPr>
          <w:rFonts w:ascii="標楷體" w:eastAsia="標楷體" w:hAnsi="標楷體" w:hint="eastAsia"/>
          <w:sz w:val="28"/>
          <w:szCs w:val="28"/>
          <w:lang w:val="x-none"/>
        </w:rPr>
        <w:t>三、審</w:t>
      </w:r>
      <w:r w:rsidRPr="00D65AED">
        <w:rPr>
          <w:rFonts w:ascii="標楷體" w:eastAsia="標楷體" w:hAnsi="標楷體" w:hint="eastAsia"/>
          <w:spacing w:val="-6"/>
          <w:sz w:val="28"/>
          <w:szCs w:val="28"/>
        </w:rPr>
        <w:t>查</w:t>
      </w:r>
      <w:r w:rsidRPr="00D65AED">
        <w:rPr>
          <w:rFonts w:ascii="標楷體" w:eastAsia="標楷體" w:hAnsi="標楷體"/>
          <w:spacing w:val="-6"/>
          <w:sz w:val="28"/>
          <w:szCs w:val="28"/>
        </w:rPr>
        <w:t>112</w:t>
      </w:r>
      <w:r w:rsidRPr="00D65AED">
        <w:rPr>
          <w:rFonts w:ascii="標楷體" w:eastAsia="標楷體" w:hAnsi="標楷體" w:hint="eastAsia"/>
          <w:spacing w:val="-6"/>
          <w:sz w:val="28"/>
          <w:szCs w:val="28"/>
        </w:rPr>
        <w:t>年度中央政府總預算案附屬單位預算非營業部分關於考試院銓敘部主管「公務人員退休撫卹基金」收支部分。</w:t>
      </w:r>
    </w:p>
    <w:p w14:paraId="7315591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四、</w:t>
      </w:r>
      <w:r w:rsidRPr="00D65AED">
        <w:rPr>
          <w:rFonts w:ascii="標楷體" w:eastAsia="標楷體" w:hAnsi="標楷體"/>
          <w:kern w:val="0"/>
          <w:sz w:val="28"/>
          <w:szCs w:val="28"/>
        </w:rPr>
        <w:t>考試院函，為111年度中央政府總預算決議，檢送凍結該院「議事業務」10</w:t>
      </w:r>
      <w:r w:rsidRPr="00D65AED">
        <w:rPr>
          <w:rFonts w:ascii="標楷體" w:eastAsia="標楷體" w:hAnsi="標楷體" w:hint="eastAsia"/>
          <w:kern w:val="0"/>
          <w:sz w:val="28"/>
          <w:szCs w:val="28"/>
        </w:rPr>
        <w:t>%</w:t>
      </w:r>
      <w:r w:rsidRPr="00D65AED">
        <w:rPr>
          <w:rFonts w:ascii="標楷體" w:eastAsia="標楷體" w:hAnsi="標楷體"/>
          <w:kern w:val="0"/>
          <w:sz w:val="28"/>
          <w:szCs w:val="28"/>
        </w:rPr>
        <w:t>專案報告，請查照案。</w:t>
      </w:r>
    </w:p>
    <w:p w14:paraId="1508A32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五、銓敘部函，為111年度中央政府總預算決議，檢送該部決議（二）凍結「人事法制及銓敘」100萬元書面報告，請查照案。</w:t>
      </w:r>
    </w:p>
    <w:p w14:paraId="0768AFB8"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六、公務人員保障暨培訓委員會函，為111年度中央政府總預算決議，檢送決議（四）「保障暨培訓」預算凍結5萬元書面報告，請查照案。</w:t>
      </w:r>
    </w:p>
    <w:p w14:paraId="5629EC6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七、公務人員保障暨培訓委員會函，為111年度中央政府總預算決議，檢送決議（五）「保障暨培訓」預算凍結50萬元書面報告，請查照案。</w:t>
      </w:r>
    </w:p>
    <w:p w14:paraId="215FEF7C" w14:textId="77777777" w:rsidR="00421BB5" w:rsidRPr="00D65AED" w:rsidRDefault="00421BB5" w:rsidP="00421BB5">
      <w:pPr>
        <w:spacing w:beforeLines="10" w:before="36" w:line="360" w:lineRule="exact"/>
        <w:ind w:left="280" w:hangingChars="100" w:hanging="280"/>
        <w:jc w:val="both"/>
        <w:rPr>
          <w:rFonts w:ascii="標楷體" w:eastAsia="標楷體" w:hAnsi="標楷體"/>
          <w:sz w:val="28"/>
          <w:szCs w:val="28"/>
        </w:rPr>
      </w:pPr>
      <w:r w:rsidRPr="00D65AED">
        <w:rPr>
          <w:rFonts w:ascii="標楷體" w:eastAsia="標楷體" w:hAnsi="標楷體" w:hint="eastAsia"/>
          <w:sz w:val="28"/>
          <w:szCs w:val="28"/>
        </w:rPr>
        <w:t>（本次會議有委員鄭運鵬、游毓蘭、陳歐珀、黃世杰、</w:t>
      </w:r>
      <w:r w:rsidRPr="00D65AED">
        <w:rPr>
          <w:rFonts w:ascii="標楷體" w:eastAsia="標楷體" w:hAnsi="標楷體" w:hint="eastAsia"/>
          <w:spacing w:val="20"/>
          <w:sz w:val="28"/>
          <w:szCs w:val="28"/>
        </w:rPr>
        <w:t>林思銘、曾銘宗</w:t>
      </w:r>
      <w:r w:rsidRPr="00D65AED">
        <w:rPr>
          <w:rFonts w:ascii="標楷體" w:eastAsia="標楷體" w:hAnsi="標楷體" w:hint="eastAsia"/>
          <w:sz w:val="28"/>
          <w:szCs w:val="28"/>
        </w:rPr>
        <w:t>、陳玉珍、楊瓊瓔、吳玉琴、高嘉瑜、江永昌、張其祿、陳以信提出質詢；委員陳明文、周春米、劉建國提出書面質詢。）</w:t>
      </w:r>
    </w:p>
    <w:p w14:paraId="7873325F"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決議：</w:t>
      </w:r>
    </w:p>
    <w:p w14:paraId="76606DE7"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一、報告及詢答完畢。</w:t>
      </w:r>
    </w:p>
    <w:p w14:paraId="6C653FCF"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二、第一案至第七案均</w:t>
      </w:r>
      <w:r w:rsidRPr="00D65AED">
        <w:rPr>
          <w:rFonts w:ascii="標楷體" w:eastAsia="標楷體" w:hAnsi="標楷體" w:hint="eastAsia"/>
          <w:spacing w:val="-6"/>
          <w:sz w:val="28"/>
          <w:szCs w:val="28"/>
        </w:rPr>
        <w:t>另定期繼續審查、處理</w:t>
      </w:r>
      <w:r w:rsidRPr="00D65AED">
        <w:rPr>
          <w:rFonts w:ascii="標楷體" w:eastAsia="標楷體" w:hAnsi="標楷體" w:hint="eastAsia"/>
          <w:sz w:val="28"/>
          <w:szCs w:val="28"/>
        </w:rPr>
        <w:t>。</w:t>
      </w:r>
    </w:p>
    <w:p w14:paraId="034DE303"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lastRenderedPageBreak/>
        <w:t>三、委員質詢時，要求提供相關資料或以書面答復者，請相關機關儘速送交個別委員及本會。</w:t>
      </w:r>
    </w:p>
    <w:p w14:paraId="5E0A927A"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四、審查會委員針對本日議程所列討論事項第一案至第三案之預算提案，請於10月25日(星期二)上午1</w:t>
      </w:r>
      <w:r w:rsidRPr="00D65AED">
        <w:rPr>
          <w:rFonts w:ascii="標楷體" w:eastAsia="標楷體" w:hAnsi="標楷體"/>
          <w:sz w:val="28"/>
          <w:szCs w:val="28"/>
        </w:rPr>
        <w:t>1</w:t>
      </w:r>
      <w:r w:rsidRPr="00D65AED">
        <w:rPr>
          <w:rFonts w:ascii="標楷體" w:eastAsia="標楷體" w:hAnsi="標楷體" w:hint="eastAsia"/>
          <w:sz w:val="28"/>
          <w:szCs w:val="28"/>
        </w:rPr>
        <w:t>時前送交本會，逾時不予受理。</w:t>
      </w:r>
    </w:p>
    <w:p w14:paraId="56A2287D"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25F82FE9"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p>
    <w:p w14:paraId="3D52B1B8"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w:t>
      </w:r>
      <w:r w:rsidRPr="00D65AED">
        <w:rPr>
          <w:rFonts w:ascii="標楷體" w:eastAsia="標楷體" w:hAnsi="標楷體" w:hint="eastAsia"/>
          <w:b/>
          <w:spacing w:val="-4"/>
          <w:sz w:val="28"/>
          <w:szCs w:val="28"/>
        </w:rPr>
        <w:t>9</w:t>
      </w:r>
      <w:r w:rsidRPr="00D65AED">
        <w:rPr>
          <w:rFonts w:ascii="標楷體" w:eastAsia="標楷體" w:hAnsi="標楷體"/>
          <w:b/>
          <w:spacing w:val="-4"/>
          <w:sz w:val="28"/>
          <w:szCs w:val="28"/>
        </w:rPr>
        <w:t>次全體委員會議議事錄</w:t>
      </w:r>
    </w:p>
    <w:p w14:paraId="2878C2E7" w14:textId="77777777" w:rsidR="00421BB5" w:rsidRPr="00D65AED" w:rsidRDefault="00421BB5" w:rsidP="00421BB5">
      <w:pPr>
        <w:pStyle w:val="-9"/>
        <w:spacing w:line="360" w:lineRule="exact"/>
        <w:ind w:leftChars="1" w:left="1416" w:hangingChars="505" w:hanging="1414"/>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pacing w:val="-10"/>
          <w:sz w:val="28"/>
          <w:szCs w:val="28"/>
        </w:rPr>
        <w:t>：</w:t>
      </w:r>
      <w:r w:rsidRPr="00D65AED">
        <w:rPr>
          <w:rFonts w:ascii="標楷體" w:hAnsi="標楷體"/>
          <w:spacing w:val="-20"/>
          <w:sz w:val="28"/>
          <w:szCs w:val="28"/>
        </w:rPr>
        <w:t>中華民國1</w:t>
      </w:r>
      <w:r w:rsidRPr="00D65AED">
        <w:rPr>
          <w:rFonts w:ascii="標楷體" w:hAnsi="標楷體" w:hint="eastAsia"/>
          <w:spacing w:val="-20"/>
          <w:sz w:val="28"/>
          <w:szCs w:val="28"/>
        </w:rPr>
        <w:t>11</w:t>
      </w:r>
      <w:r w:rsidRPr="00D65AED">
        <w:rPr>
          <w:rFonts w:ascii="標楷體" w:hAnsi="標楷體"/>
          <w:spacing w:val="-20"/>
          <w:sz w:val="28"/>
          <w:szCs w:val="28"/>
        </w:rPr>
        <w:t>年</w:t>
      </w:r>
      <w:r w:rsidRPr="00D65AED">
        <w:rPr>
          <w:rFonts w:ascii="標楷體" w:hAnsi="標楷體" w:hint="eastAsia"/>
          <w:spacing w:val="-20"/>
          <w:sz w:val="28"/>
          <w:szCs w:val="28"/>
        </w:rPr>
        <w:t>10</w:t>
      </w:r>
      <w:r w:rsidRPr="00D65AED">
        <w:rPr>
          <w:rFonts w:ascii="標楷體" w:hAnsi="標楷體"/>
          <w:spacing w:val="-20"/>
          <w:sz w:val="28"/>
          <w:szCs w:val="28"/>
        </w:rPr>
        <w:t>月</w:t>
      </w:r>
      <w:r w:rsidRPr="00D65AED">
        <w:rPr>
          <w:rFonts w:ascii="標楷體" w:hAnsi="標楷體" w:hint="eastAsia"/>
          <w:spacing w:val="-20"/>
          <w:sz w:val="28"/>
          <w:szCs w:val="28"/>
        </w:rPr>
        <w:t>24</w:t>
      </w:r>
      <w:r w:rsidRPr="00D65AED">
        <w:rPr>
          <w:rFonts w:ascii="標楷體" w:hAnsi="標楷體"/>
          <w:spacing w:val="-20"/>
          <w:sz w:val="28"/>
          <w:szCs w:val="28"/>
        </w:rPr>
        <w:t>日（星期一）上午9時</w:t>
      </w:r>
      <w:r w:rsidRPr="00D65AED">
        <w:rPr>
          <w:rFonts w:ascii="標楷體" w:hAnsi="標楷體" w:hint="eastAsia"/>
          <w:spacing w:val="-20"/>
          <w:sz w:val="28"/>
          <w:szCs w:val="28"/>
        </w:rPr>
        <w:t>2</w:t>
      </w:r>
      <w:r w:rsidRPr="00D65AED">
        <w:rPr>
          <w:rFonts w:ascii="標楷體" w:hAnsi="標楷體"/>
          <w:spacing w:val="-20"/>
          <w:sz w:val="28"/>
          <w:szCs w:val="28"/>
        </w:rPr>
        <w:t>分至</w:t>
      </w:r>
      <w:r w:rsidRPr="00D65AED">
        <w:rPr>
          <w:rFonts w:ascii="標楷體" w:hAnsi="標楷體" w:hint="eastAsia"/>
          <w:spacing w:val="-20"/>
          <w:sz w:val="28"/>
          <w:szCs w:val="28"/>
        </w:rPr>
        <w:t>1</w:t>
      </w:r>
      <w:r w:rsidRPr="00D65AED">
        <w:rPr>
          <w:rFonts w:ascii="標楷體" w:hAnsi="標楷體"/>
          <w:spacing w:val="-20"/>
          <w:sz w:val="28"/>
          <w:szCs w:val="28"/>
        </w:rPr>
        <w:t>2時</w:t>
      </w:r>
      <w:r w:rsidRPr="00D65AED">
        <w:rPr>
          <w:rFonts w:ascii="標楷體" w:hAnsi="標楷體" w:hint="eastAsia"/>
          <w:spacing w:val="-20"/>
          <w:sz w:val="28"/>
          <w:szCs w:val="28"/>
        </w:rPr>
        <w:t>34</w:t>
      </w:r>
      <w:r w:rsidRPr="00D65AED">
        <w:rPr>
          <w:rFonts w:ascii="標楷體" w:hAnsi="標楷體"/>
          <w:spacing w:val="-20"/>
          <w:sz w:val="28"/>
          <w:szCs w:val="28"/>
        </w:rPr>
        <w:t>分</w:t>
      </w:r>
    </w:p>
    <w:p w14:paraId="3BD9D057"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2E1A6AD4"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rPr>
        <w:t>出席委員</w:t>
      </w:r>
      <w:r w:rsidRPr="00D65AED">
        <w:rPr>
          <w:rFonts w:ascii="標楷體" w:hAnsi="標楷體" w:hint="eastAsia"/>
          <w:sz w:val="28"/>
          <w:szCs w:val="28"/>
        </w:rPr>
        <w:t>：</w:t>
      </w:r>
      <w:r w:rsidRPr="00D65AED">
        <w:rPr>
          <w:rFonts w:ascii="標楷體" w:hAnsi="標楷體"/>
          <w:sz w:val="28"/>
          <w:szCs w:val="28"/>
        </w:rPr>
        <w:t>鄭運鵬</w:t>
      </w:r>
      <w:r w:rsidRPr="00D65AED">
        <w:rPr>
          <w:rFonts w:ascii="標楷體" w:hAnsi="標楷體"/>
          <w:sz w:val="28"/>
          <w:szCs w:val="28"/>
        </w:rPr>
        <w:tab/>
      </w:r>
      <w:r w:rsidRPr="00D65AED">
        <w:rPr>
          <w:rFonts w:ascii="標楷體" w:hAnsi="標楷體" w:hint="eastAsia"/>
          <w:sz w:val="28"/>
          <w:szCs w:val="28"/>
        </w:rPr>
        <w:t>游毓蘭</w:t>
      </w:r>
      <w:r w:rsidRPr="00D65AED">
        <w:rPr>
          <w:rFonts w:ascii="標楷體" w:hAnsi="標楷體"/>
          <w:sz w:val="28"/>
          <w:szCs w:val="28"/>
        </w:rPr>
        <w:tab/>
      </w:r>
      <w:r w:rsidRPr="00D65AED">
        <w:rPr>
          <w:rFonts w:ascii="標楷體" w:hAnsi="標楷體" w:hint="eastAsia"/>
          <w:sz w:val="28"/>
          <w:szCs w:val="28"/>
        </w:rPr>
        <w:t>黃世杰</w:t>
      </w:r>
      <w:r w:rsidRPr="00D65AED">
        <w:rPr>
          <w:rFonts w:ascii="標楷體" w:hAnsi="標楷體"/>
          <w:sz w:val="28"/>
          <w:szCs w:val="28"/>
        </w:rPr>
        <w:tab/>
      </w:r>
      <w:r w:rsidRPr="00D65AED">
        <w:rPr>
          <w:rFonts w:ascii="標楷體" w:hAnsi="標楷體" w:hint="eastAsia"/>
          <w:sz w:val="28"/>
          <w:szCs w:val="28"/>
        </w:rPr>
        <w:t>陳玉珍</w:t>
      </w:r>
      <w:r w:rsidRPr="00D65AED">
        <w:rPr>
          <w:rFonts w:ascii="標楷體" w:hAnsi="標楷體"/>
          <w:sz w:val="28"/>
          <w:szCs w:val="28"/>
        </w:rPr>
        <w:tab/>
      </w:r>
      <w:r w:rsidRPr="00D65AED">
        <w:rPr>
          <w:rFonts w:ascii="標楷體" w:hAnsi="標楷體" w:hint="eastAsia"/>
          <w:sz w:val="28"/>
          <w:szCs w:val="28"/>
        </w:rPr>
        <w:t>曾銘宗</w:t>
      </w:r>
      <w:r w:rsidRPr="00D65AED">
        <w:rPr>
          <w:rFonts w:ascii="標楷體" w:hAnsi="標楷體"/>
          <w:sz w:val="28"/>
          <w:szCs w:val="28"/>
        </w:rPr>
        <w:tab/>
      </w:r>
      <w:r w:rsidRPr="00D65AED">
        <w:rPr>
          <w:rFonts w:ascii="標楷體" w:hAnsi="標楷體" w:hint="eastAsia"/>
          <w:sz w:val="28"/>
          <w:szCs w:val="28"/>
        </w:rPr>
        <w:t>陳以信</w:t>
      </w:r>
      <w:r w:rsidRPr="00D65AED">
        <w:rPr>
          <w:rFonts w:ascii="標楷體" w:hAnsi="標楷體"/>
          <w:sz w:val="28"/>
          <w:szCs w:val="28"/>
        </w:rPr>
        <w:tab/>
      </w:r>
      <w:r w:rsidRPr="00D65AED">
        <w:rPr>
          <w:rFonts w:ascii="標楷體" w:hAnsi="標楷體" w:hint="eastAsia"/>
          <w:sz w:val="28"/>
          <w:szCs w:val="28"/>
        </w:rPr>
        <w:t>林思銘</w:t>
      </w:r>
    </w:p>
    <w:p w14:paraId="46811CF5"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劉建國</w:t>
      </w:r>
      <w:r w:rsidRPr="00D65AED">
        <w:rPr>
          <w:rFonts w:ascii="標楷體" w:eastAsia="標楷體" w:hAnsi="標楷體"/>
          <w:sz w:val="28"/>
          <w:szCs w:val="28"/>
        </w:rPr>
        <w:tab/>
      </w:r>
      <w:r w:rsidRPr="00D65AED">
        <w:rPr>
          <w:rFonts w:ascii="標楷體" w:eastAsia="標楷體" w:hAnsi="標楷體" w:hint="eastAsia"/>
          <w:sz w:val="28"/>
          <w:szCs w:val="28"/>
        </w:rPr>
        <w:t>柯建銘</w:t>
      </w:r>
    </w:p>
    <w:p w14:paraId="6240C9F4"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委員出席</w:t>
      </w:r>
      <w:r w:rsidRPr="00D65AED">
        <w:rPr>
          <w:rFonts w:ascii="標楷體" w:eastAsia="標楷體" w:hAnsi="標楷體" w:hint="eastAsia"/>
          <w:sz w:val="28"/>
          <w:szCs w:val="28"/>
        </w:rPr>
        <w:t>11</w:t>
      </w:r>
      <w:r w:rsidRPr="00D65AED">
        <w:rPr>
          <w:rFonts w:ascii="標楷體" w:eastAsia="標楷體" w:hAnsi="標楷體"/>
          <w:sz w:val="28"/>
          <w:szCs w:val="28"/>
        </w:rPr>
        <w:t>人</w:t>
      </w:r>
    </w:p>
    <w:p w14:paraId="6A908582"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委員：邱臣遠</w:t>
      </w:r>
      <w:r w:rsidRPr="00D65AED">
        <w:rPr>
          <w:rFonts w:ascii="標楷體" w:eastAsia="標楷體" w:hAnsi="標楷體"/>
          <w:sz w:val="28"/>
          <w:szCs w:val="28"/>
        </w:rPr>
        <w:tab/>
      </w:r>
      <w:r w:rsidRPr="00D65AED">
        <w:rPr>
          <w:rFonts w:ascii="標楷體" w:eastAsia="標楷體" w:hAnsi="標楷體" w:hint="eastAsia"/>
          <w:color w:val="000000"/>
          <w:sz w:val="28"/>
          <w:szCs w:val="28"/>
        </w:rPr>
        <w:t>李德維</w:t>
      </w:r>
      <w:r w:rsidRPr="00D65AED">
        <w:rPr>
          <w:rFonts w:ascii="標楷體" w:eastAsia="標楷體" w:hAnsi="標楷體"/>
          <w:color w:val="000000"/>
          <w:sz w:val="28"/>
          <w:szCs w:val="28"/>
        </w:rPr>
        <w:tab/>
        <w:t>劉世芳</w:t>
      </w:r>
      <w:r w:rsidRPr="00D65AED">
        <w:rPr>
          <w:rFonts w:ascii="標楷體" w:eastAsia="標楷體" w:hAnsi="標楷體"/>
          <w:color w:val="000000"/>
          <w:sz w:val="28"/>
          <w:szCs w:val="28"/>
        </w:rPr>
        <w:tab/>
        <w:t>江啟臣</w:t>
      </w:r>
      <w:r w:rsidRPr="00D65AED">
        <w:rPr>
          <w:rFonts w:ascii="標楷體" w:eastAsia="標楷體" w:hAnsi="標楷體"/>
          <w:color w:val="000000"/>
          <w:sz w:val="28"/>
          <w:szCs w:val="28"/>
        </w:rPr>
        <w:tab/>
      </w:r>
      <w:r w:rsidRPr="00D65AED">
        <w:rPr>
          <w:rFonts w:ascii="標楷體" w:eastAsia="標楷體" w:hAnsi="標楷體" w:hint="eastAsia"/>
          <w:sz w:val="28"/>
          <w:szCs w:val="28"/>
        </w:rPr>
        <w:t xml:space="preserve">鄭天財 </w:t>
      </w:r>
      <w:r w:rsidRPr="00D65AED">
        <w:rPr>
          <w:rFonts w:ascii="標楷體" w:eastAsia="標楷體" w:hAnsi="標楷體"/>
          <w:sz w:val="28"/>
          <w:szCs w:val="28"/>
        </w:rPr>
        <w:t>Sra Kacaw</w:t>
      </w:r>
    </w:p>
    <w:p w14:paraId="455EAD55"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sz w:val="28"/>
          <w:szCs w:val="28"/>
        </w:rPr>
      </w:pPr>
      <w:r w:rsidRPr="00D65AED">
        <w:rPr>
          <w:rFonts w:ascii="標楷體" w:eastAsia="標楷體" w:hAnsi="標楷體" w:hint="eastAsia"/>
          <w:sz w:val="28"/>
          <w:szCs w:val="28"/>
        </w:rPr>
        <w:t>陳椒華</w:t>
      </w:r>
      <w:r w:rsidRPr="00D65AED">
        <w:rPr>
          <w:rFonts w:ascii="標楷體" w:eastAsia="標楷體" w:hAnsi="標楷體"/>
          <w:spacing w:val="10"/>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t>張育美</w:t>
      </w:r>
      <w:r w:rsidRPr="00D65AED">
        <w:rPr>
          <w:rFonts w:ascii="標楷體" w:eastAsia="標楷體" w:hAnsi="標楷體"/>
          <w:sz w:val="28"/>
          <w:szCs w:val="28"/>
        </w:rPr>
        <w:tab/>
      </w:r>
      <w:r w:rsidRPr="00D65AED">
        <w:rPr>
          <w:rFonts w:ascii="標楷體" w:eastAsia="標楷體" w:hAnsi="標楷體" w:hint="eastAsia"/>
          <w:sz w:val="28"/>
          <w:szCs w:val="28"/>
        </w:rPr>
        <w:t>鄭正鈐</w:t>
      </w:r>
      <w:r w:rsidRPr="00D65AED">
        <w:rPr>
          <w:rFonts w:ascii="標楷體" w:eastAsia="標楷體" w:hAnsi="標楷體"/>
          <w:sz w:val="28"/>
          <w:szCs w:val="28"/>
        </w:rPr>
        <w:tab/>
        <w:t>廖婉汝</w:t>
      </w:r>
      <w:r w:rsidRPr="00D65AED">
        <w:rPr>
          <w:rFonts w:ascii="標楷體" w:eastAsia="標楷體" w:hAnsi="標楷體"/>
          <w:sz w:val="28"/>
          <w:szCs w:val="28"/>
        </w:rPr>
        <w:tab/>
        <w:t>何欣純</w:t>
      </w:r>
      <w:r w:rsidRPr="00D65AED">
        <w:rPr>
          <w:rFonts w:ascii="標楷體" w:eastAsia="標楷體" w:hAnsi="標楷體"/>
          <w:sz w:val="28"/>
          <w:szCs w:val="28"/>
        </w:rPr>
        <w:tab/>
        <w:t>何志偉</w:t>
      </w:r>
    </w:p>
    <w:p w14:paraId="5C2C7F4D"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sz w:val="28"/>
          <w:szCs w:val="28"/>
        </w:rPr>
      </w:pPr>
      <w:r w:rsidRPr="00D65AED">
        <w:rPr>
          <w:rFonts w:ascii="標楷體" w:eastAsia="標楷體" w:hAnsi="標楷體" w:hint="eastAsia"/>
          <w:sz w:val="28"/>
          <w:szCs w:val="28"/>
        </w:rPr>
        <w:t>謝衣鳯</w:t>
      </w:r>
      <w:r w:rsidRPr="00D65AED">
        <w:rPr>
          <w:rFonts w:ascii="標楷體" w:eastAsia="標楷體" w:hAnsi="標楷體"/>
          <w:sz w:val="28"/>
          <w:szCs w:val="28"/>
        </w:rPr>
        <w:tab/>
      </w:r>
      <w:r w:rsidRPr="00D65AED">
        <w:rPr>
          <w:rFonts w:ascii="標楷體" w:eastAsia="標楷體" w:hAnsi="標楷體" w:hint="eastAsia"/>
          <w:color w:val="000000"/>
          <w:sz w:val="28"/>
          <w:szCs w:val="28"/>
        </w:rPr>
        <w:t>李貴敏</w:t>
      </w:r>
      <w:r w:rsidRPr="00D65AED">
        <w:rPr>
          <w:rFonts w:ascii="標楷體" w:eastAsia="標楷體" w:hAnsi="標楷體"/>
          <w:color w:val="000000"/>
          <w:sz w:val="28"/>
          <w:szCs w:val="28"/>
        </w:rPr>
        <w:tab/>
        <w:t>邱志偉</w:t>
      </w:r>
      <w:r w:rsidRPr="00D65AED">
        <w:rPr>
          <w:rFonts w:ascii="標楷體" w:eastAsia="標楷體" w:hAnsi="標楷體"/>
          <w:color w:val="000000"/>
          <w:sz w:val="28"/>
          <w:szCs w:val="28"/>
        </w:rPr>
        <w:tab/>
      </w:r>
      <w:r w:rsidRPr="00D65AED">
        <w:rPr>
          <w:rFonts w:ascii="標楷體" w:eastAsia="標楷體" w:hAnsi="標楷體" w:hint="eastAsia"/>
          <w:color w:val="000000"/>
          <w:sz w:val="28"/>
          <w:szCs w:val="28"/>
        </w:rPr>
        <w:t>羅明才</w:t>
      </w:r>
    </w:p>
    <w:p w14:paraId="321C9C9E"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w:t>
      </w:r>
      <w:r w:rsidRPr="00D65AED">
        <w:rPr>
          <w:rFonts w:ascii="標楷體" w:eastAsia="標楷體" w:hAnsi="標楷體"/>
          <w:sz w:val="28"/>
          <w:szCs w:val="28"/>
        </w:rPr>
        <w:t>6人</w:t>
      </w:r>
    </w:p>
    <w:p w14:paraId="0EB1259B" w14:textId="77777777" w:rsidR="00421BB5" w:rsidRPr="00D65AED" w:rsidRDefault="00421BB5" w:rsidP="00421BB5">
      <w:pPr>
        <w:pStyle w:val="-9"/>
        <w:spacing w:line="360" w:lineRule="exact"/>
        <w:ind w:leftChars="1" w:left="1416" w:hangingChars="505" w:hanging="1414"/>
        <w:rPr>
          <w:rFonts w:ascii="標楷體" w:hAnsi="標楷體"/>
          <w:sz w:val="28"/>
          <w:szCs w:val="28"/>
        </w:rPr>
      </w:pPr>
      <w:r w:rsidRPr="00D65AED">
        <w:rPr>
          <w:rFonts w:ascii="標楷體" w:hAnsi="標楷體"/>
          <w:sz w:val="28"/>
          <w:szCs w:val="28"/>
        </w:rPr>
        <w:t>請假委員：</w:t>
      </w:r>
      <w:r w:rsidRPr="00D65AED">
        <w:rPr>
          <w:rFonts w:ascii="標楷體" w:hAnsi="標楷體"/>
          <w:sz w:val="28"/>
          <w:szCs w:val="28"/>
        </w:rPr>
        <w:tab/>
      </w:r>
      <w:r w:rsidRPr="00D65AED">
        <w:rPr>
          <w:rFonts w:ascii="標楷體" w:hAnsi="標楷體" w:hint="eastAsia"/>
          <w:sz w:val="28"/>
          <w:szCs w:val="28"/>
        </w:rPr>
        <w:t>周春米</w:t>
      </w:r>
    </w:p>
    <w:p w14:paraId="3CFC545F"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請假1人</w:t>
      </w:r>
    </w:p>
    <w:p w14:paraId="373D88AB"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數位發展部政務次長　闕河鳴</w:t>
      </w:r>
    </w:p>
    <w:p w14:paraId="4EB0DEE3" w14:textId="77777777" w:rsidR="00421BB5" w:rsidRPr="00D65AED" w:rsidRDefault="00421BB5" w:rsidP="00421BB5">
      <w:pPr>
        <w:adjustRightInd w:val="0"/>
        <w:snapToGrid w:val="0"/>
        <w:spacing w:line="360" w:lineRule="exact"/>
        <w:ind w:leftChars="578" w:left="1400" w:hangingChars="5" w:hanging="13"/>
        <w:jc w:val="both"/>
        <w:rPr>
          <w:rFonts w:ascii="標楷體" w:eastAsia="標楷體" w:hAnsi="標楷體"/>
          <w:kern w:val="0"/>
          <w:sz w:val="28"/>
          <w:szCs w:val="28"/>
          <w:lang w:val="x-none" w:eastAsia="x-none"/>
        </w:rPr>
      </w:pPr>
      <w:r w:rsidRPr="00D65AED">
        <w:rPr>
          <w:rFonts w:ascii="標楷體" w:eastAsia="標楷體" w:hAnsi="標楷體" w:hint="eastAsia"/>
          <w:spacing w:val="-6"/>
          <w:kern w:val="0"/>
          <w:sz w:val="28"/>
          <w:szCs w:val="28"/>
          <w:lang w:val="x-none" w:eastAsia="x-none"/>
        </w:rPr>
        <w:t>國家通訊傳播委員會射頻與資源管理處簡任技正</w:t>
      </w:r>
      <w:r w:rsidRPr="00D65AED">
        <w:rPr>
          <w:rFonts w:ascii="標楷體" w:eastAsia="標楷體" w:hAnsi="標楷體" w:hint="eastAsia"/>
          <w:sz w:val="28"/>
          <w:szCs w:val="28"/>
        </w:rPr>
        <w:t xml:space="preserve">　</w:t>
      </w:r>
      <w:r w:rsidRPr="00D65AED">
        <w:rPr>
          <w:rFonts w:ascii="標楷體" w:eastAsia="標楷體" w:hAnsi="標楷體" w:hint="eastAsia"/>
          <w:kern w:val="0"/>
          <w:sz w:val="28"/>
          <w:szCs w:val="28"/>
          <w:lang w:val="x-none" w:eastAsia="x-none"/>
        </w:rPr>
        <w:t>陳俊安</w:t>
      </w:r>
    </w:p>
    <w:p w14:paraId="72639157"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kern w:val="0"/>
          <w:sz w:val="28"/>
          <w:szCs w:val="28"/>
          <w:lang w:val="x-none" w:eastAsia="x-none"/>
        </w:rPr>
      </w:pPr>
      <w:r w:rsidRPr="00D65AED">
        <w:rPr>
          <w:rFonts w:ascii="標楷體" w:eastAsia="標楷體" w:hAnsi="標楷體" w:hint="eastAsia"/>
          <w:kern w:val="0"/>
          <w:sz w:val="28"/>
          <w:szCs w:val="28"/>
          <w:lang w:val="x-none" w:eastAsia="x-none"/>
        </w:rPr>
        <w:t>國家安全局副局長</w:t>
      </w:r>
      <w:r w:rsidRPr="00D65AED">
        <w:rPr>
          <w:rFonts w:ascii="標楷體" w:eastAsia="標楷體" w:hAnsi="標楷體" w:hint="eastAsia"/>
          <w:sz w:val="28"/>
          <w:szCs w:val="28"/>
        </w:rPr>
        <w:t xml:space="preserve">　</w:t>
      </w:r>
      <w:r w:rsidRPr="00D65AED">
        <w:rPr>
          <w:rFonts w:ascii="標楷體" w:eastAsia="標楷體" w:hAnsi="標楷體" w:hint="eastAsia"/>
          <w:kern w:val="0"/>
          <w:sz w:val="28"/>
          <w:szCs w:val="28"/>
          <w:lang w:val="x-none" w:eastAsia="x-none"/>
        </w:rPr>
        <w:t>陳進廣(9時40</w:t>
      </w:r>
      <w:r w:rsidRPr="00D65AED">
        <w:rPr>
          <w:rFonts w:ascii="標楷體" w:eastAsia="標楷體" w:hAnsi="標楷體" w:hint="eastAsia"/>
          <w:kern w:val="0"/>
          <w:sz w:val="28"/>
          <w:szCs w:val="28"/>
          <w:lang w:val="x-none"/>
        </w:rPr>
        <w:t>分以</w:t>
      </w:r>
      <w:r w:rsidRPr="00D65AED">
        <w:rPr>
          <w:rFonts w:ascii="標楷體" w:eastAsia="標楷體" w:hAnsi="標楷體" w:hint="eastAsia"/>
          <w:kern w:val="0"/>
          <w:sz w:val="28"/>
          <w:szCs w:val="28"/>
          <w:lang w:val="x-none" w:eastAsia="x-none"/>
        </w:rPr>
        <w:t>後)</w:t>
      </w:r>
    </w:p>
    <w:p w14:paraId="70CB9F81" w14:textId="77777777" w:rsidR="00421BB5" w:rsidRPr="00D65AED" w:rsidRDefault="00421BB5" w:rsidP="00421BB5">
      <w:pPr>
        <w:adjustRightInd w:val="0"/>
        <w:snapToGrid w:val="0"/>
        <w:spacing w:line="360" w:lineRule="exact"/>
        <w:ind w:leftChars="1113" w:left="2671" w:firstLineChars="35" w:firstLine="98"/>
        <w:jc w:val="both"/>
        <w:rPr>
          <w:rFonts w:ascii="標楷體" w:eastAsia="標楷體" w:hAnsi="標楷體"/>
          <w:kern w:val="0"/>
          <w:sz w:val="28"/>
          <w:szCs w:val="28"/>
          <w:lang w:val="x-none" w:eastAsia="x-none"/>
        </w:rPr>
      </w:pPr>
      <w:r w:rsidRPr="00D65AED">
        <w:rPr>
          <w:rFonts w:ascii="標楷體" w:eastAsia="標楷體" w:hAnsi="標楷體" w:hint="eastAsia"/>
          <w:kern w:val="0"/>
          <w:sz w:val="28"/>
          <w:szCs w:val="28"/>
          <w:lang w:val="x-none" w:eastAsia="x-none"/>
        </w:rPr>
        <w:t>第五處處長</w:t>
      </w:r>
      <w:r w:rsidRPr="00D65AED">
        <w:rPr>
          <w:rFonts w:ascii="標楷體" w:eastAsia="標楷體" w:hAnsi="標楷體" w:hint="eastAsia"/>
          <w:sz w:val="28"/>
          <w:szCs w:val="28"/>
        </w:rPr>
        <w:t xml:space="preserve">　</w:t>
      </w:r>
      <w:r w:rsidRPr="00D65AED">
        <w:rPr>
          <w:rFonts w:ascii="標楷體" w:eastAsia="標楷體" w:hAnsi="標楷體" w:hint="eastAsia"/>
          <w:kern w:val="0"/>
          <w:sz w:val="28"/>
          <w:szCs w:val="28"/>
          <w:lang w:val="x-none" w:eastAsia="x-none"/>
        </w:rPr>
        <w:t>呂處長</w:t>
      </w:r>
    </w:p>
    <w:p w14:paraId="4EB2FD17" w14:textId="77777777" w:rsidR="00421BB5" w:rsidRPr="00D65AED" w:rsidRDefault="00421BB5" w:rsidP="00421BB5">
      <w:pPr>
        <w:adjustRightInd w:val="0"/>
        <w:snapToGrid w:val="0"/>
        <w:spacing w:line="360" w:lineRule="exact"/>
        <w:ind w:leftChars="578" w:left="1398" w:hangingChars="5" w:hanging="11"/>
        <w:jc w:val="both"/>
        <w:rPr>
          <w:rFonts w:ascii="標楷體" w:eastAsia="標楷體" w:hAnsi="標楷體"/>
          <w:spacing w:val="-30"/>
          <w:kern w:val="0"/>
          <w:sz w:val="28"/>
          <w:szCs w:val="28"/>
          <w:lang w:val="x-none" w:eastAsia="x-none"/>
        </w:rPr>
      </w:pPr>
      <w:r w:rsidRPr="00D65AED">
        <w:rPr>
          <w:rFonts w:ascii="標楷體" w:eastAsia="標楷體" w:hAnsi="標楷體" w:hint="eastAsia"/>
          <w:spacing w:val="-30"/>
          <w:kern w:val="0"/>
          <w:sz w:val="28"/>
          <w:szCs w:val="28"/>
          <w:lang w:val="x-none" w:eastAsia="x-none"/>
        </w:rPr>
        <w:t>國防部參謀本部通信電子資訊參謀次長室資安暨網戰整備處處長</w:t>
      </w:r>
      <w:r w:rsidRPr="00D65AED">
        <w:rPr>
          <w:rFonts w:ascii="標楷體" w:eastAsia="標楷體" w:hAnsi="標楷體" w:hint="eastAsia"/>
          <w:spacing w:val="-30"/>
          <w:sz w:val="28"/>
          <w:szCs w:val="28"/>
        </w:rPr>
        <w:t xml:space="preserve">　</w:t>
      </w:r>
      <w:r w:rsidRPr="00D65AED">
        <w:rPr>
          <w:rFonts w:ascii="標楷體" w:eastAsia="標楷體" w:hAnsi="標楷體" w:hint="eastAsia"/>
          <w:spacing w:val="-30"/>
          <w:kern w:val="0"/>
          <w:sz w:val="28"/>
          <w:szCs w:val="28"/>
          <w:lang w:val="x-none" w:eastAsia="x-none"/>
        </w:rPr>
        <w:t>廖述煌</w:t>
      </w:r>
    </w:p>
    <w:p w14:paraId="43A4447B" w14:textId="77777777" w:rsidR="00421BB5" w:rsidRPr="00D65AED" w:rsidRDefault="00421BB5" w:rsidP="00421BB5">
      <w:pPr>
        <w:adjustRightInd w:val="0"/>
        <w:snapToGrid w:val="0"/>
        <w:spacing w:line="360" w:lineRule="exact"/>
        <w:ind w:leftChars="851" w:left="2056" w:hangingChars="5" w:hanging="14"/>
        <w:jc w:val="both"/>
        <w:rPr>
          <w:rFonts w:ascii="標楷體" w:eastAsia="標楷體" w:hAnsi="標楷體"/>
          <w:kern w:val="0"/>
          <w:sz w:val="28"/>
          <w:szCs w:val="28"/>
          <w:lang w:val="x-none" w:eastAsia="x-none"/>
        </w:rPr>
      </w:pPr>
      <w:r w:rsidRPr="00D65AED">
        <w:rPr>
          <w:rFonts w:ascii="標楷體" w:eastAsia="標楷體" w:hAnsi="標楷體" w:hint="eastAsia"/>
          <w:kern w:val="0"/>
          <w:sz w:val="28"/>
          <w:szCs w:val="28"/>
          <w:lang w:val="x-none" w:eastAsia="x-none"/>
        </w:rPr>
        <w:tab/>
        <w:t>資通電軍指揮部網戰整備處處長</w:t>
      </w:r>
      <w:r w:rsidRPr="00D65AED">
        <w:rPr>
          <w:rFonts w:ascii="標楷體" w:eastAsia="標楷體" w:hAnsi="標楷體" w:hint="eastAsia"/>
          <w:sz w:val="28"/>
          <w:szCs w:val="28"/>
        </w:rPr>
        <w:t xml:space="preserve">　</w:t>
      </w:r>
      <w:r w:rsidRPr="00D65AED">
        <w:rPr>
          <w:rFonts w:ascii="標楷體" w:eastAsia="標楷體" w:hAnsi="標楷體" w:hint="eastAsia"/>
          <w:kern w:val="0"/>
          <w:sz w:val="28"/>
          <w:szCs w:val="28"/>
          <w:lang w:val="x-none" w:eastAsia="x-none"/>
        </w:rPr>
        <w:t>林志章</w:t>
      </w:r>
    </w:p>
    <w:p w14:paraId="0FE3F675"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kern w:val="0"/>
          <w:sz w:val="28"/>
          <w:szCs w:val="28"/>
          <w:lang w:val="x-none" w:eastAsia="x-none"/>
        </w:rPr>
      </w:pPr>
      <w:r w:rsidRPr="00D65AED">
        <w:rPr>
          <w:rFonts w:ascii="標楷體" w:eastAsia="標楷體" w:hAnsi="標楷體" w:hint="eastAsia"/>
          <w:kern w:val="0"/>
          <w:sz w:val="28"/>
          <w:szCs w:val="28"/>
          <w:lang w:val="x-none" w:eastAsia="x-none"/>
        </w:rPr>
        <w:t>法務部調查局資通安全處處長</w:t>
      </w:r>
      <w:r w:rsidRPr="00D65AED">
        <w:rPr>
          <w:rFonts w:ascii="標楷體" w:eastAsia="標楷體" w:hAnsi="標楷體" w:hint="eastAsia"/>
          <w:sz w:val="28"/>
          <w:szCs w:val="28"/>
        </w:rPr>
        <w:t xml:space="preserve">　</w:t>
      </w:r>
      <w:r w:rsidRPr="00D65AED">
        <w:rPr>
          <w:rFonts w:ascii="標楷體" w:eastAsia="標楷體" w:hAnsi="標楷體" w:hint="eastAsia"/>
          <w:kern w:val="0"/>
          <w:sz w:val="28"/>
          <w:szCs w:val="28"/>
          <w:lang w:val="x-none" w:eastAsia="x-none"/>
        </w:rPr>
        <w:t>余尚賢</w:t>
      </w:r>
    </w:p>
    <w:p w14:paraId="37729CD4" w14:textId="77777777" w:rsidR="00421BB5" w:rsidRPr="00D65AED" w:rsidRDefault="00421BB5" w:rsidP="00421BB5">
      <w:pPr>
        <w:adjustRightInd w:val="0"/>
        <w:snapToGrid w:val="0"/>
        <w:spacing w:line="360" w:lineRule="exact"/>
        <w:ind w:leftChars="578" w:left="1401" w:hangingChars="5" w:hanging="14"/>
        <w:jc w:val="both"/>
        <w:rPr>
          <w:rFonts w:ascii="標楷體" w:eastAsia="標楷體" w:hAnsi="標楷體"/>
          <w:sz w:val="28"/>
          <w:szCs w:val="28"/>
        </w:rPr>
      </w:pPr>
      <w:r w:rsidRPr="00D65AED">
        <w:rPr>
          <w:rFonts w:ascii="標楷體" w:eastAsia="標楷體" w:hAnsi="標楷體" w:hint="eastAsia"/>
          <w:kern w:val="0"/>
          <w:sz w:val="28"/>
          <w:szCs w:val="28"/>
          <w:lang w:val="x-none" w:eastAsia="x-none"/>
        </w:rPr>
        <w:t>內政部警政署副署長</w:t>
      </w:r>
      <w:r w:rsidRPr="00D65AED">
        <w:rPr>
          <w:rFonts w:ascii="標楷體" w:eastAsia="標楷體" w:hAnsi="標楷體" w:hint="eastAsia"/>
          <w:sz w:val="28"/>
          <w:szCs w:val="28"/>
        </w:rPr>
        <w:t xml:space="preserve">　</w:t>
      </w:r>
      <w:r w:rsidRPr="00D65AED">
        <w:rPr>
          <w:rFonts w:ascii="標楷體" w:eastAsia="標楷體" w:hAnsi="標楷體" w:hint="eastAsia"/>
          <w:kern w:val="0"/>
          <w:sz w:val="28"/>
          <w:szCs w:val="28"/>
          <w:lang w:val="x-none" w:eastAsia="x-none"/>
        </w:rPr>
        <w:t>陳永利</w:t>
      </w:r>
    </w:p>
    <w:p w14:paraId="42F73EF1"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：林</w:t>
      </w:r>
      <w:r w:rsidRPr="00D65AED">
        <w:rPr>
          <w:rFonts w:ascii="標楷體" w:eastAsia="標楷體" w:hAnsi="標楷體" w:hint="eastAsia"/>
          <w:sz w:val="28"/>
          <w:szCs w:val="28"/>
        </w:rPr>
        <w:t>召集</w:t>
      </w:r>
      <w:r w:rsidRPr="00D65AED">
        <w:rPr>
          <w:rFonts w:ascii="標楷體" w:eastAsia="標楷體" w:hAnsi="標楷體"/>
          <w:sz w:val="28"/>
          <w:szCs w:val="28"/>
        </w:rPr>
        <w:t>委員思銘</w:t>
      </w:r>
    </w:p>
    <w:p w14:paraId="223679CC" w14:textId="77777777" w:rsidR="00421BB5" w:rsidRPr="00D65AED" w:rsidRDefault="00421BB5" w:rsidP="00421BB5">
      <w:pPr>
        <w:spacing w:line="360" w:lineRule="exact"/>
        <w:ind w:left="1120" w:hangingChars="400" w:hanging="1120"/>
        <w:jc w:val="both"/>
        <w:rPr>
          <w:rFonts w:ascii="標楷體" w:eastAsia="標楷體" w:hAnsi="標楷體"/>
          <w:sz w:val="28"/>
          <w:szCs w:val="28"/>
        </w:rPr>
      </w:pPr>
      <w:r w:rsidRPr="00D65AED">
        <w:rPr>
          <w:rFonts w:ascii="標楷體" w:eastAsia="標楷體" w:hAnsi="標楷體"/>
          <w:kern w:val="0"/>
          <w:sz w:val="28"/>
          <w:szCs w:val="28"/>
          <w:fitText w:val="1120" w:id="972279812"/>
        </w:rPr>
        <w:t>專門委員</w:t>
      </w:r>
      <w:r w:rsidRPr="00D65AED">
        <w:rPr>
          <w:rFonts w:ascii="標楷體" w:eastAsia="標楷體" w:hAnsi="標楷體"/>
          <w:sz w:val="28"/>
          <w:szCs w:val="28"/>
        </w:rPr>
        <w:t>：梁雯</w:t>
      </w:r>
      <w:r w:rsidRPr="00D65AED">
        <w:rPr>
          <w:rFonts w:ascii="標楷體" w:eastAsia="標楷體" w:hAnsi="標楷體" w:hint="eastAsia"/>
          <w:sz w:val="28"/>
          <w:szCs w:val="28"/>
        </w:rPr>
        <w:t>璍</w:t>
      </w:r>
    </w:p>
    <w:p w14:paraId="1EEB3D36" w14:textId="77777777" w:rsidR="00421BB5" w:rsidRPr="00D65AED" w:rsidRDefault="00421BB5" w:rsidP="00421BB5">
      <w:pPr>
        <w:tabs>
          <w:tab w:val="left" w:pos="1580"/>
        </w:tabs>
        <w:adjustRightInd w:val="0"/>
        <w:snapToGrid w:val="0"/>
        <w:spacing w:line="360" w:lineRule="exact"/>
        <w:jc w:val="both"/>
        <w:rPr>
          <w:rFonts w:ascii="標楷體" w:eastAsia="標楷體" w:hAnsi="標楷體"/>
          <w:sz w:val="28"/>
          <w:szCs w:val="28"/>
        </w:rPr>
      </w:pPr>
      <w:r w:rsidRPr="00D65AED">
        <w:rPr>
          <w:rFonts w:ascii="標楷體" w:eastAsia="標楷體" w:hAnsi="標楷體"/>
          <w:kern w:val="0"/>
          <w:sz w:val="28"/>
          <w:szCs w:val="28"/>
          <w:fitText w:val="1120" w:id="-1533856767"/>
        </w:rPr>
        <w:t>主任秘書</w:t>
      </w:r>
      <w:r w:rsidRPr="00D65AED">
        <w:rPr>
          <w:rFonts w:ascii="標楷體" w:eastAsia="標楷體" w:hAnsi="標楷體"/>
          <w:sz w:val="28"/>
          <w:szCs w:val="28"/>
        </w:rPr>
        <w:t>：</w:t>
      </w:r>
      <w:r w:rsidRPr="00D65AED">
        <w:rPr>
          <w:rFonts w:ascii="標楷體" w:eastAsia="標楷體" w:hAnsi="標楷體" w:hint="eastAsia"/>
          <w:sz w:val="28"/>
          <w:szCs w:val="28"/>
        </w:rPr>
        <w:t>張智為</w:t>
      </w:r>
    </w:p>
    <w:p w14:paraId="4197F9A3" w14:textId="77777777" w:rsidR="00421BB5" w:rsidRPr="00D65AED" w:rsidRDefault="00421BB5" w:rsidP="00421BB5">
      <w:pPr>
        <w:tabs>
          <w:tab w:val="left" w:pos="2460"/>
        </w:tabs>
        <w:spacing w:line="360" w:lineRule="exact"/>
        <w:ind w:firstLineChars="10" w:firstLine="28"/>
        <w:jc w:val="both"/>
        <w:rPr>
          <w:rFonts w:ascii="標楷體" w:eastAsia="標楷體" w:hAnsi="標楷體"/>
          <w:sz w:val="28"/>
          <w:szCs w:val="28"/>
        </w:rPr>
      </w:pPr>
      <w:r w:rsidRPr="00D65AED">
        <w:rPr>
          <w:rFonts w:ascii="標楷體" w:eastAsia="標楷體" w:hAnsi="標楷體"/>
          <w:kern w:val="0"/>
          <w:sz w:val="28"/>
          <w:szCs w:val="28"/>
          <w:fitText w:val="1120" w:id="972279812"/>
        </w:rPr>
        <w:t>紀    錄</w:t>
      </w:r>
      <w:r w:rsidRPr="00D65AED">
        <w:rPr>
          <w:rFonts w:ascii="標楷體" w:eastAsia="標楷體" w:hAnsi="標楷體"/>
          <w:sz w:val="28"/>
          <w:szCs w:val="28"/>
        </w:rPr>
        <w:t>：簡任秘書</w:t>
      </w:r>
      <w:r w:rsidRPr="00D65AED">
        <w:rPr>
          <w:rFonts w:ascii="標楷體" w:eastAsia="標楷體" w:hAnsi="標楷體" w:hint="eastAsia"/>
          <w:sz w:val="28"/>
          <w:szCs w:val="28"/>
        </w:rPr>
        <w:t xml:space="preserve">　</w:t>
      </w:r>
      <w:r w:rsidRPr="00D65AED">
        <w:rPr>
          <w:rFonts w:ascii="標楷體" w:eastAsia="標楷體" w:hAnsi="標楷體"/>
          <w:sz w:val="28"/>
          <w:szCs w:val="28"/>
        </w:rPr>
        <w:t>陳杏枝</w:t>
      </w:r>
    </w:p>
    <w:p w14:paraId="7E50C4D1" w14:textId="77777777" w:rsidR="00421BB5" w:rsidRPr="00D65AED" w:rsidRDefault="00421BB5" w:rsidP="00421BB5">
      <w:pPr>
        <w:tabs>
          <w:tab w:val="left" w:pos="2460"/>
        </w:tabs>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簡任編審</w:t>
      </w:r>
      <w:r w:rsidRPr="00D65AED">
        <w:rPr>
          <w:rFonts w:ascii="標楷體" w:eastAsia="標楷體" w:hAnsi="標楷體" w:hint="eastAsia"/>
          <w:sz w:val="28"/>
          <w:szCs w:val="28"/>
        </w:rPr>
        <w:t xml:space="preserve">　薛復寧</w:t>
      </w:r>
    </w:p>
    <w:p w14:paraId="7B9B87A0" w14:textId="77777777" w:rsidR="00421BB5" w:rsidRPr="00D65AED" w:rsidRDefault="00421BB5" w:rsidP="00421BB5">
      <w:pPr>
        <w:spacing w:line="360" w:lineRule="exact"/>
        <w:ind w:firstLineChars="506" w:firstLine="1417"/>
        <w:jc w:val="both"/>
        <w:rPr>
          <w:rFonts w:ascii="標楷體" w:eastAsia="標楷體" w:hAnsi="標楷體"/>
          <w:sz w:val="28"/>
          <w:szCs w:val="28"/>
        </w:rPr>
      </w:pPr>
      <w:r w:rsidRPr="00D65AED">
        <w:rPr>
          <w:rFonts w:ascii="標楷體" w:eastAsia="標楷體" w:hAnsi="標楷體"/>
          <w:sz w:val="28"/>
          <w:szCs w:val="28"/>
        </w:rPr>
        <w:t>科    長</w:t>
      </w:r>
      <w:r w:rsidRPr="00D65AED">
        <w:rPr>
          <w:rFonts w:ascii="標楷體" w:eastAsia="標楷體" w:hAnsi="標楷體" w:hint="eastAsia"/>
          <w:sz w:val="28"/>
          <w:szCs w:val="28"/>
        </w:rPr>
        <w:t xml:space="preserve">　鮑夏明</w:t>
      </w:r>
    </w:p>
    <w:p w14:paraId="18AEEF27"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0A195F8C" w14:textId="77777777" w:rsidR="00421BB5" w:rsidRPr="00D65AED" w:rsidRDefault="00421BB5" w:rsidP="00FD0ECA">
      <w:pPr>
        <w:numPr>
          <w:ilvl w:val="0"/>
          <w:numId w:val="44"/>
        </w:numPr>
        <w:adjustRightInd w:val="0"/>
        <w:snapToGrid w:val="0"/>
        <w:spacing w:beforeLines="50" w:before="180" w:line="360" w:lineRule="exact"/>
        <w:jc w:val="both"/>
        <w:rPr>
          <w:rFonts w:ascii="標楷體" w:eastAsia="標楷體" w:hAnsi="標楷體"/>
          <w:sz w:val="28"/>
          <w:szCs w:val="28"/>
        </w:rPr>
      </w:pPr>
      <w:r w:rsidRPr="00D65AED">
        <w:rPr>
          <w:rFonts w:ascii="標楷體" w:eastAsia="標楷體" w:hAnsi="標楷體"/>
          <w:sz w:val="28"/>
          <w:szCs w:val="28"/>
        </w:rPr>
        <w:t>宣讀上次會議議事錄。</w:t>
      </w:r>
    </w:p>
    <w:p w14:paraId="0A733011" w14:textId="77777777" w:rsidR="00421BB5" w:rsidRPr="00D65AED" w:rsidRDefault="00421BB5" w:rsidP="00421BB5">
      <w:pPr>
        <w:pStyle w:val="afffff2"/>
        <w:spacing w:line="360" w:lineRule="exact"/>
        <w:ind w:leftChars="0" w:left="840" w:rightChars="0" w:right="0" w:hanging="840"/>
        <w:jc w:val="both"/>
        <w:rPr>
          <w:rFonts w:ascii="標楷體" w:hAnsi="標楷體"/>
          <w:sz w:val="28"/>
          <w:szCs w:val="28"/>
        </w:rPr>
      </w:pPr>
      <w:r w:rsidRPr="00D65AED">
        <w:rPr>
          <w:rFonts w:ascii="標楷體" w:hAnsi="標楷體"/>
          <w:sz w:val="28"/>
          <w:szCs w:val="28"/>
        </w:rPr>
        <w:t>決定：確定。</w:t>
      </w:r>
    </w:p>
    <w:p w14:paraId="0007A41E" w14:textId="77777777" w:rsidR="00421BB5" w:rsidRPr="00D65AED" w:rsidRDefault="00421BB5" w:rsidP="00421BB5">
      <w:pPr>
        <w:pStyle w:val="afffff2"/>
        <w:spacing w:line="360" w:lineRule="exact"/>
        <w:ind w:leftChars="0" w:left="560" w:rightChars="0" w:right="0" w:hangingChars="200" w:hanging="560"/>
        <w:jc w:val="both"/>
        <w:rPr>
          <w:rFonts w:ascii="標楷體" w:hAnsi="標楷體" w:cs="Mongolian Baiti"/>
          <w:spacing w:val="-12"/>
          <w:sz w:val="28"/>
          <w:szCs w:val="28"/>
          <w:highlight w:val="yellow"/>
        </w:rPr>
      </w:pPr>
      <w:r w:rsidRPr="00D65AED">
        <w:rPr>
          <w:rFonts w:ascii="標楷體" w:hAnsi="標楷體"/>
          <w:sz w:val="28"/>
          <w:szCs w:val="28"/>
        </w:rPr>
        <w:t>二、</w:t>
      </w:r>
      <w:r w:rsidRPr="00D65AED">
        <w:rPr>
          <w:rFonts w:ascii="標楷體" w:hAnsi="標楷體" w:hint="eastAsia"/>
          <w:sz w:val="28"/>
          <w:szCs w:val="28"/>
        </w:rPr>
        <w:t>邀請國家安全會議、數位發展部、國家通訊傳播委員會、國家安全局、國防部參謀本部通信電子資訊參謀次長室、資通電軍指揮部、法務部調查局、內政部警政署率所屬單位主管列席就「面對歐美各國陸續頒布禁止使用或限制採購大陸資通訊及科技產品，此類產品對我國國家安全危害為何？國安會及相關國安單位是否於年度預算中制定計畫針對各類國際情勢演變進行相關評估作業並採取因應對策」進行專題報告，並備質詢。</w:t>
      </w:r>
    </w:p>
    <w:p w14:paraId="402FBF42" w14:textId="77777777" w:rsidR="00421BB5" w:rsidRPr="00D65AED" w:rsidRDefault="00421BB5" w:rsidP="00062013">
      <w:pPr>
        <w:adjustRightInd w:val="0"/>
        <w:snapToGrid w:val="0"/>
        <w:spacing w:line="360" w:lineRule="exact"/>
        <w:ind w:left="283" w:hangingChars="101" w:hanging="283"/>
        <w:jc w:val="both"/>
        <w:rPr>
          <w:rFonts w:ascii="標楷體" w:eastAsia="標楷體" w:hAnsi="標楷體"/>
          <w:spacing w:val="10"/>
          <w:sz w:val="28"/>
          <w:szCs w:val="28"/>
        </w:rPr>
      </w:pPr>
      <w:r w:rsidRPr="00D65AED">
        <w:rPr>
          <w:rFonts w:ascii="標楷體" w:eastAsia="標楷體" w:hAnsi="標楷體"/>
          <w:sz w:val="28"/>
          <w:szCs w:val="28"/>
        </w:rPr>
        <w:t>（本</w:t>
      </w:r>
      <w:r w:rsidRPr="00D65AED">
        <w:rPr>
          <w:rFonts w:ascii="標楷體" w:eastAsia="標楷體" w:hAnsi="標楷體" w:hint="eastAsia"/>
          <w:sz w:val="28"/>
          <w:szCs w:val="28"/>
        </w:rPr>
        <w:t>次會議有</w:t>
      </w:r>
      <w:r w:rsidRPr="00D65AED">
        <w:rPr>
          <w:rFonts w:ascii="標楷體" w:eastAsia="標楷體" w:hAnsi="標楷體"/>
          <w:sz w:val="28"/>
          <w:szCs w:val="28"/>
        </w:rPr>
        <w:t>委員</w:t>
      </w:r>
      <w:r w:rsidRPr="00D65AED">
        <w:rPr>
          <w:rFonts w:ascii="標楷體" w:eastAsia="標楷體" w:hAnsi="標楷體" w:hint="eastAsia"/>
          <w:spacing w:val="-12"/>
          <w:sz w:val="28"/>
          <w:szCs w:val="28"/>
        </w:rPr>
        <w:t>陳玉珍、</w:t>
      </w:r>
      <w:r w:rsidRPr="00D65AED">
        <w:rPr>
          <w:rFonts w:ascii="標楷體" w:eastAsia="標楷體" w:hAnsi="標楷體" w:hint="eastAsia"/>
          <w:spacing w:val="-10"/>
          <w:sz w:val="28"/>
          <w:szCs w:val="28"/>
        </w:rPr>
        <w:t>黃世杰、游毓蘭、</w:t>
      </w:r>
      <w:r w:rsidRPr="00D65AED">
        <w:rPr>
          <w:rFonts w:ascii="標楷體" w:eastAsia="標楷體" w:hAnsi="標楷體" w:hint="eastAsia"/>
          <w:spacing w:val="10"/>
          <w:sz w:val="28"/>
          <w:szCs w:val="28"/>
        </w:rPr>
        <w:t>陳以信、</w:t>
      </w:r>
      <w:r w:rsidRPr="00D65AED">
        <w:rPr>
          <w:rFonts w:ascii="標楷體" w:eastAsia="標楷體" w:hAnsi="標楷體" w:hint="eastAsia"/>
          <w:spacing w:val="-10"/>
          <w:sz w:val="28"/>
          <w:szCs w:val="28"/>
        </w:rPr>
        <w:t>林思銘、陳歐珀、</w:t>
      </w:r>
      <w:r w:rsidRPr="00D65AED">
        <w:rPr>
          <w:rFonts w:ascii="標楷體" w:eastAsia="標楷體" w:hAnsi="標楷體" w:hint="eastAsia"/>
          <w:spacing w:val="10"/>
          <w:sz w:val="28"/>
          <w:szCs w:val="28"/>
        </w:rPr>
        <w:t>曾銘宗、陳椒華</w:t>
      </w:r>
      <w:r w:rsidRPr="00D65AED">
        <w:rPr>
          <w:rFonts w:ascii="標楷體" w:eastAsia="標楷體" w:hAnsi="標楷體"/>
          <w:spacing w:val="10"/>
          <w:sz w:val="28"/>
          <w:szCs w:val="28"/>
        </w:rPr>
        <w:t>、江啟臣、</w:t>
      </w:r>
      <w:r w:rsidRPr="00D65AED">
        <w:rPr>
          <w:rFonts w:ascii="標楷體" w:eastAsia="標楷體" w:hAnsi="標楷體" w:hint="eastAsia"/>
          <w:spacing w:val="10"/>
          <w:sz w:val="28"/>
          <w:szCs w:val="28"/>
        </w:rPr>
        <w:t>劉世芳、洪孟楷、劉建國、江永昌、</w:t>
      </w:r>
    </w:p>
    <w:p w14:paraId="02C90ED7" w14:textId="77777777" w:rsidR="00421BB5" w:rsidRPr="00D65AED" w:rsidRDefault="00421BB5" w:rsidP="00421BB5">
      <w:pPr>
        <w:adjustRightInd w:val="0"/>
        <w:snapToGrid w:val="0"/>
        <w:spacing w:line="360" w:lineRule="exact"/>
        <w:ind w:leftChars="116" w:left="284" w:hangingChars="2" w:hanging="6"/>
        <w:jc w:val="both"/>
        <w:rPr>
          <w:rFonts w:ascii="標楷體" w:eastAsia="標楷體" w:hAnsi="標楷體"/>
          <w:sz w:val="28"/>
          <w:szCs w:val="28"/>
        </w:rPr>
      </w:pPr>
      <w:r w:rsidRPr="00D65AED">
        <w:rPr>
          <w:rFonts w:ascii="標楷體" w:eastAsia="標楷體" w:hAnsi="標楷體" w:hint="eastAsia"/>
          <w:spacing w:val="2"/>
          <w:sz w:val="28"/>
          <w:szCs w:val="28"/>
        </w:rPr>
        <w:lastRenderedPageBreak/>
        <w:t>邱志偉</w:t>
      </w:r>
      <w:r w:rsidRPr="00D65AED">
        <w:rPr>
          <w:rFonts w:ascii="標楷體" w:eastAsia="標楷體" w:hAnsi="標楷體"/>
          <w:sz w:val="28"/>
          <w:szCs w:val="28"/>
        </w:rPr>
        <w:t>提出質詢</w:t>
      </w:r>
      <w:r w:rsidRPr="00D65AED">
        <w:rPr>
          <w:rFonts w:ascii="標楷體" w:eastAsia="標楷體" w:hAnsi="標楷體" w:hint="eastAsia"/>
          <w:sz w:val="28"/>
          <w:szCs w:val="28"/>
        </w:rPr>
        <w:t>；委員周春米、林思銘</w:t>
      </w:r>
      <w:r w:rsidRPr="00D65AED">
        <w:rPr>
          <w:rFonts w:ascii="標楷體" w:eastAsia="標楷體" w:hAnsi="標楷體"/>
          <w:sz w:val="28"/>
          <w:szCs w:val="28"/>
        </w:rPr>
        <w:t>、鄭運鵬</w:t>
      </w:r>
      <w:r w:rsidRPr="00D65AED">
        <w:rPr>
          <w:rFonts w:ascii="標楷體" w:eastAsia="標楷體" w:hAnsi="標楷體" w:hint="eastAsia"/>
          <w:sz w:val="28"/>
          <w:szCs w:val="28"/>
        </w:rPr>
        <w:t>、邱臣遠提出書面質詢。</w:t>
      </w:r>
      <w:r w:rsidRPr="00D65AED">
        <w:rPr>
          <w:rFonts w:ascii="標楷體" w:eastAsia="標楷體" w:hAnsi="標楷體"/>
          <w:sz w:val="28"/>
          <w:szCs w:val="28"/>
        </w:rPr>
        <w:t>）</w:t>
      </w:r>
    </w:p>
    <w:p w14:paraId="764AF045" w14:textId="77777777" w:rsidR="00421BB5" w:rsidRPr="00D65AED" w:rsidRDefault="00421BB5" w:rsidP="00421BB5">
      <w:pPr>
        <w:spacing w:line="360" w:lineRule="exact"/>
        <w:ind w:left="493" w:hangingChars="176" w:hanging="493"/>
        <w:contextualSpacing/>
        <w:jc w:val="both"/>
        <w:rPr>
          <w:rFonts w:ascii="標楷體" w:eastAsia="標楷體" w:hAnsi="標楷體"/>
          <w:bCs/>
          <w:sz w:val="28"/>
          <w:szCs w:val="28"/>
        </w:rPr>
      </w:pPr>
      <w:r w:rsidRPr="00D65AED">
        <w:rPr>
          <w:rFonts w:ascii="標楷體" w:eastAsia="標楷體" w:hAnsi="標楷體"/>
          <w:bCs/>
          <w:sz w:val="28"/>
          <w:szCs w:val="28"/>
        </w:rPr>
        <w:t>決</w:t>
      </w:r>
      <w:r w:rsidRPr="00D65AED">
        <w:rPr>
          <w:rFonts w:ascii="標楷體" w:eastAsia="標楷體" w:hAnsi="標楷體" w:hint="eastAsia"/>
          <w:bCs/>
          <w:sz w:val="28"/>
          <w:szCs w:val="28"/>
        </w:rPr>
        <w:t>定</w:t>
      </w:r>
      <w:r w:rsidRPr="00D65AED">
        <w:rPr>
          <w:rFonts w:ascii="標楷體" w:eastAsia="標楷體" w:hAnsi="標楷體"/>
          <w:bCs/>
          <w:sz w:val="28"/>
          <w:szCs w:val="28"/>
        </w:rPr>
        <w:t>：</w:t>
      </w:r>
    </w:p>
    <w:p w14:paraId="33F080AE"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sz w:val="28"/>
          <w:szCs w:val="28"/>
        </w:rPr>
        <w:t>一、報告及詢答完畢。</w:t>
      </w:r>
    </w:p>
    <w:p w14:paraId="2C855620"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二、</w:t>
      </w:r>
      <w:r w:rsidRPr="00D65AED">
        <w:rPr>
          <w:rFonts w:ascii="標楷體" w:eastAsia="標楷體" w:hAnsi="標楷體"/>
          <w:sz w:val="28"/>
          <w:szCs w:val="28"/>
        </w:rPr>
        <w:t>委員質詢時，要求提供相關資料或以書面答復者，請相關機關儘速送交個別委員</w:t>
      </w:r>
      <w:r w:rsidRPr="00D65AED">
        <w:rPr>
          <w:rFonts w:ascii="標楷體" w:eastAsia="標楷體" w:hAnsi="標楷體" w:hint="eastAsia"/>
          <w:sz w:val="28"/>
          <w:szCs w:val="28"/>
        </w:rPr>
        <w:t>及</w:t>
      </w:r>
      <w:r w:rsidRPr="00D65AED">
        <w:rPr>
          <w:rFonts w:ascii="標楷體" w:eastAsia="標楷體" w:hAnsi="標楷體"/>
          <w:sz w:val="28"/>
          <w:szCs w:val="28"/>
        </w:rPr>
        <w:t>本會。</w:t>
      </w:r>
    </w:p>
    <w:p w14:paraId="1245C4F9"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19A2328A"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p>
    <w:p w14:paraId="7E79A6CE"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w:t>
      </w:r>
      <w:r>
        <w:rPr>
          <w:rFonts w:ascii="標楷體" w:eastAsia="標楷體" w:hAnsi="標楷體"/>
          <w:b/>
          <w:spacing w:val="-4"/>
          <w:sz w:val="28"/>
          <w:szCs w:val="28"/>
        </w:rPr>
        <w:t>10</w:t>
      </w:r>
      <w:r w:rsidRPr="00D65AED">
        <w:rPr>
          <w:rFonts w:ascii="標楷體" w:eastAsia="標楷體" w:hAnsi="標楷體"/>
          <w:b/>
          <w:spacing w:val="-4"/>
          <w:sz w:val="28"/>
          <w:szCs w:val="28"/>
        </w:rPr>
        <w:t>次全體委員會議議事錄</w:t>
      </w:r>
    </w:p>
    <w:p w14:paraId="1C012267" w14:textId="77777777" w:rsidR="00421BB5" w:rsidRPr="00D65AED" w:rsidRDefault="00421BB5" w:rsidP="00421BB5">
      <w:pPr>
        <w:pStyle w:val="-9"/>
        <w:spacing w:line="360" w:lineRule="exact"/>
        <w:ind w:leftChars="1" w:left="1416" w:hangingChars="505" w:hanging="1414"/>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pacing w:val="-10"/>
          <w:sz w:val="28"/>
          <w:szCs w:val="28"/>
        </w:rPr>
        <w:t>：中華民國1</w:t>
      </w:r>
      <w:r w:rsidRPr="00D65AED">
        <w:rPr>
          <w:rFonts w:ascii="標楷體" w:hAnsi="標楷體" w:hint="eastAsia"/>
          <w:spacing w:val="-10"/>
          <w:sz w:val="28"/>
          <w:szCs w:val="28"/>
        </w:rPr>
        <w:t>11</w:t>
      </w:r>
      <w:r w:rsidRPr="00D65AED">
        <w:rPr>
          <w:rFonts w:ascii="標楷體" w:hAnsi="標楷體"/>
          <w:spacing w:val="-10"/>
          <w:sz w:val="28"/>
          <w:szCs w:val="28"/>
        </w:rPr>
        <w:t>年</w:t>
      </w:r>
      <w:r w:rsidRPr="00D65AED">
        <w:rPr>
          <w:rFonts w:ascii="標楷體" w:hAnsi="標楷體" w:hint="eastAsia"/>
          <w:spacing w:val="-10"/>
          <w:sz w:val="28"/>
          <w:szCs w:val="28"/>
        </w:rPr>
        <w:t>10</w:t>
      </w:r>
      <w:r w:rsidRPr="00D65AED">
        <w:rPr>
          <w:rFonts w:ascii="標楷體" w:hAnsi="標楷體"/>
          <w:spacing w:val="-10"/>
          <w:sz w:val="28"/>
          <w:szCs w:val="28"/>
        </w:rPr>
        <w:t>月26日（星期</w:t>
      </w:r>
      <w:r w:rsidRPr="00D65AED">
        <w:rPr>
          <w:rFonts w:ascii="標楷體" w:hAnsi="標楷體" w:hint="eastAsia"/>
          <w:spacing w:val="-10"/>
          <w:sz w:val="28"/>
          <w:szCs w:val="28"/>
        </w:rPr>
        <w:t>三</w:t>
      </w:r>
      <w:r w:rsidRPr="00D65AED">
        <w:rPr>
          <w:rFonts w:ascii="標楷體" w:hAnsi="標楷體"/>
          <w:spacing w:val="-10"/>
          <w:sz w:val="28"/>
          <w:szCs w:val="28"/>
        </w:rPr>
        <w:t>）上午9時至</w:t>
      </w:r>
      <w:r w:rsidRPr="00D65AED">
        <w:rPr>
          <w:rFonts w:ascii="標楷體" w:hAnsi="標楷體" w:hint="eastAsia"/>
          <w:spacing w:val="-10"/>
          <w:sz w:val="28"/>
          <w:szCs w:val="28"/>
        </w:rPr>
        <w:t>11</w:t>
      </w:r>
      <w:r w:rsidRPr="00D65AED">
        <w:rPr>
          <w:rFonts w:ascii="標楷體" w:hAnsi="標楷體"/>
          <w:spacing w:val="-10"/>
          <w:sz w:val="28"/>
          <w:szCs w:val="28"/>
        </w:rPr>
        <w:t>時</w:t>
      </w:r>
      <w:r w:rsidRPr="00D65AED">
        <w:rPr>
          <w:rFonts w:ascii="標楷體" w:hAnsi="標楷體" w:hint="eastAsia"/>
          <w:spacing w:val="-10"/>
          <w:sz w:val="28"/>
          <w:szCs w:val="28"/>
        </w:rPr>
        <w:t>2</w:t>
      </w:r>
      <w:r w:rsidRPr="00D65AED">
        <w:rPr>
          <w:rFonts w:ascii="標楷體" w:hAnsi="標楷體"/>
          <w:spacing w:val="-10"/>
          <w:sz w:val="28"/>
          <w:szCs w:val="28"/>
        </w:rPr>
        <w:t>2分</w:t>
      </w:r>
    </w:p>
    <w:p w14:paraId="72917CBE"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526B6F1F" w14:textId="77777777" w:rsidR="00421BB5" w:rsidRPr="00D65AED" w:rsidRDefault="00421BB5" w:rsidP="00421BB5">
      <w:pPr>
        <w:pStyle w:val="-9"/>
        <w:spacing w:line="360" w:lineRule="exact"/>
        <w:ind w:leftChars="1" w:left="1455" w:hangingChars="519" w:hanging="1453"/>
        <w:jc w:val="left"/>
        <w:rPr>
          <w:rFonts w:ascii="標楷體" w:hAnsi="標楷體"/>
          <w:sz w:val="28"/>
          <w:szCs w:val="28"/>
        </w:rPr>
      </w:pPr>
      <w:r w:rsidRPr="00D65AED">
        <w:rPr>
          <w:rFonts w:ascii="標楷體" w:hAnsi="標楷體"/>
          <w:sz w:val="28"/>
          <w:szCs w:val="28"/>
        </w:rPr>
        <w:t>出席委員</w:t>
      </w:r>
      <w:r w:rsidRPr="00D65AED">
        <w:rPr>
          <w:rFonts w:ascii="標楷體" w:hAnsi="標楷體" w:hint="eastAsia"/>
          <w:sz w:val="28"/>
          <w:szCs w:val="28"/>
        </w:rPr>
        <w:t>：陳歐珀</w:t>
      </w:r>
      <w:r w:rsidRPr="00D65AED">
        <w:rPr>
          <w:rFonts w:ascii="標楷體" w:hAnsi="標楷體"/>
          <w:sz w:val="28"/>
          <w:szCs w:val="28"/>
        </w:rPr>
        <w:tab/>
      </w:r>
      <w:r w:rsidRPr="00D65AED">
        <w:rPr>
          <w:rFonts w:ascii="標楷體" w:hAnsi="標楷體" w:hint="eastAsia"/>
          <w:sz w:val="28"/>
          <w:szCs w:val="28"/>
        </w:rPr>
        <w:t>曾銘宗</w:t>
      </w:r>
      <w:r w:rsidRPr="00D65AED">
        <w:rPr>
          <w:rFonts w:ascii="標楷體" w:hAnsi="標楷體" w:hint="eastAsia"/>
          <w:sz w:val="28"/>
          <w:szCs w:val="28"/>
        </w:rPr>
        <w:tab/>
        <w:t>游毓蘭</w:t>
      </w:r>
      <w:r w:rsidRPr="00D65AED">
        <w:rPr>
          <w:rFonts w:ascii="標楷體" w:hAnsi="標楷體"/>
          <w:sz w:val="28"/>
          <w:szCs w:val="28"/>
        </w:rPr>
        <w:tab/>
      </w:r>
      <w:r w:rsidRPr="00D65AED">
        <w:rPr>
          <w:rFonts w:ascii="標楷體" w:hAnsi="標楷體" w:hint="eastAsia"/>
          <w:sz w:val="28"/>
          <w:szCs w:val="28"/>
        </w:rPr>
        <w:t>黃世杰</w:t>
      </w:r>
      <w:r w:rsidRPr="00D65AED">
        <w:rPr>
          <w:rFonts w:ascii="標楷體" w:hAnsi="標楷體"/>
          <w:sz w:val="28"/>
          <w:szCs w:val="28"/>
        </w:rPr>
        <w:tab/>
      </w:r>
      <w:r w:rsidRPr="00D65AED">
        <w:rPr>
          <w:rFonts w:ascii="標楷體" w:hAnsi="標楷體" w:hint="eastAsia"/>
          <w:sz w:val="28"/>
          <w:szCs w:val="28"/>
        </w:rPr>
        <w:t>林思銘</w:t>
      </w:r>
      <w:r w:rsidRPr="00D65AED">
        <w:rPr>
          <w:rFonts w:ascii="標楷體" w:hAnsi="標楷體"/>
          <w:sz w:val="28"/>
          <w:szCs w:val="28"/>
        </w:rPr>
        <w:tab/>
      </w:r>
      <w:r w:rsidRPr="00D65AED">
        <w:rPr>
          <w:rFonts w:ascii="標楷體" w:hAnsi="標楷體" w:hint="eastAsia"/>
          <w:sz w:val="28"/>
          <w:szCs w:val="28"/>
        </w:rPr>
        <w:t>陳玉珍</w:t>
      </w:r>
      <w:r w:rsidRPr="00D65AED">
        <w:rPr>
          <w:rFonts w:ascii="標楷體" w:hAnsi="標楷體"/>
          <w:sz w:val="28"/>
          <w:szCs w:val="28"/>
        </w:rPr>
        <w:tab/>
      </w:r>
      <w:r w:rsidRPr="00D65AED">
        <w:rPr>
          <w:rFonts w:ascii="標楷體" w:hAnsi="標楷體" w:hint="eastAsia"/>
          <w:sz w:val="28"/>
          <w:szCs w:val="28"/>
        </w:rPr>
        <w:t>江永昌</w:t>
      </w:r>
      <w:r w:rsidRPr="00D65AED">
        <w:rPr>
          <w:rFonts w:ascii="標楷體" w:hAnsi="標楷體"/>
          <w:sz w:val="28"/>
          <w:szCs w:val="28"/>
        </w:rPr>
        <w:tab/>
      </w:r>
    </w:p>
    <w:p w14:paraId="7E92D9E4" w14:textId="77777777" w:rsidR="00421BB5" w:rsidRPr="00D65AED" w:rsidRDefault="00421BB5" w:rsidP="00421BB5">
      <w:pPr>
        <w:pStyle w:val="-9"/>
        <w:spacing w:line="360" w:lineRule="exact"/>
        <w:ind w:leftChars="583" w:left="1556" w:hangingChars="56" w:hanging="157"/>
        <w:jc w:val="left"/>
        <w:rPr>
          <w:rFonts w:ascii="標楷體" w:hAnsi="標楷體"/>
          <w:sz w:val="28"/>
          <w:szCs w:val="28"/>
        </w:rPr>
      </w:pPr>
      <w:r w:rsidRPr="00D65AED">
        <w:rPr>
          <w:rFonts w:ascii="標楷體" w:hAnsi="標楷體" w:hint="eastAsia"/>
          <w:sz w:val="28"/>
          <w:szCs w:val="28"/>
        </w:rPr>
        <w:t>陳以信</w:t>
      </w:r>
      <w:r w:rsidRPr="00D65AED">
        <w:rPr>
          <w:rFonts w:ascii="標楷體" w:hAnsi="標楷體"/>
          <w:sz w:val="28"/>
          <w:szCs w:val="28"/>
        </w:rPr>
        <w:tab/>
      </w:r>
      <w:r w:rsidRPr="00D65AED">
        <w:rPr>
          <w:rFonts w:ascii="標楷體" w:hAnsi="標楷體" w:hint="eastAsia"/>
          <w:sz w:val="28"/>
          <w:szCs w:val="28"/>
        </w:rPr>
        <w:t>劉建國</w:t>
      </w:r>
      <w:r w:rsidRPr="00D65AED">
        <w:rPr>
          <w:rFonts w:ascii="標楷體" w:hAnsi="標楷體"/>
          <w:sz w:val="28"/>
          <w:szCs w:val="28"/>
        </w:rPr>
        <w:tab/>
      </w:r>
      <w:r w:rsidRPr="00D65AED">
        <w:rPr>
          <w:rFonts w:ascii="標楷體" w:hAnsi="標楷體" w:hint="eastAsia"/>
          <w:sz w:val="28"/>
          <w:szCs w:val="28"/>
        </w:rPr>
        <w:t>柯建銘</w:t>
      </w:r>
      <w:r w:rsidRPr="00D65AED">
        <w:rPr>
          <w:rFonts w:ascii="標楷體" w:hAnsi="標楷體"/>
          <w:sz w:val="28"/>
          <w:szCs w:val="28"/>
        </w:rPr>
        <w:tab/>
      </w:r>
      <w:r w:rsidRPr="00D65AED">
        <w:rPr>
          <w:rFonts w:ascii="標楷體" w:hAnsi="標楷體" w:hint="eastAsia"/>
          <w:sz w:val="28"/>
          <w:szCs w:val="28"/>
        </w:rPr>
        <w:t>鄭運鵬</w:t>
      </w:r>
      <w:r w:rsidRPr="00D65AED">
        <w:rPr>
          <w:rFonts w:ascii="標楷體" w:hAnsi="標楷體"/>
          <w:sz w:val="28"/>
          <w:szCs w:val="28"/>
        </w:rPr>
        <w:tab/>
      </w:r>
    </w:p>
    <w:p w14:paraId="62BDF3AA"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委員出席</w:t>
      </w:r>
      <w:r w:rsidRPr="00D65AED">
        <w:rPr>
          <w:rFonts w:ascii="標楷體" w:eastAsia="標楷體" w:hAnsi="標楷體" w:hint="eastAsia"/>
          <w:sz w:val="28"/>
          <w:szCs w:val="28"/>
        </w:rPr>
        <w:t>11</w:t>
      </w:r>
      <w:r w:rsidRPr="00D65AED">
        <w:rPr>
          <w:rFonts w:ascii="標楷體" w:eastAsia="標楷體" w:hAnsi="標楷體"/>
          <w:sz w:val="28"/>
          <w:szCs w:val="28"/>
        </w:rPr>
        <w:t>人</w:t>
      </w:r>
    </w:p>
    <w:p w14:paraId="2C39BA11" w14:textId="77777777" w:rsidR="00421BB5" w:rsidRPr="00D65AED" w:rsidRDefault="00421BB5" w:rsidP="00421BB5">
      <w:pPr>
        <w:adjustRightInd w:val="0"/>
        <w:snapToGrid w:val="0"/>
        <w:spacing w:line="360" w:lineRule="exact"/>
        <w:ind w:leftChars="-11" w:left="1402" w:hangingChars="510" w:hanging="1428"/>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林德福</w:t>
      </w:r>
      <w:r w:rsidRPr="00D65AED">
        <w:rPr>
          <w:rFonts w:ascii="標楷體" w:eastAsia="標楷體" w:hAnsi="標楷體"/>
          <w:sz w:val="28"/>
          <w:szCs w:val="28"/>
        </w:rPr>
        <w:tab/>
      </w:r>
      <w:r w:rsidRPr="00D65AED">
        <w:rPr>
          <w:rFonts w:ascii="標楷體" w:eastAsia="標楷體" w:hAnsi="標楷體" w:hint="eastAsia"/>
          <w:sz w:val="28"/>
          <w:szCs w:val="28"/>
        </w:rPr>
        <w:t>羅美玲</w:t>
      </w:r>
      <w:r w:rsidRPr="00D65AED">
        <w:rPr>
          <w:rFonts w:ascii="標楷體" w:eastAsia="標楷體" w:hAnsi="標楷體"/>
          <w:sz w:val="28"/>
          <w:szCs w:val="28"/>
        </w:rPr>
        <w:tab/>
      </w:r>
      <w:r w:rsidRPr="00D65AED">
        <w:rPr>
          <w:rFonts w:ascii="標楷體" w:eastAsia="標楷體" w:hAnsi="標楷體" w:hint="eastAsia"/>
          <w:sz w:val="28"/>
          <w:szCs w:val="28"/>
        </w:rPr>
        <w:t>江啟臣</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p>
    <w:p w14:paraId="3DA3FAF0" w14:textId="77777777" w:rsidR="00421BB5" w:rsidRPr="00D65AED" w:rsidRDefault="00421BB5" w:rsidP="00421BB5">
      <w:pPr>
        <w:adjustRightInd w:val="0"/>
        <w:snapToGrid w:val="0"/>
        <w:spacing w:line="360" w:lineRule="exact"/>
        <w:ind w:leftChars="468" w:left="1123" w:firstLineChars="110" w:firstLine="248"/>
        <w:rPr>
          <w:rFonts w:ascii="標楷體" w:eastAsia="標楷體" w:hAnsi="標楷體"/>
          <w:sz w:val="28"/>
          <w:szCs w:val="28"/>
        </w:rPr>
      </w:pPr>
      <w:r w:rsidRPr="00D65AED">
        <w:rPr>
          <w:rFonts w:ascii="標楷體" w:eastAsia="標楷體" w:hAnsi="標楷體" w:hint="eastAsia"/>
          <w:spacing w:val="-20"/>
          <w:w w:val="95"/>
          <w:sz w:val="28"/>
          <w:szCs w:val="28"/>
        </w:rPr>
        <w:t>鄭天財Sra Kacaw</w:t>
      </w:r>
      <w:r w:rsidRPr="00D65AED">
        <w:rPr>
          <w:rFonts w:ascii="標楷體" w:eastAsia="標楷體" w:hAnsi="標楷體"/>
          <w:sz w:val="28"/>
          <w:szCs w:val="28"/>
        </w:rPr>
        <w:tab/>
      </w: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sz w:val="28"/>
        </w:rPr>
        <w:t>張育美</w:t>
      </w:r>
      <w:r w:rsidRPr="00D65AED">
        <w:rPr>
          <w:rFonts w:ascii="標楷體" w:eastAsia="標楷體" w:hAnsi="標楷體"/>
          <w:sz w:val="28"/>
        </w:rPr>
        <w:tab/>
      </w:r>
      <w:r w:rsidRPr="00D65AED">
        <w:rPr>
          <w:rFonts w:ascii="標楷體" w:eastAsia="標楷體" w:hAnsi="標楷體" w:hint="eastAsia"/>
          <w:sz w:val="28"/>
          <w:szCs w:val="28"/>
        </w:rPr>
        <w:t>孔文吉</w:t>
      </w:r>
      <w:r w:rsidRPr="00D65AED">
        <w:rPr>
          <w:rFonts w:ascii="標楷體" w:eastAsia="標楷體" w:hAnsi="標楷體"/>
          <w:sz w:val="28"/>
          <w:szCs w:val="28"/>
        </w:rPr>
        <w:tab/>
      </w:r>
      <w:r w:rsidRPr="00D65AED">
        <w:rPr>
          <w:rFonts w:ascii="標楷體" w:eastAsia="標楷體" w:hAnsi="標楷體" w:hint="eastAsia"/>
          <w:sz w:val="28"/>
          <w:szCs w:val="28"/>
        </w:rPr>
        <w:t>陳亭妃</w:t>
      </w:r>
      <w:r w:rsidRPr="00D65AED">
        <w:rPr>
          <w:rFonts w:ascii="標楷體" w:eastAsia="標楷體" w:hAnsi="標楷體"/>
          <w:sz w:val="28"/>
          <w:szCs w:val="28"/>
        </w:rPr>
        <w:tab/>
      </w:r>
      <w:r w:rsidRPr="00D65AED">
        <w:rPr>
          <w:rFonts w:ascii="標楷體" w:eastAsia="標楷體" w:hAnsi="標楷體" w:hint="eastAsia"/>
          <w:sz w:val="28"/>
          <w:szCs w:val="28"/>
        </w:rPr>
        <w:t>莊競程</w:t>
      </w:r>
    </w:p>
    <w:p w14:paraId="56DE9E15" w14:textId="77777777" w:rsidR="00421BB5" w:rsidRPr="00D65AED" w:rsidRDefault="00421BB5" w:rsidP="00421BB5">
      <w:pPr>
        <w:adjustRightInd w:val="0"/>
        <w:snapToGrid w:val="0"/>
        <w:spacing w:line="360" w:lineRule="exact"/>
        <w:ind w:leftChars="468" w:left="1123" w:firstLineChars="93" w:firstLine="260"/>
        <w:rPr>
          <w:rFonts w:ascii="標楷體" w:eastAsia="標楷體" w:hAnsi="標楷體"/>
          <w:sz w:val="28"/>
          <w:szCs w:val="28"/>
        </w:rPr>
      </w:pP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高嘉瑜</w:t>
      </w:r>
      <w:r w:rsidRPr="00D65AED">
        <w:rPr>
          <w:rFonts w:ascii="標楷體" w:eastAsia="標楷體" w:hAnsi="標楷體"/>
          <w:sz w:val="28"/>
          <w:szCs w:val="28"/>
        </w:rPr>
        <w:tab/>
      </w:r>
      <w:r w:rsidRPr="00D65AED">
        <w:rPr>
          <w:rFonts w:ascii="標楷體" w:eastAsia="標楷體" w:hAnsi="標楷體" w:hint="eastAsia"/>
          <w:sz w:val="28"/>
          <w:szCs w:val="28"/>
        </w:rPr>
        <w:t>王定宇</w:t>
      </w:r>
      <w:r w:rsidRPr="00D65AED">
        <w:rPr>
          <w:rFonts w:ascii="標楷體" w:eastAsia="標楷體" w:hAnsi="標楷體"/>
          <w:sz w:val="28"/>
          <w:szCs w:val="28"/>
        </w:rPr>
        <w:tab/>
      </w:r>
      <w:r w:rsidRPr="00D65AED">
        <w:rPr>
          <w:rFonts w:ascii="標楷體" w:eastAsia="標楷體" w:hAnsi="標楷體" w:hint="eastAsia"/>
          <w:sz w:val="28"/>
          <w:szCs w:val="28"/>
        </w:rPr>
        <w:t>李貴敏</w:t>
      </w:r>
    </w:p>
    <w:p w14:paraId="35635DC0" w14:textId="77777777" w:rsidR="00421BB5" w:rsidRPr="00D65AED" w:rsidRDefault="00421BB5" w:rsidP="00421BB5">
      <w:pPr>
        <w:adjustRightInd w:val="0"/>
        <w:snapToGrid w:val="0"/>
        <w:spacing w:line="360" w:lineRule="exact"/>
        <w:ind w:firstLineChars="490" w:firstLine="1372"/>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17</w:t>
      </w:r>
      <w:r w:rsidRPr="00D65AED">
        <w:rPr>
          <w:rFonts w:ascii="標楷體" w:eastAsia="標楷體" w:hAnsi="標楷體"/>
          <w:sz w:val="28"/>
          <w:szCs w:val="28"/>
        </w:rPr>
        <w:t>人</w:t>
      </w:r>
    </w:p>
    <w:p w14:paraId="40106B96"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p>
    <w:p w14:paraId="50FC355B"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w:t>
      </w:r>
      <w:r w:rsidRPr="00D65AED">
        <w:rPr>
          <w:rFonts w:ascii="標楷體" w:eastAsia="標楷體" w:hAnsi="標楷體"/>
          <w:sz w:val="28"/>
          <w:szCs w:val="28"/>
        </w:rPr>
        <w:t>1</w:t>
      </w:r>
      <w:r w:rsidRPr="00D65AED">
        <w:rPr>
          <w:rFonts w:ascii="標楷體" w:eastAsia="標楷體" w:hAnsi="標楷體" w:hint="eastAsia"/>
          <w:sz w:val="28"/>
          <w:szCs w:val="28"/>
        </w:rPr>
        <w:t>人</w:t>
      </w:r>
    </w:p>
    <w:p w14:paraId="7697B20E"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考試院秘書長　劉建忻</w:t>
      </w:r>
    </w:p>
    <w:p w14:paraId="3496C6A9" w14:textId="77777777" w:rsidR="00421BB5" w:rsidRPr="00D65AED" w:rsidRDefault="00421BB5" w:rsidP="00421BB5">
      <w:pPr>
        <w:pStyle w:val="-9"/>
        <w:spacing w:line="360" w:lineRule="exact"/>
        <w:ind w:leftChars="567" w:left="1361" w:firstLineChars="18" w:firstLine="50"/>
        <w:rPr>
          <w:rFonts w:ascii="標楷體" w:hAnsi="標楷體"/>
          <w:sz w:val="28"/>
          <w:szCs w:val="28"/>
        </w:rPr>
      </w:pPr>
      <w:r w:rsidRPr="00D65AED">
        <w:rPr>
          <w:rFonts w:ascii="標楷體" w:hAnsi="標楷體" w:hint="eastAsia"/>
          <w:sz w:val="28"/>
          <w:szCs w:val="28"/>
        </w:rPr>
        <w:t>銓敘部部長　周志宏</w:t>
      </w:r>
    </w:p>
    <w:p w14:paraId="175019BD"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考選部專技考試司司長　黃慶章</w:t>
      </w:r>
    </w:p>
    <w:p w14:paraId="76F8210D"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司法院人事處副處長　林春美</w:t>
      </w:r>
    </w:p>
    <w:p w14:paraId="2818F52C"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內政部戶政司專門委員　蘇誌盟</w:t>
      </w:r>
    </w:p>
    <w:p w14:paraId="60825FCA" w14:textId="77777777" w:rsidR="00421BB5" w:rsidRPr="00D65AED" w:rsidRDefault="00421BB5" w:rsidP="00421BB5">
      <w:pPr>
        <w:pStyle w:val="-9"/>
        <w:spacing w:line="360" w:lineRule="exact"/>
        <w:ind w:leftChars="567" w:left="1361" w:firstLineChars="3" w:firstLine="8"/>
        <w:rPr>
          <w:rFonts w:ascii="標楷體" w:hAnsi="標楷體"/>
          <w:sz w:val="28"/>
          <w:szCs w:val="28"/>
        </w:rPr>
      </w:pPr>
      <w:r w:rsidRPr="00D65AED">
        <w:rPr>
          <w:rFonts w:ascii="標楷體" w:hAnsi="標楷體" w:hint="eastAsia"/>
          <w:sz w:val="28"/>
          <w:szCs w:val="28"/>
        </w:rPr>
        <w:t>法務部參事　廖江憲</w:t>
      </w:r>
    </w:p>
    <w:p w14:paraId="04A1BB2D" w14:textId="77777777" w:rsidR="00421BB5" w:rsidRPr="00D65AED" w:rsidRDefault="00421BB5" w:rsidP="00421BB5">
      <w:pPr>
        <w:pStyle w:val="-9"/>
        <w:spacing w:line="360" w:lineRule="exact"/>
        <w:ind w:leftChars="567" w:left="1361" w:firstLineChars="3" w:firstLine="8"/>
        <w:rPr>
          <w:rFonts w:ascii="標楷體" w:hAnsi="標楷體"/>
          <w:sz w:val="28"/>
          <w:szCs w:val="28"/>
        </w:rPr>
      </w:pPr>
      <w:r w:rsidRPr="00D65AED">
        <w:rPr>
          <w:rFonts w:ascii="標楷體" w:hAnsi="標楷體" w:hint="eastAsia"/>
          <w:sz w:val="28"/>
          <w:szCs w:val="28"/>
        </w:rPr>
        <w:t>行政院公共工程委員會</w:t>
      </w:r>
      <w:r w:rsidRPr="00D65AED">
        <w:rPr>
          <w:rFonts w:ascii="標楷體" w:hAnsi="標楷體"/>
          <w:sz w:val="28"/>
          <w:szCs w:val="28"/>
        </w:rPr>
        <w:t>技術處簡任技正</w:t>
      </w:r>
      <w:r w:rsidRPr="00D65AED">
        <w:rPr>
          <w:rFonts w:ascii="標楷體" w:hAnsi="標楷體" w:hint="eastAsia"/>
          <w:sz w:val="28"/>
          <w:szCs w:val="28"/>
        </w:rPr>
        <w:t xml:space="preserve">　</w:t>
      </w:r>
      <w:r w:rsidRPr="00D65AED">
        <w:rPr>
          <w:rFonts w:ascii="標楷體" w:hAnsi="標楷體"/>
          <w:sz w:val="28"/>
          <w:szCs w:val="28"/>
        </w:rPr>
        <w:t>陳義昌</w:t>
      </w:r>
    </w:p>
    <w:p w14:paraId="4B966B50" w14:textId="77777777" w:rsidR="00421BB5" w:rsidRPr="00D65AED" w:rsidRDefault="00421BB5" w:rsidP="00421BB5">
      <w:pPr>
        <w:pStyle w:val="-9"/>
        <w:spacing w:line="360" w:lineRule="exact"/>
        <w:ind w:leftChars="567" w:left="1361" w:firstLineChars="3" w:firstLine="8"/>
        <w:rPr>
          <w:rFonts w:ascii="標楷體" w:hAnsi="標楷體"/>
          <w:sz w:val="28"/>
          <w:szCs w:val="28"/>
        </w:rPr>
      </w:pPr>
      <w:r w:rsidRPr="00D65AED">
        <w:rPr>
          <w:rFonts w:ascii="標楷體" w:hAnsi="標楷體" w:hint="eastAsia"/>
          <w:sz w:val="28"/>
          <w:szCs w:val="28"/>
        </w:rPr>
        <w:t xml:space="preserve">行政院人事行政總處培訓考用處副處長　</w:t>
      </w:r>
      <w:r w:rsidRPr="00D65AED">
        <w:rPr>
          <w:rFonts w:ascii="標楷體" w:hAnsi="標楷體" w:hint="eastAsia"/>
          <w:color w:val="000000"/>
          <w:sz w:val="30"/>
          <w:szCs w:val="30"/>
        </w:rPr>
        <w:t>呂世壹</w:t>
      </w:r>
    </w:p>
    <w:p w14:paraId="649FBE37" w14:textId="77777777" w:rsidR="00421BB5" w:rsidRPr="00D65AED" w:rsidRDefault="00421BB5" w:rsidP="00421BB5">
      <w:pPr>
        <w:adjustRightInd w:val="0"/>
        <w:snapToGrid w:val="0"/>
        <w:ind w:left="1364" w:rightChars="-355" w:right="-852" w:hangingChars="487" w:hanging="1364"/>
        <w:jc w:val="both"/>
        <w:rPr>
          <w:rFonts w:ascii="標楷體" w:eastAsia="標楷體" w:hAnsi="標楷體"/>
          <w:sz w:val="28"/>
          <w:szCs w:val="28"/>
        </w:rPr>
      </w:pPr>
      <w:r w:rsidRPr="00D65AED">
        <w:rPr>
          <w:rFonts w:ascii="標楷體" w:eastAsia="標楷體" w:hAnsi="標楷體"/>
          <w:kern w:val="0"/>
          <w:sz w:val="28"/>
          <w:szCs w:val="28"/>
          <w:fitText w:val="1120" w:id="-1433690880"/>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5F51423C"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4B66D41C"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42E4079E"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4105233F"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7D260279"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3639CCF3"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62785CD1"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3E8DB643"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sz w:val="28"/>
          <w:szCs w:val="28"/>
        </w:rPr>
        <w:t>宣讀上次會議議事錄。</w:t>
      </w:r>
    </w:p>
    <w:p w14:paraId="5D95F73D" w14:textId="77777777" w:rsidR="00421BB5" w:rsidRPr="00D65AED" w:rsidRDefault="00421BB5" w:rsidP="00421BB5">
      <w:pPr>
        <w:pStyle w:val="afffff2"/>
        <w:spacing w:line="360" w:lineRule="exact"/>
        <w:ind w:leftChars="0" w:left="840" w:rightChars="0" w:right="0" w:hanging="840"/>
        <w:jc w:val="both"/>
        <w:rPr>
          <w:rFonts w:ascii="標楷體" w:hAnsi="標楷體"/>
          <w:sz w:val="28"/>
          <w:szCs w:val="28"/>
        </w:rPr>
      </w:pPr>
      <w:r w:rsidRPr="00D65AED">
        <w:rPr>
          <w:rFonts w:ascii="標楷體" w:hAnsi="標楷體"/>
          <w:sz w:val="28"/>
          <w:szCs w:val="28"/>
        </w:rPr>
        <w:t>決定：確定。</w:t>
      </w:r>
    </w:p>
    <w:p w14:paraId="5D3AC343"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3261D4F5" w14:textId="77777777" w:rsidR="00421BB5" w:rsidRPr="00D65AED" w:rsidRDefault="00421BB5" w:rsidP="00421BB5">
      <w:pPr>
        <w:adjustRightInd w:val="0"/>
        <w:snapToGrid w:val="0"/>
        <w:spacing w:line="360" w:lineRule="exact"/>
        <w:ind w:leftChars="5" w:left="530" w:hangingChars="185" w:hanging="518"/>
        <w:jc w:val="both"/>
        <w:rPr>
          <w:rFonts w:ascii="標楷體" w:eastAsia="標楷體" w:hAnsi="標楷體"/>
          <w:sz w:val="28"/>
          <w:szCs w:val="28"/>
        </w:rPr>
      </w:pPr>
      <w:r w:rsidRPr="00D65AED">
        <w:rPr>
          <w:rFonts w:ascii="標楷體" w:eastAsia="標楷體" w:hAnsi="標楷體" w:hint="eastAsia"/>
          <w:sz w:val="28"/>
          <w:szCs w:val="28"/>
        </w:rPr>
        <w:t>一、審查考試院函請審議「專門職業及技術人員轉任公務人員條例修正草案」案。</w:t>
      </w:r>
    </w:p>
    <w:p w14:paraId="6E3378E4" w14:textId="77777777" w:rsidR="00421BB5" w:rsidRPr="00D65AED" w:rsidRDefault="00421BB5" w:rsidP="00421BB5">
      <w:pPr>
        <w:adjustRightInd w:val="0"/>
        <w:snapToGrid w:val="0"/>
        <w:spacing w:line="360" w:lineRule="exact"/>
        <w:ind w:left="532" w:hangingChars="190" w:hanging="532"/>
        <w:jc w:val="both"/>
        <w:rPr>
          <w:rFonts w:ascii="標楷體" w:eastAsia="標楷體" w:hAnsi="標楷體"/>
          <w:sz w:val="28"/>
          <w:szCs w:val="28"/>
        </w:rPr>
      </w:pPr>
      <w:r w:rsidRPr="00D65AED">
        <w:rPr>
          <w:rFonts w:ascii="標楷體" w:eastAsia="標楷體" w:hAnsi="標楷體" w:hint="eastAsia"/>
          <w:sz w:val="28"/>
          <w:szCs w:val="28"/>
        </w:rPr>
        <w:t>二、併案審查（一）考試院函請審議「公務人員任用法第二十二條條文修正草案」、（二）委員蔡易餘等23人擬具「公務人員任用法第二十二條條文修正草案」、（三）委員許智傑等18人擬具「公務人員任用法增訂第十八條之二條文草案」、（四）委員王定宇等19人擬具「公務人員任用法第二十八條條文修正草案」及（五）台灣</w:t>
      </w:r>
      <w:r w:rsidRPr="00D65AED">
        <w:rPr>
          <w:rFonts w:ascii="標楷體" w:eastAsia="標楷體" w:hAnsi="標楷體" w:hint="eastAsia"/>
          <w:sz w:val="28"/>
          <w:szCs w:val="28"/>
        </w:rPr>
        <w:lastRenderedPageBreak/>
        <w:t>民眾黨黨團擬具「公務人員任用法第二十八條條文修正草案」案。</w:t>
      </w:r>
    </w:p>
    <w:p w14:paraId="47B1C461" w14:textId="77777777" w:rsidR="00421BB5" w:rsidRPr="00D65AED" w:rsidRDefault="00421BB5" w:rsidP="00421BB5">
      <w:pPr>
        <w:adjustRightInd w:val="0"/>
        <w:snapToGrid w:val="0"/>
        <w:spacing w:line="360" w:lineRule="exact"/>
        <w:ind w:leftChars="76" w:left="283" w:hangingChars="36" w:hanging="101"/>
        <w:jc w:val="both"/>
        <w:rPr>
          <w:rFonts w:ascii="標楷體" w:eastAsia="標楷體" w:hAnsi="標楷體"/>
          <w:spacing w:val="10"/>
          <w:sz w:val="28"/>
          <w:szCs w:val="28"/>
        </w:rPr>
      </w:pPr>
      <w:r w:rsidRPr="00D65AED">
        <w:rPr>
          <w:rFonts w:ascii="標楷體" w:eastAsia="標楷體" w:hAnsi="標楷體" w:hint="eastAsia"/>
          <w:sz w:val="28"/>
          <w:szCs w:val="28"/>
        </w:rPr>
        <w:t>（</w:t>
      </w:r>
      <w:r w:rsidRPr="00D65AED">
        <w:rPr>
          <w:rFonts w:ascii="標楷體" w:eastAsia="標楷體" w:hAnsi="標楷體"/>
          <w:sz w:val="28"/>
          <w:szCs w:val="28"/>
        </w:rPr>
        <w:t>本</w:t>
      </w:r>
      <w:r w:rsidRPr="00D65AED">
        <w:rPr>
          <w:rFonts w:ascii="標楷體" w:eastAsia="標楷體" w:hAnsi="標楷體" w:hint="eastAsia"/>
          <w:sz w:val="28"/>
          <w:szCs w:val="28"/>
        </w:rPr>
        <w:t>次會議有</w:t>
      </w:r>
      <w:r w:rsidRPr="00D65AED">
        <w:rPr>
          <w:rFonts w:ascii="標楷體" w:eastAsia="標楷體" w:hAnsi="標楷體"/>
          <w:sz w:val="28"/>
          <w:szCs w:val="28"/>
        </w:rPr>
        <w:t>委員</w:t>
      </w:r>
      <w:r w:rsidRPr="00D65AED">
        <w:rPr>
          <w:rFonts w:ascii="標楷體" w:eastAsia="標楷體" w:hAnsi="標楷體" w:hint="eastAsia"/>
          <w:spacing w:val="10"/>
          <w:sz w:val="28"/>
          <w:szCs w:val="28"/>
        </w:rPr>
        <w:t>陳歐珀、曾銘宗、陳玉珍、</w:t>
      </w:r>
      <w:r w:rsidRPr="00D65AED">
        <w:rPr>
          <w:rFonts w:ascii="標楷體" w:eastAsia="標楷體" w:hAnsi="標楷體" w:hint="eastAsia"/>
          <w:sz w:val="28"/>
          <w:szCs w:val="28"/>
        </w:rPr>
        <w:t>黃世杰、</w:t>
      </w:r>
      <w:r w:rsidRPr="00D65AED">
        <w:rPr>
          <w:rFonts w:ascii="標楷體" w:eastAsia="標楷體" w:hAnsi="標楷體" w:hint="eastAsia"/>
          <w:spacing w:val="10"/>
          <w:sz w:val="28"/>
          <w:szCs w:val="28"/>
        </w:rPr>
        <w:t>林思銘、</w:t>
      </w:r>
    </w:p>
    <w:p w14:paraId="09C79954" w14:textId="77777777" w:rsidR="00421BB5" w:rsidRPr="00D65AED" w:rsidRDefault="00421BB5" w:rsidP="00421BB5">
      <w:pPr>
        <w:adjustRightInd w:val="0"/>
        <w:snapToGrid w:val="0"/>
        <w:spacing w:line="360" w:lineRule="exact"/>
        <w:ind w:leftChars="198" w:left="475" w:firstLineChars="14" w:firstLine="42"/>
        <w:rPr>
          <w:rFonts w:ascii="標楷體" w:eastAsia="標楷體" w:hAnsi="標楷體"/>
          <w:sz w:val="28"/>
          <w:szCs w:val="28"/>
        </w:rPr>
      </w:pPr>
      <w:r w:rsidRPr="00D65AED">
        <w:rPr>
          <w:rFonts w:ascii="標楷體" w:eastAsia="標楷體" w:hAnsi="標楷體" w:hint="eastAsia"/>
          <w:spacing w:val="10"/>
          <w:sz w:val="28"/>
          <w:szCs w:val="28"/>
        </w:rPr>
        <w:t>游毓蘭</w:t>
      </w:r>
      <w:r w:rsidRPr="00D65AED">
        <w:rPr>
          <w:rFonts w:ascii="標楷體" w:eastAsia="標楷體" w:hAnsi="標楷體" w:hint="eastAsia"/>
          <w:sz w:val="28"/>
          <w:szCs w:val="28"/>
        </w:rPr>
        <w:t>、</w:t>
      </w:r>
      <w:r w:rsidRPr="00D65AED">
        <w:rPr>
          <w:rFonts w:ascii="標楷體" w:eastAsia="標楷體" w:hAnsi="標楷體"/>
          <w:spacing w:val="10"/>
          <w:sz w:val="28"/>
          <w:szCs w:val="28"/>
        </w:rPr>
        <w:t>江永昌</w:t>
      </w:r>
      <w:r w:rsidRPr="00D65AED">
        <w:rPr>
          <w:rFonts w:ascii="標楷體" w:eastAsia="標楷體" w:hAnsi="標楷體" w:hint="eastAsia"/>
          <w:spacing w:val="10"/>
          <w:sz w:val="28"/>
          <w:szCs w:val="28"/>
        </w:rPr>
        <w:t>、陳以信、劉建國</w:t>
      </w:r>
      <w:r w:rsidRPr="00D65AED">
        <w:rPr>
          <w:rFonts w:ascii="標楷體" w:eastAsia="標楷體" w:hAnsi="標楷體"/>
          <w:spacing w:val="10"/>
          <w:sz w:val="28"/>
          <w:szCs w:val="28"/>
        </w:rPr>
        <w:t>提出質詢</w:t>
      </w:r>
      <w:r w:rsidRPr="00D65AED">
        <w:rPr>
          <w:rFonts w:ascii="標楷體" w:eastAsia="標楷體" w:hAnsi="標楷體" w:hint="eastAsia"/>
          <w:spacing w:val="10"/>
          <w:sz w:val="28"/>
          <w:szCs w:val="28"/>
        </w:rPr>
        <w:t>；</w:t>
      </w:r>
      <w:r w:rsidRPr="00D65AED">
        <w:rPr>
          <w:rFonts w:ascii="標楷體" w:eastAsia="標楷體" w:hAnsi="標楷體" w:hint="eastAsia"/>
          <w:sz w:val="28"/>
          <w:szCs w:val="28"/>
        </w:rPr>
        <w:t>委員陳明文、周春米、鄭運鵬提出書面質詢。）</w:t>
      </w:r>
    </w:p>
    <w:p w14:paraId="4951E80F" w14:textId="77777777" w:rsidR="00421BB5" w:rsidRPr="00D65AED" w:rsidRDefault="00421BB5" w:rsidP="00421BB5">
      <w:pPr>
        <w:spacing w:line="360" w:lineRule="exact"/>
        <w:ind w:left="493" w:hangingChars="176" w:hanging="493"/>
        <w:contextualSpacing/>
        <w:jc w:val="both"/>
        <w:rPr>
          <w:rFonts w:ascii="標楷體" w:eastAsia="標楷體" w:hAnsi="標楷體"/>
          <w:bCs/>
          <w:sz w:val="28"/>
          <w:szCs w:val="28"/>
        </w:rPr>
      </w:pPr>
      <w:r w:rsidRPr="00D65AED">
        <w:rPr>
          <w:rFonts w:ascii="標楷體" w:eastAsia="標楷體" w:hAnsi="標楷體"/>
          <w:bCs/>
          <w:sz w:val="28"/>
          <w:szCs w:val="28"/>
        </w:rPr>
        <w:t>決</w:t>
      </w:r>
      <w:r w:rsidRPr="00D65AED">
        <w:rPr>
          <w:rFonts w:ascii="標楷體" w:eastAsia="標楷體" w:hAnsi="標楷體" w:hint="eastAsia"/>
          <w:bCs/>
          <w:sz w:val="28"/>
          <w:szCs w:val="28"/>
        </w:rPr>
        <w:t>議</w:t>
      </w:r>
      <w:r w:rsidRPr="00D65AED">
        <w:rPr>
          <w:rFonts w:ascii="標楷體" w:eastAsia="標楷體" w:hAnsi="標楷體"/>
          <w:bCs/>
          <w:sz w:val="28"/>
          <w:szCs w:val="28"/>
        </w:rPr>
        <w:t>：</w:t>
      </w:r>
    </w:p>
    <w:p w14:paraId="6640584B"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一、</w:t>
      </w:r>
      <w:r w:rsidRPr="00D65AED">
        <w:rPr>
          <w:rFonts w:ascii="標楷體" w:eastAsia="標楷體" w:hAnsi="標楷體"/>
          <w:sz w:val="28"/>
          <w:szCs w:val="28"/>
        </w:rPr>
        <w:t>報告及詢答完畢</w:t>
      </w:r>
      <w:r w:rsidRPr="00D65AED">
        <w:rPr>
          <w:rFonts w:ascii="標楷體" w:eastAsia="標楷體" w:hAnsi="標楷體" w:hint="eastAsia"/>
          <w:sz w:val="28"/>
          <w:szCs w:val="28"/>
        </w:rPr>
        <w:t>。</w:t>
      </w:r>
    </w:p>
    <w:p w14:paraId="4D883513" w14:textId="77777777" w:rsidR="00421BB5" w:rsidRPr="00D65AED" w:rsidRDefault="00421BB5" w:rsidP="00421BB5">
      <w:pPr>
        <w:spacing w:line="360" w:lineRule="exact"/>
        <w:contextualSpacing/>
        <w:jc w:val="both"/>
        <w:rPr>
          <w:rFonts w:ascii="標楷體" w:eastAsia="標楷體" w:hAnsi="標楷體"/>
          <w:bCs/>
          <w:sz w:val="28"/>
          <w:szCs w:val="28"/>
        </w:rPr>
      </w:pPr>
      <w:r w:rsidRPr="00D65AED">
        <w:rPr>
          <w:rFonts w:ascii="標楷體" w:eastAsia="標楷體" w:hAnsi="標楷體" w:hint="eastAsia"/>
          <w:sz w:val="28"/>
          <w:szCs w:val="28"/>
        </w:rPr>
        <w:t>二、第一案及第二案均另定期繼續審查。</w:t>
      </w:r>
    </w:p>
    <w:p w14:paraId="7D68EF18" w14:textId="77777777" w:rsidR="00421BB5" w:rsidRPr="00D65AED" w:rsidRDefault="00421BB5" w:rsidP="00421BB5">
      <w:pPr>
        <w:kinsoku w:val="0"/>
        <w:spacing w:line="360" w:lineRule="exact"/>
        <w:ind w:leftChars="6" w:left="543" w:hangingChars="189" w:hanging="529"/>
        <w:contextualSpacing/>
        <w:jc w:val="both"/>
        <w:rPr>
          <w:rFonts w:ascii="標楷體" w:eastAsia="標楷體" w:hAnsi="標楷體"/>
          <w:sz w:val="28"/>
          <w:szCs w:val="28"/>
        </w:rPr>
      </w:pPr>
      <w:r w:rsidRPr="00D65AED">
        <w:rPr>
          <w:rFonts w:ascii="標楷體" w:eastAsia="標楷體" w:hAnsi="標楷體" w:hint="eastAsia"/>
          <w:sz w:val="28"/>
          <w:szCs w:val="28"/>
        </w:rPr>
        <w:t>三、</w:t>
      </w:r>
      <w:r w:rsidRPr="00D65AED">
        <w:rPr>
          <w:rFonts w:ascii="標楷體" w:eastAsia="標楷體" w:hAnsi="標楷體"/>
          <w:sz w:val="28"/>
          <w:szCs w:val="28"/>
        </w:rPr>
        <w:t>委員質詢時，要求提供相關資料或以書面答復者，請相關機關儘速送交個別委員</w:t>
      </w:r>
      <w:r w:rsidRPr="00D65AED">
        <w:rPr>
          <w:rFonts w:ascii="標楷體" w:eastAsia="標楷體" w:hAnsi="標楷體" w:hint="eastAsia"/>
          <w:sz w:val="28"/>
          <w:szCs w:val="28"/>
        </w:rPr>
        <w:t>及</w:t>
      </w:r>
      <w:r w:rsidRPr="00D65AED">
        <w:rPr>
          <w:rFonts w:ascii="標楷體" w:eastAsia="標楷體" w:hAnsi="標楷體"/>
          <w:sz w:val="28"/>
          <w:szCs w:val="28"/>
        </w:rPr>
        <w:t>本會。</w:t>
      </w:r>
    </w:p>
    <w:p w14:paraId="3DA959B7"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24E38DD6" w14:textId="77777777" w:rsidR="00421BB5" w:rsidRPr="00D65AED" w:rsidRDefault="00421BB5" w:rsidP="00421BB5">
      <w:pPr>
        <w:rPr>
          <w:rFonts w:ascii="標楷體" w:eastAsia="標楷體" w:hAnsi="標楷體"/>
          <w:sz w:val="28"/>
          <w:szCs w:val="28"/>
        </w:rPr>
      </w:pPr>
    </w:p>
    <w:p w14:paraId="48C501BD"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立法院第10屆第6會期司法及法制委員會第1</w:t>
      </w:r>
      <w:r w:rsidRPr="00D65AED">
        <w:rPr>
          <w:rFonts w:ascii="標楷體" w:eastAsia="標楷體" w:hAnsi="標楷體"/>
          <w:b/>
          <w:spacing w:val="-4"/>
          <w:sz w:val="28"/>
          <w:szCs w:val="28"/>
        </w:rPr>
        <w:t>1</w:t>
      </w:r>
      <w:r w:rsidRPr="00D65AED">
        <w:rPr>
          <w:rFonts w:ascii="標楷體" w:eastAsia="標楷體" w:hAnsi="標楷體" w:hint="eastAsia"/>
          <w:b/>
          <w:spacing w:val="-4"/>
          <w:sz w:val="28"/>
          <w:szCs w:val="28"/>
        </w:rPr>
        <w:t>次全體委員會議議事錄</w:t>
      </w:r>
    </w:p>
    <w:p w14:paraId="48E095F0" w14:textId="77777777" w:rsidR="00421BB5" w:rsidRPr="00D65AED" w:rsidRDefault="00421BB5" w:rsidP="00421BB5">
      <w:pPr>
        <w:pStyle w:val="-9"/>
        <w:ind w:left="1417" w:hangingChars="506" w:hanging="1417"/>
        <w:rPr>
          <w:rFonts w:ascii="標楷體" w:hAnsi="標楷體"/>
          <w:color w:val="FF0000"/>
          <w:sz w:val="28"/>
          <w:szCs w:val="28"/>
          <w:shd w:val="clear" w:color="auto" w:fill="FFFFFF"/>
        </w:rPr>
      </w:pPr>
      <w:r w:rsidRPr="00D65AED">
        <w:rPr>
          <w:rFonts w:ascii="標楷體" w:hAnsi="標楷體"/>
          <w:sz w:val="28"/>
          <w:szCs w:val="28"/>
          <w:shd w:val="clear" w:color="auto" w:fill="FFFFFF"/>
          <w:fitText w:val="1120" w:id="972279552"/>
        </w:rPr>
        <w:t>時    間</w:t>
      </w:r>
      <w:r w:rsidRPr="00D65AED">
        <w:rPr>
          <w:rFonts w:ascii="標楷體" w:hAnsi="標楷體"/>
          <w:sz w:val="28"/>
          <w:szCs w:val="28"/>
          <w:shd w:val="clear" w:color="auto" w:fill="FFFFFF"/>
        </w:rPr>
        <w:t>：</w:t>
      </w:r>
      <w:r w:rsidRPr="00D65AED">
        <w:rPr>
          <w:rFonts w:ascii="標楷體" w:hAnsi="標楷體" w:hint="eastAsia"/>
          <w:sz w:val="28"/>
          <w:szCs w:val="28"/>
          <w:shd w:val="clear" w:color="auto" w:fill="FFFFFF"/>
        </w:rPr>
        <w:t>中華民國1</w:t>
      </w:r>
      <w:r w:rsidRPr="00D65AED">
        <w:rPr>
          <w:rFonts w:ascii="標楷體" w:hAnsi="標楷體"/>
          <w:sz w:val="28"/>
          <w:szCs w:val="28"/>
          <w:shd w:val="clear" w:color="auto" w:fill="FFFFFF"/>
        </w:rPr>
        <w:t>11</w:t>
      </w:r>
      <w:r w:rsidRPr="00D65AED">
        <w:rPr>
          <w:rFonts w:ascii="標楷體" w:hAnsi="標楷體" w:hint="eastAsia"/>
          <w:sz w:val="28"/>
          <w:szCs w:val="28"/>
          <w:shd w:val="clear" w:color="auto" w:fill="FFFFFF"/>
        </w:rPr>
        <w:t>年11月2日（星期三）上午9時3分至12時53分</w:t>
      </w:r>
    </w:p>
    <w:p w14:paraId="6AE4EFB4" w14:textId="77777777" w:rsidR="00421BB5" w:rsidRPr="00D65AED" w:rsidRDefault="00421BB5" w:rsidP="00421BB5">
      <w:pPr>
        <w:pStyle w:val="-9"/>
        <w:ind w:left="1364" w:hanging="1364"/>
        <w:rPr>
          <w:rFonts w:ascii="標楷體" w:hAnsi="標楷體"/>
          <w:sz w:val="28"/>
          <w:szCs w:val="28"/>
          <w:shd w:val="clear" w:color="auto" w:fill="FFFFFF"/>
        </w:rPr>
      </w:pPr>
      <w:r w:rsidRPr="00D65AED">
        <w:rPr>
          <w:rFonts w:ascii="標楷體" w:hAnsi="標楷體"/>
          <w:sz w:val="28"/>
          <w:szCs w:val="28"/>
          <w:shd w:val="clear" w:color="auto" w:fill="FFFFFF"/>
          <w:fitText w:val="1120" w:id="972279808"/>
        </w:rPr>
        <w:t>地    點</w:t>
      </w:r>
      <w:r w:rsidRPr="00D65AED">
        <w:rPr>
          <w:rFonts w:ascii="標楷體" w:hAnsi="標楷體"/>
          <w:sz w:val="28"/>
          <w:szCs w:val="28"/>
          <w:shd w:val="clear" w:color="auto" w:fill="FFFFFF"/>
        </w:rPr>
        <w:t>：本院紅樓302會議室</w:t>
      </w:r>
    </w:p>
    <w:p w14:paraId="6BCCAC39" w14:textId="77777777" w:rsidR="00421BB5" w:rsidRPr="00D65AED" w:rsidRDefault="00421BB5" w:rsidP="00421BB5">
      <w:pPr>
        <w:pStyle w:val="-9"/>
        <w:ind w:leftChars="1" w:left="1455" w:hangingChars="519" w:hanging="1453"/>
        <w:jc w:val="left"/>
        <w:rPr>
          <w:rFonts w:ascii="標楷體" w:hAnsi="標楷體"/>
          <w:sz w:val="28"/>
          <w:szCs w:val="28"/>
        </w:rPr>
      </w:pPr>
      <w:r w:rsidRPr="00D65AED">
        <w:rPr>
          <w:rFonts w:ascii="標楷體" w:hAnsi="標楷體"/>
          <w:sz w:val="28"/>
          <w:szCs w:val="28"/>
          <w:shd w:val="clear" w:color="auto" w:fill="FFFFFF"/>
        </w:rPr>
        <w:t>出席委員</w:t>
      </w:r>
      <w:r w:rsidRPr="00D65AED">
        <w:rPr>
          <w:rFonts w:ascii="標楷體" w:hAnsi="標楷體" w:hint="eastAsia"/>
          <w:sz w:val="28"/>
          <w:szCs w:val="28"/>
          <w:shd w:val="clear" w:color="auto" w:fill="FFFFFF"/>
        </w:rPr>
        <w:t>：</w:t>
      </w:r>
      <w:r w:rsidRPr="00D65AED">
        <w:rPr>
          <w:rFonts w:ascii="標楷體" w:hAnsi="標楷體" w:hint="eastAsia"/>
          <w:sz w:val="28"/>
          <w:szCs w:val="28"/>
        </w:rPr>
        <w:t>鄭運鵬</w:t>
      </w:r>
      <w:r w:rsidRPr="00D65AED">
        <w:rPr>
          <w:rFonts w:ascii="標楷體" w:hAnsi="標楷體"/>
          <w:sz w:val="28"/>
          <w:szCs w:val="28"/>
        </w:rPr>
        <w:tab/>
      </w:r>
      <w:r w:rsidRPr="00D65AED">
        <w:rPr>
          <w:rFonts w:ascii="標楷體" w:hAnsi="標楷體" w:hint="eastAsia"/>
          <w:sz w:val="28"/>
          <w:szCs w:val="28"/>
        </w:rPr>
        <w:t>劉建國</w:t>
      </w:r>
      <w:r w:rsidRPr="00D65AED">
        <w:rPr>
          <w:rFonts w:ascii="標楷體" w:hAnsi="標楷體"/>
          <w:sz w:val="28"/>
          <w:szCs w:val="28"/>
        </w:rPr>
        <w:tab/>
      </w:r>
      <w:r w:rsidRPr="00D65AED">
        <w:rPr>
          <w:rFonts w:ascii="標楷體" w:hAnsi="標楷體" w:hint="eastAsia"/>
          <w:sz w:val="28"/>
          <w:szCs w:val="28"/>
        </w:rPr>
        <w:t>曾銘宗</w:t>
      </w:r>
      <w:r w:rsidRPr="00D65AED">
        <w:rPr>
          <w:rFonts w:ascii="標楷體" w:hAnsi="標楷體" w:hint="eastAsia"/>
          <w:sz w:val="28"/>
          <w:szCs w:val="28"/>
        </w:rPr>
        <w:tab/>
        <w:t>游毓蘭</w:t>
      </w:r>
      <w:r w:rsidRPr="00D65AED">
        <w:rPr>
          <w:rFonts w:ascii="標楷體" w:hAnsi="標楷體"/>
          <w:sz w:val="28"/>
          <w:szCs w:val="28"/>
        </w:rPr>
        <w:tab/>
      </w:r>
      <w:r w:rsidRPr="00D65AED">
        <w:rPr>
          <w:rFonts w:ascii="標楷體" w:hAnsi="標楷體" w:hint="eastAsia"/>
          <w:sz w:val="28"/>
          <w:szCs w:val="28"/>
        </w:rPr>
        <w:t>林思銘</w:t>
      </w:r>
      <w:r w:rsidRPr="00D65AED">
        <w:rPr>
          <w:rFonts w:ascii="標楷體" w:hAnsi="標楷體"/>
          <w:sz w:val="28"/>
          <w:szCs w:val="28"/>
        </w:rPr>
        <w:tab/>
      </w:r>
      <w:r w:rsidRPr="00D65AED">
        <w:rPr>
          <w:rFonts w:ascii="標楷體" w:hAnsi="標楷體" w:hint="eastAsia"/>
          <w:sz w:val="28"/>
          <w:szCs w:val="28"/>
        </w:rPr>
        <w:t>陳玉珍</w:t>
      </w:r>
      <w:r w:rsidRPr="00D65AED">
        <w:rPr>
          <w:rFonts w:ascii="標楷體" w:hAnsi="標楷體"/>
          <w:sz w:val="28"/>
          <w:szCs w:val="28"/>
        </w:rPr>
        <w:tab/>
      </w:r>
      <w:r w:rsidRPr="00D65AED">
        <w:rPr>
          <w:rFonts w:ascii="標楷體" w:hAnsi="標楷體" w:hint="eastAsia"/>
          <w:sz w:val="28"/>
          <w:szCs w:val="28"/>
        </w:rPr>
        <w:t>陳以信</w:t>
      </w:r>
    </w:p>
    <w:p w14:paraId="25F7ECD6" w14:textId="77777777" w:rsidR="00421BB5" w:rsidRPr="00D65AED" w:rsidRDefault="00421BB5" w:rsidP="00421BB5">
      <w:pPr>
        <w:pStyle w:val="-9"/>
        <w:ind w:leftChars="591" w:left="1454" w:hangingChars="13" w:hanging="36"/>
        <w:jc w:val="left"/>
        <w:rPr>
          <w:rFonts w:ascii="標楷體" w:hAnsi="標楷體"/>
          <w:sz w:val="28"/>
          <w:szCs w:val="28"/>
        </w:rPr>
      </w:pPr>
      <w:r w:rsidRPr="00D65AED">
        <w:rPr>
          <w:rFonts w:ascii="標楷體" w:hAnsi="標楷體" w:hint="eastAsia"/>
          <w:sz w:val="28"/>
          <w:szCs w:val="28"/>
        </w:rPr>
        <w:t>陳歐珀</w:t>
      </w:r>
      <w:r w:rsidRPr="00D65AED">
        <w:rPr>
          <w:rFonts w:ascii="標楷體" w:hAnsi="標楷體"/>
          <w:sz w:val="28"/>
          <w:szCs w:val="28"/>
        </w:rPr>
        <w:tab/>
      </w:r>
      <w:r w:rsidRPr="00D65AED">
        <w:rPr>
          <w:rFonts w:ascii="標楷體" w:hAnsi="標楷體" w:hint="eastAsia"/>
          <w:sz w:val="28"/>
          <w:szCs w:val="28"/>
        </w:rPr>
        <w:t>黃世杰</w:t>
      </w:r>
      <w:r w:rsidRPr="00D65AED">
        <w:rPr>
          <w:rFonts w:ascii="標楷體" w:hAnsi="標楷體"/>
          <w:sz w:val="28"/>
          <w:szCs w:val="28"/>
        </w:rPr>
        <w:tab/>
      </w:r>
      <w:r w:rsidRPr="00D65AED">
        <w:rPr>
          <w:rFonts w:ascii="標楷體" w:hAnsi="標楷體" w:hint="eastAsia"/>
          <w:sz w:val="28"/>
          <w:szCs w:val="28"/>
        </w:rPr>
        <w:t>江永昌</w:t>
      </w:r>
      <w:r w:rsidRPr="00D65AED">
        <w:rPr>
          <w:rFonts w:ascii="標楷體" w:hAnsi="標楷體"/>
          <w:sz w:val="28"/>
          <w:szCs w:val="28"/>
        </w:rPr>
        <w:tab/>
      </w:r>
      <w:r w:rsidRPr="00D65AED">
        <w:rPr>
          <w:rFonts w:ascii="標楷體" w:hAnsi="標楷體" w:hint="eastAsia"/>
          <w:sz w:val="28"/>
          <w:szCs w:val="28"/>
        </w:rPr>
        <w:t>柯建銘</w:t>
      </w:r>
      <w:r w:rsidRPr="00D65AED">
        <w:rPr>
          <w:rFonts w:ascii="標楷體" w:hAnsi="標楷體"/>
          <w:sz w:val="28"/>
          <w:szCs w:val="28"/>
        </w:rPr>
        <w:tab/>
      </w:r>
    </w:p>
    <w:p w14:paraId="33459766" w14:textId="77777777" w:rsidR="00421BB5" w:rsidRPr="00D65AED" w:rsidRDefault="00421BB5" w:rsidP="00421BB5">
      <w:pPr>
        <w:adjustRightInd w:val="0"/>
        <w:snapToGrid w:val="0"/>
        <w:spacing w:line="440" w:lineRule="exact"/>
        <w:ind w:firstLineChars="500" w:firstLine="1400"/>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委員出席</w:t>
      </w:r>
      <w:r w:rsidRPr="00D65AED">
        <w:rPr>
          <w:rFonts w:ascii="標楷體" w:eastAsia="標楷體" w:hAnsi="標楷體" w:hint="eastAsia"/>
          <w:sz w:val="28"/>
          <w:szCs w:val="28"/>
          <w:shd w:val="clear" w:color="auto" w:fill="FFFFFF"/>
        </w:rPr>
        <w:t>11</w:t>
      </w:r>
      <w:r w:rsidRPr="00D65AED">
        <w:rPr>
          <w:rFonts w:ascii="標楷體" w:eastAsia="標楷體" w:hAnsi="標楷體"/>
          <w:sz w:val="28"/>
          <w:szCs w:val="28"/>
          <w:shd w:val="clear" w:color="auto" w:fill="FFFFFF"/>
        </w:rPr>
        <w:t>人</w:t>
      </w:r>
    </w:p>
    <w:p w14:paraId="0FCDECBD" w14:textId="77777777" w:rsidR="00421BB5" w:rsidRPr="00D65AED" w:rsidRDefault="00421BB5" w:rsidP="00421BB5">
      <w:pPr>
        <w:adjustRightInd w:val="0"/>
        <w:snapToGrid w:val="0"/>
        <w:spacing w:line="440" w:lineRule="exact"/>
        <w:ind w:leftChars="-11" w:left="1402" w:hangingChars="510" w:hanging="1428"/>
        <w:jc w:val="both"/>
        <w:rPr>
          <w:rFonts w:ascii="標楷體" w:eastAsia="標楷體" w:hAnsi="標楷體"/>
          <w:sz w:val="28"/>
          <w:szCs w:val="28"/>
          <w:shd w:val="clear" w:color="auto" w:fill="FFFFFF"/>
        </w:rPr>
      </w:pPr>
      <w:r w:rsidRPr="00D65AED">
        <w:rPr>
          <w:rFonts w:ascii="標楷體" w:eastAsia="標楷體" w:hAnsi="標楷體"/>
          <w:kern w:val="0"/>
          <w:sz w:val="28"/>
          <w:szCs w:val="28"/>
          <w:shd w:val="clear" w:color="auto" w:fill="FFFFFF"/>
        </w:rPr>
        <w:t>列席</w:t>
      </w:r>
      <w:r w:rsidRPr="00D65AED">
        <w:rPr>
          <w:rFonts w:ascii="標楷體" w:eastAsia="標楷體" w:hAnsi="標楷體"/>
          <w:sz w:val="28"/>
          <w:szCs w:val="28"/>
          <w:shd w:val="clear" w:color="auto" w:fill="FFFFFF"/>
        </w:rPr>
        <w:t>委員：</w:t>
      </w:r>
      <w:r w:rsidRPr="00D65AED">
        <w:rPr>
          <w:rFonts w:ascii="標楷體" w:eastAsia="標楷體" w:hAnsi="標楷體" w:hint="eastAsia"/>
          <w:sz w:val="28"/>
          <w:szCs w:val="28"/>
          <w:shd w:val="clear" w:color="auto" w:fill="FFFFFF"/>
        </w:rPr>
        <w:t>劉世芳</w:t>
      </w:r>
      <w:r w:rsidRPr="00D65AED">
        <w:rPr>
          <w:rFonts w:ascii="標楷體" w:eastAsia="標楷體" w:hAnsi="標楷體"/>
          <w:sz w:val="28"/>
          <w:szCs w:val="28"/>
          <w:shd w:val="clear" w:color="auto" w:fill="FFFFFF"/>
        </w:rPr>
        <w:tab/>
      </w:r>
      <w:r w:rsidRPr="00D65AED">
        <w:rPr>
          <w:rFonts w:ascii="標楷體" w:eastAsia="標楷體" w:hAnsi="標楷體" w:hint="eastAsia"/>
          <w:color w:val="000000"/>
          <w:sz w:val="28"/>
          <w:szCs w:val="28"/>
          <w:shd w:val="clear" w:color="auto" w:fill="FFFFFF"/>
        </w:rPr>
        <w:t>李貴敏</w:t>
      </w:r>
      <w:r w:rsidRPr="00D65AED">
        <w:rPr>
          <w:rFonts w:ascii="標楷體" w:eastAsia="標楷體" w:hAnsi="標楷體"/>
          <w:color w:val="000000"/>
          <w:sz w:val="28"/>
          <w:szCs w:val="28"/>
          <w:shd w:val="clear" w:color="auto" w:fill="FFFFFF"/>
        </w:rPr>
        <w:tab/>
      </w:r>
      <w:r w:rsidRPr="00D65AED">
        <w:rPr>
          <w:rFonts w:ascii="標楷體" w:eastAsia="標楷體" w:hAnsi="標楷體" w:hint="eastAsia"/>
          <w:color w:val="000000"/>
          <w:sz w:val="28"/>
          <w:szCs w:val="28"/>
          <w:shd w:val="clear" w:color="auto" w:fill="FFFFFF"/>
        </w:rPr>
        <w:t>陳椒華</w:t>
      </w:r>
      <w:r w:rsidRPr="00D65AED">
        <w:rPr>
          <w:rFonts w:ascii="標楷體" w:eastAsia="標楷體" w:hAnsi="標楷體"/>
          <w:color w:val="000000"/>
          <w:sz w:val="28"/>
          <w:szCs w:val="28"/>
          <w:shd w:val="clear" w:color="auto" w:fill="FFFFFF"/>
        </w:rPr>
        <w:tab/>
      </w:r>
      <w:r w:rsidRPr="00D65AED">
        <w:rPr>
          <w:rFonts w:ascii="標楷體" w:eastAsia="標楷體" w:hAnsi="標楷體" w:hint="eastAsia"/>
          <w:sz w:val="28"/>
          <w:szCs w:val="28"/>
          <w:shd w:val="clear" w:color="auto" w:fill="FFFFFF"/>
        </w:rPr>
        <w:t>李德維</w:t>
      </w:r>
      <w:r w:rsidRPr="00D65AED">
        <w:rPr>
          <w:rFonts w:ascii="標楷體" w:eastAsia="標楷體" w:hAnsi="標楷體"/>
          <w:sz w:val="28"/>
          <w:szCs w:val="28"/>
          <w:shd w:val="clear" w:color="auto" w:fill="FFFFFF"/>
        </w:rPr>
        <w:tab/>
      </w:r>
      <w:r w:rsidRPr="00D65AED">
        <w:rPr>
          <w:rFonts w:ascii="標楷體" w:eastAsia="標楷體" w:hAnsi="標楷體" w:hint="eastAsia"/>
          <w:sz w:val="28"/>
          <w:szCs w:val="28"/>
          <w:shd w:val="clear" w:color="auto" w:fill="FFFFFF"/>
        </w:rPr>
        <w:t>謝衣鳯</w:t>
      </w:r>
      <w:r w:rsidRPr="00D65AED">
        <w:rPr>
          <w:rFonts w:ascii="標楷體" w:eastAsia="標楷體" w:hAnsi="標楷體"/>
          <w:sz w:val="28"/>
          <w:szCs w:val="28"/>
          <w:shd w:val="clear" w:color="auto" w:fill="FFFFFF"/>
        </w:rPr>
        <w:tab/>
      </w:r>
      <w:r w:rsidRPr="00D65AED">
        <w:rPr>
          <w:rFonts w:ascii="標楷體" w:eastAsia="標楷體" w:hAnsi="標楷體" w:hint="eastAsia"/>
          <w:sz w:val="28"/>
          <w:szCs w:val="28"/>
          <w:shd w:val="clear" w:color="auto" w:fill="FFFFFF"/>
        </w:rPr>
        <w:t>莊競程</w:t>
      </w:r>
      <w:r w:rsidRPr="00D65AED">
        <w:rPr>
          <w:rFonts w:ascii="標楷體" w:eastAsia="標楷體" w:hAnsi="標楷體"/>
          <w:sz w:val="28"/>
          <w:szCs w:val="28"/>
          <w:shd w:val="clear" w:color="auto" w:fill="FFFFFF"/>
        </w:rPr>
        <w:tab/>
      </w:r>
      <w:r w:rsidRPr="00D65AED">
        <w:rPr>
          <w:rFonts w:ascii="標楷體" w:eastAsia="標楷體" w:hAnsi="標楷體" w:hint="eastAsia"/>
          <w:sz w:val="28"/>
          <w:szCs w:val="28"/>
          <w:shd w:val="clear" w:color="auto" w:fill="FFFFFF"/>
        </w:rPr>
        <w:t>鄭正鈐</w:t>
      </w:r>
    </w:p>
    <w:p w14:paraId="69FFC97A" w14:textId="77777777" w:rsidR="00421BB5" w:rsidRPr="00D65AED" w:rsidRDefault="00421BB5" w:rsidP="00421BB5">
      <w:pPr>
        <w:adjustRightInd w:val="0"/>
        <w:snapToGrid w:val="0"/>
        <w:spacing w:line="440" w:lineRule="exact"/>
        <w:ind w:leftChars="571" w:left="1398" w:hangingChars="10" w:hanging="28"/>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羅明才</w:t>
      </w:r>
      <w:r w:rsidRPr="00D65AED">
        <w:rPr>
          <w:rFonts w:ascii="標楷體" w:eastAsia="標楷體" w:hAnsi="標楷體"/>
          <w:sz w:val="28"/>
          <w:szCs w:val="28"/>
          <w:shd w:val="clear" w:color="auto" w:fill="FFFFFF"/>
        </w:rPr>
        <w:tab/>
      </w:r>
      <w:r w:rsidRPr="00D65AED">
        <w:rPr>
          <w:rFonts w:ascii="標楷體" w:eastAsia="標楷體" w:hAnsi="標楷體" w:hint="eastAsia"/>
          <w:kern w:val="0"/>
          <w:sz w:val="28"/>
          <w:szCs w:val="28"/>
          <w:shd w:val="clear" w:color="auto" w:fill="FFFFFF"/>
        </w:rPr>
        <w:t>高嘉瑜</w:t>
      </w:r>
      <w:r w:rsidRPr="00D65AED">
        <w:rPr>
          <w:rFonts w:ascii="標楷體" w:eastAsia="標楷體" w:hAnsi="標楷體"/>
          <w:kern w:val="0"/>
          <w:sz w:val="28"/>
          <w:szCs w:val="28"/>
          <w:shd w:val="clear" w:color="auto" w:fill="FFFFFF"/>
        </w:rPr>
        <w:tab/>
      </w:r>
      <w:r w:rsidRPr="00D65AED">
        <w:rPr>
          <w:rFonts w:ascii="標楷體" w:eastAsia="標楷體" w:hAnsi="標楷體" w:hint="eastAsia"/>
          <w:sz w:val="28"/>
          <w:szCs w:val="28"/>
          <w:shd w:val="clear" w:color="auto" w:fill="FFFFFF"/>
        </w:rPr>
        <w:t>張其祿</w:t>
      </w:r>
      <w:r w:rsidRPr="00D65AED">
        <w:rPr>
          <w:rFonts w:ascii="標楷體" w:eastAsia="標楷體" w:hAnsi="標楷體"/>
          <w:sz w:val="28"/>
          <w:szCs w:val="28"/>
          <w:shd w:val="clear" w:color="auto" w:fill="FFFFFF"/>
        </w:rPr>
        <w:tab/>
      </w:r>
      <w:r w:rsidRPr="00D65AED">
        <w:rPr>
          <w:rFonts w:ascii="標楷體" w:eastAsia="標楷體" w:hAnsi="標楷體" w:hint="eastAsia"/>
          <w:sz w:val="28"/>
          <w:szCs w:val="28"/>
          <w:shd w:val="clear" w:color="auto" w:fill="FFFFFF"/>
        </w:rPr>
        <w:t>何欣純</w:t>
      </w:r>
      <w:r w:rsidRPr="00D65AED">
        <w:rPr>
          <w:rFonts w:ascii="標楷體" w:eastAsia="標楷體" w:hAnsi="標楷體"/>
          <w:sz w:val="28"/>
          <w:szCs w:val="28"/>
          <w:shd w:val="clear" w:color="auto" w:fill="FFFFFF"/>
        </w:rPr>
        <w:tab/>
      </w:r>
      <w:r w:rsidRPr="00D65AED">
        <w:rPr>
          <w:rFonts w:ascii="標楷體" w:eastAsia="標楷體" w:hAnsi="標楷體" w:hint="eastAsia"/>
          <w:sz w:val="28"/>
          <w:szCs w:val="28"/>
          <w:shd w:val="clear" w:color="auto" w:fill="FFFFFF"/>
        </w:rPr>
        <w:t>廖婉汝</w:t>
      </w:r>
      <w:r w:rsidRPr="00D65AED">
        <w:rPr>
          <w:rFonts w:ascii="標楷體" w:eastAsia="標楷體" w:hAnsi="標楷體"/>
          <w:sz w:val="28"/>
          <w:szCs w:val="28"/>
          <w:shd w:val="clear" w:color="auto" w:fill="FFFFFF"/>
        </w:rPr>
        <w:tab/>
      </w:r>
      <w:r w:rsidRPr="00D65AED">
        <w:rPr>
          <w:rFonts w:ascii="標楷體" w:eastAsia="標楷體" w:hAnsi="標楷體" w:hint="eastAsia"/>
          <w:sz w:val="28"/>
          <w:szCs w:val="28"/>
          <w:shd w:val="clear" w:color="auto" w:fill="FFFFFF"/>
        </w:rPr>
        <w:t>張育美</w:t>
      </w:r>
    </w:p>
    <w:p w14:paraId="14E13DB7" w14:textId="77777777" w:rsidR="00421BB5" w:rsidRPr="00D65AED" w:rsidRDefault="00421BB5" w:rsidP="00421BB5">
      <w:pPr>
        <w:adjustRightInd w:val="0"/>
        <w:snapToGrid w:val="0"/>
        <w:spacing w:line="440" w:lineRule="exact"/>
        <w:ind w:firstLineChars="500" w:firstLine="1400"/>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委員列席</w:t>
      </w:r>
      <w:r w:rsidRPr="00D65AED">
        <w:rPr>
          <w:rFonts w:ascii="標楷體" w:eastAsia="標楷體" w:hAnsi="標楷體" w:hint="eastAsia"/>
          <w:sz w:val="28"/>
          <w:szCs w:val="28"/>
          <w:shd w:val="clear" w:color="auto" w:fill="FFFFFF"/>
        </w:rPr>
        <w:t>13</w:t>
      </w:r>
      <w:r w:rsidRPr="00D65AED">
        <w:rPr>
          <w:rFonts w:ascii="標楷體" w:eastAsia="標楷體" w:hAnsi="標楷體"/>
          <w:sz w:val="28"/>
          <w:szCs w:val="28"/>
          <w:shd w:val="clear" w:color="auto" w:fill="FFFFFF"/>
        </w:rPr>
        <w:t>人</w:t>
      </w:r>
    </w:p>
    <w:p w14:paraId="20095AA4" w14:textId="77777777" w:rsidR="00421BB5" w:rsidRPr="00D65AED" w:rsidRDefault="00421BB5" w:rsidP="00421BB5">
      <w:pPr>
        <w:snapToGrid w:val="0"/>
        <w:spacing w:line="44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p>
    <w:p w14:paraId="21E71228" w14:textId="77777777" w:rsidR="00421BB5" w:rsidRPr="00D65AED" w:rsidRDefault="00421BB5" w:rsidP="00421BB5">
      <w:pPr>
        <w:snapToGrid w:val="0"/>
        <w:spacing w:line="44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w:t>
      </w:r>
      <w:r w:rsidRPr="00D65AED">
        <w:rPr>
          <w:rFonts w:ascii="標楷體" w:eastAsia="標楷體" w:hAnsi="標楷體"/>
          <w:sz w:val="28"/>
          <w:szCs w:val="28"/>
        </w:rPr>
        <w:t>1</w:t>
      </w:r>
      <w:r w:rsidRPr="00D65AED">
        <w:rPr>
          <w:rFonts w:ascii="標楷體" w:eastAsia="標楷體" w:hAnsi="標楷體" w:hint="eastAsia"/>
          <w:sz w:val="28"/>
          <w:szCs w:val="28"/>
        </w:rPr>
        <w:t>人</w:t>
      </w:r>
    </w:p>
    <w:p w14:paraId="38B0546F" w14:textId="77777777" w:rsidR="00421BB5" w:rsidRPr="00D65AED" w:rsidRDefault="00421BB5" w:rsidP="00421BB5">
      <w:pPr>
        <w:pStyle w:val="-9"/>
        <w:ind w:left="1361" w:hangingChars="486" w:hanging="1361"/>
        <w:rPr>
          <w:rFonts w:ascii="標楷體" w:hAnsi="標楷體"/>
          <w:snapToGrid w:val="0"/>
          <w:sz w:val="28"/>
          <w:szCs w:val="28"/>
          <w:shd w:val="clear" w:color="auto" w:fill="FFFFFF"/>
        </w:rPr>
      </w:pPr>
      <w:r w:rsidRPr="00D65AED">
        <w:rPr>
          <w:rFonts w:ascii="標楷體" w:hAnsi="標楷體"/>
          <w:sz w:val="28"/>
          <w:szCs w:val="28"/>
          <w:shd w:val="clear" w:color="auto" w:fill="FFFFFF"/>
        </w:rPr>
        <w:t>列席官員：</w:t>
      </w:r>
      <w:r w:rsidRPr="00D65AED">
        <w:rPr>
          <w:rFonts w:ascii="標楷體" w:hAnsi="標楷體"/>
          <w:snapToGrid w:val="0"/>
          <w:sz w:val="28"/>
          <w:szCs w:val="28"/>
          <w:shd w:val="clear" w:color="auto" w:fill="FFFFFF"/>
        </w:rPr>
        <w:t>考試院</w:t>
      </w:r>
      <w:r w:rsidRPr="00D65AED">
        <w:rPr>
          <w:rFonts w:ascii="標楷體" w:hAnsi="標楷體" w:hint="eastAsia"/>
          <w:snapToGrid w:val="0"/>
          <w:sz w:val="28"/>
          <w:szCs w:val="28"/>
          <w:shd w:val="clear" w:color="auto" w:fill="FFFFFF"/>
        </w:rPr>
        <w:t>秘書長　劉建忻</w:t>
      </w:r>
    </w:p>
    <w:p w14:paraId="5FA4003D" w14:textId="77777777" w:rsidR="00421BB5" w:rsidRPr="00D65AED" w:rsidRDefault="00421BB5" w:rsidP="00421BB5">
      <w:pPr>
        <w:pStyle w:val="-9"/>
        <w:ind w:leftChars="584" w:left="2802" w:hangingChars="500" w:hanging="1400"/>
        <w:rPr>
          <w:rFonts w:ascii="標楷體" w:hAnsi="標楷體"/>
          <w:snapToGrid w:val="0"/>
          <w:sz w:val="28"/>
          <w:szCs w:val="28"/>
          <w:shd w:val="clear" w:color="auto" w:fill="FFFFFF"/>
        </w:rPr>
      </w:pPr>
      <w:r w:rsidRPr="00D65AED">
        <w:rPr>
          <w:rFonts w:ascii="標楷體" w:hAnsi="標楷體"/>
          <w:snapToGrid w:val="0"/>
          <w:sz w:val="28"/>
          <w:szCs w:val="28"/>
          <w:shd w:val="clear" w:color="auto" w:fill="FFFFFF"/>
        </w:rPr>
        <w:t>考選部部長</w:t>
      </w:r>
      <w:r w:rsidRPr="00D65AED">
        <w:rPr>
          <w:rFonts w:ascii="標楷體" w:hAnsi="標楷體" w:hint="eastAsia"/>
          <w:snapToGrid w:val="0"/>
          <w:sz w:val="28"/>
          <w:szCs w:val="28"/>
          <w:shd w:val="clear" w:color="auto" w:fill="FFFFFF"/>
        </w:rPr>
        <w:t xml:space="preserve">　許舒翔</w:t>
      </w:r>
    </w:p>
    <w:p w14:paraId="31A9FCCD" w14:textId="77777777" w:rsidR="00421BB5" w:rsidRPr="00D65AED" w:rsidRDefault="00421BB5" w:rsidP="00421BB5">
      <w:pPr>
        <w:pStyle w:val="-9"/>
        <w:ind w:leftChars="584" w:left="2569" w:rightChars="-21" w:right="-50" w:hangingChars="503" w:hanging="1167"/>
        <w:rPr>
          <w:rFonts w:ascii="標楷體" w:hAnsi="標楷體"/>
          <w:snapToGrid w:val="0"/>
          <w:spacing w:val="-24"/>
          <w:sz w:val="28"/>
          <w:szCs w:val="28"/>
          <w:shd w:val="clear" w:color="auto" w:fill="FFFFFF"/>
        </w:rPr>
      </w:pPr>
      <w:r w:rsidRPr="00D65AED">
        <w:rPr>
          <w:rFonts w:ascii="標楷體" w:hAnsi="標楷體"/>
          <w:spacing w:val="-24"/>
          <w:sz w:val="28"/>
          <w:szCs w:val="28"/>
          <w:shd w:val="clear" w:color="auto" w:fill="FFFFFF"/>
        </w:rPr>
        <w:t>銓敘部部長兼公務人員退休撫卹基金管理委員會主任委員</w:t>
      </w:r>
      <w:r w:rsidRPr="00D65AED">
        <w:rPr>
          <w:rFonts w:ascii="標楷體" w:hAnsi="標楷體" w:hint="eastAsia"/>
          <w:spacing w:val="-24"/>
          <w:sz w:val="28"/>
          <w:szCs w:val="28"/>
          <w:shd w:val="clear" w:color="auto" w:fill="FFFFFF"/>
        </w:rPr>
        <w:t xml:space="preserve">　</w:t>
      </w:r>
      <w:r w:rsidRPr="00D65AED">
        <w:rPr>
          <w:rFonts w:ascii="標楷體" w:hAnsi="標楷體" w:hint="eastAsia"/>
          <w:snapToGrid w:val="0"/>
          <w:sz w:val="28"/>
          <w:szCs w:val="28"/>
          <w:shd w:val="clear" w:color="auto" w:fill="FFFFFF"/>
        </w:rPr>
        <w:t>周志宏</w:t>
      </w:r>
    </w:p>
    <w:p w14:paraId="615419BD" w14:textId="77777777" w:rsidR="00421BB5" w:rsidRPr="00D65AED" w:rsidRDefault="00421BB5" w:rsidP="00421BB5">
      <w:pPr>
        <w:pStyle w:val="-9"/>
        <w:ind w:leftChars="578" w:left="2568" w:rightChars="-21" w:right="-50" w:hangingChars="509" w:hanging="1181"/>
        <w:rPr>
          <w:rFonts w:ascii="標楷體" w:hAnsi="標楷體"/>
          <w:snapToGrid w:val="0"/>
          <w:sz w:val="28"/>
          <w:szCs w:val="28"/>
          <w:shd w:val="clear" w:color="auto" w:fill="FFFFFF"/>
        </w:rPr>
      </w:pPr>
      <w:r w:rsidRPr="00D65AED">
        <w:rPr>
          <w:rFonts w:ascii="標楷體" w:hAnsi="標楷體"/>
          <w:spacing w:val="-24"/>
          <w:sz w:val="28"/>
          <w:szCs w:val="28"/>
          <w:shd w:val="clear" w:color="auto" w:fill="FFFFFF"/>
        </w:rPr>
        <w:t>公務人員保障暨培訓委員會主任委員兼國家文官學院院長</w:t>
      </w:r>
      <w:r w:rsidRPr="00D65AED">
        <w:rPr>
          <w:rFonts w:ascii="標楷體" w:hAnsi="標楷體" w:hint="eastAsia"/>
          <w:spacing w:val="-24"/>
          <w:sz w:val="28"/>
          <w:szCs w:val="28"/>
          <w:shd w:val="clear" w:color="auto" w:fill="FFFFFF"/>
        </w:rPr>
        <w:t xml:space="preserve">　</w:t>
      </w:r>
      <w:r w:rsidRPr="00D65AED">
        <w:rPr>
          <w:rFonts w:ascii="標楷體" w:hAnsi="標楷體" w:hint="eastAsia"/>
          <w:snapToGrid w:val="0"/>
          <w:sz w:val="28"/>
          <w:szCs w:val="28"/>
          <w:shd w:val="clear" w:color="auto" w:fill="FFFFFF"/>
        </w:rPr>
        <w:t>郝培芝</w:t>
      </w:r>
    </w:p>
    <w:p w14:paraId="726C5C9F" w14:textId="77777777" w:rsidR="00421BB5" w:rsidRPr="00D65AED" w:rsidRDefault="00421BB5" w:rsidP="00421BB5">
      <w:pPr>
        <w:pStyle w:val="-9"/>
        <w:ind w:leftChars="578" w:left="2606" w:rightChars="-21" w:right="-50" w:hangingChars="508" w:hanging="1219"/>
        <w:rPr>
          <w:rFonts w:ascii="標楷體" w:hAnsi="標楷體"/>
          <w:snapToGrid w:val="0"/>
          <w:spacing w:val="-20"/>
          <w:sz w:val="28"/>
          <w:szCs w:val="28"/>
          <w:shd w:val="clear" w:color="auto" w:fill="FFFFFF"/>
        </w:rPr>
      </w:pPr>
      <w:r w:rsidRPr="00D65AED">
        <w:rPr>
          <w:rFonts w:ascii="標楷體" w:hAnsi="標楷體" w:hint="eastAsia"/>
          <w:snapToGrid w:val="0"/>
          <w:spacing w:val="-20"/>
          <w:sz w:val="28"/>
          <w:szCs w:val="28"/>
          <w:shd w:val="clear" w:color="auto" w:fill="FFFFFF"/>
        </w:rPr>
        <w:t>公務人員退休撫卹基金監理委員會執行秘書　高誓男</w:t>
      </w:r>
      <w:r w:rsidRPr="00D65AED">
        <w:rPr>
          <w:rFonts w:ascii="標楷體" w:hAnsi="標楷體" w:hint="eastAsia"/>
          <w:snapToGrid w:val="0"/>
          <w:spacing w:val="-20"/>
          <w:w w:val="90"/>
          <w:sz w:val="28"/>
          <w:szCs w:val="28"/>
          <w:shd w:val="clear" w:color="auto" w:fill="FFFFFF"/>
        </w:rPr>
        <w:t>（主任委員請假）</w:t>
      </w:r>
    </w:p>
    <w:p w14:paraId="422A2E5B" w14:textId="77777777" w:rsidR="00421BB5" w:rsidRPr="00D65AED" w:rsidRDefault="00421BB5" w:rsidP="00421BB5">
      <w:pPr>
        <w:pStyle w:val="-9"/>
        <w:ind w:leftChars="578" w:left="2801" w:hangingChars="505" w:hanging="1414"/>
        <w:rPr>
          <w:rFonts w:ascii="標楷體" w:hAnsi="標楷體"/>
          <w:sz w:val="28"/>
          <w:szCs w:val="28"/>
          <w:shd w:val="clear" w:color="auto" w:fill="FFFFFF"/>
        </w:rPr>
      </w:pPr>
      <w:r w:rsidRPr="00D65AED">
        <w:rPr>
          <w:rFonts w:ascii="標楷體" w:hAnsi="標楷體"/>
          <w:snapToGrid w:val="0"/>
          <w:sz w:val="28"/>
          <w:szCs w:val="28"/>
          <w:shd w:val="clear" w:color="auto" w:fill="FFFFFF"/>
        </w:rPr>
        <w:t>行政院主計總處</w:t>
      </w:r>
      <w:r w:rsidRPr="00D65AED">
        <w:rPr>
          <w:rFonts w:ascii="標楷體" w:hAnsi="標楷體" w:hint="eastAsia"/>
          <w:snapToGrid w:val="0"/>
          <w:sz w:val="28"/>
          <w:szCs w:val="28"/>
          <w:shd w:val="clear" w:color="auto" w:fill="FFFFFF"/>
        </w:rPr>
        <w:t>公務預算處</w:t>
      </w:r>
      <w:r w:rsidRPr="00D65AED">
        <w:rPr>
          <w:rFonts w:ascii="標楷體" w:hAnsi="標楷體" w:hint="eastAsia"/>
          <w:sz w:val="28"/>
          <w:szCs w:val="28"/>
          <w:shd w:val="clear" w:color="auto" w:fill="FFFFFF"/>
        </w:rPr>
        <w:t>專門委員</w:t>
      </w:r>
      <w:r w:rsidRPr="00D65AED">
        <w:rPr>
          <w:rFonts w:ascii="標楷體" w:hAnsi="標楷體" w:hint="eastAsia"/>
          <w:snapToGrid w:val="0"/>
          <w:sz w:val="28"/>
          <w:szCs w:val="28"/>
          <w:shd w:val="clear" w:color="auto" w:fill="FFFFFF"/>
        </w:rPr>
        <w:t xml:space="preserve">　</w:t>
      </w:r>
      <w:r w:rsidRPr="00D65AED">
        <w:rPr>
          <w:rFonts w:ascii="標楷體" w:hAnsi="標楷體" w:hint="eastAsia"/>
          <w:sz w:val="28"/>
          <w:szCs w:val="28"/>
          <w:shd w:val="clear" w:color="auto" w:fill="FFFFFF"/>
        </w:rPr>
        <w:t>黃子菡</w:t>
      </w:r>
    </w:p>
    <w:p w14:paraId="674136CB" w14:textId="77777777" w:rsidR="00421BB5" w:rsidRPr="00D65AED" w:rsidRDefault="00421BB5" w:rsidP="00421BB5">
      <w:pPr>
        <w:pStyle w:val="-9"/>
        <w:ind w:leftChars="1167" w:left="2801" w:firstLineChars="189" w:firstLine="529"/>
        <w:rPr>
          <w:rFonts w:ascii="標楷體" w:hAnsi="標楷體"/>
          <w:sz w:val="28"/>
          <w:szCs w:val="28"/>
          <w:shd w:val="clear" w:color="auto" w:fill="FFFFFF"/>
        </w:rPr>
      </w:pPr>
      <w:r w:rsidRPr="00D65AED">
        <w:rPr>
          <w:rFonts w:ascii="標楷體" w:hAnsi="標楷體" w:hint="eastAsia"/>
          <w:sz w:val="28"/>
          <w:szCs w:val="28"/>
          <w:shd w:val="clear" w:color="auto" w:fill="FFFFFF"/>
        </w:rPr>
        <w:t>基金預算處專門委員</w:t>
      </w:r>
      <w:r w:rsidRPr="00D65AED">
        <w:rPr>
          <w:rFonts w:ascii="標楷體" w:hAnsi="標楷體" w:hint="eastAsia"/>
          <w:snapToGrid w:val="0"/>
          <w:sz w:val="28"/>
          <w:szCs w:val="28"/>
          <w:shd w:val="clear" w:color="auto" w:fill="FFFFFF"/>
        </w:rPr>
        <w:t xml:space="preserve">　</w:t>
      </w:r>
      <w:r w:rsidRPr="00D65AED">
        <w:rPr>
          <w:rFonts w:ascii="標楷體" w:hAnsi="標楷體" w:hint="eastAsia"/>
          <w:sz w:val="28"/>
          <w:szCs w:val="28"/>
          <w:shd w:val="clear" w:color="auto" w:fill="FFFFFF"/>
        </w:rPr>
        <w:t>吳婉玉</w:t>
      </w:r>
    </w:p>
    <w:p w14:paraId="4BDFEC80" w14:textId="77777777" w:rsidR="00421BB5" w:rsidRPr="00D65AED" w:rsidRDefault="00421BB5" w:rsidP="00421BB5">
      <w:pPr>
        <w:spacing w:line="440" w:lineRule="exact"/>
        <w:ind w:left="1117" w:hangingChars="399" w:hanging="1117"/>
        <w:jc w:val="both"/>
        <w:rPr>
          <w:rFonts w:ascii="標楷體" w:eastAsia="標楷體" w:hAnsi="標楷體"/>
          <w:sz w:val="28"/>
          <w:szCs w:val="28"/>
          <w:shd w:val="clear" w:color="auto" w:fill="FFFFFF"/>
        </w:rPr>
      </w:pPr>
      <w:r w:rsidRPr="00D65AED">
        <w:rPr>
          <w:rFonts w:ascii="標楷體" w:eastAsia="標楷體" w:hAnsi="標楷體"/>
          <w:kern w:val="0"/>
          <w:sz w:val="28"/>
          <w:szCs w:val="28"/>
          <w:shd w:val="clear" w:color="auto" w:fill="FFFFFF"/>
          <w:fitText w:val="1120" w:id="972279812"/>
        </w:rPr>
        <w:t>主    席</w:t>
      </w:r>
      <w:r w:rsidRPr="00D65AED">
        <w:rPr>
          <w:rFonts w:ascii="標楷體" w:eastAsia="標楷體" w:hAnsi="標楷體"/>
          <w:sz w:val="28"/>
          <w:szCs w:val="28"/>
          <w:shd w:val="clear" w:color="auto" w:fill="FFFFFF"/>
        </w:rPr>
        <w:t>：</w:t>
      </w:r>
      <w:r w:rsidRPr="00D65AED">
        <w:rPr>
          <w:rFonts w:ascii="標楷體" w:eastAsia="標楷體" w:hAnsi="標楷體" w:hint="eastAsia"/>
          <w:sz w:val="28"/>
          <w:szCs w:val="28"/>
          <w:shd w:val="clear" w:color="auto" w:fill="FFFFFF"/>
        </w:rPr>
        <w:t>陳召集委員歐珀</w:t>
      </w:r>
    </w:p>
    <w:p w14:paraId="6880D3C6" w14:textId="77777777" w:rsidR="00421BB5" w:rsidRPr="00D65AED" w:rsidRDefault="00421BB5" w:rsidP="00421BB5">
      <w:pPr>
        <w:snapToGrid w:val="0"/>
        <w:spacing w:line="44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314934A3" w14:textId="77777777" w:rsidR="00421BB5" w:rsidRPr="00D65AED" w:rsidRDefault="00421BB5" w:rsidP="00421BB5">
      <w:pPr>
        <w:snapToGrid w:val="0"/>
        <w:spacing w:line="44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607525A8" w14:textId="77777777" w:rsidR="00421BB5" w:rsidRPr="00D65AED" w:rsidRDefault="00421BB5" w:rsidP="00421BB5">
      <w:pPr>
        <w:adjustRightInd w:val="0"/>
        <w:snapToGrid w:val="0"/>
        <w:spacing w:line="440" w:lineRule="exact"/>
        <w:rPr>
          <w:rFonts w:ascii="標楷體" w:eastAsia="標楷體" w:hAnsi="標楷體"/>
          <w:sz w:val="28"/>
          <w:szCs w:val="28"/>
        </w:rPr>
      </w:pPr>
      <w:r w:rsidRPr="00D65AED">
        <w:rPr>
          <w:rFonts w:ascii="標楷體" w:eastAsia="標楷體" w:hAnsi="標楷體" w:hint="eastAsia"/>
          <w:sz w:val="28"/>
          <w:szCs w:val="28"/>
        </w:rPr>
        <w:t>紀    錄：簡任編審　薛復寧</w:t>
      </w:r>
    </w:p>
    <w:p w14:paraId="09329313" w14:textId="77777777" w:rsidR="00421BB5" w:rsidRPr="00D65AED" w:rsidRDefault="00421BB5" w:rsidP="00421BB5">
      <w:pPr>
        <w:adjustRightInd w:val="0"/>
        <w:snapToGrid w:val="0"/>
        <w:spacing w:line="44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7440E8BC" w14:textId="77777777" w:rsidR="00421BB5" w:rsidRPr="00D65AED" w:rsidRDefault="00421BB5" w:rsidP="00421BB5">
      <w:pPr>
        <w:adjustRightInd w:val="0"/>
        <w:snapToGrid w:val="0"/>
        <w:spacing w:line="44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792D7445" w14:textId="77777777" w:rsidR="00421BB5" w:rsidRPr="00D65AED" w:rsidRDefault="00421BB5" w:rsidP="00421BB5">
      <w:pPr>
        <w:pStyle w:val="afffff2"/>
        <w:spacing w:beforeLines="50" w:before="180"/>
        <w:ind w:leftChars="0" w:left="0" w:rightChars="0" w:right="0" w:firstLineChars="398" w:firstLine="1115"/>
        <w:jc w:val="both"/>
        <w:rPr>
          <w:rFonts w:ascii="標楷體" w:hAnsi="標楷體"/>
          <w:b/>
          <w:sz w:val="28"/>
          <w:szCs w:val="28"/>
          <w:shd w:val="clear" w:color="auto" w:fill="FFFFFF"/>
        </w:rPr>
      </w:pPr>
      <w:r w:rsidRPr="00D65AED">
        <w:rPr>
          <w:rFonts w:ascii="標楷體" w:hAnsi="標楷體"/>
          <w:b/>
          <w:sz w:val="28"/>
          <w:szCs w:val="28"/>
          <w:shd w:val="clear" w:color="auto" w:fill="FFFFFF"/>
        </w:rPr>
        <w:t>報告事項</w:t>
      </w:r>
    </w:p>
    <w:p w14:paraId="5FD2848F" w14:textId="77777777" w:rsidR="00421BB5" w:rsidRPr="00D65AED" w:rsidRDefault="00421BB5" w:rsidP="00421BB5">
      <w:pPr>
        <w:pStyle w:val="afffff4"/>
        <w:ind w:left="560" w:hanging="560"/>
        <w:jc w:val="both"/>
        <w:rPr>
          <w:rFonts w:ascii="標楷體" w:hAnsi="標楷體"/>
          <w:sz w:val="28"/>
          <w:szCs w:val="28"/>
          <w:shd w:val="clear" w:color="auto" w:fill="FFFFFF"/>
        </w:rPr>
      </w:pPr>
      <w:r w:rsidRPr="00D65AED">
        <w:rPr>
          <w:rFonts w:ascii="標楷體" w:hAnsi="標楷體" w:hint="eastAsia"/>
          <w:sz w:val="28"/>
          <w:szCs w:val="28"/>
          <w:shd w:val="clear" w:color="auto" w:fill="FFFFFF"/>
        </w:rPr>
        <w:t>一、</w:t>
      </w:r>
      <w:r w:rsidRPr="00D65AED">
        <w:rPr>
          <w:rFonts w:ascii="標楷體" w:hAnsi="標楷體"/>
          <w:sz w:val="28"/>
          <w:szCs w:val="28"/>
          <w:shd w:val="clear" w:color="auto" w:fill="FFFFFF"/>
        </w:rPr>
        <w:t>宣讀上次會議議事錄</w:t>
      </w:r>
      <w:r w:rsidRPr="00D65AED">
        <w:rPr>
          <w:rFonts w:ascii="標楷體" w:hAnsi="標楷體" w:hint="eastAsia"/>
          <w:sz w:val="28"/>
          <w:szCs w:val="28"/>
          <w:shd w:val="clear" w:color="auto" w:fill="FFFFFF"/>
        </w:rPr>
        <w:t>。</w:t>
      </w:r>
    </w:p>
    <w:p w14:paraId="2A3447C7" w14:textId="77777777" w:rsidR="00421BB5" w:rsidRPr="00D65AED" w:rsidRDefault="00421BB5" w:rsidP="00421BB5">
      <w:pPr>
        <w:adjustRightInd w:val="0"/>
        <w:snapToGrid w:val="0"/>
        <w:spacing w:line="440" w:lineRule="exact"/>
        <w:ind w:left="840" w:hangingChars="300" w:hanging="84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決定：確定。</w:t>
      </w:r>
    </w:p>
    <w:p w14:paraId="32B2715D"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w:t>
      </w:r>
      <w:r w:rsidRPr="00D65AED">
        <w:rPr>
          <w:rFonts w:ascii="標楷體" w:eastAsia="標楷體" w:hAnsi="標楷體"/>
          <w:kern w:val="0"/>
          <w:sz w:val="28"/>
          <w:szCs w:val="28"/>
          <w:shd w:val="clear" w:color="auto" w:fill="FFFFFF"/>
        </w:rPr>
        <w:t>、考試院函，為111年度中央政府總預算決議，檢送凍結該院「一般行政」500萬元書面報告，請查照案。</w:t>
      </w:r>
    </w:p>
    <w:p w14:paraId="02B3CEFC"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三</w:t>
      </w:r>
      <w:r w:rsidRPr="00D65AED">
        <w:rPr>
          <w:rFonts w:ascii="標楷體" w:eastAsia="標楷體" w:hAnsi="標楷體"/>
          <w:kern w:val="0"/>
          <w:sz w:val="28"/>
          <w:szCs w:val="28"/>
          <w:shd w:val="clear" w:color="auto" w:fill="FFFFFF"/>
        </w:rPr>
        <w:t>、考試院函，為111年度中央政府總預算決議，檢送凍結該院「法</w:t>
      </w:r>
      <w:r w:rsidRPr="00D65AED">
        <w:rPr>
          <w:rFonts w:ascii="標楷體" w:eastAsia="標楷體" w:hAnsi="標楷體"/>
          <w:kern w:val="0"/>
          <w:sz w:val="28"/>
          <w:szCs w:val="28"/>
          <w:shd w:val="clear" w:color="auto" w:fill="FFFFFF"/>
        </w:rPr>
        <w:lastRenderedPageBreak/>
        <w:t>制業務」項下「法制作業及法規編印」5萬元書面報告，請查照案。</w:t>
      </w:r>
    </w:p>
    <w:p w14:paraId="471856FD"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四</w:t>
      </w:r>
      <w:r w:rsidRPr="00D65AED">
        <w:rPr>
          <w:rFonts w:ascii="標楷體" w:eastAsia="標楷體" w:hAnsi="標楷體"/>
          <w:kern w:val="0"/>
          <w:sz w:val="28"/>
          <w:szCs w:val="28"/>
          <w:shd w:val="clear" w:color="auto" w:fill="FFFFFF"/>
        </w:rPr>
        <w:t>、考試院函，為111年度中央政府總預算決議，檢送凍結該院「施政業務及督導」30萬元書面報告，請查照案。</w:t>
      </w:r>
    </w:p>
    <w:p w14:paraId="0BCDFFA8"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五、考選部函，為111年度中央政府總預算決議，檢送該部決議（一）預算凍結書面報告，請查照案。</w:t>
      </w:r>
    </w:p>
    <w:p w14:paraId="78D58F0B"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六、考選部函，為111年度中央政府總預算決議，檢送該部決議（二）第2目「考試業務研究改進」凍結50萬元書面報告，請查照案。</w:t>
      </w:r>
    </w:p>
    <w:p w14:paraId="33DD8FFC"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七、考選部函，為111年度中央政府總預算決議，檢送該部決議（三）預算凍結書面報告，請查照案。</w:t>
      </w:r>
    </w:p>
    <w:p w14:paraId="55E97B1B"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八、銓敘部函，為111年度中央政府總預算決議，檢送該部決議（一）凍結「基本行政工作維持」中「業務費」之「國外旅費」30％書面報告，請查照案。</w:t>
      </w:r>
    </w:p>
    <w:p w14:paraId="79249C5D"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九、銓敘部函，為111年度中央政府總預算決議，檢送該部決議（三）凍結「一般建築及設備」100萬元書面報告，請查照案。</w:t>
      </w:r>
    </w:p>
    <w:p w14:paraId="0C8F88A9" w14:textId="77777777" w:rsidR="00421BB5" w:rsidRPr="00D65AED" w:rsidRDefault="00421BB5" w:rsidP="00421BB5">
      <w:pPr>
        <w:adjustRightInd w:val="0"/>
        <w:snapToGrid w:val="0"/>
        <w:spacing w:line="440" w:lineRule="exact"/>
        <w:ind w:left="588" w:hangingChars="210" w:hanging="588"/>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十、銓敘部函，為111年度中央政府總預算決議，檢送該部決議（四）凍結「補助公教人員保險事務經費」50萬元書面報告，請查照案。</w:t>
      </w:r>
    </w:p>
    <w:p w14:paraId="797A6C05"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十一、銓敘部函，為111年度中央政府總預算決議，檢送該部決議（五）凍結「公務人員退休撫卹管理」50萬元書面報告，請查照案。</w:t>
      </w:r>
    </w:p>
    <w:p w14:paraId="688EF799"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十二、銓敘部函，為111年度中央政府總預算決議，檢送該部決議（六）凍結「公務人員退休業務」30萬元書面報告，請查照案。</w:t>
      </w:r>
    </w:p>
    <w:p w14:paraId="4FBD851E"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十三、銓敘部函，為111年度中央政府總預算決議，檢送該部決議（十二）凍結「資訊系統之使用及管理」50萬元書面報告，請查照案。</w:t>
      </w:r>
    </w:p>
    <w:p w14:paraId="34A8B640"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十四、銓敘部函，為111年度中央政府總預算決議，檢送該部決議（十三）凍結「資訊系統之使用及管理」中「業務費」之「資訊服務費」100萬元書面報告，請查照案。</w:t>
      </w:r>
    </w:p>
    <w:p w14:paraId="476493BC"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十五、銓敘部函，為111年度中央政府總預算決議，檢送該部決議（十四）凍結「資訊系統之使用及管理」200萬元書面報告，請查照案。</w:t>
      </w:r>
    </w:p>
    <w:p w14:paraId="78846F02"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十六、銓敘部函，為111年度中央政府總預算決議，檢送該部決議（十五）凍結「人事法制及銓敘」5%書面報告，請查照案。</w:t>
      </w:r>
    </w:p>
    <w:p w14:paraId="0BA38628"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十七、銓敘部函，為111年度中央政府總預算決議，檢送該部決議（十六）凍結「人事法制及銓敘」30萬元書面報告，請查照案。</w:t>
      </w:r>
    </w:p>
    <w:p w14:paraId="1B5E6BB3"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lastRenderedPageBreak/>
        <w:t>十八、銓敘部函，為111年度中央政府總預算決議，檢送預算凍結書面報告，請查照案。</w:t>
      </w:r>
    </w:p>
    <w:p w14:paraId="10566A3A"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十九、公務人員保障暨培訓委員會函，為111年度中央政府總預算決議，檢送決議（一）「國外旅費」預算凍結30%書面報告，請查照案。</w:t>
      </w:r>
    </w:p>
    <w:p w14:paraId="5E35EF63"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二十、公務人員保障暨培訓委員會函，為111年度中央政府總預算決議，檢送決議（二）「一般行政」預算凍結5萬元書面報告，請查照案。</w:t>
      </w:r>
    </w:p>
    <w:p w14:paraId="562D8B45"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二十一、公務人員保障暨培訓委員會函，為111年度中央政府總預算決議，檢送決議（三）「保障暨培訓」預算凍結5萬元書面報告，請查照案。</w:t>
      </w:r>
    </w:p>
    <w:p w14:paraId="2C44BBE5"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二十二、公務人員保障暨培訓委員會函，為111年度中央政府總預算決議，檢送決議（六）「保障暨培訓」預算凍結5萬元書面報告，請查照案。</w:t>
      </w:r>
    </w:p>
    <w:p w14:paraId="63E91442"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二十三、公務人員保障暨培訓委員會函，為111年度中央政府總預算決議，檢送決議（八）「一般行政」預算凍結60萬元書面報告，請查照案。</w:t>
      </w:r>
    </w:p>
    <w:p w14:paraId="7FBB2088"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二十四、公務人員保障暨培訓委員會函，為111年度中央政府總預算決議，檢送決議（九）「一般行政」預算凍結20萬元書面報告，請查照案。</w:t>
      </w:r>
    </w:p>
    <w:p w14:paraId="48DC0B93"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二十五、公務人員保障暨培訓委員會函，為111年度中央政府總預算決議，檢送決議（十）「保障暨培訓」預算凍結10萬元書面報告，請查照案。</w:t>
      </w:r>
    </w:p>
    <w:p w14:paraId="3CB4DE25"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二十六、公務人員保障暨培訓委員會函，為111年度中央政府總預算決議，檢送決議（十一）「保障暨培訓」預算凍結100萬元書面報告，請查照案。</w:t>
      </w:r>
    </w:p>
    <w:p w14:paraId="01BAFFD2" w14:textId="77777777" w:rsidR="00421BB5" w:rsidRPr="00D65AED" w:rsidRDefault="00421BB5" w:rsidP="00421BB5">
      <w:pPr>
        <w:adjustRightInd w:val="0"/>
        <w:snapToGrid w:val="0"/>
        <w:spacing w:line="440" w:lineRule="exact"/>
        <w:ind w:left="602" w:hangingChars="215" w:hanging="602"/>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二十七、公務人員保障暨培訓委員會函，為111年度中央政府總預算決議，檢送國家文官學院「國家文官培訓業務」凍結10萬元書面報告（更正本），請查照案。</w:t>
      </w:r>
    </w:p>
    <w:p w14:paraId="7DF4CE9D" w14:textId="77777777" w:rsidR="00421BB5" w:rsidRPr="00D65AED" w:rsidRDefault="00421BB5" w:rsidP="00421BB5">
      <w:pPr>
        <w:adjustRightInd w:val="0"/>
        <w:snapToGrid w:val="0"/>
        <w:spacing w:line="440" w:lineRule="exact"/>
        <w:ind w:left="840" w:hangingChars="300" w:hanging="84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決定：</w:t>
      </w:r>
    </w:p>
    <w:p w14:paraId="33A74723" w14:textId="77777777" w:rsidR="00421BB5" w:rsidRPr="00D65AED" w:rsidRDefault="00421BB5" w:rsidP="00421BB5">
      <w:pPr>
        <w:adjustRightInd w:val="0"/>
        <w:snapToGrid w:val="0"/>
        <w:spacing w:line="440" w:lineRule="exact"/>
        <w:ind w:left="840" w:hangingChars="300" w:hanging="84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一、第二案至第十八案，均准予備查，提報院會。</w:t>
      </w:r>
    </w:p>
    <w:p w14:paraId="3360DC10" w14:textId="77777777" w:rsidR="00421BB5" w:rsidRPr="00D65AED" w:rsidRDefault="00421BB5" w:rsidP="00421BB5">
      <w:pPr>
        <w:adjustRightInd w:val="0"/>
        <w:snapToGrid w:val="0"/>
        <w:spacing w:line="440" w:lineRule="exact"/>
        <w:ind w:left="840" w:hangingChars="300" w:hanging="84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二、第十九案至第二十七案，均另定期繼續處理。</w:t>
      </w:r>
    </w:p>
    <w:p w14:paraId="25E71D31" w14:textId="77777777" w:rsidR="00421BB5" w:rsidRPr="00D65AED" w:rsidRDefault="00421BB5" w:rsidP="00421BB5">
      <w:pPr>
        <w:pStyle w:val="afffff2"/>
        <w:spacing w:beforeLines="50" w:before="180"/>
        <w:ind w:leftChars="0" w:left="0" w:rightChars="0" w:right="0" w:firstLineChars="398" w:firstLine="1115"/>
        <w:jc w:val="both"/>
        <w:rPr>
          <w:rFonts w:ascii="標楷體" w:hAnsi="標楷體"/>
          <w:b/>
          <w:sz w:val="28"/>
          <w:szCs w:val="28"/>
          <w:shd w:val="clear" w:color="auto" w:fill="FFFFFF"/>
        </w:rPr>
      </w:pPr>
      <w:r w:rsidRPr="00D65AED">
        <w:rPr>
          <w:rFonts w:ascii="標楷體" w:hAnsi="標楷體"/>
          <w:b/>
          <w:sz w:val="28"/>
          <w:szCs w:val="28"/>
          <w:shd w:val="clear" w:color="auto" w:fill="FFFFFF"/>
        </w:rPr>
        <w:lastRenderedPageBreak/>
        <w:t>討論事項</w:t>
      </w:r>
    </w:p>
    <w:p w14:paraId="2E57B04D" w14:textId="77777777" w:rsidR="00421BB5" w:rsidRPr="00D65AED" w:rsidRDefault="00421BB5" w:rsidP="00421BB5">
      <w:pPr>
        <w:kinsoku w:val="0"/>
        <w:spacing w:line="440" w:lineRule="exact"/>
        <w:ind w:left="544" w:hangingChars="203" w:hanging="544"/>
        <w:contextualSpacing/>
        <w:jc w:val="both"/>
        <w:rPr>
          <w:rFonts w:ascii="標楷體" w:eastAsia="標楷體" w:hAnsi="標楷體"/>
          <w:spacing w:val="-6"/>
          <w:sz w:val="28"/>
          <w:szCs w:val="28"/>
          <w:shd w:val="clear" w:color="auto" w:fill="FFFFFF"/>
        </w:rPr>
      </w:pPr>
      <w:r w:rsidRPr="00D65AED">
        <w:rPr>
          <w:rFonts w:ascii="標楷體" w:eastAsia="標楷體" w:hAnsi="標楷體" w:hint="eastAsia"/>
          <w:spacing w:val="-6"/>
          <w:sz w:val="28"/>
          <w:szCs w:val="28"/>
          <w:shd w:val="clear" w:color="auto" w:fill="FFFFFF"/>
        </w:rPr>
        <w:t>一、繼續審查</w:t>
      </w:r>
      <w:r w:rsidRPr="00D65AED">
        <w:rPr>
          <w:rFonts w:ascii="標楷體" w:eastAsia="標楷體" w:hAnsi="標楷體"/>
          <w:spacing w:val="-6"/>
          <w:sz w:val="28"/>
          <w:szCs w:val="28"/>
          <w:shd w:val="clear" w:color="auto" w:fill="FFFFFF"/>
        </w:rPr>
        <w:t>1</w:t>
      </w:r>
      <w:r w:rsidRPr="00D65AED">
        <w:rPr>
          <w:rFonts w:ascii="標楷體" w:eastAsia="標楷體" w:hAnsi="標楷體" w:hint="eastAsia"/>
          <w:spacing w:val="-6"/>
          <w:sz w:val="28"/>
          <w:szCs w:val="28"/>
          <w:shd w:val="clear" w:color="auto" w:fill="FFFFFF"/>
        </w:rPr>
        <w:t>12年度中央政府總預算案關於考試院及所屬主管收支部分。</w:t>
      </w:r>
    </w:p>
    <w:p w14:paraId="75134918" w14:textId="77777777" w:rsidR="00421BB5" w:rsidRPr="00D65AED" w:rsidRDefault="00421BB5" w:rsidP="00421BB5">
      <w:pPr>
        <w:kinsoku w:val="0"/>
        <w:spacing w:line="440" w:lineRule="exact"/>
        <w:ind w:left="544" w:hangingChars="203" w:hanging="544"/>
        <w:contextualSpacing/>
        <w:jc w:val="both"/>
        <w:rPr>
          <w:rFonts w:ascii="標楷體" w:eastAsia="標楷體" w:hAnsi="標楷體"/>
          <w:sz w:val="28"/>
          <w:szCs w:val="28"/>
          <w:shd w:val="clear" w:color="auto" w:fill="FFFFFF"/>
          <w:lang w:val="x-none"/>
        </w:rPr>
      </w:pPr>
      <w:r w:rsidRPr="00D65AED">
        <w:rPr>
          <w:rFonts w:ascii="標楷體" w:eastAsia="標楷體" w:hAnsi="標楷體" w:hint="eastAsia"/>
          <w:spacing w:val="-6"/>
          <w:sz w:val="28"/>
          <w:szCs w:val="28"/>
          <w:shd w:val="clear" w:color="auto" w:fill="FFFFFF"/>
        </w:rPr>
        <w:t>二、繼續審</w:t>
      </w:r>
      <w:r w:rsidRPr="00D65AED">
        <w:rPr>
          <w:rFonts w:ascii="標楷體" w:eastAsia="標楷體" w:hAnsi="標楷體" w:hint="eastAsia"/>
          <w:sz w:val="28"/>
          <w:szCs w:val="28"/>
          <w:shd w:val="clear" w:color="auto" w:fill="FFFFFF"/>
          <w:lang w:val="x-none"/>
        </w:rPr>
        <w:t>查</w:t>
      </w:r>
      <w:r w:rsidRPr="00D65AED">
        <w:rPr>
          <w:rFonts w:ascii="標楷體" w:eastAsia="標楷體" w:hAnsi="標楷體"/>
          <w:spacing w:val="-6"/>
          <w:sz w:val="28"/>
          <w:szCs w:val="28"/>
          <w:shd w:val="clear" w:color="auto" w:fill="FFFFFF"/>
        </w:rPr>
        <w:t>1</w:t>
      </w:r>
      <w:r w:rsidRPr="00D65AED">
        <w:rPr>
          <w:rFonts w:ascii="標楷體" w:eastAsia="標楷體" w:hAnsi="標楷體" w:hint="eastAsia"/>
          <w:spacing w:val="-6"/>
          <w:sz w:val="28"/>
          <w:szCs w:val="28"/>
          <w:shd w:val="clear" w:color="auto" w:fill="FFFFFF"/>
        </w:rPr>
        <w:t>1</w:t>
      </w:r>
      <w:r w:rsidRPr="00D65AED">
        <w:rPr>
          <w:rFonts w:ascii="標楷體" w:eastAsia="標楷體" w:hAnsi="標楷體"/>
          <w:spacing w:val="-6"/>
          <w:sz w:val="28"/>
          <w:szCs w:val="28"/>
          <w:shd w:val="clear" w:color="auto" w:fill="FFFFFF"/>
        </w:rPr>
        <w:t>2</w:t>
      </w:r>
      <w:r w:rsidRPr="00D65AED">
        <w:rPr>
          <w:rFonts w:ascii="標楷體" w:eastAsia="標楷體" w:hAnsi="標楷體" w:hint="eastAsia"/>
          <w:sz w:val="28"/>
          <w:szCs w:val="28"/>
          <w:shd w:val="clear" w:color="auto" w:fill="FFFFFF"/>
          <w:lang w:val="x-none"/>
        </w:rPr>
        <w:t>年度中央政府總預算案附屬單位預算非營業部分關於考試院考選部主管「考選業務基金」收支部分。</w:t>
      </w:r>
    </w:p>
    <w:p w14:paraId="7FE816B9" w14:textId="77777777" w:rsidR="00421BB5" w:rsidRPr="00D65AED" w:rsidRDefault="00421BB5" w:rsidP="00421BB5">
      <w:pPr>
        <w:kinsoku w:val="0"/>
        <w:spacing w:line="440" w:lineRule="exact"/>
        <w:ind w:left="560" w:hangingChars="200" w:hanging="560"/>
        <w:contextualSpacing/>
        <w:jc w:val="both"/>
        <w:rPr>
          <w:rFonts w:ascii="標楷體" w:eastAsia="標楷體" w:hAnsi="標楷體"/>
          <w:spacing w:val="-6"/>
          <w:sz w:val="28"/>
          <w:szCs w:val="28"/>
          <w:shd w:val="clear" w:color="auto" w:fill="FFFFFF"/>
        </w:rPr>
      </w:pPr>
      <w:r w:rsidRPr="00D65AED">
        <w:rPr>
          <w:rFonts w:ascii="標楷體" w:eastAsia="標楷體" w:hAnsi="標楷體" w:hint="eastAsia"/>
          <w:sz w:val="28"/>
          <w:szCs w:val="28"/>
          <w:shd w:val="clear" w:color="auto" w:fill="FFFFFF"/>
          <w:lang w:val="x-none"/>
        </w:rPr>
        <w:t>三、繼續審</w:t>
      </w:r>
      <w:r w:rsidRPr="00D65AED">
        <w:rPr>
          <w:rFonts w:ascii="標楷體" w:eastAsia="標楷體" w:hAnsi="標楷體" w:hint="eastAsia"/>
          <w:spacing w:val="-6"/>
          <w:sz w:val="28"/>
          <w:szCs w:val="28"/>
          <w:shd w:val="clear" w:color="auto" w:fill="FFFFFF"/>
        </w:rPr>
        <w:t>查</w:t>
      </w:r>
      <w:r w:rsidRPr="00D65AED">
        <w:rPr>
          <w:rFonts w:ascii="標楷體" w:eastAsia="標楷體" w:hAnsi="標楷體"/>
          <w:spacing w:val="-6"/>
          <w:sz w:val="28"/>
          <w:szCs w:val="28"/>
          <w:shd w:val="clear" w:color="auto" w:fill="FFFFFF"/>
        </w:rPr>
        <w:t>1</w:t>
      </w:r>
      <w:r w:rsidRPr="00D65AED">
        <w:rPr>
          <w:rFonts w:ascii="標楷體" w:eastAsia="標楷體" w:hAnsi="標楷體" w:hint="eastAsia"/>
          <w:spacing w:val="-6"/>
          <w:sz w:val="28"/>
          <w:szCs w:val="28"/>
          <w:shd w:val="clear" w:color="auto" w:fill="FFFFFF"/>
        </w:rPr>
        <w:t>1</w:t>
      </w:r>
      <w:r w:rsidRPr="00D65AED">
        <w:rPr>
          <w:rFonts w:ascii="標楷體" w:eastAsia="標楷體" w:hAnsi="標楷體"/>
          <w:spacing w:val="-6"/>
          <w:sz w:val="28"/>
          <w:szCs w:val="28"/>
          <w:shd w:val="clear" w:color="auto" w:fill="FFFFFF"/>
        </w:rPr>
        <w:t>2</w:t>
      </w:r>
      <w:r w:rsidRPr="00D65AED">
        <w:rPr>
          <w:rFonts w:ascii="標楷體" w:eastAsia="標楷體" w:hAnsi="標楷體" w:hint="eastAsia"/>
          <w:spacing w:val="-6"/>
          <w:sz w:val="28"/>
          <w:szCs w:val="28"/>
          <w:shd w:val="clear" w:color="auto" w:fill="FFFFFF"/>
        </w:rPr>
        <w:t>年度中央政府總預算案附屬單位預算非營業部分關於考試院銓敘部主管「公務人員退休撫卹基金」收支部分。</w:t>
      </w:r>
    </w:p>
    <w:p w14:paraId="05BCC4E6" w14:textId="77777777" w:rsidR="00421BB5" w:rsidRPr="00D65AED" w:rsidRDefault="00421BB5" w:rsidP="00421BB5">
      <w:pPr>
        <w:kinsoku w:val="0"/>
        <w:spacing w:line="440" w:lineRule="exact"/>
        <w:ind w:left="536" w:hangingChars="200" w:hanging="536"/>
        <w:contextualSpacing/>
        <w:jc w:val="both"/>
        <w:rPr>
          <w:rFonts w:ascii="標楷體" w:eastAsia="標楷體" w:hAnsi="標楷體"/>
          <w:spacing w:val="-6"/>
          <w:sz w:val="28"/>
          <w:szCs w:val="28"/>
          <w:shd w:val="clear" w:color="auto" w:fill="FFFFFF"/>
        </w:rPr>
      </w:pPr>
      <w:r w:rsidRPr="00D65AED">
        <w:rPr>
          <w:rFonts w:ascii="標楷體" w:eastAsia="標楷體" w:hAnsi="標楷體" w:hint="eastAsia"/>
          <w:spacing w:val="-6"/>
          <w:sz w:val="28"/>
          <w:szCs w:val="28"/>
          <w:shd w:val="clear" w:color="auto" w:fill="FFFFFF"/>
        </w:rPr>
        <w:t>四、</w:t>
      </w:r>
      <w:r w:rsidRPr="00D65AED">
        <w:rPr>
          <w:rFonts w:ascii="標楷體" w:eastAsia="標楷體" w:hAnsi="標楷體"/>
          <w:spacing w:val="-6"/>
          <w:sz w:val="28"/>
          <w:szCs w:val="28"/>
          <w:shd w:val="clear" w:color="auto" w:fill="FFFFFF"/>
        </w:rPr>
        <w:t>考試院函，為111年度中央政府總預算決議，檢送凍結該院「議事業務」10</w:t>
      </w:r>
      <w:r w:rsidRPr="00D65AED">
        <w:rPr>
          <w:rFonts w:ascii="標楷體" w:eastAsia="標楷體" w:hAnsi="標楷體" w:hint="eastAsia"/>
          <w:spacing w:val="-6"/>
          <w:sz w:val="28"/>
          <w:szCs w:val="28"/>
          <w:shd w:val="clear" w:color="auto" w:fill="FFFFFF"/>
        </w:rPr>
        <w:t>%</w:t>
      </w:r>
      <w:r w:rsidRPr="00D65AED">
        <w:rPr>
          <w:rFonts w:ascii="標楷體" w:eastAsia="標楷體" w:hAnsi="標楷體"/>
          <w:spacing w:val="-6"/>
          <w:sz w:val="28"/>
          <w:szCs w:val="28"/>
          <w:shd w:val="clear" w:color="auto" w:fill="FFFFFF"/>
        </w:rPr>
        <w:t>專案報告，請查照案。</w:t>
      </w:r>
    </w:p>
    <w:p w14:paraId="35DA719D" w14:textId="77777777" w:rsidR="00421BB5" w:rsidRPr="00D65AED" w:rsidRDefault="00421BB5" w:rsidP="00421BB5">
      <w:pPr>
        <w:kinsoku w:val="0"/>
        <w:spacing w:line="440" w:lineRule="exact"/>
        <w:ind w:left="536" w:hangingChars="200" w:hanging="536"/>
        <w:contextualSpacing/>
        <w:jc w:val="both"/>
        <w:rPr>
          <w:rFonts w:ascii="標楷體" w:eastAsia="標楷體" w:hAnsi="標楷體"/>
          <w:spacing w:val="-6"/>
          <w:sz w:val="28"/>
          <w:szCs w:val="28"/>
          <w:shd w:val="clear" w:color="auto" w:fill="FFFFFF"/>
        </w:rPr>
      </w:pPr>
      <w:r w:rsidRPr="00D65AED">
        <w:rPr>
          <w:rFonts w:ascii="標楷體" w:eastAsia="標楷體" w:hAnsi="標楷體" w:hint="eastAsia"/>
          <w:spacing w:val="-6"/>
          <w:sz w:val="28"/>
          <w:szCs w:val="28"/>
          <w:shd w:val="clear" w:color="auto" w:fill="FFFFFF"/>
        </w:rPr>
        <w:t>五、銓敘部函，為111年度中央政府總預算決議，檢送該部決議（二）凍結「人事法制及銓敘」100萬元書面報告，請查照案。</w:t>
      </w:r>
    </w:p>
    <w:p w14:paraId="18456782" w14:textId="77777777" w:rsidR="00421BB5" w:rsidRPr="00D65AED" w:rsidRDefault="00421BB5" w:rsidP="00421BB5">
      <w:pPr>
        <w:kinsoku w:val="0"/>
        <w:spacing w:line="440" w:lineRule="exact"/>
        <w:ind w:left="536" w:hangingChars="200" w:hanging="536"/>
        <w:contextualSpacing/>
        <w:jc w:val="both"/>
        <w:rPr>
          <w:rFonts w:ascii="標楷體" w:eastAsia="標楷體" w:hAnsi="標楷體"/>
          <w:spacing w:val="-6"/>
          <w:sz w:val="28"/>
          <w:szCs w:val="28"/>
          <w:shd w:val="clear" w:color="auto" w:fill="FFFFFF"/>
        </w:rPr>
      </w:pPr>
      <w:r w:rsidRPr="00D65AED">
        <w:rPr>
          <w:rFonts w:ascii="標楷體" w:eastAsia="標楷體" w:hAnsi="標楷體" w:hint="eastAsia"/>
          <w:spacing w:val="-6"/>
          <w:sz w:val="28"/>
          <w:szCs w:val="28"/>
          <w:shd w:val="clear" w:color="auto" w:fill="FFFFFF"/>
        </w:rPr>
        <w:t>六、公務人員保障暨培訓委員會函，為111年度中央政府總預算決議，檢送決議（四）「保障暨培訓」預算凍結5萬元書面報告，請查照案。</w:t>
      </w:r>
    </w:p>
    <w:p w14:paraId="39A0A70A" w14:textId="77777777" w:rsidR="00421BB5" w:rsidRPr="00D65AED" w:rsidRDefault="00421BB5" w:rsidP="00421BB5">
      <w:pPr>
        <w:kinsoku w:val="0"/>
        <w:spacing w:line="440" w:lineRule="exact"/>
        <w:ind w:left="536" w:hangingChars="200" w:hanging="536"/>
        <w:contextualSpacing/>
        <w:jc w:val="both"/>
        <w:rPr>
          <w:rFonts w:ascii="標楷體" w:eastAsia="標楷體" w:hAnsi="標楷體"/>
          <w:spacing w:val="-6"/>
          <w:sz w:val="28"/>
          <w:szCs w:val="28"/>
          <w:shd w:val="clear" w:color="auto" w:fill="FFFFFF"/>
        </w:rPr>
      </w:pPr>
      <w:r w:rsidRPr="00D65AED">
        <w:rPr>
          <w:rFonts w:ascii="標楷體" w:eastAsia="標楷體" w:hAnsi="標楷體" w:hint="eastAsia"/>
          <w:spacing w:val="-6"/>
          <w:sz w:val="28"/>
          <w:szCs w:val="28"/>
          <w:shd w:val="clear" w:color="auto" w:fill="FFFFFF"/>
        </w:rPr>
        <w:t>七、公務人員保障暨培訓委員會函，為111年度中央政府總預算決議，檢送決議（五）「保障暨培訓」預算凍結50萬元書面報告，請查照案。</w:t>
      </w:r>
    </w:p>
    <w:p w14:paraId="6335090A" w14:textId="77777777" w:rsidR="00421BB5" w:rsidRPr="00D65AED" w:rsidRDefault="00421BB5" w:rsidP="00421BB5">
      <w:pPr>
        <w:spacing w:line="440" w:lineRule="exact"/>
        <w:contextualSpacing/>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決議：</w:t>
      </w:r>
    </w:p>
    <w:p w14:paraId="04A8BFBE" w14:textId="77777777" w:rsidR="00421BB5" w:rsidRPr="00D65AED" w:rsidRDefault="00421BB5" w:rsidP="00421BB5">
      <w:pPr>
        <w:spacing w:line="440" w:lineRule="exact"/>
        <w:contextualSpacing/>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一、11</w:t>
      </w:r>
      <w:r w:rsidRPr="00D65AED">
        <w:rPr>
          <w:rFonts w:ascii="標楷體" w:eastAsia="標楷體" w:hAnsi="標楷體"/>
          <w:sz w:val="28"/>
          <w:szCs w:val="28"/>
          <w:shd w:val="clear" w:color="auto" w:fill="FFFFFF"/>
        </w:rPr>
        <w:t>2</w:t>
      </w:r>
      <w:r w:rsidRPr="00D65AED">
        <w:rPr>
          <w:rFonts w:ascii="標楷體" w:eastAsia="標楷體" w:hAnsi="標楷體" w:hint="eastAsia"/>
          <w:sz w:val="28"/>
          <w:szCs w:val="28"/>
          <w:shd w:val="clear" w:color="auto" w:fill="FFFFFF"/>
        </w:rPr>
        <w:t>年度中央政府總預算案關於考試院及所屬主管收支部分：</w:t>
      </w:r>
    </w:p>
    <w:p w14:paraId="58D0A035" w14:textId="77777777" w:rsidR="00421BB5" w:rsidRPr="00D65AED" w:rsidRDefault="00421BB5" w:rsidP="00421BB5">
      <w:pPr>
        <w:spacing w:line="440" w:lineRule="exact"/>
        <w:contextualSpacing/>
        <w:jc w:val="both"/>
        <w:rPr>
          <w:rFonts w:ascii="標楷體" w:eastAsia="標楷體" w:hAnsi="標楷體"/>
          <w:b/>
          <w:sz w:val="28"/>
          <w:szCs w:val="28"/>
          <w:shd w:val="clear" w:color="auto" w:fill="FFFFFF"/>
        </w:rPr>
      </w:pPr>
      <w:r w:rsidRPr="00D65AED">
        <w:rPr>
          <w:rFonts w:ascii="標楷體" w:eastAsia="標楷體" w:hAnsi="標楷體" w:hint="eastAsia"/>
          <w:b/>
          <w:sz w:val="28"/>
          <w:szCs w:val="28"/>
          <w:shd w:val="clear" w:color="auto" w:fill="FFFFFF"/>
        </w:rPr>
        <w:t>(一)</w:t>
      </w:r>
      <w:r w:rsidRPr="00D65AED">
        <w:rPr>
          <w:rFonts w:ascii="標楷體" w:eastAsia="標楷體" w:hAnsi="標楷體"/>
          <w:b/>
          <w:sz w:val="28"/>
          <w:szCs w:val="28"/>
          <w:shd w:val="clear" w:color="auto" w:fill="FFFFFF"/>
        </w:rPr>
        <w:t>歲入部分</w:t>
      </w:r>
    </w:p>
    <w:p w14:paraId="569EF655" w14:textId="77777777" w:rsidR="00421BB5" w:rsidRPr="00D65AED" w:rsidRDefault="00421BB5" w:rsidP="00421BB5">
      <w:pPr>
        <w:pStyle w:val="3-"/>
        <w:spacing w:line="440" w:lineRule="exact"/>
        <w:ind w:left="800" w:hanging="560"/>
        <w:rPr>
          <w:shd w:val="clear" w:color="auto" w:fill="FFFFFF"/>
        </w:rPr>
      </w:pPr>
      <w:r w:rsidRPr="00D65AED">
        <w:rPr>
          <w:shd w:val="clear" w:color="auto" w:fill="FFFFFF"/>
        </w:rPr>
        <w:t>第2款　罰款及賠償收入</w:t>
      </w:r>
    </w:p>
    <w:p w14:paraId="2B5CF5FE"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57</w:t>
      </w:r>
      <w:r w:rsidRPr="00D65AED">
        <w:rPr>
          <w:shd w:val="clear" w:color="auto" w:fill="FFFFFF"/>
        </w:rPr>
        <w:t>項　考</w:t>
      </w:r>
      <w:r w:rsidRPr="00D65AED">
        <w:rPr>
          <w:rFonts w:hint="eastAsia"/>
          <w:shd w:val="clear" w:color="auto" w:fill="FFFFFF"/>
        </w:rPr>
        <w:t>試院</w:t>
      </w:r>
      <w:r w:rsidRPr="00D65AED">
        <w:rPr>
          <w:shd w:val="clear" w:color="auto" w:fill="FFFFFF"/>
        </w:rPr>
        <w:t>，無列數。</w:t>
      </w:r>
    </w:p>
    <w:p w14:paraId="2855E652"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58</w:t>
      </w:r>
      <w:r w:rsidRPr="00D65AED">
        <w:rPr>
          <w:shd w:val="clear" w:color="auto" w:fill="FFFFFF"/>
        </w:rPr>
        <w:t>項　銓敘部，無列數。</w:t>
      </w:r>
    </w:p>
    <w:p w14:paraId="0271917D"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5</w:t>
      </w:r>
      <w:r w:rsidRPr="00D65AED">
        <w:rPr>
          <w:shd w:val="clear" w:color="auto" w:fill="FFFFFF"/>
        </w:rPr>
        <w:t>9</w:t>
      </w:r>
      <w:r w:rsidRPr="00D65AED">
        <w:rPr>
          <w:rFonts w:hint="eastAsia"/>
          <w:shd w:val="clear" w:color="auto" w:fill="FFFFFF"/>
        </w:rPr>
        <w:t>項</w:t>
      </w:r>
      <w:r w:rsidRPr="00D65AED">
        <w:rPr>
          <w:shd w:val="clear" w:color="auto" w:fill="FFFFFF"/>
        </w:rPr>
        <w:t xml:space="preserve">　</w:t>
      </w:r>
      <w:r w:rsidRPr="00D65AED">
        <w:rPr>
          <w:rFonts w:cs="標楷體" w:hint="eastAsia"/>
        </w:rPr>
        <w:t>公務人員保障暨培訓委員會</w:t>
      </w:r>
      <w:r w:rsidRPr="00D65AED">
        <w:rPr>
          <w:shd w:val="clear" w:color="auto" w:fill="FFFFFF"/>
        </w:rPr>
        <w:t>，無列數。</w:t>
      </w:r>
    </w:p>
    <w:p w14:paraId="59E716A4"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第60項　國家文官學院及所屬，</w:t>
      </w:r>
      <w:r w:rsidRPr="00D65AED">
        <w:rPr>
          <w:rFonts w:hint="eastAsia"/>
          <w:shd w:val="clear" w:color="auto" w:fill="FFFFFF"/>
        </w:rPr>
        <w:t>無列數。</w:t>
      </w:r>
    </w:p>
    <w:p w14:paraId="115C6E32" w14:textId="77777777" w:rsidR="00421BB5" w:rsidRPr="00D65AED" w:rsidRDefault="00421BB5" w:rsidP="00421BB5">
      <w:pPr>
        <w:pStyle w:val="3-1"/>
        <w:spacing w:line="440" w:lineRule="exact"/>
        <w:ind w:left="1600" w:hanging="1120"/>
        <w:rPr>
          <w:shd w:val="clear" w:color="auto" w:fill="FFFFFF"/>
        </w:rPr>
      </w:pPr>
      <w:r w:rsidRPr="00D65AED">
        <w:rPr>
          <w:rFonts w:hint="eastAsia"/>
          <w:shd w:val="clear" w:color="auto" w:fill="FFFFFF"/>
        </w:rPr>
        <w:t>第</w:t>
      </w:r>
      <w:r w:rsidRPr="00D65AED">
        <w:rPr>
          <w:shd w:val="clear" w:color="auto" w:fill="FFFFFF"/>
        </w:rPr>
        <w:t>61</w:t>
      </w:r>
      <w:r w:rsidRPr="00D65AED">
        <w:rPr>
          <w:rFonts w:hint="eastAsia"/>
          <w:shd w:val="clear" w:color="auto" w:fill="FFFFFF"/>
        </w:rPr>
        <w:t>項　公務人員退休撫卹基金管理委員會，無列數。</w:t>
      </w:r>
    </w:p>
    <w:p w14:paraId="21FC2BC3" w14:textId="77777777" w:rsidR="00421BB5" w:rsidRPr="00D65AED" w:rsidRDefault="00421BB5" w:rsidP="00421BB5">
      <w:pPr>
        <w:pStyle w:val="3-"/>
        <w:spacing w:line="440" w:lineRule="exact"/>
        <w:ind w:left="800" w:hanging="560"/>
        <w:rPr>
          <w:shd w:val="clear" w:color="auto" w:fill="FFFFFF"/>
        </w:rPr>
      </w:pPr>
      <w:r w:rsidRPr="00D65AED">
        <w:rPr>
          <w:shd w:val="clear" w:color="auto" w:fill="FFFFFF"/>
        </w:rPr>
        <w:t>第3款　規費收入</w:t>
      </w:r>
    </w:p>
    <w:p w14:paraId="6227A923"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52</w:t>
      </w:r>
      <w:r w:rsidRPr="00D65AED">
        <w:rPr>
          <w:shd w:val="clear" w:color="auto" w:fill="FFFFFF"/>
        </w:rPr>
        <w:t>項　考試院</w:t>
      </w:r>
      <w:r w:rsidRPr="00D65AED">
        <w:rPr>
          <w:rFonts w:hint="eastAsia"/>
          <w:shd w:val="clear" w:color="auto" w:fill="FFFFFF"/>
        </w:rPr>
        <w:t>1,095萬元</w:t>
      </w:r>
      <w:r w:rsidRPr="00D65AED">
        <w:rPr>
          <w:shd w:val="clear" w:color="auto" w:fill="FFFFFF"/>
        </w:rPr>
        <w:t>，照列。</w:t>
      </w:r>
    </w:p>
    <w:p w14:paraId="269080A1"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本項通過決議2項：</w:t>
      </w:r>
    </w:p>
    <w:p w14:paraId="10A35CF5" w14:textId="77777777" w:rsidR="00421BB5" w:rsidRPr="00D65AED" w:rsidRDefault="00421BB5" w:rsidP="00421BB5">
      <w:pPr>
        <w:pStyle w:val="0-"/>
        <w:spacing w:line="440" w:lineRule="exact"/>
      </w:pPr>
      <w:r w:rsidRPr="00D65AED">
        <w:rPr>
          <w:rFonts w:hint="eastAsia"/>
        </w:rPr>
        <w:t>(一</w:t>
      </w:r>
      <w:r w:rsidRPr="00D65AED">
        <w:t>)112</w:t>
      </w:r>
      <w:r w:rsidRPr="00D65AED">
        <w:rPr>
          <w:rFonts w:hint="eastAsia"/>
        </w:rPr>
        <w:t>年度考試院歲入「行政規費收入」項下「證照費」編列1</w:t>
      </w:r>
      <w:r w:rsidRPr="00D65AED">
        <w:t>,095</w:t>
      </w:r>
      <w:r w:rsidRPr="00D65AED">
        <w:rPr>
          <w:rFonts w:hint="eastAsia"/>
        </w:rPr>
        <w:t>萬元，較1</w:t>
      </w:r>
      <w:r w:rsidRPr="00D65AED">
        <w:t>11</w:t>
      </w:r>
      <w:r w:rsidRPr="00D65AED">
        <w:rPr>
          <w:rFonts w:hint="eastAsia"/>
        </w:rPr>
        <w:t>年度預算2</w:t>
      </w:r>
      <w:r w:rsidRPr="00D65AED">
        <w:t>,532</w:t>
      </w:r>
      <w:r w:rsidRPr="00D65AED">
        <w:rPr>
          <w:rFonts w:hint="eastAsia"/>
        </w:rPr>
        <w:t>萬</w:t>
      </w:r>
      <w:r w:rsidRPr="00D65AED">
        <w:t>5</w:t>
      </w:r>
      <w:r w:rsidRPr="00D65AED">
        <w:rPr>
          <w:rFonts w:hint="eastAsia"/>
        </w:rPr>
        <w:t>千元減少1</w:t>
      </w:r>
      <w:r w:rsidRPr="00D65AED">
        <w:t>,437</w:t>
      </w:r>
      <w:r w:rsidRPr="00D65AED">
        <w:rPr>
          <w:rFonts w:hint="eastAsia"/>
        </w:rPr>
        <w:t>萬</w:t>
      </w:r>
      <w:r w:rsidRPr="00D65AED">
        <w:t>5</w:t>
      </w:r>
      <w:r w:rsidRPr="00D65AED">
        <w:rPr>
          <w:rFonts w:hint="eastAsia"/>
        </w:rPr>
        <w:t>千元，減幅5</w:t>
      </w:r>
      <w:r w:rsidRPr="00D65AED">
        <w:t>6.76%</w:t>
      </w:r>
      <w:r w:rsidRPr="00D65AED">
        <w:rPr>
          <w:rFonts w:hint="eastAsia"/>
        </w:rPr>
        <w:t>；主要與考試院推動證書數位化，推動期間電子證書免收費有關。考試院核發國家考試證照數量，近年也有大幅減少的跡象，從1</w:t>
      </w:r>
      <w:r w:rsidRPr="00D65AED">
        <w:t>09</w:t>
      </w:r>
      <w:r w:rsidRPr="00D65AED">
        <w:rPr>
          <w:rFonts w:hint="eastAsia"/>
        </w:rPr>
        <w:t>年的5萬</w:t>
      </w:r>
      <w:r w:rsidRPr="00D65AED">
        <w:t>2,689</w:t>
      </w:r>
      <w:r w:rsidRPr="00D65AED">
        <w:rPr>
          <w:rFonts w:hint="eastAsia"/>
        </w:rPr>
        <w:t>張減少到1</w:t>
      </w:r>
      <w:r w:rsidRPr="00D65AED">
        <w:t>10</w:t>
      </w:r>
      <w:r w:rsidRPr="00D65AED">
        <w:rPr>
          <w:rFonts w:hint="eastAsia"/>
        </w:rPr>
        <w:t>年的4萬</w:t>
      </w:r>
      <w:r w:rsidRPr="00D65AED">
        <w:lastRenderedPageBreak/>
        <w:t>3,601</w:t>
      </w:r>
      <w:r w:rsidRPr="00D65AED">
        <w:rPr>
          <w:rFonts w:hint="eastAsia"/>
        </w:rPr>
        <w:t>張，而1</w:t>
      </w:r>
      <w:r w:rsidRPr="00D65AED">
        <w:t>10</w:t>
      </w:r>
      <w:r w:rsidRPr="00D65AED">
        <w:rPr>
          <w:rFonts w:hint="eastAsia"/>
        </w:rPr>
        <w:t>年的決算數為</w:t>
      </w:r>
      <w:r w:rsidRPr="00D65AED">
        <w:t>2,143</w:t>
      </w:r>
      <w:r w:rsidRPr="00D65AED">
        <w:rPr>
          <w:rFonts w:hint="eastAsia"/>
        </w:rPr>
        <w:t>萬</w:t>
      </w:r>
      <w:r w:rsidRPr="00D65AED">
        <w:t>4</w:t>
      </w:r>
      <w:r w:rsidRPr="00D65AED">
        <w:rPr>
          <w:rFonts w:hint="eastAsia"/>
        </w:rPr>
        <w:t>千元。鑑於維持國家選才效能之需要，考試院應注意核發國家考試證照數量的增減情形，及推動電子證書的簡政便民措施。</w:t>
      </w:r>
    </w:p>
    <w:p w14:paraId="6631ECE2" w14:textId="77777777" w:rsidR="00421BB5" w:rsidRPr="00D65AED" w:rsidRDefault="00421BB5" w:rsidP="00421BB5">
      <w:pPr>
        <w:pStyle w:val="2-1"/>
        <w:spacing w:line="440" w:lineRule="exact"/>
      </w:pPr>
      <w:r w:rsidRPr="00D65AED">
        <w:rPr>
          <w:rFonts w:hint="eastAsia"/>
        </w:rPr>
        <w:t>提案人：陳以信</w:t>
      </w:r>
    </w:p>
    <w:p w14:paraId="245977B0" w14:textId="77777777" w:rsidR="00421BB5" w:rsidRPr="00D65AED" w:rsidRDefault="00421BB5" w:rsidP="00421BB5">
      <w:pPr>
        <w:pStyle w:val="2-1"/>
        <w:spacing w:line="440" w:lineRule="exact"/>
      </w:pPr>
      <w:r w:rsidRPr="00D65AED">
        <w:rPr>
          <w:rFonts w:hint="eastAsia"/>
        </w:rPr>
        <w:t>連署人：游毓蘭 曾銘宗 陳玉珍</w:t>
      </w:r>
    </w:p>
    <w:p w14:paraId="17516FC2" w14:textId="77777777" w:rsidR="00421BB5" w:rsidRPr="00D65AED" w:rsidRDefault="00421BB5" w:rsidP="00421BB5">
      <w:pPr>
        <w:pStyle w:val="0-"/>
        <w:spacing w:line="440" w:lineRule="exact"/>
      </w:pPr>
      <w:r w:rsidRPr="00D65AED">
        <w:rPr>
          <w:rFonts w:hint="eastAsia"/>
        </w:rPr>
        <w:t>(二</w:t>
      </w:r>
      <w:r w:rsidRPr="00D65AED">
        <w:t>)</w:t>
      </w:r>
      <w:r w:rsidRPr="00D65AED">
        <w:rPr>
          <w:rFonts w:hint="eastAsia"/>
        </w:rPr>
        <w:t>考試院之證照費收入，108年決算數為2</w:t>
      </w:r>
      <w:r w:rsidRPr="00D65AED">
        <w:t>,</w:t>
      </w:r>
      <w:r w:rsidRPr="00D65AED">
        <w:rPr>
          <w:rFonts w:hint="eastAsia"/>
        </w:rPr>
        <w:t>756萬1千元、109年2</w:t>
      </w:r>
      <w:r w:rsidRPr="00D65AED">
        <w:t>,</w:t>
      </w:r>
      <w:r w:rsidRPr="00D65AED">
        <w:rPr>
          <w:rFonts w:hint="eastAsia"/>
        </w:rPr>
        <w:t>499萬元、110年2</w:t>
      </w:r>
      <w:r w:rsidRPr="00D65AED">
        <w:t>,</w:t>
      </w:r>
      <w:r w:rsidRPr="00D65AED">
        <w:rPr>
          <w:rFonts w:hint="eastAsia"/>
        </w:rPr>
        <w:t>143萬4千元，雖然呈現遞減趨勢，但112年僅編列1</w:t>
      </w:r>
      <w:r w:rsidRPr="00D65AED">
        <w:t>,</w:t>
      </w:r>
      <w:r w:rsidRPr="00D65AED">
        <w:rPr>
          <w:rFonts w:hint="eastAsia"/>
        </w:rPr>
        <w:t>095萬元，過於保守，考試院應注意核發國家考試證照數量的增減情形，及推動電子證書的簡政便民措施。</w:t>
      </w:r>
    </w:p>
    <w:p w14:paraId="2A3930A2" w14:textId="77777777" w:rsidR="00421BB5" w:rsidRPr="00D65AED" w:rsidRDefault="00421BB5" w:rsidP="00421BB5">
      <w:pPr>
        <w:pStyle w:val="2-1"/>
        <w:spacing w:line="440" w:lineRule="exact"/>
      </w:pPr>
      <w:r w:rsidRPr="00D65AED">
        <w:rPr>
          <w:rFonts w:hint="eastAsia"/>
        </w:rPr>
        <w:t>提案人：鄭運鵬 陳歐珀 黃世杰</w:t>
      </w:r>
    </w:p>
    <w:p w14:paraId="6F0B7171"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53</w:t>
      </w:r>
      <w:r w:rsidRPr="00D65AED">
        <w:rPr>
          <w:shd w:val="clear" w:color="auto" w:fill="FFFFFF"/>
        </w:rPr>
        <w:t>項　公務人員保障暨培訓委員會</w:t>
      </w:r>
      <w:r w:rsidRPr="00D65AED">
        <w:rPr>
          <w:rFonts w:hint="eastAsia"/>
          <w:shd w:val="clear" w:color="auto" w:fill="FFFFFF"/>
        </w:rPr>
        <w:t>8千元，照列。</w:t>
      </w:r>
    </w:p>
    <w:p w14:paraId="250BFDE7" w14:textId="77777777" w:rsidR="00421BB5" w:rsidRPr="00D65AED" w:rsidRDefault="00421BB5" w:rsidP="00421BB5">
      <w:pPr>
        <w:pStyle w:val="3-"/>
        <w:spacing w:line="440" w:lineRule="exact"/>
        <w:ind w:left="800" w:hanging="560"/>
        <w:rPr>
          <w:shd w:val="clear" w:color="auto" w:fill="FFFFFF"/>
        </w:rPr>
      </w:pPr>
      <w:r w:rsidRPr="00D65AED">
        <w:rPr>
          <w:shd w:val="clear" w:color="auto" w:fill="FFFFFF"/>
        </w:rPr>
        <w:t>第4款　財產收入</w:t>
      </w:r>
    </w:p>
    <w:p w14:paraId="58185884"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第6</w:t>
      </w:r>
      <w:r w:rsidRPr="00D65AED">
        <w:rPr>
          <w:rFonts w:hint="eastAsia"/>
          <w:shd w:val="clear" w:color="auto" w:fill="FFFFFF"/>
        </w:rPr>
        <w:t>1</w:t>
      </w:r>
      <w:r w:rsidRPr="00D65AED">
        <w:rPr>
          <w:shd w:val="clear" w:color="auto" w:fill="FFFFFF"/>
        </w:rPr>
        <w:t>項　考試院5萬元，照列。</w:t>
      </w:r>
    </w:p>
    <w:p w14:paraId="39089260"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第6</w:t>
      </w:r>
      <w:r w:rsidRPr="00D65AED">
        <w:rPr>
          <w:rFonts w:hint="eastAsia"/>
          <w:shd w:val="clear" w:color="auto" w:fill="FFFFFF"/>
        </w:rPr>
        <w:t>2</w:t>
      </w:r>
      <w:r w:rsidRPr="00D65AED">
        <w:rPr>
          <w:shd w:val="clear" w:color="auto" w:fill="FFFFFF"/>
        </w:rPr>
        <w:t>項　考選部</w:t>
      </w:r>
      <w:r w:rsidRPr="00D65AED">
        <w:rPr>
          <w:rFonts w:hint="eastAsia"/>
          <w:shd w:val="clear" w:color="auto" w:fill="FFFFFF"/>
        </w:rPr>
        <w:t>6</w:t>
      </w:r>
      <w:r w:rsidRPr="00D65AED">
        <w:rPr>
          <w:shd w:val="clear" w:color="auto" w:fill="FFFFFF"/>
        </w:rPr>
        <w:t>萬元，照列</w:t>
      </w:r>
      <w:r w:rsidRPr="00D65AED">
        <w:rPr>
          <w:rFonts w:hint="eastAsia"/>
          <w:shd w:val="clear" w:color="auto" w:fill="FFFFFF"/>
        </w:rPr>
        <w:t>。</w:t>
      </w:r>
    </w:p>
    <w:p w14:paraId="18E43F39"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第6</w:t>
      </w:r>
      <w:r w:rsidRPr="00D65AED">
        <w:rPr>
          <w:rFonts w:hint="eastAsia"/>
          <w:shd w:val="clear" w:color="auto" w:fill="FFFFFF"/>
        </w:rPr>
        <w:t>3</w:t>
      </w:r>
      <w:r w:rsidRPr="00D65AED">
        <w:rPr>
          <w:shd w:val="clear" w:color="auto" w:fill="FFFFFF"/>
        </w:rPr>
        <w:t>項　銓敘部</w:t>
      </w:r>
      <w:r w:rsidRPr="00D65AED">
        <w:rPr>
          <w:rFonts w:hint="eastAsia"/>
          <w:shd w:val="clear" w:color="auto" w:fill="FFFFFF"/>
        </w:rPr>
        <w:t>7萬4千元</w:t>
      </w:r>
      <w:r w:rsidRPr="00D65AED">
        <w:rPr>
          <w:shd w:val="clear" w:color="auto" w:fill="FFFFFF"/>
        </w:rPr>
        <w:t>，照列。</w:t>
      </w:r>
    </w:p>
    <w:p w14:paraId="075A3917"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第6</w:t>
      </w:r>
      <w:r w:rsidRPr="00D65AED">
        <w:rPr>
          <w:rFonts w:hint="eastAsia"/>
          <w:shd w:val="clear" w:color="auto" w:fill="FFFFFF"/>
        </w:rPr>
        <w:t>4</w:t>
      </w:r>
      <w:r w:rsidRPr="00D65AED">
        <w:rPr>
          <w:shd w:val="clear" w:color="auto" w:fill="FFFFFF"/>
        </w:rPr>
        <w:t>項　公務人員保障暨培訓委員會</w:t>
      </w:r>
      <w:r w:rsidRPr="00D65AED">
        <w:rPr>
          <w:rFonts w:hint="eastAsia"/>
          <w:shd w:val="clear" w:color="auto" w:fill="FFFFFF"/>
        </w:rPr>
        <w:t>1千元</w:t>
      </w:r>
      <w:r w:rsidRPr="00D65AED">
        <w:rPr>
          <w:shd w:val="clear" w:color="auto" w:fill="FFFFFF"/>
        </w:rPr>
        <w:t>，照列。</w:t>
      </w:r>
    </w:p>
    <w:p w14:paraId="2B4CD07E"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第6</w:t>
      </w:r>
      <w:r w:rsidRPr="00D65AED">
        <w:rPr>
          <w:rFonts w:hint="eastAsia"/>
          <w:shd w:val="clear" w:color="auto" w:fill="FFFFFF"/>
        </w:rPr>
        <w:t>5</w:t>
      </w:r>
      <w:r w:rsidRPr="00D65AED">
        <w:rPr>
          <w:shd w:val="clear" w:color="auto" w:fill="FFFFFF"/>
        </w:rPr>
        <w:t>項　國家文官學院及所屬</w:t>
      </w:r>
      <w:r w:rsidRPr="00D65AED">
        <w:rPr>
          <w:rFonts w:hint="eastAsia"/>
          <w:shd w:val="clear" w:color="auto" w:fill="FFFFFF"/>
        </w:rPr>
        <w:t>650萬4千元</w:t>
      </w:r>
      <w:r w:rsidRPr="00D65AED">
        <w:rPr>
          <w:shd w:val="clear" w:color="auto" w:fill="FFFFFF"/>
        </w:rPr>
        <w:t>，照列。</w:t>
      </w:r>
    </w:p>
    <w:p w14:paraId="3CE740E6"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66</w:t>
      </w:r>
      <w:r w:rsidRPr="00D65AED">
        <w:rPr>
          <w:shd w:val="clear" w:color="auto" w:fill="FFFFFF"/>
        </w:rPr>
        <w:t xml:space="preserve">項　</w:t>
      </w:r>
      <w:r w:rsidRPr="00D65AED">
        <w:rPr>
          <w:rFonts w:hint="eastAsia"/>
          <w:shd w:val="clear" w:color="auto" w:fill="FFFFFF"/>
        </w:rPr>
        <w:t>公務人員退休撫卹基金監理委員會，無列數</w:t>
      </w:r>
      <w:r w:rsidRPr="00D65AED">
        <w:rPr>
          <w:shd w:val="clear" w:color="auto" w:fill="FFFFFF"/>
        </w:rPr>
        <w:t>。</w:t>
      </w:r>
    </w:p>
    <w:p w14:paraId="0EB18A34"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67</w:t>
      </w:r>
      <w:r w:rsidRPr="00D65AED">
        <w:rPr>
          <w:shd w:val="clear" w:color="auto" w:fill="FFFFFF"/>
        </w:rPr>
        <w:t>項　公務人員退休撫卹基金管理委員會，無列數。</w:t>
      </w:r>
    </w:p>
    <w:p w14:paraId="4C0FADC7" w14:textId="77777777" w:rsidR="00421BB5" w:rsidRPr="00D65AED" w:rsidRDefault="00421BB5" w:rsidP="00421BB5">
      <w:pPr>
        <w:pStyle w:val="3-"/>
        <w:spacing w:line="440" w:lineRule="exact"/>
        <w:ind w:left="800" w:hanging="560"/>
        <w:rPr>
          <w:shd w:val="clear" w:color="auto" w:fill="FFFFFF"/>
        </w:rPr>
      </w:pPr>
      <w:r w:rsidRPr="00D65AED">
        <w:rPr>
          <w:shd w:val="clear" w:color="auto" w:fill="FFFFFF"/>
        </w:rPr>
        <w:t>第7款　其他收入</w:t>
      </w:r>
    </w:p>
    <w:p w14:paraId="108A90AD"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61</w:t>
      </w:r>
      <w:r w:rsidRPr="00D65AED">
        <w:rPr>
          <w:shd w:val="clear" w:color="auto" w:fill="FFFFFF"/>
        </w:rPr>
        <w:t>項　考試院</w:t>
      </w:r>
      <w:r w:rsidRPr="00D65AED">
        <w:rPr>
          <w:rFonts w:hint="eastAsia"/>
          <w:shd w:val="clear" w:color="auto" w:fill="FFFFFF"/>
        </w:rPr>
        <w:t>20萬2千元</w:t>
      </w:r>
      <w:r w:rsidRPr="00D65AED">
        <w:rPr>
          <w:shd w:val="clear" w:color="auto" w:fill="FFFFFF"/>
        </w:rPr>
        <w:t>，照列。</w:t>
      </w:r>
    </w:p>
    <w:p w14:paraId="2EDCE71C" w14:textId="77777777" w:rsidR="00421BB5" w:rsidRPr="00D65AED" w:rsidRDefault="00421BB5" w:rsidP="00421BB5">
      <w:pPr>
        <w:pStyle w:val="3-1"/>
        <w:spacing w:line="440" w:lineRule="exact"/>
        <w:ind w:left="1796" w:hangingChars="470" w:hanging="1316"/>
        <w:rPr>
          <w:shd w:val="clear" w:color="auto" w:fill="FFFFFF"/>
        </w:rPr>
      </w:pPr>
      <w:r w:rsidRPr="00D65AED">
        <w:rPr>
          <w:shd w:val="clear" w:color="auto" w:fill="FFFFFF"/>
        </w:rPr>
        <w:t>第</w:t>
      </w:r>
      <w:r w:rsidRPr="00D65AED">
        <w:rPr>
          <w:rFonts w:hint="eastAsia"/>
          <w:shd w:val="clear" w:color="auto" w:fill="FFFFFF"/>
        </w:rPr>
        <w:t>62</w:t>
      </w:r>
      <w:r w:rsidRPr="00D65AED">
        <w:rPr>
          <w:shd w:val="clear" w:color="auto" w:fill="FFFFFF"/>
        </w:rPr>
        <w:t>項　考選部</w:t>
      </w:r>
      <w:r w:rsidRPr="00D65AED">
        <w:rPr>
          <w:rFonts w:hint="eastAsia"/>
          <w:shd w:val="clear" w:color="auto" w:fill="FFFFFF"/>
        </w:rPr>
        <w:t>原列420萬元</w:t>
      </w:r>
      <w:r w:rsidRPr="00D65AED">
        <w:rPr>
          <w:shd w:val="clear" w:color="auto" w:fill="FFFFFF"/>
        </w:rPr>
        <w:t>，</w:t>
      </w:r>
      <w:r w:rsidRPr="00D65AED">
        <w:rPr>
          <w:rFonts w:hint="eastAsia"/>
          <w:shd w:val="clear" w:color="auto" w:fill="FFFFFF"/>
        </w:rPr>
        <w:t>增列第1目「雜項收入」第</w:t>
      </w:r>
      <w:r w:rsidRPr="00D65AED">
        <w:rPr>
          <w:shd w:val="clear" w:color="auto" w:fill="FFFFFF"/>
        </w:rPr>
        <w:t>2</w:t>
      </w:r>
      <w:r w:rsidRPr="00D65AED">
        <w:rPr>
          <w:rFonts w:hint="eastAsia"/>
          <w:shd w:val="clear" w:color="auto" w:fill="FFFFFF"/>
        </w:rPr>
        <w:t>節「其他雜項收入」100萬元，其餘均照列，改列為52</w:t>
      </w:r>
      <w:r w:rsidRPr="00D65AED">
        <w:rPr>
          <w:shd w:val="clear" w:color="auto" w:fill="FFFFFF"/>
        </w:rPr>
        <w:t>0</w:t>
      </w:r>
      <w:r w:rsidRPr="00D65AED">
        <w:rPr>
          <w:rFonts w:hint="eastAsia"/>
          <w:shd w:val="clear" w:color="auto" w:fill="FFFFFF"/>
        </w:rPr>
        <w:t>萬元</w:t>
      </w:r>
      <w:r w:rsidRPr="00D65AED">
        <w:rPr>
          <w:shd w:val="clear" w:color="auto" w:fill="FFFFFF"/>
        </w:rPr>
        <w:t>。</w:t>
      </w:r>
    </w:p>
    <w:p w14:paraId="6B9AE1BB" w14:textId="77777777" w:rsidR="00421BB5" w:rsidRPr="00D65AED" w:rsidRDefault="00421BB5" w:rsidP="00421BB5">
      <w:pPr>
        <w:pStyle w:val="3-1"/>
        <w:spacing w:line="440" w:lineRule="exact"/>
        <w:ind w:leftChars="198" w:left="1749" w:hangingChars="455" w:hanging="1274"/>
        <w:rPr>
          <w:shd w:val="clear" w:color="auto" w:fill="FFFFFF"/>
        </w:rPr>
      </w:pPr>
      <w:r w:rsidRPr="00D65AED">
        <w:rPr>
          <w:shd w:val="clear" w:color="auto" w:fill="FFFFFF"/>
        </w:rPr>
        <w:t>第</w:t>
      </w:r>
      <w:r w:rsidRPr="00D65AED">
        <w:rPr>
          <w:rFonts w:hint="eastAsia"/>
          <w:shd w:val="clear" w:color="auto" w:fill="FFFFFF"/>
        </w:rPr>
        <w:t>63</w:t>
      </w:r>
      <w:r w:rsidRPr="00D65AED">
        <w:rPr>
          <w:shd w:val="clear" w:color="auto" w:fill="FFFFFF"/>
        </w:rPr>
        <w:t>項　銓敘部</w:t>
      </w:r>
      <w:r w:rsidRPr="00D65AED">
        <w:rPr>
          <w:rFonts w:hint="eastAsia"/>
          <w:shd w:val="clear" w:color="auto" w:fill="FFFFFF"/>
        </w:rPr>
        <w:t>3萬6千元</w:t>
      </w:r>
      <w:r w:rsidRPr="00D65AED">
        <w:rPr>
          <w:shd w:val="clear" w:color="auto" w:fill="FFFFFF"/>
        </w:rPr>
        <w:t>，照列。</w:t>
      </w:r>
    </w:p>
    <w:p w14:paraId="2FD2A47E"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64</w:t>
      </w:r>
      <w:r w:rsidRPr="00D65AED">
        <w:rPr>
          <w:shd w:val="clear" w:color="auto" w:fill="FFFFFF"/>
        </w:rPr>
        <w:t>項　公務人員保障暨培訓委員會</w:t>
      </w:r>
      <w:r w:rsidRPr="00D65AED">
        <w:rPr>
          <w:rFonts w:hint="eastAsia"/>
          <w:shd w:val="clear" w:color="auto" w:fill="FFFFFF"/>
        </w:rPr>
        <w:t>2萬6千元</w:t>
      </w:r>
      <w:r w:rsidRPr="00D65AED">
        <w:rPr>
          <w:shd w:val="clear" w:color="auto" w:fill="FFFFFF"/>
        </w:rPr>
        <w:t>，照列。</w:t>
      </w:r>
    </w:p>
    <w:p w14:paraId="3EFD3C6E"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65</w:t>
      </w:r>
      <w:r w:rsidRPr="00D65AED">
        <w:rPr>
          <w:shd w:val="clear" w:color="auto" w:fill="FFFFFF"/>
        </w:rPr>
        <w:t>項　國家文官學院及所屬</w:t>
      </w:r>
      <w:r w:rsidRPr="00D65AED">
        <w:rPr>
          <w:rFonts w:hint="eastAsia"/>
          <w:shd w:val="clear" w:color="auto" w:fill="FFFFFF"/>
        </w:rPr>
        <w:t>62萬3</w:t>
      </w:r>
      <w:r w:rsidRPr="00D65AED">
        <w:rPr>
          <w:rFonts w:cs="標楷體" w:hint="eastAsia"/>
          <w:shd w:val="clear" w:color="auto" w:fill="FFFFFF"/>
        </w:rPr>
        <w:t>千元</w:t>
      </w:r>
      <w:r w:rsidRPr="00D65AED">
        <w:rPr>
          <w:shd w:val="clear" w:color="auto" w:fill="FFFFFF"/>
        </w:rPr>
        <w:t>，照列。</w:t>
      </w:r>
    </w:p>
    <w:p w14:paraId="14042CD1"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w:t>
      </w:r>
      <w:r w:rsidRPr="00D65AED">
        <w:rPr>
          <w:rFonts w:hint="eastAsia"/>
          <w:shd w:val="clear" w:color="auto" w:fill="FFFFFF"/>
        </w:rPr>
        <w:t>66</w:t>
      </w:r>
      <w:r w:rsidRPr="00D65AED">
        <w:rPr>
          <w:shd w:val="clear" w:color="auto" w:fill="FFFFFF"/>
        </w:rPr>
        <w:t xml:space="preserve">項　</w:t>
      </w:r>
      <w:r w:rsidRPr="00D65AED">
        <w:rPr>
          <w:rFonts w:hint="eastAsia"/>
          <w:shd w:val="clear" w:color="auto" w:fill="FFFFFF"/>
        </w:rPr>
        <w:t>公務人員退休撫卹基金管理委員會</w:t>
      </w:r>
      <w:r w:rsidRPr="00D65AED">
        <w:rPr>
          <w:shd w:val="clear" w:color="auto" w:fill="FFFFFF"/>
        </w:rPr>
        <w:t>，</w:t>
      </w:r>
      <w:r w:rsidRPr="00D65AED">
        <w:rPr>
          <w:rFonts w:hint="eastAsia"/>
          <w:shd w:val="clear" w:color="auto" w:fill="FFFFFF"/>
        </w:rPr>
        <w:t>無列數</w:t>
      </w:r>
      <w:r w:rsidRPr="00D65AED">
        <w:rPr>
          <w:shd w:val="clear" w:color="auto" w:fill="FFFFFF"/>
        </w:rPr>
        <w:t>。</w:t>
      </w:r>
    </w:p>
    <w:p w14:paraId="7F381421" w14:textId="77777777" w:rsidR="00421BB5" w:rsidRPr="00D65AED" w:rsidRDefault="00421BB5" w:rsidP="00421BB5">
      <w:pPr>
        <w:spacing w:line="440" w:lineRule="exact"/>
        <w:contextualSpacing/>
        <w:jc w:val="both"/>
        <w:rPr>
          <w:rFonts w:ascii="標楷體" w:eastAsia="標楷體" w:hAnsi="標楷體"/>
          <w:b/>
          <w:sz w:val="28"/>
          <w:szCs w:val="28"/>
          <w:shd w:val="clear" w:color="auto" w:fill="FFFFFF"/>
        </w:rPr>
      </w:pPr>
      <w:r w:rsidRPr="00D65AED">
        <w:rPr>
          <w:rFonts w:ascii="標楷體" w:eastAsia="標楷體" w:hAnsi="標楷體" w:hint="eastAsia"/>
          <w:b/>
          <w:sz w:val="28"/>
          <w:szCs w:val="28"/>
          <w:shd w:val="clear" w:color="auto" w:fill="FFFFFF"/>
        </w:rPr>
        <w:t>(二)</w:t>
      </w:r>
      <w:r w:rsidRPr="00D65AED">
        <w:rPr>
          <w:rFonts w:ascii="標楷體" w:eastAsia="標楷體" w:hAnsi="標楷體"/>
          <w:b/>
          <w:sz w:val="28"/>
          <w:szCs w:val="28"/>
          <w:shd w:val="clear" w:color="auto" w:fill="FFFFFF"/>
        </w:rPr>
        <w:t>歲出部分</w:t>
      </w:r>
    </w:p>
    <w:p w14:paraId="25693DC3" w14:textId="77777777" w:rsidR="00421BB5" w:rsidRPr="00D65AED" w:rsidRDefault="00421BB5" w:rsidP="00421BB5">
      <w:pPr>
        <w:pStyle w:val="3-1"/>
        <w:kinsoku w:val="0"/>
        <w:overflowPunct w:val="0"/>
        <w:spacing w:line="440" w:lineRule="exact"/>
        <w:ind w:leftChars="117" w:left="1600" w:hangingChars="471" w:hanging="1319"/>
        <w:rPr>
          <w:shd w:val="clear" w:color="auto" w:fill="FFFFFF"/>
        </w:rPr>
      </w:pPr>
      <w:r w:rsidRPr="00D65AED">
        <w:rPr>
          <w:shd w:val="clear" w:color="auto" w:fill="FFFFFF"/>
        </w:rPr>
        <w:t>第5款　考試院主管</w:t>
      </w:r>
    </w:p>
    <w:p w14:paraId="51731A69" w14:textId="77777777" w:rsidR="00421BB5" w:rsidRPr="00D65AED" w:rsidRDefault="00421BB5" w:rsidP="00421BB5">
      <w:pPr>
        <w:pStyle w:val="3-1"/>
        <w:kinsoku w:val="0"/>
        <w:overflowPunct w:val="0"/>
        <w:spacing w:line="440" w:lineRule="exact"/>
        <w:ind w:left="1880" w:hangingChars="500" w:hanging="1400"/>
        <w:rPr>
          <w:spacing w:val="-2"/>
          <w:shd w:val="clear" w:color="auto" w:fill="FFFFFF"/>
        </w:rPr>
      </w:pPr>
      <w:r w:rsidRPr="00D65AED">
        <w:rPr>
          <w:rFonts w:hint="eastAsia"/>
          <w:color w:val="000000"/>
          <w:shd w:val="clear" w:color="auto" w:fill="FFFFFF"/>
        </w:rPr>
        <w:t xml:space="preserve">  </w:t>
      </w:r>
      <w:r w:rsidRPr="00D65AED">
        <w:rPr>
          <w:color w:val="000000"/>
          <w:shd w:val="clear" w:color="auto" w:fill="FFFFFF"/>
        </w:rPr>
        <w:t xml:space="preserve">第1項　</w:t>
      </w:r>
      <w:r w:rsidRPr="00D65AED">
        <w:rPr>
          <w:color w:val="000000"/>
          <w:spacing w:val="-2"/>
          <w:shd w:val="clear" w:color="auto" w:fill="FFFFFF"/>
        </w:rPr>
        <w:t>考試院</w:t>
      </w:r>
      <w:r w:rsidRPr="00D65AED">
        <w:rPr>
          <w:rFonts w:hint="eastAsia"/>
          <w:color w:val="000000"/>
          <w:spacing w:val="-2"/>
          <w:shd w:val="clear" w:color="auto" w:fill="FFFFFF"/>
        </w:rPr>
        <w:t>3億4,107萬9千元</w:t>
      </w:r>
      <w:r w:rsidRPr="00D65AED">
        <w:rPr>
          <w:color w:val="000000"/>
          <w:spacing w:val="-2"/>
          <w:shd w:val="clear" w:color="auto" w:fill="FFFFFF"/>
        </w:rPr>
        <w:t>，</w:t>
      </w:r>
      <w:r w:rsidRPr="00D65AED">
        <w:rPr>
          <w:shd w:val="clear" w:color="auto" w:fill="FFFFFF"/>
        </w:rPr>
        <w:t>照列</w:t>
      </w:r>
      <w:r w:rsidRPr="00D65AED">
        <w:rPr>
          <w:rFonts w:hint="eastAsia"/>
          <w:spacing w:val="-2"/>
          <w:shd w:val="clear" w:color="auto" w:fill="FFFFFF"/>
        </w:rPr>
        <w:t>。</w:t>
      </w:r>
    </w:p>
    <w:p w14:paraId="47C90D4E" w14:textId="77777777" w:rsidR="00421BB5" w:rsidRPr="00D65AED" w:rsidRDefault="00421BB5" w:rsidP="00421BB5">
      <w:pPr>
        <w:adjustRightInd w:val="0"/>
        <w:snapToGrid w:val="0"/>
        <w:spacing w:line="440" w:lineRule="exact"/>
        <w:jc w:val="both"/>
        <w:rPr>
          <w:rFonts w:ascii="標楷體" w:eastAsia="標楷體" w:hAnsi="標楷體"/>
          <w:sz w:val="28"/>
          <w:szCs w:val="28"/>
          <w:shd w:val="clear" w:color="auto" w:fill="FFFFFF"/>
        </w:rPr>
      </w:pPr>
      <w:r w:rsidRPr="00D65AED">
        <w:rPr>
          <w:rFonts w:ascii="標楷體" w:eastAsia="標楷體" w:hAnsi="標楷體" w:hint="eastAsia"/>
          <w:b/>
          <w:sz w:val="28"/>
          <w:szCs w:val="28"/>
          <w:shd w:val="clear" w:color="auto" w:fill="FFFFFF"/>
        </w:rPr>
        <w:lastRenderedPageBreak/>
        <w:t xml:space="preserve">   </w:t>
      </w:r>
      <w:r w:rsidRPr="00D65AED">
        <w:rPr>
          <w:rFonts w:ascii="標楷體" w:eastAsia="標楷體" w:hAnsi="標楷體" w:hint="eastAsia"/>
          <w:sz w:val="28"/>
          <w:szCs w:val="28"/>
          <w:shd w:val="clear" w:color="auto" w:fill="FFFFFF"/>
        </w:rPr>
        <w:t>本項提案1案，保留，送院會處理：</w:t>
      </w:r>
    </w:p>
    <w:p w14:paraId="0710370A" w14:textId="77777777" w:rsidR="00421BB5" w:rsidRPr="00D65AED" w:rsidRDefault="00421BB5" w:rsidP="00421BB5">
      <w:pPr>
        <w:pStyle w:val="0-"/>
        <w:spacing w:line="440" w:lineRule="exact"/>
      </w:pPr>
      <w:r w:rsidRPr="00D65AED">
        <w:rPr>
          <w:rFonts w:hint="eastAsia"/>
        </w:rPr>
        <w:t>(一)查考試院112年度「施政業務及督導」編列新台幣8</w:t>
      </w:r>
      <w:r w:rsidRPr="00D65AED">
        <w:t>19</w:t>
      </w:r>
      <w:r w:rsidRPr="00D65AED">
        <w:rPr>
          <w:rFonts w:hint="eastAsia"/>
        </w:rPr>
        <w:t>萬8千元。其中重點計畫內容包括研擬考選制度暨督導各項考選業務執行情形。然金門等離島地區長期因應國家考試，除報名費外，還需得支付為數不小的交通費，相較於本島應考人員，花費成本更大。考試院身為督導考選部業務之督導機關，卻未見積極督促考選部擬定改善方案，爰提案凍結「施政業務及督導」1</w:t>
      </w:r>
      <w:r w:rsidRPr="00D65AED">
        <w:t>00</w:t>
      </w:r>
      <w:r w:rsidRPr="00D65AED">
        <w:rPr>
          <w:rFonts w:hint="eastAsia"/>
        </w:rPr>
        <w:t>萬元，俟考試院向立法院司法及法制委員會提出專案報告後，始得動支。</w:t>
      </w:r>
    </w:p>
    <w:p w14:paraId="141C3BF9" w14:textId="77777777" w:rsidR="00421BB5" w:rsidRPr="00D65AED" w:rsidRDefault="00421BB5" w:rsidP="00421BB5">
      <w:pPr>
        <w:spacing w:line="440" w:lineRule="exact"/>
        <w:ind w:leftChars="1400" w:left="4620" w:hangingChars="450" w:hanging="1260"/>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提案人：</w:t>
      </w:r>
      <w:r w:rsidRPr="00D65AED">
        <w:rPr>
          <w:rFonts w:ascii="標楷體" w:eastAsia="標楷體" w:hAnsi="標楷體" w:hint="eastAsia"/>
          <w:sz w:val="28"/>
          <w:szCs w:val="28"/>
          <w:shd w:val="clear" w:color="auto" w:fill="FFFFFF"/>
        </w:rPr>
        <w:t>陳玉珍</w:t>
      </w:r>
    </w:p>
    <w:p w14:paraId="1A3581EC" w14:textId="77777777" w:rsidR="00421BB5" w:rsidRPr="00D65AED" w:rsidRDefault="00421BB5" w:rsidP="00421BB5">
      <w:pPr>
        <w:spacing w:line="440" w:lineRule="exact"/>
        <w:ind w:leftChars="1400" w:left="4620" w:hangingChars="450" w:hanging="126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連署人：游毓蘭 曾銘宗 林思銘</w:t>
      </w:r>
      <w:r w:rsidRPr="00D65AED">
        <w:rPr>
          <w:rFonts w:ascii="標楷體" w:eastAsia="標楷體" w:hAnsi="標楷體"/>
          <w:sz w:val="28"/>
          <w:szCs w:val="28"/>
          <w:shd w:val="clear" w:color="auto" w:fill="FFFFFF"/>
        </w:rPr>
        <w:t xml:space="preserve"> </w:t>
      </w:r>
    </w:p>
    <w:p w14:paraId="11C5F2A2"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本項通過決議</w:t>
      </w:r>
      <w:r w:rsidRPr="00D65AED">
        <w:rPr>
          <w:rFonts w:hint="eastAsia"/>
          <w:shd w:val="clear" w:color="auto" w:fill="FFFFFF"/>
        </w:rPr>
        <w:t>12</w:t>
      </w:r>
      <w:r w:rsidRPr="00D65AED">
        <w:rPr>
          <w:shd w:val="clear" w:color="auto" w:fill="FFFFFF"/>
        </w:rPr>
        <w:t>項：</w:t>
      </w:r>
    </w:p>
    <w:p w14:paraId="71F9F7A8"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(一)</w:t>
      </w:r>
      <w:r w:rsidRPr="00D65AED">
        <w:rPr>
          <w:rFonts w:ascii="標楷體" w:eastAsia="標楷體" w:hAnsi="標楷體" w:hint="eastAsia"/>
          <w:color w:val="000000"/>
          <w:kern w:val="0"/>
          <w:sz w:val="28"/>
          <w:szCs w:val="28"/>
          <w:shd w:val="clear" w:color="auto" w:fill="FFFFFF"/>
        </w:rPr>
        <w:t>11</w:t>
      </w:r>
      <w:r w:rsidRPr="00D65AED">
        <w:rPr>
          <w:rFonts w:ascii="標楷體" w:eastAsia="標楷體" w:hAnsi="標楷體"/>
          <w:color w:val="000000"/>
          <w:kern w:val="0"/>
          <w:sz w:val="28"/>
          <w:szCs w:val="28"/>
          <w:shd w:val="clear" w:color="auto" w:fill="FFFFFF"/>
        </w:rPr>
        <w:t>2</w:t>
      </w:r>
      <w:r w:rsidRPr="00D65AED">
        <w:rPr>
          <w:rFonts w:ascii="標楷體" w:eastAsia="標楷體" w:hAnsi="標楷體" w:hint="eastAsia"/>
          <w:color w:val="000000"/>
          <w:kern w:val="0"/>
          <w:sz w:val="28"/>
          <w:szCs w:val="28"/>
          <w:shd w:val="clear" w:color="auto" w:fill="FFFFFF"/>
        </w:rPr>
        <w:t>年度</w:t>
      </w:r>
      <w:r w:rsidRPr="00D65AED">
        <w:rPr>
          <w:rFonts w:ascii="標楷體" w:eastAsia="標楷體" w:hAnsi="標楷體" w:hint="eastAsia"/>
          <w:kern w:val="0"/>
          <w:sz w:val="28"/>
          <w:szCs w:val="28"/>
          <w:shd w:val="clear" w:color="auto" w:fill="FFFFFF"/>
        </w:rPr>
        <w:t>考試院歲出預算</w:t>
      </w:r>
      <w:r w:rsidRPr="00D65AED">
        <w:rPr>
          <w:rFonts w:ascii="標楷體" w:eastAsia="標楷體" w:hAnsi="標楷體" w:hint="eastAsia"/>
          <w:color w:val="000000"/>
          <w:kern w:val="0"/>
          <w:sz w:val="28"/>
          <w:szCs w:val="28"/>
          <w:shd w:val="clear" w:color="auto" w:fill="FFFFFF"/>
        </w:rPr>
        <w:t>第1目「一般行政」編列</w:t>
      </w:r>
      <w:r w:rsidRPr="00D65AED">
        <w:rPr>
          <w:rFonts w:ascii="標楷體" w:eastAsia="標楷體" w:hAnsi="標楷體" w:hint="eastAsia"/>
          <w:color w:val="000000"/>
          <w:spacing w:val="-2"/>
          <w:kern w:val="0"/>
          <w:sz w:val="28"/>
          <w:szCs w:val="28"/>
          <w:shd w:val="clear" w:color="auto" w:fill="FFFFFF"/>
        </w:rPr>
        <w:t>3億2,880萬3千元</w:t>
      </w:r>
      <w:r w:rsidRPr="00D65AED">
        <w:rPr>
          <w:rFonts w:ascii="標楷體" w:eastAsia="標楷體" w:hAnsi="標楷體" w:hint="eastAsia"/>
          <w:color w:val="000000"/>
          <w:kern w:val="0"/>
          <w:sz w:val="28"/>
          <w:szCs w:val="28"/>
          <w:shd w:val="clear" w:color="auto" w:fill="FFFFFF"/>
        </w:rPr>
        <w:t>，凍結300萬元，俟向立法院司法及法制委員會提出書面報告後，始得動支。</w:t>
      </w:r>
    </w:p>
    <w:p w14:paraId="1D9EDAD3" w14:textId="77777777" w:rsidR="00421BB5" w:rsidRPr="00D65AED" w:rsidRDefault="00421BB5" w:rsidP="00421BB5">
      <w:pPr>
        <w:adjustRightInd w:val="0"/>
        <w:snapToGrid w:val="0"/>
        <w:spacing w:line="440" w:lineRule="exact"/>
        <w:ind w:leftChars="1389" w:left="4479" w:hangingChars="409" w:hanging="1145"/>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提案人：劉建國 陳以信 林思銘 黃世杰</w:t>
      </w:r>
    </w:p>
    <w:p w14:paraId="723D8E9E" w14:textId="77777777" w:rsidR="00421BB5" w:rsidRPr="00D65AED" w:rsidRDefault="00421BB5" w:rsidP="00421BB5">
      <w:pPr>
        <w:adjustRightInd w:val="0"/>
        <w:snapToGrid w:val="0"/>
        <w:spacing w:line="440" w:lineRule="exact"/>
        <w:ind w:leftChars="1860" w:left="4475" w:hangingChars="4" w:hanging="11"/>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陳玉珍 江永昌 周春米 曾銘宗</w:t>
      </w:r>
    </w:p>
    <w:p w14:paraId="3E95258E" w14:textId="77777777" w:rsidR="00421BB5" w:rsidRPr="00D65AED" w:rsidRDefault="00421BB5" w:rsidP="00421BB5">
      <w:pPr>
        <w:adjustRightInd w:val="0"/>
        <w:snapToGrid w:val="0"/>
        <w:spacing w:line="440" w:lineRule="exact"/>
        <w:ind w:leftChars="1389" w:left="4479" w:hangingChars="409" w:hanging="1145"/>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連署人：游毓蘭</w:t>
      </w:r>
    </w:p>
    <w:p w14:paraId="7ACE90A0" w14:textId="77777777" w:rsidR="00421BB5" w:rsidRPr="00D65AED" w:rsidRDefault="00421BB5" w:rsidP="00421BB5">
      <w:pPr>
        <w:pStyle w:val="0-"/>
        <w:spacing w:line="440" w:lineRule="exact"/>
      </w:pPr>
      <w:r w:rsidRPr="00D65AED">
        <w:rPr>
          <w:rFonts w:hint="eastAsia"/>
        </w:rPr>
        <w:t>(二)11</w:t>
      </w:r>
      <w:r w:rsidRPr="00D65AED">
        <w:t>2</w:t>
      </w:r>
      <w:r w:rsidRPr="00D65AED">
        <w:rPr>
          <w:rFonts w:hint="eastAsia"/>
        </w:rPr>
        <w:t>年度考試院歲出預算第2目「議事業務」編列197萬4千元，</w:t>
      </w:r>
      <w:r w:rsidRPr="00D65AED">
        <w:rPr>
          <w:rFonts w:hint="eastAsia"/>
          <w:color w:val="000000"/>
        </w:rPr>
        <w:t>凍結20萬元，俟向立法院司法及法制委員會提出書面報告後，始得動支</w:t>
      </w:r>
      <w:r w:rsidRPr="00D65AED">
        <w:rPr>
          <w:rFonts w:hint="eastAsia"/>
        </w:rPr>
        <w:t>。</w:t>
      </w:r>
    </w:p>
    <w:p w14:paraId="618F345F" w14:textId="77777777" w:rsidR="00421BB5" w:rsidRPr="00D65AED" w:rsidRDefault="00421BB5" w:rsidP="00421BB5">
      <w:pPr>
        <w:pStyle w:val="2-1"/>
        <w:adjustRightInd w:val="0"/>
        <w:snapToGrid w:val="0"/>
        <w:spacing w:line="440" w:lineRule="exact"/>
        <w:ind w:leftChars="1389" w:left="4479" w:hangingChars="409" w:hanging="1145"/>
        <w:rPr>
          <w:shd w:val="clear" w:color="auto" w:fill="FFFFFF"/>
        </w:rPr>
      </w:pPr>
      <w:r w:rsidRPr="00D65AED">
        <w:rPr>
          <w:rFonts w:hint="eastAsia"/>
          <w:shd w:val="clear" w:color="auto" w:fill="FFFFFF"/>
        </w:rPr>
        <w:t>提案人</w:t>
      </w:r>
      <w:r w:rsidRPr="00D65AED">
        <w:rPr>
          <w:shd w:val="clear" w:color="auto" w:fill="FFFFFF"/>
        </w:rPr>
        <w:t>：</w:t>
      </w:r>
      <w:r w:rsidRPr="00D65AED">
        <w:rPr>
          <w:rFonts w:hint="eastAsia"/>
          <w:shd w:val="clear" w:color="auto" w:fill="FFFFFF"/>
        </w:rPr>
        <w:t>游毓蘭 曾銘宗 陳玉珍 陳以信</w:t>
      </w:r>
      <w:r w:rsidRPr="00D65AED">
        <w:rPr>
          <w:shd w:val="clear" w:color="auto" w:fill="FFFFFF"/>
        </w:rPr>
        <w:t xml:space="preserve"> </w:t>
      </w:r>
    </w:p>
    <w:p w14:paraId="4DD9103B" w14:textId="77777777" w:rsidR="00421BB5" w:rsidRPr="00D65AED" w:rsidRDefault="00421BB5" w:rsidP="00421BB5">
      <w:pPr>
        <w:pStyle w:val="2-1"/>
        <w:adjustRightInd w:val="0"/>
        <w:snapToGrid w:val="0"/>
        <w:spacing w:line="440" w:lineRule="exact"/>
        <w:ind w:leftChars="1849" w:left="4477" w:hangingChars="14" w:hanging="39"/>
        <w:rPr>
          <w:shd w:val="clear" w:color="auto" w:fill="FFFFFF"/>
        </w:rPr>
      </w:pPr>
      <w:r w:rsidRPr="00D65AED">
        <w:rPr>
          <w:rFonts w:hint="eastAsia"/>
          <w:shd w:val="clear" w:color="auto" w:fill="FFFFFF"/>
        </w:rPr>
        <w:t>林思銘</w:t>
      </w:r>
    </w:p>
    <w:p w14:paraId="1B507A9B" w14:textId="77777777" w:rsidR="00421BB5" w:rsidRPr="00D65AED" w:rsidRDefault="00421BB5" w:rsidP="00421BB5">
      <w:pPr>
        <w:adjustRightInd w:val="0"/>
        <w:snapToGrid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(三)11</w:t>
      </w:r>
      <w:r w:rsidRPr="00D65AED">
        <w:rPr>
          <w:rFonts w:ascii="標楷體" w:eastAsia="標楷體" w:hAnsi="標楷體"/>
          <w:kern w:val="0"/>
          <w:sz w:val="28"/>
          <w:szCs w:val="28"/>
          <w:shd w:val="clear" w:color="auto" w:fill="FFFFFF"/>
        </w:rPr>
        <w:t>2</w:t>
      </w:r>
      <w:r w:rsidRPr="00D65AED">
        <w:rPr>
          <w:rFonts w:ascii="標楷體" w:eastAsia="標楷體" w:hAnsi="標楷體" w:hint="eastAsia"/>
          <w:kern w:val="0"/>
          <w:sz w:val="28"/>
          <w:szCs w:val="28"/>
          <w:shd w:val="clear" w:color="auto" w:fill="FFFFFF"/>
        </w:rPr>
        <w:t>年度考試院歲出預算</w:t>
      </w:r>
      <w:r w:rsidRPr="00D65AED">
        <w:rPr>
          <w:rFonts w:ascii="標楷體" w:eastAsia="標楷體" w:hAnsi="標楷體" w:hint="eastAsia"/>
          <w:color w:val="000000"/>
          <w:kern w:val="0"/>
          <w:sz w:val="28"/>
          <w:szCs w:val="28"/>
          <w:shd w:val="clear" w:color="auto" w:fill="FFFFFF"/>
        </w:rPr>
        <w:t>第4目</w:t>
      </w:r>
      <w:r w:rsidRPr="00D65AED">
        <w:rPr>
          <w:rFonts w:ascii="標楷體" w:eastAsia="標楷體" w:hAnsi="標楷體" w:hint="eastAsia"/>
          <w:kern w:val="0"/>
          <w:sz w:val="28"/>
          <w:szCs w:val="28"/>
          <w:shd w:val="clear" w:color="auto" w:fill="FFFFFF"/>
        </w:rPr>
        <w:t>「施政業務及督導」編列819</w:t>
      </w:r>
      <w:r w:rsidRPr="00D65AED">
        <w:rPr>
          <w:rFonts w:ascii="標楷體" w:eastAsia="標楷體" w:hAnsi="標楷體" w:hint="eastAsia"/>
          <w:color w:val="000000"/>
          <w:spacing w:val="-2"/>
          <w:sz w:val="28"/>
          <w:szCs w:val="28"/>
          <w:shd w:val="clear" w:color="auto" w:fill="FFFFFF"/>
        </w:rPr>
        <w:t>萬</w:t>
      </w:r>
      <w:r w:rsidRPr="00D65AED">
        <w:rPr>
          <w:rFonts w:ascii="標楷體" w:eastAsia="標楷體" w:hAnsi="標楷體" w:hint="eastAsia"/>
          <w:kern w:val="0"/>
          <w:sz w:val="28"/>
          <w:szCs w:val="28"/>
          <w:shd w:val="clear" w:color="auto" w:fill="FFFFFF"/>
        </w:rPr>
        <w:t>8千元，凍結30萬元，俟向立法院司法及法制委員會提出書面報告後，始得動支。</w:t>
      </w:r>
    </w:p>
    <w:p w14:paraId="797C579C" w14:textId="77777777" w:rsidR="00421BB5" w:rsidRPr="00D65AED" w:rsidRDefault="00421BB5" w:rsidP="00421BB5">
      <w:pPr>
        <w:adjustRightInd w:val="0"/>
        <w:snapToGrid w:val="0"/>
        <w:spacing w:line="440" w:lineRule="exact"/>
        <w:ind w:leftChars="1389" w:left="4479" w:hangingChars="409" w:hanging="1145"/>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提案人：</w:t>
      </w:r>
      <w:r w:rsidRPr="00D65AED">
        <w:rPr>
          <w:rFonts w:ascii="標楷體" w:eastAsia="標楷體" w:hAnsi="標楷體" w:hint="eastAsia"/>
          <w:sz w:val="28"/>
          <w:szCs w:val="28"/>
          <w:shd w:val="clear" w:color="auto" w:fill="FFFFFF"/>
        </w:rPr>
        <w:t>江永昌 黃世杰 陳歐珀 周春米</w:t>
      </w:r>
    </w:p>
    <w:p w14:paraId="3239EA91" w14:textId="77777777" w:rsidR="00421BB5" w:rsidRPr="00D65AED" w:rsidRDefault="00421BB5" w:rsidP="00421BB5">
      <w:pPr>
        <w:adjustRightInd w:val="0"/>
        <w:snapToGrid w:val="0"/>
        <w:spacing w:line="440" w:lineRule="exact"/>
        <w:ind w:leftChars="1860" w:left="4475" w:hangingChars="4" w:hanging="11"/>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劉建國</w:t>
      </w:r>
    </w:p>
    <w:p w14:paraId="72E88FEB" w14:textId="77777777" w:rsidR="00421BB5" w:rsidRPr="00D65AED" w:rsidRDefault="00421BB5" w:rsidP="00421BB5">
      <w:pPr>
        <w:pStyle w:val="0-"/>
        <w:spacing w:line="440" w:lineRule="exact"/>
      </w:pPr>
      <w:r w:rsidRPr="00D65AED">
        <w:rPr>
          <w:rFonts w:hint="eastAsia"/>
        </w:rPr>
        <w:t>(四)112年起，國家考試及格證書將全數數位化，考試院</w:t>
      </w:r>
      <w:r w:rsidRPr="00D65AED">
        <w:rPr>
          <w:rFonts w:hint="eastAsia"/>
          <w:color w:val="000000"/>
        </w:rPr>
        <w:t>第4目</w:t>
      </w:r>
      <w:r w:rsidRPr="00D65AED">
        <w:rPr>
          <w:rFonts w:hint="eastAsia"/>
        </w:rPr>
        <w:t>「施政業務及督導」項下「考試及訓練及(合)格證書管理製發業務」112年度預算編列129萬元，相較111年度334萬元，預算雖已有大幅下降，但仍須詳細說明此筆預算編列理由，爰請向立</w:t>
      </w:r>
      <w:r w:rsidRPr="00D65AED">
        <w:rPr>
          <w:rFonts w:hint="eastAsia"/>
        </w:rPr>
        <w:lastRenderedPageBreak/>
        <w:t>法院司法及法制委員會提出書面報告。</w:t>
      </w:r>
    </w:p>
    <w:p w14:paraId="5EE62301" w14:textId="77777777" w:rsidR="00421BB5" w:rsidRPr="00D65AED" w:rsidRDefault="00421BB5" w:rsidP="00421BB5">
      <w:pPr>
        <w:pStyle w:val="2-1"/>
        <w:spacing w:line="440" w:lineRule="exact"/>
      </w:pPr>
      <w:r w:rsidRPr="00D65AED">
        <w:rPr>
          <w:rFonts w:hint="eastAsia"/>
          <w:shd w:val="clear" w:color="auto" w:fill="FFFFFF"/>
        </w:rPr>
        <w:t>提案人：</w:t>
      </w:r>
      <w:r w:rsidRPr="00D65AED">
        <w:rPr>
          <w:rFonts w:hint="eastAsia"/>
        </w:rPr>
        <w:t>陳以信</w:t>
      </w:r>
    </w:p>
    <w:p w14:paraId="3DD9C849" w14:textId="77777777" w:rsidR="00421BB5" w:rsidRPr="00D65AED" w:rsidRDefault="00421BB5" w:rsidP="00421BB5">
      <w:pPr>
        <w:pStyle w:val="2-1"/>
        <w:spacing w:line="440" w:lineRule="exact"/>
      </w:pPr>
      <w:r w:rsidRPr="00D65AED">
        <w:rPr>
          <w:rFonts w:hint="eastAsia"/>
        </w:rPr>
        <w:t>連署人：游毓蘭 陳玉珍 曾銘宗</w:t>
      </w:r>
    </w:p>
    <w:p w14:paraId="66E57A13" w14:textId="77777777" w:rsidR="00421BB5" w:rsidRPr="00D65AED" w:rsidRDefault="00421BB5" w:rsidP="00421BB5">
      <w:pPr>
        <w:pStyle w:val="0-"/>
        <w:spacing w:line="440" w:lineRule="exact"/>
      </w:pPr>
      <w:r w:rsidRPr="00D65AED">
        <w:rPr>
          <w:rFonts w:hint="eastAsia"/>
        </w:rPr>
        <w:t>(五)考選部每年花費公帑建置各考試類科題目，但部分考試題庫使用率過低，考選部應檢討其題庫建置與實際需求間落差問題，允宜與相關單位進行檢討及研議改善方案。</w:t>
      </w:r>
    </w:p>
    <w:p w14:paraId="0C8917C7" w14:textId="77777777" w:rsidR="00421BB5" w:rsidRPr="00D65AED" w:rsidRDefault="00421BB5" w:rsidP="00421BB5">
      <w:pPr>
        <w:pStyle w:val="0-2"/>
        <w:spacing w:line="440" w:lineRule="exact"/>
      </w:pPr>
      <w:r w:rsidRPr="00D65AED">
        <w:rPr>
          <w:rFonts w:hint="eastAsia"/>
        </w:rPr>
        <w:t>爰此，請考試院向立法院司法及法制委員會提出改善計畫相關報告。</w:t>
      </w:r>
    </w:p>
    <w:p w14:paraId="0261DDDA" w14:textId="77777777" w:rsidR="00421BB5" w:rsidRPr="00D65AED" w:rsidRDefault="00421BB5" w:rsidP="00421BB5">
      <w:pPr>
        <w:pStyle w:val="2-1"/>
        <w:spacing w:line="440" w:lineRule="exact"/>
      </w:pPr>
      <w:r w:rsidRPr="00D65AED">
        <w:rPr>
          <w:rFonts w:hint="eastAsia"/>
          <w:shd w:val="clear" w:color="auto" w:fill="FFFFFF"/>
        </w:rPr>
        <w:t>提案人：</w:t>
      </w:r>
      <w:r w:rsidRPr="00D65AED">
        <w:rPr>
          <w:rFonts w:hint="eastAsia"/>
        </w:rPr>
        <w:t>林思銘 陳以信 曾銘宗</w:t>
      </w:r>
    </w:p>
    <w:p w14:paraId="7F889C47" w14:textId="77777777" w:rsidR="00421BB5" w:rsidRPr="00D65AED" w:rsidRDefault="00421BB5" w:rsidP="00421BB5">
      <w:pPr>
        <w:pStyle w:val="0-"/>
        <w:spacing w:line="440" w:lineRule="exact"/>
      </w:pPr>
      <w:r w:rsidRPr="00D65AED">
        <w:rPr>
          <w:rFonts w:hint="eastAsia"/>
        </w:rPr>
        <w:t>(六)依審計部中央政府總決算審核報告指出，政府為健全公務人員退休撫卹基金財務，已施行退撫制度改革及調升退撫基金提撥費率，惟112年7月1日起新進公教人員將由確定給付制改為確定提撥制，現行退撫基金將不再有新進人員之提撥收入，勢必面臨提早用罄問題；據銓敘部估算，現行退撫基金在112年新進公教人員退撫制度實施後，半年內將減少資金挹注4億餘元，第2年則減少12億餘元，恐於130年面臨提前破產風險。另檢視108至110年度公教人員收繳給付情形，公教人員累計收繳1</w:t>
      </w:r>
      <w:r w:rsidRPr="00D65AED">
        <w:t>,112</w:t>
      </w:r>
      <w:r w:rsidRPr="00D65AED">
        <w:rPr>
          <w:rFonts w:hint="eastAsia"/>
        </w:rPr>
        <w:t>億餘元、累計給付1,</w:t>
      </w:r>
      <w:r w:rsidRPr="00D65AED">
        <w:t>365</w:t>
      </w:r>
      <w:r w:rsidRPr="00D65AED">
        <w:rPr>
          <w:rFonts w:hint="eastAsia"/>
        </w:rPr>
        <w:t>億餘元；教育人員累計收繳947億餘元、累計給付1</w:t>
      </w:r>
      <w:r w:rsidRPr="00D65AED">
        <w:t>,</w:t>
      </w:r>
      <w:r w:rsidRPr="00D65AED">
        <w:rPr>
          <w:rFonts w:hint="eastAsia"/>
        </w:rPr>
        <w:t>127億餘元，兩類人員合計收繳短絀計負433億餘元，退撫基金財務負擔仍重。考試院應督導公務人員退休撫卹基金管理委員會就如何解決基金財務困境進行研處，以保障舊制公務人員退休權益，向立法院司法及法制委員會提出書面報告。</w:t>
      </w:r>
    </w:p>
    <w:p w14:paraId="36E056D1"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提案人：曾銘宗 游毓蘭 林思銘</w:t>
      </w:r>
    </w:p>
    <w:p w14:paraId="576F669E" w14:textId="77777777" w:rsidR="00421BB5" w:rsidRPr="00D65AED" w:rsidRDefault="00421BB5" w:rsidP="00421BB5">
      <w:pPr>
        <w:pStyle w:val="0-"/>
        <w:spacing w:line="440" w:lineRule="exact"/>
      </w:pPr>
      <w:r w:rsidRPr="00D65AED">
        <w:rPr>
          <w:rFonts w:hint="eastAsia"/>
        </w:rPr>
        <w:t>(七)退撫新制於112年7月1日起新進公教人員由「確定給付制」改為「確定提撥制」，設立個人專戶並提供多元化投資組合。111年8月30日國立大學校院協會、國立科技大學校院協會表示「公立學校教職員退休資遣撫卹條例」草案送入立法院後，僅於111年4月底辦理1場公聽會，國立大專校院教師代表僅有1席，很難反映高教界意見。另外，國大會表示，過往年金制度改革前政府都會推出試算機制，讓關係人可透過試算了解新舊制差異，掌握退休金變化，但退撫新制迄今卻無相關試算，</w:t>
      </w:r>
      <w:r w:rsidRPr="00D65AED">
        <w:rPr>
          <w:rFonts w:hint="eastAsia"/>
        </w:rPr>
        <w:lastRenderedPageBreak/>
        <w:t>只有銓敘部提出的範例，各界難以掌握新制全貌。此外，我國教授薪資不如鄰近國家，業界又捧高薪搶人，若不允許現制人員結清年資轉入新制，或讓留在現制的人員可選擇額外提撥參加新制的自主投資，恐讓高教人才流失更趨嚴重。考試院應督導銓敘部須兼顧維護退撫現制之安全及新制人員權益，請向立法院司法及法制委員會提出書面報告。</w:t>
      </w:r>
    </w:p>
    <w:p w14:paraId="67C09B4E" w14:textId="77777777" w:rsidR="00421BB5" w:rsidRPr="00D65AED" w:rsidRDefault="00421BB5" w:rsidP="00421BB5">
      <w:pPr>
        <w:pStyle w:val="2-1"/>
        <w:spacing w:line="440" w:lineRule="exact"/>
      </w:pPr>
      <w:r w:rsidRPr="00D65AED">
        <w:rPr>
          <w:rFonts w:hint="eastAsia"/>
          <w:shd w:val="clear" w:color="auto" w:fill="FFFFFF"/>
        </w:rPr>
        <w:t>提案人：曾銘宗 游毓蘭 林思銘</w:t>
      </w:r>
    </w:p>
    <w:p w14:paraId="6312EC5B" w14:textId="77777777" w:rsidR="00421BB5" w:rsidRPr="00D65AED" w:rsidRDefault="00421BB5" w:rsidP="00421BB5">
      <w:pPr>
        <w:pStyle w:val="0-"/>
        <w:spacing w:line="440" w:lineRule="exact"/>
      </w:pPr>
      <w:r w:rsidRPr="00D65AED">
        <w:rPr>
          <w:rFonts w:hint="eastAsia"/>
        </w:rPr>
        <w:t>(八)考試院院長、副院長、秘書長、副秘書長及9位委員共13位首長可配用座車，要求考試院賡續將多餘之首長專用車移撥或資訊公開無償讓與其他機關做為業務公務車使用。</w:t>
      </w:r>
    </w:p>
    <w:p w14:paraId="680243E9"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提案人：鄭運鵬 陳歐珀 黃世杰</w:t>
      </w:r>
    </w:p>
    <w:p w14:paraId="39F42E37"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九)據統計公務人員建築工程類科高普考錄取不足額嚴峻，以高考三級建築工程為例，缺額率107年80.0%、108年9.0%、109年62.5%、110年84.3%。在工程人員不足情況下，恐危及國家工程建設及公共安全之利益。在少子女化危機下，私立大學之建築及土木工程等科系新生錄取逐漸產生缺額。為穩定取得政府機關的工程人才，考試院應就相關專業人員進入公部門服務之延攬方式，研議更具彈性之管道與措施，以解決機關專業人才用人需求之問題。</w:t>
      </w:r>
    </w:p>
    <w:p w14:paraId="679DD563"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提案人：鄭運鵬 陳歐珀 黃世杰</w:t>
      </w:r>
    </w:p>
    <w:p w14:paraId="2D1015E7"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(十)112年度考試院歲出預算第1目「一般行政」項下「資訊業務」編列新臺幣2</w:t>
      </w:r>
      <w:r w:rsidRPr="00D65AED">
        <w:rPr>
          <w:rFonts w:ascii="標楷體" w:eastAsia="標楷體" w:hAnsi="標楷體"/>
          <w:kern w:val="0"/>
          <w:sz w:val="28"/>
          <w:szCs w:val="28"/>
          <w:shd w:val="clear" w:color="auto" w:fill="FFFFFF"/>
        </w:rPr>
        <w:t>,</w:t>
      </w:r>
      <w:r w:rsidRPr="00D65AED">
        <w:rPr>
          <w:rFonts w:ascii="標楷體" w:eastAsia="標楷體" w:hAnsi="標楷體" w:hint="eastAsia"/>
          <w:kern w:val="0"/>
          <w:sz w:val="28"/>
          <w:szCs w:val="28"/>
          <w:shd w:val="clear" w:color="auto" w:fill="FFFFFF"/>
        </w:rPr>
        <w:t>806萬6千元，由考試院改善新聞發布以及資訊網站院會會議紀錄之呈現方式。有鑑於考試院為合議制之獨立機關，新聞發布及會議紀錄呈現之易讀性相當重要，又加上近年年金政策、公務人員退休撫卹基金之管理投資，屢屢成為外界關注焦點，更宜重視。經查，考試院新聞稿發布，多為概略敘述某次院會之報告、討論事項，例稿紀錄看不出重要政策方向，此種作法對外界瞭解考試院當前政策方向，幫助不大。次查，目前「考試院會議紀錄」以及「考試院會議議程」頁面，因主題欄僅係院會屆會次，內容又為PDF檔案格式，因此關鍵字搜索「主題」、「內容」，無法以特定議題關鍵字，搜索到瀏覽者需要的會議資訊；倘參照國家通訊傳播委員會之網站</w:t>
      </w:r>
      <w:r w:rsidRPr="00D65AED">
        <w:rPr>
          <w:rFonts w:ascii="標楷體" w:eastAsia="標楷體" w:hAnsi="標楷體" w:hint="eastAsia"/>
          <w:kern w:val="0"/>
          <w:sz w:val="28"/>
          <w:szCs w:val="28"/>
          <w:shd w:val="clear" w:color="auto" w:fill="FFFFFF"/>
        </w:rPr>
        <w:lastRenderedPageBreak/>
        <w:t>呈現方式，其將各次會議議事日程標題單獨列出，當能以議題關鍵字搜尋需要之會議，考試院宜加以參照改進。爰由考試院辦理改善新聞發布作業及網站會議紀錄之呈現方式。</w:t>
      </w:r>
    </w:p>
    <w:p w14:paraId="5D24F7B6"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提案人：游毓蘭 陳玉珍 林思銘</w:t>
      </w:r>
    </w:p>
    <w:p w14:paraId="6E3FF52E"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(十一)司法院釋字第785號解釋，肯認人民之健康權，為憲法第22條所保障之基本權利。而公務員之服勤、休假制度，若違反健康權之保護要求，自然為憲法所不許。</w:t>
      </w:r>
    </w:p>
    <w:p w14:paraId="26ADCD6A" w14:textId="77777777" w:rsidR="00421BB5" w:rsidRPr="00D65AED" w:rsidRDefault="00421BB5" w:rsidP="00421BB5">
      <w:pPr>
        <w:pStyle w:val="0-2"/>
        <w:spacing w:line="440" w:lineRule="exact"/>
      </w:pPr>
      <w:r w:rsidRPr="00D65AED">
        <w:rPr>
          <w:rFonts w:hint="eastAsia"/>
        </w:rPr>
        <w:t>司法院釋字第785號解釋迄今近三年，政府因應釋字做出諸多調整。如行政院人事行政總處，為求保障公務員之相關權益，即針對公務員加班費計算不盡公平之處進行修正；警政、消防、海巡等機關，亦各自依其機關職務特性做出調整。</w:t>
      </w:r>
    </w:p>
    <w:p w14:paraId="74AE1DF7" w14:textId="77777777" w:rsidR="00421BB5" w:rsidRPr="00D65AED" w:rsidRDefault="00421BB5" w:rsidP="00421BB5">
      <w:pPr>
        <w:pStyle w:val="0-2"/>
        <w:spacing w:line="440" w:lineRule="exact"/>
      </w:pPr>
      <w:r w:rsidRPr="00D65AED">
        <w:rPr>
          <w:rFonts w:hint="eastAsia"/>
        </w:rPr>
        <w:t>然，考試院為我國公務員任用、培訓及銓敘之主管機關，相關政策交由各機關依業務所需因地制宜，雖屬合理。惟相關政策之整合，與資訊之公開，則缺乏以院之高度統合管理之措施。</w:t>
      </w:r>
    </w:p>
    <w:p w14:paraId="56C0915A" w14:textId="77777777" w:rsidR="00421BB5" w:rsidRPr="00D65AED" w:rsidRDefault="00421BB5" w:rsidP="00421BB5">
      <w:pPr>
        <w:pStyle w:val="0-2"/>
        <w:spacing w:line="440" w:lineRule="exact"/>
      </w:pPr>
      <w:r w:rsidRPr="00D65AED">
        <w:rPr>
          <w:rFonts w:hint="eastAsia"/>
        </w:rPr>
        <w:t>綜上，請考試院於1個月內提出各機關因應司法院釋字第785號解釋有關措施之相關書面統合報告予立法院司法及法制委員會。</w:t>
      </w:r>
    </w:p>
    <w:p w14:paraId="34951704"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提案人：周春米 劉建國 江永昌</w:t>
      </w:r>
    </w:p>
    <w:p w14:paraId="56A0CED1"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十二)司法院釋字第785號解釋迄今近三年，然而相關進度與配套措施仍然尚有缺失，尤其如警察、法警、消防、海巡、監所管理員等職務，尤其司法院表示，他們相關業務量不斷再增加，但人力總額卻無法擴增，以至於公務人員相關權益與排、加班等問題仍有不足之處。</w:t>
      </w:r>
    </w:p>
    <w:p w14:paraId="722B0403" w14:textId="77777777" w:rsidR="00421BB5" w:rsidRPr="00D65AED" w:rsidRDefault="00421BB5" w:rsidP="00421BB5">
      <w:pPr>
        <w:pStyle w:val="0-2"/>
        <w:spacing w:line="440" w:lineRule="exact"/>
      </w:pPr>
      <w:r w:rsidRPr="00D65AED">
        <w:rPr>
          <w:rFonts w:hint="eastAsia"/>
        </w:rPr>
        <w:t>考試院作為主管機關，應積極督促銓敘部、行政院人事行政總處，儘速往司法院釋字第785號解釋之精神前進，讓相關特殊性質之職務，不要成為過勞職務，對此請考試院儘速向立法院司法及法制委員會提出具體書面報告，對社會大眾說明如何落實司法院釋字第785號解釋。</w:t>
      </w:r>
    </w:p>
    <w:p w14:paraId="7745C9FE"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 xml:space="preserve">提案人：劉建國 周春米 江永昌 </w:t>
      </w:r>
    </w:p>
    <w:p w14:paraId="4B630C7C" w14:textId="77777777" w:rsidR="00421BB5" w:rsidRPr="00D65AED" w:rsidRDefault="00421BB5" w:rsidP="00421BB5">
      <w:pPr>
        <w:kinsoku w:val="0"/>
        <w:overflowPunct w:val="0"/>
        <w:spacing w:line="440" w:lineRule="exact"/>
        <w:ind w:leftChars="149" w:left="1559" w:hangingChars="429" w:hanging="1201"/>
        <w:jc w:val="both"/>
        <w:rPr>
          <w:rFonts w:ascii="標楷體" w:eastAsia="標楷體" w:hAnsi="標楷體"/>
          <w:sz w:val="28"/>
          <w:szCs w:val="28"/>
        </w:rPr>
      </w:pPr>
      <w:r w:rsidRPr="00D65AED">
        <w:rPr>
          <w:rFonts w:ascii="標楷體" w:eastAsia="標楷體" w:hAnsi="標楷體"/>
          <w:sz w:val="28"/>
          <w:szCs w:val="28"/>
          <w:shd w:val="clear" w:color="auto" w:fill="FFFFFF"/>
        </w:rPr>
        <w:t>第</w:t>
      </w:r>
      <w:r w:rsidRPr="00D65AED">
        <w:rPr>
          <w:rFonts w:ascii="標楷體" w:eastAsia="標楷體" w:hAnsi="標楷體" w:hint="eastAsia"/>
          <w:sz w:val="28"/>
          <w:szCs w:val="28"/>
          <w:shd w:val="clear" w:color="auto" w:fill="FFFFFF"/>
        </w:rPr>
        <w:t>2</w:t>
      </w:r>
      <w:r w:rsidRPr="00D65AED">
        <w:rPr>
          <w:rFonts w:ascii="標楷體" w:eastAsia="標楷體" w:hAnsi="標楷體"/>
          <w:sz w:val="28"/>
          <w:szCs w:val="28"/>
          <w:shd w:val="clear" w:color="auto" w:fill="FFFFFF"/>
        </w:rPr>
        <w:t xml:space="preserve">項　</w:t>
      </w:r>
      <w:r w:rsidRPr="00D65AED">
        <w:rPr>
          <w:rFonts w:ascii="標楷體" w:eastAsia="標楷體" w:hAnsi="標楷體" w:hint="eastAsia"/>
          <w:sz w:val="28"/>
          <w:szCs w:val="28"/>
          <w:shd w:val="clear" w:color="auto" w:fill="FFFFFF"/>
        </w:rPr>
        <w:t>考選</w:t>
      </w:r>
      <w:r w:rsidRPr="00D65AED">
        <w:rPr>
          <w:rFonts w:ascii="標楷體" w:eastAsia="標楷體" w:hAnsi="標楷體"/>
          <w:sz w:val="28"/>
          <w:szCs w:val="28"/>
          <w:shd w:val="clear" w:color="auto" w:fill="FFFFFF"/>
        </w:rPr>
        <w:t>部</w:t>
      </w:r>
      <w:r w:rsidRPr="00D65AED">
        <w:rPr>
          <w:rFonts w:ascii="標楷體" w:eastAsia="標楷體" w:hAnsi="標楷體" w:hint="eastAsia"/>
          <w:sz w:val="28"/>
          <w:szCs w:val="28"/>
          <w:shd w:val="clear" w:color="auto" w:fill="FFFFFF"/>
        </w:rPr>
        <w:t>4億3,231萬2千元</w:t>
      </w:r>
      <w:r w:rsidRPr="00D65AED">
        <w:rPr>
          <w:rFonts w:ascii="標楷體" w:eastAsia="標楷體" w:hAnsi="標楷體"/>
          <w:sz w:val="28"/>
          <w:szCs w:val="28"/>
          <w:shd w:val="clear" w:color="auto" w:fill="FFFFFF"/>
        </w:rPr>
        <w:t>，</w:t>
      </w:r>
      <w:r w:rsidRPr="00D65AED">
        <w:rPr>
          <w:rFonts w:ascii="標楷體" w:eastAsia="標楷體" w:hAnsi="標楷體" w:hint="eastAsia"/>
          <w:sz w:val="28"/>
          <w:szCs w:val="28"/>
        </w:rPr>
        <w:t>照列。</w:t>
      </w:r>
    </w:p>
    <w:p w14:paraId="31E2CA96" w14:textId="77777777" w:rsidR="00421BB5" w:rsidRPr="00D65AED" w:rsidRDefault="00421BB5" w:rsidP="00421BB5">
      <w:pPr>
        <w:spacing w:line="440" w:lineRule="exact"/>
        <w:ind w:leftChars="200" w:left="1600" w:hangingChars="400" w:hanging="1120"/>
        <w:jc w:val="both"/>
        <w:rPr>
          <w:rFonts w:ascii="標楷體" w:eastAsia="標楷體" w:hAnsi="標楷體"/>
          <w:sz w:val="28"/>
          <w:szCs w:val="28"/>
        </w:rPr>
      </w:pPr>
      <w:r w:rsidRPr="00D65AED">
        <w:rPr>
          <w:rFonts w:ascii="標楷體" w:eastAsia="標楷體" w:hAnsi="標楷體"/>
          <w:sz w:val="28"/>
          <w:szCs w:val="28"/>
        </w:rPr>
        <w:t>本項通過決議</w:t>
      </w:r>
      <w:r w:rsidRPr="00D65AED">
        <w:rPr>
          <w:rFonts w:ascii="標楷體" w:eastAsia="標楷體" w:hAnsi="標楷體" w:hint="eastAsia"/>
          <w:sz w:val="28"/>
          <w:szCs w:val="28"/>
        </w:rPr>
        <w:t>9</w:t>
      </w:r>
      <w:r w:rsidRPr="00D65AED">
        <w:rPr>
          <w:rFonts w:ascii="標楷體" w:eastAsia="標楷體" w:hAnsi="標楷體"/>
          <w:sz w:val="28"/>
          <w:szCs w:val="28"/>
        </w:rPr>
        <w:t>項：</w:t>
      </w:r>
    </w:p>
    <w:p w14:paraId="6482B8A7"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color w:val="000000"/>
          <w:sz w:val="28"/>
          <w:szCs w:val="28"/>
        </w:rPr>
      </w:pPr>
      <w:r w:rsidRPr="00D65AED">
        <w:rPr>
          <w:rFonts w:ascii="標楷體" w:eastAsia="標楷體" w:hAnsi="標楷體" w:hint="eastAsia"/>
          <w:color w:val="000000"/>
          <w:kern w:val="0"/>
          <w:sz w:val="28"/>
          <w:szCs w:val="28"/>
        </w:rPr>
        <w:lastRenderedPageBreak/>
        <w:t>(一)11</w:t>
      </w:r>
      <w:r w:rsidRPr="00D65AED">
        <w:rPr>
          <w:rFonts w:ascii="標楷體" w:eastAsia="標楷體" w:hAnsi="標楷體"/>
          <w:color w:val="000000"/>
          <w:kern w:val="0"/>
          <w:sz w:val="28"/>
          <w:szCs w:val="28"/>
        </w:rPr>
        <w:t>2</w:t>
      </w:r>
      <w:r w:rsidRPr="00D65AED">
        <w:rPr>
          <w:rFonts w:ascii="標楷體" w:eastAsia="標楷體" w:hAnsi="標楷體" w:hint="eastAsia"/>
          <w:color w:val="000000"/>
          <w:kern w:val="0"/>
          <w:sz w:val="28"/>
          <w:szCs w:val="28"/>
        </w:rPr>
        <w:t>年度</w:t>
      </w:r>
      <w:r w:rsidRPr="00D65AED">
        <w:rPr>
          <w:rFonts w:ascii="標楷體" w:eastAsia="標楷體" w:hAnsi="標楷體" w:hint="eastAsia"/>
          <w:sz w:val="28"/>
          <w:szCs w:val="28"/>
        </w:rPr>
        <w:t>考選部</w:t>
      </w:r>
      <w:r w:rsidRPr="00D65AED">
        <w:rPr>
          <w:rFonts w:ascii="標楷體" w:eastAsia="標楷體" w:hAnsi="標楷體" w:hint="eastAsia"/>
          <w:color w:val="000000"/>
          <w:kern w:val="0"/>
          <w:sz w:val="28"/>
          <w:szCs w:val="28"/>
        </w:rPr>
        <w:t>歲出預算第1目「一般行政」項下「基本行政工作維持」編列3</w:t>
      </w:r>
      <w:r w:rsidRPr="00D65AED">
        <w:rPr>
          <w:rFonts w:ascii="標楷體" w:eastAsia="標楷體" w:hAnsi="標楷體" w:cs="標楷體"/>
          <w:sz w:val="28"/>
          <w:szCs w:val="28"/>
        </w:rPr>
        <w:t>,190</w:t>
      </w:r>
      <w:r w:rsidRPr="00D65AED">
        <w:rPr>
          <w:rFonts w:ascii="標楷體" w:eastAsia="標楷體" w:hAnsi="標楷體" w:cs="標楷體" w:hint="eastAsia"/>
          <w:sz w:val="28"/>
          <w:szCs w:val="28"/>
        </w:rPr>
        <w:t>萬7千元</w:t>
      </w:r>
      <w:r w:rsidRPr="00D65AED">
        <w:rPr>
          <w:rFonts w:ascii="標楷體" w:eastAsia="標楷體" w:hAnsi="標楷體" w:hint="eastAsia"/>
          <w:color w:val="000000"/>
          <w:kern w:val="0"/>
          <w:sz w:val="28"/>
          <w:szCs w:val="28"/>
        </w:rPr>
        <w:t>，凍結50萬元，俟向立法院司法及法制委員會提出書面報告後，始得動支。</w:t>
      </w:r>
    </w:p>
    <w:p w14:paraId="05F2C88C" w14:textId="77777777" w:rsidR="00421BB5" w:rsidRPr="00D65AED" w:rsidRDefault="00421BB5" w:rsidP="00421BB5">
      <w:pPr>
        <w:pStyle w:val="2-1"/>
        <w:spacing w:line="440" w:lineRule="exact"/>
      </w:pPr>
      <w:r w:rsidRPr="00D65AED">
        <w:rPr>
          <w:rFonts w:hint="eastAsia"/>
        </w:rPr>
        <w:t>提案人：劉建國 陳以信 江永昌 周春米</w:t>
      </w:r>
    </w:p>
    <w:p w14:paraId="4E044939" w14:textId="77777777" w:rsidR="00421BB5" w:rsidRPr="00D65AED" w:rsidRDefault="00421BB5" w:rsidP="00421BB5">
      <w:pPr>
        <w:pStyle w:val="2-1"/>
        <w:spacing w:line="440" w:lineRule="exact"/>
      </w:pPr>
      <w:r w:rsidRPr="00D65AED">
        <w:rPr>
          <w:rFonts w:hint="eastAsia"/>
        </w:rPr>
        <w:t>連署人：游毓蘭 曾銘宗 陳玉珍</w:t>
      </w:r>
    </w:p>
    <w:p w14:paraId="1579E98D"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color w:val="000000"/>
          <w:sz w:val="28"/>
          <w:szCs w:val="28"/>
        </w:rPr>
      </w:pPr>
      <w:r w:rsidRPr="00D65AED">
        <w:rPr>
          <w:rFonts w:ascii="標楷體" w:eastAsia="標楷體" w:hAnsi="標楷體" w:hint="eastAsia"/>
          <w:color w:val="000000"/>
          <w:kern w:val="0"/>
          <w:sz w:val="28"/>
          <w:szCs w:val="28"/>
        </w:rPr>
        <w:t>(二)11</w:t>
      </w:r>
      <w:r w:rsidRPr="00D65AED">
        <w:rPr>
          <w:rFonts w:ascii="標楷體" w:eastAsia="標楷體" w:hAnsi="標楷體"/>
          <w:color w:val="000000"/>
          <w:kern w:val="0"/>
          <w:sz w:val="28"/>
          <w:szCs w:val="28"/>
        </w:rPr>
        <w:t>2</w:t>
      </w:r>
      <w:r w:rsidRPr="00D65AED">
        <w:rPr>
          <w:rFonts w:ascii="標楷體" w:eastAsia="標楷體" w:hAnsi="標楷體" w:hint="eastAsia"/>
          <w:color w:val="000000"/>
          <w:kern w:val="0"/>
          <w:sz w:val="28"/>
          <w:szCs w:val="28"/>
        </w:rPr>
        <w:t>年度</w:t>
      </w:r>
      <w:r w:rsidRPr="00D65AED">
        <w:rPr>
          <w:rFonts w:ascii="標楷體" w:eastAsia="標楷體" w:hAnsi="標楷體" w:hint="eastAsia"/>
          <w:sz w:val="28"/>
          <w:szCs w:val="28"/>
        </w:rPr>
        <w:t>考選部</w:t>
      </w:r>
      <w:r w:rsidRPr="00D65AED">
        <w:rPr>
          <w:rFonts w:ascii="標楷體" w:eastAsia="標楷體" w:hAnsi="標楷體" w:hint="eastAsia"/>
          <w:color w:val="000000"/>
          <w:kern w:val="0"/>
          <w:sz w:val="28"/>
          <w:szCs w:val="28"/>
        </w:rPr>
        <w:t>歲出預算第2目「考試業務」編列7</w:t>
      </w:r>
      <w:r w:rsidRPr="00D65AED">
        <w:rPr>
          <w:rFonts w:ascii="標楷體" w:eastAsia="標楷體" w:hAnsi="標楷體" w:cs="標楷體"/>
          <w:sz w:val="28"/>
          <w:szCs w:val="28"/>
        </w:rPr>
        <w:t>,528</w:t>
      </w:r>
      <w:r w:rsidRPr="00D65AED">
        <w:rPr>
          <w:rFonts w:ascii="標楷體" w:eastAsia="標楷體" w:hAnsi="標楷體" w:cs="標楷體" w:hint="eastAsia"/>
          <w:sz w:val="28"/>
          <w:szCs w:val="28"/>
        </w:rPr>
        <w:t>萬9千元</w:t>
      </w:r>
      <w:r w:rsidRPr="00D65AED">
        <w:rPr>
          <w:rFonts w:ascii="標楷體" w:eastAsia="標楷體" w:hAnsi="標楷體" w:hint="eastAsia"/>
          <w:color w:val="000000"/>
          <w:kern w:val="0"/>
          <w:sz w:val="28"/>
          <w:szCs w:val="28"/>
        </w:rPr>
        <w:t>，凍結10萬元，於3個月內向立法院司法及法制委員會提出書面報告後，始得動支。</w:t>
      </w:r>
    </w:p>
    <w:p w14:paraId="01017189" w14:textId="77777777" w:rsidR="00421BB5" w:rsidRPr="00D65AED" w:rsidRDefault="00421BB5" w:rsidP="00421BB5">
      <w:pPr>
        <w:pStyle w:val="2-1"/>
        <w:spacing w:line="440" w:lineRule="exact"/>
      </w:pPr>
      <w:r w:rsidRPr="00D65AED">
        <w:rPr>
          <w:rFonts w:hint="eastAsia"/>
        </w:rPr>
        <w:t>提案人：江永昌 周春米 陳歐珀</w:t>
      </w:r>
    </w:p>
    <w:p w14:paraId="2F6D47CC"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color w:val="000000"/>
          <w:kern w:val="0"/>
          <w:sz w:val="28"/>
          <w:szCs w:val="28"/>
        </w:rPr>
      </w:pPr>
      <w:r w:rsidRPr="00D65AED">
        <w:rPr>
          <w:rFonts w:ascii="標楷體" w:eastAsia="標楷體" w:hAnsi="標楷體" w:hint="eastAsia"/>
          <w:sz w:val="28"/>
          <w:szCs w:val="28"/>
        </w:rPr>
        <w:t>(三)11</w:t>
      </w:r>
      <w:r w:rsidRPr="00D65AED">
        <w:rPr>
          <w:rFonts w:ascii="標楷體" w:eastAsia="標楷體" w:hAnsi="標楷體"/>
          <w:sz w:val="28"/>
          <w:szCs w:val="28"/>
        </w:rPr>
        <w:t>2</w:t>
      </w:r>
      <w:r w:rsidRPr="00D65AED">
        <w:rPr>
          <w:rFonts w:ascii="標楷體" w:eastAsia="標楷體" w:hAnsi="標楷體" w:hint="eastAsia"/>
          <w:sz w:val="28"/>
          <w:szCs w:val="28"/>
        </w:rPr>
        <w:t>年度考選部歲出預算第3目「考試業務研究改進」編列2,167萬2千元，凍結50萬元，俟向立法院司法及法制委員會提出書面報告後，始得動支。</w:t>
      </w:r>
    </w:p>
    <w:p w14:paraId="0E682B57" w14:textId="77777777" w:rsidR="00421BB5" w:rsidRPr="00D65AED" w:rsidRDefault="00421BB5" w:rsidP="00421BB5">
      <w:pPr>
        <w:pStyle w:val="2-1"/>
        <w:spacing w:line="440" w:lineRule="exact"/>
      </w:pPr>
      <w:r w:rsidRPr="00D65AED">
        <w:rPr>
          <w:rFonts w:hint="eastAsia"/>
        </w:rPr>
        <w:t>提案人：</w:t>
      </w:r>
      <w:r w:rsidRPr="00D65AED">
        <w:t>江永昌</w:t>
      </w:r>
      <w:r w:rsidRPr="00D65AED">
        <w:rPr>
          <w:rFonts w:hint="eastAsia"/>
        </w:rPr>
        <w:t xml:space="preserve"> 游毓蘭 林思銘 陳玉珍</w:t>
      </w:r>
    </w:p>
    <w:p w14:paraId="4D53597F" w14:textId="77777777" w:rsidR="00421BB5" w:rsidRPr="00D65AED" w:rsidRDefault="00421BB5" w:rsidP="00421BB5">
      <w:pPr>
        <w:pStyle w:val="2-1"/>
        <w:spacing w:line="440" w:lineRule="exact"/>
        <w:ind w:leftChars="1866" w:left="4618" w:hangingChars="50" w:hanging="140"/>
      </w:pPr>
      <w:r w:rsidRPr="00D65AED">
        <w:rPr>
          <w:rFonts w:hint="eastAsia"/>
        </w:rPr>
        <w:t>陳以信 黃世杰 周春米 陳歐珀</w:t>
      </w:r>
    </w:p>
    <w:p w14:paraId="119D37C4" w14:textId="77777777" w:rsidR="00421BB5" w:rsidRPr="00D65AED" w:rsidRDefault="00421BB5" w:rsidP="00421BB5">
      <w:pPr>
        <w:pStyle w:val="2-1"/>
        <w:spacing w:line="440" w:lineRule="exact"/>
        <w:ind w:leftChars="1866" w:left="4618" w:hangingChars="50" w:hanging="140"/>
      </w:pPr>
      <w:r w:rsidRPr="00D65AED">
        <w:rPr>
          <w:rFonts w:hint="eastAsia"/>
        </w:rPr>
        <w:t>曾銘宗 劉建國</w:t>
      </w:r>
    </w:p>
    <w:p w14:paraId="57711518"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(四)11</w:t>
      </w:r>
      <w:r w:rsidRPr="00D65AED">
        <w:rPr>
          <w:rFonts w:ascii="標楷體" w:eastAsia="標楷體" w:hAnsi="標楷體"/>
          <w:sz w:val="28"/>
          <w:szCs w:val="28"/>
        </w:rPr>
        <w:t>2</w:t>
      </w:r>
      <w:r w:rsidRPr="00D65AED">
        <w:rPr>
          <w:rFonts w:ascii="標楷體" w:eastAsia="標楷體" w:hAnsi="標楷體" w:hint="eastAsia"/>
          <w:sz w:val="28"/>
          <w:szCs w:val="28"/>
        </w:rPr>
        <w:t>年度考選部歲出預算第4目「一般建築及設備」第1節「營建工程」編列890萬元，凍結20萬元，</w:t>
      </w:r>
      <w:r w:rsidRPr="00D65AED">
        <w:rPr>
          <w:rFonts w:ascii="標楷體" w:eastAsia="標楷體" w:hAnsi="標楷體" w:hint="eastAsia"/>
          <w:color w:val="000000"/>
          <w:kern w:val="0"/>
          <w:sz w:val="28"/>
          <w:szCs w:val="28"/>
        </w:rPr>
        <w:t>於3個月內</w:t>
      </w:r>
      <w:r w:rsidRPr="00D65AED">
        <w:rPr>
          <w:rFonts w:ascii="標楷體" w:eastAsia="標楷體" w:hAnsi="標楷體" w:hint="eastAsia"/>
          <w:sz w:val="28"/>
          <w:szCs w:val="28"/>
        </w:rPr>
        <w:t>向立法院司法及法制委員會提出書面報告後，始得動支。</w:t>
      </w:r>
    </w:p>
    <w:p w14:paraId="28433115" w14:textId="77777777" w:rsidR="00421BB5" w:rsidRPr="00D65AED" w:rsidRDefault="00421BB5" w:rsidP="00421BB5">
      <w:pPr>
        <w:pStyle w:val="2-1"/>
        <w:spacing w:line="440" w:lineRule="exact"/>
      </w:pPr>
      <w:r w:rsidRPr="00D65AED">
        <w:rPr>
          <w:rFonts w:hint="eastAsia"/>
        </w:rPr>
        <w:t>提案人：陳玉珍 陳以信 黃世杰 江永昌</w:t>
      </w:r>
    </w:p>
    <w:p w14:paraId="34BEB3AB" w14:textId="77777777" w:rsidR="00421BB5" w:rsidRPr="00D65AED" w:rsidRDefault="00421BB5" w:rsidP="00421BB5">
      <w:pPr>
        <w:pStyle w:val="2-1"/>
        <w:spacing w:line="440" w:lineRule="exact"/>
        <w:ind w:leftChars="1866" w:left="4618" w:hangingChars="50" w:hanging="140"/>
      </w:pPr>
      <w:r w:rsidRPr="00D65AED">
        <w:rPr>
          <w:rFonts w:hint="eastAsia"/>
        </w:rPr>
        <w:t>劉建國 周春米 陳歐珀</w:t>
      </w:r>
    </w:p>
    <w:p w14:paraId="12FF7413" w14:textId="77777777" w:rsidR="00421BB5" w:rsidRPr="00D65AED" w:rsidRDefault="00421BB5" w:rsidP="00421BB5">
      <w:pPr>
        <w:pStyle w:val="2-1"/>
        <w:spacing w:line="440" w:lineRule="exact"/>
      </w:pPr>
      <w:r w:rsidRPr="00D65AED">
        <w:rPr>
          <w:rFonts w:hint="eastAsia"/>
        </w:rPr>
        <w:t>連署人：曾銘宗 林思銘 游毓蘭</w:t>
      </w:r>
    </w:p>
    <w:p w14:paraId="6D14C548" w14:textId="77777777" w:rsidR="00421BB5" w:rsidRPr="00D65AED" w:rsidRDefault="00421BB5" w:rsidP="00421BB5">
      <w:pPr>
        <w:pStyle w:val="0-"/>
        <w:spacing w:line="440" w:lineRule="exact"/>
      </w:pPr>
      <w:r w:rsidRPr="00D65AED">
        <w:rPr>
          <w:rFonts w:hint="eastAsia"/>
        </w:rPr>
        <w:t>(五)112年度考選部歲出預算第3目「考試業務研究改進」編列新臺幣2,167萬2千元。考選部近年來配合國家政策，推動數位轉型甚為積極，且受到COVID-19防疫經驗影響，不須倚賴實體考場之考試方式，有其必要。如何研議相應措施，如加速推動申論考試採行電腦應試、應考人得否居家線上考試等，考選部應詳就改採線上考試對應考上之便利、對試務之效益、技術、法規面可行性等，以及規劃之開放考試種類等等，詳為規劃研議。爰請考選部就改採線上考試之效益、可行性及開放類科之評估，向立法院司法及法制委員會提出書面報告。</w:t>
      </w:r>
    </w:p>
    <w:p w14:paraId="50E146D4" w14:textId="77777777" w:rsidR="00421BB5" w:rsidRPr="00D65AED" w:rsidRDefault="00421BB5" w:rsidP="00421BB5">
      <w:pPr>
        <w:pStyle w:val="2-1"/>
        <w:spacing w:line="440" w:lineRule="exact"/>
      </w:pPr>
      <w:r w:rsidRPr="00D65AED">
        <w:rPr>
          <w:rFonts w:hint="eastAsia"/>
        </w:rPr>
        <w:t>提案人：游毓蘭 陳玉珍 林思銘</w:t>
      </w:r>
    </w:p>
    <w:p w14:paraId="6D670D9A" w14:textId="77777777" w:rsidR="00421BB5" w:rsidRPr="00D65AED" w:rsidRDefault="00421BB5" w:rsidP="00421BB5">
      <w:pPr>
        <w:pStyle w:val="0-"/>
        <w:spacing w:line="440" w:lineRule="exact"/>
      </w:pPr>
      <w:r w:rsidRPr="00D65AED">
        <w:rPr>
          <w:rFonts w:hint="eastAsia"/>
        </w:rPr>
        <w:t>(六)112年度考選部歲出預算第3目「考試業務研究改進」編列新</w:t>
      </w:r>
      <w:r w:rsidRPr="00D65AED">
        <w:rPr>
          <w:rFonts w:hint="eastAsia"/>
        </w:rPr>
        <w:lastRenderedPageBreak/>
        <w:t>臺幣2,</w:t>
      </w:r>
      <w:r w:rsidRPr="00D65AED">
        <w:t>167</w:t>
      </w:r>
      <w:r w:rsidRPr="00D65AED">
        <w:rPr>
          <w:rFonts w:hint="eastAsia"/>
        </w:rPr>
        <w:t>萬2千元。考試院近來配合國家政策，推動數位轉型甚為積極，其中，設置專門之資訊安全職系、考科甚為重要，若妥善辦理，可以舒緩近來設置數位發展部，聘用人力比例以及資格不明之爭議。然經查，1</w:t>
      </w:r>
      <w:r w:rsidRPr="00D65AED">
        <w:t>10</w:t>
      </w:r>
      <w:r w:rsidRPr="00D65AED">
        <w:rPr>
          <w:rFonts w:hint="eastAsia"/>
        </w:rPr>
        <w:t>年3月10日立法院司法及法制委員會臨時提案、110年10月13日考試院數位轉型委員會第3次會議之報告案、111年度中央政府總預算審議，考選部主管決議第（十七）項等，均討論、要求新設資安職系議題，考選部均以程序上，係業管機關先提出後才決定為答復，態度消極。爰請考選部就設置資安職系，向立法院司法及法制委員會提出書面報告。</w:t>
      </w:r>
    </w:p>
    <w:p w14:paraId="2581BDF0" w14:textId="77777777" w:rsidR="00421BB5" w:rsidRPr="00D65AED" w:rsidRDefault="00421BB5" w:rsidP="00421BB5">
      <w:pPr>
        <w:pStyle w:val="2-1"/>
        <w:spacing w:line="440" w:lineRule="exact"/>
      </w:pPr>
      <w:r w:rsidRPr="00D65AED">
        <w:rPr>
          <w:rFonts w:hint="eastAsia"/>
        </w:rPr>
        <w:t>提案人：游毓蘭 陳玉珍 林思銘</w:t>
      </w:r>
    </w:p>
    <w:p w14:paraId="7D6076BA" w14:textId="77777777" w:rsidR="00421BB5" w:rsidRPr="00D65AED" w:rsidRDefault="00421BB5" w:rsidP="00421BB5">
      <w:pPr>
        <w:pStyle w:val="0-"/>
        <w:spacing w:line="440" w:lineRule="exact"/>
      </w:pPr>
      <w:r w:rsidRPr="00D65AED">
        <w:rPr>
          <w:rFonts w:hint="eastAsia"/>
        </w:rPr>
        <w:t>(七)1</w:t>
      </w:r>
      <w:r w:rsidRPr="00D65AED">
        <w:t>12</w:t>
      </w:r>
      <w:r w:rsidRPr="00D65AED">
        <w:rPr>
          <w:rFonts w:hint="eastAsia"/>
        </w:rPr>
        <w:t>年度考選部歲出預算第3目「考試業務研究改進」第1節「試題研編及審查」項下「題庫之編製及審查」業務，主要係配合各項考試需要及已建立題庫科目使用情形，辦理題庫之建置維護及更新工作，該預算相比111年提高逾1</w:t>
      </w:r>
      <w:r w:rsidRPr="00D65AED">
        <w:t>5</w:t>
      </w:r>
      <w:r w:rsidRPr="00D65AED">
        <w:rPr>
          <w:rFonts w:hint="eastAsia"/>
        </w:rPr>
        <w:t>萬元，我國國家考試因新冠肺炎疫情影響，體會到數位轉型之重要性，考選部應研議如何加強我國數位轉型發展與推動，並提出相關報告。</w:t>
      </w:r>
    </w:p>
    <w:p w14:paraId="78B7B5E7" w14:textId="77777777" w:rsidR="00421BB5" w:rsidRPr="00D65AED" w:rsidRDefault="00421BB5" w:rsidP="00421BB5">
      <w:pPr>
        <w:pStyle w:val="0-2"/>
        <w:spacing w:line="440" w:lineRule="exact"/>
      </w:pPr>
      <w:r w:rsidRPr="00D65AED">
        <w:rPr>
          <w:rFonts w:hint="eastAsia"/>
        </w:rPr>
        <w:t>爰此，請考選部向立法院司法及法制委員會提出書面報告。</w:t>
      </w:r>
    </w:p>
    <w:p w14:paraId="3ACA5455" w14:textId="77777777" w:rsidR="00421BB5" w:rsidRPr="00D65AED" w:rsidRDefault="00421BB5" w:rsidP="00421BB5">
      <w:pPr>
        <w:pStyle w:val="2-1"/>
        <w:spacing w:line="440" w:lineRule="exact"/>
      </w:pPr>
      <w:r w:rsidRPr="00D65AED">
        <w:rPr>
          <w:rFonts w:hint="eastAsia"/>
        </w:rPr>
        <w:t>提案人：林思銘 陳以信 曾銘宗</w:t>
      </w:r>
    </w:p>
    <w:p w14:paraId="7F120CA1" w14:textId="77777777" w:rsidR="00421BB5" w:rsidRPr="00D65AED" w:rsidRDefault="00421BB5" w:rsidP="00421BB5">
      <w:pPr>
        <w:pStyle w:val="0-"/>
        <w:spacing w:line="440" w:lineRule="exact"/>
      </w:pPr>
      <w:r w:rsidRPr="00D65AED">
        <w:rPr>
          <w:rFonts w:hint="eastAsia"/>
        </w:rPr>
        <w:t>(八)考選部掌理各類公務人員與專門職業及技術人員等國家考試之考選行政事宜，每年持續辦理研修精進考選法規等各項提升考選效能工作。惟近年度公務人員高普考試之錄取不足額類科、人數及比率皆有增加趨勢，國家考試之選才效能降低，若不足額錄取人數增加，恐對用人機關之人力需求或運用派遣造成影響，允宜與相關機關研擬改善措施。</w:t>
      </w:r>
    </w:p>
    <w:p w14:paraId="727B6ED3" w14:textId="77777777" w:rsidR="00421BB5" w:rsidRPr="00D65AED" w:rsidRDefault="00421BB5" w:rsidP="00421BB5">
      <w:pPr>
        <w:pStyle w:val="0-2"/>
        <w:spacing w:line="440" w:lineRule="exact"/>
      </w:pPr>
      <w:r w:rsidRPr="00D65AED">
        <w:rPr>
          <w:rFonts w:hint="eastAsia"/>
        </w:rPr>
        <w:t>爰此，考選部應研擬相關規劃，以提高應考人之報考及任職之留任誘因，請考選部向立法院司法及法制委員會提出書面報告。</w:t>
      </w:r>
    </w:p>
    <w:p w14:paraId="04579C0D" w14:textId="77777777" w:rsidR="00421BB5" w:rsidRPr="00D65AED" w:rsidRDefault="00421BB5" w:rsidP="00421BB5">
      <w:pPr>
        <w:pStyle w:val="2-1"/>
        <w:spacing w:line="440" w:lineRule="exact"/>
      </w:pPr>
      <w:r w:rsidRPr="00D65AED">
        <w:rPr>
          <w:rFonts w:hint="eastAsia"/>
        </w:rPr>
        <w:t>提案人：林思銘 陳以信 曾銘宗</w:t>
      </w:r>
    </w:p>
    <w:p w14:paraId="300A5AE4" w14:textId="77777777" w:rsidR="00421BB5" w:rsidRPr="00D65AED" w:rsidRDefault="00421BB5" w:rsidP="00421BB5">
      <w:pPr>
        <w:pStyle w:val="0-"/>
        <w:spacing w:line="440" w:lineRule="exact"/>
      </w:pPr>
      <w:r w:rsidRPr="00D65AED">
        <w:rPr>
          <w:rFonts w:hint="eastAsia"/>
        </w:rPr>
        <w:t>(九)112年度考選部歲出預算第3目「考試業務研究改進」第2節</w:t>
      </w:r>
      <w:r w:rsidRPr="00D65AED">
        <w:rPr>
          <w:rFonts w:hint="eastAsia"/>
        </w:rPr>
        <w:lastRenderedPageBreak/>
        <w:t>「考選資料處理」編列</w:t>
      </w:r>
      <w:r w:rsidRPr="00D65AED">
        <w:t>703</w:t>
      </w:r>
      <w:r w:rsidRPr="00D65AED">
        <w:rPr>
          <w:rFonts w:hint="eastAsia"/>
        </w:rPr>
        <w:t>萬</w:t>
      </w:r>
      <w:r w:rsidRPr="00D65AED">
        <w:t>9</w:t>
      </w:r>
      <w:r w:rsidRPr="00D65AED">
        <w:rPr>
          <w:rFonts w:hint="eastAsia"/>
        </w:rPr>
        <w:t>千元，推動國家考試數位轉型，深化國家考試事務資訊化、網路報名及線上申辦全程無紙化措施。考選部預計將在1</w:t>
      </w:r>
      <w:r w:rsidRPr="00D65AED">
        <w:t>13</w:t>
      </w:r>
      <w:r w:rsidRPr="00D65AED">
        <w:rPr>
          <w:rFonts w:hint="eastAsia"/>
        </w:rPr>
        <w:t>年於全國範圍內備足9</w:t>
      </w:r>
      <w:r w:rsidRPr="00D65AED">
        <w:t>,800</w:t>
      </w:r>
      <w:r w:rsidRPr="00D65AED">
        <w:rPr>
          <w:rFonts w:hint="eastAsia"/>
        </w:rPr>
        <w:t>席應試座位，唯目前台灣各考區合格應試座位數差距頗大，宜注意各考區之座位數配置是否符合實際所需。鑑於國家財政狀況困窘，應撙節相關費用支出，爰請考選部向立法院司法及法制委員會提出書面報告。</w:t>
      </w:r>
    </w:p>
    <w:p w14:paraId="184DB133" w14:textId="77777777" w:rsidR="00421BB5" w:rsidRPr="00D65AED" w:rsidRDefault="00421BB5" w:rsidP="00421BB5">
      <w:pPr>
        <w:pStyle w:val="2-1"/>
        <w:spacing w:line="440" w:lineRule="exact"/>
      </w:pPr>
      <w:r w:rsidRPr="00D65AED">
        <w:rPr>
          <w:rFonts w:hint="eastAsia"/>
        </w:rPr>
        <w:t>提案人：陳以信</w:t>
      </w:r>
    </w:p>
    <w:p w14:paraId="7793B93B" w14:textId="77777777" w:rsidR="00421BB5" w:rsidRPr="00D65AED" w:rsidRDefault="00421BB5" w:rsidP="00421BB5">
      <w:pPr>
        <w:pStyle w:val="2-1"/>
        <w:spacing w:line="440" w:lineRule="exact"/>
      </w:pPr>
      <w:r w:rsidRPr="00D65AED">
        <w:rPr>
          <w:rFonts w:hint="eastAsia"/>
        </w:rPr>
        <w:t>連署人：游毓蘭 曾銘宗 陳玉珍</w:t>
      </w:r>
    </w:p>
    <w:p w14:paraId="7936061D" w14:textId="77777777" w:rsidR="00421BB5" w:rsidRPr="00D65AED" w:rsidRDefault="00421BB5" w:rsidP="00421BB5">
      <w:pPr>
        <w:pStyle w:val="3-1"/>
        <w:spacing w:line="440" w:lineRule="exact"/>
        <w:ind w:leftChars="25" w:left="567" w:hangingChars="181" w:hanging="507"/>
        <w:rPr>
          <w:shd w:val="clear" w:color="auto" w:fill="FFFFFF"/>
        </w:rPr>
      </w:pPr>
      <w:r w:rsidRPr="00D65AED">
        <w:rPr>
          <w:rFonts w:hint="eastAsia"/>
          <w:shd w:val="clear" w:color="auto" w:fill="FFFFFF"/>
        </w:rPr>
        <w:t xml:space="preserve">  </w:t>
      </w:r>
      <w:r w:rsidRPr="00D65AED">
        <w:rPr>
          <w:shd w:val="clear" w:color="auto" w:fill="FFFFFF"/>
        </w:rPr>
        <w:t>第3項　銓敘部</w:t>
      </w:r>
      <w:r w:rsidRPr="00D65AED">
        <w:rPr>
          <w:rFonts w:hint="eastAsia"/>
          <w:shd w:val="clear" w:color="auto" w:fill="FFFFFF"/>
        </w:rPr>
        <w:t>260億4,621萬8千元</w:t>
      </w:r>
      <w:r w:rsidRPr="00D65AED">
        <w:rPr>
          <w:shd w:val="clear" w:color="auto" w:fill="FFFFFF"/>
        </w:rPr>
        <w:t>，</w:t>
      </w:r>
      <w:r w:rsidRPr="00D65AED">
        <w:rPr>
          <w:rFonts w:hint="eastAsia"/>
          <w:shd w:val="clear" w:color="auto" w:fill="FFFFFF"/>
        </w:rPr>
        <w:t>照列</w:t>
      </w:r>
      <w:r w:rsidRPr="00D65AED">
        <w:rPr>
          <w:shd w:val="clear" w:color="auto" w:fill="FFFFFF"/>
        </w:rPr>
        <w:t>。</w:t>
      </w:r>
    </w:p>
    <w:p w14:paraId="28958624"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本項通過決議</w:t>
      </w:r>
      <w:r w:rsidRPr="00D65AED">
        <w:rPr>
          <w:rFonts w:hint="eastAsia"/>
          <w:shd w:val="clear" w:color="auto" w:fill="FFFFFF"/>
        </w:rPr>
        <w:t>9</w:t>
      </w:r>
      <w:r w:rsidRPr="00D65AED">
        <w:rPr>
          <w:shd w:val="clear" w:color="auto" w:fill="FFFFFF"/>
        </w:rPr>
        <w:t>項：</w:t>
      </w:r>
    </w:p>
    <w:p w14:paraId="0B47D372" w14:textId="77777777" w:rsidR="00421BB5" w:rsidRPr="00D65AED" w:rsidRDefault="00421BB5" w:rsidP="00421BB5">
      <w:pPr>
        <w:pStyle w:val="0-"/>
        <w:spacing w:line="440" w:lineRule="exact"/>
      </w:pPr>
      <w:r w:rsidRPr="00D65AED">
        <w:rPr>
          <w:rFonts w:hint="eastAsia"/>
        </w:rPr>
        <w:t>(一)11</w:t>
      </w:r>
      <w:r w:rsidRPr="00D65AED">
        <w:t>2</w:t>
      </w:r>
      <w:r w:rsidRPr="00D65AED">
        <w:rPr>
          <w:rFonts w:hint="eastAsia"/>
        </w:rPr>
        <w:t>年度銓敘部歲出預算第1目「一般行政」項下「基本行政工作維持」編列2</w:t>
      </w:r>
      <w:r w:rsidRPr="00D65AED">
        <w:t>,936</w:t>
      </w:r>
      <w:r w:rsidRPr="00D65AED">
        <w:rPr>
          <w:rFonts w:hint="eastAsia"/>
        </w:rPr>
        <w:t>萬7千元，凍結150萬元，俟向立法院司法及法制委員會提出書面報告後，始得動支。</w:t>
      </w:r>
    </w:p>
    <w:p w14:paraId="5D877103" w14:textId="77777777" w:rsidR="00421BB5" w:rsidRPr="00D65AED" w:rsidRDefault="00421BB5" w:rsidP="00421BB5">
      <w:pPr>
        <w:pStyle w:val="2-1"/>
        <w:spacing w:line="440" w:lineRule="exact"/>
        <w:rPr>
          <w:shd w:val="clear" w:color="auto" w:fill="FFFFFF"/>
        </w:rPr>
      </w:pPr>
      <w:r w:rsidRPr="00D65AED">
        <w:rPr>
          <w:shd w:val="clear" w:color="auto" w:fill="FFFFFF"/>
        </w:rPr>
        <w:t>提案人：</w:t>
      </w:r>
      <w:r w:rsidRPr="00D65AED">
        <w:rPr>
          <w:rFonts w:hint="eastAsia"/>
          <w:shd w:val="clear" w:color="auto" w:fill="FFFFFF"/>
        </w:rPr>
        <w:t xml:space="preserve">劉建國 陳以信 周春米 江永昌 </w:t>
      </w:r>
    </w:p>
    <w:p w14:paraId="30076D90"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連署人：游毓蘭 陳玉珍 曾銘宗</w:t>
      </w:r>
    </w:p>
    <w:p w14:paraId="2802EF40" w14:textId="77777777" w:rsidR="00421BB5" w:rsidRPr="00D65AED" w:rsidRDefault="00421BB5" w:rsidP="00421BB5">
      <w:pPr>
        <w:pStyle w:val="0-"/>
        <w:spacing w:line="440" w:lineRule="exact"/>
      </w:pPr>
      <w:r w:rsidRPr="00D65AED">
        <w:rPr>
          <w:rFonts w:hint="eastAsia"/>
        </w:rPr>
        <w:t>(二)11</w:t>
      </w:r>
      <w:r w:rsidRPr="00D65AED">
        <w:t>2</w:t>
      </w:r>
      <w:r w:rsidRPr="00D65AED">
        <w:rPr>
          <w:rFonts w:hint="eastAsia"/>
        </w:rPr>
        <w:t>年度銓敘部歲出預算第2目「人事法制及銓敘」編列709萬4千元，凍結70萬元，俟向立法院司法及法制委員會提出書面報告後，始得動支。</w:t>
      </w:r>
    </w:p>
    <w:p w14:paraId="13A13E19" w14:textId="77777777" w:rsidR="00421BB5" w:rsidRPr="00D65AED" w:rsidRDefault="00421BB5" w:rsidP="00421BB5">
      <w:pPr>
        <w:pStyle w:val="2-1"/>
        <w:spacing w:line="440" w:lineRule="exact"/>
        <w:rPr>
          <w:shd w:val="clear" w:color="auto" w:fill="FFFFFF"/>
        </w:rPr>
      </w:pPr>
      <w:r w:rsidRPr="00D65AED">
        <w:rPr>
          <w:shd w:val="clear" w:color="auto" w:fill="FFFFFF"/>
        </w:rPr>
        <w:t>提案人：</w:t>
      </w:r>
      <w:r w:rsidRPr="00D65AED">
        <w:rPr>
          <w:rFonts w:hint="eastAsia"/>
          <w:shd w:val="clear" w:color="auto" w:fill="FFFFFF"/>
        </w:rPr>
        <w:t>陳玉珍 黃世杰 江永昌 游毓蘭</w:t>
      </w:r>
    </w:p>
    <w:p w14:paraId="2BD80260" w14:textId="77777777" w:rsidR="00421BB5" w:rsidRPr="00D65AED" w:rsidRDefault="00421BB5" w:rsidP="00421BB5">
      <w:pPr>
        <w:pStyle w:val="2-1"/>
        <w:spacing w:line="440" w:lineRule="exact"/>
        <w:ind w:leftChars="1867" w:left="4621" w:hangingChars="50" w:hanging="140"/>
        <w:rPr>
          <w:shd w:val="clear" w:color="auto" w:fill="FFFFFF"/>
        </w:rPr>
      </w:pPr>
      <w:r w:rsidRPr="00D65AED">
        <w:rPr>
          <w:rFonts w:hint="eastAsia"/>
          <w:shd w:val="clear" w:color="auto" w:fill="FFFFFF"/>
        </w:rPr>
        <w:t>林思銘 劉建國 周春米 陳歐珀</w:t>
      </w:r>
    </w:p>
    <w:p w14:paraId="18DFE6AF" w14:textId="77777777" w:rsidR="00421BB5" w:rsidRPr="00D65AED" w:rsidRDefault="00421BB5" w:rsidP="00421BB5">
      <w:pPr>
        <w:pStyle w:val="2-1"/>
        <w:spacing w:line="440" w:lineRule="exact"/>
        <w:ind w:leftChars="751" w:left="1802" w:firstLineChars="961" w:firstLine="2691"/>
        <w:rPr>
          <w:shd w:val="clear" w:color="auto" w:fill="FFFFFF"/>
        </w:rPr>
      </w:pPr>
      <w:r w:rsidRPr="00D65AED">
        <w:rPr>
          <w:rFonts w:hint="eastAsia"/>
          <w:shd w:val="clear" w:color="auto" w:fill="FFFFFF"/>
        </w:rPr>
        <w:t>陳以信 曾銘宗</w:t>
      </w:r>
    </w:p>
    <w:p w14:paraId="60A177D4" w14:textId="77777777" w:rsidR="00421BB5" w:rsidRPr="00D65AED" w:rsidRDefault="00421BB5" w:rsidP="00421BB5">
      <w:pPr>
        <w:pStyle w:val="0-"/>
        <w:spacing w:line="440" w:lineRule="exact"/>
      </w:pPr>
      <w:r w:rsidRPr="00D65AED">
        <w:rPr>
          <w:rFonts w:hint="eastAsia"/>
        </w:rPr>
        <w:t>(三)11</w:t>
      </w:r>
      <w:r w:rsidRPr="00D65AED">
        <w:t>2</w:t>
      </w:r>
      <w:r w:rsidRPr="00D65AED">
        <w:rPr>
          <w:rFonts w:hint="eastAsia"/>
        </w:rPr>
        <w:t>年度銓敘部歲出預算第3目「一般建築及設備」第2節「交通及運輸設備」編列93萬元</w:t>
      </w:r>
      <w:r w:rsidRPr="00D65AED">
        <w:t>，</w:t>
      </w:r>
      <w:r w:rsidRPr="00D65AED">
        <w:rPr>
          <w:rFonts w:hint="eastAsia"/>
        </w:rPr>
        <w:t>全數凍結，俟向立法院司法及法制委員會提出書面報告後，始得動支。</w:t>
      </w:r>
    </w:p>
    <w:p w14:paraId="2D7ED8F5" w14:textId="77777777" w:rsidR="00421BB5" w:rsidRPr="00D65AED" w:rsidRDefault="00421BB5" w:rsidP="00421BB5">
      <w:pPr>
        <w:pStyle w:val="2-1"/>
        <w:spacing w:line="440" w:lineRule="exact"/>
        <w:rPr>
          <w:shd w:val="clear" w:color="auto" w:fill="FFFFFF"/>
        </w:rPr>
      </w:pPr>
      <w:r w:rsidRPr="00D65AED">
        <w:rPr>
          <w:shd w:val="clear" w:color="auto" w:fill="FFFFFF"/>
        </w:rPr>
        <w:t>提案人：</w:t>
      </w:r>
      <w:r w:rsidRPr="00D65AED">
        <w:rPr>
          <w:rFonts w:hint="eastAsia"/>
          <w:shd w:val="clear" w:color="auto" w:fill="FFFFFF"/>
        </w:rPr>
        <w:t>陳玉珍 陳以信</w:t>
      </w:r>
    </w:p>
    <w:p w14:paraId="7655F9C8"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連署人：曾銘宗 林思銘 游毓蘭</w:t>
      </w:r>
    </w:p>
    <w:p w14:paraId="5B5C5222" w14:textId="77777777" w:rsidR="00421BB5" w:rsidRPr="00D65AED" w:rsidRDefault="00421BB5" w:rsidP="00421BB5">
      <w:pPr>
        <w:pStyle w:val="0-"/>
        <w:spacing w:line="440" w:lineRule="exact"/>
      </w:pPr>
      <w:r w:rsidRPr="00D65AED">
        <w:rPr>
          <w:rFonts w:hint="eastAsia"/>
        </w:rPr>
        <w:t>(四)11</w:t>
      </w:r>
      <w:r w:rsidRPr="00D65AED">
        <w:t>2</w:t>
      </w:r>
      <w:r w:rsidRPr="00D65AED">
        <w:rPr>
          <w:rFonts w:hint="eastAsia"/>
        </w:rPr>
        <w:t>年度銓敘部歲出預算第8目「退休撫卹業務」編列217萬5千元</w:t>
      </w:r>
      <w:r w:rsidRPr="00D65AED">
        <w:t>，</w:t>
      </w:r>
      <w:r w:rsidRPr="00D65AED">
        <w:rPr>
          <w:rFonts w:hint="eastAsia"/>
        </w:rPr>
        <w:t>凍結10萬元，俟向立法院司法及法制委員會提出書面報告後，始得動支。</w:t>
      </w:r>
    </w:p>
    <w:p w14:paraId="7FC7D284" w14:textId="77777777" w:rsidR="00421BB5" w:rsidRPr="00D65AED" w:rsidRDefault="00421BB5" w:rsidP="00421BB5">
      <w:pPr>
        <w:pStyle w:val="2-1"/>
        <w:spacing w:line="440" w:lineRule="exact"/>
        <w:rPr>
          <w:shd w:val="clear" w:color="auto" w:fill="FFFFFF"/>
        </w:rPr>
      </w:pPr>
      <w:r w:rsidRPr="00D65AED">
        <w:rPr>
          <w:shd w:val="clear" w:color="auto" w:fill="FFFFFF"/>
        </w:rPr>
        <w:t>提案人：</w:t>
      </w:r>
      <w:r w:rsidRPr="00D65AED">
        <w:rPr>
          <w:rFonts w:hint="eastAsia"/>
          <w:shd w:val="clear" w:color="auto" w:fill="FFFFFF"/>
        </w:rPr>
        <w:t>游毓蘭 陳玉珍 林思銘</w:t>
      </w:r>
    </w:p>
    <w:p w14:paraId="2FE40EEF" w14:textId="77777777" w:rsidR="00421BB5" w:rsidRPr="00D65AED" w:rsidRDefault="00421BB5" w:rsidP="00421BB5">
      <w:pPr>
        <w:pStyle w:val="0-"/>
        <w:spacing w:line="440" w:lineRule="exact"/>
      </w:pPr>
      <w:r w:rsidRPr="00D65AED">
        <w:rPr>
          <w:rFonts w:hint="eastAsia"/>
        </w:rPr>
        <w:t>(五)資通安全管理法實施已逾三年，資安管理若不夠嚴謹，恐將導</w:t>
      </w:r>
      <w:r w:rsidRPr="00D65AED">
        <w:rPr>
          <w:rFonts w:hint="eastAsia"/>
        </w:rPr>
        <w:lastRenderedPageBreak/>
        <w:t>致資安破口，考試院被核定為資安等級A級之公務機關，惟銓敘部現行資訊系統仍有安全維護不足之處，允宜與相關單位進行檢討並研議改善方案。</w:t>
      </w:r>
    </w:p>
    <w:p w14:paraId="5B1DBFC3" w14:textId="77777777" w:rsidR="00421BB5" w:rsidRPr="00D65AED" w:rsidRDefault="00421BB5" w:rsidP="00421BB5">
      <w:pPr>
        <w:pStyle w:val="0-2"/>
        <w:spacing w:line="440" w:lineRule="exact"/>
      </w:pPr>
      <w:r w:rsidRPr="00D65AED">
        <w:rPr>
          <w:rFonts w:hint="eastAsia"/>
        </w:rPr>
        <w:t>爰此，請銓敘部向立法院司法及法制委員會提出改善書面報告。</w:t>
      </w:r>
    </w:p>
    <w:p w14:paraId="1F528CFC" w14:textId="77777777" w:rsidR="00421BB5" w:rsidRPr="00D65AED" w:rsidRDefault="00421BB5" w:rsidP="00421BB5">
      <w:pPr>
        <w:pStyle w:val="2-1"/>
        <w:spacing w:line="440" w:lineRule="exact"/>
      </w:pPr>
      <w:r w:rsidRPr="00D65AED">
        <w:rPr>
          <w:rFonts w:hint="eastAsia"/>
          <w:shd w:val="clear" w:color="auto" w:fill="FFFFFF"/>
        </w:rPr>
        <w:t>提案人：林思銘 陳以信 曾銘宗</w:t>
      </w:r>
    </w:p>
    <w:p w14:paraId="3CF75DAA" w14:textId="77777777" w:rsidR="00421BB5" w:rsidRPr="00D65AED" w:rsidRDefault="00421BB5" w:rsidP="00421BB5">
      <w:pPr>
        <w:pStyle w:val="0-"/>
        <w:spacing w:line="440" w:lineRule="exact"/>
      </w:pPr>
      <w:r w:rsidRPr="00D65AED">
        <w:rPr>
          <w:rFonts w:hint="eastAsia"/>
        </w:rPr>
        <w:t>(六)112年度</w:t>
      </w:r>
      <w:r w:rsidRPr="00D65AED">
        <w:t>銓敘部</w:t>
      </w:r>
      <w:r w:rsidRPr="00D65AED">
        <w:rPr>
          <w:rFonts w:hint="eastAsia"/>
        </w:rPr>
        <w:t>歲出</w:t>
      </w:r>
      <w:r w:rsidRPr="00D65AED">
        <w:t>預算</w:t>
      </w:r>
      <w:r w:rsidRPr="00D65AED">
        <w:rPr>
          <w:rFonts w:hint="eastAsia"/>
        </w:rPr>
        <w:t>有關</w:t>
      </w:r>
      <w:r w:rsidRPr="00D65AED">
        <w:t>「人事法制及銓敘」業務計畫，工作要項之一為辦理人事政策與人事法規之綜合規劃暨審議。依據公務人員退休資遣撫卹法第93條規定，112年7月1日以後初任公務人員者將施行退撫新制，惟立法程序及相關配套措施仍未完成，允宜</w:t>
      </w:r>
      <w:r w:rsidRPr="00D65AED">
        <w:rPr>
          <w:rFonts w:hint="eastAsia"/>
        </w:rPr>
        <w:t>相關機關研議</w:t>
      </w:r>
      <w:r w:rsidRPr="00D65AED">
        <w:t>加強推動時程與作業進度之管控</w:t>
      </w:r>
      <w:r w:rsidRPr="00D65AED">
        <w:rPr>
          <w:rFonts w:hint="eastAsia"/>
        </w:rPr>
        <w:t>。</w:t>
      </w:r>
    </w:p>
    <w:p w14:paraId="78D10C7C" w14:textId="77777777" w:rsidR="00421BB5" w:rsidRPr="00D65AED" w:rsidRDefault="00421BB5" w:rsidP="00421BB5">
      <w:pPr>
        <w:pStyle w:val="0-2"/>
        <w:spacing w:line="440" w:lineRule="exact"/>
      </w:pPr>
      <w:r w:rsidRPr="00D65AED">
        <w:rPr>
          <w:rFonts w:hint="eastAsia"/>
        </w:rPr>
        <w:t>爰此，請銓敘部與有關單位研議改善計畫相關報告，向立法院司法及法制委員會提出書面報告。</w:t>
      </w:r>
    </w:p>
    <w:p w14:paraId="06D8E710"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提案人：林思銘 陳以信 曾銘宗</w:t>
      </w:r>
    </w:p>
    <w:p w14:paraId="4A250796" w14:textId="77777777" w:rsidR="00421BB5" w:rsidRPr="00D65AED" w:rsidRDefault="00421BB5" w:rsidP="00421BB5">
      <w:pPr>
        <w:pStyle w:val="0-"/>
        <w:spacing w:line="440" w:lineRule="exact"/>
      </w:pPr>
      <w:r w:rsidRPr="00D65AED">
        <w:rPr>
          <w:rFonts w:hint="eastAsia"/>
        </w:rPr>
        <w:t>(七)112年度</w:t>
      </w:r>
      <w:r w:rsidRPr="00D65AED">
        <w:t>銓敘部</w:t>
      </w:r>
      <w:r w:rsidRPr="00D65AED">
        <w:rPr>
          <w:rFonts w:hint="eastAsia"/>
        </w:rPr>
        <w:t>歲出</w:t>
      </w:r>
      <w:r w:rsidRPr="00D65AED">
        <w:t>預算「公務人員退休撫卹給付」業務</w:t>
      </w:r>
      <w:r w:rsidRPr="00D65AED">
        <w:rPr>
          <w:rFonts w:hint="eastAsia"/>
        </w:rPr>
        <w:t>計畫</w:t>
      </w:r>
      <w:r w:rsidRPr="00D65AED">
        <w:t>，</w:t>
      </w:r>
      <w:r w:rsidRPr="00D65AED">
        <w:rPr>
          <w:rFonts w:hint="eastAsia"/>
        </w:rPr>
        <w:t>主要工作要項</w:t>
      </w:r>
      <w:r w:rsidRPr="00D65AED">
        <w:t>係核發中央機關公(政)務人員退休(職)金給付</w:t>
      </w:r>
      <w:r w:rsidRPr="00D65AED">
        <w:rPr>
          <w:rFonts w:hint="eastAsia"/>
        </w:rPr>
        <w:t>及其他現金給與補償金暨補助退休</w:t>
      </w:r>
      <w:r w:rsidRPr="00D65AED">
        <w:t>(職)</w:t>
      </w:r>
      <w:r w:rsidRPr="00D65AED">
        <w:rPr>
          <w:rFonts w:hint="eastAsia"/>
        </w:rPr>
        <w:t>金優惠存款差額利息等</w:t>
      </w:r>
      <w:r w:rsidRPr="00D65AED">
        <w:t>，以安定退休(職)人員生活。為因應112年7月1日預計實施退撫新制後，現有</w:t>
      </w:r>
      <w:r w:rsidRPr="00D65AED">
        <w:rPr>
          <w:rFonts w:hint="eastAsia"/>
        </w:rPr>
        <w:t>公務人員</w:t>
      </w:r>
      <w:r w:rsidRPr="00D65AED">
        <w:t>退</w:t>
      </w:r>
      <w:r w:rsidRPr="00D65AED">
        <w:rPr>
          <w:rFonts w:hint="eastAsia"/>
        </w:rPr>
        <w:t>休</w:t>
      </w:r>
      <w:r w:rsidRPr="00D65AED">
        <w:t>撫</w:t>
      </w:r>
      <w:r w:rsidRPr="00D65AED">
        <w:rPr>
          <w:rFonts w:hint="eastAsia"/>
        </w:rPr>
        <w:t>卹</w:t>
      </w:r>
      <w:r w:rsidRPr="00D65AED">
        <w:t>基金之支給恐面臨資金缺口，允宜</w:t>
      </w:r>
      <w:r w:rsidRPr="00D65AED">
        <w:rPr>
          <w:rFonts w:hint="eastAsia"/>
        </w:rPr>
        <w:t>相關機關研議</w:t>
      </w:r>
      <w:r w:rsidRPr="00D65AED">
        <w:t>加強推動時程與作業進度之管控</w:t>
      </w:r>
      <w:r w:rsidRPr="00D65AED">
        <w:rPr>
          <w:rFonts w:hint="eastAsia"/>
        </w:rPr>
        <w:t>。</w:t>
      </w:r>
    </w:p>
    <w:p w14:paraId="09A0D6DE" w14:textId="77777777" w:rsidR="00421BB5" w:rsidRPr="00D65AED" w:rsidRDefault="00421BB5" w:rsidP="00421BB5">
      <w:pPr>
        <w:pStyle w:val="0-2"/>
        <w:spacing w:line="440" w:lineRule="exact"/>
      </w:pPr>
      <w:r w:rsidRPr="00D65AED">
        <w:rPr>
          <w:rFonts w:hint="eastAsia"/>
        </w:rPr>
        <w:t>爰此，請銓敘部與有關單位研議公務人員</w:t>
      </w:r>
      <w:r w:rsidRPr="00D65AED">
        <w:t>退</w:t>
      </w:r>
      <w:r w:rsidRPr="00D65AED">
        <w:rPr>
          <w:rFonts w:hint="eastAsia"/>
        </w:rPr>
        <w:t>休</w:t>
      </w:r>
      <w:r w:rsidRPr="00D65AED">
        <w:t>撫</w:t>
      </w:r>
      <w:r w:rsidRPr="00D65AED">
        <w:rPr>
          <w:rFonts w:hint="eastAsia"/>
        </w:rPr>
        <w:t>卹基金支給缺口相關改善計畫，向立法院司法及法制委員會提出書面報告。</w:t>
      </w:r>
    </w:p>
    <w:p w14:paraId="7A5FC029" w14:textId="77777777" w:rsidR="00421BB5" w:rsidRPr="00D65AED" w:rsidRDefault="00421BB5" w:rsidP="00421BB5">
      <w:pPr>
        <w:pStyle w:val="2-1"/>
        <w:spacing w:line="440" w:lineRule="exact"/>
      </w:pPr>
      <w:r w:rsidRPr="00D65AED">
        <w:rPr>
          <w:rFonts w:hint="eastAsia"/>
          <w:shd w:val="clear" w:color="auto" w:fill="FFFFFF"/>
        </w:rPr>
        <w:t>提案人：林思銘 陳以信 曾銘宗</w:t>
      </w:r>
    </w:p>
    <w:p w14:paraId="465BE9F8" w14:textId="77777777" w:rsidR="00421BB5" w:rsidRPr="00D65AED" w:rsidRDefault="00421BB5" w:rsidP="00421BB5">
      <w:pPr>
        <w:pStyle w:val="0-"/>
        <w:spacing w:line="440" w:lineRule="exact"/>
      </w:pPr>
      <w:r w:rsidRPr="00D65AED">
        <w:rPr>
          <w:rFonts w:hint="eastAsia"/>
        </w:rPr>
        <w:t>(八)軍公教年金改革自107年7月1日實施，優惠利息補貼2年落日，惟保留支領一次退者之優惠利息補貼。政務人員優惠利息補貼差額預算107年1億5</w:t>
      </w:r>
      <w:r w:rsidRPr="00D65AED">
        <w:t>,</w:t>
      </w:r>
      <w:r w:rsidRPr="00D65AED">
        <w:rPr>
          <w:rFonts w:hint="eastAsia"/>
        </w:rPr>
        <w:t>304萬7千元、108年1億1</w:t>
      </w:r>
      <w:r w:rsidRPr="00D65AED">
        <w:t>,</w:t>
      </w:r>
      <w:r w:rsidRPr="00D65AED">
        <w:rPr>
          <w:rFonts w:hint="eastAsia"/>
        </w:rPr>
        <w:t>260萬8千元、109年7</w:t>
      </w:r>
      <w:r w:rsidRPr="00D65AED">
        <w:t>,</w:t>
      </w:r>
      <w:r w:rsidRPr="00D65AED">
        <w:rPr>
          <w:rFonts w:hint="eastAsia"/>
        </w:rPr>
        <w:t>016萬5千元、110年7</w:t>
      </w:r>
      <w:r w:rsidRPr="00D65AED">
        <w:t>,</w:t>
      </w:r>
      <w:r w:rsidRPr="00D65AED">
        <w:rPr>
          <w:rFonts w:hint="eastAsia"/>
        </w:rPr>
        <w:t>397萬元、111年4</w:t>
      </w:r>
      <w:r w:rsidRPr="00D65AED">
        <w:t>,</w:t>
      </w:r>
      <w:r w:rsidRPr="00D65AED">
        <w:rPr>
          <w:rFonts w:hint="eastAsia"/>
        </w:rPr>
        <w:t>40</w:t>
      </w:r>
      <w:r w:rsidRPr="00D65AED">
        <w:t>4</w:t>
      </w:r>
      <w:r w:rsidRPr="00D65AED">
        <w:rPr>
          <w:rFonts w:hint="eastAsia"/>
        </w:rPr>
        <w:t>萬3千元，請銓敘部就政務人員優惠存款差額利息歷年實際撥付及預算編列情形，向立法院司法及法制委員會提出書面報告。</w:t>
      </w:r>
    </w:p>
    <w:p w14:paraId="4F2B9959"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lastRenderedPageBreak/>
        <w:t>提案人：鄭運鵬 陳歐珀</w:t>
      </w:r>
      <w:r w:rsidRPr="00D65AED">
        <w:rPr>
          <w:shd w:val="clear" w:color="auto" w:fill="FFFFFF"/>
        </w:rPr>
        <w:t xml:space="preserve"> </w:t>
      </w:r>
      <w:r w:rsidRPr="00D65AED">
        <w:rPr>
          <w:rFonts w:hint="eastAsia"/>
          <w:shd w:val="clear" w:color="auto" w:fill="FFFFFF"/>
        </w:rPr>
        <w:t>黃世杰</w:t>
      </w:r>
    </w:p>
    <w:p w14:paraId="56A6C565"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(九)111年3月行政院通過「公務人員個人專戶制退休資遣撫卹法草案」，依草案之相關規劃，112年起初任之公務員將適用相關規定，將採取個人提撥制，並可自選投資平台，修法方向亦受各界之支持。</w:t>
      </w:r>
    </w:p>
    <w:p w14:paraId="56EF9A44" w14:textId="77777777" w:rsidR="00421BB5" w:rsidRPr="00D65AED" w:rsidRDefault="00421BB5" w:rsidP="00421BB5">
      <w:pPr>
        <w:pStyle w:val="0-2"/>
        <w:spacing w:line="440" w:lineRule="exact"/>
      </w:pPr>
      <w:r w:rsidRPr="00D65AED">
        <w:rPr>
          <w:rFonts w:hint="eastAsia"/>
        </w:rPr>
        <w:t>然，依據上開草案之規定，非112年後初任之公務人員，因受限於退撫金之提撥，皆直接繳納至公務人員退休撫卹基金之大水庫，將無從適用自選投資平台之有關規定，政府之美意無法適用至現職之公務人員。且經查，勞工退休基金未來亦將有自選投資標的之機制，獨漏現職公務人員之制度設計是否有當確有值得商榷之處。</w:t>
      </w:r>
    </w:p>
    <w:p w14:paraId="40FE1618" w14:textId="77777777" w:rsidR="00421BB5" w:rsidRPr="00D65AED" w:rsidRDefault="00421BB5" w:rsidP="00421BB5">
      <w:pPr>
        <w:pStyle w:val="0-2"/>
        <w:spacing w:line="440" w:lineRule="exact"/>
        <w:rPr>
          <w:color w:val="000000"/>
        </w:rPr>
      </w:pPr>
      <w:r w:rsidRPr="00D65AED">
        <w:rPr>
          <w:rFonts w:hint="eastAsia"/>
        </w:rPr>
        <w:t>綜上，請銓敘部於1個月內提出現職人員之退休撫卹基金適用自選投資平台相關配套規定，並提交相關書面報告予立法院司法及法制委員會。</w:t>
      </w:r>
    </w:p>
    <w:p w14:paraId="6EA26611"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color w:val="000000"/>
          <w:sz w:val="28"/>
          <w:szCs w:val="28"/>
          <w:shd w:val="clear" w:color="auto" w:fill="FFFFFF"/>
        </w:rPr>
      </w:pPr>
      <w:r w:rsidRPr="00D65AED">
        <w:rPr>
          <w:rFonts w:ascii="標楷體" w:eastAsia="標楷體" w:hAnsi="標楷體" w:hint="eastAsia"/>
          <w:color w:val="000000"/>
          <w:sz w:val="28"/>
          <w:szCs w:val="28"/>
          <w:shd w:val="clear" w:color="auto" w:fill="FFFFFF"/>
        </w:rPr>
        <w:t>提案人：周春米 劉建國</w:t>
      </w:r>
      <w:r w:rsidRPr="00D65AED">
        <w:rPr>
          <w:rFonts w:ascii="標楷體" w:eastAsia="標楷體" w:hAnsi="標楷體"/>
          <w:color w:val="000000"/>
          <w:sz w:val="28"/>
          <w:szCs w:val="28"/>
          <w:shd w:val="clear" w:color="auto" w:fill="FFFFFF"/>
        </w:rPr>
        <w:t xml:space="preserve"> </w:t>
      </w:r>
      <w:r w:rsidRPr="00D65AED">
        <w:rPr>
          <w:rFonts w:ascii="標楷體" w:eastAsia="標楷體" w:hAnsi="標楷體" w:hint="eastAsia"/>
          <w:color w:val="000000"/>
          <w:sz w:val="28"/>
          <w:szCs w:val="28"/>
          <w:shd w:val="clear" w:color="auto" w:fill="FFFFFF"/>
        </w:rPr>
        <w:t>江永昌</w:t>
      </w:r>
    </w:p>
    <w:p w14:paraId="673281BA" w14:textId="77777777" w:rsidR="00421BB5" w:rsidRPr="00D65AED" w:rsidRDefault="00421BB5" w:rsidP="00421BB5">
      <w:pPr>
        <w:pStyle w:val="3-1"/>
        <w:spacing w:line="440" w:lineRule="exact"/>
        <w:ind w:left="1600" w:hanging="1120"/>
        <w:rPr>
          <w:shd w:val="clear" w:color="auto" w:fill="FFFFFF"/>
        </w:rPr>
      </w:pPr>
      <w:r w:rsidRPr="00D65AED">
        <w:rPr>
          <w:shd w:val="clear" w:color="auto" w:fill="FFFFFF"/>
        </w:rPr>
        <w:t>第4項　公務人員保障暨培訓委員會</w:t>
      </w:r>
      <w:r w:rsidRPr="00D65AED">
        <w:rPr>
          <w:rFonts w:hint="eastAsia"/>
          <w:shd w:val="clear" w:color="auto" w:fill="FFFFFF"/>
        </w:rPr>
        <w:t>1億8,917萬4千元，照列</w:t>
      </w:r>
      <w:r w:rsidRPr="00D65AED">
        <w:rPr>
          <w:shd w:val="clear" w:color="auto" w:fill="FFFFFF"/>
        </w:rPr>
        <w:t>。</w:t>
      </w:r>
    </w:p>
    <w:p w14:paraId="17A7979C" w14:textId="77777777" w:rsidR="00421BB5" w:rsidRPr="00D65AED" w:rsidRDefault="00421BB5" w:rsidP="00421BB5">
      <w:pPr>
        <w:pStyle w:val="3-1"/>
        <w:spacing w:line="440" w:lineRule="exact"/>
        <w:ind w:left="1600" w:hanging="1120"/>
        <w:rPr>
          <w:color w:val="000000"/>
          <w:shd w:val="clear" w:color="auto" w:fill="FFFFFF"/>
        </w:rPr>
      </w:pPr>
      <w:r w:rsidRPr="00D65AED">
        <w:rPr>
          <w:color w:val="000000"/>
          <w:shd w:val="clear" w:color="auto" w:fill="FFFFFF"/>
        </w:rPr>
        <w:t>本項通過決議</w:t>
      </w:r>
      <w:r w:rsidRPr="00D65AED">
        <w:rPr>
          <w:rFonts w:hint="eastAsia"/>
          <w:color w:val="000000"/>
          <w:shd w:val="clear" w:color="auto" w:fill="FFFFFF"/>
        </w:rPr>
        <w:t>5</w:t>
      </w:r>
      <w:r w:rsidRPr="00D65AED">
        <w:rPr>
          <w:color w:val="000000"/>
          <w:shd w:val="clear" w:color="auto" w:fill="FFFFFF"/>
        </w:rPr>
        <w:t>項：</w:t>
      </w:r>
    </w:p>
    <w:p w14:paraId="137009C0" w14:textId="77777777" w:rsidR="00421BB5" w:rsidRPr="00D65AED" w:rsidRDefault="00421BB5" w:rsidP="00421BB5">
      <w:pPr>
        <w:pStyle w:val="0-"/>
        <w:spacing w:line="440" w:lineRule="exact"/>
      </w:pPr>
      <w:r w:rsidRPr="00D65AED">
        <w:rPr>
          <w:rFonts w:hint="eastAsia"/>
        </w:rPr>
        <w:t>(一)11</w:t>
      </w:r>
      <w:r w:rsidRPr="00D65AED">
        <w:t>2</w:t>
      </w:r>
      <w:r w:rsidRPr="00D65AED">
        <w:rPr>
          <w:rFonts w:hint="eastAsia"/>
        </w:rPr>
        <w:t>年度</w:t>
      </w:r>
      <w:r w:rsidRPr="00D65AED">
        <w:t>公務人員保障暨培訓委員會</w:t>
      </w:r>
      <w:r w:rsidRPr="00D65AED">
        <w:rPr>
          <w:rFonts w:hint="eastAsia"/>
        </w:rPr>
        <w:t>歲出預算第1目「一般行政」項下「基本行政工作維持」編列2,110萬4千元，凍結100萬元，俟向立法院司法及法制委員會提出書面及專案報告後，始得動支。</w:t>
      </w:r>
    </w:p>
    <w:p w14:paraId="4C32C891" w14:textId="77777777" w:rsidR="00421BB5" w:rsidRPr="00D65AED" w:rsidRDefault="00421BB5" w:rsidP="00421BB5">
      <w:pPr>
        <w:pStyle w:val="2-1"/>
        <w:spacing w:line="440" w:lineRule="exact"/>
        <w:rPr>
          <w:shd w:val="clear" w:color="auto" w:fill="FFFFFF"/>
        </w:rPr>
      </w:pPr>
      <w:r w:rsidRPr="00D65AED">
        <w:rPr>
          <w:shd w:val="clear" w:color="auto" w:fill="FFFFFF"/>
        </w:rPr>
        <w:t>提案人：</w:t>
      </w:r>
      <w:r w:rsidRPr="00D65AED">
        <w:rPr>
          <w:rFonts w:hint="eastAsia"/>
          <w:shd w:val="clear" w:color="auto" w:fill="FFFFFF"/>
        </w:rPr>
        <w:t>陳以信 陳玉珍</w:t>
      </w:r>
    </w:p>
    <w:p w14:paraId="534536E5"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連署人：游毓蘭 曾銘宗 林思銘</w:t>
      </w:r>
    </w:p>
    <w:p w14:paraId="2157CF54"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(二)11</w:t>
      </w:r>
      <w:r w:rsidRPr="00D65AED">
        <w:rPr>
          <w:rFonts w:ascii="標楷體" w:eastAsia="標楷體" w:hAnsi="標楷體"/>
          <w:kern w:val="0"/>
          <w:sz w:val="28"/>
          <w:szCs w:val="28"/>
          <w:shd w:val="clear" w:color="auto" w:fill="FFFFFF"/>
        </w:rPr>
        <w:t>2</w:t>
      </w:r>
      <w:r w:rsidRPr="00D65AED">
        <w:rPr>
          <w:rFonts w:ascii="標楷體" w:eastAsia="標楷體" w:hAnsi="標楷體" w:hint="eastAsia"/>
          <w:kern w:val="0"/>
          <w:sz w:val="28"/>
          <w:szCs w:val="28"/>
          <w:shd w:val="clear" w:color="auto" w:fill="FFFFFF"/>
        </w:rPr>
        <w:t>年度</w:t>
      </w:r>
      <w:r w:rsidRPr="00D65AED">
        <w:rPr>
          <w:rFonts w:ascii="標楷體" w:eastAsia="標楷體" w:hAnsi="標楷體"/>
          <w:sz w:val="28"/>
          <w:szCs w:val="28"/>
          <w:shd w:val="clear" w:color="auto" w:fill="FFFFFF"/>
        </w:rPr>
        <w:t>公務人員保障暨培訓委員會</w:t>
      </w:r>
      <w:r w:rsidRPr="00D65AED">
        <w:rPr>
          <w:rFonts w:ascii="標楷體" w:eastAsia="標楷體" w:hAnsi="標楷體" w:hint="eastAsia"/>
          <w:kern w:val="0"/>
          <w:sz w:val="28"/>
          <w:szCs w:val="28"/>
          <w:shd w:val="clear" w:color="auto" w:fill="FFFFFF"/>
        </w:rPr>
        <w:t>歲出預算第2目「保障暨培訓」編列1</w:t>
      </w:r>
      <w:r w:rsidRPr="00D65AED">
        <w:rPr>
          <w:rFonts w:ascii="標楷體" w:eastAsia="標楷體" w:hAnsi="標楷體" w:hint="eastAsia"/>
          <w:sz w:val="28"/>
          <w:szCs w:val="28"/>
          <w:shd w:val="clear" w:color="auto" w:fill="FFFFFF"/>
        </w:rPr>
        <w:t>,</w:t>
      </w:r>
      <w:r w:rsidRPr="00D65AED">
        <w:rPr>
          <w:rFonts w:ascii="標楷體" w:eastAsia="標楷體" w:hAnsi="標楷體" w:hint="eastAsia"/>
          <w:kern w:val="0"/>
          <w:sz w:val="28"/>
          <w:szCs w:val="28"/>
          <w:shd w:val="clear" w:color="auto" w:fill="FFFFFF"/>
        </w:rPr>
        <w:t>997萬6千元，凍結100萬元，俟向立法院司法及法制委員會提出書面及專案報告後，始得動支。</w:t>
      </w:r>
    </w:p>
    <w:p w14:paraId="40B97EB7"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提案人：陳玉珍 黃世杰 林思銘 江永昌</w:t>
      </w:r>
    </w:p>
    <w:p w14:paraId="273F0AF9" w14:textId="77777777" w:rsidR="00421BB5" w:rsidRPr="00D65AED" w:rsidRDefault="00421BB5" w:rsidP="00421BB5">
      <w:pPr>
        <w:pStyle w:val="2-1"/>
        <w:spacing w:line="440" w:lineRule="exact"/>
        <w:ind w:leftChars="1866" w:left="4618" w:hangingChars="50" w:hanging="140"/>
        <w:rPr>
          <w:shd w:val="clear" w:color="auto" w:fill="FFFFFF"/>
        </w:rPr>
      </w:pPr>
      <w:r w:rsidRPr="00D65AED">
        <w:rPr>
          <w:rFonts w:hint="eastAsia"/>
          <w:shd w:val="clear" w:color="auto" w:fill="FFFFFF"/>
        </w:rPr>
        <w:t>劉建國 陳以信 曾銘宗 陳歐珀</w:t>
      </w:r>
    </w:p>
    <w:p w14:paraId="3894B9CA" w14:textId="77777777" w:rsidR="00421BB5" w:rsidRPr="00D65AED" w:rsidRDefault="00421BB5" w:rsidP="00421BB5">
      <w:pPr>
        <w:pStyle w:val="2-1"/>
        <w:spacing w:line="440" w:lineRule="exact"/>
        <w:ind w:leftChars="1866" w:left="4618" w:hangingChars="50" w:hanging="140"/>
        <w:rPr>
          <w:shd w:val="clear" w:color="auto" w:fill="FFFFFF"/>
        </w:rPr>
      </w:pPr>
      <w:r w:rsidRPr="00D65AED">
        <w:rPr>
          <w:rFonts w:hint="eastAsia"/>
          <w:shd w:val="clear" w:color="auto" w:fill="FFFFFF"/>
        </w:rPr>
        <w:t xml:space="preserve">周春米 </w:t>
      </w:r>
    </w:p>
    <w:p w14:paraId="3CA8513A" w14:textId="77777777" w:rsidR="00421BB5" w:rsidRPr="00D65AED" w:rsidRDefault="00421BB5" w:rsidP="00421BB5">
      <w:pPr>
        <w:kinsoku w:val="0"/>
        <w:overflowPunct w:val="0"/>
        <w:spacing w:line="440" w:lineRule="exact"/>
        <w:ind w:leftChars="200" w:left="1040" w:hangingChars="200" w:hanging="560"/>
        <w:jc w:val="both"/>
        <w:rPr>
          <w:rFonts w:ascii="標楷體" w:eastAsia="標楷體" w:hAnsi="標楷體"/>
          <w:color w:val="000000"/>
          <w:kern w:val="0"/>
          <w:sz w:val="28"/>
          <w:szCs w:val="28"/>
          <w:shd w:val="clear" w:color="auto" w:fill="FFFFFF"/>
        </w:rPr>
      </w:pPr>
      <w:r w:rsidRPr="00D65AED">
        <w:rPr>
          <w:rFonts w:ascii="標楷體" w:eastAsia="標楷體" w:hAnsi="標楷體" w:hint="eastAsia"/>
          <w:color w:val="000000"/>
          <w:kern w:val="0"/>
          <w:sz w:val="28"/>
          <w:szCs w:val="28"/>
          <w:shd w:val="clear" w:color="auto" w:fill="FFFFFF"/>
        </w:rPr>
        <w:t>(三)112年度公務人員保障暨培訓委員會歲出預算編列新臺幣1億8,917萬4千元，就賡續辦理數位治理課程，由公務人員保障暨培訓委員會辦理。考試院近來配合國家政策，推動數位轉型</w:t>
      </w:r>
      <w:r w:rsidRPr="00D65AED">
        <w:rPr>
          <w:rFonts w:ascii="標楷體" w:eastAsia="標楷體" w:hAnsi="標楷體" w:hint="eastAsia"/>
          <w:color w:val="000000"/>
          <w:kern w:val="0"/>
          <w:sz w:val="28"/>
          <w:szCs w:val="28"/>
          <w:shd w:val="clear" w:color="auto" w:fill="FFFFFF"/>
        </w:rPr>
        <w:lastRenderedPageBreak/>
        <w:t>甚為積極，對國家文官有關數位、資訊、資安之知能提升，良有助益。考試院定調政策後，公務人員保障暨培訓委員會即於基礎訓練及晉升官等訓練，整體性規劃數位治理及資訊安全相關課程，受訓人數每年平均達9,500人，充分配合國家數位轉型政策方向。公務人員保障暨培訓委員會應持續辦理數位治理相關課程，提升文官體系之數位轉型。</w:t>
      </w:r>
    </w:p>
    <w:p w14:paraId="2040E58E"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提案人：游毓蘭 陳玉珍 林思銘</w:t>
      </w:r>
    </w:p>
    <w:p w14:paraId="74B33700" w14:textId="77777777" w:rsidR="00421BB5" w:rsidRPr="00D65AED" w:rsidRDefault="00421BB5" w:rsidP="00421BB5">
      <w:pPr>
        <w:pStyle w:val="0-"/>
        <w:spacing w:line="440" w:lineRule="exact"/>
      </w:pPr>
      <w:r w:rsidRPr="00D65AED">
        <w:rPr>
          <w:rFonts w:hint="eastAsia"/>
        </w:rPr>
        <w:t>(四)112年度公務人員保障暨培訓委員會歲出預算編列新臺幣1億8</w:t>
      </w:r>
      <w:r w:rsidRPr="00D65AED">
        <w:t>,</w:t>
      </w:r>
      <w:r w:rsidRPr="00D65AED">
        <w:rPr>
          <w:rFonts w:hint="eastAsia"/>
        </w:rPr>
        <w:t>917萬4千元，就終結預簽降調同意書之警察人事作業，由公務人員保障暨培訓委員會辦理。經查，內政部警政署長年要求警察官一旦陞遷警監職務，即在整體人事作業時要求事前預簽一般性、未針對任何具體事件之同意書，致服務機關得隨時降調其職務。次查，保障事件110公審決字第000792號之案情，與上述情形相符，保訓會亦作成撤銷原處分之決定。末查，針對審查個案保障事件中，發現之通案性人事問題，保訓會迭有以附帶決議之方式促成通案改善（例如警察機關連坐懲處之誤用）。建議保訓會充分注意此類違法降調案件之個案、通案性問題。爰建議由公務人員保障暨培訓委員會協助辦理。</w:t>
      </w:r>
    </w:p>
    <w:p w14:paraId="1A51E09B"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提案人：游毓蘭 陳玉珍 林思銘</w:t>
      </w:r>
    </w:p>
    <w:p w14:paraId="52225979" w14:textId="77777777" w:rsidR="00421BB5" w:rsidRPr="00D65AED" w:rsidRDefault="00421BB5" w:rsidP="00421BB5">
      <w:pPr>
        <w:pStyle w:val="0-"/>
        <w:spacing w:line="440" w:lineRule="exact"/>
      </w:pPr>
      <w:r w:rsidRPr="00D65AED">
        <w:rPr>
          <w:rFonts w:hint="eastAsia"/>
        </w:rPr>
        <w:t>(五)依據公務人員安全及衛生防護辦法第20條規定，各機關對於妊娠中及分娩後未滿1年之女性公務人員，應依醫師適性評估建議，並聽取當事人之意見，採取必要之工作調整或其他健康保護措施。</w:t>
      </w:r>
    </w:p>
    <w:p w14:paraId="0ACF5585" w14:textId="77777777" w:rsidR="00421BB5" w:rsidRPr="00D65AED" w:rsidRDefault="00421BB5" w:rsidP="00421BB5">
      <w:pPr>
        <w:pStyle w:val="0-2"/>
        <w:spacing w:line="440" w:lineRule="exact"/>
      </w:pPr>
      <w:r w:rsidRPr="00D65AED">
        <w:rPr>
          <w:rFonts w:hint="eastAsia"/>
        </w:rPr>
        <w:t>少子化為我國政府多次宣示之國安危機，營造友善生育環境，鼓勵生育為我國當前重要之施政方針。公務人員保障暨培訓委員會身為我國公務人員福利制度之主責機關，當以法規明定保障公務人員生育之福利。惟，保訓會制定上開辦法之執行情形，未有相關統計數據與書面資料可供查核。</w:t>
      </w:r>
    </w:p>
    <w:p w14:paraId="4F108BA2" w14:textId="77777777" w:rsidR="00421BB5" w:rsidRPr="00D65AED" w:rsidRDefault="00421BB5" w:rsidP="00421BB5">
      <w:pPr>
        <w:pStyle w:val="0-2"/>
        <w:spacing w:line="440" w:lineRule="exact"/>
      </w:pPr>
      <w:r w:rsidRPr="00D65AED">
        <w:rPr>
          <w:rFonts w:hint="eastAsia"/>
        </w:rPr>
        <w:t>綜上，請公務人員保障暨培訓委員會於1個月內提交相關書面報告予立法院司法及法制委員會。</w:t>
      </w:r>
    </w:p>
    <w:p w14:paraId="48C9A828" w14:textId="77777777" w:rsidR="00421BB5" w:rsidRPr="00D65AED" w:rsidRDefault="00421BB5" w:rsidP="00421BB5">
      <w:pPr>
        <w:pStyle w:val="2-1"/>
        <w:spacing w:line="440" w:lineRule="exact"/>
        <w:rPr>
          <w:shd w:val="clear" w:color="auto" w:fill="FFFFFF"/>
        </w:rPr>
      </w:pPr>
      <w:r w:rsidRPr="00D65AED">
        <w:rPr>
          <w:rFonts w:hint="eastAsia"/>
          <w:shd w:val="clear" w:color="auto" w:fill="FFFFFF"/>
        </w:rPr>
        <w:t>提案人：周春米 劉建國</w:t>
      </w:r>
      <w:r w:rsidRPr="00D65AED">
        <w:rPr>
          <w:shd w:val="clear" w:color="auto" w:fill="FFFFFF"/>
        </w:rPr>
        <w:t xml:space="preserve"> </w:t>
      </w:r>
      <w:r w:rsidRPr="00D65AED">
        <w:rPr>
          <w:rFonts w:hint="eastAsia"/>
          <w:shd w:val="clear" w:color="auto" w:fill="FFFFFF"/>
        </w:rPr>
        <w:t>江永昌</w:t>
      </w:r>
    </w:p>
    <w:p w14:paraId="7B44EC5B" w14:textId="77777777" w:rsidR="00421BB5" w:rsidRPr="00D65AED" w:rsidRDefault="00421BB5" w:rsidP="00421BB5">
      <w:pPr>
        <w:pStyle w:val="3-1"/>
        <w:spacing w:line="440" w:lineRule="exact"/>
        <w:ind w:left="1760" w:hanging="1280"/>
        <w:rPr>
          <w:shd w:val="clear" w:color="auto" w:fill="FFFFFF"/>
        </w:rPr>
      </w:pPr>
      <w:r w:rsidRPr="00D65AED">
        <w:rPr>
          <w:rFonts w:hint="eastAsia"/>
          <w:spacing w:val="20"/>
          <w:shd w:val="clear" w:color="auto" w:fill="FFFFFF"/>
        </w:rPr>
        <w:t>第5項</w:t>
      </w:r>
      <w:r w:rsidRPr="00D65AED">
        <w:rPr>
          <w:rFonts w:hint="eastAsia"/>
          <w:shd w:val="clear" w:color="auto" w:fill="FFFFFF"/>
        </w:rPr>
        <w:t xml:space="preserve">　國家文官學院及所屬2億8,082萬1千元，照列。</w:t>
      </w:r>
    </w:p>
    <w:p w14:paraId="1E2C597E" w14:textId="77777777" w:rsidR="00421BB5" w:rsidRPr="00D65AED" w:rsidRDefault="00421BB5" w:rsidP="00421BB5">
      <w:pPr>
        <w:pStyle w:val="3-1"/>
        <w:spacing w:line="440" w:lineRule="exact"/>
        <w:ind w:left="1600" w:hanging="1120"/>
        <w:rPr>
          <w:color w:val="000000"/>
          <w:shd w:val="clear" w:color="auto" w:fill="FFFFFF"/>
        </w:rPr>
      </w:pPr>
      <w:r w:rsidRPr="00D65AED">
        <w:rPr>
          <w:color w:val="000000"/>
          <w:shd w:val="clear" w:color="auto" w:fill="FFFFFF"/>
        </w:rPr>
        <w:lastRenderedPageBreak/>
        <w:t>本項通過決議</w:t>
      </w:r>
      <w:r w:rsidRPr="00D65AED">
        <w:rPr>
          <w:rFonts w:hint="eastAsia"/>
          <w:color w:val="000000"/>
          <w:shd w:val="clear" w:color="auto" w:fill="FFFFFF"/>
        </w:rPr>
        <w:t>2</w:t>
      </w:r>
      <w:r w:rsidRPr="00D65AED">
        <w:rPr>
          <w:color w:val="000000"/>
          <w:shd w:val="clear" w:color="auto" w:fill="FFFFFF"/>
        </w:rPr>
        <w:t>項：</w:t>
      </w:r>
    </w:p>
    <w:p w14:paraId="2672091F" w14:textId="77777777" w:rsidR="00421BB5" w:rsidRPr="00D65AED" w:rsidRDefault="00421BB5" w:rsidP="00421BB5">
      <w:pPr>
        <w:adjustRightInd w:val="0"/>
        <w:snapToGrid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(一)11</w:t>
      </w:r>
      <w:r w:rsidRPr="00D65AED">
        <w:rPr>
          <w:rFonts w:ascii="標楷體" w:eastAsia="標楷體" w:hAnsi="標楷體"/>
          <w:kern w:val="0"/>
          <w:sz w:val="28"/>
          <w:szCs w:val="28"/>
          <w:shd w:val="clear" w:color="auto" w:fill="FFFFFF"/>
        </w:rPr>
        <w:t>2</w:t>
      </w:r>
      <w:r w:rsidRPr="00D65AED">
        <w:rPr>
          <w:rFonts w:ascii="標楷體" w:eastAsia="標楷體" w:hAnsi="標楷體" w:hint="eastAsia"/>
          <w:kern w:val="0"/>
          <w:sz w:val="28"/>
          <w:szCs w:val="28"/>
          <w:shd w:val="clear" w:color="auto" w:fill="FFFFFF"/>
        </w:rPr>
        <w:t>年度</w:t>
      </w:r>
      <w:r w:rsidRPr="00D65AED">
        <w:rPr>
          <w:rFonts w:ascii="標楷體" w:eastAsia="標楷體" w:hAnsi="標楷體" w:hint="eastAsia"/>
          <w:sz w:val="28"/>
          <w:szCs w:val="28"/>
          <w:shd w:val="clear" w:color="auto" w:fill="FFFFFF"/>
        </w:rPr>
        <w:t>國家文官學院及所屬</w:t>
      </w:r>
      <w:r w:rsidRPr="00D65AED">
        <w:rPr>
          <w:rFonts w:ascii="標楷體" w:eastAsia="標楷體" w:hAnsi="標楷體" w:hint="eastAsia"/>
          <w:kern w:val="0"/>
          <w:sz w:val="28"/>
          <w:szCs w:val="28"/>
          <w:shd w:val="clear" w:color="auto" w:fill="FFFFFF"/>
        </w:rPr>
        <w:t>歲出預算第1目「一般行政」編列1</w:t>
      </w:r>
      <w:r w:rsidRPr="00D65AED">
        <w:rPr>
          <w:rFonts w:ascii="標楷體" w:eastAsia="標楷體" w:hAnsi="標楷體" w:hint="eastAsia"/>
          <w:sz w:val="28"/>
          <w:szCs w:val="28"/>
          <w:shd w:val="clear" w:color="auto" w:fill="FFFFFF"/>
        </w:rPr>
        <w:t>億1,</w:t>
      </w:r>
      <w:r w:rsidRPr="00D65AED">
        <w:rPr>
          <w:rFonts w:ascii="標楷體" w:eastAsia="標楷體" w:hAnsi="標楷體"/>
          <w:sz w:val="28"/>
          <w:szCs w:val="28"/>
          <w:shd w:val="clear" w:color="auto" w:fill="FFFFFF"/>
        </w:rPr>
        <w:t>278萬</w:t>
      </w:r>
      <w:r w:rsidRPr="00D65AED">
        <w:rPr>
          <w:rFonts w:ascii="標楷體" w:eastAsia="標楷體" w:hAnsi="標楷體" w:hint="eastAsia"/>
          <w:sz w:val="28"/>
          <w:szCs w:val="28"/>
          <w:shd w:val="clear" w:color="auto" w:fill="FFFFFF"/>
        </w:rPr>
        <w:t>8千元，</w:t>
      </w:r>
      <w:r w:rsidRPr="00D65AED">
        <w:rPr>
          <w:rFonts w:ascii="標楷體" w:eastAsia="標楷體" w:hAnsi="標楷體" w:hint="eastAsia"/>
          <w:kern w:val="0"/>
          <w:sz w:val="28"/>
          <w:szCs w:val="28"/>
          <w:shd w:val="clear" w:color="auto" w:fill="FFFFFF"/>
        </w:rPr>
        <w:t>凍結40萬元，俟向立法院司法及法制委員會提出書面報告後，始得動支。</w:t>
      </w:r>
    </w:p>
    <w:p w14:paraId="7FD4B5A3" w14:textId="77777777" w:rsidR="00421BB5" w:rsidRPr="00D65AED" w:rsidRDefault="00421BB5" w:rsidP="00421BB5">
      <w:pPr>
        <w:spacing w:line="440" w:lineRule="exact"/>
        <w:ind w:leftChars="1400" w:left="4620" w:hangingChars="450" w:hanging="1260"/>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提案人：</w:t>
      </w:r>
      <w:r w:rsidRPr="00D65AED">
        <w:rPr>
          <w:rFonts w:ascii="標楷體" w:eastAsia="標楷體" w:hAnsi="標楷體" w:hint="eastAsia"/>
          <w:sz w:val="28"/>
          <w:szCs w:val="28"/>
          <w:shd w:val="clear" w:color="auto" w:fill="FFFFFF"/>
        </w:rPr>
        <w:t>陳以信</w:t>
      </w:r>
    </w:p>
    <w:p w14:paraId="1E492414" w14:textId="77777777" w:rsidR="00421BB5" w:rsidRPr="00D65AED" w:rsidRDefault="00421BB5" w:rsidP="00421BB5">
      <w:pPr>
        <w:spacing w:line="440" w:lineRule="exact"/>
        <w:ind w:leftChars="1400" w:left="4620" w:hangingChars="450" w:hanging="126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連署人：游毓蘭 曾銘宗 陳玉珍</w:t>
      </w:r>
    </w:p>
    <w:p w14:paraId="76F9E276" w14:textId="77777777" w:rsidR="00421BB5" w:rsidRPr="00D65AED" w:rsidRDefault="00421BB5" w:rsidP="00421BB5">
      <w:pPr>
        <w:adjustRightInd w:val="0"/>
        <w:snapToGrid w:val="0"/>
        <w:spacing w:line="440" w:lineRule="exact"/>
        <w:ind w:leftChars="200" w:left="1040" w:hangingChars="200" w:hanging="56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(二)11</w:t>
      </w:r>
      <w:r w:rsidRPr="00D65AED">
        <w:rPr>
          <w:rFonts w:ascii="標楷體" w:eastAsia="標楷體" w:hAnsi="標楷體"/>
          <w:kern w:val="0"/>
          <w:sz w:val="28"/>
          <w:szCs w:val="28"/>
          <w:shd w:val="clear" w:color="auto" w:fill="FFFFFF"/>
        </w:rPr>
        <w:t>2</w:t>
      </w:r>
      <w:r w:rsidRPr="00D65AED">
        <w:rPr>
          <w:rFonts w:ascii="標楷體" w:eastAsia="標楷體" w:hAnsi="標楷體" w:hint="eastAsia"/>
          <w:kern w:val="0"/>
          <w:sz w:val="28"/>
          <w:szCs w:val="28"/>
          <w:shd w:val="clear" w:color="auto" w:fill="FFFFFF"/>
        </w:rPr>
        <w:t>年度</w:t>
      </w:r>
      <w:r w:rsidRPr="00D65AED">
        <w:rPr>
          <w:rFonts w:ascii="標楷體" w:eastAsia="標楷體" w:hAnsi="標楷體" w:hint="eastAsia"/>
          <w:sz w:val="28"/>
          <w:szCs w:val="28"/>
          <w:shd w:val="clear" w:color="auto" w:fill="FFFFFF"/>
        </w:rPr>
        <w:t>國家文官學院及所屬</w:t>
      </w:r>
      <w:r w:rsidRPr="00D65AED">
        <w:rPr>
          <w:rFonts w:ascii="標楷體" w:eastAsia="標楷體" w:hAnsi="標楷體" w:hint="eastAsia"/>
          <w:kern w:val="0"/>
          <w:sz w:val="28"/>
          <w:szCs w:val="28"/>
          <w:shd w:val="clear" w:color="auto" w:fill="FFFFFF"/>
        </w:rPr>
        <w:t>歲出預算第2目「國家文官培訓業務」編列1</w:t>
      </w:r>
      <w:r w:rsidRPr="00D65AED">
        <w:rPr>
          <w:rFonts w:ascii="標楷體" w:eastAsia="標楷體" w:hAnsi="標楷體" w:hint="eastAsia"/>
          <w:sz w:val="28"/>
          <w:szCs w:val="28"/>
          <w:shd w:val="clear" w:color="auto" w:fill="FFFFFF"/>
        </w:rPr>
        <w:t>億0,</w:t>
      </w:r>
      <w:r w:rsidRPr="00D65AED">
        <w:rPr>
          <w:rFonts w:ascii="標楷體" w:eastAsia="標楷體" w:hAnsi="標楷體"/>
          <w:sz w:val="28"/>
          <w:szCs w:val="28"/>
          <w:shd w:val="clear" w:color="auto" w:fill="FFFFFF"/>
        </w:rPr>
        <w:t>512萬</w:t>
      </w:r>
      <w:r w:rsidRPr="00D65AED">
        <w:rPr>
          <w:rFonts w:ascii="標楷體" w:eastAsia="標楷體" w:hAnsi="標楷體" w:hint="eastAsia"/>
          <w:sz w:val="28"/>
          <w:szCs w:val="28"/>
          <w:shd w:val="clear" w:color="auto" w:fill="FFFFFF"/>
        </w:rPr>
        <w:t>9千元，</w:t>
      </w:r>
      <w:r w:rsidRPr="00D65AED">
        <w:rPr>
          <w:rFonts w:ascii="標楷體" w:eastAsia="標楷體" w:hAnsi="標楷體" w:hint="eastAsia"/>
          <w:kern w:val="0"/>
          <w:sz w:val="28"/>
          <w:szCs w:val="28"/>
          <w:shd w:val="clear" w:color="auto" w:fill="FFFFFF"/>
        </w:rPr>
        <w:t>凍結60萬元，俟向立法院司法及法制委員會提出書面報告後，始得動支。</w:t>
      </w:r>
    </w:p>
    <w:p w14:paraId="6B71C8D8" w14:textId="77777777" w:rsidR="00421BB5" w:rsidRPr="00D65AED" w:rsidRDefault="00421BB5" w:rsidP="00421BB5">
      <w:pPr>
        <w:spacing w:line="440" w:lineRule="exact"/>
        <w:ind w:leftChars="1400" w:left="4620" w:hangingChars="450" w:hanging="1260"/>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提案人：</w:t>
      </w:r>
      <w:r w:rsidRPr="00D65AED">
        <w:rPr>
          <w:rFonts w:ascii="標楷體" w:eastAsia="標楷體" w:hAnsi="標楷體" w:hint="eastAsia"/>
          <w:sz w:val="28"/>
          <w:szCs w:val="28"/>
          <w:shd w:val="clear" w:color="auto" w:fill="FFFFFF"/>
        </w:rPr>
        <w:t>林思銘 陳以信 曾銘宗</w:t>
      </w:r>
    </w:p>
    <w:p w14:paraId="0732E99A" w14:textId="77777777" w:rsidR="00421BB5" w:rsidRPr="00D65AED" w:rsidRDefault="00421BB5" w:rsidP="00421BB5">
      <w:pPr>
        <w:spacing w:line="440" w:lineRule="exact"/>
        <w:ind w:leftChars="1400" w:left="4620" w:hangingChars="450" w:hanging="126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連署人：游毓蘭 陳玉珍</w:t>
      </w:r>
    </w:p>
    <w:p w14:paraId="47387869" w14:textId="77777777" w:rsidR="00421BB5" w:rsidRPr="00D65AED" w:rsidRDefault="00421BB5" w:rsidP="00421BB5">
      <w:pPr>
        <w:pStyle w:val="3-1"/>
        <w:kinsoku w:val="0"/>
        <w:overflowPunct w:val="0"/>
        <w:spacing w:line="440" w:lineRule="exact"/>
        <w:ind w:left="1600" w:hanging="1120"/>
        <w:rPr>
          <w:shd w:val="clear" w:color="auto" w:fill="FFFFFF"/>
        </w:rPr>
      </w:pPr>
      <w:r w:rsidRPr="00D65AED">
        <w:rPr>
          <w:shd w:val="clear" w:color="auto" w:fill="FFFFFF"/>
        </w:rPr>
        <w:t>第6項　公務人員退休撫卹基金監理委員會</w:t>
      </w:r>
      <w:r w:rsidRPr="00D65AED">
        <w:rPr>
          <w:rFonts w:hint="eastAsia"/>
          <w:shd w:val="clear" w:color="auto" w:fill="FFFFFF"/>
        </w:rPr>
        <w:t>4,845萬7千元</w:t>
      </w:r>
      <w:r w:rsidRPr="00D65AED">
        <w:rPr>
          <w:shd w:val="clear" w:color="auto" w:fill="FFFFFF"/>
        </w:rPr>
        <w:t>，</w:t>
      </w:r>
      <w:r w:rsidRPr="00D65AED">
        <w:rPr>
          <w:rFonts w:hint="eastAsia"/>
          <w:shd w:val="clear" w:color="auto" w:fill="FFFFFF"/>
        </w:rPr>
        <w:t>照列</w:t>
      </w:r>
      <w:r w:rsidRPr="00D65AED">
        <w:rPr>
          <w:shd w:val="clear" w:color="auto" w:fill="FFFFFF"/>
        </w:rPr>
        <w:t>。</w:t>
      </w:r>
    </w:p>
    <w:p w14:paraId="5C702836" w14:textId="77777777" w:rsidR="00421BB5" w:rsidRPr="00D65AED" w:rsidRDefault="00421BB5" w:rsidP="00421BB5">
      <w:pPr>
        <w:pStyle w:val="3-1"/>
        <w:kinsoku w:val="0"/>
        <w:overflowPunct w:val="0"/>
        <w:spacing w:line="440" w:lineRule="exact"/>
        <w:ind w:left="1600" w:hanging="1120"/>
        <w:rPr>
          <w:shd w:val="clear" w:color="auto" w:fill="FFFFFF"/>
        </w:rPr>
      </w:pPr>
      <w:r w:rsidRPr="00D65AED">
        <w:rPr>
          <w:shd w:val="clear" w:color="auto" w:fill="FFFFFF"/>
        </w:rPr>
        <w:t>第7項　公務人員退休撫卹基金管理委員會</w:t>
      </w:r>
      <w:r w:rsidRPr="00D65AED">
        <w:rPr>
          <w:rFonts w:hint="eastAsia"/>
          <w:shd w:val="clear" w:color="auto" w:fill="FFFFFF"/>
        </w:rPr>
        <w:t>1億8,183萬8千元</w:t>
      </w:r>
      <w:r w:rsidRPr="00D65AED">
        <w:rPr>
          <w:shd w:val="clear" w:color="auto" w:fill="FFFFFF"/>
        </w:rPr>
        <w:t>，照列。</w:t>
      </w:r>
    </w:p>
    <w:p w14:paraId="55C3982D" w14:textId="77777777" w:rsidR="00421BB5" w:rsidRPr="00D65AED" w:rsidRDefault="00421BB5" w:rsidP="00421BB5">
      <w:pPr>
        <w:pStyle w:val="3-1"/>
        <w:spacing w:line="440" w:lineRule="exact"/>
        <w:ind w:left="1600" w:hanging="1120"/>
        <w:rPr>
          <w:color w:val="000000"/>
          <w:shd w:val="clear" w:color="auto" w:fill="FFFFFF"/>
        </w:rPr>
      </w:pPr>
      <w:r w:rsidRPr="00D65AED">
        <w:rPr>
          <w:color w:val="000000"/>
          <w:shd w:val="clear" w:color="auto" w:fill="FFFFFF"/>
        </w:rPr>
        <w:t>本項通過決議</w:t>
      </w:r>
      <w:r w:rsidRPr="00D65AED">
        <w:rPr>
          <w:rFonts w:hint="eastAsia"/>
          <w:color w:val="000000"/>
          <w:shd w:val="clear" w:color="auto" w:fill="FFFFFF"/>
        </w:rPr>
        <w:t>1</w:t>
      </w:r>
      <w:r w:rsidRPr="00D65AED">
        <w:rPr>
          <w:color w:val="000000"/>
          <w:shd w:val="clear" w:color="auto" w:fill="FFFFFF"/>
        </w:rPr>
        <w:t>項：</w:t>
      </w:r>
    </w:p>
    <w:p w14:paraId="4BB1DA27" w14:textId="77777777" w:rsidR="00421BB5" w:rsidRPr="00D65AED" w:rsidRDefault="00421BB5" w:rsidP="00421BB5">
      <w:pPr>
        <w:pStyle w:val="0-"/>
        <w:spacing w:line="440" w:lineRule="exact"/>
      </w:pPr>
      <w:r w:rsidRPr="00D65AED">
        <w:rPr>
          <w:rFonts w:hint="eastAsia"/>
        </w:rPr>
        <w:t>(一)112年度公務人員退休撫卹基金管理委員會歲出預算第1目「一般行政」項下「基本行政工作維持」中「業務費」編列1</w:t>
      </w:r>
      <w:r w:rsidRPr="00D65AED">
        <w:rPr>
          <w:rFonts w:hint="eastAsia"/>
          <w:spacing w:val="-2"/>
        </w:rPr>
        <w:t>,</w:t>
      </w:r>
      <w:r w:rsidRPr="00D65AED">
        <w:rPr>
          <w:spacing w:val="-2"/>
        </w:rPr>
        <w:t>258</w:t>
      </w:r>
      <w:r w:rsidRPr="00D65AED">
        <w:rPr>
          <w:rFonts w:hint="eastAsia"/>
          <w:spacing w:val="-2"/>
        </w:rPr>
        <w:t>萬元</w:t>
      </w:r>
      <w:r w:rsidRPr="00D65AED">
        <w:rPr>
          <w:rFonts w:hint="eastAsia"/>
        </w:rPr>
        <w:t>，凍結70萬元，俟向立法院司法及法制委員會提出書面報告後，始得動支。</w:t>
      </w:r>
    </w:p>
    <w:p w14:paraId="010AE1EA" w14:textId="77777777" w:rsidR="00421BB5" w:rsidRPr="00D65AED" w:rsidRDefault="00421BB5" w:rsidP="00421BB5">
      <w:pPr>
        <w:adjustRightInd w:val="0"/>
        <w:snapToGrid w:val="0"/>
        <w:spacing w:line="440" w:lineRule="exact"/>
        <w:ind w:leftChars="1389" w:left="4479" w:hangingChars="409" w:hanging="1145"/>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提案人：</w:t>
      </w:r>
      <w:r w:rsidRPr="00D65AED">
        <w:rPr>
          <w:rFonts w:ascii="標楷體" w:eastAsia="標楷體" w:hAnsi="標楷體" w:hint="eastAsia"/>
          <w:sz w:val="28"/>
          <w:szCs w:val="28"/>
          <w:shd w:val="clear" w:color="auto" w:fill="FFFFFF"/>
        </w:rPr>
        <w:t>陳以信</w:t>
      </w:r>
    </w:p>
    <w:p w14:paraId="19897606" w14:textId="77777777" w:rsidR="00421BB5" w:rsidRPr="00D65AED" w:rsidRDefault="00421BB5" w:rsidP="00421BB5">
      <w:pPr>
        <w:pStyle w:val="2-1"/>
        <w:spacing w:line="440" w:lineRule="exact"/>
        <w:ind w:leftChars="1395" w:left="4622" w:hangingChars="455" w:hanging="1274"/>
        <w:rPr>
          <w:kern w:val="0"/>
          <w:shd w:val="clear" w:color="auto" w:fill="FFFFFF"/>
        </w:rPr>
      </w:pPr>
      <w:r w:rsidRPr="00D65AED">
        <w:rPr>
          <w:rFonts w:hint="eastAsia"/>
          <w:shd w:val="clear" w:color="auto" w:fill="FFFFFF"/>
        </w:rPr>
        <w:t>連署人：游毓蘭 陳玉珍 曾銘宗</w:t>
      </w:r>
    </w:p>
    <w:p w14:paraId="49817782" w14:textId="77777777" w:rsidR="00421BB5" w:rsidRPr="00D65AED" w:rsidRDefault="00421BB5" w:rsidP="00421BB5">
      <w:pPr>
        <w:overflowPunct w:val="0"/>
        <w:spacing w:line="440" w:lineRule="exact"/>
        <w:ind w:left="560" w:rightChars="-21" w:right="-50" w:hangingChars="200" w:hanging="560"/>
        <w:contextualSpacing/>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w:t>
      </w:r>
      <w:r w:rsidRPr="00D65AED">
        <w:rPr>
          <w:rFonts w:ascii="標楷體" w:eastAsia="標楷體" w:hAnsi="標楷體"/>
          <w:sz w:val="28"/>
          <w:szCs w:val="28"/>
          <w:shd w:val="clear" w:color="auto" w:fill="FFFFFF"/>
        </w:rPr>
        <w:t>三</w:t>
      </w:r>
      <w:r w:rsidRPr="00D65AED">
        <w:rPr>
          <w:rFonts w:ascii="標楷體" w:eastAsia="標楷體" w:hAnsi="標楷體" w:hint="eastAsia"/>
          <w:sz w:val="28"/>
          <w:szCs w:val="28"/>
          <w:shd w:val="clear" w:color="auto" w:fill="FFFFFF"/>
        </w:rPr>
        <w:t>)</w:t>
      </w:r>
      <w:r w:rsidRPr="00D65AED">
        <w:rPr>
          <w:rFonts w:ascii="標楷體" w:eastAsia="標楷體" w:hAnsi="標楷體"/>
          <w:sz w:val="28"/>
          <w:szCs w:val="28"/>
          <w:shd w:val="clear" w:color="auto" w:fill="FFFFFF"/>
        </w:rPr>
        <w:t>中華民國1</w:t>
      </w:r>
      <w:r w:rsidRPr="00D65AED">
        <w:rPr>
          <w:rFonts w:ascii="標楷體" w:eastAsia="標楷體" w:hAnsi="標楷體" w:hint="eastAsia"/>
          <w:sz w:val="28"/>
          <w:szCs w:val="28"/>
          <w:shd w:val="clear" w:color="auto" w:fill="FFFFFF"/>
        </w:rPr>
        <w:t>12</w:t>
      </w:r>
      <w:r w:rsidRPr="00D65AED">
        <w:rPr>
          <w:rFonts w:ascii="標楷體" w:eastAsia="標楷體" w:hAnsi="標楷體"/>
          <w:sz w:val="28"/>
          <w:szCs w:val="28"/>
          <w:shd w:val="clear" w:color="auto" w:fill="FFFFFF"/>
        </w:rPr>
        <w:t>年度中央政府總預算案關於考試院及所屬主管收支部分審查完竣，提報院會</w:t>
      </w:r>
      <w:r w:rsidRPr="00D65AED">
        <w:rPr>
          <w:rFonts w:ascii="標楷體" w:eastAsia="標楷體" w:hAnsi="標楷體" w:hint="eastAsia"/>
          <w:sz w:val="28"/>
          <w:szCs w:val="28"/>
          <w:shd w:val="clear" w:color="auto" w:fill="FFFFFF"/>
        </w:rPr>
        <w:t>，院會討論前，</w:t>
      </w:r>
      <w:r w:rsidRPr="00D65AED">
        <w:rPr>
          <w:rFonts w:ascii="標楷體" w:eastAsia="標楷體" w:hAnsi="標楷體"/>
          <w:sz w:val="28"/>
          <w:szCs w:val="28"/>
          <w:shd w:val="clear" w:color="auto" w:fill="FFFFFF"/>
        </w:rPr>
        <w:t>須交由黨團協商</w:t>
      </w:r>
      <w:r w:rsidRPr="00D65AED">
        <w:rPr>
          <w:rFonts w:ascii="標楷體" w:eastAsia="標楷體" w:hAnsi="標楷體" w:hint="eastAsia"/>
          <w:sz w:val="28"/>
          <w:szCs w:val="28"/>
          <w:shd w:val="clear" w:color="auto" w:fill="FFFFFF"/>
        </w:rPr>
        <w:t>；院會討論時，由陳召集委員歐珀出席說明。</w:t>
      </w:r>
    </w:p>
    <w:p w14:paraId="06D28578" w14:textId="77777777" w:rsidR="00421BB5" w:rsidRPr="00D65AED" w:rsidRDefault="00421BB5" w:rsidP="00421BB5">
      <w:pPr>
        <w:spacing w:line="440" w:lineRule="exact"/>
        <w:ind w:left="700" w:hangingChars="250" w:hanging="700"/>
        <w:contextualSpacing/>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二、「考選業務基金」：</w:t>
      </w:r>
    </w:p>
    <w:p w14:paraId="5556F01C" w14:textId="77777777" w:rsidR="00421BB5" w:rsidRPr="00D65AED" w:rsidRDefault="00421BB5" w:rsidP="00421BB5">
      <w:pPr>
        <w:spacing w:line="440" w:lineRule="exact"/>
        <w:ind w:leftChars="200" w:left="1040" w:hangingChars="200" w:hanging="56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(一)業務計畫：應依據業務收支、轉投資、固定資產建設改良擴充</w:t>
      </w:r>
      <w:r w:rsidRPr="00D65AED">
        <w:rPr>
          <w:rFonts w:ascii="標楷體" w:eastAsia="標楷體" w:hAnsi="標楷體" w:hint="eastAsia"/>
          <w:sz w:val="28"/>
          <w:szCs w:val="28"/>
        </w:rPr>
        <w:t>及資金運用等</w:t>
      </w:r>
      <w:r w:rsidRPr="00D65AED">
        <w:rPr>
          <w:rFonts w:ascii="標楷體" w:eastAsia="標楷體" w:hAnsi="標楷體" w:hint="eastAsia"/>
          <w:sz w:val="28"/>
          <w:szCs w:val="28"/>
          <w:shd w:val="clear" w:color="auto" w:fill="FFFFFF"/>
        </w:rPr>
        <w:t>項之審查結果，隨同調整。</w:t>
      </w:r>
    </w:p>
    <w:p w14:paraId="03463FC3" w14:textId="77777777" w:rsidR="00421BB5" w:rsidRPr="00D65AED" w:rsidRDefault="00421BB5" w:rsidP="00421BB5">
      <w:pPr>
        <w:spacing w:line="440" w:lineRule="exact"/>
        <w:ind w:leftChars="200" w:left="1040" w:hangingChars="200" w:hanging="56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(二)業務收支：</w:t>
      </w:r>
    </w:p>
    <w:p w14:paraId="3908CA4C" w14:textId="77777777" w:rsidR="00421BB5" w:rsidRPr="00D65AED" w:rsidRDefault="00421BB5" w:rsidP="00421BB5">
      <w:pPr>
        <w:spacing w:line="440" w:lineRule="exact"/>
        <w:ind w:leftChars="450" w:left="1360" w:hangingChars="100" w:hanging="28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1.業務總收入：</w:t>
      </w:r>
      <w:r w:rsidRPr="00D65AED">
        <w:rPr>
          <w:rFonts w:ascii="標楷體" w:eastAsia="標楷體" w:hAnsi="標楷體"/>
          <w:sz w:val="28"/>
          <w:szCs w:val="28"/>
          <w:shd w:val="clear" w:color="auto" w:fill="FFFFFF"/>
        </w:rPr>
        <w:t>6</w:t>
      </w:r>
      <w:r w:rsidRPr="00D65AED">
        <w:rPr>
          <w:rFonts w:ascii="標楷體" w:eastAsia="標楷體" w:hAnsi="標楷體" w:hint="eastAsia"/>
          <w:sz w:val="28"/>
          <w:szCs w:val="28"/>
          <w:shd w:val="clear" w:color="auto" w:fill="FFFFFF"/>
        </w:rPr>
        <w:t>億</w:t>
      </w:r>
      <w:r w:rsidRPr="00D65AED">
        <w:rPr>
          <w:rFonts w:ascii="標楷體" w:eastAsia="標楷體" w:hAnsi="標楷體"/>
          <w:sz w:val="28"/>
          <w:szCs w:val="28"/>
          <w:shd w:val="clear" w:color="auto" w:fill="FFFFFF"/>
        </w:rPr>
        <w:t>3,690</w:t>
      </w:r>
      <w:r w:rsidRPr="00D65AED">
        <w:rPr>
          <w:rFonts w:ascii="標楷體" w:eastAsia="標楷體" w:hAnsi="標楷體" w:hint="eastAsia"/>
          <w:sz w:val="28"/>
          <w:szCs w:val="28"/>
          <w:shd w:val="clear" w:color="auto" w:fill="FFFFFF"/>
        </w:rPr>
        <w:t>萬元，照列。</w:t>
      </w:r>
    </w:p>
    <w:p w14:paraId="214590C4" w14:textId="77777777" w:rsidR="00421BB5" w:rsidRPr="00D65AED" w:rsidRDefault="00421BB5" w:rsidP="00421BB5">
      <w:pPr>
        <w:spacing w:line="440" w:lineRule="exact"/>
        <w:ind w:leftChars="450" w:left="1360" w:hangingChars="100" w:hanging="28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2.業務總支出：</w:t>
      </w:r>
      <w:r w:rsidRPr="00D65AED">
        <w:rPr>
          <w:rFonts w:ascii="標楷體" w:eastAsia="標楷體" w:hAnsi="標楷體" w:hint="eastAsia"/>
          <w:bCs/>
          <w:sz w:val="28"/>
          <w:szCs w:val="28"/>
          <w:shd w:val="clear" w:color="auto" w:fill="FFFFFF"/>
        </w:rPr>
        <w:t>5</w:t>
      </w:r>
      <w:r w:rsidRPr="00D65AED">
        <w:rPr>
          <w:rFonts w:ascii="標楷體" w:eastAsia="標楷體" w:hAnsi="標楷體" w:hint="eastAsia"/>
          <w:sz w:val="28"/>
          <w:szCs w:val="28"/>
          <w:shd w:val="clear" w:color="auto" w:fill="FFFFFF"/>
        </w:rPr>
        <w:t>億</w:t>
      </w:r>
      <w:r w:rsidRPr="00D65AED">
        <w:rPr>
          <w:rFonts w:ascii="標楷體" w:eastAsia="標楷體" w:hAnsi="標楷體"/>
          <w:sz w:val="28"/>
          <w:szCs w:val="28"/>
          <w:shd w:val="clear" w:color="auto" w:fill="FFFFFF"/>
        </w:rPr>
        <w:t>7</w:t>
      </w:r>
      <w:r w:rsidRPr="00D65AED">
        <w:rPr>
          <w:rFonts w:ascii="標楷體" w:eastAsia="標楷體" w:hAnsi="標楷體" w:hint="eastAsia"/>
          <w:sz w:val="28"/>
          <w:szCs w:val="28"/>
          <w:shd w:val="clear" w:color="auto" w:fill="FFFFFF"/>
        </w:rPr>
        <w:t>,2</w:t>
      </w:r>
      <w:r w:rsidRPr="00D65AED">
        <w:rPr>
          <w:rFonts w:ascii="標楷體" w:eastAsia="標楷體" w:hAnsi="標楷體"/>
          <w:sz w:val="28"/>
          <w:szCs w:val="28"/>
          <w:shd w:val="clear" w:color="auto" w:fill="FFFFFF"/>
        </w:rPr>
        <w:t>20</w:t>
      </w:r>
      <w:r w:rsidRPr="00D65AED">
        <w:rPr>
          <w:rFonts w:ascii="標楷體" w:eastAsia="標楷體" w:hAnsi="標楷體" w:hint="eastAsia"/>
          <w:sz w:val="28"/>
          <w:szCs w:val="28"/>
          <w:shd w:val="clear" w:color="auto" w:fill="FFFFFF"/>
        </w:rPr>
        <w:t>萬元，照列。</w:t>
      </w:r>
    </w:p>
    <w:p w14:paraId="04CF80CE" w14:textId="77777777" w:rsidR="00421BB5" w:rsidRPr="00D65AED" w:rsidRDefault="00421BB5" w:rsidP="00421BB5">
      <w:pPr>
        <w:spacing w:line="440" w:lineRule="exact"/>
        <w:ind w:leftChars="450" w:left="1360" w:hangingChars="100" w:hanging="28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3.本期賸餘：</w:t>
      </w:r>
      <w:r w:rsidRPr="00D65AED">
        <w:rPr>
          <w:rFonts w:ascii="標楷體" w:eastAsia="標楷體" w:hAnsi="標楷體"/>
          <w:sz w:val="28"/>
          <w:szCs w:val="28"/>
          <w:shd w:val="clear" w:color="auto" w:fill="FFFFFF"/>
        </w:rPr>
        <w:t>6</w:t>
      </w:r>
      <w:r w:rsidRPr="00D65AED">
        <w:rPr>
          <w:rFonts w:ascii="標楷體" w:eastAsia="標楷體" w:hAnsi="標楷體" w:hint="eastAsia"/>
          <w:sz w:val="28"/>
          <w:szCs w:val="28"/>
          <w:shd w:val="clear" w:color="auto" w:fill="FFFFFF"/>
        </w:rPr>
        <w:t>,</w:t>
      </w:r>
      <w:r w:rsidRPr="00D65AED">
        <w:rPr>
          <w:rFonts w:ascii="標楷體" w:eastAsia="標楷體" w:hAnsi="標楷體"/>
          <w:sz w:val="28"/>
          <w:szCs w:val="28"/>
          <w:shd w:val="clear" w:color="auto" w:fill="FFFFFF"/>
        </w:rPr>
        <w:t>470</w:t>
      </w:r>
      <w:r w:rsidRPr="00D65AED">
        <w:rPr>
          <w:rFonts w:ascii="標楷體" w:eastAsia="標楷體" w:hAnsi="標楷體" w:hint="eastAsia"/>
          <w:sz w:val="28"/>
          <w:szCs w:val="28"/>
          <w:shd w:val="clear" w:color="auto" w:fill="FFFFFF"/>
        </w:rPr>
        <w:t>萬元，照列。</w:t>
      </w:r>
    </w:p>
    <w:p w14:paraId="278D0AE5" w14:textId="77777777" w:rsidR="00421BB5" w:rsidRPr="00D65AED" w:rsidRDefault="00421BB5" w:rsidP="00421BB5">
      <w:pPr>
        <w:spacing w:line="440" w:lineRule="exact"/>
        <w:ind w:leftChars="200" w:left="1320" w:hangingChars="300" w:hanging="84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lastRenderedPageBreak/>
        <w:t>(三)解繳公庫淨額：無列數。</w:t>
      </w:r>
    </w:p>
    <w:p w14:paraId="68E7C589" w14:textId="77777777" w:rsidR="00421BB5" w:rsidRPr="00D65AED" w:rsidRDefault="00421BB5" w:rsidP="00421BB5">
      <w:pPr>
        <w:spacing w:line="440" w:lineRule="exact"/>
        <w:ind w:leftChars="200" w:left="1320" w:hangingChars="300" w:hanging="84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(四)轉投資計畫：無列數。</w:t>
      </w:r>
    </w:p>
    <w:p w14:paraId="1E920A83" w14:textId="77777777" w:rsidR="00421BB5" w:rsidRPr="00D65AED" w:rsidRDefault="00421BB5" w:rsidP="00421BB5">
      <w:pPr>
        <w:spacing w:line="440" w:lineRule="exact"/>
        <w:ind w:leftChars="200" w:left="1320" w:hangingChars="300" w:hanging="84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(五)固定資產建設改良擴充：</w:t>
      </w:r>
      <w:r w:rsidRPr="00D65AED">
        <w:rPr>
          <w:rFonts w:ascii="標楷體" w:eastAsia="標楷體" w:hAnsi="標楷體"/>
          <w:sz w:val="28"/>
          <w:szCs w:val="28"/>
          <w:shd w:val="clear" w:color="auto" w:fill="FFFFFF"/>
        </w:rPr>
        <w:t>3</w:t>
      </w:r>
      <w:r w:rsidRPr="00D65AED">
        <w:rPr>
          <w:rFonts w:ascii="標楷體" w:eastAsia="標楷體" w:hAnsi="標楷體" w:hint="eastAsia"/>
          <w:sz w:val="28"/>
          <w:szCs w:val="28"/>
          <w:shd w:val="clear" w:color="auto" w:fill="FFFFFF"/>
        </w:rPr>
        <w:t>,7</w:t>
      </w:r>
      <w:r w:rsidRPr="00D65AED">
        <w:rPr>
          <w:rFonts w:ascii="標楷體" w:eastAsia="標楷體" w:hAnsi="標楷體"/>
          <w:sz w:val="28"/>
          <w:szCs w:val="28"/>
          <w:shd w:val="clear" w:color="auto" w:fill="FFFFFF"/>
        </w:rPr>
        <w:t>02</w:t>
      </w:r>
      <w:r w:rsidRPr="00D65AED">
        <w:rPr>
          <w:rFonts w:ascii="標楷體" w:eastAsia="標楷體" w:hAnsi="標楷體" w:hint="eastAsia"/>
          <w:sz w:val="28"/>
          <w:szCs w:val="28"/>
          <w:shd w:val="clear" w:color="auto" w:fill="FFFFFF"/>
        </w:rPr>
        <w:t>萬1千元，照列。</w:t>
      </w:r>
    </w:p>
    <w:p w14:paraId="63AA1316" w14:textId="77777777" w:rsidR="00421BB5" w:rsidRPr="00D65AED" w:rsidRDefault="00421BB5" w:rsidP="00421BB5">
      <w:pPr>
        <w:spacing w:line="440" w:lineRule="exact"/>
        <w:ind w:leftChars="200" w:left="1320" w:hangingChars="300" w:hanging="84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(六)國庫增撥基金額：無列數。</w:t>
      </w:r>
    </w:p>
    <w:p w14:paraId="0EAB287C" w14:textId="77777777" w:rsidR="00421BB5" w:rsidRPr="00D65AED" w:rsidRDefault="00421BB5" w:rsidP="00421BB5">
      <w:pPr>
        <w:spacing w:line="440" w:lineRule="exact"/>
        <w:ind w:leftChars="200" w:left="1320" w:hangingChars="300" w:hanging="84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(七)</w:t>
      </w:r>
      <w:r w:rsidRPr="00D65AED">
        <w:rPr>
          <w:rFonts w:ascii="標楷體" w:eastAsia="標楷體" w:hAnsi="標楷體"/>
          <w:sz w:val="28"/>
          <w:szCs w:val="28"/>
          <w:shd w:val="clear" w:color="auto" w:fill="FFFFFF"/>
        </w:rPr>
        <w:t>通過決議2項：</w:t>
      </w:r>
    </w:p>
    <w:p w14:paraId="573CC954" w14:textId="77777777" w:rsidR="00421BB5" w:rsidRPr="00D65AED" w:rsidRDefault="00421BB5" w:rsidP="00421BB5">
      <w:pPr>
        <w:pStyle w:val="1-1"/>
        <w:spacing w:line="440" w:lineRule="exact"/>
      </w:pPr>
      <w:r w:rsidRPr="00D65AED">
        <w:t>1.</w:t>
      </w:r>
      <w:r w:rsidRPr="00D65AED">
        <w:rPr>
          <w:rFonts w:hint="eastAsia"/>
        </w:rPr>
        <w:t>112年度中央政府總預算案，考試院考選部主管考選業務基金附屬單位預算（非營業部分）「業務成本與費用」項下「勞務成本」中「試務成本」編列5億7,215萬元。依立法院預算中心評估報告指出，近年公務人員考試部分類科考試有到考人數小於需用人數或錄取不足額等情事，包括110年度公務人員考試有12類科之到考人數少於需用人數之情形，如高等考試三級公職建築師類科需用人數7人，到考人數僅2人；警察特種考試四等消防警察人員需用人數241人，到考人數229人；原住民族特種考試四等土木工程需用人數16人，到考人數9人；甚有地方特種考試三等公職建築師及退除役特考三等勞工行政需用人數各為11人與2人，卻無人到考；108至110年度公務人員高普等考試錄取不足額類科數分別為20、22及15個類科，錄取不足人數連年大幅提升，分別為127人、209人及293人。另高等考試三級考試之建築工程、公職建築師、藥事、機械工程、電力工程及普通考試之電信工程等技術類科，已連續3年錄取不足額；又110年度錄取不足額之類科均為技術類科，恐影響政府機關人員進用及公務推展，應會同用人機關與專業團體研析癥結，提升報考率，俾國家能充分取才，爰請向立法院司法及法制委員會提出書面報告。</w:t>
      </w:r>
    </w:p>
    <w:p w14:paraId="520482C4"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rPr>
        <w:t>提案人：曾銘宗 游毓蘭 林思銘</w:t>
      </w:r>
    </w:p>
    <w:p w14:paraId="12197E96" w14:textId="77777777" w:rsidR="00421BB5" w:rsidRPr="00D65AED" w:rsidRDefault="00421BB5" w:rsidP="00421BB5">
      <w:pPr>
        <w:pStyle w:val="1-1"/>
        <w:spacing w:line="440" w:lineRule="exact"/>
      </w:pPr>
      <w:r w:rsidRPr="00D65AED">
        <w:rPr>
          <w:rFonts w:hint="eastAsia"/>
        </w:rPr>
        <w:t>2.依立法院預算中心評估報告指出，考選業務基金主要業務係辦理國家公務人員、專門職業及技術人員等各項考試，為因應突發性疾病災害防治所需配合執行之必要防疫支出，於111年3月間函請行政院主計總處核列公務概算額度補助考選業務基金，以維持基金之順利運作，於1</w:t>
      </w:r>
      <w:r w:rsidRPr="00D65AED">
        <w:t>11</w:t>
      </w:r>
      <w:r w:rsidRPr="00D65AED">
        <w:rPr>
          <w:rFonts w:hint="eastAsia"/>
        </w:rPr>
        <w:t>年7月4日獲主計總處同意，112年度由考選部公務預算編列補助考選業</w:t>
      </w:r>
      <w:r w:rsidRPr="00D65AED">
        <w:rPr>
          <w:rFonts w:hint="eastAsia"/>
        </w:rPr>
        <w:lastRenderedPageBreak/>
        <w:t>務基金相關防疫支出7,528萬9千元；該基金近年業務收支餘絀，該基金112年預計賸餘為6,470萬元，其收入總額6億3,690萬元，雖高於112年度費用總額5億7,269萬8千元，其中「考選業務補助收入」係獲行政院主計總處同意由考選部公務預算編列防疫相關支出7,528萬9千元，爰112年度預計賸餘數如扣除該筆補助款後，業務收支將轉為短絀1,058萬9千元，應研謀善策開源節流，以提升營運績效，爰要求3個月內提出檢討報告並送至立法院司法及法制委員會。</w:t>
      </w:r>
    </w:p>
    <w:p w14:paraId="7719EAC0"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rPr>
        <w:t>提案人：曾銘宗</w:t>
      </w:r>
      <w:r w:rsidRPr="00D65AED">
        <w:rPr>
          <w:rFonts w:ascii="標楷體" w:eastAsia="標楷體" w:hAnsi="標楷體" w:hint="eastAsia"/>
          <w:sz w:val="28"/>
          <w:szCs w:val="28"/>
          <w:shd w:val="clear" w:color="auto" w:fill="FFFFFF"/>
        </w:rPr>
        <w:t xml:space="preserve"> </w:t>
      </w:r>
      <w:r w:rsidRPr="00D65AED">
        <w:rPr>
          <w:rFonts w:ascii="標楷體" w:eastAsia="標楷體" w:hAnsi="標楷體" w:hint="eastAsia"/>
          <w:sz w:val="28"/>
          <w:szCs w:val="28"/>
        </w:rPr>
        <w:t>游毓蘭 林思銘</w:t>
      </w:r>
    </w:p>
    <w:p w14:paraId="384FB2AC" w14:textId="77777777" w:rsidR="00421BB5" w:rsidRPr="00D65AED" w:rsidRDefault="00421BB5" w:rsidP="00421BB5">
      <w:pPr>
        <w:spacing w:line="440" w:lineRule="exact"/>
        <w:ind w:leftChars="192" w:left="1018" w:hangingChars="199" w:hanging="557"/>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(八)本案審查完竣，提報院會，院會討論前，須交由黨團協商；院會討論時，由陳</w:t>
      </w:r>
      <w:r w:rsidRPr="00D65AED">
        <w:rPr>
          <w:rFonts w:ascii="標楷體" w:eastAsia="標楷體" w:hAnsi="標楷體" w:hint="eastAsia"/>
          <w:color w:val="000000"/>
          <w:sz w:val="28"/>
          <w:szCs w:val="28"/>
          <w:shd w:val="clear" w:color="auto" w:fill="FFFFFF"/>
        </w:rPr>
        <w:t>召集委員歐珀</w:t>
      </w:r>
      <w:r w:rsidRPr="00D65AED">
        <w:rPr>
          <w:rFonts w:ascii="標楷體" w:eastAsia="標楷體" w:hAnsi="標楷體" w:hint="eastAsia"/>
          <w:sz w:val="28"/>
          <w:szCs w:val="28"/>
          <w:shd w:val="clear" w:color="auto" w:fill="FFFFFF"/>
        </w:rPr>
        <w:t>出席說明。</w:t>
      </w:r>
    </w:p>
    <w:p w14:paraId="6486521D" w14:textId="77777777" w:rsidR="00421BB5" w:rsidRPr="00D65AED" w:rsidRDefault="00421BB5" w:rsidP="00421BB5">
      <w:pPr>
        <w:spacing w:line="440" w:lineRule="exact"/>
        <w:ind w:left="700" w:hangingChars="250" w:hanging="700"/>
        <w:contextualSpacing/>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三、「公務人員退休撫卹基金」：</w:t>
      </w:r>
    </w:p>
    <w:p w14:paraId="10091661" w14:textId="77777777" w:rsidR="00421BB5" w:rsidRPr="00D65AED" w:rsidRDefault="00421BB5" w:rsidP="00421BB5">
      <w:pPr>
        <w:spacing w:line="440" w:lineRule="exact"/>
        <w:ind w:leftChars="200" w:left="1040" w:hangingChars="200" w:hanging="560"/>
        <w:rPr>
          <w:rFonts w:ascii="標楷體" w:eastAsia="標楷體" w:hAnsi="標楷體"/>
          <w:sz w:val="28"/>
          <w:szCs w:val="28"/>
          <w:shd w:val="clear" w:color="auto" w:fill="FFFFFF"/>
        </w:rPr>
      </w:pPr>
      <w:bookmarkStart w:id="501" w:name="_Toc193797135"/>
      <w:bookmarkStart w:id="502" w:name="_Toc193714084"/>
      <w:bookmarkStart w:id="503" w:name="_Toc176841945"/>
      <w:bookmarkStart w:id="504" w:name="_Toc86826066"/>
      <w:bookmarkStart w:id="505" w:name="_Toc86822701"/>
      <w:bookmarkStart w:id="506" w:name="_Toc86822343"/>
      <w:r w:rsidRPr="00D65AED">
        <w:rPr>
          <w:rFonts w:ascii="標楷體" w:eastAsia="標楷體" w:hAnsi="標楷體" w:hint="eastAsia"/>
          <w:sz w:val="28"/>
          <w:szCs w:val="28"/>
          <w:shd w:val="clear" w:color="auto" w:fill="FFFFFF"/>
        </w:rPr>
        <w:t>(一)基金運用計畫：應依據收支、餘絀撥補等項之審查結果，隨同調整。</w:t>
      </w:r>
    </w:p>
    <w:bookmarkEnd w:id="501"/>
    <w:bookmarkEnd w:id="502"/>
    <w:bookmarkEnd w:id="503"/>
    <w:bookmarkEnd w:id="504"/>
    <w:bookmarkEnd w:id="505"/>
    <w:bookmarkEnd w:id="506"/>
    <w:p w14:paraId="47AC33AC" w14:textId="77777777" w:rsidR="00421BB5" w:rsidRPr="00D65AED" w:rsidRDefault="00421BB5" w:rsidP="00421BB5">
      <w:pPr>
        <w:spacing w:line="440" w:lineRule="exact"/>
        <w:ind w:leftChars="193" w:left="1006" w:hangingChars="194" w:hanging="543"/>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(二)</w:t>
      </w:r>
      <w:bookmarkStart w:id="507" w:name="_Toc193797136"/>
      <w:bookmarkStart w:id="508" w:name="_Toc193714085"/>
      <w:bookmarkStart w:id="509" w:name="_Toc176841946"/>
      <w:bookmarkStart w:id="510" w:name="_Toc86826067"/>
      <w:bookmarkStart w:id="511" w:name="_Toc86822702"/>
      <w:r w:rsidRPr="00D65AED">
        <w:rPr>
          <w:rFonts w:ascii="標楷體" w:eastAsia="標楷體" w:hAnsi="標楷體" w:hint="eastAsia"/>
          <w:sz w:val="28"/>
          <w:szCs w:val="28"/>
          <w:shd w:val="clear" w:color="auto" w:fill="FFFFFF"/>
        </w:rPr>
        <w:t>總收入：</w:t>
      </w:r>
      <w:r w:rsidRPr="00D65AED">
        <w:rPr>
          <w:rFonts w:ascii="標楷體" w:eastAsia="標楷體" w:hAnsi="標楷體" w:hint="eastAsia"/>
          <w:sz w:val="28"/>
          <w:szCs w:val="28"/>
        </w:rPr>
        <w:t>321億2</w:t>
      </w:r>
      <w:r w:rsidRPr="00D65AED">
        <w:rPr>
          <w:rFonts w:ascii="標楷體" w:eastAsia="標楷體" w:hAnsi="標楷體"/>
          <w:sz w:val="28"/>
          <w:szCs w:val="28"/>
        </w:rPr>
        <w:t>,</w:t>
      </w:r>
      <w:r w:rsidRPr="00D65AED">
        <w:rPr>
          <w:rFonts w:ascii="標楷體" w:eastAsia="標楷體" w:hAnsi="標楷體" w:hint="eastAsia"/>
          <w:sz w:val="28"/>
          <w:szCs w:val="28"/>
        </w:rPr>
        <w:t>956萬2千元（含112年7月1日以後初任公務人員及公立學校教職員128萬2千元及不含前開初任人員321億2,828萬元）</w:t>
      </w:r>
      <w:r w:rsidRPr="00D65AED">
        <w:rPr>
          <w:rFonts w:ascii="標楷體" w:eastAsia="標楷體" w:hAnsi="標楷體" w:hint="eastAsia"/>
          <w:sz w:val="28"/>
          <w:szCs w:val="28"/>
          <w:shd w:val="clear" w:color="auto" w:fill="FFFFFF"/>
        </w:rPr>
        <w:t>，照列。</w:t>
      </w:r>
    </w:p>
    <w:bookmarkEnd w:id="507"/>
    <w:bookmarkEnd w:id="508"/>
    <w:bookmarkEnd w:id="509"/>
    <w:bookmarkEnd w:id="510"/>
    <w:bookmarkEnd w:id="511"/>
    <w:p w14:paraId="34471C4F" w14:textId="77777777" w:rsidR="00421BB5" w:rsidRPr="00D65AED" w:rsidRDefault="00421BB5" w:rsidP="00421BB5">
      <w:pPr>
        <w:spacing w:line="44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shd w:val="clear" w:color="auto" w:fill="FFFFFF"/>
        </w:rPr>
        <w:t>(三)總支出：</w:t>
      </w:r>
      <w:r w:rsidRPr="00D65AED">
        <w:rPr>
          <w:rStyle w:val="30"/>
          <w:rFonts w:ascii="標楷體" w:hAnsi="標楷體"/>
          <w:szCs w:val="28"/>
        </w:rPr>
        <w:t>1</w:t>
      </w:r>
      <w:r w:rsidRPr="00D65AED">
        <w:rPr>
          <w:rStyle w:val="30"/>
          <w:rFonts w:ascii="標楷體" w:hAnsi="標楷體" w:hint="eastAsia"/>
          <w:szCs w:val="28"/>
        </w:rPr>
        <w:t>9</w:t>
      </w:r>
      <w:r w:rsidRPr="00D65AED">
        <w:rPr>
          <w:rFonts w:ascii="標楷體" w:eastAsia="標楷體" w:hAnsi="標楷體" w:hint="eastAsia"/>
          <w:sz w:val="28"/>
          <w:szCs w:val="28"/>
        </w:rPr>
        <w:t>億2</w:t>
      </w:r>
      <w:r w:rsidRPr="00D65AED">
        <w:rPr>
          <w:rFonts w:ascii="標楷體" w:eastAsia="標楷體" w:hAnsi="標楷體"/>
          <w:sz w:val="28"/>
          <w:szCs w:val="28"/>
        </w:rPr>
        <w:t>,</w:t>
      </w:r>
      <w:r w:rsidRPr="00D65AED">
        <w:rPr>
          <w:rFonts w:ascii="標楷體" w:eastAsia="標楷體" w:hAnsi="標楷體" w:hint="eastAsia"/>
          <w:sz w:val="28"/>
          <w:szCs w:val="28"/>
        </w:rPr>
        <w:t>453萬4千元（含112年7月1日以後初任公務人員及公立學校教職員41萬7千元及不含前開初任人員19億2,411萬7千元），照列。</w:t>
      </w:r>
    </w:p>
    <w:p w14:paraId="2715DFD6" w14:textId="77777777" w:rsidR="00421BB5" w:rsidRPr="00D65AED" w:rsidRDefault="00421BB5" w:rsidP="00421BB5">
      <w:pPr>
        <w:spacing w:line="440" w:lineRule="exact"/>
        <w:ind w:leftChars="200" w:left="1040" w:hangingChars="200" w:hanging="560"/>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(四)本期賸餘：</w:t>
      </w:r>
      <w:r w:rsidRPr="00D65AED">
        <w:rPr>
          <w:rFonts w:ascii="標楷體" w:eastAsia="標楷體" w:hAnsi="標楷體" w:hint="eastAsia"/>
          <w:sz w:val="28"/>
          <w:szCs w:val="28"/>
        </w:rPr>
        <w:t>302億0</w:t>
      </w:r>
      <w:r w:rsidRPr="00D65AED">
        <w:rPr>
          <w:rFonts w:ascii="標楷體" w:eastAsia="標楷體" w:hAnsi="標楷體"/>
          <w:sz w:val="28"/>
          <w:szCs w:val="28"/>
        </w:rPr>
        <w:t>,</w:t>
      </w:r>
      <w:r w:rsidRPr="00D65AED">
        <w:rPr>
          <w:rFonts w:ascii="標楷體" w:eastAsia="標楷體" w:hAnsi="標楷體" w:hint="eastAsia"/>
          <w:sz w:val="28"/>
          <w:szCs w:val="28"/>
        </w:rPr>
        <w:t>502萬8千元（含112年7月1日以後初任公務人員及公立學校教職員86萬5千元及不含前開初任人員302億0,416萬3千元），照列</w:t>
      </w:r>
      <w:r w:rsidRPr="00D65AED">
        <w:rPr>
          <w:rFonts w:ascii="標楷體" w:eastAsia="標楷體" w:hAnsi="標楷體" w:hint="eastAsia"/>
          <w:sz w:val="28"/>
          <w:szCs w:val="28"/>
          <w:shd w:val="clear" w:color="auto" w:fill="FFFFFF"/>
        </w:rPr>
        <w:t>。</w:t>
      </w:r>
    </w:p>
    <w:p w14:paraId="0D38E61E" w14:textId="77777777" w:rsidR="00421BB5" w:rsidRPr="00D65AED" w:rsidRDefault="00421BB5" w:rsidP="00421BB5">
      <w:pPr>
        <w:spacing w:line="440" w:lineRule="exact"/>
        <w:ind w:leftChars="200" w:left="1040" w:hangingChars="200" w:hanging="560"/>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(五)</w:t>
      </w:r>
      <w:r w:rsidRPr="00D65AED">
        <w:rPr>
          <w:rFonts w:ascii="標楷體" w:eastAsia="標楷體" w:hAnsi="標楷體"/>
          <w:sz w:val="28"/>
          <w:szCs w:val="28"/>
          <w:shd w:val="clear" w:color="auto" w:fill="FFFFFF"/>
        </w:rPr>
        <w:t>通過決議</w:t>
      </w:r>
      <w:r w:rsidRPr="00D65AED">
        <w:rPr>
          <w:rFonts w:ascii="標楷體" w:eastAsia="標楷體" w:hAnsi="標楷體" w:hint="eastAsia"/>
          <w:sz w:val="28"/>
          <w:szCs w:val="28"/>
          <w:shd w:val="clear" w:color="auto" w:fill="FFFFFF"/>
        </w:rPr>
        <w:t>3</w:t>
      </w:r>
      <w:r w:rsidRPr="00D65AED">
        <w:rPr>
          <w:rFonts w:ascii="標楷體" w:eastAsia="標楷體" w:hAnsi="標楷體"/>
          <w:sz w:val="28"/>
          <w:szCs w:val="28"/>
          <w:shd w:val="clear" w:color="auto" w:fill="FFFFFF"/>
        </w:rPr>
        <w:t>項：</w:t>
      </w:r>
    </w:p>
    <w:p w14:paraId="5AE0CA6A" w14:textId="77777777" w:rsidR="00421BB5" w:rsidRPr="00D65AED" w:rsidRDefault="00421BB5" w:rsidP="00421BB5">
      <w:pPr>
        <w:pStyle w:val="1-1"/>
        <w:spacing w:line="440" w:lineRule="exact"/>
        <w:rPr>
          <w:color w:val="000000"/>
          <w:kern w:val="0"/>
        </w:rPr>
      </w:pPr>
      <w:r w:rsidRPr="00D65AED">
        <w:rPr>
          <w:rFonts w:hint="eastAsia"/>
        </w:rPr>
        <w:t>1.11</w:t>
      </w:r>
      <w:r w:rsidRPr="00D65AED">
        <w:t>2</w:t>
      </w:r>
      <w:r w:rsidRPr="00D65AED">
        <w:rPr>
          <w:rFonts w:hint="eastAsia"/>
        </w:rPr>
        <w:t>年度公務人員退休撫卹基金預算「總支出」項下「其他財務支出」中「代理費用」下「管理費用」之「自行運用」編列4</w:t>
      </w:r>
      <w:r w:rsidRPr="00D65AED">
        <w:t>,</w:t>
      </w:r>
      <w:r w:rsidRPr="00D65AED">
        <w:rPr>
          <w:rFonts w:hint="eastAsia"/>
        </w:rPr>
        <w:t>394萬2千元，凍結500萬元，俟向立法院司法及法制委員會提出書面報告後，始得動支。</w:t>
      </w:r>
    </w:p>
    <w:p w14:paraId="7CC22337" w14:textId="77777777" w:rsidR="00421BB5" w:rsidRPr="00D65AED" w:rsidRDefault="00421BB5" w:rsidP="00421BB5">
      <w:pPr>
        <w:pStyle w:val="2-1"/>
        <w:spacing w:line="440" w:lineRule="exact"/>
      </w:pPr>
      <w:r w:rsidRPr="00D65AED">
        <w:rPr>
          <w:rFonts w:hint="eastAsia"/>
        </w:rPr>
        <w:t>提案人：陳以信</w:t>
      </w:r>
    </w:p>
    <w:p w14:paraId="3ECDE599" w14:textId="77777777" w:rsidR="00421BB5" w:rsidRPr="00D65AED" w:rsidRDefault="00421BB5" w:rsidP="00421BB5">
      <w:pPr>
        <w:pStyle w:val="2-1"/>
        <w:spacing w:line="440" w:lineRule="exact"/>
      </w:pPr>
      <w:r w:rsidRPr="00D65AED">
        <w:rPr>
          <w:rFonts w:hint="eastAsia"/>
        </w:rPr>
        <w:t>連署人：游毓蘭 陳玉珍 曾銘宗</w:t>
      </w:r>
    </w:p>
    <w:p w14:paraId="7BEDF8B8" w14:textId="77777777" w:rsidR="00421BB5" w:rsidRPr="00D65AED" w:rsidRDefault="00421BB5" w:rsidP="00421BB5">
      <w:pPr>
        <w:pStyle w:val="1-1"/>
        <w:spacing w:line="440" w:lineRule="exact"/>
      </w:pPr>
      <w:r w:rsidRPr="00D65AED">
        <w:rPr>
          <w:rFonts w:hint="eastAsia"/>
        </w:rPr>
        <w:t>2</w:t>
      </w:r>
      <w:r w:rsidRPr="00D65AED">
        <w:t>.</w:t>
      </w:r>
      <w:r w:rsidRPr="00D65AED">
        <w:rPr>
          <w:rFonts w:hint="eastAsia"/>
        </w:rPr>
        <w:t>依立法院預算中心評估報告指出，公務人員退休撫卹支出由</w:t>
      </w:r>
      <w:r w:rsidRPr="00D65AED">
        <w:rPr>
          <w:rFonts w:hint="eastAsia"/>
        </w:rPr>
        <w:lastRenderedPageBreak/>
        <w:t>100年度之426億元，逐年迅速攀升至110年度之988.6億元，增幅高達132.07%，退撫支出規模急速擴大；107年7月退休年金改革後，越來越多公務人員延後退休年齡，退休選擇領月休金(含兼領)方式人數均較領一次退休金者為多，致基金之定期退撫給與人數快速累積，由100年度之21萬2,943人增至110年度之37萬4,318人，增幅75.78%，且自107年度起定期退撫給與金額占退撫支出比重均超過九成，110年度則達97.04%，又依據國家發展委員會推估，全國平均餘命將由1</w:t>
      </w:r>
      <w:r w:rsidRPr="00D65AED">
        <w:t>08</w:t>
      </w:r>
      <w:r w:rsidRPr="00D65AED">
        <w:rPr>
          <w:rFonts w:hint="eastAsia"/>
        </w:rPr>
        <w:t>年之80.9歲增至1</w:t>
      </w:r>
      <w:r w:rsidRPr="00D65AED">
        <w:t>59</w:t>
      </w:r>
      <w:r w:rsidRPr="00D65AED">
        <w:rPr>
          <w:rFonts w:hint="eastAsia"/>
        </w:rPr>
        <w:t>年之85.6歲，國人平均餘命增加，公務人員退休給付請領年限亦將延長，未來退撫支出恐愈加沉重，爰要求公務人員退休撫卹基金儘早妥為因應，有效擴充基金財源，避免退休年金再次面臨財務危機，維持基金穩健運作，俾保障公務人員退休權益，並於3個月內向立法院司法及法制委員會提出報告。</w:t>
      </w:r>
    </w:p>
    <w:p w14:paraId="736B9863"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rPr>
        <w:t>提案人：曾銘宗 游毓蘭 林思銘</w:t>
      </w:r>
    </w:p>
    <w:p w14:paraId="01C1FD63" w14:textId="77777777" w:rsidR="00421BB5" w:rsidRPr="00D65AED" w:rsidRDefault="00421BB5" w:rsidP="00421BB5">
      <w:pPr>
        <w:pStyle w:val="1-1"/>
        <w:spacing w:line="440" w:lineRule="exact"/>
        <w:ind w:rightChars="-95" w:right="-228"/>
      </w:pPr>
      <w:r w:rsidRPr="00D65AED">
        <w:t>3.</w:t>
      </w:r>
      <w:r w:rsidRPr="00D65AED">
        <w:rPr>
          <w:rFonts w:hint="eastAsia"/>
        </w:rPr>
        <w:t>依公務人員退休撫卹基金管理條例規定，</w:t>
      </w:r>
      <w:r w:rsidRPr="00D65AED">
        <w:t>112</w:t>
      </w:r>
      <w:r w:rsidRPr="00D65AED">
        <w:rPr>
          <w:rFonts w:hint="eastAsia"/>
        </w:rPr>
        <w:t>年度公務人員退休撫卹基金運用之法定最低收益率要求訂為</w:t>
      </w:r>
      <w:r w:rsidRPr="00D65AED">
        <w:t>1.05%</w:t>
      </w:r>
      <w:r w:rsidRPr="00D65AED">
        <w:rPr>
          <w:rFonts w:hint="eastAsia"/>
        </w:rPr>
        <w:t>，及</w:t>
      </w:r>
      <w:r w:rsidRPr="00D65AED">
        <w:t>112</w:t>
      </w:r>
      <w:r w:rsidRPr="00D65AED">
        <w:rPr>
          <w:rFonts w:hint="eastAsia"/>
        </w:rPr>
        <w:t>年度基金運用收益目標值為</w:t>
      </w:r>
      <w:r w:rsidRPr="00D65AED">
        <w:t>4.0%</w:t>
      </w:r>
      <w:r w:rsidRPr="00D65AED">
        <w:rPr>
          <w:rFonts w:hint="eastAsia"/>
        </w:rPr>
        <w:t>，依立法院預算中心評估報告指出，</w:t>
      </w:r>
      <w:r w:rsidRPr="00D65AED">
        <w:t>111</w:t>
      </w:r>
      <w:r w:rsidRPr="00D65AED">
        <w:rPr>
          <w:rFonts w:hint="eastAsia"/>
        </w:rPr>
        <w:t>年上半年之基金投資運用績效普遍未佳，退撫基金</w:t>
      </w:r>
      <w:r w:rsidRPr="00D65AED">
        <w:t>111</w:t>
      </w:r>
      <w:r w:rsidRPr="00D65AED">
        <w:rPr>
          <w:rFonts w:hint="eastAsia"/>
        </w:rPr>
        <w:t>年截至</w:t>
      </w:r>
      <w:r w:rsidRPr="00D65AED">
        <w:t>6</w:t>
      </w:r>
      <w:r w:rsidRPr="00D65AED">
        <w:rPr>
          <w:rFonts w:hint="eastAsia"/>
        </w:rPr>
        <w:t>月底止之投資績效情形，除自行經營之固定收益仍有</w:t>
      </w:r>
      <w:r w:rsidRPr="00D65AED">
        <w:t>3.13%</w:t>
      </w:r>
      <w:r w:rsidRPr="00D65AED">
        <w:rPr>
          <w:rFonts w:hint="eastAsia"/>
        </w:rPr>
        <w:t>之收益率外，其餘投資績效均為負數，其中自行經營之資本利得收益率為</w:t>
      </w:r>
      <w:r w:rsidRPr="00D65AED">
        <w:t>-16.07%</w:t>
      </w:r>
      <w:r w:rsidRPr="00D65AED">
        <w:rPr>
          <w:rFonts w:hint="eastAsia"/>
        </w:rPr>
        <w:t>，相較委託經營</w:t>
      </w:r>
      <w:r w:rsidRPr="00D65AED">
        <w:t>(-12.59%)</w:t>
      </w:r>
      <w:r w:rsidRPr="00D65AED">
        <w:rPr>
          <w:rFonts w:hint="eastAsia"/>
        </w:rPr>
        <w:t>及整體</w:t>
      </w:r>
      <w:r w:rsidRPr="00D65AED">
        <w:t>(-8.07%)</w:t>
      </w:r>
      <w:r w:rsidRPr="00D65AED">
        <w:rPr>
          <w:rFonts w:hint="eastAsia"/>
        </w:rPr>
        <w:t>較為遜色，鑑於112年全球經濟走勢趨弱，市場投資風險提高，退撫基金應密切注意世界經濟與國際金融情勢，妥適管理投資組合，爰要求公務人員退休撫卹基金調整各投資組合之獲利及防禦功能，俾改善投資績效與提高投資收益，並於3個月內向立法院司法及法制委員會提出報告。</w:t>
      </w:r>
    </w:p>
    <w:p w14:paraId="0A227657" w14:textId="77777777" w:rsidR="00421BB5" w:rsidRPr="00D65AED" w:rsidRDefault="00421BB5" w:rsidP="00421BB5">
      <w:pPr>
        <w:adjustRightInd w:val="0"/>
        <w:snapToGrid w:val="0"/>
        <w:spacing w:line="440" w:lineRule="exact"/>
        <w:ind w:leftChars="1400" w:left="4480" w:hangingChars="400" w:hanging="1120"/>
        <w:jc w:val="both"/>
        <w:rPr>
          <w:rFonts w:ascii="標楷體" w:eastAsia="標楷體" w:hAnsi="標楷體"/>
          <w:sz w:val="28"/>
          <w:szCs w:val="28"/>
          <w:shd w:val="clear" w:color="auto" w:fill="FFFFFF"/>
        </w:rPr>
      </w:pPr>
      <w:r w:rsidRPr="00D65AED">
        <w:rPr>
          <w:rFonts w:ascii="標楷體" w:eastAsia="標楷體" w:hAnsi="標楷體" w:hint="eastAsia"/>
          <w:sz w:val="28"/>
          <w:szCs w:val="28"/>
        </w:rPr>
        <w:t>提案人：曾銘宗 游毓蘭 林思銘</w:t>
      </w:r>
    </w:p>
    <w:p w14:paraId="6722A3FF" w14:textId="77777777" w:rsidR="00421BB5" w:rsidRPr="00D65AED" w:rsidRDefault="00421BB5" w:rsidP="00421BB5">
      <w:pPr>
        <w:spacing w:line="440" w:lineRule="exact"/>
        <w:ind w:leftChars="309" w:left="1341" w:hangingChars="214" w:hanging="599"/>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(六)本案審查完竣，提報院會，院會討論前，須交由黨團協商；院會討論時，由陳召集委員歐珀出席說明。</w:t>
      </w:r>
    </w:p>
    <w:p w14:paraId="36FA6DE8" w14:textId="77777777" w:rsidR="00421BB5" w:rsidRPr="00D65AED" w:rsidRDefault="00421BB5" w:rsidP="00421BB5">
      <w:pPr>
        <w:spacing w:line="440" w:lineRule="exact"/>
        <w:ind w:left="560" w:hangingChars="200" w:hanging="560"/>
        <w:contextualSpacing/>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四、第四案至第七案，均准予動支，提報院會。</w:t>
      </w:r>
    </w:p>
    <w:p w14:paraId="405726A3" w14:textId="77777777" w:rsidR="00421BB5" w:rsidRPr="00D65AED" w:rsidRDefault="00421BB5" w:rsidP="00421BB5">
      <w:pPr>
        <w:spacing w:line="440" w:lineRule="exact"/>
        <w:ind w:left="560" w:hangingChars="200" w:hanging="560"/>
        <w:contextualSpacing/>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lastRenderedPageBreak/>
        <w:t>五、本次會議通過之決議，依例文字授權主席及議事人員整理。</w:t>
      </w:r>
    </w:p>
    <w:p w14:paraId="6A720E62" w14:textId="77777777" w:rsidR="00421BB5" w:rsidRPr="00D65AED" w:rsidRDefault="00421BB5" w:rsidP="00421BB5">
      <w:pPr>
        <w:spacing w:line="440" w:lineRule="exact"/>
        <w:ind w:left="619" w:hangingChars="221" w:hanging="619"/>
        <w:contextualSpacing/>
        <w:jc w:val="both"/>
        <w:rPr>
          <w:rFonts w:ascii="標楷體" w:eastAsia="標楷體" w:hAnsi="標楷體"/>
          <w:sz w:val="28"/>
          <w:szCs w:val="28"/>
          <w:shd w:val="clear" w:color="auto" w:fill="FFFFFF"/>
        </w:rPr>
      </w:pPr>
      <w:r w:rsidRPr="00D65AED">
        <w:rPr>
          <w:rFonts w:ascii="標楷體" w:eastAsia="標楷體" w:hAnsi="標楷體"/>
          <w:sz w:val="28"/>
          <w:szCs w:val="28"/>
          <w:shd w:val="clear" w:color="auto" w:fill="FFFFFF"/>
        </w:rPr>
        <w:t>散會</w:t>
      </w:r>
    </w:p>
    <w:p w14:paraId="349EB745" w14:textId="77777777" w:rsidR="00421BB5" w:rsidRPr="00D65AED" w:rsidRDefault="00421BB5" w:rsidP="00421BB5">
      <w:pPr>
        <w:spacing w:line="360" w:lineRule="exact"/>
        <w:ind w:left="700" w:hangingChars="250" w:hanging="700"/>
        <w:contextualSpacing/>
        <w:jc w:val="both"/>
        <w:rPr>
          <w:rFonts w:ascii="標楷體" w:eastAsia="標楷體" w:hAnsi="標楷體"/>
          <w:sz w:val="28"/>
          <w:szCs w:val="28"/>
          <w:shd w:val="clear" w:color="auto" w:fill="FFFFFF"/>
        </w:rPr>
      </w:pPr>
    </w:p>
    <w:p w14:paraId="47E99A99"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立法院第10屆第6會期司法及法制委員會第1</w:t>
      </w:r>
      <w:r w:rsidRPr="00D65AED">
        <w:rPr>
          <w:rFonts w:ascii="標楷體" w:eastAsia="標楷體" w:hAnsi="標楷體"/>
          <w:b/>
          <w:spacing w:val="-4"/>
          <w:sz w:val="28"/>
          <w:szCs w:val="28"/>
        </w:rPr>
        <w:t>2</w:t>
      </w:r>
      <w:r w:rsidRPr="00D65AED">
        <w:rPr>
          <w:rFonts w:ascii="標楷體" w:eastAsia="標楷體" w:hAnsi="標楷體" w:hint="eastAsia"/>
          <w:b/>
          <w:spacing w:val="-4"/>
          <w:sz w:val="28"/>
          <w:szCs w:val="28"/>
        </w:rPr>
        <w:t>次全體委員會議議事錄</w:t>
      </w:r>
    </w:p>
    <w:p w14:paraId="67DCB2D3" w14:textId="77777777" w:rsidR="00421BB5" w:rsidRPr="00D65AED" w:rsidRDefault="00421BB5" w:rsidP="00421BB5">
      <w:pPr>
        <w:pStyle w:val="-9"/>
        <w:spacing w:line="360" w:lineRule="exact"/>
        <w:ind w:left="1417" w:hangingChars="506" w:hanging="1417"/>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pacing w:val="-10"/>
          <w:sz w:val="28"/>
          <w:szCs w:val="28"/>
        </w:rPr>
        <w:t>中華民國1</w:t>
      </w:r>
      <w:r w:rsidRPr="00D65AED">
        <w:rPr>
          <w:rFonts w:ascii="標楷體" w:hAnsi="標楷體"/>
          <w:spacing w:val="-10"/>
          <w:sz w:val="28"/>
          <w:szCs w:val="28"/>
        </w:rPr>
        <w:t>11</w:t>
      </w:r>
      <w:r w:rsidRPr="00D65AED">
        <w:rPr>
          <w:rFonts w:ascii="標楷體" w:hAnsi="標楷體" w:hint="eastAsia"/>
          <w:spacing w:val="-10"/>
          <w:sz w:val="28"/>
          <w:szCs w:val="28"/>
        </w:rPr>
        <w:t>年11月</w:t>
      </w:r>
      <w:r w:rsidRPr="00D65AED">
        <w:rPr>
          <w:rFonts w:ascii="標楷體" w:hAnsi="標楷體"/>
          <w:spacing w:val="-10"/>
          <w:sz w:val="28"/>
          <w:szCs w:val="28"/>
        </w:rPr>
        <w:t>7</w:t>
      </w:r>
      <w:r w:rsidRPr="00D65AED">
        <w:rPr>
          <w:rFonts w:ascii="標楷體" w:hAnsi="標楷體" w:hint="eastAsia"/>
          <w:spacing w:val="-10"/>
          <w:sz w:val="28"/>
          <w:szCs w:val="28"/>
        </w:rPr>
        <w:t>日（星期一）上午9時2</w:t>
      </w:r>
      <w:r w:rsidRPr="00D65AED">
        <w:rPr>
          <w:rFonts w:ascii="標楷體" w:hAnsi="標楷體"/>
          <w:spacing w:val="-10"/>
          <w:sz w:val="28"/>
          <w:szCs w:val="28"/>
        </w:rPr>
        <w:t>分</w:t>
      </w:r>
      <w:r w:rsidRPr="00D65AED">
        <w:rPr>
          <w:rFonts w:ascii="標楷體" w:hAnsi="標楷體" w:hint="eastAsia"/>
          <w:spacing w:val="-10"/>
          <w:sz w:val="28"/>
          <w:szCs w:val="28"/>
        </w:rPr>
        <w:t>至1</w:t>
      </w:r>
      <w:r w:rsidRPr="00D65AED">
        <w:rPr>
          <w:rFonts w:ascii="標楷體" w:hAnsi="標楷體"/>
          <w:spacing w:val="-10"/>
          <w:sz w:val="28"/>
          <w:szCs w:val="28"/>
        </w:rPr>
        <w:t>1</w:t>
      </w:r>
      <w:r w:rsidRPr="00D65AED">
        <w:rPr>
          <w:rFonts w:ascii="標楷體" w:hAnsi="標楷體" w:hint="eastAsia"/>
          <w:spacing w:val="-10"/>
          <w:sz w:val="28"/>
          <w:szCs w:val="28"/>
        </w:rPr>
        <w:t>時</w:t>
      </w:r>
    </w:p>
    <w:p w14:paraId="18C5414A"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6266784A" w14:textId="77777777" w:rsidR="00421BB5" w:rsidRPr="00D65AED" w:rsidRDefault="00421BB5" w:rsidP="00421BB5">
      <w:pPr>
        <w:snapToGrid w:val="0"/>
        <w:ind w:leftChars="-17" w:left="1398" w:hangingChars="514" w:hanging="1439"/>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hint="eastAsia"/>
          <w:sz w:val="28"/>
          <w:szCs w:val="28"/>
        </w:rPr>
        <w:tab/>
        <w:t>曾銘宗</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陳以信</w:t>
      </w:r>
    </w:p>
    <w:p w14:paraId="1021A8DF" w14:textId="77777777" w:rsidR="00421BB5" w:rsidRPr="00D65AED" w:rsidRDefault="00421BB5" w:rsidP="00421BB5">
      <w:pPr>
        <w:snapToGrid w:val="0"/>
        <w:ind w:leftChars="571" w:left="1395" w:hangingChars="9" w:hanging="25"/>
        <w:rPr>
          <w:rFonts w:ascii="標楷體" w:eastAsia="標楷體" w:hAnsi="標楷體"/>
          <w:sz w:val="28"/>
          <w:szCs w:val="28"/>
          <w:highlight w:val="yellow"/>
        </w:rPr>
      </w:pP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76581B65" w14:textId="77777777" w:rsidR="00421BB5" w:rsidRPr="00D65AED" w:rsidRDefault="00421BB5" w:rsidP="00421BB5">
      <w:pPr>
        <w:snapToGrid w:val="0"/>
        <w:ind w:leftChars="571" w:left="1395" w:hangingChars="9" w:hanging="25"/>
        <w:rPr>
          <w:rFonts w:ascii="標楷體" w:eastAsia="標楷體" w:hAnsi="標楷體"/>
          <w:sz w:val="28"/>
          <w:szCs w:val="28"/>
        </w:rPr>
      </w:pPr>
      <w:r w:rsidRPr="00D65AED">
        <w:rPr>
          <w:rFonts w:ascii="標楷體" w:eastAsia="標楷體" w:hAnsi="標楷體" w:hint="eastAsia"/>
          <w:sz w:val="28"/>
          <w:szCs w:val="28"/>
        </w:rPr>
        <w:t>委員出席10人</w:t>
      </w:r>
    </w:p>
    <w:p w14:paraId="2D1FEE39" w14:textId="77777777" w:rsidR="00421BB5" w:rsidRPr="00D65AED" w:rsidRDefault="00421BB5" w:rsidP="00421BB5">
      <w:pPr>
        <w:adjustRightInd w:val="0"/>
        <w:snapToGrid w:val="0"/>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color w:val="000000"/>
          <w:sz w:val="28"/>
          <w:szCs w:val="28"/>
        </w:rPr>
        <w:t>邱顯智</w:t>
      </w:r>
      <w:r w:rsidRPr="00D65AED">
        <w:rPr>
          <w:rFonts w:ascii="標楷體" w:eastAsia="標楷體" w:hAnsi="標楷體"/>
          <w:color w:val="000000"/>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t>陳亭妃</w:t>
      </w:r>
      <w:r w:rsidRPr="00D65AED">
        <w:rPr>
          <w:rFonts w:ascii="標楷體" w:eastAsia="標楷體" w:hAnsi="標楷體"/>
          <w:sz w:val="28"/>
          <w:szCs w:val="28"/>
        </w:rPr>
        <w:tab/>
      </w:r>
      <w:r w:rsidRPr="00D65AED">
        <w:rPr>
          <w:rFonts w:ascii="標楷體" w:eastAsia="標楷體" w:hAnsi="標楷體" w:hint="eastAsia"/>
          <w:sz w:val="28"/>
          <w:szCs w:val="28"/>
        </w:rPr>
        <w:t>謝衣鳯</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hint="eastAsia"/>
          <w:sz w:val="28"/>
          <w:szCs w:val="28"/>
        </w:rPr>
        <w:t>江啟臣</w:t>
      </w:r>
      <w:r w:rsidRPr="00D65AED">
        <w:rPr>
          <w:rFonts w:ascii="標楷體" w:eastAsia="標楷體" w:hAnsi="標楷體"/>
          <w:sz w:val="28"/>
          <w:szCs w:val="28"/>
        </w:rPr>
        <w:tab/>
      </w:r>
      <w:r w:rsidRPr="00D65AED">
        <w:rPr>
          <w:rFonts w:ascii="標楷體" w:eastAsia="標楷體" w:hAnsi="標楷體" w:hint="eastAsia"/>
          <w:sz w:val="28"/>
          <w:szCs w:val="28"/>
        </w:rPr>
        <w:t>劉世芳</w:t>
      </w:r>
    </w:p>
    <w:p w14:paraId="3D02D65A" w14:textId="77777777" w:rsidR="00421BB5" w:rsidRPr="00D65AED" w:rsidRDefault="00421BB5" w:rsidP="00421BB5">
      <w:pPr>
        <w:adjustRightInd w:val="0"/>
        <w:snapToGrid w:val="0"/>
        <w:ind w:leftChars="577" w:left="1399" w:hangingChars="5" w:hanging="14"/>
        <w:jc w:val="both"/>
        <w:rPr>
          <w:rFonts w:ascii="標楷體" w:eastAsia="標楷體" w:hAnsi="標楷體"/>
          <w:sz w:val="28"/>
          <w:szCs w:val="28"/>
        </w:rPr>
      </w:pP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sz w:val="28"/>
        </w:rPr>
        <w:t>廖婉汝</w:t>
      </w:r>
      <w:r w:rsidRPr="00D65AED">
        <w:rPr>
          <w:rFonts w:ascii="標楷體" w:eastAsia="標楷體" w:hAnsi="標楷體"/>
          <w:sz w:val="28"/>
        </w:rPr>
        <w:tab/>
      </w:r>
      <w:r w:rsidRPr="00D65AED">
        <w:rPr>
          <w:rFonts w:ascii="標楷體" w:eastAsia="標楷體" w:hAnsi="標楷體" w:hint="eastAsia"/>
          <w:sz w:val="28"/>
        </w:rPr>
        <w:t>張育美</w:t>
      </w:r>
      <w:r w:rsidRPr="00D65AED">
        <w:rPr>
          <w:rFonts w:ascii="標楷體" w:eastAsia="標楷體" w:hAnsi="標楷體"/>
          <w:sz w:val="28"/>
        </w:rPr>
        <w:tab/>
      </w:r>
      <w:r w:rsidRPr="00D65AED">
        <w:rPr>
          <w:rFonts w:ascii="標楷體" w:eastAsia="標楷體" w:hAnsi="標楷體" w:hint="eastAsia"/>
          <w:sz w:val="28"/>
          <w:szCs w:val="28"/>
        </w:rPr>
        <w:t>李貴敏</w:t>
      </w:r>
    </w:p>
    <w:p w14:paraId="30E605C6" w14:textId="77777777" w:rsidR="00421BB5" w:rsidRPr="00D65AED" w:rsidRDefault="00421BB5" w:rsidP="00421BB5">
      <w:pPr>
        <w:snapToGrid w:val="0"/>
        <w:ind w:firstLineChars="485" w:firstLine="1358"/>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w:t>
      </w:r>
      <w:r w:rsidRPr="00D65AED">
        <w:rPr>
          <w:rFonts w:ascii="標楷體" w:eastAsia="標楷體" w:hAnsi="標楷體"/>
          <w:sz w:val="28"/>
          <w:szCs w:val="28"/>
        </w:rPr>
        <w:t>1人</w:t>
      </w:r>
    </w:p>
    <w:p w14:paraId="037856EC" w14:textId="77777777" w:rsidR="00421BB5" w:rsidRPr="00D65AED" w:rsidRDefault="00421BB5" w:rsidP="00421BB5">
      <w:pPr>
        <w:widowControl/>
        <w:snapToGrid w:val="0"/>
        <w:jc w:val="both"/>
        <w:rPr>
          <w:rFonts w:ascii="標楷體" w:eastAsia="標楷體" w:hAnsi="標楷體"/>
          <w:sz w:val="28"/>
          <w:szCs w:val="28"/>
        </w:rPr>
      </w:pPr>
      <w:r w:rsidRPr="00D65AED">
        <w:rPr>
          <w:rFonts w:ascii="標楷體" w:eastAsia="標楷體" w:hAnsi="標楷體"/>
          <w:sz w:val="28"/>
          <w:szCs w:val="28"/>
        </w:rPr>
        <w:t>請假委員：周春米</w:t>
      </w:r>
    </w:p>
    <w:p w14:paraId="3AAB54FB" w14:textId="77777777" w:rsidR="00421BB5" w:rsidRPr="00D65AED" w:rsidRDefault="00421BB5" w:rsidP="00421BB5">
      <w:pPr>
        <w:snapToGrid w:val="0"/>
        <w:ind w:firstLineChars="485" w:firstLine="1358"/>
        <w:jc w:val="both"/>
        <w:rPr>
          <w:rFonts w:ascii="標楷體" w:eastAsia="標楷體" w:hAnsi="標楷體"/>
          <w:sz w:val="28"/>
          <w:szCs w:val="28"/>
        </w:rPr>
      </w:pPr>
      <w:r w:rsidRPr="00D65AED">
        <w:rPr>
          <w:rFonts w:ascii="標楷體" w:eastAsia="標楷體" w:hAnsi="標楷體"/>
          <w:sz w:val="28"/>
          <w:szCs w:val="28"/>
        </w:rPr>
        <w:t>委員請假</w:t>
      </w:r>
      <w:r w:rsidRPr="00D65AED">
        <w:rPr>
          <w:rFonts w:ascii="標楷體" w:eastAsia="標楷體" w:hAnsi="標楷體" w:hint="eastAsia"/>
          <w:sz w:val="28"/>
          <w:szCs w:val="28"/>
        </w:rPr>
        <w:t>1</w:t>
      </w:r>
      <w:r w:rsidRPr="00D65AED">
        <w:rPr>
          <w:rFonts w:ascii="標楷體" w:eastAsia="標楷體" w:hAnsi="標楷體"/>
          <w:sz w:val="28"/>
          <w:szCs w:val="28"/>
        </w:rPr>
        <w:t>人</w:t>
      </w:r>
    </w:p>
    <w:p w14:paraId="59E7F254"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監察院秘書長　朱富美</w:t>
      </w:r>
    </w:p>
    <w:p w14:paraId="324875DB" w14:textId="77777777" w:rsidR="00421BB5" w:rsidRPr="00D65AED" w:rsidRDefault="00421BB5" w:rsidP="00421BB5">
      <w:pPr>
        <w:pStyle w:val="-9"/>
        <w:spacing w:line="360" w:lineRule="exact"/>
        <w:ind w:leftChars="567" w:left="1361" w:firstLineChars="18" w:firstLine="50"/>
        <w:rPr>
          <w:rFonts w:ascii="標楷體" w:hAnsi="標楷體"/>
          <w:sz w:val="28"/>
          <w:szCs w:val="28"/>
        </w:rPr>
      </w:pPr>
      <w:r w:rsidRPr="00D65AED">
        <w:rPr>
          <w:rFonts w:ascii="標楷體" w:hAnsi="標楷體" w:hint="eastAsia"/>
          <w:sz w:val="28"/>
          <w:szCs w:val="28"/>
        </w:rPr>
        <w:t>行政院主計總處公務預算處專門委員　黃子菡</w:t>
      </w:r>
    </w:p>
    <w:p w14:paraId="20DE1745"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：林</w:t>
      </w:r>
      <w:r w:rsidRPr="00D65AED">
        <w:rPr>
          <w:rFonts w:ascii="標楷體" w:eastAsia="標楷體" w:hAnsi="標楷體" w:hint="eastAsia"/>
          <w:sz w:val="28"/>
          <w:szCs w:val="28"/>
        </w:rPr>
        <w:t>召集委員思銘</w:t>
      </w:r>
    </w:p>
    <w:p w14:paraId="032F7B33"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4F9611CB"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4B35706A"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5C2670EB"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49C6BC1D"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682B8F15"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6A1CFDB4" w14:textId="77777777" w:rsidR="00421BB5" w:rsidRPr="00D65AED" w:rsidRDefault="00421BB5" w:rsidP="00421BB5">
      <w:pPr>
        <w:pStyle w:val="afffff4"/>
        <w:spacing w:line="360" w:lineRule="exact"/>
        <w:ind w:left="560" w:hanging="560"/>
        <w:jc w:val="both"/>
        <w:rPr>
          <w:rFonts w:ascii="標楷體" w:hAnsi="標楷體"/>
          <w:sz w:val="28"/>
          <w:szCs w:val="28"/>
        </w:rPr>
      </w:pPr>
      <w:r w:rsidRPr="00D65AED">
        <w:rPr>
          <w:rFonts w:ascii="標楷體" w:hAnsi="標楷體" w:hint="eastAsia"/>
          <w:sz w:val="28"/>
          <w:szCs w:val="28"/>
        </w:rPr>
        <w:t>一、</w:t>
      </w:r>
      <w:r w:rsidRPr="00D65AED">
        <w:rPr>
          <w:rFonts w:ascii="標楷體" w:hAnsi="標楷體"/>
          <w:sz w:val="28"/>
          <w:szCs w:val="28"/>
        </w:rPr>
        <w:t>宣讀上次會議議事錄</w:t>
      </w:r>
      <w:r w:rsidRPr="00D65AED">
        <w:rPr>
          <w:rFonts w:ascii="標楷體" w:hAnsi="標楷體" w:hint="eastAsia"/>
          <w:sz w:val="28"/>
          <w:szCs w:val="28"/>
        </w:rPr>
        <w:t>。</w:t>
      </w:r>
    </w:p>
    <w:p w14:paraId="753DE3DD"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決定：確定。</w:t>
      </w:r>
    </w:p>
    <w:p w14:paraId="625B90B1"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二、邀請監察院秘書長列席說明立法計畫，並備質詢。</w:t>
      </w:r>
    </w:p>
    <w:p w14:paraId="6DCAB66E"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決定：報告及詢答完畢。</w:t>
      </w:r>
    </w:p>
    <w:p w14:paraId="14C59BE4"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7BFA2C1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一、審查112年度中央政府總預算案關於監察院主管（不含審計部及所屬）收支部分。</w:t>
      </w:r>
    </w:p>
    <w:p w14:paraId="477ADD14"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二、監察院函，為111年度中央政府總預算決議，檢送決議（一）預算凍結書面報告，請查照案。</w:t>
      </w:r>
    </w:p>
    <w:p w14:paraId="4F801704"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三</w:t>
      </w:r>
      <w:r w:rsidRPr="00D65AED">
        <w:rPr>
          <w:rFonts w:ascii="標楷體" w:eastAsia="標楷體" w:hAnsi="標楷體"/>
          <w:kern w:val="0"/>
          <w:sz w:val="28"/>
          <w:szCs w:val="28"/>
        </w:rPr>
        <w:t>、</w:t>
      </w:r>
      <w:r w:rsidRPr="00D65AED">
        <w:rPr>
          <w:rFonts w:ascii="標楷體" w:eastAsia="標楷體" w:hAnsi="標楷體" w:hint="eastAsia"/>
          <w:kern w:val="0"/>
          <w:sz w:val="28"/>
          <w:szCs w:val="28"/>
        </w:rPr>
        <w:t>監察院函，為111年度中央政府總預算決議，檢送決議（二）預算凍結書面報告，請查照案。</w:t>
      </w:r>
    </w:p>
    <w:p w14:paraId="7FFFCA9E"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四、監察院函，為111年度中央政府總預算決議，檢送決議（三）預算凍結書面報告，請查照案。</w:t>
      </w:r>
    </w:p>
    <w:p w14:paraId="130D0B42"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五、監察院函，為111年度中央政府總預算決議，檢送決議（四）預算凍結書面報告，請查照案。</w:t>
      </w:r>
    </w:p>
    <w:p w14:paraId="7675A031"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六、監察院函，為111年度中央政府總預算決議，檢送決議（五）預算凍結書面報告，請查照案。</w:t>
      </w:r>
    </w:p>
    <w:p w14:paraId="198F6101"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七、監察院函，為111年度中央政府總預算決議，檢送決議（六）預</w:t>
      </w:r>
      <w:r w:rsidRPr="00D65AED">
        <w:rPr>
          <w:rFonts w:ascii="標楷體" w:eastAsia="標楷體" w:hAnsi="標楷體" w:hint="eastAsia"/>
          <w:kern w:val="0"/>
          <w:sz w:val="28"/>
          <w:szCs w:val="28"/>
        </w:rPr>
        <w:lastRenderedPageBreak/>
        <w:t>算凍結書面報告，請查照案。</w:t>
      </w:r>
    </w:p>
    <w:p w14:paraId="2C8917B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八、監察院函，為111年度中央政府總預算決議，檢送決議（七）預算凍結書面報告，請查照案。</w:t>
      </w:r>
    </w:p>
    <w:p w14:paraId="2260863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九、監察院函，為111年度中央政府總預算決議，檢送決議（三十三）預算凍結書面報告，請查照案。</w:t>
      </w:r>
    </w:p>
    <w:p w14:paraId="6C0A2D5E" w14:textId="77777777" w:rsidR="00421BB5" w:rsidRPr="00D65AED" w:rsidRDefault="00421BB5" w:rsidP="00421BB5">
      <w:pPr>
        <w:spacing w:beforeLines="10" w:before="36" w:line="360" w:lineRule="exact"/>
        <w:ind w:left="280" w:hangingChars="100" w:hanging="280"/>
        <w:jc w:val="distribute"/>
        <w:rPr>
          <w:rFonts w:ascii="標楷體" w:eastAsia="標楷體" w:hAnsi="標楷體"/>
          <w:sz w:val="28"/>
          <w:szCs w:val="28"/>
        </w:rPr>
      </w:pPr>
      <w:r w:rsidRPr="00D65AED">
        <w:rPr>
          <w:rFonts w:ascii="標楷體" w:eastAsia="標楷體" w:hAnsi="標楷體" w:hint="eastAsia"/>
          <w:sz w:val="28"/>
          <w:szCs w:val="28"/>
        </w:rPr>
        <w:t>（本次會議有委員陳歐珀、游毓蘭、陳以信、江永昌、</w:t>
      </w:r>
      <w:r w:rsidRPr="00D65AED">
        <w:rPr>
          <w:rFonts w:ascii="標楷體" w:eastAsia="標楷體" w:hAnsi="標楷體" w:hint="eastAsia"/>
          <w:spacing w:val="20"/>
          <w:sz w:val="28"/>
          <w:szCs w:val="28"/>
        </w:rPr>
        <w:t>林思銘、曾銘宗</w:t>
      </w:r>
      <w:r w:rsidRPr="00D65AED">
        <w:rPr>
          <w:rFonts w:ascii="標楷體" w:eastAsia="標楷體" w:hAnsi="標楷體" w:hint="eastAsia"/>
          <w:sz w:val="28"/>
          <w:szCs w:val="28"/>
        </w:rPr>
        <w:t>、</w:t>
      </w:r>
      <w:r w:rsidRPr="00D65AED">
        <w:rPr>
          <w:rFonts w:ascii="標楷體" w:eastAsia="標楷體" w:hAnsi="標楷體" w:hint="eastAsia"/>
          <w:spacing w:val="20"/>
          <w:sz w:val="28"/>
          <w:szCs w:val="28"/>
        </w:rPr>
        <w:t>邱顯智</w:t>
      </w:r>
      <w:r w:rsidRPr="00D65AED">
        <w:rPr>
          <w:rFonts w:ascii="標楷體" w:eastAsia="標楷體" w:hAnsi="標楷體"/>
          <w:spacing w:val="20"/>
          <w:sz w:val="28"/>
          <w:szCs w:val="28"/>
        </w:rPr>
        <w:t>、</w:t>
      </w:r>
      <w:r w:rsidRPr="00D65AED">
        <w:rPr>
          <w:rFonts w:ascii="標楷體" w:eastAsia="標楷體" w:hAnsi="標楷體" w:hint="eastAsia"/>
          <w:sz w:val="28"/>
          <w:szCs w:val="28"/>
        </w:rPr>
        <w:t>黃世杰提出質詢；委員鄭運鵬、楊瓊瓔、</w:t>
      </w:r>
    </w:p>
    <w:p w14:paraId="5D7B683B" w14:textId="77777777" w:rsidR="00421BB5" w:rsidRPr="00D65AED" w:rsidRDefault="00421BB5" w:rsidP="00421BB5">
      <w:pPr>
        <w:spacing w:beforeLines="10" w:before="36" w:line="360" w:lineRule="exact"/>
        <w:ind w:leftChars="110" w:left="278" w:hangingChars="5" w:hanging="14"/>
        <w:jc w:val="distribute"/>
        <w:rPr>
          <w:rFonts w:ascii="標楷體" w:eastAsia="標楷體" w:hAnsi="標楷體"/>
          <w:sz w:val="28"/>
          <w:szCs w:val="28"/>
        </w:rPr>
      </w:pPr>
      <w:r w:rsidRPr="00D65AED">
        <w:rPr>
          <w:rFonts w:ascii="標楷體" w:eastAsia="標楷體" w:hAnsi="標楷體" w:hint="eastAsia"/>
          <w:sz w:val="28"/>
          <w:szCs w:val="28"/>
        </w:rPr>
        <w:t>周春米、</w:t>
      </w:r>
      <w:r w:rsidRPr="00D65AED">
        <w:rPr>
          <w:rFonts w:ascii="標楷體" w:eastAsia="標楷體" w:hAnsi="標楷體" w:hint="eastAsia"/>
          <w:spacing w:val="20"/>
          <w:sz w:val="28"/>
          <w:szCs w:val="28"/>
        </w:rPr>
        <w:t>林思銘、</w:t>
      </w:r>
      <w:r w:rsidRPr="00D65AED">
        <w:rPr>
          <w:rFonts w:ascii="標楷體" w:eastAsia="標楷體" w:hAnsi="標楷體" w:hint="eastAsia"/>
          <w:sz w:val="28"/>
          <w:szCs w:val="28"/>
        </w:rPr>
        <w:t>陳玉珍、李貴敏、劉建國提出書面質詢。）</w:t>
      </w:r>
    </w:p>
    <w:p w14:paraId="625A8DA7"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決議：</w:t>
      </w:r>
    </w:p>
    <w:p w14:paraId="46F920ED"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一、報告及詢答完畢。</w:t>
      </w:r>
    </w:p>
    <w:p w14:paraId="5E70F518"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二、第一案至第九案，均</w:t>
      </w:r>
      <w:r w:rsidRPr="00D65AED">
        <w:rPr>
          <w:rFonts w:ascii="標楷體" w:eastAsia="標楷體" w:hAnsi="標楷體" w:hint="eastAsia"/>
          <w:spacing w:val="-6"/>
          <w:sz w:val="28"/>
          <w:szCs w:val="28"/>
        </w:rPr>
        <w:t>另定期繼續審查</w:t>
      </w:r>
      <w:r w:rsidRPr="00D65AED">
        <w:rPr>
          <w:rFonts w:ascii="標楷體" w:eastAsia="標楷體" w:hAnsi="標楷體" w:hint="eastAsia"/>
          <w:sz w:val="28"/>
          <w:szCs w:val="28"/>
        </w:rPr>
        <w:t>。</w:t>
      </w:r>
    </w:p>
    <w:p w14:paraId="2E77811F"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三、委員質詢時，要求提供相關資料或以書面答復者，請相關機關儘速送交個別委員及本會。</w:t>
      </w:r>
    </w:p>
    <w:p w14:paraId="39A14F37"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四、審查會委員針對本日議程所列討論事項第一案之預算提案，請於11月1</w:t>
      </w:r>
      <w:r w:rsidRPr="00D65AED">
        <w:rPr>
          <w:rFonts w:ascii="標楷體" w:eastAsia="標楷體" w:hAnsi="標楷體"/>
          <w:sz w:val="28"/>
          <w:szCs w:val="28"/>
        </w:rPr>
        <w:t>1</w:t>
      </w:r>
      <w:r w:rsidRPr="00D65AED">
        <w:rPr>
          <w:rFonts w:ascii="標楷體" w:eastAsia="標楷體" w:hAnsi="標楷體" w:hint="eastAsia"/>
          <w:sz w:val="28"/>
          <w:szCs w:val="28"/>
        </w:rPr>
        <w:t>日(星期五)上午10時3</w:t>
      </w:r>
      <w:r w:rsidRPr="00D65AED">
        <w:rPr>
          <w:rFonts w:ascii="標楷體" w:eastAsia="標楷體" w:hAnsi="標楷體"/>
          <w:sz w:val="28"/>
          <w:szCs w:val="28"/>
        </w:rPr>
        <w:t>0分</w:t>
      </w:r>
      <w:r w:rsidRPr="00D65AED">
        <w:rPr>
          <w:rFonts w:ascii="標楷體" w:eastAsia="標楷體" w:hAnsi="標楷體" w:hint="eastAsia"/>
          <w:sz w:val="28"/>
          <w:szCs w:val="28"/>
        </w:rPr>
        <w:t>前送交本會，逾時不予受理。</w:t>
      </w:r>
    </w:p>
    <w:p w14:paraId="7C68B95C"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589BEA18"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p>
    <w:p w14:paraId="7070754E"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p>
    <w:p w14:paraId="25512254"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w:t>
      </w:r>
      <w:r w:rsidRPr="00D65AED">
        <w:rPr>
          <w:rFonts w:ascii="標楷體" w:eastAsia="標楷體" w:hAnsi="標楷體"/>
          <w:b/>
          <w:spacing w:val="-4"/>
          <w:sz w:val="28"/>
          <w:szCs w:val="28"/>
        </w:rPr>
        <w:t>13</w:t>
      </w:r>
      <w:r w:rsidRPr="00D65AED">
        <w:rPr>
          <w:rFonts w:ascii="標楷體" w:eastAsia="標楷體" w:hAnsi="標楷體" w:hint="eastAsia"/>
          <w:b/>
          <w:spacing w:val="-4"/>
          <w:sz w:val="28"/>
          <w:szCs w:val="28"/>
        </w:rPr>
        <w:t>次全體委員會議議事錄</w:t>
      </w:r>
    </w:p>
    <w:p w14:paraId="349EC70F" w14:textId="77777777" w:rsidR="00421BB5" w:rsidRPr="00D65AED" w:rsidRDefault="00421BB5" w:rsidP="00421BB5">
      <w:pPr>
        <w:pStyle w:val="-9"/>
        <w:spacing w:line="400" w:lineRule="exact"/>
        <w:ind w:left="1417" w:hangingChars="506" w:hanging="1417"/>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z w:val="28"/>
          <w:szCs w:val="28"/>
        </w:rPr>
        <w:t>中華民國1</w:t>
      </w:r>
      <w:r w:rsidRPr="00D65AED">
        <w:rPr>
          <w:rFonts w:ascii="標楷體" w:hAnsi="標楷體"/>
          <w:sz w:val="28"/>
          <w:szCs w:val="28"/>
        </w:rPr>
        <w:t>11</w:t>
      </w:r>
      <w:r w:rsidRPr="00D65AED">
        <w:rPr>
          <w:rFonts w:ascii="標楷體" w:hAnsi="標楷體" w:hint="eastAsia"/>
          <w:sz w:val="28"/>
          <w:szCs w:val="28"/>
        </w:rPr>
        <w:t>年11月</w:t>
      </w:r>
      <w:r w:rsidRPr="00D65AED">
        <w:rPr>
          <w:rFonts w:ascii="標楷體" w:hAnsi="標楷體"/>
          <w:sz w:val="28"/>
          <w:szCs w:val="28"/>
        </w:rPr>
        <w:t>9</w:t>
      </w:r>
      <w:r w:rsidRPr="00D65AED">
        <w:rPr>
          <w:rFonts w:ascii="標楷體" w:hAnsi="標楷體" w:hint="eastAsia"/>
          <w:sz w:val="28"/>
          <w:szCs w:val="28"/>
        </w:rPr>
        <w:t>日（星期三）上午9時至11時2分</w:t>
      </w:r>
    </w:p>
    <w:p w14:paraId="4A475C6C" w14:textId="77777777" w:rsidR="00421BB5" w:rsidRPr="00D65AED" w:rsidRDefault="00421BB5" w:rsidP="00421BB5">
      <w:pPr>
        <w:pStyle w:val="-9"/>
        <w:spacing w:line="40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2EB16A23" w14:textId="77777777" w:rsidR="00421BB5" w:rsidRPr="00D65AED" w:rsidRDefault="00421BB5" w:rsidP="00421BB5">
      <w:pPr>
        <w:snapToGrid w:val="0"/>
        <w:spacing w:line="400" w:lineRule="exact"/>
        <w:ind w:leftChars="-4" w:left="1401" w:hangingChars="504" w:hanging="1411"/>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hint="eastAsia"/>
          <w:sz w:val="28"/>
          <w:szCs w:val="28"/>
        </w:rPr>
        <w:tab/>
        <w:t>陳歐珀</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江永昌</w:t>
      </w:r>
    </w:p>
    <w:p w14:paraId="67417E74" w14:textId="77777777" w:rsidR="00421BB5" w:rsidRPr="00D65AED" w:rsidRDefault="00421BB5" w:rsidP="00421BB5">
      <w:pPr>
        <w:snapToGrid w:val="0"/>
        <w:spacing w:line="400" w:lineRule="exact"/>
        <w:ind w:leftChars="577" w:left="1399" w:hangingChars="5" w:hanging="14"/>
        <w:rPr>
          <w:rFonts w:ascii="標楷體" w:eastAsia="標楷體" w:hAnsi="標楷體"/>
          <w:sz w:val="28"/>
          <w:szCs w:val="28"/>
        </w:rPr>
      </w:pP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柯建銘</w:t>
      </w:r>
    </w:p>
    <w:p w14:paraId="569D1BC1" w14:textId="77777777" w:rsidR="00421BB5" w:rsidRPr="00D65AED" w:rsidRDefault="00421BB5" w:rsidP="00421BB5">
      <w:pPr>
        <w:snapToGrid w:val="0"/>
        <w:spacing w:line="400" w:lineRule="exact"/>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委員出席10人</w:t>
      </w:r>
    </w:p>
    <w:p w14:paraId="643E9F5E" w14:textId="77777777" w:rsidR="00421BB5" w:rsidRPr="00D65AED" w:rsidRDefault="00421BB5" w:rsidP="00421BB5">
      <w:pPr>
        <w:adjustRightInd w:val="0"/>
        <w:snapToGrid w:val="0"/>
        <w:spacing w:line="400" w:lineRule="exact"/>
        <w:ind w:leftChars="-11" w:left="1402" w:hangingChars="510" w:hanging="1428"/>
        <w:jc w:val="both"/>
        <w:rPr>
          <w:rFonts w:ascii="標楷體" w:eastAsia="標楷體" w:hAnsi="標楷體"/>
          <w:spacing w:val="-20"/>
          <w:w w:val="95"/>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color w:val="000000"/>
          <w:sz w:val="28"/>
          <w:szCs w:val="28"/>
        </w:rPr>
        <w:t>邱顯智</w:t>
      </w:r>
      <w:r w:rsidRPr="00D65AED">
        <w:rPr>
          <w:rFonts w:ascii="標楷體" w:eastAsia="標楷體" w:hAnsi="標楷體"/>
          <w:color w:val="000000"/>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陳亭妃</w:t>
      </w:r>
    </w:p>
    <w:p w14:paraId="5174B456" w14:textId="77777777" w:rsidR="00421BB5" w:rsidRPr="00D65AED" w:rsidRDefault="00421BB5" w:rsidP="00421BB5">
      <w:pPr>
        <w:adjustRightInd w:val="0"/>
        <w:snapToGrid w:val="0"/>
        <w:spacing w:line="400" w:lineRule="exact"/>
        <w:ind w:leftChars="577" w:left="1399" w:hangingChars="5" w:hanging="14"/>
        <w:jc w:val="both"/>
        <w:rPr>
          <w:rFonts w:ascii="標楷體" w:eastAsia="標楷體" w:hAnsi="標楷體"/>
          <w:sz w:val="28"/>
          <w:szCs w:val="28"/>
        </w:rPr>
      </w:pP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何欣純</w:t>
      </w:r>
      <w:r w:rsidRPr="00D65AED">
        <w:rPr>
          <w:rFonts w:ascii="標楷體" w:eastAsia="標楷體" w:hAnsi="標楷體"/>
          <w:sz w:val="28"/>
          <w:szCs w:val="28"/>
        </w:rPr>
        <w:tab/>
      </w:r>
      <w:r w:rsidRPr="00D65AED">
        <w:rPr>
          <w:rFonts w:ascii="標楷體" w:eastAsia="標楷體" w:hAnsi="標楷體" w:hint="eastAsia"/>
          <w:sz w:val="28"/>
        </w:rPr>
        <w:t>羅明才</w:t>
      </w:r>
      <w:r w:rsidRPr="00D65AED">
        <w:rPr>
          <w:rFonts w:ascii="標楷體" w:eastAsia="標楷體" w:hAnsi="標楷體"/>
          <w:sz w:val="28"/>
        </w:rPr>
        <w:tab/>
      </w:r>
      <w:r w:rsidRPr="00D65AED">
        <w:rPr>
          <w:rFonts w:ascii="標楷體" w:eastAsia="標楷體" w:hAnsi="標楷體" w:hint="eastAsia"/>
          <w:sz w:val="28"/>
        </w:rPr>
        <w:t>鄭正鈐</w:t>
      </w:r>
      <w:r w:rsidRPr="00D65AED">
        <w:rPr>
          <w:rFonts w:ascii="標楷體" w:eastAsia="標楷體" w:hAnsi="標楷體"/>
          <w:sz w:val="28"/>
          <w:szCs w:val="28"/>
        </w:rPr>
        <w:tab/>
      </w:r>
      <w:r w:rsidRPr="00D65AED">
        <w:rPr>
          <w:rFonts w:ascii="標楷體" w:eastAsia="標楷體" w:hAnsi="標楷體" w:hint="eastAsia"/>
          <w:sz w:val="28"/>
          <w:szCs w:val="28"/>
        </w:rPr>
        <w:t>謝衣鳯</w:t>
      </w:r>
      <w:r w:rsidRPr="00D65AED">
        <w:rPr>
          <w:rFonts w:ascii="標楷體" w:eastAsia="標楷體" w:hAnsi="標楷體"/>
          <w:sz w:val="28"/>
          <w:szCs w:val="28"/>
        </w:rPr>
        <w:tab/>
      </w:r>
      <w:r w:rsidRPr="00D65AED">
        <w:rPr>
          <w:rFonts w:ascii="標楷體" w:eastAsia="標楷體" w:hAnsi="標楷體" w:hint="eastAsia"/>
          <w:sz w:val="28"/>
          <w:szCs w:val="28"/>
        </w:rPr>
        <w:t>高嘉瑜</w:t>
      </w:r>
    </w:p>
    <w:p w14:paraId="05372342" w14:textId="77777777" w:rsidR="00421BB5" w:rsidRPr="00D65AED" w:rsidRDefault="00421BB5" w:rsidP="00421BB5">
      <w:pPr>
        <w:adjustRightInd w:val="0"/>
        <w:snapToGrid w:val="0"/>
        <w:spacing w:line="400" w:lineRule="exact"/>
        <w:ind w:leftChars="577" w:left="1399" w:hangingChars="5" w:hanging="14"/>
        <w:jc w:val="both"/>
        <w:rPr>
          <w:rFonts w:ascii="標楷體" w:eastAsia="標楷體" w:hAnsi="標楷體"/>
          <w:sz w:val="28"/>
          <w:szCs w:val="28"/>
        </w:rPr>
      </w:pPr>
      <w:r w:rsidRPr="00D65AED">
        <w:rPr>
          <w:rFonts w:ascii="標楷體" w:eastAsia="標楷體" w:hAnsi="標楷體" w:hint="eastAsia"/>
          <w:sz w:val="28"/>
          <w:szCs w:val="28"/>
        </w:rPr>
        <w:t>洪孟楷</w:t>
      </w:r>
    </w:p>
    <w:p w14:paraId="2F50508D" w14:textId="77777777" w:rsidR="00421BB5" w:rsidRPr="00D65AED" w:rsidRDefault="00421BB5" w:rsidP="00421BB5">
      <w:pPr>
        <w:widowControl/>
        <w:snapToGrid w:val="0"/>
        <w:spacing w:line="400" w:lineRule="exact"/>
        <w:ind w:leftChars="396" w:left="950"/>
        <w:jc w:val="both"/>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委員列席</w:t>
      </w:r>
      <w:r w:rsidRPr="00D65AED">
        <w:rPr>
          <w:rFonts w:ascii="標楷體" w:eastAsia="標楷體" w:hAnsi="標楷體" w:hint="eastAsia"/>
          <w:sz w:val="28"/>
          <w:szCs w:val="28"/>
        </w:rPr>
        <w:t>14</w:t>
      </w:r>
      <w:r w:rsidRPr="00D65AED">
        <w:rPr>
          <w:rFonts w:ascii="標楷體" w:eastAsia="標楷體" w:hAnsi="標楷體"/>
          <w:sz w:val="28"/>
          <w:szCs w:val="28"/>
        </w:rPr>
        <w:t>人</w:t>
      </w:r>
    </w:p>
    <w:p w14:paraId="372F0631"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220D5EE5" w14:textId="77777777" w:rsidR="00421BB5" w:rsidRPr="00D65AED" w:rsidRDefault="00421BB5" w:rsidP="00421BB5">
      <w:pPr>
        <w:snapToGrid w:val="0"/>
        <w:spacing w:line="40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請假2人</w:t>
      </w:r>
    </w:p>
    <w:p w14:paraId="75FE298A" w14:textId="77777777" w:rsidR="00421BB5" w:rsidRPr="00D65AED" w:rsidRDefault="00421BB5" w:rsidP="00421BB5">
      <w:pPr>
        <w:pStyle w:val="-9"/>
        <w:spacing w:line="240" w:lineRule="auto"/>
        <w:ind w:left="2240" w:hangingChars="800" w:hanging="2240"/>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司法院副秘書長　黃麟倫（秘書長請假）</w:t>
      </w:r>
    </w:p>
    <w:p w14:paraId="328C95BC" w14:textId="77777777" w:rsidR="00421BB5" w:rsidRPr="00D65AED" w:rsidRDefault="00421BB5" w:rsidP="00421BB5">
      <w:pPr>
        <w:pStyle w:val="-9"/>
        <w:spacing w:line="240" w:lineRule="auto"/>
        <w:ind w:leftChars="589" w:left="2240" w:hangingChars="295" w:hanging="826"/>
        <w:rPr>
          <w:rFonts w:ascii="標楷體" w:hAnsi="標楷體"/>
          <w:sz w:val="28"/>
          <w:szCs w:val="28"/>
        </w:rPr>
      </w:pPr>
      <w:r w:rsidRPr="00D65AED">
        <w:rPr>
          <w:rFonts w:ascii="標楷體" w:hAnsi="標楷體" w:hint="eastAsia"/>
          <w:sz w:val="28"/>
          <w:szCs w:val="28"/>
        </w:rPr>
        <w:t>法務部部長　蔡清祥</w:t>
      </w:r>
    </w:p>
    <w:p w14:paraId="565917D9" w14:textId="77777777" w:rsidR="00421BB5" w:rsidRPr="00D65AED" w:rsidRDefault="00421BB5" w:rsidP="00421BB5">
      <w:pPr>
        <w:pStyle w:val="-9"/>
        <w:spacing w:line="240" w:lineRule="auto"/>
        <w:ind w:leftChars="583" w:left="2231" w:hangingChars="297" w:hanging="832"/>
        <w:rPr>
          <w:rFonts w:ascii="標楷體" w:hAnsi="標楷體"/>
          <w:sz w:val="28"/>
          <w:szCs w:val="28"/>
        </w:rPr>
      </w:pPr>
      <w:r w:rsidRPr="00D65AED">
        <w:rPr>
          <w:rFonts w:ascii="標楷體" w:hAnsi="標楷體" w:hint="eastAsia"/>
          <w:sz w:val="28"/>
          <w:szCs w:val="28"/>
        </w:rPr>
        <w:t xml:space="preserve">法務部調查局局長　</w:t>
      </w:r>
      <w:r w:rsidRPr="00D65AED">
        <w:rPr>
          <w:rFonts w:ascii="標楷體" w:hAnsi="標楷體"/>
          <w:sz w:val="28"/>
          <w:szCs w:val="28"/>
        </w:rPr>
        <w:t>王俊力</w:t>
      </w:r>
    </w:p>
    <w:p w14:paraId="32F4D5C5" w14:textId="77777777" w:rsidR="00421BB5" w:rsidRPr="00D65AED" w:rsidRDefault="00421BB5" w:rsidP="00421BB5">
      <w:pPr>
        <w:pStyle w:val="-9"/>
        <w:spacing w:line="240" w:lineRule="auto"/>
        <w:ind w:leftChars="583" w:left="2231" w:hangingChars="297" w:hanging="832"/>
        <w:rPr>
          <w:rFonts w:ascii="標楷體" w:hAnsi="標楷體"/>
          <w:sz w:val="28"/>
          <w:szCs w:val="28"/>
        </w:rPr>
      </w:pPr>
      <w:r w:rsidRPr="00D65AED">
        <w:rPr>
          <w:rFonts w:ascii="標楷體" w:hAnsi="標楷體" w:hint="eastAsia"/>
          <w:sz w:val="28"/>
          <w:szCs w:val="28"/>
        </w:rPr>
        <w:t>法務部廉政署署長　莊榮松</w:t>
      </w:r>
    </w:p>
    <w:p w14:paraId="75B9BCA8" w14:textId="77777777" w:rsidR="00421BB5" w:rsidRPr="00D65AED" w:rsidRDefault="00421BB5" w:rsidP="00421BB5">
      <w:pPr>
        <w:pStyle w:val="-9"/>
        <w:spacing w:line="240" w:lineRule="auto"/>
        <w:ind w:leftChars="572" w:left="2233" w:hangingChars="307" w:hanging="860"/>
        <w:rPr>
          <w:rFonts w:ascii="標楷體" w:hAnsi="標楷體"/>
          <w:sz w:val="28"/>
          <w:szCs w:val="28"/>
        </w:rPr>
      </w:pPr>
      <w:r w:rsidRPr="00D65AED">
        <w:rPr>
          <w:rFonts w:ascii="標楷體" w:hAnsi="標楷體" w:hint="eastAsia"/>
          <w:sz w:val="28"/>
          <w:szCs w:val="28"/>
        </w:rPr>
        <w:t>內政部警政署副署長　林順家（署長請假）</w:t>
      </w:r>
    </w:p>
    <w:p w14:paraId="71876DEB" w14:textId="77777777" w:rsidR="00421BB5" w:rsidRPr="00D65AED" w:rsidRDefault="00421BB5" w:rsidP="00421BB5">
      <w:pPr>
        <w:spacing w:line="40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陳召集委員歐珀</w:t>
      </w:r>
    </w:p>
    <w:p w14:paraId="7390B7FE"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11EF9392"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2EFD0B1A" w14:textId="77777777" w:rsidR="00421BB5" w:rsidRPr="00D65AED" w:rsidRDefault="00421BB5" w:rsidP="00421BB5">
      <w:pPr>
        <w:adjustRightInd w:val="0"/>
        <w:snapToGrid w:val="0"/>
        <w:spacing w:line="400" w:lineRule="exact"/>
        <w:rPr>
          <w:rFonts w:ascii="標楷體" w:eastAsia="標楷體" w:hAnsi="標楷體"/>
          <w:sz w:val="28"/>
          <w:szCs w:val="28"/>
        </w:rPr>
      </w:pPr>
      <w:r w:rsidRPr="00D65AED">
        <w:rPr>
          <w:rFonts w:ascii="標楷體" w:eastAsia="標楷體" w:hAnsi="標楷體" w:hint="eastAsia"/>
          <w:sz w:val="28"/>
          <w:szCs w:val="28"/>
        </w:rPr>
        <w:t>紀    錄：簡任秘書　陳杏枝</w:t>
      </w:r>
    </w:p>
    <w:p w14:paraId="3C9FADBA" w14:textId="77777777" w:rsidR="00421BB5" w:rsidRPr="00D65AED" w:rsidRDefault="00421BB5" w:rsidP="00421BB5">
      <w:pPr>
        <w:adjustRightInd w:val="0"/>
        <w:snapToGrid w:val="0"/>
        <w:spacing w:line="40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54D884C5" w14:textId="77777777" w:rsidR="00421BB5" w:rsidRPr="00D65AED" w:rsidRDefault="00421BB5" w:rsidP="00421BB5">
      <w:pPr>
        <w:adjustRightInd w:val="0"/>
        <w:snapToGrid w:val="0"/>
        <w:spacing w:line="40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116A6F5B" w14:textId="77777777" w:rsidR="00421BB5" w:rsidRPr="00D65AED" w:rsidRDefault="00421BB5" w:rsidP="00421BB5">
      <w:pPr>
        <w:adjustRightInd w:val="0"/>
        <w:snapToGrid w:val="0"/>
        <w:spacing w:line="40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3B3EBE37" w14:textId="77777777" w:rsidR="00421BB5" w:rsidRPr="00D65AED" w:rsidRDefault="00421BB5" w:rsidP="00421BB5">
      <w:pPr>
        <w:pStyle w:val="afffff2"/>
        <w:spacing w:beforeLines="50" w:before="180" w:line="40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71141ABF" w14:textId="77777777" w:rsidR="00421BB5" w:rsidRPr="00D65AED" w:rsidRDefault="00421BB5" w:rsidP="00421BB5">
      <w:pPr>
        <w:pStyle w:val="afffff4"/>
        <w:spacing w:line="400" w:lineRule="exact"/>
        <w:ind w:left="560" w:hanging="560"/>
        <w:jc w:val="both"/>
        <w:rPr>
          <w:rFonts w:ascii="標楷體" w:hAnsi="標楷體"/>
          <w:sz w:val="28"/>
          <w:szCs w:val="28"/>
        </w:rPr>
      </w:pPr>
      <w:r w:rsidRPr="00D65AED">
        <w:rPr>
          <w:rFonts w:ascii="標楷體" w:hAnsi="標楷體" w:hint="eastAsia"/>
          <w:sz w:val="28"/>
          <w:szCs w:val="28"/>
        </w:rPr>
        <w:t>一、</w:t>
      </w:r>
      <w:r w:rsidRPr="00D65AED">
        <w:rPr>
          <w:rFonts w:ascii="標楷體" w:hAnsi="標楷體"/>
          <w:sz w:val="28"/>
          <w:szCs w:val="28"/>
        </w:rPr>
        <w:t>宣讀上次會議議事錄</w:t>
      </w:r>
      <w:r w:rsidRPr="00D65AED">
        <w:rPr>
          <w:rFonts w:ascii="標楷體" w:hAnsi="標楷體" w:hint="eastAsia"/>
          <w:sz w:val="28"/>
          <w:szCs w:val="28"/>
        </w:rPr>
        <w:t>。</w:t>
      </w:r>
    </w:p>
    <w:p w14:paraId="2B52F844" w14:textId="77777777" w:rsidR="00421BB5" w:rsidRPr="00D65AED" w:rsidRDefault="00421BB5" w:rsidP="00421BB5">
      <w:pPr>
        <w:adjustRightInd w:val="0"/>
        <w:snapToGrid w:val="0"/>
        <w:spacing w:line="40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決定：確定。</w:t>
      </w:r>
    </w:p>
    <w:p w14:paraId="290B0B51" w14:textId="77777777" w:rsidR="00421BB5" w:rsidRPr="00D65AED" w:rsidRDefault="00421BB5" w:rsidP="00421BB5">
      <w:pPr>
        <w:adjustRightInd w:val="0"/>
        <w:snapToGrid w:val="0"/>
        <w:spacing w:line="40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邀請司法院秘書長、法務部部長、法務部調查局局長、法務部廉政署署長、內政部警政署署長列席就「2022年全國地方公職人員選舉賄選查察及防制成效，如何落實行政中立、秉持勿枉勿縱查緝不法，改善日漸敗壞選風」進行專題報告，並備質詢。</w:t>
      </w:r>
    </w:p>
    <w:p w14:paraId="27BDE843" w14:textId="77777777" w:rsidR="00421BB5" w:rsidRPr="00D65AED" w:rsidRDefault="00421BB5" w:rsidP="00421BB5">
      <w:pPr>
        <w:spacing w:beforeLines="10" w:before="36" w:line="400" w:lineRule="exact"/>
        <w:ind w:left="280" w:rightChars="86" w:right="206" w:hangingChars="100" w:hanging="280"/>
        <w:jc w:val="both"/>
        <w:rPr>
          <w:rFonts w:ascii="標楷體" w:eastAsia="標楷體" w:hAnsi="標楷體"/>
          <w:sz w:val="28"/>
          <w:szCs w:val="28"/>
        </w:rPr>
      </w:pPr>
      <w:r w:rsidRPr="00D65AED">
        <w:rPr>
          <w:rFonts w:ascii="標楷體" w:eastAsia="標楷體" w:hAnsi="標楷體" w:hint="eastAsia"/>
          <w:sz w:val="28"/>
          <w:szCs w:val="28"/>
        </w:rPr>
        <w:t>（本次會議有委員陳玉珍、陳歐珀、林思銘、江永昌、游毓蘭、曾銘宗、</w:t>
      </w:r>
      <w:r w:rsidRPr="00D65AED">
        <w:rPr>
          <w:rFonts w:ascii="標楷體" w:eastAsia="標楷體" w:hAnsi="標楷體" w:hint="eastAsia"/>
          <w:color w:val="000000"/>
          <w:sz w:val="28"/>
          <w:szCs w:val="28"/>
        </w:rPr>
        <w:t>邱顯智、</w:t>
      </w:r>
      <w:r w:rsidRPr="00D65AED">
        <w:rPr>
          <w:rFonts w:ascii="標楷體" w:eastAsia="標楷體" w:hAnsi="標楷體"/>
          <w:sz w:val="28"/>
          <w:szCs w:val="28"/>
        </w:rPr>
        <w:t>鄭天財Sra</w:t>
      </w:r>
      <w:r w:rsidRPr="00D65AED">
        <w:rPr>
          <w:rFonts w:ascii="標楷體" w:eastAsia="標楷體" w:hAnsi="標楷體" w:hint="eastAsia"/>
          <w:sz w:val="28"/>
          <w:szCs w:val="28"/>
        </w:rPr>
        <w:t xml:space="preserve"> </w:t>
      </w:r>
      <w:r w:rsidRPr="00D65AED">
        <w:rPr>
          <w:rFonts w:ascii="標楷體" w:eastAsia="標楷體" w:hAnsi="標楷體"/>
          <w:sz w:val="28"/>
          <w:szCs w:val="28"/>
        </w:rPr>
        <w:t>Kacaw</w:t>
      </w:r>
      <w:r w:rsidRPr="00D65AED">
        <w:rPr>
          <w:rFonts w:ascii="標楷體" w:eastAsia="標楷體" w:hAnsi="標楷體" w:hint="eastAsia"/>
          <w:sz w:val="28"/>
          <w:szCs w:val="28"/>
        </w:rPr>
        <w:t>提出質詢；委員黃世杰、林思銘、周春米、陳明文、鄭運鵬、劉建國、陳以信提出書面質詢。）</w:t>
      </w:r>
    </w:p>
    <w:p w14:paraId="3B8410E8" w14:textId="77777777" w:rsidR="00421BB5" w:rsidRPr="00D65AED" w:rsidRDefault="00421BB5" w:rsidP="00421BB5">
      <w:pPr>
        <w:pStyle w:val="afffff4"/>
        <w:spacing w:line="240" w:lineRule="auto"/>
        <w:ind w:firstLineChars="0"/>
        <w:jc w:val="both"/>
        <w:rPr>
          <w:rFonts w:ascii="標楷體" w:hAnsi="標楷體"/>
          <w:sz w:val="28"/>
          <w:szCs w:val="28"/>
        </w:rPr>
      </w:pPr>
      <w:r w:rsidRPr="00D65AED">
        <w:rPr>
          <w:rFonts w:ascii="標楷體" w:hAnsi="標楷體" w:hint="eastAsia"/>
          <w:sz w:val="28"/>
          <w:szCs w:val="28"/>
        </w:rPr>
        <w:lastRenderedPageBreak/>
        <w:t>決定：</w:t>
      </w:r>
    </w:p>
    <w:p w14:paraId="54896175" w14:textId="77777777" w:rsidR="00421BB5" w:rsidRPr="00D65AED" w:rsidRDefault="00421BB5" w:rsidP="00421BB5">
      <w:pPr>
        <w:pStyle w:val="afffff4"/>
        <w:spacing w:line="240" w:lineRule="auto"/>
        <w:ind w:firstLineChars="0"/>
        <w:jc w:val="both"/>
        <w:rPr>
          <w:rFonts w:ascii="標楷體" w:hAnsi="標楷體"/>
          <w:sz w:val="28"/>
          <w:szCs w:val="28"/>
        </w:rPr>
      </w:pPr>
      <w:r w:rsidRPr="00D65AED">
        <w:rPr>
          <w:rFonts w:ascii="標楷體" w:hAnsi="標楷體" w:hint="eastAsia"/>
          <w:sz w:val="28"/>
          <w:szCs w:val="28"/>
        </w:rPr>
        <w:t>一、報告及詢答完畢。</w:t>
      </w:r>
    </w:p>
    <w:p w14:paraId="356CA2CA" w14:textId="77777777" w:rsidR="00421BB5" w:rsidRPr="00D65AED" w:rsidRDefault="00421BB5" w:rsidP="00421BB5">
      <w:pPr>
        <w:pStyle w:val="afffff4"/>
        <w:spacing w:line="240" w:lineRule="auto"/>
        <w:ind w:left="560" w:firstLineChars="0" w:hanging="574"/>
        <w:jc w:val="both"/>
        <w:rPr>
          <w:rFonts w:ascii="標楷體" w:hAnsi="標楷體"/>
          <w:sz w:val="28"/>
          <w:szCs w:val="28"/>
        </w:rPr>
      </w:pPr>
      <w:r w:rsidRPr="00D65AED">
        <w:rPr>
          <w:rFonts w:ascii="標楷體" w:hAnsi="標楷體" w:hint="eastAsia"/>
          <w:sz w:val="28"/>
          <w:szCs w:val="28"/>
        </w:rPr>
        <w:t>二、</w:t>
      </w:r>
      <w:r w:rsidRPr="00D65AED">
        <w:rPr>
          <w:rFonts w:ascii="標楷體" w:hAnsi="標楷體"/>
          <w:sz w:val="28"/>
          <w:szCs w:val="28"/>
        </w:rPr>
        <w:t>委員質詢時，要求提供相關資料或以書面答復者，請相關機關儘速送交個別委員及本會。</w:t>
      </w:r>
    </w:p>
    <w:p w14:paraId="23ADFEB2" w14:textId="77777777" w:rsidR="00421BB5" w:rsidRPr="00D65AED" w:rsidRDefault="00421BB5" w:rsidP="00421BB5">
      <w:pPr>
        <w:spacing w:line="400" w:lineRule="exact"/>
        <w:ind w:leftChars="5" w:left="617" w:hangingChars="216" w:hanging="605"/>
        <w:contextualSpacing/>
        <w:jc w:val="both"/>
        <w:rPr>
          <w:rFonts w:ascii="標楷體" w:eastAsia="標楷體" w:hAnsi="標楷體"/>
          <w:sz w:val="28"/>
          <w:szCs w:val="28"/>
        </w:rPr>
      </w:pPr>
      <w:r w:rsidRPr="00D65AED">
        <w:rPr>
          <w:rFonts w:ascii="標楷體" w:eastAsia="標楷體" w:hAnsi="標楷體"/>
          <w:sz w:val="28"/>
          <w:szCs w:val="28"/>
        </w:rPr>
        <w:t>散會</w:t>
      </w:r>
    </w:p>
    <w:p w14:paraId="6510A7F0"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p>
    <w:p w14:paraId="4B0781A5"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w:t>
      </w:r>
      <w:r w:rsidRPr="00D65AED">
        <w:rPr>
          <w:rFonts w:ascii="標楷體" w:eastAsia="標楷體" w:hAnsi="標楷體"/>
          <w:b/>
          <w:spacing w:val="-4"/>
          <w:sz w:val="28"/>
          <w:szCs w:val="28"/>
        </w:rPr>
        <w:t>14</w:t>
      </w:r>
      <w:r w:rsidRPr="00D65AED">
        <w:rPr>
          <w:rFonts w:ascii="標楷體" w:eastAsia="標楷體" w:hAnsi="標楷體" w:hint="eastAsia"/>
          <w:b/>
          <w:spacing w:val="-4"/>
          <w:sz w:val="28"/>
          <w:szCs w:val="28"/>
        </w:rPr>
        <w:t>次全體委員會議議事錄</w:t>
      </w:r>
    </w:p>
    <w:p w14:paraId="7A058083" w14:textId="77777777" w:rsidR="00421BB5" w:rsidRPr="00D65AED" w:rsidRDefault="00421BB5" w:rsidP="00421BB5">
      <w:pPr>
        <w:pStyle w:val="-9"/>
        <w:spacing w:line="360" w:lineRule="exact"/>
        <w:ind w:left="1417" w:hangingChars="506" w:hanging="1417"/>
        <w:rPr>
          <w:rFonts w:ascii="標楷體" w:hAnsi="標楷體"/>
          <w:color w:val="FF0000"/>
          <w:sz w:val="28"/>
          <w:szCs w:val="28"/>
          <w:shd w:val="clear" w:color="auto" w:fill="A6A6A6"/>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napToGrid w:val="0"/>
          <w:spacing w:val="-10"/>
          <w:sz w:val="28"/>
          <w:szCs w:val="28"/>
        </w:rPr>
        <w:t>中華民國111年11月10日（星期四）上午9時3分至下午1時1分</w:t>
      </w:r>
    </w:p>
    <w:p w14:paraId="40201F2C"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w:t>
      </w:r>
      <w:r w:rsidRPr="00D65AED">
        <w:rPr>
          <w:rFonts w:ascii="標楷體" w:hAnsi="標楷體" w:hint="eastAsia"/>
          <w:sz w:val="28"/>
          <w:szCs w:val="28"/>
        </w:rPr>
        <w:t>群賢樓9樓大禮堂</w:t>
      </w:r>
    </w:p>
    <w:p w14:paraId="2B589EF2" w14:textId="77777777" w:rsidR="00421BB5" w:rsidRPr="00D65AED" w:rsidRDefault="00421BB5" w:rsidP="00421BB5">
      <w:pPr>
        <w:snapToGrid w:val="0"/>
        <w:ind w:leftChars="-17" w:left="1398" w:hangingChars="514" w:hanging="1439"/>
        <w:rPr>
          <w:rFonts w:ascii="標楷體" w:eastAsia="標楷體" w:hAnsi="標楷體"/>
          <w:sz w:val="28"/>
          <w:szCs w:val="28"/>
        </w:rPr>
      </w:pPr>
      <w:r w:rsidRPr="00D65AED">
        <w:rPr>
          <w:rFonts w:ascii="標楷體" w:eastAsia="標楷體" w:hAnsi="標楷體"/>
          <w:sz w:val="28"/>
          <w:szCs w:val="28"/>
          <w:shd w:val="clear" w:color="auto" w:fill="FFFFFF"/>
        </w:rPr>
        <w:t>出席委員</w:t>
      </w:r>
      <w:r w:rsidRPr="00D65AED">
        <w:rPr>
          <w:rFonts w:ascii="標楷體" w:eastAsia="標楷體" w:hAnsi="標楷體" w:hint="eastAsia"/>
          <w:sz w:val="28"/>
          <w:szCs w:val="28"/>
          <w:shd w:val="clear" w:color="auto" w:fill="FFFFFF"/>
        </w:rPr>
        <w:t>：</w:t>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hint="eastAsia"/>
          <w:sz w:val="28"/>
          <w:szCs w:val="28"/>
        </w:rPr>
        <w:tab/>
        <w:t>游毓蘭</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p>
    <w:p w14:paraId="01D67A17" w14:textId="77777777" w:rsidR="00421BB5" w:rsidRPr="00D65AED" w:rsidRDefault="00421BB5" w:rsidP="00421BB5">
      <w:pPr>
        <w:snapToGrid w:val="0"/>
        <w:ind w:leftChars="565" w:left="1395" w:hangingChars="14" w:hanging="39"/>
        <w:rPr>
          <w:rFonts w:ascii="標楷體" w:eastAsia="標楷體" w:hAnsi="標楷體"/>
          <w:sz w:val="28"/>
          <w:szCs w:val="28"/>
        </w:rPr>
      </w:pP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劉建國</w:t>
      </w:r>
      <w:r w:rsidRPr="00D65AED">
        <w:rPr>
          <w:rFonts w:ascii="標楷體" w:eastAsia="標楷體" w:hAnsi="標楷體"/>
          <w:sz w:val="28"/>
          <w:szCs w:val="28"/>
        </w:rPr>
        <w:tab/>
      </w:r>
      <w:r w:rsidRPr="00D65AED">
        <w:rPr>
          <w:rFonts w:ascii="標楷體" w:eastAsia="標楷體" w:hAnsi="標楷體" w:hint="eastAsia"/>
          <w:sz w:val="28"/>
          <w:szCs w:val="28"/>
        </w:rPr>
        <w:t>柯建銘</w:t>
      </w:r>
    </w:p>
    <w:p w14:paraId="1C168578" w14:textId="77777777" w:rsidR="00421BB5" w:rsidRPr="00D65AED" w:rsidRDefault="00421BB5" w:rsidP="00421BB5">
      <w:pPr>
        <w:snapToGrid w:val="0"/>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委員出席10人</w:t>
      </w:r>
    </w:p>
    <w:p w14:paraId="270B2085" w14:textId="77777777" w:rsidR="00421BB5" w:rsidRPr="00D65AED" w:rsidRDefault="00421BB5" w:rsidP="00421BB5">
      <w:pPr>
        <w:adjustRightInd w:val="0"/>
        <w:snapToGrid w:val="0"/>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shd w:val="clear" w:color="auto" w:fill="FFFFFF"/>
        </w:rPr>
        <w:t>列席</w:t>
      </w:r>
      <w:r w:rsidRPr="00D65AED">
        <w:rPr>
          <w:rFonts w:ascii="標楷體" w:eastAsia="標楷體" w:hAnsi="標楷體"/>
          <w:sz w:val="28"/>
          <w:szCs w:val="28"/>
          <w:shd w:val="clear" w:color="auto" w:fill="FFFFFF"/>
        </w:rPr>
        <w:t>委員：</w:t>
      </w:r>
      <w:r w:rsidRPr="00D65AED">
        <w:rPr>
          <w:rFonts w:ascii="標楷體" w:eastAsia="標楷體" w:hAnsi="標楷體" w:hint="eastAsia"/>
          <w:sz w:val="28"/>
          <w:szCs w:val="28"/>
          <w:shd w:val="clear" w:color="auto" w:fill="FFFFFF"/>
        </w:rPr>
        <w:t>林德福</w:t>
      </w:r>
      <w:r w:rsidRPr="00D65AED">
        <w:rPr>
          <w:rFonts w:ascii="標楷體" w:eastAsia="標楷體" w:hAnsi="標楷體"/>
          <w:sz w:val="28"/>
          <w:szCs w:val="28"/>
          <w:shd w:val="clear" w:color="auto" w:fill="FFFFFF"/>
        </w:rPr>
        <w:tab/>
      </w:r>
      <w:r w:rsidRPr="00D65AED">
        <w:rPr>
          <w:rFonts w:ascii="標楷體" w:eastAsia="標楷體" w:hAnsi="標楷體" w:hint="eastAsia"/>
          <w:sz w:val="28"/>
          <w:szCs w:val="28"/>
        </w:rPr>
        <w:t>吳玉琴</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hint="eastAsia"/>
          <w:sz w:val="28"/>
          <w:szCs w:val="28"/>
        </w:rPr>
        <w:t>邱顯智</w:t>
      </w:r>
      <w:r w:rsidRPr="00D65AED">
        <w:rPr>
          <w:rFonts w:ascii="標楷體" w:eastAsia="標楷體" w:hAnsi="標楷體"/>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羅致政</w:t>
      </w:r>
    </w:p>
    <w:p w14:paraId="70EB4337" w14:textId="77777777" w:rsidR="00421BB5" w:rsidRPr="00D65AED" w:rsidRDefault="00421BB5" w:rsidP="00421BB5">
      <w:pPr>
        <w:adjustRightInd w:val="0"/>
        <w:snapToGrid w:val="0"/>
        <w:ind w:leftChars="565" w:left="1398" w:hangingChars="15" w:hanging="42"/>
        <w:jc w:val="both"/>
        <w:rPr>
          <w:rFonts w:ascii="標楷體" w:eastAsia="標楷體" w:hAnsi="標楷體"/>
          <w:spacing w:val="-20"/>
          <w:w w:val="95"/>
          <w:sz w:val="28"/>
          <w:szCs w:val="28"/>
        </w:rPr>
      </w:pPr>
      <w:r w:rsidRPr="00D65AED">
        <w:rPr>
          <w:rFonts w:ascii="標楷體" w:eastAsia="標楷體" w:hAnsi="標楷體" w:hint="eastAsia"/>
          <w:sz w:val="28"/>
          <w:szCs w:val="28"/>
        </w:rPr>
        <w:t>謝衣鳯</w:t>
      </w:r>
      <w:r w:rsidRPr="00D65AED">
        <w:rPr>
          <w:rFonts w:ascii="標楷體" w:eastAsia="標楷體" w:hAnsi="標楷體"/>
          <w:sz w:val="28"/>
          <w:szCs w:val="28"/>
        </w:rPr>
        <w:tab/>
      </w:r>
      <w:r w:rsidRPr="00D65AED">
        <w:rPr>
          <w:rFonts w:ascii="標楷體" w:eastAsia="標楷體" w:hAnsi="標楷體" w:hint="eastAsia"/>
          <w:sz w:val="28"/>
          <w:szCs w:val="28"/>
        </w:rPr>
        <w:t>鄭正鈐</w:t>
      </w:r>
      <w:r w:rsidRPr="00D65AED">
        <w:rPr>
          <w:rFonts w:ascii="標楷體" w:eastAsia="標楷體" w:hAnsi="標楷體"/>
          <w:sz w:val="28"/>
          <w:szCs w:val="28"/>
        </w:rPr>
        <w:tab/>
      </w:r>
      <w:r w:rsidRPr="00D65AED">
        <w:rPr>
          <w:rFonts w:ascii="標楷體" w:eastAsia="標楷體" w:hAnsi="標楷體" w:hint="eastAsia"/>
          <w:sz w:val="28"/>
        </w:rPr>
        <w:t>江啟臣</w:t>
      </w:r>
      <w:r w:rsidRPr="00D65AED">
        <w:rPr>
          <w:rFonts w:ascii="標楷體" w:eastAsia="標楷體" w:hAnsi="標楷體"/>
          <w:sz w:val="28"/>
        </w:rPr>
        <w:tab/>
      </w: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鍾佳濱</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楊瓊瓔</w:t>
      </w:r>
    </w:p>
    <w:p w14:paraId="0C7E77F7" w14:textId="77777777" w:rsidR="00421BB5" w:rsidRPr="00D65AED" w:rsidRDefault="00421BB5" w:rsidP="00421BB5">
      <w:pPr>
        <w:adjustRightInd w:val="0"/>
        <w:snapToGrid w:val="0"/>
        <w:ind w:leftChars="565" w:left="1398" w:hangingChars="15" w:hanging="42"/>
        <w:jc w:val="both"/>
        <w:rPr>
          <w:rFonts w:ascii="標楷體" w:eastAsia="標楷體" w:hAnsi="標楷體"/>
          <w:sz w:val="28"/>
          <w:szCs w:val="28"/>
        </w:rPr>
      </w:pPr>
      <w:r w:rsidRPr="00D65AED">
        <w:rPr>
          <w:rFonts w:ascii="標楷體" w:eastAsia="標楷體" w:hAnsi="標楷體" w:hint="eastAsia"/>
          <w:sz w:val="28"/>
        </w:rPr>
        <w:t>廖婉汝</w:t>
      </w:r>
      <w:r w:rsidRPr="00D65AED">
        <w:rPr>
          <w:rFonts w:ascii="標楷體" w:eastAsia="標楷體" w:hAnsi="標楷體"/>
          <w:sz w:val="28"/>
        </w:rPr>
        <w:tab/>
      </w:r>
      <w:r w:rsidRPr="00D65AED">
        <w:rPr>
          <w:rFonts w:ascii="標楷體" w:eastAsia="標楷體" w:hAnsi="標楷體" w:hint="eastAsia"/>
          <w:sz w:val="28"/>
        </w:rPr>
        <w:t>何欣純</w:t>
      </w:r>
      <w:r w:rsidRPr="00D65AED">
        <w:rPr>
          <w:rFonts w:ascii="標楷體" w:eastAsia="標楷體" w:hAnsi="標楷體"/>
          <w:sz w:val="28"/>
        </w:rPr>
        <w:tab/>
      </w:r>
      <w:r w:rsidRPr="00D65AED">
        <w:rPr>
          <w:rFonts w:ascii="標楷體" w:eastAsia="標楷體" w:hAnsi="標楷體" w:hint="eastAsia"/>
          <w:sz w:val="28"/>
        </w:rPr>
        <w:t>莊競程</w:t>
      </w:r>
      <w:r w:rsidRPr="00D65AED">
        <w:rPr>
          <w:rFonts w:ascii="標楷體" w:eastAsia="標楷體" w:hAnsi="標楷體"/>
          <w:sz w:val="28"/>
        </w:rPr>
        <w:tab/>
      </w:r>
      <w:r w:rsidRPr="00D65AED">
        <w:rPr>
          <w:rFonts w:ascii="標楷體" w:eastAsia="標楷體" w:hAnsi="標楷體" w:hint="eastAsia"/>
          <w:sz w:val="28"/>
        </w:rPr>
        <w:t>高嘉瑜</w:t>
      </w:r>
      <w:r w:rsidRPr="00D65AED">
        <w:rPr>
          <w:rFonts w:ascii="標楷體" w:eastAsia="標楷體" w:hAnsi="標楷體"/>
          <w:sz w:val="28"/>
        </w:rPr>
        <w:tab/>
      </w:r>
      <w:r w:rsidRPr="00D65AED">
        <w:rPr>
          <w:rFonts w:ascii="標楷體" w:eastAsia="標楷體" w:hAnsi="標楷體" w:hint="eastAsia"/>
          <w:sz w:val="28"/>
        </w:rPr>
        <w:t>林楚茵</w:t>
      </w:r>
      <w:r w:rsidRPr="00D65AED">
        <w:rPr>
          <w:rFonts w:ascii="標楷體" w:eastAsia="標楷體" w:hAnsi="標楷體"/>
          <w:sz w:val="28"/>
        </w:rPr>
        <w:tab/>
      </w:r>
      <w:r w:rsidRPr="00D65AED">
        <w:rPr>
          <w:rFonts w:ascii="標楷體" w:eastAsia="標楷體" w:hAnsi="標楷體" w:hint="eastAsia"/>
          <w:sz w:val="28"/>
          <w:szCs w:val="28"/>
        </w:rPr>
        <w:t>李貴敏</w:t>
      </w:r>
    </w:p>
    <w:p w14:paraId="6ACCF041" w14:textId="77777777" w:rsidR="00421BB5" w:rsidRPr="00D65AED" w:rsidRDefault="00421BB5" w:rsidP="00421BB5">
      <w:pPr>
        <w:widowControl/>
        <w:snapToGrid w:val="0"/>
        <w:ind w:leftChars="396" w:left="950"/>
        <w:jc w:val="both"/>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委員列席</w:t>
      </w:r>
      <w:r w:rsidRPr="00D65AED">
        <w:rPr>
          <w:rFonts w:ascii="標楷體" w:eastAsia="標楷體" w:hAnsi="標楷體" w:hint="eastAsia"/>
          <w:sz w:val="28"/>
          <w:szCs w:val="28"/>
        </w:rPr>
        <w:t>19</w:t>
      </w:r>
      <w:r w:rsidRPr="00D65AED">
        <w:rPr>
          <w:rFonts w:ascii="標楷體" w:eastAsia="標楷體" w:hAnsi="標楷體"/>
          <w:sz w:val="28"/>
          <w:szCs w:val="28"/>
        </w:rPr>
        <w:t>人</w:t>
      </w:r>
    </w:p>
    <w:p w14:paraId="5329F04A"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r w:rsidRPr="00D65AED">
        <w:rPr>
          <w:rFonts w:ascii="標楷體" w:eastAsia="標楷體" w:hAnsi="標楷體"/>
          <w:sz w:val="28"/>
          <w:szCs w:val="28"/>
        </w:rPr>
        <w:tab/>
      </w:r>
      <w:r w:rsidRPr="00D65AED">
        <w:rPr>
          <w:rFonts w:ascii="標楷體" w:eastAsia="標楷體" w:hAnsi="標楷體" w:hint="eastAsia"/>
          <w:sz w:val="28"/>
          <w:szCs w:val="28"/>
        </w:rPr>
        <w:t>鄭運鵬</w:t>
      </w:r>
    </w:p>
    <w:p w14:paraId="0AF41855" w14:textId="77777777" w:rsidR="00421BB5" w:rsidRPr="00D65AED" w:rsidRDefault="00421BB5" w:rsidP="00421BB5">
      <w:pPr>
        <w:snapToGrid w:val="0"/>
        <w:spacing w:line="40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請假2人</w:t>
      </w:r>
    </w:p>
    <w:p w14:paraId="5156395D" w14:textId="77777777" w:rsidR="00421BB5" w:rsidRPr="00D65AED" w:rsidRDefault="00421BB5" w:rsidP="00421BB5">
      <w:pPr>
        <w:pStyle w:val="afffffff0"/>
        <w:rPr>
          <w:rFonts w:ascii="標楷體" w:hAnsi="標楷體"/>
          <w:szCs w:val="28"/>
        </w:rPr>
      </w:pPr>
      <w:r w:rsidRPr="00D65AED">
        <w:rPr>
          <w:rFonts w:ascii="標楷體" w:hAnsi="標楷體"/>
          <w:szCs w:val="28"/>
        </w:rPr>
        <w:t>列席官員：</w:t>
      </w:r>
      <w:r w:rsidRPr="00D65AED">
        <w:rPr>
          <w:rFonts w:ascii="標楷體" w:hAnsi="標楷體" w:hint="eastAsia"/>
          <w:szCs w:val="28"/>
        </w:rPr>
        <w:t>法務部部長　蔡清祥</w:t>
      </w:r>
    </w:p>
    <w:p w14:paraId="73E37F5F"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最高檢察署檢察總長　</w:t>
      </w:r>
      <w:r w:rsidRPr="00D65AED">
        <w:rPr>
          <w:rFonts w:ascii="標楷體" w:eastAsia="標楷體" w:hAnsi="標楷體" w:hint="eastAsia"/>
          <w:kern w:val="0"/>
          <w:sz w:val="28"/>
          <w:szCs w:val="28"/>
          <w:lang w:val="x-none"/>
        </w:rPr>
        <w:t>邢泰釗</w:t>
      </w:r>
    </w:p>
    <w:p w14:paraId="799A5080"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法務部調查局局長　</w:t>
      </w:r>
      <w:r w:rsidRPr="00D65AED">
        <w:rPr>
          <w:rFonts w:ascii="標楷體" w:eastAsia="標楷體" w:hAnsi="標楷體" w:hint="eastAsia"/>
          <w:color w:val="000000"/>
          <w:sz w:val="28"/>
          <w:szCs w:val="28"/>
        </w:rPr>
        <w:t>王俊力</w:t>
      </w:r>
    </w:p>
    <w:p w14:paraId="300F3B68"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法務部廉政署署長　</w:t>
      </w:r>
      <w:r w:rsidRPr="00D65AED">
        <w:rPr>
          <w:rFonts w:ascii="標楷體" w:eastAsia="標楷體" w:hAnsi="標楷體" w:hint="eastAsia"/>
          <w:color w:val="000000"/>
          <w:sz w:val="28"/>
          <w:szCs w:val="28"/>
        </w:rPr>
        <w:t>莊榮松</w:t>
      </w:r>
    </w:p>
    <w:p w14:paraId="5366D6D4"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法務部矯正署署長　黃俊棠</w:t>
      </w:r>
    </w:p>
    <w:p w14:paraId="2B4C58E3"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法務部行政執行署署長　林慶宗</w:t>
      </w:r>
    </w:p>
    <w:p w14:paraId="2AFAB616"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法務部司法官學院院長　柯麗鈴</w:t>
      </w:r>
    </w:p>
    <w:p w14:paraId="6F28379E"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法務部法醫研究所所長　</w:t>
      </w:r>
      <w:r w:rsidRPr="00D65AED">
        <w:rPr>
          <w:rFonts w:ascii="標楷體" w:eastAsia="標楷體" w:hAnsi="標楷體" w:hint="eastAsia"/>
          <w:color w:val="000000"/>
          <w:sz w:val="28"/>
          <w:szCs w:val="28"/>
        </w:rPr>
        <w:t>侯寬仁</w:t>
      </w:r>
    </w:p>
    <w:p w14:paraId="74EA8921" w14:textId="77777777" w:rsidR="00421BB5" w:rsidRPr="00D65AED" w:rsidRDefault="00421BB5" w:rsidP="00421BB5">
      <w:pPr>
        <w:adjustRightInd w:val="0"/>
        <w:snapToGrid w:val="0"/>
        <w:spacing w:line="360" w:lineRule="exact"/>
        <w:ind w:leftChars="584" w:left="1402"/>
        <w:jc w:val="both"/>
        <w:rPr>
          <w:rFonts w:ascii="標楷體" w:eastAsia="標楷體" w:hAnsi="標楷體"/>
          <w:color w:val="000000"/>
          <w:sz w:val="28"/>
          <w:szCs w:val="28"/>
        </w:rPr>
      </w:pPr>
      <w:r w:rsidRPr="00D65AED">
        <w:rPr>
          <w:rFonts w:ascii="標楷體" w:eastAsia="標楷體" w:hAnsi="標楷體" w:hint="eastAsia"/>
          <w:kern w:val="0"/>
          <w:sz w:val="28"/>
          <w:szCs w:val="28"/>
        </w:rPr>
        <w:t>臺灣高等檢察署檢察長</w:t>
      </w:r>
      <w:r w:rsidRPr="00D65AED">
        <w:rPr>
          <w:rFonts w:ascii="標楷體" w:eastAsia="標楷體" w:hAnsi="標楷體" w:hint="eastAsia"/>
          <w:color w:val="000000"/>
          <w:sz w:val="28"/>
          <w:szCs w:val="28"/>
        </w:rPr>
        <w:t>兼任財團法人犯罪被害人保護協會及財團法人臺灣更生保護會董事長</w:t>
      </w:r>
      <w:r w:rsidRPr="00D65AED">
        <w:rPr>
          <w:rFonts w:ascii="標楷體" w:eastAsia="標楷體" w:hAnsi="標楷體" w:hint="eastAsia"/>
          <w:kern w:val="0"/>
          <w:sz w:val="28"/>
          <w:szCs w:val="28"/>
        </w:rPr>
        <w:t xml:space="preserve">　張斗輝</w:t>
      </w:r>
    </w:p>
    <w:p w14:paraId="649BA402"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臺灣高等檢察署臺中檢察分署檢察長　</w:t>
      </w:r>
      <w:r w:rsidRPr="00D65AED">
        <w:rPr>
          <w:rFonts w:ascii="標楷體" w:eastAsia="標楷體" w:hAnsi="標楷體" w:hint="eastAsia"/>
          <w:color w:val="000000"/>
          <w:sz w:val="28"/>
          <w:szCs w:val="28"/>
        </w:rPr>
        <w:t>張清雲</w:t>
      </w:r>
    </w:p>
    <w:p w14:paraId="41EFC5A8"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臺灣高等檢察署臺南檢察分署檢察長　</w:t>
      </w:r>
      <w:r w:rsidRPr="00D65AED">
        <w:rPr>
          <w:rFonts w:ascii="標楷體" w:eastAsia="標楷體" w:hAnsi="標楷體" w:hint="eastAsia"/>
          <w:color w:val="000000"/>
          <w:sz w:val="28"/>
          <w:szCs w:val="28"/>
        </w:rPr>
        <w:t>朱家崎</w:t>
      </w:r>
    </w:p>
    <w:p w14:paraId="267E8B36"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臺灣高等檢察署高雄檢察分署檢察長　</w:t>
      </w:r>
      <w:r w:rsidRPr="00D65AED">
        <w:rPr>
          <w:rFonts w:ascii="標楷體" w:eastAsia="標楷體" w:hAnsi="標楷體" w:hint="eastAsia"/>
          <w:color w:val="000000"/>
          <w:sz w:val="28"/>
          <w:szCs w:val="28"/>
        </w:rPr>
        <w:t>費玲玲</w:t>
      </w:r>
    </w:p>
    <w:p w14:paraId="5FAF4D8A"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臺灣高等檢察署花蓮檢察分署檢察長　</w:t>
      </w:r>
      <w:r w:rsidRPr="00D65AED">
        <w:rPr>
          <w:rFonts w:ascii="標楷體" w:eastAsia="標楷體" w:hAnsi="標楷體" w:hint="eastAsia"/>
          <w:color w:val="000000"/>
          <w:sz w:val="28"/>
          <w:szCs w:val="28"/>
        </w:rPr>
        <w:t>洪培根</w:t>
      </w:r>
    </w:p>
    <w:p w14:paraId="633E8671"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color w:val="000000"/>
          <w:spacing w:val="-20"/>
          <w:sz w:val="28"/>
          <w:szCs w:val="28"/>
        </w:rPr>
      </w:pPr>
      <w:r w:rsidRPr="00D65AED">
        <w:rPr>
          <w:rFonts w:ascii="標楷體" w:eastAsia="標楷體" w:hAnsi="標楷體" w:hint="eastAsia"/>
          <w:kern w:val="0"/>
          <w:sz w:val="28"/>
          <w:szCs w:val="28"/>
        </w:rPr>
        <w:t>臺灣高等檢察署智慧財產檢察分署檢察長　張斗輝</w:t>
      </w:r>
    </w:p>
    <w:p w14:paraId="70B878AF"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臺灣臺北地方檢察署</w:t>
      </w:r>
      <w:r w:rsidRPr="00D65AED">
        <w:rPr>
          <w:rFonts w:ascii="標楷體" w:eastAsia="標楷體" w:hAnsi="標楷體" w:hint="eastAsia"/>
          <w:color w:val="000000"/>
          <w:sz w:val="28"/>
          <w:szCs w:val="28"/>
        </w:rPr>
        <w:t>檢察長</w:t>
      </w:r>
      <w:r w:rsidRPr="00D65AED">
        <w:rPr>
          <w:rFonts w:ascii="標楷體" w:eastAsia="標楷體" w:hAnsi="標楷體" w:hint="eastAsia"/>
          <w:kern w:val="0"/>
          <w:sz w:val="28"/>
          <w:szCs w:val="28"/>
        </w:rPr>
        <w:t xml:space="preserve">　</w:t>
      </w:r>
      <w:r w:rsidRPr="00D65AED">
        <w:rPr>
          <w:rFonts w:ascii="標楷體" w:eastAsia="標楷體" w:hAnsi="標楷體" w:hint="eastAsia"/>
          <w:color w:val="000000"/>
          <w:sz w:val="28"/>
          <w:szCs w:val="28"/>
        </w:rPr>
        <w:t>林邦樑</w:t>
      </w:r>
    </w:p>
    <w:p w14:paraId="6FFAD765"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臺灣士林地方檢察署檢察長　</w:t>
      </w:r>
      <w:r w:rsidRPr="00D65AED">
        <w:rPr>
          <w:rFonts w:ascii="標楷體" w:eastAsia="標楷體" w:hAnsi="標楷體" w:hint="eastAsia"/>
          <w:color w:val="000000"/>
          <w:sz w:val="28"/>
          <w:szCs w:val="28"/>
        </w:rPr>
        <w:t>繆卓然</w:t>
      </w:r>
    </w:p>
    <w:p w14:paraId="0526276B"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color w:val="000000"/>
          <w:sz w:val="28"/>
          <w:szCs w:val="28"/>
        </w:rPr>
      </w:pPr>
      <w:r w:rsidRPr="00D65AED">
        <w:rPr>
          <w:rFonts w:ascii="標楷體" w:eastAsia="標楷體" w:hAnsi="標楷體" w:hint="eastAsia"/>
          <w:kern w:val="0"/>
          <w:sz w:val="28"/>
          <w:szCs w:val="28"/>
        </w:rPr>
        <w:t xml:space="preserve">臺灣新北地方檢察署檢察長　</w:t>
      </w:r>
      <w:r w:rsidRPr="00D65AED">
        <w:rPr>
          <w:rFonts w:ascii="標楷體" w:eastAsia="標楷體" w:hAnsi="標楷體" w:hint="eastAsia"/>
          <w:color w:val="000000"/>
          <w:sz w:val="28"/>
          <w:szCs w:val="28"/>
        </w:rPr>
        <w:t>毛有增</w:t>
      </w:r>
    </w:p>
    <w:p w14:paraId="23C2F2BD"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color w:val="000000"/>
          <w:sz w:val="28"/>
          <w:szCs w:val="28"/>
        </w:rPr>
      </w:pPr>
      <w:r w:rsidRPr="00D65AED">
        <w:rPr>
          <w:rFonts w:ascii="標楷體" w:eastAsia="標楷體" w:hAnsi="標楷體" w:hint="eastAsia"/>
          <w:color w:val="000000"/>
          <w:sz w:val="28"/>
          <w:szCs w:val="28"/>
        </w:rPr>
        <w:t>臺灣桃園地方檢察署檢察長　俞秀端</w:t>
      </w:r>
    </w:p>
    <w:p w14:paraId="08E6FF5A"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color w:val="000000"/>
          <w:sz w:val="28"/>
          <w:szCs w:val="28"/>
        </w:rPr>
      </w:pPr>
      <w:r w:rsidRPr="00D65AED">
        <w:rPr>
          <w:rFonts w:ascii="標楷體" w:eastAsia="標楷體" w:hAnsi="標楷體" w:hint="eastAsia"/>
          <w:color w:val="000000"/>
          <w:sz w:val="28"/>
          <w:szCs w:val="28"/>
        </w:rPr>
        <w:t>臺灣新竹地方檢察署檢察長　張介欽</w:t>
      </w:r>
    </w:p>
    <w:p w14:paraId="20DEC623"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臺灣苗栗地方檢察署檢察長　</w:t>
      </w:r>
      <w:r w:rsidRPr="00D65AED">
        <w:rPr>
          <w:rFonts w:ascii="標楷體" w:eastAsia="標楷體" w:hAnsi="標楷體" w:hint="eastAsia"/>
          <w:color w:val="000000"/>
          <w:sz w:val="28"/>
          <w:szCs w:val="28"/>
        </w:rPr>
        <w:t>陳松吉</w:t>
      </w:r>
    </w:p>
    <w:p w14:paraId="1D63E729"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臺灣臺中地方檢察署檢察長　</w:t>
      </w:r>
      <w:r w:rsidRPr="00D65AED">
        <w:rPr>
          <w:rFonts w:ascii="標楷體" w:eastAsia="標楷體" w:hAnsi="標楷體" w:hint="eastAsia"/>
          <w:color w:val="000000"/>
          <w:sz w:val="28"/>
          <w:szCs w:val="28"/>
        </w:rPr>
        <w:t>郭永發</w:t>
      </w:r>
    </w:p>
    <w:p w14:paraId="1CA7DD73"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臺灣南投地方檢察署檢察長　</w:t>
      </w:r>
      <w:r w:rsidRPr="00D65AED">
        <w:rPr>
          <w:rFonts w:ascii="標楷體" w:eastAsia="標楷體" w:hAnsi="標楷體" w:hint="eastAsia"/>
          <w:color w:val="000000"/>
          <w:sz w:val="28"/>
          <w:szCs w:val="28"/>
        </w:rPr>
        <w:t>張云綺</w:t>
      </w:r>
    </w:p>
    <w:p w14:paraId="6EE7382D"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臺灣彰化地方檢察署檢察長　</w:t>
      </w:r>
      <w:r w:rsidRPr="00D65AED">
        <w:rPr>
          <w:rFonts w:ascii="標楷體" w:eastAsia="標楷體" w:hAnsi="標楷體" w:hint="eastAsia"/>
          <w:color w:val="000000"/>
          <w:sz w:val="28"/>
          <w:szCs w:val="28"/>
        </w:rPr>
        <w:t>洪家原</w:t>
      </w:r>
    </w:p>
    <w:p w14:paraId="3763076A"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臺灣雲林地方檢察署檢察長　</w:t>
      </w:r>
      <w:r w:rsidRPr="00D65AED">
        <w:rPr>
          <w:rFonts w:ascii="標楷體" w:eastAsia="標楷體" w:hAnsi="標楷體" w:hint="eastAsia"/>
          <w:color w:val="000000"/>
          <w:sz w:val="28"/>
          <w:szCs w:val="28"/>
        </w:rPr>
        <w:t>張春暉</w:t>
      </w:r>
    </w:p>
    <w:p w14:paraId="6D204B17"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lastRenderedPageBreak/>
        <w:t xml:space="preserve">臺灣嘉義地方檢察署檢察長　</w:t>
      </w:r>
      <w:r w:rsidRPr="00D65AED">
        <w:rPr>
          <w:rFonts w:ascii="標楷體" w:eastAsia="標楷體" w:hAnsi="標楷體" w:hint="eastAsia"/>
          <w:color w:val="000000"/>
          <w:sz w:val="28"/>
          <w:szCs w:val="28"/>
        </w:rPr>
        <w:t>張曉雯</w:t>
      </w:r>
    </w:p>
    <w:p w14:paraId="0AEDAC8B"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臺灣臺南地方檢察署檢察長　</w:t>
      </w:r>
      <w:r w:rsidRPr="00D65AED">
        <w:rPr>
          <w:rFonts w:ascii="標楷體" w:eastAsia="標楷體" w:hAnsi="標楷體" w:hint="eastAsia"/>
          <w:color w:val="000000"/>
          <w:sz w:val="28"/>
          <w:szCs w:val="28"/>
        </w:rPr>
        <w:t>葉淑文</w:t>
      </w:r>
    </w:p>
    <w:p w14:paraId="5B00F549"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臺灣橋頭地方檢察署檢察長　</w:t>
      </w:r>
      <w:r w:rsidRPr="00D65AED">
        <w:rPr>
          <w:rFonts w:ascii="標楷體" w:eastAsia="標楷體" w:hAnsi="標楷體" w:hint="eastAsia"/>
          <w:color w:val="000000"/>
          <w:sz w:val="28"/>
          <w:szCs w:val="28"/>
        </w:rPr>
        <w:t>鍾和憲</w:t>
      </w:r>
    </w:p>
    <w:p w14:paraId="4ECED27A"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臺灣高雄地方檢察署檢察長　</w:t>
      </w:r>
      <w:r w:rsidRPr="00D65AED">
        <w:rPr>
          <w:rFonts w:ascii="標楷體" w:eastAsia="標楷體" w:hAnsi="標楷體" w:hint="eastAsia"/>
          <w:color w:val="000000"/>
          <w:sz w:val="28"/>
          <w:szCs w:val="28"/>
        </w:rPr>
        <w:t>洪信旭</w:t>
      </w:r>
    </w:p>
    <w:p w14:paraId="6F6D6DCE"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臺灣屏東地方檢察署檢察長　</w:t>
      </w:r>
      <w:r w:rsidRPr="00D65AED">
        <w:rPr>
          <w:rFonts w:ascii="標楷體" w:eastAsia="標楷體" w:hAnsi="標楷體" w:hint="eastAsia"/>
          <w:color w:val="000000"/>
          <w:sz w:val="28"/>
          <w:szCs w:val="28"/>
        </w:rPr>
        <w:t>陳盈錦</w:t>
      </w:r>
    </w:p>
    <w:p w14:paraId="541A6FB8"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臺灣臺東地方檢察署檢察長　</w:t>
      </w:r>
      <w:r w:rsidRPr="00D65AED">
        <w:rPr>
          <w:rFonts w:ascii="標楷體" w:eastAsia="標楷體" w:hAnsi="標楷體" w:hint="eastAsia"/>
          <w:color w:val="000000"/>
          <w:sz w:val="28"/>
          <w:szCs w:val="28"/>
        </w:rPr>
        <w:t>戴文亮</w:t>
      </w:r>
    </w:p>
    <w:p w14:paraId="153CD7AA"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臺灣花蓮地方檢察署檢察長　</w:t>
      </w:r>
      <w:r w:rsidRPr="00D65AED">
        <w:rPr>
          <w:rFonts w:ascii="標楷體" w:eastAsia="標楷體" w:hAnsi="標楷體" w:hint="eastAsia"/>
          <w:color w:val="000000"/>
          <w:sz w:val="28"/>
          <w:szCs w:val="28"/>
        </w:rPr>
        <w:t>蔡宗熙</w:t>
      </w:r>
    </w:p>
    <w:p w14:paraId="5A2A44DC"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臺灣宜蘭地方檢察署檢察長　</w:t>
      </w:r>
      <w:r w:rsidRPr="00D65AED">
        <w:rPr>
          <w:rFonts w:ascii="標楷體" w:eastAsia="標楷體" w:hAnsi="標楷體" w:hint="eastAsia"/>
          <w:color w:val="000000"/>
          <w:sz w:val="28"/>
          <w:szCs w:val="28"/>
        </w:rPr>
        <w:t>李嘉明</w:t>
      </w:r>
    </w:p>
    <w:p w14:paraId="22A09D4A"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臺灣基隆地方檢察署檢察長　</w:t>
      </w:r>
      <w:r w:rsidRPr="00D65AED">
        <w:rPr>
          <w:rFonts w:ascii="標楷體" w:eastAsia="標楷體" w:hAnsi="標楷體" w:hint="eastAsia"/>
          <w:color w:val="000000"/>
          <w:sz w:val="28"/>
          <w:szCs w:val="28"/>
        </w:rPr>
        <w:t>余麗貞</w:t>
      </w:r>
    </w:p>
    <w:p w14:paraId="06BEF2E8"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臺灣澎湖地方檢察署檢察長　</w:t>
      </w:r>
      <w:r w:rsidRPr="00D65AED">
        <w:rPr>
          <w:rFonts w:ascii="標楷體" w:eastAsia="標楷體" w:hAnsi="標楷體" w:hint="eastAsia"/>
          <w:color w:val="000000"/>
          <w:sz w:val="28"/>
          <w:szCs w:val="28"/>
        </w:rPr>
        <w:t>黃智勇</w:t>
      </w:r>
    </w:p>
    <w:p w14:paraId="66796BA5" w14:textId="77777777" w:rsidR="00421BB5" w:rsidRPr="00D65AED" w:rsidRDefault="00421BB5" w:rsidP="00421BB5">
      <w:pPr>
        <w:adjustRightInd w:val="0"/>
        <w:snapToGrid w:val="0"/>
        <w:spacing w:line="360" w:lineRule="exact"/>
        <w:ind w:leftChars="584" w:left="1402"/>
        <w:jc w:val="both"/>
        <w:rPr>
          <w:rFonts w:ascii="標楷體" w:eastAsia="標楷體" w:hAnsi="標楷體"/>
          <w:color w:val="000000"/>
          <w:sz w:val="28"/>
          <w:szCs w:val="28"/>
        </w:rPr>
      </w:pPr>
      <w:r w:rsidRPr="00D65AED">
        <w:rPr>
          <w:rFonts w:ascii="標楷體" w:eastAsia="標楷體" w:hAnsi="標楷體" w:hint="eastAsia"/>
          <w:kern w:val="0"/>
          <w:sz w:val="28"/>
          <w:szCs w:val="28"/>
        </w:rPr>
        <w:t>福建高等檢察署金門檢察分署檢察長</w:t>
      </w:r>
      <w:r w:rsidRPr="00D65AED">
        <w:rPr>
          <w:rFonts w:ascii="標楷體" w:eastAsia="標楷體" w:hAnsi="標楷體" w:hint="eastAsia"/>
          <w:color w:val="000000"/>
          <w:sz w:val="28"/>
          <w:szCs w:val="28"/>
        </w:rPr>
        <w:t>兼任財團法人福建更生保護會董事長</w:t>
      </w:r>
      <w:r w:rsidRPr="00D65AED">
        <w:rPr>
          <w:rFonts w:ascii="標楷體" w:eastAsia="標楷體" w:hAnsi="標楷體" w:hint="eastAsia"/>
          <w:kern w:val="0"/>
          <w:sz w:val="28"/>
          <w:szCs w:val="28"/>
        </w:rPr>
        <w:t xml:space="preserve">　</w:t>
      </w:r>
      <w:r w:rsidRPr="00D65AED">
        <w:rPr>
          <w:rFonts w:ascii="標楷體" w:eastAsia="標楷體" w:hAnsi="標楷體" w:hint="eastAsia"/>
          <w:color w:val="000000"/>
          <w:sz w:val="28"/>
          <w:szCs w:val="28"/>
        </w:rPr>
        <w:t>鄭銘謙</w:t>
      </w:r>
    </w:p>
    <w:p w14:paraId="5B239013"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福建金門地方檢察署檢察長　</w:t>
      </w:r>
      <w:r w:rsidRPr="00D65AED">
        <w:rPr>
          <w:rFonts w:ascii="標楷體" w:eastAsia="標楷體" w:hAnsi="標楷體" w:hint="eastAsia"/>
          <w:color w:val="000000"/>
          <w:sz w:val="28"/>
          <w:szCs w:val="28"/>
        </w:rPr>
        <w:t>郭景東</w:t>
      </w:r>
    </w:p>
    <w:p w14:paraId="7E5B21C2"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color w:val="000000"/>
          <w:sz w:val="28"/>
          <w:szCs w:val="28"/>
        </w:rPr>
      </w:pPr>
      <w:r w:rsidRPr="00D65AED">
        <w:rPr>
          <w:rFonts w:ascii="標楷體" w:eastAsia="標楷體" w:hAnsi="標楷體" w:hint="eastAsia"/>
          <w:kern w:val="0"/>
          <w:sz w:val="28"/>
          <w:szCs w:val="28"/>
        </w:rPr>
        <w:t xml:space="preserve">福建連江地方檢察署檢察長　</w:t>
      </w:r>
      <w:r w:rsidRPr="00D65AED">
        <w:rPr>
          <w:rFonts w:ascii="標楷體" w:eastAsia="標楷體" w:hAnsi="標楷體" w:hint="eastAsia"/>
          <w:color w:val="000000"/>
          <w:sz w:val="28"/>
          <w:szCs w:val="28"/>
        </w:rPr>
        <w:t>黃元冠</w:t>
      </w:r>
    </w:p>
    <w:p w14:paraId="092B0F28"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color w:val="000000"/>
          <w:sz w:val="28"/>
          <w:szCs w:val="28"/>
        </w:rPr>
      </w:pPr>
      <w:r w:rsidRPr="00D65AED">
        <w:rPr>
          <w:rFonts w:ascii="標楷體" w:eastAsia="標楷體" w:hAnsi="標楷體" w:hint="eastAsia"/>
          <w:color w:val="000000"/>
          <w:sz w:val="28"/>
          <w:szCs w:val="28"/>
        </w:rPr>
        <w:t>法務部矯正機關作業基金主持人</w:t>
      </w:r>
      <w:r w:rsidRPr="00D65AED">
        <w:rPr>
          <w:rFonts w:ascii="標楷體" w:eastAsia="標楷體" w:hAnsi="標楷體" w:hint="eastAsia"/>
          <w:kern w:val="0"/>
          <w:sz w:val="28"/>
          <w:szCs w:val="28"/>
        </w:rPr>
        <w:t xml:space="preserve">　</w:t>
      </w:r>
      <w:r w:rsidRPr="00D65AED">
        <w:rPr>
          <w:rFonts w:ascii="標楷體" w:eastAsia="標楷體" w:hAnsi="標楷體" w:hint="eastAsia"/>
          <w:color w:val="000000"/>
          <w:sz w:val="28"/>
          <w:szCs w:val="28"/>
        </w:rPr>
        <w:t>陳明堂</w:t>
      </w:r>
    </w:p>
    <w:p w14:paraId="53F138CA" w14:textId="77777777" w:rsidR="00421BB5" w:rsidRPr="00D65AED" w:rsidRDefault="00421BB5" w:rsidP="00421BB5">
      <w:pPr>
        <w:adjustRightInd w:val="0"/>
        <w:snapToGrid w:val="0"/>
        <w:spacing w:line="360" w:lineRule="exact"/>
        <w:ind w:leftChars="584" w:left="2802" w:hangingChars="500" w:hanging="1400"/>
        <w:jc w:val="both"/>
        <w:rPr>
          <w:rFonts w:ascii="標楷體" w:eastAsia="標楷體" w:hAnsi="標楷體"/>
          <w:snapToGrid w:val="0"/>
          <w:spacing w:val="-10"/>
          <w:sz w:val="28"/>
          <w:szCs w:val="28"/>
        </w:rPr>
      </w:pPr>
      <w:r w:rsidRPr="00D65AED">
        <w:rPr>
          <w:rFonts w:ascii="標楷體" w:eastAsia="標楷體" w:hAnsi="標楷體" w:hint="eastAsia"/>
          <w:kern w:val="0"/>
          <w:sz w:val="28"/>
          <w:szCs w:val="28"/>
        </w:rPr>
        <w:t xml:space="preserve">行政院主計總處公務預算處專門委員　</w:t>
      </w:r>
      <w:r w:rsidRPr="00D65AED">
        <w:rPr>
          <w:rFonts w:ascii="標楷體" w:eastAsia="標楷體" w:hAnsi="標楷體" w:hint="eastAsia"/>
          <w:color w:val="000000"/>
          <w:sz w:val="28"/>
          <w:szCs w:val="28"/>
        </w:rPr>
        <w:t>吳銘修</w:t>
      </w:r>
    </w:p>
    <w:p w14:paraId="681C6D41" w14:textId="77777777" w:rsidR="00421BB5" w:rsidRPr="00D65AED" w:rsidRDefault="00421BB5" w:rsidP="00421BB5">
      <w:pPr>
        <w:adjustRightInd w:val="0"/>
        <w:snapToGrid w:val="0"/>
        <w:spacing w:line="360" w:lineRule="exact"/>
        <w:ind w:leftChars="584" w:left="4762" w:hangingChars="1200" w:hanging="3360"/>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              </w:t>
      </w:r>
      <w:r w:rsidRPr="00D65AED">
        <w:rPr>
          <w:rFonts w:ascii="標楷體" w:eastAsia="標楷體" w:hAnsi="標楷體" w:hint="eastAsia"/>
          <w:color w:val="000000"/>
          <w:sz w:val="28"/>
          <w:szCs w:val="28"/>
        </w:rPr>
        <w:t>基金預算處科長</w:t>
      </w:r>
      <w:r w:rsidRPr="00D65AED">
        <w:rPr>
          <w:rFonts w:ascii="標楷體" w:eastAsia="標楷體" w:hAnsi="標楷體" w:hint="eastAsia"/>
          <w:kern w:val="0"/>
          <w:sz w:val="28"/>
          <w:szCs w:val="28"/>
        </w:rPr>
        <w:t xml:space="preserve">　</w:t>
      </w:r>
      <w:r w:rsidRPr="00D65AED">
        <w:rPr>
          <w:rFonts w:ascii="標楷體" w:eastAsia="標楷體" w:hAnsi="標楷體" w:hint="eastAsia"/>
          <w:color w:val="000000"/>
          <w:sz w:val="28"/>
          <w:szCs w:val="28"/>
        </w:rPr>
        <w:t>江衍陞</w:t>
      </w:r>
    </w:p>
    <w:p w14:paraId="25984895" w14:textId="77777777" w:rsidR="00421BB5" w:rsidRPr="00D65AED" w:rsidRDefault="00421BB5" w:rsidP="00421BB5">
      <w:pPr>
        <w:adjustRightInd w:val="0"/>
        <w:snapToGrid w:val="0"/>
        <w:spacing w:line="360" w:lineRule="exact"/>
        <w:ind w:left="1117" w:hangingChars="399" w:hanging="1117"/>
        <w:jc w:val="both"/>
        <w:rPr>
          <w:rFonts w:ascii="標楷體" w:eastAsia="標楷體" w:hAnsi="標楷體"/>
          <w:sz w:val="28"/>
          <w:szCs w:val="28"/>
          <w:shd w:val="clear" w:color="auto" w:fill="FFFFFF"/>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w:t>
      </w:r>
      <w:r w:rsidRPr="00D65AED">
        <w:rPr>
          <w:rFonts w:ascii="標楷體" w:eastAsia="標楷體" w:hAnsi="標楷體"/>
          <w:sz w:val="28"/>
          <w:szCs w:val="28"/>
        </w:rPr>
        <w:t>委員</w:t>
      </w:r>
      <w:r w:rsidRPr="00D65AED">
        <w:rPr>
          <w:rFonts w:ascii="標楷體" w:eastAsia="標楷體" w:hAnsi="標楷體" w:hint="eastAsia"/>
          <w:sz w:val="28"/>
          <w:szCs w:val="28"/>
        </w:rPr>
        <w:t>思銘</w:t>
      </w:r>
    </w:p>
    <w:p w14:paraId="5E253A2B"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55356CBF"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7D99AF27"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0BE16E39"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624E2858"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6B6E952D"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0C5DDE0E"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081C788F" w14:textId="77777777" w:rsidR="00421BB5" w:rsidRPr="00D65AED" w:rsidRDefault="00421BB5" w:rsidP="00421BB5">
      <w:pPr>
        <w:pStyle w:val="afffff4"/>
        <w:spacing w:line="360" w:lineRule="exact"/>
        <w:ind w:left="560" w:hanging="560"/>
        <w:jc w:val="both"/>
        <w:rPr>
          <w:rFonts w:ascii="標楷體" w:hAnsi="標楷體"/>
          <w:sz w:val="28"/>
          <w:szCs w:val="28"/>
        </w:rPr>
      </w:pPr>
      <w:r w:rsidRPr="00D65AED">
        <w:rPr>
          <w:rFonts w:ascii="標楷體" w:hAnsi="標楷體" w:hint="eastAsia"/>
          <w:sz w:val="28"/>
          <w:szCs w:val="28"/>
        </w:rPr>
        <w:t>一、</w:t>
      </w:r>
      <w:r w:rsidRPr="00D65AED">
        <w:rPr>
          <w:rFonts w:ascii="標楷體" w:hAnsi="標楷體"/>
          <w:sz w:val="28"/>
          <w:szCs w:val="28"/>
        </w:rPr>
        <w:t>宣讀上次會議議事錄</w:t>
      </w:r>
      <w:r w:rsidRPr="00D65AED">
        <w:rPr>
          <w:rFonts w:ascii="標楷體" w:hAnsi="標楷體" w:hint="eastAsia"/>
          <w:sz w:val="28"/>
          <w:szCs w:val="28"/>
        </w:rPr>
        <w:t>。</w:t>
      </w:r>
    </w:p>
    <w:p w14:paraId="4749C5A3"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決定：確定。</w:t>
      </w:r>
    </w:p>
    <w:p w14:paraId="742FE730"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二、邀請法務部部長率所屬單位主管列席報告業務概況及立法計畫，並備質詢。</w:t>
      </w:r>
    </w:p>
    <w:p w14:paraId="6CC508A2"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決定：報告及詢答完畢。</w:t>
      </w:r>
    </w:p>
    <w:p w14:paraId="5DE913C7" w14:textId="77777777" w:rsidR="00421BB5" w:rsidRPr="00D65AED" w:rsidRDefault="00421BB5" w:rsidP="00421BB5">
      <w:pPr>
        <w:pStyle w:val="afffff2"/>
        <w:spacing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51A8ACE8"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lang w:val="x-none"/>
        </w:rPr>
        <w:t>一、</w:t>
      </w:r>
      <w:r w:rsidRPr="00D65AED">
        <w:rPr>
          <w:rFonts w:ascii="標楷體" w:eastAsia="標楷體" w:hAnsi="標楷體" w:hint="eastAsia"/>
          <w:kern w:val="0"/>
          <w:sz w:val="28"/>
          <w:szCs w:val="28"/>
        </w:rPr>
        <w:t>審查</w:t>
      </w:r>
      <w:r w:rsidRPr="00D65AED">
        <w:rPr>
          <w:rFonts w:ascii="標楷體" w:eastAsia="標楷體" w:hAnsi="標楷體" w:hint="eastAsia"/>
          <w:sz w:val="28"/>
          <w:szCs w:val="28"/>
        </w:rPr>
        <w:t>112年度中央政府總預算案關於法務部及所屬主管收支部分。</w:t>
      </w:r>
    </w:p>
    <w:p w14:paraId="4EFE2489"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kern w:val="0"/>
          <w:sz w:val="28"/>
          <w:szCs w:val="28"/>
        </w:rPr>
        <w:t>二、審查</w:t>
      </w:r>
      <w:r w:rsidRPr="00D65AED">
        <w:rPr>
          <w:rFonts w:ascii="標楷體" w:eastAsia="標楷體" w:hAnsi="標楷體" w:hint="eastAsia"/>
          <w:sz w:val="28"/>
          <w:szCs w:val="28"/>
        </w:rPr>
        <w:t>112年度中央政府總預算案附屬單位預算非營業部分關於法務部主管「法務部矯正機關作業基金」收支部分。</w:t>
      </w:r>
    </w:p>
    <w:p w14:paraId="06CC76F6"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kern w:val="0"/>
          <w:sz w:val="28"/>
          <w:szCs w:val="28"/>
        </w:rPr>
        <w:t>三、審查</w:t>
      </w:r>
      <w:r w:rsidRPr="00D65AED">
        <w:rPr>
          <w:rFonts w:ascii="標楷體" w:eastAsia="標楷體" w:hAnsi="標楷體" w:hint="eastAsia"/>
          <w:sz w:val="28"/>
          <w:szCs w:val="28"/>
        </w:rPr>
        <w:t>112年度中央政府總預算案附屬單位預算非營業部分關於法務部主管「毒品防制基金」收支部分。</w:t>
      </w:r>
    </w:p>
    <w:p w14:paraId="6CFC7103"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kern w:val="0"/>
          <w:sz w:val="28"/>
          <w:szCs w:val="28"/>
        </w:rPr>
        <w:t>四、審查</w:t>
      </w:r>
      <w:r w:rsidRPr="00D65AED">
        <w:rPr>
          <w:rFonts w:ascii="標楷體" w:eastAsia="標楷體" w:hAnsi="標楷體" w:hint="eastAsia"/>
          <w:sz w:val="28"/>
          <w:szCs w:val="28"/>
        </w:rPr>
        <w:t>法務部函送財團法人臺灣更生保護會、財團法人福建更生保護會及財團法人犯罪被害人保護協會112年度預算書案。</w:t>
      </w:r>
    </w:p>
    <w:p w14:paraId="2B888264" w14:textId="77777777" w:rsidR="00421BB5" w:rsidRPr="00D65AED" w:rsidRDefault="00421BB5" w:rsidP="00421BB5">
      <w:pPr>
        <w:adjustRightInd w:val="0"/>
        <w:snapToGrid w:val="0"/>
        <w:spacing w:line="360" w:lineRule="exact"/>
        <w:ind w:leftChars="100" w:left="240"/>
        <w:jc w:val="both"/>
        <w:rPr>
          <w:rFonts w:ascii="標楷體" w:eastAsia="標楷體" w:hAnsi="標楷體"/>
          <w:kern w:val="0"/>
          <w:szCs w:val="28"/>
        </w:rPr>
      </w:pPr>
      <w:r w:rsidRPr="00D65AED">
        <w:rPr>
          <w:rFonts w:ascii="標楷體" w:eastAsia="標楷體" w:hAnsi="標楷體" w:hint="eastAsia"/>
          <w:sz w:val="28"/>
          <w:szCs w:val="28"/>
        </w:rPr>
        <w:t>（本次會議有委員陳歐珀、游毓蘭、陳玉珍、黃世杰、</w:t>
      </w:r>
      <w:r w:rsidRPr="00D65AED">
        <w:rPr>
          <w:rFonts w:ascii="標楷體" w:eastAsia="標楷體" w:hAnsi="標楷體" w:hint="eastAsia"/>
          <w:spacing w:val="20"/>
          <w:sz w:val="28"/>
          <w:szCs w:val="28"/>
        </w:rPr>
        <w:t>林思銘、</w:t>
      </w:r>
      <w:r w:rsidRPr="00D65AED">
        <w:rPr>
          <w:rFonts w:ascii="標楷體" w:eastAsia="標楷體" w:hAnsi="標楷體" w:hint="eastAsia"/>
          <w:sz w:val="28"/>
          <w:szCs w:val="28"/>
        </w:rPr>
        <w:t>江</w:t>
      </w:r>
      <w:r w:rsidRPr="00D65AED">
        <w:rPr>
          <w:rFonts w:ascii="標楷體" w:eastAsia="標楷體" w:hAnsi="標楷體" w:hint="eastAsia"/>
          <w:sz w:val="28"/>
          <w:szCs w:val="28"/>
        </w:rPr>
        <w:lastRenderedPageBreak/>
        <w:t>永昌、陳以信、</w:t>
      </w:r>
      <w:r w:rsidRPr="00D65AED">
        <w:rPr>
          <w:rFonts w:ascii="標楷體" w:eastAsia="標楷體" w:hAnsi="標楷體" w:hint="eastAsia"/>
          <w:spacing w:val="20"/>
          <w:sz w:val="28"/>
          <w:szCs w:val="28"/>
        </w:rPr>
        <w:t>曾銘宗</w:t>
      </w:r>
      <w:r w:rsidRPr="00D65AED">
        <w:rPr>
          <w:rFonts w:ascii="標楷體" w:eastAsia="標楷體" w:hAnsi="標楷體" w:hint="eastAsia"/>
          <w:sz w:val="28"/>
          <w:szCs w:val="28"/>
        </w:rPr>
        <w:t>、林德福、陳椒華、洪孟楷、劉建國、邱顯智、李德維、高嘉瑜、</w:t>
      </w:r>
      <w:r w:rsidRPr="00D65AED">
        <w:rPr>
          <w:rFonts w:ascii="標楷體" w:eastAsia="標楷體" w:hAnsi="標楷體"/>
          <w:sz w:val="28"/>
          <w:szCs w:val="28"/>
        </w:rPr>
        <w:t>鄭天財Sra</w:t>
      </w:r>
      <w:r w:rsidRPr="00D65AED">
        <w:rPr>
          <w:rFonts w:ascii="標楷體" w:eastAsia="標楷體" w:hAnsi="標楷體" w:hint="eastAsia"/>
          <w:sz w:val="28"/>
          <w:szCs w:val="28"/>
        </w:rPr>
        <w:t xml:space="preserve"> </w:t>
      </w:r>
      <w:r w:rsidRPr="00D65AED">
        <w:rPr>
          <w:rFonts w:ascii="標楷體" w:eastAsia="標楷體" w:hAnsi="標楷體"/>
          <w:sz w:val="28"/>
          <w:szCs w:val="28"/>
        </w:rPr>
        <w:t>Kacaw</w:t>
      </w:r>
      <w:r w:rsidRPr="00D65AED">
        <w:rPr>
          <w:rFonts w:ascii="標楷體" w:eastAsia="標楷體" w:hAnsi="標楷體" w:hint="eastAsia"/>
          <w:sz w:val="28"/>
          <w:szCs w:val="28"/>
        </w:rPr>
        <w:t>、江啟臣、吳玉琴提出質詢；委員鄭運鵬、林岱樺、林思銘、陳明文、周春米、李貴敏提出書面質詢。）</w:t>
      </w:r>
    </w:p>
    <w:p w14:paraId="2EFF0B60" w14:textId="77777777" w:rsidR="00421BB5" w:rsidRPr="00D65AED" w:rsidRDefault="00421BB5" w:rsidP="00421BB5">
      <w:pPr>
        <w:spacing w:line="360" w:lineRule="exact"/>
        <w:ind w:left="493" w:hangingChars="176" w:hanging="493"/>
        <w:contextualSpacing/>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決議：</w:t>
      </w:r>
    </w:p>
    <w:p w14:paraId="09641B93" w14:textId="77777777" w:rsidR="00421BB5" w:rsidRPr="00D65AED" w:rsidRDefault="00421BB5" w:rsidP="007015C7">
      <w:pPr>
        <w:numPr>
          <w:ilvl w:val="0"/>
          <w:numId w:val="20"/>
        </w:numPr>
        <w:adjustRightInd w:val="0"/>
        <w:snapToGrid w:val="0"/>
        <w:spacing w:line="360" w:lineRule="exact"/>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報告及詢答完畢。</w:t>
      </w:r>
    </w:p>
    <w:p w14:paraId="608284A2" w14:textId="77777777" w:rsidR="00421BB5" w:rsidRPr="00D65AED" w:rsidRDefault="00421BB5" w:rsidP="007015C7">
      <w:pPr>
        <w:numPr>
          <w:ilvl w:val="0"/>
          <w:numId w:val="20"/>
        </w:numPr>
        <w:adjustRightInd w:val="0"/>
        <w:snapToGrid w:val="0"/>
        <w:spacing w:line="360" w:lineRule="exact"/>
        <w:jc w:val="both"/>
        <w:rPr>
          <w:rFonts w:ascii="標楷體" w:eastAsia="標楷體" w:hAnsi="標楷體"/>
          <w:kern w:val="0"/>
          <w:sz w:val="28"/>
          <w:szCs w:val="28"/>
        </w:rPr>
      </w:pPr>
      <w:r w:rsidRPr="00D65AED">
        <w:rPr>
          <w:rFonts w:ascii="標楷體" w:eastAsia="標楷體" w:hAnsi="標楷體" w:hint="eastAsia"/>
          <w:kern w:val="0"/>
          <w:sz w:val="28"/>
          <w:szCs w:val="28"/>
        </w:rPr>
        <w:t>第一案至第四案，均另定期繼續審查。</w:t>
      </w:r>
    </w:p>
    <w:p w14:paraId="0A271777" w14:textId="77777777" w:rsidR="00421BB5" w:rsidRPr="00D65AED" w:rsidRDefault="00421BB5" w:rsidP="007015C7">
      <w:pPr>
        <w:numPr>
          <w:ilvl w:val="0"/>
          <w:numId w:val="20"/>
        </w:numPr>
        <w:adjustRightInd w:val="0"/>
        <w:snapToGrid w:val="0"/>
        <w:spacing w:line="360" w:lineRule="exact"/>
        <w:ind w:left="567" w:hanging="567"/>
        <w:jc w:val="both"/>
        <w:rPr>
          <w:rFonts w:ascii="標楷體" w:eastAsia="標楷體" w:hAnsi="標楷體"/>
          <w:sz w:val="28"/>
          <w:szCs w:val="28"/>
          <w:shd w:val="clear" w:color="auto" w:fill="C4BC96"/>
        </w:rPr>
      </w:pPr>
      <w:r w:rsidRPr="00D65AED">
        <w:rPr>
          <w:rFonts w:ascii="標楷體" w:eastAsia="標楷體" w:hAnsi="標楷體"/>
          <w:sz w:val="28"/>
          <w:szCs w:val="28"/>
        </w:rPr>
        <w:t>委員質詢時，要求提供相關資料或以書面答復者，請相關機關儘速送交個別委員及本會。</w:t>
      </w:r>
    </w:p>
    <w:p w14:paraId="18BBF731"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shd w:val="clear" w:color="auto" w:fill="C4BC96"/>
        </w:rPr>
      </w:pPr>
      <w:r w:rsidRPr="00D65AED">
        <w:rPr>
          <w:rFonts w:ascii="標楷體" w:eastAsia="標楷體" w:hAnsi="標楷體" w:hint="eastAsia"/>
          <w:sz w:val="28"/>
          <w:szCs w:val="28"/>
        </w:rPr>
        <w:t>四、審查會委員針對本日議程所列討論事項第一案至第四案之預算提案，請於11月18日(星期五)上午1</w:t>
      </w:r>
      <w:r w:rsidRPr="00D65AED">
        <w:rPr>
          <w:rFonts w:ascii="標楷體" w:eastAsia="標楷體" w:hAnsi="標楷體"/>
          <w:sz w:val="28"/>
          <w:szCs w:val="28"/>
        </w:rPr>
        <w:t>0</w:t>
      </w:r>
      <w:r w:rsidRPr="00D65AED">
        <w:rPr>
          <w:rFonts w:ascii="標楷體" w:eastAsia="標楷體" w:hAnsi="標楷體" w:hint="eastAsia"/>
          <w:sz w:val="28"/>
          <w:szCs w:val="28"/>
        </w:rPr>
        <w:t>時30分前送交本會，逾時不予受理。</w:t>
      </w:r>
    </w:p>
    <w:p w14:paraId="7E06C6CC"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6505828F"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p>
    <w:p w14:paraId="1F6E8AEF"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立法院第10屆第6會期司法及法制委員會第1</w:t>
      </w:r>
      <w:r w:rsidRPr="00D65AED">
        <w:rPr>
          <w:rFonts w:ascii="標楷體" w:eastAsia="標楷體" w:hAnsi="標楷體"/>
          <w:b/>
          <w:spacing w:val="-4"/>
          <w:sz w:val="28"/>
          <w:szCs w:val="28"/>
        </w:rPr>
        <w:t>5</w:t>
      </w:r>
      <w:r w:rsidRPr="00D65AED">
        <w:rPr>
          <w:rFonts w:ascii="標楷體" w:eastAsia="標楷體" w:hAnsi="標楷體" w:hint="eastAsia"/>
          <w:b/>
          <w:spacing w:val="-4"/>
          <w:sz w:val="28"/>
          <w:szCs w:val="28"/>
        </w:rPr>
        <w:t>次全體委員會議議事錄</w:t>
      </w:r>
    </w:p>
    <w:p w14:paraId="6ED4A446" w14:textId="77777777" w:rsidR="00421BB5" w:rsidRPr="00D65AED" w:rsidRDefault="00421BB5" w:rsidP="00421BB5">
      <w:pPr>
        <w:pStyle w:val="-9"/>
        <w:spacing w:line="360" w:lineRule="exact"/>
        <w:ind w:left="1417" w:hangingChars="506" w:hanging="1417"/>
        <w:rPr>
          <w:rFonts w:ascii="標楷體" w:hAnsi="標楷體"/>
          <w:sz w:val="28"/>
          <w:szCs w:val="28"/>
        </w:rPr>
      </w:pPr>
      <w:r w:rsidRPr="00D65AED">
        <w:rPr>
          <w:rFonts w:ascii="標楷體" w:hAnsi="標楷體"/>
          <w:sz w:val="28"/>
          <w:szCs w:val="28"/>
        </w:rPr>
        <w:t>時</w:t>
      </w:r>
      <w:r w:rsidRPr="00D65AED">
        <w:rPr>
          <w:rFonts w:ascii="標楷體" w:hAnsi="標楷體" w:hint="eastAsia"/>
          <w:sz w:val="28"/>
          <w:szCs w:val="28"/>
        </w:rPr>
        <w:t xml:space="preserve">　　</w:t>
      </w:r>
      <w:r w:rsidRPr="00D65AED">
        <w:rPr>
          <w:rFonts w:ascii="標楷體" w:hAnsi="標楷體"/>
          <w:sz w:val="28"/>
          <w:szCs w:val="28"/>
        </w:rPr>
        <w:t>間：</w:t>
      </w:r>
      <w:r w:rsidRPr="00D65AED">
        <w:rPr>
          <w:rFonts w:ascii="標楷體" w:hAnsi="標楷體" w:hint="eastAsia"/>
          <w:sz w:val="28"/>
          <w:szCs w:val="28"/>
        </w:rPr>
        <w:t>中華民國11</w:t>
      </w:r>
      <w:r w:rsidRPr="00D65AED">
        <w:rPr>
          <w:rFonts w:ascii="標楷體" w:hAnsi="標楷體"/>
          <w:sz w:val="28"/>
          <w:szCs w:val="28"/>
        </w:rPr>
        <w:t>1</w:t>
      </w:r>
      <w:r w:rsidRPr="00D65AED">
        <w:rPr>
          <w:rFonts w:ascii="標楷體" w:hAnsi="標楷體" w:hint="eastAsia"/>
          <w:sz w:val="28"/>
          <w:szCs w:val="28"/>
        </w:rPr>
        <w:t>年1</w:t>
      </w:r>
      <w:r w:rsidRPr="00D65AED">
        <w:rPr>
          <w:rFonts w:ascii="標楷體" w:hAnsi="標楷體"/>
          <w:sz w:val="28"/>
          <w:szCs w:val="28"/>
        </w:rPr>
        <w:t>1</w:t>
      </w:r>
      <w:r w:rsidRPr="00D65AED">
        <w:rPr>
          <w:rFonts w:ascii="標楷體" w:hAnsi="標楷體" w:hint="eastAsia"/>
          <w:sz w:val="28"/>
          <w:szCs w:val="28"/>
        </w:rPr>
        <w:t>月14日（星期一）上午9時至12時56分</w:t>
      </w:r>
    </w:p>
    <w:p w14:paraId="6EAF0D22" w14:textId="77777777" w:rsidR="00421BB5" w:rsidRPr="00D65AED" w:rsidRDefault="00421BB5" w:rsidP="00421BB5">
      <w:pPr>
        <w:pStyle w:val="-9"/>
        <w:spacing w:line="360" w:lineRule="exact"/>
        <w:ind w:left="1364" w:hanging="1364"/>
        <w:rPr>
          <w:rFonts w:ascii="標楷體" w:hAnsi="標楷體"/>
          <w:spacing w:val="-20"/>
          <w:sz w:val="28"/>
          <w:szCs w:val="28"/>
        </w:rPr>
      </w:pPr>
      <w:r w:rsidRPr="00D65AED">
        <w:rPr>
          <w:rFonts w:ascii="標楷體" w:hAnsi="標楷體"/>
          <w:sz w:val="28"/>
          <w:szCs w:val="28"/>
        </w:rPr>
        <w:t>地</w:t>
      </w:r>
      <w:r w:rsidRPr="00D65AED">
        <w:rPr>
          <w:rFonts w:ascii="標楷體" w:hAnsi="標楷體" w:hint="eastAsia"/>
          <w:sz w:val="28"/>
          <w:szCs w:val="28"/>
        </w:rPr>
        <w:t xml:space="preserve">　　</w:t>
      </w:r>
      <w:r w:rsidRPr="00D65AED">
        <w:rPr>
          <w:rFonts w:ascii="標楷體" w:hAnsi="標楷體"/>
          <w:sz w:val="28"/>
          <w:szCs w:val="28"/>
        </w:rPr>
        <w:t>點：</w:t>
      </w:r>
      <w:r w:rsidRPr="00D65AED">
        <w:rPr>
          <w:rFonts w:ascii="標楷體" w:hAnsi="標楷體" w:hint="eastAsia"/>
          <w:sz w:val="28"/>
          <w:szCs w:val="28"/>
        </w:rPr>
        <w:t>本院群賢樓9樓大禮堂</w:t>
      </w:r>
    </w:p>
    <w:p w14:paraId="4C97CD5C" w14:textId="77777777" w:rsidR="00421BB5" w:rsidRPr="00D65AED" w:rsidRDefault="00421BB5" w:rsidP="00421BB5">
      <w:pPr>
        <w:adjustRightInd w:val="0"/>
        <w:snapToGrid w:val="0"/>
        <w:spacing w:line="360" w:lineRule="exact"/>
        <w:ind w:left="1364" w:hangingChars="487" w:hanging="1364"/>
        <w:jc w:val="both"/>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：曾銘宗</w:t>
      </w:r>
      <w:r w:rsidRPr="00D65AED">
        <w:rPr>
          <w:rFonts w:ascii="標楷體" w:eastAsia="標楷體" w:hAnsi="標楷體"/>
          <w:sz w:val="28"/>
          <w:szCs w:val="28"/>
        </w:rPr>
        <w:tab/>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陳玉珍</w:t>
      </w:r>
    </w:p>
    <w:p w14:paraId="76AE0D92" w14:textId="77777777" w:rsidR="00421BB5" w:rsidRPr="00D65AED" w:rsidRDefault="00421BB5" w:rsidP="00421BB5">
      <w:pPr>
        <w:snapToGrid w:val="0"/>
        <w:spacing w:line="360" w:lineRule="exact"/>
        <w:ind w:firstLineChars="505" w:firstLine="1414"/>
        <w:rPr>
          <w:rFonts w:ascii="標楷體" w:eastAsia="標楷體" w:hAnsi="標楷體"/>
          <w:sz w:val="28"/>
          <w:szCs w:val="28"/>
        </w:rPr>
      </w:pP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劉建國</w:t>
      </w:r>
      <w:r w:rsidRPr="00D65AED">
        <w:rPr>
          <w:rFonts w:ascii="標楷體" w:eastAsia="標楷體" w:hAnsi="標楷體"/>
          <w:sz w:val="28"/>
          <w:szCs w:val="28"/>
        </w:rPr>
        <w:tab/>
      </w:r>
      <w:r w:rsidRPr="00D65AED">
        <w:rPr>
          <w:rFonts w:ascii="標楷體" w:eastAsia="標楷體" w:hAnsi="標楷體" w:hint="eastAsia"/>
          <w:sz w:val="28"/>
          <w:szCs w:val="28"/>
        </w:rPr>
        <w:t>柯建銘</w:t>
      </w:r>
    </w:p>
    <w:p w14:paraId="0E4BA15D" w14:textId="77777777" w:rsidR="00421BB5" w:rsidRPr="00D65AED" w:rsidRDefault="00421BB5" w:rsidP="00421BB5">
      <w:pPr>
        <w:snapToGrid w:val="0"/>
        <w:spacing w:line="360" w:lineRule="exact"/>
        <w:ind w:firstLineChars="505" w:firstLine="1414"/>
        <w:rPr>
          <w:rFonts w:ascii="標楷體" w:eastAsia="標楷體" w:hAnsi="標楷體"/>
          <w:sz w:val="28"/>
          <w:szCs w:val="28"/>
        </w:rPr>
      </w:pPr>
      <w:r w:rsidRPr="00D65AED">
        <w:rPr>
          <w:rFonts w:ascii="標楷體" w:eastAsia="標楷體" w:hAnsi="標楷體"/>
          <w:sz w:val="28"/>
          <w:szCs w:val="28"/>
        </w:rPr>
        <w:t>委員出席1</w:t>
      </w:r>
      <w:r w:rsidRPr="00D65AED">
        <w:rPr>
          <w:rFonts w:ascii="標楷體" w:eastAsia="標楷體" w:hAnsi="標楷體" w:hint="eastAsia"/>
          <w:kern w:val="0"/>
          <w:sz w:val="28"/>
          <w:szCs w:val="28"/>
          <w:lang w:val="x-none"/>
        </w:rPr>
        <w:t>1</w:t>
      </w:r>
      <w:r w:rsidRPr="00D65AED">
        <w:rPr>
          <w:rFonts w:ascii="標楷體" w:eastAsia="標楷體" w:hAnsi="標楷體"/>
          <w:sz w:val="28"/>
          <w:szCs w:val="28"/>
        </w:rPr>
        <w:t>人</w:t>
      </w:r>
    </w:p>
    <w:p w14:paraId="067A2210"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林德福</w:t>
      </w:r>
      <w:r w:rsidRPr="00D65AED">
        <w:rPr>
          <w:rFonts w:ascii="標楷體" w:eastAsia="標楷體" w:hAnsi="標楷體"/>
          <w:sz w:val="28"/>
          <w:szCs w:val="28"/>
        </w:rPr>
        <w:tab/>
      </w:r>
      <w:r w:rsidRPr="00D65AED">
        <w:rPr>
          <w:rFonts w:ascii="標楷體" w:eastAsia="標楷體" w:hAnsi="標楷體" w:hint="eastAsia"/>
          <w:color w:val="000000"/>
          <w:sz w:val="28"/>
          <w:szCs w:val="28"/>
        </w:rPr>
        <w:t>李貴敏</w:t>
      </w:r>
      <w:r w:rsidRPr="00D65AED">
        <w:rPr>
          <w:rFonts w:ascii="標楷體" w:eastAsia="標楷體" w:hAnsi="標楷體"/>
          <w:color w:val="000000"/>
          <w:sz w:val="28"/>
          <w:szCs w:val="28"/>
        </w:rPr>
        <w:tab/>
      </w:r>
      <w:r w:rsidRPr="00D65AED">
        <w:rPr>
          <w:rFonts w:ascii="標楷體" w:eastAsia="標楷體" w:hAnsi="標楷體" w:hint="eastAsia"/>
          <w:color w:val="000000"/>
          <w:sz w:val="28"/>
          <w:szCs w:val="28"/>
        </w:rPr>
        <w:t>鍾佳濱</w:t>
      </w:r>
      <w:r w:rsidRPr="00D65AED">
        <w:rPr>
          <w:rFonts w:ascii="標楷體" w:eastAsia="標楷體" w:hAnsi="標楷體"/>
          <w:sz w:val="28"/>
          <w:szCs w:val="28"/>
        </w:rPr>
        <w:tab/>
      </w:r>
      <w:r w:rsidRPr="00D65AED">
        <w:rPr>
          <w:rFonts w:ascii="標楷體" w:eastAsia="標楷體" w:hAnsi="標楷體" w:hint="eastAsia"/>
          <w:spacing w:val="-8"/>
          <w:sz w:val="28"/>
          <w:szCs w:val="28"/>
        </w:rPr>
        <w:t>陳椒華</w:t>
      </w:r>
      <w:r w:rsidRPr="00D65AED">
        <w:rPr>
          <w:rFonts w:ascii="標楷體" w:eastAsia="標楷體" w:hAnsi="標楷體" w:hint="eastAsia"/>
          <w:spacing w:val="-8"/>
          <w:sz w:val="28"/>
          <w:szCs w:val="28"/>
        </w:rPr>
        <w:tab/>
      </w:r>
      <w:r w:rsidRPr="00D65AED">
        <w:rPr>
          <w:rFonts w:ascii="標楷體" w:eastAsia="標楷體" w:hAnsi="標楷體" w:hint="eastAsia"/>
          <w:sz w:val="28"/>
          <w:szCs w:val="28"/>
        </w:rPr>
        <w:t>吳玉琴</w:t>
      </w:r>
      <w:r w:rsidRPr="00D65AED">
        <w:rPr>
          <w:rFonts w:ascii="標楷體" w:eastAsia="標楷體" w:hAnsi="標楷體"/>
          <w:sz w:val="28"/>
          <w:szCs w:val="28"/>
        </w:rPr>
        <w:tab/>
        <w:t>李德維</w:t>
      </w:r>
      <w:r w:rsidRPr="00D65AED">
        <w:rPr>
          <w:rFonts w:ascii="標楷體" w:eastAsia="標楷體" w:hAnsi="標楷體"/>
          <w:sz w:val="28"/>
          <w:szCs w:val="28"/>
        </w:rPr>
        <w:tab/>
      </w:r>
    </w:p>
    <w:p w14:paraId="167978E9" w14:textId="77777777" w:rsidR="00421BB5" w:rsidRPr="00D65AED" w:rsidRDefault="00421BB5" w:rsidP="00421BB5">
      <w:pPr>
        <w:snapToGrid w:val="0"/>
        <w:spacing w:line="360" w:lineRule="exact"/>
        <w:ind w:firstLineChars="505" w:firstLine="1414"/>
        <w:rPr>
          <w:rFonts w:ascii="標楷體" w:eastAsia="標楷體" w:hAnsi="標楷體"/>
          <w:sz w:val="28"/>
          <w:szCs w:val="28"/>
        </w:rPr>
      </w:pPr>
      <w:r w:rsidRPr="00D65AED">
        <w:rPr>
          <w:rFonts w:ascii="標楷體" w:eastAsia="標楷體" w:hAnsi="標楷體"/>
          <w:sz w:val="28"/>
          <w:szCs w:val="28"/>
        </w:rPr>
        <w:t>鄭天財</w:t>
      </w:r>
      <w:r w:rsidRPr="00D65AED">
        <w:rPr>
          <w:rFonts w:ascii="標楷體" w:eastAsia="標楷體" w:hAnsi="標楷體"/>
          <w:w w:val="95"/>
          <w:sz w:val="28"/>
          <w:szCs w:val="28"/>
        </w:rPr>
        <w:t>Sra</w:t>
      </w:r>
      <w:r w:rsidRPr="00D65AED">
        <w:rPr>
          <w:rFonts w:ascii="標楷體" w:eastAsia="標楷體" w:hAnsi="標楷體" w:hint="eastAsia"/>
          <w:w w:val="95"/>
          <w:sz w:val="28"/>
          <w:szCs w:val="28"/>
        </w:rPr>
        <w:t xml:space="preserve"> </w:t>
      </w:r>
      <w:r w:rsidRPr="00D65AED">
        <w:rPr>
          <w:rFonts w:ascii="標楷體" w:eastAsia="標楷體" w:hAnsi="標楷體"/>
          <w:w w:val="95"/>
          <w:sz w:val="28"/>
          <w:szCs w:val="28"/>
        </w:rPr>
        <w:t>Kacaw</w:t>
      </w:r>
      <w:r w:rsidRPr="00D65AED">
        <w:rPr>
          <w:rFonts w:ascii="標楷體" w:eastAsia="標楷體" w:hAnsi="標楷體"/>
          <w:w w:val="95"/>
          <w:sz w:val="28"/>
          <w:szCs w:val="28"/>
        </w:rPr>
        <w:tab/>
      </w:r>
      <w:r w:rsidRPr="00D65AED">
        <w:rPr>
          <w:rFonts w:ascii="標楷體" w:eastAsia="標楷體" w:hAnsi="標楷體" w:hint="eastAsia"/>
          <w:w w:val="95"/>
          <w:sz w:val="28"/>
          <w:szCs w:val="28"/>
        </w:rPr>
        <w:t xml:space="preserve">   </w:t>
      </w:r>
      <w:r w:rsidRPr="00D65AED">
        <w:rPr>
          <w:rFonts w:ascii="標楷體" w:eastAsia="標楷體" w:hAnsi="標楷體" w:hint="eastAsia"/>
          <w:sz w:val="28"/>
          <w:szCs w:val="28"/>
        </w:rPr>
        <w:t>鄭正鈐</w:t>
      </w:r>
      <w:r w:rsidRPr="00D65AED">
        <w:rPr>
          <w:rFonts w:ascii="標楷體" w:eastAsia="標楷體" w:hAnsi="標楷體"/>
          <w:sz w:val="28"/>
          <w:szCs w:val="28"/>
        </w:rPr>
        <w:tab/>
      </w:r>
      <w:r w:rsidRPr="00D65AED">
        <w:rPr>
          <w:rFonts w:ascii="標楷體" w:eastAsia="標楷體" w:hAnsi="標楷體" w:hint="eastAsia"/>
          <w:sz w:val="28"/>
          <w:szCs w:val="28"/>
        </w:rPr>
        <w:t>謝衣鳯</w:t>
      </w:r>
      <w:r w:rsidRPr="00D65AED">
        <w:rPr>
          <w:rFonts w:ascii="標楷體" w:eastAsia="標楷體" w:hAnsi="標楷體"/>
          <w:sz w:val="28"/>
          <w:szCs w:val="28"/>
        </w:rPr>
        <w:tab/>
        <w:t>陳亭妃</w:t>
      </w:r>
      <w:r w:rsidRPr="00D65AED">
        <w:rPr>
          <w:rFonts w:ascii="標楷體" w:eastAsia="標楷體" w:hAnsi="標楷體"/>
          <w:sz w:val="28"/>
          <w:szCs w:val="28"/>
        </w:rPr>
        <w:tab/>
      </w:r>
      <w:r w:rsidRPr="00D65AED">
        <w:rPr>
          <w:rFonts w:ascii="標楷體" w:eastAsia="標楷體" w:hAnsi="標楷體" w:hint="eastAsia"/>
          <w:sz w:val="28"/>
          <w:szCs w:val="28"/>
        </w:rPr>
        <w:t>洪孟楷</w:t>
      </w:r>
    </w:p>
    <w:p w14:paraId="4D2045DB" w14:textId="77777777" w:rsidR="00421BB5" w:rsidRPr="00D65AED" w:rsidRDefault="00421BB5" w:rsidP="00421BB5">
      <w:pPr>
        <w:snapToGrid w:val="0"/>
        <w:spacing w:line="360" w:lineRule="exact"/>
        <w:ind w:firstLineChars="505" w:firstLine="1414"/>
        <w:rPr>
          <w:rFonts w:ascii="標楷體" w:eastAsia="標楷體" w:hAnsi="標楷體"/>
          <w:color w:val="000000"/>
          <w:sz w:val="28"/>
          <w:szCs w:val="28"/>
        </w:rPr>
      </w:pPr>
      <w:r w:rsidRPr="00D65AED">
        <w:rPr>
          <w:rFonts w:ascii="標楷體" w:eastAsia="標楷體" w:hAnsi="標楷體" w:hint="eastAsia"/>
          <w:sz w:val="28"/>
          <w:szCs w:val="28"/>
        </w:rPr>
        <w:t>高嘉瑜</w:t>
      </w:r>
      <w:r w:rsidRPr="00D65AED">
        <w:rPr>
          <w:rFonts w:ascii="標楷體" w:eastAsia="標楷體" w:hAnsi="標楷體"/>
          <w:sz w:val="28"/>
          <w:szCs w:val="28"/>
        </w:rPr>
        <w:tab/>
      </w:r>
      <w:r w:rsidRPr="00D65AED">
        <w:rPr>
          <w:rFonts w:ascii="標楷體" w:eastAsia="標楷體" w:hAnsi="標楷體" w:hint="eastAsia"/>
          <w:sz w:val="28"/>
          <w:szCs w:val="28"/>
        </w:rPr>
        <w:t>羅明才</w:t>
      </w:r>
      <w:r w:rsidRPr="00D65AED">
        <w:rPr>
          <w:rFonts w:ascii="標楷體" w:eastAsia="標楷體" w:hAnsi="標楷體"/>
          <w:sz w:val="28"/>
          <w:szCs w:val="28"/>
        </w:rPr>
        <w:tab/>
        <w:t>張其祿</w:t>
      </w:r>
      <w:r w:rsidRPr="00D65AED">
        <w:rPr>
          <w:rFonts w:ascii="標楷體" w:eastAsia="標楷體" w:hAnsi="標楷體"/>
          <w:sz w:val="28"/>
          <w:szCs w:val="28"/>
        </w:rPr>
        <w:tab/>
      </w:r>
      <w:r w:rsidRPr="00D65AED">
        <w:rPr>
          <w:rFonts w:ascii="標楷體" w:eastAsia="標楷體" w:hAnsi="標楷體" w:hint="eastAsia"/>
          <w:sz w:val="28"/>
          <w:szCs w:val="28"/>
        </w:rPr>
        <w:t>楊瓊瓔</w:t>
      </w:r>
    </w:p>
    <w:p w14:paraId="6A24B9C6" w14:textId="77777777" w:rsidR="00421BB5" w:rsidRPr="00D65AED" w:rsidRDefault="00421BB5" w:rsidP="00421BB5">
      <w:pPr>
        <w:snapToGrid w:val="0"/>
        <w:spacing w:line="360" w:lineRule="exact"/>
        <w:ind w:firstLineChars="505" w:firstLine="1414"/>
        <w:rPr>
          <w:rFonts w:ascii="標楷體" w:eastAsia="標楷體" w:hAnsi="標楷體"/>
          <w:sz w:val="28"/>
          <w:szCs w:val="28"/>
        </w:rPr>
      </w:pPr>
      <w:r w:rsidRPr="00D65AED">
        <w:rPr>
          <w:rFonts w:ascii="標楷體" w:eastAsia="標楷體" w:hAnsi="標楷體"/>
          <w:sz w:val="28"/>
          <w:szCs w:val="28"/>
        </w:rPr>
        <w:t>委員列席15人</w:t>
      </w:r>
    </w:p>
    <w:p w14:paraId="1DF7CB41" w14:textId="77777777" w:rsidR="00421BB5" w:rsidRPr="00D65AED" w:rsidRDefault="00421BB5" w:rsidP="00421BB5">
      <w:pPr>
        <w:widowControl/>
        <w:snapToGrid w:val="0"/>
        <w:spacing w:line="356" w:lineRule="exact"/>
        <w:jc w:val="both"/>
        <w:rPr>
          <w:rFonts w:ascii="標楷體" w:eastAsia="標楷體" w:hAnsi="標楷體"/>
          <w:sz w:val="28"/>
          <w:szCs w:val="28"/>
        </w:rPr>
      </w:pPr>
      <w:r w:rsidRPr="00D65AED">
        <w:rPr>
          <w:rFonts w:ascii="標楷體" w:eastAsia="標楷體" w:hAnsi="標楷體"/>
          <w:sz w:val="28"/>
          <w:szCs w:val="28"/>
        </w:rPr>
        <w:t>請假委員：</w:t>
      </w:r>
      <w:r w:rsidRPr="00D65AED">
        <w:rPr>
          <w:rFonts w:ascii="標楷體" w:eastAsia="標楷體" w:hAnsi="標楷體" w:hint="eastAsia"/>
          <w:sz w:val="28"/>
          <w:szCs w:val="28"/>
        </w:rPr>
        <w:t>周春米</w:t>
      </w:r>
    </w:p>
    <w:p w14:paraId="463D4CC9" w14:textId="77777777" w:rsidR="00421BB5" w:rsidRPr="00D65AED" w:rsidRDefault="00421BB5" w:rsidP="00421BB5">
      <w:pPr>
        <w:snapToGrid w:val="0"/>
        <w:spacing w:line="360" w:lineRule="exact"/>
        <w:ind w:firstLineChars="505" w:firstLine="1414"/>
        <w:rPr>
          <w:rFonts w:ascii="標楷體" w:eastAsia="標楷體" w:hAnsi="標楷體"/>
          <w:sz w:val="28"/>
          <w:szCs w:val="28"/>
        </w:rPr>
      </w:pPr>
      <w:r w:rsidRPr="00D65AED">
        <w:rPr>
          <w:rFonts w:ascii="標楷體" w:eastAsia="標楷體" w:hAnsi="標楷體"/>
          <w:sz w:val="28"/>
          <w:szCs w:val="28"/>
        </w:rPr>
        <w:t>委員請假1人</w:t>
      </w:r>
    </w:p>
    <w:p w14:paraId="38B7A27F" w14:textId="77777777" w:rsidR="00421BB5" w:rsidRPr="00D65AED" w:rsidRDefault="00421BB5" w:rsidP="00421BB5">
      <w:pPr>
        <w:adjustRightInd w:val="0"/>
        <w:snapToGrid w:val="0"/>
        <w:spacing w:line="360" w:lineRule="exact"/>
        <w:ind w:left="1361" w:hangingChars="486" w:hanging="1361"/>
        <w:jc w:val="both"/>
        <w:rPr>
          <w:rFonts w:ascii="標楷體" w:eastAsia="標楷體" w:hAnsi="標楷體"/>
          <w:kern w:val="0"/>
          <w:sz w:val="28"/>
          <w:szCs w:val="28"/>
        </w:rPr>
      </w:pPr>
      <w:r w:rsidRPr="00D65AED">
        <w:rPr>
          <w:rFonts w:ascii="標楷體" w:eastAsia="標楷體" w:hAnsi="標楷體"/>
          <w:sz w:val="28"/>
          <w:szCs w:val="28"/>
        </w:rPr>
        <w:t>列席官員：</w:t>
      </w:r>
      <w:r w:rsidRPr="00D65AED">
        <w:rPr>
          <w:rFonts w:ascii="標楷體" w:eastAsia="標楷體" w:hAnsi="標楷體"/>
          <w:kern w:val="0"/>
          <w:sz w:val="28"/>
          <w:szCs w:val="28"/>
        </w:rPr>
        <w:t>司法院秘書長</w:t>
      </w:r>
      <w:r w:rsidRPr="00D65AED">
        <w:rPr>
          <w:rFonts w:ascii="標楷體" w:eastAsia="標楷體" w:hAnsi="標楷體" w:hint="eastAsia"/>
          <w:kern w:val="0"/>
          <w:sz w:val="28"/>
          <w:szCs w:val="28"/>
        </w:rPr>
        <w:t xml:space="preserve">　林輝煌</w:t>
      </w:r>
    </w:p>
    <w:p w14:paraId="77E1B60E"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最高法院院長　吳燦</w:t>
      </w:r>
    </w:p>
    <w:p w14:paraId="291221B6"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最高行政法院院長　吳明鴻</w:t>
      </w:r>
    </w:p>
    <w:p w14:paraId="37A408E0"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懲戒法院院長　李伯道</w:t>
      </w:r>
    </w:p>
    <w:p w14:paraId="2AF55756"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法官學院院長　張升星</w:t>
      </w:r>
    </w:p>
    <w:p w14:paraId="21244F8B"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臺北高等行政法院院長　侯東昇</w:t>
      </w:r>
    </w:p>
    <w:p w14:paraId="090C3E0C"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臺中高等行政法院院長　沈應南</w:t>
      </w:r>
    </w:p>
    <w:p w14:paraId="35B50ED4"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高雄高等行政法院院長　蘇秋津</w:t>
      </w:r>
    </w:p>
    <w:p w14:paraId="7E06A4E4"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智慧財產及商業法院院長　陳駿璧</w:t>
      </w:r>
    </w:p>
    <w:p w14:paraId="5FF0C2C6"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臺灣高等法院院長　李彥文</w:t>
      </w:r>
    </w:p>
    <w:p w14:paraId="326D2130"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臺灣高等法院臺中分院院長　高金枝</w:t>
      </w:r>
    </w:p>
    <w:p w14:paraId="1F9F0090"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臺灣高等法院臺南分院院長　黃瑞華</w:t>
      </w:r>
    </w:p>
    <w:p w14:paraId="31E54AC9"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臺灣高等法院高雄分院院長　簡色嬌</w:t>
      </w:r>
    </w:p>
    <w:p w14:paraId="4472DCE2"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臺灣高等法院花蓮分院院長　陳真真</w:t>
      </w:r>
    </w:p>
    <w:p w14:paraId="0590981B"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福建高等法院金門分院院長　李文賢</w:t>
      </w:r>
    </w:p>
    <w:p w14:paraId="1727FAA9"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臺灣臺北地方法院院長　黃國忠</w:t>
      </w:r>
    </w:p>
    <w:p w14:paraId="73C7D75E"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臺灣士林地方法院院長　彭幸鳴</w:t>
      </w:r>
    </w:p>
    <w:p w14:paraId="549E3745"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臺灣新北地方法院院長　陳賢慧</w:t>
      </w:r>
    </w:p>
    <w:p w14:paraId="54BB314D"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臺灣桃園地方法院院長　李國增</w:t>
      </w:r>
    </w:p>
    <w:p w14:paraId="2C5F2BA5"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臺灣新竹地方法院院長　梁玉芬</w:t>
      </w:r>
    </w:p>
    <w:p w14:paraId="5A1A1628"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臺灣苗栗地方法院院長　陳雅玲</w:t>
      </w:r>
    </w:p>
    <w:p w14:paraId="35D0E5BB"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臺灣臺中地方法院院長　邱志平</w:t>
      </w:r>
    </w:p>
    <w:p w14:paraId="2A0A11AC"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臺灣南投地方法院院長　王邁揚</w:t>
      </w:r>
    </w:p>
    <w:p w14:paraId="5F54CC0C"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臺灣彰化地方法院院長　陳毓秀</w:t>
      </w:r>
    </w:p>
    <w:p w14:paraId="5324DD06"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臺灣雲林地方法院院長　劉長宜</w:t>
      </w:r>
    </w:p>
    <w:p w14:paraId="484001E6"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臺灣嘉義地方法院院長　胡文傑</w:t>
      </w:r>
    </w:p>
    <w:p w14:paraId="5A95C2C6"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lastRenderedPageBreak/>
        <w:t>臺灣臺南地方法院院長　董武全</w:t>
      </w:r>
    </w:p>
    <w:p w14:paraId="3E5E0730"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臺灣橋頭地方法院院長　黃莉雲</w:t>
      </w:r>
    </w:p>
    <w:p w14:paraId="38468D70"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臺灣高雄地方法院院長　蔡國卿</w:t>
      </w:r>
    </w:p>
    <w:p w14:paraId="05ACC2BB"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臺灣屏東地方法院院長　李淑惠</w:t>
      </w:r>
    </w:p>
    <w:p w14:paraId="4FB72685"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臺灣臺東地方法院院長　王漢章</w:t>
      </w:r>
    </w:p>
    <w:p w14:paraId="404DAB10"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臺灣花蓮地方法院院長　許仕楓</w:t>
      </w:r>
    </w:p>
    <w:p w14:paraId="7EA84A1E"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臺灣宜蘭地方法院院長　莊深淵</w:t>
      </w:r>
    </w:p>
    <w:p w14:paraId="193061C7"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臺灣基隆地方法院院長　李麗玲</w:t>
      </w:r>
    </w:p>
    <w:p w14:paraId="7023D2F3"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臺灣澎湖地方法院院長　李昭彥</w:t>
      </w:r>
    </w:p>
    <w:p w14:paraId="2960B54E"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臺灣高雄少年及家事法院院長　鍾宗霖</w:t>
      </w:r>
    </w:p>
    <w:p w14:paraId="7E184314"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福建金門地方法院院長　陳弘能</w:t>
      </w:r>
    </w:p>
    <w:p w14:paraId="03D25CFE"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福建連江地方法院院長　卓進仕</w:t>
      </w:r>
    </w:p>
    <w:p w14:paraId="3846202A"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財團法人法律扶助基金會董事長　陳碧玉</w:t>
      </w:r>
    </w:p>
    <w:p w14:paraId="754CC552" w14:textId="77777777" w:rsidR="00421BB5" w:rsidRPr="00D65AED" w:rsidRDefault="00421BB5" w:rsidP="00421BB5">
      <w:pPr>
        <w:adjustRightInd w:val="0"/>
        <w:snapToGrid w:val="0"/>
        <w:spacing w:line="360" w:lineRule="exact"/>
        <w:ind w:leftChars="1322" w:left="4534"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ab/>
        <w:t>執行長　周漢威</w:t>
      </w:r>
    </w:p>
    <w:p w14:paraId="1D3AC15E" w14:textId="77777777" w:rsidR="00421BB5" w:rsidRPr="00D65AED" w:rsidRDefault="00421BB5" w:rsidP="00421BB5">
      <w:pPr>
        <w:adjustRightInd w:val="0"/>
        <w:snapToGrid w:val="0"/>
        <w:spacing w:line="360" w:lineRule="exact"/>
        <w:ind w:leftChars="600" w:left="2801" w:hangingChars="486" w:hanging="1361"/>
        <w:jc w:val="both"/>
        <w:rPr>
          <w:rFonts w:ascii="標楷體" w:eastAsia="標楷體" w:hAnsi="標楷體"/>
          <w:kern w:val="0"/>
          <w:sz w:val="28"/>
          <w:szCs w:val="28"/>
        </w:rPr>
      </w:pPr>
      <w:r w:rsidRPr="00D65AED">
        <w:rPr>
          <w:rFonts w:ascii="標楷體" w:eastAsia="標楷體" w:hAnsi="標楷體" w:hint="eastAsia"/>
          <w:kern w:val="0"/>
          <w:sz w:val="28"/>
          <w:szCs w:val="28"/>
        </w:rPr>
        <w:t>行政院主計總處公務預算處專門委員　李翊柔</w:t>
      </w:r>
    </w:p>
    <w:p w14:paraId="7219003F" w14:textId="77777777" w:rsidR="00421BB5" w:rsidRPr="00D65AED" w:rsidRDefault="00421BB5" w:rsidP="00421BB5">
      <w:pPr>
        <w:adjustRightInd w:val="0"/>
        <w:snapToGrid w:val="0"/>
        <w:spacing w:line="360" w:lineRule="exact"/>
        <w:ind w:leftChars="1167" w:left="2801" w:firstLineChars="214" w:firstLine="599"/>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基金預算處科長　</w:t>
      </w:r>
      <w:r w:rsidRPr="00D65AED">
        <w:rPr>
          <w:rFonts w:ascii="標楷體" w:eastAsia="標楷體" w:hAnsi="標楷體" w:hint="eastAsia"/>
          <w:sz w:val="28"/>
          <w:szCs w:val="28"/>
        </w:rPr>
        <w:t>江衍陞</w:t>
      </w:r>
    </w:p>
    <w:p w14:paraId="442B6D91"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主    席：</w:t>
      </w:r>
      <w:r w:rsidRPr="00D65AED">
        <w:rPr>
          <w:rFonts w:ascii="標楷體" w:hAnsi="標楷體" w:hint="eastAsia"/>
          <w:sz w:val="28"/>
          <w:szCs w:val="28"/>
        </w:rPr>
        <w:t>陳召集委員歐珀</w:t>
      </w:r>
    </w:p>
    <w:p w14:paraId="5117371B"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sz w:val="28"/>
          <w:szCs w:val="28"/>
        </w:rPr>
        <w:t>專門委員：</w:t>
      </w:r>
      <w:r w:rsidRPr="00D65AED">
        <w:rPr>
          <w:rFonts w:ascii="標楷體" w:eastAsia="標楷體" w:hAnsi="標楷體" w:hint="eastAsia"/>
          <w:sz w:val="28"/>
          <w:szCs w:val="28"/>
        </w:rPr>
        <w:t>梁雯璍</w:t>
      </w:r>
    </w:p>
    <w:p w14:paraId="02A9E213" w14:textId="77777777" w:rsidR="00421BB5" w:rsidRPr="00D65AED" w:rsidRDefault="00421BB5" w:rsidP="00421BB5">
      <w:pPr>
        <w:tabs>
          <w:tab w:val="left" w:pos="1580"/>
        </w:tabs>
        <w:spacing w:line="360" w:lineRule="exact"/>
        <w:jc w:val="both"/>
        <w:rPr>
          <w:rFonts w:ascii="標楷體" w:eastAsia="標楷體" w:hAnsi="標楷體"/>
          <w:sz w:val="28"/>
          <w:szCs w:val="28"/>
        </w:rPr>
      </w:pPr>
      <w:r w:rsidRPr="00D65AED">
        <w:rPr>
          <w:rFonts w:ascii="標楷體" w:eastAsia="標楷體" w:hAnsi="標楷體"/>
          <w:sz w:val="28"/>
          <w:szCs w:val="28"/>
        </w:rPr>
        <w:t>主任秘書：</w:t>
      </w:r>
      <w:r w:rsidRPr="00D65AED">
        <w:rPr>
          <w:rFonts w:ascii="標楷體" w:eastAsia="標楷體" w:hAnsi="標楷體" w:hint="eastAsia"/>
          <w:sz w:val="28"/>
          <w:szCs w:val="28"/>
        </w:rPr>
        <w:t>張智為</w:t>
      </w:r>
    </w:p>
    <w:p w14:paraId="4A52AF85" w14:textId="77777777" w:rsidR="00421BB5" w:rsidRPr="00D65AED" w:rsidRDefault="00421BB5" w:rsidP="00421BB5">
      <w:pPr>
        <w:tabs>
          <w:tab w:val="left" w:pos="2460"/>
        </w:tabs>
        <w:spacing w:line="360" w:lineRule="exact"/>
        <w:ind w:firstLineChars="10" w:firstLine="28"/>
        <w:jc w:val="both"/>
        <w:rPr>
          <w:rFonts w:ascii="標楷體" w:eastAsia="標楷體" w:hAnsi="標楷體"/>
          <w:sz w:val="28"/>
          <w:szCs w:val="28"/>
        </w:rPr>
      </w:pPr>
      <w:r w:rsidRPr="00D65AED">
        <w:rPr>
          <w:rFonts w:ascii="標楷體" w:eastAsia="標楷體" w:hAnsi="標楷體"/>
          <w:sz w:val="28"/>
          <w:szCs w:val="28"/>
        </w:rPr>
        <w:t>紀    錄：簡任秘書</w:t>
      </w:r>
      <w:r w:rsidRPr="00D65AED">
        <w:rPr>
          <w:rFonts w:ascii="標楷體" w:eastAsia="標楷體" w:hAnsi="標楷體" w:hint="eastAsia"/>
          <w:sz w:val="28"/>
          <w:szCs w:val="28"/>
        </w:rPr>
        <w:t xml:space="preserve">　陳杏枝</w:t>
      </w:r>
    </w:p>
    <w:p w14:paraId="61245922" w14:textId="77777777" w:rsidR="00421BB5" w:rsidRPr="00D65AED" w:rsidRDefault="00421BB5" w:rsidP="00421BB5">
      <w:pPr>
        <w:tabs>
          <w:tab w:val="left" w:pos="2460"/>
        </w:tabs>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簡任編審</w:t>
      </w:r>
      <w:r w:rsidRPr="00D65AED">
        <w:rPr>
          <w:rFonts w:ascii="標楷體" w:eastAsia="標楷體" w:hAnsi="標楷體" w:hint="eastAsia"/>
          <w:sz w:val="28"/>
          <w:szCs w:val="28"/>
        </w:rPr>
        <w:t xml:space="preserve">　薛復寧</w:t>
      </w:r>
    </w:p>
    <w:p w14:paraId="4A7C59B3" w14:textId="77777777" w:rsidR="00421BB5" w:rsidRPr="00D65AED" w:rsidRDefault="00421BB5" w:rsidP="00421BB5">
      <w:pPr>
        <w:spacing w:line="360" w:lineRule="exact"/>
        <w:ind w:firstLineChars="506" w:firstLine="1417"/>
        <w:jc w:val="both"/>
        <w:rPr>
          <w:rFonts w:ascii="標楷體" w:eastAsia="標楷體" w:hAnsi="標楷體"/>
          <w:sz w:val="28"/>
          <w:szCs w:val="28"/>
        </w:rPr>
      </w:pPr>
      <w:r w:rsidRPr="00D65AED">
        <w:rPr>
          <w:rFonts w:ascii="標楷體" w:eastAsia="標楷體" w:hAnsi="標楷體"/>
          <w:sz w:val="28"/>
          <w:szCs w:val="28"/>
        </w:rPr>
        <w:t>科</w:t>
      </w:r>
      <w:r w:rsidRPr="00D65AED">
        <w:rPr>
          <w:rFonts w:ascii="標楷體" w:eastAsia="標楷體" w:hAnsi="標楷體" w:hint="eastAsia"/>
          <w:sz w:val="28"/>
          <w:szCs w:val="28"/>
        </w:rPr>
        <w:t xml:space="preserve">　　</w:t>
      </w:r>
      <w:r w:rsidRPr="00D65AED">
        <w:rPr>
          <w:rFonts w:ascii="標楷體" w:eastAsia="標楷體" w:hAnsi="標楷體"/>
          <w:sz w:val="28"/>
          <w:szCs w:val="28"/>
        </w:rPr>
        <w:t>長</w:t>
      </w:r>
      <w:r w:rsidRPr="00D65AED">
        <w:rPr>
          <w:rFonts w:ascii="標楷體" w:eastAsia="標楷體" w:hAnsi="標楷體" w:hint="eastAsia"/>
          <w:sz w:val="28"/>
          <w:szCs w:val="28"/>
        </w:rPr>
        <w:t xml:space="preserve">　鮑夏明</w:t>
      </w:r>
    </w:p>
    <w:p w14:paraId="1F89F488" w14:textId="77777777" w:rsidR="00421BB5" w:rsidRPr="00D65AED" w:rsidRDefault="00421BB5" w:rsidP="00421BB5">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D65AED">
        <w:rPr>
          <w:rFonts w:ascii="標楷體" w:eastAsia="標楷體" w:hAnsi="標楷體"/>
          <w:b/>
          <w:kern w:val="0"/>
          <w:sz w:val="28"/>
          <w:szCs w:val="28"/>
        </w:rPr>
        <w:t>報告事項</w:t>
      </w:r>
    </w:p>
    <w:p w14:paraId="0A76CA58" w14:textId="77777777" w:rsidR="00421BB5" w:rsidRPr="00D65AED" w:rsidRDefault="00421BB5" w:rsidP="00421BB5">
      <w:pPr>
        <w:tabs>
          <w:tab w:val="left" w:pos="574"/>
          <w:tab w:val="left" w:pos="602"/>
          <w:tab w:val="left" w:pos="709"/>
        </w:tabs>
        <w:autoSpaceDE w:val="0"/>
        <w:autoSpaceDN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一、宣讀上次會議議事錄。</w:t>
      </w:r>
    </w:p>
    <w:p w14:paraId="0A3D49A5" w14:textId="77777777" w:rsidR="00421BB5" w:rsidRPr="00D65AED" w:rsidRDefault="00421BB5" w:rsidP="00421BB5">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D65AED">
        <w:rPr>
          <w:rFonts w:ascii="標楷體" w:eastAsia="標楷體" w:hAnsi="標楷體" w:hint="eastAsia"/>
          <w:color w:val="000000"/>
          <w:sz w:val="28"/>
          <w:szCs w:val="28"/>
        </w:rPr>
        <w:t>決定：確定。</w:t>
      </w:r>
    </w:p>
    <w:p w14:paraId="6C3EF0D7" w14:textId="77777777" w:rsidR="00421BB5" w:rsidRPr="00D65AED" w:rsidRDefault="00421BB5" w:rsidP="00421BB5">
      <w:pPr>
        <w:kinsoku w:val="0"/>
        <w:overflowPunct w:val="0"/>
        <w:autoSpaceDE w:val="0"/>
        <w:autoSpaceDN w:val="0"/>
        <w:adjustRightInd w:val="0"/>
        <w:snapToGrid w:val="0"/>
        <w:spacing w:line="360" w:lineRule="exact"/>
        <w:ind w:left="560" w:hangingChars="200" w:hanging="560"/>
        <w:jc w:val="both"/>
        <w:rPr>
          <w:rFonts w:ascii="標楷體" w:eastAsia="標楷體" w:hAnsi="標楷體"/>
        </w:rPr>
      </w:pPr>
      <w:r w:rsidRPr="00D65AED">
        <w:rPr>
          <w:rFonts w:ascii="標楷體" w:eastAsia="標楷體" w:hAnsi="標楷體" w:hint="eastAsia"/>
          <w:color w:val="000000"/>
          <w:sz w:val="28"/>
          <w:szCs w:val="28"/>
        </w:rPr>
        <w:t>二、邀請司法院秘書長列席說明立法計畫，並備質詢。</w:t>
      </w:r>
    </w:p>
    <w:p w14:paraId="45AA6742" w14:textId="77777777" w:rsidR="00421BB5" w:rsidRPr="00D65AED" w:rsidRDefault="00421BB5" w:rsidP="00421BB5">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D65AED">
        <w:rPr>
          <w:rFonts w:ascii="標楷體" w:eastAsia="標楷體" w:hAnsi="標楷體" w:hint="eastAsia"/>
          <w:color w:val="000000"/>
          <w:sz w:val="28"/>
          <w:szCs w:val="28"/>
        </w:rPr>
        <w:t>決定：報告及詢答完畢。</w:t>
      </w:r>
    </w:p>
    <w:p w14:paraId="35483242" w14:textId="77777777" w:rsidR="00421BB5" w:rsidRPr="00D65AED" w:rsidRDefault="00421BB5" w:rsidP="00421BB5">
      <w:pPr>
        <w:pStyle w:val="afffff2"/>
        <w:spacing w:beforeLines="30" w:before="108"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2DBCDB4E" w14:textId="77777777" w:rsidR="00421BB5" w:rsidRPr="00D65AED" w:rsidRDefault="00421BB5" w:rsidP="007015C7">
      <w:pPr>
        <w:numPr>
          <w:ilvl w:val="0"/>
          <w:numId w:val="21"/>
        </w:numPr>
        <w:adjustRightInd w:val="0"/>
        <w:snapToGrid w:val="0"/>
        <w:spacing w:line="360" w:lineRule="exact"/>
        <w:ind w:left="567" w:hanging="567"/>
        <w:jc w:val="both"/>
        <w:rPr>
          <w:rFonts w:ascii="標楷體" w:eastAsia="標楷體" w:hAnsi="標楷體"/>
          <w:sz w:val="28"/>
          <w:szCs w:val="28"/>
        </w:rPr>
      </w:pPr>
      <w:r w:rsidRPr="00D65AED">
        <w:rPr>
          <w:rFonts w:ascii="標楷體" w:eastAsia="標楷體" w:hAnsi="標楷體" w:hint="eastAsia"/>
          <w:sz w:val="28"/>
          <w:szCs w:val="28"/>
        </w:rPr>
        <w:t>審查112年度中央政府總預算案關於司法院及所屬主管收支部分。</w:t>
      </w:r>
    </w:p>
    <w:p w14:paraId="41360432" w14:textId="77777777" w:rsidR="00421BB5" w:rsidRPr="00D65AED" w:rsidRDefault="00421BB5" w:rsidP="007015C7">
      <w:pPr>
        <w:numPr>
          <w:ilvl w:val="0"/>
          <w:numId w:val="21"/>
        </w:numPr>
        <w:adjustRightInd w:val="0"/>
        <w:snapToGrid w:val="0"/>
        <w:spacing w:line="360" w:lineRule="exact"/>
        <w:jc w:val="distribute"/>
        <w:rPr>
          <w:rFonts w:ascii="標楷體" w:eastAsia="標楷體" w:hAnsi="標楷體"/>
          <w:sz w:val="28"/>
          <w:szCs w:val="28"/>
        </w:rPr>
      </w:pPr>
      <w:r w:rsidRPr="00D65AED">
        <w:rPr>
          <w:rFonts w:ascii="標楷體" w:eastAsia="標楷體" w:hAnsi="標楷體" w:hint="eastAsia"/>
          <w:spacing w:val="-20"/>
          <w:sz w:val="28"/>
          <w:szCs w:val="28"/>
        </w:rPr>
        <w:t>審查司法院函送財團法人法律扶助基金會112年度預算書案。</w:t>
      </w:r>
    </w:p>
    <w:p w14:paraId="504BC93B" w14:textId="77777777" w:rsidR="00421BB5" w:rsidRPr="00D65AED" w:rsidRDefault="00421BB5" w:rsidP="00421BB5">
      <w:pPr>
        <w:autoSpaceDN w:val="0"/>
        <w:spacing w:line="360" w:lineRule="exact"/>
        <w:ind w:left="280" w:hangingChars="100" w:hanging="280"/>
        <w:jc w:val="both"/>
        <w:rPr>
          <w:rFonts w:ascii="標楷體" w:eastAsia="標楷體" w:hAnsi="標楷體"/>
          <w:spacing w:val="-8"/>
          <w:sz w:val="28"/>
          <w:szCs w:val="28"/>
        </w:rPr>
      </w:pPr>
      <w:r w:rsidRPr="00D65AED">
        <w:rPr>
          <w:rFonts w:ascii="標楷體" w:eastAsia="標楷體" w:hAnsi="標楷體" w:hint="eastAsia"/>
          <w:sz w:val="28"/>
          <w:szCs w:val="28"/>
        </w:rPr>
        <w:t>（</w:t>
      </w:r>
      <w:r w:rsidRPr="00D65AED">
        <w:rPr>
          <w:rFonts w:ascii="標楷體" w:eastAsia="標楷體" w:hAnsi="標楷體" w:hint="eastAsia"/>
          <w:spacing w:val="-8"/>
          <w:sz w:val="28"/>
          <w:szCs w:val="28"/>
        </w:rPr>
        <w:t>本次會議有委員游毓蘭、黃世杰、陳歐珀、江永昌、林思銘、曾銘宗、</w:t>
      </w:r>
    </w:p>
    <w:p w14:paraId="0673B8D3" w14:textId="77777777" w:rsidR="00421BB5" w:rsidRPr="00D65AED" w:rsidRDefault="00421BB5" w:rsidP="00421BB5">
      <w:pPr>
        <w:kinsoku w:val="0"/>
        <w:overflowPunct w:val="0"/>
        <w:autoSpaceDE w:val="0"/>
        <w:autoSpaceDN w:val="0"/>
        <w:spacing w:line="360" w:lineRule="exact"/>
        <w:ind w:leftChars="116" w:left="278" w:firstLineChars="1" w:firstLine="3"/>
        <w:jc w:val="both"/>
        <w:rPr>
          <w:rFonts w:ascii="標楷體" w:eastAsia="標楷體" w:hAnsi="標楷體"/>
          <w:sz w:val="28"/>
          <w:szCs w:val="28"/>
        </w:rPr>
      </w:pPr>
      <w:r w:rsidRPr="00D65AED">
        <w:rPr>
          <w:rFonts w:ascii="標楷體" w:eastAsia="標楷體" w:hAnsi="標楷體" w:hint="eastAsia"/>
          <w:sz w:val="28"/>
          <w:szCs w:val="28"/>
        </w:rPr>
        <w:t>洪孟楷</w:t>
      </w:r>
      <w:r w:rsidRPr="00D65AED">
        <w:rPr>
          <w:rFonts w:ascii="標楷體" w:eastAsia="標楷體" w:hAnsi="標楷體" w:hint="eastAsia"/>
          <w:spacing w:val="-8"/>
          <w:sz w:val="28"/>
          <w:szCs w:val="28"/>
        </w:rPr>
        <w:t>、</w:t>
      </w:r>
      <w:r w:rsidRPr="00D65AED">
        <w:rPr>
          <w:rFonts w:ascii="標楷體" w:eastAsia="標楷體" w:hAnsi="標楷體" w:hint="eastAsia"/>
          <w:sz w:val="28"/>
          <w:szCs w:val="28"/>
        </w:rPr>
        <w:t>林德福</w:t>
      </w:r>
      <w:r w:rsidRPr="00D65AED">
        <w:rPr>
          <w:rFonts w:ascii="標楷體" w:eastAsia="標楷體" w:hAnsi="標楷體" w:hint="eastAsia"/>
          <w:spacing w:val="-8"/>
          <w:sz w:val="28"/>
          <w:szCs w:val="28"/>
        </w:rPr>
        <w:t>、吳玉琴、李貴敏、劉建國、</w:t>
      </w:r>
      <w:r w:rsidRPr="00D65AED">
        <w:rPr>
          <w:rFonts w:ascii="標楷體" w:eastAsia="標楷體" w:hAnsi="標楷體" w:hint="eastAsia"/>
          <w:sz w:val="28"/>
          <w:szCs w:val="28"/>
        </w:rPr>
        <w:t>楊瓊瓔、</w:t>
      </w:r>
      <w:r w:rsidRPr="00D65AED">
        <w:rPr>
          <w:rFonts w:ascii="標楷體" w:eastAsia="標楷體" w:hAnsi="標楷體" w:hint="eastAsia"/>
          <w:spacing w:val="-20"/>
          <w:sz w:val="28"/>
          <w:szCs w:val="28"/>
          <w:shd w:val="clear" w:color="auto" w:fill="FFFFFF"/>
        </w:rPr>
        <w:t>鄭天財</w:t>
      </w:r>
      <w:r w:rsidRPr="00D65AED">
        <w:rPr>
          <w:rFonts w:ascii="標楷體" w:eastAsia="標楷體" w:hAnsi="標楷體" w:hint="eastAsia"/>
          <w:spacing w:val="-40"/>
          <w:sz w:val="28"/>
          <w:szCs w:val="28"/>
          <w:shd w:val="clear" w:color="auto" w:fill="FFFFFF"/>
        </w:rPr>
        <w:t>Sra Kacaw、</w:t>
      </w:r>
      <w:r w:rsidRPr="00D65AED">
        <w:rPr>
          <w:rFonts w:ascii="標楷體" w:eastAsia="標楷體" w:hAnsi="標楷體" w:hint="eastAsia"/>
          <w:spacing w:val="-8"/>
          <w:sz w:val="28"/>
          <w:szCs w:val="28"/>
        </w:rPr>
        <w:t>陳以信、</w:t>
      </w:r>
      <w:r w:rsidRPr="00D65AED">
        <w:rPr>
          <w:rFonts w:ascii="標楷體" w:eastAsia="標楷體" w:hAnsi="標楷體" w:hint="eastAsia"/>
          <w:sz w:val="28"/>
          <w:szCs w:val="28"/>
        </w:rPr>
        <w:t>高嘉瑜</w:t>
      </w:r>
      <w:r w:rsidRPr="00D65AED">
        <w:rPr>
          <w:rFonts w:ascii="標楷體" w:eastAsia="標楷體" w:hAnsi="標楷體" w:hint="eastAsia"/>
          <w:spacing w:val="-8"/>
          <w:sz w:val="28"/>
          <w:szCs w:val="28"/>
        </w:rPr>
        <w:t>、</w:t>
      </w:r>
      <w:r w:rsidRPr="00D65AED">
        <w:rPr>
          <w:rFonts w:ascii="標楷體" w:eastAsia="標楷體" w:hAnsi="標楷體"/>
          <w:sz w:val="28"/>
          <w:szCs w:val="28"/>
        </w:rPr>
        <w:t>李德維</w:t>
      </w:r>
      <w:r w:rsidRPr="00D65AED">
        <w:rPr>
          <w:rFonts w:ascii="標楷體" w:eastAsia="標楷體" w:hAnsi="標楷體" w:hint="eastAsia"/>
          <w:spacing w:val="-8"/>
          <w:sz w:val="28"/>
          <w:szCs w:val="28"/>
        </w:rPr>
        <w:t>、</w:t>
      </w:r>
      <w:r w:rsidRPr="00D65AED">
        <w:rPr>
          <w:rFonts w:ascii="標楷體" w:eastAsia="標楷體" w:hAnsi="標楷體"/>
          <w:sz w:val="28"/>
          <w:szCs w:val="28"/>
        </w:rPr>
        <w:t>張其祿</w:t>
      </w:r>
      <w:r w:rsidRPr="00D65AED">
        <w:rPr>
          <w:rFonts w:ascii="標楷體" w:eastAsia="標楷體" w:hAnsi="標楷體" w:hint="eastAsia"/>
          <w:spacing w:val="-8"/>
          <w:sz w:val="28"/>
          <w:szCs w:val="28"/>
        </w:rPr>
        <w:t>、陳椒華</w:t>
      </w:r>
      <w:r w:rsidRPr="00D65AED">
        <w:rPr>
          <w:rFonts w:ascii="標楷體" w:eastAsia="標楷體" w:hAnsi="標楷體"/>
          <w:sz w:val="28"/>
          <w:szCs w:val="28"/>
          <w:shd w:val="clear" w:color="auto" w:fill="FFFFFF"/>
        </w:rPr>
        <w:t>提出質詢</w:t>
      </w:r>
      <w:r w:rsidRPr="00D65AED">
        <w:rPr>
          <w:rFonts w:ascii="標楷體" w:eastAsia="標楷體" w:hAnsi="標楷體" w:hint="eastAsia"/>
          <w:sz w:val="28"/>
          <w:szCs w:val="28"/>
          <w:shd w:val="clear" w:color="auto" w:fill="FFFFFF"/>
        </w:rPr>
        <w:t>；</w:t>
      </w:r>
      <w:r w:rsidRPr="00D65AED">
        <w:rPr>
          <w:rFonts w:ascii="標楷體" w:eastAsia="標楷體" w:hAnsi="標楷體" w:hint="eastAsia"/>
          <w:spacing w:val="-8"/>
          <w:sz w:val="28"/>
          <w:szCs w:val="28"/>
        </w:rPr>
        <w:t>委員鄭運鵬、林思銘、周春米、陳玉珍提</w:t>
      </w:r>
      <w:r w:rsidRPr="00D65AED">
        <w:rPr>
          <w:rFonts w:ascii="標楷體" w:eastAsia="標楷體" w:hAnsi="標楷體" w:hint="eastAsia"/>
          <w:sz w:val="28"/>
          <w:szCs w:val="28"/>
          <w:shd w:val="clear" w:color="auto" w:fill="FFFFFF"/>
        </w:rPr>
        <w:t>出</w:t>
      </w:r>
      <w:r w:rsidRPr="00D65AED">
        <w:rPr>
          <w:rFonts w:ascii="標楷體" w:eastAsia="標楷體" w:hAnsi="標楷體" w:hint="eastAsia"/>
          <w:sz w:val="28"/>
          <w:szCs w:val="28"/>
        </w:rPr>
        <w:t>書面質詢。）</w:t>
      </w:r>
    </w:p>
    <w:p w14:paraId="208628B5" w14:textId="77777777" w:rsidR="00421BB5" w:rsidRPr="00D65AED" w:rsidRDefault="00421BB5" w:rsidP="00421BB5">
      <w:pPr>
        <w:spacing w:line="360" w:lineRule="exact"/>
        <w:contextualSpacing/>
        <w:rPr>
          <w:rFonts w:ascii="標楷體" w:eastAsia="標楷體" w:hAnsi="標楷體"/>
          <w:sz w:val="28"/>
          <w:szCs w:val="28"/>
        </w:rPr>
      </w:pPr>
      <w:r w:rsidRPr="00D65AED">
        <w:rPr>
          <w:rFonts w:ascii="標楷體" w:eastAsia="標楷體" w:hAnsi="標楷體" w:hint="eastAsia"/>
          <w:sz w:val="28"/>
          <w:szCs w:val="28"/>
        </w:rPr>
        <w:t>決議：</w:t>
      </w:r>
    </w:p>
    <w:p w14:paraId="55D4681E"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一、報告及詢答完畢。</w:t>
      </w:r>
    </w:p>
    <w:p w14:paraId="50AB21DC" w14:textId="77777777" w:rsidR="00421BB5" w:rsidRPr="00D65AED" w:rsidRDefault="00421BB5" w:rsidP="00421BB5">
      <w:pPr>
        <w:pStyle w:val="2-1"/>
        <w:ind w:leftChars="0" w:left="448" w:hangingChars="160" w:hanging="448"/>
        <w:rPr>
          <w:kern w:val="0"/>
        </w:rPr>
      </w:pPr>
      <w:r w:rsidRPr="00D65AED">
        <w:rPr>
          <w:rFonts w:hint="eastAsia"/>
          <w:kern w:val="0"/>
        </w:rPr>
        <w:t>二、第一案及第二案，均另定期繼續審查。</w:t>
      </w:r>
    </w:p>
    <w:p w14:paraId="503EE264"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三、委員質詢時，要求提供相關資料或以書面答復者，請相關機關儘</w:t>
      </w:r>
      <w:r w:rsidRPr="00D65AED">
        <w:rPr>
          <w:rFonts w:ascii="標楷體" w:eastAsia="標楷體" w:hAnsi="標楷體" w:hint="eastAsia"/>
          <w:sz w:val="28"/>
          <w:szCs w:val="28"/>
        </w:rPr>
        <w:lastRenderedPageBreak/>
        <w:t>速送交個別委員及本會。</w:t>
      </w:r>
    </w:p>
    <w:p w14:paraId="177FFEA2"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四、審查會委員針對本日議程所列討論事項第一案及第二案之預算提案，請於11月16日(星期三)下午5時前送交本會，逾時不予受理。</w:t>
      </w:r>
    </w:p>
    <w:p w14:paraId="24583A56"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67C2B288" w14:textId="77777777" w:rsidR="00421BB5" w:rsidRPr="00D65AED" w:rsidRDefault="00421BB5" w:rsidP="00421BB5">
      <w:pPr>
        <w:pStyle w:val="2-1"/>
        <w:ind w:leftChars="0" w:left="448" w:hangingChars="160" w:hanging="448"/>
        <w:rPr>
          <w:b/>
          <w:kern w:val="0"/>
        </w:rPr>
      </w:pPr>
    </w:p>
    <w:p w14:paraId="3347FB93" w14:textId="77777777" w:rsidR="00421BB5" w:rsidRPr="00D65AED" w:rsidRDefault="00421BB5" w:rsidP="00421BB5">
      <w:pPr>
        <w:pStyle w:val="2-1"/>
        <w:ind w:leftChars="0" w:left="0" w:firstLineChars="160" w:firstLine="448"/>
        <w:rPr>
          <w:b/>
          <w:kern w:val="0"/>
        </w:rPr>
      </w:pPr>
    </w:p>
    <w:p w14:paraId="6B8B0D04" w14:textId="77777777" w:rsidR="00421BB5" w:rsidRPr="00D65AED" w:rsidRDefault="00421BB5">
      <w:pPr>
        <w:widowControl/>
        <w:rPr>
          <w:rFonts w:ascii="標楷體" w:eastAsia="標楷體" w:hAnsi="標楷體"/>
          <w:b/>
          <w:kern w:val="0"/>
          <w:sz w:val="28"/>
          <w:szCs w:val="28"/>
        </w:rPr>
      </w:pPr>
    </w:p>
    <w:p w14:paraId="507F51C1"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w:t>
      </w:r>
      <w:r w:rsidRPr="00D65AED">
        <w:rPr>
          <w:rFonts w:ascii="標楷體" w:eastAsia="標楷體" w:hAnsi="標楷體"/>
          <w:b/>
          <w:spacing w:val="-4"/>
          <w:sz w:val="28"/>
          <w:szCs w:val="28"/>
        </w:rPr>
        <w:t>16</w:t>
      </w:r>
      <w:r w:rsidRPr="00D65AED">
        <w:rPr>
          <w:rFonts w:ascii="標楷體" w:eastAsia="標楷體" w:hAnsi="標楷體" w:hint="eastAsia"/>
          <w:b/>
          <w:spacing w:val="-4"/>
          <w:sz w:val="28"/>
          <w:szCs w:val="28"/>
        </w:rPr>
        <w:t>次全體委員會議議事錄</w:t>
      </w:r>
    </w:p>
    <w:p w14:paraId="3F704A55" w14:textId="77777777" w:rsidR="00421BB5" w:rsidRPr="00D65AED" w:rsidRDefault="00421BB5" w:rsidP="00421BB5">
      <w:pPr>
        <w:pStyle w:val="-9"/>
        <w:spacing w:line="360" w:lineRule="exact"/>
        <w:ind w:left="1417" w:hangingChars="506" w:hanging="1417"/>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677A59">
        <w:rPr>
          <w:rFonts w:ascii="標楷體" w:hAnsi="標楷體" w:hint="eastAsia"/>
          <w:spacing w:val="-10"/>
          <w:sz w:val="28"/>
          <w:szCs w:val="28"/>
        </w:rPr>
        <w:t>中華民國1</w:t>
      </w:r>
      <w:r w:rsidRPr="00677A59">
        <w:rPr>
          <w:rFonts w:ascii="標楷體" w:hAnsi="標楷體"/>
          <w:spacing w:val="-10"/>
          <w:sz w:val="28"/>
          <w:szCs w:val="28"/>
        </w:rPr>
        <w:t>11</w:t>
      </w:r>
      <w:r w:rsidRPr="00677A59">
        <w:rPr>
          <w:rFonts w:ascii="標楷體" w:hAnsi="標楷體" w:hint="eastAsia"/>
          <w:spacing w:val="-10"/>
          <w:sz w:val="28"/>
          <w:szCs w:val="28"/>
        </w:rPr>
        <w:t>年11月</w:t>
      </w:r>
      <w:r w:rsidRPr="00677A59">
        <w:rPr>
          <w:rFonts w:ascii="標楷體" w:hAnsi="標楷體"/>
          <w:spacing w:val="-10"/>
          <w:sz w:val="28"/>
          <w:szCs w:val="28"/>
        </w:rPr>
        <w:t>16</w:t>
      </w:r>
      <w:r w:rsidRPr="00677A59">
        <w:rPr>
          <w:rFonts w:ascii="標楷體" w:hAnsi="標楷體" w:hint="eastAsia"/>
          <w:spacing w:val="-10"/>
          <w:sz w:val="28"/>
          <w:szCs w:val="28"/>
        </w:rPr>
        <w:t>日（星期三）上午9時至10時53分</w:t>
      </w:r>
    </w:p>
    <w:p w14:paraId="51E063F6"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2867C057" w14:textId="77777777" w:rsidR="00421BB5" w:rsidRPr="00D65AED" w:rsidRDefault="00421BB5" w:rsidP="00421BB5">
      <w:pPr>
        <w:snapToGrid w:val="0"/>
        <w:ind w:leftChars="-17" w:left="1398" w:hangingChars="514" w:hanging="1439"/>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：曾銘宗</w:t>
      </w:r>
      <w:r w:rsidRPr="00D65AED">
        <w:rPr>
          <w:rFonts w:ascii="標楷體" w:eastAsia="標楷體" w:hAnsi="標楷體" w:hint="eastAsia"/>
          <w:sz w:val="28"/>
          <w:szCs w:val="28"/>
        </w:rPr>
        <w:tab/>
        <w:t>游毓蘭</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陳歐珀</w:t>
      </w:r>
    </w:p>
    <w:p w14:paraId="2F4A99A1" w14:textId="77777777" w:rsidR="00421BB5" w:rsidRPr="00D65AED" w:rsidRDefault="00421BB5" w:rsidP="00421BB5">
      <w:pPr>
        <w:snapToGrid w:val="0"/>
        <w:ind w:leftChars="577" w:left="1396" w:hangingChars="4" w:hanging="11"/>
        <w:rPr>
          <w:rFonts w:ascii="標楷體" w:eastAsia="標楷體" w:hAnsi="標楷體"/>
          <w:sz w:val="28"/>
          <w:szCs w:val="28"/>
        </w:rPr>
      </w:pPr>
      <w:r w:rsidRPr="00D65AED">
        <w:rPr>
          <w:rFonts w:ascii="標楷體" w:eastAsia="標楷體" w:hAnsi="標楷體" w:hint="eastAsia"/>
          <w:sz w:val="28"/>
          <w:szCs w:val="28"/>
        </w:rPr>
        <w:t>柯建銘</w:t>
      </w:r>
    </w:p>
    <w:p w14:paraId="5BF48F07" w14:textId="77777777" w:rsidR="00421BB5" w:rsidRPr="00D65AED" w:rsidRDefault="00421BB5" w:rsidP="00421BB5">
      <w:pPr>
        <w:snapToGrid w:val="0"/>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w:t>
      </w:r>
      <w:r w:rsidRPr="00D65AED">
        <w:rPr>
          <w:rFonts w:ascii="標楷體" w:eastAsia="標楷體" w:hAnsi="標楷體"/>
          <w:sz w:val="28"/>
          <w:szCs w:val="28"/>
        </w:rPr>
        <w:t>8</w:t>
      </w:r>
      <w:r w:rsidRPr="00D65AED">
        <w:rPr>
          <w:rFonts w:ascii="標楷體" w:eastAsia="標楷體" w:hAnsi="標楷體" w:hint="eastAsia"/>
          <w:sz w:val="28"/>
          <w:szCs w:val="28"/>
        </w:rPr>
        <w:t>人</w:t>
      </w:r>
    </w:p>
    <w:p w14:paraId="501FDBB4" w14:textId="77777777" w:rsidR="00421BB5" w:rsidRPr="00D65AED" w:rsidRDefault="00421BB5" w:rsidP="00421BB5">
      <w:pPr>
        <w:adjustRightInd w:val="0"/>
        <w:snapToGrid w:val="0"/>
        <w:ind w:leftChars="-11" w:left="1402" w:hangingChars="510" w:hanging="1428"/>
        <w:jc w:val="both"/>
        <w:rPr>
          <w:rFonts w:ascii="標楷體" w:eastAsia="標楷體" w:hAnsi="標楷體"/>
          <w:sz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鍾佳濱</w:t>
      </w:r>
      <w:r w:rsidRPr="00D65AED">
        <w:rPr>
          <w:rFonts w:ascii="標楷體" w:eastAsia="標楷體" w:hAnsi="標楷體"/>
          <w:sz w:val="28"/>
          <w:szCs w:val="28"/>
        </w:rPr>
        <w:tab/>
      </w:r>
      <w:r w:rsidRPr="00D65AED">
        <w:rPr>
          <w:rFonts w:ascii="標楷體" w:eastAsia="標楷體" w:hAnsi="標楷體" w:hint="eastAsia"/>
          <w:sz w:val="28"/>
          <w:szCs w:val="28"/>
        </w:rPr>
        <w:t>劉世芳</w:t>
      </w:r>
      <w:r w:rsidRPr="00D65AED">
        <w:rPr>
          <w:rFonts w:ascii="標楷體" w:eastAsia="標楷體" w:hAnsi="標楷體"/>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rPr>
        <w:t>鄭正鈐</w:t>
      </w:r>
      <w:r w:rsidRPr="00D65AED">
        <w:rPr>
          <w:rFonts w:ascii="標楷體" w:eastAsia="標楷體" w:hAnsi="標楷體"/>
          <w:sz w:val="28"/>
        </w:rPr>
        <w:tab/>
      </w:r>
      <w:r w:rsidRPr="00D65AED">
        <w:rPr>
          <w:rFonts w:ascii="標楷體" w:eastAsia="標楷體" w:hAnsi="標楷體" w:hint="eastAsia"/>
          <w:sz w:val="28"/>
        </w:rPr>
        <w:t>高嘉瑜</w:t>
      </w:r>
    </w:p>
    <w:p w14:paraId="713C7243" w14:textId="77777777" w:rsidR="00421BB5" w:rsidRPr="00D65AED" w:rsidRDefault="00421BB5" w:rsidP="00421BB5">
      <w:pPr>
        <w:adjustRightInd w:val="0"/>
        <w:snapToGrid w:val="0"/>
        <w:ind w:leftChars="584" w:left="1402" w:firstLineChars="4" w:firstLine="11"/>
        <w:jc w:val="both"/>
        <w:rPr>
          <w:rFonts w:ascii="標楷體" w:eastAsia="標楷體" w:hAnsi="標楷體"/>
          <w:sz w:val="28"/>
          <w:szCs w:val="28"/>
        </w:rPr>
      </w:pP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廖國棟Sufin．Siluko</w:t>
      </w:r>
    </w:p>
    <w:p w14:paraId="36F8676E" w14:textId="77777777" w:rsidR="00421BB5" w:rsidRPr="00D65AED" w:rsidRDefault="00421BB5" w:rsidP="00421BB5">
      <w:pPr>
        <w:widowControl/>
        <w:snapToGrid w:val="0"/>
        <w:ind w:leftChars="396" w:left="950"/>
        <w:jc w:val="both"/>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委員列席</w:t>
      </w:r>
      <w:r w:rsidRPr="00D65AED">
        <w:rPr>
          <w:rFonts w:ascii="標楷體" w:eastAsia="標楷體" w:hAnsi="標楷體" w:hint="eastAsia"/>
          <w:sz w:val="28"/>
          <w:szCs w:val="28"/>
        </w:rPr>
        <w:t>10</w:t>
      </w:r>
      <w:r w:rsidRPr="00D65AED">
        <w:rPr>
          <w:rFonts w:ascii="標楷體" w:eastAsia="標楷體" w:hAnsi="標楷體"/>
          <w:sz w:val="28"/>
          <w:szCs w:val="28"/>
        </w:rPr>
        <w:t>人</w:t>
      </w:r>
    </w:p>
    <w:p w14:paraId="72A4C0CC" w14:textId="77777777" w:rsidR="00421BB5" w:rsidRPr="00D65AED" w:rsidRDefault="00421BB5" w:rsidP="00421BB5">
      <w:pPr>
        <w:snapToGrid w:val="0"/>
        <w:spacing w:line="40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r w:rsidRPr="00D65AED">
        <w:rPr>
          <w:rFonts w:ascii="標楷體" w:eastAsia="標楷體" w:hAnsi="標楷體"/>
          <w:sz w:val="28"/>
          <w:szCs w:val="28"/>
        </w:rPr>
        <w:tab/>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劉建國</w:t>
      </w:r>
      <w:r w:rsidRPr="00D65AED">
        <w:rPr>
          <w:rFonts w:ascii="標楷體" w:eastAsia="標楷體" w:hAnsi="標楷體"/>
          <w:sz w:val="28"/>
          <w:szCs w:val="28"/>
        </w:rPr>
        <w:tab/>
      </w:r>
      <w:r w:rsidRPr="00D65AED">
        <w:rPr>
          <w:rFonts w:ascii="標楷體" w:eastAsia="標楷體" w:hAnsi="標楷體" w:hint="eastAsia"/>
          <w:sz w:val="28"/>
          <w:szCs w:val="28"/>
        </w:rPr>
        <w:t>陳玉珍</w:t>
      </w:r>
    </w:p>
    <w:p w14:paraId="35854A25" w14:textId="77777777" w:rsidR="00421BB5" w:rsidRPr="00D65AED" w:rsidRDefault="00421BB5" w:rsidP="00421BB5">
      <w:pPr>
        <w:snapToGrid w:val="0"/>
        <w:spacing w:line="40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請假4人</w:t>
      </w:r>
    </w:p>
    <w:p w14:paraId="557A46FB" w14:textId="77777777" w:rsidR="00421BB5" w:rsidRPr="00D65AED" w:rsidRDefault="00421BB5" w:rsidP="00421BB5">
      <w:pPr>
        <w:pStyle w:val="-9"/>
        <w:spacing w:line="360" w:lineRule="exact"/>
        <w:ind w:left="1361" w:hangingChars="486" w:hanging="1361"/>
        <w:rPr>
          <w:rFonts w:ascii="標楷體" w:hAnsi="標楷體"/>
          <w:snapToGrid w:val="0"/>
          <w:sz w:val="28"/>
          <w:szCs w:val="28"/>
        </w:rPr>
      </w:pPr>
      <w:r w:rsidRPr="00D65AED">
        <w:rPr>
          <w:rFonts w:ascii="標楷體" w:hAnsi="標楷體"/>
          <w:sz w:val="28"/>
          <w:szCs w:val="28"/>
        </w:rPr>
        <w:t>列席官員：</w:t>
      </w:r>
      <w:r w:rsidRPr="00D65AED">
        <w:rPr>
          <w:rFonts w:ascii="標楷體" w:hAnsi="標楷體" w:hint="eastAsia"/>
          <w:sz w:val="28"/>
          <w:szCs w:val="28"/>
        </w:rPr>
        <w:t>行政院人事行政總處人事長</w:t>
      </w:r>
      <w:r w:rsidRPr="00D65AED">
        <w:rPr>
          <w:rFonts w:ascii="標楷體" w:hAnsi="標楷體" w:hint="eastAsia"/>
          <w:snapToGrid w:val="0"/>
          <w:sz w:val="28"/>
          <w:szCs w:val="28"/>
        </w:rPr>
        <w:t xml:space="preserve">　蘇俊榮</w:t>
      </w:r>
    </w:p>
    <w:p w14:paraId="4F01E758" w14:textId="77777777" w:rsidR="00421BB5" w:rsidRPr="00D65AED" w:rsidRDefault="00421BB5" w:rsidP="00421BB5">
      <w:pPr>
        <w:pStyle w:val="-9"/>
        <w:spacing w:line="360" w:lineRule="exact"/>
        <w:ind w:leftChars="567" w:left="1361" w:firstLineChars="913" w:firstLine="2556"/>
        <w:rPr>
          <w:rFonts w:ascii="標楷體" w:hAnsi="標楷體"/>
          <w:snapToGrid w:val="0"/>
          <w:sz w:val="28"/>
          <w:szCs w:val="28"/>
        </w:rPr>
      </w:pPr>
      <w:r w:rsidRPr="00D65AED">
        <w:rPr>
          <w:rFonts w:ascii="標楷體" w:hAnsi="標楷體" w:hint="eastAsia"/>
          <w:sz w:val="28"/>
          <w:szCs w:val="28"/>
        </w:rPr>
        <w:t>公務人力發展學院院長</w:t>
      </w:r>
      <w:r w:rsidRPr="00D65AED">
        <w:rPr>
          <w:rFonts w:ascii="標楷體" w:hAnsi="標楷體" w:hint="eastAsia"/>
          <w:snapToGrid w:val="0"/>
          <w:sz w:val="28"/>
          <w:szCs w:val="28"/>
        </w:rPr>
        <w:t xml:space="preserve">　陳明忠</w:t>
      </w:r>
    </w:p>
    <w:p w14:paraId="171504D8" w14:textId="77777777" w:rsidR="00421BB5" w:rsidRPr="00D65AED" w:rsidRDefault="00421BB5" w:rsidP="00421BB5">
      <w:pPr>
        <w:pStyle w:val="-9"/>
        <w:spacing w:line="360" w:lineRule="exact"/>
        <w:ind w:leftChars="584" w:left="2802" w:hangingChars="500" w:hanging="1400"/>
        <w:rPr>
          <w:rFonts w:ascii="標楷體" w:hAnsi="標楷體"/>
          <w:snapToGrid w:val="0"/>
          <w:sz w:val="28"/>
          <w:szCs w:val="28"/>
        </w:rPr>
      </w:pPr>
      <w:r w:rsidRPr="00D65AED">
        <w:rPr>
          <w:rFonts w:ascii="標楷體" w:hAnsi="標楷體"/>
          <w:snapToGrid w:val="0"/>
          <w:sz w:val="28"/>
          <w:szCs w:val="28"/>
        </w:rPr>
        <w:t>行政院主計總處公務預算處</w:t>
      </w:r>
      <w:r w:rsidRPr="00D65AED">
        <w:rPr>
          <w:rFonts w:ascii="標楷體" w:hAnsi="標楷體" w:hint="eastAsia"/>
          <w:snapToGrid w:val="0"/>
          <w:sz w:val="28"/>
          <w:szCs w:val="28"/>
        </w:rPr>
        <w:t>專門委員　黃子菡</w:t>
      </w:r>
    </w:p>
    <w:p w14:paraId="1C679F33" w14:textId="77777777" w:rsidR="00421BB5" w:rsidRPr="00D65AED" w:rsidRDefault="00421BB5" w:rsidP="00421BB5">
      <w:pPr>
        <w:pStyle w:val="-9"/>
        <w:spacing w:line="360" w:lineRule="exact"/>
        <w:ind w:leftChars="1167" w:left="2801" w:firstLineChars="204" w:firstLine="571"/>
        <w:rPr>
          <w:rFonts w:ascii="標楷體" w:hAnsi="標楷體"/>
          <w:snapToGrid w:val="0"/>
          <w:sz w:val="28"/>
          <w:szCs w:val="28"/>
        </w:rPr>
      </w:pPr>
      <w:r w:rsidRPr="00D65AED">
        <w:rPr>
          <w:rFonts w:ascii="標楷體" w:hAnsi="標楷體" w:hint="eastAsia"/>
          <w:snapToGrid w:val="0"/>
          <w:sz w:val="28"/>
          <w:szCs w:val="28"/>
        </w:rPr>
        <w:t>基金預算處科長　江衍陞</w:t>
      </w:r>
    </w:p>
    <w:p w14:paraId="4E531B01"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653FC708"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5AC37DA8"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18B88A9F"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7AAAC183"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03CEB0EF"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2B667B7F"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159C733B"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2DFD6BD6" w14:textId="77777777" w:rsidR="00421BB5" w:rsidRPr="00D65AED" w:rsidRDefault="00421BB5" w:rsidP="00421BB5">
      <w:pPr>
        <w:pStyle w:val="afffff4"/>
        <w:spacing w:line="360" w:lineRule="exact"/>
        <w:ind w:left="560" w:hanging="560"/>
        <w:jc w:val="both"/>
        <w:rPr>
          <w:rFonts w:ascii="標楷體" w:hAnsi="標楷體"/>
          <w:sz w:val="28"/>
          <w:szCs w:val="28"/>
        </w:rPr>
      </w:pPr>
      <w:r w:rsidRPr="00D65AED">
        <w:rPr>
          <w:rFonts w:ascii="標楷體" w:hAnsi="標楷體" w:hint="eastAsia"/>
          <w:sz w:val="28"/>
          <w:szCs w:val="28"/>
        </w:rPr>
        <w:t>一、</w:t>
      </w:r>
      <w:r w:rsidRPr="00D65AED">
        <w:rPr>
          <w:rFonts w:ascii="標楷體" w:hAnsi="標楷體"/>
          <w:sz w:val="28"/>
          <w:szCs w:val="28"/>
        </w:rPr>
        <w:t>宣讀上次會議議事錄</w:t>
      </w:r>
      <w:r w:rsidRPr="00D65AED">
        <w:rPr>
          <w:rFonts w:ascii="標楷體" w:hAnsi="標楷體" w:hint="eastAsia"/>
          <w:sz w:val="28"/>
          <w:szCs w:val="28"/>
        </w:rPr>
        <w:t>。</w:t>
      </w:r>
    </w:p>
    <w:p w14:paraId="6E1EBC91"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決定：確定。</w:t>
      </w:r>
    </w:p>
    <w:p w14:paraId="2C34FFFC" w14:textId="77777777" w:rsidR="00421BB5" w:rsidRPr="00D65AED" w:rsidRDefault="00421BB5" w:rsidP="00421BB5">
      <w:pPr>
        <w:kinsoku w:val="0"/>
        <w:overflowPunct w:val="0"/>
        <w:autoSpaceDE w:val="0"/>
        <w:autoSpaceDN w:val="0"/>
        <w:adjustRightInd w:val="0"/>
        <w:snapToGrid w:val="0"/>
        <w:spacing w:line="360" w:lineRule="exact"/>
        <w:ind w:left="560" w:hangingChars="200" w:hanging="560"/>
        <w:jc w:val="distribute"/>
        <w:rPr>
          <w:rFonts w:ascii="標楷體" w:eastAsia="標楷體" w:hAnsi="標楷體"/>
          <w:spacing w:val="-20"/>
          <w:kern w:val="0"/>
          <w:sz w:val="28"/>
          <w:szCs w:val="28"/>
        </w:rPr>
      </w:pPr>
      <w:r w:rsidRPr="00D65AED">
        <w:rPr>
          <w:rFonts w:ascii="標楷體" w:eastAsia="標楷體" w:hAnsi="標楷體" w:hint="eastAsia"/>
          <w:kern w:val="0"/>
          <w:sz w:val="28"/>
          <w:szCs w:val="28"/>
        </w:rPr>
        <w:t>二、邀請行政院人事行政總處人事長列席報告業務概況，</w:t>
      </w:r>
      <w:r w:rsidRPr="00D65AED">
        <w:rPr>
          <w:rFonts w:ascii="標楷體" w:eastAsia="標楷體" w:hAnsi="標楷體" w:hint="eastAsia"/>
          <w:spacing w:val="-20"/>
          <w:kern w:val="0"/>
          <w:sz w:val="28"/>
          <w:szCs w:val="28"/>
        </w:rPr>
        <w:t>並備質詢。</w:t>
      </w:r>
    </w:p>
    <w:p w14:paraId="084D4363"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決定：報告及詢答完畢。</w:t>
      </w:r>
    </w:p>
    <w:p w14:paraId="171EE277"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16E2BD3C" w14:textId="77777777" w:rsidR="00421BB5" w:rsidRPr="00D65AED" w:rsidRDefault="00421BB5" w:rsidP="00421BB5">
      <w:pPr>
        <w:adjustRightInd w:val="0"/>
        <w:snapToGrid w:val="0"/>
        <w:spacing w:line="360" w:lineRule="exact"/>
        <w:ind w:left="536" w:hangingChars="200" w:hanging="536"/>
        <w:jc w:val="both"/>
        <w:rPr>
          <w:rFonts w:ascii="標楷體" w:eastAsia="標楷體" w:hAnsi="標楷體"/>
          <w:spacing w:val="-6"/>
          <w:sz w:val="28"/>
          <w:szCs w:val="28"/>
        </w:rPr>
      </w:pPr>
      <w:r w:rsidRPr="00D65AED">
        <w:rPr>
          <w:rFonts w:ascii="標楷體" w:eastAsia="標楷體" w:hAnsi="標楷體" w:hint="eastAsia"/>
          <w:spacing w:val="-6"/>
          <w:sz w:val="28"/>
          <w:szCs w:val="28"/>
        </w:rPr>
        <w:t>一、審查112年度中央政府總預算案關於行政院人事行政總處及所屬主管收支部分。</w:t>
      </w:r>
    </w:p>
    <w:p w14:paraId="13825DA6" w14:textId="77777777" w:rsidR="00421BB5" w:rsidRPr="00D65AED" w:rsidRDefault="00421BB5" w:rsidP="00421BB5">
      <w:pPr>
        <w:adjustRightInd w:val="0"/>
        <w:snapToGrid w:val="0"/>
        <w:spacing w:line="360" w:lineRule="exact"/>
        <w:ind w:left="536" w:hangingChars="200" w:hanging="536"/>
        <w:jc w:val="both"/>
        <w:rPr>
          <w:rFonts w:ascii="標楷體" w:eastAsia="標楷體" w:hAnsi="標楷體"/>
          <w:spacing w:val="-6"/>
          <w:sz w:val="28"/>
          <w:szCs w:val="28"/>
        </w:rPr>
      </w:pPr>
      <w:r w:rsidRPr="00D65AED">
        <w:rPr>
          <w:rFonts w:ascii="標楷體" w:eastAsia="標楷體" w:hAnsi="標楷體" w:hint="eastAsia"/>
          <w:spacing w:val="-6"/>
          <w:sz w:val="28"/>
          <w:szCs w:val="28"/>
        </w:rPr>
        <w:t>二、審查112年度中央政府總預算案附屬單位預算非營業部分關於行政院人事行政總處主管「中央公教人員急難救助基金」收支部分。</w:t>
      </w:r>
    </w:p>
    <w:p w14:paraId="0B4F5B49" w14:textId="77777777" w:rsidR="00421BB5" w:rsidRDefault="00421BB5" w:rsidP="00421BB5">
      <w:pPr>
        <w:spacing w:beforeLines="10" w:before="36" w:line="360" w:lineRule="exact"/>
        <w:ind w:left="280" w:hangingChars="100" w:hanging="280"/>
        <w:jc w:val="both"/>
        <w:rPr>
          <w:rFonts w:ascii="標楷體" w:eastAsia="標楷體" w:hAnsi="標楷體"/>
          <w:spacing w:val="-10"/>
          <w:sz w:val="28"/>
          <w:szCs w:val="28"/>
        </w:rPr>
      </w:pPr>
      <w:r w:rsidRPr="00D65AED">
        <w:rPr>
          <w:rFonts w:ascii="標楷體" w:eastAsia="標楷體" w:hAnsi="標楷體" w:hint="eastAsia"/>
          <w:sz w:val="28"/>
          <w:szCs w:val="28"/>
        </w:rPr>
        <w:t>（本次會議有委員</w:t>
      </w:r>
      <w:r w:rsidRPr="0011528C">
        <w:rPr>
          <w:rFonts w:ascii="標楷體" w:eastAsia="標楷體" w:hAnsi="標楷體" w:hint="eastAsia"/>
          <w:spacing w:val="-10"/>
          <w:sz w:val="28"/>
          <w:szCs w:val="28"/>
        </w:rPr>
        <w:t>曾銘宗、游毓蘭、黃世杰、江永昌、林思銘、李貴敏、</w:t>
      </w:r>
    </w:p>
    <w:p w14:paraId="7E6DB8E9" w14:textId="77777777" w:rsidR="00421BB5" w:rsidRDefault="00421BB5" w:rsidP="00421BB5">
      <w:pPr>
        <w:spacing w:beforeLines="10" w:before="36" w:line="360" w:lineRule="exact"/>
        <w:ind w:leftChars="116" w:left="278" w:firstLineChars="1" w:firstLine="3"/>
        <w:jc w:val="both"/>
        <w:rPr>
          <w:rFonts w:ascii="標楷體" w:eastAsia="標楷體" w:hAnsi="標楷體"/>
          <w:sz w:val="28"/>
          <w:szCs w:val="28"/>
        </w:rPr>
      </w:pPr>
      <w:r>
        <w:rPr>
          <w:rFonts w:ascii="標楷體" w:eastAsia="標楷體" w:hAnsi="標楷體" w:hint="eastAsia"/>
          <w:sz w:val="28"/>
          <w:szCs w:val="28"/>
        </w:rPr>
        <w:t>陳以信、陳歐珀提出質詢；委員周春米、鄭運鵬、</w:t>
      </w:r>
      <w:r w:rsidRPr="00D65AED">
        <w:rPr>
          <w:rFonts w:ascii="標楷體" w:eastAsia="標楷體" w:hAnsi="標楷體" w:hint="eastAsia"/>
          <w:sz w:val="28"/>
          <w:szCs w:val="28"/>
        </w:rPr>
        <w:t>林思銘、陳玉珍、</w:t>
      </w:r>
    </w:p>
    <w:p w14:paraId="525BC817" w14:textId="77777777" w:rsidR="00421BB5" w:rsidRPr="00D65AED" w:rsidRDefault="00421BB5" w:rsidP="00421BB5">
      <w:pPr>
        <w:spacing w:beforeLines="10" w:before="36" w:line="360" w:lineRule="exact"/>
        <w:ind w:leftChars="116" w:left="278" w:firstLineChars="1" w:firstLine="3"/>
        <w:jc w:val="both"/>
        <w:rPr>
          <w:rFonts w:ascii="標楷體" w:eastAsia="標楷體" w:hAnsi="標楷體"/>
          <w:sz w:val="28"/>
          <w:szCs w:val="28"/>
        </w:rPr>
      </w:pPr>
      <w:r w:rsidRPr="00D65AED">
        <w:rPr>
          <w:rFonts w:ascii="標楷體" w:eastAsia="標楷體" w:hAnsi="標楷體" w:hint="eastAsia"/>
          <w:sz w:val="28"/>
          <w:szCs w:val="28"/>
        </w:rPr>
        <w:t>劉建國提出書面質詢。）</w:t>
      </w:r>
    </w:p>
    <w:p w14:paraId="26180787"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決議：</w:t>
      </w:r>
    </w:p>
    <w:p w14:paraId="02E59279"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一、報告及詢答完畢。</w:t>
      </w:r>
    </w:p>
    <w:p w14:paraId="3C30E9EC"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lastRenderedPageBreak/>
        <w:t>二、第一案及第二案均</w:t>
      </w:r>
      <w:r w:rsidRPr="00D65AED">
        <w:rPr>
          <w:rFonts w:ascii="標楷體" w:eastAsia="標楷體" w:hAnsi="標楷體" w:hint="eastAsia"/>
          <w:spacing w:val="-6"/>
          <w:sz w:val="28"/>
          <w:szCs w:val="28"/>
        </w:rPr>
        <w:t>另定期繼續審查</w:t>
      </w:r>
      <w:r w:rsidRPr="00D65AED">
        <w:rPr>
          <w:rFonts w:ascii="標楷體" w:eastAsia="標楷體" w:hAnsi="標楷體" w:hint="eastAsia"/>
          <w:sz w:val="28"/>
          <w:szCs w:val="28"/>
        </w:rPr>
        <w:t>。</w:t>
      </w:r>
    </w:p>
    <w:p w14:paraId="3B8AE4E5"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三、委員質詢時，要求提供相關資料或以書面答復者，請相關機關儘速送交個別委員及本會。</w:t>
      </w:r>
    </w:p>
    <w:p w14:paraId="5A7BEDB9"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四、審查會委員針對本日議程所列討論事項第一案及第二案之預算提案，請於11月16日(星期三)上午1</w:t>
      </w:r>
      <w:r w:rsidRPr="00D65AED">
        <w:rPr>
          <w:rFonts w:ascii="標楷體" w:eastAsia="標楷體" w:hAnsi="標楷體"/>
          <w:sz w:val="28"/>
          <w:szCs w:val="28"/>
        </w:rPr>
        <w:t>0</w:t>
      </w:r>
      <w:r w:rsidRPr="00D65AED">
        <w:rPr>
          <w:rFonts w:ascii="標楷體" w:eastAsia="標楷體" w:hAnsi="標楷體" w:hint="eastAsia"/>
          <w:sz w:val="28"/>
          <w:szCs w:val="28"/>
        </w:rPr>
        <w:t>時30分前送交本會，逾時不予受理。</w:t>
      </w:r>
    </w:p>
    <w:p w14:paraId="5F5BA573"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59E72569" w14:textId="77777777" w:rsidR="00421BB5" w:rsidRPr="00D46432" w:rsidRDefault="00421BB5" w:rsidP="00421BB5">
      <w:pPr>
        <w:spacing w:beforeLines="50" w:before="180" w:afterLines="50" w:after="180" w:line="360" w:lineRule="exact"/>
        <w:outlineLvl w:val="2"/>
        <w:rPr>
          <w:rFonts w:ascii="標楷體" w:eastAsia="標楷體" w:hAnsi="標楷體"/>
          <w:b/>
          <w:spacing w:val="-20"/>
          <w:sz w:val="28"/>
          <w:szCs w:val="28"/>
        </w:rPr>
      </w:pPr>
      <w:r w:rsidRPr="00D65AED">
        <w:rPr>
          <w:rFonts w:ascii="標楷體" w:eastAsia="標楷體" w:hAnsi="標楷體"/>
          <w:sz w:val="28"/>
          <w:szCs w:val="28"/>
        </w:rPr>
        <w:br w:type="page"/>
      </w:r>
      <w:r w:rsidRPr="00D46432">
        <w:rPr>
          <w:rFonts w:ascii="標楷體" w:eastAsia="標楷體" w:hAnsi="標楷體" w:hint="eastAsia"/>
          <w:b/>
          <w:spacing w:val="-4"/>
          <w:sz w:val="28"/>
          <w:szCs w:val="28"/>
        </w:rPr>
        <w:lastRenderedPageBreak/>
        <w:t>立法院第10屆第6會期司法及法制委員會第1</w:t>
      </w:r>
      <w:r w:rsidRPr="00D46432">
        <w:rPr>
          <w:rFonts w:ascii="標楷體" w:eastAsia="標楷體" w:hAnsi="標楷體"/>
          <w:b/>
          <w:spacing w:val="-4"/>
          <w:sz w:val="28"/>
          <w:szCs w:val="28"/>
        </w:rPr>
        <w:t>7</w:t>
      </w:r>
      <w:r w:rsidRPr="00D46432">
        <w:rPr>
          <w:rFonts w:ascii="標楷體" w:eastAsia="標楷體" w:hAnsi="標楷體" w:hint="eastAsia"/>
          <w:b/>
          <w:spacing w:val="-4"/>
          <w:sz w:val="28"/>
          <w:szCs w:val="28"/>
        </w:rPr>
        <w:t>次全體委員會議議事錄</w:t>
      </w:r>
    </w:p>
    <w:p w14:paraId="139317EC" w14:textId="77777777" w:rsidR="00421BB5" w:rsidRPr="00D65AED" w:rsidRDefault="00421BB5" w:rsidP="00421BB5">
      <w:pPr>
        <w:pStyle w:val="-9"/>
        <w:spacing w:line="360" w:lineRule="exact"/>
        <w:ind w:left="1417" w:hangingChars="506" w:hanging="1417"/>
        <w:rPr>
          <w:rFonts w:ascii="標楷體" w:hAnsi="標楷體"/>
          <w:snapToGrid w:val="0"/>
          <w:sz w:val="28"/>
          <w:szCs w:val="28"/>
        </w:rPr>
      </w:pPr>
      <w:r w:rsidRPr="00D65AED">
        <w:rPr>
          <w:rFonts w:ascii="標楷體" w:hAnsi="標楷體"/>
          <w:snapToGrid w:val="0"/>
          <w:sz w:val="28"/>
          <w:szCs w:val="28"/>
          <w:fitText w:val="1120" w:id="-1975260672"/>
        </w:rPr>
        <w:t>時    間</w:t>
      </w:r>
      <w:r w:rsidRPr="00D65AED">
        <w:rPr>
          <w:rFonts w:ascii="標楷體" w:hAnsi="標楷體"/>
          <w:snapToGrid w:val="0"/>
          <w:sz w:val="28"/>
          <w:szCs w:val="28"/>
        </w:rPr>
        <w:t>：中華民國111年11月17日（星期</w:t>
      </w:r>
      <w:r w:rsidRPr="00D65AED">
        <w:rPr>
          <w:rFonts w:ascii="標楷體" w:hAnsi="標楷體" w:hint="eastAsia"/>
          <w:snapToGrid w:val="0"/>
          <w:sz w:val="28"/>
          <w:szCs w:val="28"/>
        </w:rPr>
        <w:t>四</w:t>
      </w:r>
      <w:r w:rsidRPr="00D65AED">
        <w:rPr>
          <w:rFonts w:ascii="標楷體" w:hAnsi="標楷體"/>
          <w:snapToGrid w:val="0"/>
          <w:sz w:val="28"/>
          <w:szCs w:val="28"/>
        </w:rPr>
        <w:t>）</w:t>
      </w:r>
      <w:r w:rsidRPr="00D65AED">
        <w:rPr>
          <w:rFonts w:ascii="標楷體" w:hAnsi="標楷體" w:hint="eastAsia"/>
          <w:snapToGrid w:val="0"/>
          <w:sz w:val="28"/>
          <w:szCs w:val="28"/>
        </w:rPr>
        <w:t>上</w:t>
      </w:r>
      <w:r w:rsidRPr="00D65AED">
        <w:rPr>
          <w:rFonts w:ascii="標楷體" w:hAnsi="標楷體"/>
          <w:snapToGrid w:val="0"/>
          <w:sz w:val="28"/>
          <w:szCs w:val="28"/>
        </w:rPr>
        <w:t>午</w:t>
      </w:r>
      <w:r w:rsidRPr="00D65AED">
        <w:rPr>
          <w:rFonts w:ascii="標楷體" w:hAnsi="標楷體" w:hint="eastAsia"/>
          <w:snapToGrid w:val="0"/>
          <w:sz w:val="28"/>
          <w:szCs w:val="28"/>
        </w:rPr>
        <w:t>9</w:t>
      </w:r>
      <w:r w:rsidRPr="00D65AED">
        <w:rPr>
          <w:rFonts w:ascii="標楷體" w:hAnsi="標楷體"/>
          <w:snapToGrid w:val="0"/>
          <w:sz w:val="28"/>
          <w:szCs w:val="28"/>
        </w:rPr>
        <w:t>時</w:t>
      </w:r>
      <w:r w:rsidRPr="00D65AED">
        <w:rPr>
          <w:rFonts w:ascii="標楷體" w:hAnsi="標楷體" w:hint="eastAsia"/>
          <w:snapToGrid w:val="0"/>
          <w:sz w:val="28"/>
          <w:szCs w:val="28"/>
        </w:rPr>
        <w:t>1分</w:t>
      </w:r>
      <w:r w:rsidRPr="00D65AED">
        <w:rPr>
          <w:rFonts w:ascii="標楷體" w:hAnsi="標楷體"/>
          <w:snapToGrid w:val="0"/>
          <w:sz w:val="28"/>
          <w:szCs w:val="28"/>
        </w:rPr>
        <w:t>至</w:t>
      </w:r>
      <w:r w:rsidRPr="00D65AED">
        <w:rPr>
          <w:rFonts w:ascii="標楷體" w:hAnsi="標楷體" w:hint="eastAsia"/>
          <w:snapToGrid w:val="0"/>
          <w:sz w:val="28"/>
          <w:szCs w:val="28"/>
        </w:rPr>
        <w:t>11時20分</w:t>
      </w:r>
      <w:r w:rsidRPr="00D65AED">
        <w:rPr>
          <w:rFonts w:ascii="標楷體" w:hAnsi="標楷體" w:hint="eastAsia"/>
          <w:sz w:val="28"/>
          <w:szCs w:val="28"/>
        </w:rPr>
        <w:t>；下午</w:t>
      </w:r>
      <w:r w:rsidRPr="00D65AED">
        <w:rPr>
          <w:rFonts w:ascii="標楷體" w:hAnsi="標楷體"/>
          <w:sz w:val="28"/>
          <w:szCs w:val="28"/>
        </w:rPr>
        <w:t>2</w:t>
      </w:r>
      <w:r w:rsidRPr="00D65AED">
        <w:rPr>
          <w:rFonts w:ascii="標楷體" w:hAnsi="標楷體" w:hint="eastAsia"/>
          <w:sz w:val="28"/>
          <w:szCs w:val="28"/>
        </w:rPr>
        <w:t>時至</w:t>
      </w:r>
      <w:r w:rsidRPr="00D65AED">
        <w:rPr>
          <w:rFonts w:ascii="標楷體" w:hAnsi="標楷體"/>
          <w:sz w:val="28"/>
          <w:szCs w:val="28"/>
        </w:rPr>
        <w:t>2</w:t>
      </w:r>
      <w:r w:rsidRPr="00D65AED">
        <w:rPr>
          <w:rFonts w:ascii="標楷體" w:hAnsi="標楷體" w:hint="eastAsia"/>
          <w:sz w:val="28"/>
          <w:szCs w:val="28"/>
        </w:rPr>
        <w:t>時55分</w:t>
      </w:r>
    </w:p>
    <w:p w14:paraId="0D0965FF" w14:textId="77777777" w:rsidR="00421BB5" w:rsidRPr="00D65AED" w:rsidRDefault="00421BB5" w:rsidP="00421BB5">
      <w:pPr>
        <w:adjustRightInd w:val="0"/>
        <w:snapToGrid w:val="0"/>
        <w:spacing w:line="360" w:lineRule="exact"/>
        <w:ind w:left="1364" w:hangingChars="487" w:hanging="1364"/>
        <w:jc w:val="both"/>
        <w:rPr>
          <w:rFonts w:ascii="標楷體" w:eastAsia="標楷體" w:hAnsi="標楷體"/>
          <w:kern w:val="0"/>
          <w:sz w:val="28"/>
          <w:szCs w:val="28"/>
          <w:lang w:val="x-none"/>
        </w:rPr>
      </w:pPr>
      <w:r w:rsidRPr="00D65AED">
        <w:rPr>
          <w:rFonts w:ascii="標楷體" w:eastAsia="標楷體" w:hAnsi="標楷體" w:hint="eastAsia"/>
          <w:kern w:val="0"/>
          <w:sz w:val="28"/>
          <w:szCs w:val="28"/>
          <w:lang w:val="x-none" w:eastAsia="x-none"/>
        </w:rPr>
        <w:t>地    點：</w:t>
      </w:r>
      <w:r w:rsidRPr="00D65AED">
        <w:rPr>
          <w:rFonts w:ascii="標楷體" w:eastAsia="標楷體" w:hAnsi="標楷體" w:hint="eastAsia"/>
          <w:kern w:val="0"/>
          <w:sz w:val="28"/>
          <w:szCs w:val="28"/>
          <w:lang w:val="x-none"/>
        </w:rPr>
        <w:t>本</w:t>
      </w:r>
      <w:r w:rsidRPr="00D65AED">
        <w:rPr>
          <w:rFonts w:ascii="標楷體" w:eastAsia="標楷體" w:hAnsi="標楷體" w:hint="eastAsia"/>
          <w:kern w:val="0"/>
          <w:sz w:val="28"/>
          <w:szCs w:val="28"/>
          <w:lang w:val="x-none" w:eastAsia="x-none"/>
        </w:rPr>
        <w:t>院紅樓302會議室</w:t>
      </w:r>
    </w:p>
    <w:p w14:paraId="3C9A9006" w14:textId="77777777" w:rsidR="00421BB5" w:rsidRPr="00D65AED" w:rsidRDefault="00421BB5" w:rsidP="00421BB5">
      <w:pPr>
        <w:snapToGrid w:val="0"/>
        <w:spacing w:line="360" w:lineRule="exact"/>
        <w:ind w:leftChars="-4" w:left="1401" w:hangingChars="504" w:hanging="1411"/>
        <w:rPr>
          <w:rFonts w:ascii="標楷體" w:eastAsia="標楷體" w:hAnsi="標楷體"/>
          <w:sz w:val="28"/>
          <w:szCs w:val="28"/>
        </w:rPr>
      </w:pPr>
      <w:r w:rsidRPr="00D65AED">
        <w:rPr>
          <w:rFonts w:ascii="標楷體" w:eastAsia="標楷體" w:hAnsi="標楷體"/>
          <w:kern w:val="0"/>
          <w:sz w:val="28"/>
          <w:szCs w:val="28"/>
          <w:fitText w:val="1400" w:id="-1975252222"/>
        </w:rPr>
        <w:t>出席委員</w:t>
      </w:r>
      <w:r w:rsidRPr="00D65AED">
        <w:rPr>
          <w:rFonts w:ascii="標楷體" w:eastAsia="標楷體" w:hAnsi="標楷體" w:hint="eastAsia"/>
          <w:kern w:val="0"/>
          <w:sz w:val="28"/>
          <w:szCs w:val="28"/>
          <w:fitText w:val="1400" w:id="-1975252222"/>
        </w:rPr>
        <w:t>：</w:t>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江永昌</w:t>
      </w:r>
    </w:p>
    <w:p w14:paraId="10940C5A" w14:textId="77777777" w:rsidR="00421BB5" w:rsidRPr="00D65AED" w:rsidRDefault="00421BB5" w:rsidP="00421BB5">
      <w:pPr>
        <w:snapToGrid w:val="0"/>
        <w:spacing w:line="360" w:lineRule="exact"/>
        <w:ind w:leftChars="577" w:left="1399" w:hangingChars="5" w:hanging="14"/>
        <w:rPr>
          <w:rFonts w:ascii="標楷體" w:eastAsia="標楷體" w:hAnsi="標楷體"/>
          <w:sz w:val="28"/>
          <w:szCs w:val="28"/>
        </w:rPr>
      </w:pP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柯建銘</w:t>
      </w:r>
    </w:p>
    <w:p w14:paraId="1AAA87D4" w14:textId="77777777" w:rsidR="00421BB5" w:rsidRPr="00D65AED" w:rsidRDefault="00421BB5" w:rsidP="00421BB5">
      <w:pPr>
        <w:adjustRightInd w:val="0"/>
        <w:snapToGrid w:val="0"/>
        <w:spacing w:line="360" w:lineRule="exact"/>
        <w:ind w:firstLineChars="495" w:firstLine="1386"/>
        <w:jc w:val="both"/>
        <w:rPr>
          <w:rFonts w:ascii="標楷體" w:eastAsia="標楷體" w:hAnsi="標楷體"/>
        </w:rPr>
      </w:pPr>
      <w:r w:rsidRPr="00D65AED">
        <w:rPr>
          <w:rFonts w:ascii="標楷體" w:eastAsia="標楷體" w:hAnsi="標楷體" w:hint="eastAsia"/>
          <w:sz w:val="28"/>
          <w:szCs w:val="28"/>
        </w:rPr>
        <w:t>委員出席9人</w:t>
      </w:r>
    </w:p>
    <w:p w14:paraId="1B298D29"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spacing w:val="-20"/>
          <w:w w:val="95"/>
          <w:sz w:val="28"/>
          <w:szCs w:val="28"/>
        </w:rPr>
      </w:pPr>
      <w:r w:rsidRPr="00D65AED">
        <w:rPr>
          <w:rFonts w:ascii="標楷體" w:eastAsia="標楷體" w:hAnsi="標楷體" w:hint="eastAsia"/>
          <w:sz w:val="28"/>
          <w:szCs w:val="28"/>
        </w:rPr>
        <w:t>列</w:t>
      </w:r>
      <w:r w:rsidRPr="00D65AED">
        <w:rPr>
          <w:rFonts w:ascii="標楷體" w:eastAsia="標楷體" w:hAnsi="標楷體"/>
          <w:sz w:val="28"/>
          <w:szCs w:val="28"/>
        </w:rPr>
        <w:t>席委員：</w:t>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吳玉琴</w:t>
      </w:r>
      <w:r w:rsidRPr="00D65AED">
        <w:rPr>
          <w:rFonts w:ascii="標楷體" w:eastAsia="標楷體" w:hAnsi="標楷體"/>
          <w:color w:val="000000"/>
          <w:sz w:val="28"/>
          <w:szCs w:val="28"/>
        </w:rPr>
        <w:tab/>
      </w:r>
      <w:r w:rsidRPr="00D65AED">
        <w:rPr>
          <w:rFonts w:ascii="標楷體" w:eastAsia="標楷體" w:hAnsi="標楷體"/>
          <w:spacing w:val="-20"/>
          <w:w w:val="95"/>
          <w:sz w:val="28"/>
          <w:szCs w:val="28"/>
        </w:rPr>
        <w:t>鄭天財Sra</w:t>
      </w:r>
      <w:r w:rsidRPr="00D65AED">
        <w:rPr>
          <w:rFonts w:ascii="標楷體" w:eastAsia="標楷體" w:hAnsi="標楷體" w:hint="eastAsia"/>
          <w:spacing w:val="-20"/>
          <w:w w:val="95"/>
          <w:sz w:val="28"/>
          <w:szCs w:val="28"/>
        </w:rPr>
        <w:t xml:space="preserve"> </w:t>
      </w:r>
      <w:r w:rsidRPr="00D65AED">
        <w:rPr>
          <w:rFonts w:ascii="標楷體" w:eastAsia="標楷體" w:hAnsi="標楷體"/>
          <w:spacing w:val="-20"/>
          <w:w w:val="95"/>
          <w:sz w:val="28"/>
          <w:szCs w:val="28"/>
        </w:rPr>
        <w:t>Kacaw</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szCs w:val="28"/>
        </w:rPr>
        <w:t>鍾佳濱</w:t>
      </w:r>
      <w:r w:rsidRPr="00D65AED">
        <w:rPr>
          <w:rFonts w:ascii="標楷體" w:eastAsia="標楷體" w:hAnsi="標楷體"/>
          <w:sz w:val="28"/>
          <w:szCs w:val="28"/>
        </w:rPr>
        <w:tab/>
      </w:r>
      <w:r w:rsidRPr="00D65AED">
        <w:rPr>
          <w:rFonts w:ascii="標楷體" w:eastAsia="標楷體" w:hAnsi="標楷體" w:hint="eastAsia"/>
          <w:sz w:val="28"/>
          <w:szCs w:val="28"/>
        </w:rPr>
        <w:t>林靜儀</w:t>
      </w:r>
    </w:p>
    <w:p w14:paraId="241919C4" w14:textId="77777777" w:rsidR="00421BB5" w:rsidRPr="00EF3A65" w:rsidRDefault="00421BB5" w:rsidP="00EF3A65">
      <w:pPr>
        <w:adjustRightInd w:val="0"/>
        <w:snapToGrid w:val="0"/>
        <w:spacing w:line="360" w:lineRule="exact"/>
        <w:ind w:firstLineChars="495" w:firstLine="1386"/>
        <w:jc w:val="both"/>
        <w:rPr>
          <w:rFonts w:ascii="標楷體" w:eastAsia="標楷體" w:hAnsi="標楷體"/>
          <w:sz w:val="28"/>
          <w:szCs w:val="28"/>
        </w:rPr>
      </w:pPr>
      <w:r w:rsidRPr="00EF3A65">
        <w:rPr>
          <w:rFonts w:ascii="標楷體" w:eastAsia="標楷體" w:hAnsi="標楷體"/>
          <w:sz w:val="28"/>
          <w:szCs w:val="28"/>
        </w:rPr>
        <w:t>委員列席</w:t>
      </w:r>
      <w:r w:rsidRPr="00EF3A65">
        <w:rPr>
          <w:rFonts w:ascii="標楷體" w:eastAsia="標楷體" w:hAnsi="標楷體" w:hint="eastAsia"/>
          <w:sz w:val="28"/>
          <w:szCs w:val="28"/>
        </w:rPr>
        <w:t>6</w:t>
      </w:r>
      <w:r w:rsidRPr="00EF3A65">
        <w:rPr>
          <w:rFonts w:ascii="標楷體" w:eastAsia="標楷體" w:hAnsi="標楷體"/>
          <w:sz w:val="28"/>
          <w:szCs w:val="28"/>
        </w:rPr>
        <w:t>人</w:t>
      </w:r>
    </w:p>
    <w:p w14:paraId="71FE2CB2"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請假委員：鄭運鵬</w:t>
      </w:r>
      <w:r w:rsidRPr="00D65AED">
        <w:rPr>
          <w:rFonts w:ascii="標楷體" w:eastAsia="標楷體" w:hAnsi="標楷體"/>
          <w:sz w:val="28"/>
          <w:szCs w:val="28"/>
        </w:rPr>
        <w:tab/>
      </w:r>
      <w:r w:rsidRPr="00D65AED">
        <w:rPr>
          <w:rFonts w:ascii="標楷體" w:eastAsia="標楷體" w:hAnsi="標楷體" w:hint="eastAsia"/>
          <w:sz w:val="28"/>
          <w:szCs w:val="28"/>
        </w:rPr>
        <w:t>周春米</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3F05A738" w14:textId="77777777" w:rsidR="00421BB5" w:rsidRPr="00EF3A65" w:rsidRDefault="00421BB5" w:rsidP="00EF3A65">
      <w:pPr>
        <w:adjustRightInd w:val="0"/>
        <w:snapToGrid w:val="0"/>
        <w:spacing w:line="360" w:lineRule="exact"/>
        <w:ind w:firstLineChars="495" w:firstLine="1386"/>
        <w:jc w:val="both"/>
        <w:rPr>
          <w:rFonts w:ascii="標楷體" w:eastAsia="標楷體" w:hAnsi="標楷體"/>
          <w:sz w:val="28"/>
          <w:szCs w:val="28"/>
        </w:rPr>
      </w:pPr>
      <w:r w:rsidRPr="00EF3A65">
        <w:rPr>
          <w:rFonts w:ascii="標楷體" w:eastAsia="標楷體" w:hAnsi="標楷體"/>
          <w:sz w:val="28"/>
          <w:szCs w:val="28"/>
        </w:rPr>
        <w:t>委員</w:t>
      </w:r>
      <w:r w:rsidRPr="00EF3A65">
        <w:rPr>
          <w:rFonts w:ascii="標楷體" w:eastAsia="標楷體" w:hAnsi="標楷體" w:hint="eastAsia"/>
          <w:sz w:val="28"/>
          <w:szCs w:val="28"/>
        </w:rPr>
        <w:t>請假3人</w:t>
      </w:r>
    </w:p>
    <w:p w14:paraId="56ECE13D"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立法院秘書長　林志嘉</w:t>
      </w:r>
    </w:p>
    <w:p w14:paraId="5889CF74" w14:textId="77777777" w:rsidR="00421BB5" w:rsidRPr="00D65AED" w:rsidRDefault="00421BB5" w:rsidP="00421BB5">
      <w:pPr>
        <w:adjustRightInd w:val="0"/>
        <w:snapToGrid w:val="0"/>
        <w:spacing w:line="360" w:lineRule="exact"/>
        <w:ind w:firstLineChars="810" w:firstLine="2268"/>
        <w:jc w:val="both"/>
        <w:rPr>
          <w:rFonts w:ascii="標楷體" w:eastAsia="標楷體" w:hAnsi="標楷體"/>
          <w:kern w:val="0"/>
          <w:sz w:val="28"/>
          <w:szCs w:val="28"/>
        </w:rPr>
      </w:pPr>
      <w:r w:rsidRPr="00D65AED">
        <w:rPr>
          <w:rFonts w:ascii="標楷體" w:eastAsia="標楷體" w:hAnsi="標楷體" w:hint="eastAsia"/>
          <w:kern w:val="0"/>
          <w:sz w:val="28"/>
          <w:szCs w:val="28"/>
        </w:rPr>
        <w:t>副秘書長　高明秋</w:t>
      </w:r>
    </w:p>
    <w:p w14:paraId="39E87D5E"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color w:val="FF0000"/>
          <w:sz w:val="28"/>
          <w:szCs w:val="28"/>
        </w:rPr>
      </w:pPr>
      <w:r w:rsidRPr="00D65AED">
        <w:rPr>
          <w:rFonts w:ascii="標楷體" w:eastAsia="標楷體" w:hAnsi="標楷體" w:hint="eastAsia"/>
          <w:kern w:val="0"/>
          <w:sz w:val="28"/>
          <w:szCs w:val="28"/>
        </w:rPr>
        <w:t>行政院主計總處公務預算處專門委員</w:t>
      </w:r>
      <w:r w:rsidRPr="00D65AED">
        <w:rPr>
          <w:rFonts w:ascii="標楷體" w:eastAsia="標楷體" w:hAnsi="標楷體" w:hint="eastAsia"/>
          <w:color w:val="FF0000"/>
          <w:kern w:val="0"/>
          <w:sz w:val="28"/>
          <w:szCs w:val="28"/>
        </w:rPr>
        <w:t xml:space="preserve">　</w:t>
      </w:r>
      <w:r w:rsidRPr="00D65AED">
        <w:rPr>
          <w:rFonts w:ascii="標楷體" w:eastAsia="標楷體" w:hAnsi="標楷體" w:hint="eastAsia"/>
          <w:kern w:val="0"/>
          <w:sz w:val="28"/>
          <w:szCs w:val="28"/>
        </w:rPr>
        <w:t xml:space="preserve">黃子菡 </w:t>
      </w:r>
    </w:p>
    <w:p w14:paraId="271E4C07" w14:textId="77777777" w:rsidR="00421BB5" w:rsidRPr="00D65AED" w:rsidRDefault="00421BB5" w:rsidP="00421BB5">
      <w:pPr>
        <w:adjustRightInd w:val="0"/>
        <w:snapToGrid w:val="0"/>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1975261439"/>
        </w:rPr>
        <w:t>主    席</w:t>
      </w:r>
      <w:r w:rsidRPr="00D65AED">
        <w:rPr>
          <w:rFonts w:ascii="標楷體" w:eastAsia="標楷體" w:hAnsi="標楷體"/>
          <w:sz w:val="28"/>
          <w:szCs w:val="28"/>
        </w:rPr>
        <w:t>：</w:t>
      </w:r>
      <w:r w:rsidRPr="00D65AED">
        <w:rPr>
          <w:rFonts w:ascii="標楷體" w:eastAsia="標楷體" w:hAnsi="標楷體" w:hint="eastAsia"/>
          <w:sz w:val="28"/>
          <w:szCs w:val="28"/>
        </w:rPr>
        <w:t>陳</w:t>
      </w:r>
      <w:r w:rsidRPr="00D65AED">
        <w:rPr>
          <w:rFonts w:ascii="標楷體" w:eastAsia="標楷體" w:hAnsi="標楷體"/>
          <w:sz w:val="28"/>
          <w:szCs w:val="28"/>
        </w:rPr>
        <w:t>召</w:t>
      </w:r>
      <w:r w:rsidRPr="00D65AED">
        <w:rPr>
          <w:rFonts w:ascii="標楷體" w:eastAsia="標楷體" w:hAnsi="標楷體" w:hint="eastAsia"/>
          <w:sz w:val="28"/>
          <w:szCs w:val="28"/>
        </w:rPr>
        <w:t>集</w:t>
      </w:r>
      <w:r w:rsidRPr="00D65AED">
        <w:rPr>
          <w:rFonts w:ascii="標楷體" w:eastAsia="標楷體" w:hAnsi="標楷體"/>
          <w:sz w:val="28"/>
          <w:szCs w:val="28"/>
        </w:rPr>
        <w:t>委員</w:t>
      </w:r>
      <w:r w:rsidRPr="00D65AED">
        <w:rPr>
          <w:rFonts w:ascii="標楷體" w:eastAsia="標楷體" w:hAnsi="標楷體" w:hint="eastAsia"/>
          <w:sz w:val="28"/>
          <w:szCs w:val="28"/>
        </w:rPr>
        <w:t>歐珀</w:t>
      </w:r>
    </w:p>
    <w:p w14:paraId="505769F4"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4488A56F"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493F6D76" w14:textId="77777777" w:rsidR="00421BB5" w:rsidRPr="00D65AED" w:rsidRDefault="00421BB5" w:rsidP="00421BB5">
      <w:pPr>
        <w:adjustRightInd w:val="0"/>
        <w:snapToGrid w:val="0"/>
        <w:spacing w:line="360" w:lineRule="exact"/>
        <w:rPr>
          <w:rFonts w:ascii="標楷體" w:eastAsia="標楷體" w:hAnsi="標楷體"/>
          <w:sz w:val="28"/>
          <w:szCs w:val="28"/>
        </w:rPr>
      </w:pPr>
      <w:r w:rsidRPr="00D65AED">
        <w:rPr>
          <w:rFonts w:ascii="標楷體" w:eastAsia="標楷體" w:hAnsi="標楷體" w:hint="eastAsia"/>
          <w:sz w:val="28"/>
          <w:szCs w:val="28"/>
        </w:rPr>
        <w:t>紀    錄：簡任秘書　陳杏枝</w:t>
      </w:r>
    </w:p>
    <w:p w14:paraId="2157356A"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29A8EC6A"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50826E3B" w14:textId="77777777" w:rsidR="00421BB5" w:rsidRPr="00D65AED" w:rsidRDefault="00421BB5" w:rsidP="00421BB5">
      <w:pPr>
        <w:adjustRightInd w:val="0"/>
        <w:snapToGrid w:val="0"/>
        <w:spacing w:line="360" w:lineRule="exact"/>
        <w:ind w:firstLineChars="506" w:firstLine="1417"/>
        <w:jc w:val="both"/>
        <w:rPr>
          <w:rFonts w:ascii="標楷體" w:eastAsia="標楷體" w:hAnsi="標楷體"/>
          <w:sz w:val="28"/>
          <w:szCs w:val="28"/>
        </w:rPr>
      </w:pPr>
      <w:r w:rsidRPr="00D65AED">
        <w:rPr>
          <w:rFonts w:ascii="標楷體" w:eastAsia="標楷體" w:hAnsi="標楷體" w:hint="eastAsia"/>
          <w:sz w:val="28"/>
          <w:szCs w:val="28"/>
        </w:rPr>
        <w:t>專　　員　林宗賢</w:t>
      </w:r>
    </w:p>
    <w:p w14:paraId="36CBB177" w14:textId="77777777" w:rsidR="00421BB5" w:rsidRPr="00677A59"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677A59">
        <w:rPr>
          <w:rFonts w:ascii="標楷體" w:hAnsi="標楷體"/>
          <w:b/>
          <w:sz w:val="28"/>
          <w:szCs w:val="28"/>
        </w:rPr>
        <w:t>報告事項</w:t>
      </w:r>
    </w:p>
    <w:p w14:paraId="3F63E883" w14:textId="77777777" w:rsidR="00421BB5" w:rsidRPr="00D65AED" w:rsidRDefault="00421BB5" w:rsidP="00421BB5">
      <w:pPr>
        <w:pStyle w:val="afffff4"/>
        <w:spacing w:beforeLines="20" w:before="72" w:line="360" w:lineRule="exact"/>
        <w:ind w:left="560" w:hanging="560"/>
        <w:jc w:val="both"/>
        <w:rPr>
          <w:rFonts w:ascii="標楷體" w:hAnsi="標楷體"/>
          <w:snapToGrid w:val="0"/>
          <w:sz w:val="28"/>
          <w:szCs w:val="28"/>
        </w:rPr>
      </w:pPr>
      <w:r w:rsidRPr="00D65AED">
        <w:rPr>
          <w:rFonts w:ascii="標楷體" w:hAnsi="標楷體" w:hint="eastAsia"/>
          <w:snapToGrid w:val="0"/>
          <w:sz w:val="28"/>
          <w:szCs w:val="28"/>
        </w:rPr>
        <w:t>一、</w:t>
      </w:r>
      <w:r w:rsidRPr="00D65AED">
        <w:rPr>
          <w:rFonts w:ascii="標楷體" w:hAnsi="標楷體"/>
          <w:snapToGrid w:val="0"/>
          <w:sz w:val="28"/>
          <w:szCs w:val="28"/>
        </w:rPr>
        <w:t>宣讀上次會議議事錄</w:t>
      </w:r>
      <w:r w:rsidRPr="00D65AED">
        <w:rPr>
          <w:rFonts w:ascii="標楷體" w:hAnsi="標楷體" w:hint="eastAsia"/>
          <w:snapToGrid w:val="0"/>
          <w:sz w:val="28"/>
          <w:szCs w:val="28"/>
        </w:rPr>
        <w:t>。</w:t>
      </w:r>
    </w:p>
    <w:p w14:paraId="76DBD1F6"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snapToGrid w:val="0"/>
          <w:kern w:val="0"/>
          <w:sz w:val="28"/>
          <w:szCs w:val="28"/>
        </w:rPr>
      </w:pPr>
      <w:r w:rsidRPr="00D65AED">
        <w:rPr>
          <w:rFonts w:ascii="標楷體" w:eastAsia="標楷體" w:hAnsi="標楷體" w:hint="eastAsia"/>
          <w:snapToGrid w:val="0"/>
          <w:kern w:val="0"/>
          <w:sz w:val="28"/>
          <w:szCs w:val="28"/>
        </w:rPr>
        <w:t>決定：確定。</w:t>
      </w:r>
    </w:p>
    <w:p w14:paraId="6A12CB8B"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二、立法院秘書長函，為111年度中央政府總預算決議，檢送本院單位預算決議（一）凍結歲出預算100萬元書面報告，請查照案。</w:t>
      </w:r>
    </w:p>
    <w:p w14:paraId="6E177307"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三、立法院秘書長函，為111年度中央政府總預算決議，檢送本院單位預算決議（三）預算凍結書面報告，請查照案。</w:t>
      </w:r>
    </w:p>
    <w:p w14:paraId="14A4C417"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四、立法院秘書長函，為111年度中央政府總預算決議，檢送本院單位預算決議（四）凍結「一般行政」項下「基本行政工作維持」之「業務費」10萬元書面報告，請查照案。</w:t>
      </w:r>
    </w:p>
    <w:p w14:paraId="1003533E"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五、立法院秘書長函，為111年度中央政府總預算決議，檢送本院單位預算決議（五）凍結「設施及機械設備養護費」10萬元書面報告，請查照案。</w:t>
      </w:r>
    </w:p>
    <w:p w14:paraId="6A9D1D6E"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六、立法院秘書長函，為111年度中央政府總預算決議，檢送歲出部分決議（六）第1目「一般行政」項下「基本行政工作維持」中「業務費」之「國外旅費」凍結20%書面報告，請查照案。</w:t>
      </w:r>
    </w:p>
    <w:p w14:paraId="287EEFBC"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七、立法院秘書長函，為111年度中央政府總預算決議，檢送歲出部</w:t>
      </w:r>
      <w:r w:rsidRPr="00D65AED">
        <w:rPr>
          <w:rFonts w:ascii="標楷體" w:eastAsia="標楷體" w:hAnsi="標楷體" w:hint="eastAsia"/>
          <w:sz w:val="28"/>
          <w:szCs w:val="28"/>
        </w:rPr>
        <w:lastRenderedPageBreak/>
        <w:t>分決議（八）「對學生之獎助」預算凍結15萬元書面報告，請查照案。</w:t>
      </w:r>
    </w:p>
    <w:p w14:paraId="28BFD2EB"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八、立法院秘書長函，為111年度中央政府總預算決議，檢送本院單位預算決議（九）預算凍結書面報告，請查照案。</w:t>
      </w:r>
    </w:p>
    <w:p w14:paraId="620B501E"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九、立法院秘書長函，為111年度中央政府總預算決議，檢送本院單位預算決議（十）凍結「一般行政」項下「資訊管理業務」100萬元書面報告，請查照案。</w:t>
      </w:r>
    </w:p>
    <w:p w14:paraId="670D8B6D"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十、立法院秘書長函，為111年度中央政府總預算決議，檢送本院單位預算決議（十一）凍結第1目「一般行政」項下「資訊管理業務」100萬元書面報告，請查照案。</w:t>
      </w:r>
    </w:p>
    <w:p w14:paraId="0DAAD075"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十一、立法院秘書長函，為111年度中央政府總預算決議，檢送本院單位預算決議（十二）凍結「一般行政」項下「資訊管理業務」50萬元書面報告，請查照案。</w:t>
      </w:r>
    </w:p>
    <w:p w14:paraId="6D0BD5A5"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十二、立法院秘書長函，為111年度中央政府總預算決議，檢送本院單位預算決議（十三）凍結「一般行政」項下「資訊管理業務」50萬元書面報告，請查照案。</w:t>
      </w:r>
    </w:p>
    <w:p w14:paraId="7A0FFD2B"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十三、立法院秘書長函，為111年度中央政府總預算決議，檢送本院單位預算決議（十四）凍結「一般行政」項下「資訊管理業務」50萬元書面報告，請查照案。</w:t>
      </w:r>
    </w:p>
    <w:p w14:paraId="52705FEB"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十四、立法院秘書長函，為111年度中央政府總預算決議，檢送本院單位預算決議（十五）凍結「一般行政」項下「資訊管理業務」50萬元書面報告，請查照案。</w:t>
      </w:r>
    </w:p>
    <w:p w14:paraId="3C1C999B"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十五、立法院秘書長函，為111年度中央政府總預算決議，檢送本院單位預算決議（十六）凍結「資訊服務費」200萬元書面報告，請查照案。</w:t>
      </w:r>
    </w:p>
    <w:p w14:paraId="303DA3FB"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十六、立法院秘書長函，為111年度中央政府總預算決議，檢送本院單位預算決議（十七）凍結「委員問政業務」50萬元書面報告，請查照案。</w:t>
      </w:r>
    </w:p>
    <w:p w14:paraId="47C89166"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十七、立法院秘書長函，為111年度中央政府總預算決議，檢送本院單位預算決議（十八）凍結「委員會館」項下「業務費」50萬元書面報告，請查照案。</w:t>
      </w:r>
    </w:p>
    <w:p w14:paraId="747EDF40"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十八、立法院秘書長函，為111年度中央政府總預算決議，檢送本院單位預算決議（二十）「議事業務」預算凍結20萬元書面報告，請查照案。</w:t>
      </w:r>
    </w:p>
    <w:p w14:paraId="42479B5A"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十九、立法院秘書長函，為111年度中央政府總預算決議，檢送本院單位預算決議（二十一）「議事業務」預算凍結20萬元書面報告，請查照案。</w:t>
      </w:r>
    </w:p>
    <w:p w14:paraId="501FA456"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二十、立法院秘書長函，為111年度中央政府總預算決議，檢送本院單位預算決議（二十二）「議事業務」預算凍結20萬元書面報告，請查照案。</w:t>
      </w:r>
    </w:p>
    <w:p w14:paraId="68F04C82"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lastRenderedPageBreak/>
        <w:t>二十一、立法院秘書長函，為111年度中央政府總預算決議，檢送本院單位預算決議（二十三）「議事業務」預算凍結20萬元書面報告，請查照案。</w:t>
      </w:r>
    </w:p>
    <w:p w14:paraId="65B40C30"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二十二、立法院秘書長函，為111年度中央政府總預算決議，檢送本院單位預算決議（二十四）「議事業務」項下「委員會議事」中「業務費」預算凍結20萬元書面報告，請查照案。</w:t>
      </w:r>
    </w:p>
    <w:p w14:paraId="47447C08"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二十三、立法院秘書長函，為111年度中央政府總預算決議，檢送本院單位預算決議（二十五）凍結第4目「立法諮詢業務」項下20萬元書面報告，請查照案。</w:t>
      </w:r>
    </w:p>
    <w:p w14:paraId="29571CA5"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二十四、立法院秘書長函，為111年度中央政府總預算決議，檢送歲出部分決議（二十六）第5目「國會圖書業務」預算凍結400萬元書面報告，請查照案。</w:t>
      </w:r>
    </w:p>
    <w:p w14:paraId="0DF2A256"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二十五、立法院秘書長函，為111年度中央政府總預算決議，檢送本院單位預算決議（二十七）凍結第6目「公報業務」項下「公報行政」中「業務費」之「委辦費」100萬元書面報告，請查照案。</w:t>
      </w:r>
    </w:p>
    <w:p w14:paraId="304A8028"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二十六、立法院秘書長函，為111年度中央政府總預算決議，檢送本院單位預算決議（二十八）凍結「營建工程」20萬元書面報告，請查照案。</w:t>
      </w:r>
    </w:p>
    <w:p w14:paraId="352339E0"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二十七、立法院秘書長函，為111年度中央政府總預算決議，檢送本院單位預算決議（二十九）凍結「一般建築及設備」項下「其他設備」100萬元書面報告，請查照案。</w:t>
      </w:r>
    </w:p>
    <w:p w14:paraId="23701AD2"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二十八、立法院秘書長函，為111年度中央政府總預算決議，檢送歲出部分決議（五十一）第4目項下「預算諮詢業務」中「業務費」預算凍結10萬元書面報告，請查照案。</w:t>
      </w:r>
    </w:p>
    <w:p w14:paraId="1EC1B8F7" w14:textId="77777777" w:rsidR="00421BB5" w:rsidRPr="00D65AED" w:rsidRDefault="00421BB5" w:rsidP="00421BB5">
      <w:pPr>
        <w:adjustRightInd w:val="0"/>
        <w:snapToGrid w:val="0"/>
        <w:spacing w:line="360" w:lineRule="exact"/>
        <w:ind w:left="543" w:hangingChars="194" w:hanging="543"/>
        <w:jc w:val="both"/>
        <w:rPr>
          <w:rFonts w:ascii="標楷體" w:eastAsia="標楷體" w:hAnsi="標楷體"/>
          <w:sz w:val="28"/>
          <w:szCs w:val="28"/>
        </w:rPr>
      </w:pPr>
      <w:r w:rsidRPr="00D65AED">
        <w:rPr>
          <w:rFonts w:ascii="標楷體" w:eastAsia="標楷體" w:hAnsi="標楷體" w:hint="eastAsia"/>
          <w:sz w:val="28"/>
          <w:szCs w:val="28"/>
        </w:rPr>
        <w:t>二十九、立法院秘書長函，為111年度中央政府總預算決議，檢送本院單位預算決議（五十二）凍結第6目「公報業務」項下「公報行政」200萬元書面報告，請查照案。</w:t>
      </w:r>
    </w:p>
    <w:p w14:paraId="08E1AAEF"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kern w:val="0"/>
          <w:sz w:val="28"/>
          <w:szCs w:val="28"/>
          <w:shd w:val="clear" w:color="auto" w:fill="FFFFFF"/>
        </w:rPr>
      </w:pPr>
      <w:r w:rsidRPr="00D65AED">
        <w:rPr>
          <w:rFonts w:ascii="標楷體" w:eastAsia="標楷體" w:hAnsi="標楷體" w:hint="eastAsia"/>
          <w:kern w:val="0"/>
          <w:sz w:val="28"/>
          <w:szCs w:val="28"/>
          <w:shd w:val="clear" w:color="auto" w:fill="FFFFFF"/>
        </w:rPr>
        <w:t>決定：第二案至第二十九案，均准予備查，提報院會。</w:t>
      </w:r>
    </w:p>
    <w:p w14:paraId="54674613"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18F82A09"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一、審查112年度中央政府總預算案關於立法院主管收支部分。</w:t>
      </w:r>
    </w:p>
    <w:p w14:paraId="03715AA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二、立法院秘書長函，為111年度中央政府總預算決議，檢送本院單位預算決議（二）凍結預算100萬元書面報告，請查照案。</w:t>
      </w:r>
    </w:p>
    <w:p w14:paraId="2EAFD27F"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三、立法院秘書長函，為111年度中央政府總預算決議，檢送本院單位預算決議（七）凍結「雜項設備費」50萬元書面報告，請查照案。</w:t>
      </w:r>
    </w:p>
    <w:p w14:paraId="2A2B2875"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四、立法院秘書長函，為111年度中央政府總預算決議，檢送本院單位預算決議（十九）凍結「委員研究室」項下「業務費」50萬元書面報告，請查照案。</w:t>
      </w:r>
    </w:p>
    <w:p w14:paraId="54BBCD92"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五、立法院秘書長函，為111年度中央政府總預算決議，檢送本院單</w:t>
      </w:r>
      <w:r w:rsidRPr="00D65AED">
        <w:rPr>
          <w:rFonts w:ascii="標楷體" w:eastAsia="標楷體" w:hAnsi="標楷體" w:hint="eastAsia"/>
          <w:sz w:val="28"/>
          <w:szCs w:val="28"/>
        </w:rPr>
        <w:lastRenderedPageBreak/>
        <w:t>位預算決議（五十）凍結第1目「一般行政」50萬元書面報告，請查照案。</w:t>
      </w:r>
    </w:p>
    <w:p w14:paraId="43CA354D" w14:textId="77777777" w:rsidR="00421BB5" w:rsidRPr="00D65AED" w:rsidRDefault="00421BB5" w:rsidP="00421BB5">
      <w:pPr>
        <w:autoSpaceDN w:val="0"/>
        <w:spacing w:line="360" w:lineRule="exact"/>
        <w:ind w:leftChars="-87" w:left="71" w:hangingChars="100" w:hanging="280"/>
        <w:jc w:val="both"/>
        <w:rPr>
          <w:rFonts w:ascii="標楷體" w:eastAsia="標楷體" w:hAnsi="標楷體"/>
          <w:sz w:val="28"/>
          <w:szCs w:val="28"/>
        </w:rPr>
      </w:pPr>
      <w:r w:rsidRPr="00D65AED">
        <w:rPr>
          <w:rFonts w:ascii="標楷體" w:eastAsia="標楷體" w:hAnsi="標楷體" w:hint="eastAsia"/>
          <w:sz w:val="28"/>
          <w:szCs w:val="28"/>
        </w:rPr>
        <w:t>（本次會議有委員游毓蘭、曾銘宗、黃世杰、陳歐珀、陳以信、江永昌、</w:t>
      </w:r>
      <w:r w:rsidRPr="00D65AED">
        <w:rPr>
          <w:rFonts w:ascii="標楷體" w:eastAsia="標楷體" w:hAnsi="標楷體"/>
          <w:sz w:val="28"/>
          <w:szCs w:val="28"/>
        </w:rPr>
        <w:t>鄭天財Sra</w:t>
      </w:r>
      <w:r w:rsidRPr="00D65AED">
        <w:rPr>
          <w:rFonts w:ascii="標楷體" w:eastAsia="標楷體" w:hAnsi="標楷體" w:hint="eastAsia"/>
          <w:sz w:val="28"/>
          <w:szCs w:val="28"/>
        </w:rPr>
        <w:t xml:space="preserve"> </w:t>
      </w:r>
      <w:r w:rsidRPr="00D65AED">
        <w:rPr>
          <w:rFonts w:ascii="標楷體" w:eastAsia="標楷體" w:hAnsi="標楷體"/>
          <w:sz w:val="28"/>
          <w:szCs w:val="28"/>
        </w:rPr>
        <w:t>Kacaw</w:t>
      </w:r>
      <w:r w:rsidRPr="00D65AED">
        <w:rPr>
          <w:rFonts w:ascii="標楷體" w:eastAsia="標楷體" w:hAnsi="標楷體" w:hint="eastAsia"/>
          <w:sz w:val="28"/>
          <w:szCs w:val="28"/>
        </w:rPr>
        <w:t>、林思銘、吳玉琴、林靜儀提出質詢；委員鄭運鵬、周春米、陳玉珍、劉建國提出書面質詢。）</w:t>
      </w:r>
    </w:p>
    <w:p w14:paraId="3F6BADF4" w14:textId="77777777" w:rsidR="00421BB5" w:rsidRPr="00D65AED" w:rsidRDefault="00421BB5" w:rsidP="00421BB5">
      <w:pPr>
        <w:spacing w:line="360" w:lineRule="exact"/>
        <w:ind w:left="280" w:hangingChars="100" w:hanging="280"/>
        <w:contextualSpacing/>
        <w:jc w:val="both"/>
        <w:rPr>
          <w:rFonts w:ascii="標楷體" w:eastAsia="標楷體" w:hAnsi="標楷體"/>
          <w:sz w:val="28"/>
          <w:szCs w:val="28"/>
        </w:rPr>
      </w:pPr>
      <w:r w:rsidRPr="00D65AED">
        <w:rPr>
          <w:rFonts w:ascii="標楷體" w:eastAsia="標楷體" w:hAnsi="標楷體"/>
          <w:sz w:val="28"/>
          <w:szCs w:val="28"/>
        </w:rPr>
        <w:t>決議：</w:t>
      </w:r>
    </w:p>
    <w:p w14:paraId="20FD4175" w14:textId="77777777" w:rsidR="00421BB5" w:rsidRPr="00D65AED" w:rsidRDefault="00421BB5" w:rsidP="00421BB5">
      <w:pPr>
        <w:autoSpaceDN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一</w:t>
      </w:r>
      <w:r w:rsidRPr="00D65AED">
        <w:rPr>
          <w:rFonts w:ascii="標楷體" w:eastAsia="標楷體" w:hAnsi="標楷體"/>
          <w:sz w:val="28"/>
          <w:szCs w:val="28"/>
        </w:rPr>
        <w:t>、</w:t>
      </w:r>
      <w:r w:rsidRPr="00D65AED">
        <w:rPr>
          <w:rFonts w:ascii="標楷體" w:eastAsia="標楷體" w:hAnsi="標楷體" w:hint="eastAsia"/>
          <w:sz w:val="28"/>
          <w:szCs w:val="28"/>
        </w:rPr>
        <w:t>報告及詢答完畢。</w:t>
      </w:r>
    </w:p>
    <w:p w14:paraId="2EC4FAD9" w14:textId="77777777" w:rsidR="00421BB5" w:rsidRPr="00D65AED" w:rsidRDefault="00421BB5" w:rsidP="00421BB5">
      <w:pPr>
        <w:autoSpaceDN w:val="0"/>
        <w:spacing w:line="360" w:lineRule="exact"/>
        <w:ind w:left="561" w:hangingChars="200" w:hanging="561"/>
        <w:contextualSpacing/>
        <w:jc w:val="both"/>
        <w:rPr>
          <w:rFonts w:ascii="標楷體" w:eastAsia="標楷體" w:hAnsi="標楷體"/>
          <w:b/>
          <w:sz w:val="28"/>
          <w:szCs w:val="28"/>
        </w:rPr>
      </w:pPr>
      <w:r w:rsidRPr="00D65AED">
        <w:rPr>
          <w:rFonts w:ascii="標楷體" w:eastAsia="標楷體" w:hAnsi="標楷體"/>
          <w:b/>
          <w:sz w:val="28"/>
          <w:szCs w:val="28"/>
        </w:rPr>
        <w:t>二、歲入部分</w:t>
      </w:r>
    </w:p>
    <w:p w14:paraId="55D82C66" w14:textId="77777777" w:rsidR="00421BB5" w:rsidRPr="00EF3A65" w:rsidRDefault="00421BB5" w:rsidP="00EF3A65">
      <w:pPr>
        <w:spacing w:line="360" w:lineRule="exact"/>
        <w:ind w:left="559" w:hanging="557"/>
        <w:rPr>
          <w:rFonts w:ascii="標楷體" w:eastAsia="標楷體" w:hAnsi="標楷體"/>
          <w:sz w:val="28"/>
          <w:szCs w:val="28"/>
        </w:rPr>
      </w:pPr>
      <w:r w:rsidRPr="00EF3A65">
        <w:rPr>
          <w:rFonts w:ascii="標楷體" w:eastAsia="標楷體" w:hAnsi="標楷體"/>
          <w:sz w:val="28"/>
          <w:szCs w:val="28"/>
        </w:rPr>
        <w:t>第2款　罰款及賠償收入</w:t>
      </w:r>
    </w:p>
    <w:p w14:paraId="612C2F87" w14:textId="77777777" w:rsidR="00421BB5" w:rsidRPr="00EF3A65" w:rsidRDefault="00421BB5" w:rsidP="00EF3A65">
      <w:pPr>
        <w:spacing w:line="360" w:lineRule="exact"/>
        <w:ind w:left="594" w:hanging="311"/>
        <w:rPr>
          <w:rFonts w:ascii="標楷體" w:eastAsia="標楷體" w:hAnsi="標楷體"/>
          <w:kern w:val="0"/>
          <w:sz w:val="28"/>
          <w:szCs w:val="28"/>
        </w:rPr>
      </w:pPr>
      <w:r w:rsidRPr="00EF3A65">
        <w:rPr>
          <w:rFonts w:ascii="標楷體" w:eastAsia="標楷體" w:hAnsi="標楷體"/>
          <w:sz w:val="28"/>
          <w:szCs w:val="28"/>
        </w:rPr>
        <w:t>第</w:t>
      </w:r>
      <w:r w:rsidRPr="00EF3A65">
        <w:rPr>
          <w:rFonts w:ascii="標楷體" w:eastAsia="標楷體" w:hAnsi="標楷體" w:hint="eastAsia"/>
          <w:sz w:val="28"/>
          <w:szCs w:val="28"/>
        </w:rPr>
        <w:t>20</w:t>
      </w:r>
      <w:r w:rsidRPr="00EF3A65">
        <w:rPr>
          <w:rFonts w:ascii="標楷體" w:eastAsia="標楷體" w:hAnsi="標楷體"/>
          <w:sz w:val="28"/>
          <w:szCs w:val="28"/>
        </w:rPr>
        <w:t xml:space="preserve">項　</w:t>
      </w:r>
      <w:r w:rsidRPr="00EF3A65">
        <w:rPr>
          <w:rFonts w:ascii="標楷體" w:eastAsia="標楷體" w:hAnsi="標楷體" w:hint="eastAsia"/>
          <w:sz w:val="28"/>
          <w:szCs w:val="28"/>
        </w:rPr>
        <w:t>立法院17萬2千元，照列。</w:t>
      </w:r>
    </w:p>
    <w:p w14:paraId="77282C26" w14:textId="77777777" w:rsidR="00421BB5" w:rsidRPr="00D65AED" w:rsidRDefault="00421BB5" w:rsidP="00421BB5">
      <w:pPr>
        <w:adjustRightInd w:val="0"/>
        <w:snapToGrid w:val="0"/>
        <w:spacing w:line="360" w:lineRule="exact"/>
        <w:jc w:val="both"/>
        <w:rPr>
          <w:rFonts w:ascii="標楷體" w:eastAsia="標楷體" w:hAnsi="標楷體"/>
          <w:kern w:val="0"/>
          <w:sz w:val="28"/>
          <w:szCs w:val="28"/>
        </w:rPr>
      </w:pPr>
      <w:r w:rsidRPr="00D65AED">
        <w:rPr>
          <w:rFonts w:ascii="標楷體" w:eastAsia="標楷體" w:hAnsi="標楷體"/>
          <w:kern w:val="0"/>
          <w:sz w:val="28"/>
          <w:szCs w:val="28"/>
        </w:rPr>
        <w:t>第4款　財產收入</w:t>
      </w:r>
    </w:p>
    <w:p w14:paraId="5B32B367" w14:textId="77777777" w:rsidR="00421BB5" w:rsidRPr="00D65AED" w:rsidRDefault="00421BB5" w:rsidP="00421BB5">
      <w:pPr>
        <w:adjustRightInd w:val="0"/>
        <w:snapToGrid w:val="0"/>
        <w:spacing w:line="360" w:lineRule="exact"/>
        <w:ind w:leftChars="135" w:left="1612" w:hangingChars="460" w:hanging="1288"/>
        <w:jc w:val="both"/>
        <w:rPr>
          <w:rFonts w:ascii="標楷體" w:eastAsia="標楷體" w:hAnsi="標楷體"/>
          <w:sz w:val="28"/>
          <w:szCs w:val="28"/>
        </w:rPr>
      </w:pPr>
      <w:r w:rsidRPr="00D65AED">
        <w:rPr>
          <w:rFonts w:ascii="標楷體" w:eastAsia="標楷體" w:hAnsi="標楷體"/>
          <w:sz w:val="28"/>
          <w:szCs w:val="28"/>
        </w:rPr>
        <w:t>第</w:t>
      </w:r>
      <w:r w:rsidRPr="00D65AED">
        <w:rPr>
          <w:rFonts w:ascii="標楷體" w:eastAsia="標楷體" w:hAnsi="標楷體" w:hint="eastAsia"/>
          <w:sz w:val="28"/>
          <w:szCs w:val="28"/>
        </w:rPr>
        <w:t>22</w:t>
      </w:r>
      <w:r w:rsidRPr="00D65AED">
        <w:rPr>
          <w:rFonts w:ascii="標楷體" w:eastAsia="標楷體" w:hAnsi="標楷體"/>
          <w:sz w:val="28"/>
          <w:szCs w:val="28"/>
        </w:rPr>
        <w:t xml:space="preserve">項　</w:t>
      </w:r>
      <w:r w:rsidRPr="00D65AED">
        <w:rPr>
          <w:rFonts w:ascii="標楷體" w:eastAsia="標楷體" w:hAnsi="標楷體" w:hint="eastAsia"/>
          <w:sz w:val="28"/>
          <w:szCs w:val="28"/>
        </w:rPr>
        <w:t>立法院970萬6千元</w:t>
      </w:r>
      <w:r w:rsidRPr="00D65AED">
        <w:rPr>
          <w:rFonts w:ascii="標楷體" w:eastAsia="標楷體" w:hAnsi="標楷體"/>
          <w:sz w:val="28"/>
          <w:szCs w:val="28"/>
        </w:rPr>
        <w:t>，</w:t>
      </w:r>
      <w:r w:rsidRPr="00D65AED">
        <w:rPr>
          <w:rFonts w:ascii="標楷體" w:eastAsia="標楷體" w:hAnsi="標楷體" w:hint="eastAsia"/>
          <w:sz w:val="28"/>
          <w:szCs w:val="28"/>
        </w:rPr>
        <w:t>照列</w:t>
      </w:r>
      <w:r w:rsidRPr="00D65AED">
        <w:rPr>
          <w:rFonts w:ascii="標楷體" w:eastAsia="標楷體" w:hAnsi="標楷體"/>
          <w:sz w:val="28"/>
          <w:szCs w:val="28"/>
        </w:rPr>
        <w:t>。</w:t>
      </w:r>
    </w:p>
    <w:p w14:paraId="43194B29" w14:textId="77777777" w:rsidR="00421BB5" w:rsidRPr="00D65AED" w:rsidRDefault="00421BB5" w:rsidP="00421BB5">
      <w:pPr>
        <w:adjustRightInd w:val="0"/>
        <w:snapToGrid w:val="0"/>
        <w:spacing w:line="360" w:lineRule="exact"/>
        <w:jc w:val="both"/>
        <w:rPr>
          <w:rFonts w:ascii="標楷體" w:eastAsia="標楷體" w:hAnsi="標楷體"/>
          <w:kern w:val="0"/>
          <w:sz w:val="28"/>
          <w:szCs w:val="28"/>
        </w:rPr>
      </w:pPr>
      <w:r w:rsidRPr="00D65AED">
        <w:rPr>
          <w:rFonts w:ascii="標楷體" w:eastAsia="標楷體" w:hAnsi="標楷體"/>
          <w:sz w:val="28"/>
          <w:szCs w:val="28"/>
        </w:rPr>
        <w:t xml:space="preserve">第7款　</w:t>
      </w:r>
      <w:r w:rsidRPr="00D65AED">
        <w:rPr>
          <w:rFonts w:ascii="標楷體" w:eastAsia="標楷體" w:hAnsi="標楷體"/>
          <w:kern w:val="0"/>
          <w:sz w:val="28"/>
          <w:szCs w:val="28"/>
        </w:rPr>
        <w:t>其他收入</w:t>
      </w:r>
    </w:p>
    <w:p w14:paraId="3C654E7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sz w:val="28"/>
          <w:szCs w:val="28"/>
        </w:rPr>
        <w:t>第</w:t>
      </w:r>
      <w:r w:rsidRPr="00D65AED">
        <w:rPr>
          <w:rFonts w:ascii="標楷體" w:eastAsia="標楷體" w:hAnsi="標楷體" w:hint="eastAsia"/>
          <w:sz w:val="28"/>
          <w:szCs w:val="28"/>
        </w:rPr>
        <w:t>22</w:t>
      </w:r>
      <w:r w:rsidRPr="00D65AED">
        <w:rPr>
          <w:rFonts w:ascii="標楷體" w:eastAsia="標楷體" w:hAnsi="標楷體"/>
          <w:sz w:val="28"/>
          <w:szCs w:val="28"/>
        </w:rPr>
        <w:t xml:space="preserve">項　</w:t>
      </w:r>
      <w:r w:rsidRPr="00D65AED">
        <w:rPr>
          <w:rFonts w:ascii="標楷體" w:eastAsia="標楷體" w:hAnsi="標楷體" w:hint="eastAsia"/>
          <w:sz w:val="28"/>
          <w:szCs w:val="28"/>
        </w:rPr>
        <w:t>立法院99萬8千元</w:t>
      </w:r>
      <w:r w:rsidRPr="00D65AED">
        <w:rPr>
          <w:rFonts w:ascii="標楷體" w:eastAsia="標楷體" w:hAnsi="標楷體"/>
          <w:sz w:val="28"/>
          <w:szCs w:val="28"/>
        </w:rPr>
        <w:t>，照列。</w:t>
      </w:r>
    </w:p>
    <w:p w14:paraId="157F2A2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本項通過決議1項：</w:t>
      </w:r>
    </w:p>
    <w:p w14:paraId="4A800F1A" w14:textId="77777777" w:rsidR="00421BB5" w:rsidRPr="00D65AED" w:rsidRDefault="00421BB5" w:rsidP="00421BB5">
      <w:pPr>
        <w:pStyle w:val="0-"/>
        <w:rPr>
          <w:rStyle w:val="0-0"/>
        </w:rPr>
      </w:pPr>
      <w:r w:rsidRPr="00D65AED">
        <w:rPr>
          <w:rFonts w:hint="eastAsia"/>
        </w:rPr>
        <w:t>(一)立法院經管宿舍合計7</w:t>
      </w:r>
      <w:r w:rsidRPr="00D65AED">
        <w:t>2</w:t>
      </w:r>
      <w:r w:rsidRPr="00D65AED">
        <w:rPr>
          <w:rFonts w:hint="eastAsia"/>
        </w:rPr>
        <w:t>戶，除30戶為辦公室用途、5戶供本院職員有償借用並繳納7萬3千元租金，其餘37戶為臺灣省議會時期退休人員或其眷屬無償居住使用。依據台58人政肆字第25768號，退休人員過世後，無獨立謀生能力之眷屬才准予暫時續住。請立法院就「現居宿舍者是否符合居住資格及未來宿舍空間活化計畫」提出書面報告。</w:t>
      </w:r>
    </w:p>
    <w:p w14:paraId="2DD02D7E" w14:textId="77777777" w:rsidR="00421BB5" w:rsidRPr="00D65AED" w:rsidRDefault="00421BB5" w:rsidP="00421BB5">
      <w:pPr>
        <w:pStyle w:val="2-1"/>
        <w:rPr>
          <w:shd w:val="clear" w:color="auto" w:fill="FFFFFF"/>
        </w:rPr>
      </w:pPr>
      <w:r w:rsidRPr="00D65AED">
        <w:rPr>
          <w:rFonts w:hint="eastAsia"/>
          <w:shd w:val="clear" w:color="auto" w:fill="FFFFFF"/>
        </w:rPr>
        <w:t>提案人：陳歐珀</w:t>
      </w:r>
    </w:p>
    <w:p w14:paraId="266DF478" w14:textId="77777777" w:rsidR="00421BB5" w:rsidRPr="00D65AED" w:rsidRDefault="00421BB5" w:rsidP="00421BB5">
      <w:pPr>
        <w:pStyle w:val="2-1"/>
      </w:pPr>
      <w:r w:rsidRPr="00D65AED">
        <w:rPr>
          <w:rFonts w:hint="eastAsia"/>
        </w:rPr>
        <w:t>連署人：黃世杰 江永昌</w:t>
      </w:r>
    </w:p>
    <w:p w14:paraId="63487430"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b/>
          <w:sz w:val="28"/>
          <w:szCs w:val="28"/>
        </w:rPr>
        <w:t>三、歲出部分</w:t>
      </w:r>
    </w:p>
    <w:p w14:paraId="6D9E320C" w14:textId="77777777" w:rsidR="00421BB5" w:rsidRPr="00D65AED" w:rsidRDefault="00421BB5" w:rsidP="00421BB5">
      <w:pPr>
        <w:adjustRightInd w:val="0"/>
        <w:snapToGrid w:val="0"/>
        <w:spacing w:line="360" w:lineRule="exact"/>
        <w:jc w:val="both"/>
        <w:rPr>
          <w:rFonts w:ascii="標楷體" w:eastAsia="標楷體" w:hAnsi="標楷體"/>
          <w:kern w:val="0"/>
          <w:sz w:val="28"/>
          <w:szCs w:val="28"/>
        </w:rPr>
      </w:pPr>
      <w:r w:rsidRPr="00D65AED">
        <w:rPr>
          <w:rFonts w:ascii="標楷體" w:eastAsia="標楷體" w:hAnsi="標楷體"/>
          <w:kern w:val="0"/>
          <w:sz w:val="28"/>
          <w:szCs w:val="28"/>
        </w:rPr>
        <w:t>第</w:t>
      </w:r>
      <w:r w:rsidRPr="00D65AED">
        <w:rPr>
          <w:rFonts w:ascii="標楷體" w:eastAsia="標楷體" w:hAnsi="標楷體" w:hint="eastAsia"/>
          <w:kern w:val="0"/>
          <w:sz w:val="28"/>
          <w:szCs w:val="28"/>
        </w:rPr>
        <w:t>3</w:t>
      </w:r>
      <w:r w:rsidRPr="00D65AED">
        <w:rPr>
          <w:rFonts w:ascii="標楷體" w:eastAsia="標楷體" w:hAnsi="標楷體"/>
          <w:kern w:val="0"/>
          <w:sz w:val="28"/>
          <w:szCs w:val="28"/>
        </w:rPr>
        <w:t xml:space="preserve">款　</w:t>
      </w:r>
      <w:r w:rsidRPr="00D65AED">
        <w:rPr>
          <w:rFonts w:ascii="標楷體" w:eastAsia="標楷體" w:hAnsi="標楷體" w:hint="eastAsia"/>
          <w:kern w:val="0"/>
          <w:sz w:val="28"/>
          <w:szCs w:val="28"/>
        </w:rPr>
        <w:t>立法院</w:t>
      </w:r>
      <w:r w:rsidRPr="00D65AED">
        <w:rPr>
          <w:rFonts w:ascii="標楷體" w:eastAsia="標楷體" w:hAnsi="標楷體"/>
          <w:kern w:val="0"/>
          <w:sz w:val="28"/>
          <w:szCs w:val="28"/>
        </w:rPr>
        <w:t>主管</w:t>
      </w:r>
    </w:p>
    <w:p w14:paraId="68F2E3AD" w14:textId="77777777" w:rsidR="00421BB5" w:rsidRPr="00D65AED" w:rsidRDefault="00421BB5" w:rsidP="00421BB5">
      <w:pPr>
        <w:adjustRightInd w:val="0"/>
        <w:snapToGrid w:val="0"/>
        <w:spacing w:line="360" w:lineRule="exact"/>
        <w:ind w:leftChars="138" w:left="1451" w:hangingChars="400" w:hanging="1120"/>
        <w:jc w:val="both"/>
        <w:rPr>
          <w:rFonts w:ascii="標楷體" w:eastAsia="標楷體" w:hAnsi="標楷體"/>
          <w:sz w:val="28"/>
          <w:szCs w:val="28"/>
        </w:rPr>
      </w:pPr>
      <w:r w:rsidRPr="00D65AED">
        <w:rPr>
          <w:rFonts w:ascii="標楷體" w:eastAsia="標楷體" w:hAnsi="標楷體"/>
          <w:sz w:val="28"/>
          <w:szCs w:val="28"/>
        </w:rPr>
        <w:t xml:space="preserve">第1項　</w:t>
      </w:r>
      <w:r w:rsidRPr="00D65AED">
        <w:rPr>
          <w:rFonts w:ascii="標楷體" w:eastAsia="標楷體" w:hAnsi="標楷體" w:hint="eastAsia"/>
          <w:sz w:val="28"/>
          <w:szCs w:val="28"/>
        </w:rPr>
        <w:t>立法院36億3,496萬5千元，照列</w:t>
      </w:r>
      <w:r w:rsidRPr="00D65AED">
        <w:rPr>
          <w:rFonts w:ascii="標楷體" w:eastAsia="標楷體" w:hAnsi="標楷體"/>
          <w:sz w:val="28"/>
          <w:szCs w:val="28"/>
        </w:rPr>
        <w:t>。</w:t>
      </w:r>
    </w:p>
    <w:p w14:paraId="491564A6" w14:textId="77777777" w:rsidR="00421BB5" w:rsidRPr="00D65AED" w:rsidRDefault="00421BB5" w:rsidP="00421BB5">
      <w:pPr>
        <w:pStyle w:val="0-"/>
      </w:pPr>
      <w:r w:rsidRPr="00D65AED">
        <w:rPr>
          <w:rFonts w:hint="eastAsia"/>
        </w:rPr>
        <w:t>本項通過決議29項：</w:t>
      </w:r>
    </w:p>
    <w:p w14:paraId="54C3175C" w14:textId="77777777" w:rsidR="00421BB5" w:rsidRPr="00D65AED" w:rsidRDefault="00421BB5" w:rsidP="00421BB5">
      <w:pPr>
        <w:pStyle w:val="0-"/>
        <w:rPr>
          <w:rStyle w:val="0-0"/>
        </w:rPr>
      </w:pPr>
      <w:r w:rsidRPr="00D65AED">
        <w:rPr>
          <w:rFonts w:hint="eastAsia"/>
        </w:rPr>
        <w:t>(一)</w:t>
      </w:r>
      <w:r w:rsidRPr="00D65AED">
        <w:rPr>
          <w:rStyle w:val="0-0"/>
          <w:rFonts w:hint="eastAsia"/>
        </w:rPr>
        <w:t>112年度立法院歲出預算第1目「一般行政」編列17億6</w:t>
      </w:r>
      <w:r w:rsidRPr="00D65AED">
        <w:rPr>
          <w:rStyle w:val="0-0"/>
        </w:rPr>
        <w:t>,</w:t>
      </w:r>
      <w:r w:rsidRPr="00D65AED">
        <w:rPr>
          <w:rStyle w:val="0-0"/>
          <w:rFonts w:hint="eastAsia"/>
        </w:rPr>
        <w:t>059萬5千元，凍結300萬元，俟向立法院司法及法制委員會提出書面報告後，始得動支。</w:t>
      </w:r>
    </w:p>
    <w:p w14:paraId="5B640334" w14:textId="77777777" w:rsidR="00421BB5" w:rsidRPr="00D65AED" w:rsidRDefault="00421BB5" w:rsidP="00421BB5">
      <w:pPr>
        <w:pStyle w:val="2-1"/>
        <w:rPr>
          <w:shd w:val="clear" w:color="auto" w:fill="FFFFFF"/>
        </w:rPr>
      </w:pPr>
      <w:r w:rsidRPr="00D65AED">
        <w:rPr>
          <w:rFonts w:hint="eastAsia"/>
          <w:shd w:val="clear" w:color="auto" w:fill="FFFFFF"/>
        </w:rPr>
        <w:t xml:space="preserve">提案人：陳玉珍 劉建國 江永昌 陳以信 </w:t>
      </w:r>
    </w:p>
    <w:p w14:paraId="26DBD97A" w14:textId="77777777" w:rsidR="00421BB5" w:rsidRPr="00D65AED" w:rsidRDefault="00421BB5" w:rsidP="00421BB5">
      <w:pPr>
        <w:pStyle w:val="2-1"/>
        <w:ind w:leftChars="1907" w:left="4700" w:hangingChars="44" w:hanging="123"/>
        <w:rPr>
          <w:shd w:val="clear" w:color="auto" w:fill="FFFFFF"/>
        </w:rPr>
      </w:pPr>
      <w:r w:rsidRPr="00D65AED">
        <w:rPr>
          <w:rFonts w:hint="eastAsia"/>
          <w:shd w:val="clear" w:color="auto" w:fill="FFFFFF"/>
        </w:rPr>
        <w:t xml:space="preserve">游毓蘭 曾銘宗 黃世杰 陳歐珀 </w:t>
      </w:r>
    </w:p>
    <w:p w14:paraId="5B32F343" w14:textId="77777777" w:rsidR="00421BB5" w:rsidRPr="00D65AED" w:rsidRDefault="00421BB5" w:rsidP="00421BB5">
      <w:pPr>
        <w:pStyle w:val="2-1"/>
        <w:ind w:leftChars="1901" w:left="4702" w:hangingChars="50" w:hanging="140"/>
        <w:rPr>
          <w:shd w:val="clear" w:color="auto" w:fill="FFFFFF"/>
        </w:rPr>
      </w:pPr>
      <w:r w:rsidRPr="00D65AED">
        <w:rPr>
          <w:rFonts w:hint="eastAsia"/>
          <w:shd w:val="clear" w:color="auto" w:fill="FFFFFF"/>
        </w:rPr>
        <w:t xml:space="preserve">林思銘 </w:t>
      </w:r>
    </w:p>
    <w:p w14:paraId="4CAB384A" w14:textId="77777777" w:rsidR="00421BB5" w:rsidRPr="00D65AED" w:rsidRDefault="00421BB5" w:rsidP="00421BB5">
      <w:pPr>
        <w:pStyle w:val="0-"/>
        <w:rPr>
          <w:rStyle w:val="0-0"/>
        </w:rPr>
      </w:pPr>
      <w:r w:rsidRPr="00D65AED">
        <w:rPr>
          <w:rFonts w:hint="eastAsia"/>
        </w:rPr>
        <w:t>(二)</w:t>
      </w:r>
      <w:r w:rsidRPr="00D65AED">
        <w:rPr>
          <w:rStyle w:val="0-0"/>
          <w:rFonts w:hint="eastAsia"/>
        </w:rPr>
        <w:t>112年度立法院歲出預算第2目「委員問政業務」編列14億2</w:t>
      </w:r>
      <w:r w:rsidRPr="00D65AED">
        <w:rPr>
          <w:rStyle w:val="0-0"/>
        </w:rPr>
        <w:t>,</w:t>
      </w:r>
      <w:r w:rsidRPr="00D65AED">
        <w:rPr>
          <w:rStyle w:val="0-0"/>
          <w:rFonts w:hint="eastAsia"/>
        </w:rPr>
        <w:t>155萬4千元，凍結150萬元，俟向立法院司法及法制委員會提出書面報告後，始得動支。</w:t>
      </w:r>
    </w:p>
    <w:p w14:paraId="5F9B5EC0" w14:textId="77777777" w:rsidR="00421BB5" w:rsidRPr="00D65AED" w:rsidRDefault="00421BB5" w:rsidP="00421BB5">
      <w:pPr>
        <w:pStyle w:val="2-1"/>
        <w:rPr>
          <w:shd w:val="clear" w:color="auto" w:fill="FFFFFF"/>
        </w:rPr>
      </w:pPr>
      <w:r w:rsidRPr="00D65AED">
        <w:rPr>
          <w:rFonts w:hint="eastAsia"/>
          <w:shd w:val="clear" w:color="auto" w:fill="FFFFFF"/>
        </w:rPr>
        <w:t>提案人：黃世杰 江永昌 鄭運鵬 陳以信</w:t>
      </w:r>
    </w:p>
    <w:p w14:paraId="668ECCDB" w14:textId="77777777" w:rsidR="00421BB5" w:rsidRPr="00D65AED" w:rsidRDefault="00421BB5" w:rsidP="00421BB5">
      <w:pPr>
        <w:pStyle w:val="2-1"/>
        <w:ind w:leftChars="1919" w:hangingChars="35" w:hanging="98"/>
        <w:rPr>
          <w:shd w:val="clear" w:color="auto" w:fill="FFFFFF"/>
        </w:rPr>
      </w:pPr>
      <w:r w:rsidRPr="00D65AED">
        <w:rPr>
          <w:rFonts w:hint="eastAsia"/>
          <w:shd w:val="clear" w:color="auto" w:fill="FFFFFF"/>
        </w:rPr>
        <w:t>游毓蘭 陳歐珀 林思銘 吳玉琴</w:t>
      </w:r>
    </w:p>
    <w:p w14:paraId="0F55D6FC" w14:textId="77777777" w:rsidR="00421BB5" w:rsidRPr="00D65AED" w:rsidRDefault="00421BB5" w:rsidP="00421BB5">
      <w:pPr>
        <w:pStyle w:val="0-"/>
        <w:rPr>
          <w:rStyle w:val="0-0"/>
        </w:rPr>
      </w:pPr>
      <w:r w:rsidRPr="00D65AED">
        <w:rPr>
          <w:rFonts w:hint="eastAsia"/>
        </w:rPr>
        <w:t>(三)</w:t>
      </w:r>
      <w:r w:rsidRPr="00D65AED">
        <w:rPr>
          <w:rStyle w:val="0-0"/>
          <w:rFonts w:hint="eastAsia"/>
        </w:rPr>
        <w:t>112年度立法院歲出預算第3目「議事業務」編列1</w:t>
      </w:r>
      <w:r w:rsidRPr="00D65AED">
        <w:rPr>
          <w:rStyle w:val="0-0"/>
        </w:rPr>
        <w:t>,</w:t>
      </w:r>
      <w:r w:rsidRPr="00D65AED">
        <w:rPr>
          <w:rStyle w:val="0-0"/>
          <w:rFonts w:hint="eastAsia"/>
        </w:rPr>
        <w:t>091萬2千元，凍結100萬元，俟向立法院司法及法制委員會提出書面</w:t>
      </w:r>
      <w:r w:rsidRPr="00D65AED">
        <w:rPr>
          <w:rStyle w:val="0-0"/>
          <w:rFonts w:hint="eastAsia"/>
        </w:rPr>
        <w:lastRenderedPageBreak/>
        <w:t>報告後，始得動支。</w:t>
      </w:r>
    </w:p>
    <w:p w14:paraId="6B254AD3" w14:textId="77777777" w:rsidR="00421BB5" w:rsidRPr="00D65AED" w:rsidRDefault="00421BB5" w:rsidP="00421BB5">
      <w:pPr>
        <w:pStyle w:val="2-1"/>
        <w:rPr>
          <w:shd w:val="clear" w:color="auto" w:fill="FFFFFF"/>
        </w:rPr>
      </w:pPr>
      <w:r w:rsidRPr="00D65AED">
        <w:rPr>
          <w:rFonts w:hint="eastAsia"/>
          <w:shd w:val="clear" w:color="auto" w:fill="FFFFFF"/>
        </w:rPr>
        <w:t>提案人：游毓蘭 林思銘 陳以信</w:t>
      </w:r>
    </w:p>
    <w:p w14:paraId="10B47339" w14:textId="77777777" w:rsidR="00421BB5" w:rsidRPr="00D65AED" w:rsidRDefault="00421BB5" w:rsidP="00421BB5">
      <w:pPr>
        <w:pStyle w:val="0-"/>
        <w:rPr>
          <w:rStyle w:val="0-0"/>
        </w:rPr>
      </w:pPr>
      <w:r w:rsidRPr="00D65AED">
        <w:rPr>
          <w:rFonts w:hint="eastAsia"/>
        </w:rPr>
        <w:t>(四)</w:t>
      </w:r>
      <w:r w:rsidRPr="00D65AED">
        <w:rPr>
          <w:rStyle w:val="0-0"/>
          <w:rFonts w:hint="eastAsia"/>
        </w:rPr>
        <w:t>112年度立法院歲出預算第5目「國會圖書業務」編列4</w:t>
      </w:r>
      <w:r w:rsidRPr="00D65AED">
        <w:rPr>
          <w:rStyle w:val="0-0"/>
        </w:rPr>
        <w:t>,</w:t>
      </w:r>
      <w:r w:rsidRPr="00D65AED">
        <w:rPr>
          <w:rStyle w:val="0-0"/>
          <w:rFonts w:hint="eastAsia"/>
        </w:rPr>
        <w:t>612萬6千元，凍結40萬元，俟向立法院司法及法制委員會提出書面報告後，始得動支。</w:t>
      </w:r>
    </w:p>
    <w:p w14:paraId="75B4FAD7" w14:textId="77777777" w:rsidR="00421BB5" w:rsidRPr="00D65AED" w:rsidRDefault="00421BB5" w:rsidP="00421BB5">
      <w:pPr>
        <w:pStyle w:val="2-1"/>
        <w:rPr>
          <w:shd w:val="clear" w:color="auto" w:fill="FFFFFF"/>
        </w:rPr>
      </w:pPr>
      <w:r w:rsidRPr="00D65AED">
        <w:rPr>
          <w:rFonts w:hint="eastAsia"/>
          <w:shd w:val="clear" w:color="auto" w:fill="FFFFFF"/>
        </w:rPr>
        <w:t>提案人：陳玉珍 游毓蘭 陳以信 林思銘</w:t>
      </w:r>
    </w:p>
    <w:p w14:paraId="3B07FF98" w14:textId="77777777" w:rsidR="00421BB5" w:rsidRPr="00D65AED" w:rsidRDefault="00421BB5" w:rsidP="00421BB5">
      <w:pPr>
        <w:pStyle w:val="0-"/>
        <w:rPr>
          <w:rStyle w:val="0-0"/>
        </w:rPr>
      </w:pPr>
      <w:r w:rsidRPr="00D65AED">
        <w:rPr>
          <w:rFonts w:hint="eastAsia"/>
        </w:rPr>
        <w:t>(五)</w:t>
      </w:r>
      <w:r w:rsidRPr="00D65AED">
        <w:rPr>
          <w:rStyle w:val="0-0"/>
          <w:rFonts w:hint="eastAsia"/>
        </w:rPr>
        <w:t>112年度立法院歲出預算第6目「公報業務」編列1億2</w:t>
      </w:r>
      <w:r w:rsidRPr="00D65AED">
        <w:rPr>
          <w:rStyle w:val="0-0"/>
        </w:rPr>
        <w:t>,</w:t>
      </w:r>
      <w:r w:rsidRPr="00D65AED">
        <w:rPr>
          <w:rStyle w:val="0-0"/>
          <w:rFonts w:hint="eastAsia"/>
        </w:rPr>
        <w:t>357萬3千元，凍結20萬元，俟向立法院司法及法制委員會提出書面報告後，始得動支。</w:t>
      </w:r>
    </w:p>
    <w:p w14:paraId="3CE53CDD" w14:textId="77777777" w:rsidR="00421BB5" w:rsidRPr="00D65AED" w:rsidRDefault="00421BB5" w:rsidP="00421BB5">
      <w:pPr>
        <w:pStyle w:val="2-1"/>
        <w:rPr>
          <w:shd w:val="clear" w:color="auto" w:fill="FFFFFF"/>
        </w:rPr>
      </w:pPr>
      <w:r w:rsidRPr="00D65AED">
        <w:rPr>
          <w:rFonts w:hint="eastAsia"/>
          <w:shd w:val="clear" w:color="auto" w:fill="FFFFFF"/>
        </w:rPr>
        <w:t>提案人：江永昌 陳以信 黃世杰</w:t>
      </w:r>
      <w:r w:rsidRPr="00D65AED">
        <w:rPr>
          <w:shd w:val="clear" w:color="auto" w:fill="FFFFFF"/>
        </w:rPr>
        <w:t xml:space="preserve"> </w:t>
      </w:r>
      <w:r w:rsidRPr="00D65AED">
        <w:rPr>
          <w:rFonts w:hint="eastAsia"/>
          <w:shd w:val="clear" w:color="auto" w:fill="FFFFFF"/>
        </w:rPr>
        <w:t xml:space="preserve">陳歐珀 </w:t>
      </w:r>
    </w:p>
    <w:p w14:paraId="415CD189" w14:textId="77777777" w:rsidR="00421BB5" w:rsidRPr="00D65AED" w:rsidRDefault="00421BB5" w:rsidP="00421BB5">
      <w:pPr>
        <w:pStyle w:val="2-1"/>
        <w:rPr>
          <w:shd w:val="clear" w:color="auto" w:fill="FFFFFF"/>
        </w:rPr>
      </w:pPr>
      <w:r w:rsidRPr="00D65AED">
        <w:rPr>
          <w:rFonts w:hint="eastAsia"/>
          <w:shd w:val="clear" w:color="auto" w:fill="FFFFFF"/>
        </w:rPr>
        <w:t>連署人：游毓蘭 林思銘</w:t>
      </w:r>
    </w:p>
    <w:p w14:paraId="20DF5A26" w14:textId="77777777" w:rsidR="00421BB5" w:rsidRPr="00D65AED" w:rsidRDefault="00421BB5" w:rsidP="00421BB5">
      <w:pPr>
        <w:pStyle w:val="0-"/>
        <w:rPr>
          <w:rStyle w:val="0-0"/>
        </w:rPr>
      </w:pPr>
      <w:r w:rsidRPr="00D65AED">
        <w:rPr>
          <w:rFonts w:hint="eastAsia"/>
        </w:rPr>
        <w:t>(六)</w:t>
      </w:r>
      <w:r w:rsidRPr="00D65AED">
        <w:rPr>
          <w:rStyle w:val="0-0"/>
          <w:rFonts w:hint="eastAsia"/>
        </w:rPr>
        <w:t>112年度立法院歲出預算第8目「一般建築及設備」編列2億5</w:t>
      </w:r>
      <w:r w:rsidRPr="00D65AED">
        <w:rPr>
          <w:rStyle w:val="0-0"/>
        </w:rPr>
        <w:t>,</w:t>
      </w:r>
      <w:r w:rsidRPr="00D65AED">
        <w:rPr>
          <w:rStyle w:val="0-0"/>
          <w:rFonts w:hint="eastAsia"/>
        </w:rPr>
        <w:t>454萬5千元，凍結100萬元，俟向立法院司法及法制委員會提出書面報告後，始得動支。</w:t>
      </w:r>
    </w:p>
    <w:p w14:paraId="3392346E" w14:textId="77777777" w:rsidR="00421BB5" w:rsidRPr="00D65AED" w:rsidRDefault="00421BB5" w:rsidP="00421BB5">
      <w:pPr>
        <w:pStyle w:val="2-1"/>
        <w:rPr>
          <w:shd w:val="clear" w:color="auto" w:fill="FFFFFF"/>
        </w:rPr>
      </w:pPr>
      <w:r w:rsidRPr="00D65AED">
        <w:rPr>
          <w:rFonts w:hint="eastAsia"/>
          <w:shd w:val="clear" w:color="auto" w:fill="FFFFFF"/>
        </w:rPr>
        <w:t>提案人：陳玉珍 游毓蘭 陳以信 林思銘</w:t>
      </w:r>
    </w:p>
    <w:p w14:paraId="0AF22486" w14:textId="77777777" w:rsidR="00421BB5" w:rsidRPr="00D65AED" w:rsidRDefault="00421BB5" w:rsidP="00421BB5">
      <w:pPr>
        <w:pStyle w:val="2-1"/>
        <w:ind w:leftChars="1896" w:hangingChars="55" w:hanging="154"/>
        <w:rPr>
          <w:shd w:val="clear" w:color="auto" w:fill="FFFFFF"/>
        </w:rPr>
      </w:pPr>
      <w:r w:rsidRPr="00D65AED">
        <w:rPr>
          <w:rFonts w:hint="eastAsia"/>
          <w:shd w:val="clear" w:color="auto" w:fill="FFFFFF"/>
        </w:rPr>
        <w:t>曾銘宗</w:t>
      </w:r>
    </w:p>
    <w:p w14:paraId="066FE3E0" w14:textId="77777777" w:rsidR="00421BB5" w:rsidRPr="00D65AED" w:rsidRDefault="00421BB5" w:rsidP="00421BB5">
      <w:pPr>
        <w:pStyle w:val="0-"/>
      </w:pPr>
      <w:r w:rsidRPr="00D65AED">
        <w:rPr>
          <w:rFonts w:hint="eastAsia"/>
        </w:rPr>
        <w:t>(七)立法院法制局在院內之定位應為立法委員之幕僚單位，輔助撰寫立法草案之用，惟現有法制局與立委問政幾無連結，未發揮其應有之功能，例如輔助立法委員撰寫法律案之草案或提供背景研究支持等等。</w:t>
      </w:r>
    </w:p>
    <w:p w14:paraId="0D85CEE3" w14:textId="77777777" w:rsidR="00421BB5" w:rsidRPr="00D65AED" w:rsidRDefault="00421BB5" w:rsidP="00421BB5">
      <w:pPr>
        <w:pStyle w:val="0-2"/>
      </w:pPr>
      <w:r w:rsidRPr="00D65AED">
        <w:rPr>
          <w:rFonts w:hint="eastAsia"/>
        </w:rPr>
        <w:t>立法院法制局若定位為幕僚單位，委員們卻僅能參考法制局網站上由法制局自行選定主題之專題研究報告，那可能無法落實國會專業化的精神。換言之，欲改造國會，宜先從在專業上賦予國會優質的運作能力著手，而國會的運作需要專業協助，法制局便是提供立委議事法案審議專業資訊的單位，法制局應當要更加符合委員們的需求，隨時提供立法委員需要的資訊。</w:t>
      </w:r>
    </w:p>
    <w:p w14:paraId="615E8B04" w14:textId="77777777" w:rsidR="00421BB5" w:rsidRPr="00D65AED" w:rsidRDefault="00421BB5" w:rsidP="00421BB5">
      <w:pPr>
        <w:pStyle w:val="0-2"/>
      </w:pPr>
      <w:r w:rsidRPr="00D65AED">
        <w:rPr>
          <w:rFonts w:hint="eastAsia"/>
        </w:rPr>
        <w:t>綜上所述，請立法院法制局向立法院司法及法制委員會提出未來研究方向調整書面報告。</w:t>
      </w:r>
    </w:p>
    <w:p w14:paraId="03080D45" w14:textId="77777777" w:rsidR="00421BB5" w:rsidRPr="00D65AED" w:rsidRDefault="00421BB5" w:rsidP="00421BB5">
      <w:pPr>
        <w:pStyle w:val="2-1"/>
      </w:pPr>
      <w:r w:rsidRPr="00D65AED">
        <w:t>提案人：</w:t>
      </w:r>
      <w:r w:rsidRPr="00D65AED">
        <w:rPr>
          <w:rFonts w:hint="eastAsia"/>
        </w:rPr>
        <w:t>黃世杰 江永昌</w:t>
      </w:r>
    </w:p>
    <w:p w14:paraId="66F1CA5C" w14:textId="77777777" w:rsidR="00421BB5" w:rsidRPr="00D65AED" w:rsidRDefault="00421BB5" w:rsidP="00421BB5">
      <w:pPr>
        <w:pStyle w:val="2-1"/>
      </w:pPr>
      <w:r w:rsidRPr="00D65AED">
        <w:rPr>
          <w:rFonts w:hint="eastAsia"/>
        </w:rPr>
        <w:t>連署人：陳歐珀</w:t>
      </w:r>
    </w:p>
    <w:p w14:paraId="64ED1166" w14:textId="77777777" w:rsidR="00421BB5" w:rsidRPr="00D65AED" w:rsidRDefault="00421BB5" w:rsidP="00421BB5">
      <w:pPr>
        <w:pStyle w:val="0-"/>
      </w:pPr>
      <w:r w:rsidRPr="00D65AED">
        <w:rPr>
          <w:rFonts w:hint="eastAsia"/>
        </w:rPr>
        <w:t>(八)查立法院網站中，透過不同的資訊系統與介面（質詢如IVOD系統及資訊系統；又如法案查詢系統及議事及發言系統），查詢之立法委員出席、質詢、議案等相關的次數竟不相同，導致委員資訊揭露與外界檢視頻生困擾。另資訊系統之間與議事錄之間，對於某一提案是否提出、修改、通過，有時也不相同。綜上，立法院各資訊系統亟待整合改善，以確保資訊之正確及易讀。爰此，要求立法院應針對具體整合、勾稽各系統之規劃時程（含採購案辦理期程、系統正式上線期程），以及推動時遭遇之困難，提出資訊系統整合勾稽檢討書面報告。</w:t>
      </w:r>
    </w:p>
    <w:p w14:paraId="75C16F10" w14:textId="77777777" w:rsidR="00421BB5" w:rsidRPr="00D65AED" w:rsidRDefault="00421BB5" w:rsidP="00421BB5">
      <w:pPr>
        <w:pStyle w:val="2-1"/>
      </w:pPr>
      <w:r w:rsidRPr="00D65AED">
        <w:t>提案人：</w:t>
      </w:r>
      <w:r w:rsidRPr="00D65AED">
        <w:rPr>
          <w:rFonts w:hint="eastAsia"/>
        </w:rPr>
        <w:t>游毓蘭 林思銘 陳以信</w:t>
      </w:r>
    </w:p>
    <w:p w14:paraId="18CEA011" w14:textId="77777777" w:rsidR="00421BB5" w:rsidRPr="00D65AED" w:rsidRDefault="00421BB5" w:rsidP="00421BB5">
      <w:pPr>
        <w:pStyle w:val="0-"/>
        <w:rPr>
          <w:rStyle w:val="0-0"/>
        </w:rPr>
      </w:pPr>
      <w:r w:rsidRPr="00D65AED">
        <w:rPr>
          <w:rFonts w:hint="eastAsia"/>
        </w:rPr>
        <w:lastRenderedPageBreak/>
        <w:t>(九)立法院印製議事日程、議事錄、公報等耗材費用，112年編列1,080萬5千元，較111年1</w:t>
      </w:r>
      <w:r w:rsidRPr="00D65AED">
        <w:t>,</w:t>
      </w:r>
      <w:r w:rsidRPr="00D65AED">
        <w:rPr>
          <w:rFonts w:hint="eastAsia"/>
        </w:rPr>
        <w:t>150萬元減少了69萬5千元，惟政府實施無紙化政策多年，107至111年過去5年都是編列1</w:t>
      </w:r>
      <w:r w:rsidRPr="00D65AED">
        <w:t>,</w:t>
      </w:r>
      <w:r w:rsidRPr="00D65AED">
        <w:rPr>
          <w:rFonts w:hint="eastAsia"/>
        </w:rPr>
        <w:t>150萬元，112年始減少69萬5千元，效果不彰，請立法院持續加強落實無紙化政策。</w:t>
      </w:r>
    </w:p>
    <w:p w14:paraId="49DF6B57" w14:textId="77777777" w:rsidR="00421BB5" w:rsidRPr="00D65AED" w:rsidRDefault="00421BB5" w:rsidP="00421BB5">
      <w:pPr>
        <w:pStyle w:val="2-1"/>
      </w:pPr>
      <w:r w:rsidRPr="00D65AED">
        <w:t>提案人：</w:t>
      </w:r>
      <w:r w:rsidRPr="00D65AED">
        <w:rPr>
          <w:rFonts w:hint="eastAsia"/>
        </w:rPr>
        <w:t>鄭運鵬 黃世杰 陳歐珀</w:t>
      </w:r>
    </w:p>
    <w:p w14:paraId="1B25C72B" w14:textId="77777777" w:rsidR="00421BB5" w:rsidRPr="00D65AED" w:rsidRDefault="00421BB5" w:rsidP="00421BB5">
      <w:pPr>
        <w:pStyle w:val="0-"/>
      </w:pPr>
      <w:r w:rsidRPr="00D65AED">
        <w:rPr>
          <w:rFonts w:hint="eastAsia"/>
        </w:rPr>
        <w:t>(十)依中華民國憲法規定，立法院為國家最高立法機關，由人民選舉之立法委員組成，代表人民行使立法權，就其職權、性質及功能而言，相當於一般民主國家的國會，爰要求立法院處理各項行政事務，不得有意識型態，或有黨政不分之情形，務必秉持公平中立為原則處理各項事務，不能淪為橡皮圖章、政府的立法局，並於3個月內向立法院司法及法制委員會提出書面報告。</w:t>
      </w:r>
    </w:p>
    <w:p w14:paraId="135678F1" w14:textId="77777777" w:rsidR="00421BB5" w:rsidRPr="00D65AED" w:rsidRDefault="00421BB5" w:rsidP="00421BB5">
      <w:pPr>
        <w:pStyle w:val="2-1"/>
      </w:pPr>
      <w:r w:rsidRPr="00D65AED">
        <w:t>提案人：</w:t>
      </w:r>
      <w:r w:rsidRPr="00D65AED">
        <w:rPr>
          <w:rFonts w:hint="eastAsia"/>
        </w:rPr>
        <w:t>曾銘宗 林思銘 陳以信</w:t>
      </w:r>
    </w:p>
    <w:p w14:paraId="776A717E" w14:textId="77777777" w:rsidR="00421BB5" w:rsidRPr="00D65AED" w:rsidRDefault="00421BB5" w:rsidP="00421BB5">
      <w:pPr>
        <w:pStyle w:val="0-"/>
      </w:pPr>
      <w:r w:rsidRPr="00D65AED">
        <w:rPr>
          <w:rFonts w:hint="eastAsia"/>
        </w:rPr>
        <w:t>(十一)立法院112年度編列資訊相關預算，包括「一般行政」項下「資訊管理業務」、「委員會館」項下「中南部服務中心」及「國會圖書業務」項下「圖書管理」等計畫，合計編列經費逾2億元，依立法院預算中心評估報告指出，立法院資訊系統開發、功能增修與系統維護主要係由資訊處及國會圖書館依個案性質分別提報預算需求，惟在政府人力、經費資源有限之情形下，似可推動資源整合共用，以擴大委外經濟規模效益，減省相關經費支出，爰要求立法院研酌資訊經費整合之可行性，並將業務性質相近之資訊系統及維運預算向上集中，促進資源整合共用，俾利達成提升業務ｅ化效能之目標，於3個月內向立法院司法及法制委員會提出書面報告。</w:t>
      </w:r>
    </w:p>
    <w:p w14:paraId="4990D49A" w14:textId="77777777" w:rsidR="00421BB5" w:rsidRPr="00D65AED" w:rsidRDefault="00421BB5" w:rsidP="00421BB5">
      <w:pPr>
        <w:pStyle w:val="2-1"/>
      </w:pPr>
      <w:r w:rsidRPr="00D65AED">
        <w:t>提案人：</w:t>
      </w:r>
      <w:r w:rsidRPr="00D65AED">
        <w:rPr>
          <w:rFonts w:hint="eastAsia"/>
        </w:rPr>
        <w:t>曾銘宗 林思銘 陳以信</w:t>
      </w:r>
    </w:p>
    <w:p w14:paraId="5438EC17" w14:textId="77777777" w:rsidR="00421BB5" w:rsidRPr="00D65AED" w:rsidRDefault="00421BB5" w:rsidP="00421BB5">
      <w:pPr>
        <w:pStyle w:val="0-"/>
      </w:pPr>
      <w:r w:rsidRPr="00D65AED">
        <w:rPr>
          <w:rFonts w:hint="eastAsia"/>
        </w:rPr>
        <w:t>(十二)</w:t>
      </w:r>
      <w:bookmarkStart w:id="512" w:name="_Hlk119075774"/>
      <w:r w:rsidRPr="00D65AED">
        <w:rPr>
          <w:rFonts w:hint="eastAsia"/>
        </w:rPr>
        <w:t>112年度立法院歲出預算於「營建工程」項下「設備及投資」分支計畫下為辦理立法院民主議政園區活化計畫第二階段計畫編列6,419萬元，依立法院預算中心評估報告指出，立法院民主議政園區大部分土地皆位於都市計畫範圍內，且議事大樓、朝琴館及議員會館周邊區域外、宿舍區亦納入古蹟定著土地範圍利用，皆須依「都市計畫法」及「文化資產保存法」相關規定辦理，爰要求立法院審慎規劃整體執行方案，並將全部計畫之內容、經費總額於3個月內向立法院司法及法制委員會提出書面報告，俾助於瞭解計畫之全貌及整體效益。</w:t>
      </w:r>
      <w:bookmarkEnd w:id="512"/>
    </w:p>
    <w:p w14:paraId="26C60786" w14:textId="77777777" w:rsidR="00421BB5" w:rsidRPr="00D65AED" w:rsidRDefault="00421BB5" w:rsidP="00421BB5">
      <w:pPr>
        <w:pStyle w:val="2-1"/>
      </w:pPr>
      <w:r w:rsidRPr="00D65AED">
        <w:t>提案人：</w:t>
      </w:r>
      <w:r w:rsidRPr="00D65AED">
        <w:rPr>
          <w:rFonts w:hint="eastAsia"/>
        </w:rPr>
        <w:t>曾銘宗</w:t>
      </w:r>
      <w:r w:rsidRPr="00D65AED">
        <w:t xml:space="preserve"> </w:t>
      </w:r>
      <w:r w:rsidRPr="00D65AED">
        <w:rPr>
          <w:rFonts w:hint="eastAsia"/>
        </w:rPr>
        <w:t>林思銘 陳以信</w:t>
      </w:r>
    </w:p>
    <w:p w14:paraId="161B5901" w14:textId="77777777" w:rsidR="00421BB5" w:rsidRPr="00D65AED" w:rsidRDefault="00421BB5" w:rsidP="00421BB5">
      <w:pPr>
        <w:pStyle w:val="0-"/>
      </w:pPr>
      <w:r w:rsidRPr="00D65AED">
        <w:rPr>
          <w:rFonts w:hint="eastAsia"/>
        </w:rPr>
        <w:t>(十三)為利創造更好的國會問政環境，立法院歷年均有編列經費用以整修、維護立法院軟硬體設施。然而，立法院內衛廁設備近來時有通風、除濕設備舊化之問題，甚至出現抽風機發霉的狀況，加之北部冬季氣候潮濕，研究大樓的廁所濕氣滲入辦公區</w:t>
      </w:r>
      <w:r w:rsidRPr="00D65AED">
        <w:rPr>
          <w:rFonts w:hint="eastAsia"/>
        </w:rPr>
        <w:lastRenderedPageBreak/>
        <w:t>域，致使冬天常有發霉之情事。</w:t>
      </w:r>
    </w:p>
    <w:p w14:paraId="32322D1E" w14:textId="77777777" w:rsidR="00421BB5" w:rsidRPr="00D65AED" w:rsidRDefault="00421BB5" w:rsidP="00421BB5">
      <w:pPr>
        <w:pStyle w:val="0-2"/>
      </w:pPr>
      <w:r w:rsidRPr="00D65AED">
        <w:rPr>
          <w:rFonts w:hint="eastAsia"/>
        </w:rPr>
        <w:t>爰此，請立法院於</w:t>
      </w:r>
      <w:r w:rsidRPr="00D65AED">
        <w:t>3</w:t>
      </w:r>
      <w:r w:rsidRPr="00D65AED">
        <w:rPr>
          <w:rFonts w:hint="eastAsia"/>
        </w:rPr>
        <w:t>個月內盤點院區衛廁設施之情況，以及翻修所需經費、時程，並於第10屆第7會期前提出整修計畫。</w:t>
      </w:r>
    </w:p>
    <w:p w14:paraId="49F9A2C0" w14:textId="77777777" w:rsidR="00421BB5" w:rsidRPr="00D65AED" w:rsidRDefault="00421BB5" w:rsidP="00421BB5">
      <w:pPr>
        <w:pStyle w:val="2-1"/>
      </w:pPr>
      <w:r w:rsidRPr="00D65AED">
        <w:t>提案人：</w:t>
      </w:r>
      <w:r w:rsidRPr="00D65AED">
        <w:rPr>
          <w:rFonts w:hint="eastAsia"/>
        </w:rPr>
        <w:t>黃世杰 陳歐珀 劉世芳</w:t>
      </w:r>
    </w:p>
    <w:p w14:paraId="08E58B33" w14:textId="77777777" w:rsidR="00421BB5" w:rsidRPr="00D65AED" w:rsidRDefault="00421BB5" w:rsidP="00421BB5">
      <w:pPr>
        <w:pStyle w:val="2-1"/>
      </w:pPr>
      <w:r w:rsidRPr="00D65AED">
        <w:rPr>
          <w:rFonts w:hint="eastAsia"/>
        </w:rPr>
        <w:t>連署人：江永昌</w:t>
      </w:r>
    </w:p>
    <w:p w14:paraId="6919E922" w14:textId="77777777" w:rsidR="00421BB5" w:rsidRPr="00D65AED" w:rsidRDefault="00421BB5" w:rsidP="00421BB5">
      <w:pPr>
        <w:pStyle w:val="0-"/>
      </w:pPr>
      <w:r w:rsidRPr="00D65AED">
        <w:rPr>
          <w:rFonts w:hint="eastAsia"/>
        </w:rPr>
        <w:t>(十四)聯合國於1979年通過消除對婦女一切形式歧視公約（CEDAW），其中第5條明定，締約各國應採取一切適當措施以消除對婦女的歧視，以保證婦女在教育方面享有與男子平等的權利。台灣並於2011年三讀通過「消除對婦女一切形式歧視公約施行法」，規定各級政府機關應負責籌劃、推動及執行公約規定事項。</w:t>
      </w:r>
    </w:p>
    <w:p w14:paraId="2211B3BE" w14:textId="77777777" w:rsidR="00421BB5" w:rsidRPr="00D65AED" w:rsidRDefault="00421BB5" w:rsidP="00421BB5">
      <w:pPr>
        <w:pStyle w:val="0-2"/>
      </w:pPr>
      <w:r w:rsidRPr="00D65AED">
        <w:rPr>
          <w:rFonts w:hint="eastAsia"/>
        </w:rPr>
        <w:t>而月經平權已成為國際上對婦女保障的重要議題，攸關女性受教權與工作權。政府須思考，如何消彌婦女因生理期帶來的不便及經濟上之損失，並率先於機關內推動相關政策、成為示範領頭羊。爰此，請立法院於3個月內研議，於全院區女廁提供免費多元生理用品之可行性、執行方式與預算，並至遲於第10屆第7會期付諸實施。</w:t>
      </w:r>
    </w:p>
    <w:p w14:paraId="1C293334" w14:textId="77777777" w:rsidR="00421BB5" w:rsidRPr="00D65AED" w:rsidRDefault="00421BB5" w:rsidP="00421BB5">
      <w:pPr>
        <w:pStyle w:val="2-1"/>
      </w:pPr>
      <w:r w:rsidRPr="00D65AED">
        <w:t>提案人：</w:t>
      </w:r>
      <w:r w:rsidRPr="00D65AED">
        <w:rPr>
          <w:rFonts w:hint="eastAsia"/>
        </w:rPr>
        <w:t>黃世杰 陳歐珀 劉世芳</w:t>
      </w:r>
    </w:p>
    <w:p w14:paraId="739E07B0" w14:textId="77777777" w:rsidR="00421BB5" w:rsidRPr="00D65AED" w:rsidRDefault="00421BB5" w:rsidP="00421BB5">
      <w:pPr>
        <w:pStyle w:val="2-1"/>
      </w:pPr>
      <w:r w:rsidRPr="00D65AED">
        <w:rPr>
          <w:rFonts w:hint="eastAsia"/>
        </w:rPr>
        <w:t>連署人：江永昌</w:t>
      </w:r>
    </w:p>
    <w:p w14:paraId="1099D4D0" w14:textId="77777777" w:rsidR="00421BB5" w:rsidRPr="00D65AED" w:rsidRDefault="00421BB5" w:rsidP="00421BB5">
      <w:pPr>
        <w:pStyle w:val="0-"/>
      </w:pPr>
      <w:r w:rsidRPr="00D65AED">
        <w:rPr>
          <w:rFonts w:hint="eastAsia"/>
        </w:rPr>
        <w:t>(十五)國內外大小媒體均有於立法院進行採訪之需求，然許多媒體需於院外停放轉播車輛，以方便轉播，立法院應於3個月內向立法院司法及法制委員會提出院區內設立轉播中心之評估書面報告，以供媒體收發新聞之需要。</w:t>
      </w:r>
    </w:p>
    <w:p w14:paraId="7885FC5C" w14:textId="77777777" w:rsidR="00421BB5" w:rsidRPr="00D65AED" w:rsidRDefault="00421BB5" w:rsidP="00421BB5">
      <w:pPr>
        <w:pStyle w:val="2-1"/>
      </w:pPr>
      <w:r w:rsidRPr="00D65AED">
        <w:t>提案人：</w:t>
      </w:r>
      <w:r w:rsidRPr="00D65AED">
        <w:rPr>
          <w:rFonts w:hint="eastAsia"/>
        </w:rPr>
        <w:t xml:space="preserve">林思銘 </w:t>
      </w:r>
    </w:p>
    <w:p w14:paraId="472F5C98" w14:textId="77777777" w:rsidR="00421BB5" w:rsidRPr="00D65AED" w:rsidRDefault="00421BB5" w:rsidP="00421BB5">
      <w:pPr>
        <w:pStyle w:val="2-1"/>
      </w:pPr>
      <w:r w:rsidRPr="00D65AED">
        <w:rPr>
          <w:rFonts w:hint="eastAsia"/>
        </w:rPr>
        <w:t>連署人：曾銘宗 游毓蘭</w:t>
      </w:r>
    </w:p>
    <w:p w14:paraId="7F0000C4" w14:textId="77777777" w:rsidR="00421BB5" w:rsidRPr="00D65AED" w:rsidRDefault="00421BB5" w:rsidP="00421BB5">
      <w:pPr>
        <w:pStyle w:val="0-"/>
      </w:pPr>
      <w:r w:rsidRPr="00D65AED">
        <w:rPr>
          <w:rFonts w:hint="eastAsia"/>
        </w:rPr>
        <w:t>(十六)立法院長年進行國會外交，成果斐然，國外賓客致贈不少禮品，立法院每年應於文化走廊布置展覽，立法院應於3個月內向立法院司法及法制委員會提出院區內文化走廊展覽規劃評估書面報告，以展現國會外交之成果。</w:t>
      </w:r>
    </w:p>
    <w:p w14:paraId="3E2A5F55" w14:textId="77777777" w:rsidR="00421BB5" w:rsidRPr="00D65AED" w:rsidRDefault="00421BB5" w:rsidP="00421BB5">
      <w:pPr>
        <w:pStyle w:val="2-1"/>
      </w:pPr>
      <w:r w:rsidRPr="00D65AED">
        <w:t>提案人：</w:t>
      </w:r>
      <w:r w:rsidRPr="00D65AED">
        <w:rPr>
          <w:rFonts w:hint="eastAsia"/>
        </w:rPr>
        <w:t xml:space="preserve">林思銘 </w:t>
      </w:r>
    </w:p>
    <w:p w14:paraId="7A980ABB" w14:textId="77777777" w:rsidR="00421BB5" w:rsidRPr="00D65AED" w:rsidRDefault="00421BB5" w:rsidP="00421BB5">
      <w:pPr>
        <w:pStyle w:val="2-1"/>
      </w:pPr>
      <w:r w:rsidRPr="00D65AED">
        <w:rPr>
          <w:rFonts w:hint="eastAsia"/>
        </w:rPr>
        <w:t>連署人：曾銘宗 游毓蘭</w:t>
      </w:r>
    </w:p>
    <w:p w14:paraId="35E09362" w14:textId="77777777" w:rsidR="00421BB5" w:rsidRPr="00D65AED" w:rsidRDefault="00421BB5" w:rsidP="00421BB5">
      <w:pPr>
        <w:pStyle w:val="0-"/>
      </w:pPr>
      <w:r w:rsidRPr="00D65AED">
        <w:rPr>
          <w:rFonts w:hint="eastAsia"/>
        </w:rPr>
        <w:t>(十七)鑑於國會助理在實務上，已屬國家機關法定職務的擔當人，則有關該項職務擔當人的甄選方式、權利義務與法律定位，本應以法律定之，始符合法治國家重要事項保留的意旨。但實際情況是連立法院技工工友、約聘僱人員都有聘任辦法，惟</w:t>
      </w:r>
      <w:bookmarkStart w:id="513" w:name="_Hlk112687466"/>
      <w:r w:rsidRPr="00D65AED">
        <w:rPr>
          <w:rFonts w:hint="eastAsia"/>
        </w:rPr>
        <w:t>國會助理沒有專法，</w:t>
      </w:r>
      <w:bookmarkEnd w:id="513"/>
      <w:r w:rsidRPr="00D65AED">
        <w:rPr>
          <w:rFonts w:hint="eastAsia"/>
        </w:rPr>
        <w:t>未有待遇保障，如何留住優秀人才，協助立法委員提升問政品質？爰建議立法院針對「</w:t>
      </w:r>
      <w:bookmarkStart w:id="514" w:name="_Hlk112743926"/>
      <w:r w:rsidRPr="00D65AED">
        <w:rPr>
          <w:rFonts w:hint="eastAsia"/>
        </w:rPr>
        <w:t>國會助理法制化</w:t>
      </w:r>
      <w:bookmarkEnd w:id="514"/>
      <w:r w:rsidRPr="00D65AED">
        <w:rPr>
          <w:rFonts w:hint="eastAsia"/>
        </w:rPr>
        <w:t>」於3個月內向立法院司法及法制委員會提出評估書面報告，確定「法定公費助理」之權利類型、保障制度及義務責任等規範。</w:t>
      </w:r>
    </w:p>
    <w:p w14:paraId="0382DC5D" w14:textId="77777777" w:rsidR="00421BB5" w:rsidRPr="00D65AED" w:rsidRDefault="00421BB5" w:rsidP="00421BB5">
      <w:pPr>
        <w:pStyle w:val="2-1"/>
      </w:pPr>
      <w:r w:rsidRPr="00D65AED">
        <w:lastRenderedPageBreak/>
        <w:t>提案人：</w:t>
      </w:r>
      <w:r w:rsidRPr="00D65AED">
        <w:rPr>
          <w:rFonts w:hint="eastAsia"/>
        </w:rPr>
        <w:t xml:space="preserve">林思銘 </w:t>
      </w:r>
    </w:p>
    <w:p w14:paraId="4E4C9362" w14:textId="77777777" w:rsidR="00421BB5" w:rsidRPr="00D65AED" w:rsidRDefault="00421BB5" w:rsidP="00421BB5">
      <w:pPr>
        <w:pStyle w:val="2-1"/>
      </w:pPr>
      <w:r w:rsidRPr="00D65AED">
        <w:rPr>
          <w:rFonts w:hint="eastAsia"/>
        </w:rPr>
        <w:t>連署人：曾銘宗 游毓蘭</w:t>
      </w:r>
    </w:p>
    <w:p w14:paraId="6ABEE7E5" w14:textId="77777777" w:rsidR="00421BB5" w:rsidRPr="00D65AED" w:rsidRDefault="00421BB5" w:rsidP="00421BB5">
      <w:pPr>
        <w:pStyle w:val="0-"/>
      </w:pPr>
      <w:r w:rsidRPr="00D65AED">
        <w:rPr>
          <w:rFonts w:hint="eastAsia"/>
        </w:rPr>
        <w:t>(十八)立法院預算中心所出預算評估報告、決算評估報告為立法委員問政重要參考，然所出評估報告中，有些敘述長達5、6頁，然細查後卻發現涉及之預算數字僅約一百多萬元，112年度中央政府總預算歲出金額已高達2.71兆元，若預算評估僅針對政府細小項目支出進行評估，顯有抓小放大之嫌，爰要求立法院預算中心於3個月內向立法院司法及法制委員提出檢討改進書面報告，以增強立法委員問政效能。</w:t>
      </w:r>
    </w:p>
    <w:p w14:paraId="38D33F77" w14:textId="77777777" w:rsidR="00421BB5" w:rsidRPr="00D65AED" w:rsidRDefault="00421BB5" w:rsidP="00421BB5">
      <w:pPr>
        <w:pStyle w:val="2-1"/>
      </w:pPr>
      <w:r w:rsidRPr="00D65AED">
        <w:t>提案人：</w:t>
      </w:r>
      <w:r w:rsidRPr="00D65AED">
        <w:rPr>
          <w:rFonts w:hint="eastAsia"/>
        </w:rPr>
        <w:t xml:space="preserve">林思銘 </w:t>
      </w:r>
    </w:p>
    <w:p w14:paraId="1B369B10" w14:textId="77777777" w:rsidR="00421BB5" w:rsidRPr="00D65AED" w:rsidRDefault="00421BB5" w:rsidP="00421BB5">
      <w:pPr>
        <w:pStyle w:val="2-1"/>
      </w:pPr>
      <w:r w:rsidRPr="00D65AED">
        <w:rPr>
          <w:rFonts w:hint="eastAsia"/>
        </w:rPr>
        <w:t>連署人：曾銘宗 游毓蘭</w:t>
      </w:r>
    </w:p>
    <w:p w14:paraId="18E77EB2" w14:textId="77777777" w:rsidR="00421BB5" w:rsidRPr="00D65AED" w:rsidRDefault="00421BB5" w:rsidP="00421BB5">
      <w:pPr>
        <w:pStyle w:val="0-"/>
      </w:pPr>
      <w:r w:rsidRPr="00D65AED">
        <w:rPr>
          <w:rFonts w:hint="eastAsia"/>
        </w:rPr>
        <w:t>(十九)有鑑於</w:t>
      </w:r>
      <w:bookmarkStart w:id="515" w:name="_Hlk112943345"/>
      <w:r w:rsidRPr="00D65AED">
        <w:rPr>
          <w:rFonts w:hint="eastAsia"/>
        </w:rPr>
        <w:t>國會助理</w:t>
      </w:r>
      <w:bookmarkEnd w:id="515"/>
      <w:r w:rsidRPr="00D65AED">
        <w:rPr>
          <w:rFonts w:hint="eastAsia"/>
        </w:rPr>
        <w:t>在實務上，已屬國家機關法定職務的擔當人，在輔佐立法委員問政責任重大，然實際待遇卻遠不如</w:t>
      </w:r>
      <w:bookmarkStart w:id="516" w:name="_Hlk112943591"/>
      <w:r w:rsidRPr="00D65AED">
        <w:rPr>
          <w:rFonts w:hint="eastAsia"/>
        </w:rPr>
        <w:t>立法院技工工友或約聘僱人員</w:t>
      </w:r>
      <w:bookmarkEnd w:id="516"/>
      <w:r w:rsidRPr="00D65AED">
        <w:rPr>
          <w:rFonts w:hint="eastAsia"/>
        </w:rPr>
        <w:t>，國會助理雖同樣領有立法院給予之薪資及年終獎金，但卻沒有端午獎金、中秋獎金、考核獎金、休假補助費、未休假加班費、健康檢查補助、生活津貼、慰問金等福利，爰要求「立法院公費助理條例」在未完成立法前，建請立法院比照立法院技工工友、約聘僱人員給予相同待遇。</w:t>
      </w:r>
    </w:p>
    <w:p w14:paraId="03F429E4" w14:textId="77777777" w:rsidR="00421BB5" w:rsidRPr="00D65AED" w:rsidRDefault="00421BB5" w:rsidP="00421BB5">
      <w:pPr>
        <w:pStyle w:val="2-1"/>
      </w:pPr>
      <w:r w:rsidRPr="00D65AED">
        <w:t>提案人：</w:t>
      </w:r>
      <w:r w:rsidRPr="00D65AED">
        <w:rPr>
          <w:rFonts w:hint="eastAsia"/>
        </w:rPr>
        <w:t xml:space="preserve">林思銘 </w:t>
      </w:r>
    </w:p>
    <w:p w14:paraId="48F7BE49" w14:textId="77777777" w:rsidR="00421BB5" w:rsidRPr="00D65AED" w:rsidRDefault="00421BB5" w:rsidP="00421BB5">
      <w:pPr>
        <w:pStyle w:val="2-1"/>
      </w:pPr>
      <w:r w:rsidRPr="00D65AED">
        <w:rPr>
          <w:rFonts w:hint="eastAsia"/>
        </w:rPr>
        <w:t>連署人：曾銘宗 游毓蘭</w:t>
      </w:r>
    </w:p>
    <w:p w14:paraId="634BC1AC" w14:textId="77777777" w:rsidR="00421BB5" w:rsidRPr="00D65AED" w:rsidRDefault="00421BB5" w:rsidP="00421BB5">
      <w:pPr>
        <w:pStyle w:val="0-"/>
      </w:pPr>
      <w:r w:rsidRPr="00D65AED">
        <w:rPr>
          <w:rFonts w:hint="eastAsia"/>
        </w:rPr>
        <w:t>(二十)按立法院程序委員會組織規程第5條第1款第4項規定「財政委員會：審查財政、金融政策、預算、決算、主計、審計及有關財政部、中央銀行、行政院金融監督管理委員會、行政院主計處掌理事項之議案。」，現行運作決算審查由立法院財政委員會負責召集，業管委員會聯席。預算審查只有業管委員會負責召集，財政委員會未聯席，未符合上開法令規定。為符合上開法令規定，單位預算及決算審查由業管委員會負責召集，立法院財政委員會聯席審查之，並於3個月內提出書面報告。</w:t>
      </w:r>
    </w:p>
    <w:p w14:paraId="6C51C470" w14:textId="77777777" w:rsidR="00421BB5" w:rsidRPr="00D65AED" w:rsidRDefault="00421BB5" w:rsidP="00421BB5">
      <w:pPr>
        <w:pStyle w:val="2-1"/>
      </w:pPr>
      <w:r w:rsidRPr="00D65AED">
        <w:t>提案人：</w:t>
      </w:r>
      <w:r w:rsidRPr="00D65AED">
        <w:rPr>
          <w:rFonts w:hint="eastAsia"/>
        </w:rPr>
        <w:t xml:space="preserve">林思銘 </w:t>
      </w:r>
    </w:p>
    <w:p w14:paraId="17E9FE8A" w14:textId="77777777" w:rsidR="00421BB5" w:rsidRPr="00D65AED" w:rsidRDefault="00421BB5" w:rsidP="00421BB5">
      <w:pPr>
        <w:pStyle w:val="2-1"/>
      </w:pPr>
      <w:r w:rsidRPr="00D65AED">
        <w:rPr>
          <w:rFonts w:hint="eastAsia"/>
        </w:rPr>
        <w:t>連署人：曾銘宗 游毓蘭</w:t>
      </w:r>
    </w:p>
    <w:p w14:paraId="06D6C5BC" w14:textId="77777777" w:rsidR="00421BB5" w:rsidRPr="00D65AED" w:rsidRDefault="00421BB5" w:rsidP="00421BB5">
      <w:pPr>
        <w:pStyle w:val="0-"/>
      </w:pPr>
      <w:r w:rsidRPr="00D65AED">
        <w:rPr>
          <w:rFonts w:hint="eastAsia"/>
        </w:rPr>
        <w:t>(二十一)根據國會評鑑團體-口袋國會的民調，在國會開放資訊方面，多數民眾未曾瀏覽或收看過國會的網站及國會頻道，而最多比例的民眾表示願意以</w:t>
      </w:r>
      <w:bookmarkStart w:id="517" w:name="_Hlk112073735"/>
      <w:r w:rsidRPr="00D65AED">
        <w:rPr>
          <w:rFonts w:hint="eastAsia"/>
        </w:rPr>
        <w:t>youtube頻道</w:t>
      </w:r>
      <w:bookmarkEnd w:id="517"/>
      <w:r w:rsidRPr="00D65AED">
        <w:rPr>
          <w:rFonts w:hint="eastAsia"/>
        </w:rPr>
        <w:t>獲得立法院的資訊，顯示新媒體平台的使用已成為趨勢，另一方面也顯示立法院應該以影音方式，提供給各委員辦公室應用於新媒體平台，讓民眾了解國會運作及立委問政情形。為此，立法院亦應考慮購買youtube廣告進行推廣，爰要求立法院於3個月內向立法院司法及法制委員會提出相關方案。</w:t>
      </w:r>
    </w:p>
    <w:p w14:paraId="786C695A" w14:textId="77777777" w:rsidR="00421BB5" w:rsidRPr="00D65AED" w:rsidRDefault="00421BB5" w:rsidP="00421BB5">
      <w:pPr>
        <w:pStyle w:val="2-1"/>
      </w:pPr>
      <w:r w:rsidRPr="00D65AED">
        <w:t>提案人：</w:t>
      </w:r>
      <w:r w:rsidRPr="00D65AED">
        <w:rPr>
          <w:rFonts w:hint="eastAsia"/>
        </w:rPr>
        <w:t xml:space="preserve">林思銘 </w:t>
      </w:r>
    </w:p>
    <w:p w14:paraId="72129A67" w14:textId="77777777" w:rsidR="00421BB5" w:rsidRPr="00D65AED" w:rsidRDefault="00421BB5" w:rsidP="00421BB5">
      <w:pPr>
        <w:pStyle w:val="2-1"/>
      </w:pPr>
      <w:r w:rsidRPr="00D65AED">
        <w:rPr>
          <w:rFonts w:hint="eastAsia"/>
        </w:rPr>
        <w:t>連署人：曾銘宗 游毓蘭</w:t>
      </w:r>
    </w:p>
    <w:p w14:paraId="4EBA533C" w14:textId="77777777" w:rsidR="00421BB5" w:rsidRPr="00D65AED" w:rsidRDefault="00421BB5" w:rsidP="00421BB5">
      <w:pPr>
        <w:pStyle w:val="0-"/>
      </w:pPr>
      <w:r w:rsidRPr="00D65AED">
        <w:rPr>
          <w:rFonts w:hint="eastAsia"/>
        </w:rPr>
        <w:lastRenderedPageBreak/>
        <w:t>(二十二)立法院法制局之主要職掌，依照立法院組織法第2</w:t>
      </w:r>
      <w:r w:rsidRPr="00D65AED">
        <w:t>0</w:t>
      </w:r>
      <w:r w:rsidRPr="00D65AED">
        <w:rPr>
          <w:rFonts w:hint="eastAsia"/>
        </w:rPr>
        <w:t>條規定，為有關立法政策及法律案之研究、分析及評估等事項，法制局相關報告議題多為研究員自行設定。經查111年1月竟有8篇廢止案列為法案評估報告(如廢止「外交部外交領事人員講習所組織條例」、廢止「行政院新聞局駐外新聞機構組織通則」、廢止「駐外使領館組織條例」等)，實不知廢止案之評估需求為何？而111年8月國家通訊傳播委員會草擬「數位中介服務法草案」引發朝野譁然，</w:t>
      </w:r>
      <w:bookmarkStart w:id="518" w:name="_Hlk112744494"/>
      <w:r w:rsidRPr="00D65AED">
        <w:rPr>
          <w:rFonts w:hint="eastAsia"/>
        </w:rPr>
        <w:t>法制局應主動蒐集輿情，適時提出研析建議，以切實符合立法委員問政需求，爰要求立法院法制局每會期休會後，立即</w:t>
      </w:r>
      <w:bookmarkStart w:id="519" w:name="_Hlk112682879"/>
      <w:r w:rsidRPr="00D65AED">
        <w:rPr>
          <w:rFonts w:hint="eastAsia"/>
        </w:rPr>
        <w:t>函文洽詢</w:t>
      </w:r>
      <w:bookmarkEnd w:id="519"/>
      <w:r w:rsidRPr="00D65AED">
        <w:rPr>
          <w:rFonts w:hint="eastAsia"/>
        </w:rPr>
        <w:t>各黨團關心之法案及議題。</w:t>
      </w:r>
      <w:bookmarkEnd w:id="518"/>
    </w:p>
    <w:p w14:paraId="5D17FB56" w14:textId="77777777" w:rsidR="00421BB5" w:rsidRPr="00D65AED" w:rsidRDefault="00421BB5" w:rsidP="00421BB5">
      <w:pPr>
        <w:pStyle w:val="2-1"/>
      </w:pPr>
      <w:r w:rsidRPr="00D65AED">
        <w:t>提案人：</w:t>
      </w:r>
      <w:r w:rsidRPr="00D65AED">
        <w:rPr>
          <w:rFonts w:hint="eastAsia"/>
        </w:rPr>
        <w:t>林思銘 曾銘宗</w:t>
      </w:r>
    </w:p>
    <w:p w14:paraId="7C120A93" w14:textId="77777777" w:rsidR="00421BB5" w:rsidRPr="00D65AED" w:rsidRDefault="00421BB5" w:rsidP="00421BB5">
      <w:pPr>
        <w:pStyle w:val="2-1"/>
      </w:pPr>
      <w:r w:rsidRPr="00D65AED">
        <w:rPr>
          <w:rFonts w:hint="eastAsia"/>
        </w:rPr>
        <w:t>連署人：游毓蘭</w:t>
      </w:r>
    </w:p>
    <w:p w14:paraId="5B2C9EAA" w14:textId="77777777" w:rsidR="00421BB5" w:rsidRPr="00D65AED" w:rsidRDefault="00421BB5" w:rsidP="00421BB5">
      <w:pPr>
        <w:pStyle w:val="0-"/>
      </w:pPr>
      <w:r w:rsidRPr="00D65AED">
        <w:rPr>
          <w:rFonts w:hint="eastAsia"/>
        </w:rPr>
        <w:t>(二十三)立法院係由立法委員組成，負責國家之法案與預算審查，立法委員辦公室之軟硬體良窳與否，實直接影響立委問政之品質，然立院編列預算，並未徵詢立法委員辦公室之需求，例如近年社群媒體發達，大部分立委辦公室已設立編輯一職，專責社交媒體事務，並有專業之多媒體電腦、影音編輯軟體等需求，立法院應於每年編列概算時，函文洽詢各委員辦公室之軟硬體需求，於彙整統計後，編列於下一年度立法院預算中。</w:t>
      </w:r>
    </w:p>
    <w:p w14:paraId="59CFC3F0" w14:textId="77777777" w:rsidR="00421BB5" w:rsidRPr="00D65AED" w:rsidRDefault="00421BB5" w:rsidP="00421BB5">
      <w:pPr>
        <w:pStyle w:val="2-1"/>
      </w:pPr>
      <w:r w:rsidRPr="00D65AED">
        <w:t>提案人：</w:t>
      </w:r>
      <w:r w:rsidRPr="00D65AED">
        <w:rPr>
          <w:rFonts w:hint="eastAsia"/>
        </w:rPr>
        <w:t xml:space="preserve">林思銘 </w:t>
      </w:r>
    </w:p>
    <w:p w14:paraId="129CA269" w14:textId="77777777" w:rsidR="00421BB5" w:rsidRPr="00D65AED" w:rsidRDefault="00421BB5" w:rsidP="00421BB5">
      <w:pPr>
        <w:pStyle w:val="2-1"/>
      </w:pPr>
      <w:r w:rsidRPr="00D65AED">
        <w:rPr>
          <w:rFonts w:hint="eastAsia"/>
        </w:rPr>
        <w:t>連署人：曾銘宗 游毓蘭</w:t>
      </w:r>
    </w:p>
    <w:p w14:paraId="1E0F4FEB" w14:textId="77777777" w:rsidR="00421BB5" w:rsidRPr="00D65AED" w:rsidRDefault="00421BB5" w:rsidP="00421BB5">
      <w:pPr>
        <w:pStyle w:val="0-"/>
      </w:pPr>
      <w:r w:rsidRPr="00D65AED">
        <w:rPr>
          <w:rFonts w:hint="eastAsia"/>
        </w:rPr>
        <w:t>(二十四)1</w:t>
      </w:r>
      <w:r w:rsidRPr="00D65AED">
        <w:t>12</w:t>
      </w:r>
      <w:r w:rsidRPr="00D65AED">
        <w:rPr>
          <w:rFonts w:hint="eastAsia"/>
        </w:rPr>
        <w:t>年度立法院歲出預算「國會圖書業務」項下「圖書購置費」編列1</w:t>
      </w:r>
      <w:r w:rsidRPr="00D65AED">
        <w:t>60</w:t>
      </w:r>
      <w:r w:rsidRPr="00D65AED">
        <w:rPr>
          <w:rFonts w:hint="eastAsia"/>
        </w:rPr>
        <w:t>萬元，然而國會圖書館位於群賢樓的現址屬於違建，且藏書量十分短缺，許多書籍必須從新店典藏館調閱，與美國、日本等民主國家的國會圖書館規模相去甚遠</w:t>
      </w:r>
      <w:r w:rsidRPr="00D65AED">
        <w:t>。</w:t>
      </w:r>
      <w:r w:rsidRPr="00D65AED">
        <w:rPr>
          <w:rFonts w:hint="eastAsia"/>
        </w:rPr>
        <w:t>為符合民主國家潮流，國會圖書館應研議是否遷移至新館並擴大館藏內容。</w:t>
      </w:r>
    </w:p>
    <w:p w14:paraId="4C799F92" w14:textId="77777777" w:rsidR="00421BB5" w:rsidRPr="00D65AED" w:rsidRDefault="00421BB5" w:rsidP="00421BB5">
      <w:pPr>
        <w:pStyle w:val="2-1"/>
      </w:pPr>
      <w:r w:rsidRPr="00D65AED">
        <w:t>提案人：</w:t>
      </w:r>
      <w:r w:rsidRPr="00D65AED">
        <w:rPr>
          <w:rFonts w:hint="eastAsia"/>
        </w:rPr>
        <w:t>陳以信</w:t>
      </w:r>
    </w:p>
    <w:p w14:paraId="70EB7C87" w14:textId="77777777" w:rsidR="00421BB5" w:rsidRPr="00D65AED" w:rsidRDefault="00421BB5" w:rsidP="00421BB5">
      <w:pPr>
        <w:pStyle w:val="2-1"/>
      </w:pPr>
      <w:r w:rsidRPr="00D65AED">
        <w:rPr>
          <w:rFonts w:hint="eastAsia"/>
        </w:rPr>
        <w:t>連署人：游毓蘭 林思銘</w:t>
      </w:r>
    </w:p>
    <w:p w14:paraId="151534BE" w14:textId="77777777" w:rsidR="00421BB5" w:rsidRPr="00D65AED" w:rsidRDefault="00421BB5" w:rsidP="00421BB5">
      <w:pPr>
        <w:pStyle w:val="0-"/>
      </w:pPr>
      <w:r w:rsidRPr="00D65AED">
        <w:rPr>
          <w:rFonts w:hint="eastAsia"/>
        </w:rPr>
        <w:t>(二十五)112年立法院歲出預算「立法諮詢業務」項下「預算諮詢業務」編列預算</w:t>
      </w:r>
      <w:r w:rsidRPr="00D65AED">
        <w:t>50</w:t>
      </w:r>
      <w:r w:rsidRPr="00D65AED">
        <w:rPr>
          <w:rFonts w:hint="eastAsia"/>
        </w:rPr>
        <w:t>萬元，立法院應行改善。</w:t>
      </w:r>
    </w:p>
    <w:p w14:paraId="69950D80" w14:textId="77777777" w:rsidR="00421BB5" w:rsidRPr="00D65AED" w:rsidRDefault="00421BB5" w:rsidP="00421BB5">
      <w:pPr>
        <w:pStyle w:val="0-2"/>
      </w:pPr>
      <w:r w:rsidRPr="00D65AED">
        <w:rPr>
          <w:rFonts w:hint="eastAsia"/>
        </w:rPr>
        <w:t>因應預算審議之決議，立法院預算中心於111年3月作成「立法院審議預算案所為決議效力之探討」報告，結論略以儘管為不涉及凍結金額之所為「主決議」，只要決議內容為條件或期限，拘束力與預算法第52條第1項相同。此份報告引據討論多元、結論合乎立法院監督立場、且扎實有據；惟其僅以議案關係文書提送院會，未在立法院預算中心網頁中「研究成果」揭露，殊為可惜。另依此份報告結論所示，即便決議並非凍結特定金額，仍有認定為附條件或附期限決議之可能，而對</w:t>
      </w:r>
      <w:r w:rsidRPr="00D65AED">
        <w:rPr>
          <w:rFonts w:hint="eastAsia"/>
        </w:rPr>
        <w:lastRenderedPageBreak/>
        <w:t>預算執行產生拘束力。請預算中心持此份報告之論據立場，續與審計部研商探討預算執行之審計（核），俾利立法院審議預算通過之決議，能得到最大之落實。爰此，由立法院預算中心完成案揭報告之網頁公開及後續與審計部研商審計（核）作為，於4個月內提出辦理情形之書面報告。</w:t>
      </w:r>
    </w:p>
    <w:p w14:paraId="1633D559" w14:textId="77777777" w:rsidR="00421BB5" w:rsidRPr="00D65AED" w:rsidRDefault="00421BB5" w:rsidP="00421BB5">
      <w:pPr>
        <w:pStyle w:val="2-1"/>
      </w:pPr>
      <w:r w:rsidRPr="00D65AED">
        <w:t>提案人：</w:t>
      </w:r>
      <w:r w:rsidRPr="00D65AED">
        <w:rPr>
          <w:rFonts w:hint="eastAsia"/>
        </w:rPr>
        <w:t>游毓蘭</w:t>
      </w:r>
      <w:r w:rsidRPr="00D65AED">
        <w:t xml:space="preserve"> </w:t>
      </w:r>
      <w:r w:rsidRPr="00D65AED">
        <w:rPr>
          <w:rFonts w:hint="eastAsia"/>
        </w:rPr>
        <w:t>林思銘 陳以信</w:t>
      </w:r>
    </w:p>
    <w:p w14:paraId="5D8C75BF" w14:textId="77777777" w:rsidR="00421BB5" w:rsidRPr="00D65AED" w:rsidRDefault="00421BB5" w:rsidP="00421BB5">
      <w:pPr>
        <w:pStyle w:val="0-"/>
      </w:pPr>
      <w:r w:rsidRPr="00D65AED">
        <w:rPr>
          <w:rFonts w:hint="eastAsia"/>
        </w:rPr>
        <w:t>(二十六)112年立法院歲出預算「議事業務」編列預算1,091萬2千元，立法院應行改善。</w:t>
      </w:r>
    </w:p>
    <w:p w14:paraId="708E05FD" w14:textId="77777777" w:rsidR="00421BB5" w:rsidRPr="00D65AED" w:rsidRDefault="00421BB5" w:rsidP="00421BB5">
      <w:pPr>
        <w:pStyle w:val="0-2"/>
      </w:pPr>
      <w:r w:rsidRPr="00D65AED">
        <w:rPr>
          <w:rFonts w:hint="eastAsia"/>
        </w:rPr>
        <w:t>各常設委員會會議進行時，常有引發社會矚目或攸關會議事務之程序動議或主席宣告，由於各委員會實務上對此類事項記載方式不一，舉凡以「會議事項」、「其他事項」、「協商結論」等各種方式記載，甚至有時不予記載，就國會透明度提升之理念而言，應行改善力求各委員會議事錄記載方式明確、統一。諸如：對列席政府官員請假事宜、收案之截止時間、有關各界矚目議案委員會的原則性立場、委員會要求列席政府機關應提供之重要資料…等等，均應充分記錄委員會之共識，及統一如何記載獲致結論之過程。爰此，由立法院執行本項經費案由事務時，盡力統一各委員會記載重要會議進行事宜之方式，並將其作為於3個月內提出書面報告。</w:t>
      </w:r>
    </w:p>
    <w:p w14:paraId="1388A071" w14:textId="77777777" w:rsidR="00421BB5" w:rsidRPr="00D65AED" w:rsidRDefault="00421BB5" w:rsidP="00421BB5">
      <w:pPr>
        <w:pStyle w:val="2-1"/>
      </w:pPr>
      <w:r w:rsidRPr="00D65AED">
        <w:t>提案人：</w:t>
      </w:r>
      <w:r w:rsidRPr="00D65AED">
        <w:rPr>
          <w:rFonts w:hint="eastAsia"/>
        </w:rPr>
        <w:t>游毓蘭 林思銘 陳以信</w:t>
      </w:r>
    </w:p>
    <w:p w14:paraId="7B7FC752" w14:textId="77777777" w:rsidR="00421BB5" w:rsidRPr="00D65AED" w:rsidRDefault="00421BB5" w:rsidP="00421BB5">
      <w:pPr>
        <w:pStyle w:val="0-"/>
      </w:pPr>
      <w:r w:rsidRPr="00D65AED">
        <w:rPr>
          <w:rFonts w:hint="eastAsia"/>
        </w:rPr>
        <w:t>(二十七)112年立法院採購發包中心所涉之歲出預算「國會圖書業務」項下「圖書管理」編列預算4,003萬3千元（尚包括第1目「一般行政」項下編列預算2,385萬3千元，第8目「一般建築及設備」編列預算2億5,454萬5千元，共計3億1,843萬1千元），立法院應積極改善發包與採購工作。</w:t>
      </w:r>
    </w:p>
    <w:p w14:paraId="700E7E6F" w14:textId="77777777" w:rsidR="00421BB5" w:rsidRPr="00D65AED" w:rsidRDefault="00421BB5" w:rsidP="00421BB5">
      <w:pPr>
        <w:pStyle w:val="0-2"/>
      </w:pPr>
      <w:r w:rsidRPr="00D65AED">
        <w:rPr>
          <w:rFonts w:hint="eastAsia"/>
        </w:rPr>
        <w:t>根據立法院預算中心報告，立法院採購發包中心成立後，招標採最有利標辦理件數雖有增加，但近三年仍分別僅有28.21%、19.93%、31.46%。而近年來政府採購因得標方式所衍生各種可能弊端持續增加，履約品質低落，更因此造成民眾對政府的信任問題。爰此，立法院採購發包中心於各類型標案時，應持續提高最有利標之決標方式，評選優良廠商，並確保履約管理與品質，亦應定時主動揭露各項發包之採購與執行成果，以利全民共同監督，立法院於3個月內提出規劃與辦理情形之書面報告。</w:t>
      </w:r>
    </w:p>
    <w:p w14:paraId="77156D05" w14:textId="77777777" w:rsidR="00421BB5" w:rsidRPr="00D65AED" w:rsidRDefault="00421BB5" w:rsidP="00421BB5">
      <w:pPr>
        <w:pStyle w:val="2-1"/>
      </w:pPr>
      <w:r w:rsidRPr="00D65AED">
        <w:t>提案人：</w:t>
      </w:r>
      <w:r w:rsidRPr="00D65AED">
        <w:rPr>
          <w:rFonts w:hint="eastAsia"/>
        </w:rPr>
        <w:t>游毓蘭 林思銘 陳以信</w:t>
      </w:r>
    </w:p>
    <w:p w14:paraId="0C044D09" w14:textId="77777777" w:rsidR="00421BB5" w:rsidRPr="00D65AED" w:rsidRDefault="00421BB5" w:rsidP="00421BB5">
      <w:pPr>
        <w:pStyle w:val="0-"/>
      </w:pPr>
      <w:r w:rsidRPr="00D65AED">
        <w:rPr>
          <w:rFonts w:hint="eastAsia"/>
        </w:rPr>
        <w:t>(二十八)查立法院中南部服務中心及議政博物館為台灣省議會議員會館，後由立法院委託霧峰區農會經營管理，該中心除立法委員相關事務聯繫事項、協助人民請願事宜，其相關空間的活化及古蹟保存，亦與霧峰鄰近社區有休憩、促進工作機會之緊密關係。此外，相關空間之活化，也促進觀光以帶動霧峰區之</w:t>
      </w:r>
      <w:r w:rsidRPr="00D65AED">
        <w:rPr>
          <w:rFonts w:hint="eastAsia"/>
        </w:rPr>
        <w:lastRenderedPageBreak/>
        <w:t>經濟。</w:t>
      </w:r>
    </w:p>
    <w:p w14:paraId="1C0BFB42" w14:textId="77777777" w:rsidR="00421BB5" w:rsidRPr="00D65AED" w:rsidRDefault="00421BB5" w:rsidP="00421BB5">
      <w:pPr>
        <w:pStyle w:val="0-2"/>
      </w:pPr>
      <w:r w:rsidRPr="00D65AED">
        <w:rPr>
          <w:rFonts w:hint="eastAsia"/>
        </w:rPr>
        <w:t>惟查，立法院於111年度中央政府總預算之通案決議中，於委辦費、一般事務費、設備及投資等科目皆有統刪一定比例之預算，科目得改其他項目刪減替代。為鼓勵立法院中南部服務中心持續活化相關空間，以促進在地觀光及增進民眾對於台灣民主歷史意義之認識，爰建請立法院應維持中南部服務中心及議政博物館之相關業務之預算，避免因統刪之決議影響相關業務之推展。</w:t>
      </w:r>
    </w:p>
    <w:p w14:paraId="12B2D42B" w14:textId="77777777" w:rsidR="00421BB5" w:rsidRPr="00D65AED" w:rsidRDefault="00421BB5" w:rsidP="00421BB5">
      <w:pPr>
        <w:pStyle w:val="2-1"/>
      </w:pPr>
      <w:r w:rsidRPr="00D65AED">
        <w:t>提案人：</w:t>
      </w:r>
      <w:r w:rsidRPr="00D65AED">
        <w:rPr>
          <w:rFonts w:hint="eastAsia"/>
        </w:rPr>
        <w:t>江永昌 林靜儀</w:t>
      </w:r>
    </w:p>
    <w:p w14:paraId="71822A25" w14:textId="77777777" w:rsidR="00421BB5" w:rsidRPr="00D65AED" w:rsidRDefault="00421BB5" w:rsidP="00421BB5">
      <w:pPr>
        <w:pStyle w:val="2-1"/>
      </w:pPr>
      <w:r w:rsidRPr="00D65AED">
        <w:rPr>
          <w:rFonts w:hint="eastAsia"/>
        </w:rPr>
        <w:t>連署人：黃世杰 陳歐珀</w:t>
      </w:r>
    </w:p>
    <w:p w14:paraId="2997B3F2" w14:textId="77777777" w:rsidR="00421BB5" w:rsidRPr="00D65AED" w:rsidRDefault="00421BB5" w:rsidP="00421BB5">
      <w:pPr>
        <w:pStyle w:val="0-"/>
        <w:rPr>
          <w:lang w:eastAsia="zh-HK"/>
        </w:rPr>
      </w:pPr>
      <w:r w:rsidRPr="00D65AED">
        <w:rPr>
          <w:rFonts w:hint="eastAsia"/>
        </w:rPr>
        <w:t>(二十九)</w:t>
      </w:r>
      <w:r w:rsidRPr="00D65AED">
        <w:rPr>
          <w:rFonts w:hint="eastAsia"/>
          <w:lang w:eastAsia="zh-HK"/>
        </w:rPr>
        <w:t>立法院近</w:t>
      </w:r>
      <w:r w:rsidRPr="00D65AED">
        <w:rPr>
          <w:rFonts w:hint="eastAsia"/>
        </w:rPr>
        <w:t>十</w:t>
      </w:r>
      <w:r w:rsidRPr="00D65AED">
        <w:rPr>
          <w:rFonts w:hint="eastAsia"/>
          <w:lang w:eastAsia="zh-HK"/>
        </w:rPr>
        <w:t>年(102至111年)，總共編列資訊服務費</w:t>
      </w:r>
      <w:r w:rsidRPr="00D65AED">
        <w:rPr>
          <w:lang w:eastAsia="zh-HK"/>
        </w:rPr>
        <w:t>18</w:t>
      </w:r>
      <w:r w:rsidRPr="00D65AED">
        <w:rPr>
          <w:rFonts w:hint="eastAsia"/>
          <w:lang w:eastAsia="zh-HK"/>
        </w:rPr>
        <w:t>億</w:t>
      </w:r>
      <w:r w:rsidRPr="00D65AED">
        <w:rPr>
          <w:lang w:eastAsia="zh-HK"/>
        </w:rPr>
        <w:t>9,739</w:t>
      </w:r>
      <w:r w:rsidRPr="00D65AED">
        <w:rPr>
          <w:rFonts w:hint="eastAsia"/>
          <w:lang w:eastAsia="zh-HK"/>
        </w:rPr>
        <w:t>萬元，資訊軟硬體設備費</w:t>
      </w:r>
      <w:r w:rsidRPr="00D65AED">
        <w:rPr>
          <w:lang w:eastAsia="zh-HK"/>
        </w:rPr>
        <w:t>14</w:t>
      </w:r>
      <w:r w:rsidRPr="00D65AED">
        <w:rPr>
          <w:rFonts w:hint="eastAsia"/>
          <w:lang w:eastAsia="zh-HK"/>
        </w:rPr>
        <w:t>億</w:t>
      </w:r>
      <w:r w:rsidRPr="00D65AED">
        <w:rPr>
          <w:lang w:eastAsia="zh-HK"/>
        </w:rPr>
        <w:t>4,047</w:t>
      </w:r>
      <w:r w:rsidRPr="00D65AED">
        <w:rPr>
          <w:rFonts w:hint="eastAsia"/>
          <w:lang w:eastAsia="zh-HK"/>
        </w:rPr>
        <w:t>萬元，金額雖高，有關院內資源網站之酬酢品線上申辦系統及行政業務管理系統，常年助理的使用經驗，不僅作業速度慢，而且經常當機。在Internet Explorer公</w:t>
      </w:r>
      <w:r w:rsidRPr="00D65AED">
        <w:rPr>
          <w:rFonts w:hint="eastAsia"/>
        </w:rPr>
        <w:t>布</w:t>
      </w:r>
      <w:r w:rsidRPr="00D65AED">
        <w:rPr>
          <w:rFonts w:hint="eastAsia"/>
          <w:lang w:eastAsia="zh-HK"/>
        </w:rPr>
        <w:t>自</w:t>
      </w:r>
      <w:r w:rsidRPr="00D65AED">
        <w:rPr>
          <w:rFonts w:hint="eastAsia"/>
        </w:rPr>
        <w:t>111</w:t>
      </w:r>
      <w:r w:rsidRPr="00D65AED">
        <w:rPr>
          <w:rFonts w:hint="eastAsia"/>
          <w:lang w:eastAsia="zh-HK"/>
        </w:rPr>
        <w:t>年6月15日起，停止支援服務，鼓勵客戶移轉至Microsoft Edge，然而，在Microsoft Edge系統開啟之院內資源</w:t>
      </w:r>
      <w:r w:rsidRPr="00D65AED">
        <w:rPr>
          <w:rFonts w:hint="eastAsia"/>
        </w:rPr>
        <w:t>入口</w:t>
      </w:r>
      <w:r w:rsidRPr="00D65AED">
        <w:rPr>
          <w:rFonts w:hint="eastAsia"/>
          <w:lang w:eastAsia="zh-HK"/>
        </w:rPr>
        <w:t>網站，運轉速度比以往更慢，故障率比以前更高。爰要求立法院秘書處於3個月</w:t>
      </w:r>
      <w:r w:rsidRPr="00D65AED">
        <w:rPr>
          <w:rFonts w:hint="eastAsia"/>
        </w:rPr>
        <w:t>內</w:t>
      </w:r>
      <w:r w:rsidRPr="00D65AED">
        <w:rPr>
          <w:rFonts w:hint="eastAsia"/>
          <w:lang w:eastAsia="zh-HK"/>
        </w:rPr>
        <w:t>提出書面改善檢討報告，並確實提升研究室電腦作業的服務環境。</w:t>
      </w:r>
    </w:p>
    <w:p w14:paraId="3BDF10F9" w14:textId="77777777" w:rsidR="00421BB5" w:rsidRPr="00D65AED" w:rsidRDefault="00421BB5" w:rsidP="00421BB5">
      <w:pPr>
        <w:pStyle w:val="2-1"/>
      </w:pPr>
      <w:r w:rsidRPr="00D65AED">
        <w:t>提案人：</w:t>
      </w:r>
      <w:r w:rsidRPr="00D65AED">
        <w:rPr>
          <w:rFonts w:hint="eastAsia"/>
        </w:rPr>
        <w:t>鄭運鵬 黃世杰 陳歐珀</w:t>
      </w:r>
    </w:p>
    <w:p w14:paraId="779AF3ED" w14:textId="77777777" w:rsidR="00421BB5" w:rsidRPr="00D65AED" w:rsidRDefault="00421BB5" w:rsidP="00421BB5">
      <w:pPr>
        <w:adjustRightInd w:val="0"/>
        <w:snapToGrid w:val="0"/>
        <w:spacing w:line="360" w:lineRule="exact"/>
        <w:ind w:left="560" w:hangingChars="200" w:hanging="560"/>
        <w:rPr>
          <w:rFonts w:ascii="標楷體" w:eastAsia="標楷體" w:hAnsi="標楷體"/>
          <w:sz w:val="28"/>
          <w:szCs w:val="28"/>
        </w:rPr>
      </w:pPr>
      <w:r w:rsidRPr="00D65AED">
        <w:rPr>
          <w:rFonts w:ascii="標楷體" w:eastAsia="標楷體" w:hAnsi="標楷體" w:hint="eastAsia"/>
          <w:sz w:val="28"/>
          <w:szCs w:val="28"/>
        </w:rPr>
        <w:t>四、中華民國112年度中央政府總預算案關於立法院主管收支部分</w:t>
      </w:r>
      <w:r w:rsidRPr="00D65AED">
        <w:rPr>
          <w:rFonts w:ascii="標楷體" w:eastAsia="標楷體" w:hAnsi="標楷體"/>
          <w:sz w:val="28"/>
          <w:szCs w:val="28"/>
        </w:rPr>
        <w:t>審查完竣，提報院會</w:t>
      </w:r>
      <w:r w:rsidRPr="00D65AED">
        <w:rPr>
          <w:rFonts w:ascii="標楷體" w:eastAsia="標楷體" w:hAnsi="標楷體" w:hint="eastAsia"/>
          <w:sz w:val="28"/>
          <w:szCs w:val="28"/>
        </w:rPr>
        <w:t>，</w:t>
      </w:r>
      <w:r w:rsidRPr="00D65AED">
        <w:rPr>
          <w:rFonts w:ascii="標楷體" w:eastAsia="標楷體" w:hAnsi="標楷體"/>
          <w:sz w:val="28"/>
          <w:szCs w:val="28"/>
        </w:rPr>
        <w:t>院會討論</w:t>
      </w:r>
      <w:r w:rsidRPr="00D65AED">
        <w:rPr>
          <w:rFonts w:ascii="標楷體" w:eastAsia="標楷體" w:hAnsi="標楷體" w:hint="eastAsia"/>
          <w:sz w:val="28"/>
          <w:szCs w:val="28"/>
        </w:rPr>
        <w:t>前，</w:t>
      </w:r>
      <w:r w:rsidRPr="00D65AED">
        <w:rPr>
          <w:rFonts w:ascii="標楷體" w:eastAsia="標楷體" w:hAnsi="標楷體"/>
          <w:sz w:val="28"/>
          <w:szCs w:val="28"/>
        </w:rPr>
        <w:t>須交由黨團協商</w:t>
      </w:r>
      <w:r w:rsidRPr="00D65AED">
        <w:rPr>
          <w:rFonts w:ascii="標楷體" w:eastAsia="標楷體" w:hAnsi="標楷體" w:hint="eastAsia"/>
          <w:sz w:val="28"/>
          <w:szCs w:val="28"/>
          <w:shd w:val="clear" w:color="auto" w:fill="FFFFFF"/>
        </w:rPr>
        <w:t>；院會討論時，由陳召集委員歐珀出席說明</w:t>
      </w:r>
      <w:r w:rsidRPr="00D65AED">
        <w:rPr>
          <w:rFonts w:ascii="標楷體" w:eastAsia="標楷體" w:hAnsi="標楷體"/>
          <w:sz w:val="28"/>
          <w:szCs w:val="28"/>
        </w:rPr>
        <w:t>。</w:t>
      </w:r>
    </w:p>
    <w:p w14:paraId="0E8CB247" w14:textId="77777777" w:rsidR="00421BB5" w:rsidRPr="00D65AED" w:rsidRDefault="00421BB5" w:rsidP="00421BB5">
      <w:pPr>
        <w:adjustRightInd w:val="0"/>
        <w:snapToGrid w:val="0"/>
        <w:spacing w:line="360" w:lineRule="exact"/>
        <w:ind w:left="560" w:hangingChars="200" w:hanging="560"/>
        <w:rPr>
          <w:rFonts w:ascii="標楷體" w:eastAsia="標楷體" w:hAnsi="標楷體"/>
          <w:sz w:val="28"/>
          <w:szCs w:val="28"/>
        </w:rPr>
      </w:pPr>
      <w:r w:rsidRPr="00D65AED">
        <w:rPr>
          <w:rFonts w:ascii="標楷體" w:eastAsia="標楷體" w:hAnsi="標楷體" w:hint="eastAsia"/>
          <w:sz w:val="28"/>
          <w:szCs w:val="28"/>
          <w:shd w:val="clear" w:color="auto" w:fill="FFFFFF"/>
        </w:rPr>
        <w:t>五、第二案至第五案，均准予動支，提報院會。</w:t>
      </w:r>
    </w:p>
    <w:p w14:paraId="46A005EA" w14:textId="77777777" w:rsidR="00421BB5" w:rsidRPr="00D65AED" w:rsidRDefault="00421BB5" w:rsidP="00421BB5">
      <w:pPr>
        <w:adjustRightInd w:val="0"/>
        <w:snapToGrid w:val="0"/>
        <w:spacing w:line="360" w:lineRule="exact"/>
        <w:ind w:left="560" w:hangingChars="200" w:hanging="560"/>
        <w:rPr>
          <w:rFonts w:ascii="標楷體" w:eastAsia="標楷體" w:hAnsi="標楷體"/>
          <w:sz w:val="28"/>
          <w:szCs w:val="28"/>
        </w:rPr>
      </w:pPr>
      <w:r w:rsidRPr="00D65AED">
        <w:rPr>
          <w:rFonts w:ascii="標楷體" w:eastAsia="標楷體" w:hAnsi="標楷體" w:hint="eastAsia"/>
          <w:sz w:val="28"/>
          <w:szCs w:val="28"/>
        </w:rPr>
        <w:t>六、本次會議通過之決議，依例文字授權主席及議事人員整理。</w:t>
      </w:r>
    </w:p>
    <w:p w14:paraId="040FBDB9" w14:textId="77777777" w:rsidR="00421BB5" w:rsidRPr="00D65AED" w:rsidRDefault="00421BB5" w:rsidP="00421BB5">
      <w:pPr>
        <w:adjustRightInd w:val="0"/>
        <w:snapToGrid w:val="0"/>
        <w:spacing w:line="360" w:lineRule="exact"/>
        <w:ind w:left="560" w:hangingChars="200" w:hanging="560"/>
        <w:rPr>
          <w:rFonts w:ascii="標楷體" w:eastAsia="標楷體" w:hAnsi="標楷體"/>
          <w:sz w:val="28"/>
          <w:szCs w:val="28"/>
        </w:rPr>
      </w:pPr>
      <w:r w:rsidRPr="00D65AED">
        <w:rPr>
          <w:rFonts w:ascii="標楷體" w:eastAsia="標楷體" w:hAnsi="標楷體" w:hint="eastAsia"/>
          <w:sz w:val="28"/>
          <w:szCs w:val="28"/>
        </w:rPr>
        <w:t>七、委員質詢時，要求提供相關資料或以書面答復者，請相關機關儘速送交個別委員及本會。</w:t>
      </w:r>
    </w:p>
    <w:p w14:paraId="6AEE2245" w14:textId="77777777" w:rsidR="00421BB5" w:rsidRPr="00D65AED" w:rsidRDefault="00421BB5" w:rsidP="00421BB5">
      <w:pPr>
        <w:adjustRightInd w:val="0"/>
        <w:snapToGrid w:val="0"/>
        <w:spacing w:beforeLines="50" w:before="180" w:line="360" w:lineRule="exact"/>
        <w:ind w:left="619" w:hangingChars="221" w:hanging="619"/>
        <w:jc w:val="both"/>
        <w:rPr>
          <w:rFonts w:ascii="標楷體" w:eastAsia="標楷體" w:hAnsi="標楷體"/>
          <w:sz w:val="28"/>
          <w:szCs w:val="28"/>
        </w:rPr>
      </w:pPr>
      <w:r w:rsidRPr="00D65AED">
        <w:rPr>
          <w:rFonts w:ascii="標楷體" w:eastAsia="標楷體" w:hAnsi="標楷體"/>
          <w:sz w:val="28"/>
          <w:szCs w:val="28"/>
        </w:rPr>
        <w:t>散會</w:t>
      </w:r>
    </w:p>
    <w:p w14:paraId="4CA59685" w14:textId="77777777" w:rsidR="00421BB5" w:rsidRPr="00D65AED" w:rsidRDefault="00421BB5" w:rsidP="00421BB5">
      <w:pPr>
        <w:adjustRightInd w:val="0"/>
        <w:snapToGrid w:val="0"/>
        <w:spacing w:beforeLines="50" w:before="180" w:line="360" w:lineRule="exact"/>
        <w:ind w:left="619" w:hangingChars="221" w:hanging="619"/>
        <w:jc w:val="both"/>
        <w:rPr>
          <w:rFonts w:ascii="標楷體" w:eastAsia="標楷體" w:hAnsi="標楷體"/>
          <w:sz w:val="28"/>
          <w:szCs w:val="28"/>
        </w:rPr>
      </w:pPr>
    </w:p>
    <w:p w14:paraId="078C4410"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會期司法及法制委員會第1</w:t>
      </w:r>
      <w:r w:rsidRPr="00D65AED">
        <w:rPr>
          <w:rFonts w:ascii="標楷體" w:eastAsia="標楷體" w:hAnsi="標楷體" w:hint="eastAsia"/>
          <w:b/>
          <w:spacing w:val="-4"/>
          <w:sz w:val="28"/>
          <w:szCs w:val="28"/>
        </w:rPr>
        <w:t>8</w:t>
      </w:r>
      <w:r w:rsidRPr="00D65AED">
        <w:rPr>
          <w:rFonts w:ascii="標楷體" w:eastAsia="標楷體" w:hAnsi="標楷體"/>
          <w:b/>
          <w:spacing w:val="-4"/>
          <w:sz w:val="28"/>
          <w:szCs w:val="28"/>
        </w:rPr>
        <w:t>次全體委員會議議事錄</w:t>
      </w:r>
    </w:p>
    <w:p w14:paraId="2B1BC1D3" w14:textId="77777777" w:rsidR="00421BB5" w:rsidRPr="00D65AED" w:rsidRDefault="00421BB5" w:rsidP="00421BB5">
      <w:pPr>
        <w:pStyle w:val="-9"/>
        <w:spacing w:line="360" w:lineRule="exact"/>
        <w:ind w:leftChars="1" w:left="1416" w:hangingChars="505" w:hanging="1414"/>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pacing w:val="-10"/>
          <w:sz w:val="28"/>
          <w:szCs w:val="28"/>
        </w:rPr>
        <w:t>：</w:t>
      </w:r>
      <w:r w:rsidRPr="00D65AED">
        <w:rPr>
          <w:rFonts w:ascii="標楷體" w:hAnsi="標楷體"/>
          <w:sz w:val="28"/>
          <w:szCs w:val="28"/>
        </w:rPr>
        <w:t>中華民國1</w:t>
      </w:r>
      <w:r w:rsidRPr="00D65AED">
        <w:rPr>
          <w:rFonts w:ascii="標楷體" w:hAnsi="標楷體" w:hint="eastAsia"/>
          <w:sz w:val="28"/>
          <w:szCs w:val="28"/>
        </w:rPr>
        <w:t>11</w:t>
      </w:r>
      <w:r w:rsidRPr="00D65AED">
        <w:rPr>
          <w:rFonts w:ascii="標楷體" w:hAnsi="標楷體"/>
          <w:sz w:val="28"/>
          <w:szCs w:val="28"/>
        </w:rPr>
        <w:t>年</w:t>
      </w:r>
      <w:r w:rsidRPr="00D65AED">
        <w:rPr>
          <w:rFonts w:ascii="標楷體" w:hAnsi="標楷體" w:hint="eastAsia"/>
          <w:sz w:val="28"/>
          <w:szCs w:val="28"/>
        </w:rPr>
        <w:t>11</w:t>
      </w:r>
      <w:r w:rsidRPr="00D65AED">
        <w:rPr>
          <w:rFonts w:ascii="標楷體" w:hAnsi="標楷體"/>
          <w:sz w:val="28"/>
          <w:szCs w:val="28"/>
        </w:rPr>
        <w:t>月</w:t>
      </w:r>
      <w:r w:rsidRPr="00D65AED">
        <w:rPr>
          <w:rFonts w:ascii="標楷體" w:hAnsi="標楷體" w:hint="eastAsia"/>
          <w:sz w:val="28"/>
          <w:szCs w:val="28"/>
        </w:rPr>
        <w:t>21</w:t>
      </w:r>
      <w:r w:rsidRPr="00D65AED">
        <w:rPr>
          <w:rFonts w:ascii="標楷體" w:hAnsi="標楷體"/>
          <w:sz w:val="28"/>
          <w:szCs w:val="28"/>
        </w:rPr>
        <w:t>日（星期</w:t>
      </w:r>
      <w:r w:rsidRPr="00D65AED">
        <w:rPr>
          <w:rFonts w:ascii="標楷體" w:hAnsi="標楷體" w:hint="eastAsia"/>
          <w:sz w:val="28"/>
          <w:szCs w:val="28"/>
        </w:rPr>
        <w:t>一</w:t>
      </w:r>
      <w:r w:rsidRPr="00D65AED">
        <w:rPr>
          <w:rFonts w:ascii="標楷體" w:hAnsi="標楷體"/>
          <w:sz w:val="28"/>
          <w:szCs w:val="28"/>
        </w:rPr>
        <w:t>）上午9時</w:t>
      </w:r>
      <w:r w:rsidRPr="00D65AED">
        <w:rPr>
          <w:rFonts w:ascii="標楷體" w:hAnsi="標楷體" w:hint="eastAsia"/>
          <w:sz w:val="28"/>
          <w:szCs w:val="28"/>
        </w:rPr>
        <w:t>2</w:t>
      </w:r>
      <w:r w:rsidRPr="00D65AED">
        <w:rPr>
          <w:rFonts w:ascii="標楷體" w:hAnsi="標楷體"/>
          <w:sz w:val="28"/>
          <w:szCs w:val="28"/>
        </w:rPr>
        <w:t>分至</w:t>
      </w:r>
      <w:r w:rsidRPr="00D65AED">
        <w:rPr>
          <w:rFonts w:ascii="標楷體" w:hAnsi="標楷體" w:hint="eastAsia"/>
          <w:sz w:val="28"/>
          <w:szCs w:val="28"/>
        </w:rPr>
        <w:t>11</w:t>
      </w:r>
      <w:r w:rsidRPr="00D65AED">
        <w:rPr>
          <w:rFonts w:ascii="標楷體" w:hAnsi="標楷體"/>
          <w:sz w:val="28"/>
          <w:szCs w:val="28"/>
        </w:rPr>
        <w:t>時13分</w:t>
      </w:r>
    </w:p>
    <w:p w14:paraId="62E79557"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695914B4"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rPr>
        <w:t>出席委員</w:t>
      </w:r>
      <w:r w:rsidRPr="00D65AED">
        <w:rPr>
          <w:rFonts w:ascii="標楷體" w:hAnsi="標楷體" w:hint="eastAsia"/>
          <w:sz w:val="28"/>
          <w:szCs w:val="28"/>
        </w:rPr>
        <w:t>：陳歐珀</w:t>
      </w:r>
      <w:r w:rsidRPr="00D65AED">
        <w:rPr>
          <w:rFonts w:ascii="標楷體" w:hAnsi="標楷體"/>
          <w:sz w:val="28"/>
          <w:szCs w:val="28"/>
        </w:rPr>
        <w:tab/>
        <w:t>游</w:t>
      </w:r>
      <w:r w:rsidRPr="00D65AED">
        <w:rPr>
          <w:rFonts w:ascii="標楷體" w:hAnsi="標楷體" w:hint="eastAsia"/>
          <w:sz w:val="28"/>
          <w:szCs w:val="28"/>
        </w:rPr>
        <w:t>毓蘭</w:t>
      </w:r>
      <w:r w:rsidRPr="00D65AED">
        <w:rPr>
          <w:rFonts w:ascii="標楷體" w:hAnsi="標楷體"/>
          <w:sz w:val="28"/>
          <w:szCs w:val="28"/>
        </w:rPr>
        <w:tab/>
      </w:r>
      <w:r w:rsidRPr="00D65AED">
        <w:rPr>
          <w:rFonts w:ascii="標楷體" w:hAnsi="標楷體" w:hint="eastAsia"/>
          <w:sz w:val="28"/>
          <w:szCs w:val="28"/>
        </w:rPr>
        <w:t>曾銘宗</w:t>
      </w:r>
      <w:r w:rsidRPr="00D65AED">
        <w:rPr>
          <w:rFonts w:ascii="標楷體" w:hAnsi="標楷體"/>
          <w:sz w:val="28"/>
          <w:szCs w:val="28"/>
        </w:rPr>
        <w:tab/>
      </w:r>
      <w:r w:rsidRPr="00D65AED">
        <w:rPr>
          <w:rFonts w:ascii="標楷體" w:hAnsi="標楷體" w:hint="eastAsia"/>
          <w:sz w:val="28"/>
          <w:szCs w:val="28"/>
        </w:rPr>
        <w:t>陳玉珍</w:t>
      </w:r>
      <w:r w:rsidRPr="00D65AED">
        <w:rPr>
          <w:rFonts w:ascii="標楷體" w:hAnsi="標楷體"/>
          <w:sz w:val="28"/>
          <w:szCs w:val="28"/>
        </w:rPr>
        <w:tab/>
      </w:r>
      <w:r w:rsidRPr="00D65AED">
        <w:rPr>
          <w:rFonts w:ascii="標楷體" w:hAnsi="標楷體" w:hint="eastAsia"/>
          <w:sz w:val="28"/>
          <w:szCs w:val="28"/>
        </w:rPr>
        <w:t>黃世杰</w:t>
      </w:r>
      <w:r w:rsidRPr="00D65AED">
        <w:rPr>
          <w:rFonts w:ascii="標楷體" w:hAnsi="標楷體"/>
          <w:sz w:val="28"/>
          <w:szCs w:val="28"/>
        </w:rPr>
        <w:tab/>
      </w:r>
      <w:r w:rsidRPr="00D65AED">
        <w:rPr>
          <w:rFonts w:ascii="標楷體" w:hAnsi="標楷體" w:hint="eastAsia"/>
          <w:sz w:val="28"/>
          <w:szCs w:val="28"/>
        </w:rPr>
        <w:t>林思銘</w:t>
      </w:r>
      <w:r w:rsidRPr="00D65AED">
        <w:rPr>
          <w:rFonts w:ascii="標楷體" w:hAnsi="標楷體"/>
          <w:sz w:val="28"/>
          <w:szCs w:val="28"/>
        </w:rPr>
        <w:tab/>
      </w:r>
      <w:r w:rsidRPr="00D65AED">
        <w:rPr>
          <w:rFonts w:ascii="標楷體" w:hAnsi="標楷體" w:hint="eastAsia"/>
          <w:sz w:val="28"/>
          <w:szCs w:val="28"/>
        </w:rPr>
        <w:t>江永昌</w:t>
      </w:r>
    </w:p>
    <w:p w14:paraId="197C1F06"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鄭運鵬</w:t>
      </w:r>
      <w:r w:rsidRPr="00D65AED">
        <w:rPr>
          <w:rFonts w:ascii="標楷體" w:eastAsia="標楷體" w:hAnsi="標楷體"/>
          <w:sz w:val="28"/>
          <w:szCs w:val="28"/>
        </w:rPr>
        <w:tab/>
      </w:r>
    </w:p>
    <w:p w14:paraId="49BEF6A8"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委員出席</w:t>
      </w:r>
      <w:r w:rsidRPr="00D65AED">
        <w:rPr>
          <w:rFonts w:ascii="標楷體" w:eastAsia="標楷體" w:hAnsi="標楷體" w:hint="eastAsia"/>
          <w:sz w:val="28"/>
          <w:szCs w:val="28"/>
        </w:rPr>
        <w:t>9</w:t>
      </w:r>
      <w:r w:rsidRPr="00D65AED">
        <w:rPr>
          <w:rFonts w:ascii="標楷體" w:eastAsia="標楷體" w:hAnsi="標楷體"/>
          <w:sz w:val="28"/>
          <w:szCs w:val="28"/>
        </w:rPr>
        <w:t>人</w:t>
      </w:r>
    </w:p>
    <w:p w14:paraId="3E095DD4"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劉世芳</w:t>
      </w:r>
      <w:r w:rsidRPr="00D65AED">
        <w:rPr>
          <w:rFonts w:ascii="標楷體" w:eastAsia="標楷體" w:hAnsi="標楷體"/>
          <w:sz w:val="28"/>
          <w:szCs w:val="28"/>
        </w:rPr>
        <w:tab/>
      </w:r>
      <w:r w:rsidRPr="00D65AED">
        <w:rPr>
          <w:rFonts w:ascii="標楷體" w:eastAsia="標楷體" w:hAnsi="標楷體" w:hint="eastAsia"/>
          <w:color w:val="000000"/>
          <w:sz w:val="28"/>
          <w:szCs w:val="28"/>
        </w:rPr>
        <w:t>李德維</w:t>
      </w:r>
      <w:r w:rsidRPr="00D65AED">
        <w:rPr>
          <w:rFonts w:ascii="標楷體" w:eastAsia="標楷體" w:hAnsi="標楷體"/>
          <w:color w:val="000000"/>
          <w:sz w:val="28"/>
          <w:szCs w:val="28"/>
        </w:rPr>
        <w:tab/>
      </w:r>
      <w:r w:rsidRPr="00D65AED">
        <w:rPr>
          <w:rFonts w:ascii="標楷體" w:eastAsia="標楷體" w:hAnsi="標楷體" w:hint="eastAsia"/>
          <w:sz w:val="28"/>
        </w:rPr>
        <w:t>洪孟楷</w:t>
      </w:r>
      <w:r w:rsidRPr="00D65AED">
        <w:rPr>
          <w:rFonts w:ascii="標楷體" w:eastAsia="標楷體" w:hAnsi="標楷體"/>
          <w:sz w:val="28"/>
        </w:rPr>
        <w:tab/>
      </w:r>
      <w:r w:rsidRPr="00D65AED">
        <w:rPr>
          <w:rFonts w:ascii="標楷體" w:eastAsia="標楷體" w:hAnsi="標楷體" w:hint="eastAsia"/>
          <w:kern w:val="0"/>
          <w:sz w:val="28"/>
          <w:szCs w:val="28"/>
        </w:rPr>
        <w:t>廖婉汝</w:t>
      </w:r>
      <w:r w:rsidRPr="00D65AED">
        <w:rPr>
          <w:rFonts w:ascii="標楷體" w:eastAsia="標楷體" w:hAnsi="標楷體"/>
          <w:kern w:val="0"/>
          <w:sz w:val="28"/>
          <w:szCs w:val="28"/>
        </w:rPr>
        <w:tab/>
      </w:r>
      <w:r w:rsidRPr="00D65AED">
        <w:rPr>
          <w:rFonts w:ascii="標楷體" w:eastAsia="標楷體" w:hAnsi="標楷體" w:hint="eastAsia"/>
          <w:kern w:val="0"/>
          <w:sz w:val="28"/>
          <w:szCs w:val="28"/>
        </w:rPr>
        <w:t>陳椒華</w:t>
      </w:r>
      <w:r w:rsidRPr="00D65AED">
        <w:rPr>
          <w:rFonts w:ascii="標楷體" w:eastAsia="標楷體" w:hAnsi="標楷體"/>
          <w:kern w:val="0"/>
          <w:sz w:val="28"/>
          <w:szCs w:val="28"/>
        </w:rPr>
        <w:tab/>
      </w:r>
      <w:r w:rsidRPr="00D65AED">
        <w:rPr>
          <w:rFonts w:ascii="標楷體" w:eastAsia="標楷體" w:hAnsi="標楷體" w:hint="eastAsia"/>
          <w:sz w:val="28"/>
          <w:szCs w:val="28"/>
        </w:rPr>
        <w:t>楊瓊瓔</w:t>
      </w:r>
      <w:r w:rsidRPr="00D65AED">
        <w:rPr>
          <w:rFonts w:ascii="標楷體" w:eastAsia="標楷體" w:hAnsi="標楷體"/>
          <w:sz w:val="28"/>
          <w:szCs w:val="28"/>
        </w:rPr>
        <w:tab/>
      </w:r>
    </w:p>
    <w:p w14:paraId="08615CD8"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廖國棟Sufin．Siluko</w:t>
      </w:r>
    </w:p>
    <w:p w14:paraId="1A33813E"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委員列席7人</w:t>
      </w:r>
    </w:p>
    <w:p w14:paraId="44F1F8E5"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請假委員：周春米</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11E64D13"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請假2人</w:t>
      </w:r>
    </w:p>
    <w:p w14:paraId="4B278A40" w14:textId="77777777" w:rsidR="00421BB5" w:rsidRPr="00D65AED" w:rsidRDefault="00421BB5" w:rsidP="00421BB5">
      <w:pPr>
        <w:pStyle w:val="-9"/>
        <w:spacing w:line="360" w:lineRule="exact"/>
        <w:ind w:left="1361" w:hangingChars="486" w:hanging="1361"/>
        <w:rPr>
          <w:rFonts w:ascii="標楷體" w:hAnsi="標楷體"/>
          <w:sz w:val="30"/>
          <w:szCs w:val="30"/>
        </w:rPr>
      </w:pPr>
      <w:r w:rsidRPr="00D65AED">
        <w:rPr>
          <w:rFonts w:ascii="標楷體" w:hAnsi="標楷體"/>
          <w:sz w:val="28"/>
          <w:szCs w:val="28"/>
        </w:rPr>
        <w:t>列席官員：司法院秘書長</w:t>
      </w:r>
      <w:r w:rsidRPr="00D65AED">
        <w:rPr>
          <w:rFonts w:ascii="標楷體" w:hAnsi="標楷體" w:hint="eastAsia"/>
          <w:sz w:val="28"/>
          <w:szCs w:val="28"/>
        </w:rPr>
        <w:t xml:space="preserve">  林輝煌</w:t>
      </w:r>
    </w:p>
    <w:p w14:paraId="46EF8381"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：林</w:t>
      </w:r>
      <w:r w:rsidRPr="00D65AED">
        <w:rPr>
          <w:rFonts w:ascii="標楷體" w:eastAsia="標楷體" w:hAnsi="標楷體" w:hint="eastAsia"/>
          <w:sz w:val="28"/>
          <w:szCs w:val="28"/>
        </w:rPr>
        <w:t>召集</w:t>
      </w:r>
      <w:r w:rsidRPr="00D65AED">
        <w:rPr>
          <w:rFonts w:ascii="標楷體" w:eastAsia="標楷體" w:hAnsi="標楷體"/>
          <w:sz w:val="28"/>
          <w:szCs w:val="28"/>
        </w:rPr>
        <w:t>委員思銘</w:t>
      </w:r>
    </w:p>
    <w:p w14:paraId="6D94C5ED"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7F79FBAC" w14:textId="77777777" w:rsidR="00421BB5" w:rsidRPr="00D65AED" w:rsidRDefault="00421BB5" w:rsidP="00421BB5">
      <w:pPr>
        <w:tabs>
          <w:tab w:val="left" w:pos="1580"/>
        </w:tabs>
        <w:adjustRightInd w:val="0"/>
        <w:snapToGrid w:val="0"/>
        <w:spacing w:line="360" w:lineRule="exact"/>
        <w:jc w:val="both"/>
        <w:rPr>
          <w:rFonts w:ascii="標楷體" w:eastAsia="標楷體" w:hAnsi="標楷體"/>
          <w:sz w:val="28"/>
          <w:szCs w:val="28"/>
        </w:rPr>
      </w:pPr>
      <w:r w:rsidRPr="00D65AED">
        <w:rPr>
          <w:rFonts w:ascii="標楷體" w:eastAsia="標楷體" w:hAnsi="標楷體"/>
          <w:kern w:val="0"/>
          <w:sz w:val="28"/>
          <w:szCs w:val="28"/>
          <w:fitText w:val="1120" w:id="-1533856767"/>
        </w:rPr>
        <w:t>主任秘書</w:t>
      </w:r>
      <w:r w:rsidRPr="00D65AED">
        <w:rPr>
          <w:rFonts w:ascii="標楷體" w:eastAsia="標楷體" w:hAnsi="標楷體"/>
          <w:sz w:val="28"/>
          <w:szCs w:val="28"/>
        </w:rPr>
        <w:t>：</w:t>
      </w:r>
      <w:r w:rsidRPr="00D65AED">
        <w:rPr>
          <w:rFonts w:ascii="標楷體" w:eastAsia="標楷體" w:hAnsi="標楷體" w:hint="eastAsia"/>
          <w:sz w:val="28"/>
          <w:szCs w:val="28"/>
        </w:rPr>
        <w:t>張智為</w:t>
      </w:r>
    </w:p>
    <w:p w14:paraId="05B8E8F4" w14:textId="77777777" w:rsidR="00421BB5" w:rsidRPr="00D65AED" w:rsidRDefault="00421BB5" w:rsidP="00421BB5">
      <w:pPr>
        <w:tabs>
          <w:tab w:val="left" w:pos="2460"/>
        </w:tabs>
        <w:spacing w:line="360" w:lineRule="exact"/>
        <w:ind w:firstLineChars="10" w:firstLine="28"/>
        <w:jc w:val="both"/>
        <w:rPr>
          <w:rFonts w:ascii="標楷體" w:eastAsia="標楷體" w:hAnsi="標楷體"/>
          <w:sz w:val="28"/>
          <w:szCs w:val="28"/>
        </w:rPr>
      </w:pPr>
      <w:r w:rsidRPr="00D65AED">
        <w:rPr>
          <w:rFonts w:ascii="標楷體" w:eastAsia="標楷體" w:hAnsi="標楷體"/>
          <w:kern w:val="0"/>
          <w:sz w:val="28"/>
          <w:szCs w:val="28"/>
          <w:fitText w:val="1120" w:id="972279812"/>
        </w:rPr>
        <w:t>紀    錄</w:t>
      </w:r>
      <w:r w:rsidRPr="00D65AED">
        <w:rPr>
          <w:rFonts w:ascii="標楷體" w:eastAsia="標楷體" w:hAnsi="標楷體"/>
          <w:sz w:val="28"/>
          <w:szCs w:val="28"/>
        </w:rPr>
        <w:t>：簡任秘書</w:t>
      </w:r>
      <w:r w:rsidRPr="00D65AED">
        <w:rPr>
          <w:rFonts w:ascii="標楷體" w:eastAsia="標楷體" w:hAnsi="標楷體" w:hint="eastAsia"/>
          <w:sz w:val="28"/>
          <w:szCs w:val="28"/>
        </w:rPr>
        <w:t xml:space="preserve">　</w:t>
      </w:r>
      <w:r w:rsidRPr="00D65AED">
        <w:rPr>
          <w:rFonts w:ascii="標楷體" w:eastAsia="標楷體" w:hAnsi="標楷體"/>
          <w:sz w:val="28"/>
          <w:szCs w:val="28"/>
        </w:rPr>
        <w:t>陳杏枝</w:t>
      </w:r>
    </w:p>
    <w:p w14:paraId="21CD88AC" w14:textId="77777777" w:rsidR="00421BB5" w:rsidRPr="00D65AED" w:rsidRDefault="00421BB5" w:rsidP="00421BB5">
      <w:pPr>
        <w:tabs>
          <w:tab w:val="left" w:pos="2460"/>
        </w:tabs>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簡任編審</w:t>
      </w:r>
      <w:r w:rsidRPr="00D65AED">
        <w:rPr>
          <w:rFonts w:ascii="標楷體" w:eastAsia="標楷體" w:hAnsi="標楷體" w:hint="eastAsia"/>
          <w:sz w:val="28"/>
          <w:szCs w:val="28"/>
        </w:rPr>
        <w:t xml:space="preserve">　薛復寧</w:t>
      </w:r>
    </w:p>
    <w:p w14:paraId="6500F284" w14:textId="77777777" w:rsidR="00421BB5" w:rsidRPr="00D65AED" w:rsidRDefault="00421BB5" w:rsidP="00421BB5">
      <w:pPr>
        <w:spacing w:line="360" w:lineRule="exact"/>
        <w:ind w:firstLineChars="506" w:firstLine="1417"/>
        <w:jc w:val="both"/>
        <w:rPr>
          <w:rFonts w:ascii="標楷體" w:eastAsia="標楷體" w:hAnsi="標楷體"/>
          <w:sz w:val="28"/>
          <w:szCs w:val="28"/>
        </w:rPr>
      </w:pPr>
      <w:r w:rsidRPr="00D65AED">
        <w:rPr>
          <w:rFonts w:ascii="標楷體" w:eastAsia="標楷體" w:hAnsi="標楷體"/>
          <w:sz w:val="28"/>
          <w:szCs w:val="28"/>
        </w:rPr>
        <w:t>科    長</w:t>
      </w:r>
      <w:r w:rsidRPr="00D65AED">
        <w:rPr>
          <w:rFonts w:ascii="標楷體" w:eastAsia="標楷體" w:hAnsi="標楷體" w:hint="eastAsia"/>
          <w:sz w:val="28"/>
          <w:szCs w:val="28"/>
        </w:rPr>
        <w:t xml:space="preserve">　鮑夏明</w:t>
      </w:r>
    </w:p>
    <w:p w14:paraId="7064AF75"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61ABFEDB" w14:textId="77777777" w:rsidR="00421BB5" w:rsidRPr="00D65AED" w:rsidRDefault="00421BB5" w:rsidP="005F1EBB">
      <w:pPr>
        <w:numPr>
          <w:ilvl w:val="0"/>
          <w:numId w:val="45"/>
        </w:numPr>
        <w:adjustRightInd w:val="0"/>
        <w:snapToGrid w:val="0"/>
        <w:spacing w:beforeLines="50" w:before="180" w:line="360" w:lineRule="exact"/>
        <w:jc w:val="both"/>
        <w:rPr>
          <w:rFonts w:ascii="標楷體" w:eastAsia="標楷體" w:hAnsi="標楷體"/>
          <w:sz w:val="28"/>
          <w:szCs w:val="28"/>
        </w:rPr>
      </w:pPr>
      <w:r w:rsidRPr="00D65AED">
        <w:rPr>
          <w:rFonts w:ascii="標楷體" w:eastAsia="標楷體" w:hAnsi="標楷體"/>
          <w:sz w:val="28"/>
          <w:szCs w:val="28"/>
        </w:rPr>
        <w:t>宣讀上次會議議事錄。</w:t>
      </w:r>
    </w:p>
    <w:p w14:paraId="1E5D125E" w14:textId="77777777" w:rsidR="00421BB5" w:rsidRPr="00D65AED" w:rsidRDefault="00421BB5" w:rsidP="00421BB5">
      <w:pPr>
        <w:pStyle w:val="afffff2"/>
        <w:spacing w:line="360" w:lineRule="exact"/>
        <w:ind w:leftChars="0" w:left="840" w:rightChars="0" w:right="0" w:hanging="840"/>
        <w:jc w:val="both"/>
        <w:rPr>
          <w:rFonts w:ascii="標楷體" w:hAnsi="標楷體"/>
          <w:sz w:val="28"/>
          <w:szCs w:val="28"/>
        </w:rPr>
      </w:pPr>
      <w:r w:rsidRPr="00D65AED">
        <w:rPr>
          <w:rFonts w:ascii="標楷體" w:hAnsi="標楷體"/>
          <w:sz w:val="28"/>
          <w:szCs w:val="28"/>
        </w:rPr>
        <w:t>決定：確定。</w:t>
      </w:r>
    </w:p>
    <w:p w14:paraId="73966ED2" w14:textId="77777777" w:rsidR="00421BB5" w:rsidRPr="00D65AED" w:rsidRDefault="00421BB5" w:rsidP="00421BB5">
      <w:pPr>
        <w:pStyle w:val="afffff2"/>
        <w:spacing w:line="360" w:lineRule="exact"/>
        <w:ind w:leftChars="0" w:left="560" w:rightChars="0" w:right="0" w:hangingChars="200" w:hanging="560"/>
        <w:jc w:val="both"/>
        <w:rPr>
          <w:rFonts w:ascii="標楷體" w:hAnsi="標楷體" w:cs="Mongolian Baiti"/>
          <w:spacing w:val="-12"/>
          <w:sz w:val="28"/>
          <w:szCs w:val="28"/>
          <w:highlight w:val="yellow"/>
        </w:rPr>
      </w:pPr>
      <w:r w:rsidRPr="00D65AED">
        <w:rPr>
          <w:rFonts w:ascii="標楷體" w:hAnsi="標楷體"/>
          <w:sz w:val="28"/>
          <w:szCs w:val="28"/>
        </w:rPr>
        <w:t>二、</w:t>
      </w:r>
      <w:r w:rsidRPr="00D65AED">
        <w:rPr>
          <w:rFonts w:ascii="標楷體" w:hAnsi="標楷體" w:hint="eastAsia"/>
          <w:sz w:val="28"/>
          <w:szCs w:val="28"/>
        </w:rPr>
        <w:t>邀請司法院秘書長列席就「為落實司法改革打造金字塔訴訟制度，擬將刑事訴訟案件第一審改為堅實事實審，並限縮人民上訴第三審之權限。於此規劃下，如限縮人民上訴權時，首應提升司法審判品質，司法院應如何強化刑事鑑定制度，以增加一審判決之可信性與正確性？」進行專題報告，並備質詢。</w:t>
      </w:r>
    </w:p>
    <w:p w14:paraId="6D2663D9" w14:textId="77777777" w:rsidR="00421BB5" w:rsidRPr="00D65AED" w:rsidRDefault="00421BB5" w:rsidP="00421BB5">
      <w:pPr>
        <w:adjustRightInd w:val="0"/>
        <w:snapToGrid w:val="0"/>
        <w:spacing w:line="360" w:lineRule="exact"/>
        <w:ind w:left="283" w:hangingChars="101" w:hanging="283"/>
        <w:jc w:val="both"/>
        <w:rPr>
          <w:rFonts w:ascii="標楷體" w:eastAsia="標楷體" w:hAnsi="標楷體"/>
          <w:sz w:val="28"/>
          <w:szCs w:val="28"/>
        </w:rPr>
      </w:pPr>
      <w:r w:rsidRPr="00D65AED">
        <w:rPr>
          <w:rFonts w:ascii="標楷體" w:eastAsia="標楷體" w:hAnsi="標楷體"/>
          <w:sz w:val="28"/>
          <w:szCs w:val="28"/>
        </w:rPr>
        <w:t>（</w:t>
      </w:r>
      <w:r w:rsidRPr="00D65AED">
        <w:rPr>
          <w:rFonts w:ascii="標楷體" w:eastAsia="標楷體" w:hAnsi="標楷體"/>
          <w:spacing w:val="-12"/>
          <w:sz w:val="28"/>
          <w:szCs w:val="28"/>
        </w:rPr>
        <w:t>本</w:t>
      </w:r>
      <w:r w:rsidRPr="00D65AED">
        <w:rPr>
          <w:rFonts w:ascii="標楷體" w:eastAsia="標楷體" w:hAnsi="標楷體" w:hint="eastAsia"/>
          <w:spacing w:val="-12"/>
          <w:sz w:val="28"/>
          <w:szCs w:val="28"/>
        </w:rPr>
        <w:t>次會議有</w:t>
      </w:r>
      <w:r w:rsidRPr="00D65AED">
        <w:rPr>
          <w:rFonts w:ascii="標楷體" w:eastAsia="標楷體" w:hAnsi="標楷體"/>
          <w:spacing w:val="-12"/>
          <w:sz w:val="28"/>
          <w:szCs w:val="28"/>
        </w:rPr>
        <w:t>委員</w:t>
      </w:r>
      <w:r w:rsidRPr="00D65AED">
        <w:rPr>
          <w:rFonts w:ascii="標楷體" w:eastAsia="標楷體" w:hAnsi="標楷體" w:hint="eastAsia"/>
          <w:spacing w:val="-12"/>
          <w:sz w:val="28"/>
          <w:szCs w:val="28"/>
        </w:rPr>
        <w:t>陳玉珍、游</w:t>
      </w:r>
      <w:r w:rsidRPr="00D65AED">
        <w:rPr>
          <w:rFonts w:ascii="標楷體" w:eastAsia="標楷體" w:hAnsi="標楷體" w:hint="eastAsia"/>
          <w:spacing w:val="10"/>
          <w:sz w:val="28"/>
          <w:szCs w:val="28"/>
        </w:rPr>
        <w:t>毓蘭、</w:t>
      </w:r>
      <w:r w:rsidRPr="00D65AED">
        <w:rPr>
          <w:rFonts w:ascii="標楷體" w:eastAsia="標楷體" w:hAnsi="標楷體" w:hint="eastAsia"/>
          <w:spacing w:val="-12"/>
          <w:sz w:val="28"/>
          <w:szCs w:val="28"/>
        </w:rPr>
        <w:t>陳歐珀、黃世杰、林思銘、江永昌、</w:t>
      </w:r>
      <w:r w:rsidRPr="00D65AED">
        <w:rPr>
          <w:rFonts w:ascii="標楷體" w:eastAsia="標楷體" w:hAnsi="標楷體" w:hint="eastAsia"/>
          <w:spacing w:val="-6"/>
          <w:sz w:val="28"/>
          <w:szCs w:val="28"/>
        </w:rPr>
        <w:t>曾銘宗、陳椒華</w:t>
      </w:r>
      <w:r w:rsidRPr="00D65AED">
        <w:rPr>
          <w:rFonts w:ascii="標楷體" w:eastAsia="標楷體" w:hAnsi="標楷體"/>
          <w:spacing w:val="-6"/>
          <w:sz w:val="28"/>
          <w:szCs w:val="28"/>
        </w:rPr>
        <w:t>提出質詢</w:t>
      </w:r>
      <w:r w:rsidRPr="00D65AED">
        <w:rPr>
          <w:rFonts w:ascii="標楷體" w:eastAsia="標楷體" w:hAnsi="標楷體" w:hint="eastAsia"/>
          <w:spacing w:val="-6"/>
          <w:sz w:val="28"/>
          <w:szCs w:val="28"/>
        </w:rPr>
        <w:t>；委員周春米、陳以信</w:t>
      </w:r>
      <w:r w:rsidRPr="00D65AED">
        <w:rPr>
          <w:rFonts w:ascii="標楷體" w:eastAsia="標楷體" w:hAnsi="標楷體"/>
          <w:spacing w:val="-6"/>
          <w:sz w:val="28"/>
          <w:szCs w:val="28"/>
        </w:rPr>
        <w:t>、</w:t>
      </w:r>
      <w:r w:rsidRPr="00D65AED">
        <w:rPr>
          <w:rFonts w:ascii="標楷體" w:eastAsia="標楷體" w:hAnsi="標楷體" w:hint="eastAsia"/>
          <w:spacing w:val="-6"/>
          <w:sz w:val="28"/>
          <w:szCs w:val="28"/>
        </w:rPr>
        <w:t>劉建國、鄭運鵬</w:t>
      </w:r>
      <w:r w:rsidRPr="00D65AED">
        <w:rPr>
          <w:rFonts w:ascii="標楷體" w:eastAsia="標楷體" w:hAnsi="標楷體" w:hint="eastAsia"/>
          <w:sz w:val="28"/>
          <w:szCs w:val="28"/>
        </w:rPr>
        <w:t>提出書面質詢。</w:t>
      </w:r>
      <w:r w:rsidRPr="00D65AED">
        <w:rPr>
          <w:rFonts w:ascii="標楷體" w:eastAsia="標楷體" w:hAnsi="標楷體"/>
          <w:sz w:val="28"/>
          <w:szCs w:val="28"/>
        </w:rPr>
        <w:t>）</w:t>
      </w:r>
    </w:p>
    <w:p w14:paraId="74D17BE2" w14:textId="77777777" w:rsidR="00421BB5" w:rsidRPr="00D65AED" w:rsidRDefault="00421BB5" w:rsidP="00421BB5">
      <w:pPr>
        <w:spacing w:line="360" w:lineRule="exact"/>
        <w:ind w:left="493" w:hangingChars="176" w:hanging="493"/>
        <w:contextualSpacing/>
        <w:jc w:val="both"/>
        <w:rPr>
          <w:rFonts w:ascii="標楷體" w:eastAsia="標楷體" w:hAnsi="標楷體"/>
          <w:bCs/>
          <w:sz w:val="28"/>
          <w:szCs w:val="28"/>
        </w:rPr>
      </w:pPr>
      <w:r w:rsidRPr="00D65AED">
        <w:rPr>
          <w:rFonts w:ascii="標楷體" w:eastAsia="標楷體" w:hAnsi="標楷體"/>
          <w:bCs/>
          <w:sz w:val="28"/>
          <w:szCs w:val="28"/>
        </w:rPr>
        <w:t>決</w:t>
      </w:r>
      <w:r w:rsidRPr="00D65AED">
        <w:rPr>
          <w:rFonts w:ascii="標楷體" w:eastAsia="標楷體" w:hAnsi="標楷體" w:hint="eastAsia"/>
          <w:bCs/>
          <w:sz w:val="28"/>
          <w:szCs w:val="28"/>
        </w:rPr>
        <w:t>定</w:t>
      </w:r>
      <w:r w:rsidRPr="00D65AED">
        <w:rPr>
          <w:rFonts w:ascii="標楷體" w:eastAsia="標楷體" w:hAnsi="標楷體"/>
          <w:bCs/>
          <w:sz w:val="28"/>
          <w:szCs w:val="28"/>
        </w:rPr>
        <w:t>：</w:t>
      </w:r>
    </w:p>
    <w:p w14:paraId="238A7747"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sz w:val="28"/>
          <w:szCs w:val="28"/>
        </w:rPr>
        <w:t>一、報告及詢答完畢。</w:t>
      </w:r>
    </w:p>
    <w:p w14:paraId="120EA11C" w14:textId="77777777" w:rsidR="00421BB5" w:rsidRPr="00D65AED" w:rsidRDefault="00421BB5" w:rsidP="00421BB5">
      <w:pPr>
        <w:kinsoku w:val="0"/>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二、</w:t>
      </w:r>
      <w:r w:rsidRPr="00D65AED">
        <w:rPr>
          <w:rFonts w:ascii="標楷體" w:eastAsia="標楷體" w:hAnsi="標楷體"/>
          <w:sz w:val="28"/>
          <w:szCs w:val="28"/>
        </w:rPr>
        <w:t>委員質詢時，要求提供相關資料或以書面答復者，請相關機關儘速送交個別委員</w:t>
      </w:r>
      <w:r w:rsidRPr="00D65AED">
        <w:rPr>
          <w:rFonts w:ascii="標楷體" w:eastAsia="標楷體" w:hAnsi="標楷體" w:hint="eastAsia"/>
          <w:sz w:val="28"/>
          <w:szCs w:val="28"/>
        </w:rPr>
        <w:t>及</w:t>
      </w:r>
      <w:r w:rsidRPr="00D65AED">
        <w:rPr>
          <w:rFonts w:ascii="標楷體" w:eastAsia="標楷體" w:hAnsi="標楷體"/>
          <w:sz w:val="28"/>
          <w:szCs w:val="28"/>
        </w:rPr>
        <w:t>本會。</w:t>
      </w:r>
    </w:p>
    <w:p w14:paraId="56475921"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0A333C68"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p>
    <w:p w14:paraId="6AA10718" w14:textId="77777777" w:rsidR="00421BB5" w:rsidRPr="00D65AED" w:rsidRDefault="00421BB5" w:rsidP="00421BB5">
      <w:pPr>
        <w:spacing w:line="360" w:lineRule="exact"/>
        <w:rPr>
          <w:rFonts w:ascii="標楷體" w:eastAsia="標楷體" w:hAnsi="標楷體"/>
          <w:sz w:val="28"/>
          <w:szCs w:val="28"/>
        </w:rPr>
      </w:pPr>
    </w:p>
    <w:p w14:paraId="3E9A0F17"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會期司法及法制委員會第19次全體委員會議議事錄</w:t>
      </w:r>
    </w:p>
    <w:p w14:paraId="3741CA5C" w14:textId="77777777" w:rsidR="00421BB5" w:rsidRPr="00D65AED" w:rsidRDefault="00421BB5" w:rsidP="00421BB5">
      <w:pPr>
        <w:pStyle w:val="-9"/>
        <w:spacing w:line="360" w:lineRule="exact"/>
        <w:ind w:leftChars="1" w:left="1416" w:hangingChars="505" w:hanging="1414"/>
        <w:rPr>
          <w:rFonts w:ascii="標楷體" w:hAnsi="標楷體"/>
          <w:spacing w:val="-10"/>
          <w:sz w:val="28"/>
          <w:szCs w:val="28"/>
        </w:rPr>
      </w:pPr>
      <w:r w:rsidRPr="00D65AED">
        <w:rPr>
          <w:rFonts w:ascii="標楷體" w:hAnsi="標楷體"/>
          <w:sz w:val="28"/>
          <w:szCs w:val="28"/>
          <w:fitText w:val="1120" w:id="972279552"/>
        </w:rPr>
        <w:t>時    間</w:t>
      </w:r>
      <w:r w:rsidRPr="00D65AED">
        <w:rPr>
          <w:rFonts w:ascii="標楷體" w:hAnsi="標楷體"/>
          <w:spacing w:val="-10"/>
          <w:sz w:val="28"/>
          <w:szCs w:val="28"/>
        </w:rPr>
        <w:t>：中華民國1</w:t>
      </w:r>
      <w:r w:rsidRPr="00D65AED">
        <w:rPr>
          <w:rFonts w:ascii="標楷體" w:hAnsi="標楷體" w:hint="eastAsia"/>
          <w:spacing w:val="-10"/>
          <w:sz w:val="28"/>
          <w:szCs w:val="28"/>
        </w:rPr>
        <w:t>11</w:t>
      </w:r>
      <w:r w:rsidRPr="00D65AED">
        <w:rPr>
          <w:rFonts w:ascii="標楷體" w:hAnsi="標楷體"/>
          <w:spacing w:val="-10"/>
          <w:sz w:val="28"/>
          <w:szCs w:val="28"/>
        </w:rPr>
        <w:t>年</w:t>
      </w:r>
      <w:r w:rsidRPr="00D65AED">
        <w:rPr>
          <w:rFonts w:ascii="標楷體" w:hAnsi="標楷體" w:hint="eastAsia"/>
          <w:spacing w:val="-10"/>
          <w:sz w:val="28"/>
          <w:szCs w:val="28"/>
        </w:rPr>
        <w:t>11</w:t>
      </w:r>
      <w:r w:rsidRPr="00D65AED">
        <w:rPr>
          <w:rFonts w:ascii="標楷體" w:hAnsi="標楷體"/>
          <w:spacing w:val="-10"/>
          <w:sz w:val="28"/>
          <w:szCs w:val="28"/>
        </w:rPr>
        <w:t>月23日（星期</w:t>
      </w:r>
      <w:r w:rsidRPr="00D65AED">
        <w:rPr>
          <w:rFonts w:ascii="標楷體" w:hAnsi="標楷體" w:hint="eastAsia"/>
          <w:spacing w:val="-10"/>
          <w:sz w:val="28"/>
          <w:szCs w:val="28"/>
        </w:rPr>
        <w:t>三</w:t>
      </w:r>
      <w:r w:rsidRPr="00D65AED">
        <w:rPr>
          <w:rFonts w:ascii="標楷體" w:hAnsi="標楷體"/>
          <w:spacing w:val="-10"/>
          <w:sz w:val="28"/>
          <w:szCs w:val="28"/>
        </w:rPr>
        <w:t>）上午9時至</w:t>
      </w:r>
      <w:r w:rsidRPr="00D65AED">
        <w:rPr>
          <w:rFonts w:ascii="標楷體" w:hAnsi="標楷體" w:hint="eastAsia"/>
          <w:spacing w:val="-10"/>
          <w:sz w:val="28"/>
          <w:szCs w:val="28"/>
        </w:rPr>
        <w:t>11</w:t>
      </w:r>
      <w:r w:rsidRPr="00D65AED">
        <w:rPr>
          <w:rFonts w:ascii="標楷體" w:hAnsi="標楷體"/>
          <w:spacing w:val="-10"/>
          <w:sz w:val="28"/>
          <w:szCs w:val="28"/>
        </w:rPr>
        <w:t>時</w:t>
      </w:r>
      <w:r w:rsidRPr="00D65AED">
        <w:rPr>
          <w:rFonts w:ascii="標楷體" w:hAnsi="標楷體" w:hint="eastAsia"/>
          <w:spacing w:val="-10"/>
          <w:sz w:val="28"/>
          <w:szCs w:val="28"/>
        </w:rPr>
        <w:t>12</w:t>
      </w:r>
      <w:r w:rsidRPr="00D65AED">
        <w:rPr>
          <w:rFonts w:ascii="標楷體" w:hAnsi="標楷體"/>
          <w:spacing w:val="-10"/>
          <w:sz w:val="28"/>
          <w:szCs w:val="28"/>
        </w:rPr>
        <w:t>分</w:t>
      </w:r>
    </w:p>
    <w:p w14:paraId="71FCFF90"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11E536D8" w14:textId="77777777" w:rsidR="00421BB5" w:rsidRPr="00D65AED" w:rsidRDefault="00421BB5" w:rsidP="00421BB5">
      <w:pPr>
        <w:pStyle w:val="-9"/>
        <w:spacing w:line="360" w:lineRule="exact"/>
        <w:ind w:leftChars="-16" w:left="1415" w:hangingChars="519" w:hanging="1453"/>
        <w:jc w:val="left"/>
        <w:rPr>
          <w:rFonts w:ascii="標楷體" w:hAnsi="標楷體"/>
          <w:sz w:val="28"/>
          <w:szCs w:val="28"/>
        </w:rPr>
      </w:pPr>
      <w:r w:rsidRPr="00D65AED">
        <w:rPr>
          <w:rFonts w:ascii="標楷體" w:hAnsi="標楷體"/>
          <w:sz w:val="28"/>
          <w:szCs w:val="28"/>
        </w:rPr>
        <w:t>出席委員</w:t>
      </w:r>
      <w:r w:rsidRPr="00D65AED">
        <w:rPr>
          <w:rFonts w:ascii="標楷體" w:hAnsi="標楷體" w:hint="eastAsia"/>
          <w:sz w:val="28"/>
          <w:szCs w:val="28"/>
        </w:rPr>
        <w:t>：曾銘宗</w:t>
      </w:r>
      <w:r w:rsidRPr="00D65AED">
        <w:rPr>
          <w:rFonts w:ascii="標楷體" w:hAnsi="標楷體"/>
          <w:sz w:val="28"/>
          <w:szCs w:val="28"/>
        </w:rPr>
        <w:tab/>
      </w:r>
      <w:r w:rsidRPr="00D65AED">
        <w:rPr>
          <w:rFonts w:ascii="標楷體" w:hAnsi="標楷體" w:hint="eastAsia"/>
          <w:sz w:val="28"/>
          <w:szCs w:val="28"/>
        </w:rPr>
        <w:t>江永昌</w:t>
      </w:r>
      <w:r w:rsidRPr="00D65AED">
        <w:rPr>
          <w:rFonts w:ascii="標楷體" w:hAnsi="標楷體"/>
          <w:sz w:val="28"/>
          <w:szCs w:val="28"/>
        </w:rPr>
        <w:tab/>
      </w:r>
      <w:r w:rsidRPr="00D65AED">
        <w:rPr>
          <w:rFonts w:ascii="標楷體" w:hAnsi="標楷體" w:hint="eastAsia"/>
          <w:sz w:val="28"/>
          <w:szCs w:val="28"/>
        </w:rPr>
        <w:t>陳玉珍</w:t>
      </w:r>
      <w:r w:rsidRPr="00D65AED">
        <w:rPr>
          <w:rFonts w:ascii="標楷體" w:hAnsi="標楷體"/>
          <w:sz w:val="28"/>
          <w:szCs w:val="28"/>
        </w:rPr>
        <w:tab/>
      </w:r>
      <w:r w:rsidRPr="00D65AED">
        <w:rPr>
          <w:rFonts w:ascii="標楷體" w:hAnsi="標楷體" w:hint="eastAsia"/>
          <w:sz w:val="28"/>
          <w:szCs w:val="28"/>
        </w:rPr>
        <w:t>陳歐珀</w:t>
      </w:r>
      <w:r w:rsidRPr="00D65AED">
        <w:rPr>
          <w:rFonts w:ascii="標楷體" w:hAnsi="標楷體"/>
          <w:sz w:val="28"/>
          <w:szCs w:val="28"/>
        </w:rPr>
        <w:tab/>
      </w:r>
      <w:r w:rsidRPr="00D65AED">
        <w:rPr>
          <w:rFonts w:ascii="標楷體" w:hAnsi="標楷體" w:hint="eastAsia"/>
          <w:sz w:val="28"/>
          <w:szCs w:val="28"/>
        </w:rPr>
        <w:t>陳以信</w:t>
      </w:r>
      <w:r w:rsidRPr="00D65AED">
        <w:rPr>
          <w:rFonts w:ascii="標楷體" w:hAnsi="標楷體"/>
          <w:sz w:val="28"/>
          <w:szCs w:val="28"/>
        </w:rPr>
        <w:tab/>
      </w:r>
      <w:r w:rsidRPr="00D65AED">
        <w:rPr>
          <w:rFonts w:ascii="標楷體" w:hAnsi="標楷體" w:hint="eastAsia"/>
          <w:sz w:val="28"/>
          <w:szCs w:val="28"/>
        </w:rPr>
        <w:t>林思銘</w:t>
      </w:r>
      <w:r w:rsidRPr="00D65AED">
        <w:rPr>
          <w:rFonts w:ascii="標楷體" w:hAnsi="標楷體"/>
          <w:sz w:val="28"/>
          <w:szCs w:val="28"/>
        </w:rPr>
        <w:tab/>
      </w:r>
      <w:r w:rsidRPr="00D65AED">
        <w:rPr>
          <w:rFonts w:ascii="標楷體" w:hAnsi="標楷體" w:hint="eastAsia"/>
          <w:sz w:val="28"/>
          <w:szCs w:val="28"/>
        </w:rPr>
        <w:t>黃世杰</w:t>
      </w:r>
    </w:p>
    <w:p w14:paraId="2175B5F1" w14:textId="77777777" w:rsidR="00421BB5" w:rsidRPr="00D65AED" w:rsidRDefault="00421BB5" w:rsidP="00421BB5">
      <w:pPr>
        <w:pStyle w:val="-9"/>
        <w:spacing w:line="360" w:lineRule="exact"/>
        <w:ind w:leftChars="577" w:left="1413" w:hangingChars="10" w:hanging="28"/>
        <w:jc w:val="left"/>
        <w:rPr>
          <w:rFonts w:ascii="標楷體" w:hAnsi="標楷體"/>
          <w:sz w:val="28"/>
          <w:szCs w:val="28"/>
          <w:highlight w:val="yellow"/>
        </w:rPr>
      </w:pPr>
      <w:r w:rsidRPr="00D65AED">
        <w:rPr>
          <w:rFonts w:ascii="標楷體" w:hAnsi="標楷體" w:hint="eastAsia"/>
          <w:sz w:val="28"/>
          <w:szCs w:val="28"/>
        </w:rPr>
        <w:t>柯建銘</w:t>
      </w:r>
    </w:p>
    <w:p w14:paraId="3BD19E3E"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sz w:val="28"/>
          <w:szCs w:val="28"/>
        </w:rPr>
        <w:t>委員出</w:t>
      </w:r>
      <w:r w:rsidRPr="00D65AED">
        <w:rPr>
          <w:rFonts w:ascii="標楷體" w:eastAsia="標楷體" w:hAnsi="標楷體"/>
          <w:kern w:val="0"/>
          <w:sz w:val="28"/>
          <w:szCs w:val="28"/>
          <w:lang w:val="x-none"/>
        </w:rPr>
        <w:t>席</w:t>
      </w:r>
      <w:r w:rsidRPr="00D65AED">
        <w:rPr>
          <w:rFonts w:ascii="標楷體" w:eastAsia="標楷體" w:hAnsi="標楷體" w:hint="eastAsia"/>
          <w:kern w:val="0"/>
          <w:sz w:val="28"/>
          <w:szCs w:val="28"/>
          <w:lang w:val="x-none"/>
        </w:rPr>
        <w:t>8</w:t>
      </w:r>
      <w:r w:rsidRPr="00D65AED">
        <w:rPr>
          <w:rFonts w:ascii="標楷體" w:eastAsia="標楷體" w:hAnsi="標楷體"/>
          <w:kern w:val="0"/>
          <w:sz w:val="28"/>
          <w:szCs w:val="28"/>
          <w:lang w:val="x-none"/>
        </w:rPr>
        <w:t>人</w:t>
      </w:r>
    </w:p>
    <w:p w14:paraId="73B07322" w14:textId="77777777" w:rsidR="00421BB5" w:rsidRPr="00D65AED" w:rsidRDefault="00421BB5" w:rsidP="00421BB5">
      <w:pPr>
        <w:adjustRightInd w:val="0"/>
        <w:snapToGrid w:val="0"/>
        <w:spacing w:line="360" w:lineRule="exact"/>
        <w:ind w:leftChars="-11" w:left="1402" w:hangingChars="510" w:hanging="1428"/>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邱顯智</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pacing w:val="-20"/>
          <w:w w:val="95"/>
          <w:sz w:val="28"/>
          <w:szCs w:val="28"/>
        </w:rPr>
        <w:t>鄭天財Sra Kacaw</w:t>
      </w:r>
      <w:r w:rsidRPr="00D65AED">
        <w:rPr>
          <w:rFonts w:ascii="標楷體" w:eastAsia="標楷體" w:hAnsi="標楷體"/>
          <w:sz w:val="28"/>
          <w:szCs w:val="28"/>
        </w:rPr>
        <w:tab/>
      </w:r>
      <w:r w:rsidRPr="00D65AED">
        <w:rPr>
          <w:rFonts w:ascii="標楷體" w:eastAsia="標楷體" w:hAnsi="標楷體" w:hint="eastAsia"/>
          <w:sz w:val="28"/>
          <w:szCs w:val="28"/>
        </w:rPr>
        <w:t>楊瓊瓔</w:t>
      </w:r>
    </w:p>
    <w:p w14:paraId="533DCB8C" w14:textId="77777777" w:rsidR="00421BB5" w:rsidRPr="00D65AED" w:rsidRDefault="00421BB5" w:rsidP="00421BB5">
      <w:pPr>
        <w:adjustRightInd w:val="0"/>
        <w:snapToGrid w:val="0"/>
        <w:spacing w:line="360" w:lineRule="exact"/>
        <w:ind w:leftChars="571" w:left="1398" w:hangingChars="10" w:hanging="28"/>
        <w:rPr>
          <w:rFonts w:ascii="標楷體" w:eastAsia="標楷體" w:hAnsi="標楷體"/>
          <w:sz w:val="28"/>
          <w:szCs w:val="28"/>
        </w:rPr>
      </w:pPr>
      <w:r w:rsidRPr="00D65AED">
        <w:rPr>
          <w:rFonts w:ascii="標楷體" w:eastAsia="標楷體" w:hAnsi="標楷體" w:hint="eastAsia"/>
          <w:sz w:val="28"/>
          <w:szCs w:val="28"/>
        </w:rPr>
        <w:t>鄭麗文</w:t>
      </w:r>
      <w:r w:rsidRPr="00D65AED">
        <w:rPr>
          <w:rFonts w:ascii="標楷體" w:eastAsia="標楷體" w:hAnsi="標楷體"/>
          <w:sz w:val="28"/>
          <w:szCs w:val="28"/>
        </w:rPr>
        <w:tab/>
      </w: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szCs w:val="28"/>
        </w:rPr>
        <w:t>高嘉瑜</w:t>
      </w:r>
      <w:r w:rsidRPr="00D65AED">
        <w:rPr>
          <w:rFonts w:ascii="標楷體" w:eastAsia="標楷體" w:hAnsi="標楷體"/>
          <w:sz w:val="28"/>
          <w:szCs w:val="28"/>
        </w:rPr>
        <w:tab/>
      </w:r>
      <w:r w:rsidRPr="00D65AED">
        <w:rPr>
          <w:rFonts w:ascii="標楷體" w:eastAsia="標楷體" w:hAnsi="標楷體" w:hint="eastAsia"/>
          <w:sz w:val="28"/>
          <w:szCs w:val="28"/>
        </w:rPr>
        <w:t>王美惠</w:t>
      </w:r>
      <w:r w:rsidRPr="00D65AED">
        <w:rPr>
          <w:rFonts w:ascii="標楷體" w:eastAsia="標楷體" w:hAnsi="標楷體"/>
          <w:sz w:val="28"/>
          <w:szCs w:val="28"/>
        </w:rPr>
        <w:tab/>
      </w:r>
      <w:r w:rsidRPr="00D65AED">
        <w:rPr>
          <w:rFonts w:ascii="標楷體" w:eastAsia="標楷體" w:hAnsi="標楷體" w:hint="eastAsia"/>
          <w:sz w:val="28"/>
          <w:szCs w:val="28"/>
        </w:rPr>
        <w:t>溫玉霞</w:t>
      </w:r>
      <w:r w:rsidRPr="00D65AED">
        <w:rPr>
          <w:rFonts w:ascii="標楷體" w:eastAsia="標楷體" w:hAnsi="標楷體"/>
          <w:sz w:val="28"/>
          <w:szCs w:val="28"/>
        </w:rPr>
        <w:tab/>
      </w:r>
    </w:p>
    <w:p w14:paraId="04B69ECB" w14:textId="77777777" w:rsidR="00421BB5" w:rsidRPr="00D65AED" w:rsidRDefault="00421BB5" w:rsidP="00421BB5">
      <w:pPr>
        <w:adjustRightInd w:val="0"/>
        <w:snapToGrid w:val="0"/>
        <w:spacing w:line="360" w:lineRule="exact"/>
        <w:ind w:firstLineChars="490" w:firstLine="1372"/>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11</w:t>
      </w:r>
      <w:r w:rsidRPr="00D65AED">
        <w:rPr>
          <w:rFonts w:ascii="標楷體" w:eastAsia="標楷體" w:hAnsi="標楷體"/>
          <w:sz w:val="28"/>
          <w:szCs w:val="28"/>
        </w:rPr>
        <w:t>人</w:t>
      </w:r>
    </w:p>
    <w:p w14:paraId="6CF6788E"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請假委員：游毓蘭</w:t>
      </w:r>
      <w:r w:rsidRPr="00D65AED">
        <w:rPr>
          <w:rFonts w:ascii="標楷體" w:eastAsia="標楷體" w:hAnsi="標楷體"/>
          <w:sz w:val="28"/>
          <w:szCs w:val="28"/>
        </w:rPr>
        <w:tab/>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周春米 劉建國</w:t>
      </w:r>
    </w:p>
    <w:p w14:paraId="467BE33C"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w:t>
      </w:r>
      <w:r w:rsidRPr="00D65AED">
        <w:rPr>
          <w:rFonts w:ascii="標楷體" w:eastAsia="標楷體" w:hAnsi="標楷體"/>
          <w:sz w:val="28"/>
          <w:szCs w:val="28"/>
        </w:rPr>
        <w:t>4</w:t>
      </w:r>
      <w:r w:rsidRPr="00D65AED">
        <w:rPr>
          <w:rFonts w:ascii="標楷體" w:eastAsia="標楷體" w:hAnsi="標楷體" w:hint="eastAsia"/>
          <w:sz w:val="28"/>
          <w:szCs w:val="28"/>
        </w:rPr>
        <w:t>人</w:t>
      </w:r>
    </w:p>
    <w:p w14:paraId="19C9542F"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法務部部長　蔡清祥</w:t>
      </w:r>
    </w:p>
    <w:p w14:paraId="5BAF4B51"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司法院副秘書長　黃麟倫</w:t>
      </w:r>
    </w:p>
    <w:p w14:paraId="6EE93DC3"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國防部法律事務司法紀調查處處長　陳恒偉</w:t>
      </w:r>
    </w:p>
    <w:p w14:paraId="04F34BCB"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交通部路政司司長　林福山</w:t>
      </w:r>
    </w:p>
    <w:p w14:paraId="04AF583B"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衛生福利部食品藥物管理署副組長　陳映樺</w:t>
      </w:r>
    </w:p>
    <w:p w14:paraId="55D88CB9"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內政部警政署刑事警察局毒品查緝中心主任　駱立凡</w:t>
      </w:r>
    </w:p>
    <w:p w14:paraId="6F9B855F" w14:textId="77777777" w:rsidR="00421BB5" w:rsidRPr="00D65AED" w:rsidRDefault="00421BB5" w:rsidP="00421BB5">
      <w:pPr>
        <w:adjustRightInd w:val="0"/>
        <w:snapToGrid w:val="0"/>
        <w:ind w:left="1364" w:rightChars="-355" w:right="-852" w:hangingChars="487" w:hanging="1364"/>
        <w:jc w:val="both"/>
        <w:rPr>
          <w:rFonts w:ascii="標楷體" w:eastAsia="標楷體" w:hAnsi="標楷體"/>
          <w:sz w:val="28"/>
          <w:szCs w:val="28"/>
        </w:rPr>
      </w:pPr>
      <w:r w:rsidRPr="00D65AED">
        <w:rPr>
          <w:rFonts w:ascii="標楷體" w:eastAsia="標楷體" w:hAnsi="標楷體"/>
          <w:kern w:val="0"/>
          <w:sz w:val="28"/>
          <w:szCs w:val="28"/>
          <w:fitText w:val="1120" w:id="-1433690880"/>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3C588A7E"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2BC5DCB7" w14:textId="77777777" w:rsidR="00421BB5" w:rsidRPr="00D65AED" w:rsidRDefault="00421BB5" w:rsidP="00421BB5">
      <w:pPr>
        <w:snapToGrid w:val="0"/>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60B12342" w14:textId="77777777" w:rsidR="00421BB5" w:rsidRPr="00D65AED" w:rsidRDefault="00421BB5" w:rsidP="00421BB5">
      <w:pPr>
        <w:adjustRightInd w:val="0"/>
        <w:snapToGrid w:val="0"/>
        <w:rPr>
          <w:rFonts w:ascii="標楷體" w:eastAsia="標楷體" w:hAnsi="標楷體"/>
          <w:sz w:val="28"/>
          <w:szCs w:val="28"/>
        </w:rPr>
      </w:pPr>
      <w:r w:rsidRPr="00D65AED">
        <w:rPr>
          <w:rFonts w:ascii="標楷體" w:eastAsia="標楷體" w:hAnsi="標楷體" w:hint="eastAsia"/>
          <w:sz w:val="28"/>
          <w:szCs w:val="28"/>
        </w:rPr>
        <w:t>紀    錄：簡任秘書　陳杏枝</w:t>
      </w:r>
    </w:p>
    <w:p w14:paraId="06A27F76"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2300753C"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639E4E72" w14:textId="77777777" w:rsidR="00421BB5" w:rsidRPr="00D65AED" w:rsidRDefault="00421BB5" w:rsidP="00421BB5">
      <w:pPr>
        <w:adjustRightInd w:val="0"/>
        <w:snapToGrid w:val="0"/>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4B34487A"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2FCD3ABA"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sz w:val="28"/>
          <w:szCs w:val="28"/>
        </w:rPr>
        <w:t>宣讀上次會議議事錄。</w:t>
      </w:r>
    </w:p>
    <w:p w14:paraId="6F52B334" w14:textId="77777777" w:rsidR="00421BB5" w:rsidRPr="00D65AED" w:rsidRDefault="00421BB5" w:rsidP="00421BB5">
      <w:pPr>
        <w:pStyle w:val="afffff2"/>
        <w:spacing w:line="360" w:lineRule="exact"/>
        <w:ind w:leftChars="0" w:left="840" w:rightChars="0" w:right="0" w:hanging="840"/>
        <w:jc w:val="both"/>
        <w:rPr>
          <w:rFonts w:ascii="標楷體" w:hAnsi="標楷體"/>
          <w:sz w:val="28"/>
          <w:szCs w:val="28"/>
        </w:rPr>
      </w:pPr>
      <w:r w:rsidRPr="00D65AED">
        <w:rPr>
          <w:rFonts w:ascii="標楷體" w:hAnsi="標楷體"/>
          <w:sz w:val="28"/>
          <w:szCs w:val="28"/>
        </w:rPr>
        <w:t>決定：確定。</w:t>
      </w:r>
    </w:p>
    <w:p w14:paraId="52B1D696"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0B822CB6" w14:textId="77777777" w:rsidR="00421BB5" w:rsidRPr="00D65AED" w:rsidRDefault="00421BB5" w:rsidP="00421BB5">
      <w:pPr>
        <w:adjustRightInd w:val="0"/>
        <w:snapToGrid w:val="0"/>
        <w:spacing w:line="360" w:lineRule="exact"/>
        <w:ind w:leftChars="-6" w:hangingChars="5" w:hanging="14"/>
        <w:jc w:val="both"/>
        <w:rPr>
          <w:rFonts w:ascii="標楷體" w:eastAsia="標楷體" w:hAnsi="標楷體"/>
          <w:sz w:val="28"/>
          <w:szCs w:val="28"/>
        </w:rPr>
      </w:pPr>
      <w:r w:rsidRPr="00D65AED">
        <w:rPr>
          <w:rFonts w:ascii="標楷體" w:eastAsia="標楷體" w:hAnsi="標楷體" w:hint="eastAsia"/>
          <w:sz w:val="28"/>
          <w:szCs w:val="28"/>
        </w:rPr>
        <w:t>併案審查（一）行政院、司法院函請審議、（二）委員萬美玲等19人、（三）委員鄭麗文等17人、（四）台灣民眾黨黨團、（五）委員魯明哲等19人、（六）委員張廖萬堅等22人、（七）委員伍麗華Saidhai‧Tahovecahe等20人、（八）委員羅致政等19人、（九）委員陳明文等18人、（十）委員溫玉霞等17人、（十一）委員萬美玲等22人、（十二）委員王美惠等20人、（十三）委員莊競程等22人及（十四）委員馬文君等16人分別擬具「中華民國刑法第一百八十五條之三條文修正草案」案。</w:t>
      </w:r>
    </w:p>
    <w:p w14:paraId="1BF9EB08" w14:textId="77777777" w:rsidR="00421BB5" w:rsidRPr="00D65AED" w:rsidRDefault="00421BB5" w:rsidP="00421BB5">
      <w:pPr>
        <w:adjustRightInd w:val="0"/>
        <w:snapToGrid w:val="0"/>
        <w:spacing w:line="360" w:lineRule="exact"/>
        <w:ind w:leftChars="-6" w:hangingChars="5" w:hanging="14"/>
        <w:jc w:val="both"/>
        <w:rPr>
          <w:rFonts w:ascii="標楷體" w:eastAsia="標楷體" w:hAnsi="標楷體"/>
          <w:sz w:val="28"/>
          <w:szCs w:val="28"/>
        </w:rPr>
      </w:pPr>
      <w:r w:rsidRPr="00D65AED">
        <w:rPr>
          <w:rFonts w:ascii="標楷體" w:eastAsia="標楷體" w:hAnsi="標楷體" w:hint="eastAsia"/>
          <w:sz w:val="28"/>
          <w:szCs w:val="28"/>
        </w:rPr>
        <w:t>（</w:t>
      </w:r>
      <w:r w:rsidRPr="00D65AED">
        <w:rPr>
          <w:rFonts w:ascii="標楷體" w:eastAsia="標楷體" w:hAnsi="標楷體"/>
          <w:sz w:val="28"/>
          <w:szCs w:val="28"/>
        </w:rPr>
        <w:t>本</w:t>
      </w:r>
      <w:r w:rsidRPr="00D65AED">
        <w:rPr>
          <w:rFonts w:ascii="標楷體" w:eastAsia="標楷體" w:hAnsi="標楷體" w:hint="eastAsia"/>
          <w:sz w:val="28"/>
          <w:szCs w:val="28"/>
        </w:rPr>
        <w:t>次會議有</w:t>
      </w:r>
      <w:r w:rsidRPr="00D65AED">
        <w:rPr>
          <w:rFonts w:ascii="標楷體" w:eastAsia="標楷體" w:hAnsi="標楷體"/>
          <w:sz w:val="28"/>
          <w:szCs w:val="28"/>
        </w:rPr>
        <w:t>委員</w:t>
      </w:r>
      <w:r w:rsidRPr="00D65AED">
        <w:rPr>
          <w:rFonts w:ascii="標楷體" w:eastAsia="標楷體" w:hAnsi="標楷體" w:hint="eastAsia"/>
          <w:spacing w:val="10"/>
          <w:sz w:val="28"/>
          <w:szCs w:val="28"/>
        </w:rPr>
        <w:t>曾銘宗、</w:t>
      </w:r>
      <w:r w:rsidRPr="00D65AED">
        <w:rPr>
          <w:rFonts w:ascii="標楷體" w:eastAsia="標楷體" w:hAnsi="標楷體"/>
          <w:spacing w:val="10"/>
          <w:sz w:val="28"/>
          <w:szCs w:val="28"/>
        </w:rPr>
        <w:t>江永昌</w:t>
      </w:r>
      <w:r w:rsidRPr="00D65AED">
        <w:rPr>
          <w:rFonts w:ascii="標楷體" w:eastAsia="標楷體" w:hAnsi="標楷體" w:hint="eastAsia"/>
          <w:spacing w:val="10"/>
          <w:sz w:val="28"/>
          <w:szCs w:val="28"/>
        </w:rPr>
        <w:t>、陳歐珀、林思銘、邱顯智、陳椒華、溫玉霞、張其祿、</w:t>
      </w:r>
      <w:r w:rsidRPr="00D65AED">
        <w:rPr>
          <w:rFonts w:ascii="標楷體" w:eastAsia="標楷體" w:hAnsi="標楷體" w:hint="eastAsia"/>
          <w:spacing w:val="-20"/>
          <w:w w:val="95"/>
          <w:sz w:val="28"/>
          <w:szCs w:val="28"/>
        </w:rPr>
        <w:t>鄭天財Sra Kacaw</w:t>
      </w:r>
      <w:r w:rsidRPr="00D65AED">
        <w:rPr>
          <w:rFonts w:ascii="標楷體" w:eastAsia="標楷體" w:hAnsi="標楷體" w:hint="eastAsia"/>
          <w:spacing w:val="10"/>
          <w:sz w:val="28"/>
          <w:szCs w:val="28"/>
        </w:rPr>
        <w:t>、黃世杰</w:t>
      </w:r>
      <w:r w:rsidRPr="00D65AED">
        <w:rPr>
          <w:rFonts w:ascii="標楷體" w:eastAsia="標楷體" w:hAnsi="標楷體"/>
          <w:spacing w:val="10"/>
          <w:sz w:val="28"/>
          <w:szCs w:val="28"/>
        </w:rPr>
        <w:t>提出質詢</w:t>
      </w:r>
      <w:r w:rsidRPr="00D65AED">
        <w:rPr>
          <w:rFonts w:ascii="標楷體" w:eastAsia="標楷體" w:hAnsi="標楷體" w:hint="eastAsia"/>
          <w:spacing w:val="10"/>
          <w:sz w:val="28"/>
          <w:szCs w:val="28"/>
        </w:rPr>
        <w:t>；</w:t>
      </w:r>
      <w:r w:rsidRPr="00D65AED">
        <w:rPr>
          <w:rFonts w:ascii="標楷體" w:eastAsia="標楷體" w:hAnsi="標楷體" w:hint="eastAsia"/>
          <w:sz w:val="28"/>
          <w:szCs w:val="28"/>
        </w:rPr>
        <w:t>委員鄭</w:t>
      </w:r>
      <w:r w:rsidRPr="00D65AED">
        <w:rPr>
          <w:rFonts w:ascii="標楷體" w:eastAsia="標楷體" w:hAnsi="標楷體" w:hint="eastAsia"/>
          <w:sz w:val="28"/>
          <w:szCs w:val="28"/>
        </w:rPr>
        <w:lastRenderedPageBreak/>
        <w:t>運鵬、周春米、陳玉珍、陳以信、劉建國提出書面質詢。）</w:t>
      </w:r>
    </w:p>
    <w:p w14:paraId="5DBA4C20" w14:textId="77777777" w:rsidR="00421BB5" w:rsidRPr="00D65AED" w:rsidRDefault="00421BB5" w:rsidP="00421BB5">
      <w:pPr>
        <w:spacing w:line="360" w:lineRule="exact"/>
        <w:ind w:left="493" w:hangingChars="176" w:hanging="493"/>
        <w:contextualSpacing/>
        <w:jc w:val="both"/>
        <w:rPr>
          <w:rFonts w:ascii="標楷體" w:eastAsia="標楷體" w:hAnsi="標楷體"/>
          <w:bCs/>
          <w:sz w:val="28"/>
          <w:szCs w:val="28"/>
        </w:rPr>
      </w:pPr>
      <w:r w:rsidRPr="00D65AED">
        <w:rPr>
          <w:rFonts w:ascii="標楷體" w:eastAsia="標楷體" w:hAnsi="標楷體"/>
          <w:bCs/>
          <w:sz w:val="28"/>
          <w:szCs w:val="28"/>
        </w:rPr>
        <w:t>決</w:t>
      </w:r>
      <w:r w:rsidRPr="00D65AED">
        <w:rPr>
          <w:rFonts w:ascii="標楷體" w:eastAsia="標楷體" w:hAnsi="標楷體" w:hint="eastAsia"/>
          <w:bCs/>
          <w:sz w:val="28"/>
          <w:szCs w:val="28"/>
        </w:rPr>
        <w:t>議</w:t>
      </w:r>
      <w:r w:rsidRPr="00D65AED">
        <w:rPr>
          <w:rFonts w:ascii="標楷體" w:eastAsia="標楷體" w:hAnsi="標楷體"/>
          <w:bCs/>
          <w:sz w:val="28"/>
          <w:szCs w:val="28"/>
        </w:rPr>
        <w:t>：</w:t>
      </w:r>
    </w:p>
    <w:p w14:paraId="4F0746A2"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一、</w:t>
      </w:r>
      <w:r w:rsidRPr="00D65AED">
        <w:rPr>
          <w:rFonts w:ascii="標楷體" w:eastAsia="標楷體" w:hAnsi="標楷體"/>
          <w:sz w:val="28"/>
          <w:szCs w:val="28"/>
        </w:rPr>
        <w:t>報告及詢答完畢</w:t>
      </w:r>
      <w:r w:rsidRPr="00D65AED">
        <w:rPr>
          <w:rFonts w:ascii="標楷體" w:eastAsia="標楷體" w:hAnsi="標楷體" w:hint="eastAsia"/>
          <w:sz w:val="28"/>
          <w:szCs w:val="28"/>
        </w:rPr>
        <w:t>。</w:t>
      </w:r>
    </w:p>
    <w:p w14:paraId="652D9AFA" w14:textId="77777777" w:rsidR="00421BB5" w:rsidRPr="00D65AED" w:rsidRDefault="00421BB5" w:rsidP="00421BB5">
      <w:pPr>
        <w:spacing w:line="360" w:lineRule="exact"/>
        <w:contextualSpacing/>
        <w:jc w:val="both"/>
        <w:rPr>
          <w:rFonts w:ascii="標楷體" w:eastAsia="標楷體" w:hAnsi="標楷體"/>
          <w:bCs/>
          <w:sz w:val="28"/>
          <w:szCs w:val="28"/>
        </w:rPr>
      </w:pPr>
      <w:r w:rsidRPr="00D65AED">
        <w:rPr>
          <w:rFonts w:ascii="標楷體" w:eastAsia="標楷體" w:hAnsi="標楷體" w:hint="eastAsia"/>
          <w:sz w:val="28"/>
          <w:szCs w:val="28"/>
        </w:rPr>
        <w:t>二、本案另定期繼續審查。</w:t>
      </w:r>
    </w:p>
    <w:p w14:paraId="219F58C4" w14:textId="77777777" w:rsidR="00421BB5" w:rsidRPr="00D65AED" w:rsidRDefault="00421BB5" w:rsidP="00421BB5">
      <w:pPr>
        <w:kinsoku w:val="0"/>
        <w:spacing w:line="360" w:lineRule="exact"/>
        <w:ind w:leftChars="6" w:left="543" w:hangingChars="189" w:hanging="529"/>
        <w:contextualSpacing/>
        <w:jc w:val="both"/>
        <w:rPr>
          <w:rFonts w:ascii="標楷體" w:eastAsia="標楷體" w:hAnsi="標楷體"/>
          <w:sz w:val="28"/>
          <w:szCs w:val="28"/>
        </w:rPr>
      </w:pPr>
      <w:r w:rsidRPr="00D65AED">
        <w:rPr>
          <w:rFonts w:ascii="標楷體" w:eastAsia="標楷體" w:hAnsi="標楷體" w:hint="eastAsia"/>
          <w:sz w:val="28"/>
          <w:szCs w:val="28"/>
        </w:rPr>
        <w:t>三、</w:t>
      </w:r>
      <w:r w:rsidRPr="00D65AED">
        <w:rPr>
          <w:rFonts w:ascii="標楷體" w:eastAsia="標楷體" w:hAnsi="標楷體"/>
          <w:sz w:val="28"/>
          <w:szCs w:val="28"/>
        </w:rPr>
        <w:t>委員質詢時，要求提供相關資料或以書面答復者，請相關機關儘速送交個別委員</w:t>
      </w:r>
      <w:r w:rsidRPr="00D65AED">
        <w:rPr>
          <w:rFonts w:ascii="標楷體" w:eastAsia="標楷體" w:hAnsi="標楷體" w:hint="eastAsia"/>
          <w:sz w:val="28"/>
          <w:szCs w:val="28"/>
        </w:rPr>
        <w:t>及</w:t>
      </w:r>
      <w:r w:rsidRPr="00D65AED">
        <w:rPr>
          <w:rFonts w:ascii="標楷體" w:eastAsia="標楷體" w:hAnsi="標楷體"/>
          <w:sz w:val="28"/>
          <w:szCs w:val="28"/>
        </w:rPr>
        <w:t>本會。</w:t>
      </w:r>
    </w:p>
    <w:p w14:paraId="791D18E9" w14:textId="77777777" w:rsidR="00421BB5" w:rsidRPr="00D65AED" w:rsidRDefault="00421BB5" w:rsidP="00421BB5">
      <w:pPr>
        <w:widowControl/>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6C51AE4F" w14:textId="77777777" w:rsidR="00421BB5" w:rsidRPr="00D65AED" w:rsidRDefault="00421BB5" w:rsidP="00421BB5">
      <w:pPr>
        <w:rPr>
          <w:rFonts w:ascii="標楷體" w:eastAsia="標楷體" w:hAnsi="標楷體"/>
          <w:sz w:val="28"/>
          <w:szCs w:val="28"/>
        </w:rPr>
      </w:pPr>
    </w:p>
    <w:p w14:paraId="1498FCB8"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立法院第10屆第6會期司法及法制委員會第20次全體委員會議議事錄</w:t>
      </w:r>
    </w:p>
    <w:p w14:paraId="4C23E799" w14:textId="77777777" w:rsidR="00421BB5" w:rsidRPr="00D65AED" w:rsidRDefault="00421BB5" w:rsidP="00421BB5">
      <w:pPr>
        <w:pStyle w:val="-9"/>
        <w:spacing w:line="360" w:lineRule="exact"/>
        <w:ind w:left="1417" w:hangingChars="506" w:hanging="1417"/>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z w:val="28"/>
          <w:szCs w:val="28"/>
        </w:rPr>
        <w:t>中華民國1</w:t>
      </w:r>
      <w:r w:rsidRPr="00D65AED">
        <w:rPr>
          <w:rFonts w:ascii="標楷體" w:hAnsi="標楷體"/>
          <w:sz w:val="28"/>
          <w:szCs w:val="28"/>
        </w:rPr>
        <w:t>11</w:t>
      </w:r>
      <w:r w:rsidRPr="00D65AED">
        <w:rPr>
          <w:rFonts w:ascii="標楷體" w:hAnsi="標楷體" w:hint="eastAsia"/>
          <w:sz w:val="28"/>
          <w:szCs w:val="28"/>
        </w:rPr>
        <w:t>年11月</w:t>
      </w:r>
      <w:r w:rsidRPr="00D65AED">
        <w:rPr>
          <w:rFonts w:ascii="標楷體" w:hAnsi="標楷體"/>
          <w:sz w:val="28"/>
          <w:szCs w:val="28"/>
        </w:rPr>
        <w:t>24</w:t>
      </w:r>
      <w:r w:rsidRPr="00D65AED">
        <w:rPr>
          <w:rFonts w:ascii="標楷體" w:hAnsi="標楷體" w:hint="eastAsia"/>
          <w:sz w:val="28"/>
          <w:szCs w:val="28"/>
        </w:rPr>
        <w:t>日（星期四）上午9時2分至10時42分</w:t>
      </w:r>
    </w:p>
    <w:p w14:paraId="1878C0BC"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6B86B234" w14:textId="77777777" w:rsidR="00421BB5" w:rsidRPr="00D65AED" w:rsidRDefault="00421BB5" w:rsidP="00421BB5">
      <w:pPr>
        <w:snapToGrid w:val="0"/>
        <w:spacing w:line="360" w:lineRule="exact"/>
        <w:ind w:leftChars="-4" w:left="1401" w:hangingChars="504" w:hanging="1411"/>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：陳歐珀</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曾銘宗</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鄭運鵬</w:t>
      </w:r>
    </w:p>
    <w:p w14:paraId="296F60CA" w14:textId="77777777" w:rsidR="00421BB5" w:rsidRPr="00D65AED" w:rsidRDefault="00421BB5" w:rsidP="00421BB5">
      <w:pPr>
        <w:snapToGrid w:val="0"/>
        <w:spacing w:line="360" w:lineRule="exact"/>
        <w:ind w:firstLineChars="485" w:firstLine="1358"/>
        <w:jc w:val="both"/>
        <w:rPr>
          <w:rFonts w:ascii="標楷體" w:eastAsia="標楷體" w:hAnsi="標楷體"/>
          <w:sz w:val="28"/>
          <w:szCs w:val="28"/>
        </w:rPr>
      </w:pPr>
      <w:r w:rsidRPr="00D65AED">
        <w:rPr>
          <w:rFonts w:ascii="標楷體" w:eastAsia="標楷體" w:hAnsi="標楷體" w:hint="eastAsia"/>
          <w:sz w:val="28"/>
          <w:szCs w:val="28"/>
        </w:rPr>
        <w:t>委員出席7人</w:t>
      </w:r>
    </w:p>
    <w:p w14:paraId="30E0EE70"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color w:val="000000"/>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李德維</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hint="eastAsia"/>
          <w:color w:val="000000"/>
          <w:sz w:val="28"/>
          <w:szCs w:val="28"/>
        </w:rPr>
        <w:t>邱顯智</w:t>
      </w:r>
      <w:r w:rsidRPr="00D65AED">
        <w:rPr>
          <w:rFonts w:ascii="標楷體" w:eastAsia="標楷體" w:hAnsi="標楷體"/>
          <w:color w:val="000000"/>
          <w:sz w:val="28"/>
          <w:szCs w:val="28"/>
        </w:rPr>
        <w:tab/>
      </w:r>
      <w:r w:rsidRPr="00D65AED">
        <w:rPr>
          <w:rFonts w:ascii="標楷體" w:eastAsia="標楷體" w:hAnsi="標楷體" w:hint="eastAsia"/>
          <w:color w:val="000000"/>
          <w:sz w:val="28"/>
          <w:szCs w:val="28"/>
        </w:rPr>
        <w:t>江啟臣</w:t>
      </w:r>
      <w:r w:rsidRPr="00D65AED">
        <w:rPr>
          <w:rFonts w:ascii="標楷體" w:eastAsia="標楷體" w:hAnsi="標楷體"/>
          <w:color w:val="000000"/>
          <w:sz w:val="28"/>
          <w:szCs w:val="28"/>
        </w:rPr>
        <w:tab/>
      </w:r>
      <w:r w:rsidRPr="00D65AED">
        <w:rPr>
          <w:rFonts w:ascii="標楷體" w:eastAsia="標楷體" w:hAnsi="標楷體" w:hint="eastAsia"/>
          <w:color w:val="000000"/>
          <w:sz w:val="28"/>
          <w:szCs w:val="28"/>
        </w:rPr>
        <w:t>張其祿</w:t>
      </w:r>
    </w:p>
    <w:p w14:paraId="40281C59" w14:textId="77777777" w:rsidR="00421BB5" w:rsidRPr="00D65AED" w:rsidRDefault="00421BB5" w:rsidP="00421BB5">
      <w:pPr>
        <w:adjustRightInd w:val="0"/>
        <w:snapToGrid w:val="0"/>
        <w:spacing w:line="360" w:lineRule="exact"/>
        <w:ind w:leftChars="571" w:left="1398" w:hangingChars="10" w:hanging="28"/>
        <w:rPr>
          <w:rFonts w:ascii="標楷體" w:eastAsia="標楷體" w:hAnsi="標楷體"/>
          <w:sz w:val="28"/>
          <w:szCs w:val="28"/>
        </w:rPr>
      </w:pPr>
      <w:r w:rsidRPr="00D65AED">
        <w:rPr>
          <w:rFonts w:ascii="標楷體" w:eastAsia="標楷體" w:hAnsi="標楷體" w:hint="eastAsia"/>
          <w:sz w:val="28"/>
          <w:szCs w:val="28"/>
        </w:rPr>
        <w:t>鍾佳濱</w:t>
      </w:r>
      <w:r w:rsidRPr="00D65AED">
        <w:rPr>
          <w:rFonts w:ascii="標楷體" w:eastAsia="標楷體" w:hAnsi="標楷體"/>
          <w:sz w:val="28"/>
          <w:szCs w:val="28"/>
        </w:rPr>
        <w:tab/>
      </w:r>
      <w:r w:rsidRPr="00D65AED">
        <w:rPr>
          <w:rFonts w:ascii="標楷體" w:eastAsia="標楷體" w:hAnsi="標楷體" w:hint="eastAsia"/>
          <w:sz w:val="28"/>
          <w:szCs w:val="28"/>
        </w:rPr>
        <w:t>楊瓊瓔</w:t>
      </w:r>
    </w:p>
    <w:p w14:paraId="5DD45E1E" w14:textId="77777777" w:rsidR="00421BB5" w:rsidRPr="00D65AED" w:rsidRDefault="00421BB5" w:rsidP="00421BB5">
      <w:pPr>
        <w:widowControl/>
        <w:snapToGrid w:val="0"/>
        <w:spacing w:line="360" w:lineRule="exact"/>
        <w:ind w:leftChars="396" w:left="950"/>
        <w:jc w:val="both"/>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委員列席</w:t>
      </w:r>
      <w:r w:rsidRPr="00D65AED">
        <w:rPr>
          <w:rFonts w:ascii="標楷體" w:eastAsia="標楷體" w:hAnsi="標楷體" w:hint="eastAsia"/>
          <w:sz w:val="28"/>
          <w:szCs w:val="28"/>
        </w:rPr>
        <w:t>9</w:t>
      </w:r>
      <w:r w:rsidRPr="00D65AED">
        <w:rPr>
          <w:rFonts w:ascii="標楷體" w:eastAsia="標楷體" w:hAnsi="標楷體"/>
          <w:sz w:val="28"/>
          <w:szCs w:val="28"/>
        </w:rPr>
        <w:t>人</w:t>
      </w:r>
    </w:p>
    <w:p w14:paraId="372B924B"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請假委員：游毓蘭</w:t>
      </w:r>
      <w:r w:rsidRPr="00D65AED">
        <w:rPr>
          <w:rFonts w:ascii="標楷體" w:eastAsia="標楷體" w:hAnsi="標楷體"/>
          <w:sz w:val="28"/>
          <w:szCs w:val="28"/>
        </w:rPr>
        <w:tab/>
      </w:r>
      <w:r w:rsidRPr="00D65AED">
        <w:rPr>
          <w:rFonts w:ascii="標楷體" w:eastAsia="標楷體" w:hAnsi="標楷體" w:hint="eastAsia"/>
          <w:sz w:val="28"/>
          <w:szCs w:val="28"/>
        </w:rPr>
        <w:t>劉建國</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周春米</w:t>
      </w:r>
    </w:p>
    <w:p w14:paraId="1D982895" w14:textId="77777777" w:rsidR="00421BB5" w:rsidRPr="00D65AED" w:rsidRDefault="00421BB5" w:rsidP="00421BB5">
      <w:pPr>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請假4人</w:t>
      </w:r>
    </w:p>
    <w:p w14:paraId="71598DBB" w14:textId="77777777" w:rsidR="00421BB5" w:rsidRPr="00D65AED" w:rsidRDefault="00421BB5" w:rsidP="00421BB5">
      <w:pPr>
        <w:pStyle w:val="-9"/>
        <w:spacing w:line="360" w:lineRule="exact"/>
        <w:ind w:left="2240" w:hangingChars="800" w:hanging="2240"/>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司法院副秘書長　黃麟倫</w:t>
      </w:r>
    </w:p>
    <w:p w14:paraId="139F2237" w14:textId="77777777" w:rsidR="00421BB5" w:rsidRPr="00D65AED" w:rsidRDefault="00421BB5" w:rsidP="00421BB5">
      <w:pPr>
        <w:pStyle w:val="-9"/>
        <w:spacing w:line="360" w:lineRule="exact"/>
        <w:ind w:leftChars="589" w:left="2240" w:hangingChars="295" w:hanging="826"/>
        <w:rPr>
          <w:rFonts w:ascii="標楷體" w:hAnsi="標楷體"/>
          <w:sz w:val="28"/>
          <w:szCs w:val="28"/>
        </w:rPr>
      </w:pPr>
      <w:r w:rsidRPr="00D65AED">
        <w:rPr>
          <w:rFonts w:ascii="標楷體" w:hAnsi="標楷體" w:hint="eastAsia"/>
          <w:sz w:val="28"/>
          <w:szCs w:val="28"/>
        </w:rPr>
        <w:t>法務部部長　蔡清祥</w:t>
      </w:r>
    </w:p>
    <w:p w14:paraId="5AF06561"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536E2C6E"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44AB4AE8"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7A65830A" w14:textId="77777777" w:rsidR="00421BB5" w:rsidRPr="00D65AED" w:rsidRDefault="00421BB5" w:rsidP="00421BB5">
      <w:pPr>
        <w:adjustRightInd w:val="0"/>
        <w:snapToGrid w:val="0"/>
        <w:spacing w:line="360" w:lineRule="exact"/>
        <w:rPr>
          <w:rFonts w:ascii="標楷體" w:eastAsia="標楷體" w:hAnsi="標楷體"/>
          <w:sz w:val="28"/>
          <w:szCs w:val="28"/>
        </w:rPr>
      </w:pPr>
      <w:r w:rsidRPr="00D65AED">
        <w:rPr>
          <w:rFonts w:ascii="標楷體" w:eastAsia="標楷體" w:hAnsi="標楷體" w:hint="eastAsia"/>
          <w:sz w:val="28"/>
          <w:szCs w:val="28"/>
        </w:rPr>
        <w:t>紀    錄：簡任秘書　陳杏枝</w:t>
      </w:r>
    </w:p>
    <w:p w14:paraId="236111E4"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5DF82A06"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14710BFD"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專　　員　林宗賢</w:t>
      </w:r>
    </w:p>
    <w:p w14:paraId="4FE59A4A"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365CD742" w14:textId="77777777" w:rsidR="00421BB5" w:rsidRPr="00D65AED" w:rsidRDefault="00421BB5" w:rsidP="00421BB5">
      <w:pPr>
        <w:pStyle w:val="afffff4"/>
        <w:spacing w:line="360" w:lineRule="exact"/>
        <w:ind w:left="560" w:hanging="560"/>
        <w:jc w:val="both"/>
        <w:rPr>
          <w:rFonts w:ascii="標楷體" w:hAnsi="標楷體"/>
          <w:sz w:val="28"/>
          <w:szCs w:val="28"/>
        </w:rPr>
      </w:pPr>
      <w:r w:rsidRPr="00D65AED">
        <w:rPr>
          <w:rFonts w:ascii="標楷體" w:hAnsi="標楷體" w:hint="eastAsia"/>
          <w:sz w:val="28"/>
          <w:szCs w:val="28"/>
        </w:rPr>
        <w:t>一、</w:t>
      </w:r>
      <w:r w:rsidRPr="00D65AED">
        <w:rPr>
          <w:rFonts w:ascii="標楷體" w:hAnsi="標楷體"/>
          <w:sz w:val="28"/>
          <w:szCs w:val="28"/>
        </w:rPr>
        <w:t>宣讀上次會議議事錄</w:t>
      </w:r>
      <w:r w:rsidRPr="00D65AED">
        <w:rPr>
          <w:rFonts w:ascii="標楷體" w:hAnsi="標楷體" w:hint="eastAsia"/>
          <w:sz w:val="28"/>
          <w:szCs w:val="28"/>
        </w:rPr>
        <w:t>。</w:t>
      </w:r>
    </w:p>
    <w:p w14:paraId="22BAD8AB"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kern w:val="0"/>
          <w:sz w:val="28"/>
          <w:szCs w:val="28"/>
        </w:rPr>
      </w:pPr>
      <w:r w:rsidRPr="00D65AED">
        <w:rPr>
          <w:rFonts w:ascii="標楷體" w:eastAsia="標楷體" w:hAnsi="標楷體" w:hint="eastAsia"/>
          <w:kern w:val="0"/>
          <w:sz w:val="28"/>
          <w:szCs w:val="28"/>
        </w:rPr>
        <w:t>決定：確定。</w:t>
      </w:r>
    </w:p>
    <w:p w14:paraId="7516DBDA"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二、邀請司法院副秘書長、法務部部長列席就「如何加強微罪不舉原則運用，節省司法資源？」進行專題報告，並備質詢。</w:t>
      </w:r>
    </w:p>
    <w:p w14:paraId="08FD4232" w14:textId="77777777" w:rsidR="00421BB5" w:rsidRDefault="00421BB5" w:rsidP="00421BB5">
      <w:pPr>
        <w:spacing w:beforeLines="10" w:before="36" w:line="360" w:lineRule="exact"/>
        <w:ind w:left="280" w:rightChars="92" w:right="221" w:hangingChars="100" w:hanging="280"/>
        <w:jc w:val="distribute"/>
        <w:rPr>
          <w:rFonts w:ascii="標楷體" w:eastAsia="標楷體" w:hAnsi="標楷體"/>
          <w:spacing w:val="-10"/>
          <w:sz w:val="28"/>
          <w:szCs w:val="28"/>
        </w:rPr>
      </w:pPr>
      <w:r w:rsidRPr="00D65AED">
        <w:rPr>
          <w:rFonts w:ascii="標楷體" w:eastAsia="標楷體" w:hAnsi="標楷體" w:hint="eastAsia"/>
          <w:sz w:val="28"/>
          <w:szCs w:val="28"/>
        </w:rPr>
        <w:t>（本次會議有委員</w:t>
      </w:r>
      <w:r w:rsidRPr="0081749D">
        <w:rPr>
          <w:rFonts w:ascii="標楷體" w:eastAsia="標楷體" w:hAnsi="標楷體" w:hint="eastAsia"/>
          <w:spacing w:val="-10"/>
          <w:sz w:val="28"/>
          <w:szCs w:val="28"/>
        </w:rPr>
        <w:t>陳歐珀、江永昌、林思銘、陳椒華、曾銘宗、洪孟楷、</w:t>
      </w:r>
    </w:p>
    <w:p w14:paraId="76E11F59" w14:textId="77777777" w:rsidR="00421BB5" w:rsidRDefault="00421BB5" w:rsidP="00421BB5">
      <w:pPr>
        <w:spacing w:beforeLines="10" w:before="36" w:line="360" w:lineRule="exact"/>
        <w:ind w:leftChars="116" w:left="278" w:rightChars="92" w:right="221"/>
        <w:jc w:val="both"/>
        <w:rPr>
          <w:rFonts w:ascii="標楷體" w:eastAsia="標楷體" w:hAnsi="標楷體"/>
          <w:sz w:val="28"/>
          <w:szCs w:val="28"/>
        </w:rPr>
      </w:pPr>
      <w:r w:rsidRPr="00D65AED">
        <w:rPr>
          <w:rFonts w:ascii="標楷體" w:eastAsia="標楷體" w:hAnsi="標楷體" w:hint="eastAsia"/>
          <w:color w:val="000000"/>
          <w:sz w:val="28"/>
          <w:szCs w:val="28"/>
        </w:rPr>
        <w:t>邱顯智</w:t>
      </w:r>
      <w:r w:rsidRPr="00D65AED">
        <w:rPr>
          <w:rFonts w:ascii="標楷體" w:eastAsia="標楷體" w:hAnsi="標楷體" w:hint="eastAsia"/>
          <w:sz w:val="28"/>
          <w:szCs w:val="28"/>
        </w:rPr>
        <w:t>提出質詢；委員陳玉珍、黃世杰、劉建國、鄭運鵬、楊瓊瓔、</w:t>
      </w:r>
    </w:p>
    <w:p w14:paraId="357C9976" w14:textId="77777777" w:rsidR="00421BB5" w:rsidRPr="00D65AED" w:rsidRDefault="00421BB5" w:rsidP="00421BB5">
      <w:pPr>
        <w:spacing w:beforeLines="10" w:before="36" w:line="360" w:lineRule="exact"/>
        <w:ind w:leftChars="116" w:left="278" w:rightChars="92" w:right="221"/>
        <w:jc w:val="both"/>
        <w:rPr>
          <w:rFonts w:ascii="標楷體" w:eastAsia="標楷體" w:hAnsi="標楷體"/>
          <w:sz w:val="28"/>
          <w:szCs w:val="28"/>
        </w:rPr>
      </w:pPr>
      <w:r w:rsidRPr="00D65AED">
        <w:rPr>
          <w:rFonts w:ascii="標楷體" w:eastAsia="標楷體" w:hAnsi="標楷體" w:hint="eastAsia"/>
          <w:sz w:val="28"/>
          <w:szCs w:val="28"/>
        </w:rPr>
        <w:t>周春米、張其祿、陳以信提出書面質詢。）</w:t>
      </w:r>
    </w:p>
    <w:p w14:paraId="08180EB9" w14:textId="77777777" w:rsidR="00421BB5" w:rsidRPr="00D65AED" w:rsidRDefault="00421BB5" w:rsidP="00421BB5">
      <w:pPr>
        <w:pStyle w:val="afffff4"/>
        <w:spacing w:line="360" w:lineRule="exact"/>
        <w:ind w:firstLineChars="0"/>
        <w:jc w:val="both"/>
        <w:rPr>
          <w:rFonts w:ascii="標楷體" w:hAnsi="標楷體"/>
          <w:sz w:val="28"/>
          <w:szCs w:val="28"/>
        </w:rPr>
      </w:pPr>
      <w:r w:rsidRPr="00D65AED">
        <w:rPr>
          <w:rFonts w:ascii="標楷體" w:hAnsi="標楷體" w:hint="eastAsia"/>
          <w:sz w:val="28"/>
          <w:szCs w:val="28"/>
        </w:rPr>
        <w:t>決定：</w:t>
      </w:r>
    </w:p>
    <w:p w14:paraId="1DF9944B" w14:textId="77777777" w:rsidR="00421BB5" w:rsidRPr="00D65AED" w:rsidRDefault="00421BB5" w:rsidP="00421BB5">
      <w:pPr>
        <w:pStyle w:val="afffff4"/>
        <w:spacing w:line="360" w:lineRule="exact"/>
        <w:ind w:firstLineChars="0"/>
        <w:jc w:val="both"/>
        <w:rPr>
          <w:rFonts w:ascii="標楷體" w:hAnsi="標楷體"/>
          <w:sz w:val="28"/>
          <w:szCs w:val="28"/>
        </w:rPr>
      </w:pPr>
      <w:r w:rsidRPr="00D65AED">
        <w:rPr>
          <w:rFonts w:ascii="標楷體" w:hAnsi="標楷體" w:hint="eastAsia"/>
          <w:sz w:val="28"/>
          <w:szCs w:val="28"/>
        </w:rPr>
        <w:t>一、報告及詢答完畢。</w:t>
      </w:r>
    </w:p>
    <w:p w14:paraId="0ABAC6DC" w14:textId="77777777" w:rsidR="00421BB5" w:rsidRPr="00D65AED" w:rsidRDefault="00421BB5" w:rsidP="00421BB5">
      <w:pPr>
        <w:pStyle w:val="afffff4"/>
        <w:spacing w:line="360" w:lineRule="exact"/>
        <w:ind w:left="560" w:firstLineChars="0" w:hanging="574"/>
        <w:jc w:val="both"/>
        <w:rPr>
          <w:rFonts w:ascii="標楷體" w:hAnsi="標楷體"/>
          <w:sz w:val="28"/>
          <w:szCs w:val="28"/>
        </w:rPr>
      </w:pPr>
      <w:r w:rsidRPr="00D65AED">
        <w:rPr>
          <w:rFonts w:ascii="標楷體" w:hAnsi="標楷體" w:hint="eastAsia"/>
          <w:sz w:val="28"/>
          <w:szCs w:val="28"/>
        </w:rPr>
        <w:t>二、</w:t>
      </w:r>
      <w:r w:rsidRPr="00D65AED">
        <w:rPr>
          <w:rFonts w:ascii="標楷體" w:hAnsi="標楷體"/>
          <w:sz w:val="28"/>
          <w:szCs w:val="28"/>
        </w:rPr>
        <w:t>委員質詢時，要求提供相關資料或以書面答復者，請相關機關儘速送交個別委員及本會。</w:t>
      </w:r>
    </w:p>
    <w:p w14:paraId="3A6B8F95" w14:textId="77777777" w:rsidR="00421BB5" w:rsidRPr="00D65AED" w:rsidRDefault="00421BB5" w:rsidP="00421BB5">
      <w:pPr>
        <w:spacing w:line="360" w:lineRule="exact"/>
        <w:ind w:leftChars="5" w:left="617" w:hangingChars="216" w:hanging="605"/>
        <w:contextualSpacing/>
        <w:jc w:val="both"/>
        <w:rPr>
          <w:rFonts w:ascii="標楷體" w:eastAsia="標楷體" w:hAnsi="標楷體"/>
          <w:sz w:val="28"/>
          <w:szCs w:val="28"/>
        </w:rPr>
      </w:pPr>
      <w:r w:rsidRPr="00D65AED">
        <w:rPr>
          <w:rFonts w:ascii="標楷體" w:eastAsia="標楷體" w:hAnsi="標楷體"/>
          <w:sz w:val="28"/>
          <w:szCs w:val="28"/>
        </w:rPr>
        <w:t>散會</w:t>
      </w:r>
    </w:p>
    <w:p w14:paraId="4B7020AB"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p>
    <w:p w14:paraId="27A21C49"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b/>
          <w:spacing w:val="-4"/>
          <w:sz w:val="28"/>
          <w:szCs w:val="28"/>
        </w:rPr>
        <w:lastRenderedPageBreak/>
        <w:t>立法院第</w:t>
      </w:r>
      <w:r w:rsidRPr="00D65AED">
        <w:rPr>
          <w:rFonts w:ascii="標楷體" w:eastAsia="標楷體" w:hAnsi="標楷體" w:hint="eastAsia"/>
          <w:b/>
          <w:spacing w:val="-4"/>
          <w:sz w:val="28"/>
          <w:szCs w:val="28"/>
        </w:rPr>
        <w:t>10</w:t>
      </w:r>
      <w:r w:rsidRPr="00D65AED">
        <w:rPr>
          <w:rFonts w:ascii="標楷體" w:eastAsia="標楷體" w:hAnsi="標楷體"/>
          <w:b/>
          <w:spacing w:val="-4"/>
          <w:sz w:val="28"/>
          <w:szCs w:val="28"/>
        </w:rPr>
        <w:t>屆第</w:t>
      </w:r>
      <w:r w:rsidRPr="00D65AED">
        <w:rPr>
          <w:rFonts w:ascii="標楷體" w:eastAsia="標楷體" w:hAnsi="標楷體" w:hint="eastAsia"/>
          <w:b/>
          <w:spacing w:val="-4"/>
          <w:sz w:val="28"/>
          <w:szCs w:val="28"/>
        </w:rPr>
        <w:t>6</w:t>
      </w:r>
      <w:r w:rsidRPr="00D65AED">
        <w:rPr>
          <w:rFonts w:ascii="標楷體" w:eastAsia="標楷體" w:hAnsi="標楷體"/>
          <w:b/>
          <w:spacing w:val="-4"/>
          <w:sz w:val="28"/>
          <w:szCs w:val="28"/>
        </w:rPr>
        <w:t>會期司法及法制委員會第</w:t>
      </w:r>
      <w:r w:rsidRPr="00D65AED">
        <w:rPr>
          <w:rFonts w:ascii="標楷體" w:eastAsia="標楷體" w:hAnsi="標楷體" w:hint="eastAsia"/>
          <w:b/>
          <w:spacing w:val="-4"/>
          <w:sz w:val="28"/>
          <w:szCs w:val="28"/>
        </w:rPr>
        <w:t>21</w:t>
      </w:r>
      <w:r w:rsidRPr="00D65AED">
        <w:rPr>
          <w:rFonts w:ascii="標楷體" w:eastAsia="標楷體" w:hAnsi="標楷體"/>
          <w:b/>
          <w:spacing w:val="-4"/>
          <w:sz w:val="28"/>
          <w:szCs w:val="28"/>
        </w:rPr>
        <w:t>次全體委員會議議事錄</w:t>
      </w:r>
    </w:p>
    <w:p w14:paraId="1123E008" w14:textId="77777777" w:rsidR="00421BB5" w:rsidRPr="00D65AED" w:rsidRDefault="00421BB5" w:rsidP="00421BB5">
      <w:pPr>
        <w:pStyle w:val="-9"/>
        <w:spacing w:line="360" w:lineRule="exact"/>
        <w:ind w:left="1417" w:hangingChars="506" w:hanging="1417"/>
        <w:rPr>
          <w:rFonts w:ascii="標楷體" w:hAnsi="標楷體"/>
          <w:sz w:val="28"/>
          <w:szCs w:val="28"/>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z w:val="28"/>
          <w:szCs w:val="28"/>
        </w:rPr>
        <w:t>中華民國11</w:t>
      </w:r>
      <w:r w:rsidRPr="00D65AED">
        <w:rPr>
          <w:rFonts w:ascii="標楷體" w:hAnsi="標楷體"/>
          <w:sz w:val="28"/>
          <w:szCs w:val="28"/>
        </w:rPr>
        <w:t>1</w:t>
      </w:r>
      <w:r w:rsidRPr="00D65AED">
        <w:rPr>
          <w:rFonts w:ascii="標楷體" w:hAnsi="標楷體" w:hint="eastAsia"/>
          <w:sz w:val="28"/>
          <w:szCs w:val="28"/>
        </w:rPr>
        <w:t>年1</w:t>
      </w:r>
      <w:r w:rsidRPr="00D65AED">
        <w:rPr>
          <w:rFonts w:ascii="標楷體" w:hAnsi="標楷體"/>
          <w:sz w:val="28"/>
          <w:szCs w:val="28"/>
        </w:rPr>
        <w:t>1</w:t>
      </w:r>
      <w:r w:rsidRPr="00D65AED">
        <w:rPr>
          <w:rFonts w:ascii="標楷體" w:hAnsi="標楷體" w:hint="eastAsia"/>
          <w:sz w:val="28"/>
          <w:szCs w:val="28"/>
        </w:rPr>
        <w:t>月2</w:t>
      </w:r>
      <w:r w:rsidRPr="00D65AED">
        <w:rPr>
          <w:rFonts w:ascii="標楷體" w:hAnsi="標楷體"/>
          <w:sz w:val="28"/>
          <w:szCs w:val="28"/>
        </w:rPr>
        <w:t>8</w:t>
      </w:r>
      <w:r w:rsidRPr="00D65AED">
        <w:rPr>
          <w:rFonts w:ascii="標楷體" w:hAnsi="標楷體" w:hint="eastAsia"/>
          <w:sz w:val="28"/>
          <w:szCs w:val="28"/>
        </w:rPr>
        <w:t>日（星期一）上午9時2分至1</w:t>
      </w:r>
      <w:r w:rsidRPr="00D65AED">
        <w:rPr>
          <w:rFonts w:ascii="標楷體" w:hAnsi="標楷體"/>
          <w:sz w:val="28"/>
          <w:szCs w:val="28"/>
        </w:rPr>
        <w:t>0</w:t>
      </w:r>
      <w:r w:rsidRPr="00D65AED">
        <w:rPr>
          <w:rFonts w:ascii="標楷體" w:hAnsi="標楷體" w:hint="eastAsia"/>
          <w:sz w:val="28"/>
          <w:szCs w:val="28"/>
        </w:rPr>
        <w:t>時2</w:t>
      </w:r>
      <w:r w:rsidRPr="00D65AED">
        <w:rPr>
          <w:rFonts w:ascii="標楷體" w:hAnsi="標楷體"/>
          <w:sz w:val="28"/>
          <w:szCs w:val="28"/>
        </w:rPr>
        <w:t>3</w:t>
      </w:r>
      <w:r w:rsidRPr="00D65AED">
        <w:rPr>
          <w:rFonts w:ascii="標楷體" w:hAnsi="標楷體" w:hint="eastAsia"/>
          <w:sz w:val="28"/>
          <w:szCs w:val="28"/>
        </w:rPr>
        <w:t>分</w:t>
      </w:r>
    </w:p>
    <w:p w14:paraId="28565FA2" w14:textId="77777777" w:rsidR="00421BB5" w:rsidRPr="00D65AED" w:rsidRDefault="00421BB5" w:rsidP="00421BB5">
      <w:pPr>
        <w:adjustRightInd w:val="0"/>
        <w:snapToGrid w:val="0"/>
        <w:spacing w:line="360" w:lineRule="exact"/>
        <w:ind w:left="1364" w:hangingChars="487" w:hanging="1364"/>
        <w:jc w:val="both"/>
        <w:rPr>
          <w:rFonts w:ascii="標楷體" w:eastAsia="標楷體" w:hAnsi="標楷體"/>
          <w:kern w:val="0"/>
          <w:sz w:val="28"/>
          <w:szCs w:val="28"/>
          <w:lang w:val="x-none"/>
        </w:rPr>
      </w:pPr>
      <w:r w:rsidRPr="00D65AED">
        <w:rPr>
          <w:rFonts w:ascii="標楷體" w:eastAsia="標楷體" w:hAnsi="標楷體" w:hint="eastAsia"/>
          <w:kern w:val="0"/>
          <w:sz w:val="28"/>
          <w:szCs w:val="28"/>
          <w:lang w:val="x-none" w:eastAsia="x-none"/>
        </w:rPr>
        <w:t>地    點：本院紅樓302會議室</w:t>
      </w:r>
    </w:p>
    <w:p w14:paraId="149FA3B2"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陳以信</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曾銘宗</w:t>
      </w:r>
    </w:p>
    <w:p w14:paraId="4B578EF9" w14:textId="77777777" w:rsidR="00421BB5" w:rsidRPr="00D65AED" w:rsidRDefault="00421BB5" w:rsidP="00421BB5">
      <w:pPr>
        <w:adjustRightInd w:val="0"/>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hint="eastAsia"/>
          <w:sz w:val="28"/>
          <w:szCs w:val="28"/>
        </w:rPr>
        <w:t>江永昌</w:t>
      </w:r>
      <w:r w:rsidRPr="00D65AED">
        <w:rPr>
          <w:rFonts w:ascii="標楷體" w:eastAsia="標楷體" w:hAnsi="標楷體"/>
          <w:sz w:val="28"/>
          <w:szCs w:val="28"/>
        </w:rPr>
        <w:tab/>
      </w:r>
      <w:r w:rsidRPr="00D65AED">
        <w:rPr>
          <w:rFonts w:ascii="標楷體" w:eastAsia="標楷體" w:hAnsi="標楷體" w:hint="eastAsia"/>
          <w:sz w:val="28"/>
          <w:szCs w:val="28"/>
        </w:rPr>
        <w:t>劉建國</w:t>
      </w:r>
    </w:p>
    <w:p w14:paraId="7914BFD8" w14:textId="77777777" w:rsidR="00421BB5" w:rsidRPr="00D65AED" w:rsidRDefault="00421BB5" w:rsidP="00421BB5">
      <w:pPr>
        <w:adjustRightInd w:val="0"/>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委員出席</w:t>
      </w:r>
      <w:r w:rsidRPr="00D65AED">
        <w:rPr>
          <w:rFonts w:ascii="標楷體" w:eastAsia="標楷體" w:hAnsi="標楷體" w:hint="eastAsia"/>
          <w:sz w:val="28"/>
          <w:szCs w:val="28"/>
        </w:rPr>
        <w:t>9</w:t>
      </w:r>
      <w:r w:rsidRPr="00D65AED">
        <w:rPr>
          <w:rFonts w:ascii="標楷體" w:eastAsia="標楷體" w:hAnsi="標楷體"/>
          <w:sz w:val="28"/>
          <w:szCs w:val="28"/>
        </w:rPr>
        <w:t>人</w:t>
      </w:r>
    </w:p>
    <w:p w14:paraId="2C10B60F"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kern w:val="0"/>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李貴敏</w:t>
      </w:r>
      <w:r w:rsidRPr="00D65AED">
        <w:rPr>
          <w:rFonts w:ascii="標楷體" w:eastAsia="標楷體" w:hAnsi="標楷體"/>
          <w:sz w:val="28"/>
          <w:szCs w:val="28"/>
        </w:rPr>
        <w:tab/>
        <w:t>劉世芳</w:t>
      </w:r>
      <w:r w:rsidRPr="00D65AED">
        <w:rPr>
          <w:rFonts w:ascii="標楷體" w:eastAsia="標楷體" w:hAnsi="標楷體"/>
          <w:color w:val="000000"/>
          <w:sz w:val="28"/>
          <w:szCs w:val="28"/>
        </w:rPr>
        <w:tab/>
        <w:t>陳椒華</w:t>
      </w:r>
      <w:r w:rsidRPr="00D65AED">
        <w:rPr>
          <w:rFonts w:ascii="標楷體" w:eastAsia="標楷體" w:hAnsi="標楷體"/>
          <w:color w:val="000000"/>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sz w:val="28"/>
        </w:rPr>
        <w:t>孔文吉</w:t>
      </w:r>
      <w:r w:rsidRPr="00D65AED">
        <w:rPr>
          <w:rFonts w:ascii="標楷體" w:eastAsia="標楷體" w:hAnsi="標楷體"/>
          <w:sz w:val="28"/>
          <w:szCs w:val="28"/>
        </w:rPr>
        <w:tab/>
        <w:t>張育美</w:t>
      </w:r>
      <w:r w:rsidRPr="00D65AED">
        <w:rPr>
          <w:rFonts w:ascii="標楷體" w:eastAsia="標楷體" w:hAnsi="標楷體"/>
          <w:sz w:val="28"/>
          <w:szCs w:val="28"/>
        </w:rPr>
        <w:tab/>
      </w:r>
      <w:r w:rsidRPr="00D65AED">
        <w:rPr>
          <w:rFonts w:ascii="標楷體" w:eastAsia="標楷體" w:hAnsi="標楷體" w:hint="eastAsia"/>
          <w:kern w:val="0"/>
          <w:sz w:val="28"/>
          <w:szCs w:val="28"/>
        </w:rPr>
        <w:t>高嘉瑜</w:t>
      </w:r>
      <w:r w:rsidRPr="00D65AED">
        <w:rPr>
          <w:rFonts w:ascii="標楷體" w:eastAsia="標楷體" w:hAnsi="標楷體"/>
          <w:kern w:val="0"/>
          <w:sz w:val="28"/>
          <w:szCs w:val="28"/>
        </w:rPr>
        <w:tab/>
      </w:r>
    </w:p>
    <w:p w14:paraId="18252934" w14:textId="77777777" w:rsidR="00421BB5" w:rsidRPr="00D65AED" w:rsidRDefault="00421BB5" w:rsidP="00421BB5">
      <w:pPr>
        <w:adjustRightInd w:val="0"/>
        <w:snapToGrid w:val="0"/>
        <w:spacing w:line="360" w:lineRule="exact"/>
        <w:ind w:leftChars="584" w:left="1402" w:firstLineChars="4" w:firstLine="11"/>
        <w:jc w:val="both"/>
        <w:rPr>
          <w:rFonts w:ascii="標楷體" w:eastAsia="標楷體" w:hAnsi="標楷體"/>
          <w:sz w:val="28"/>
        </w:rPr>
      </w:pPr>
      <w:r w:rsidRPr="00D65AED">
        <w:rPr>
          <w:rFonts w:ascii="標楷體" w:eastAsia="標楷體" w:hAnsi="標楷體" w:hint="eastAsia"/>
          <w:color w:val="000000"/>
          <w:sz w:val="28"/>
          <w:szCs w:val="28"/>
        </w:rPr>
        <w:t>張其祿</w:t>
      </w:r>
      <w:r w:rsidRPr="00D65AED">
        <w:rPr>
          <w:rFonts w:ascii="標楷體" w:eastAsia="標楷體" w:hAnsi="標楷體"/>
          <w:sz w:val="28"/>
          <w:szCs w:val="28"/>
        </w:rPr>
        <w:tab/>
        <w:t>陳亭妃</w:t>
      </w:r>
      <w:r w:rsidRPr="00D65AED">
        <w:rPr>
          <w:rFonts w:ascii="標楷體" w:eastAsia="標楷體" w:hAnsi="標楷體"/>
          <w:color w:val="000000"/>
          <w:sz w:val="28"/>
          <w:szCs w:val="28"/>
        </w:rPr>
        <w:tab/>
      </w:r>
      <w:r w:rsidRPr="00D65AED">
        <w:rPr>
          <w:rFonts w:ascii="標楷體" w:eastAsia="標楷體" w:hAnsi="標楷體"/>
          <w:spacing w:val="-20"/>
          <w:sz w:val="28"/>
          <w:szCs w:val="28"/>
        </w:rPr>
        <w:t>鄭天財Sra</w:t>
      </w:r>
      <w:r w:rsidRPr="00D65AED">
        <w:rPr>
          <w:rFonts w:ascii="標楷體" w:eastAsia="標楷體" w:hAnsi="標楷體" w:hint="eastAsia"/>
          <w:spacing w:val="-20"/>
          <w:sz w:val="28"/>
          <w:szCs w:val="28"/>
        </w:rPr>
        <w:t xml:space="preserve"> </w:t>
      </w:r>
      <w:r w:rsidRPr="00D65AED">
        <w:rPr>
          <w:rFonts w:ascii="標楷體" w:eastAsia="標楷體" w:hAnsi="標楷體"/>
          <w:spacing w:val="-20"/>
          <w:sz w:val="28"/>
          <w:szCs w:val="28"/>
        </w:rPr>
        <w:t>Kacaw</w:t>
      </w:r>
      <w:r w:rsidRPr="00D65AED">
        <w:rPr>
          <w:rFonts w:ascii="標楷體" w:eastAsia="標楷體" w:hAnsi="標楷體"/>
          <w:sz w:val="28"/>
          <w:szCs w:val="28"/>
        </w:rPr>
        <w:tab/>
        <w:t>賴香伶</w:t>
      </w:r>
      <w:r w:rsidRPr="00D65AED">
        <w:rPr>
          <w:rFonts w:ascii="標楷體" w:eastAsia="標楷體" w:hAnsi="標楷體"/>
          <w:color w:val="000000"/>
          <w:sz w:val="28"/>
          <w:szCs w:val="28"/>
        </w:rPr>
        <w:tab/>
      </w:r>
      <w:r w:rsidRPr="00D65AED">
        <w:rPr>
          <w:rFonts w:ascii="標楷體" w:eastAsia="標楷體" w:hAnsi="標楷體" w:hint="eastAsia"/>
          <w:sz w:val="28"/>
          <w:szCs w:val="28"/>
        </w:rPr>
        <w:t>楊瓊瓔</w:t>
      </w:r>
      <w:r w:rsidRPr="00D65AED">
        <w:rPr>
          <w:rFonts w:ascii="標楷體" w:eastAsia="標楷體" w:hAnsi="標楷體"/>
          <w:sz w:val="28"/>
          <w:szCs w:val="28"/>
        </w:rPr>
        <w:tab/>
      </w:r>
      <w:r w:rsidRPr="00D65AED">
        <w:rPr>
          <w:rFonts w:ascii="標楷體" w:eastAsia="標楷體" w:hAnsi="標楷體" w:hint="eastAsia"/>
          <w:color w:val="000000"/>
          <w:sz w:val="28"/>
          <w:szCs w:val="28"/>
        </w:rPr>
        <w:t>邱顯智</w:t>
      </w:r>
      <w:r w:rsidRPr="00D65AED">
        <w:rPr>
          <w:rFonts w:ascii="標楷體" w:eastAsia="標楷體" w:hAnsi="標楷體"/>
          <w:color w:val="000000"/>
          <w:sz w:val="28"/>
          <w:szCs w:val="28"/>
        </w:rPr>
        <w:tab/>
      </w:r>
    </w:p>
    <w:p w14:paraId="64AA7BDE" w14:textId="77777777" w:rsidR="00421BB5" w:rsidRPr="00D65AED" w:rsidRDefault="00421BB5" w:rsidP="00421BB5">
      <w:pPr>
        <w:adjustRightInd w:val="0"/>
        <w:snapToGrid w:val="0"/>
        <w:spacing w:line="360" w:lineRule="exact"/>
        <w:ind w:leftChars="584" w:left="1402" w:firstLineChars="4" w:firstLine="11"/>
        <w:jc w:val="both"/>
        <w:rPr>
          <w:rFonts w:ascii="標楷體" w:eastAsia="標楷體" w:hAnsi="標楷體"/>
          <w:color w:val="000000"/>
          <w:sz w:val="28"/>
          <w:szCs w:val="28"/>
        </w:rPr>
      </w:pPr>
      <w:r w:rsidRPr="00D65AED">
        <w:rPr>
          <w:rFonts w:ascii="標楷體" w:eastAsia="標楷體" w:hAnsi="標楷體" w:hint="eastAsia"/>
          <w:sz w:val="28"/>
        </w:rPr>
        <w:t>羅明才</w:t>
      </w:r>
    </w:p>
    <w:p w14:paraId="7B5ED487" w14:textId="77777777" w:rsidR="00421BB5" w:rsidRPr="00D65AED" w:rsidRDefault="00421BB5" w:rsidP="00421BB5">
      <w:pPr>
        <w:adjustRightInd w:val="0"/>
        <w:snapToGrid w:val="0"/>
        <w:spacing w:line="360" w:lineRule="exact"/>
        <w:ind w:firstLineChars="495" w:firstLine="1386"/>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14</w:t>
      </w:r>
      <w:r w:rsidRPr="00D65AED">
        <w:rPr>
          <w:rFonts w:ascii="標楷體" w:eastAsia="標楷體" w:hAnsi="標楷體"/>
          <w:sz w:val="28"/>
          <w:szCs w:val="28"/>
        </w:rPr>
        <w:t>人</w:t>
      </w:r>
    </w:p>
    <w:p w14:paraId="000C39EE"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sz w:val="28"/>
          <w:szCs w:val="28"/>
        </w:rPr>
        <w:t>請假委員：陳歐珀</w:t>
      </w:r>
      <w:r w:rsidRPr="00D65AED">
        <w:rPr>
          <w:rFonts w:ascii="標楷體" w:eastAsia="標楷體" w:hAnsi="標楷體"/>
          <w:sz w:val="28"/>
          <w:szCs w:val="28"/>
        </w:rPr>
        <w:tab/>
      </w:r>
      <w:r w:rsidRPr="00D65AED">
        <w:rPr>
          <w:rFonts w:ascii="標楷體" w:eastAsia="標楷體" w:hAnsi="標楷體" w:hint="eastAsia"/>
          <w:sz w:val="28"/>
          <w:szCs w:val="28"/>
        </w:rPr>
        <w:t>周春米</w:t>
      </w:r>
    </w:p>
    <w:p w14:paraId="70170EBD"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sz w:val="28"/>
          <w:szCs w:val="28"/>
        </w:rPr>
        <w:t>委員請假2人</w:t>
      </w:r>
    </w:p>
    <w:p w14:paraId="3F9D5A1A"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考試院秘書長　劉建忻</w:t>
      </w:r>
    </w:p>
    <w:p w14:paraId="12967F39"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hint="eastAsia"/>
          <w:sz w:val="28"/>
          <w:szCs w:val="28"/>
        </w:rPr>
        <w:t>銓敘部部長　周志宏</w:t>
      </w:r>
    </w:p>
    <w:p w14:paraId="329B7723"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hint="eastAsia"/>
          <w:color w:val="000000"/>
          <w:sz w:val="28"/>
          <w:szCs w:val="28"/>
        </w:rPr>
        <w:t>考選部考選規劃司副司長</w:t>
      </w:r>
      <w:r w:rsidRPr="00D65AED">
        <w:rPr>
          <w:rFonts w:ascii="標楷體" w:hAnsi="標楷體" w:hint="eastAsia"/>
          <w:sz w:val="28"/>
          <w:szCs w:val="28"/>
        </w:rPr>
        <w:t xml:space="preserve">　</w:t>
      </w:r>
      <w:r w:rsidRPr="00D65AED">
        <w:rPr>
          <w:rFonts w:ascii="標楷體" w:hAnsi="標楷體" w:hint="eastAsia"/>
          <w:color w:val="000000"/>
          <w:sz w:val="28"/>
          <w:szCs w:val="28"/>
        </w:rPr>
        <w:t>蔡寶珠</w:t>
      </w:r>
    </w:p>
    <w:p w14:paraId="113653DB"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hint="eastAsia"/>
          <w:sz w:val="28"/>
          <w:szCs w:val="28"/>
        </w:rPr>
        <w:t>司法院人事處副處長　林春美</w:t>
      </w:r>
    </w:p>
    <w:p w14:paraId="6C3BBFBD"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hint="eastAsia"/>
          <w:sz w:val="28"/>
          <w:szCs w:val="28"/>
        </w:rPr>
        <w:t>內政部戶政司專門委員　蘇誌盟</w:t>
      </w:r>
    </w:p>
    <w:p w14:paraId="4B37A4EE"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hint="eastAsia"/>
          <w:sz w:val="28"/>
          <w:szCs w:val="28"/>
        </w:rPr>
        <w:t>法務部參事　廖江憲</w:t>
      </w:r>
    </w:p>
    <w:p w14:paraId="30BF0E43"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hint="eastAsia"/>
          <w:sz w:val="28"/>
          <w:szCs w:val="28"/>
        </w:rPr>
        <w:t>行政院公共工程委員會技術處簡任技正　陳義昌</w:t>
      </w:r>
    </w:p>
    <w:p w14:paraId="2C92E4FA" w14:textId="77777777" w:rsidR="00421BB5" w:rsidRPr="00D65AED" w:rsidRDefault="00421BB5" w:rsidP="00421BB5">
      <w:pPr>
        <w:pStyle w:val="-9"/>
        <w:spacing w:line="360" w:lineRule="exact"/>
        <w:ind w:leftChars="485" w:left="1164" w:firstLineChars="85" w:firstLine="238"/>
        <w:rPr>
          <w:rFonts w:ascii="標楷體" w:hAnsi="標楷體"/>
          <w:sz w:val="28"/>
          <w:szCs w:val="28"/>
        </w:rPr>
      </w:pPr>
      <w:r w:rsidRPr="00D65AED">
        <w:rPr>
          <w:rFonts w:ascii="標楷體" w:hAnsi="標楷體" w:hint="eastAsia"/>
          <w:sz w:val="28"/>
          <w:szCs w:val="28"/>
        </w:rPr>
        <w:t>行政院人事行政總處培訓考用處副處長　呂世壹</w:t>
      </w:r>
    </w:p>
    <w:p w14:paraId="1A670CFC"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hint="eastAsia"/>
          <w:sz w:val="28"/>
          <w:szCs w:val="28"/>
        </w:rPr>
        <w:t>主    席：林召集委員思銘</w:t>
      </w:r>
    </w:p>
    <w:p w14:paraId="7E69E1EE"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hint="eastAsia"/>
          <w:sz w:val="28"/>
          <w:szCs w:val="28"/>
        </w:rPr>
        <w:t>專門委員：梁雯璍</w:t>
      </w:r>
    </w:p>
    <w:p w14:paraId="3F0D651E"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hint="eastAsia"/>
          <w:sz w:val="28"/>
          <w:szCs w:val="28"/>
        </w:rPr>
        <w:t>主任秘書：張智為</w:t>
      </w:r>
    </w:p>
    <w:p w14:paraId="7FECFAE6"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hint="eastAsia"/>
          <w:sz w:val="28"/>
          <w:szCs w:val="28"/>
        </w:rPr>
        <w:t>紀    錄：簡任秘書　陳杏枝</w:t>
      </w:r>
    </w:p>
    <w:p w14:paraId="416242F0" w14:textId="77777777" w:rsidR="00421BB5" w:rsidRPr="00D65AED" w:rsidRDefault="00421BB5" w:rsidP="00421BB5">
      <w:pPr>
        <w:pStyle w:val="-9"/>
        <w:spacing w:line="360" w:lineRule="exact"/>
        <w:ind w:leftChars="567" w:left="1361" w:firstLineChars="20" w:firstLine="56"/>
        <w:rPr>
          <w:rFonts w:ascii="標楷體" w:hAnsi="標楷體"/>
          <w:sz w:val="28"/>
          <w:szCs w:val="28"/>
        </w:rPr>
      </w:pPr>
      <w:r w:rsidRPr="00D65AED">
        <w:rPr>
          <w:rFonts w:ascii="標楷體" w:hAnsi="標楷體" w:hint="eastAsia"/>
          <w:sz w:val="28"/>
          <w:szCs w:val="28"/>
        </w:rPr>
        <w:t>簡任編審　薛復寧</w:t>
      </w:r>
    </w:p>
    <w:p w14:paraId="71AED4EA" w14:textId="77777777" w:rsidR="00421BB5" w:rsidRPr="00D65AED" w:rsidRDefault="00421BB5" w:rsidP="00421BB5">
      <w:pPr>
        <w:pStyle w:val="-9"/>
        <w:spacing w:line="360" w:lineRule="exact"/>
        <w:ind w:leftChars="567" w:left="1361" w:firstLineChars="20" w:firstLine="56"/>
        <w:rPr>
          <w:rFonts w:ascii="標楷體" w:hAnsi="標楷體"/>
          <w:sz w:val="28"/>
          <w:szCs w:val="28"/>
        </w:rPr>
      </w:pPr>
      <w:r w:rsidRPr="00D65AED">
        <w:rPr>
          <w:rFonts w:ascii="標楷體" w:hAnsi="標楷體" w:hint="eastAsia"/>
          <w:sz w:val="28"/>
          <w:szCs w:val="28"/>
        </w:rPr>
        <w:t>科　　長　鮑夏明</w:t>
      </w:r>
    </w:p>
    <w:p w14:paraId="5B2B0C24" w14:textId="77777777" w:rsidR="00421BB5" w:rsidRPr="00D65AED" w:rsidRDefault="00421BB5" w:rsidP="00421BB5">
      <w:pPr>
        <w:pStyle w:val="afffff2"/>
        <w:spacing w:beforeLines="50" w:before="180" w:line="32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1D7DBA17" w14:textId="77777777" w:rsidR="00421BB5" w:rsidRPr="00D65AED" w:rsidRDefault="00421BB5" w:rsidP="00421BB5">
      <w:pPr>
        <w:pStyle w:val="afffff4"/>
        <w:spacing w:beforeLines="20" w:before="72" w:line="320" w:lineRule="exact"/>
        <w:ind w:left="560" w:hanging="560"/>
        <w:jc w:val="both"/>
        <w:rPr>
          <w:rFonts w:ascii="標楷體" w:hAnsi="標楷體"/>
          <w:sz w:val="28"/>
          <w:szCs w:val="28"/>
        </w:rPr>
      </w:pPr>
      <w:r w:rsidRPr="00D65AED">
        <w:rPr>
          <w:rFonts w:ascii="標楷體" w:hAnsi="標楷體"/>
          <w:sz w:val="28"/>
          <w:szCs w:val="28"/>
        </w:rPr>
        <w:t>宣讀上次會議議事錄</w:t>
      </w:r>
    </w:p>
    <w:p w14:paraId="7B58C53D" w14:textId="77777777" w:rsidR="00421BB5" w:rsidRPr="00D65AED" w:rsidRDefault="00421BB5" w:rsidP="00421BB5">
      <w:pPr>
        <w:adjustRightInd w:val="0"/>
        <w:snapToGrid w:val="0"/>
        <w:spacing w:line="320" w:lineRule="exact"/>
        <w:ind w:left="840" w:hangingChars="300" w:hanging="840"/>
        <w:jc w:val="both"/>
        <w:rPr>
          <w:rFonts w:ascii="標楷體" w:eastAsia="標楷體" w:hAnsi="標楷體"/>
          <w:sz w:val="28"/>
          <w:szCs w:val="28"/>
        </w:rPr>
      </w:pPr>
      <w:r w:rsidRPr="00D65AED">
        <w:rPr>
          <w:rFonts w:ascii="標楷體" w:eastAsia="標楷體" w:hAnsi="標楷體" w:hint="eastAsia"/>
          <w:kern w:val="0"/>
          <w:sz w:val="28"/>
          <w:szCs w:val="28"/>
        </w:rPr>
        <w:t>決定：確定。</w:t>
      </w:r>
    </w:p>
    <w:p w14:paraId="1793C0E7" w14:textId="77777777" w:rsidR="00421BB5" w:rsidRPr="00D65AED" w:rsidRDefault="00421BB5" w:rsidP="00421BB5">
      <w:pPr>
        <w:pStyle w:val="afffff2"/>
        <w:spacing w:beforeLines="50" w:before="180" w:line="32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1A5C2E9E"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lang w:val="x-none"/>
        </w:rPr>
        <w:t>一、</w:t>
      </w:r>
      <w:r w:rsidRPr="00D65AED">
        <w:rPr>
          <w:rFonts w:ascii="標楷體" w:eastAsia="標楷體" w:hAnsi="標楷體" w:hint="eastAsia"/>
          <w:sz w:val="28"/>
          <w:szCs w:val="28"/>
        </w:rPr>
        <w:t>繼續審查考試院函請審議「專門職業及技術人員轉任公務人員條例修正草案」案。</w:t>
      </w:r>
    </w:p>
    <w:p w14:paraId="5D752EED"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二、繼續併案審查（一）考試院函請審議「公務人員任用法第二十二條條文修正草案」、（二）委員蔡易餘等23人擬具「公務人員任用法第二十二條條文修正草案」、（三）委員鄭天財Sra Kacaw等17人擬具「公務人員任用法第二十二條條文修正草案」、（四）委員許智傑等18人擬具「公務人員任用法增訂第十八條之二條文草案」、</w:t>
      </w:r>
      <w:r w:rsidRPr="00D65AED">
        <w:rPr>
          <w:rFonts w:ascii="標楷體" w:eastAsia="標楷體" w:hAnsi="標楷體" w:hint="eastAsia"/>
          <w:sz w:val="28"/>
          <w:szCs w:val="28"/>
        </w:rPr>
        <w:lastRenderedPageBreak/>
        <w:t>（五）委員王定宇等19人擬具「公務人員任用法第二十八條條文修正草案」、（六）台灣民眾黨黨團擬具「公務人員任用法第二十八條條文修正草案」及（七）時代力量黨團擬具「公務人員任用法第二十八條條文修正草案」案。</w:t>
      </w:r>
    </w:p>
    <w:p w14:paraId="73961788" w14:textId="77777777" w:rsidR="00421BB5" w:rsidRPr="00D65AED" w:rsidRDefault="00421BB5" w:rsidP="00421BB5">
      <w:pPr>
        <w:pStyle w:val="afffffff2"/>
        <w:ind w:leftChars="0" w:left="567" w:firstLineChars="0" w:hanging="567"/>
      </w:pPr>
      <w:r w:rsidRPr="00D65AED">
        <w:rPr>
          <w:rFonts w:hint="eastAsia"/>
        </w:rPr>
        <w:t>決議：</w:t>
      </w:r>
    </w:p>
    <w:p w14:paraId="6011A9A6" w14:textId="77777777" w:rsidR="00421BB5" w:rsidRPr="00D65AED" w:rsidRDefault="00421BB5" w:rsidP="00421BB5">
      <w:pPr>
        <w:pStyle w:val="afffffff2"/>
        <w:tabs>
          <w:tab w:val="left" w:pos="2552"/>
        </w:tabs>
        <w:ind w:leftChars="0" w:left="0" w:firstLineChars="0" w:firstLine="0"/>
      </w:pPr>
      <w:r>
        <w:rPr>
          <w:rFonts w:hint="eastAsia"/>
        </w:rPr>
        <w:t>一、</w:t>
      </w:r>
      <w:r w:rsidRPr="00D65AED">
        <w:rPr>
          <w:rFonts w:hint="eastAsia"/>
        </w:rPr>
        <w:t>逕行逐條審查。</w:t>
      </w:r>
    </w:p>
    <w:p w14:paraId="20A63F37" w14:textId="77777777" w:rsidR="00421BB5" w:rsidRPr="00D65AED" w:rsidRDefault="00421BB5" w:rsidP="00421BB5">
      <w:pPr>
        <w:kinsoku w:val="0"/>
        <w:spacing w:line="360" w:lineRule="exact"/>
        <w:contextualSpacing/>
        <w:jc w:val="both"/>
        <w:rPr>
          <w:rFonts w:ascii="標楷體" w:eastAsia="標楷體" w:hAnsi="標楷體"/>
          <w:spacing w:val="-10"/>
          <w:sz w:val="28"/>
          <w:szCs w:val="28"/>
        </w:rPr>
      </w:pPr>
      <w:r w:rsidRPr="00D65AED">
        <w:rPr>
          <w:rFonts w:ascii="標楷體" w:eastAsia="標楷體" w:hAnsi="標楷體" w:hint="eastAsia"/>
          <w:spacing w:val="-10"/>
          <w:sz w:val="28"/>
          <w:szCs w:val="28"/>
        </w:rPr>
        <w:t>二、「專門職業及技術人員轉任公務人員條例修正草案」案：</w:t>
      </w:r>
    </w:p>
    <w:p w14:paraId="24D3E8C4" w14:textId="77777777" w:rsidR="00421BB5" w:rsidRPr="00D65AED" w:rsidRDefault="00421BB5" w:rsidP="007015C7">
      <w:pPr>
        <w:numPr>
          <w:ilvl w:val="0"/>
          <w:numId w:val="22"/>
        </w:numPr>
        <w:kinsoku w:val="0"/>
        <w:spacing w:line="360" w:lineRule="exact"/>
        <w:ind w:left="851" w:hanging="567"/>
        <w:contextualSpacing/>
        <w:jc w:val="both"/>
        <w:rPr>
          <w:rFonts w:ascii="標楷體" w:eastAsia="標楷體" w:hAnsi="標楷體"/>
          <w:sz w:val="28"/>
          <w:szCs w:val="28"/>
        </w:rPr>
      </w:pPr>
      <w:r w:rsidRPr="00D65AED">
        <w:rPr>
          <w:rFonts w:ascii="標楷體" w:eastAsia="標楷體" w:hAnsi="標楷體" w:hint="eastAsia"/>
          <w:sz w:val="28"/>
          <w:szCs w:val="28"/>
        </w:rPr>
        <w:t>第一條至第十五條，均照案通過。</w:t>
      </w:r>
    </w:p>
    <w:p w14:paraId="70955B20" w14:textId="77777777" w:rsidR="00421BB5" w:rsidRPr="00D65AED" w:rsidRDefault="00421BB5" w:rsidP="007015C7">
      <w:pPr>
        <w:numPr>
          <w:ilvl w:val="0"/>
          <w:numId w:val="22"/>
        </w:numPr>
        <w:kinsoku w:val="0"/>
        <w:spacing w:line="360" w:lineRule="exact"/>
        <w:ind w:left="851" w:hanging="567"/>
        <w:contextualSpacing/>
        <w:jc w:val="both"/>
        <w:rPr>
          <w:rFonts w:ascii="標楷體" w:eastAsia="標楷體" w:hAnsi="標楷體"/>
          <w:sz w:val="28"/>
          <w:szCs w:val="28"/>
        </w:rPr>
      </w:pPr>
      <w:r w:rsidRPr="00D65AED">
        <w:rPr>
          <w:rFonts w:ascii="標楷體" w:eastAsia="標楷體" w:hAnsi="標楷體" w:hint="eastAsia"/>
          <w:sz w:val="28"/>
          <w:szCs w:val="28"/>
        </w:rPr>
        <w:t>本案審查完竣，擬具審查報告，提請院會公決；不須交由黨團協商；院會討論時，由林召集委員思銘出席說明。</w:t>
      </w:r>
    </w:p>
    <w:p w14:paraId="2CD5D61C" w14:textId="77777777" w:rsidR="00421BB5" w:rsidRPr="00D65AED" w:rsidRDefault="00421BB5" w:rsidP="007015C7">
      <w:pPr>
        <w:numPr>
          <w:ilvl w:val="0"/>
          <w:numId w:val="22"/>
        </w:numPr>
        <w:kinsoku w:val="0"/>
        <w:spacing w:line="360" w:lineRule="exact"/>
        <w:ind w:left="851" w:hanging="567"/>
        <w:contextualSpacing/>
        <w:jc w:val="both"/>
        <w:rPr>
          <w:rFonts w:ascii="標楷體" w:eastAsia="標楷體" w:hAnsi="標楷體"/>
          <w:sz w:val="28"/>
          <w:szCs w:val="28"/>
        </w:rPr>
      </w:pPr>
      <w:r w:rsidRPr="00D65AED">
        <w:rPr>
          <w:rFonts w:ascii="標楷體" w:eastAsia="標楷體" w:hAnsi="標楷體" w:hint="eastAsia"/>
          <w:sz w:val="28"/>
          <w:szCs w:val="28"/>
        </w:rPr>
        <w:t>條次、引述條文部分文字及法制用字用語，授權主席及議事人員整理。</w:t>
      </w:r>
    </w:p>
    <w:p w14:paraId="2283B0D6" w14:textId="77777777" w:rsidR="00421BB5" w:rsidRPr="00D65AED" w:rsidRDefault="00421BB5" w:rsidP="00421BB5">
      <w:pPr>
        <w:pStyle w:val="afffffff2"/>
        <w:ind w:leftChars="0" w:left="567" w:firstLineChars="0" w:hanging="567"/>
      </w:pPr>
      <w:r w:rsidRPr="00D65AED">
        <w:rPr>
          <w:rFonts w:hint="eastAsia"/>
        </w:rPr>
        <w:t>三、「公務人員任用法第二十二條條文修正草案」等7案：</w:t>
      </w:r>
      <w:r w:rsidRPr="00D65AED">
        <w:t xml:space="preserve"> </w:t>
      </w:r>
    </w:p>
    <w:p w14:paraId="3123D237" w14:textId="77777777" w:rsidR="00421BB5" w:rsidRPr="00D65AED" w:rsidRDefault="00421BB5" w:rsidP="007015C7">
      <w:pPr>
        <w:numPr>
          <w:ilvl w:val="0"/>
          <w:numId w:val="23"/>
        </w:numPr>
        <w:kinsoku w:val="0"/>
        <w:spacing w:line="360" w:lineRule="exact"/>
        <w:ind w:left="833" w:hanging="567"/>
        <w:contextualSpacing/>
        <w:jc w:val="both"/>
        <w:rPr>
          <w:rFonts w:ascii="標楷體" w:eastAsia="標楷體" w:hAnsi="標楷體"/>
          <w:kern w:val="0"/>
          <w:sz w:val="28"/>
          <w:szCs w:val="28"/>
        </w:rPr>
      </w:pPr>
      <w:r w:rsidRPr="00D65AED">
        <w:rPr>
          <w:rFonts w:ascii="標楷體" w:eastAsia="標楷體" w:hAnsi="標楷體" w:hint="eastAsia"/>
          <w:sz w:val="28"/>
          <w:szCs w:val="28"/>
        </w:rPr>
        <w:t>第二十二條，照考試院提案通過。</w:t>
      </w:r>
    </w:p>
    <w:p w14:paraId="464464F7" w14:textId="77777777" w:rsidR="00421BB5" w:rsidRPr="00D65AED" w:rsidRDefault="00421BB5" w:rsidP="007015C7">
      <w:pPr>
        <w:numPr>
          <w:ilvl w:val="0"/>
          <w:numId w:val="23"/>
        </w:numPr>
        <w:kinsoku w:val="0"/>
        <w:spacing w:line="360" w:lineRule="exact"/>
        <w:ind w:left="833" w:hanging="567"/>
        <w:contextualSpacing/>
        <w:jc w:val="both"/>
        <w:rPr>
          <w:rFonts w:ascii="標楷體" w:eastAsia="標楷體" w:hAnsi="標楷體"/>
          <w:kern w:val="0"/>
          <w:sz w:val="28"/>
          <w:szCs w:val="28"/>
        </w:rPr>
      </w:pPr>
      <w:r w:rsidRPr="00D65AED">
        <w:rPr>
          <w:rFonts w:ascii="標楷體" w:eastAsia="標楷體" w:hAnsi="標楷體" w:hint="eastAsia"/>
          <w:kern w:val="0"/>
          <w:sz w:val="28"/>
          <w:szCs w:val="28"/>
        </w:rPr>
        <w:t>第二十八條，保留，送院會處理。</w:t>
      </w:r>
    </w:p>
    <w:p w14:paraId="48E24187" w14:textId="77777777" w:rsidR="00421BB5" w:rsidRPr="00D65AED" w:rsidRDefault="00421BB5" w:rsidP="007015C7">
      <w:pPr>
        <w:numPr>
          <w:ilvl w:val="0"/>
          <w:numId w:val="23"/>
        </w:numPr>
        <w:kinsoku w:val="0"/>
        <w:spacing w:line="360" w:lineRule="exact"/>
        <w:ind w:left="833" w:hanging="567"/>
        <w:contextualSpacing/>
        <w:jc w:val="both"/>
        <w:rPr>
          <w:rFonts w:ascii="標楷體" w:eastAsia="標楷體" w:hAnsi="標楷體"/>
          <w:kern w:val="0"/>
          <w:sz w:val="28"/>
          <w:szCs w:val="28"/>
        </w:rPr>
      </w:pPr>
      <w:r w:rsidRPr="00D65AED">
        <w:rPr>
          <w:rFonts w:ascii="標楷體" w:eastAsia="標楷體" w:hAnsi="標楷體"/>
          <w:kern w:val="0"/>
          <w:sz w:val="28"/>
          <w:szCs w:val="28"/>
        </w:rPr>
        <w:t>通過附帶決議1項：</w:t>
      </w:r>
    </w:p>
    <w:p w14:paraId="2AF8C42B" w14:textId="77777777" w:rsidR="00421BB5" w:rsidRPr="00D65AED" w:rsidRDefault="00421BB5" w:rsidP="00421BB5">
      <w:pPr>
        <w:widowControl/>
        <w:spacing w:line="360" w:lineRule="exact"/>
        <w:ind w:leftChars="331" w:left="794" w:firstLineChars="221" w:firstLine="619"/>
        <w:jc w:val="both"/>
        <w:rPr>
          <w:rFonts w:ascii="標楷體" w:eastAsia="標楷體" w:hAnsi="標楷體"/>
          <w:kern w:val="0"/>
          <w:sz w:val="28"/>
          <w:szCs w:val="28"/>
        </w:rPr>
      </w:pPr>
      <w:r w:rsidRPr="00D65AED">
        <w:rPr>
          <w:rFonts w:ascii="標楷體" w:eastAsia="標楷體" w:hAnsi="標楷體"/>
          <w:kern w:val="0"/>
          <w:sz w:val="28"/>
          <w:szCs w:val="28"/>
        </w:rPr>
        <w:t>為避免公務人員藉由照顧子女需求，刻意安排子女居住地，以同時辦理商調影響機關用人權限，請銓敘部於公務人員任用法第22條修正通過後，各機關如何妥適考量此類商調案件之同意與否，</w:t>
      </w:r>
      <w:r w:rsidRPr="00D65AED">
        <w:rPr>
          <w:rFonts w:ascii="標楷體" w:eastAsia="標楷體" w:hAnsi="標楷體" w:hint="eastAsia"/>
          <w:kern w:val="0"/>
          <w:sz w:val="28"/>
          <w:szCs w:val="28"/>
        </w:rPr>
        <w:t>作</w:t>
      </w:r>
      <w:r w:rsidRPr="00D65AED">
        <w:rPr>
          <w:rFonts w:ascii="標楷體" w:eastAsia="標楷體" w:hAnsi="標楷體"/>
          <w:kern w:val="0"/>
          <w:sz w:val="28"/>
          <w:szCs w:val="28"/>
        </w:rPr>
        <w:t>成相關通案解釋，俾資各機關有所依循。</w:t>
      </w:r>
    </w:p>
    <w:p w14:paraId="248A5D38" w14:textId="77777777" w:rsidR="00421BB5" w:rsidRPr="00D65AED" w:rsidRDefault="00421BB5" w:rsidP="00421BB5">
      <w:pPr>
        <w:widowControl/>
        <w:spacing w:line="360" w:lineRule="exact"/>
        <w:ind w:leftChars="331" w:left="794" w:firstLineChars="830" w:firstLine="2324"/>
        <w:jc w:val="both"/>
        <w:rPr>
          <w:rFonts w:ascii="標楷體" w:eastAsia="標楷體" w:hAnsi="標楷體"/>
          <w:kern w:val="0"/>
          <w:sz w:val="28"/>
          <w:szCs w:val="28"/>
        </w:rPr>
      </w:pPr>
      <w:r w:rsidRPr="00D65AED">
        <w:rPr>
          <w:rFonts w:ascii="標楷體" w:eastAsia="標楷體" w:hAnsi="標楷體" w:hint="eastAsia"/>
          <w:kern w:val="0"/>
          <w:sz w:val="28"/>
          <w:szCs w:val="28"/>
        </w:rPr>
        <w:t>提案人：游毓蘭 林思銘 陳玉珍 陳以信</w:t>
      </w:r>
    </w:p>
    <w:p w14:paraId="6B26FEA3" w14:textId="77777777" w:rsidR="00421BB5" w:rsidRPr="00D65AED" w:rsidRDefault="00421BB5" w:rsidP="007015C7">
      <w:pPr>
        <w:numPr>
          <w:ilvl w:val="0"/>
          <w:numId w:val="23"/>
        </w:numPr>
        <w:kinsoku w:val="0"/>
        <w:spacing w:line="360" w:lineRule="exact"/>
        <w:ind w:left="833" w:hanging="567"/>
        <w:contextualSpacing/>
        <w:jc w:val="both"/>
        <w:rPr>
          <w:rFonts w:ascii="標楷體" w:eastAsia="標楷體" w:hAnsi="標楷體"/>
          <w:kern w:val="0"/>
          <w:sz w:val="28"/>
          <w:szCs w:val="28"/>
        </w:rPr>
      </w:pPr>
      <w:r w:rsidRPr="00D65AED">
        <w:rPr>
          <w:rFonts w:ascii="標楷體" w:eastAsia="標楷體" w:hAnsi="標楷體" w:hint="eastAsia"/>
          <w:kern w:val="0"/>
          <w:sz w:val="28"/>
          <w:szCs w:val="28"/>
        </w:rPr>
        <w:t>本案審查完竣，擬具審查報告，提請院會公決；須交由黨團協商；院會討論時，由林召集委員思銘出席說明。</w:t>
      </w:r>
    </w:p>
    <w:p w14:paraId="5203B67D" w14:textId="77777777" w:rsidR="00421BB5" w:rsidRPr="00D65AED" w:rsidRDefault="00421BB5" w:rsidP="007015C7">
      <w:pPr>
        <w:numPr>
          <w:ilvl w:val="0"/>
          <w:numId w:val="23"/>
        </w:numPr>
        <w:kinsoku w:val="0"/>
        <w:spacing w:line="360" w:lineRule="exact"/>
        <w:ind w:left="833" w:hanging="567"/>
        <w:contextualSpacing/>
        <w:jc w:val="both"/>
        <w:rPr>
          <w:rFonts w:ascii="標楷體" w:eastAsia="標楷體" w:hAnsi="標楷體"/>
          <w:kern w:val="0"/>
          <w:sz w:val="28"/>
          <w:szCs w:val="28"/>
        </w:rPr>
      </w:pPr>
      <w:r w:rsidRPr="00D65AED">
        <w:rPr>
          <w:rFonts w:ascii="標楷體" w:eastAsia="標楷體" w:hAnsi="標楷體" w:hint="eastAsia"/>
          <w:kern w:val="0"/>
          <w:sz w:val="28"/>
          <w:szCs w:val="28"/>
        </w:rPr>
        <w:t>條次、引述條文部分文字及法制用字用語，授權主席及議事人員整理。</w:t>
      </w:r>
    </w:p>
    <w:p w14:paraId="737CBC3D" w14:textId="77777777" w:rsidR="00421BB5" w:rsidRPr="00D65AED" w:rsidRDefault="00421BB5" w:rsidP="00421BB5">
      <w:pPr>
        <w:adjustRightInd w:val="0"/>
        <w:snapToGrid w:val="0"/>
        <w:spacing w:beforeLines="50" w:before="180" w:line="320" w:lineRule="exact"/>
        <w:ind w:left="619" w:hangingChars="221" w:hanging="619"/>
        <w:jc w:val="both"/>
        <w:rPr>
          <w:rFonts w:ascii="標楷體" w:eastAsia="標楷體" w:hAnsi="標楷體"/>
          <w:sz w:val="28"/>
          <w:szCs w:val="28"/>
        </w:rPr>
      </w:pPr>
      <w:r w:rsidRPr="00D65AED">
        <w:rPr>
          <w:rFonts w:ascii="標楷體" w:eastAsia="標楷體" w:hAnsi="標楷體"/>
          <w:sz w:val="28"/>
          <w:szCs w:val="28"/>
        </w:rPr>
        <w:t>散會</w:t>
      </w:r>
    </w:p>
    <w:p w14:paraId="134E6068" w14:textId="77777777" w:rsidR="00421BB5" w:rsidRPr="00D65AED" w:rsidRDefault="00421BB5" w:rsidP="00421BB5">
      <w:pPr>
        <w:adjustRightInd w:val="0"/>
        <w:snapToGrid w:val="0"/>
        <w:spacing w:beforeLines="50" w:before="180" w:line="320" w:lineRule="exact"/>
        <w:ind w:left="619" w:hangingChars="221" w:hanging="619"/>
        <w:jc w:val="both"/>
        <w:rPr>
          <w:rFonts w:ascii="標楷體" w:eastAsia="標楷體" w:hAnsi="標楷體"/>
          <w:sz w:val="28"/>
          <w:szCs w:val="28"/>
        </w:rPr>
      </w:pPr>
    </w:p>
    <w:p w14:paraId="40D52D27" w14:textId="77777777" w:rsidR="00421BB5" w:rsidRPr="00D65AED" w:rsidRDefault="00421BB5" w:rsidP="00421BB5">
      <w:pPr>
        <w:spacing w:beforeLines="50" w:before="180" w:afterLines="50" w:after="180" w:line="360" w:lineRule="exact"/>
        <w:outlineLvl w:val="2"/>
        <w:rPr>
          <w:rFonts w:ascii="標楷體" w:eastAsia="標楷體" w:hAnsi="標楷體"/>
          <w:b/>
          <w:spacing w:val="-4"/>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w:t>
      </w:r>
      <w:r w:rsidRPr="00D65AED">
        <w:rPr>
          <w:rFonts w:ascii="標楷體" w:eastAsia="標楷體" w:hAnsi="標楷體"/>
          <w:b/>
          <w:spacing w:val="-4"/>
          <w:sz w:val="28"/>
          <w:szCs w:val="28"/>
        </w:rPr>
        <w:t>6</w:t>
      </w:r>
      <w:r w:rsidRPr="00D65AED">
        <w:rPr>
          <w:rFonts w:ascii="標楷體" w:eastAsia="標楷體" w:hAnsi="標楷體" w:hint="eastAsia"/>
          <w:b/>
          <w:spacing w:val="-4"/>
          <w:sz w:val="28"/>
          <w:szCs w:val="28"/>
        </w:rPr>
        <w:t>會期司法及法制委員會第</w:t>
      </w:r>
      <w:r w:rsidRPr="00D65AED">
        <w:rPr>
          <w:rFonts w:ascii="標楷體" w:eastAsia="標楷體" w:hAnsi="標楷體"/>
          <w:b/>
          <w:spacing w:val="-4"/>
          <w:sz w:val="28"/>
          <w:szCs w:val="28"/>
        </w:rPr>
        <w:t>22</w:t>
      </w:r>
      <w:r w:rsidRPr="00D65AED">
        <w:rPr>
          <w:rFonts w:ascii="標楷體" w:eastAsia="標楷體" w:hAnsi="標楷體" w:hint="eastAsia"/>
          <w:b/>
          <w:spacing w:val="-4"/>
          <w:sz w:val="28"/>
          <w:szCs w:val="28"/>
        </w:rPr>
        <w:t>次全體委員會議議事錄</w:t>
      </w:r>
    </w:p>
    <w:p w14:paraId="4D3213EC" w14:textId="77777777" w:rsidR="00421BB5" w:rsidRPr="00D65AED" w:rsidRDefault="00421BB5" w:rsidP="00421BB5">
      <w:pPr>
        <w:pStyle w:val="-9"/>
        <w:spacing w:line="360" w:lineRule="exact"/>
        <w:ind w:left="1417" w:hangingChars="506" w:hanging="1417"/>
        <w:rPr>
          <w:rFonts w:ascii="標楷體" w:hAnsi="標楷體"/>
          <w:sz w:val="28"/>
          <w:szCs w:val="28"/>
          <w:shd w:val="pct15" w:color="auto" w:fill="FFFFFF"/>
        </w:rPr>
      </w:pPr>
      <w:r w:rsidRPr="00D65AED">
        <w:rPr>
          <w:rFonts w:ascii="標楷體" w:hAnsi="標楷體"/>
          <w:sz w:val="28"/>
          <w:szCs w:val="28"/>
          <w:fitText w:val="1120" w:id="972279552"/>
        </w:rPr>
        <w:t>時    間</w:t>
      </w:r>
      <w:r w:rsidRPr="00D65AED">
        <w:rPr>
          <w:rFonts w:ascii="標楷體" w:hAnsi="標楷體"/>
          <w:sz w:val="28"/>
          <w:szCs w:val="28"/>
        </w:rPr>
        <w:t>：</w:t>
      </w:r>
      <w:r w:rsidRPr="00D65AED">
        <w:rPr>
          <w:rFonts w:ascii="標楷體" w:hAnsi="標楷體" w:hint="eastAsia"/>
          <w:sz w:val="28"/>
          <w:szCs w:val="28"/>
        </w:rPr>
        <w:t>中華民國1</w:t>
      </w:r>
      <w:r w:rsidRPr="00D65AED">
        <w:rPr>
          <w:rFonts w:ascii="標楷體" w:hAnsi="標楷體"/>
          <w:sz w:val="28"/>
          <w:szCs w:val="28"/>
        </w:rPr>
        <w:t>11</w:t>
      </w:r>
      <w:r w:rsidRPr="00D65AED">
        <w:rPr>
          <w:rFonts w:ascii="標楷體" w:hAnsi="標楷體" w:hint="eastAsia"/>
          <w:sz w:val="28"/>
          <w:szCs w:val="28"/>
        </w:rPr>
        <w:t>年1</w:t>
      </w:r>
      <w:r w:rsidRPr="00D65AED">
        <w:rPr>
          <w:rFonts w:ascii="標楷體" w:hAnsi="標楷體"/>
          <w:sz w:val="28"/>
          <w:szCs w:val="28"/>
        </w:rPr>
        <w:t>1</w:t>
      </w:r>
      <w:r w:rsidRPr="00D65AED">
        <w:rPr>
          <w:rFonts w:ascii="標楷體" w:hAnsi="標楷體" w:hint="eastAsia"/>
          <w:sz w:val="28"/>
          <w:szCs w:val="28"/>
        </w:rPr>
        <w:t>月</w:t>
      </w:r>
      <w:r w:rsidRPr="00D65AED">
        <w:rPr>
          <w:rFonts w:ascii="標楷體" w:hAnsi="標楷體"/>
          <w:sz w:val="28"/>
          <w:szCs w:val="28"/>
        </w:rPr>
        <w:t>30</w:t>
      </w:r>
      <w:r w:rsidRPr="00D65AED">
        <w:rPr>
          <w:rFonts w:ascii="標楷體" w:hAnsi="標楷體" w:hint="eastAsia"/>
          <w:sz w:val="28"/>
          <w:szCs w:val="28"/>
        </w:rPr>
        <w:t>日（星期三）上午9時1分至10時45分</w:t>
      </w:r>
    </w:p>
    <w:p w14:paraId="15332E03" w14:textId="77777777" w:rsidR="00421BB5" w:rsidRPr="00D65AED" w:rsidRDefault="00421BB5" w:rsidP="00421BB5">
      <w:pPr>
        <w:pStyle w:val="-9"/>
        <w:spacing w:line="360" w:lineRule="exact"/>
        <w:ind w:left="1364" w:hanging="1364"/>
        <w:rPr>
          <w:rFonts w:ascii="標楷體" w:hAnsi="標楷體"/>
          <w:sz w:val="28"/>
          <w:szCs w:val="28"/>
        </w:rPr>
      </w:pPr>
      <w:r w:rsidRPr="00D65AED">
        <w:rPr>
          <w:rFonts w:ascii="標楷體" w:hAnsi="標楷體"/>
          <w:sz w:val="28"/>
          <w:szCs w:val="28"/>
          <w:fitText w:val="1120" w:id="972279808"/>
        </w:rPr>
        <w:t>地    點</w:t>
      </w:r>
      <w:r w:rsidRPr="00D65AED">
        <w:rPr>
          <w:rFonts w:ascii="標楷體" w:hAnsi="標楷體"/>
          <w:sz w:val="28"/>
          <w:szCs w:val="28"/>
        </w:rPr>
        <w:t>：本院紅樓302會議室</w:t>
      </w:r>
    </w:p>
    <w:p w14:paraId="6778E46E" w14:textId="77777777" w:rsidR="00421BB5" w:rsidRPr="00D65AED" w:rsidRDefault="00421BB5" w:rsidP="00421BB5">
      <w:pPr>
        <w:snapToGrid w:val="0"/>
        <w:spacing w:line="360" w:lineRule="exact"/>
        <w:ind w:leftChars="-4" w:left="1328" w:hangingChars="478" w:hanging="1338"/>
        <w:rPr>
          <w:rFonts w:ascii="標楷體" w:eastAsia="標楷體" w:hAnsi="標楷體"/>
          <w:sz w:val="28"/>
          <w:szCs w:val="28"/>
        </w:rPr>
      </w:pPr>
      <w:r w:rsidRPr="00D65AED">
        <w:rPr>
          <w:rFonts w:ascii="標楷體" w:eastAsia="標楷體" w:hAnsi="標楷體"/>
          <w:sz w:val="28"/>
          <w:szCs w:val="28"/>
        </w:rPr>
        <w:t>出席委員</w:t>
      </w:r>
      <w:r w:rsidRPr="00D65AED">
        <w:rPr>
          <w:rFonts w:ascii="標楷體" w:eastAsia="標楷體" w:hAnsi="標楷體" w:hint="eastAsia"/>
          <w:sz w:val="28"/>
          <w:szCs w:val="28"/>
        </w:rPr>
        <w:t>：曾銘宗</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p>
    <w:p w14:paraId="23E04AC5" w14:textId="77777777" w:rsidR="00421BB5" w:rsidRPr="00D65AED" w:rsidRDefault="00421BB5" w:rsidP="00421BB5">
      <w:pPr>
        <w:snapToGrid w:val="0"/>
        <w:spacing w:line="360" w:lineRule="exact"/>
        <w:ind w:leftChars="553" w:left="1327" w:firstLineChars="25" w:firstLine="70"/>
        <w:rPr>
          <w:rFonts w:ascii="標楷體" w:eastAsia="標楷體" w:hAnsi="標楷體"/>
          <w:sz w:val="28"/>
          <w:szCs w:val="28"/>
        </w:rPr>
      </w:pPr>
      <w:r w:rsidRPr="00D65AED">
        <w:rPr>
          <w:rFonts w:ascii="標楷體" w:eastAsia="標楷體" w:hAnsi="標楷體" w:hint="eastAsia"/>
          <w:sz w:val="28"/>
          <w:szCs w:val="28"/>
        </w:rPr>
        <w:t>劉建國</w:t>
      </w:r>
    </w:p>
    <w:p w14:paraId="6EA1363D" w14:textId="77777777" w:rsidR="00421BB5" w:rsidRPr="00D65AED" w:rsidRDefault="00421BB5" w:rsidP="00421BB5">
      <w:pPr>
        <w:adjustRightInd w:val="0"/>
        <w:snapToGrid w:val="0"/>
        <w:spacing w:line="360" w:lineRule="exact"/>
        <w:ind w:firstLineChars="490" w:firstLine="1372"/>
        <w:jc w:val="both"/>
        <w:rPr>
          <w:rFonts w:ascii="標楷體" w:eastAsia="標楷體" w:hAnsi="標楷體"/>
          <w:sz w:val="28"/>
          <w:szCs w:val="28"/>
        </w:rPr>
      </w:pPr>
      <w:r w:rsidRPr="00D65AED">
        <w:rPr>
          <w:rFonts w:ascii="標楷體" w:eastAsia="標楷體" w:hAnsi="標楷體" w:hint="eastAsia"/>
          <w:sz w:val="28"/>
          <w:szCs w:val="28"/>
        </w:rPr>
        <w:t>委員出席8人</w:t>
      </w:r>
    </w:p>
    <w:p w14:paraId="39AAB7B9"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D65AED">
        <w:rPr>
          <w:rFonts w:ascii="標楷體" w:eastAsia="標楷體" w:hAnsi="標楷體"/>
          <w:kern w:val="0"/>
          <w:sz w:val="28"/>
          <w:szCs w:val="28"/>
        </w:rPr>
        <w:t>列席</w:t>
      </w:r>
      <w:r w:rsidRPr="00D65AED">
        <w:rPr>
          <w:rFonts w:ascii="標楷體" w:eastAsia="標楷體" w:hAnsi="標楷體"/>
          <w:sz w:val="28"/>
          <w:szCs w:val="28"/>
        </w:rPr>
        <w:t>委員：</w:t>
      </w:r>
      <w:r w:rsidRPr="00D65AED">
        <w:rPr>
          <w:rFonts w:ascii="標楷體" w:eastAsia="標楷體" w:hAnsi="標楷體" w:hint="eastAsia"/>
          <w:sz w:val="28"/>
          <w:szCs w:val="28"/>
        </w:rPr>
        <w:t>劉世芳</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陳亭妃</w:t>
      </w:r>
      <w:r w:rsidRPr="00D65AED">
        <w:rPr>
          <w:rFonts w:ascii="標楷體" w:eastAsia="標楷體" w:hAnsi="標楷體"/>
          <w:sz w:val="28"/>
          <w:szCs w:val="28"/>
        </w:rPr>
        <w:tab/>
      </w:r>
      <w:r w:rsidRPr="00D65AED">
        <w:rPr>
          <w:rFonts w:ascii="標楷體" w:eastAsia="標楷體" w:hAnsi="標楷體" w:hint="eastAsia"/>
          <w:sz w:val="28"/>
          <w:szCs w:val="28"/>
        </w:rPr>
        <w:t>鄭正鈐</w:t>
      </w:r>
      <w:r w:rsidRPr="00D65AED">
        <w:rPr>
          <w:rFonts w:ascii="標楷體" w:eastAsia="標楷體" w:hAnsi="標楷體"/>
          <w:sz w:val="28"/>
          <w:szCs w:val="28"/>
        </w:rPr>
        <w:tab/>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楊瓊瓔</w:t>
      </w:r>
    </w:p>
    <w:p w14:paraId="65570DE5" w14:textId="77777777" w:rsidR="00421BB5" w:rsidRPr="00D65AED" w:rsidRDefault="00421BB5" w:rsidP="00421BB5">
      <w:pPr>
        <w:adjustRightInd w:val="0"/>
        <w:snapToGrid w:val="0"/>
        <w:spacing w:line="360" w:lineRule="exact"/>
        <w:ind w:leftChars="571" w:left="1398" w:hangingChars="10" w:hanging="28"/>
        <w:jc w:val="both"/>
        <w:rPr>
          <w:rFonts w:ascii="標楷體" w:eastAsia="標楷體" w:hAnsi="標楷體"/>
          <w:spacing w:val="-20"/>
          <w:w w:val="95"/>
          <w:sz w:val="28"/>
          <w:szCs w:val="28"/>
        </w:rPr>
      </w:pPr>
      <w:r w:rsidRPr="00D65AED">
        <w:rPr>
          <w:rFonts w:ascii="標楷體" w:eastAsia="標楷體" w:hAnsi="標楷體" w:hint="eastAsia"/>
          <w:sz w:val="28"/>
          <w:szCs w:val="28"/>
        </w:rPr>
        <w:t>何欣純</w:t>
      </w:r>
      <w:r w:rsidRPr="00D65AED">
        <w:rPr>
          <w:rFonts w:ascii="標楷體" w:eastAsia="標楷體" w:hAnsi="標楷體"/>
          <w:spacing w:val="-20"/>
          <w:w w:val="95"/>
          <w:sz w:val="28"/>
          <w:szCs w:val="28"/>
        </w:rPr>
        <w:tab/>
      </w: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szCs w:val="28"/>
        </w:rPr>
        <w:t>謝衣鳯</w:t>
      </w:r>
      <w:r w:rsidRPr="00D65AED">
        <w:rPr>
          <w:rFonts w:ascii="標楷體" w:eastAsia="標楷體" w:hAnsi="標楷體"/>
          <w:sz w:val="28"/>
          <w:szCs w:val="28"/>
        </w:rPr>
        <w:tab/>
      </w:r>
      <w:r w:rsidRPr="00D65AED">
        <w:rPr>
          <w:rFonts w:ascii="標楷體" w:eastAsia="標楷體" w:hAnsi="標楷體" w:hint="eastAsia"/>
          <w:sz w:val="28"/>
          <w:szCs w:val="28"/>
        </w:rPr>
        <w:t>高嘉瑜 廖國棟Sufin．Siluko</w:t>
      </w:r>
    </w:p>
    <w:p w14:paraId="57BCF44A" w14:textId="77777777" w:rsidR="00421BB5" w:rsidRPr="00D65AED" w:rsidRDefault="00421BB5" w:rsidP="00421BB5">
      <w:pPr>
        <w:adjustRightInd w:val="0"/>
        <w:snapToGrid w:val="0"/>
        <w:spacing w:line="360" w:lineRule="exact"/>
        <w:ind w:leftChars="566" w:left="1394" w:hangingChars="13" w:hanging="36"/>
        <w:jc w:val="both"/>
        <w:rPr>
          <w:rFonts w:ascii="標楷體" w:eastAsia="標楷體" w:hAnsi="標楷體"/>
          <w:sz w:val="28"/>
          <w:szCs w:val="28"/>
        </w:rPr>
      </w:pPr>
      <w:r w:rsidRPr="00D65AED">
        <w:rPr>
          <w:rFonts w:ascii="標楷體" w:eastAsia="標楷體" w:hAnsi="標楷體"/>
          <w:sz w:val="28"/>
          <w:szCs w:val="28"/>
        </w:rPr>
        <w:t>委員列席</w:t>
      </w:r>
      <w:r w:rsidRPr="00D65AED">
        <w:rPr>
          <w:rFonts w:ascii="標楷體" w:eastAsia="標楷體" w:hAnsi="標楷體" w:hint="eastAsia"/>
          <w:sz w:val="28"/>
          <w:szCs w:val="28"/>
        </w:rPr>
        <w:t>12</w:t>
      </w:r>
      <w:r w:rsidRPr="00D65AED">
        <w:rPr>
          <w:rFonts w:ascii="標楷體" w:eastAsia="標楷體" w:hAnsi="標楷體"/>
          <w:sz w:val="28"/>
          <w:szCs w:val="28"/>
        </w:rPr>
        <w:t>人</w:t>
      </w:r>
    </w:p>
    <w:p w14:paraId="06F49C85"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請假委員：陳歐珀</w:t>
      </w:r>
      <w:r w:rsidRPr="00D65AED">
        <w:rPr>
          <w:rFonts w:ascii="標楷體" w:eastAsia="標楷體" w:hAnsi="標楷體"/>
          <w:sz w:val="28"/>
          <w:szCs w:val="28"/>
        </w:rPr>
        <w:tab/>
      </w:r>
      <w:r w:rsidRPr="00D65AED">
        <w:rPr>
          <w:rFonts w:ascii="標楷體" w:eastAsia="標楷體" w:hAnsi="標楷體" w:hint="eastAsia"/>
          <w:sz w:val="28"/>
          <w:szCs w:val="28"/>
        </w:rPr>
        <w:t>陳以信</w:t>
      </w:r>
    </w:p>
    <w:p w14:paraId="7125416D" w14:textId="77777777" w:rsidR="00421BB5" w:rsidRPr="00D65AED" w:rsidRDefault="00421BB5" w:rsidP="00421BB5">
      <w:pPr>
        <w:adjustRightInd w:val="0"/>
        <w:snapToGrid w:val="0"/>
        <w:spacing w:line="360" w:lineRule="exact"/>
        <w:ind w:firstLineChars="490" w:firstLine="1372"/>
        <w:jc w:val="both"/>
        <w:rPr>
          <w:rFonts w:ascii="標楷體" w:eastAsia="標楷體" w:hAnsi="標楷體"/>
          <w:sz w:val="28"/>
          <w:szCs w:val="28"/>
        </w:rPr>
      </w:pPr>
      <w:r w:rsidRPr="00D65AED">
        <w:rPr>
          <w:rFonts w:ascii="標楷體" w:eastAsia="標楷體" w:hAnsi="標楷體"/>
          <w:sz w:val="28"/>
          <w:szCs w:val="28"/>
        </w:rPr>
        <w:t>委員</w:t>
      </w:r>
      <w:r w:rsidRPr="00D65AED">
        <w:rPr>
          <w:rFonts w:ascii="標楷體" w:eastAsia="標楷體" w:hAnsi="標楷體" w:hint="eastAsia"/>
          <w:sz w:val="28"/>
          <w:szCs w:val="28"/>
        </w:rPr>
        <w:t>請假2人</w:t>
      </w:r>
    </w:p>
    <w:p w14:paraId="3D4BEBC2"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監察院</w:t>
      </w:r>
      <w:r w:rsidRPr="00D65AED">
        <w:rPr>
          <w:rFonts w:ascii="標楷體" w:hAnsi="標楷體"/>
          <w:sz w:val="28"/>
          <w:szCs w:val="28"/>
        </w:rPr>
        <w:t>秘書長</w:t>
      </w:r>
      <w:r w:rsidRPr="00D65AED">
        <w:rPr>
          <w:rFonts w:ascii="標楷體" w:hAnsi="標楷體" w:hint="eastAsia"/>
          <w:color w:val="000000"/>
          <w:sz w:val="28"/>
          <w:szCs w:val="28"/>
        </w:rPr>
        <w:t xml:space="preserve">　</w:t>
      </w:r>
      <w:r w:rsidRPr="00D65AED">
        <w:rPr>
          <w:rFonts w:ascii="標楷體" w:hAnsi="標楷體" w:hint="eastAsia"/>
          <w:sz w:val="28"/>
          <w:szCs w:val="28"/>
        </w:rPr>
        <w:t>朱富美</w:t>
      </w:r>
    </w:p>
    <w:p w14:paraId="24A04061" w14:textId="77777777" w:rsidR="00421BB5" w:rsidRPr="00D65AED" w:rsidRDefault="00421BB5" w:rsidP="00421BB5">
      <w:pPr>
        <w:tabs>
          <w:tab w:val="left" w:pos="2460"/>
        </w:tabs>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color w:val="000000"/>
          <w:sz w:val="28"/>
          <w:szCs w:val="28"/>
        </w:rPr>
        <w:t>行政院主計總處公務預算處專門委員　邱碧珠</w:t>
      </w:r>
    </w:p>
    <w:p w14:paraId="32D286FB" w14:textId="77777777" w:rsidR="00421BB5" w:rsidRPr="00D65AED" w:rsidRDefault="00421BB5" w:rsidP="00421BB5">
      <w:pPr>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972279812"/>
        </w:rPr>
        <w:t>主    席</w:t>
      </w:r>
      <w:r w:rsidRPr="00D65AED">
        <w:rPr>
          <w:rFonts w:ascii="標楷體" w:eastAsia="標楷體" w:hAnsi="標楷體"/>
          <w:sz w:val="28"/>
          <w:szCs w:val="28"/>
        </w:rPr>
        <w:t>：</w:t>
      </w:r>
      <w:r w:rsidRPr="00D65AED">
        <w:rPr>
          <w:rFonts w:ascii="標楷體" w:eastAsia="標楷體" w:hAnsi="標楷體" w:hint="eastAsia"/>
          <w:sz w:val="28"/>
          <w:szCs w:val="28"/>
        </w:rPr>
        <w:t>林召集委員思銘</w:t>
      </w:r>
    </w:p>
    <w:p w14:paraId="5191186F"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46633E94"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68648EF4" w14:textId="77777777" w:rsidR="00421BB5" w:rsidRPr="00D65AED" w:rsidRDefault="00421BB5" w:rsidP="00421BB5">
      <w:pPr>
        <w:adjustRightInd w:val="0"/>
        <w:snapToGrid w:val="0"/>
        <w:spacing w:line="360" w:lineRule="exact"/>
        <w:rPr>
          <w:rFonts w:ascii="標楷體" w:eastAsia="標楷體" w:hAnsi="標楷體"/>
          <w:sz w:val="28"/>
          <w:szCs w:val="28"/>
        </w:rPr>
      </w:pPr>
      <w:r w:rsidRPr="00D65AED">
        <w:rPr>
          <w:rFonts w:ascii="標楷體" w:eastAsia="標楷體" w:hAnsi="標楷體" w:hint="eastAsia"/>
          <w:sz w:val="28"/>
          <w:szCs w:val="28"/>
        </w:rPr>
        <w:t>紀    錄：簡任秘書　陳杏枝</w:t>
      </w:r>
    </w:p>
    <w:p w14:paraId="74CD02A6"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77EB9C9A"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24E3BB5B" w14:textId="77777777" w:rsidR="00421BB5" w:rsidRPr="00D65AED" w:rsidRDefault="00421BB5" w:rsidP="00421BB5">
      <w:pPr>
        <w:adjustRightInd w:val="0"/>
        <w:snapToGrid w:val="0"/>
        <w:spacing w:line="360" w:lineRule="exact"/>
        <w:ind w:firstLineChars="506" w:firstLine="1417"/>
        <w:jc w:val="both"/>
        <w:rPr>
          <w:rFonts w:ascii="標楷體" w:eastAsia="標楷體" w:hAnsi="標楷體"/>
          <w:sz w:val="28"/>
          <w:szCs w:val="28"/>
        </w:rPr>
      </w:pPr>
      <w:r w:rsidRPr="00D65AED">
        <w:rPr>
          <w:rFonts w:ascii="標楷體" w:eastAsia="標楷體" w:hAnsi="標楷體" w:hint="eastAsia"/>
          <w:sz w:val="28"/>
          <w:szCs w:val="28"/>
        </w:rPr>
        <w:t>專　　員　林宗賢</w:t>
      </w:r>
    </w:p>
    <w:p w14:paraId="4F974BD4" w14:textId="77777777" w:rsidR="00421BB5" w:rsidRPr="00D65AED" w:rsidRDefault="00421BB5" w:rsidP="00421BB5">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D65AED">
        <w:rPr>
          <w:rFonts w:ascii="標楷體" w:eastAsia="標楷體" w:hAnsi="標楷體"/>
          <w:b/>
          <w:kern w:val="0"/>
          <w:sz w:val="28"/>
          <w:szCs w:val="28"/>
        </w:rPr>
        <w:t>報告事項</w:t>
      </w:r>
    </w:p>
    <w:p w14:paraId="7A44DF93" w14:textId="77777777" w:rsidR="00421BB5" w:rsidRPr="00D65AED" w:rsidRDefault="00421BB5" w:rsidP="00421BB5">
      <w:pPr>
        <w:tabs>
          <w:tab w:val="left" w:pos="574"/>
          <w:tab w:val="left" w:pos="602"/>
          <w:tab w:val="left" w:pos="709"/>
        </w:tabs>
        <w:autoSpaceDE w:val="0"/>
        <w:autoSpaceDN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宣讀上次會議議事錄。</w:t>
      </w:r>
    </w:p>
    <w:p w14:paraId="3F420942" w14:textId="77777777" w:rsidR="00421BB5" w:rsidRPr="00D65AED" w:rsidRDefault="00421BB5" w:rsidP="00421BB5">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D65AED">
        <w:rPr>
          <w:rFonts w:ascii="標楷體" w:eastAsia="標楷體" w:hAnsi="標楷體" w:hint="eastAsia"/>
          <w:color w:val="000000"/>
          <w:sz w:val="28"/>
          <w:szCs w:val="28"/>
        </w:rPr>
        <w:t>決定：確定。</w:t>
      </w:r>
    </w:p>
    <w:p w14:paraId="6369F062" w14:textId="77777777" w:rsidR="00421BB5" w:rsidRPr="00D65AED" w:rsidRDefault="00421BB5" w:rsidP="00421BB5">
      <w:pPr>
        <w:pStyle w:val="afffff2"/>
        <w:spacing w:beforeLines="30" w:before="108"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7237BD69"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一、繼續審查112年度中央政府總預算案關於監察院主管（不含審計部及所屬）收支部分。</w:t>
      </w:r>
    </w:p>
    <w:p w14:paraId="5F6A4EDE"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二、監察院函，為111年度中央政府總預算決議，檢送決議（一）預算凍結書面報告，請查照案。</w:t>
      </w:r>
    </w:p>
    <w:p w14:paraId="0C607FE1"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三</w:t>
      </w:r>
      <w:r w:rsidRPr="00D65AED">
        <w:rPr>
          <w:rFonts w:ascii="標楷體" w:eastAsia="標楷體" w:hAnsi="標楷體"/>
          <w:sz w:val="28"/>
          <w:szCs w:val="28"/>
        </w:rPr>
        <w:t>、</w:t>
      </w:r>
      <w:r w:rsidRPr="00D65AED">
        <w:rPr>
          <w:rFonts w:ascii="標楷體" w:eastAsia="標楷體" w:hAnsi="標楷體" w:hint="eastAsia"/>
          <w:sz w:val="28"/>
          <w:szCs w:val="28"/>
        </w:rPr>
        <w:t>監察院函，為111年度中央政府總預算決議，檢送決議（二）預算凍結書面報告，請查照案。</w:t>
      </w:r>
    </w:p>
    <w:p w14:paraId="6D169D6C"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四、監察院函，為111年度中央政府總預算決議，檢送決議（三）預算凍結書面報告，請查照案。</w:t>
      </w:r>
    </w:p>
    <w:p w14:paraId="17A22B67"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五、監察院函，為111年度中央政府總預算決議，檢送決議（四）預算凍結書面報告，請查照案。</w:t>
      </w:r>
    </w:p>
    <w:p w14:paraId="4367C8F0"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六、監察院函，為111年度中央政府總預算決議，檢送決議（五）預算凍結書面報告，請查照案。</w:t>
      </w:r>
    </w:p>
    <w:p w14:paraId="7F9473B4"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七、監察院函，為111年度中央政府總預算決議，檢送決議（六）預</w:t>
      </w:r>
      <w:r w:rsidRPr="00D65AED">
        <w:rPr>
          <w:rFonts w:ascii="標楷體" w:eastAsia="標楷體" w:hAnsi="標楷體" w:hint="eastAsia"/>
          <w:sz w:val="28"/>
          <w:szCs w:val="28"/>
        </w:rPr>
        <w:lastRenderedPageBreak/>
        <w:t>算凍結書面報告，請查照案。</w:t>
      </w:r>
    </w:p>
    <w:p w14:paraId="7D27BC65"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八、監察院函，為111年度中央政府總預算決議，檢送決議（七）預算凍結書面報告，請查照案。</w:t>
      </w:r>
    </w:p>
    <w:p w14:paraId="78736034"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D65AED">
        <w:rPr>
          <w:rFonts w:ascii="標楷體" w:eastAsia="標楷體" w:hAnsi="標楷體" w:hint="eastAsia"/>
          <w:sz w:val="28"/>
          <w:szCs w:val="28"/>
        </w:rPr>
        <w:t>九、監察院函，為111年度中央政府總預算決議，檢送決議（三十三）預算凍結書面報告，請查照案。</w:t>
      </w:r>
    </w:p>
    <w:p w14:paraId="7D3EB248" w14:textId="77777777" w:rsidR="00421BB5" w:rsidRPr="00D65AED" w:rsidRDefault="00421BB5" w:rsidP="00421BB5">
      <w:pPr>
        <w:spacing w:line="360" w:lineRule="exact"/>
        <w:contextualSpacing/>
        <w:jc w:val="both"/>
        <w:rPr>
          <w:rFonts w:ascii="標楷體" w:eastAsia="標楷體" w:hAnsi="標楷體"/>
          <w:sz w:val="28"/>
          <w:szCs w:val="28"/>
        </w:rPr>
      </w:pPr>
      <w:r w:rsidRPr="00D65AED">
        <w:rPr>
          <w:rFonts w:ascii="標楷體" w:eastAsia="標楷體" w:hAnsi="標楷體" w:hint="eastAsia"/>
          <w:sz w:val="28"/>
          <w:szCs w:val="28"/>
        </w:rPr>
        <w:t>決議：</w:t>
      </w:r>
    </w:p>
    <w:p w14:paraId="694A7D0C"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D65AED">
        <w:rPr>
          <w:rFonts w:ascii="標楷體" w:eastAsia="標楷體" w:hAnsi="標楷體" w:hint="eastAsia"/>
          <w:kern w:val="0"/>
          <w:sz w:val="28"/>
          <w:szCs w:val="28"/>
        </w:rPr>
        <w:t>一、112年度中央政府總預算案關於監察院主管（不含審計部及所屬）收支部分：</w:t>
      </w:r>
    </w:p>
    <w:p w14:paraId="69AC302A" w14:textId="77777777" w:rsidR="00421BB5" w:rsidRPr="00D65AED" w:rsidRDefault="00421BB5" w:rsidP="00421BB5">
      <w:pPr>
        <w:adjustRightInd w:val="0"/>
        <w:snapToGrid w:val="0"/>
        <w:spacing w:line="360" w:lineRule="exact"/>
        <w:ind w:leftChars="50" w:left="120"/>
        <w:rPr>
          <w:rFonts w:ascii="標楷體" w:eastAsia="標楷體" w:hAnsi="標楷體"/>
          <w:b/>
          <w:kern w:val="0"/>
          <w:sz w:val="28"/>
          <w:szCs w:val="28"/>
        </w:rPr>
      </w:pPr>
      <w:r w:rsidRPr="00D65AED">
        <w:rPr>
          <w:rFonts w:ascii="標楷體" w:eastAsia="標楷體" w:hAnsi="標楷體" w:hint="eastAsia"/>
          <w:b/>
          <w:kern w:val="0"/>
          <w:sz w:val="28"/>
          <w:szCs w:val="28"/>
        </w:rPr>
        <w:t>(一)</w:t>
      </w:r>
      <w:r w:rsidRPr="00D65AED">
        <w:rPr>
          <w:rFonts w:ascii="標楷體" w:eastAsia="標楷體" w:hAnsi="標楷體"/>
          <w:b/>
          <w:kern w:val="0"/>
          <w:sz w:val="28"/>
          <w:szCs w:val="28"/>
        </w:rPr>
        <w:t>歲入部分</w:t>
      </w:r>
    </w:p>
    <w:p w14:paraId="0DC0B04D" w14:textId="77777777" w:rsidR="00421BB5" w:rsidRPr="00D65AED" w:rsidRDefault="00421BB5" w:rsidP="00421BB5">
      <w:pPr>
        <w:pStyle w:val="3-"/>
        <w:ind w:left="240"/>
      </w:pPr>
      <w:r w:rsidRPr="00D65AED">
        <w:rPr>
          <w:rFonts w:hint="eastAsia"/>
        </w:rPr>
        <w:t>第</w:t>
      </w:r>
      <w:r w:rsidRPr="00D65AED">
        <w:rPr>
          <w:rFonts w:hint="eastAsia"/>
          <w:lang w:val="x-none"/>
        </w:rPr>
        <w:t>2</w:t>
      </w:r>
      <w:r w:rsidRPr="00D65AED">
        <w:rPr>
          <w:rFonts w:hint="eastAsia"/>
        </w:rPr>
        <w:t>款　罰款及賠償收入</w:t>
      </w:r>
    </w:p>
    <w:p w14:paraId="343822CF" w14:textId="77777777" w:rsidR="00421BB5" w:rsidRPr="00D65AED" w:rsidRDefault="00421BB5" w:rsidP="00421BB5">
      <w:pPr>
        <w:pStyle w:val="3-1"/>
        <w:ind w:leftChars="215" w:left="1818" w:hangingChars="465" w:hanging="1302"/>
      </w:pPr>
      <w:r w:rsidRPr="00D65AED">
        <w:rPr>
          <w:rFonts w:hint="eastAsia"/>
        </w:rPr>
        <w:t>第62項　監察院原列2,490萬元，增列第1目「罰金罰鍰及怠金」第1節「罰金罰鍰」50萬元，其餘均照列，改列為2,540萬元。</w:t>
      </w:r>
    </w:p>
    <w:p w14:paraId="689C38D0" w14:textId="77777777" w:rsidR="00421BB5" w:rsidRPr="00D65AED" w:rsidRDefault="00421BB5" w:rsidP="00421BB5">
      <w:pPr>
        <w:pStyle w:val="3-1"/>
        <w:ind w:leftChars="239" w:left="1789" w:hangingChars="434" w:hanging="1215"/>
      </w:pPr>
      <w:r w:rsidRPr="00D65AED">
        <w:rPr>
          <w:rFonts w:hint="eastAsia"/>
        </w:rPr>
        <w:t>本項通過決議1項：</w:t>
      </w:r>
    </w:p>
    <w:p w14:paraId="4C3C66B1" w14:textId="77777777" w:rsidR="00421BB5" w:rsidRPr="00D65AED" w:rsidRDefault="00421BB5" w:rsidP="00421BB5">
      <w:pPr>
        <w:pStyle w:val="0-"/>
        <w:rPr>
          <w:rStyle w:val="0-0"/>
        </w:rPr>
      </w:pPr>
      <w:r w:rsidRPr="00D65AED">
        <w:rPr>
          <w:rFonts w:hint="eastAsia"/>
        </w:rPr>
        <w:t>(一)監察院112年度編列沒入金預算為600萬元，經查每逢選舉年後第2年，違反政治獻金法依法沒入金額都會增加，如103年地方選舉後之104年決算收入為1</w:t>
      </w:r>
      <w:r w:rsidRPr="00D65AED">
        <w:t>,</w:t>
      </w:r>
      <w:r w:rsidRPr="00D65AED">
        <w:rPr>
          <w:rFonts w:hint="eastAsia"/>
        </w:rPr>
        <w:t>462萬7千元，107年選舉後108年決算收入為692萬9千元。又監察院112年度編列沒入金預算較111年度增加100萬元，爰建議監察院對於政治獻金應積極查核並依法沒入。</w:t>
      </w:r>
    </w:p>
    <w:p w14:paraId="443C7A0E" w14:textId="77777777" w:rsidR="00421BB5" w:rsidRPr="00D65AED" w:rsidRDefault="00421BB5" w:rsidP="00421BB5">
      <w:pPr>
        <w:pStyle w:val="2-1"/>
      </w:pPr>
      <w:r w:rsidRPr="00D65AED">
        <w:rPr>
          <w:rFonts w:hint="eastAsia"/>
        </w:rPr>
        <w:t>提案人：鄭運鵬 陳歐珀 黃世杰</w:t>
      </w:r>
    </w:p>
    <w:p w14:paraId="5F233830" w14:textId="77777777" w:rsidR="00421BB5" w:rsidRPr="00D65AED" w:rsidRDefault="00421BB5" w:rsidP="00421BB5">
      <w:pPr>
        <w:adjustRightInd w:val="0"/>
        <w:snapToGrid w:val="0"/>
        <w:spacing w:line="360" w:lineRule="exact"/>
        <w:ind w:leftChars="100" w:left="240"/>
        <w:rPr>
          <w:rFonts w:ascii="標楷體" w:eastAsia="標楷體" w:hAnsi="標楷體"/>
          <w:kern w:val="0"/>
          <w:sz w:val="28"/>
          <w:szCs w:val="28"/>
        </w:rPr>
      </w:pPr>
      <w:r w:rsidRPr="00D65AED">
        <w:rPr>
          <w:rFonts w:ascii="標楷體" w:eastAsia="標楷體" w:hAnsi="標楷體" w:hint="eastAsia"/>
          <w:kern w:val="0"/>
          <w:sz w:val="28"/>
          <w:szCs w:val="28"/>
        </w:rPr>
        <w:t>第4款　財產收入</w:t>
      </w:r>
    </w:p>
    <w:p w14:paraId="652F5FC1" w14:textId="77777777" w:rsidR="00421BB5" w:rsidRPr="00D65AED" w:rsidRDefault="00421BB5" w:rsidP="00421BB5">
      <w:pPr>
        <w:adjustRightInd w:val="0"/>
        <w:snapToGrid w:val="0"/>
        <w:spacing w:line="360" w:lineRule="exact"/>
        <w:ind w:leftChars="200" w:left="1040" w:hangingChars="200" w:hanging="560"/>
        <w:rPr>
          <w:rFonts w:ascii="標楷體" w:eastAsia="標楷體" w:hAnsi="標楷體"/>
          <w:kern w:val="0"/>
          <w:sz w:val="28"/>
          <w:szCs w:val="28"/>
        </w:rPr>
      </w:pPr>
      <w:r w:rsidRPr="00D65AED">
        <w:rPr>
          <w:rFonts w:ascii="標楷體" w:eastAsia="標楷體" w:hAnsi="標楷體" w:hint="eastAsia"/>
          <w:kern w:val="0"/>
          <w:sz w:val="28"/>
          <w:szCs w:val="28"/>
        </w:rPr>
        <w:t>第68項　監察院118萬3千元，照列。</w:t>
      </w:r>
    </w:p>
    <w:p w14:paraId="6579528B" w14:textId="77777777" w:rsidR="00421BB5" w:rsidRPr="00D65AED" w:rsidRDefault="00421BB5" w:rsidP="00421BB5">
      <w:pPr>
        <w:adjustRightInd w:val="0"/>
        <w:snapToGrid w:val="0"/>
        <w:spacing w:line="360" w:lineRule="exact"/>
        <w:ind w:leftChars="100" w:left="240"/>
        <w:rPr>
          <w:rFonts w:ascii="標楷體" w:eastAsia="標楷體" w:hAnsi="標楷體"/>
          <w:kern w:val="0"/>
          <w:sz w:val="28"/>
          <w:szCs w:val="28"/>
        </w:rPr>
      </w:pPr>
      <w:r w:rsidRPr="00D65AED">
        <w:rPr>
          <w:rFonts w:ascii="標楷體" w:eastAsia="標楷體" w:hAnsi="標楷體" w:hint="eastAsia"/>
          <w:kern w:val="0"/>
          <w:sz w:val="28"/>
          <w:szCs w:val="28"/>
        </w:rPr>
        <w:t>第7款　其他收入</w:t>
      </w:r>
    </w:p>
    <w:p w14:paraId="7A6079C1" w14:textId="77777777" w:rsidR="00421BB5" w:rsidRPr="00D65AED" w:rsidRDefault="00421BB5" w:rsidP="00421BB5">
      <w:pPr>
        <w:adjustRightInd w:val="0"/>
        <w:snapToGrid w:val="0"/>
        <w:spacing w:line="360" w:lineRule="exact"/>
        <w:ind w:leftChars="200" w:left="1040" w:hangingChars="200" w:hanging="560"/>
        <w:rPr>
          <w:rFonts w:ascii="標楷體" w:eastAsia="標楷體" w:hAnsi="標楷體"/>
          <w:kern w:val="0"/>
          <w:sz w:val="28"/>
          <w:szCs w:val="28"/>
        </w:rPr>
      </w:pPr>
      <w:r w:rsidRPr="00D65AED">
        <w:rPr>
          <w:rFonts w:ascii="標楷體" w:eastAsia="標楷體" w:hAnsi="標楷體" w:hint="eastAsia"/>
          <w:kern w:val="0"/>
          <w:sz w:val="28"/>
          <w:szCs w:val="28"/>
        </w:rPr>
        <w:t>第67項　監察院22萬6千元，照列。</w:t>
      </w:r>
    </w:p>
    <w:p w14:paraId="622BEA75" w14:textId="77777777" w:rsidR="00421BB5" w:rsidRPr="00D65AED" w:rsidRDefault="00421BB5" w:rsidP="00421BB5">
      <w:pPr>
        <w:adjustRightInd w:val="0"/>
        <w:snapToGrid w:val="0"/>
        <w:spacing w:line="360" w:lineRule="exact"/>
        <w:ind w:leftChars="50" w:left="120"/>
        <w:rPr>
          <w:rFonts w:ascii="標楷體" w:eastAsia="標楷體" w:hAnsi="標楷體"/>
          <w:b/>
          <w:kern w:val="0"/>
          <w:sz w:val="28"/>
          <w:szCs w:val="28"/>
        </w:rPr>
      </w:pPr>
      <w:r w:rsidRPr="00D65AED">
        <w:rPr>
          <w:rFonts w:ascii="標楷體" w:eastAsia="標楷體" w:hAnsi="標楷體" w:hint="eastAsia"/>
          <w:b/>
          <w:kern w:val="0"/>
          <w:sz w:val="28"/>
          <w:szCs w:val="28"/>
        </w:rPr>
        <w:t>(二)</w:t>
      </w:r>
      <w:r w:rsidRPr="00D65AED">
        <w:rPr>
          <w:rFonts w:ascii="標楷體" w:eastAsia="標楷體" w:hAnsi="標楷體"/>
          <w:b/>
          <w:kern w:val="0"/>
          <w:sz w:val="28"/>
          <w:szCs w:val="28"/>
        </w:rPr>
        <w:t>歲出部分</w:t>
      </w:r>
    </w:p>
    <w:p w14:paraId="49CE6265" w14:textId="77777777" w:rsidR="00421BB5" w:rsidRPr="00D65AED" w:rsidRDefault="00421BB5" w:rsidP="00421BB5">
      <w:pPr>
        <w:adjustRightInd w:val="0"/>
        <w:snapToGrid w:val="0"/>
        <w:spacing w:line="360" w:lineRule="exact"/>
        <w:ind w:leftChars="100" w:left="240"/>
        <w:rPr>
          <w:rFonts w:ascii="標楷體" w:eastAsia="標楷體" w:hAnsi="標楷體"/>
          <w:kern w:val="0"/>
          <w:sz w:val="28"/>
          <w:szCs w:val="28"/>
        </w:rPr>
      </w:pPr>
      <w:r w:rsidRPr="00D65AED">
        <w:rPr>
          <w:rFonts w:ascii="標楷體" w:eastAsia="標楷體" w:hAnsi="標楷體"/>
          <w:kern w:val="0"/>
          <w:sz w:val="28"/>
          <w:szCs w:val="28"/>
        </w:rPr>
        <w:t>第</w:t>
      </w:r>
      <w:r w:rsidRPr="00D65AED">
        <w:rPr>
          <w:rFonts w:ascii="標楷體" w:eastAsia="標楷體" w:hAnsi="標楷體" w:hint="eastAsia"/>
          <w:kern w:val="0"/>
          <w:sz w:val="28"/>
          <w:szCs w:val="28"/>
        </w:rPr>
        <w:t>6</w:t>
      </w:r>
      <w:r w:rsidRPr="00D65AED">
        <w:rPr>
          <w:rFonts w:ascii="標楷體" w:eastAsia="標楷體" w:hAnsi="標楷體"/>
          <w:kern w:val="0"/>
          <w:sz w:val="28"/>
          <w:szCs w:val="28"/>
        </w:rPr>
        <w:t xml:space="preserve">款　</w:t>
      </w:r>
      <w:r w:rsidRPr="00D65AED">
        <w:rPr>
          <w:rFonts w:ascii="標楷體" w:eastAsia="標楷體" w:hAnsi="標楷體" w:hint="eastAsia"/>
          <w:kern w:val="0"/>
          <w:sz w:val="28"/>
          <w:szCs w:val="28"/>
        </w:rPr>
        <w:t>監察院</w:t>
      </w:r>
      <w:r w:rsidRPr="00D65AED">
        <w:rPr>
          <w:rFonts w:ascii="標楷體" w:eastAsia="標楷體" w:hAnsi="標楷體"/>
          <w:kern w:val="0"/>
          <w:sz w:val="28"/>
          <w:szCs w:val="28"/>
        </w:rPr>
        <w:t>主管</w:t>
      </w:r>
    </w:p>
    <w:p w14:paraId="0DA19902" w14:textId="77777777" w:rsidR="00421BB5" w:rsidRPr="00D65AED" w:rsidRDefault="00421BB5" w:rsidP="00421BB5">
      <w:pPr>
        <w:adjustRightInd w:val="0"/>
        <w:snapToGrid w:val="0"/>
        <w:spacing w:line="360" w:lineRule="exact"/>
        <w:ind w:leftChars="200" w:left="1656" w:hangingChars="420" w:hanging="1176"/>
        <w:jc w:val="both"/>
        <w:rPr>
          <w:rFonts w:ascii="標楷體" w:eastAsia="標楷體" w:hAnsi="標楷體"/>
          <w:sz w:val="28"/>
          <w:szCs w:val="28"/>
        </w:rPr>
      </w:pPr>
      <w:r w:rsidRPr="00D65AED">
        <w:rPr>
          <w:rFonts w:ascii="標楷體" w:eastAsia="標楷體" w:hAnsi="標楷體" w:hint="eastAsia"/>
          <w:sz w:val="28"/>
          <w:szCs w:val="28"/>
        </w:rPr>
        <w:t>第1項</w:t>
      </w:r>
      <w:r w:rsidRPr="00D65AED">
        <w:rPr>
          <w:rFonts w:ascii="標楷體" w:eastAsia="標楷體" w:hAnsi="標楷體"/>
          <w:sz w:val="28"/>
          <w:szCs w:val="28"/>
        </w:rPr>
        <w:t xml:space="preserve">　</w:t>
      </w:r>
      <w:r w:rsidRPr="00D65AED">
        <w:rPr>
          <w:rFonts w:ascii="標楷體" w:eastAsia="標楷體" w:hAnsi="標楷體" w:hint="eastAsia"/>
          <w:sz w:val="28"/>
          <w:szCs w:val="28"/>
        </w:rPr>
        <w:t>監察院</w:t>
      </w:r>
      <w:r w:rsidRPr="00D65AED">
        <w:rPr>
          <w:rFonts w:ascii="標楷體" w:eastAsia="標楷體" w:hAnsi="標楷體"/>
          <w:sz w:val="28"/>
          <w:szCs w:val="28"/>
        </w:rPr>
        <w:t>10億4</w:t>
      </w:r>
      <w:r w:rsidRPr="00D65AED">
        <w:rPr>
          <w:rFonts w:ascii="標楷體" w:eastAsia="標楷體" w:hAnsi="標楷體" w:hint="eastAsia"/>
          <w:sz w:val="28"/>
          <w:szCs w:val="28"/>
        </w:rPr>
        <w:t>,</w:t>
      </w:r>
      <w:r w:rsidRPr="00D65AED">
        <w:rPr>
          <w:rFonts w:ascii="標楷體" w:eastAsia="標楷體" w:hAnsi="標楷體"/>
          <w:sz w:val="28"/>
          <w:szCs w:val="28"/>
        </w:rPr>
        <w:t>888萬9</w:t>
      </w:r>
      <w:r w:rsidRPr="00D65AED">
        <w:rPr>
          <w:rFonts w:ascii="標楷體" w:eastAsia="標楷體" w:hAnsi="標楷體" w:hint="eastAsia"/>
          <w:sz w:val="28"/>
          <w:szCs w:val="28"/>
        </w:rPr>
        <w:t>千</w:t>
      </w:r>
      <w:r w:rsidRPr="00D65AED">
        <w:rPr>
          <w:rFonts w:ascii="標楷體" w:eastAsia="標楷體" w:hAnsi="標楷體"/>
          <w:sz w:val="28"/>
          <w:szCs w:val="28"/>
        </w:rPr>
        <w:t>元</w:t>
      </w:r>
      <w:r w:rsidRPr="00D65AED">
        <w:rPr>
          <w:rFonts w:ascii="標楷體" w:eastAsia="標楷體" w:hAnsi="標楷體" w:hint="eastAsia"/>
          <w:sz w:val="28"/>
          <w:szCs w:val="28"/>
        </w:rPr>
        <w:t>，照列。</w:t>
      </w:r>
    </w:p>
    <w:p w14:paraId="0B778CD0" w14:textId="77777777" w:rsidR="00421BB5" w:rsidRPr="00D65AED" w:rsidRDefault="00421BB5" w:rsidP="00421BB5">
      <w:pPr>
        <w:adjustRightInd w:val="0"/>
        <w:snapToGrid w:val="0"/>
        <w:spacing w:line="360" w:lineRule="exact"/>
        <w:ind w:leftChars="200" w:left="1656" w:hangingChars="420" w:hanging="1176"/>
        <w:jc w:val="both"/>
        <w:rPr>
          <w:rFonts w:ascii="標楷體" w:eastAsia="標楷體" w:hAnsi="標楷體"/>
          <w:sz w:val="28"/>
          <w:szCs w:val="28"/>
        </w:rPr>
      </w:pPr>
      <w:r w:rsidRPr="00D65AED">
        <w:rPr>
          <w:rFonts w:ascii="標楷體" w:eastAsia="標楷體" w:hAnsi="標楷體" w:hint="eastAsia"/>
          <w:sz w:val="28"/>
          <w:szCs w:val="28"/>
        </w:rPr>
        <w:t>本項提案4案，保留，送院會處理：</w:t>
      </w:r>
    </w:p>
    <w:p w14:paraId="0461CC0D" w14:textId="77777777" w:rsidR="00421BB5" w:rsidRPr="00D65AED" w:rsidRDefault="00421BB5" w:rsidP="00421BB5">
      <w:pPr>
        <w:pStyle w:val="0-"/>
      </w:pPr>
      <w:r w:rsidRPr="00D65AED">
        <w:rPr>
          <w:rFonts w:hint="eastAsia"/>
        </w:rPr>
        <w:t>(一)查監察院112年度一般行政編列新台幣8億2352萬5千元。其中人事費編列7億5</w:t>
      </w:r>
      <w:r w:rsidRPr="00D65AED">
        <w:t>077</w:t>
      </w:r>
      <w:r w:rsidRPr="00D65AED">
        <w:rPr>
          <w:rFonts w:hint="eastAsia"/>
        </w:rPr>
        <w:t>萬8千元，係監察院人事費用。然112年度單位預算案書表所列預算員額為550人，而111年8月底實際員工人數502人，實際人數與111年度預算員額553人相較，差額達51人。再查去年1</w:t>
      </w:r>
      <w:r w:rsidRPr="00D65AED">
        <w:t>10</w:t>
      </w:r>
      <w:r w:rsidRPr="00D65AED">
        <w:rPr>
          <w:rFonts w:hint="eastAsia"/>
        </w:rPr>
        <w:t>年度預算員額為509，亦與5</w:t>
      </w:r>
      <w:r w:rsidRPr="00D65AED">
        <w:t>50</w:t>
      </w:r>
      <w:r w:rsidRPr="00D65AED">
        <w:rPr>
          <w:rFonts w:hint="eastAsia"/>
        </w:rPr>
        <w:t>差額有41人。故監察院逐年增加預算員額，未足額進用人數逐年提升，顯然無調增預算員額之必要，僅有膨脹預算、浮編預算之虞。爰提案減列2</w:t>
      </w:r>
      <w:r w:rsidRPr="00D65AED">
        <w:t>000</w:t>
      </w:r>
      <w:r w:rsidRPr="00D65AED">
        <w:rPr>
          <w:rFonts w:hint="eastAsia"/>
        </w:rPr>
        <w:t>萬元。</w:t>
      </w:r>
    </w:p>
    <w:p w14:paraId="36DDC2F3" w14:textId="77777777" w:rsidR="00421BB5" w:rsidRPr="00D65AED" w:rsidRDefault="00421BB5" w:rsidP="00421BB5">
      <w:pPr>
        <w:pStyle w:val="2-1"/>
      </w:pPr>
      <w:r w:rsidRPr="00D65AED">
        <w:rPr>
          <w:rFonts w:hint="eastAsia"/>
        </w:rPr>
        <w:t>提案人：陳玉珍</w:t>
      </w:r>
    </w:p>
    <w:p w14:paraId="748CAEE7" w14:textId="77777777" w:rsidR="00421BB5" w:rsidRPr="00D65AED" w:rsidRDefault="00421BB5" w:rsidP="00421BB5">
      <w:pPr>
        <w:pStyle w:val="2-1"/>
      </w:pPr>
      <w:r w:rsidRPr="00D65AED">
        <w:rPr>
          <w:rFonts w:hint="eastAsia"/>
        </w:rPr>
        <w:t>連署人：林思銘 游毓蘭</w:t>
      </w:r>
      <w:r w:rsidRPr="00D65AED">
        <w:t xml:space="preserve"> </w:t>
      </w:r>
    </w:p>
    <w:p w14:paraId="541ED0D3" w14:textId="77777777" w:rsidR="00421BB5" w:rsidRPr="00D65AED" w:rsidRDefault="00421BB5" w:rsidP="00421BB5">
      <w:pPr>
        <w:pStyle w:val="0-"/>
        <w:rPr>
          <w:rStyle w:val="0-0"/>
        </w:rPr>
      </w:pPr>
      <w:r w:rsidRPr="00D65AED">
        <w:rPr>
          <w:rFonts w:hint="eastAsia"/>
        </w:rPr>
        <w:t>(二)查監察院112年度一般行政編列新台幣8億2352萬5千元。</w:t>
      </w:r>
      <w:r w:rsidRPr="00D65AED">
        <w:rPr>
          <w:rFonts w:hint="eastAsia"/>
        </w:rPr>
        <w:lastRenderedPageBreak/>
        <w:t>然查監察委員行使職權包括彈劾、糾舉、糾正等職權，乃法明文規定，監察委員自不可廢弛職務。查1</w:t>
      </w:r>
      <w:r w:rsidRPr="00D65AED">
        <w:t>08</w:t>
      </w:r>
      <w:r w:rsidRPr="00D65AED">
        <w:rPr>
          <w:rFonts w:hint="eastAsia"/>
        </w:rPr>
        <w:t>年8月至111年3月，監察院共召開2</w:t>
      </w:r>
      <w:r w:rsidRPr="00D65AED">
        <w:t>2</w:t>
      </w:r>
      <w:r w:rsidRPr="00D65AED">
        <w:rPr>
          <w:rFonts w:hint="eastAsia"/>
        </w:rPr>
        <w:t>次審查會，卻傳出有5位監委出席次數低於8次，甚至有4名監委從未提案，讓人民對監察委員是否真的有勤政任事、為民申冤，感到疑惑，爰提案減列200萬元。</w:t>
      </w:r>
    </w:p>
    <w:p w14:paraId="3D3E00B3" w14:textId="77777777" w:rsidR="00421BB5" w:rsidRPr="00D65AED" w:rsidRDefault="00421BB5" w:rsidP="00421BB5">
      <w:pPr>
        <w:pStyle w:val="2-1"/>
      </w:pPr>
      <w:r w:rsidRPr="00D65AED">
        <w:rPr>
          <w:rFonts w:hint="eastAsia"/>
        </w:rPr>
        <w:t>提案人：陳玉珍</w:t>
      </w:r>
    </w:p>
    <w:p w14:paraId="0EADA8E6" w14:textId="77777777" w:rsidR="00421BB5" w:rsidRPr="00D65AED" w:rsidRDefault="00421BB5" w:rsidP="00421BB5">
      <w:pPr>
        <w:pStyle w:val="2-1"/>
      </w:pPr>
      <w:r w:rsidRPr="00D65AED">
        <w:rPr>
          <w:rFonts w:hint="eastAsia"/>
        </w:rPr>
        <w:t>連署人：林思銘 游毓蘭</w:t>
      </w:r>
    </w:p>
    <w:p w14:paraId="3735392D" w14:textId="77777777" w:rsidR="00421BB5" w:rsidRPr="00D65AED" w:rsidRDefault="00421BB5" w:rsidP="00421BB5">
      <w:pPr>
        <w:pStyle w:val="0-"/>
      </w:pPr>
      <w:r w:rsidRPr="00D65AED">
        <w:rPr>
          <w:rFonts w:hint="eastAsia"/>
        </w:rPr>
        <w:t>(三)查監察院112年度國家人權業務編列新台幣1億3138萬8千元，係辦理1.提出各類人權報告及國家人權報告獨立評估意見，2.提出人權政策與法令之建議，3.推動國際人權文書國內法化及人權監督體系之建立，4.系統性訪查人權侵害與歧視案件</w:t>
      </w:r>
      <w:r w:rsidRPr="00D65AED">
        <w:t>…</w:t>
      </w:r>
      <w:r w:rsidRPr="00D65AED">
        <w:rPr>
          <w:rFonts w:hint="eastAsia"/>
        </w:rPr>
        <w:t>等工作。然根據統計，國家人權委員會110年度預算保留金額占執行數達2成以上，而111年度截至8月底之預算執行率亦僅2成餘，顯然111年度預算同樣有不少的預算保留金額留待1</w:t>
      </w:r>
      <w:r w:rsidRPr="00D65AED">
        <w:t>12</w:t>
      </w:r>
      <w:r w:rsidRPr="00D65AED">
        <w:rPr>
          <w:rFonts w:hint="eastAsia"/>
        </w:rPr>
        <w:t>年來執行。未避免預算浮編浪費，爰提案減列1</w:t>
      </w:r>
      <w:r w:rsidRPr="00D65AED">
        <w:t>000</w:t>
      </w:r>
      <w:r w:rsidRPr="00D65AED">
        <w:rPr>
          <w:rFonts w:hint="eastAsia"/>
        </w:rPr>
        <w:t>萬元。</w:t>
      </w:r>
    </w:p>
    <w:p w14:paraId="0FDF40FA" w14:textId="77777777" w:rsidR="00421BB5" w:rsidRPr="00D65AED" w:rsidRDefault="00421BB5" w:rsidP="00421BB5">
      <w:pPr>
        <w:pStyle w:val="2-1"/>
      </w:pPr>
      <w:r w:rsidRPr="00D65AED">
        <w:rPr>
          <w:rFonts w:hint="eastAsia"/>
        </w:rPr>
        <w:t>提案人：陳玉珍</w:t>
      </w:r>
    </w:p>
    <w:p w14:paraId="02CC7132" w14:textId="77777777" w:rsidR="00421BB5" w:rsidRPr="00D65AED" w:rsidRDefault="00421BB5" w:rsidP="00421BB5">
      <w:pPr>
        <w:pStyle w:val="2-1"/>
      </w:pPr>
      <w:r w:rsidRPr="00D65AED">
        <w:rPr>
          <w:rFonts w:hint="eastAsia"/>
        </w:rPr>
        <w:t>連署人：林思銘 游毓蘭</w:t>
      </w:r>
    </w:p>
    <w:p w14:paraId="781F2B61" w14:textId="77777777" w:rsidR="00421BB5" w:rsidRPr="00D65AED" w:rsidRDefault="00421BB5" w:rsidP="00421BB5">
      <w:pPr>
        <w:pStyle w:val="0-"/>
      </w:pPr>
      <w:r w:rsidRPr="00D65AED">
        <w:rPr>
          <w:rFonts w:hint="eastAsia"/>
        </w:rPr>
        <w:t>(四)查監察院112年度國家人權業務編列新台幣1億3138萬8千元，係辦理1.提出各類人權報告及國家人權報告獨立評估意見，2.提出人權政策與法令之建議，3.推動國際人權文書國內法化及人權監督體系之建立，4.系統性訪查人權侵害與歧視案件</w:t>
      </w:r>
      <w:r w:rsidRPr="00D65AED">
        <w:t>…</w:t>
      </w:r>
      <w:r w:rsidRPr="00D65AED">
        <w:rPr>
          <w:rFonts w:hint="eastAsia"/>
        </w:rPr>
        <w:t>等工作。依據國際人權審查委員會對中華民國（臺灣）政府關於落實國際人權公約第二次報告中第38、39、42點提及，驅離與剝奪人民的土地，亦不符合國際人權標準。然對於金門過往遭軍方強徵土地，事後卻無法還地於民之相關事件，監察院國家人權委員會未對此進行系統性之調查，實有職權怠惰之虞，爰提案減列200萬元。</w:t>
      </w:r>
    </w:p>
    <w:p w14:paraId="5ED02C7D" w14:textId="77777777" w:rsidR="00421BB5" w:rsidRPr="00D65AED" w:rsidRDefault="00421BB5" w:rsidP="00421BB5">
      <w:pPr>
        <w:pStyle w:val="2-1"/>
      </w:pPr>
      <w:r w:rsidRPr="00D65AED">
        <w:rPr>
          <w:rFonts w:hint="eastAsia"/>
        </w:rPr>
        <w:t>提案人：陳玉珍</w:t>
      </w:r>
    </w:p>
    <w:p w14:paraId="734798BD" w14:textId="77777777" w:rsidR="00421BB5" w:rsidRPr="00D65AED" w:rsidRDefault="00421BB5" w:rsidP="00421BB5">
      <w:pPr>
        <w:pStyle w:val="2-1"/>
      </w:pPr>
      <w:r w:rsidRPr="00D65AED">
        <w:rPr>
          <w:rFonts w:hint="eastAsia"/>
        </w:rPr>
        <w:t>連署人：林思銘 游毓蘭</w:t>
      </w:r>
    </w:p>
    <w:p w14:paraId="1CBB88FE" w14:textId="77777777" w:rsidR="00421BB5" w:rsidRPr="00D65AED" w:rsidRDefault="00421BB5" w:rsidP="00421BB5">
      <w:pPr>
        <w:adjustRightInd w:val="0"/>
        <w:snapToGrid w:val="0"/>
        <w:spacing w:line="360" w:lineRule="exact"/>
        <w:jc w:val="both"/>
        <w:rPr>
          <w:rFonts w:ascii="標楷體" w:eastAsia="標楷體" w:hAnsi="標楷體"/>
          <w:kern w:val="0"/>
          <w:sz w:val="28"/>
          <w:szCs w:val="28"/>
        </w:rPr>
      </w:pPr>
      <w:r w:rsidRPr="00D65AED">
        <w:rPr>
          <w:rFonts w:ascii="標楷體" w:eastAsia="標楷體" w:hAnsi="標楷體" w:hint="eastAsia"/>
          <w:kern w:val="0"/>
          <w:sz w:val="28"/>
          <w:szCs w:val="28"/>
        </w:rPr>
        <w:t xml:space="preserve">   本項通過決議24項：</w:t>
      </w:r>
    </w:p>
    <w:p w14:paraId="61833557" w14:textId="77777777" w:rsidR="00421BB5" w:rsidRPr="00D65AED" w:rsidRDefault="00421BB5" w:rsidP="00421BB5">
      <w:pPr>
        <w:kinsoku w:val="0"/>
        <w:overflowPunct w:val="0"/>
        <w:spacing w:line="360" w:lineRule="exact"/>
        <w:ind w:leftChars="187" w:left="1040" w:hangingChars="211" w:hanging="591"/>
        <w:jc w:val="both"/>
        <w:rPr>
          <w:rFonts w:ascii="標楷體" w:eastAsia="標楷體" w:hAnsi="標楷體"/>
          <w:sz w:val="28"/>
          <w:szCs w:val="28"/>
        </w:rPr>
      </w:pPr>
      <w:r w:rsidRPr="00D65AED">
        <w:rPr>
          <w:rFonts w:ascii="標楷體" w:eastAsia="標楷體" w:hAnsi="標楷體" w:hint="eastAsia"/>
          <w:kern w:val="0"/>
          <w:sz w:val="28"/>
          <w:szCs w:val="28"/>
        </w:rPr>
        <w:t>(一)112年度監察院歲出預算</w:t>
      </w:r>
      <w:r w:rsidRPr="00786113">
        <w:rPr>
          <w:rFonts w:ascii="標楷體" w:eastAsia="標楷體" w:hAnsi="標楷體" w:hint="eastAsia"/>
          <w:color w:val="000000"/>
          <w:kern w:val="0"/>
          <w:sz w:val="28"/>
          <w:szCs w:val="28"/>
        </w:rPr>
        <w:t>第1目「一般行政」編列8億2</w:t>
      </w:r>
      <w:r w:rsidRPr="00D65AED">
        <w:rPr>
          <w:rFonts w:ascii="標楷體" w:eastAsia="標楷體" w:hAnsi="標楷體" w:hint="eastAsia"/>
          <w:sz w:val="28"/>
          <w:szCs w:val="28"/>
        </w:rPr>
        <w:t>,</w:t>
      </w:r>
      <w:r w:rsidRPr="00786113">
        <w:rPr>
          <w:rFonts w:ascii="標楷體" w:eastAsia="標楷體" w:hAnsi="標楷體" w:hint="eastAsia"/>
          <w:color w:val="000000"/>
          <w:kern w:val="0"/>
          <w:sz w:val="28"/>
          <w:szCs w:val="28"/>
        </w:rPr>
        <w:t>352萬5千</w:t>
      </w:r>
      <w:r w:rsidRPr="00D65AED">
        <w:rPr>
          <w:rFonts w:ascii="標楷體" w:eastAsia="標楷體" w:hAnsi="標楷體" w:hint="eastAsia"/>
          <w:kern w:val="0"/>
          <w:sz w:val="28"/>
          <w:szCs w:val="28"/>
        </w:rPr>
        <w:t>元，凍結200萬元，俟向立法院司法及法制委員會提出書面報告後，始得動支。</w:t>
      </w:r>
    </w:p>
    <w:p w14:paraId="01A225DF" w14:textId="77777777" w:rsidR="00421BB5" w:rsidRPr="00D65AED" w:rsidRDefault="00421BB5" w:rsidP="00421BB5">
      <w:pPr>
        <w:pStyle w:val="2-1"/>
      </w:pPr>
      <w:r w:rsidRPr="00D65AED">
        <w:rPr>
          <w:rFonts w:hint="eastAsia"/>
        </w:rPr>
        <w:t>提案人：陳以信 劉建國 黃世杰</w:t>
      </w:r>
      <w:r w:rsidRPr="00D65AED">
        <w:t xml:space="preserve"> 林思銘</w:t>
      </w:r>
    </w:p>
    <w:p w14:paraId="449398A1" w14:textId="77777777" w:rsidR="00421BB5" w:rsidRPr="00D65AED" w:rsidRDefault="00421BB5" w:rsidP="00421BB5">
      <w:pPr>
        <w:pStyle w:val="2-2"/>
      </w:pPr>
      <w:r w:rsidRPr="00D65AED">
        <w:rPr>
          <w:rFonts w:hint="eastAsia"/>
        </w:rPr>
        <w:t>陳歐珀 江永昌</w:t>
      </w:r>
    </w:p>
    <w:p w14:paraId="6D53304E" w14:textId="77777777" w:rsidR="00421BB5" w:rsidRPr="00D65AED" w:rsidRDefault="00421BB5" w:rsidP="00421BB5">
      <w:pPr>
        <w:pStyle w:val="2-1"/>
      </w:pPr>
      <w:r w:rsidRPr="00D65AED">
        <w:rPr>
          <w:rFonts w:hint="eastAsia"/>
        </w:rPr>
        <w:t>連署人：游毓蘭 陳玉珍</w:t>
      </w:r>
      <w:r w:rsidRPr="00D65AED">
        <w:t xml:space="preserve"> </w:t>
      </w:r>
    </w:p>
    <w:p w14:paraId="2B710125" w14:textId="77777777" w:rsidR="00421BB5" w:rsidRPr="00D65AED" w:rsidRDefault="00421BB5" w:rsidP="00421BB5">
      <w:pPr>
        <w:pStyle w:val="0-"/>
        <w:ind w:leftChars="180" w:left="992"/>
      </w:pPr>
      <w:r w:rsidRPr="00D65AED">
        <w:rPr>
          <w:rFonts w:hint="eastAsia"/>
        </w:rPr>
        <w:t>(二)112年度監察院歲出預算第2目「議事業務」編列794萬5千元，凍結30萬元，俟向立法院司法及法制委員會提出書面報告後，始得動支。</w:t>
      </w:r>
    </w:p>
    <w:p w14:paraId="2945B5FE" w14:textId="77777777" w:rsidR="00421BB5" w:rsidRPr="00D65AED" w:rsidRDefault="00421BB5" w:rsidP="00421BB5">
      <w:pPr>
        <w:pStyle w:val="2-1"/>
      </w:pPr>
      <w:r w:rsidRPr="00D65AED">
        <w:rPr>
          <w:rFonts w:hint="eastAsia"/>
        </w:rPr>
        <w:lastRenderedPageBreak/>
        <w:t>提案人：陳玉珍</w:t>
      </w:r>
      <w:r w:rsidRPr="00D65AED">
        <w:t xml:space="preserve"> </w:t>
      </w:r>
      <w:r w:rsidRPr="00D65AED">
        <w:rPr>
          <w:rFonts w:hint="eastAsia"/>
        </w:rPr>
        <w:t>江永昌 游毓蘭 陳以信</w:t>
      </w:r>
    </w:p>
    <w:p w14:paraId="7263AB09" w14:textId="77777777" w:rsidR="00421BB5" w:rsidRPr="00D65AED" w:rsidRDefault="00421BB5" w:rsidP="00421BB5">
      <w:pPr>
        <w:pStyle w:val="2-2"/>
      </w:pPr>
      <w:r w:rsidRPr="00D65AED">
        <w:rPr>
          <w:rFonts w:hint="eastAsia"/>
        </w:rPr>
        <w:t>劉建國 黃世杰 林思銘 曾銘宗</w:t>
      </w:r>
    </w:p>
    <w:p w14:paraId="74A56955" w14:textId="77777777" w:rsidR="00421BB5" w:rsidRPr="00D65AED" w:rsidRDefault="00421BB5" w:rsidP="00421BB5">
      <w:pPr>
        <w:pStyle w:val="2-1"/>
      </w:pPr>
      <w:r w:rsidRPr="00D65AED">
        <w:rPr>
          <w:rFonts w:hint="eastAsia"/>
        </w:rPr>
        <w:t xml:space="preserve">連署人：陳歐珀 </w:t>
      </w:r>
    </w:p>
    <w:p w14:paraId="08C6E5D5" w14:textId="77777777" w:rsidR="00421BB5" w:rsidRPr="00D65AED" w:rsidRDefault="00421BB5" w:rsidP="00421BB5">
      <w:pPr>
        <w:pStyle w:val="0-"/>
        <w:ind w:leftChars="180" w:left="992"/>
      </w:pPr>
      <w:r w:rsidRPr="00D65AED">
        <w:rPr>
          <w:rFonts w:hint="eastAsia"/>
        </w:rPr>
        <w:t>(三)112年度監察院歲出預算第3目「調查巡察業務」編列1,819萬2千元，凍結100萬元，俟向立法院司法及法制委員會提出書面報告後，始得動支。</w:t>
      </w:r>
    </w:p>
    <w:p w14:paraId="516BCAE9" w14:textId="77777777" w:rsidR="00421BB5" w:rsidRPr="00D65AED" w:rsidRDefault="00421BB5" w:rsidP="00421BB5">
      <w:pPr>
        <w:pStyle w:val="2-1"/>
      </w:pPr>
      <w:r w:rsidRPr="00D65AED">
        <w:rPr>
          <w:rFonts w:hint="eastAsia"/>
        </w:rPr>
        <w:t>提案人：陳以信</w:t>
      </w:r>
      <w:r w:rsidRPr="00D65AED">
        <w:t xml:space="preserve"> </w:t>
      </w:r>
      <w:r w:rsidRPr="00D65AED">
        <w:rPr>
          <w:rFonts w:hint="eastAsia"/>
        </w:rPr>
        <w:t>陳玉珍 江永昌 游毓蘭</w:t>
      </w:r>
    </w:p>
    <w:p w14:paraId="2F541EC4" w14:textId="77777777" w:rsidR="00421BB5" w:rsidRPr="00D65AED" w:rsidRDefault="00421BB5" w:rsidP="00421BB5">
      <w:pPr>
        <w:pStyle w:val="2-2"/>
      </w:pPr>
      <w:r w:rsidRPr="00D65AED">
        <w:rPr>
          <w:rFonts w:hint="eastAsia"/>
        </w:rPr>
        <w:t>曾銘宗 黃世杰 劉建國 林思銘</w:t>
      </w:r>
    </w:p>
    <w:p w14:paraId="492D220A" w14:textId="77777777" w:rsidR="00421BB5" w:rsidRPr="00D65AED" w:rsidRDefault="00421BB5" w:rsidP="00421BB5">
      <w:pPr>
        <w:pStyle w:val="0-"/>
        <w:ind w:leftChars="180" w:left="992"/>
      </w:pPr>
      <w:r w:rsidRPr="00D65AED">
        <w:rPr>
          <w:rFonts w:hint="eastAsia"/>
        </w:rPr>
        <w:t>(四)112年度監察院歲出預算第4目「財產申報業務」編列723萬元，凍結50萬元，俟向立法院司法及法制委員會提出書面報告後，始得動支。</w:t>
      </w:r>
    </w:p>
    <w:p w14:paraId="637FB57E" w14:textId="77777777" w:rsidR="00421BB5" w:rsidRPr="00D65AED" w:rsidRDefault="00421BB5" w:rsidP="00421BB5">
      <w:pPr>
        <w:pStyle w:val="2-1"/>
      </w:pPr>
      <w:r w:rsidRPr="00D65AED">
        <w:rPr>
          <w:rFonts w:hint="eastAsia"/>
        </w:rPr>
        <w:t>提案人：黃世杰 陳以信 陳歐珀 江永昌</w:t>
      </w:r>
    </w:p>
    <w:p w14:paraId="35629723" w14:textId="77777777" w:rsidR="00421BB5" w:rsidRPr="00D65AED" w:rsidRDefault="00421BB5" w:rsidP="00421BB5">
      <w:pPr>
        <w:pStyle w:val="2-1"/>
      </w:pPr>
      <w:r w:rsidRPr="00D65AED">
        <w:rPr>
          <w:rFonts w:hint="eastAsia"/>
        </w:rPr>
        <w:t>連署人：游毓蘭 陳玉珍</w:t>
      </w:r>
    </w:p>
    <w:p w14:paraId="224CF6EE" w14:textId="77777777" w:rsidR="00421BB5" w:rsidRPr="00D65AED" w:rsidRDefault="00421BB5" w:rsidP="00421BB5">
      <w:pPr>
        <w:pStyle w:val="0-"/>
      </w:pPr>
      <w:r w:rsidRPr="00D65AED">
        <w:rPr>
          <w:rFonts w:hint="eastAsia"/>
        </w:rPr>
        <w:t>(五)112年度監察院歲出預算第5目「國家人權業務」編列1億3,138萬8千元，凍結400萬元，俟向立法院司法及法制委員會提出書面報告後，始得動支。</w:t>
      </w:r>
    </w:p>
    <w:p w14:paraId="7DA9BA6F" w14:textId="77777777" w:rsidR="00421BB5" w:rsidRPr="00D65AED" w:rsidRDefault="00421BB5" w:rsidP="00421BB5">
      <w:pPr>
        <w:pStyle w:val="2-1"/>
      </w:pPr>
      <w:r w:rsidRPr="00D65AED">
        <w:rPr>
          <w:rFonts w:hint="eastAsia"/>
        </w:rPr>
        <w:t xml:space="preserve">提案人：陳以信 游毓蘭 江永昌 林思銘 </w:t>
      </w:r>
    </w:p>
    <w:p w14:paraId="73623A71" w14:textId="77777777" w:rsidR="00421BB5" w:rsidRPr="00D65AED" w:rsidRDefault="00421BB5" w:rsidP="00421BB5">
      <w:pPr>
        <w:pStyle w:val="2-2"/>
      </w:pPr>
      <w:r w:rsidRPr="00D65AED">
        <w:rPr>
          <w:rFonts w:hint="eastAsia"/>
        </w:rPr>
        <w:t>曾銘宗 劉建國 黃世杰</w:t>
      </w:r>
    </w:p>
    <w:p w14:paraId="1A6906A7" w14:textId="77777777" w:rsidR="00421BB5" w:rsidRPr="00D65AED" w:rsidRDefault="00421BB5" w:rsidP="00421BB5">
      <w:pPr>
        <w:pStyle w:val="2-1"/>
      </w:pPr>
      <w:r w:rsidRPr="00D65AED">
        <w:rPr>
          <w:rFonts w:hint="eastAsia"/>
        </w:rPr>
        <w:t>連署人：陳玉珍</w:t>
      </w:r>
    </w:p>
    <w:p w14:paraId="4A30E30C" w14:textId="77777777" w:rsidR="00421BB5" w:rsidRPr="00D65AED" w:rsidRDefault="00421BB5" w:rsidP="00421BB5">
      <w:pPr>
        <w:pStyle w:val="0-"/>
      </w:pPr>
      <w:r w:rsidRPr="00D65AED">
        <w:rPr>
          <w:rFonts w:hint="eastAsia"/>
        </w:rPr>
        <w:t>(六)112年度監察院歲出預算第6目「一般建築及設備」編列5,878萬7千元，凍結50萬元，俟向立法院司法及法制委員會提出書面報告後，始得動支。</w:t>
      </w:r>
    </w:p>
    <w:p w14:paraId="50832DE8" w14:textId="77777777" w:rsidR="00421BB5" w:rsidRPr="00D65AED" w:rsidRDefault="00421BB5" w:rsidP="00421BB5">
      <w:pPr>
        <w:pStyle w:val="2-1"/>
      </w:pPr>
      <w:r w:rsidRPr="00D65AED">
        <w:rPr>
          <w:rFonts w:hint="eastAsia"/>
        </w:rPr>
        <w:t>提案人：黃世杰 陳以信 陳歐珀 江永昌</w:t>
      </w:r>
    </w:p>
    <w:p w14:paraId="5385025C" w14:textId="77777777" w:rsidR="00421BB5" w:rsidRPr="00D65AED" w:rsidRDefault="00421BB5" w:rsidP="00421BB5">
      <w:pPr>
        <w:pStyle w:val="2-1"/>
      </w:pPr>
      <w:r w:rsidRPr="00D65AED">
        <w:rPr>
          <w:rFonts w:hint="eastAsia"/>
        </w:rPr>
        <w:t>連署人：游毓蘭 陳玉珍</w:t>
      </w:r>
    </w:p>
    <w:p w14:paraId="30B85E89" w14:textId="77777777" w:rsidR="00421BB5" w:rsidRPr="00D65AED" w:rsidRDefault="00421BB5" w:rsidP="00421BB5">
      <w:pPr>
        <w:pStyle w:val="0-"/>
      </w:pPr>
      <w:r w:rsidRPr="00D65AED">
        <w:rPr>
          <w:rFonts w:hint="eastAsia"/>
        </w:rPr>
        <w:t>(七)查監察院全球資訊網，無障礙標章</w:t>
      </w:r>
      <w:r w:rsidRPr="00D65AED">
        <w:t>2.1</w:t>
      </w:r>
      <w:r w:rsidRPr="00D65AED">
        <w:rPr>
          <w:rFonts w:hint="eastAsia"/>
        </w:rPr>
        <w:t>等級為</w:t>
      </w:r>
      <w:r w:rsidRPr="00D65AED">
        <w:t>AA</w:t>
      </w:r>
      <w:r w:rsidRPr="00D65AED">
        <w:rPr>
          <w:rFonts w:hint="eastAsia"/>
        </w:rPr>
        <w:t>標章，並非最高等級的</w:t>
      </w:r>
      <w:r w:rsidRPr="00D65AED">
        <w:t>AAA</w:t>
      </w:r>
      <w:r w:rsidRPr="00D65AED">
        <w:rPr>
          <w:rFonts w:hint="eastAsia"/>
        </w:rPr>
        <w:t>標章，同時查監察院國家人權委員會網站，無障礙標章</w:t>
      </w:r>
      <w:r w:rsidRPr="00D65AED">
        <w:t>2.1</w:t>
      </w:r>
      <w:r w:rsidRPr="00D65AED">
        <w:rPr>
          <w:rFonts w:hint="eastAsia"/>
        </w:rPr>
        <w:t>等級為</w:t>
      </w:r>
      <w:r w:rsidRPr="00D65AED">
        <w:t>AAA</w:t>
      </w:r>
      <w:r w:rsidRPr="00D65AED">
        <w:rPr>
          <w:rFonts w:hint="eastAsia"/>
        </w:rPr>
        <w:t>。監察院網站應該是對全民開放，並讓所有民眾都能順利使用到監察院網站的服務，建議監察院允宜持續精進全球資訊網無障礙瀏覽服務，以展現對身障者需求之重視。</w:t>
      </w:r>
    </w:p>
    <w:p w14:paraId="2C0F82D1" w14:textId="77777777" w:rsidR="00421BB5" w:rsidRPr="00D65AED" w:rsidRDefault="00421BB5" w:rsidP="00421BB5">
      <w:pPr>
        <w:pStyle w:val="2-1"/>
      </w:pPr>
      <w:r w:rsidRPr="00D65AED">
        <w:rPr>
          <w:rFonts w:hint="eastAsia"/>
        </w:rPr>
        <w:t>提案人：劉建國 陳歐珀 江永昌</w:t>
      </w:r>
      <w:r w:rsidRPr="00D65AED">
        <w:t xml:space="preserve"> </w:t>
      </w:r>
    </w:p>
    <w:p w14:paraId="6A1A459E" w14:textId="77777777" w:rsidR="00421BB5" w:rsidRPr="00D65AED" w:rsidRDefault="00421BB5" w:rsidP="00421BB5">
      <w:pPr>
        <w:pStyle w:val="0-"/>
      </w:pPr>
      <w:r w:rsidRPr="00D65AED">
        <w:rPr>
          <w:rFonts w:hint="eastAsia"/>
        </w:rPr>
        <w:t>(八)根據監察院統計，辦理中央及地方機關巡察業務次數，三年來分別從108年91次、109年70次，減少至110年52次。對比三年來調查巡察預算分別為108年1</w:t>
      </w:r>
      <w:r w:rsidRPr="00D65AED">
        <w:t>,971</w:t>
      </w:r>
      <w:r w:rsidRPr="00D65AED">
        <w:rPr>
          <w:rFonts w:hint="eastAsia"/>
        </w:rPr>
        <w:t>萬元、109年1,</w:t>
      </w:r>
      <w:r w:rsidRPr="00D65AED">
        <w:t>914</w:t>
      </w:r>
      <w:r w:rsidRPr="00D65AED">
        <w:rPr>
          <w:rFonts w:hint="eastAsia"/>
        </w:rPr>
        <w:t>萬元、110年1,</w:t>
      </w:r>
      <w:r w:rsidRPr="00D65AED">
        <w:t>875</w:t>
      </w:r>
      <w:r w:rsidRPr="00D65AED">
        <w:rPr>
          <w:rFonts w:hint="eastAsia"/>
        </w:rPr>
        <w:t>萬元。請監察院就中央及地方巡察之次數、效益確實檢討，務提升監察職權成效。</w:t>
      </w:r>
    </w:p>
    <w:p w14:paraId="0CEDB95C" w14:textId="77777777" w:rsidR="00421BB5" w:rsidRPr="00D65AED" w:rsidRDefault="00421BB5" w:rsidP="00421BB5">
      <w:pPr>
        <w:pStyle w:val="2-1"/>
      </w:pPr>
      <w:r w:rsidRPr="00D65AED">
        <w:rPr>
          <w:rFonts w:hint="eastAsia"/>
        </w:rPr>
        <w:t>提案人：陳歐珀</w:t>
      </w:r>
    </w:p>
    <w:p w14:paraId="16ECB4AC" w14:textId="77777777" w:rsidR="00421BB5" w:rsidRPr="00D65AED" w:rsidRDefault="00421BB5" w:rsidP="00421BB5">
      <w:pPr>
        <w:pStyle w:val="2-1"/>
      </w:pPr>
      <w:r w:rsidRPr="00D65AED">
        <w:rPr>
          <w:rFonts w:hint="eastAsia"/>
        </w:rPr>
        <w:t>連署人：游毓蘭 陳玉珍</w:t>
      </w:r>
    </w:p>
    <w:p w14:paraId="11DBF172" w14:textId="77777777" w:rsidR="00421BB5" w:rsidRPr="00D65AED" w:rsidRDefault="00421BB5" w:rsidP="00421BB5">
      <w:pPr>
        <w:pStyle w:val="0-"/>
      </w:pPr>
      <w:r w:rsidRPr="00D65AED">
        <w:rPr>
          <w:rFonts w:hint="eastAsia"/>
        </w:rPr>
        <w:t>(九)根據監察院110年度決算書，當時國家人權業務預算編列1億1,</w:t>
      </w:r>
      <w:r w:rsidRPr="00D65AED">
        <w:t>842</w:t>
      </w:r>
      <w:r w:rsidRPr="00D65AED">
        <w:rPr>
          <w:rFonts w:hint="eastAsia"/>
        </w:rPr>
        <w:t>萬元，實現數僅7,</w:t>
      </w:r>
      <w:r w:rsidRPr="00D65AED">
        <w:t>66</w:t>
      </w:r>
      <w:r w:rsidRPr="00D65AED">
        <w:rPr>
          <w:rFonts w:hint="eastAsia"/>
        </w:rPr>
        <w:t>5萬元，執行率84</w:t>
      </w:r>
      <w:r w:rsidRPr="00D65AED">
        <w:t>.03%</w:t>
      </w:r>
      <w:r w:rsidRPr="00D65AED">
        <w:rPr>
          <w:rFonts w:hint="eastAsia"/>
        </w:rPr>
        <w:t>，當時理由</w:t>
      </w:r>
      <w:r w:rsidRPr="00D65AED">
        <w:rPr>
          <w:rFonts w:hint="eastAsia"/>
        </w:rPr>
        <w:lastRenderedPageBreak/>
        <w:t>為撙節經費所致。如今國家人權業務預算數又增編為110年度歲出實現數的1.7倍。請監察院確實檢討112年度國家人權業務預計執行內容、編列預算理由。</w:t>
      </w:r>
    </w:p>
    <w:p w14:paraId="3DCA566A" w14:textId="77777777" w:rsidR="00421BB5" w:rsidRPr="00D65AED" w:rsidRDefault="00421BB5" w:rsidP="00421BB5">
      <w:pPr>
        <w:pStyle w:val="2-1"/>
      </w:pPr>
      <w:r w:rsidRPr="00D65AED">
        <w:rPr>
          <w:rFonts w:hint="eastAsia"/>
        </w:rPr>
        <w:t>提案人：陳歐珀</w:t>
      </w:r>
    </w:p>
    <w:p w14:paraId="1661FC99" w14:textId="77777777" w:rsidR="00421BB5" w:rsidRPr="00D65AED" w:rsidRDefault="00421BB5" w:rsidP="00421BB5">
      <w:pPr>
        <w:pStyle w:val="2-1"/>
      </w:pPr>
      <w:r w:rsidRPr="00D65AED">
        <w:rPr>
          <w:rFonts w:hint="eastAsia"/>
        </w:rPr>
        <w:t>連署人：游毓蘭 陳玉珍</w:t>
      </w:r>
    </w:p>
    <w:p w14:paraId="48243620" w14:textId="77777777" w:rsidR="00421BB5" w:rsidRPr="00D65AED" w:rsidRDefault="00421BB5" w:rsidP="00421BB5">
      <w:pPr>
        <w:pStyle w:val="0-"/>
      </w:pPr>
      <w:r w:rsidRPr="00D65AED">
        <w:rPr>
          <w:rFonts w:hint="eastAsia"/>
        </w:rPr>
        <w:t>(十)112年度監察院歲出預算，編列「媒體政策及業務宣導經費」800萬元。陳菊為監察院長兼任國家人權委員會主任委員，應秉獨立超然之中立地位行使職權，人權會合作案卻內舉不避親，並試圖規避公開招標，引發諸多爭議，包括（一）「中華民國數位金融交易暨資料保護協會」理事長游尚儒為民國95年陳菊參選高雄市長時首批幕僚，跟隨陳菊10多年，該協會110年11月才取得內政部許可成立，111年1月就獲得人權會合作案，共同主辦數位人權等4場研討會，依合作案形式，總預算約100萬元，其中監察院出資65萬元、該協會出資35萬元，監察院出資金額試圖規避「政府採購法」第13條第3項，100萬元以上必須公開招標的規定；（二）依人權會111年度合作案資訊，許多合作案總額皆約100萬元，藉由監察院部分出資，即可迴避公開招標，如Covid-19學術研討會總預算約100萬元，人權會出資47萬元，生死之間-人權影展巡迴放映計畫總預算約100萬元，人權會出資73萬元。陳菊院長內舉不避親，試圖迴避公開招標等行為，已傷害監察院與國家人權委員會的公信力，請監察院向立法院司法及法制委員會提出書面相關說明報告。</w:t>
      </w:r>
    </w:p>
    <w:p w14:paraId="303D3A79" w14:textId="77777777" w:rsidR="00421BB5" w:rsidRPr="00D65AED" w:rsidRDefault="00421BB5" w:rsidP="00421BB5">
      <w:pPr>
        <w:pStyle w:val="2-1"/>
      </w:pPr>
      <w:r w:rsidRPr="00D65AED">
        <w:rPr>
          <w:rFonts w:hint="eastAsia"/>
        </w:rPr>
        <w:t>提案人：曾銘宗 游毓蘭 陳玉珍</w:t>
      </w:r>
    </w:p>
    <w:p w14:paraId="37F90D6C" w14:textId="77777777" w:rsidR="00421BB5" w:rsidRPr="00D65AED" w:rsidRDefault="00421BB5" w:rsidP="00421BB5">
      <w:pPr>
        <w:pStyle w:val="0-"/>
      </w:pPr>
      <w:r w:rsidRPr="00D65AED">
        <w:rPr>
          <w:rFonts w:hint="eastAsia"/>
        </w:rPr>
        <w:t>(十一)查立法院預算中心報告，監察院為因應國家人權委員會設立之新設業務計畫，自</w:t>
      </w:r>
      <w:r w:rsidRPr="00D65AED">
        <w:t>110</w:t>
      </w:r>
      <w:r w:rsidRPr="00D65AED">
        <w:rPr>
          <w:rFonts w:hint="eastAsia"/>
        </w:rPr>
        <w:t>年度起於各年度預算案歲出編列「國家人權業務」經費，</w:t>
      </w:r>
      <w:r w:rsidRPr="00D65AED">
        <w:t>111</w:t>
      </w:r>
      <w:r w:rsidRPr="00D65AED">
        <w:rPr>
          <w:rFonts w:hint="eastAsia"/>
        </w:rPr>
        <w:t>及</w:t>
      </w:r>
      <w:r w:rsidRPr="00D65AED">
        <w:t>112</w:t>
      </w:r>
      <w:r w:rsidRPr="00D65AED">
        <w:rPr>
          <w:rFonts w:hint="eastAsia"/>
        </w:rPr>
        <w:t>年度均編列</w:t>
      </w:r>
      <w:r w:rsidRPr="00D65AED">
        <w:t>1</w:t>
      </w:r>
      <w:r w:rsidRPr="00D65AED">
        <w:rPr>
          <w:rFonts w:hint="eastAsia"/>
        </w:rPr>
        <w:t>億</w:t>
      </w:r>
      <w:r w:rsidRPr="00D65AED">
        <w:t>3,138</w:t>
      </w:r>
      <w:r w:rsidRPr="00D65AED">
        <w:rPr>
          <w:rFonts w:hint="eastAsia"/>
        </w:rPr>
        <w:t>萬</w:t>
      </w:r>
      <w:r w:rsidRPr="00D65AED">
        <w:t>8</w:t>
      </w:r>
      <w:r w:rsidRPr="00D65AED">
        <w:rPr>
          <w:rFonts w:hint="eastAsia"/>
        </w:rPr>
        <w:t>千元，</w:t>
      </w:r>
      <w:r w:rsidRPr="00D65AED">
        <w:t>110</w:t>
      </w:r>
      <w:r w:rsidRPr="00D65AED">
        <w:rPr>
          <w:rFonts w:hint="eastAsia"/>
        </w:rPr>
        <w:t>年度預算執行數為</w:t>
      </w:r>
      <w:r w:rsidRPr="00D65AED">
        <w:t>9,951</w:t>
      </w:r>
      <w:r w:rsidRPr="00D65AED">
        <w:rPr>
          <w:rFonts w:hint="eastAsia"/>
        </w:rPr>
        <w:t>萬元，執行率</w:t>
      </w:r>
      <w:r w:rsidRPr="00D65AED">
        <w:t>84.03%</w:t>
      </w:r>
      <w:r w:rsidRPr="00D65AED">
        <w:rPr>
          <w:rFonts w:hint="eastAsia"/>
        </w:rPr>
        <w:t>，爰建議監察院確實檢討經費編列必要性及合理性。</w:t>
      </w:r>
    </w:p>
    <w:p w14:paraId="6884BD6D" w14:textId="77777777" w:rsidR="00421BB5" w:rsidRPr="00D65AED" w:rsidRDefault="00421BB5" w:rsidP="00421BB5">
      <w:pPr>
        <w:pStyle w:val="2-1"/>
      </w:pPr>
      <w:r w:rsidRPr="00D65AED">
        <w:rPr>
          <w:rFonts w:hint="eastAsia"/>
        </w:rPr>
        <w:t>提案人：劉建國</w:t>
      </w:r>
    </w:p>
    <w:p w14:paraId="4763EC98" w14:textId="77777777" w:rsidR="00421BB5" w:rsidRPr="00D65AED" w:rsidRDefault="00421BB5" w:rsidP="00421BB5">
      <w:pPr>
        <w:pStyle w:val="2-1"/>
      </w:pPr>
      <w:r w:rsidRPr="00D65AED">
        <w:rPr>
          <w:rFonts w:hint="eastAsia"/>
        </w:rPr>
        <w:t>連署人：陳歐珀 江永昌</w:t>
      </w:r>
    </w:p>
    <w:p w14:paraId="5F784F92" w14:textId="77777777" w:rsidR="00421BB5" w:rsidRPr="00D65AED" w:rsidRDefault="00421BB5" w:rsidP="00421BB5">
      <w:pPr>
        <w:pStyle w:val="0-"/>
      </w:pPr>
      <w:r w:rsidRPr="00D65AED">
        <w:rPr>
          <w:rFonts w:hint="eastAsia"/>
        </w:rPr>
        <w:t>(十二)監察院轄下之國家人權委員會，主責調查、處理、與救濟涉及酷刑、侵害人權或構成各種形式歧視之事件，針對我國國家人權政策進行研究及檢討，並提出建議，致力促進人權之保障。其針對所承辦有關「國家人權業務」範圍內之「辦理國家人權委員會無障礙網頁等維護及網路授權」等費用，於1</w:t>
      </w:r>
      <w:r w:rsidRPr="00D65AED">
        <w:t>12</w:t>
      </w:r>
      <w:r w:rsidRPr="00D65AED">
        <w:rPr>
          <w:rFonts w:hint="eastAsia"/>
        </w:rPr>
        <w:t>年度編列1</w:t>
      </w:r>
      <w:r w:rsidRPr="00D65AED">
        <w:t>50</w:t>
      </w:r>
      <w:r w:rsidRPr="00D65AED">
        <w:rPr>
          <w:rFonts w:hint="eastAsia"/>
        </w:rPr>
        <w:t>萬元預算，相較111年度高出1</w:t>
      </w:r>
      <w:r w:rsidRPr="00D65AED">
        <w:t>30</w:t>
      </w:r>
      <w:r w:rsidRPr="00D65AED">
        <w:rPr>
          <w:rFonts w:hint="eastAsia"/>
        </w:rPr>
        <w:t>萬元，惟針對辦理之細項內容、執行辦法，及經費規劃等相關說明未臻完備。</w:t>
      </w:r>
    </w:p>
    <w:p w14:paraId="25917167" w14:textId="77777777" w:rsidR="00421BB5" w:rsidRPr="00D65AED" w:rsidRDefault="00421BB5" w:rsidP="00421BB5">
      <w:pPr>
        <w:pStyle w:val="0-2"/>
      </w:pPr>
      <w:r w:rsidRPr="00D65AED">
        <w:rPr>
          <w:rFonts w:hint="eastAsia"/>
        </w:rPr>
        <w:t>爰請監察院就此業務向立法院司法及法制委員會提出書面報告。</w:t>
      </w:r>
    </w:p>
    <w:p w14:paraId="57B83C55" w14:textId="77777777" w:rsidR="00421BB5" w:rsidRPr="00D65AED" w:rsidRDefault="00421BB5" w:rsidP="00421BB5">
      <w:pPr>
        <w:pStyle w:val="2-1"/>
      </w:pPr>
      <w:r w:rsidRPr="00D65AED">
        <w:rPr>
          <w:rFonts w:hint="eastAsia"/>
        </w:rPr>
        <w:lastRenderedPageBreak/>
        <w:t>提案人：林思銘</w:t>
      </w:r>
    </w:p>
    <w:p w14:paraId="51EF6065" w14:textId="77777777" w:rsidR="00421BB5" w:rsidRPr="00D65AED" w:rsidRDefault="00421BB5" w:rsidP="00421BB5">
      <w:pPr>
        <w:pStyle w:val="2-1"/>
        <w:rPr>
          <w:shd w:val="pct15" w:color="auto" w:fill="FFFFFF"/>
        </w:rPr>
      </w:pPr>
      <w:r w:rsidRPr="00D65AED">
        <w:rPr>
          <w:rFonts w:hint="eastAsia"/>
        </w:rPr>
        <w:t>連署人：游毓蘭 陳玉珍</w:t>
      </w:r>
    </w:p>
    <w:p w14:paraId="6751E286" w14:textId="77777777" w:rsidR="00421BB5" w:rsidRPr="00D65AED" w:rsidRDefault="00421BB5" w:rsidP="00421BB5">
      <w:pPr>
        <w:pStyle w:val="0-"/>
      </w:pPr>
      <w:r w:rsidRPr="00D65AED">
        <w:rPr>
          <w:rFonts w:hint="eastAsia"/>
        </w:rPr>
        <w:t>(十三)國家人權委員會主責調查、處理、與救濟涉及酷刑、侵害人權或構成各種形式歧視之事件，針對我國國家人權政策進行研究及檢討，並提出建議，致力促進人權之保障。其針對所承辦有關「國家人權業務」範圍內之「國內外人權倡導、創新合作方案」等所需經費，編列4</w:t>
      </w:r>
      <w:r w:rsidRPr="00D65AED">
        <w:t>93</w:t>
      </w:r>
      <w:r w:rsidRPr="00D65AED">
        <w:rPr>
          <w:rFonts w:hint="eastAsia"/>
        </w:rPr>
        <w:t>萬3千元預算，惟針對辦理之實際需求內容，如預計支出細項及金額及經費規劃等相關說明未臻清楚完備。</w:t>
      </w:r>
    </w:p>
    <w:p w14:paraId="4B6C14BB" w14:textId="77777777" w:rsidR="00421BB5" w:rsidRPr="00D65AED" w:rsidRDefault="00421BB5" w:rsidP="00421BB5">
      <w:pPr>
        <w:pStyle w:val="0-2"/>
      </w:pPr>
      <w:r w:rsidRPr="00D65AED">
        <w:rPr>
          <w:rFonts w:hint="eastAsia"/>
        </w:rPr>
        <w:t>爰請監察院就此業務向立法院司法及法制委員會提出書面報告。</w:t>
      </w:r>
    </w:p>
    <w:p w14:paraId="0C6432E9" w14:textId="77777777" w:rsidR="00421BB5" w:rsidRPr="00D65AED" w:rsidRDefault="00421BB5" w:rsidP="00421BB5">
      <w:pPr>
        <w:pStyle w:val="2-1"/>
      </w:pPr>
      <w:r w:rsidRPr="00D65AED">
        <w:rPr>
          <w:rFonts w:hint="eastAsia"/>
        </w:rPr>
        <w:t>提案人：林思銘</w:t>
      </w:r>
    </w:p>
    <w:p w14:paraId="7B01DA79" w14:textId="77777777" w:rsidR="00421BB5" w:rsidRPr="00D65AED" w:rsidRDefault="00421BB5" w:rsidP="00421BB5">
      <w:pPr>
        <w:pStyle w:val="2-1"/>
      </w:pPr>
      <w:r w:rsidRPr="00D65AED">
        <w:rPr>
          <w:rFonts w:hint="eastAsia"/>
        </w:rPr>
        <w:t>連署人：游毓蘭 陳玉珍</w:t>
      </w:r>
      <w:r w:rsidRPr="00D65AED">
        <w:t xml:space="preserve"> </w:t>
      </w:r>
    </w:p>
    <w:p w14:paraId="11275F40" w14:textId="77777777" w:rsidR="00421BB5" w:rsidRPr="00D65AED" w:rsidRDefault="00421BB5" w:rsidP="00421BB5">
      <w:pPr>
        <w:pStyle w:val="0-"/>
      </w:pPr>
      <w:r w:rsidRPr="00D65AED">
        <w:rPr>
          <w:rFonts w:hint="eastAsia"/>
        </w:rPr>
        <w:t>(十四)國家人權委員會主責調查、處理、與救濟涉及酷刑、侵害人權或構成各種形式歧視之事件，針對我國國家人權政策進行研究及檢討，並提出建議，致力促進人權之保障。其針對所承辦有關「國家人權業務」範圍內之「與國內各機關及民間組織團體、國際組織、各國國家人權機構及非政府組織等合作，厚植民間人權工作量能」等所需經費，編列5</w:t>
      </w:r>
      <w:r w:rsidRPr="00D65AED">
        <w:t>80</w:t>
      </w:r>
      <w:r w:rsidRPr="00D65AED">
        <w:rPr>
          <w:rFonts w:hint="eastAsia"/>
        </w:rPr>
        <w:t>萬元預算，惟針對合作單位、執行內容，及經費支出等相關說明未臻清楚完備。</w:t>
      </w:r>
    </w:p>
    <w:p w14:paraId="2E7DE781" w14:textId="77777777" w:rsidR="00421BB5" w:rsidRPr="00D65AED" w:rsidRDefault="00421BB5" w:rsidP="00421BB5">
      <w:pPr>
        <w:pStyle w:val="0-2"/>
        <w:rPr>
          <w:shd w:val="pct15" w:color="auto" w:fill="FFFFFF"/>
        </w:rPr>
      </w:pPr>
      <w:r w:rsidRPr="00D65AED">
        <w:rPr>
          <w:rFonts w:hint="eastAsia"/>
        </w:rPr>
        <w:t>爰請監察院就此業務向立法院司法及法制委員會提出書面報告。</w:t>
      </w:r>
    </w:p>
    <w:p w14:paraId="2F26FDC1" w14:textId="77777777" w:rsidR="00421BB5" w:rsidRPr="00D65AED" w:rsidRDefault="00421BB5" w:rsidP="00421BB5">
      <w:pPr>
        <w:pStyle w:val="2-1"/>
      </w:pPr>
      <w:r w:rsidRPr="00D65AED">
        <w:rPr>
          <w:rFonts w:hint="eastAsia"/>
        </w:rPr>
        <w:t>提案人：林思銘</w:t>
      </w:r>
    </w:p>
    <w:p w14:paraId="05E1B04E" w14:textId="77777777" w:rsidR="00421BB5" w:rsidRPr="00D65AED" w:rsidRDefault="00421BB5" w:rsidP="00421BB5">
      <w:pPr>
        <w:pStyle w:val="2-1"/>
      </w:pPr>
      <w:r w:rsidRPr="00D65AED">
        <w:rPr>
          <w:rFonts w:hint="eastAsia"/>
        </w:rPr>
        <w:t>連署人：游毓蘭 陳玉珍</w:t>
      </w:r>
      <w:r w:rsidRPr="00D65AED">
        <w:t xml:space="preserve"> </w:t>
      </w:r>
    </w:p>
    <w:p w14:paraId="3E3555FC" w14:textId="77777777" w:rsidR="00421BB5" w:rsidRPr="00D65AED" w:rsidRDefault="00421BB5" w:rsidP="00421BB5">
      <w:pPr>
        <w:pStyle w:val="0-"/>
      </w:pPr>
      <w:r w:rsidRPr="00D65AED">
        <w:rPr>
          <w:rFonts w:hint="eastAsia"/>
        </w:rPr>
        <w:t>(十五)國家人權委員會主責調查、處理、與救濟涉及酷刑、侵害人權或構成各種形式歧視之事件，針對我國國家人權政策進行研究及檢討，並提出建議，致力促進人權之保障。針對國家人權委員會所辦理國際人權交流研討會、國際人權公約系列活動及人權成果發表等業務，相關執行計畫及經費支出等部分之說明未清楚完備。</w:t>
      </w:r>
    </w:p>
    <w:p w14:paraId="1F30807C" w14:textId="77777777" w:rsidR="00421BB5" w:rsidRPr="00D65AED" w:rsidRDefault="00421BB5" w:rsidP="00421BB5">
      <w:pPr>
        <w:pStyle w:val="0-2"/>
      </w:pPr>
      <w:r w:rsidRPr="00D65AED">
        <w:rPr>
          <w:rFonts w:hint="eastAsia"/>
        </w:rPr>
        <w:t>爰請監察院就此業務向立法院司法及法制委員會提出書面報告。</w:t>
      </w:r>
    </w:p>
    <w:p w14:paraId="22BDEA05" w14:textId="77777777" w:rsidR="00421BB5" w:rsidRPr="00D65AED" w:rsidRDefault="00421BB5" w:rsidP="00421BB5">
      <w:pPr>
        <w:pStyle w:val="2-1"/>
      </w:pPr>
      <w:r w:rsidRPr="00D65AED">
        <w:rPr>
          <w:rFonts w:hint="eastAsia"/>
        </w:rPr>
        <w:t>提案人：林思銘</w:t>
      </w:r>
    </w:p>
    <w:p w14:paraId="6AC7748A" w14:textId="77777777" w:rsidR="00421BB5" w:rsidRPr="00D65AED" w:rsidRDefault="00421BB5" w:rsidP="00421BB5">
      <w:pPr>
        <w:pStyle w:val="2-1"/>
      </w:pPr>
      <w:r w:rsidRPr="00D65AED">
        <w:rPr>
          <w:rFonts w:hint="eastAsia"/>
        </w:rPr>
        <w:t>連署人：游毓蘭 陳玉珍</w:t>
      </w:r>
      <w:r w:rsidRPr="00D65AED">
        <w:t xml:space="preserve"> </w:t>
      </w:r>
    </w:p>
    <w:p w14:paraId="00CED137" w14:textId="77777777" w:rsidR="00421BB5" w:rsidRPr="00D65AED" w:rsidRDefault="00421BB5" w:rsidP="00421BB5">
      <w:pPr>
        <w:pStyle w:val="0-"/>
      </w:pPr>
      <w:r w:rsidRPr="00D65AED">
        <w:rPr>
          <w:rFonts w:hint="eastAsia"/>
        </w:rPr>
        <w:t>(十六)國家人權委員會主責調查、處理、與救濟涉及酷刑、侵害人權或構成各種形式歧視之事件，針對我國國家人權政策進行研究及檢討，並提出建議，致力促進人權之保障。針對國家人權委員會邀請國內外人權及公民團體、專家學者等參與及來台辦理教育、交流、諮詢、食宿交通接待等業務，邀請對象與單位、執行計畫及經費支出等相關部分之說明未清楚完備。</w:t>
      </w:r>
    </w:p>
    <w:p w14:paraId="193CE0DB" w14:textId="77777777" w:rsidR="00421BB5" w:rsidRPr="00D65AED" w:rsidRDefault="00421BB5" w:rsidP="00421BB5">
      <w:pPr>
        <w:pStyle w:val="0-2"/>
      </w:pPr>
      <w:r w:rsidRPr="00D65AED">
        <w:rPr>
          <w:rFonts w:hint="eastAsia"/>
        </w:rPr>
        <w:lastRenderedPageBreak/>
        <w:t>爰請監察院就此業務向立法院司法及法制委員會提出書面報告。</w:t>
      </w:r>
    </w:p>
    <w:p w14:paraId="4F8AFC0A" w14:textId="77777777" w:rsidR="00421BB5" w:rsidRPr="00D65AED" w:rsidRDefault="00421BB5" w:rsidP="00421BB5">
      <w:pPr>
        <w:pStyle w:val="2-1"/>
      </w:pPr>
      <w:r w:rsidRPr="00D65AED">
        <w:rPr>
          <w:rFonts w:hint="eastAsia"/>
        </w:rPr>
        <w:t>提案人：林思銘</w:t>
      </w:r>
    </w:p>
    <w:p w14:paraId="21F3DFBE" w14:textId="77777777" w:rsidR="00421BB5" w:rsidRPr="00D65AED" w:rsidRDefault="00421BB5" w:rsidP="00421BB5">
      <w:pPr>
        <w:pStyle w:val="2-1"/>
      </w:pPr>
      <w:r w:rsidRPr="00D65AED">
        <w:rPr>
          <w:rFonts w:hint="eastAsia"/>
        </w:rPr>
        <w:t>連署人：游毓蘭 陳玉珍</w:t>
      </w:r>
    </w:p>
    <w:p w14:paraId="23DB3E90" w14:textId="77777777" w:rsidR="00421BB5" w:rsidRPr="00D65AED" w:rsidRDefault="00421BB5" w:rsidP="00421BB5">
      <w:pPr>
        <w:pStyle w:val="0-"/>
      </w:pPr>
      <w:r w:rsidRPr="00D65AED">
        <w:rPr>
          <w:rFonts w:hint="eastAsia"/>
        </w:rPr>
        <w:t>(十七)國家人權委員會主責調查、處理、與救濟涉及酷刑、侵害人權或構成各種形式歧視之事件，針對我國國家人權政策進行研究及檢討，並提出建議，致力促進人權之保障。針對國家人權委員會與政府機關、學校、國內外團體等合作辦理人權課程研習、座談及培訓等業務，合作對象與單位、課程、座談與培訓規劃，以及經費支出等相關部分之說明未清楚完備。</w:t>
      </w:r>
    </w:p>
    <w:p w14:paraId="2CFBD92E" w14:textId="77777777" w:rsidR="00421BB5" w:rsidRPr="00D65AED" w:rsidRDefault="00421BB5" w:rsidP="00421BB5">
      <w:pPr>
        <w:pStyle w:val="0-2"/>
      </w:pPr>
      <w:r w:rsidRPr="00D65AED">
        <w:rPr>
          <w:rFonts w:hint="eastAsia"/>
        </w:rPr>
        <w:t>爰請監察院就此業務向立法院司法及法制委員會提出書面報告。</w:t>
      </w:r>
    </w:p>
    <w:p w14:paraId="54C77C65" w14:textId="77777777" w:rsidR="00421BB5" w:rsidRPr="00D65AED" w:rsidRDefault="00421BB5" w:rsidP="00421BB5">
      <w:pPr>
        <w:pStyle w:val="2-1"/>
      </w:pPr>
      <w:r w:rsidRPr="00D65AED">
        <w:rPr>
          <w:rFonts w:hint="eastAsia"/>
        </w:rPr>
        <w:t>提案人：林思銘</w:t>
      </w:r>
    </w:p>
    <w:p w14:paraId="03FC21DC" w14:textId="77777777" w:rsidR="00421BB5" w:rsidRPr="00D65AED" w:rsidRDefault="00421BB5" w:rsidP="00421BB5">
      <w:pPr>
        <w:pStyle w:val="2-1"/>
      </w:pPr>
      <w:r w:rsidRPr="00D65AED">
        <w:rPr>
          <w:rFonts w:hint="eastAsia"/>
        </w:rPr>
        <w:t>連署人：游毓蘭 陳玉珍</w:t>
      </w:r>
    </w:p>
    <w:p w14:paraId="7AABAF5D" w14:textId="77777777" w:rsidR="00421BB5" w:rsidRPr="00D65AED" w:rsidRDefault="00421BB5" w:rsidP="00421BB5">
      <w:pPr>
        <w:pStyle w:val="0-"/>
      </w:pPr>
      <w:r w:rsidRPr="00D65AED">
        <w:rPr>
          <w:rFonts w:hint="eastAsia"/>
        </w:rPr>
        <w:t>(十八)國家人權委員會主責調查、處理、與救濟涉及酷刑、侵害人權或構成各種形式歧視之事件，針對我國國家人權政策進行研究及檢討，並提出建議，致力促進人權之保障。針對國家人權委員會訪視及協助各政府機關等人權教育等業務，訪視單位、課程、協助規劃，以及經費支出等相關部分之說明未清楚完備。</w:t>
      </w:r>
    </w:p>
    <w:p w14:paraId="277376B3" w14:textId="77777777" w:rsidR="00421BB5" w:rsidRPr="00D65AED" w:rsidRDefault="00421BB5" w:rsidP="00421BB5">
      <w:pPr>
        <w:pStyle w:val="0-2"/>
      </w:pPr>
      <w:r w:rsidRPr="00D65AED">
        <w:rPr>
          <w:rFonts w:hint="eastAsia"/>
        </w:rPr>
        <w:t>爰請監察院就此業務向立法院司法及法制委員會提出書面報告。</w:t>
      </w:r>
    </w:p>
    <w:p w14:paraId="139D8ADF" w14:textId="77777777" w:rsidR="00421BB5" w:rsidRPr="00D65AED" w:rsidRDefault="00421BB5" w:rsidP="00421BB5">
      <w:pPr>
        <w:pStyle w:val="2-1"/>
      </w:pPr>
      <w:r w:rsidRPr="00D65AED">
        <w:rPr>
          <w:rFonts w:hint="eastAsia"/>
        </w:rPr>
        <w:t>提案人：林思銘</w:t>
      </w:r>
    </w:p>
    <w:p w14:paraId="1DE53853" w14:textId="77777777" w:rsidR="00421BB5" w:rsidRPr="00D65AED" w:rsidRDefault="00421BB5" w:rsidP="00421BB5">
      <w:pPr>
        <w:pStyle w:val="2-1"/>
      </w:pPr>
      <w:r w:rsidRPr="00D65AED">
        <w:rPr>
          <w:rFonts w:hint="eastAsia"/>
        </w:rPr>
        <w:t>連署人：游毓蘭 陳玉珍</w:t>
      </w:r>
    </w:p>
    <w:p w14:paraId="7DAE7B2D" w14:textId="77777777" w:rsidR="00421BB5" w:rsidRPr="00D65AED" w:rsidRDefault="00421BB5" w:rsidP="00421BB5">
      <w:pPr>
        <w:pStyle w:val="0-"/>
      </w:pPr>
      <w:r w:rsidRPr="00D65AED">
        <w:rPr>
          <w:rFonts w:hint="eastAsia"/>
        </w:rPr>
        <w:t>(十九)為提升行政業務執行之效率與績效，監察院透過建立跨支援瀏覽器之操作，建立資訊檢索、協同作業、訊息整合及內部資源共享功能、辦理員工入口網再造等計畫，以供內部資源、訊息之共享。</w:t>
      </w:r>
    </w:p>
    <w:p w14:paraId="29B861F0" w14:textId="77777777" w:rsidR="00421BB5" w:rsidRPr="00D65AED" w:rsidRDefault="00421BB5" w:rsidP="00421BB5">
      <w:pPr>
        <w:pStyle w:val="0-2"/>
        <w:rPr>
          <w:rStyle w:val="0-0"/>
        </w:rPr>
      </w:pPr>
      <w:r w:rsidRPr="00D65AED">
        <w:rPr>
          <w:rFonts w:hint="eastAsia"/>
        </w:rPr>
        <w:t>爰此，112年度監察院歲出預算「其他設備」項下「資訊設備」中「設備及投資」之「資訊軟硬體設備費」編列1</w:t>
      </w:r>
      <w:r w:rsidRPr="00D65AED">
        <w:t>,319</w:t>
      </w:r>
      <w:r w:rsidRPr="00D65AED">
        <w:rPr>
          <w:rFonts w:hint="eastAsia"/>
        </w:rPr>
        <w:t>萬7千元，請監察院於業務執行需要下，妥善規劃及執行。</w:t>
      </w:r>
    </w:p>
    <w:p w14:paraId="2191FFF1" w14:textId="77777777" w:rsidR="00421BB5" w:rsidRPr="00D65AED" w:rsidRDefault="00421BB5" w:rsidP="00421BB5">
      <w:pPr>
        <w:pStyle w:val="2-1"/>
      </w:pPr>
      <w:r w:rsidRPr="00D65AED">
        <w:rPr>
          <w:rFonts w:hint="eastAsia"/>
        </w:rPr>
        <w:t>提案人：林思銘</w:t>
      </w:r>
    </w:p>
    <w:p w14:paraId="79148C86" w14:textId="77777777" w:rsidR="00421BB5" w:rsidRPr="00D65AED" w:rsidRDefault="00421BB5" w:rsidP="00421BB5">
      <w:pPr>
        <w:pStyle w:val="2-1"/>
      </w:pPr>
      <w:r w:rsidRPr="00D65AED">
        <w:rPr>
          <w:rFonts w:hint="eastAsia"/>
        </w:rPr>
        <w:t>連署人：游毓蘭 陳玉珍</w:t>
      </w:r>
    </w:p>
    <w:p w14:paraId="245FF7ED" w14:textId="77777777" w:rsidR="00421BB5" w:rsidRPr="00D65AED" w:rsidRDefault="00421BB5" w:rsidP="00421BB5">
      <w:pPr>
        <w:pStyle w:val="0-"/>
      </w:pPr>
      <w:r w:rsidRPr="00D65AED">
        <w:rPr>
          <w:rFonts w:hint="eastAsia"/>
        </w:rPr>
        <w:t>(二十)</w:t>
      </w:r>
      <w:r w:rsidRPr="00D65AED">
        <w:t>108</w:t>
      </w:r>
      <w:r w:rsidRPr="00D65AED">
        <w:rPr>
          <w:rFonts w:hint="eastAsia"/>
        </w:rPr>
        <w:t>至</w:t>
      </w:r>
      <w:r w:rsidRPr="00D65AED">
        <w:t>110</w:t>
      </w:r>
      <w:r w:rsidRPr="00D65AED">
        <w:rPr>
          <w:rFonts w:hint="eastAsia"/>
        </w:rPr>
        <w:t>年度3年統計，監察委員辦理結案之案件分類，以重大案件最多，案件數為</w:t>
      </w:r>
      <w:r w:rsidRPr="00D65AED">
        <w:t>566</w:t>
      </w:r>
      <w:r w:rsidRPr="00D65AED">
        <w:rPr>
          <w:rFonts w:hint="eastAsia"/>
        </w:rPr>
        <w:t>件</w:t>
      </w:r>
      <w:r w:rsidRPr="00D65AED">
        <w:t>(</w:t>
      </w:r>
      <w:r w:rsidRPr="00D65AED">
        <w:rPr>
          <w:rFonts w:hint="eastAsia"/>
        </w:rPr>
        <w:t>占</w:t>
      </w:r>
      <w:r w:rsidRPr="00D65AED">
        <w:t>59.27%)</w:t>
      </w:r>
      <w:r w:rsidRPr="00D65AED">
        <w:rPr>
          <w:rFonts w:hint="eastAsia"/>
        </w:rPr>
        <w:t>，其次為特殊重大案件</w:t>
      </w:r>
      <w:r w:rsidRPr="00D65AED">
        <w:t>260</w:t>
      </w:r>
      <w:r w:rsidRPr="00D65AED">
        <w:rPr>
          <w:rFonts w:hint="eastAsia"/>
        </w:rPr>
        <w:t>件</w:t>
      </w:r>
      <w:r w:rsidRPr="00D65AED">
        <w:t>(</w:t>
      </w:r>
      <w:r w:rsidRPr="00D65AED">
        <w:rPr>
          <w:rFonts w:hint="eastAsia"/>
        </w:rPr>
        <w:t>占</w:t>
      </w:r>
      <w:r w:rsidRPr="00D65AED">
        <w:t>27.23%)</w:t>
      </w:r>
      <w:r w:rsidRPr="00D65AED">
        <w:rPr>
          <w:rFonts w:hint="eastAsia"/>
        </w:rPr>
        <w:t>，一般案件</w:t>
      </w:r>
      <w:r w:rsidRPr="00D65AED">
        <w:t>108</w:t>
      </w:r>
      <w:r w:rsidRPr="00D65AED">
        <w:rPr>
          <w:rFonts w:hint="eastAsia"/>
        </w:rPr>
        <w:t>件最少</w:t>
      </w:r>
      <w:r w:rsidRPr="00D65AED">
        <w:t>(</w:t>
      </w:r>
      <w:r w:rsidRPr="00D65AED">
        <w:rPr>
          <w:rFonts w:hint="eastAsia"/>
        </w:rPr>
        <w:t>占</w:t>
      </w:r>
      <w:r w:rsidRPr="00D65AED">
        <w:t>11.31%)</w:t>
      </w:r>
      <w:r w:rsidRPr="00D65AED">
        <w:rPr>
          <w:rFonts w:hint="eastAsia"/>
        </w:rPr>
        <w:t>及通案性案件調查研究</w:t>
      </w:r>
      <w:r w:rsidRPr="00D65AED">
        <w:t>21</w:t>
      </w:r>
      <w:r w:rsidRPr="00D65AED">
        <w:rPr>
          <w:rFonts w:hint="eastAsia"/>
        </w:rPr>
        <w:t>件</w:t>
      </w:r>
      <w:r w:rsidRPr="00D65AED">
        <w:t>(</w:t>
      </w:r>
      <w:r w:rsidRPr="00D65AED">
        <w:rPr>
          <w:rFonts w:hint="eastAsia"/>
        </w:rPr>
        <w:t>占</w:t>
      </w:r>
      <w:r w:rsidRPr="00D65AED">
        <w:t>2.2%)</w:t>
      </w:r>
      <w:r w:rsidRPr="00D65AED">
        <w:rPr>
          <w:rFonts w:hint="eastAsia"/>
        </w:rPr>
        <w:t>。顯示，監察委員辦理調查案件偏好重大案件或特殊重大案件，但110年度監察院提出調查報告案件計244件，109年度305件，108年度406件，逐年遞減。而監察院110年度處理人民書狀1萬4,403 件，</w:t>
      </w:r>
      <w:r w:rsidRPr="00D65AED">
        <w:rPr>
          <w:rFonts w:hint="eastAsia"/>
        </w:rPr>
        <w:lastRenderedPageBreak/>
        <w:t>核派調查案件280案，比率僅為1.94%。監察院允宜研議相關具體措施，以紓解民怨。</w:t>
      </w:r>
    </w:p>
    <w:p w14:paraId="10B713B2" w14:textId="77777777" w:rsidR="00421BB5" w:rsidRPr="00D65AED" w:rsidRDefault="00421BB5" w:rsidP="00421BB5">
      <w:pPr>
        <w:pStyle w:val="2-1"/>
      </w:pPr>
      <w:r w:rsidRPr="00D65AED">
        <w:rPr>
          <w:rFonts w:hint="eastAsia"/>
        </w:rPr>
        <w:t>提案人：鄭運鵬 陳歐珀 黃世杰</w:t>
      </w:r>
    </w:p>
    <w:p w14:paraId="5A7B49E9" w14:textId="77777777" w:rsidR="00421BB5" w:rsidRPr="00D65AED" w:rsidRDefault="00421BB5" w:rsidP="00421BB5">
      <w:pPr>
        <w:pStyle w:val="0-"/>
        <w:rPr>
          <w:rStyle w:val="0-0"/>
        </w:rPr>
      </w:pPr>
      <w:r w:rsidRPr="00D65AED">
        <w:rPr>
          <w:rFonts w:hint="eastAsia"/>
        </w:rPr>
        <w:t>(二十一)監察院為因應國家人權委員會之設立，自110年度起預算案歲出編列「國家人權業務」經費，110年度編列為1億1,842萬2千元，然110年度預算執行數為9,951萬元，執行率僅為84.03%，實顯偏低。雖然監察院誠實節餘，沒有消耗預算，惟執行率偏低恐淪為有心人士之攻訐藉口，爰請監察院，確實檢討經費編列必要性及合理性。</w:t>
      </w:r>
    </w:p>
    <w:p w14:paraId="46CF5CF7" w14:textId="77777777" w:rsidR="00421BB5" w:rsidRPr="00D65AED" w:rsidRDefault="00421BB5" w:rsidP="00421BB5">
      <w:pPr>
        <w:pStyle w:val="2-1"/>
      </w:pPr>
      <w:r w:rsidRPr="00D65AED">
        <w:rPr>
          <w:rFonts w:hint="eastAsia"/>
        </w:rPr>
        <w:t>提案人：鄭運鵬 陳歐珀 黃世杰</w:t>
      </w:r>
    </w:p>
    <w:p w14:paraId="1C2E4A19" w14:textId="77777777" w:rsidR="00421BB5" w:rsidRPr="00D65AED" w:rsidRDefault="00421BB5" w:rsidP="00421BB5">
      <w:pPr>
        <w:pStyle w:val="0-"/>
        <w:rPr>
          <w:rStyle w:val="0-0"/>
        </w:rPr>
      </w:pPr>
      <w:r w:rsidRPr="00D65AED">
        <w:rPr>
          <w:rFonts w:hint="eastAsia"/>
        </w:rPr>
        <w:t>(二十二)112年度監察院歲出預算「調查巡察業務」編列新臺幣1,819萬2千元，定監察院執行本項經費時，檢討資源分配情形。監察委員紀惠容於丁允恭懲戒案二審勝訴，成功認定敵意環境性騷擾後，公開表示監察院資源極端不足，請律師及專家鑑定經費都須監察委員個人努力尋覓資源。經查監察院之資源，本項經費中委任律師偕同出庭、諮詢委員會議等經費僅編列49萬1千元，相較之下，國家人權委員會編列性質同為委託外部專業人士之人權受害者心理諮商法律協助（350萬元）、厚植民間人權工作能量(</w:t>
      </w:r>
      <w:r w:rsidRPr="00D65AED">
        <w:t>580</w:t>
      </w:r>
      <w:r w:rsidRPr="00D65AED">
        <w:rPr>
          <w:rFonts w:hint="eastAsia"/>
        </w:rPr>
        <w:t>萬元)、邀請公民團體專家學者交流諮詢(550萬元)相比，實在是九牛一毛。然而彈劾是監察院最初始、最核心之業務，委託相關專業人士之經費應充裕，監察院宜改善檢討資源分配，始符本決議之意旨。爰定本項經費監察院執行案由事務時，宜檢討資源分配予以調查、彈劾業務充分之專業人士支援，並將檢討情形向立法院司法及法制委員會提出書面報告。</w:t>
      </w:r>
    </w:p>
    <w:p w14:paraId="36DD56CE" w14:textId="77777777" w:rsidR="00421BB5" w:rsidRPr="00D65AED" w:rsidRDefault="00421BB5" w:rsidP="00421BB5">
      <w:pPr>
        <w:pStyle w:val="2-1"/>
      </w:pPr>
      <w:r w:rsidRPr="00D65AED">
        <w:rPr>
          <w:rFonts w:hint="eastAsia"/>
        </w:rPr>
        <w:t>提案人：游毓蘭 林思銘 曾銘宗</w:t>
      </w:r>
    </w:p>
    <w:p w14:paraId="6457FFBD" w14:textId="77777777" w:rsidR="00421BB5" w:rsidRPr="00D65AED" w:rsidRDefault="00421BB5" w:rsidP="00421BB5">
      <w:pPr>
        <w:pStyle w:val="0-"/>
      </w:pPr>
      <w:r w:rsidRPr="00D65AED">
        <w:rPr>
          <w:rFonts w:hint="eastAsia"/>
        </w:rPr>
        <w:t>(二十三)監察院1</w:t>
      </w:r>
      <w:r w:rsidRPr="00D65AED">
        <w:t>05</w:t>
      </w:r>
      <w:r w:rsidRPr="00D65AED">
        <w:rPr>
          <w:rFonts w:hint="eastAsia"/>
        </w:rPr>
        <w:t>至1</w:t>
      </w:r>
      <w:r w:rsidRPr="00D65AED">
        <w:t>09</w:t>
      </w:r>
      <w:r w:rsidRPr="00D65AED">
        <w:rPr>
          <w:rFonts w:hint="eastAsia"/>
        </w:rPr>
        <w:t>年度營建工程執行率偏低，預算保留相較為高，雖然監察院表示主要原因為</w:t>
      </w:r>
      <w:r w:rsidRPr="00D65AED">
        <w:t>國定古蹟工程相關設計圖須經文化部審定，反覆審查修正過程耗時</w:t>
      </w:r>
      <w:r w:rsidRPr="00D65AED">
        <w:rPr>
          <w:rFonts w:hint="eastAsia"/>
        </w:rPr>
        <w:t>，審查時程難以掌握</w:t>
      </w:r>
      <w:r w:rsidRPr="00D65AED">
        <w:t>，且</w:t>
      </w:r>
      <w:r w:rsidRPr="00D65AED">
        <w:rPr>
          <w:rFonts w:hint="eastAsia"/>
        </w:rPr>
        <w:t>工序複雜，施工期間尚有隱蔽處須待</w:t>
      </w:r>
      <w:r w:rsidRPr="00D65AED">
        <w:t>拆解</w:t>
      </w:r>
      <w:r w:rsidRPr="00D65AED">
        <w:rPr>
          <w:rFonts w:hint="eastAsia"/>
        </w:rPr>
        <w:t>後始能判斷修復方式</w:t>
      </w:r>
      <w:r w:rsidRPr="00D65AED">
        <w:t>，</w:t>
      </w:r>
      <w:r w:rsidRPr="00D65AED">
        <w:rPr>
          <w:rFonts w:hint="eastAsia"/>
        </w:rPr>
        <w:t>具不確定風險</w:t>
      </w:r>
      <w:r w:rsidRPr="00D65AED">
        <w:t>，</w:t>
      </w:r>
      <w:r w:rsidRPr="00D65AED">
        <w:rPr>
          <w:rFonts w:hint="eastAsia"/>
        </w:rPr>
        <w:t>加以古蹟工程之修復投標廠商資格較一般工程嚴格，以</w:t>
      </w:r>
      <w:r w:rsidRPr="00D65AED">
        <w:t>致</w:t>
      </w:r>
      <w:r w:rsidRPr="00D65AED">
        <w:rPr>
          <w:rFonts w:hint="eastAsia"/>
        </w:rPr>
        <w:t>該院</w:t>
      </w:r>
      <w:r w:rsidRPr="00D65AED">
        <w:t>105至109年</w:t>
      </w:r>
      <w:r w:rsidRPr="00D65AED">
        <w:rPr>
          <w:rFonts w:hint="eastAsia"/>
        </w:rPr>
        <w:t>度</w:t>
      </w:r>
      <w:r w:rsidRPr="00D65AED">
        <w:t>營建工程之預算執行率偏低。</w:t>
      </w:r>
    </w:p>
    <w:p w14:paraId="1EFAECE0" w14:textId="77777777" w:rsidR="00421BB5" w:rsidRPr="00D65AED" w:rsidRDefault="00421BB5" w:rsidP="00421BB5">
      <w:pPr>
        <w:pStyle w:val="0-2"/>
      </w:pPr>
      <w:r w:rsidRPr="00D65AED">
        <w:t>經</w:t>
      </w:r>
      <w:r w:rsidRPr="00D65AED">
        <w:rPr>
          <w:rFonts w:hint="eastAsia"/>
        </w:rPr>
        <w:t>查</w:t>
      </w:r>
      <w:r w:rsidRPr="00D65AED">
        <w:t>監察院110年度營建工程預算執行率</w:t>
      </w:r>
      <w:r w:rsidRPr="00D65AED">
        <w:rPr>
          <w:rFonts w:hint="eastAsia"/>
        </w:rPr>
        <w:t>已逾八</w:t>
      </w:r>
      <w:r w:rsidRPr="00D65AED">
        <w:t>成</w:t>
      </w:r>
      <w:r w:rsidRPr="00D65AED">
        <w:rPr>
          <w:rFonts w:hint="eastAsia"/>
        </w:rPr>
        <w:t>，且1</w:t>
      </w:r>
      <w:r w:rsidRPr="00D65AED">
        <w:t>11</w:t>
      </w:r>
      <w:r w:rsidRPr="00D65AED">
        <w:rPr>
          <w:rFonts w:hint="eastAsia"/>
        </w:rPr>
        <w:t>年度營建工程預估執行率將逾九成，近二年營建工程執行率明顯大幅提升，雖足證該院確已積極辦理，惟</w:t>
      </w:r>
      <w:r w:rsidRPr="00D65AED">
        <w:t>跨年度工程應依預估工程進度合理分配各年預算，避免當年度預算有無法在當年支付之情形，</w:t>
      </w:r>
      <w:r w:rsidRPr="00D65AED">
        <w:rPr>
          <w:rFonts w:hint="eastAsia"/>
        </w:rPr>
        <w:t>爰監察院應妥善規劃、執行與監督1</w:t>
      </w:r>
      <w:r w:rsidRPr="00D65AED">
        <w:t>12</w:t>
      </w:r>
      <w:r w:rsidRPr="00D65AED">
        <w:rPr>
          <w:rFonts w:hint="eastAsia"/>
        </w:rPr>
        <w:t>年營建工程進度，</w:t>
      </w:r>
      <w:r w:rsidRPr="00D65AED">
        <w:t>避免當年度</w:t>
      </w:r>
      <w:r w:rsidRPr="00D65AED">
        <w:rPr>
          <w:rFonts w:hint="eastAsia"/>
        </w:rPr>
        <w:t>預算執行率偏低或</w:t>
      </w:r>
      <w:r w:rsidRPr="00D65AED">
        <w:t>保留</w:t>
      </w:r>
      <w:r w:rsidRPr="00D65AED">
        <w:rPr>
          <w:rFonts w:hint="eastAsia"/>
        </w:rPr>
        <w:t>至1</w:t>
      </w:r>
      <w:r w:rsidRPr="00D65AED">
        <w:t>13</w:t>
      </w:r>
      <w:r w:rsidRPr="00D65AED">
        <w:rPr>
          <w:rFonts w:hint="eastAsia"/>
        </w:rPr>
        <w:t>年度支付之情形</w:t>
      </w:r>
      <w:r w:rsidRPr="00D65AED">
        <w:t>。</w:t>
      </w:r>
    </w:p>
    <w:p w14:paraId="1B5E007B" w14:textId="77777777" w:rsidR="00421BB5" w:rsidRPr="00D65AED" w:rsidRDefault="00421BB5" w:rsidP="00421BB5">
      <w:pPr>
        <w:pStyle w:val="2-1"/>
      </w:pPr>
      <w:r w:rsidRPr="00D65AED">
        <w:rPr>
          <w:rFonts w:hint="eastAsia"/>
        </w:rPr>
        <w:lastRenderedPageBreak/>
        <w:t>提案人：劉建國 陳歐珀</w:t>
      </w:r>
    </w:p>
    <w:p w14:paraId="00451D85" w14:textId="77777777" w:rsidR="00421BB5" w:rsidRPr="00D65AED" w:rsidRDefault="00421BB5" w:rsidP="00421BB5">
      <w:pPr>
        <w:pStyle w:val="2-1"/>
      </w:pPr>
      <w:r w:rsidRPr="00D65AED">
        <w:rPr>
          <w:rFonts w:hint="eastAsia"/>
        </w:rPr>
        <w:t>連署人：江永昌</w:t>
      </w:r>
    </w:p>
    <w:p w14:paraId="768A1895" w14:textId="77777777" w:rsidR="00421BB5" w:rsidRPr="00D65AED" w:rsidRDefault="00421BB5" w:rsidP="00421BB5">
      <w:pPr>
        <w:pStyle w:val="0-"/>
      </w:pPr>
      <w:r w:rsidRPr="00D65AED">
        <w:rPr>
          <w:rFonts w:hint="eastAsia"/>
        </w:rPr>
        <w:t>(二十四)監察院為資通安全責任等級A級機關，112年歲出預算於「一般行政」項下「資訊管理」編列2,</w:t>
      </w:r>
      <w:r w:rsidRPr="00D65AED">
        <w:t>602</w:t>
      </w:r>
      <w:r w:rsidRPr="00D65AED">
        <w:rPr>
          <w:rFonts w:hint="eastAsia"/>
        </w:rPr>
        <w:t>萬</w:t>
      </w:r>
      <w:r w:rsidRPr="00D65AED">
        <w:t>8</w:t>
      </w:r>
      <w:r w:rsidRPr="00D65AED">
        <w:rPr>
          <w:rFonts w:hint="eastAsia"/>
        </w:rPr>
        <w:t>千元，其中資安經費編列897萬7千元。考量近期國際情勢緊張，政府部門及民間企業資安事件層出不窮，監察院近年雖未發生重大資安事件，允宜持續落實A級機關法遵事項，加強資安防護，爰有必要針對各項軟硬體設備，有無需要更新或強化，預算配置是否充足等問題，進行檢討，俾利確保資訊資產安全及發揮政府資安聯防綜效。</w:t>
      </w:r>
    </w:p>
    <w:p w14:paraId="2ADDFED9" w14:textId="77777777" w:rsidR="00421BB5" w:rsidRPr="00D65AED" w:rsidRDefault="00421BB5" w:rsidP="00421BB5">
      <w:pPr>
        <w:pStyle w:val="2-1"/>
      </w:pPr>
      <w:r w:rsidRPr="00D65AED">
        <w:rPr>
          <w:rFonts w:hint="eastAsia"/>
        </w:rPr>
        <w:t>提案人：劉建國 陳歐珀</w:t>
      </w:r>
    </w:p>
    <w:p w14:paraId="2186904B" w14:textId="77777777" w:rsidR="00421BB5" w:rsidRPr="00D65AED" w:rsidRDefault="00421BB5" w:rsidP="00421BB5">
      <w:pPr>
        <w:pStyle w:val="2-1"/>
      </w:pPr>
      <w:r w:rsidRPr="00D65AED">
        <w:rPr>
          <w:rFonts w:hint="eastAsia"/>
        </w:rPr>
        <w:t>連署人：江永昌</w:t>
      </w:r>
    </w:p>
    <w:p w14:paraId="425A4F55" w14:textId="77777777" w:rsidR="00421BB5" w:rsidRPr="00D65AED" w:rsidRDefault="00421BB5" w:rsidP="00421BB5">
      <w:pPr>
        <w:overflowPunct w:val="0"/>
        <w:spacing w:line="360" w:lineRule="exact"/>
        <w:ind w:left="560" w:rightChars="-21" w:right="-50" w:hangingChars="200" w:hanging="560"/>
        <w:contextualSpacing/>
        <w:rPr>
          <w:rFonts w:ascii="標楷體" w:eastAsia="標楷體" w:hAnsi="標楷體"/>
          <w:sz w:val="28"/>
          <w:szCs w:val="28"/>
        </w:rPr>
      </w:pPr>
      <w:r w:rsidRPr="00D65AED">
        <w:rPr>
          <w:rFonts w:ascii="標楷體" w:eastAsia="標楷體" w:hAnsi="標楷體" w:hint="eastAsia"/>
          <w:sz w:val="28"/>
          <w:szCs w:val="28"/>
        </w:rPr>
        <w:t xml:space="preserve"> (</w:t>
      </w:r>
      <w:r w:rsidRPr="00D65AED">
        <w:rPr>
          <w:rFonts w:ascii="標楷體" w:eastAsia="標楷體" w:hAnsi="標楷體"/>
          <w:sz w:val="28"/>
          <w:szCs w:val="28"/>
        </w:rPr>
        <w:t>三</w:t>
      </w:r>
      <w:r w:rsidRPr="00D65AED">
        <w:rPr>
          <w:rFonts w:ascii="標楷體" w:eastAsia="標楷體" w:hAnsi="標楷體" w:hint="eastAsia"/>
          <w:sz w:val="28"/>
          <w:szCs w:val="28"/>
        </w:rPr>
        <w:t>)</w:t>
      </w:r>
      <w:r w:rsidRPr="00D65AED">
        <w:rPr>
          <w:rFonts w:ascii="標楷體" w:eastAsia="標楷體" w:hAnsi="標楷體"/>
          <w:sz w:val="28"/>
          <w:szCs w:val="28"/>
        </w:rPr>
        <w:t>中華民國</w:t>
      </w:r>
      <w:r w:rsidRPr="00D65AED">
        <w:rPr>
          <w:rFonts w:ascii="標楷體" w:eastAsia="標楷體" w:hAnsi="標楷體" w:hint="eastAsia"/>
          <w:sz w:val="28"/>
          <w:szCs w:val="28"/>
        </w:rPr>
        <w:t>112年度中央政府總預算案關於監察院主管（不含審計部及所屬）收支部分</w:t>
      </w:r>
      <w:r w:rsidRPr="00D65AED">
        <w:rPr>
          <w:rFonts w:ascii="標楷體" w:eastAsia="標楷體" w:hAnsi="標楷體"/>
          <w:sz w:val="28"/>
          <w:szCs w:val="28"/>
        </w:rPr>
        <w:t>審查完竣，提報院會</w:t>
      </w:r>
      <w:r w:rsidRPr="00D65AED">
        <w:rPr>
          <w:rFonts w:ascii="標楷體" w:eastAsia="標楷體" w:hAnsi="標楷體" w:hint="eastAsia"/>
          <w:sz w:val="28"/>
          <w:szCs w:val="28"/>
        </w:rPr>
        <w:t>，院會討論前，</w:t>
      </w:r>
      <w:r w:rsidRPr="00D65AED">
        <w:rPr>
          <w:rFonts w:ascii="標楷體" w:eastAsia="標楷體" w:hAnsi="標楷體"/>
          <w:sz w:val="28"/>
          <w:szCs w:val="28"/>
        </w:rPr>
        <w:t>須交由黨團協商</w:t>
      </w:r>
      <w:r w:rsidRPr="00786113">
        <w:rPr>
          <w:rFonts w:ascii="標楷體" w:eastAsia="標楷體" w:hAnsi="標楷體" w:hint="eastAsia"/>
          <w:sz w:val="28"/>
          <w:szCs w:val="28"/>
          <w:shd w:val="clear" w:color="auto" w:fill="FFFFFF"/>
        </w:rPr>
        <w:t>；院會討論時，由林召集委員思銘出席說明</w:t>
      </w:r>
      <w:r w:rsidRPr="00D65AED">
        <w:rPr>
          <w:rFonts w:ascii="標楷體" w:eastAsia="標楷體" w:hAnsi="標楷體"/>
          <w:sz w:val="28"/>
          <w:szCs w:val="28"/>
        </w:rPr>
        <w:t>。</w:t>
      </w:r>
    </w:p>
    <w:p w14:paraId="1DA251AA" w14:textId="77777777" w:rsidR="00421BB5" w:rsidRPr="00786113" w:rsidRDefault="00421BB5" w:rsidP="00421BB5">
      <w:pPr>
        <w:spacing w:line="360" w:lineRule="exact"/>
        <w:ind w:left="560" w:hangingChars="200" w:hanging="560"/>
        <w:contextualSpacing/>
        <w:jc w:val="both"/>
        <w:rPr>
          <w:rFonts w:ascii="標楷體" w:eastAsia="標楷體" w:hAnsi="標楷體"/>
          <w:sz w:val="28"/>
          <w:szCs w:val="28"/>
          <w:shd w:val="clear" w:color="auto" w:fill="FFFFFF"/>
        </w:rPr>
      </w:pPr>
      <w:r w:rsidRPr="00786113">
        <w:rPr>
          <w:rFonts w:ascii="標楷體" w:eastAsia="標楷體" w:hAnsi="標楷體" w:hint="eastAsia"/>
          <w:sz w:val="28"/>
          <w:szCs w:val="28"/>
          <w:shd w:val="clear" w:color="auto" w:fill="FFFFFF"/>
        </w:rPr>
        <w:t>二、第二案至第九案，均准予動支，提報院會。</w:t>
      </w:r>
    </w:p>
    <w:p w14:paraId="77239BCE" w14:textId="77777777" w:rsidR="00421BB5" w:rsidRPr="00D65AED" w:rsidRDefault="00421BB5" w:rsidP="00421BB5">
      <w:pPr>
        <w:spacing w:line="360" w:lineRule="exact"/>
        <w:ind w:left="560" w:hangingChars="200" w:hanging="560"/>
        <w:contextualSpacing/>
        <w:jc w:val="both"/>
        <w:rPr>
          <w:rFonts w:ascii="標楷體" w:eastAsia="標楷體" w:hAnsi="標楷體"/>
          <w:sz w:val="28"/>
          <w:szCs w:val="28"/>
        </w:rPr>
      </w:pPr>
      <w:r w:rsidRPr="00786113">
        <w:rPr>
          <w:rFonts w:ascii="標楷體" w:eastAsia="標楷體" w:hAnsi="標楷體" w:hint="eastAsia"/>
          <w:sz w:val="28"/>
          <w:szCs w:val="28"/>
          <w:shd w:val="clear" w:color="auto" w:fill="FFFFFF"/>
        </w:rPr>
        <w:t>三、本次會議通過之決議，依例文字授權主席及議事人員整理。</w:t>
      </w:r>
    </w:p>
    <w:p w14:paraId="2C1D1EC1" w14:textId="77777777" w:rsidR="00421BB5" w:rsidRPr="00D65AED" w:rsidRDefault="00421BB5" w:rsidP="00421BB5">
      <w:pPr>
        <w:spacing w:line="360" w:lineRule="exact"/>
        <w:ind w:left="619" w:hangingChars="221" w:hanging="619"/>
        <w:contextualSpacing/>
        <w:jc w:val="both"/>
        <w:rPr>
          <w:rFonts w:ascii="標楷體" w:eastAsia="標楷體" w:hAnsi="標楷體"/>
          <w:sz w:val="28"/>
          <w:szCs w:val="28"/>
        </w:rPr>
      </w:pPr>
      <w:r w:rsidRPr="00D65AED">
        <w:rPr>
          <w:rFonts w:ascii="標楷體" w:eastAsia="標楷體" w:hAnsi="標楷體"/>
          <w:sz w:val="28"/>
          <w:szCs w:val="28"/>
        </w:rPr>
        <w:t>散會</w:t>
      </w:r>
    </w:p>
    <w:p w14:paraId="7431A1C2" w14:textId="77777777" w:rsidR="00421BB5" w:rsidRPr="00D65AED" w:rsidRDefault="00421BB5" w:rsidP="00421BB5">
      <w:pPr>
        <w:spacing w:line="360" w:lineRule="exact"/>
        <w:contextualSpacing/>
        <w:jc w:val="both"/>
        <w:rPr>
          <w:rFonts w:ascii="標楷體" w:eastAsia="標楷體" w:hAnsi="標楷體"/>
          <w:sz w:val="28"/>
          <w:szCs w:val="28"/>
        </w:rPr>
      </w:pPr>
    </w:p>
    <w:p w14:paraId="2F1792E7" w14:textId="77777777" w:rsidR="00421BB5" w:rsidRPr="00D65AED" w:rsidRDefault="00421BB5" w:rsidP="00421BB5">
      <w:pPr>
        <w:spacing w:line="360" w:lineRule="exact"/>
        <w:contextualSpacing/>
        <w:jc w:val="both"/>
        <w:rPr>
          <w:rFonts w:ascii="標楷體" w:eastAsia="標楷體" w:hAnsi="標楷體"/>
          <w:sz w:val="28"/>
          <w:szCs w:val="28"/>
        </w:rPr>
      </w:pPr>
    </w:p>
    <w:p w14:paraId="366B7279" w14:textId="77777777" w:rsidR="00421BB5" w:rsidRPr="00D65AED" w:rsidRDefault="00421BB5" w:rsidP="00421BB5">
      <w:pPr>
        <w:spacing w:beforeLines="50" w:before="180" w:afterLines="50" w:after="180" w:line="360" w:lineRule="exact"/>
        <w:outlineLvl w:val="2"/>
        <w:rPr>
          <w:rFonts w:ascii="標楷體" w:eastAsia="標楷體" w:hAnsi="標楷體"/>
          <w:b/>
          <w:spacing w:val="-20"/>
          <w:sz w:val="28"/>
          <w:szCs w:val="28"/>
        </w:rPr>
      </w:pPr>
      <w:r w:rsidRPr="00D65AED">
        <w:rPr>
          <w:rFonts w:ascii="標楷體" w:eastAsia="標楷體" w:hAnsi="標楷體"/>
          <w:sz w:val="28"/>
          <w:szCs w:val="28"/>
        </w:rPr>
        <w:br w:type="page"/>
      </w:r>
      <w:r w:rsidRPr="00D65AED">
        <w:rPr>
          <w:rFonts w:ascii="標楷體" w:eastAsia="標楷體" w:hAnsi="標楷體" w:hint="eastAsia"/>
          <w:b/>
          <w:spacing w:val="-4"/>
          <w:sz w:val="28"/>
          <w:szCs w:val="28"/>
        </w:rPr>
        <w:lastRenderedPageBreak/>
        <w:t>立法院第10屆第6會期司法及法制委員會第23次全體委員會議議事錄</w:t>
      </w:r>
    </w:p>
    <w:p w14:paraId="53135B88" w14:textId="77777777" w:rsidR="00421BB5" w:rsidRPr="00D65AED" w:rsidRDefault="00421BB5" w:rsidP="00421BB5">
      <w:pPr>
        <w:pStyle w:val="-9"/>
        <w:spacing w:line="360" w:lineRule="exact"/>
        <w:ind w:left="1417" w:hangingChars="506" w:hanging="1417"/>
        <w:rPr>
          <w:rFonts w:ascii="標楷體" w:hAnsi="標楷體"/>
          <w:snapToGrid w:val="0"/>
          <w:sz w:val="28"/>
          <w:szCs w:val="28"/>
        </w:rPr>
      </w:pPr>
      <w:r w:rsidRPr="00D65AED">
        <w:rPr>
          <w:rFonts w:ascii="標楷體" w:hAnsi="標楷體"/>
          <w:snapToGrid w:val="0"/>
          <w:sz w:val="28"/>
          <w:szCs w:val="28"/>
          <w:fitText w:val="1120" w:id="-1975260672"/>
        </w:rPr>
        <w:t>時    間</w:t>
      </w:r>
      <w:r w:rsidRPr="00D65AED">
        <w:rPr>
          <w:rFonts w:ascii="標楷體" w:hAnsi="標楷體"/>
          <w:snapToGrid w:val="0"/>
          <w:sz w:val="28"/>
          <w:szCs w:val="28"/>
        </w:rPr>
        <w:t>：中華民國111年12月1日（星期</w:t>
      </w:r>
      <w:r w:rsidRPr="00D65AED">
        <w:rPr>
          <w:rFonts w:ascii="標楷體" w:hAnsi="標楷體" w:hint="eastAsia"/>
          <w:snapToGrid w:val="0"/>
          <w:sz w:val="28"/>
          <w:szCs w:val="28"/>
        </w:rPr>
        <w:t>四</w:t>
      </w:r>
      <w:r w:rsidRPr="00D65AED">
        <w:rPr>
          <w:rFonts w:ascii="標楷體" w:hAnsi="標楷體"/>
          <w:snapToGrid w:val="0"/>
          <w:sz w:val="28"/>
          <w:szCs w:val="28"/>
        </w:rPr>
        <w:t>）</w:t>
      </w:r>
      <w:r w:rsidRPr="00D65AED">
        <w:rPr>
          <w:rFonts w:ascii="標楷體" w:hAnsi="標楷體" w:hint="eastAsia"/>
          <w:snapToGrid w:val="0"/>
          <w:sz w:val="28"/>
          <w:szCs w:val="28"/>
        </w:rPr>
        <w:t>上</w:t>
      </w:r>
      <w:r w:rsidRPr="00D65AED">
        <w:rPr>
          <w:rFonts w:ascii="標楷體" w:hAnsi="標楷體"/>
          <w:snapToGrid w:val="0"/>
          <w:sz w:val="28"/>
          <w:szCs w:val="28"/>
        </w:rPr>
        <w:t>午</w:t>
      </w:r>
      <w:r w:rsidRPr="00D65AED">
        <w:rPr>
          <w:rFonts w:ascii="標楷體" w:hAnsi="標楷體" w:hint="eastAsia"/>
          <w:snapToGrid w:val="0"/>
          <w:sz w:val="28"/>
          <w:szCs w:val="28"/>
        </w:rPr>
        <w:t>9</w:t>
      </w:r>
      <w:r w:rsidRPr="00D65AED">
        <w:rPr>
          <w:rFonts w:ascii="標楷體" w:hAnsi="標楷體"/>
          <w:snapToGrid w:val="0"/>
          <w:sz w:val="28"/>
          <w:szCs w:val="28"/>
        </w:rPr>
        <w:t>時</w:t>
      </w:r>
      <w:r w:rsidRPr="00D65AED">
        <w:rPr>
          <w:rFonts w:ascii="標楷體" w:hAnsi="標楷體" w:hint="eastAsia"/>
          <w:snapToGrid w:val="0"/>
          <w:sz w:val="28"/>
          <w:szCs w:val="28"/>
        </w:rPr>
        <w:t>1分</w:t>
      </w:r>
      <w:r w:rsidRPr="00D65AED">
        <w:rPr>
          <w:rFonts w:ascii="標楷體" w:hAnsi="標楷體"/>
          <w:snapToGrid w:val="0"/>
          <w:sz w:val="28"/>
          <w:szCs w:val="28"/>
        </w:rPr>
        <w:t>至</w:t>
      </w:r>
      <w:r w:rsidRPr="00D65AED">
        <w:rPr>
          <w:rFonts w:ascii="標楷體" w:hAnsi="標楷體" w:hint="eastAsia"/>
          <w:snapToGrid w:val="0"/>
          <w:sz w:val="28"/>
          <w:szCs w:val="28"/>
        </w:rPr>
        <w:t>11時26分</w:t>
      </w:r>
    </w:p>
    <w:p w14:paraId="28AB4680" w14:textId="77777777" w:rsidR="00421BB5" w:rsidRPr="00D65AED" w:rsidRDefault="00421BB5" w:rsidP="00421BB5">
      <w:pPr>
        <w:adjustRightInd w:val="0"/>
        <w:snapToGrid w:val="0"/>
        <w:spacing w:line="360" w:lineRule="exact"/>
        <w:ind w:left="1364" w:hangingChars="487" w:hanging="1364"/>
        <w:jc w:val="both"/>
        <w:rPr>
          <w:rFonts w:ascii="標楷體" w:eastAsia="標楷體" w:hAnsi="標楷體"/>
          <w:kern w:val="0"/>
          <w:sz w:val="28"/>
          <w:szCs w:val="28"/>
          <w:lang w:val="x-none"/>
        </w:rPr>
      </w:pPr>
      <w:r w:rsidRPr="00D65AED">
        <w:rPr>
          <w:rFonts w:ascii="標楷體" w:eastAsia="標楷體" w:hAnsi="標楷體" w:hint="eastAsia"/>
          <w:kern w:val="0"/>
          <w:sz w:val="28"/>
          <w:szCs w:val="28"/>
          <w:lang w:val="x-none" w:eastAsia="x-none"/>
        </w:rPr>
        <w:t>地    點：</w:t>
      </w:r>
      <w:r w:rsidRPr="00D65AED">
        <w:rPr>
          <w:rFonts w:ascii="標楷體" w:eastAsia="標楷體" w:hAnsi="標楷體" w:hint="eastAsia"/>
          <w:kern w:val="0"/>
          <w:sz w:val="28"/>
          <w:szCs w:val="28"/>
          <w:lang w:val="x-none"/>
        </w:rPr>
        <w:t>本</w:t>
      </w:r>
      <w:r w:rsidRPr="00D65AED">
        <w:rPr>
          <w:rFonts w:ascii="標楷體" w:eastAsia="標楷體" w:hAnsi="標楷體" w:hint="eastAsia"/>
          <w:kern w:val="0"/>
          <w:sz w:val="28"/>
          <w:szCs w:val="28"/>
          <w:lang w:val="x-none" w:eastAsia="x-none"/>
        </w:rPr>
        <w:t>院紅樓302會議室</w:t>
      </w:r>
    </w:p>
    <w:p w14:paraId="4DBC6B06" w14:textId="77777777" w:rsidR="00421BB5" w:rsidRPr="00D65AED" w:rsidRDefault="00421BB5" w:rsidP="00421BB5">
      <w:pPr>
        <w:snapToGrid w:val="0"/>
        <w:spacing w:line="360" w:lineRule="exact"/>
        <w:ind w:leftChars="-4" w:left="1401" w:hangingChars="504" w:hanging="1411"/>
        <w:rPr>
          <w:rFonts w:ascii="標楷體" w:eastAsia="標楷體" w:hAnsi="標楷體"/>
          <w:sz w:val="28"/>
          <w:szCs w:val="28"/>
        </w:rPr>
      </w:pPr>
      <w:r w:rsidRPr="00D65AED">
        <w:rPr>
          <w:rFonts w:ascii="標楷體" w:eastAsia="標楷體" w:hAnsi="標楷體"/>
          <w:kern w:val="0"/>
          <w:sz w:val="28"/>
          <w:szCs w:val="28"/>
          <w:fitText w:val="1400" w:id="-1975252222"/>
        </w:rPr>
        <w:t>出席委員</w:t>
      </w:r>
      <w:r w:rsidRPr="00D65AED">
        <w:rPr>
          <w:rFonts w:ascii="標楷體" w:eastAsia="標楷體" w:hAnsi="標楷體" w:hint="eastAsia"/>
          <w:kern w:val="0"/>
          <w:sz w:val="28"/>
          <w:szCs w:val="28"/>
          <w:fitText w:val="1400" w:id="-1975252222"/>
        </w:rPr>
        <w:t>：</w:t>
      </w:r>
      <w:r w:rsidRPr="00D65AED">
        <w:rPr>
          <w:rFonts w:ascii="標楷體" w:eastAsia="標楷體" w:hAnsi="標楷體" w:hint="eastAsia"/>
          <w:sz w:val="28"/>
          <w:szCs w:val="28"/>
        </w:rPr>
        <w:t>曾銘宗</w:t>
      </w:r>
      <w:r w:rsidRPr="00D65AED">
        <w:rPr>
          <w:rFonts w:ascii="標楷體" w:eastAsia="標楷體" w:hAnsi="標楷體"/>
          <w:sz w:val="28"/>
          <w:szCs w:val="28"/>
        </w:rPr>
        <w:tab/>
      </w:r>
      <w:r w:rsidRPr="00D65AED">
        <w:rPr>
          <w:rFonts w:ascii="標楷體" w:eastAsia="標楷體" w:hAnsi="標楷體" w:hint="eastAsia"/>
          <w:sz w:val="28"/>
          <w:szCs w:val="28"/>
        </w:rPr>
        <w:t>游毓蘭</w:t>
      </w:r>
      <w:r w:rsidRPr="00D65AED">
        <w:rPr>
          <w:rFonts w:ascii="標楷體" w:eastAsia="標楷體" w:hAnsi="標楷體"/>
          <w:sz w:val="28"/>
          <w:szCs w:val="28"/>
        </w:rPr>
        <w:tab/>
      </w:r>
      <w:r w:rsidRPr="00D65AED">
        <w:rPr>
          <w:rFonts w:ascii="標楷體" w:eastAsia="標楷體" w:hAnsi="標楷體" w:hint="eastAsia"/>
          <w:sz w:val="28"/>
          <w:szCs w:val="28"/>
        </w:rPr>
        <w:t>鄭運鵬</w:t>
      </w:r>
      <w:r w:rsidRPr="00D65AED">
        <w:rPr>
          <w:rFonts w:ascii="標楷體" w:eastAsia="標楷體" w:hAnsi="標楷體"/>
          <w:sz w:val="28"/>
          <w:szCs w:val="28"/>
        </w:rPr>
        <w:tab/>
      </w:r>
      <w:r w:rsidRPr="00D65AED">
        <w:rPr>
          <w:rFonts w:ascii="標楷體" w:eastAsia="標楷體" w:hAnsi="標楷體" w:hint="eastAsia"/>
          <w:sz w:val="28"/>
          <w:szCs w:val="28"/>
        </w:rPr>
        <w:t>陳玉珍</w:t>
      </w:r>
      <w:r w:rsidRPr="00D65AED">
        <w:rPr>
          <w:rFonts w:ascii="標楷體" w:eastAsia="標楷體" w:hAnsi="標楷體"/>
          <w:sz w:val="28"/>
          <w:szCs w:val="28"/>
        </w:rPr>
        <w:tab/>
      </w:r>
      <w:r w:rsidRPr="00D65AED">
        <w:rPr>
          <w:rFonts w:ascii="標楷體" w:eastAsia="標楷體" w:hAnsi="標楷體" w:hint="eastAsia"/>
          <w:sz w:val="28"/>
          <w:szCs w:val="28"/>
        </w:rPr>
        <w:t>林思銘</w:t>
      </w:r>
      <w:r w:rsidRPr="00D65AED">
        <w:rPr>
          <w:rFonts w:ascii="標楷體" w:eastAsia="標楷體" w:hAnsi="標楷體"/>
          <w:sz w:val="28"/>
          <w:szCs w:val="28"/>
        </w:rPr>
        <w:tab/>
      </w:r>
      <w:r w:rsidRPr="00D65AED">
        <w:rPr>
          <w:rFonts w:ascii="標楷體" w:eastAsia="標楷體" w:hAnsi="標楷體" w:hint="eastAsia"/>
          <w:sz w:val="28"/>
          <w:szCs w:val="28"/>
        </w:rPr>
        <w:t>黃世杰</w:t>
      </w:r>
      <w:r w:rsidRPr="00D65AED">
        <w:rPr>
          <w:rFonts w:ascii="標楷體" w:eastAsia="標楷體" w:hAnsi="標楷體"/>
          <w:sz w:val="28"/>
          <w:szCs w:val="28"/>
        </w:rPr>
        <w:tab/>
      </w:r>
      <w:r w:rsidRPr="00D65AED">
        <w:rPr>
          <w:rFonts w:ascii="標楷體" w:eastAsia="標楷體" w:hAnsi="標楷體" w:hint="eastAsia"/>
          <w:sz w:val="28"/>
          <w:szCs w:val="28"/>
        </w:rPr>
        <w:t>江永昌</w:t>
      </w:r>
      <w:r w:rsidRPr="00D65AED">
        <w:rPr>
          <w:rFonts w:ascii="標楷體" w:eastAsia="標楷體" w:hAnsi="標楷體"/>
          <w:sz w:val="28"/>
          <w:szCs w:val="28"/>
        </w:rPr>
        <w:tab/>
      </w:r>
    </w:p>
    <w:p w14:paraId="5062ACCE" w14:textId="77777777" w:rsidR="00421BB5" w:rsidRPr="00D65AED" w:rsidRDefault="00421BB5" w:rsidP="00421BB5">
      <w:pPr>
        <w:snapToGrid w:val="0"/>
        <w:spacing w:line="360" w:lineRule="exact"/>
        <w:ind w:leftChars="583" w:left="1399" w:firstLineChars="4" w:firstLine="11"/>
        <w:rPr>
          <w:rFonts w:ascii="標楷體" w:eastAsia="標楷體" w:hAnsi="標楷體"/>
          <w:sz w:val="28"/>
          <w:szCs w:val="28"/>
        </w:rPr>
      </w:pPr>
      <w:r w:rsidRPr="00D65AED">
        <w:rPr>
          <w:rFonts w:ascii="標楷體" w:eastAsia="標楷體" w:hAnsi="標楷體" w:hint="eastAsia"/>
          <w:sz w:val="28"/>
          <w:szCs w:val="28"/>
        </w:rPr>
        <w:t>劉建國</w:t>
      </w:r>
    </w:p>
    <w:p w14:paraId="748C3CB0" w14:textId="77777777" w:rsidR="00421BB5" w:rsidRPr="00D65AED" w:rsidRDefault="00421BB5" w:rsidP="00421BB5">
      <w:pPr>
        <w:adjustRightInd w:val="0"/>
        <w:snapToGrid w:val="0"/>
        <w:spacing w:line="360" w:lineRule="exact"/>
        <w:ind w:firstLineChars="495" w:firstLine="1386"/>
        <w:jc w:val="both"/>
        <w:rPr>
          <w:rFonts w:ascii="標楷體" w:eastAsia="標楷體" w:hAnsi="標楷體"/>
        </w:rPr>
      </w:pPr>
      <w:r w:rsidRPr="00D65AED">
        <w:rPr>
          <w:rFonts w:ascii="標楷體" w:eastAsia="標楷體" w:hAnsi="標楷體" w:hint="eastAsia"/>
          <w:sz w:val="28"/>
          <w:szCs w:val="28"/>
        </w:rPr>
        <w:t>委員出席8人</w:t>
      </w:r>
    </w:p>
    <w:p w14:paraId="430134AF" w14:textId="77777777" w:rsidR="00421BB5" w:rsidRPr="00D65AED"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D65AED">
        <w:rPr>
          <w:rFonts w:ascii="標楷體" w:eastAsia="標楷體" w:hAnsi="標楷體" w:hint="eastAsia"/>
          <w:sz w:val="28"/>
          <w:szCs w:val="28"/>
        </w:rPr>
        <w:t>列</w:t>
      </w:r>
      <w:r w:rsidRPr="00D65AED">
        <w:rPr>
          <w:rFonts w:ascii="標楷體" w:eastAsia="標楷體" w:hAnsi="標楷體"/>
          <w:sz w:val="28"/>
          <w:szCs w:val="28"/>
        </w:rPr>
        <w:t>席委員：</w:t>
      </w:r>
      <w:r w:rsidRPr="00D65AED">
        <w:rPr>
          <w:rFonts w:ascii="標楷體" w:eastAsia="標楷體" w:hAnsi="標楷體" w:hint="eastAsia"/>
          <w:sz w:val="28"/>
          <w:szCs w:val="28"/>
        </w:rPr>
        <w:t>劉世芳</w:t>
      </w:r>
      <w:r w:rsidRPr="00D65AED">
        <w:rPr>
          <w:rFonts w:ascii="標楷體" w:eastAsia="標楷體" w:hAnsi="標楷體"/>
          <w:sz w:val="28"/>
          <w:szCs w:val="28"/>
        </w:rPr>
        <w:tab/>
      </w:r>
      <w:r w:rsidRPr="00D65AED">
        <w:rPr>
          <w:rFonts w:ascii="標楷體" w:eastAsia="標楷體" w:hAnsi="標楷體" w:hint="eastAsia"/>
          <w:sz w:val="28"/>
          <w:szCs w:val="28"/>
        </w:rPr>
        <w:t>廖婉汝</w:t>
      </w:r>
      <w:r w:rsidRPr="00D65AED">
        <w:rPr>
          <w:rFonts w:ascii="標楷體" w:eastAsia="標楷體" w:hAnsi="標楷體"/>
          <w:sz w:val="28"/>
          <w:szCs w:val="28"/>
        </w:rPr>
        <w:tab/>
      </w:r>
      <w:r w:rsidRPr="00D65AED">
        <w:rPr>
          <w:rFonts w:ascii="標楷體" w:eastAsia="標楷體" w:hAnsi="標楷體" w:hint="eastAsia"/>
          <w:sz w:val="28"/>
          <w:szCs w:val="28"/>
        </w:rPr>
        <w:t>洪孟楷</w:t>
      </w:r>
      <w:r w:rsidRPr="00D65AED">
        <w:rPr>
          <w:rFonts w:ascii="標楷體" w:eastAsia="標楷體" w:hAnsi="標楷體"/>
          <w:sz w:val="28"/>
          <w:szCs w:val="28"/>
        </w:rPr>
        <w:tab/>
      </w:r>
      <w:r w:rsidRPr="00D65AED">
        <w:rPr>
          <w:rFonts w:ascii="標楷體" w:eastAsia="標楷體" w:hAnsi="標楷體" w:hint="eastAsia"/>
          <w:sz w:val="28"/>
          <w:szCs w:val="28"/>
        </w:rPr>
        <w:t>陳椒華</w:t>
      </w:r>
      <w:r w:rsidRPr="00D65AED">
        <w:rPr>
          <w:rFonts w:ascii="標楷體" w:eastAsia="標楷體" w:hAnsi="標楷體"/>
          <w:sz w:val="28"/>
          <w:szCs w:val="28"/>
        </w:rPr>
        <w:tab/>
      </w:r>
      <w:r w:rsidRPr="00D65AED">
        <w:rPr>
          <w:rFonts w:ascii="標楷體" w:eastAsia="標楷體" w:hAnsi="標楷體" w:hint="eastAsia"/>
          <w:sz w:val="28"/>
          <w:szCs w:val="28"/>
        </w:rPr>
        <w:t>李貴敏</w:t>
      </w:r>
      <w:r w:rsidRPr="00D65AED">
        <w:rPr>
          <w:rFonts w:ascii="標楷體" w:eastAsia="標楷體" w:hAnsi="標楷體"/>
          <w:sz w:val="28"/>
          <w:szCs w:val="28"/>
        </w:rPr>
        <w:tab/>
      </w:r>
      <w:r w:rsidRPr="00D65AED">
        <w:rPr>
          <w:rFonts w:ascii="標楷體" w:eastAsia="標楷體" w:hAnsi="標楷體" w:hint="eastAsia"/>
          <w:sz w:val="28"/>
          <w:szCs w:val="28"/>
        </w:rPr>
        <w:t>陳明文</w:t>
      </w:r>
      <w:r w:rsidRPr="00D65AED">
        <w:rPr>
          <w:rFonts w:ascii="標楷體" w:eastAsia="標楷體" w:hAnsi="標楷體" w:hint="eastAsia"/>
          <w:sz w:val="28"/>
          <w:szCs w:val="28"/>
        </w:rPr>
        <w:tab/>
      </w:r>
    </w:p>
    <w:p w14:paraId="204EE416" w14:textId="77777777" w:rsidR="00421BB5" w:rsidRPr="00D65AED" w:rsidRDefault="00421BB5" w:rsidP="00421BB5">
      <w:pPr>
        <w:adjustRightInd w:val="0"/>
        <w:snapToGrid w:val="0"/>
        <w:spacing w:line="360" w:lineRule="exact"/>
        <w:ind w:leftChars="565" w:left="1398" w:hangingChars="15" w:hanging="42"/>
        <w:jc w:val="both"/>
        <w:rPr>
          <w:rFonts w:ascii="標楷體" w:eastAsia="標楷體" w:hAnsi="標楷體"/>
          <w:spacing w:val="-20"/>
          <w:w w:val="95"/>
          <w:sz w:val="28"/>
          <w:szCs w:val="28"/>
        </w:rPr>
      </w:pPr>
      <w:r w:rsidRPr="00D65AED">
        <w:rPr>
          <w:rFonts w:ascii="標楷體" w:eastAsia="標楷體" w:hAnsi="標楷體" w:hint="eastAsia"/>
          <w:sz w:val="28"/>
          <w:szCs w:val="28"/>
        </w:rPr>
        <w:t>廖國棟Sufin．Siluko</w:t>
      </w:r>
      <w:r w:rsidRPr="00D65AED">
        <w:rPr>
          <w:rFonts w:ascii="標楷體" w:eastAsia="標楷體" w:hAnsi="標楷體"/>
          <w:sz w:val="28"/>
          <w:szCs w:val="28"/>
        </w:rPr>
        <w:tab/>
      </w:r>
      <w:r w:rsidRPr="00D65AED">
        <w:rPr>
          <w:rFonts w:ascii="標楷體" w:eastAsia="標楷體" w:hAnsi="標楷體" w:hint="eastAsia"/>
          <w:sz w:val="28"/>
          <w:szCs w:val="28"/>
        </w:rPr>
        <w:t>張其祿</w:t>
      </w:r>
      <w:r w:rsidRPr="00D65AED">
        <w:rPr>
          <w:rFonts w:ascii="標楷體" w:eastAsia="標楷體" w:hAnsi="標楷體"/>
          <w:sz w:val="28"/>
          <w:szCs w:val="28"/>
        </w:rPr>
        <w:tab/>
      </w:r>
      <w:r w:rsidRPr="00D65AED">
        <w:rPr>
          <w:rFonts w:ascii="標楷體" w:eastAsia="標楷體" w:hAnsi="標楷體" w:hint="eastAsia"/>
          <w:sz w:val="28"/>
          <w:szCs w:val="28"/>
        </w:rPr>
        <w:t>楊瓊瓔</w:t>
      </w:r>
    </w:p>
    <w:p w14:paraId="0D90D08D" w14:textId="77777777" w:rsidR="00421BB5" w:rsidRPr="005E61CF" w:rsidRDefault="00421BB5" w:rsidP="00421BB5">
      <w:pPr>
        <w:adjustRightInd w:val="0"/>
        <w:snapToGrid w:val="0"/>
        <w:spacing w:line="360" w:lineRule="exact"/>
        <w:ind w:firstLineChars="495" w:firstLine="1386"/>
        <w:jc w:val="both"/>
        <w:rPr>
          <w:rFonts w:ascii="標楷體" w:eastAsia="標楷體" w:hAnsi="標楷體"/>
          <w:sz w:val="28"/>
          <w:szCs w:val="28"/>
        </w:rPr>
      </w:pPr>
      <w:r w:rsidRPr="005E61CF">
        <w:rPr>
          <w:rFonts w:ascii="標楷體" w:eastAsia="標楷體" w:hAnsi="標楷體"/>
          <w:sz w:val="28"/>
          <w:szCs w:val="28"/>
        </w:rPr>
        <w:t>委員列席</w:t>
      </w:r>
      <w:r w:rsidRPr="005E61CF">
        <w:rPr>
          <w:rFonts w:ascii="標楷體" w:eastAsia="標楷體" w:hAnsi="標楷體" w:hint="eastAsia"/>
          <w:sz w:val="28"/>
          <w:szCs w:val="28"/>
        </w:rPr>
        <w:t>9</w:t>
      </w:r>
      <w:r w:rsidRPr="005E61CF">
        <w:rPr>
          <w:rFonts w:ascii="標楷體" w:eastAsia="標楷體" w:hAnsi="標楷體"/>
          <w:sz w:val="28"/>
          <w:szCs w:val="28"/>
        </w:rPr>
        <w:t>人</w:t>
      </w:r>
    </w:p>
    <w:p w14:paraId="079D5950"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請假委員：陳歐珀</w:t>
      </w:r>
      <w:r w:rsidRPr="00D65AED">
        <w:rPr>
          <w:rFonts w:ascii="標楷體" w:eastAsia="標楷體" w:hAnsi="標楷體" w:hint="eastAsia"/>
          <w:sz w:val="28"/>
          <w:szCs w:val="28"/>
        </w:rPr>
        <w:tab/>
        <w:t>陳以信</w:t>
      </w:r>
      <w:r w:rsidRPr="00D65AED">
        <w:rPr>
          <w:rFonts w:ascii="標楷體" w:eastAsia="標楷體" w:hAnsi="標楷體"/>
          <w:sz w:val="28"/>
          <w:szCs w:val="28"/>
        </w:rPr>
        <w:tab/>
      </w:r>
      <w:r w:rsidRPr="00D65AED">
        <w:rPr>
          <w:rFonts w:ascii="標楷體" w:eastAsia="標楷體" w:hAnsi="標楷體" w:hint="eastAsia"/>
          <w:sz w:val="28"/>
          <w:szCs w:val="28"/>
        </w:rPr>
        <w:t>周春米</w:t>
      </w:r>
    </w:p>
    <w:p w14:paraId="3A780C5B" w14:textId="77777777" w:rsidR="00421BB5" w:rsidRPr="005E61CF" w:rsidRDefault="00421BB5" w:rsidP="00421BB5">
      <w:pPr>
        <w:adjustRightInd w:val="0"/>
        <w:snapToGrid w:val="0"/>
        <w:spacing w:line="360" w:lineRule="exact"/>
        <w:ind w:firstLineChars="495" w:firstLine="1386"/>
        <w:jc w:val="both"/>
        <w:rPr>
          <w:rFonts w:ascii="標楷體" w:eastAsia="標楷體" w:hAnsi="標楷體"/>
          <w:sz w:val="28"/>
          <w:szCs w:val="28"/>
        </w:rPr>
      </w:pPr>
      <w:r w:rsidRPr="005E61CF">
        <w:rPr>
          <w:rFonts w:ascii="標楷體" w:eastAsia="標楷體" w:hAnsi="標楷體"/>
          <w:sz w:val="28"/>
          <w:szCs w:val="28"/>
        </w:rPr>
        <w:t>委員</w:t>
      </w:r>
      <w:r w:rsidRPr="005E61CF">
        <w:rPr>
          <w:rFonts w:ascii="標楷體" w:eastAsia="標楷體" w:hAnsi="標楷體" w:hint="eastAsia"/>
          <w:sz w:val="28"/>
          <w:szCs w:val="28"/>
        </w:rPr>
        <w:t>請假3人</w:t>
      </w:r>
    </w:p>
    <w:p w14:paraId="2A7EE50A" w14:textId="77777777" w:rsidR="00421BB5" w:rsidRPr="00D65AED" w:rsidRDefault="00421BB5" w:rsidP="00421BB5">
      <w:pPr>
        <w:pStyle w:val="-9"/>
        <w:spacing w:line="360" w:lineRule="exact"/>
        <w:ind w:left="1361" w:hangingChars="486" w:hanging="1361"/>
        <w:rPr>
          <w:rFonts w:ascii="標楷體" w:hAnsi="標楷體"/>
          <w:sz w:val="28"/>
          <w:szCs w:val="28"/>
        </w:rPr>
      </w:pPr>
      <w:r w:rsidRPr="00D65AED">
        <w:rPr>
          <w:rFonts w:ascii="標楷體" w:hAnsi="標楷體"/>
          <w:sz w:val="28"/>
          <w:szCs w:val="28"/>
        </w:rPr>
        <w:t>列席官員：</w:t>
      </w:r>
      <w:r w:rsidRPr="00D65AED">
        <w:rPr>
          <w:rFonts w:ascii="標楷體" w:hAnsi="標楷體" w:hint="eastAsia"/>
          <w:sz w:val="28"/>
          <w:szCs w:val="28"/>
        </w:rPr>
        <w:t>法務部部長　蔡清祥</w:t>
      </w:r>
    </w:p>
    <w:p w14:paraId="61256C46"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法務部司法官學院院長　柯麗鈴</w:t>
      </w:r>
    </w:p>
    <w:p w14:paraId="73B7A9BF" w14:textId="77777777" w:rsidR="00421BB5" w:rsidRPr="00D65AED" w:rsidRDefault="00421BB5" w:rsidP="00421BB5">
      <w:pPr>
        <w:pStyle w:val="-9"/>
        <w:spacing w:line="360" w:lineRule="exact"/>
        <w:ind w:leftChars="566" w:left="1358" w:firstLineChars="9" w:firstLine="25"/>
        <w:rPr>
          <w:rFonts w:ascii="標楷體" w:hAnsi="標楷體"/>
          <w:sz w:val="28"/>
          <w:szCs w:val="28"/>
        </w:rPr>
      </w:pPr>
      <w:r w:rsidRPr="00D65AED">
        <w:rPr>
          <w:rFonts w:ascii="標楷體" w:hAnsi="標楷體" w:hint="eastAsia"/>
          <w:sz w:val="28"/>
          <w:szCs w:val="28"/>
        </w:rPr>
        <w:t>法務部法醫研究所所長　侯寬仁</w:t>
      </w:r>
    </w:p>
    <w:p w14:paraId="67F7E8F0" w14:textId="77777777" w:rsidR="00421BB5" w:rsidRPr="00D65AED" w:rsidRDefault="00421BB5" w:rsidP="00421BB5">
      <w:pPr>
        <w:pStyle w:val="-9"/>
        <w:spacing w:line="360" w:lineRule="exact"/>
        <w:ind w:leftChars="565" w:left="1359" w:hangingChars="1" w:hanging="3"/>
        <w:rPr>
          <w:rFonts w:ascii="標楷體" w:hAnsi="標楷體"/>
          <w:sz w:val="28"/>
          <w:szCs w:val="28"/>
        </w:rPr>
      </w:pPr>
      <w:r w:rsidRPr="00D65AED">
        <w:rPr>
          <w:rFonts w:ascii="標楷體" w:hAnsi="標楷體" w:hint="eastAsia"/>
          <w:sz w:val="28"/>
          <w:szCs w:val="28"/>
        </w:rPr>
        <w:t>法務部廉政署署長　莊榮松</w:t>
      </w:r>
    </w:p>
    <w:p w14:paraId="2CB03666"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法務部矯正署署長　黃俊棠</w:t>
      </w:r>
    </w:p>
    <w:p w14:paraId="7F23C084"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法務部行政執行署署長　林慶宗</w:t>
      </w:r>
    </w:p>
    <w:p w14:paraId="199D8383"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臺灣高等檢察署檢察長(兼任財團法人犯罪被害人保護協會及財團法人臺灣更生保護會董事長)　 張斗輝</w:t>
      </w:r>
    </w:p>
    <w:p w14:paraId="4ACB004C"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臺灣彰化地方檢察署檢察長　洪家原</w:t>
      </w:r>
    </w:p>
    <w:p w14:paraId="68D736ED" w14:textId="77777777" w:rsidR="00421BB5" w:rsidRPr="00D65AED" w:rsidRDefault="00421BB5" w:rsidP="00421BB5">
      <w:pPr>
        <w:pStyle w:val="-9"/>
        <w:spacing w:line="360" w:lineRule="exact"/>
        <w:ind w:leftChars="567" w:left="1361" w:firstLineChars="8" w:firstLine="22"/>
        <w:rPr>
          <w:rFonts w:ascii="標楷體" w:hAnsi="標楷體"/>
          <w:sz w:val="28"/>
          <w:szCs w:val="28"/>
        </w:rPr>
      </w:pPr>
      <w:r w:rsidRPr="00D65AED">
        <w:rPr>
          <w:rFonts w:ascii="標楷體" w:hAnsi="標楷體" w:hint="eastAsia"/>
          <w:sz w:val="28"/>
          <w:szCs w:val="28"/>
        </w:rPr>
        <w:t>法務部調查局局長　王俊力</w:t>
      </w:r>
    </w:p>
    <w:p w14:paraId="236321B4"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kern w:val="0"/>
          <w:sz w:val="28"/>
          <w:szCs w:val="28"/>
        </w:rPr>
      </w:pPr>
      <w:r w:rsidRPr="00D65AED">
        <w:rPr>
          <w:rFonts w:ascii="標楷體" w:eastAsia="標楷體" w:hAnsi="標楷體" w:hint="eastAsia"/>
          <w:kern w:val="0"/>
          <w:sz w:val="28"/>
          <w:szCs w:val="28"/>
        </w:rPr>
        <w:t>行政院主計總處公務預算處專門委員</w:t>
      </w:r>
      <w:r w:rsidRPr="00D65AED">
        <w:rPr>
          <w:rFonts w:ascii="標楷體" w:eastAsia="標楷體" w:hAnsi="標楷體" w:hint="eastAsia"/>
          <w:color w:val="FF0000"/>
          <w:kern w:val="0"/>
          <w:sz w:val="28"/>
          <w:szCs w:val="28"/>
        </w:rPr>
        <w:t xml:space="preserve">　</w:t>
      </w:r>
      <w:r w:rsidRPr="00D65AED">
        <w:rPr>
          <w:rFonts w:ascii="標楷體" w:eastAsia="標楷體" w:hAnsi="標楷體" w:hint="eastAsia"/>
          <w:kern w:val="0"/>
          <w:sz w:val="28"/>
          <w:szCs w:val="28"/>
        </w:rPr>
        <w:t xml:space="preserve">吳銘修 </w:t>
      </w:r>
    </w:p>
    <w:p w14:paraId="2D10B6AE" w14:textId="77777777" w:rsidR="00421BB5" w:rsidRPr="00D65AED" w:rsidRDefault="00421BB5" w:rsidP="00421BB5">
      <w:pPr>
        <w:adjustRightInd w:val="0"/>
        <w:snapToGrid w:val="0"/>
        <w:spacing w:line="360" w:lineRule="exact"/>
        <w:ind w:firstLineChars="1205" w:firstLine="3374"/>
        <w:jc w:val="both"/>
        <w:rPr>
          <w:rFonts w:ascii="標楷體" w:eastAsia="標楷體" w:hAnsi="標楷體"/>
          <w:kern w:val="0"/>
          <w:sz w:val="28"/>
          <w:szCs w:val="28"/>
        </w:rPr>
      </w:pPr>
      <w:r w:rsidRPr="00D65AED">
        <w:rPr>
          <w:rFonts w:ascii="標楷體" w:eastAsia="標楷體" w:hAnsi="標楷體" w:hint="eastAsia"/>
          <w:kern w:val="0"/>
          <w:sz w:val="28"/>
          <w:szCs w:val="28"/>
        </w:rPr>
        <w:t>基金預算處專門委員　吳婉玉</w:t>
      </w:r>
    </w:p>
    <w:p w14:paraId="753D0534" w14:textId="77777777" w:rsidR="00421BB5" w:rsidRPr="00D65AED" w:rsidRDefault="00421BB5" w:rsidP="00421BB5">
      <w:pPr>
        <w:adjustRightInd w:val="0"/>
        <w:snapToGrid w:val="0"/>
        <w:spacing w:line="360" w:lineRule="exact"/>
        <w:ind w:left="1117" w:hangingChars="399" w:hanging="1117"/>
        <w:jc w:val="both"/>
        <w:rPr>
          <w:rFonts w:ascii="標楷體" w:eastAsia="標楷體" w:hAnsi="標楷體"/>
          <w:sz w:val="28"/>
          <w:szCs w:val="28"/>
        </w:rPr>
      </w:pPr>
      <w:r w:rsidRPr="00D65AED">
        <w:rPr>
          <w:rFonts w:ascii="標楷體" w:eastAsia="標楷體" w:hAnsi="標楷體"/>
          <w:kern w:val="0"/>
          <w:sz w:val="28"/>
          <w:szCs w:val="28"/>
          <w:fitText w:val="1120" w:id="-1975261439"/>
        </w:rPr>
        <w:t>主    席</w:t>
      </w:r>
      <w:r w:rsidRPr="00D65AED">
        <w:rPr>
          <w:rFonts w:ascii="標楷體" w:eastAsia="標楷體" w:hAnsi="標楷體"/>
          <w:sz w:val="28"/>
          <w:szCs w:val="28"/>
        </w:rPr>
        <w:t>：</w:t>
      </w:r>
      <w:r w:rsidRPr="00D65AED">
        <w:rPr>
          <w:rFonts w:ascii="標楷體" w:eastAsia="標楷體" w:hAnsi="標楷體" w:hint="eastAsia"/>
          <w:sz w:val="28"/>
          <w:szCs w:val="28"/>
        </w:rPr>
        <w:t>林</w:t>
      </w:r>
      <w:r w:rsidRPr="00D65AED">
        <w:rPr>
          <w:rFonts w:ascii="標楷體" w:eastAsia="標楷體" w:hAnsi="標楷體"/>
          <w:sz w:val="28"/>
          <w:szCs w:val="28"/>
        </w:rPr>
        <w:t>召</w:t>
      </w:r>
      <w:r w:rsidRPr="00D65AED">
        <w:rPr>
          <w:rFonts w:ascii="標楷體" w:eastAsia="標楷體" w:hAnsi="標楷體" w:hint="eastAsia"/>
          <w:sz w:val="28"/>
          <w:szCs w:val="28"/>
        </w:rPr>
        <w:t>集</w:t>
      </w:r>
      <w:r w:rsidRPr="00D65AED">
        <w:rPr>
          <w:rFonts w:ascii="標楷體" w:eastAsia="標楷體" w:hAnsi="標楷體"/>
          <w:sz w:val="28"/>
          <w:szCs w:val="28"/>
        </w:rPr>
        <w:t>委員</w:t>
      </w:r>
      <w:r w:rsidRPr="00D65AED">
        <w:rPr>
          <w:rFonts w:ascii="標楷體" w:eastAsia="標楷體" w:hAnsi="標楷體" w:hint="eastAsia"/>
          <w:sz w:val="28"/>
          <w:szCs w:val="28"/>
        </w:rPr>
        <w:t>思銘</w:t>
      </w:r>
    </w:p>
    <w:p w14:paraId="40FD8D7B"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專門委員：梁雯璍</w:t>
      </w:r>
    </w:p>
    <w:p w14:paraId="5A298F9C" w14:textId="77777777" w:rsidR="00421BB5" w:rsidRPr="00D65AED" w:rsidRDefault="00421BB5" w:rsidP="00421BB5">
      <w:pPr>
        <w:snapToGrid w:val="0"/>
        <w:spacing w:line="360" w:lineRule="exact"/>
        <w:jc w:val="both"/>
        <w:rPr>
          <w:rFonts w:ascii="標楷體" w:eastAsia="標楷體" w:hAnsi="標楷體"/>
          <w:sz w:val="28"/>
          <w:szCs w:val="28"/>
        </w:rPr>
      </w:pPr>
      <w:r w:rsidRPr="00D65AED">
        <w:rPr>
          <w:rFonts w:ascii="標楷體" w:eastAsia="標楷體" w:hAnsi="標楷體" w:hint="eastAsia"/>
          <w:sz w:val="28"/>
          <w:szCs w:val="28"/>
        </w:rPr>
        <w:t>主任秘書：張智為</w:t>
      </w:r>
    </w:p>
    <w:p w14:paraId="07772B0B" w14:textId="77777777" w:rsidR="00421BB5" w:rsidRPr="00D65AED" w:rsidRDefault="00421BB5" w:rsidP="00421BB5">
      <w:pPr>
        <w:adjustRightInd w:val="0"/>
        <w:snapToGrid w:val="0"/>
        <w:spacing w:line="360" w:lineRule="exact"/>
        <w:rPr>
          <w:rFonts w:ascii="標楷體" w:eastAsia="標楷體" w:hAnsi="標楷體"/>
          <w:sz w:val="28"/>
          <w:szCs w:val="28"/>
        </w:rPr>
      </w:pPr>
      <w:r w:rsidRPr="00D65AED">
        <w:rPr>
          <w:rFonts w:ascii="標楷體" w:eastAsia="標楷體" w:hAnsi="標楷體" w:hint="eastAsia"/>
          <w:sz w:val="28"/>
          <w:szCs w:val="28"/>
        </w:rPr>
        <w:t>紀    錄：簡任秘書　陳杏枝</w:t>
      </w:r>
    </w:p>
    <w:p w14:paraId="01BAF089"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簡任編審　薛復寧</w:t>
      </w:r>
    </w:p>
    <w:p w14:paraId="7BAA5956" w14:textId="77777777" w:rsidR="00421BB5" w:rsidRPr="00D65AED" w:rsidRDefault="00421BB5" w:rsidP="00421BB5">
      <w:pPr>
        <w:adjustRightInd w:val="0"/>
        <w:snapToGrid w:val="0"/>
        <w:spacing w:line="360" w:lineRule="exact"/>
        <w:ind w:firstLineChars="500" w:firstLine="1400"/>
        <w:jc w:val="both"/>
        <w:rPr>
          <w:rFonts w:ascii="標楷體" w:eastAsia="標楷體" w:hAnsi="標楷體"/>
          <w:sz w:val="28"/>
          <w:szCs w:val="28"/>
        </w:rPr>
      </w:pPr>
      <w:r w:rsidRPr="00D65AED">
        <w:rPr>
          <w:rFonts w:ascii="標楷體" w:eastAsia="標楷體" w:hAnsi="標楷體" w:hint="eastAsia"/>
          <w:sz w:val="28"/>
          <w:szCs w:val="28"/>
        </w:rPr>
        <w:t>科　　長　鮑夏明</w:t>
      </w:r>
    </w:p>
    <w:p w14:paraId="51322078" w14:textId="77777777" w:rsidR="00421BB5" w:rsidRPr="00D65AED" w:rsidRDefault="00421BB5" w:rsidP="00421BB5">
      <w:pPr>
        <w:adjustRightInd w:val="0"/>
        <w:snapToGrid w:val="0"/>
        <w:spacing w:line="360" w:lineRule="exact"/>
        <w:ind w:firstLineChars="506" w:firstLine="1417"/>
        <w:jc w:val="both"/>
        <w:rPr>
          <w:rFonts w:ascii="標楷體" w:eastAsia="標楷體" w:hAnsi="標楷體"/>
          <w:sz w:val="28"/>
          <w:szCs w:val="28"/>
        </w:rPr>
      </w:pPr>
      <w:r w:rsidRPr="00D65AED">
        <w:rPr>
          <w:rFonts w:ascii="標楷體" w:eastAsia="標楷體" w:hAnsi="標楷體" w:hint="eastAsia"/>
          <w:sz w:val="28"/>
          <w:szCs w:val="28"/>
        </w:rPr>
        <w:t>專　　員　林宗賢</w:t>
      </w:r>
    </w:p>
    <w:p w14:paraId="0B147F7A"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報告事項</w:t>
      </w:r>
    </w:p>
    <w:p w14:paraId="2C6B23AB" w14:textId="77777777" w:rsidR="00421BB5" w:rsidRPr="00D65AED" w:rsidRDefault="00421BB5" w:rsidP="00421BB5">
      <w:pPr>
        <w:pStyle w:val="afffff4"/>
        <w:spacing w:beforeLines="20" w:before="72" w:line="360" w:lineRule="exact"/>
        <w:ind w:left="560" w:hanging="560"/>
        <w:jc w:val="both"/>
        <w:rPr>
          <w:rFonts w:ascii="標楷體" w:hAnsi="標楷體"/>
          <w:snapToGrid w:val="0"/>
          <w:sz w:val="28"/>
          <w:szCs w:val="28"/>
        </w:rPr>
      </w:pPr>
      <w:r w:rsidRPr="00D65AED">
        <w:rPr>
          <w:rFonts w:ascii="標楷體" w:hAnsi="標楷體"/>
          <w:snapToGrid w:val="0"/>
          <w:sz w:val="28"/>
          <w:szCs w:val="28"/>
        </w:rPr>
        <w:t>宣讀上次會議議事錄</w:t>
      </w:r>
      <w:r w:rsidRPr="00D65AED">
        <w:rPr>
          <w:rFonts w:ascii="標楷體" w:hAnsi="標楷體" w:hint="eastAsia"/>
          <w:snapToGrid w:val="0"/>
          <w:sz w:val="28"/>
          <w:szCs w:val="28"/>
        </w:rPr>
        <w:t>。</w:t>
      </w:r>
    </w:p>
    <w:p w14:paraId="25442161" w14:textId="77777777" w:rsidR="00421BB5" w:rsidRPr="00D65AED" w:rsidRDefault="00421BB5" w:rsidP="00421BB5">
      <w:pPr>
        <w:adjustRightInd w:val="0"/>
        <w:snapToGrid w:val="0"/>
        <w:spacing w:line="360" w:lineRule="exact"/>
        <w:ind w:left="840" w:hangingChars="300" w:hanging="840"/>
        <w:jc w:val="both"/>
        <w:rPr>
          <w:rFonts w:ascii="標楷體" w:eastAsia="標楷體" w:hAnsi="標楷體"/>
          <w:snapToGrid w:val="0"/>
          <w:kern w:val="0"/>
          <w:sz w:val="28"/>
          <w:szCs w:val="28"/>
        </w:rPr>
      </w:pPr>
      <w:r w:rsidRPr="00D65AED">
        <w:rPr>
          <w:rFonts w:ascii="標楷體" w:eastAsia="標楷體" w:hAnsi="標楷體" w:hint="eastAsia"/>
          <w:snapToGrid w:val="0"/>
          <w:kern w:val="0"/>
          <w:sz w:val="28"/>
          <w:szCs w:val="28"/>
        </w:rPr>
        <w:t>決定：確定。</w:t>
      </w:r>
    </w:p>
    <w:p w14:paraId="41C139F0" w14:textId="77777777" w:rsidR="00421BB5" w:rsidRPr="00D65AED"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D65AED">
        <w:rPr>
          <w:rFonts w:ascii="標楷體" w:hAnsi="標楷體"/>
          <w:b/>
          <w:sz w:val="28"/>
          <w:szCs w:val="28"/>
        </w:rPr>
        <w:t>討論事項</w:t>
      </w:r>
    </w:p>
    <w:p w14:paraId="2CD892C4"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lang w:val="x-none"/>
        </w:rPr>
        <w:t>一、繼續</w:t>
      </w:r>
      <w:r w:rsidRPr="00D65AED">
        <w:rPr>
          <w:rFonts w:ascii="標楷體" w:eastAsia="標楷體" w:hAnsi="標楷體" w:hint="eastAsia"/>
          <w:sz w:val="28"/>
          <w:szCs w:val="28"/>
        </w:rPr>
        <w:t>審查112年度中央政府總預算案關於法務部及所屬主管收支部分。</w:t>
      </w:r>
    </w:p>
    <w:p w14:paraId="0B83363C"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二、</w:t>
      </w:r>
      <w:r w:rsidRPr="00D65AED">
        <w:rPr>
          <w:rFonts w:ascii="標楷體" w:eastAsia="標楷體" w:hAnsi="標楷體" w:hint="eastAsia"/>
          <w:sz w:val="28"/>
          <w:szCs w:val="28"/>
          <w:lang w:val="x-none"/>
        </w:rPr>
        <w:t>繼續</w:t>
      </w:r>
      <w:r w:rsidRPr="00D65AED">
        <w:rPr>
          <w:rFonts w:ascii="標楷體" w:eastAsia="標楷體" w:hAnsi="標楷體" w:hint="eastAsia"/>
          <w:sz w:val="28"/>
          <w:szCs w:val="28"/>
        </w:rPr>
        <w:t>審查112年度中央政府總預算案附屬單位預算非營業部分關</w:t>
      </w:r>
      <w:r w:rsidRPr="00D65AED">
        <w:rPr>
          <w:rFonts w:ascii="標楷體" w:eastAsia="標楷體" w:hAnsi="標楷體" w:hint="eastAsia"/>
          <w:sz w:val="28"/>
          <w:szCs w:val="28"/>
        </w:rPr>
        <w:lastRenderedPageBreak/>
        <w:t>於法務部主管「法務部矯正機關作業基金」收支部分。</w:t>
      </w:r>
    </w:p>
    <w:p w14:paraId="43C444C8"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三、</w:t>
      </w:r>
      <w:r w:rsidRPr="00D65AED">
        <w:rPr>
          <w:rFonts w:ascii="標楷體" w:eastAsia="標楷體" w:hAnsi="標楷體" w:hint="eastAsia"/>
          <w:sz w:val="28"/>
          <w:szCs w:val="28"/>
          <w:lang w:val="x-none"/>
        </w:rPr>
        <w:t>繼續</w:t>
      </w:r>
      <w:r w:rsidRPr="00D65AED">
        <w:rPr>
          <w:rFonts w:ascii="標楷體" w:eastAsia="標楷體" w:hAnsi="標楷體" w:hint="eastAsia"/>
          <w:sz w:val="28"/>
          <w:szCs w:val="28"/>
        </w:rPr>
        <w:t>審查112年度中央政府總預算案附屬單位預算非營業部分關於法務部主管「毒品防制基金」收支部分。</w:t>
      </w:r>
    </w:p>
    <w:p w14:paraId="5B8F9435" w14:textId="77777777" w:rsidR="00421BB5" w:rsidRPr="00D65AED" w:rsidRDefault="00421BB5" w:rsidP="00421BB5">
      <w:pPr>
        <w:adjustRightInd w:val="0"/>
        <w:snapToGrid w:val="0"/>
        <w:spacing w:line="360" w:lineRule="exact"/>
        <w:ind w:left="560" w:hangingChars="200" w:hanging="560"/>
        <w:jc w:val="both"/>
        <w:rPr>
          <w:rFonts w:ascii="標楷體" w:eastAsia="標楷體" w:hAnsi="標楷體"/>
          <w:sz w:val="28"/>
          <w:szCs w:val="28"/>
        </w:rPr>
      </w:pPr>
      <w:r w:rsidRPr="00D65AED">
        <w:rPr>
          <w:rFonts w:ascii="標楷體" w:eastAsia="標楷體" w:hAnsi="標楷體" w:hint="eastAsia"/>
          <w:sz w:val="28"/>
          <w:szCs w:val="28"/>
        </w:rPr>
        <w:t>四、</w:t>
      </w:r>
      <w:r w:rsidRPr="00D65AED">
        <w:rPr>
          <w:rFonts w:ascii="標楷體" w:eastAsia="標楷體" w:hAnsi="標楷體" w:hint="eastAsia"/>
          <w:sz w:val="28"/>
          <w:szCs w:val="28"/>
          <w:lang w:val="x-none"/>
        </w:rPr>
        <w:t>繼續</w:t>
      </w:r>
      <w:r w:rsidRPr="00D65AED">
        <w:rPr>
          <w:rFonts w:ascii="標楷體" w:eastAsia="標楷體" w:hAnsi="標楷體" w:hint="eastAsia"/>
          <w:sz w:val="28"/>
          <w:szCs w:val="28"/>
        </w:rPr>
        <w:t>審查法務部函送財團法人臺灣更生保護會、財團法人福建更生保護會及財團法人犯罪被害人保護協會112年度預算書案。</w:t>
      </w:r>
    </w:p>
    <w:p w14:paraId="2E359025" w14:textId="77777777" w:rsidR="00421BB5" w:rsidRPr="00D65AED" w:rsidRDefault="00421BB5" w:rsidP="00421BB5">
      <w:pPr>
        <w:spacing w:line="360" w:lineRule="exact"/>
        <w:ind w:left="280" w:hangingChars="100" w:hanging="280"/>
        <w:contextualSpacing/>
        <w:jc w:val="both"/>
        <w:rPr>
          <w:rFonts w:ascii="標楷體" w:eastAsia="標楷體" w:hAnsi="標楷體"/>
          <w:sz w:val="28"/>
          <w:szCs w:val="28"/>
        </w:rPr>
      </w:pPr>
      <w:r w:rsidRPr="00D65AED">
        <w:rPr>
          <w:rFonts w:ascii="標楷體" w:eastAsia="標楷體" w:hAnsi="標楷體"/>
          <w:sz w:val="28"/>
          <w:szCs w:val="28"/>
        </w:rPr>
        <w:t>決議：</w:t>
      </w:r>
    </w:p>
    <w:p w14:paraId="57E79B94" w14:textId="77777777" w:rsidR="00421BB5" w:rsidRPr="00D65AED" w:rsidRDefault="00421BB5" w:rsidP="00421BB5">
      <w:pPr>
        <w:autoSpaceDN w:val="0"/>
        <w:spacing w:line="360" w:lineRule="exact"/>
        <w:ind w:left="561" w:hangingChars="200" w:hanging="561"/>
        <w:contextualSpacing/>
        <w:jc w:val="both"/>
        <w:rPr>
          <w:rFonts w:ascii="標楷體" w:eastAsia="標楷體" w:hAnsi="標楷體"/>
          <w:b/>
          <w:sz w:val="28"/>
          <w:szCs w:val="28"/>
        </w:rPr>
      </w:pPr>
      <w:r w:rsidRPr="00D65AED">
        <w:rPr>
          <w:rFonts w:ascii="標楷體" w:eastAsia="標楷體" w:hAnsi="標楷體" w:hint="eastAsia"/>
          <w:b/>
          <w:sz w:val="28"/>
          <w:szCs w:val="28"/>
        </w:rPr>
        <w:t>一、112年度中央政府總預算案關於法務部及所屬主管收支部分：</w:t>
      </w:r>
    </w:p>
    <w:p w14:paraId="6B48692F" w14:textId="77777777" w:rsidR="00421BB5" w:rsidRPr="00D65AED" w:rsidRDefault="00421BB5" w:rsidP="00421BB5">
      <w:pPr>
        <w:autoSpaceDN w:val="0"/>
        <w:spacing w:line="360" w:lineRule="exact"/>
        <w:ind w:leftChars="-35" w:left="561" w:hangingChars="230" w:hanging="645"/>
        <w:contextualSpacing/>
        <w:jc w:val="both"/>
        <w:rPr>
          <w:rFonts w:ascii="標楷體" w:eastAsia="標楷體" w:hAnsi="標楷體"/>
          <w:b/>
          <w:sz w:val="28"/>
          <w:szCs w:val="28"/>
        </w:rPr>
      </w:pPr>
      <w:r w:rsidRPr="00D65AED">
        <w:rPr>
          <w:rFonts w:ascii="標楷體" w:eastAsia="標楷體" w:hAnsi="標楷體" w:hint="eastAsia"/>
          <w:b/>
          <w:sz w:val="28"/>
          <w:szCs w:val="28"/>
        </w:rPr>
        <w:t>（一）</w:t>
      </w:r>
      <w:r w:rsidRPr="00D65AED">
        <w:rPr>
          <w:rFonts w:ascii="標楷體" w:eastAsia="標楷體" w:hAnsi="標楷體"/>
          <w:b/>
          <w:sz w:val="28"/>
          <w:szCs w:val="28"/>
        </w:rPr>
        <w:t>歲入部分</w:t>
      </w:r>
    </w:p>
    <w:p w14:paraId="53F829E8" w14:textId="77777777" w:rsidR="00421BB5" w:rsidRPr="00A52F6B" w:rsidRDefault="00421BB5" w:rsidP="00A52F6B">
      <w:pPr>
        <w:spacing w:line="360" w:lineRule="exact"/>
        <w:ind w:left="559" w:hanging="557"/>
        <w:rPr>
          <w:rFonts w:ascii="標楷體" w:eastAsia="標楷體" w:hAnsi="標楷體"/>
          <w:sz w:val="28"/>
          <w:szCs w:val="28"/>
        </w:rPr>
      </w:pPr>
      <w:r w:rsidRPr="00A52F6B">
        <w:rPr>
          <w:rFonts w:ascii="標楷體" w:eastAsia="標楷體" w:hAnsi="標楷體" w:hint="eastAsia"/>
          <w:sz w:val="28"/>
          <w:szCs w:val="28"/>
        </w:rPr>
        <w:t>第2款　罰款及賠償收入</w:t>
      </w:r>
    </w:p>
    <w:p w14:paraId="726C909B"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第100項　法務部119萬2千元，照列。</w:t>
      </w:r>
    </w:p>
    <w:p w14:paraId="49F476A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第101項　司法官學院1萬8千元，照列。</w:t>
      </w:r>
    </w:p>
    <w:p w14:paraId="4278D7AF"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第102項　法醫研究所8萬3千元，照列。</w:t>
      </w:r>
    </w:p>
    <w:p w14:paraId="30F7277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第103項　廉政署1,814萬8千元，照列。</w:t>
      </w:r>
    </w:p>
    <w:p w14:paraId="14B1163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第104項　矯正署及所屬946萬1千元，照列。</w:t>
      </w:r>
    </w:p>
    <w:p w14:paraId="68ADC84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第105項　行政執行署及所屬33萬1千元，照列。</w:t>
      </w:r>
    </w:p>
    <w:p w14:paraId="6DE8D0D0"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第106項　臺灣高等檢察署114萬元，照列。</w:t>
      </w:r>
    </w:p>
    <w:p w14:paraId="179F9BEC"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第107項　臺灣高等檢察署臺中檢察分署96萬4千元，照列。</w:t>
      </w:r>
    </w:p>
    <w:p w14:paraId="612D76FD"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第108項　臺灣高等檢察署臺南檢察分署40萬5千元，照列。</w:t>
      </w:r>
    </w:p>
    <w:p w14:paraId="283AA1F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第109項　臺灣高等檢察署高雄檢察分署231萬7千元，照列。</w:t>
      </w:r>
    </w:p>
    <w:p w14:paraId="6C64B40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第110項　臺灣高等檢察署花蓮檢察分署21萬2千元，照列。</w:t>
      </w:r>
    </w:p>
    <w:p w14:paraId="6E5B8A4B"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第111項　臺灣高等檢察署智慧財產檢察分署，無列數。</w:t>
      </w:r>
    </w:p>
    <w:p w14:paraId="48D554F5"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第112項　臺灣臺北地方檢察署</w:t>
      </w:r>
      <w:r w:rsidRPr="00D65AED">
        <w:rPr>
          <w:rFonts w:ascii="標楷體" w:eastAsia="標楷體" w:hAnsi="標楷體"/>
          <w:sz w:val="28"/>
          <w:szCs w:val="28"/>
        </w:rPr>
        <w:t>9</w:t>
      </w:r>
      <w:r w:rsidRPr="00D65AED">
        <w:rPr>
          <w:rFonts w:ascii="標楷體" w:eastAsia="標楷體" w:hAnsi="標楷體" w:hint="eastAsia"/>
          <w:sz w:val="28"/>
          <w:szCs w:val="28"/>
        </w:rPr>
        <w:t>億0,176萬4千元，照列。</w:t>
      </w:r>
    </w:p>
    <w:p w14:paraId="3B2922A1" w14:textId="77777777" w:rsidR="00421BB5" w:rsidRPr="00D65AED" w:rsidRDefault="00421BB5" w:rsidP="00421BB5">
      <w:pPr>
        <w:adjustRightInd w:val="0"/>
        <w:snapToGrid w:val="0"/>
        <w:spacing w:line="360" w:lineRule="exact"/>
        <w:ind w:leftChars="140" w:left="1764" w:hangingChars="510" w:hanging="1428"/>
        <w:jc w:val="both"/>
        <w:rPr>
          <w:rFonts w:ascii="標楷體" w:eastAsia="標楷體" w:hAnsi="標楷體"/>
          <w:sz w:val="28"/>
          <w:szCs w:val="28"/>
        </w:rPr>
      </w:pPr>
      <w:r w:rsidRPr="00D65AED">
        <w:rPr>
          <w:rFonts w:ascii="標楷體" w:eastAsia="標楷體" w:hAnsi="標楷體" w:hint="eastAsia"/>
          <w:sz w:val="28"/>
          <w:szCs w:val="28"/>
        </w:rPr>
        <w:t>第113項　臺灣士林地方檢察署3億9,242萬8千元，照列。</w:t>
      </w:r>
    </w:p>
    <w:p w14:paraId="34225C5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第114項　臺灣新北地方檢察署9億2,239萬9千元，照列。</w:t>
      </w:r>
    </w:p>
    <w:p w14:paraId="253D7E5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第115項　臺灣桃園地方檢察署11億3,315萬6千元，照列。</w:t>
      </w:r>
    </w:p>
    <w:p w14:paraId="4325092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第116項　臺灣新竹地方檢察署3億9,762萬1千元，照列。</w:t>
      </w:r>
    </w:p>
    <w:p w14:paraId="7EDC06EF"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第117項　臺灣苗栗地方檢察署2億4,186萬4千元，照列。</w:t>
      </w:r>
    </w:p>
    <w:p w14:paraId="5A02F7C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第118項　臺灣臺中地方檢察署13億3,323萬2千元，照列。</w:t>
      </w:r>
    </w:p>
    <w:p w14:paraId="3EE7ADE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第119項　臺灣南投地方檢察署1億9,064萬元，照列。</w:t>
      </w:r>
    </w:p>
    <w:p w14:paraId="590794B7"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第120項　臺灣彰化地方檢察署4億7,372萬1千元，照列。</w:t>
      </w:r>
    </w:p>
    <w:p w14:paraId="12E11ED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第121項　臺灣雲林地方檢察署2億7,101萬9千元，照列。</w:t>
      </w:r>
    </w:p>
    <w:p w14:paraId="61695A0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第122項　臺灣嘉義地方檢察署3億2,767萬6千元，照列。</w:t>
      </w:r>
    </w:p>
    <w:p w14:paraId="21AF874D"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第123項　臺灣臺南地方檢察署7億0,940萬6千元，照列。</w:t>
      </w:r>
    </w:p>
    <w:p w14:paraId="65E656C2" w14:textId="77777777" w:rsidR="00421BB5" w:rsidRPr="00D65AED" w:rsidRDefault="00421BB5" w:rsidP="00421BB5">
      <w:pPr>
        <w:adjustRightInd w:val="0"/>
        <w:snapToGrid w:val="0"/>
        <w:spacing w:line="360" w:lineRule="exact"/>
        <w:ind w:leftChars="146" w:left="1764" w:hangingChars="505" w:hanging="1414"/>
        <w:jc w:val="both"/>
        <w:rPr>
          <w:rFonts w:ascii="標楷體" w:eastAsia="標楷體" w:hAnsi="標楷體"/>
          <w:sz w:val="28"/>
          <w:szCs w:val="28"/>
        </w:rPr>
      </w:pPr>
      <w:r w:rsidRPr="00D65AED">
        <w:rPr>
          <w:rFonts w:ascii="標楷體" w:eastAsia="標楷體" w:hAnsi="標楷體" w:hint="eastAsia"/>
          <w:sz w:val="28"/>
          <w:szCs w:val="28"/>
        </w:rPr>
        <w:t>第124項　臺灣橋頭地方檢察署4億3,277萬8千元，照列。</w:t>
      </w:r>
    </w:p>
    <w:p w14:paraId="509B3CBF" w14:textId="77777777" w:rsidR="00421BB5" w:rsidRPr="00D65AED" w:rsidRDefault="00421BB5" w:rsidP="00421BB5">
      <w:pPr>
        <w:adjustRightInd w:val="0"/>
        <w:snapToGrid w:val="0"/>
        <w:spacing w:line="360" w:lineRule="exact"/>
        <w:ind w:leftChars="140" w:left="1750" w:hangingChars="505" w:hanging="1414"/>
        <w:jc w:val="both"/>
        <w:rPr>
          <w:rFonts w:ascii="標楷體" w:eastAsia="標楷體" w:hAnsi="標楷體"/>
          <w:sz w:val="28"/>
          <w:szCs w:val="28"/>
        </w:rPr>
      </w:pPr>
      <w:r w:rsidRPr="00D65AED">
        <w:rPr>
          <w:rFonts w:ascii="標楷體" w:eastAsia="標楷體" w:hAnsi="標楷體" w:hint="eastAsia"/>
          <w:sz w:val="28"/>
          <w:szCs w:val="28"/>
        </w:rPr>
        <w:t>第125項　臺灣高雄地方檢察署7億4,905萬9千元，照列。</w:t>
      </w:r>
    </w:p>
    <w:p w14:paraId="6E76574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第126項　臺灣屏東地方檢察署3億9,532萬7千元，照列。</w:t>
      </w:r>
    </w:p>
    <w:p w14:paraId="4CFF5493"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第127項　臺灣臺東地方檢察署1億1,827萬1千元，照列。</w:t>
      </w:r>
    </w:p>
    <w:p w14:paraId="7A5C692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第128項　臺灣花蓮地方檢察署1億6,335萬7千元，照列。</w:t>
      </w:r>
    </w:p>
    <w:p w14:paraId="463A467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第129項　臺灣宜蘭地方檢察署2億0,650萬8千元，照列。</w:t>
      </w:r>
    </w:p>
    <w:p w14:paraId="44AE5305"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第130項　臺灣基隆地方檢察署1億6,327萬元，照列。</w:t>
      </w:r>
    </w:p>
    <w:p w14:paraId="6EB3B01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lastRenderedPageBreak/>
        <w:t>第131項　臺灣澎湖地方檢察署4,243萬5千元，照列。</w:t>
      </w:r>
    </w:p>
    <w:p w14:paraId="7E777B4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第132項　福建高等檢察署金門檢察分署，無列數。</w:t>
      </w:r>
    </w:p>
    <w:p w14:paraId="48C16F05"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第133項　福建金門地方檢察署3,538萬3千元，照列。</w:t>
      </w:r>
    </w:p>
    <w:p w14:paraId="3FCCE20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第134項　福建連江地方檢察署624萬3千元，照列。</w:t>
      </w:r>
    </w:p>
    <w:p w14:paraId="32078D1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第135項　調查局82萬3千元，照列。</w:t>
      </w:r>
    </w:p>
    <w:p w14:paraId="66BBA84E" w14:textId="77777777" w:rsidR="00421BB5" w:rsidRPr="00A52F6B" w:rsidRDefault="00421BB5" w:rsidP="00A52F6B">
      <w:pPr>
        <w:spacing w:line="360" w:lineRule="exact"/>
        <w:ind w:left="559" w:hanging="557"/>
        <w:rPr>
          <w:rFonts w:ascii="標楷體" w:eastAsia="標楷體" w:hAnsi="標楷體"/>
          <w:sz w:val="28"/>
          <w:szCs w:val="28"/>
        </w:rPr>
      </w:pPr>
      <w:r w:rsidRPr="00A52F6B">
        <w:rPr>
          <w:rFonts w:ascii="標楷體" w:eastAsia="標楷體" w:hAnsi="標楷體" w:hint="eastAsia"/>
          <w:sz w:val="28"/>
          <w:szCs w:val="28"/>
        </w:rPr>
        <w:t>第3款　規費收入</w:t>
      </w:r>
    </w:p>
    <w:p w14:paraId="48349E17"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第82項　法務部241萬2千元，照列。</w:t>
      </w:r>
    </w:p>
    <w:p w14:paraId="25A1A575"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第83項　司法官學院1千元，照列。</w:t>
      </w:r>
    </w:p>
    <w:p w14:paraId="45554FD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第84項　矯正署及所屬6萬元，照列。</w:t>
      </w:r>
    </w:p>
    <w:p w14:paraId="74E40EB7"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第85項　行政執行署及所屬2萬6千元，照列。</w:t>
      </w:r>
    </w:p>
    <w:p w14:paraId="6C15841B"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第86項　最高檢察署9千元，照列。</w:t>
      </w:r>
    </w:p>
    <w:p w14:paraId="1079E2F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第87項　臺灣臺北地方檢察署11萬1千元，照列。</w:t>
      </w:r>
    </w:p>
    <w:p w14:paraId="2F03F70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第88項　臺灣新北地方檢察署1千元，照列。</w:t>
      </w:r>
    </w:p>
    <w:p w14:paraId="4628288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第89項　臺灣桃園地方檢察署1萬7千元，照列。</w:t>
      </w:r>
    </w:p>
    <w:p w14:paraId="0DA76EE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第90項　臺灣新竹地方檢察署，無列數。</w:t>
      </w:r>
    </w:p>
    <w:p w14:paraId="6B556B2D"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第91項　臺灣苗栗地方檢察署4千元，照列。</w:t>
      </w:r>
    </w:p>
    <w:p w14:paraId="46FD9B7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第92項　臺灣臺中地方檢察署4萬5千元，照列。</w:t>
      </w:r>
    </w:p>
    <w:p w14:paraId="0A417F9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第93項　臺灣彰化地方檢察署1萬元，照列。</w:t>
      </w:r>
    </w:p>
    <w:p w14:paraId="0DC8A48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第94項　臺灣雲林地方檢察署1萬4千元，照列。</w:t>
      </w:r>
    </w:p>
    <w:p w14:paraId="655C1B9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第95項　臺灣嘉義地方檢察署5千元，照列。</w:t>
      </w:r>
    </w:p>
    <w:p w14:paraId="199A6BAF"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第96項　臺灣臺南地方檢察署1萬8千元，照列。</w:t>
      </w:r>
    </w:p>
    <w:p w14:paraId="5421E287"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第97項　臺灣橋頭地方檢察署1萬5千元，照列。</w:t>
      </w:r>
    </w:p>
    <w:p w14:paraId="32FC399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第98項　臺灣高雄地方檢察署5萬5千元，照列。</w:t>
      </w:r>
    </w:p>
    <w:p w14:paraId="113A734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第99項　臺灣屏東地方檢察署3千元，照列。</w:t>
      </w:r>
    </w:p>
    <w:p w14:paraId="0A655CB0"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第100項　臺灣臺東地方檢察署3千元，照列。</w:t>
      </w:r>
    </w:p>
    <w:p w14:paraId="6DA1830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第101項　臺灣宜蘭地方檢察署3千元，照列。</w:t>
      </w:r>
    </w:p>
    <w:p w14:paraId="682BD0F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第102項　臺灣基隆地方檢察署5千元，照列。</w:t>
      </w:r>
    </w:p>
    <w:p w14:paraId="73FCB400"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第103項　福建金門地方檢察署1千元，照列。</w:t>
      </w:r>
    </w:p>
    <w:p w14:paraId="40925225"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第104項　調查局216萬元，照列。</w:t>
      </w:r>
    </w:p>
    <w:p w14:paraId="48662FE1" w14:textId="77777777" w:rsidR="00421BB5" w:rsidRPr="00A52F6B" w:rsidRDefault="00421BB5" w:rsidP="00A52F6B">
      <w:pPr>
        <w:spacing w:line="360" w:lineRule="exact"/>
        <w:ind w:left="559" w:hanging="557"/>
        <w:rPr>
          <w:rFonts w:ascii="標楷體" w:eastAsia="標楷體" w:hAnsi="標楷體"/>
          <w:sz w:val="28"/>
          <w:szCs w:val="28"/>
        </w:rPr>
      </w:pPr>
      <w:r w:rsidRPr="00A52F6B">
        <w:rPr>
          <w:rFonts w:ascii="標楷體" w:eastAsia="標楷體" w:hAnsi="標楷體" w:hint="eastAsia"/>
          <w:sz w:val="28"/>
          <w:szCs w:val="28"/>
        </w:rPr>
        <w:t>第4款　財產收入</w:t>
      </w:r>
    </w:p>
    <w:p w14:paraId="1347ADCC"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第109項　法務部26萬6千元，照列。</w:t>
      </w:r>
    </w:p>
    <w:p w14:paraId="3FE3238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第110項　司法官學院16萬3千元，照列。</w:t>
      </w:r>
    </w:p>
    <w:p w14:paraId="07D6E9A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第111項　法醫研究所20萬1千元，照列。</w:t>
      </w:r>
    </w:p>
    <w:p w14:paraId="5ACD9B6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第112項　廉政署2萬5千元，照列。</w:t>
      </w:r>
    </w:p>
    <w:p w14:paraId="1CD0B1E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第113項　矯正署及所屬1,968萬7千元，照列。</w:t>
      </w:r>
    </w:p>
    <w:p w14:paraId="0D46278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第114項　行政執行署及所屬305萬9千元，照列。</w:t>
      </w:r>
    </w:p>
    <w:p w14:paraId="5766ADB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第115項　最高檢察署1萬2千元，照列。</w:t>
      </w:r>
    </w:p>
    <w:p w14:paraId="19226F17"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第116項　臺灣高等檢察署5萬3千元，照列。</w:t>
      </w:r>
    </w:p>
    <w:p w14:paraId="590C8EA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第117項　臺灣高等檢察署臺中檢察分署7萬3千元，照列。</w:t>
      </w:r>
    </w:p>
    <w:p w14:paraId="51C8CF6B"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第118項　臺灣高等檢察署臺南檢察分署2萬4千元，照列。</w:t>
      </w:r>
    </w:p>
    <w:p w14:paraId="1FCA0B4C"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lastRenderedPageBreak/>
        <w:t>第119項　臺灣高等檢察署高雄檢察分署12萬1千元，照列。</w:t>
      </w:r>
    </w:p>
    <w:p w14:paraId="25202AC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第120項　臺灣高等檢察署花蓮檢察分署4萬1千元，照列。</w:t>
      </w:r>
    </w:p>
    <w:p w14:paraId="5E1577F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第121項　臺灣高等檢察署智慧財產檢察分署5千元，照列。</w:t>
      </w:r>
    </w:p>
    <w:p w14:paraId="78A84BF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第122項　臺灣臺北地方檢察署70萬2千元，照列。</w:t>
      </w:r>
    </w:p>
    <w:p w14:paraId="6B7751F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第123項　臺灣士林地方檢察署40萬1千元，照列。</w:t>
      </w:r>
    </w:p>
    <w:p w14:paraId="5B916280"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第124項　臺灣新北地方檢察署36萬4千元，照列。</w:t>
      </w:r>
    </w:p>
    <w:p w14:paraId="737CB19F"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第125項　臺灣桃園地方檢察署2萬5千元，照列。</w:t>
      </w:r>
    </w:p>
    <w:p w14:paraId="11B71AE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第126項　臺灣新竹地方檢察署35萬7千元，照列。</w:t>
      </w:r>
    </w:p>
    <w:p w14:paraId="388FA007"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第127項　臺灣苗栗地方檢察署46萬元，照列。</w:t>
      </w:r>
    </w:p>
    <w:p w14:paraId="78FB0867"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第128項　臺灣臺中地方檢察署99萬6千元，照列。</w:t>
      </w:r>
    </w:p>
    <w:p w14:paraId="517E4BC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第129項　臺灣南投地方檢察署23萬8千元，照列。</w:t>
      </w:r>
    </w:p>
    <w:p w14:paraId="752E14F0"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第130項　臺灣彰化地方檢察署15萬8千元，照列。</w:t>
      </w:r>
    </w:p>
    <w:p w14:paraId="03E640DD"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第131項　臺灣雲林地方檢察署7萬2千元，照列。</w:t>
      </w:r>
    </w:p>
    <w:p w14:paraId="3353138F"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第132項　臺灣嘉義地方檢察署24萬2千元，照列。</w:t>
      </w:r>
    </w:p>
    <w:p w14:paraId="1522346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第133項　臺灣臺南地方檢察署35萬2千元，照列。</w:t>
      </w:r>
    </w:p>
    <w:p w14:paraId="5C41635B"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第134項　臺灣橋頭地方檢察署9萬元，照列。</w:t>
      </w:r>
    </w:p>
    <w:p w14:paraId="538D714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第135項　臺灣高雄地方檢察署32萬7千元，照列。</w:t>
      </w:r>
    </w:p>
    <w:p w14:paraId="743F74C0"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第136項　臺灣屏東地方檢察署9萬元，照列。</w:t>
      </w:r>
    </w:p>
    <w:p w14:paraId="416EE04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第137項　臺灣臺東地方檢察署12萬1千元，照列。</w:t>
      </w:r>
    </w:p>
    <w:p w14:paraId="559F3825"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第138項　臺灣花蓮地方檢察署28萬1千元，照列。</w:t>
      </w:r>
    </w:p>
    <w:p w14:paraId="5839C54C"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第139項　臺灣宜蘭地方檢察署18萬1千元，照列。</w:t>
      </w:r>
    </w:p>
    <w:p w14:paraId="3B52D6F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第140項　臺灣基隆地方檢察署5萬3千元，照列。</w:t>
      </w:r>
    </w:p>
    <w:p w14:paraId="740E94B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第141項　臺灣澎湖地方檢察署1萬元，照列。</w:t>
      </w:r>
    </w:p>
    <w:p w14:paraId="6E6BB3B3"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第142項　福建高等檢察署金門檢察分署11萬1千元，照列。</w:t>
      </w:r>
    </w:p>
    <w:p w14:paraId="34D9D30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第143項　福建金門地方檢察署2萬1千元，照列。</w:t>
      </w:r>
    </w:p>
    <w:p w14:paraId="2381E79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第144項　福建連江地方檢察署1萬4千元，照列。</w:t>
      </w:r>
    </w:p>
    <w:p w14:paraId="499E9E9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第145項　調查局178萬2千元，照列。</w:t>
      </w:r>
    </w:p>
    <w:p w14:paraId="6535ED2D" w14:textId="77777777" w:rsidR="00421BB5" w:rsidRPr="00A52F6B" w:rsidRDefault="00421BB5" w:rsidP="00A52F6B">
      <w:pPr>
        <w:spacing w:line="360" w:lineRule="exact"/>
        <w:ind w:left="559" w:hanging="557"/>
        <w:rPr>
          <w:rFonts w:ascii="標楷體" w:eastAsia="標楷體" w:hAnsi="標楷體"/>
          <w:sz w:val="28"/>
          <w:szCs w:val="28"/>
        </w:rPr>
      </w:pPr>
      <w:r w:rsidRPr="00A52F6B">
        <w:rPr>
          <w:rFonts w:ascii="標楷體" w:eastAsia="標楷體" w:hAnsi="標楷體" w:hint="eastAsia"/>
          <w:sz w:val="28"/>
          <w:szCs w:val="28"/>
        </w:rPr>
        <w:t>第7款　其他收入</w:t>
      </w:r>
    </w:p>
    <w:p w14:paraId="60D8C2A5"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第108項　法務部61萬2千元，照列。</w:t>
      </w:r>
    </w:p>
    <w:p w14:paraId="76B011F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w:t>
      </w:r>
      <w:r w:rsidRPr="00D65AED">
        <w:rPr>
          <w:rFonts w:ascii="標楷體" w:eastAsia="標楷體" w:hAnsi="標楷體"/>
          <w:sz w:val="28"/>
          <w:szCs w:val="28"/>
        </w:rPr>
        <w:t>09</w:t>
      </w:r>
      <w:r w:rsidRPr="00D65AED">
        <w:rPr>
          <w:rFonts w:ascii="標楷體" w:eastAsia="標楷體" w:hAnsi="標楷體" w:hint="eastAsia"/>
          <w:sz w:val="28"/>
          <w:szCs w:val="28"/>
        </w:rPr>
        <w:t>項　司法官學院1萬元，照列。</w:t>
      </w:r>
    </w:p>
    <w:p w14:paraId="5BAE7C1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第110項　法醫研究所，無列數。</w:t>
      </w:r>
    </w:p>
    <w:p w14:paraId="4FDB30E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第111項　廉政署14萬2千元，照列。</w:t>
      </w:r>
    </w:p>
    <w:p w14:paraId="26F10B9B"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第112項　矯正署及所屬1億8,749萬元，照列。</w:t>
      </w:r>
    </w:p>
    <w:p w14:paraId="0856F76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第113項　行政執行署及所屬364萬4千元，照列。</w:t>
      </w:r>
    </w:p>
    <w:p w14:paraId="0B5EDA55"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第114項　最高檢察署32萬1千元，照列。</w:t>
      </w:r>
    </w:p>
    <w:p w14:paraId="50EA982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第115項　臺灣高等檢察署122萬4千元，照列。</w:t>
      </w:r>
    </w:p>
    <w:p w14:paraId="52DC605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第116項　臺灣高等檢察署臺中檢察分署28萬5千元，照列。</w:t>
      </w:r>
    </w:p>
    <w:p w14:paraId="6B67F43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第117項　臺灣高等檢察署臺南檢察分署18萬3千元，照列。</w:t>
      </w:r>
    </w:p>
    <w:p w14:paraId="0E0FE3C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第118項　臺灣高等檢察署高雄檢察分署44萬1千元，照列。</w:t>
      </w:r>
    </w:p>
    <w:p w14:paraId="12A30DCF"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第119項　臺灣高等檢察署花蓮檢察分署15萬7千元，照列。</w:t>
      </w:r>
    </w:p>
    <w:p w14:paraId="14558BF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lastRenderedPageBreak/>
        <w:t>第120項　臺灣高等檢察署智慧財產檢察分署1萬7千元，照列。</w:t>
      </w:r>
    </w:p>
    <w:p w14:paraId="30E7BE2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第121項　臺灣臺北地方檢察署3,094萬4千元，照列。</w:t>
      </w:r>
    </w:p>
    <w:p w14:paraId="4575B654"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第122項　臺灣士林地方檢察署277萬9千元，照列。</w:t>
      </w:r>
    </w:p>
    <w:p w14:paraId="4FE0932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第123項　臺灣新北地方檢察署1,213萬3千元，照列。</w:t>
      </w:r>
    </w:p>
    <w:p w14:paraId="757A0273"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第124項　臺灣桃園地方檢察署1,131萬1千元，照列。</w:t>
      </w:r>
    </w:p>
    <w:p w14:paraId="64BCFA53"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第125項　臺灣新竹地方檢察署58萬6千元，照列。</w:t>
      </w:r>
    </w:p>
    <w:p w14:paraId="40DC286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第126項　臺灣苗栗地方檢察署92萬4千元，照列。</w:t>
      </w:r>
    </w:p>
    <w:p w14:paraId="5907DB7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第127項　臺灣臺中地方檢察署1,205萬3千元，照列。</w:t>
      </w:r>
    </w:p>
    <w:p w14:paraId="1D7BB72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第128項　臺灣南投地方檢察署173萬3千元，照列。</w:t>
      </w:r>
    </w:p>
    <w:p w14:paraId="2E2E393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第129項　臺灣彰化地方檢察署149萬6千元，照列。</w:t>
      </w:r>
    </w:p>
    <w:p w14:paraId="3E56025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第130項　臺灣雲林地方檢察署62萬3千元，照列。</w:t>
      </w:r>
    </w:p>
    <w:p w14:paraId="04A3C9A0"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第131項　臺灣嘉義地方檢察署94萬7千元，照列。</w:t>
      </w:r>
    </w:p>
    <w:p w14:paraId="1A7ABDB1"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第132項　臺灣臺南地方檢察署167萬7千元，照列。</w:t>
      </w:r>
    </w:p>
    <w:p w14:paraId="71CBFC7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第133項　臺灣橋頭地方檢察署53萬元，照列。</w:t>
      </w:r>
    </w:p>
    <w:p w14:paraId="39A1B19B"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w:t>
      </w:r>
      <w:r w:rsidRPr="00D65AED">
        <w:rPr>
          <w:rFonts w:ascii="標楷體" w:eastAsia="標楷體" w:hAnsi="標楷體"/>
          <w:sz w:val="28"/>
          <w:szCs w:val="28"/>
        </w:rPr>
        <w:t>4</w:t>
      </w:r>
      <w:r w:rsidRPr="00D65AED">
        <w:rPr>
          <w:rFonts w:ascii="標楷體" w:eastAsia="標楷體" w:hAnsi="標楷體" w:hint="eastAsia"/>
          <w:sz w:val="28"/>
          <w:szCs w:val="28"/>
        </w:rPr>
        <w:t>項　臺灣高雄地方檢察署1億5,990萬6千元，照列。</w:t>
      </w:r>
    </w:p>
    <w:p w14:paraId="0B2766B2"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w:t>
      </w:r>
      <w:r w:rsidRPr="00D65AED">
        <w:rPr>
          <w:rFonts w:ascii="標楷體" w:eastAsia="標楷體" w:hAnsi="標楷體"/>
          <w:sz w:val="28"/>
          <w:szCs w:val="28"/>
        </w:rPr>
        <w:t>5</w:t>
      </w:r>
      <w:r w:rsidRPr="00D65AED">
        <w:rPr>
          <w:rFonts w:ascii="標楷體" w:eastAsia="標楷體" w:hAnsi="標楷體" w:hint="eastAsia"/>
          <w:sz w:val="28"/>
          <w:szCs w:val="28"/>
        </w:rPr>
        <w:t>項　臺灣屏東地方檢察署66萬</w:t>
      </w:r>
      <w:r w:rsidRPr="00D65AED">
        <w:rPr>
          <w:rFonts w:ascii="標楷體" w:eastAsia="標楷體" w:hAnsi="標楷體"/>
          <w:sz w:val="28"/>
          <w:szCs w:val="28"/>
        </w:rPr>
        <w:t>5</w:t>
      </w:r>
      <w:r w:rsidRPr="00D65AED">
        <w:rPr>
          <w:rFonts w:ascii="標楷體" w:eastAsia="標楷體" w:hAnsi="標楷體" w:hint="eastAsia"/>
          <w:sz w:val="28"/>
          <w:szCs w:val="28"/>
        </w:rPr>
        <w:t>千元，照列。</w:t>
      </w:r>
    </w:p>
    <w:p w14:paraId="019B76E9"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w:t>
      </w:r>
      <w:r w:rsidRPr="00D65AED">
        <w:rPr>
          <w:rFonts w:ascii="標楷體" w:eastAsia="標楷體" w:hAnsi="標楷體"/>
          <w:sz w:val="28"/>
          <w:szCs w:val="28"/>
        </w:rPr>
        <w:t>6</w:t>
      </w:r>
      <w:r w:rsidRPr="00D65AED">
        <w:rPr>
          <w:rFonts w:ascii="標楷體" w:eastAsia="標楷體" w:hAnsi="標楷體" w:hint="eastAsia"/>
          <w:sz w:val="28"/>
          <w:szCs w:val="28"/>
        </w:rPr>
        <w:t>項　臺灣臺東地方檢察署79萬5千元，照列。</w:t>
      </w:r>
    </w:p>
    <w:p w14:paraId="442D7D9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w:t>
      </w:r>
      <w:r w:rsidRPr="00D65AED">
        <w:rPr>
          <w:rFonts w:ascii="標楷體" w:eastAsia="標楷體" w:hAnsi="標楷體"/>
          <w:sz w:val="28"/>
          <w:szCs w:val="28"/>
        </w:rPr>
        <w:t>7</w:t>
      </w:r>
      <w:r w:rsidRPr="00D65AED">
        <w:rPr>
          <w:rFonts w:ascii="標楷體" w:eastAsia="標楷體" w:hAnsi="標楷體" w:hint="eastAsia"/>
          <w:sz w:val="28"/>
          <w:szCs w:val="28"/>
        </w:rPr>
        <w:t>項　臺灣花蓮地方檢察署93萬6千元，照列。</w:t>
      </w:r>
    </w:p>
    <w:p w14:paraId="2039005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w:t>
      </w:r>
      <w:r w:rsidRPr="00D65AED">
        <w:rPr>
          <w:rFonts w:ascii="標楷體" w:eastAsia="標楷體" w:hAnsi="標楷體"/>
          <w:sz w:val="28"/>
          <w:szCs w:val="28"/>
        </w:rPr>
        <w:t>38</w:t>
      </w:r>
      <w:r w:rsidRPr="00D65AED">
        <w:rPr>
          <w:rFonts w:ascii="標楷體" w:eastAsia="標楷體" w:hAnsi="標楷體" w:hint="eastAsia"/>
          <w:sz w:val="28"/>
          <w:szCs w:val="28"/>
        </w:rPr>
        <w:t>項　臺灣宜蘭地方檢察署95萬7千元，照列。</w:t>
      </w:r>
    </w:p>
    <w:p w14:paraId="45CF357E"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第139項　臺灣基隆地方檢察署61萬8千元，照列。</w:t>
      </w:r>
    </w:p>
    <w:p w14:paraId="3943F07A"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w:t>
      </w:r>
      <w:r w:rsidRPr="00D65AED">
        <w:rPr>
          <w:rFonts w:ascii="標楷體" w:eastAsia="標楷體" w:hAnsi="標楷體"/>
          <w:sz w:val="28"/>
          <w:szCs w:val="28"/>
        </w:rPr>
        <w:t>0</w:t>
      </w:r>
      <w:r w:rsidRPr="00D65AED">
        <w:rPr>
          <w:rFonts w:ascii="標楷體" w:eastAsia="標楷體" w:hAnsi="標楷體" w:hint="eastAsia"/>
          <w:sz w:val="28"/>
          <w:szCs w:val="28"/>
        </w:rPr>
        <w:t>項　臺灣澎湖地方檢察署33萬6千元，照列。</w:t>
      </w:r>
    </w:p>
    <w:p w14:paraId="7E6D39A8"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w:t>
      </w:r>
      <w:r w:rsidRPr="00D65AED">
        <w:rPr>
          <w:rFonts w:ascii="標楷體" w:eastAsia="標楷體" w:hAnsi="標楷體"/>
          <w:sz w:val="28"/>
          <w:szCs w:val="28"/>
        </w:rPr>
        <w:t>1</w:t>
      </w:r>
      <w:r w:rsidRPr="00D65AED">
        <w:rPr>
          <w:rFonts w:ascii="標楷體" w:eastAsia="標楷體" w:hAnsi="標楷體" w:hint="eastAsia"/>
          <w:sz w:val="28"/>
          <w:szCs w:val="28"/>
        </w:rPr>
        <w:t>項　福建高等檢察署金門檢察分署2萬7千元，照列。</w:t>
      </w:r>
    </w:p>
    <w:p w14:paraId="3F49CADB"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第142項　福建金門地方檢察署13萬4千元，照列。</w:t>
      </w:r>
    </w:p>
    <w:p w14:paraId="0CF811E6" w14:textId="77777777" w:rsidR="00421BB5" w:rsidRPr="00D65AED"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D65AED">
        <w:rPr>
          <w:rFonts w:ascii="標楷體" w:eastAsia="標楷體" w:hAnsi="標楷體" w:hint="eastAsia"/>
          <w:sz w:val="28"/>
          <w:szCs w:val="28"/>
        </w:rPr>
        <w:t>第143項　調查局80萬9千元，照列。</w:t>
      </w:r>
    </w:p>
    <w:p w14:paraId="23D34BF8" w14:textId="77777777" w:rsidR="00421BB5" w:rsidRPr="00D65AED" w:rsidRDefault="00421BB5" w:rsidP="00421BB5">
      <w:pPr>
        <w:adjustRightInd w:val="0"/>
        <w:snapToGrid w:val="0"/>
        <w:spacing w:line="360" w:lineRule="exact"/>
        <w:jc w:val="both"/>
        <w:rPr>
          <w:rFonts w:ascii="標楷體" w:eastAsia="標楷體" w:hAnsi="標楷體"/>
          <w:sz w:val="28"/>
          <w:szCs w:val="28"/>
        </w:rPr>
      </w:pPr>
      <w:r w:rsidRPr="00D65AED">
        <w:rPr>
          <w:rFonts w:ascii="標楷體" w:eastAsia="標楷體" w:hAnsi="標楷體" w:hint="eastAsia"/>
          <w:b/>
          <w:sz w:val="28"/>
          <w:szCs w:val="28"/>
        </w:rPr>
        <w:t>（二）</w:t>
      </w:r>
      <w:r w:rsidRPr="00D65AED">
        <w:rPr>
          <w:rFonts w:ascii="標楷體" w:eastAsia="標楷體" w:hAnsi="標楷體"/>
          <w:b/>
          <w:sz w:val="28"/>
          <w:szCs w:val="28"/>
        </w:rPr>
        <w:t>歲出部分</w:t>
      </w:r>
    </w:p>
    <w:p w14:paraId="7C163165" w14:textId="77777777" w:rsidR="00421BB5" w:rsidRPr="00D65AED" w:rsidRDefault="00421BB5" w:rsidP="00421BB5">
      <w:pPr>
        <w:adjustRightInd w:val="0"/>
        <w:snapToGrid w:val="0"/>
        <w:spacing w:line="360" w:lineRule="exact"/>
        <w:jc w:val="both"/>
        <w:rPr>
          <w:rFonts w:ascii="標楷體" w:eastAsia="標楷體" w:hAnsi="標楷體"/>
          <w:kern w:val="0"/>
          <w:sz w:val="28"/>
          <w:szCs w:val="28"/>
        </w:rPr>
      </w:pPr>
      <w:r w:rsidRPr="00D65AED">
        <w:rPr>
          <w:rFonts w:ascii="標楷體" w:eastAsia="標楷體" w:hAnsi="標楷體"/>
          <w:kern w:val="0"/>
          <w:sz w:val="28"/>
          <w:szCs w:val="28"/>
        </w:rPr>
        <w:t>第</w:t>
      </w:r>
      <w:r w:rsidRPr="00D65AED">
        <w:rPr>
          <w:rFonts w:ascii="標楷體" w:eastAsia="標楷體" w:hAnsi="標楷體" w:hint="eastAsia"/>
          <w:kern w:val="0"/>
          <w:sz w:val="28"/>
          <w:szCs w:val="28"/>
        </w:rPr>
        <w:t>12</w:t>
      </w:r>
      <w:r w:rsidRPr="00D65AED">
        <w:rPr>
          <w:rFonts w:ascii="標楷體" w:eastAsia="標楷體" w:hAnsi="標楷體"/>
          <w:kern w:val="0"/>
          <w:sz w:val="28"/>
          <w:szCs w:val="28"/>
        </w:rPr>
        <w:t xml:space="preserve">款　</w:t>
      </w:r>
      <w:r w:rsidRPr="00D65AED">
        <w:rPr>
          <w:rFonts w:ascii="標楷體" w:eastAsia="標楷體" w:hAnsi="標楷體" w:hint="eastAsia"/>
          <w:kern w:val="0"/>
          <w:sz w:val="28"/>
          <w:szCs w:val="28"/>
        </w:rPr>
        <w:t>法務部</w:t>
      </w:r>
      <w:r w:rsidRPr="00D65AED">
        <w:rPr>
          <w:rFonts w:ascii="標楷體" w:eastAsia="標楷體" w:hAnsi="標楷體"/>
          <w:kern w:val="0"/>
          <w:sz w:val="28"/>
          <w:szCs w:val="28"/>
        </w:rPr>
        <w:t>主管</w:t>
      </w:r>
    </w:p>
    <w:p w14:paraId="7A71FAC1" w14:textId="77777777" w:rsidR="00421BB5" w:rsidRPr="00D65AED" w:rsidRDefault="00421BB5" w:rsidP="00421BB5">
      <w:pPr>
        <w:adjustRightInd w:val="0"/>
        <w:snapToGrid w:val="0"/>
        <w:spacing w:line="360" w:lineRule="exact"/>
        <w:ind w:leftChars="138" w:left="1451" w:hangingChars="400" w:hanging="1120"/>
        <w:jc w:val="both"/>
        <w:rPr>
          <w:rFonts w:ascii="標楷體" w:eastAsia="標楷體" w:hAnsi="標楷體"/>
          <w:sz w:val="28"/>
          <w:szCs w:val="28"/>
        </w:rPr>
      </w:pPr>
      <w:r w:rsidRPr="00D65AED">
        <w:rPr>
          <w:rFonts w:ascii="標楷體" w:eastAsia="標楷體" w:hAnsi="標楷體"/>
          <w:sz w:val="28"/>
          <w:szCs w:val="28"/>
        </w:rPr>
        <w:t xml:space="preserve">第1項　</w:t>
      </w:r>
      <w:r w:rsidRPr="00D65AED">
        <w:rPr>
          <w:rFonts w:ascii="標楷體" w:eastAsia="標楷體" w:hAnsi="標楷體" w:hint="eastAsia"/>
          <w:sz w:val="28"/>
          <w:szCs w:val="28"/>
        </w:rPr>
        <w:t>法務部19億6,074萬6千元，照列</w:t>
      </w:r>
      <w:r w:rsidRPr="00D65AED">
        <w:rPr>
          <w:rFonts w:ascii="標楷體" w:eastAsia="標楷體" w:hAnsi="標楷體"/>
          <w:sz w:val="28"/>
          <w:szCs w:val="28"/>
        </w:rPr>
        <w:t>。</w:t>
      </w:r>
    </w:p>
    <w:p w14:paraId="01ADC31D" w14:textId="77777777" w:rsidR="00421BB5" w:rsidRPr="00D65AED" w:rsidRDefault="00421BB5" w:rsidP="00421BB5">
      <w:pPr>
        <w:pStyle w:val="0-"/>
        <w:ind w:left="1041" w:hanging="561"/>
        <w:rPr>
          <w:b/>
        </w:rPr>
      </w:pPr>
      <w:r w:rsidRPr="00D65AED">
        <w:rPr>
          <w:rFonts w:hint="eastAsia"/>
          <w:b/>
        </w:rPr>
        <w:t>本項通過決議40項：</w:t>
      </w:r>
    </w:p>
    <w:p w14:paraId="0222F2E6" w14:textId="77777777" w:rsidR="00421BB5" w:rsidRPr="00D65AED" w:rsidRDefault="00421BB5" w:rsidP="00421BB5">
      <w:pPr>
        <w:pStyle w:val="0-"/>
        <w:rPr>
          <w:rStyle w:val="0-0"/>
        </w:rPr>
      </w:pPr>
      <w:r w:rsidRPr="00D65AED">
        <w:rPr>
          <w:rFonts w:hint="eastAsia"/>
        </w:rPr>
        <w:t>(一)11</w:t>
      </w:r>
      <w:r w:rsidRPr="00D65AED">
        <w:t>2</w:t>
      </w:r>
      <w:r w:rsidRPr="00D65AED">
        <w:rPr>
          <w:rFonts w:hint="eastAsia"/>
        </w:rPr>
        <w:t>年度法務部歲出預算第1目「一般行政」編列7億0,176萬元，凍結100萬元，俟向立法院司法及法制委員會提出書面報告後，始得動支。</w:t>
      </w:r>
    </w:p>
    <w:p w14:paraId="11CD205A" w14:textId="77777777" w:rsidR="00421BB5" w:rsidRPr="00D65AED" w:rsidRDefault="00421BB5" w:rsidP="00421BB5">
      <w:pPr>
        <w:pStyle w:val="2-1"/>
        <w:rPr>
          <w:shd w:val="clear" w:color="auto" w:fill="FFFFFF"/>
        </w:rPr>
      </w:pPr>
      <w:r w:rsidRPr="00D65AED">
        <w:rPr>
          <w:rFonts w:hint="eastAsia"/>
          <w:shd w:val="clear" w:color="auto" w:fill="FFFFFF"/>
        </w:rPr>
        <w:t xml:space="preserve">提案人：江永昌 陳以信 游毓蘭 黃世杰 </w:t>
      </w:r>
    </w:p>
    <w:p w14:paraId="055EC90D" w14:textId="77777777" w:rsidR="00421BB5" w:rsidRPr="00D65AED" w:rsidRDefault="00421BB5" w:rsidP="00421BB5">
      <w:pPr>
        <w:pStyle w:val="2-2"/>
        <w:rPr>
          <w:shd w:val="clear" w:color="auto" w:fill="FFFFFF"/>
        </w:rPr>
      </w:pPr>
      <w:r w:rsidRPr="00D65AED">
        <w:rPr>
          <w:rFonts w:hint="eastAsia"/>
          <w:shd w:val="clear" w:color="auto" w:fill="FFFFFF"/>
        </w:rPr>
        <w:t>陳歐珀 林思銘 陳玉珍</w:t>
      </w:r>
    </w:p>
    <w:p w14:paraId="2053B7F5" w14:textId="77777777" w:rsidR="00421BB5" w:rsidRPr="00D65AED" w:rsidRDefault="00421BB5" w:rsidP="00421BB5">
      <w:pPr>
        <w:pStyle w:val="0-"/>
        <w:rPr>
          <w:rStyle w:val="0-0"/>
        </w:rPr>
      </w:pPr>
      <w:r w:rsidRPr="00D65AED">
        <w:rPr>
          <w:rFonts w:hint="eastAsia"/>
        </w:rPr>
        <w:t>(二)11</w:t>
      </w:r>
      <w:r w:rsidRPr="00D65AED">
        <w:t>2</w:t>
      </w:r>
      <w:r w:rsidRPr="00D65AED">
        <w:rPr>
          <w:rFonts w:hint="eastAsia"/>
        </w:rPr>
        <w:t>年度法務部歲出預算第2目「法務行政」編列8億0,514萬2千元，凍結200萬元，俟向立法院司法及法制委員會提出書面報告後，始得動支。</w:t>
      </w:r>
    </w:p>
    <w:p w14:paraId="46C4F72E" w14:textId="77777777" w:rsidR="00421BB5" w:rsidRPr="00D65AED" w:rsidRDefault="00421BB5" w:rsidP="00421BB5">
      <w:pPr>
        <w:pStyle w:val="2-1"/>
        <w:rPr>
          <w:shd w:val="clear" w:color="auto" w:fill="FFFFFF"/>
        </w:rPr>
      </w:pPr>
      <w:r w:rsidRPr="00D65AED">
        <w:rPr>
          <w:rFonts w:hint="eastAsia"/>
          <w:shd w:val="clear" w:color="auto" w:fill="FFFFFF"/>
        </w:rPr>
        <w:t xml:space="preserve">提案人：劉建國 江永昌 游毓蘭 黃世杰 </w:t>
      </w:r>
    </w:p>
    <w:p w14:paraId="0D4B8AC9" w14:textId="77777777" w:rsidR="00421BB5" w:rsidRPr="00D65AED" w:rsidRDefault="00421BB5" w:rsidP="00421BB5">
      <w:pPr>
        <w:pStyle w:val="2-2"/>
        <w:rPr>
          <w:shd w:val="clear" w:color="auto" w:fill="FFFFFF"/>
        </w:rPr>
      </w:pPr>
      <w:r w:rsidRPr="00D65AED">
        <w:rPr>
          <w:rFonts w:hint="eastAsia"/>
          <w:shd w:val="clear" w:color="auto" w:fill="FFFFFF"/>
        </w:rPr>
        <w:t>陳以信 周春米 陳歐珀 陳玉珍</w:t>
      </w:r>
    </w:p>
    <w:p w14:paraId="26180A27" w14:textId="77777777" w:rsidR="00421BB5" w:rsidRPr="00D65AED" w:rsidRDefault="00421BB5" w:rsidP="00421BB5">
      <w:pPr>
        <w:pStyle w:val="2-2"/>
        <w:rPr>
          <w:shd w:val="clear" w:color="auto" w:fill="FFFFFF"/>
        </w:rPr>
      </w:pPr>
      <w:r w:rsidRPr="00D65AED">
        <w:rPr>
          <w:rFonts w:hint="eastAsia"/>
          <w:shd w:val="clear" w:color="auto" w:fill="FFFFFF"/>
        </w:rPr>
        <w:t>林思銘 曾銘宗</w:t>
      </w:r>
    </w:p>
    <w:p w14:paraId="034A3870" w14:textId="77777777" w:rsidR="00421BB5" w:rsidRPr="00D65AED" w:rsidRDefault="00421BB5" w:rsidP="00421BB5">
      <w:pPr>
        <w:pStyle w:val="0-"/>
        <w:rPr>
          <w:rStyle w:val="0-0"/>
        </w:rPr>
      </w:pPr>
      <w:r w:rsidRPr="00D65AED">
        <w:rPr>
          <w:rFonts w:hint="eastAsia"/>
        </w:rPr>
        <w:t>(三)11</w:t>
      </w:r>
      <w:r w:rsidRPr="00D65AED">
        <w:t>2</w:t>
      </w:r>
      <w:r w:rsidRPr="00D65AED">
        <w:rPr>
          <w:rFonts w:hint="eastAsia"/>
        </w:rPr>
        <w:t>年度法務部歲出預算第5目「司法科技業務」編列1,</w:t>
      </w:r>
      <w:r w:rsidRPr="00D65AED">
        <w:t>400</w:t>
      </w:r>
      <w:r w:rsidRPr="00D65AED">
        <w:rPr>
          <w:rFonts w:hint="eastAsia"/>
        </w:rPr>
        <w:lastRenderedPageBreak/>
        <w:t>萬元，凍結20萬元，俟向立法院司法及法制委員會提出書面報告後，始得動支。</w:t>
      </w:r>
    </w:p>
    <w:p w14:paraId="5163D1FD" w14:textId="77777777" w:rsidR="00421BB5" w:rsidRPr="00D65AED" w:rsidRDefault="00421BB5" w:rsidP="00421BB5">
      <w:pPr>
        <w:pStyle w:val="2-1"/>
        <w:rPr>
          <w:shd w:val="clear" w:color="auto" w:fill="FFFFFF"/>
        </w:rPr>
      </w:pPr>
      <w:r w:rsidRPr="00D65AED">
        <w:rPr>
          <w:rFonts w:hint="eastAsia"/>
          <w:shd w:val="clear" w:color="auto" w:fill="FFFFFF"/>
        </w:rPr>
        <w:t xml:space="preserve">提案人：陳以信 </w:t>
      </w:r>
    </w:p>
    <w:p w14:paraId="7D7BC4AE" w14:textId="77777777" w:rsidR="00421BB5" w:rsidRPr="00D65AED" w:rsidRDefault="00421BB5" w:rsidP="00421BB5">
      <w:pPr>
        <w:pStyle w:val="2-1"/>
        <w:rPr>
          <w:shd w:val="clear" w:color="auto" w:fill="FFFFFF"/>
        </w:rPr>
      </w:pPr>
      <w:r w:rsidRPr="00D65AED">
        <w:rPr>
          <w:rFonts w:hint="eastAsia"/>
          <w:shd w:val="clear" w:color="auto" w:fill="FFFFFF"/>
        </w:rPr>
        <w:t>連署人：林思銘 游毓蘭</w:t>
      </w:r>
    </w:p>
    <w:p w14:paraId="10353C07" w14:textId="77777777" w:rsidR="00421BB5" w:rsidRPr="00D65AED" w:rsidRDefault="00421BB5" w:rsidP="00421BB5">
      <w:pPr>
        <w:pStyle w:val="0-"/>
      </w:pPr>
      <w:r w:rsidRPr="00D65AED">
        <w:rPr>
          <w:rFonts w:hint="eastAsia"/>
        </w:rPr>
        <w:t>(四)緣揭弊者保護法草案，自從109年2月20日起，法務部多次送行政院審查後，迄今未通過審查函送立法院。此重大議題誠有立法必要，例如選舉查賄之吹哨、新冠肺炎疫苗等等防疫物資採購爭議等等，此類案件亟待揭弊者保護制度實施，以鼓勵內部人勇於挺身揭弊。綜上，法務部應向外界說明目前推動之意見、困難，公開說明針對私部門適用揭弊者保護及適用範圍</w:t>
      </w:r>
      <w:r w:rsidRPr="00D65AED">
        <w:t>…</w:t>
      </w:r>
      <w:r w:rsidRPr="00D65AED">
        <w:rPr>
          <w:rFonts w:hint="eastAsia"/>
        </w:rPr>
        <w:t>等等關鍵立法議題，並積極推動本案進度。請法務部就行政院審查、關鍵立法議題等推動進度，於3個月內向立法院司法及法制委員會提出書面報告。</w:t>
      </w:r>
    </w:p>
    <w:p w14:paraId="654C92E9" w14:textId="77777777" w:rsidR="00421BB5" w:rsidRPr="00D65AED" w:rsidRDefault="00421BB5" w:rsidP="00421BB5">
      <w:pPr>
        <w:pStyle w:val="2-1"/>
        <w:rPr>
          <w:shd w:val="clear" w:color="auto" w:fill="FFFFFF"/>
        </w:rPr>
      </w:pPr>
      <w:r w:rsidRPr="00D65AED">
        <w:rPr>
          <w:rFonts w:hint="eastAsia"/>
          <w:shd w:val="clear" w:color="auto" w:fill="FFFFFF"/>
        </w:rPr>
        <w:t>提案人：游毓蘭 曾銘宗 林思銘</w:t>
      </w:r>
    </w:p>
    <w:p w14:paraId="45ACE197" w14:textId="77777777" w:rsidR="00421BB5" w:rsidRPr="00D65AED" w:rsidRDefault="00421BB5" w:rsidP="00421BB5">
      <w:pPr>
        <w:pStyle w:val="0-"/>
      </w:pPr>
      <w:r w:rsidRPr="00D65AED">
        <w:rPr>
          <w:rFonts w:hint="eastAsia"/>
        </w:rPr>
        <w:t>(五)查「被害人刑事訴訟資訊獲知平台」由法務部及司法院共同建置，被害人經聲請核准後，於訴訟進行中之偵查、審理及執行等階段，均可以透過該平台獲知案件相關訴訟資訊，惟目前核准聲請案件數仍低，法務部似無加強向特定案件類型之犯罪被害人宣導，提升其聲請意願，爰請法務部向立法院司法及法制委員會提出改善措施之書面報告。</w:t>
      </w:r>
    </w:p>
    <w:p w14:paraId="14573BBE" w14:textId="77777777" w:rsidR="00421BB5" w:rsidRPr="00D65AED" w:rsidRDefault="00421BB5" w:rsidP="00421BB5">
      <w:pPr>
        <w:pStyle w:val="2-1"/>
        <w:rPr>
          <w:shd w:val="clear" w:color="auto" w:fill="FFFFFF"/>
        </w:rPr>
      </w:pPr>
      <w:r w:rsidRPr="00D65AED">
        <w:rPr>
          <w:rFonts w:hint="eastAsia"/>
          <w:shd w:val="clear" w:color="auto" w:fill="FFFFFF"/>
        </w:rPr>
        <w:t>提案人：陳玉珍</w:t>
      </w:r>
    </w:p>
    <w:p w14:paraId="719BB259" w14:textId="77777777" w:rsidR="00421BB5" w:rsidRPr="00D65AED" w:rsidRDefault="00421BB5" w:rsidP="00421BB5">
      <w:pPr>
        <w:pStyle w:val="2-1"/>
        <w:rPr>
          <w:shd w:val="clear" w:color="auto" w:fill="FFFFFF"/>
        </w:rPr>
      </w:pPr>
      <w:r w:rsidRPr="00D65AED">
        <w:rPr>
          <w:rFonts w:hint="eastAsia"/>
          <w:shd w:val="clear" w:color="auto" w:fill="FFFFFF"/>
        </w:rPr>
        <w:t>連署人：游毓蘭 林思銘</w:t>
      </w:r>
    </w:p>
    <w:p w14:paraId="7D1607B9" w14:textId="77777777" w:rsidR="00421BB5" w:rsidRPr="00D65AED" w:rsidRDefault="00421BB5" w:rsidP="00421BB5">
      <w:pPr>
        <w:pStyle w:val="0-"/>
      </w:pPr>
      <w:r w:rsidRPr="00D65AED">
        <w:rPr>
          <w:rFonts w:hint="eastAsia"/>
        </w:rPr>
        <w:t>(六)據媒體報導，2020年間有檢察官至涉嫌洗錢嫌犯所有之私人招待所，似違廉潔操守。爰請法務部於3個月內就此向立法院司法及法制委員會提出書面報告。</w:t>
      </w:r>
    </w:p>
    <w:p w14:paraId="51334D1A" w14:textId="77777777" w:rsidR="00421BB5" w:rsidRPr="00D65AED" w:rsidRDefault="00421BB5" w:rsidP="00421BB5">
      <w:pPr>
        <w:pStyle w:val="2-1"/>
        <w:rPr>
          <w:shd w:val="clear" w:color="auto" w:fill="FFFFFF"/>
        </w:rPr>
      </w:pPr>
      <w:r w:rsidRPr="00D65AED">
        <w:rPr>
          <w:rFonts w:hint="eastAsia"/>
          <w:shd w:val="clear" w:color="auto" w:fill="FFFFFF"/>
        </w:rPr>
        <w:t>提案人：游毓蘭 陳玉珍 林思銘</w:t>
      </w:r>
    </w:p>
    <w:p w14:paraId="3821B2E4" w14:textId="77777777" w:rsidR="00421BB5" w:rsidRPr="00D65AED" w:rsidRDefault="00421BB5" w:rsidP="00421BB5">
      <w:pPr>
        <w:pStyle w:val="0-"/>
      </w:pPr>
      <w:r w:rsidRPr="00D65AED">
        <w:rPr>
          <w:rFonts w:hint="eastAsia"/>
        </w:rPr>
        <w:t>(七)經查法務部矯正署自109年起積極推動「智慧監獄建置計畫」，以智慧化、科技化提升管理效率，藉以改善戒護比過高、監所人力不足等問題，惟推展至今仍有45億元經費缺口。數位發展部於1</w:t>
      </w:r>
      <w:r w:rsidRPr="00D65AED">
        <w:t>11</w:t>
      </w:r>
      <w:r w:rsidRPr="00D65AED">
        <w:rPr>
          <w:rFonts w:hint="eastAsia"/>
        </w:rPr>
        <w:t>年8月揭牌承擔國家數位發展重任，法務部應積極與其爭取相關合作及經費。另監所人力不足問題，亦應謀改善解決。爰請法務部矯正署就跨部會爭取智慧監獄建置計畫經費，以及監所人力不足，於3個月內向立法院司法及法制委員會提出書面報告。</w:t>
      </w:r>
    </w:p>
    <w:p w14:paraId="7FD8A380" w14:textId="77777777" w:rsidR="00421BB5" w:rsidRPr="00D65AED" w:rsidRDefault="00421BB5" w:rsidP="00421BB5">
      <w:pPr>
        <w:pStyle w:val="2-1"/>
        <w:rPr>
          <w:shd w:val="clear" w:color="auto" w:fill="FFFFFF"/>
        </w:rPr>
      </w:pPr>
      <w:r w:rsidRPr="00D65AED">
        <w:rPr>
          <w:rFonts w:hint="eastAsia"/>
          <w:shd w:val="clear" w:color="auto" w:fill="FFFFFF"/>
        </w:rPr>
        <w:t>提案人：游毓蘭 曾銘宗 林思銘</w:t>
      </w:r>
    </w:p>
    <w:p w14:paraId="35055B10" w14:textId="77777777" w:rsidR="00421BB5" w:rsidRPr="00D65AED" w:rsidRDefault="00421BB5" w:rsidP="00421BB5">
      <w:pPr>
        <w:pStyle w:val="0-"/>
      </w:pPr>
      <w:r w:rsidRPr="00D65AED">
        <w:rPr>
          <w:rFonts w:hint="eastAsia"/>
        </w:rPr>
        <w:t>(八)經查法務部矯正署自106年開辦自主監外作業政策，雖然號稱不須戒護，但若發生重大矯正違失事件，仍由基層同仁承擔責任。監獄內的作業科為此政策，需辦相關說明會、找合作廠商、審查收容人資格、找亮點辦活動，讓人力吃緊情形更加嚴峻，收容人出監時基層獄政人員又無強制力，來防範意外事件。法</w:t>
      </w:r>
      <w:r w:rsidRPr="00D65AED">
        <w:rPr>
          <w:rFonts w:hint="eastAsia"/>
        </w:rPr>
        <w:lastRenderedPageBreak/>
        <w:t>務部應檢討自主監外作業方式，實際考量基層同仁執行時之困難。俟法務部就檢討自主監外作業，於3個月內向立法院司法及法制委員會提出書面報告。</w:t>
      </w:r>
    </w:p>
    <w:p w14:paraId="29834E81" w14:textId="77777777" w:rsidR="00421BB5" w:rsidRPr="00D65AED" w:rsidRDefault="00421BB5" w:rsidP="00421BB5">
      <w:pPr>
        <w:pStyle w:val="2-1"/>
        <w:rPr>
          <w:shd w:val="clear" w:color="auto" w:fill="FFFFFF"/>
        </w:rPr>
      </w:pPr>
      <w:r w:rsidRPr="00D65AED">
        <w:rPr>
          <w:rFonts w:hint="eastAsia"/>
          <w:shd w:val="clear" w:color="auto" w:fill="FFFFFF"/>
        </w:rPr>
        <w:t>提案人：游毓蘭 曾銘宗 林思銘</w:t>
      </w:r>
    </w:p>
    <w:p w14:paraId="2D676E9A" w14:textId="77777777" w:rsidR="00421BB5" w:rsidRPr="00D65AED" w:rsidRDefault="00421BB5" w:rsidP="00421BB5">
      <w:pPr>
        <w:pStyle w:val="0-"/>
      </w:pPr>
      <w:r w:rsidRPr="00D65AED">
        <w:rPr>
          <w:rFonts w:hint="eastAsia"/>
        </w:rPr>
        <w:t>(九)經查110年8月監察院通過糾正案（1</w:t>
      </w:r>
      <w:r w:rsidRPr="00D65AED">
        <w:t>10</w:t>
      </w:r>
      <w:r w:rsidRPr="00D65AED">
        <w:rPr>
          <w:rFonts w:hint="eastAsia"/>
        </w:rPr>
        <w:t>司正0002），要求少年輔育院改制少年矯正學校後人力資源問題，審計部亦調查(110年決算審核報告-丙306以下)，發現明陽、誠正、敦品、勵志四少年矯正學校，社工、心理師等專業輔導人員預算員額22人，實際卻僅有5人，且多以契約進用，穩定性不足，難以發揮功能。人力之缺乏及不穩定，將會導致管理問題，而頻生內部霸凌鬥毆等問題，亟待檢討改善。請法務部就少年矯正學校人力充足及穩定化，於3個月內向立法院司法及法制委員會提出書面報告。</w:t>
      </w:r>
    </w:p>
    <w:p w14:paraId="740AC536" w14:textId="77777777" w:rsidR="00421BB5" w:rsidRPr="00D65AED" w:rsidRDefault="00421BB5" w:rsidP="00421BB5">
      <w:pPr>
        <w:pStyle w:val="2-1"/>
        <w:rPr>
          <w:shd w:val="clear" w:color="auto" w:fill="FFFFFF"/>
        </w:rPr>
      </w:pPr>
      <w:r w:rsidRPr="00D65AED">
        <w:rPr>
          <w:rFonts w:hint="eastAsia"/>
          <w:shd w:val="clear" w:color="auto" w:fill="FFFFFF"/>
        </w:rPr>
        <w:t>提案人：游毓蘭 曾銘宗 林思銘</w:t>
      </w:r>
    </w:p>
    <w:p w14:paraId="5C3C9C74" w14:textId="77777777" w:rsidR="00421BB5" w:rsidRPr="00D65AED" w:rsidRDefault="00421BB5" w:rsidP="00421BB5">
      <w:pPr>
        <w:pStyle w:val="0-"/>
      </w:pPr>
      <w:r w:rsidRPr="00D65AED">
        <w:rPr>
          <w:rFonts w:hint="eastAsia"/>
        </w:rPr>
        <w:t>(十)112年度法務部歲出預算中編列「辦理綜合性法務政策對外溝通等媒體政策及業務宣導費」</w:t>
      </w:r>
      <w:r w:rsidRPr="00D65AED">
        <w:t>22</w:t>
      </w:r>
      <w:r w:rsidRPr="00D65AED">
        <w:rPr>
          <w:rFonts w:hint="eastAsia"/>
        </w:rPr>
        <w:t>萬元，要求法務部積極辦理司法改革政策行銷，持續以多元生動活潑方式行銷司法改革成效，讓外界瞭解司法改革具體內涵。</w:t>
      </w:r>
    </w:p>
    <w:p w14:paraId="1C4B0774" w14:textId="77777777" w:rsidR="00421BB5" w:rsidRPr="00D65AED" w:rsidRDefault="00421BB5" w:rsidP="00421BB5">
      <w:pPr>
        <w:pStyle w:val="2-1"/>
        <w:rPr>
          <w:shd w:val="clear" w:color="auto" w:fill="FFFFFF"/>
        </w:rPr>
      </w:pPr>
      <w:r w:rsidRPr="00D65AED">
        <w:rPr>
          <w:rFonts w:hint="eastAsia"/>
          <w:shd w:val="clear" w:color="auto" w:fill="FFFFFF"/>
        </w:rPr>
        <w:t>提案人：陳以信</w:t>
      </w:r>
    </w:p>
    <w:p w14:paraId="0569A38B" w14:textId="77777777" w:rsidR="00421BB5" w:rsidRPr="00D65AED" w:rsidRDefault="00421BB5" w:rsidP="00421BB5">
      <w:pPr>
        <w:pStyle w:val="2-1"/>
        <w:rPr>
          <w:shd w:val="clear" w:color="auto" w:fill="FFFFFF"/>
        </w:rPr>
      </w:pPr>
      <w:r w:rsidRPr="00D65AED">
        <w:rPr>
          <w:rFonts w:hint="eastAsia"/>
          <w:shd w:val="clear" w:color="auto" w:fill="FFFFFF"/>
        </w:rPr>
        <w:t xml:space="preserve">連署人：林思銘 游毓蘭 </w:t>
      </w:r>
    </w:p>
    <w:p w14:paraId="40B3BA07" w14:textId="77777777" w:rsidR="00421BB5" w:rsidRPr="00D65AED" w:rsidRDefault="00421BB5" w:rsidP="00421BB5">
      <w:pPr>
        <w:pStyle w:val="0-"/>
      </w:pPr>
      <w:r w:rsidRPr="00D65AED">
        <w:rPr>
          <w:rFonts w:hint="eastAsia"/>
        </w:rPr>
        <w:t>(十一)查刑事訴訟法第218條第1項之規定，遇有非病死或可疑為非病死者，該管檢察官應速相驗。惟以法醫的人力，無法支援金門在當地進行陪同相驗，因此，目前在金門地區的實務操作經驗，是由檢察官會同支援的醫師或檢驗員相驗。而檢察官相驗結束後，若無出示相驗結果報告之判準依據及理由，且若家屬有異議，又無救濟管道，恐讓家屬對相驗結果質疑，爰請法務部改善相關相驗程序之完備。</w:t>
      </w:r>
    </w:p>
    <w:p w14:paraId="49F470AA" w14:textId="77777777" w:rsidR="00421BB5" w:rsidRPr="00D65AED" w:rsidRDefault="00421BB5" w:rsidP="00421BB5">
      <w:pPr>
        <w:pStyle w:val="2-1"/>
        <w:rPr>
          <w:shd w:val="clear" w:color="auto" w:fill="FFFFFF"/>
        </w:rPr>
      </w:pPr>
      <w:r w:rsidRPr="00D65AED">
        <w:rPr>
          <w:rFonts w:hint="eastAsia"/>
          <w:shd w:val="clear" w:color="auto" w:fill="FFFFFF"/>
        </w:rPr>
        <w:t>提案人：陳玉珍</w:t>
      </w:r>
    </w:p>
    <w:p w14:paraId="41930698" w14:textId="77777777" w:rsidR="00421BB5" w:rsidRPr="00D65AED" w:rsidRDefault="00421BB5" w:rsidP="00421BB5">
      <w:pPr>
        <w:pStyle w:val="2-1"/>
        <w:rPr>
          <w:shd w:val="clear" w:color="auto" w:fill="FFFFFF"/>
        </w:rPr>
      </w:pPr>
      <w:r w:rsidRPr="00D65AED">
        <w:rPr>
          <w:rFonts w:hint="eastAsia"/>
          <w:shd w:val="clear" w:color="auto" w:fill="FFFFFF"/>
        </w:rPr>
        <w:t>連署人：游毓蘭 林思銘</w:t>
      </w:r>
    </w:p>
    <w:p w14:paraId="4070D115" w14:textId="77777777" w:rsidR="00421BB5" w:rsidRPr="00D65AED" w:rsidRDefault="00421BB5" w:rsidP="00421BB5">
      <w:pPr>
        <w:pStyle w:val="0-"/>
      </w:pPr>
      <w:r w:rsidRPr="00D65AED">
        <w:rPr>
          <w:rFonts w:hint="eastAsia"/>
        </w:rPr>
        <w:t>(十二)查112年度法務部歲出預算「法務行政」編列8億0</w:t>
      </w:r>
      <w:r w:rsidRPr="00D65AED">
        <w:t>,</w:t>
      </w:r>
      <w:r w:rsidRPr="00D65AED">
        <w:rPr>
          <w:rFonts w:hint="eastAsia"/>
        </w:rPr>
        <w:t>514萬2千元，其中包括督導檢察業務、研修刑事法規等業務。然查法務部雖針對年底九合一選舉，將打擊假訊息列重點工作項目之一，要求檢察機關可以主動澄清假訊息，有必要也可公開偵查作為、發布新聞等。但面對假訊息之澄清與查處速度，卻讓人有選擇性偵辦的疑慮，顯有未積極督導檢察業務之虞，爰請法務部就此於3個月內提出書面報告。</w:t>
      </w:r>
    </w:p>
    <w:p w14:paraId="4311E0A1" w14:textId="77777777" w:rsidR="00421BB5" w:rsidRPr="00D65AED" w:rsidRDefault="00421BB5" w:rsidP="00421BB5">
      <w:pPr>
        <w:pStyle w:val="2-1"/>
        <w:rPr>
          <w:shd w:val="clear" w:color="auto" w:fill="FFFFFF"/>
        </w:rPr>
      </w:pPr>
      <w:r w:rsidRPr="00D65AED">
        <w:rPr>
          <w:rFonts w:hint="eastAsia"/>
          <w:shd w:val="clear" w:color="auto" w:fill="FFFFFF"/>
        </w:rPr>
        <w:t>提案人：陳玉珍</w:t>
      </w:r>
    </w:p>
    <w:p w14:paraId="1FE35DB4" w14:textId="77777777" w:rsidR="00421BB5" w:rsidRPr="00D65AED" w:rsidRDefault="00421BB5" w:rsidP="00421BB5">
      <w:pPr>
        <w:pStyle w:val="2-1"/>
        <w:rPr>
          <w:shd w:val="clear" w:color="auto" w:fill="FFFFFF"/>
        </w:rPr>
      </w:pPr>
      <w:r w:rsidRPr="00D65AED">
        <w:rPr>
          <w:rFonts w:hint="eastAsia"/>
          <w:shd w:val="clear" w:color="auto" w:fill="FFFFFF"/>
        </w:rPr>
        <w:t>連署人：游毓蘭 林思銘</w:t>
      </w:r>
    </w:p>
    <w:p w14:paraId="708E745D" w14:textId="77777777" w:rsidR="00421BB5" w:rsidRPr="00D65AED" w:rsidRDefault="00421BB5" w:rsidP="00421BB5">
      <w:pPr>
        <w:pStyle w:val="0-"/>
      </w:pPr>
      <w:r w:rsidRPr="00D65AED">
        <w:rPr>
          <w:rFonts w:hint="eastAsia"/>
        </w:rPr>
        <w:t>(十三)查打擊詐欺犯罪為政府施政重點之一，近年資通訊技術發展快速，卻遭不當濫用成為犯罪工具，導致電信詐欺犯罪手法日</w:t>
      </w:r>
      <w:r w:rsidRPr="00D65AED">
        <w:rPr>
          <w:rFonts w:hint="eastAsia"/>
        </w:rPr>
        <w:lastRenderedPageBreak/>
        <w:t>新月異，造成民眾財產損失，法務部主責偵查打擊之「懲詐」面向，以提升電信詐騙案件查獲集團數為績效目標，卻對詐欺案件被害人財產損失追回比例甚低，爰請法務部就此研議查察及提升查扣不法所得之作為，向立法院司法及法制委員會提出書面報告。</w:t>
      </w:r>
    </w:p>
    <w:p w14:paraId="241319E9" w14:textId="77777777" w:rsidR="00421BB5" w:rsidRPr="00D65AED" w:rsidRDefault="00421BB5" w:rsidP="00421BB5">
      <w:pPr>
        <w:pStyle w:val="2-1"/>
        <w:rPr>
          <w:shd w:val="clear" w:color="auto" w:fill="FFFFFF"/>
        </w:rPr>
      </w:pPr>
      <w:r w:rsidRPr="00D65AED">
        <w:rPr>
          <w:rFonts w:hint="eastAsia"/>
          <w:shd w:val="clear" w:color="auto" w:fill="FFFFFF"/>
        </w:rPr>
        <w:t>提案人：陳玉珍</w:t>
      </w:r>
    </w:p>
    <w:p w14:paraId="0BD5B885" w14:textId="77777777" w:rsidR="00421BB5" w:rsidRPr="00D65AED" w:rsidRDefault="00421BB5" w:rsidP="00421BB5">
      <w:pPr>
        <w:pStyle w:val="2-1"/>
        <w:rPr>
          <w:shd w:val="clear" w:color="auto" w:fill="FFFFFF"/>
        </w:rPr>
      </w:pPr>
      <w:r w:rsidRPr="00D65AED">
        <w:rPr>
          <w:rFonts w:hint="eastAsia"/>
          <w:shd w:val="clear" w:color="auto" w:fill="FFFFFF"/>
        </w:rPr>
        <w:t>連署人：游毓蘭 林思銘</w:t>
      </w:r>
    </w:p>
    <w:p w14:paraId="211474A0" w14:textId="77777777" w:rsidR="00421BB5" w:rsidRPr="00D65AED" w:rsidRDefault="00421BB5" w:rsidP="00421BB5">
      <w:pPr>
        <w:pStyle w:val="0-"/>
      </w:pPr>
      <w:r w:rsidRPr="00D65AED">
        <w:rPr>
          <w:rFonts w:hint="eastAsia"/>
        </w:rPr>
        <w:t>(十四)查112年度法務部歲出預算「法務行政」編列8億0</w:t>
      </w:r>
      <w:r w:rsidRPr="00D65AED">
        <w:t>,</w:t>
      </w:r>
      <w:r w:rsidRPr="00D65AED">
        <w:rPr>
          <w:rFonts w:hint="eastAsia"/>
        </w:rPr>
        <w:t>514萬2千元，其中包括辦理易服社會勞動計畫等業務。然查我國近年易服社會勞動件數已逐漸減少，106至110年度之降幅超逾三成，且其中易服社會勞動履行完成全部時數占終結件數之比率亦漸減。且監察院查出部分地方檢察署未成立「易服社會勞動執行小組」、各檢察機關於遴選社會勞動執行機關(構)時未盡周妥、對於社會勞動人之管理及因應作為尚待強化等情事，請法務部於3個月內向立法院司法及法制委員會提出書面報告。</w:t>
      </w:r>
    </w:p>
    <w:p w14:paraId="28CADB58" w14:textId="77777777" w:rsidR="00421BB5" w:rsidRPr="00D65AED" w:rsidRDefault="00421BB5" w:rsidP="00421BB5">
      <w:pPr>
        <w:pStyle w:val="2-1"/>
        <w:rPr>
          <w:shd w:val="clear" w:color="auto" w:fill="FFFFFF"/>
        </w:rPr>
      </w:pPr>
      <w:r w:rsidRPr="00D65AED">
        <w:rPr>
          <w:rFonts w:hint="eastAsia"/>
          <w:shd w:val="clear" w:color="auto" w:fill="FFFFFF"/>
        </w:rPr>
        <w:t>提案人：陳玉珍</w:t>
      </w:r>
    </w:p>
    <w:p w14:paraId="094D81CF" w14:textId="77777777" w:rsidR="00421BB5" w:rsidRPr="00D65AED" w:rsidRDefault="00421BB5" w:rsidP="00421BB5">
      <w:pPr>
        <w:pStyle w:val="2-1"/>
        <w:rPr>
          <w:shd w:val="clear" w:color="auto" w:fill="FFFFFF"/>
        </w:rPr>
      </w:pPr>
      <w:r w:rsidRPr="00D65AED">
        <w:rPr>
          <w:rFonts w:hint="eastAsia"/>
          <w:shd w:val="clear" w:color="auto" w:fill="FFFFFF"/>
        </w:rPr>
        <w:t>連署人：游毓蘭 林思銘</w:t>
      </w:r>
    </w:p>
    <w:p w14:paraId="7D799692" w14:textId="77777777" w:rsidR="00421BB5" w:rsidRPr="00D65AED" w:rsidRDefault="00421BB5" w:rsidP="00421BB5">
      <w:pPr>
        <w:pStyle w:val="0-"/>
      </w:pPr>
      <w:r w:rsidRPr="00D65AED">
        <w:rPr>
          <w:rFonts w:hint="eastAsia"/>
        </w:rPr>
        <w:t>(十五)106至110年度易服社會勞動案件收結情形，新收案件及終結案件均呈逐年下降趨勢。110年度易服社會勞動新收案件僅8,582件，較106年度之1萬3,366件減少4,784件(減幅35.79%)；受新收件數減少影響，終結案件亦隨之下降，110年度僅8,393件，較106年度之1萬3,359件減少4,966件(減幅37.17%)，其中110年度因疫情影響，各地方檢察署配合之易服社會勞動執行機關(構)有部分暫停施作或關閉，導致110年度新收及終結件數減少情況更甚往年。另觀察終結件數中履行完成全部時數者，106年度尚有5,903件，占全部終結件數之44.18%，至110年度僅3,425件，占全部終結件數之40.81%，5年間履行完成全部時數之件數逐年遞減，占比亦下降3.4個百分點。</w:t>
      </w:r>
    </w:p>
    <w:p w14:paraId="3C925DF8" w14:textId="77777777" w:rsidR="00421BB5" w:rsidRPr="00D65AED" w:rsidRDefault="00421BB5" w:rsidP="00421BB5">
      <w:pPr>
        <w:pStyle w:val="0-2"/>
        <w:rPr>
          <w:rStyle w:val="0-0"/>
        </w:rPr>
      </w:pPr>
      <w:r w:rsidRPr="00D65AED">
        <w:rPr>
          <w:rFonts w:hint="eastAsia"/>
        </w:rPr>
        <w:t>我國實施易服社會勞動制度多年，短期自由刑之受刑人透過該制度可轉向社會勞動，以兼顧渠等原有生活，亦有助減緩監獄超收問題。近年易服社會勞動件數已逐漸減少，106至110年度之降幅超逾三成，且其中易服社會勞動履行完成全部時數占終結件數之比率亦漸減，請法務部向立法院司法及法制委員會提出提升執行成效相關書面報告。</w:t>
      </w:r>
    </w:p>
    <w:p w14:paraId="562BC18B" w14:textId="77777777" w:rsidR="00421BB5" w:rsidRPr="00D65AED" w:rsidRDefault="00421BB5" w:rsidP="00421BB5">
      <w:pPr>
        <w:pStyle w:val="2-1"/>
        <w:rPr>
          <w:shd w:val="clear" w:color="auto" w:fill="FFFFFF"/>
        </w:rPr>
      </w:pPr>
      <w:r w:rsidRPr="00D65AED">
        <w:rPr>
          <w:rFonts w:hint="eastAsia"/>
          <w:shd w:val="clear" w:color="auto" w:fill="FFFFFF"/>
        </w:rPr>
        <w:t>提案人：劉建國 陳歐珀 黃世杰</w:t>
      </w:r>
    </w:p>
    <w:p w14:paraId="67ACD227" w14:textId="77777777" w:rsidR="00421BB5" w:rsidRPr="00D65AED" w:rsidRDefault="00421BB5" w:rsidP="00421BB5">
      <w:pPr>
        <w:pStyle w:val="0-"/>
      </w:pPr>
      <w:r w:rsidRPr="00D65AED">
        <w:rPr>
          <w:rFonts w:hint="eastAsia"/>
        </w:rPr>
        <w:t>(十六)現行行政罰法體系，針對違反行政法義務僅有罰鍰、而無獨立之利得沒收。行政罰法第18條第2項固規定違反行政法義務所得之利益超過法定罰鍰最高額者，得於所得利益之範圍內</w:t>
      </w:r>
      <w:r w:rsidRPr="00D65AED">
        <w:rPr>
          <w:rFonts w:hint="eastAsia"/>
        </w:rPr>
        <w:lastRenderedPageBreak/>
        <w:t>酌量加重，不受法定罰鍰最高額之限制。準此，就不法利得低於罰鍰上限之行為人，裁處罰鍰時仍得於不法利得與罰鍰上限差額範圍內就行為人應受責難程度、行為所生影響等因素充分評價；惟於不法利得等於或逾越罰鍰上限者，罰鍰之功能完全轉為剝奪不法利得，懲罰不法行為以示儆醒之功能則喪失殆盡。</w:t>
      </w:r>
    </w:p>
    <w:p w14:paraId="6C070825" w14:textId="77777777" w:rsidR="00421BB5" w:rsidRPr="00D65AED" w:rsidRDefault="00421BB5" w:rsidP="00421BB5">
      <w:pPr>
        <w:pStyle w:val="0-2"/>
        <w:rPr>
          <w:rStyle w:val="0-0"/>
        </w:rPr>
      </w:pPr>
      <w:r w:rsidRPr="00D65AED">
        <w:rPr>
          <w:rFonts w:hint="eastAsia"/>
        </w:rPr>
        <w:t>反觀刑法沒收制度修正後，犯罪之不法利得已不再附隨於罰金、獨立予以剝奪，而罰金之目的則重在懲罰犯罪行為。則行政罰法是否應比照修正、引入獨立沒收制度，已值得研究，而法務部亦曾於立法院司法及法制委員會表示將研議修正。爰請法務部就行政罰法之修法進度、再修正方向，於3個月內向立法院司法及法制委員會提出書面報告。</w:t>
      </w:r>
    </w:p>
    <w:p w14:paraId="64D05572" w14:textId="77777777" w:rsidR="00421BB5" w:rsidRPr="00D65AED" w:rsidRDefault="00421BB5" w:rsidP="00421BB5">
      <w:pPr>
        <w:pStyle w:val="2-1"/>
        <w:rPr>
          <w:shd w:val="clear" w:color="auto" w:fill="FFFFFF"/>
        </w:rPr>
      </w:pPr>
      <w:r w:rsidRPr="00D65AED">
        <w:rPr>
          <w:rFonts w:hint="eastAsia"/>
          <w:shd w:val="clear" w:color="auto" w:fill="FFFFFF"/>
        </w:rPr>
        <w:t>提案人：江永昌 陳歐珀 黃世杰</w:t>
      </w:r>
    </w:p>
    <w:p w14:paraId="276AE6BC" w14:textId="77777777" w:rsidR="00421BB5" w:rsidRPr="00D65AED" w:rsidRDefault="00421BB5" w:rsidP="00421BB5">
      <w:pPr>
        <w:pStyle w:val="0-"/>
        <w:rPr>
          <w:rStyle w:val="0-0"/>
        </w:rPr>
      </w:pPr>
      <w:r w:rsidRPr="00D65AED">
        <w:rPr>
          <w:rFonts w:hint="eastAsia"/>
        </w:rPr>
        <w:t>(十七)112年度法務部歲出預算「法務行政」項下「辦理檢察行政業務」編列1億0</w:t>
      </w:r>
      <w:r w:rsidRPr="00D65AED">
        <w:t>,</w:t>
      </w:r>
      <w:r w:rsidRPr="00D65AED">
        <w:rPr>
          <w:rFonts w:hint="eastAsia"/>
        </w:rPr>
        <w:t>886萬3千元。查109年底</w:t>
      </w:r>
      <w:r w:rsidRPr="00D65AED">
        <w:t>法務部調查局航業處基隆調查站</w:t>
      </w:r>
      <w:r w:rsidRPr="00D65AED">
        <w:rPr>
          <w:rFonts w:hint="eastAsia"/>
        </w:rPr>
        <w:t>爆發遺失6.5公斤安非他命，而這些「遺失」毒品卻於111年9月27日出現在航基站地下室庫房鐵櫃，不禁讓各界質疑，當初在案件爆發時，調查局是否有落實清查。而109年11月19日調查局的專題報告(第5頁)策進作為提到「督察處於109年11月16日要求各調查處站駐區督察儘速盤點所轄單位之毒品案件扣押毒品，經全面清查後，迄今尚無有毒品遺失之情事。」及「責成各外勤處站主管每3個月會同駐區督察逐案盤點扣案毒品，並將盤點結果報局核備。」等作為，顯然案發後督察部門未落實清查，法務部未落實督導之責。請法務部督導法務部調查局強化內控機制，落實扣押物品管理及清點，並於3個月內向立法院司法及法制委員會提出書面報告。</w:t>
      </w:r>
    </w:p>
    <w:p w14:paraId="4B22787D" w14:textId="77777777" w:rsidR="00421BB5" w:rsidRPr="00D65AED" w:rsidRDefault="00421BB5" w:rsidP="00421BB5">
      <w:pPr>
        <w:pStyle w:val="2-1"/>
        <w:rPr>
          <w:shd w:val="clear" w:color="auto" w:fill="FFFFFF"/>
        </w:rPr>
      </w:pPr>
      <w:r w:rsidRPr="00D65AED">
        <w:rPr>
          <w:rFonts w:hint="eastAsia"/>
          <w:shd w:val="clear" w:color="auto" w:fill="FFFFFF"/>
        </w:rPr>
        <w:t>提案人：游毓蘭 陳玉珍 林思銘</w:t>
      </w:r>
    </w:p>
    <w:p w14:paraId="0475241D" w14:textId="77777777" w:rsidR="00421BB5" w:rsidRPr="00D65AED" w:rsidRDefault="00421BB5" w:rsidP="00421BB5">
      <w:pPr>
        <w:pStyle w:val="0-"/>
      </w:pPr>
      <w:r w:rsidRPr="00D65AED">
        <w:rPr>
          <w:rFonts w:hint="eastAsia"/>
        </w:rPr>
        <w:t>(十八)根據「新世代打擊詐欺策略行動綱領」（核定本），統計因全般詐欺案件查扣金額占財損金額之比例，自107年11.3%、108年11.8%、109年13.1%、110年11%，非但查扣金額增加率比財損金額增加率低，查扣金額占財損占比還有下降趨勢；另法務部執行「111年度選前查緝不法金流專案」，根據新聞報導號稱斬斷3</w:t>
      </w:r>
      <w:r w:rsidRPr="00D65AED">
        <w:t>,</w:t>
      </w:r>
      <w:r w:rsidRPr="00D65AED">
        <w:rPr>
          <w:rFonts w:hint="eastAsia"/>
        </w:rPr>
        <w:t>982億元金流，實扣犯罪所得僅5.5億餘元僅逾0.1%，顯見查扣犯罪所得績效仍有待改善。爰請法務部就「如何提升追回詐欺犯罪所得之比例，並評估將贓款返還比例納為查緝績效指標之可能性」向立法院司法及法制委員會提出書面報告。</w:t>
      </w:r>
    </w:p>
    <w:p w14:paraId="1CF711B4" w14:textId="77777777" w:rsidR="00421BB5" w:rsidRPr="00D65AED" w:rsidRDefault="00421BB5" w:rsidP="00421BB5">
      <w:pPr>
        <w:pStyle w:val="2-1"/>
        <w:rPr>
          <w:shd w:val="clear" w:color="auto" w:fill="FFFFFF"/>
        </w:rPr>
      </w:pPr>
      <w:r w:rsidRPr="00D65AED">
        <w:rPr>
          <w:rFonts w:hint="eastAsia"/>
          <w:shd w:val="clear" w:color="auto" w:fill="FFFFFF"/>
        </w:rPr>
        <w:t>提案人：陳歐珀</w:t>
      </w:r>
    </w:p>
    <w:p w14:paraId="4D6EDD76" w14:textId="77777777" w:rsidR="00421BB5" w:rsidRPr="00D65AED" w:rsidRDefault="00421BB5" w:rsidP="00421BB5">
      <w:pPr>
        <w:pStyle w:val="2-1"/>
        <w:rPr>
          <w:shd w:val="clear" w:color="auto" w:fill="FFFFFF"/>
        </w:rPr>
      </w:pPr>
      <w:r w:rsidRPr="00D65AED">
        <w:rPr>
          <w:rFonts w:hint="eastAsia"/>
          <w:shd w:val="clear" w:color="auto" w:fill="FFFFFF"/>
        </w:rPr>
        <w:t>連署人：黃世杰 江永昌</w:t>
      </w:r>
    </w:p>
    <w:p w14:paraId="3132E51D" w14:textId="77777777" w:rsidR="00421BB5" w:rsidRPr="00D65AED" w:rsidRDefault="00421BB5" w:rsidP="00421BB5">
      <w:pPr>
        <w:pStyle w:val="0-"/>
      </w:pPr>
      <w:r w:rsidRPr="00D65AED">
        <w:rPr>
          <w:rFonts w:hint="eastAsia"/>
        </w:rPr>
        <w:lastRenderedPageBreak/>
        <w:t>(十九)為強化偵查中之司法精神鑑定，法務部業於109年5月28日法檢決字第10904516770號函請各檢察署妥適編列相關預算支應，並於110年擬具「偵查中司法精神鑑定機制精進方案」，期能強化偵查中司法精神鑑定之功能並提升司法精神鑑定之品質。</w:t>
      </w:r>
    </w:p>
    <w:p w14:paraId="088C5CEF" w14:textId="77777777" w:rsidR="00421BB5" w:rsidRPr="00D65AED" w:rsidRDefault="00421BB5" w:rsidP="00421BB5">
      <w:pPr>
        <w:pStyle w:val="0-2"/>
      </w:pPr>
      <w:r w:rsidRPr="00D65AED">
        <w:rPr>
          <w:rFonts w:hint="eastAsia"/>
        </w:rPr>
        <w:t>惟查，</w:t>
      </w:r>
      <w:bookmarkStart w:id="520" w:name="_Hlk118797646"/>
      <w:r w:rsidRPr="00D65AED">
        <w:rPr>
          <w:rFonts w:hint="eastAsia"/>
        </w:rPr>
        <w:t>台灣司法精神醫學會</w:t>
      </w:r>
      <w:bookmarkEnd w:id="520"/>
      <w:r w:rsidRPr="00D65AED">
        <w:rPr>
          <w:rFonts w:hint="eastAsia"/>
        </w:rPr>
        <w:t>111年1月21日法精醫字1110001號函檢送之司法精神鑑定費用收費參考標準，就刑事司法精神鑑定案略分為簡易案2萬8千元，一般案件3萬6千元，複雜案件5萬6千元，特殊重大案件10萬元；該收費標準，供囑委託機關審酌。</w:t>
      </w:r>
    </w:p>
    <w:p w14:paraId="0BD5F6AC" w14:textId="77777777" w:rsidR="00421BB5" w:rsidRPr="00D65AED" w:rsidRDefault="00421BB5" w:rsidP="00421BB5">
      <w:pPr>
        <w:pStyle w:val="0-2"/>
      </w:pPr>
      <w:r w:rsidRPr="00D65AED">
        <w:rPr>
          <w:rFonts w:hint="eastAsia"/>
        </w:rPr>
        <w:t>鑑於台灣司法精神醫學會所建議之精神鑑定費用收費參考標準與現行給付標準存有相當落差，為落實偵查中司法精神鑑定機制精進之目標，俾利檢察官於偵查中對被告行為有無責任能力得為詳細調查認定，以即時對因精神障礙或其他心智缺陷以致責任能力欠缺或顯著減低之被告，給予適當之處遇，實有持續檢討精神鑑定所需經費之必要。</w:t>
      </w:r>
    </w:p>
    <w:p w14:paraId="2A64E0A7" w14:textId="77777777" w:rsidR="00421BB5" w:rsidRPr="00D65AED" w:rsidRDefault="00421BB5" w:rsidP="00421BB5">
      <w:pPr>
        <w:pStyle w:val="0-2"/>
        <w:rPr>
          <w:rStyle w:val="0-0"/>
        </w:rPr>
      </w:pPr>
      <w:r w:rsidRPr="00D65AED">
        <w:rPr>
          <w:rFonts w:hint="eastAsia"/>
        </w:rPr>
        <w:t>爰請法務部參近三年經司法精神鑑定所為之一審判決及偵查中送司法精神鑑定之案件數，估算須經司法精神鑑定之案件總數並審酌台灣司法精神醫學會建議之收費標準，檢討所需之司法精神鑑定費用，向行政院爭取寬列預算，並於3個月內向立法院司法及法制委員會與提案委員提出書面報告。</w:t>
      </w:r>
    </w:p>
    <w:p w14:paraId="7B0B3B09" w14:textId="77777777" w:rsidR="00421BB5" w:rsidRPr="00D65AED" w:rsidRDefault="00421BB5" w:rsidP="00421BB5">
      <w:pPr>
        <w:pStyle w:val="2-1"/>
        <w:rPr>
          <w:shd w:val="clear" w:color="auto" w:fill="FFFFFF"/>
        </w:rPr>
      </w:pPr>
      <w:r w:rsidRPr="00D65AED">
        <w:rPr>
          <w:rFonts w:hint="eastAsia"/>
          <w:shd w:val="clear" w:color="auto" w:fill="FFFFFF"/>
        </w:rPr>
        <w:t>提案人：江永昌 黃世杰 陳歐珀 吳玉琴</w:t>
      </w:r>
    </w:p>
    <w:p w14:paraId="78E4B656" w14:textId="77777777" w:rsidR="00421BB5" w:rsidRPr="00D65AED" w:rsidRDefault="00421BB5" w:rsidP="00421BB5">
      <w:pPr>
        <w:pStyle w:val="0-"/>
      </w:pPr>
      <w:r w:rsidRPr="00D65AED">
        <w:rPr>
          <w:rFonts w:hint="eastAsia"/>
        </w:rPr>
        <w:t>(二十)投資詐騙簡訊幾乎天天發生、處處發生、時時發生。投資型詐騙無孔不入，甚至還能區分收訊者性別，傳送不同類型的詐騙罐頭簡訊。依內政部警政署刑事局統計，近五年詐欺案件發生數，106年2萬2,689件、107年2萬3,470件、108年2萬3,647件、109年2萬3,054件、110年2萬4,724件，111年1至6月份發生1萬3,301件。此外，投資詐欺件數4年來逐年遽增，107年發生1,435件，損失金額8.29億元、108年發生1,894件，損失金額8.02億元、109年發生2,852件，損失金額10.27億元、110年發生4,904件，損失金額20.83億元，投資型詐騙案成長7.95%。法務部應會同國家通訊傳播委員會、金融監督管理委員會、內政部警政署等部會拿出解決方案，以降低詐騙簡訊發生並減少民眾財物損失，就前揭議題向立法院司法及法制委員會提出書面報告。</w:t>
      </w:r>
    </w:p>
    <w:p w14:paraId="7933FAFF" w14:textId="77777777" w:rsidR="00421BB5" w:rsidRPr="00D65AED" w:rsidRDefault="00421BB5" w:rsidP="00421BB5">
      <w:pPr>
        <w:pStyle w:val="2-1"/>
        <w:rPr>
          <w:shd w:val="clear" w:color="auto" w:fill="FFFFFF"/>
        </w:rPr>
      </w:pPr>
      <w:r w:rsidRPr="00D65AED">
        <w:rPr>
          <w:rFonts w:hint="eastAsia"/>
          <w:shd w:val="clear" w:color="auto" w:fill="FFFFFF"/>
        </w:rPr>
        <w:t>提案人：曾銘宗 林思銘 陳以信</w:t>
      </w:r>
    </w:p>
    <w:p w14:paraId="5A310F48" w14:textId="77777777" w:rsidR="00421BB5" w:rsidRPr="00D65AED" w:rsidRDefault="00421BB5" w:rsidP="00421BB5">
      <w:pPr>
        <w:pStyle w:val="0-"/>
      </w:pPr>
      <w:r w:rsidRPr="00D65AED">
        <w:rPr>
          <w:rFonts w:hint="eastAsia"/>
        </w:rPr>
        <w:t>(二十一)11</w:t>
      </w:r>
      <w:r w:rsidRPr="00D65AED">
        <w:t>2</w:t>
      </w:r>
      <w:r w:rsidRPr="00D65AED">
        <w:rPr>
          <w:rFonts w:hint="eastAsia"/>
        </w:rPr>
        <w:t>年度法務部歲出預算，司法支出「法務行政」項下「辦理國際及兩岸法律事務」中「業務費」之「一般事務費」辦理涉案國人留置境外及接返相關事務、執行國內外連絡獲取情資及推動「打擊跨境詐騙跨部會平臺會議」運作等經費，編列</w:t>
      </w:r>
      <w:r w:rsidRPr="00D65AED">
        <w:rPr>
          <w:rFonts w:hint="eastAsia"/>
        </w:rPr>
        <w:lastRenderedPageBreak/>
        <w:t>300萬元。近期不少國人前往柬埔寨打工，卻從事詐騙、或遭強摘器官，不僅是柬埔寨，包括泰國、緬甸、寮國、杜拜這些新南向國家，都發生如柬埔寨打工遭詐騙案例，犯罪集團甚至將人的器官訂出價碼。政府推動新南向政策，自106年迄今花費250億元，相關績效始終沒有看到，卻換來國人遭受虐待、命喪他鄉。法務部應積極落實行政院新世代打擊詐欺策略行動綱領相關具體措施，以保障國人生命財產安全，並避免再有國人受騙。</w:t>
      </w:r>
    </w:p>
    <w:p w14:paraId="272426BB" w14:textId="77777777" w:rsidR="00421BB5" w:rsidRPr="00D65AED" w:rsidRDefault="00421BB5" w:rsidP="00421BB5">
      <w:pPr>
        <w:pStyle w:val="2-1"/>
        <w:rPr>
          <w:shd w:val="clear" w:color="auto" w:fill="FFFFFF"/>
        </w:rPr>
      </w:pPr>
      <w:r w:rsidRPr="00D65AED">
        <w:rPr>
          <w:rFonts w:hint="eastAsia"/>
          <w:shd w:val="clear" w:color="auto" w:fill="FFFFFF"/>
        </w:rPr>
        <w:t>提案人：曾銘宗 林思銘 陳以信</w:t>
      </w:r>
    </w:p>
    <w:p w14:paraId="30EEAB27" w14:textId="77777777" w:rsidR="00421BB5" w:rsidRPr="00D65AED" w:rsidRDefault="00421BB5" w:rsidP="00421BB5">
      <w:pPr>
        <w:pStyle w:val="0-"/>
      </w:pPr>
      <w:r w:rsidRPr="00D65AED">
        <w:rPr>
          <w:rFonts w:hint="eastAsia"/>
        </w:rPr>
        <w:t>(二十二)依審計部中央政府總決算審核報告指出，據法務部統計，截至111年4月11日止，依毒品危害防制條例第2條第2項第1款至第4款規定，公告附表羅列之第一級至第四級毒品品項及毒品先驅原料計676項，除特別規定外，皆包括其異構物（Isomers）、酯類（Esters）、醚類（Ethers）、鹽類（Salts），其中第二級毒品第178項為「3,4-亞甲基雙氧苯基甲胺戊酮（pentylone）」，第三級毒品第47項為「3,4-亞甲基雙氧苯基甲胺丁酮（butylone）」、第75項為「3,4-亞甲基雙氧苯基乙基胺丁酮（eutylone）」，上開3項毒品均為合成卡西酮類，且為同分異構物，化學結構及藥理性質相近，卻分列為不同級別毒品，致110年12月媒體報導某醫院於109年將警察機關查獲第三級毒品eutylone之送請檢驗案件，誤判為第二級毒品pentylone，影響被告權益等情事。法務部應研酌重要性或社會關注之化學性質類同、藥理及毒性相近卻屬不同級別毒品，改列為同一級別毒品列管之可行性，俾利明確管理，爰請法務部向立法院司法及法制委員會提出書面報告。</w:t>
      </w:r>
    </w:p>
    <w:p w14:paraId="4F28BB21" w14:textId="77777777" w:rsidR="00421BB5" w:rsidRPr="00D65AED" w:rsidRDefault="00421BB5" w:rsidP="00421BB5">
      <w:pPr>
        <w:pStyle w:val="2-1"/>
        <w:rPr>
          <w:shd w:val="clear" w:color="auto" w:fill="FFFFFF"/>
        </w:rPr>
      </w:pPr>
      <w:r w:rsidRPr="00D65AED">
        <w:rPr>
          <w:rFonts w:hint="eastAsia"/>
          <w:shd w:val="clear" w:color="auto" w:fill="FFFFFF"/>
        </w:rPr>
        <w:t>提案人：曾銘宗 林思銘 陳以信</w:t>
      </w:r>
    </w:p>
    <w:p w14:paraId="689FB129" w14:textId="77777777" w:rsidR="00421BB5" w:rsidRPr="00D65AED" w:rsidRDefault="00421BB5" w:rsidP="00421BB5">
      <w:pPr>
        <w:pStyle w:val="0-"/>
        <w:rPr>
          <w:rStyle w:val="0-0"/>
        </w:rPr>
      </w:pPr>
      <w:r w:rsidRPr="00D65AED">
        <w:rPr>
          <w:rFonts w:hint="eastAsia"/>
        </w:rPr>
        <w:t>(二十三)112年度法務部歲出預算編列「汰換中型警備車」1輛經費360萬元，經查政府電子採購網，中型警備車投標預算金額設於350萬元。有鑑於國家財政困窘，為免浪費公帑，請法務部購置警備車時仍須本撙節原則辦理，並向立法院司法及法制委員會提出書面報告。</w:t>
      </w:r>
    </w:p>
    <w:p w14:paraId="515C595F" w14:textId="77777777" w:rsidR="00421BB5" w:rsidRPr="00D65AED" w:rsidRDefault="00421BB5" w:rsidP="00421BB5">
      <w:pPr>
        <w:pStyle w:val="2-1"/>
        <w:rPr>
          <w:shd w:val="clear" w:color="auto" w:fill="FFFFFF"/>
        </w:rPr>
      </w:pPr>
      <w:r w:rsidRPr="00D65AED">
        <w:rPr>
          <w:rFonts w:hint="eastAsia"/>
          <w:shd w:val="clear" w:color="auto" w:fill="FFFFFF"/>
        </w:rPr>
        <w:t>提案人：陳以信</w:t>
      </w:r>
    </w:p>
    <w:p w14:paraId="5EDD656E" w14:textId="77777777" w:rsidR="00421BB5" w:rsidRPr="00D65AED" w:rsidRDefault="00421BB5" w:rsidP="00421BB5">
      <w:pPr>
        <w:pStyle w:val="2-1"/>
        <w:rPr>
          <w:shd w:val="clear" w:color="auto" w:fill="FFFFFF"/>
        </w:rPr>
      </w:pPr>
      <w:r w:rsidRPr="00D65AED">
        <w:rPr>
          <w:rFonts w:hint="eastAsia"/>
          <w:shd w:val="clear" w:color="auto" w:fill="FFFFFF"/>
        </w:rPr>
        <w:t>連署人：林思銘 游毓蘭</w:t>
      </w:r>
    </w:p>
    <w:p w14:paraId="6E891795" w14:textId="77777777" w:rsidR="00421BB5" w:rsidRPr="00D65AED" w:rsidRDefault="00421BB5" w:rsidP="00421BB5">
      <w:pPr>
        <w:pStyle w:val="0-"/>
      </w:pPr>
      <w:r w:rsidRPr="00D65AED">
        <w:rPr>
          <w:rFonts w:hint="eastAsia"/>
        </w:rPr>
        <w:t>(二十四)司法院釋字第791號解釋，宣示性侵犯之治療場所需要與矯正場所有明顯區隔並應改善，對我國性侵加害人之治療、追蹤政策及執行，產生衝擊，法務部應藉由「科技偵查中心」妥善規劃此問題。再者，受刑人從事監獄外活動之電子監控，以及偵查階段替代羈押之處分，亦應納入。另外，有關性侵加害人強制治療另覓非刑罰性質治療地點之落實，亦應酌予說明相關進度。爰請法務部就科技偵查中心監控性侵加害人，以及強</w:t>
      </w:r>
      <w:r w:rsidRPr="00D65AED">
        <w:rPr>
          <w:rFonts w:hint="eastAsia"/>
        </w:rPr>
        <w:lastRenderedPageBreak/>
        <w:t>制治療覓址進度，於3個月內向立法院司法及法制委員會提出書面報告。</w:t>
      </w:r>
    </w:p>
    <w:p w14:paraId="1C5A9B2E" w14:textId="77777777" w:rsidR="00421BB5" w:rsidRPr="00D65AED" w:rsidRDefault="00421BB5" w:rsidP="00421BB5">
      <w:pPr>
        <w:pStyle w:val="2-1"/>
        <w:rPr>
          <w:shd w:val="clear" w:color="auto" w:fill="FFFFFF"/>
        </w:rPr>
      </w:pPr>
      <w:r w:rsidRPr="00D65AED">
        <w:rPr>
          <w:rFonts w:hint="eastAsia"/>
          <w:shd w:val="clear" w:color="auto" w:fill="FFFFFF"/>
        </w:rPr>
        <w:t xml:space="preserve">提案人：游毓蘭 曾銘宗 林思銘 </w:t>
      </w:r>
    </w:p>
    <w:p w14:paraId="5AFFE47D" w14:textId="77777777" w:rsidR="00421BB5" w:rsidRPr="00D65AED" w:rsidRDefault="00421BB5" w:rsidP="00421BB5">
      <w:pPr>
        <w:pStyle w:val="0-"/>
      </w:pPr>
      <w:r w:rsidRPr="00D65AED">
        <w:rPr>
          <w:rFonts w:hint="eastAsia"/>
        </w:rPr>
        <w:t>(二十五)112年度法務部歲出預算編列「各項</w:t>
      </w:r>
      <w:bookmarkStart w:id="521" w:name="_Hlk118795774"/>
      <w:r w:rsidRPr="00D65AED">
        <w:rPr>
          <w:rFonts w:hint="eastAsia"/>
        </w:rPr>
        <w:t>選舉候選人賄選</w:t>
      </w:r>
      <w:bookmarkEnd w:id="521"/>
      <w:r w:rsidRPr="00D65AED">
        <w:rPr>
          <w:rFonts w:hint="eastAsia"/>
        </w:rPr>
        <w:t>及組織犯罪獎勵金」5</w:t>
      </w:r>
      <w:r w:rsidRPr="00D65AED">
        <w:t>,</w:t>
      </w:r>
      <w:r w:rsidRPr="00D65AED">
        <w:rPr>
          <w:rFonts w:hint="eastAsia"/>
        </w:rPr>
        <w:t>816萬5千元，比111年度2</w:t>
      </w:r>
      <w:r w:rsidRPr="00D65AED">
        <w:t>,</w:t>
      </w:r>
      <w:r w:rsidRPr="00D65AED">
        <w:rPr>
          <w:rFonts w:hint="eastAsia"/>
        </w:rPr>
        <w:t>228萬元，增加3</w:t>
      </w:r>
      <w:r w:rsidRPr="00D65AED">
        <w:t>,</w:t>
      </w:r>
      <w:r w:rsidRPr="00D65AED">
        <w:rPr>
          <w:rFonts w:hint="eastAsia"/>
        </w:rPr>
        <w:t>588萬元5千元，係為111年地方選舉查賄準備。查前3次相對應年度預算，108年3</w:t>
      </w:r>
      <w:r w:rsidRPr="00D65AED">
        <w:t>,</w:t>
      </w:r>
      <w:r w:rsidRPr="00D65AED">
        <w:rPr>
          <w:rFonts w:hint="eastAsia"/>
        </w:rPr>
        <w:t>750萬元，104年4</w:t>
      </w:r>
      <w:r w:rsidRPr="00D65AED">
        <w:t>,</w:t>
      </w:r>
      <w:r w:rsidRPr="00D65AED">
        <w:rPr>
          <w:rFonts w:hint="eastAsia"/>
        </w:rPr>
        <w:t>673萬2千元，100年3</w:t>
      </w:r>
      <w:r w:rsidRPr="00D65AED">
        <w:t>,</w:t>
      </w:r>
      <w:r w:rsidRPr="00D65AED">
        <w:rPr>
          <w:rFonts w:hint="eastAsia"/>
        </w:rPr>
        <w:t>426萬5千元顯有增加。然而，根據法務部統計資料，108年賄選獎金實際發放數為7</w:t>
      </w:r>
      <w:r w:rsidRPr="00D65AED">
        <w:t>,</w:t>
      </w:r>
      <w:r w:rsidRPr="00D65AED">
        <w:rPr>
          <w:rFonts w:hint="eastAsia"/>
        </w:rPr>
        <w:t>173萬元，104年為5</w:t>
      </w:r>
      <w:r w:rsidRPr="00D65AED">
        <w:t>,</w:t>
      </w:r>
      <w:r w:rsidRPr="00D65AED">
        <w:rPr>
          <w:rFonts w:hint="eastAsia"/>
        </w:rPr>
        <w:t>605萬元，100年1億1</w:t>
      </w:r>
      <w:r w:rsidRPr="00D65AED">
        <w:t>,</w:t>
      </w:r>
      <w:r w:rsidRPr="00D65AED">
        <w:rPr>
          <w:rFonts w:hint="eastAsia"/>
        </w:rPr>
        <w:t>378萬元，預算編列數都顯然不足。由於，地方選舉參與者眾，從99至109年判刑確定者中1萬3</w:t>
      </w:r>
      <w:r w:rsidRPr="00D65AED">
        <w:t>,</w:t>
      </w:r>
      <w:r w:rsidRPr="00D65AED">
        <w:rPr>
          <w:rFonts w:hint="eastAsia"/>
        </w:rPr>
        <w:t>950人，其中鄉鎮市民代表及里長有7</w:t>
      </w:r>
      <w:r w:rsidRPr="00D65AED">
        <w:t>,</w:t>
      </w:r>
      <w:r w:rsidRPr="00D65AED">
        <w:rPr>
          <w:rFonts w:hint="eastAsia"/>
        </w:rPr>
        <w:t>334人，占比高達52%。因此，建議法務部於地方型選舉年後第2年編列選舉候選人賄選獎金預算，應以前3次選舉查察賄選獎金發放的實支數平均為參考標準，研議提高編列額度。</w:t>
      </w:r>
    </w:p>
    <w:p w14:paraId="25ED72C4" w14:textId="77777777" w:rsidR="00421BB5" w:rsidRPr="00D65AED" w:rsidRDefault="00421BB5" w:rsidP="00421BB5">
      <w:pPr>
        <w:pStyle w:val="2-1"/>
      </w:pPr>
      <w:r w:rsidRPr="00D65AED">
        <w:t>提案人：</w:t>
      </w:r>
      <w:r w:rsidRPr="00D65AED">
        <w:rPr>
          <w:rFonts w:hint="eastAsia"/>
        </w:rPr>
        <w:t>鄭運鵬 陳歐珀 黃世杰</w:t>
      </w:r>
    </w:p>
    <w:p w14:paraId="21589D80" w14:textId="77777777" w:rsidR="00421BB5" w:rsidRPr="00D65AED" w:rsidRDefault="00421BB5" w:rsidP="00421BB5">
      <w:pPr>
        <w:pStyle w:val="0-"/>
      </w:pPr>
      <w:r w:rsidRPr="00D65AED">
        <w:rPr>
          <w:rFonts w:hint="eastAsia"/>
        </w:rPr>
        <w:t>(二十六)《公職人員財產申報法》第1條開宗明義指出「為端正政風，確立公職人員清廉之作為，特制定本法」，本法亦是所謂的「陽光法案」，應本著「資訊公開」或「資訊自由」的精神，向民眾公開相關資訊，《公職人員財產申報法》第6條亦規定「受理申報機關（構）於收受申報2個月內，應將申報資料審核，彙整列冊，供人查閱。」，立法理由亦提到「財產申報資料應公開受人民檢驗之原則」，然《公職人員財產申報資料審核及查閱辦法》第16條卻違反「資訊自由」之原則，限制查閱人「僅得閱覽」、「不得抄錄、攝影、影印」，實不利於人民對公職人員及候選人進行檢驗，法務部應於3個月內提出公職人員財產申報資料審核及查閱辦法之修正。</w:t>
      </w:r>
    </w:p>
    <w:p w14:paraId="5F9EF83D" w14:textId="77777777" w:rsidR="00421BB5" w:rsidRPr="00D65AED" w:rsidRDefault="00421BB5" w:rsidP="00421BB5">
      <w:pPr>
        <w:pStyle w:val="2-1"/>
      </w:pPr>
      <w:r w:rsidRPr="00D65AED">
        <w:t>提案人：</w:t>
      </w:r>
      <w:r w:rsidRPr="00D65AED">
        <w:rPr>
          <w:rFonts w:hint="eastAsia"/>
        </w:rPr>
        <w:t>陳歐珀 羅致政</w:t>
      </w:r>
    </w:p>
    <w:p w14:paraId="70A61399" w14:textId="77777777" w:rsidR="00421BB5" w:rsidRPr="00D65AED" w:rsidRDefault="00421BB5" w:rsidP="00421BB5">
      <w:pPr>
        <w:pStyle w:val="2-1"/>
      </w:pPr>
      <w:r w:rsidRPr="00D65AED">
        <w:rPr>
          <w:rFonts w:hint="eastAsia"/>
        </w:rPr>
        <w:t>連署人：黃世杰 江永昌</w:t>
      </w:r>
    </w:p>
    <w:p w14:paraId="2E4AD3D0" w14:textId="77777777" w:rsidR="00421BB5" w:rsidRPr="00D65AED" w:rsidRDefault="00421BB5" w:rsidP="00421BB5">
      <w:pPr>
        <w:pStyle w:val="0-"/>
        <w:rPr>
          <w:rStyle w:val="0-0"/>
        </w:rPr>
      </w:pPr>
      <w:r w:rsidRPr="00D65AED">
        <w:rPr>
          <w:rFonts w:hint="eastAsia"/>
        </w:rPr>
        <w:t>(二十七)11</w:t>
      </w:r>
      <w:r w:rsidRPr="00D65AED">
        <w:t>2</w:t>
      </w:r>
      <w:r w:rsidRPr="00D65AED">
        <w:rPr>
          <w:rFonts w:hint="eastAsia"/>
        </w:rPr>
        <w:t>年度法務部歲出預算，司法支出「法務行政」中「辦理檢察行政業務」編列1億0</w:t>
      </w:r>
      <w:r w:rsidRPr="00D65AED">
        <w:t>,</w:t>
      </w:r>
      <w:r w:rsidRPr="00D65AED">
        <w:rPr>
          <w:rFonts w:hint="eastAsia"/>
        </w:rPr>
        <w:t>886萬3千元。依審計部中央政府總決算審核報告指出，法務部於109年5月間研擬國民參與不起訴處分審查法草案。依法務部統計，110年度地方檢察署偵查案件終結50萬5</w:t>
      </w:r>
      <w:r w:rsidRPr="00D65AED">
        <w:t>,716</w:t>
      </w:r>
      <w:r w:rsidRPr="00D65AED">
        <w:rPr>
          <w:rFonts w:hint="eastAsia"/>
        </w:rPr>
        <w:t>件，其中不起訴案件20萬8</w:t>
      </w:r>
      <w:r w:rsidRPr="00D65AED">
        <w:t>,488</w:t>
      </w:r>
      <w:r w:rsidRPr="00D65AED">
        <w:rPr>
          <w:rFonts w:hint="eastAsia"/>
        </w:rPr>
        <w:t>件、占41.23%，與107年度地方檢察署偵查案件終結計48萬2</w:t>
      </w:r>
      <w:r w:rsidRPr="00D65AED">
        <w:t>,</w:t>
      </w:r>
      <w:r w:rsidRPr="00D65AED">
        <w:rPr>
          <w:rFonts w:hint="eastAsia"/>
        </w:rPr>
        <w:t>034件，其中不起訴15萬6</w:t>
      </w:r>
      <w:r w:rsidRPr="00D65AED">
        <w:t>,273</w:t>
      </w:r>
      <w:r w:rsidRPr="00D65AED">
        <w:rPr>
          <w:rFonts w:hint="eastAsia"/>
        </w:rPr>
        <w:t>件、占32.42%，相較不起訴案件占偵查案件終結增加8.81%。近年外界有質疑部分不起訴案件之判斷脫離社會常情，惟查截至111年4月11日止，國民參與不起訴處分審查法草案尚在研擬中，國民檢察審查會制度仍未能設置。法務部宜加強溝通協調，化解各界相關疑義，儘速</w:t>
      </w:r>
      <w:r w:rsidRPr="00D65AED">
        <w:rPr>
          <w:rFonts w:hint="eastAsia"/>
        </w:rPr>
        <w:lastRenderedPageBreak/>
        <w:t>完成制定國民參與不起訴處分審查法草案，以符合人民期待並落實司法改革，爰要求法務部向立法院司法及法制委員會提出書面報告。</w:t>
      </w:r>
    </w:p>
    <w:p w14:paraId="07AC9687" w14:textId="77777777" w:rsidR="00421BB5" w:rsidRPr="00D65AED" w:rsidRDefault="00421BB5" w:rsidP="00421BB5">
      <w:pPr>
        <w:pStyle w:val="2-1"/>
      </w:pPr>
      <w:r w:rsidRPr="00D65AED">
        <w:t>提案人：</w:t>
      </w:r>
      <w:r w:rsidRPr="00D65AED">
        <w:rPr>
          <w:rFonts w:hint="eastAsia"/>
        </w:rPr>
        <w:t xml:space="preserve">曾銘宗 林思銘 陳以信 </w:t>
      </w:r>
    </w:p>
    <w:p w14:paraId="031762DB" w14:textId="77777777" w:rsidR="00421BB5" w:rsidRPr="00D65AED" w:rsidRDefault="00421BB5" w:rsidP="00421BB5">
      <w:pPr>
        <w:pStyle w:val="0-"/>
      </w:pPr>
      <w:r w:rsidRPr="00D65AED">
        <w:rPr>
          <w:rFonts w:hint="eastAsia"/>
        </w:rPr>
        <w:t>(二十八)司法院大法官會議2019年11月底針對警察、消防等「輪班公務員」超勤工作問題，做出司法院釋字第785號解釋，認為有部分違反《憲法》所賦予人民的健康權，並規範政府相關機關3年內改正服勤時間及休假制度。</w:t>
      </w:r>
    </w:p>
    <w:p w14:paraId="33382CAC" w14:textId="77777777" w:rsidR="00421BB5" w:rsidRPr="00D65AED" w:rsidRDefault="00421BB5" w:rsidP="00421BB5">
      <w:pPr>
        <w:pStyle w:val="0-2"/>
      </w:pPr>
      <w:r w:rsidRPr="00D65AED">
        <w:rPr>
          <w:rFonts w:hint="eastAsia"/>
        </w:rPr>
        <w:t>目前法務部針對法警人員、監所管理員之輪班制度調配，是否有實際徵詢過基層同仁意見?是否與基層同仁做過對談?次數為何?抑或全由法務部高層閉門造車，不顧基層意見，蠻橫決定?</w:t>
      </w:r>
    </w:p>
    <w:p w14:paraId="0D169669" w14:textId="77777777" w:rsidR="00421BB5" w:rsidRPr="00D65AED" w:rsidRDefault="00421BB5" w:rsidP="00421BB5">
      <w:pPr>
        <w:pStyle w:val="0-2"/>
      </w:pPr>
      <w:r w:rsidRPr="00D65AED">
        <w:rPr>
          <w:rFonts w:hint="eastAsia"/>
        </w:rPr>
        <w:t>針對因應釋字第785號解釋，法務部應與基層同仁充分溝通，並給予基層發言與選擇空間，共同尋求出符合司法院釋字第785號解釋的方案。</w:t>
      </w:r>
    </w:p>
    <w:p w14:paraId="3694EF0B" w14:textId="77777777" w:rsidR="00421BB5" w:rsidRPr="00D65AED" w:rsidRDefault="00421BB5" w:rsidP="00421BB5">
      <w:pPr>
        <w:pStyle w:val="2-1"/>
      </w:pPr>
      <w:r w:rsidRPr="00D65AED">
        <w:t>提案人：</w:t>
      </w:r>
      <w:r w:rsidRPr="00D65AED">
        <w:rPr>
          <w:rFonts w:hint="eastAsia"/>
        </w:rPr>
        <w:t>劉建國</w:t>
      </w:r>
      <w:r w:rsidRPr="00D65AED">
        <w:t xml:space="preserve"> </w:t>
      </w:r>
      <w:r w:rsidRPr="00D65AED">
        <w:rPr>
          <w:rFonts w:hint="eastAsia"/>
        </w:rPr>
        <w:t>陳歐珀 黃世杰</w:t>
      </w:r>
    </w:p>
    <w:p w14:paraId="0AA35BFB" w14:textId="77777777" w:rsidR="00421BB5" w:rsidRPr="00D65AED" w:rsidRDefault="00421BB5" w:rsidP="00421BB5">
      <w:pPr>
        <w:pStyle w:val="0-"/>
      </w:pPr>
      <w:r w:rsidRPr="00D65AED">
        <w:rPr>
          <w:rFonts w:hint="eastAsia"/>
        </w:rPr>
        <w:t>(二十九)根據道安資訊查詢網，我國因酒駕案件死傷人數，已由107年1.27萬人，下降至111年的0.57萬人，顯見防制酒駕之成效。根據刑事訴訟法第253條之2，檢察官得針對酒駕案件命被告進行酒精戒癮治療，然而根據檢察署法務統計，111年附命酒精戒癮治療者僅191人，占緩起訴處分總人數7</w:t>
      </w:r>
      <w:r w:rsidRPr="00D65AED">
        <w:t>,</w:t>
      </w:r>
      <w:r w:rsidRPr="00D65AED">
        <w:rPr>
          <w:rFonts w:hint="eastAsia"/>
        </w:rPr>
        <w:t>908人僅2.4%。為精進酒駕防制作為，似有必要釐清此數據之落差，原因是在於酒駕遭起訴者中酒精成癮者比例本來就低，或是檢察機關未與評估被告是否酒精成癮之醫療機構建立合作模式。</w:t>
      </w:r>
    </w:p>
    <w:p w14:paraId="380C5DA3" w14:textId="77777777" w:rsidR="00421BB5" w:rsidRPr="00D65AED" w:rsidRDefault="00421BB5" w:rsidP="00421BB5">
      <w:pPr>
        <w:pStyle w:val="0-2"/>
      </w:pPr>
      <w:r w:rsidRPr="00D65AED">
        <w:rPr>
          <w:rFonts w:hint="eastAsia"/>
        </w:rPr>
        <w:t>綜上所述，請法務部就研議如何有效降低酒駕再犯率及擴大酒駕轉向處遇，於</w:t>
      </w:r>
      <w:r w:rsidRPr="00D65AED">
        <w:t>3</w:t>
      </w:r>
      <w:r w:rsidRPr="00D65AED">
        <w:rPr>
          <w:rFonts w:hint="eastAsia"/>
        </w:rPr>
        <w:t>個月內向立法院司法及法制委員會提出書面報告，以精進酒駕防制之成效。</w:t>
      </w:r>
    </w:p>
    <w:p w14:paraId="4D710B8F" w14:textId="77777777" w:rsidR="00421BB5" w:rsidRPr="00D65AED" w:rsidRDefault="00421BB5" w:rsidP="00421BB5">
      <w:pPr>
        <w:pStyle w:val="2-1"/>
      </w:pPr>
      <w:r w:rsidRPr="00D65AED">
        <w:t>提案人：</w:t>
      </w:r>
      <w:r w:rsidRPr="00D65AED">
        <w:rPr>
          <w:rFonts w:hint="eastAsia"/>
        </w:rPr>
        <w:t xml:space="preserve">陳歐珀 </w:t>
      </w:r>
    </w:p>
    <w:p w14:paraId="04D54285" w14:textId="77777777" w:rsidR="00421BB5" w:rsidRPr="00D65AED" w:rsidRDefault="00421BB5" w:rsidP="00421BB5">
      <w:pPr>
        <w:pStyle w:val="2-1"/>
      </w:pPr>
      <w:r w:rsidRPr="00D65AED">
        <w:rPr>
          <w:rFonts w:hint="eastAsia"/>
        </w:rPr>
        <w:t>連署人：黃世杰 江永昌</w:t>
      </w:r>
    </w:p>
    <w:p w14:paraId="0465AC6E" w14:textId="77777777" w:rsidR="00421BB5" w:rsidRPr="00D65AED" w:rsidRDefault="00421BB5" w:rsidP="00421BB5">
      <w:pPr>
        <w:pStyle w:val="0-"/>
      </w:pPr>
      <w:r w:rsidRPr="00D65AED">
        <w:rPr>
          <w:rFonts w:hint="eastAsia"/>
        </w:rPr>
        <w:t>(三十)</w:t>
      </w:r>
      <w:r w:rsidRPr="00D65AED">
        <w:t>據法務部統計，截至111年4月11日止，依毒品危害防制條例第2條第2項第1款至第4款規定，公告附表羅列之第一級至第四級毒品品項及毒品先驅原料計676項，除特別規定外，皆包括其異構物Isomers、酯類Esters、醚類Ethers及鹽類Salts。其中第二級毒品第178項為「3,4-亞甲基雙氧苯基甲胺戊酮（下稱pentylone）」，第三級毒品第47項為「3,4-亞甲基雙氧苯基甲胺丁酮（下稱butylone）」，第75項為「3,4-亞甲基雙氧苯基乙基胺丁酮（下稱eutylone）」，按上開3項毒品均為合成卡西酮類，且為同分異構物，化學結構及藥理性質相近，卻分列為不同級別毒品，致110年12月間發生媒</w:t>
      </w:r>
      <w:r w:rsidRPr="00D65AED">
        <w:lastRenderedPageBreak/>
        <w:t>體報導某醫院於109年間，將警察機關查獲第三級毒品eutylone之送請檢驗案件，誤判為第二級毒品pentylone，影響被告權益等情事。</w:t>
      </w:r>
    </w:p>
    <w:p w14:paraId="4B94AFB5" w14:textId="77777777" w:rsidR="00421BB5" w:rsidRPr="00D65AED" w:rsidRDefault="00421BB5" w:rsidP="00421BB5">
      <w:pPr>
        <w:pStyle w:val="0-2"/>
      </w:pPr>
      <w:r w:rsidRPr="00D65AED">
        <w:t>有鑑於毒品危害防制條例針對施用與持有第二級或第三級毒品，涉及刑罰與裁罰之程度不同，對民眾權益亦有不同程度影響，爰要求法務部於2個月內向立法院司法及法制委員會就毒品危害防制條例第2條第2項第1款至第4款規定公告附表羅列之第一級至第四級毒品品項，研酌重要性或社會關注之化學性質類同、藥理及毒性相近卻屬不同級別毒品，改列為同一級別毒品列管之可行性，提出</w:t>
      </w:r>
      <w:r w:rsidRPr="00D65AED">
        <w:rPr>
          <w:rFonts w:hint="eastAsia"/>
        </w:rPr>
        <w:t>書面</w:t>
      </w:r>
      <w:r w:rsidRPr="00D65AED">
        <w:t>報告，以利明確管理。</w:t>
      </w:r>
    </w:p>
    <w:p w14:paraId="222591FD" w14:textId="77777777" w:rsidR="00421BB5" w:rsidRPr="00D65AED" w:rsidRDefault="00421BB5" w:rsidP="00421BB5">
      <w:pPr>
        <w:pStyle w:val="2-1"/>
      </w:pPr>
      <w:r w:rsidRPr="00D65AED">
        <w:t>提案人：</w:t>
      </w:r>
      <w:r w:rsidRPr="00D65AED">
        <w:rPr>
          <w:rFonts w:hint="eastAsia"/>
        </w:rPr>
        <w:t xml:space="preserve">林思銘 </w:t>
      </w:r>
    </w:p>
    <w:p w14:paraId="165E6B95" w14:textId="77777777" w:rsidR="00421BB5" w:rsidRPr="00D65AED" w:rsidRDefault="00421BB5" w:rsidP="00421BB5">
      <w:pPr>
        <w:pStyle w:val="2-1"/>
      </w:pPr>
      <w:r w:rsidRPr="00D65AED">
        <w:rPr>
          <w:rFonts w:hint="eastAsia"/>
        </w:rPr>
        <w:t>連署人：游毓蘭 曾銘宗</w:t>
      </w:r>
    </w:p>
    <w:p w14:paraId="3F51F058" w14:textId="77777777" w:rsidR="00421BB5" w:rsidRPr="00D65AED" w:rsidRDefault="00421BB5" w:rsidP="00421BB5">
      <w:pPr>
        <w:pStyle w:val="0-"/>
      </w:pPr>
      <w:r w:rsidRPr="00D65AED">
        <w:rPr>
          <w:rFonts w:hint="eastAsia"/>
        </w:rPr>
        <w:t>(三十一)</w:t>
      </w:r>
      <w:r w:rsidRPr="00D65AED">
        <w:t>鑑於存放於司法聯盟鏈數位證據與傳統證據類型大為不同，為免未來衍生區塊鏈與數位證據之證據法問題，爰要求法務部應積極推動數位證據鑑識機制、保全及調閱等法律規範，並於3個月內向立法院司法及法制委員會提出</w:t>
      </w:r>
      <w:r w:rsidRPr="00D65AED">
        <w:rPr>
          <w:rFonts w:hint="eastAsia"/>
        </w:rPr>
        <w:t>書面</w:t>
      </w:r>
      <w:r w:rsidRPr="00D65AED">
        <w:t>報告，以完備司法聯盟鏈數位證據之保管公信力及證據能力。</w:t>
      </w:r>
    </w:p>
    <w:p w14:paraId="457E492B" w14:textId="77777777" w:rsidR="00421BB5" w:rsidRPr="00D65AED" w:rsidRDefault="00421BB5" w:rsidP="00421BB5">
      <w:pPr>
        <w:pStyle w:val="2-1"/>
      </w:pPr>
      <w:r w:rsidRPr="00D65AED">
        <w:t>提案人：</w:t>
      </w:r>
      <w:r w:rsidRPr="00D65AED">
        <w:rPr>
          <w:rFonts w:hint="eastAsia"/>
        </w:rPr>
        <w:t xml:space="preserve">林思銘 </w:t>
      </w:r>
    </w:p>
    <w:p w14:paraId="18C9D15D" w14:textId="77777777" w:rsidR="00421BB5" w:rsidRPr="00D65AED" w:rsidRDefault="00421BB5" w:rsidP="00421BB5">
      <w:pPr>
        <w:pStyle w:val="2-1"/>
      </w:pPr>
      <w:r w:rsidRPr="00D65AED">
        <w:rPr>
          <w:rFonts w:hint="eastAsia"/>
        </w:rPr>
        <w:t>連署人：游毓蘭 曾銘宗</w:t>
      </w:r>
    </w:p>
    <w:p w14:paraId="11718EFE" w14:textId="77777777" w:rsidR="00421BB5" w:rsidRPr="00D65AED" w:rsidRDefault="00421BB5" w:rsidP="00421BB5">
      <w:pPr>
        <w:pStyle w:val="0-"/>
      </w:pPr>
      <w:r w:rsidRPr="00D65AED">
        <w:rPr>
          <w:rFonts w:hint="eastAsia"/>
        </w:rPr>
        <w:t>(三十二)</w:t>
      </w:r>
      <w:r w:rsidRPr="00D65AED">
        <w:t>法務部為落實推動人民參與司法制度，已於109年間研擬國民參與不起訴處分審查法草案，惟囿於國民檢察審查會設置方式尚未獲共識，迄未完成制定，宜加強溝通協調，爰要求法務部於3個月內向立法院司法及法制委員會提出</w:t>
      </w:r>
      <w:r w:rsidRPr="00D65AED">
        <w:rPr>
          <w:rFonts w:hint="eastAsia"/>
        </w:rPr>
        <w:t>書面</w:t>
      </w:r>
      <w:r w:rsidRPr="00D65AED">
        <w:t>報告，以符合人民期待。</w:t>
      </w:r>
    </w:p>
    <w:p w14:paraId="4C874E36" w14:textId="77777777" w:rsidR="00421BB5" w:rsidRPr="00D65AED" w:rsidRDefault="00421BB5" w:rsidP="00421BB5">
      <w:pPr>
        <w:pStyle w:val="2-1"/>
      </w:pPr>
      <w:r w:rsidRPr="00D65AED">
        <w:t>提案人：</w:t>
      </w:r>
      <w:r w:rsidRPr="00D65AED">
        <w:rPr>
          <w:rFonts w:hint="eastAsia"/>
        </w:rPr>
        <w:t xml:space="preserve">林思銘 </w:t>
      </w:r>
    </w:p>
    <w:p w14:paraId="7DD04056" w14:textId="77777777" w:rsidR="00421BB5" w:rsidRPr="00D65AED" w:rsidRDefault="00421BB5" w:rsidP="00421BB5">
      <w:pPr>
        <w:pStyle w:val="2-1"/>
      </w:pPr>
      <w:r w:rsidRPr="00D65AED">
        <w:rPr>
          <w:rFonts w:hint="eastAsia"/>
        </w:rPr>
        <w:t>連署人：游毓蘭 曾銘宗</w:t>
      </w:r>
    </w:p>
    <w:p w14:paraId="39411176" w14:textId="77777777" w:rsidR="00421BB5" w:rsidRPr="00D65AED" w:rsidRDefault="00421BB5" w:rsidP="00421BB5">
      <w:pPr>
        <w:pStyle w:val="0-"/>
      </w:pPr>
      <w:r w:rsidRPr="00D65AED">
        <w:rPr>
          <w:rFonts w:hint="eastAsia"/>
        </w:rPr>
        <w:t>(三十三)</w:t>
      </w:r>
      <w:r w:rsidRPr="00D65AED">
        <w:t>聯合國為促使世界各國共同致力於反貪腐議題，指導並提供各國政府反貪腐之法制及政策，於2003年10月31日通過《聯合國反貪腐公約》（United Nations Convention against Corruption, UNCAC），並於2005年12月14日生效，反貪腐公約首次國家報告國際專家審查計提出47點結論性意見，據廉政署統計，截至2021年底止，案內列管47點結論性意見計提出371案績效指標，其中解除追蹤193案、自行列管143案、繼續追蹤35案，達成率90.57%，惟查上開尚待繼續追蹤之35案中，仍有部分法案尚待制定或修正。爰要求法務部於3個月內向立法院司法及法制委員會提出</w:t>
      </w:r>
      <w:r w:rsidRPr="00D65AED">
        <w:rPr>
          <w:rFonts w:hint="eastAsia"/>
        </w:rPr>
        <w:t>書面</w:t>
      </w:r>
      <w:r w:rsidRPr="00D65AED">
        <w:t>報告，俾利妥善落實與公約相關法制或措施。</w:t>
      </w:r>
    </w:p>
    <w:p w14:paraId="1047BD34" w14:textId="77777777" w:rsidR="00421BB5" w:rsidRPr="00D65AED" w:rsidRDefault="00421BB5" w:rsidP="00421BB5">
      <w:pPr>
        <w:pStyle w:val="2-1"/>
      </w:pPr>
      <w:r w:rsidRPr="00D65AED">
        <w:t>提案人：</w:t>
      </w:r>
      <w:r w:rsidRPr="00D65AED">
        <w:rPr>
          <w:rFonts w:hint="eastAsia"/>
        </w:rPr>
        <w:t xml:space="preserve">林思銘 </w:t>
      </w:r>
    </w:p>
    <w:p w14:paraId="2B32257F" w14:textId="77777777" w:rsidR="00421BB5" w:rsidRPr="00D65AED" w:rsidRDefault="00421BB5" w:rsidP="00421BB5">
      <w:pPr>
        <w:pStyle w:val="2-1"/>
      </w:pPr>
      <w:r w:rsidRPr="00D65AED">
        <w:rPr>
          <w:rFonts w:hint="eastAsia"/>
        </w:rPr>
        <w:t xml:space="preserve">連署人：游毓蘭 曾銘宗 </w:t>
      </w:r>
    </w:p>
    <w:p w14:paraId="3DD5360E" w14:textId="77777777" w:rsidR="00421BB5" w:rsidRPr="00D65AED" w:rsidRDefault="00421BB5" w:rsidP="00421BB5">
      <w:pPr>
        <w:pStyle w:val="0-"/>
      </w:pPr>
      <w:r w:rsidRPr="00D65AED">
        <w:rPr>
          <w:rFonts w:hint="eastAsia"/>
        </w:rPr>
        <w:t>(三十四)</w:t>
      </w:r>
      <w:r w:rsidRPr="00D65AED">
        <w:t>各地檢署對性侵假釋犯實施科技設備監控，有助於渠等假</w:t>
      </w:r>
      <w:r w:rsidRPr="00D65AED">
        <w:lastRenderedPageBreak/>
        <w:t>釋後減少再犯率，惟邇來發生科技監控主機及發訊器離線120分鐘，衍生監控管理空窗期，且廠商亦未就該異常事件提供檢討報告，爰要求法務部於6個月內向立法院司法及法制委員會提出</w:t>
      </w:r>
      <w:r w:rsidRPr="00D65AED">
        <w:rPr>
          <w:rFonts w:hint="eastAsia"/>
        </w:rPr>
        <w:t>書面</w:t>
      </w:r>
      <w:r w:rsidRPr="00D65AED">
        <w:t>報告，確保監控管理無空窗情況發生。</w:t>
      </w:r>
    </w:p>
    <w:p w14:paraId="3787846A" w14:textId="77777777" w:rsidR="00421BB5" w:rsidRPr="00D65AED" w:rsidRDefault="00421BB5" w:rsidP="00421BB5">
      <w:pPr>
        <w:pStyle w:val="2-1"/>
      </w:pPr>
      <w:r w:rsidRPr="00D65AED">
        <w:t>提案人：</w:t>
      </w:r>
      <w:r w:rsidRPr="00D65AED">
        <w:rPr>
          <w:rFonts w:hint="eastAsia"/>
        </w:rPr>
        <w:t xml:space="preserve">林思銘 </w:t>
      </w:r>
    </w:p>
    <w:p w14:paraId="64EF9B5D" w14:textId="77777777" w:rsidR="00421BB5" w:rsidRPr="00D65AED" w:rsidRDefault="00421BB5" w:rsidP="00421BB5">
      <w:pPr>
        <w:pStyle w:val="2-1"/>
      </w:pPr>
      <w:r w:rsidRPr="00D65AED">
        <w:rPr>
          <w:rFonts w:hint="eastAsia"/>
        </w:rPr>
        <w:t>連署人：游毓蘭 曾銘宗</w:t>
      </w:r>
    </w:p>
    <w:p w14:paraId="57283C37" w14:textId="77777777" w:rsidR="00421BB5" w:rsidRPr="00D65AED" w:rsidRDefault="00421BB5" w:rsidP="00421BB5">
      <w:pPr>
        <w:pStyle w:val="0-"/>
      </w:pPr>
      <w:r w:rsidRPr="00D65AED">
        <w:rPr>
          <w:rFonts w:hint="eastAsia"/>
        </w:rPr>
        <w:t>(三十五)</w:t>
      </w:r>
      <w:r w:rsidRPr="00D65AED">
        <w:t>臺</w:t>
      </w:r>
      <w:r w:rsidRPr="00D65AED">
        <w:rPr>
          <w:rFonts w:hint="eastAsia"/>
        </w:rPr>
        <w:t>灣</w:t>
      </w:r>
      <w:r w:rsidRPr="00D65AED">
        <w:t>高</w:t>
      </w:r>
      <w:r w:rsidRPr="00D65AED">
        <w:rPr>
          <w:rFonts w:hint="eastAsia"/>
        </w:rPr>
        <w:t>等</w:t>
      </w:r>
      <w:r w:rsidRPr="00D65AED">
        <w:t>檢</w:t>
      </w:r>
      <w:r w:rsidRPr="00D65AED">
        <w:rPr>
          <w:rFonts w:hint="eastAsia"/>
        </w:rPr>
        <w:t>察署</w:t>
      </w:r>
      <w:r w:rsidRPr="00D65AED">
        <w:t>為解決邇來部分地檢署因錄音錄影設備老舊致部分錄音檔未收錄，引發被告質疑等爭議，律定各地檢署開庭前應檢測錄音及錄影音設備，惟部分地檢署逾半數偵查詢問錄音及錄影設備已逾使用年限，且多採取人工方式檢測確認可否正常使用；另各地檢署監視系統影音資料之保存天數差異頗巨，有待研議配套改善措施，爰要求法務部於6個月內向立法院司法及法制委員會提出</w:t>
      </w:r>
      <w:r w:rsidRPr="00D65AED">
        <w:rPr>
          <w:rFonts w:hint="eastAsia"/>
        </w:rPr>
        <w:t>書面</w:t>
      </w:r>
      <w:r w:rsidRPr="00D65AED">
        <w:t>報告，以確保被告權益。</w:t>
      </w:r>
    </w:p>
    <w:p w14:paraId="3D9AE65E" w14:textId="77777777" w:rsidR="00421BB5" w:rsidRPr="00D65AED" w:rsidRDefault="00421BB5" w:rsidP="00421BB5">
      <w:pPr>
        <w:pStyle w:val="2-1"/>
      </w:pPr>
      <w:r w:rsidRPr="00D65AED">
        <w:t>提案人：</w:t>
      </w:r>
      <w:r w:rsidRPr="00D65AED">
        <w:rPr>
          <w:rFonts w:hint="eastAsia"/>
        </w:rPr>
        <w:t xml:space="preserve">林思銘 </w:t>
      </w:r>
    </w:p>
    <w:p w14:paraId="7A847C90" w14:textId="77777777" w:rsidR="00421BB5" w:rsidRPr="00D65AED" w:rsidRDefault="00421BB5" w:rsidP="00421BB5">
      <w:pPr>
        <w:pStyle w:val="2-1"/>
      </w:pPr>
      <w:r w:rsidRPr="00D65AED">
        <w:rPr>
          <w:rFonts w:hint="eastAsia"/>
        </w:rPr>
        <w:t>連署人：游毓蘭 曾銘宗</w:t>
      </w:r>
    </w:p>
    <w:p w14:paraId="47AB870A" w14:textId="77777777" w:rsidR="00421BB5" w:rsidRPr="00D65AED" w:rsidRDefault="00421BB5" w:rsidP="00421BB5">
      <w:pPr>
        <w:pStyle w:val="0-"/>
      </w:pPr>
      <w:r w:rsidRPr="00D65AED">
        <w:rPr>
          <w:rFonts w:hint="eastAsia"/>
        </w:rPr>
        <w:t>(三十六)</w:t>
      </w:r>
      <w:r w:rsidRPr="00D65AED">
        <w:t>因應毒品危害防制條例及</w:t>
      </w:r>
      <w:r w:rsidRPr="00D65AED">
        <w:rPr>
          <w:rFonts w:hint="eastAsia"/>
        </w:rPr>
        <w:t>最高法院</w:t>
      </w:r>
      <w:r w:rsidRPr="00D65AED">
        <w:t>刑事大法庭見解修正，施用毒品逾3年再犯者，法院可重新裁定觀察、勒戒，預期各勒戒處所觀察、勒戒人數將增加，影響各勒戒處所內醫師診療、人員、經費及收容空間等配置量能，爰要求法務部於6個月內向立法院司法及法制委員會提出</w:t>
      </w:r>
      <w:r w:rsidRPr="00D65AED">
        <w:rPr>
          <w:rFonts w:hint="eastAsia"/>
        </w:rPr>
        <w:t>書面</w:t>
      </w:r>
      <w:r w:rsidRPr="00D65AED">
        <w:t>報告，以確保受刑人權益。</w:t>
      </w:r>
    </w:p>
    <w:p w14:paraId="1A6865AC" w14:textId="77777777" w:rsidR="00421BB5" w:rsidRPr="00D65AED" w:rsidRDefault="00421BB5" w:rsidP="00421BB5">
      <w:pPr>
        <w:pStyle w:val="2-1"/>
      </w:pPr>
      <w:r w:rsidRPr="00D65AED">
        <w:t>提案人：</w:t>
      </w:r>
      <w:r w:rsidRPr="00D65AED">
        <w:rPr>
          <w:rFonts w:hint="eastAsia"/>
        </w:rPr>
        <w:t xml:space="preserve">林思銘 </w:t>
      </w:r>
    </w:p>
    <w:p w14:paraId="32114590" w14:textId="77777777" w:rsidR="00421BB5" w:rsidRPr="00D65AED" w:rsidRDefault="00421BB5" w:rsidP="00421BB5">
      <w:pPr>
        <w:pStyle w:val="2-1"/>
      </w:pPr>
      <w:r w:rsidRPr="00D65AED">
        <w:rPr>
          <w:rFonts w:hint="eastAsia"/>
        </w:rPr>
        <w:t>連署人：游毓蘭 曾銘宗</w:t>
      </w:r>
    </w:p>
    <w:p w14:paraId="5BA66321" w14:textId="77777777" w:rsidR="00421BB5" w:rsidRPr="00D65AED" w:rsidRDefault="00421BB5" w:rsidP="00421BB5">
      <w:pPr>
        <w:pStyle w:val="0-"/>
      </w:pPr>
      <w:r w:rsidRPr="00D65AED">
        <w:rPr>
          <w:rFonts w:hint="eastAsia"/>
        </w:rPr>
        <w:t>(三十七)新竹地區快速發展為工、商並重之科技城市，吸引大量人口遷入，人口成長率已居全國之冠，相對檢察官偵辦案件數量亦與日驟增。員額不足導致檢察官辦案的負荷量加重，加上職務宿舍原就存在數量不足之問題，在宿舍不敷使用的情況下，未能分配到職務宿舍的檢察官，只能自行承租民宅居住；又因工作性質之緣由，檢察官需經常於下班後繼續加班、輪值內外勤或夜間開庭，由於居住的地點四處分散，且租賃之民宅保全措施不一，為檢察官的人身安全威脅埋下隱憂。</w:t>
      </w:r>
    </w:p>
    <w:p w14:paraId="1935BD36" w14:textId="77777777" w:rsidR="00421BB5" w:rsidRPr="00D65AED" w:rsidRDefault="00421BB5" w:rsidP="00421BB5">
      <w:pPr>
        <w:pStyle w:val="0-2"/>
      </w:pPr>
      <w:r w:rsidRPr="00D65AED">
        <w:rPr>
          <w:rFonts w:hint="eastAsia"/>
        </w:rPr>
        <w:t>爰此，針對上述提及之問題，法務部允宜與行政院、行政院主計總處、行政院人事行政總處、國家發展委員會、行政院公共工程委員會及有關單位迅速研議妥適方案，以有效解決檢察單位檢察官員額不足、檢察官職務宿舍老舊以及數量不足之困境，讓檢察官的人身及財產安全可以獲得最大保障。</w:t>
      </w:r>
    </w:p>
    <w:p w14:paraId="3DA87A63" w14:textId="77777777" w:rsidR="00421BB5" w:rsidRPr="00D65AED" w:rsidRDefault="00421BB5" w:rsidP="00421BB5">
      <w:pPr>
        <w:pStyle w:val="2-1"/>
      </w:pPr>
      <w:r w:rsidRPr="00D65AED">
        <w:t>提案人：</w:t>
      </w:r>
      <w:r w:rsidRPr="00D65AED">
        <w:rPr>
          <w:rFonts w:hint="eastAsia"/>
        </w:rPr>
        <w:t xml:space="preserve">林思銘 </w:t>
      </w:r>
    </w:p>
    <w:p w14:paraId="036C0388" w14:textId="77777777" w:rsidR="00421BB5" w:rsidRPr="00D65AED" w:rsidRDefault="00421BB5" w:rsidP="00421BB5">
      <w:pPr>
        <w:pStyle w:val="2-1"/>
      </w:pPr>
      <w:r w:rsidRPr="00D65AED">
        <w:rPr>
          <w:rFonts w:hint="eastAsia"/>
        </w:rPr>
        <w:t>連署人：游毓蘭 曾銘宗</w:t>
      </w:r>
    </w:p>
    <w:p w14:paraId="61D02A88" w14:textId="77777777" w:rsidR="00421BB5" w:rsidRPr="00D65AED" w:rsidRDefault="00421BB5" w:rsidP="00421BB5">
      <w:pPr>
        <w:pStyle w:val="0-"/>
      </w:pPr>
      <w:r w:rsidRPr="00D65AED">
        <w:rPr>
          <w:rFonts w:hint="eastAsia"/>
        </w:rPr>
        <w:t>(三十八)112年度法務部歲出預算「法務行政」項下「辦理國際及兩岸法律事務費」中「一般事務費」編列524萬7千元，其中</w:t>
      </w:r>
      <w:r w:rsidRPr="00D65AED">
        <w:rPr>
          <w:rFonts w:hint="eastAsia"/>
        </w:rPr>
        <w:lastRenderedPageBreak/>
        <w:t>300萬元用於辦理涉案國人留置境外及接返相關事務、執行國內外連絡獲取情資及推動「打擊跨境詐騙跨部會平臺會議」運作。可111年發生多起我國國民被騙往柬埔寨、緬甸等東南亞國家從事詐騙工作，且根據外交部統計資料，迄今尚有315人未回國，法務部應即研擬方案將境外受困國人營救歸來。</w:t>
      </w:r>
    </w:p>
    <w:p w14:paraId="09FC911B" w14:textId="77777777" w:rsidR="00421BB5" w:rsidRPr="00D65AED" w:rsidRDefault="00421BB5" w:rsidP="00421BB5">
      <w:pPr>
        <w:pStyle w:val="2-1"/>
      </w:pPr>
      <w:r w:rsidRPr="00D65AED">
        <w:t>提案人：</w:t>
      </w:r>
      <w:r w:rsidRPr="00D65AED">
        <w:rPr>
          <w:rFonts w:hint="eastAsia"/>
        </w:rPr>
        <w:t xml:space="preserve">陳以信 </w:t>
      </w:r>
    </w:p>
    <w:p w14:paraId="3957694A" w14:textId="77777777" w:rsidR="00421BB5" w:rsidRPr="00D65AED" w:rsidRDefault="00421BB5" w:rsidP="00421BB5">
      <w:pPr>
        <w:pStyle w:val="2-1"/>
      </w:pPr>
      <w:r w:rsidRPr="00D65AED">
        <w:rPr>
          <w:rFonts w:hint="eastAsia"/>
        </w:rPr>
        <w:t>連署人：林思銘 游毓蘭</w:t>
      </w:r>
    </w:p>
    <w:p w14:paraId="696F035D" w14:textId="77777777" w:rsidR="00421BB5" w:rsidRPr="00D65AED" w:rsidRDefault="00421BB5" w:rsidP="00421BB5">
      <w:pPr>
        <w:pStyle w:val="0-"/>
      </w:pPr>
      <w:r w:rsidRPr="00D65AED">
        <w:rPr>
          <w:rFonts w:hint="eastAsia"/>
        </w:rPr>
        <w:t>(三十九)身心障礙者權益保障法第84條第1項明定：「法院或檢察機關於訴訟程序實施過程，身心障礙者涉訟或須作證時，應就其障礙類別之特別需要，提供必要之協助。」；惟國際審查委員會（IRC）就我國施行身心障礙者權利公約（CRPD）所提出之第2次國家報告結論性意見，提及法務部並未充分考慮心智障礙者、神經多樣性者，包括自閉症者或心理社會障礙者在司法系統中的需求，亦未制定相關措施來解決他們在近用司法方面所面臨的不利處境。</w:t>
      </w:r>
    </w:p>
    <w:p w14:paraId="62E0EB90" w14:textId="77777777" w:rsidR="00421BB5" w:rsidRPr="00D65AED" w:rsidRDefault="00421BB5" w:rsidP="00421BB5">
      <w:pPr>
        <w:pStyle w:val="0-2"/>
      </w:pPr>
      <w:r w:rsidRPr="00D65AED">
        <w:rPr>
          <w:rFonts w:hint="eastAsia"/>
        </w:rPr>
        <w:t>再者，無論身心障礙者權益保障法或刑事訴訟法，有明文規定須有輔佐人陪同在場者，僅限於被告或犯罪嫌疑人，如被害人為身心障礙者，得否擁有輔佐人陪同在場之權利，猶未可知。</w:t>
      </w:r>
    </w:p>
    <w:p w14:paraId="69B9D8EA" w14:textId="77777777" w:rsidR="00421BB5" w:rsidRPr="00D65AED" w:rsidRDefault="00421BB5" w:rsidP="00421BB5">
      <w:pPr>
        <w:pStyle w:val="0-2"/>
      </w:pPr>
      <w:r w:rsidRPr="00D65AED">
        <w:rPr>
          <w:rFonts w:hint="eastAsia"/>
        </w:rPr>
        <w:t>為強化身心障礙者之司法近用，落實犯罪被害人之權利保障，爰要求法務部本於權責就身心障礙之被害人於司法程序之權利保障，邀集學者專家研議精進辦法，以確保身心障礙者得與其他人在平等的基礎上近用司法，並向立法院司法及法制委員會與提案委員提出書面報告。</w:t>
      </w:r>
    </w:p>
    <w:p w14:paraId="19C36E8A" w14:textId="77777777" w:rsidR="00421BB5" w:rsidRPr="00D65AED" w:rsidRDefault="00421BB5" w:rsidP="00421BB5">
      <w:pPr>
        <w:pStyle w:val="2-1"/>
      </w:pPr>
      <w:r w:rsidRPr="00D65AED">
        <w:t>提案人：</w:t>
      </w:r>
      <w:r w:rsidRPr="00D65AED">
        <w:rPr>
          <w:rFonts w:hint="eastAsia"/>
        </w:rPr>
        <w:t>江永昌 黃世杰 陳歐珀 吳玉琴</w:t>
      </w:r>
    </w:p>
    <w:p w14:paraId="79745C53" w14:textId="77777777" w:rsidR="00421BB5" w:rsidRPr="00D65AED" w:rsidRDefault="00421BB5" w:rsidP="00421BB5">
      <w:pPr>
        <w:pStyle w:val="0-"/>
      </w:pPr>
      <w:r w:rsidRPr="00D65AED">
        <w:rPr>
          <w:rFonts w:hint="eastAsia"/>
        </w:rPr>
        <w:t>(四十)</w:t>
      </w:r>
      <w:r w:rsidRPr="00D65AED">
        <w:t>法務部於109年1月起建置被害人刑事訴訟資訊獲知平台，俾使被害人在刑事程序中，對於訴訟之進行、結果及被害人相關權益資訊能清楚掌握，賦予被害人更完整保障。該平台110年1月1日起於臺北、新北及屏東地方檢察署試辦3個月後，於110年7月於各地檢署全面啟用。據法務部統計，110年7至12月犯罪之被害人聲請檢察機關透過「被害人刑事訴訟資訊獲知平台」提供資訊者，計有171件，聲請率僅為10.13%，顯示平台聲請率有待提升。且該平台曾有發生誤傳錯誤訊息之情事，致聲請人衍生不滿情緒及抗議；又查各地檢署對該平台發送訊息是否成功，並無法知悉，須待聲請人電話詢問後，再由地檢署透過電話聯繫法務部資訊處方能確認等，亦顯示被害人刑事訴訟資訊獲知平台便民程度尚待提升，爰要求</w:t>
      </w:r>
      <w:r w:rsidRPr="00D65AED">
        <w:rPr>
          <w:rFonts w:hint="eastAsia"/>
        </w:rPr>
        <w:t>法務部</w:t>
      </w:r>
      <w:r w:rsidRPr="00D65AED">
        <w:t>於3個月內向立法院司法及法制委員會提出</w:t>
      </w:r>
      <w:r w:rsidRPr="00D65AED">
        <w:rPr>
          <w:rFonts w:hint="eastAsia"/>
        </w:rPr>
        <w:t>書面</w:t>
      </w:r>
      <w:r w:rsidRPr="00D65AED">
        <w:t>報告，俾達成被害人能適時掌握訴訟資訊之系統建置目的。</w:t>
      </w:r>
    </w:p>
    <w:p w14:paraId="0006E533" w14:textId="77777777" w:rsidR="00421BB5" w:rsidRPr="00D65AED" w:rsidRDefault="00421BB5" w:rsidP="00421BB5">
      <w:pPr>
        <w:pStyle w:val="2-1"/>
      </w:pPr>
      <w:r w:rsidRPr="00D65AED">
        <w:t>提案人：</w:t>
      </w:r>
      <w:r w:rsidRPr="00D65AED">
        <w:rPr>
          <w:rFonts w:hint="eastAsia"/>
        </w:rPr>
        <w:t xml:space="preserve">林思銘 </w:t>
      </w:r>
    </w:p>
    <w:p w14:paraId="2393918C" w14:textId="77777777" w:rsidR="00421BB5" w:rsidRPr="00D65AED" w:rsidRDefault="00421BB5" w:rsidP="00421BB5">
      <w:pPr>
        <w:pStyle w:val="2-1"/>
      </w:pPr>
      <w:r w:rsidRPr="00D65AED">
        <w:rPr>
          <w:rFonts w:hint="eastAsia"/>
        </w:rPr>
        <w:lastRenderedPageBreak/>
        <w:t>連署人：游毓蘭 曾銘宗</w:t>
      </w:r>
    </w:p>
    <w:p w14:paraId="6F436E4A" w14:textId="77777777" w:rsidR="00421BB5" w:rsidRPr="00A52F6B" w:rsidRDefault="00421BB5" w:rsidP="00A52F6B">
      <w:pPr>
        <w:spacing w:line="360" w:lineRule="exact"/>
        <w:ind w:left="596" w:hanging="312"/>
        <w:rPr>
          <w:rFonts w:ascii="標楷體" w:eastAsia="標楷體" w:hAnsi="標楷體"/>
          <w:sz w:val="28"/>
          <w:szCs w:val="28"/>
          <w:shd w:val="clear" w:color="auto" w:fill="FFFFFF"/>
        </w:rPr>
      </w:pPr>
      <w:r w:rsidRPr="00A52F6B">
        <w:rPr>
          <w:rFonts w:ascii="標楷體" w:eastAsia="標楷體" w:hAnsi="標楷體" w:hint="eastAsia"/>
          <w:sz w:val="28"/>
          <w:szCs w:val="28"/>
          <w:shd w:val="clear" w:color="auto" w:fill="FFFFFF"/>
        </w:rPr>
        <w:t>第2項　司法官學院3億8,405萬7千元，照列。</w:t>
      </w:r>
    </w:p>
    <w:p w14:paraId="08EB10D6" w14:textId="77777777" w:rsidR="00421BB5" w:rsidRPr="00D65AED" w:rsidRDefault="00421BB5" w:rsidP="00C4292A">
      <w:pPr>
        <w:pStyle w:val="0-"/>
        <w:ind w:leftChars="129" w:left="1039" w:hangingChars="260" w:hanging="729"/>
        <w:rPr>
          <w:b/>
        </w:rPr>
      </w:pPr>
      <w:r w:rsidRPr="00D65AED">
        <w:rPr>
          <w:rFonts w:hint="eastAsia"/>
          <w:b/>
        </w:rPr>
        <w:t>本項通過決議1項：</w:t>
      </w:r>
    </w:p>
    <w:p w14:paraId="3CF19046" w14:textId="77777777" w:rsidR="00421BB5" w:rsidRPr="00D65AED" w:rsidRDefault="00421BB5" w:rsidP="00421BB5">
      <w:pPr>
        <w:pStyle w:val="0-"/>
      </w:pPr>
      <w:r w:rsidRPr="00D65AED">
        <w:rPr>
          <w:rFonts w:hint="eastAsia"/>
        </w:rPr>
        <w:t>(一)查國際審查委員會（IRC）就我國施行身心障礙者權利公約（CRPD）所提出之第2次國家報告結論性意見，其中第66點建議司法院：應確保法官學院為臺灣的每位法官和法院工作人員提供有關「障礙者近用司法之國際原則與指引」之培訓，且此種培訓應該由包括身心障礙者在內的專家提供。</w:t>
      </w:r>
    </w:p>
    <w:p w14:paraId="1A389F8E" w14:textId="77777777" w:rsidR="00421BB5" w:rsidRPr="00D65AED" w:rsidRDefault="00421BB5" w:rsidP="00421BB5">
      <w:pPr>
        <w:pStyle w:val="0-2"/>
      </w:pPr>
      <w:r w:rsidRPr="00D65AED">
        <w:rPr>
          <w:rFonts w:hint="eastAsia"/>
        </w:rPr>
        <w:t>鑑於司法人員之培訓係由法官學院及司法官學院分別負責，為確保身心障礙者得與其他人在平等的基礎上近用司法，肩負準司法官養成教育及司法工作人員研習等業務的司法官學院，更應強化相關指引之培訓。</w:t>
      </w:r>
    </w:p>
    <w:p w14:paraId="094DC110" w14:textId="77777777" w:rsidR="00421BB5" w:rsidRPr="00D65AED" w:rsidRDefault="00421BB5" w:rsidP="00421BB5">
      <w:pPr>
        <w:pStyle w:val="0-2"/>
        <w:rPr>
          <w:rStyle w:val="0-0"/>
        </w:rPr>
      </w:pPr>
      <w:r w:rsidRPr="00D65AED">
        <w:rPr>
          <w:rFonts w:hint="eastAsia"/>
        </w:rPr>
        <w:t>請法務部司法官學院諮詢心智障礙者、神經多樣性者和心理社會障礙者等代表團體之意見，瞭解其使用司法系統之經驗，研議障礙者近用司法之國際原則與指引之培訓課程規劃，於3個月內向立法院司法及法制委員會與提案委員提出書面報告。</w:t>
      </w:r>
    </w:p>
    <w:p w14:paraId="06F43851" w14:textId="77777777" w:rsidR="00421BB5" w:rsidRPr="00D65AED" w:rsidRDefault="00421BB5" w:rsidP="00421BB5">
      <w:pPr>
        <w:pStyle w:val="2-1"/>
        <w:rPr>
          <w:shd w:val="clear" w:color="auto" w:fill="FFFFFF"/>
        </w:rPr>
      </w:pPr>
      <w:r w:rsidRPr="00D65AED">
        <w:rPr>
          <w:rFonts w:hint="eastAsia"/>
          <w:shd w:val="clear" w:color="auto" w:fill="FFFFFF"/>
        </w:rPr>
        <w:t>提案人：江永昌 黃世杰 陳歐珀 吳玉琴</w:t>
      </w:r>
    </w:p>
    <w:p w14:paraId="62212310" w14:textId="77777777" w:rsidR="00421BB5" w:rsidRPr="00A52F6B" w:rsidRDefault="00421BB5" w:rsidP="00A52F6B">
      <w:pPr>
        <w:spacing w:line="360" w:lineRule="exact"/>
        <w:ind w:left="596" w:hanging="312"/>
        <w:rPr>
          <w:rFonts w:ascii="標楷體" w:eastAsia="標楷體" w:hAnsi="標楷體"/>
          <w:sz w:val="28"/>
          <w:szCs w:val="28"/>
        </w:rPr>
      </w:pPr>
      <w:r w:rsidRPr="00A52F6B">
        <w:rPr>
          <w:rFonts w:ascii="標楷體" w:eastAsia="標楷體" w:hAnsi="標楷體" w:hint="eastAsia"/>
          <w:sz w:val="28"/>
          <w:szCs w:val="28"/>
        </w:rPr>
        <w:t>第3項　法醫研究所1億9,027萬3千元，照列。</w:t>
      </w:r>
    </w:p>
    <w:p w14:paraId="2C4AFA06" w14:textId="77777777" w:rsidR="00421BB5" w:rsidRPr="00A52F6B" w:rsidRDefault="00421BB5" w:rsidP="00C4292A">
      <w:pPr>
        <w:spacing w:line="360" w:lineRule="exact"/>
        <w:ind w:leftChars="111" w:left="1452" w:hangingChars="423" w:hanging="1186"/>
        <w:rPr>
          <w:rFonts w:ascii="標楷體" w:eastAsia="標楷體" w:hAnsi="標楷體"/>
          <w:b/>
          <w:sz w:val="28"/>
          <w:szCs w:val="28"/>
        </w:rPr>
      </w:pPr>
      <w:r w:rsidRPr="00A52F6B">
        <w:rPr>
          <w:rFonts w:ascii="標楷體" w:eastAsia="標楷體" w:hAnsi="標楷體" w:hint="eastAsia"/>
          <w:b/>
          <w:sz w:val="28"/>
          <w:szCs w:val="28"/>
        </w:rPr>
        <w:t>本項通過決議1項：</w:t>
      </w:r>
    </w:p>
    <w:p w14:paraId="53669085" w14:textId="77777777" w:rsidR="00421BB5" w:rsidRPr="00D65AED" w:rsidRDefault="00421BB5" w:rsidP="00421BB5">
      <w:pPr>
        <w:pStyle w:val="0-"/>
      </w:pPr>
      <w:r w:rsidRPr="00D65AED">
        <w:rPr>
          <w:rFonts w:hint="eastAsia"/>
        </w:rPr>
        <w:t>(一)總統府司法改革國是會議決議設立獨立行使職權的國家級司法科學委員會，用以提升科學鑑定品質、強化科學辦案的技術以及應用、加強司法發現真實的能力。為達成促進司法現代化與正確化，法務部研擬將法醫研究所改制為國家司法科學研究院，並擬規劃相關法制作業。然就司法改革進度追蹤平台顯示，到111年7月15日為止，相關建置作業仍在討論中，進度明顯不足。另外109年臺灣高雄地方法院清查發現，高雄醫學大學附設中和紀念醫院將三級毒品Eutylone誤判為二級毒品Pentylone，臺灣高雄及橋頭地方檢察署全面清查發現因「誤判」起訴案有38件，其中13件無罪，25件待釐清，更顯示應儘速設立司法科學研究院之重要性，以制定鑑定技術規範認證，強化鑑定品質。</w:t>
      </w:r>
    </w:p>
    <w:p w14:paraId="20C31E14" w14:textId="77777777" w:rsidR="00421BB5" w:rsidRPr="00D65AED" w:rsidRDefault="00421BB5" w:rsidP="00421BB5">
      <w:pPr>
        <w:pStyle w:val="0-2"/>
        <w:rPr>
          <w:rStyle w:val="0-0"/>
        </w:rPr>
      </w:pPr>
      <w:r w:rsidRPr="00D65AED">
        <w:rPr>
          <w:rFonts w:hint="eastAsia"/>
        </w:rPr>
        <w:t>綜上所述，請法務部法醫研究所提出擬訂改制國家司法科學研究院之規劃說明並向立法院司法及法制委員會與提案委員提出書面報告。</w:t>
      </w:r>
    </w:p>
    <w:p w14:paraId="78659DFC" w14:textId="77777777" w:rsidR="00421BB5" w:rsidRPr="00D65AED" w:rsidRDefault="00421BB5" w:rsidP="00421BB5">
      <w:pPr>
        <w:pStyle w:val="2-1"/>
        <w:rPr>
          <w:shd w:val="clear" w:color="auto" w:fill="FFFFFF"/>
        </w:rPr>
      </w:pPr>
      <w:r w:rsidRPr="00D65AED">
        <w:rPr>
          <w:rFonts w:hint="eastAsia"/>
          <w:shd w:val="clear" w:color="auto" w:fill="FFFFFF"/>
        </w:rPr>
        <w:t xml:space="preserve">提案人：黃世杰 江永昌 陳歐珀 </w:t>
      </w:r>
    </w:p>
    <w:p w14:paraId="6D6AB9A4" w14:textId="77777777" w:rsidR="00421BB5" w:rsidRPr="00A52F6B" w:rsidRDefault="00421BB5" w:rsidP="00A52F6B">
      <w:pPr>
        <w:spacing w:line="360" w:lineRule="exact"/>
        <w:ind w:leftChars="204" w:left="1450" w:hangingChars="343" w:hanging="960"/>
        <w:rPr>
          <w:rFonts w:ascii="標楷體" w:eastAsia="標楷體" w:hAnsi="標楷體"/>
          <w:sz w:val="28"/>
          <w:szCs w:val="28"/>
        </w:rPr>
      </w:pPr>
      <w:r w:rsidRPr="00A52F6B">
        <w:rPr>
          <w:rFonts w:ascii="標楷體" w:eastAsia="標楷體" w:hAnsi="標楷體" w:hint="eastAsia"/>
          <w:sz w:val="28"/>
          <w:szCs w:val="28"/>
        </w:rPr>
        <w:t>第4項　廉政署5億3,951萬9千元，照列。</w:t>
      </w:r>
    </w:p>
    <w:p w14:paraId="3260B467" w14:textId="77777777" w:rsidR="00421BB5" w:rsidRPr="00A52F6B" w:rsidRDefault="00421BB5" w:rsidP="00A52F6B">
      <w:pPr>
        <w:spacing w:line="360" w:lineRule="exact"/>
        <w:ind w:leftChars="204" w:left="1451" w:hangingChars="343" w:hanging="961"/>
        <w:rPr>
          <w:rFonts w:ascii="標楷體" w:eastAsia="標楷體" w:hAnsi="標楷體"/>
          <w:b/>
          <w:sz w:val="28"/>
          <w:szCs w:val="28"/>
          <w:shd w:val="clear" w:color="auto" w:fill="FFFFFF"/>
        </w:rPr>
      </w:pPr>
      <w:r w:rsidRPr="00A52F6B">
        <w:rPr>
          <w:rFonts w:ascii="標楷體" w:eastAsia="標楷體" w:hAnsi="標楷體" w:hint="eastAsia"/>
          <w:b/>
          <w:sz w:val="28"/>
          <w:szCs w:val="28"/>
        </w:rPr>
        <w:t>本項通過決議7項：</w:t>
      </w:r>
    </w:p>
    <w:p w14:paraId="42F59594" w14:textId="77777777" w:rsidR="00421BB5" w:rsidRPr="00D65AED" w:rsidRDefault="00421BB5" w:rsidP="00421BB5">
      <w:pPr>
        <w:pStyle w:val="0-"/>
        <w:rPr>
          <w:rStyle w:val="0-0"/>
        </w:rPr>
      </w:pPr>
      <w:r w:rsidRPr="00D65AED">
        <w:rPr>
          <w:rFonts w:hint="eastAsia"/>
        </w:rPr>
        <w:t>(一)查112年度法務部廉政署歲出預算「廉政業務」編列5</w:t>
      </w:r>
      <w:r w:rsidRPr="00D65AED">
        <w:t>,</w:t>
      </w:r>
      <w:r w:rsidRPr="00D65AED">
        <w:rPr>
          <w:rFonts w:hint="eastAsia"/>
        </w:rPr>
        <w:t>312萬元，其中包括研修肅貪法令與制度、督導全國政風肅貪業務、</w:t>
      </w:r>
      <w:r w:rsidRPr="00D65AED">
        <w:rPr>
          <w:rFonts w:hint="eastAsia"/>
        </w:rPr>
        <w:lastRenderedPageBreak/>
        <w:t>受理民眾檢舉貪瀆案件、規劃辦理廉政審查會等業務。然查「中央機關及地方政府設置廉政會報作業要點」規定，廉政會報召開頻率，以每2個月召開會議1次(每年6次)為原則，惟依據廉政署公布之統計資料，110年度各機關召開廉政會報之次數總計1,165次，較109年度之1,206次略有下降，就連法務部及廉政署自己本身，實際召開次數為每年2次、疫情期間因受疫情影響則降為每年1次，爰要求法務部廉政署應立即改善。</w:t>
      </w:r>
    </w:p>
    <w:p w14:paraId="62783783" w14:textId="77777777" w:rsidR="00421BB5" w:rsidRPr="00D65AED" w:rsidRDefault="00421BB5" w:rsidP="00421BB5">
      <w:pPr>
        <w:pStyle w:val="2-1"/>
      </w:pPr>
      <w:r w:rsidRPr="00D65AED">
        <w:t>提案人：</w:t>
      </w:r>
      <w:r w:rsidRPr="00D65AED">
        <w:rPr>
          <w:rFonts w:hint="eastAsia"/>
        </w:rPr>
        <w:t>陳玉珍</w:t>
      </w:r>
    </w:p>
    <w:p w14:paraId="38F69A3F" w14:textId="77777777" w:rsidR="00421BB5" w:rsidRPr="00D65AED" w:rsidRDefault="00421BB5" w:rsidP="00421BB5">
      <w:pPr>
        <w:pStyle w:val="2-1"/>
      </w:pPr>
      <w:r w:rsidRPr="00D65AED">
        <w:rPr>
          <w:rFonts w:hint="eastAsia"/>
        </w:rPr>
        <w:t>連署人：游毓蘭 林思銘</w:t>
      </w:r>
    </w:p>
    <w:p w14:paraId="67882DD0" w14:textId="77777777" w:rsidR="00421BB5" w:rsidRPr="00D65AED" w:rsidRDefault="00421BB5" w:rsidP="00421BB5">
      <w:pPr>
        <w:pStyle w:val="0-"/>
      </w:pPr>
      <w:r w:rsidRPr="00D65AED">
        <w:rPr>
          <w:rFonts w:hint="eastAsia"/>
        </w:rPr>
        <w:t>(二)根據公職人員財產申報法(下稱本法)第5條第1項第2款之規定，其規定公職人員應申報之財產類型，一定金額以上之現金、存款、有價證券、珠寶、古董、字畫及其他具有相當價值之財產，均屬公職人員應申報之財產項目。目前除上述項目外，另有加密貨幣、數位資產等新興數位金融之財產形式，其發展趨勢以及規模已然逐漸成形。但根據法務部111年5月13日法廉字第11105002510號函釋，對於「數位資產」或「加密貨幣」是否應申報之疑義，法務部竟然認為數位資產或虛擬貨幣即使作為支付工具或投資標的，因其交易「去中介化」及「匿名化」，意即資金流向具匿名性且不具資金來源可溯性，所以目前暫無從納入公務人員財產申報法應申報財產之範圍，此函釋與法律明定之申報義務範圍顯然相左，且違背法律文義，致使相關數位資產成為財產申報之漏洞。爰要求法務部廉政署檢視相關主管法規，研議數位資產進行申報之具體方式，以利申報及監管透明。</w:t>
      </w:r>
    </w:p>
    <w:p w14:paraId="6E5276FA" w14:textId="77777777" w:rsidR="00421BB5" w:rsidRPr="00D65AED" w:rsidRDefault="00421BB5" w:rsidP="00421BB5">
      <w:pPr>
        <w:pStyle w:val="0-2"/>
      </w:pPr>
      <w:r w:rsidRPr="00D65AED">
        <w:rPr>
          <w:rFonts w:hint="eastAsia"/>
        </w:rPr>
        <w:t>綜上所述，請法務部廉政署研議相關措施以落實數位資產之申報並於3個月內向立法院司法及法制委員會與提案委員提出書面報告。</w:t>
      </w:r>
    </w:p>
    <w:p w14:paraId="6CAB3CAB" w14:textId="77777777" w:rsidR="00421BB5" w:rsidRPr="00D65AED" w:rsidRDefault="00421BB5" w:rsidP="00421BB5">
      <w:pPr>
        <w:pStyle w:val="2-1"/>
      </w:pPr>
      <w:r w:rsidRPr="00D65AED">
        <w:t>提案人：</w:t>
      </w:r>
      <w:r w:rsidRPr="00D65AED">
        <w:rPr>
          <w:rFonts w:hint="eastAsia"/>
        </w:rPr>
        <w:t>黃世杰 江永昌 陳歐珀</w:t>
      </w:r>
    </w:p>
    <w:p w14:paraId="00436309" w14:textId="77777777" w:rsidR="00421BB5" w:rsidRPr="00D65AED" w:rsidRDefault="00421BB5" w:rsidP="00421BB5">
      <w:pPr>
        <w:pStyle w:val="0-"/>
      </w:pPr>
      <w:r w:rsidRPr="00D65AED">
        <w:rPr>
          <w:rFonts w:hint="eastAsia"/>
        </w:rPr>
        <w:t>(三)「揭弊者保護法草案」在國內討論多年，近期發生媒體執照審查、警紀風紀案等，都為吹哨者揭露，並與國計民生、社會廉能具重大關聯。「揭弊者保護法草案」為朝野都有共識的廉政法案，惟第10屆立法院開議迄今，法務部始終未將「</w:t>
      </w:r>
      <w:r w:rsidRPr="00D65AED">
        <w:t>揭弊者保護法</w:t>
      </w:r>
      <w:r w:rsidRPr="00D65AED">
        <w:rPr>
          <w:rFonts w:hint="eastAsia"/>
        </w:rPr>
        <w:t>草案」送立法院審議</w:t>
      </w:r>
      <w:r w:rsidRPr="00D65AED">
        <w:t>，</w:t>
      </w:r>
      <w:r w:rsidRPr="00D65AED">
        <w:rPr>
          <w:rFonts w:hint="eastAsia"/>
        </w:rPr>
        <w:t>立</w:t>
      </w:r>
      <w:r w:rsidRPr="00D65AED">
        <w:t>法</w:t>
      </w:r>
      <w:r w:rsidRPr="00D65AED">
        <w:rPr>
          <w:rFonts w:hint="eastAsia"/>
        </w:rPr>
        <w:t>作業亦有延宕之虞。</w:t>
      </w:r>
    </w:p>
    <w:p w14:paraId="343B0DF0" w14:textId="77777777" w:rsidR="00421BB5" w:rsidRPr="00D65AED" w:rsidRDefault="00421BB5" w:rsidP="00421BB5">
      <w:pPr>
        <w:pStyle w:val="0-2"/>
      </w:pPr>
      <w:r w:rsidRPr="00D65AED">
        <w:rPr>
          <w:rFonts w:hint="eastAsia"/>
        </w:rPr>
        <w:t>為檢討法務部廉政署就「</w:t>
      </w:r>
      <w:r w:rsidRPr="00D65AED">
        <w:t>揭弊者保護法</w:t>
      </w:r>
      <w:r w:rsidRPr="00D65AED">
        <w:rPr>
          <w:rFonts w:hint="eastAsia"/>
        </w:rPr>
        <w:t>草案」審議進度延宕，請法務部廉政署就「『</w:t>
      </w:r>
      <w:r w:rsidRPr="00D65AED">
        <w:t>揭弊者保護法</w:t>
      </w:r>
      <w:r w:rsidRPr="00D65AED">
        <w:rPr>
          <w:rFonts w:hint="eastAsia"/>
        </w:rPr>
        <w:t>草案』推動進程」，向立法院司法及法制委員會提出書面報告。</w:t>
      </w:r>
    </w:p>
    <w:p w14:paraId="58927678" w14:textId="77777777" w:rsidR="00421BB5" w:rsidRPr="00D65AED" w:rsidRDefault="00421BB5" w:rsidP="00421BB5">
      <w:pPr>
        <w:pStyle w:val="2-1"/>
      </w:pPr>
      <w:r w:rsidRPr="00D65AED">
        <w:rPr>
          <w:rFonts w:hint="eastAsia"/>
        </w:rPr>
        <w:t>提案人：劉建國 陳歐珀 黃世杰</w:t>
      </w:r>
    </w:p>
    <w:p w14:paraId="05D7D05C" w14:textId="77777777" w:rsidR="00421BB5" w:rsidRPr="00D65AED" w:rsidRDefault="00421BB5" w:rsidP="00421BB5">
      <w:pPr>
        <w:pStyle w:val="0-"/>
      </w:pPr>
      <w:r w:rsidRPr="00D65AED">
        <w:rPr>
          <w:rFonts w:hint="eastAsia"/>
        </w:rPr>
        <w:t>(四)查法務部曾答覆監察院函詢，就數位資產應否進行財產申報，法務部持不認為須財產申報之立場。然考量數位資產具有事實上財產之性質，法務部卻以不具備公示性、價值可衡量性、可</w:t>
      </w:r>
      <w:r w:rsidRPr="00D65AED">
        <w:rPr>
          <w:rFonts w:hint="eastAsia"/>
        </w:rPr>
        <w:lastRenderedPageBreak/>
        <w:t>查核性而將所有非證券型數位資產皆認不需財產申報，恐有使相關貪瀆舞弊以數位資產為之。</w:t>
      </w:r>
    </w:p>
    <w:p w14:paraId="43610914" w14:textId="77777777" w:rsidR="00421BB5" w:rsidRPr="00D65AED" w:rsidRDefault="00421BB5" w:rsidP="00421BB5">
      <w:pPr>
        <w:pStyle w:val="0-2"/>
      </w:pPr>
      <w:r w:rsidRPr="00D65AED">
        <w:rPr>
          <w:rFonts w:hint="eastAsia"/>
        </w:rPr>
        <w:t>就數位資產之財產申報如何執行與法規適用，廉政署不應以現行法之理由造成相關貪瀆風險遽升。爰請法務部廉政署於3個月內提出「數位資產之財產申報可行性」與「公職人員財產申報法如何應對數位資產」之書面報告。</w:t>
      </w:r>
    </w:p>
    <w:p w14:paraId="7CA60BD2" w14:textId="77777777" w:rsidR="00421BB5" w:rsidRPr="00D65AED" w:rsidRDefault="00421BB5" w:rsidP="00421BB5">
      <w:pPr>
        <w:pStyle w:val="2-1"/>
      </w:pPr>
      <w:r w:rsidRPr="00D65AED">
        <w:rPr>
          <w:rFonts w:hint="eastAsia"/>
        </w:rPr>
        <w:t>提案人：江永昌 黃世杰 陳歐珀</w:t>
      </w:r>
    </w:p>
    <w:p w14:paraId="0920630A" w14:textId="77777777" w:rsidR="00421BB5" w:rsidRPr="00D65AED" w:rsidRDefault="00421BB5" w:rsidP="00421BB5">
      <w:pPr>
        <w:pStyle w:val="0-"/>
      </w:pPr>
      <w:r w:rsidRPr="00D65AED">
        <w:rPr>
          <w:rFonts w:hint="eastAsia"/>
        </w:rPr>
        <w:t>(五)11</w:t>
      </w:r>
      <w:r w:rsidRPr="00D65AED">
        <w:t>2</w:t>
      </w:r>
      <w:r w:rsidRPr="00D65AED">
        <w:rPr>
          <w:rFonts w:hint="eastAsia"/>
        </w:rPr>
        <w:t>年度法務部廉政署歲出預算，司法支出「廉政業務」項下「辦理廉政政策規劃考核業務」經費編列1</w:t>
      </w:r>
      <w:r w:rsidRPr="00D65AED">
        <w:t>,</w:t>
      </w:r>
      <w:r w:rsidRPr="00D65AED">
        <w:rPr>
          <w:rFonts w:hint="eastAsia"/>
        </w:rPr>
        <w:t>435萬元。依審計部中央政府總決算審核報告指出，行政院於107年3月提出聯合國反貪腐公約首次國家報告，107年8月間完成國際審查，受邀審查專家計提出47點結論性意見，另行政院於111年4月20日提出聯合國反貪腐公約第2次國家報告，其中反貪腐國際公約首次國家報告國際審查結論性意見110年底相關法令修訂情形，據廉政署統計，案內列管47點結論性意見計提出371案績效指標，其中解除追蹤193案、自行列管143案、繼續追蹤35案，上開尚待繼續追蹤之35案中，仍有部分法案尚待制定或修正，如制定揭弊者保護法、修正刑法等，並已列入第2次國家報告未完成事項，廉政署應加強推動辦理，以落實反貪腐工作，爰請法務部廉政署向立法院司法及法制委員會提出書面報告。</w:t>
      </w:r>
    </w:p>
    <w:p w14:paraId="3A8431E7" w14:textId="77777777" w:rsidR="00421BB5" w:rsidRPr="00D65AED" w:rsidRDefault="00421BB5" w:rsidP="00421BB5">
      <w:pPr>
        <w:pStyle w:val="2-1"/>
      </w:pPr>
      <w:r w:rsidRPr="00D65AED">
        <w:rPr>
          <w:rFonts w:hint="eastAsia"/>
        </w:rPr>
        <w:t xml:space="preserve">提案人：曾銘宗 林思銘 陳以信 </w:t>
      </w:r>
    </w:p>
    <w:p w14:paraId="7C7B3864" w14:textId="77777777" w:rsidR="00421BB5" w:rsidRPr="00D65AED" w:rsidRDefault="00421BB5" w:rsidP="00421BB5">
      <w:pPr>
        <w:pStyle w:val="0-"/>
      </w:pPr>
      <w:r w:rsidRPr="00D65AED">
        <w:rPr>
          <w:rFonts w:hint="eastAsia"/>
        </w:rPr>
        <w:t>(六)11</w:t>
      </w:r>
      <w:r w:rsidRPr="00D65AED">
        <w:t>2</w:t>
      </w:r>
      <w:r w:rsidRPr="00D65AED">
        <w:rPr>
          <w:rFonts w:hint="eastAsia"/>
        </w:rPr>
        <w:t>年度法務部廉政署歲出預算，司法支出「廉政業務」項下「辦理貪瀆及相關犯罪案件調查與督導業務」經費編列2</w:t>
      </w:r>
      <w:r w:rsidRPr="00D65AED">
        <w:t>,</w:t>
      </w:r>
      <w:r w:rsidRPr="00D65AED">
        <w:rPr>
          <w:rFonts w:hint="eastAsia"/>
        </w:rPr>
        <w:t>974萬5千元。衛生福利部食品藥物管理署審查快篩試劑EUA問題重重，立法院中國國民黨黨團自111年6月25日起連續召開多次記者會，揭露申請快篩試劑EUA廠商遭食藥署要求補件後，短時間內就有相關顧問公司致電表明可以協助，許多廠商留給食藥署申請EUA聯繫電話，都是內部專線，並非公開營業電話，外界高度質疑食藥署審查人員有內神通外鬼之嫌?食藥署署長吳秀梅也表示，若有違法就會進行調查；政風人員已開始進行調查，但政風人員須依相關作業規定調查政府機關公務人員，結果竟然去調查吹哨者，顯然衛生福利部政風人員違反規定，讓民間廠商不敢再吹哨、不敢再檢舉政府機關相關違法案件。衛生福利部食品藥物管理署政風室上級機關是法務部廉政署，廉政署應進行調查，確實保護吹哨者，建立貪腐零容忍之防疫政策，以維護國人健康，請法務部廉政署向立法院司法及法制委員會提出書面報告。</w:t>
      </w:r>
    </w:p>
    <w:p w14:paraId="1E2F4D7D" w14:textId="77777777" w:rsidR="00421BB5" w:rsidRPr="00D65AED" w:rsidRDefault="00421BB5" w:rsidP="00421BB5">
      <w:pPr>
        <w:pStyle w:val="2-1"/>
      </w:pPr>
      <w:r w:rsidRPr="00D65AED">
        <w:rPr>
          <w:rFonts w:hint="eastAsia"/>
        </w:rPr>
        <w:t>提案人：曾銘宗 林思銘 陳以信</w:t>
      </w:r>
    </w:p>
    <w:p w14:paraId="17BC8350" w14:textId="77777777" w:rsidR="00421BB5" w:rsidRPr="00D65AED" w:rsidRDefault="00421BB5" w:rsidP="00421BB5">
      <w:pPr>
        <w:pStyle w:val="0-"/>
      </w:pPr>
      <w:r w:rsidRPr="00D65AED">
        <w:rPr>
          <w:rFonts w:hint="eastAsia"/>
        </w:rPr>
        <w:t>(七)112年度法務部廉政署歲出預算「廉政業務辦理貪瀆預防業務」</w:t>
      </w:r>
      <w:r w:rsidRPr="00D65AED">
        <w:rPr>
          <w:rFonts w:hint="eastAsia"/>
        </w:rPr>
        <w:lastRenderedPageBreak/>
        <w:t>編列733萬1千元，然而根據廉政署資料，近年涉貪起訴案件金額有大幅增加的情況，107年為1億6,984萬3千元，108年為1億8,987萬8千元，109年為3億1,633萬4千元，110年的7億4,467萬1千元更是創下新高，法務部廉政署應就如何降低貪腐案件發生研擬方案。</w:t>
      </w:r>
    </w:p>
    <w:p w14:paraId="360651CE" w14:textId="77777777" w:rsidR="00421BB5" w:rsidRPr="00D65AED" w:rsidRDefault="00421BB5" w:rsidP="00421BB5">
      <w:pPr>
        <w:pStyle w:val="2-1"/>
      </w:pPr>
      <w:r w:rsidRPr="00D65AED">
        <w:t>提案人：</w:t>
      </w:r>
      <w:r w:rsidRPr="00D65AED">
        <w:rPr>
          <w:rFonts w:hint="eastAsia"/>
        </w:rPr>
        <w:t>陳以信</w:t>
      </w:r>
    </w:p>
    <w:p w14:paraId="2B7D1917" w14:textId="77777777" w:rsidR="00421BB5" w:rsidRPr="00D65AED" w:rsidRDefault="00421BB5" w:rsidP="00421BB5">
      <w:pPr>
        <w:pStyle w:val="2-1"/>
      </w:pPr>
      <w:r w:rsidRPr="00D65AED">
        <w:rPr>
          <w:rFonts w:hint="eastAsia"/>
        </w:rPr>
        <w:t xml:space="preserve">連署人：林思銘 游毓蘭 </w:t>
      </w:r>
    </w:p>
    <w:p w14:paraId="7938453E" w14:textId="77777777" w:rsidR="00421BB5" w:rsidRPr="00A52F6B" w:rsidRDefault="00421BB5" w:rsidP="00A52F6B">
      <w:pPr>
        <w:spacing w:line="360" w:lineRule="exact"/>
        <w:ind w:left="596" w:hanging="312"/>
        <w:rPr>
          <w:rFonts w:ascii="標楷體" w:eastAsia="標楷體" w:hAnsi="標楷體"/>
          <w:sz w:val="28"/>
          <w:szCs w:val="28"/>
        </w:rPr>
      </w:pPr>
      <w:r w:rsidRPr="00A52F6B">
        <w:rPr>
          <w:rFonts w:ascii="標楷體" w:eastAsia="標楷體" w:hAnsi="標楷體" w:hint="eastAsia"/>
          <w:sz w:val="28"/>
          <w:szCs w:val="28"/>
        </w:rPr>
        <w:t>第5項　矯正署及所屬160億2,068萬2千元，照列。</w:t>
      </w:r>
    </w:p>
    <w:p w14:paraId="7EC55D12" w14:textId="77777777" w:rsidR="00421BB5" w:rsidRPr="00A52F6B" w:rsidRDefault="00421BB5" w:rsidP="00A52F6B">
      <w:pPr>
        <w:spacing w:line="360" w:lineRule="exact"/>
        <w:ind w:left="596" w:hanging="312"/>
        <w:rPr>
          <w:rFonts w:ascii="標楷體" w:eastAsia="標楷體" w:hAnsi="標楷體"/>
          <w:b/>
          <w:sz w:val="28"/>
          <w:szCs w:val="28"/>
        </w:rPr>
      </w:pPr>
      <w:r w:rsidRPr="00A52F6B">
        <w:rPr>
          <w:rFonts w:ascii="標楷體" w:eastAsia="標楷體" w:hAnsi="標楷體" w:hint="eastAsia"/>
          <w:b/>
          <w:sz w:val="28"/>
          <w:szCs w:val="28"/>
        </w:rPr>
        <w:t>本項通過決議2</w:t>
      </w:r>
      <w:r w:rsidRPr="00A52F6B">
        <w:rPr>
          <w:rFonts w:ascii="標楷體" w:eastAsia="標楷體" w:hAnsi="標楷體"/>
          <w:b/>
          <w:sz w:val="28"/>
          <w:szCs w:val="28"/>
        </w:rPr>
        <w:t>3</w:t>
      </w:r>
      <w:r w:rsidRPr="00A52F6B">
        <w:rPr>
          <w:rFonts w:ascii="標楷體" w:eastAsia="標楷體" w:hAnsi="標楷體" w:hint="eastAsia"/>
          <w:b/>
          <w:sz w:val="28"/>
          <w:szCs w:val="28"/>
        </w:rPr>
        <w:t>項：</w:t>
      </w:r>
    </w:p>
    <w:p w14:paraId="74907DFD" w14:textId="77777777" w:rsidR="00421BB5" w:rsidRPr="00D65AED" w:rsidRDefault="00421BB5" w:rsidP="00421BB5">
      <w:pPr>
        <w:pStyle w:val="0-"/>
      </w:pPr>
      <w:r w:rsidRPr="00D65AED">
        <w:rPr>
          <w:rFonts w:hint="eastAsia"/>
        </w:rPr>
        <w:t>(一)查112年度法務部矯正署及所屬歲出預算「矯正業務」編列143億7</w:t>
      </w:r>
      <w:r w:rsidRPr="00D65AED">
        <w:t>,</w:t>
      </w:r>
      <w:r w:rsidRPr="00D65AED">
        <w:rPr>
          <w:rFonts w:hint="eastAsia"/>
        </w:rPr>
        <w:t>548萬4千元，其中包括規劃犯罪矯正制度與設施、督導辦理犯罪矯正機關教化、戒護、技能訓練、戒治、醫療及給養等業務。然查監所人犯逃脫事件引發社會關注，原「辦理監所人犯脫逃案件流程」理應有完善配套措施，卻等事件發生後，才檢討改進，爰請法務部矯正署於3個月內向立法院司法及法制委員會提出書面報告。</w:t>
      </w:r>
    </w:p>
    <w:p w14:paraId="663E35E3" w14:textId="77777777" w:rsidR="00421BB5" w:rsidRPr="00D65AED" w:rsidRDefault="00421BB5" w:rsidP="00421BB5">
      <w:pPr>
        <w:pStyle w:val="2-1"/>
      </w:pPr>
      <w:r w:rsidRPr="00D65AED">
        <w:t>提案人：</w:t>
      </w:r>
      <w:r w:rsidRPr="00D65AED">
        <w:rPr>
          <w:rFonts w:hint="eastAsia"/>
        </w:rPr>
        <w:t>陳玉珍</w:t>
      </w:r>
    </w:p>
    <w:p w14:paraId="7BA643B7" w14:textId="77777777" w:rsidR="00421BB5" w:rsidRPr="00D65AED" w:rsidRDefault="00421BB5" w:rsidP="00421BB5">
      <w:pPr>
        <w:pStyle w:val="2-1"/>
      </w:pPr>
      <w:r w:rsidRPr="00D65AED">
        <w:rPr>
          <w:rFonts w:hint="eastAsia"/>
        </w:rPr>
        <w:t xml:space="preserve">連署人：游毓蘭 林思銘 </w:t>
      </w:r>
    </w:p>
    <w:p w14:paraId="3480C628" w14:textId="77777777" w:rsidR="00421BB5" w:rsidRPr="00D65AED" w:rsidRDefault="00421BB5" w:rsidP="00421BB5">
      <w:pPr>
        <w:pStyle w:val="0-"/>
      </w:pPr>
      <w:r w:rsidRPr="00D65AED">
        <w:rPr>
          <w:rFonts w:hint="eastAsia"/>
        </w:rPr>
        <w:t>(二)查112年度法務部矯正署及所屬歲出預算「矯正業務」編列143億7</w:t>
      </w:r>
      <w:r w:rsidRPr="00D65AED">
        <w:t>,</w:t>
      </w:r>
      <w:r w:rsidRPr="00D65AED">
        <w:rPr>
          <w:rFonts w:hint="eastAsia"/>
        </w:rPr>
        <w:t>548萬4千元，其中包括規劃犯罪矯正制度與設施、督導辦理犯罪矯正機關教化、戒護、技能訓練、戒治、醫療及給養等業務。然查監察院曾通過糾正案，認為矯正署對於各監所拒絕收監申請案的裁量標準及空間，欠缺一致性標準，顯有失職之虞，爰請法務部矯正署應儘速擬訂相關標準，並於3個月內向立法院司法及法制委員會提出書面報告。</w:t>
      </w:r>
    </w:p>
    <w:p w14:paraId="4B3EBDFA" w14:textId="77777777" w:rsidR="00421BB5" w:rsidRPr="00D65AED" w:rsidRDefault="00421BB5" w:rsidP="00421BB5">
      <w:pPr>
        <w:pStyle w:val="2-1"/>
      </w:pPr>
      <w:r w:rsidRPr="00D65AED">
        <w:t>提案人：</w:t>
      </w:r>
      <w:r w:rsidRPr="00D65AED">
        <w:rPr>
          <w:rFonts w:hint="eastAsia"/>
        </w:rPr>
        <w:t>陳玉珍</w:t>
      </w:r>
    </w:p>
    <w:p w14:paraId="410B0AAB" w14:textId="77777777" w:rsidR="00421BB5" w:rsidRPr="00D65AED" w:rsidRDefault="00421BB5" w:rsidP="00421BB5">
      <w:pPr>
        <w:pStyle w:val="2-1"/>
      </w:pPr>
      <w:r w:rsidRPr="00D65AED">
        <w:rPr>
          <w:rFonts w:hint="eastAsia"/>
        </w:rPr>
        <w:t>連署人：游毓蘭 林思銘</w:t>
      </w:r>
    </w:p>
    <w:p w14:paraId="5FA51CB5" w14:textId="77777777" w:rsidR="00421BB5" w:rsidRPr="00D65AED" w:rsidRDefault="00421BB5" w:rsidP="00421BB5">
      <w:pPr>
        <w:pStyle w:val="0-"/>
      </w:pPr>
      <w:r w:rsidRPr="00D65AED">
        <w:rPr>
          <w:rFonts w:hint="eastAsia"/>
        </w:rPr>
        <w:t>(三)查112年度法務部矯正署及所屬歲出預算「矯正業務」編列143億7</w:t>
      </w:r>
      <w:r w:rsidRPr="00D65AED">
        <w:t>,</w:t>
      </w:r>
      <w:r w:rsidRPr="00D65AED">
        <w:rPr>
          <w:rFonts w:hint="eastAsia"/>
        </w:rPr>
        <w:t>548萬4千元，其中包括規劃犯罪矯正制度與設施、督導辦理犯罪矯正機關教化、戒護、技能訓練、戒治、醫療及給養等業務。然查有監所醫檢師對於待驗的尿液，沒有驗毒就直接勾「陰性」被送辦，且又缺乏複檢機制，恐造成漏洞，爰此，請法務部矯正署對上述問題，於6個月內向立法院司法及法制委員會提出書面報告。</w:t>
      </w:r>
    </w:p>
    <w:p w14:paraId="5C4B3CBF" w14:textId="77777777" w:rsidR="00421BB5" w:rsidRPr="00D65AED" w:rsidRDefault="00421BB5" w:rsidP="00421BB5">
      <w:pPr>
        <w:pStyle w:val="2-1"/>
      </w:pPr>
      <w:r w:rsidRPr="00D65AED">
        <w:t>提案人：</w:t>
      </w:r>
      <w:r w:rsidRPr="00D65AED">
        <w:rPr>
          <w:rFonts w:hint="eastAsia"/>
        </w:rPr>
        <w:t>陳玉珍</w:t>
      </w:r>
    </w:p>
    <w:p w14:paraId="4D6641EE" w14:textId="77777777" w:rsidR="00421BB5" w:rsidRPr="00D65AED" w:rsidRDefault="00421BB5" w:rsidP="00421BB5">
      <w:pPr>
        <w:pStyle w:val="2-1"/>
      </w:pPr>
      <w:r w:rsidRPr="00D65AED">
        <w:rPr>
          <w:rFonts w:hint="eastAsia"/>
        </w:rPr>
        <w:t>連署人：游毓蘭 林思銘</w:t>
      </w:r>
    </w:p>
    <w:p w14:paraId="66FC196E" w14:textId="77777777" w:rsidR="00421BB5" w:rsidRPr="00D65AED" w:rsidRDefault="00421BB5" w:rsidP="00421BB5">
      <w:pPr>
        <w:pStyle w:val="0-"/>
      </w:pPr>
      <w:r w:rsidRPr="00D65AED">
        <w:rPr>
          <w:rFonts w:hint="eastAsia"/>
        </w:rPr>
        <w:t>(四)為發揮開放式矯治處遇精神，使受刑人逐步適應社會生活，法務部設立外役監獄，採開放式無圍牆、低度管理方式進行階段式處遇，惟矯正機關近年來發生數件外役監受刑人脫逃或返家探視未歸脫逃事件，甚至引發社會關注之殺警案，又新聞報導</w:t>
      </w:r>
      <w:r w:rsidRPr="00D65AED">
        <w:rPr>
          <w:rFonts w:hint="eastAsia"/>
        </w:rPr>
        <w:lastRenderedPageBreak/>
        <w:t>近十年外役監受刑人脫逃人數高達49人(含返家探視未歸脫逃45人)，導致民眾恐慌與治安疑慮，更傷害矯正機關功能與形象，顯見外役監獄遴選制度、受刑人返家探視管控機制、以及脫逃後通報警政單位等事項，亟需立即檢討改進，以避免憾事再次發生，爰請法務部矯正署於3個月內向立法院司法及法制委員會提出書面報告。</w:t>
      </w:r>
    </w:p>
    <w:p w14:paraId="70688639" w14:textId="77777777" w:rsidR="00421BB5" w:rsidRPr="00D65AED" w:rsidRDefault="00421BB5" w:rsidP="00421BB5">
      <w:pPr>
        <w:pStyle w:val="2-1"/>
      </w:pPr>
      <w:r w:rsidRPr="00D65AED">
        <w:t>提案人：</w:t>
      </w:r>
      <w:r w:rsidRPr="00D65AED">
        <w:rPr>
          <w:rFonts w:hint="eastAsia"/>
        </w:rPr>
        <w:t>劉建國 陳歐珀 黃世杰</w:t>
      </w:r>
    </w:p>
    <w:p w14:paraId="74F21CCF" w14:textId="77777777" w:rsidR="00421BB5" w:rsidRPr="00D65AED" w:rsidRDefault="00421BB5" w:rsidP="00421BB5">
      <w:pPr>
        <w:pStyle w:val="0-"/>
      </w:pPr>
      <w:r w:rsidRPr="00D65AED">
        <w:rPr>
          <w:rFonts w:hint="eastAsia"/>
        </w:rPr>
        <w:t>(五)法務部矯正署為協助施用毒品受刑人出監後減少毒品施用及犯罪行為，於107年度起推動「科學實證之毒品犯處遇模式計畫」，法務部也於110年3月施行「強化毒品施用者個別處遇及復歸轉銜實施計畫」，於在監輔導階段所提供之處遇分為基礎及進階處遇，所有施用毒品受刑人均應參與基礎處遇，以演講等方式提供毒品危害及法律責任、成癮概念及戒癮策略等七大面向課程，並篩選再犯風險高、治療需求急迫、具意願強烈者接受進階處遇，以團體或個別輔導方式進行。但據矯正署統計，截至111年3月底止，近四年再犯施用毒品罪之比率，接受專業處遇為主者再犯率為10.4%，較接受基礎處遇為主者之24.7%，降低13.3個百分點，且隨出獄時間越長，差異愈趨明顯。矯正機關應逐步檢討基礎處遇之方案，並逐步增加各矯正機關進階處遇之人數，以發揮處遇計畫之成效。</w:t>
      </w:r>
    </w:p>
    <w:p w14:paraId="074824D1" w14:textId="77777777" w:rsidR="00421BB5" w:rsidRPr="00D65AED" w:rsidRDefault="00421BB5" w:rsidP="00421BB5">
      <w:pPr>
        <w:pStyle w:val="0-2"/>
      </w:pPr>
      <w:r w:rsidRPr="00D65AED">
        <w:rPr>
          <w:rFonts w:hint="eastAsia"/>
        </w:rPr>
        <w:t>綜上所述，請法務部矯正署提出如何降低基礎處遇毒品犯之再犯率之修正方向以及如何建立相關配套措施並於6個月內向立法院司法及法制委員會與提案委員提出書面報告。</w:t>
      </w:r>
    </w:p>
    <w:p w14:paraId="75B923E3" w14:textId="77777777" w:rsidR="00421BB5" w:rsidRPr="00D65AED" w:rsidRDefault="00421BB5" w:rsidP="00421BB5">
      <w:pPr>
        <w:pStyle w:val="2-1"/>
      </w:pPr>
      <w:r w:rsidRPr="00D65AED">
        <w:t>提案人：</w:t>
      </w:r>
      <w:r w:rsidRPr="00D65AED">
        <w:rPr>
          <w:rFonts w:hint="eastAsia"/>
        </w:rPr>
        <w:t xml:space="preserve">黃世杰 江永昌 陳歐珀 </w:t>
      </w:r>
    </w:p>
    <w:p w14:paraId="5AA2C3FC" w14:textId="77777777" w:rsidR="00421BB5" w:rsidRPr="00D65AED" w:rsidRDefault="00421BB5" w:rsidP="00421BB5">
      <w:pPr>
        <w:pStyle w:val="0-"/>
      </w:pPr>
      <w:r w:rsidRPr="00D65AED">
        <w:rPr>
          <w:rFonts w:hint="eastAsia"/>
        </w:rPr>
        <w:t>(六)法務部矯正署於107年度起推動「科學實證之毒品犯處遇模式計畫」，法務部也於110年3月施行「強化毒品施用者個別處遇及復歸轉銜實施計畫」，並規定各矯正機關應針對每位毒品受刑人建置「毒品犯個人輔導資料袋」，將各類評估表及輔導紀錄建檔，以利出監追蹤或轉介輔導之資料，並將各輔導策略辦理次數及人次，上傳至獄政資訊管理系統。但目前獄政管理資訊系統僅開放查詢各該監獄之受刑人個案資料（如就醫紀錄、輔導紀錄等），尚無法自該系統瞭解受刑人移監前之服刑時相關處遇及輔導狀況，僅能依據移監時併送之紙本資料瞭解其處遇情形，然因紙本資料繁多，翻閱不易，以致各矯正機關於接收移入之毒品受刑人時，均重新施測建立個別處遇計畫，顯有耗費矯正資源，矯正署應通盤考量該系統資料之共享機制，以達矯正處遇之目的。</w:t>
      </w:r>
    </w:p>
    <w:p w14:paraId="31457297" w14:textId="77777777" w:rsidR="00421BB5" w:rsidRPr="00D65AED" w:rsidRDefault="00421BB5" w:rsidP="00421BB5">
      <w:pPr>
        <w:pStyle w:val="0-2"/>
      </w:pPr>
      <w:r w:rsidRPr="00D65AED">
        <w:rPr>
          <w:rFonts w:hint="eastAsia"/>
        </w:rPr>
        <w:t>綜上所述，請法務部矯正署提出建立各矯正機關間資料共享機制方向並於</w:t>
      </w:r>
      <w:r w:rsidRPr="00D65AED">
        <w:t>6</w:t>
      </w:r>
      <w:r w:rsidRPr="00D65AED">
        <w:rPr>
          <w:rFonts w:hint="eastAsia"/>
        </w:rPr>
        <w:t>個月內向立法院司法及法制委員會與提案委員提出書面報告。</w:t>
      </w:r>
    </w:p>
    <w:p w14:paraId="5049CEBD" w14:textId="77777777" w:rsidR="00421BB5" w:rsidRPr="00D65AED" w:rsidRDefault="00421BB5" w:rsidP="00421BB5">
      <w:pPr>
        <w:pStyle w:val="2-1"/>
      </w:pPr>
      <w:r w:rsidRPr="00D65AED">
        <w:lastRenderedPageBreak/>
        <w:t>提案人：</w:t>
      </w:r>
      <w:r w:rsidRPr="00D65AED">
        <w:rPr>
          <w:rFonts w:hint="eastAsia"/>
        </w:rPr>
        <w:t>黃世杰 江永昌 陳歐珀</w:t>
      </w:r>
    </w:p>
    <w:p w14:paraId="3A8D183B" w14:textId="77777777" w:rsidR="00421BB5" w:rsidRPr="00D65AED" w:rsidRDefault="00421BB5" w:rsidP="00421BB5">
      <w:pPr>
        <w:pStyle w:val="0-"/>
        <w:ind w:left="1090" w:hangingChars="218" w:hanging="610"/>
      </w:pPr>
      <w:r w:rsidRPr="00D65AED">
        <w:rPr>
          <w:rFonts w:hint="eastAsia"/>
        </w:rPr>
        <w:t>(七)我國獄政改革議題於總統府司法改革國是會議受廣泛之討論，而我國監獄環境改善問題，自英國司法系統判決英商林克穎由於我國監獄環境之人權疑慮，不必引渡返台服刑後，引發諸多關注，亦顯見我國獄政亟需改革。</w:t>
      </w:r>
    </w:p>
    <w:p w14:paraId="51E754AB" w14:textId="77777777" w:rsidR="00421BB5" w:rsidRPr="00D65AED" w:rsidRDefault="00421BB5" w:rsidP="00421BB5">
      <w:pPr>
        <w:pStyle w:val="0-2"/>
      </w:pPr>
      <w:r w:rsidRPr="00D65AED">
        <w:rPr>
          <w:rFonts w:hint="eastAsia"/>
        </w:rPr>
        <w:t>我國監獄超收情形嚴重，受刑人之生活空間是否符合人權標準實為課題。一人一床政策推行多年，然根據報載，至108年為止，相關執行率僅65%，而後法務部並無發布一人一床政策之相關執行進度。</w:t>
      </w:r>
    </w:p>
    <w:p w14:paraId="32A7F7AB" w14:textId="77777777" w:rsidR="00421BB5" w:rsidRPr="00D65AED" w:rsidRDefault="00421BB5" w:rsidP="00421BB5">
      <w:pPr>
        <w:pStyle w:val="0-2"/>
      </w:pPr>
      <w:r w:rsidRPr="00D65AED">
        <w:rPr>
          <w:rFonts w:hint="eastAsia"/>
        </w:rPr>
        <w:t>此外，行刑累計處遇條例其遭頗多人權批評，且司改國是會議小組討論亦建請法務部慎重考慮檢討相關制度。然行刑累計處遇條例自民國95年後，未做任何修正，且亦無相關檢討精進措施。既相關制度之檢討為我國司改國是會議所關注，法務部應有相應之方案。</w:t>
      </w:r>
    </w:p>
    <w:p w14:paraId="70D522E6" w14:textId="77777777" w:rsidR="00421BB5" w:rsidRPr="00D65AED" w:rsidRDefault="00421BB5" w:rsidP="00421BB5">
      <w:pPr>
        <w:pStyle w:val="0-2"/>
      </w:pPr>
      <w:r w:rsidRPr="00D65AED">
        <w:rPr>
          <w:rFonts w:hint="eastAsia"/>
        </w:rPr>
        <w:t>綜上，可見獄政改革之相關措施，於總統府司法改革國是會議之中引發諸多討論，然相關進度辦理上有不足之處，請法務部矯正署於1個月內提出相關書面報告予立法院司法及法制委員會。</w:t>
      </w:r>
    </w:p>
    <w:p w14:paraId="3BA8D235" w14:textId="77777777" w:rsidR="00421BB5" w:rsidRPr="00D65AED" w:rsidRDefault="00421BB5" w:rsidP="00421BB5">
      <w:pPr>
        <w:pStyle w:val="2-1"/>
      </w:pPr>
      <w:r w:rsidRPr="00D65AED">
        <w:t>提案人：</w:t>
      </w:r>
      <w:r w:rsidRPr="00D65AED">
        <w:rPr>
          <w:rFonts w:hint="eastAsia"/>
        </w:rPr>
        <w:t>周春米</w:t>
      </w:r>
    </w:p>
    <w:p w14:paraId="56951072" w14:textId="77777777" w:rsidR="00421BB5" w:rsidRPr="00D65AED" w:rsidRDefault="00421BB5" w:rsidP="00421BB5">
      <w:pPr>
        <w:pStyle w:val="2-1"/>
      </w:pPr>
      <w:r w:rsidRPr="00D65AED">
        <w:rPr>
          <w:rFonts w:hint="eastAsia"/>
        </w:rPr>
        <w:t>連署人：江永昌 黃世杰</w:t>
      </w:r>
      <w:r w:rsidRPr="00D65AED">
        <w:t xml:space="preserve"> </w:t>
      </w:r>
    </w:p>
    <w:p w14:paraId="2FA4D369" w14:textId="77777777" w:rsidR="00421BB5" w:rsidRPr="00D65AED" w:rsidRDefault="00421BB5" w:rsidP="00421BB5">
      <w:pPr>
        <w:pStyle w:val="0-"/>
      </w:pPr>
      <w:r w:rsidRPr="00D65AED">
        <w:rPr>
          <w:rFonts w:hint="eastAsia"/>
        </w:rPr>
        <w:t>(八)查2018至2020年共計發生197件戒護人員遭受攻擊事件，顯示獄政工作之高風險性，鑑於工作風險性高，法務部矯正署應視各勤務之性質及必要性，配置完備之安全裝備，以保障工作上的安全。同時針對增支專業加給，應全面性進行檢討，調整分級方式，以提振矯正人員工作士氣。</w:t>
      </w:r>
    </w:p>
    <w:p w14:paraId="614F2F7F" w14:textId="77777777" w:rsidR="00421BB5" w:rsidRPr="00D65AED" w:rsidRDefault="00421BB5" w:rsidP="00421BB5">
      <w:pPr>
        <w:pStyle w:val="2-1"/>
      </w:pPr>
      <w:r w:rsidRPr="00D65AED">
        <w:t>提案人：</w:t>
      </w:r>
      <w:r w:rsidRPr="00D65AED">
        <w:rPr>
          <w:rFonts w:hint="eastAsia"/>
        </w:rPr>
        <w:t xml:space="preserve">劉建國 陳歐珀 黃世杰 </w:t>
      </w:r>
    </w:p>
    <w:p w14:paraId="35DDF880" w14:textId="77777777" w:rsidR="00421BB5" w:rsidRPr="00D65AED" w:rsidRDefault="00421BB5" w:rsidP="00421BB5">
      <w:pPr>
        <w:pStyle w:val="0-"/>
        <w:rPr>
          <w:lang w:eastAsia="zh-HK"/>
        </w:rPr>
      </w:pPr>
      <w:r w:rsidRPr="00D65AED">
        <w:rPr>
          <w:rFonts w:hint="eastAsia"/>
        </w:rPr>
        <w:t>(九)</w:t>
      </w:r>
      <w:r w:rsidRPr="00D65AED">
        <w:rPr>
          <w:lang w:eastAsia="zh-HK"/>
        </w:rPr>
        <w:t>據法務部統計，105年底因違反毒品危害防制條例而在監收容之人數占全體受刑人比率高達48.9%，法務部矯正署為協助施用毒品受刑人出監後減少毒品使用及犯罪行為，自107年度起推動「科學實證之毒品犯處遇模式計畫」，並於110年2月函頒「毒品施用者之個別化處遇流程」，調整科學實證處遇計畫，分為基礎及進階處遇，所有施用毒品受刑人均應參與基礎處遇，以演講等方式提供毒品危害及法律責任、成癮概念及戒癮策略等</w:t>
      </w:r>
      <w:r w:rsidRPr="00D65AED">
        <w:rPr>
          <w:rFonts w:hint="eastAsia"/>
        </w:rPr>
        <w:t>七</w:t>
      </w:r>
      <w:r w:rsidRPr="00D65AED">
        <w:rPr>
          <w:lang w:eastAsia="zh-HK"/>
        </w:rPr>
        <w:t>大面向課程，並篩選再犯風險高、治療需求急迫、具意願強烈者接受進階處遇，以團體或個別輔導方式進行。據該署「施用毒品受刑人之科學實證處遇統計分析」載述，107至109年度出獄之施用毒品受刑人3</w:t>
      </w:r>
      <w:r w:rsidRPr="00D65AED">
        <w:rPr>
          <w:rFonts w:hint="eastAsia"/>
        </w:rPr>
        <w:t>萬</w:t>
      </w:r>
      <w:r w:rsidRPr="00D65AED">
        <w:rPr>
          <w:lang w:eastAsia="zh-HK"/>
        </w:rPr>
        <w:t>4,404人，截至110年3月底止，出監經過3年再犯施用毒品罪之比率，接受專業處遇為主者為13.6%，較接受宣講處遇為主者之24.1%，降低10.5%，且隨出獄時間越長，差異愈趨明顯。為降低施用毒品受刑人出獄後再</w:t>
      </w:r>
      <w:r w:rsidRPr="00D65AED">
        <w:rPr>
          <w:lang w:eastAsia="zh-HK"/>
        </w:rPr>
        <w:lastRenderedPageBreak/>
        <w:t>施用毒品情形，爰要求法務部矯正署針對如何增加各矯正機關科學實證處遇計畫之進階處遇參加人數，及調整觀看影片等課程內容等部分，於6個月內向立法院司法及法制委員會提出</w:t>
      </w:r>
      <w:r w:rsidRPr="00D65AED">
        <w:rPr>
          <w:rFonts w:hint="eastAsia"/>
        </w:rPr>
        <w:t>書面</w:t>
      </w:r>
      <w:r w:rsidRPr="00D65AED">
        <w:rPr>
          <w:lang w:eastAsia="zh-HK"/>
        </w:rPr>
        <w:t>報告，以發揮處遇計畫之成效。</w:t>
      </w:r>
    </w:p>
    <w:p w14:paraId="1F93066B" w14:textId="77777777" w:rsidR="00421BB5" w:rsidRPr="00D65AED" w:rsidRDefault="00421BB5" w:rsidP="00421BB5">
      <w:pPr>
        <w:pStyle w:val="2-1"/>
      </w:pPr>
      <w:r w:rsidRPr="00D65AED">
        <w:t>提案人：</w:t>
      </w:r>
      <w:r w:rsidRPr="00D65AED">
        <w:rPr>
          <w:rFonts w:hint="eastAsia"/>
        </w:rPr>
        <w:t>林思銘 曾銘宗</w:t>
      </w:r>
    </w:p>
    <w:p w14:paraId="6669E806" w14:textId="77777777" w:rsidR="00421BB5" w:rsidRPr="00D65AED" w:rsidRDefault="00421BB5" w:rsidP="00421BB5">
      <w:pPr>
        <w:pStyle w:val="2-1"/>
      </w:pPr>
      <w:r w:rsidRPr="00D65AED">
        <w:rPr>
          <w:rFonts w:hint="eastAsia"/>
        </w:rPr>
        <w:t>連署人：游毓蘭</w:t>
      </w:r>
    </w:p>
    <w:p w14:paraId="07F70E04" w14:textId="77777777" w:rsidR="00421BB5" w:rsidRPr="00D65AED" w:rsidRDefault="00421BB5" w:rsidP="00421BB5">
      <w:pPr>
        <w:pStyle w:val="0-"/>
      </w:pPr>
      <w:r w:rsidRPr="00D65AED">
        <w:rPr>
          <w:rFonts w:hint="eastAsia"/>
        </w:rPr>
        <w:t>(十)少年</w:t>
      </w:r>
      <w:r w:rsidRPr="00D65AED">
        <w:t>矯正學校收容經法院裁定處分之學生，與一般學校學生性質不同，故明陽、誠正、敦品及勵志中學等4所矯正學校編制表，列有社會工作師、臨床心理師、諮商心理師等預算員額計22人，並自110年8月1日起生效。然至110年11月29日止，僅明陽中學社會工作師2人及臨床心理師1人暨敦品中學社會工作師1人於110年11月間到職，明陽中學諮商心理師1人於110年</w:t>
      </w:r>
      <w:r w:rsidRPr="00D65AED">
        <w:rPr>
          <w:rFonts w:hint="eastAsia"/>
        </w:rPr>
        <w:t>11</w:t>
      </w:r>
      <w:r w:rsidRPr="00D65AED">
        <w:t>月陳報矯正署核派中，合計5人補實外，其餘雖經各該</w:t>
      </w:r>
      <w:r w:rsidRPr="00D65AED">
        <w:rPr>
          <w:rFonts w:hint="eastAsia"/>
        </w:rPr>
        <w:t>少年</w:t>
      </w:r>
      <w:r w:rsidRPr="00D65AED">
        <w:t>矯正學校陸續辦理公開甄選等作業，仍無人到職，缺額高達</w:t>
      </w:r>
      <w:r w:rsidRPr="00D65AED">
        <w:rPr>
          <w:rFonts w:hint="eastAsia"/>
        </w:rPr>
        <w:t>七</w:t>
      </w:r>
      <w:r w:rsidRPr="00D65AED">
        <w:t>成餘，不利輔導學生心理諮商等工作之推展。爰要求</w:t>
      </w:r>
      <w:r w:rsidRPr="00D65AED">
        <w:rPr>
          <w:lang w:eastAsia="zh-HK"/>
        </w:rPr>
        <w:t>法務部</w:t>
      </w:r>
      <w:r w:rsidRPr="00D65AED">
        <w:t>矯正署於3個月內向立法院司法及法制委員會提出</w:t>
      </w:r>
      <w:r w:rsidRPr="00D65AED">
        <w:rPr>
          <w:rFonts w:hint="eastAsia"/>
        </w:rPr>
        <w:t>書面</w:t>
      </w:r>
      <w:r w:rsidRPr="00D65AED">
        <w:rPr>
          <w:lang w:eastAsia="zh-HK"/>
        </w:rPr>
        <w:t>報告</w:t>
      </w:r>
      <w:r w:rsidRPr="00D65AED">
        <w:t>，俾利落實相關諮詢。</w:t>
      </w:r>
    </w:p>
    <w:p w14:paraId="2BE16F25" w14:textId="77777777" w:rsidR="00421BB5" w:rsidRPr="00D65AED" w:rsidRDefault="00421BB5" w:rsidP="00421BB5">
      <w:pPr>
        <w:pStyle w:val="2-1"/>
      </w:pPr>
      <w:r w:rsidRPr="00D65AED">
        <w:t>提案人：</w:t>
      </w:r>
      <w:r w:rsidRPr="00D65AED">
        <w:rPr>
          <w:rFonts w:hint="eastAsia"/>
        </w:rPr>
        <w:t xml:space="preserve">林思銘 </w:t>
      </w:r>
    </w:p>
    <w:p w14:paraId="0271A10F" w14:textId="77777777" w:rsidR="00421BB5" w:rsidRPr="00D65AED" w:rsidRDefault="00421BB5" w:rsidP="00421BB5">
      <w:pPr>
        <w:pStyle w:val="2-1"/>
      </w:pPr>
      <w:r w:rsidRPr="00D65AED">
        <w:rPr>
          <w:rFonts w:hint="eastAsia"/>
        </w:rPr>
        <w:t>連署人：游毓蘭 曾銘宗</w:t>
      </w:r>
    </w:p>
    <w:p w14:paraId="5C3C5BEB" w14:textId="77777777" w:rsidR="00421BB5" w:rsidRPr="00D65AED" w:rsidRDefault="00421BB5" w:rsidP="00421BB5">
      <w:pPr>
        <w:pStyle w:val="0-"/>
      </w:pPr>
      <w:r w:rsidRPr="00D65AED">
        <w:rPr>
          <w:rFonts w:hint="eastAsia"/>
        </w:rPr>
        <w:t>(十一)</w:t>
      </w:r>
      <w:r w:rsidRPr="00D65AED">
        <w:t>教育部國民及學前教育署依據少年矯正教育指導委員會第22屆第3次委員會議（110年3月25日）紀錄貳、案由三：「少年矯正學校110年預擬輔導人力編制標準及相關人力進用規劃」報告案之決議，於110至112年度補助明陽、誠正、敦品及勵志中學等4所矯正學校12名專業輔導人員，協助矯正學校輔導及教化等資源之整合，惟該等人員係採約聘方式進用，使得人員流動率高，不易增進專業輔導人員間之合作及穩定，難以完整建構</w:t>
      </w:r>
      <w:r w:rsidRPr="00D65AED">
        <w:rPr>
          <w:rFonts w:hint="eastAsia"/>
        </w:rPr>
        <w:t>少年</w:t>
      </w:r>
      <w:r w:rsidRPr="00D65AED">
        <w:t>矯正學校推動專業輔導模式並與學生建立信任關係，爰</w:t>
      </w:r>
      <w:r w:rsidRPr="00D65AED">
        <w:rPr>
          <w:rFonts w:hint="eastAsia"/>
        </w:rPr>
        <w:t>請</w:t>
      </w:r>
      <w:r w:rsidRPr="00D65AED">
        <w:rPr>
          <w:lang w:eastAsia="zh-HK"/>
        </w:rPr>
        <w:t>法務部</w:t>
      </w:r>
      <w:r w:rsidRPr="00D65AED">
        <w:t>矯正署於3個月內向立法院司法及法制委員會提出</w:t>
      </w:r>
      <w:r w:rsidRPr="00D65AED">
        <w:rPr>
          <w:rFonts w:hint="eastAsia"/>
        </w:rPr>
        <w:t>書面</w:t>
      </w:r>
      <w:r w:rsidRPr="00D65AED">
        <w:rPr>
          <w:lang w:eastAsia="zh-HK"/>
        </w:rPr>
        <w:t>報告</w:t>
      </w:r>
      <w:r w:rsidRPr="00D65AED">
        <w:t>，以利輔導工作之遂行。</w:t>
      </w:r>
    </w:p>
    <w:p w14:paraId="129F2B4E" w14:textId="77777777" w:rsidR="00421BB5" w:rsidRPr="00D65AED" w:rsidRDefault="00421BB5" w:rsidP="00421BB5">
      <w:pPr>
        <w:pStyle w:val="2-1"/>
      </w:pPr>
      <w:r w:rsidRPr="00D65AED">
        <w:t>提案人：</w:t>
      </w:r>
      <w:r w:rsidRPr="00D65AED">
        <w:rPr>
          <w:rFonts w:hint="eastAsia"/>
        </w:rPr>
        <w:t xml:space="preserve">林思銘 </w:t>
      </w:r>
    </w:p>
    <w:p w14:paraId="7F4D0D26" w14:textId="77777777" w:rsidR="00421BB5" w:rsidRPr="00D65AED" w:rsidRDefault="00421BB5" w:rsidP="00421BB5">
      <w:pPr>
        <w:pStyle w:val="2-1"/>
      </w:pPr>
      <w:r w:rsidRPr="00D65AED">
        <w:rPr>
          <w:rFonts w:hint="eastAsia"/>
        </w:rPr>
        <w:t>連署人：游毓蘭 曾銘宗</w:t>
      </w:r>
    </w:p>
    <w:p w14:paraId="49FE6563" w14:textId="77777777" w:rsidR="00421BB5" w:rsidRPr="00D65AED" w:rsidRDefault="00421BB5" w:rsidP="00421BB5">
      <w:pPr>
        <w:pStyle w:val="0-"/>
        <w:rPr>
          <w:rStyle w:val="0-0"/>
        </w:rPr>
      </w:pPr>
      <w:r w:rsidRPr="00D65AED">
        <w:rPr>
          <w:rFonts w:hint="eastAsia"/>
        </w:rPr>
        <w:t>(十二)</w:t>
      </w:r>
      <w:r w:rsidRPr="00D65AED">
        <w:t>依法務部矯正署少年矯正學校組織準則第10條第1項</w:t>
      </w:r>
      <w:r w:rsidRPr="00D65AED">
        <w:rPr>
          <w:rFonts w:hint="eastAsia"/>
        </w:rPr>
        <w:t>第2款</w:t>
      </w:r>
      <w:r w:rsidRPr="00D65AED">
        <w:t>規定：「輔導教師：依學生人數，每25人置1人，未滿25人者，以25人計。」然經查各矯正學校110學年度第1學期輔導教師配置情形，有誠正、明陽及勵志中學部分輔導教師專責輔導2至3班，每人負責收容學生19至45人；敦品中學將12個班級數分成6個生活班，每個生活班配置輔導教師1人，負責收容學生34至42人等情事。實際輔導學生人數超逾規定人數，恐無法適時輔導及矯正學生偏差行為。矯正署未檢視各矯正學校實際配置及需要，依法務部110年7月30日修正之</w:t>
      </w:r>
      <w:r w:rsidRPr="00D65AED">
        <w:lastRenderedPageBreak/>
        <w:t>法務部矯正署少年矯正學校組織準則第10條第3項規定，適時將超額配置之教師員額移撥至不足之矯正學校，導致不同矯正學校輔導教師長年不足或過剩，爰要求</w:t>
      </w:r>
      <w:r w:rsidRPr="00D65AED">
        <w:rPr>
          <w:lang w:eastAsia="zh-HK"/>
        </w:rPr>
        <w:t>法務部</w:t>
      </w:r>
      <w:r w:rsidRPr="00D65AED">
        <w:t>矯正署於3個月內向立法院司法及法制委員會提出</w:t>
      </w:r>
      <w:r w:rsidRPr="00D65AED">
        <w:rPr>
          <w:rFonts w:hint="eastAsia"/>
        </w:rPr>
        <w:t>書面</w:t>
      </w:r>
      <w:r w:rsidRPr="00D65AED">
        <w:rPr>
          <w:lang w:eastAsia="zh-HK"/>
        </w:rPr>
        <w:t>報告</w:t>
      </w:r>
      <w:r w:rsidRPr="00D65AED">
        <w:t>，以強化</w:t>
      </w:r>
      <w:r w:rsidRPr="00D65AED">
        <w:rPr>
          <w:rFonts w:hint="eastAsia"/>
        </w:rPr>
        <w:t>少年</w:t>
      </w:r>
      <w:r w:rsidRPr="00D65AED">
        <w:t>矯正學校教化功能。</w:t>
      </w:r>
    </w:p>
    <w:p w14:paraId="3F846719" w14:textId="77777777" w:rsidR="00421BB5" w:rsidRPr="00D65AED" w:rsidRDefault="00421BB5" w:rsidP="00421BB5">
      <w:pPr>
        <w:pStyle w:val="2-1"/>
      </w:pPr>
      <w:r w:rsidRPr="00D65AED">
        <w:t>提案人：</w:t>
      </w:r>
      <w:r w:rsidRPr="00D65AED">
        <w:rPr>
          <w:rFonts w:hint="eastAsia"/>
        </w:rPr>
        <w:t xml:space="preserve">林思銘 </w:t>
      </w:r>
    </w:p>
    <w:p w14:paraId="557405A5" w14:textId="77777777" w:rsidR="00421BB5" w:rsidRPr="00D65AED" w:rsidRDefault="00421BB5" w:rsidP="00421BB5">
      <w:pPr>
        <w:pStyle w:val="2-1"/>
      </w:pPr>
      <w:r w:rsidRPr="00D65AED">
        <w:rPr>
          <w:rFonts w:hint="eastAsia"/>
        </w:rPr>
        <w:t>連署人：游毓蘭 曾銘宗</w:t>
      </w:r>
    </w:p>
    <w:p w14:paraId="5F09636E" w14:textId="77777777" w:rsidR="00421BB5" w:rsidRPr="00D65AED" w:rsidRDefault="00421BB5" w:rsidP="00421BB5">
      <w:pPr>
        <w:pStyle w:val="0-"/>
        <w:rPr>
          <w:rStyle w:val="0-0"/>
        </w:rPr>
      </w:pPr>
      <w:r w:rsidRPr="00D65AED">
        <w:rPr>
          <w:rFonts w:hint="eastAsia"/>
        </w:rPr>
        <w:t>(十三)</w:t>
      </w:r>
      <w:r w:rsidRPr="00D65AED">
        <w:t>據各</w:t>
      </w:r>
      <w:r w:rsidRPr="00D65AED">
        <w:rPr>
          <w:rFonts w:hint="eastAsia"/>
        </w:rPr>
        <w:t>少年</w:t>
      </w:r>
      <w:r w:rsidRPr="00D65AED">
        <w:t>矯正學校統計，109年1至8月間學生出校者計331人，經查誠正、敦品（改制前）及明陽中學等校有未於學生出校6週前完成相關保護事項之調查及預行籌劃；或未能於學生出校前1個月通知父母、監護人或最近親屬、地方主管教育行政機關，甚至有迄至學生出校後始辦理相關通知作業；另誠正、敦品（改制前）及勵志（改制前）中學等3所矯正學校，對於出校後就學或就業之學生通知地方政府相關單位之人數，就學部分為26至35人，就業部分為3至26人不等，占同期間出校學生之比率分別僅為24.07</w:t>
      </w:r>
      <w:r w:rsidRPr="00D65AED">
        <w:rPr>
          <w:lang w:eastAsia="zh-HK"/>
        </w:rPr>
        <w:t>%</w:t>
      </w:r>
      <w:r w:rsidRPr="00D65AED">
        <w:t>至44.87</w:t>
      </w:r>
      <w:r w:rsidRPr="00D65AED">
        <w:rPr>
          <w:lang w:eastAsia="zh-HK"/>
        </w:rPr>
        <w:t>%</w:t>
      </w:r>
      <w:r w:rsidRPr="00D65AED">
        <w:t>及3.85</w:t>
      </w:r>
      <w:r w:rsidRPr="00D65AED">
        <w:rPr>
          <w:lang w:eastAsia="zh-HK"/>
        </w:rPr>
        <w:t>%</w:t>
      </w:r>
      <w:r w:rsidRPr="00D65AED">
        <w:t>至24.07</w:t>
      </w:r>
      <w:r w:rsidRPr="00D65AED">
        <w:rPr>
          <w:lang w:eastAsia="zh-HK"/>
        </w:rPr>
        <w:t>%</w:t>
      </w:r>
      <w:r w:rsidRPr="00D65AED">
        <w:t>，至於明陽中學則未曾辦理通知事宜顯示各矯正學校對於出校學生就學及就業通知情形，並未依少年矯正學校設置及教育實施通則第45條規定切實辦理，有待檢討改善。爰</w:t>
      </w:r>
      <w:r w:rsidRPr="00D65AED">
        <w:rPr>
          <w:rFonts w:hint="eastAsia"/>
        </w:rPr>
        <w:t>請</w:t>
      </w:r>
      <w:r w:rsidRPr="00D65AED">
        <w:rPr>
          <w:lang w:eastAsia="zh-HK"/>
        </w:rPr>
        <w:t>法務部</w:t>
      </w:r>
      <w:r w:rsidRPr="00D65AED">
        <w:t>矯正署於3個月內向立法院司法及法制委員會提出</w:t>
      </w:r>
      <w:r w:rsidRPr="00D65AED">
        <w:rPr>
          <w:rFonts w:hint="eastAsia"/>
        </w:rPr>
        <w:t>書面</w:t>
      </w:r>
      <w:r w:rsidRPr="00D65AED">
        <w:rPr>
          <w:lang w:eastAsia="zh-HK"/>
        </w:rPr>
        <w:t>報告</w:t>
      </w:r>
      <w:r w:rsidRPr="00D65AED">
        <w:t>，以強化輔導銜接。</w:t>
      </w:r>
    </w:p>
    <w:p w14:paraId="063860A9" w14:textId="77777777" w:rsidR="00421BB5" w:rsidRPr="00D65AED" w:rsidRDefault="00421BB5" w:rsidP="00421BB5">
      <w:pPr>
        <w:pStyle w:val="2-1"/>
      </w:pPr>
      <w:r w:rsidRPr="00D65AED">
        <w:t>提案人：</w:t>
      </w:r>
      <w:r w:rsidRPr="00D65AED">
        <w:rPr>
          <w:rFonts w:hint="eastAsia"/>
        </w:rPr>
        <w:t xml:space="preserve">林思銘 </w:t>
      </w:r>
    </w:p>
    <w:p w14:paraId="3BE0E3E0" w14:textId="77777777" w:rsidR="00421BB5" w:rsidRPr="00D65AED" w:rsidRDefault="00421BB5" w:rsidP="00421BB5">
      <w:pPr>
        <w:pStyle w:val="2-1"/>
      </w:pPr>
      <w:r w:rsidRPr="00D65AED">
        <w:rPr>
          <w:rFonts w:hint="eastAsia"/>
        </w:rPr>
        <w:t>連署人：游毓蘭 曾銘宗</w:t>
      </w:r>
    </w:p>
    <w:p w14:paraId="3D92CFDB" w14:textId="77777777" w:rsidR="00421BB5" w:rsidRPr="00D65AED" w:rsidRDefault="00421BB5" w:rsidP="00421BB5">
      <w:pPr>
        <w:pStyle w:val="0-"/>
        <w:rPr>
          <w:rStyle w:val="0-0"/>
        </w:rPr>
      </w:pPr>
      <w:r w:rsidRPr="00D65AED">
        <w:rPr>
          <w:rFonts w:hint="eastAsia"/>
        </w:rPr>
        <w:t>(十四)</w:t>
      </w:r>
      <w:r w:rsidRPr="00D65AED">
        <w:t>據</w:t>
      </w:r>
      <w:r w:rsidRPr="00D65AED">
        <w:rPr>
          <w:lang w:eastAsia="zh-HK"/>
        </w:rPr>
        <w:t>法務部</w:t>
      </w:r>
      <w:r w:rsidRPr="00D65AED">
        <w:t>矯正署103年8月25日召開「研商加強受感化教育處分少年出院校之追蹤輔導機制會議紀錄」決議，請各</w:t>
      </w:r>
      <w:r w:rsidRPr="00D65AED">
        <w:rPr>
          <w:rFonts w:hint="eastAsia"/>
        </w:rPr>
        <w:t>少年</w:t>
      </w:r>
      <w:r w:rsidRPr="00D65AED">
        <w:t>矯正學校針對出校之少年追蹤1年，且應於出校後之前3個月，每月至少追蹤1次，滿3個月經評估生活穩定適應良好者，可改為每2個月至少追蹤1次等。經查4所</w:t>
      </w:r>
      <w:r w:rsidRPr="00D65AED">
        <w:rPr>
          <w:rFonts w:hint="eastAsia"/>
        </w:rPr>
        <w:t>少年</w:t>
      </w:r>
      <w:r w:rsidRPr="00D65AED">
        <w:t>矯正學校對於109年1至8月學生出校後，未依上開會議決議辦理追蹤輔導者計有100人，占出校學生331人之30.21</w:t>
      </w:r>
      <w:r w:rsidRPr="00D65AED">
        <w:rPr>
          <w:rFonts w:hint="eastAsia"/>
        </w:rPr>
        <w:t>%</w:t>
      </w:r>
      <w:r w:rsidRPr="00D65AED">
        <w:t>，又矯正署並未針對各校是否依規定辦理學生出校後之追蹤輔導予以管考，爰</w:t>
      </w:r>
      <w:r w:rsidRPr="00D65AED">
        <w:rPr>
          <w:rFonts w:hint="eastAsia"/>
        </w:rPr>
        <w:t>請</w:t>
      </w:r>
      <w:r w:rsidRPr="00D65AED">
        <w:rPr>
          <w:lang w:eastAsia="zh-HK"/>
        </w:rPr>
        <w:t>法務部</w:t>
      </w:r>
      <w:r w:rsidRPr="00D65AED">
        <w:t>矯正署於3個月內向立法院司法及法制委員會提出</w:t>
      </w:r>
      <w:r w:rsidRPr="00D65AED">
        <w:rPr>
          <w:rFonts w:hint="eastAsia"/>
        </w:rPr>
        <w:t>書面</w:t>
      </w:r>
      <w:r w:rsidRPr="00D65AED">
        <w:rPr>
          <w:lang w:eastAsia="zh-HK"/>
        </w:rPr>
        <w:t>報告</w:t>
      </w:r>
      <w:r w:rsidRPr="00D65AED">
        <w:t>，以協助少年順利復歸社會。</w:t>
      </w:r>
    </w:p>
    <w:p w14:paraId="443CE956" w14:textId="77777777" w:rsidR="00421BB5" w:rsidRPr="00D65AED" w:rsidRDefault="00421BB5" w:rsidP="00421BB5">
      <w:pPr>
        <w:pStyle w:val="2-1"/>
      </w:pPr>
      <w:r w:rsidRPr="00D65AED">
        <w:t>提案人：</w:t>
      </w:r>
      <w:r w:rsidRPr="00D65AED">
        <w:rPr>
          <w:rFonts w:hint="eastAsia"/>
        </w:rPr>
        <w:t xml:space="preserve">林思銘 </w:t>
      </w:r>
    </w:p>
    <w:p w14:paraId="6FD06DD8" w14:textId="77777777" w:rsidR="00421BB5" w:rsidRPr="00D65AED" w:rsidRDefault="00421BB5" w:rsidP="00421BB5">
      <w:pPr>
        <w:pStyle w:val="2-1"/>
      </w:pPr>
      <w:r w:rsidRPr="00D65AED">
        <w:rPr>
          <w:rFonts w:hint="eastAsia"/>
        </w:rPr>
        <w:t>連署人：游毓蘭 曾銘宗</w:t>
      </w:r>
    </w:p>
    <w:p w14:paraId="2A12DD00" w14:textId="77777777" w:rsidR="00421BB5" w:rsidRPr="00D65AED" w:rsidRDefault="00421BB5" w:rsidP="00421BB5">
      <w:pPr>
        <w:pStyle w:val="0-"/>
      </w:pPr>
      <w:r w:rsidRPr="00D65AED">
        <w:rPr>
          <w:rFonts w:hint="eastAsia"/>
        </w:rPr>
        <w:t>(十五)法務部矯正署各監獄，均有收容人面對面懇親活動，於每年春節、母親節及中秋節前夕擇期辦理，懇親對象以祖父母、父母、配偶、兄弟姊妹、子女等，惟自2020年起因武漢肺炎的影響，各監獄均依照中央疫情指揮中心的防疫規定，停辦面對面懇親會，改採視訊懇親會。惟目前武漢肺炎疫情已脫離高峰</w:t>
      </w:r>
      <w:r w:rsidRPr="00D65AED">
        <w:rPr>
          <w:rFonts w:hint="eastAsia"/>
        </w:rPr>
        <w:lastRenderedPageBreak/>
        <w:t>期，而且國境也逐步開放，在回歸正常作息的政策下，監所的矯正業務也應該回復到疫情前。法務部應責成</w:t>
      </w:r>
      <w:r w:rsidRPr="00D65AED">
        <w:rPr>
          <w:lang w:eastAsia="zh-HK"/>
        </w:rPr>
        <w:t>法務部</w:t>
      </w:r>
      <w:r w:rsidRPr="00D65AED">
        <w:rPr>
          <w:rFonts w:hint="eastAsia"/>
        </w:rPr>
        <w:t>矯正署於112年春節前，回復實施收容人面對面懇親活動。</w:t>
      </w:r>
    </w:p>
    <w:p w14:paraId="30B50146" w14:textId="77777777" w:rsidR="00421BB5" w:rsidRPr="00D65AED" w:rsidRDefault="00421BB5" w:rsidP="00421BB5">
      <w:pPr>
        <w:pStyle w:val="2-1"/>
      </w:pPr>
      <w:r w:rsidRPr="00D65AED">
        <w:t>提案人：</w:t>
      </w:r>
      <w:r w:rsidRPr="00D65AED">
        <w:rPr>
          <w:rFonts w:hint="eastAsia"/>
        </w:rPr>
        <w:t>鄭運鵬 陳歐珀 黃世杰</w:t>
      </w:r>
    </w:p>
    <w:p w14:paraId="2AFE9DB8" w14:textId="77777777" w:rsidR="00421BB5" w:rsidRPr="00D65AED" w:rsidRDefault="00421BB5" w:rsidP="00421BB5">
      <w:pPr>
        <w:pStyle w:val="0-"/>
      </w:pPr>
      <w:r w:rsidRPr="00D65AED">
        <w:rPr>
          <w:rFonts w:hint="eastAsia"/>
        </w:rPr>
        <w:t>(十六)</w:t>
      </w:r>
      <w:r w:rsidRPr="00D65AED">
        <w:rPr>
          <w:lang w:eastAsia="zh-HK"/>
        </w:rPr>
        <w:t>法務部</w:t>
      </w:r>
      <w:r w:rsidRPr="00D65AED">
        <w:t>矯正署辦理觀察、勒戒及戒治業務，惟相關債權憑證控管，間有法定執行期間將屆仍待清理，或債權憑證再移送作業未臻完備，或獄政管理資訊系統尚乏收容人再入監財產清查作業自動篩選比對功能等，亟待檢討，爰要求</w:t>
      </w:r>
      <w:r w:rsidRPr="00D65AED">
        <w:rPr>
          <w:lang w:eastAsia="zh-HK"/>
        </w:rPr>
        <w:t>法務部</w:t>
      </w:r>
      <w:r w:rsidRPr="00D65AED">
        <w:t>矯正署於3個月內向立法院司法及法制委員會提出</w:t>
      </w:r>
      <w:r w:rsidRPr="00D65AED">
        <w:rPr>
          <w:rFonts w:hint="eastAsia"/>
        </w:rPr>
        <w:t>書面</w:t>
      </w:r>
      <w:r w:rsidRPr="00D65AED">
        <w:rPr>
          <w:lang w:eastAsia="zh-HK"/>
        </w:rPr>
        <w:t>報告</w:t>
      </w:r>
      <w:r w:rsidRPr="00D65AED">
        <w:t>，以增進清查追繳成效。</w:t>
      </w:r>
    </w:p>
    <w:p w14:paraId="04F553AB" w14:textId="77777777" w:rsidR="00421BB5" w:rsidRPr="00D65AED" w:rsidRDefault="00421BB5" w:rsidP="00421BB5">
      <w:pPr>
        <w:pStyle w:val="2-1"/>
      </w:pPr>
      <w:r w:rsidRPr="00D65AED">
        <w:t>提案人：</w:t>
      </w:r>
      <w:r w:rsidRPr="00D65AED">
        <w:rPr>
          <w:rFonts w:hint="eastAsia"/>
        </w:rPr>
        <w:t xml:space="preserve">林思銘 </w:t>
      </w:r>
    </w:p>
    <w:p w14:paraId="529786F6" w14:textId="77777777" w:rsidR="00421BB5" w:rsidRPr="00D65AED" w:rsidRDefault="00421BB5" w:rsidP="00421BB5">
      <w:pPr>
        <w:pStyle w:val="2-1"/>
      </w:pPr>
      <w:r w:rsidRPr="00D65AED">
        <w:rPr>
          <w:rFonts w:hint="eastAsia"/>
        </w:rPr>
        <w:t>連署人：游毓蘭 曾銘宗</w:t>
      </w:r>
    </w:p>
    <w:p w14:paraId="1A215BEB" w14:textId="77777777" w:rsidR="00421BB5" w:rsidRPr="00D65AED" w:rsidRDefault="00421BB5" w:rsidP="00421BB5">
      <w:pPr>
        <w:pStyle w:val="0-"/>
        <w:rPr>
          <w:rStyle w:val="0-0"/>
        </w:rPr>
      </w:pPr>
      <w:r w:rsidRPr="00D65AED">
        <w:rPr>
          <w:rFonts w:hint="eastAsia"/>
        </w:rPr>
        <w:t>(十七)</w:t>
      </w:r>
      <w:r w:rsidRPr="00D65AED">
        <w:rPr>
          <w:lang w:eastAsia="zh-HK"/>
        </w:rPr>
        <w:t>法務部</w:t>
      </w:r>
      <w:r w:rsidRPr="00D65AED">
        <w:t>矯正署110年2月函頒「毒品施用者之個別化處遇流程」輔導策略分為新收評估、在監輔導及出監輔導階段，各矯正機關於毒品施用者入監3個月內以「毒品施用者評估問卷（入監）」瞭解其入監前施用毒品狀況，復於在監輔導階段，以「毒品施用者處遇前篩選表」進行施測，篩選進入進階處遇者，並於出監前6個月以「毒品施用者出監生活計畫調查表」等，辦理相關就業輔導、強化社區銜接措施等。依規定各矯正機關應對每位毒品受刑人建置「毒品犯個人輔導資料袋」，將前揭各類評估表、輔導紀錄等情形建檔，俾利出監追蹤輔導之資料轉介或輔導依據，並將各輔導策略辦理次數及人次，上傳至獄政管理資訊系統。然</w:t>
      </w:r>
      <w:r w:rsidRPr="00D65AED">
        <w:rPr>
          <w:lang w:eastAsia="zh-HK"/>
        </w:rPr>
        <w:t>法務部</w:t>
      </w:r>
      <w:r w:rsidRPr="00D65AED">
        <w:t>矯正署臺北及桃園監獄辦理上開輔導作業，毒品受刑人依科學實證處遇計畫各階段所填具及施測之問卷或表件，均須逐項輸入獄政</w:t>
      </w:r>
      <w:r w:rsidRPr="00D65AED">
        <w:rPr>
          <w:rFonts w:hint="eastAsia"/>
        </w:rPr>
        <w:t>管理資訊</w:t>
      </w:r>
      <w:r w:rsidRPr="00D65AED">
        <w:t>系統之毒品處遇子系統，以記錄個案在監接受輔導情形。110年1至11月底止，各矯正機關接收移監毒品受刑人計2,411人，占110年11月底監獄毒品受刑人（2</w:t>
      </w:r>
      <w:r w:rsidRPr="00D65AED">
        <w:rPr>
          <w:rFonts w:hint="eastAsia"/>
        </w:rPr>
        <w:t>萬</w:t>
      </w:r>
      <w:r w:rsidRPr="00D65AED">
        <w:t>1,685人）之11.12</w:t>
      </w:r>
      <w:r w:rsidRPr="00D65AED">
        <w:rPr>
          <w:lang w:eastAsia="zh-HK"/>
        </w:rPr>
        <w:t>%</w:t>
      </w:r>
      <w:r w:rsidRPr="00D65AED">
        <w:t>，囿於獄政管理資訊系統僅開放查詢各該監獄之受刑人個案資料（如就醫紀錄、輔導紀錄等），尚無法自該系統瞭解受刑人移監前之服刑期間相關處遇及輔導狀況，僅能依據移監時併送之紙本資料瞭解其處遇情形，然各矯正機關於接收移入之毒品受刑人時，均重新施測建立個別處遇計畫，顯有耗費矯正資源，亦無法呈現個案在服刑期間所接受之完整處遇情形，爰要求</w:t>
      </w:r>
      <w:r w:rsidRPr="00D65AED">
        <w:rPr>
          <w:lang w:eastAsia="zh-HK"/>
        </w:rPr>
        <w:t>法務部</w:t>
      </w:r>
      <w:r w:rsidRPr="00D65AED">
        <w:t>矯正署於6個月內向立法院司法及法制委員會提出</w:t>
      </w:r>
      <w:r w:rsidRPr="00D65AED">
        <w:rPr>
          <w:rFonts w:hint="eastAsia"/>
        </w:rPr>
        <w:t>書面</w:t>
      </w:r>
      <w:r w:rsidRPr="00D65AED">
        <w:t>報告，以建立各矯正機關間資料共享機制，達矯正處遇目的。</w:t>
      </w:r>
    </w:p>
    <w:p w14:paraId="0CD003F7" w14:textId="77777777" w:rsidR="00421BB5" w:rsidRPr="00D65AED" w:rsidRDefault="00421BB5" w:rsidP="00421BB5">
      <w:pPr>
        <w:pStyle w:val="2-1"/>
      </w:pPr>
      <w:r w:rsidRPr="00D65AED">
        <w:t>提案人：</w:t>
      </w:r>
      <w:r w:rsidRPr="00D65AED">
        <w:rPr>
          <w:rFonts w:hint="eastAsia"/>
        </w:rPr>
        <w:t xml:space="preserve">林思銘 </w:t>
      </w:r>
    </w:p>
    <w:p w14:paraId="2334DA0C" w14:textId="77777777" w:rsidR="00421BB5" w:rsidRPr="00D65AED" w:rsidRDefault="00421BB5" w:rsidP="00421BB5">
      <w:pPr>
        <w:pStyle w:val="2-1"/>
      </w:pPr>
      <w:r w:rsidRPr="00D65AED">
        <w:rPr>
          <w:rFonts w:hint="eastAsia"/>
        </w:rPr>
        <w:t>連署人：游毓蘭 曾銘宗</w:t>
      </w:r>
    </w:p>
    <w:p w14:paraId="3D9DC47E" w14:textId="77777777" w:rsidR="00421BB5" w:rsidRPr="00D65AED" w:rsidRDefault="00421BB5" w:rsidP="00421BB5">
      <w:pPr>
        <w:pStyle w:val="0-"/>
        <w:rPr>
          <w:rStyle w:val="0-0"/>
        </w:rPr>
      </w:pPr>
      <w:r w:rsidRPr="00D65AED">
        <w:rPr>
          <w:rFonts w:hint="eastAsia"/>
        </w:rPr>
        <w:t>(十八)</w:t>
      </w:r>
      <w:r w:rsidRPr="00D65AED">
        <w:t>敦品及勵志中學於108學年度前（即108年7月31日以前），係依高級中等教育法第8條規定，每週授課24節，並搭配技</w:t>
      </w:r>
      <w:r w:rsidRPr="00D65AED">
        <w:lastRenderedPageBreak/>
        <w:t>能訓練課程，惟自108學年度實施108課綱</w:t>
      </w:r>
      <w:r w:rsidRPr="00D65AED">
        <w:rPr>
          <w:rFonts w:hint="eastAsia"/>
        </w:rPr>
        <w:t>，</w:t>
      </w:r>
      <w:r w:rsidRPr="00D65AED">
        <w:t>每週授課為35節。據前開2所中學統計107至109年間改制前後開設技能訓練課程情形，敦品中學於107年開設5種職業證照檢定班、7種短期班，經費支用467萬餘元，109年開設4種職業證照檢定班、11種短期班，經費支用325萬餘元；勵志中學於107年開設7種職業證照檢定班、9種短期班，經費支用656萬餘元，109年開設7種職業證照檢定班、2種短期班，經費支用253萬餘元，前開2所中學改制後，敦品中學整體開班數雖增加，但參訓人數下降（由480名降至431名）；勵志中學短期班數則大幅減少（由9班降至2班），參訓人數下降逾</w:t>
      </w:r>
      <w:r w:rsidRPr="00D65AED">
        <w:rPr>
          <w:rFonts w:hint="eastAsia"/>
        </w:rPr>
        <w:t>五</w:t>
      </w:r>
      <w:r w:rsidRPr="00D65AED">
        <w:t>成（由372名降至180名），顯示改制後因課綱及課程時數安排，致部分技能訓練參加及通過考照等人數均呈下降，且訓練經費亦有減少趨勢。且該2所中學為彌補技能訓練課程時數安排，曾評估考量開設六日班或寒暑假班之技能訓練課程、申請外部資源入校合作特色課程、於國語文、英語文等科目融入生活技能及藝能學習模式，惟因新進教師對於寒暑假是否排課仍未與學校達成共識、開設六日班須增加大量戒護人力及外部資源入校合作是否能保護學生個人隱私等因素，致相關調整因應措施尚未能定案實施，爰</w:t>
      </w:r>
      <w:r w:rsidRPr="00D65AED">
        <w:rPr>
          <w:rFonts w:hint="eastAsia"/>
        </w:rPr>
        <w:t>請</w:t>
      </w:r>
      <w:r w:rsidRPr="00D65AED">
        <w:rPr>
          <w:lang w:eastAsia="zh-HK"/>
        </w:rPr>
        <w:t>法務部</w:t>
      </w:r>
      <w:r w:rsidRPr="00D65AED">
        <w:t>矯正署於3個月內向立法院司法及法制委員會提出</w:t>
      </w:r>
      <w:r w:rsidRPr="00D65AED">
        <w:rPr>
          <w:rFonts w:hint="eastAsia"/>
        </w:rPr>
        <w:t>書面</w:t>
      </w:r>
      <w:r w:rsidRPr="00D65AED">
        <w:rPr>
          <w:lang w:eastAsia="zh-HK"/>
        </w:rPr>
        <w:t>報告</w:t>
      </w:r>
      <w:r w:rsidRPr="00D65AED">
        <w:t>，以協助學生順利參加技能學習課程。</w:t>
      </w:r>
    </w:p>
    <w:p w14:paraId="6887F036" w14:textId="77777777" w:rsidR="00421BB5" w:rsidRPr="00D65AED" w:rsidRDefault="00421BB5" w:rsidP="00421BB5">
      <w:pPr>
        <w:pStyle w:val="2-1"/>
      </w:pPr>
      <w:r w:rsidRPr="00D65AED">
        <w:t>提案人：</w:t>
      </w:r>
      <w:r w:rsidRPr="00D65AED">
        <w:rPr>
          <w:rFonts w:hint="eastAsia"/>
        </w:rPr>
        <w:t xml:space="preserve">林思銘 </w:t>
      </w:r>
    </w:p>
    <w:p w14:paraId="42172AAC" w14:textId="77777777" w:rsidR="00421BB5" w:rsidRPr="00D65AED" w:rsidRDefault="00421BB5" w:rsidP="00421BB5">
      <w:pPr>
        <w:pStyle w:val="2-1"/>
      </w:pPr>
      <w:r w:rsidRPr="00D65AED">
        <w:rPr>
          <w:rFonts w:hint="eastAsia"/>
        </w:rPr>
        <w:t>連署人：游毓蘭 曾銘宗</w:t>
      </w:r>
    </w:p>
    <w:p w14:paraId="0DCCE746" w14:textId="77777777" w:rsidR="00421BB5" w:rsidRPr="00D65AED" w:rsidRDefault="00421BB5" w:rsidP="00421BB5">
      <w:pPr>
        <w:pStyle w:val="0-"/>
        <w:rPr>
          <w:rStyle w:val="0-0"/>
        </w:rPr>
      </w:pPr>
      <w:r w:rsidRPr="00D65AED">
        <w:rPr>
          <w:rFonts w:hint="eastAsia"/>
        </w:rPr>
        <w:t>(十九)112年度</w:t>
      </w:r>
      <w:r w:rsidRPr="00D65AED">
        <w:rPr>
          <w:lang w:eastAsia="zh-HK"/>
        </w:rPr>
        <w:t>法務部</w:t>
      </w:r>
      <w:r w:rsidRPr="00D65AED">
        <w:rPr>
          <w:rFonts w:hint="eastAsia"/>
        </w:rPr>
        <w:t>矯正署及所屬歲出預算「辦理矯正行政業務」項下「業務費」編列1億6,849萬元，其中辦理性侵害受刑人刑中身心治療、輔導教育及刑後強制治療經費編列3,235萬元，與111年度編列之預算相同。到111年8月為止，在</w:t>
      </w:r>
      <w:r w:rsidRPr="00D65AED">
        <w:rPr>
          <w:lang w:eastAsia="zh-HK"/>
        </w:rPr>
        <w:t>法務部</w:t>
      </w:r>
      <w:r w:rsidRPr="00D65AED">
        <w:rPr>
          <w:rFonts w:hint="eastAsia"/>
        </w:rPr>
        <w:t>矯正署臺中監獄附設培德醫院接受強制治療者有45人。根據109年司法院釋字第799號解釋，強制治療並非刑事處罰，接受治療者應被賦予「病人」之地位。在</w:t>
      </w:r>
      <w:r w:rsidRPr="00D65AED">
        <w:rPr>
          <w:lang w:eastAsia="zh-HK"/>
        </w:rPr>
        <w:t>法務部</w:t>
      </w:r>
      <w:r w:rsidRPr="00D65AED">
        <w:rPr>
          <w:rFonts w:hint="eastAsia"/>
        </w:rPr>
        <w:t>矯正署台中監獄附設培德醫院接受治療，已違反釋字第799號解釋以「病人」而非「犯人」對待接受強制治療者之精神，</w:t>
      </w:r>
      <w:r w:rsidRPr="00D65AED">
        <w:rPr>
          <w:lang w:eastAsia="zh-HK"/>
        </w:rPr>
        <w:t>法務部</w:t>
      </w:r>
      <w:r w:rsidRPr="00D65AED">
        <w:rPr>
          <w:rFonts w:hint="eastAsia"/>
        </w:rPr>
        <w:t>矯正署應積極促請強制治療主責機關，儘速依司法院釋字第799號解釋，於監獄及其附屬設施以外之醫療機構設置強制治療處所。</w:t>
      </w:r>
    </w:p>
    <w:p w14:paraId="08D1134B" w14:textId="77777777" w:rsidR="00421BB5" w:rsidRPr="00D65AED" w:rsidRDefault="00421BB5" w:rsidP="00421BB5">
      <w:pPr>
        <w:pStyle w:val="2-1"/>
      </w:pPr>
      <w:r w:rsidRPr="00D65AED">
        <w:t>提案人：</w:t>
      </w:r>
      <w:r w:rsidRPr="00D65AED">
        <w:rPr>
          <w:rFonts w:hint="eastAsia"/>
        </w:rPr>
        <w:t>陳以信</w:t>
      </w:r>
    </w:p>
    <w:p w14:paraId="57DDD3D3" w14:textId="77777777" w:rsidR="00421BB5" w:rsidRPr="00D65AED" w:rsidRDefault="00421BB5" w:rsidP="00421BB5">
      <w:pPr>
        <w:pStyle w:val="2-1"/>
      </w:pPr>
      <w:r w:rsidRPr="00D65AED">
        <w:rPr>
          <w:rFonts w:hint="eastAsia"/>
        </w:rPr>
        <w:t xml:space="preserve">連署人：林思銘 游毓蘭 </w:t>
      </w:r>
    </w:p>
    <w:p w14:paraId="74142C9A" w14:textId="77777777" w:rsidR="00421BB5" w:rsidRPr="00D65AED" w:rsidRDefault="00421BB5" w:rsidP="00421BB5">
      <w:pPr>
        <w:pStyle w:val="0-"/>
      </w:pPr>
      <w:r w:rsidRPr="00D65AED">
        <w:rPr>
          <w:rFonts w:hint="eastAsia"/>
        </w:rPr>
        <w:t>(二十)自民國108</w:t>
      </w:r>
      <w:r w:rsidRPr="00D65AED">
        <w:t>年</w:t>
      </w:r>
      <w:r w:rsidRPr="00D65AED">
        <w:rPr>
          <w:rFonts w:hint="eastAsia"/>
        </w:rPr>
        <w:t>起</w:t>
      </w:r>
      <w:r w:rsidRPr="00D65AED">
        <w:t>,法務部矯正署所屬之矯正機關戒護人員「危險職務加給(專業</w:t>
      </w:r>
      <w:r w:rsidRPr="00D65AED">
        <w:rPr>
          <w:rFonts w:hint="eastAsia"/>
        </w:rPr>
        <w:t>加給</w:t>
      </w:r>
      <w:r w:rsidRPr="00D65AED">
        <w:t>)」從20年以來的每月3</w:t>
      </w:r>
      <w:r w:rsidRPr="00D65AED">
        <w:rPr>
          <w:rFonts w:hint="eastAsia"/>
        </w:rPr>
        <w:t>千</w:t>
      </w:r>
      <w:r w:rsidRPr="00D65AED">
        <w:t>元</w:t>
      </w:r>
      <w:r w:rsidRPr="00D65AED">
        <w:rPr>
          <w:rFonts w:hint="eastAsia"/>
        </w:rPr>
        <w:t>，</w:t>
      </w:r>
      <w:r w:rsidRPr="00D65AED">
        <w:t>調整為4</w:t>
      </w:r>
      <w:r w:rsidRPr="00D65AED">
        <w:rPr>
          <w:rFonts w:hint="eastAsia"/>
        </w:rPr>
        <w:t>千</w:t>
      </w:r>
      <w:r w:rsidRPr="00D65AED">
        <w:t>元起</w:t>
      </w:r>
      <w:r w:rsidRPr="00D65AED">
        <w:rPr>
          <w:rFonts w:hint="eastAsia"/>
        </w:rPr>
        <w:t>。依據《消防、海巡、空中勤務、移民及航空測量機關專業人員危險職務加給表》，</w:t>
      </w:r>
      <w:r w:rsidRPr="00D65AED">
        <w:t>警察及消防人員所領取之</w:t>
      </w:r>
      <w:r w:rsidRPr="00D65AED">
        <w:lastRenderedPageBreak/>
        <w:t>危險加給為每月至少8,435元</w:t>
      </w:r>
      <w:r w:rsidRPr="00D65AED">
        <w:rPr>
          <w:rFonts w:hint="eastAsia"/>
        </w:rPr>
        <w:t>，</w:t>
      </w:r>
      <w:r w:rsidRPr="00D65AED">
        <w:t>依據地區不同</w:t>
      </w:r>
      <w:r w:rsidRPr="00D65AED">
        <w:rPr>
          <w:rFonts w:hint="eastAsia"/>
        </w:rPr>
        <w:t>最高可領到</w:t>
      </w:r>
      <w:r w:rsidRPr="00D65AED">
        <w:t>1</w:t>
      </w:r>
      <w:r w:rsidRPr="00D65AED">
        <w:rPr>
          <w:rFonts w:hint="eastAsia"/>
        </w:rPr>
        <w:t>萬</w:t>
      </w:r>
      <w:r w:rsidRPr="00D65AED">
        <w:t>6,870元。</w:t>
      </w:r>
    </w:p>
    <w:p w14:paraId="44FFFFD0" w14:textId="77777777" w:rsidR="00421BB5" w:rsidRPr="00D65AED" w:rsidRDefault="00421BB5" w:rsidP="00421BB5">
      <w:pPr>
        <w:pStyle w:val="0-2"/>
      </w:pPr>
      <w:r w:rsidRPr="00D65AED">
        <w:rPr>
          <w:rFonts w:hint="eastAsia"/>
        </w:rPr>
        <w:t>法務部矯正署所屬之矯正機關戒護人員與警消一樣從事高風險、高危險、高壓之三高性質工作，</w:t>
      </w:r>
      <w:r w:rsidRPr="00D65AED">
        <w:t>危險加給卻差距將近</w:t>
      </w:r>
      <w:r w:rsidRPr="00D65AED">
        <w:rPr>
          <w:rFonts w:hint="eastAsia"/>
        </w:rPr>
        <w:t>四</w:t>
      </w:r>
      <w:r w:rsidRPr="00D65AED">
        <w:t>倍。</w:t>
      </w:r>
      <w:r w:rsidRPr="00D65AED">
        <w:rPr>
          <w:rFonts w:hint="eastAsia"/>
        </w:rPr>
        <w:t>請法務部矯正署研議調整戒護人員危險加給，於</w:t>
      </w:r>
      <w:r w:rsidRPr="00D65AED">
        <w:t>2</w:t>
      </w:r>
      <w:r w:rsidRPr="00D65AED">
        <w:rPr>
          <w:rFonts w:hint="eastAsia"/>
        </w:rPr>
        <w:t>個月內向立法院司法及法制委員會提出書面報告。</w:t>
      </w:r>
    </w:p>
    <w:p w14:paraId="2C05AFBF" w14:textId="77777777" w:rsidR="00421BB5" w:rsidRPr="00D65AED" w:rsidRDefault="00421BB5" w:rsidP="00421BB5">
      <w:pPr>
        <w:pStyle w:val="2-1"/>
      </w:pPr>
      <w:r w:rsidRPr="00D65AED">
        <w:t>提案人：</w:t>
      </w:r>
      <w:r w:rsidRPr="00D65AED">
        <w:rPr>
          <w:rFonts w:hint="eastAsia"/>
        </w:rPr>
        <w:t>陳以信</w:t>
      </w:r>
    </w:p>
    <w:p w14:paraId="7133FC6A" w14:textId="77777777" w:rsidR="00421BB5" w:rsidRPr="00D65AED" w:rsidRDefault="00421BB5" w:rsidP="00421BB5">
      <w:pPr>
        <w:pStyle w:val="2-1"/>
      </w:pPr>
      <w:r w:rsidRPr="00D65AED">
        <w:rPr>
          <w:rFonts w:hint="eastAsia"/>
        </w:rPr>
        <w:t>連署人：林思銘 游毓蘭</w:t>
      </w:r>
    </w:p>
    <w:p w14:paraId="72675A07" w14:textId="77777777" w:rsidR="00421BB5" w:rsidRPr="00D65AED" w:rsidRDefault="00421BB5" w:rsidP="00421BB5">
      <w:pPr>
        <w:pStyle w:val="0-"/>
        <w:rPr>
          <w:rStyle w:val="0-0"/>
        </w:rPr>
      </w:pPr>
      <w:r w:rsidRPr="00D65AED">
        <w:rPr>
          <w:rFonts w:hint="eastAsia"/>
        </w:rPr>
        <w:t>(二十一)</w:t>
      </w:r>
      <w:r w:rsidRPr="00D65AED">
        <w:rPr>
          <w:rFonts w:hint="eastAsia"/>
          <w:bCs/>
        </w:rPr>
        <w:t>矯正機關戒護人員遭收容人攻擊時有所聞收容人</w:t>
      </w:r>
      <w:r w:rsidRPr="00D65AED">
        <w:rPr>
          <w:bCs/>
        </w:rPr>
        <w:t>使用凳子、筷子、原子</w:t>
      </w:r>
      <w:r w:rsidRPr="00D65AED">
        <w:rPr>
          <w:rFonts w:hint="eastAsia"/>
          <w:bCs/>
        </w:rPr>
        <w:t>筆、紙棒等器具攻擊，</w:t>
      </w:r>
      <w:r w:rsidRPr="00D65AED">
        <w:rPr>
          <w:bCs/>
        </w:rPr>
        <w:t>導致</w:t>
      </w:r>
      <w:r w:rsidRPr="00D65AED">
        <w:rPr>
          <w:rFonts w:hint="eastAsia"/>
          <w:bCs/>
        </w:rPr>
        <w:t>戒護人員受傷等事頻傳。戒護人員遭攻擊事件，</w:t>
      </w:r>
      <w:r w:rsidRPr="00D65AED">
        <w:rPr>
          <w:bCs/>
        </w:rPr>
        <w:t>顯示獄政工作具有高度危險性及風險性</w:t>
      </w:r>
      <w:r w:rsidRPr="00D65AED">
        <w:rPr>
          <w:rFonts w:hint="eastAsia"/>
          <w:bCs/>
        </w:rPr>
        <w:t>，據悉</w:t>
      </w:r>
      <w:r w:rsidRPr="00D65AED">
        <w:rPr>
          <w:bCs/>
        </w:rPr>
        <w:t>矯正機關</w:t>
      </w:r>
      <w:r w:rsidRPr="00D65AED">
        <w:rPr>
          <w:rFonts w:hint="eastAsia"/>
          <w:bCs/>
        </w:rPr>
        <w:t>並無配發戒護人員微型攝影機於執行勤務中隨身使用，</w:t>
      </w:r>
      <w:r w:rsidRPr="00D65AED">
        <w:rPr>
          <w:bCs/>
        </w:rPr>
        <w:t>致難以及時採證、加強</w:t>
      </w:r>
      <w:r w:rsidRPr="00D65AED">
        <w:rPr>
          <w:rFonts w:hint="eastAsia"/>
          <w:bCs/>
        </w:rPr>
        <w:t>監督。</w:t>
      </w:r>
      <w:r w:rsidRPr="00D65AED">
        <w:rPr>
          <w:bCs/>
        </w:rPr>
        <w:t>戒護人員後續進行司法救濟程序亦難以提出證據。</w:t>
      </w:r>
      <w:r w:rsidRPr="00D65AED">
        <w:rPr>
          <w:rFonts w:hint="eastAsia"/>
          <w:bCs/>
        </w:rPr>
        <w:t>為了戒護人員和收容人雙方的安全，法務部矯正署應逐年編列經費，</w:t>
      </w:r>
      <w:r w:rsidRPr="00D65AED">
        <w:rPr>
          <w:bCs/>
        </w:rPr>
        <w:t>達到每位戒護人</w:t>
      </w:r>
      <w:r w:rsidRPr="00D65AED">
        <w:rPr>
          <w:rFonts w:hint="eastAsia"/>
          <w:bCs/>
        </w:rPr>
        <w:t>員配發1臺微型攝影機，</w:t>
      </w:r>
      <w:r w:rsidRPr="00D65AED">
        <w:rPr>
          <w:bCs/>
        </w:rPr>
        <w:t>以有效掌握囚情動態</w:t>
      </w:r>
      <w:r w:rsidRPr="00D65AED">
        <w:rPr>
          <w:rFonts w:hint="eastAsia"/>
          <w:bCs/>
        </w:rPr>
        <w:t>，</w:t>
      </w:r>
      <w:r w:rsidRPr="00D65AED">
        <w:rPr>
          <w:bCs/>
        </w:rPr>
        <w:t>提升戒護管理效能。</w:t>
      </w:r>
    </w:p>
    <w:p w14:paraId="01F5B190" w14:textId="77777777" w:rsidR="00421BB5" w:rsidRPr="00D65AED" w:rsidRDefault="00421BB5" w:rsidP="00421BB5">
      <w:pPr>
        <w:pStyle w:val="2-1"/>
      </w:pPr>
      <w:r w:rsidRPr="00D65AED">
        <w:t>提案人：</w:t>
      </w:r>
      <w:r w:rsidRPr="00D65AED">
        <w:rPr>
          <w:rFonts w:hint="eastAsia"/>
        </w:rPr>
        <w:t>陳以信</w:t>
      </w:r>
    </w:p>
    <w:p w14:paraId="49A98DE5" w14:textId="77777777" w:rsidR="00421BB5" w:rsidRPr="00D65AED" w:rsidRDefault="00421BB5" w:rsidP="00421BB5">
      <w:pPr>
        <w:pStyle w:val="2-1"/>
      </w:pPr>
      <w:r w:rsidRPr="00D65AED">
        <w:rPr>
          <w:rFonts w:hint="eastAsia"/>
        </w:rPr>
        <w:t>連署人：林思銘 游毓蘭</w:t>
      </w:r>
    </w:p>
    <w:p w14:paraId="08B566F5" w14:textId="77777777" w:rsidR="00421BB5" w:rsidRPr="00D65AED" w:rsidRDefault="00421BB5" w:rsidP="00421BB5">
      <w:pPr>
        <w:pStyle w:val="0-"/>
        <w:rPr>
          <w:rStyle w:val="0-0"/>
        </w:rPr>
      </w:pPr>
      <w:r w:rsidRPr="00D65AED">
        <w:rPr>
          <w:rFonts w:hint="eastAsia"/>
        </w:rPr>
        <w:t>(二十二)台南兩位員警執勤時，遭外役監逃犯殺害，顯示</w:t>
      </w:r>
      <w:r w:rsidRPr="00D65AED">
        <w:t>外役監篩選標準與管理機制有問題，造成社會風險，法務部應即研究改進之道。</w:t>
      </w:r>
      <w:r w:rsidRPr="00D65AED">
        <w:rPr>
          <w:rFonts w:hint="eastAsia"/>
        </w:rPr>
        <w:t>請法務部矯正署研議改革精進之作法，於</w:t>
      </w:r>
      <w:r w:rsidRPr="00D65AED">
        <w:t>2</w:t>
      </w:r>
      <w:r w:rsidRPr="00D65AED">
        <w:rPr>
          <w:rFonts w:hint="eastAsia"/>
        </w:rPr>
        <w:t>個月內向立法院司法及法制委員會提出書面報告。</w:t>
      </w:r>
    </w:p>
    <w:p w14:paraId="323B8A8A" w14:textId="77777777" w:rsidR="00421BB5" w:rsidRPr="00D65AED" w:rsidRDefault="00421BB5" w:rsidP="00421BB5">
      <w:pPr>
        <w:pStyle w:val="2-1"/>
      </w:pPr>
      <w:r w:rsidRPr="00D65AED">
        <w:t>提案人：</w:t>
      </w:r>
      <w:r w:rsidRPr="00D65AED">
        <w:rPr>
          <w:rFonts w:hint="eastAsia"/>
        </w:rPr>
        <w:t>陳以信</w:t>
      </w:r>
    </w:p>
    <w:p w14:paraId="313E9930" w14:textId="77777777" w:rsidR="00421BB5" w:rsidRPr="00D65AED" w:rsidRDefault="00421BB5" w:rsidP="00421BB5">
      <w:pPr>
        <w:pStyle w:val="2-1"/>
      </w:pPr>
      <w:r w:rsidRPr="00D65AED">
        <w:rPr>
          <w:rFonts w:hint="eastAsia"/>
        </w:rPr>
        <w:t>連署人：林思銘 游毓蘭</w:t>
      </w:r>
    </w:p>
    <w:p w14:paraId="4987A419" w14:textId="77777777" w:rsidR="00421BB5" w:rsidRPr="00D65AED" w:rsidRDefault="00421BB5" w:rsidP="00421BB5">
      <w:pPr>
        <w:pStyle w:val="0-"/>
      </w:pPr>
      <w:r w:rsidRPr="00D65AED">
        <w:rPr>
          <w:rFonts w:hint="eastAsia"/>
        </w:rPr>
        <w:t>(二十三)為落實監獄行刑法之個別處遇計畫，並重新盤點矯正機關所需之心理、社工專業人力需求，法務部矯正署於</w:t>
      </w:r>
      <w:bookmarkStart w:id="522" w:name="_Hlk87628933"/>
      <w:r w:rsidRPr="00D65AED">
        <w:rPr>
          <w:rFonts w:hint="eastAsia"/>
        </w:rPr>
        <w:t>110年提出「矯正機關心理社工專輔人力試辦計畫」</w:t>
      </w:r>
      <w:bookmarkEnd w:id="522"/>
      <w:r w:rsidRPr="00D65AED">
        <w:rPr>
          <w:rFonts w:hint="eastAsia"/>
        </w:rPr>
        <w:t>，分三階段擇定部分矯正機關試行，期能建構具實證基礎之矯正機關輔導處遇模式，並明確計算出個別矯正機關所需之心理、社工專業人員，及其合理進用方式；而為確保試辦成果得以切合計畫目標，並有規劃每2個月召開試辦情形檢視會議，邀請專家委員檢視並滾動檢討修正執行內容。</w:t>
      </w:r>
    </w:p>
    <w:p w14:paraId="73AF2EDE" w14:textId="77777777" w:rsidR="00421BB5" w:rsidRPr="00D65AED" w:rsidRDefault="00421BB5" w:rsidP="00421BB5">
      <w:pPr>
        <w:pStyle w:val="0-2"/>
      </w:pPr>
      <w:r w:rsidRPr="00D65AED">
        <w:rPr>
          <w:rFonts w:hint="eastAsia"/>
        </w:rPr>
        <w:t>受刑人之個別處遇計畫得否落實立法初衷，關鍵在於矯正機關得否擁有充足之心理、社工專業人員，以及輔導處遇之模式是否適切；另考量心理、社工等專業能力之深化，須仰賴專家檢視並提出滾動檢討修正之建言，爰要求法務部矯正署應於6個月內，就「矯正機關心理社工專輔人力試辦計畫之辦理情形」及「矯正機關及矯正署心理、社工相關編制之規劃」，向立法院司法及法制委員會與提案委員提出書面報告。</w:t>
      </w:r>
    </w:p>
    <w:p w14:paraId="22A5E80C" w14:textId="77777777" w:rsidR="00421BB5" w:rsidRPr="00D65AED" w:rsidRDefault="00421BB5" w:rsidP="00421BB5">
      <w:pPr>
        <w:pStyle w:val="2-1"/>
      </w:pPr>
      <w:r w:rsidRPr="00D65AED">
        <w:rPr>
          <w:rFonts w:hint="eastAsia"/>
        </w:rPr>
        <w:lastRenderedPageBreak/>
        <w:t>提案人：江永昌 黃世杰 陳歐珀 吳玉琴</w:t>
      </w:r>
    </w:p>
    <w:p w14:paraId="51C3CF54"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第6項　行政執行署及所屬15億</w:t>
      </w:r>
      <w:r w:rsidRPr="00A52F6B">
        <w:rPr>
          <w:rFonts w:ascii="標楷體" w:eastAsia="標楷體" w:hAnsi="標楷體"/>
          <w:sz w:val="28"/>
          <w:szCs w:val="28"/>
        </w:rPr>
        <w:t>7</w:t>
      </w:r>
      <w:r w:rsidRPr="00A52F6B">
        <w:rPr>
          <w:rFonts w:ascii="標楷體" w:eastAsia="標楷體" w:hAnsi="標楷體" w:hint="eastAsia"/>
          <w:sz w:val="28"/>
          <w:szCs w:val="28"/>
        </w:rPr>
        <w:t>,</w:t>
      </w:r>
      <w:r w:rsidRPr="00A52F6B">
        <w:rPr>
          <w:rFonts w:ascii="標楷體" w:eastAsia="標楷體" w:hAnsi="標楷體"/>
          <w:sz w:val="28"/>
          <w:szCs w:val="28"/>
        </w:rPr>
        <w:t>901</w:t>
      </w:r>
      <w:r w:rsidRPr="00A52F6B">
        <w:rPr>
          <w:rFonts w:ascii="標楷體" w:eastAsia="標楷體" w:hAnsi="標楷體" w:hint="eastAsia"/>
          <w:sz w:val="28"/>
          <w:szCs w:val="28"/>
        </w:rPr>
        <w:t>萬</w:t>
      </w:r>
      <w:r w:rsidRPr="00A52F6B">
        <w:rPr>
          <w:rFonts w:ascii="標楷體" w:eastAsia="標楷體" w:hAnsi="標楷體"/>
          <w:sz w:val="28"/>
          <w:szCs w:val="28"/>
        </w:rPr>
        <w:t>2</w:t>
      </w:r>
      <w:r w:rsidRPr="00A52F6B">
        <w:rPr>
          <w:rFonts w:ascii="標楷體" w:eastAsia="標楷體" w:hAnsi="標楷體" w:hint="eastAsia"/>
          <w:sz w:val="28"/>
          <w:szCs w:val="28"/>
        </w:rPr>
        <w:t>千元，照列。</w:t>
      </w:r>
    </w:p>
    <w:p w14:paraId="5FF5A17B" w14:textId="77777777" w:rsidR="00421BB5" w:rsidRPr="00A52F6B" w:rsidRDefault="00421BB5" w:rsidP="009437ED">
      <w:pPr>
        <w:spacing w:line="360" w:lineRule="exact"/>
        <w:ind w:leftChars="119" w:left="1452" w:hangingChars="416" w:hanging="1166"/>
        <w:rPr>
          <w:rFonts w:ascii="標楷體" w:eastAsia="標楷體" w:hAnsi="標楷體"/>
          <w:b/>
          <w:sz w:val="28"/>
          <w:szCs w:val="28"/>
        </w:rPr>
      </w:pPr>
      <w:r w:rsidRPr="00A52F6B">
        <w:rPr>
          <w:rFonts w:ascii="標楷體" w:eastAsia="標楷體" w:hAnsi="標楷體" w:hint="eastAsia"/>
          <w:b/>
          <w:sz w:val="28"/>
          <w:szCs w:val="28"/>
        </w:rPr>
        <w:t>本項通過決議7項：</w:t>
      </w:r>
    </w:p>
    <w:p w14:paraId="6D40CEF6" w14:textId="77777777" w:rsidR="00421BB5" w:rsidRPr="00D65AED" w:rsidRDefault="00421BB5" w:rsidP="00421BB5">
      <w:pPr>
        <w:pStyle w:val="0-"/>
        <w:rPr>
          <w:rStyle w:val="0-0"/>
        </w:rPr>
      </w:pPr>
      <w:r w:rsidRPr="00D65AED">
        <w:t>(</w:t>
      </w:r>
      <w:r w:rsidRPr="00D65AED">
        <w:rPr>
          <w:rFonts w:hint="eastAsia"/>
        </w:rPr>
        <w:t>一</w:t>
      </w:r>
      <w:r w:rsidRPr="00D65AED">
        <w:t>)</w:t>
      </w:r>
      <w:r w:rsidRPr="00D65AED">
        <w:rPr>
          <w:rFonts w:hint="eastAsia"/>
        </w:rPr>
        <w:t>11</w:t>
      </w:r>
      <w:r w:rsidRPr="00D65AED">
        <w:t>2</w:t>
      </w:r>
      <w:r w:rsidRPr="00D65AED">
        <w:rPr>
          <w:rFonts w:hint="eastAsia"/>
        </w:rPr>
        <w:t>年度行政執行署及所屬歲出預算第</w:t>
      </w:r>
      <w:r w:rsidRPr="00D65AED">
        <w:t>3</w:t>
      </w:r>
      <w:r w:rsidRPr="00D65AED">
        <w:rPr>
          <w:rFonts w:hint="eastAsia"/>
        </w:rPr>
        <w:t>目「執行案件處理」編列14億1,</w:t>
      </w:r>
      <w:r w:rsidRPr="00D65AED">
        <w:t>167</w:t>
      </w:r>
      <w:r w:rsidRPr="00D65AED">
        <w:rPr>
          <w:rFonts w:hint="eastAsia"/>
        </w:rPr>
        <w:t>萬4千元，凍結30萬元，俟向立法院司法及法制委員會提出書面報告後，始得動支。</w:t>
      </w:r>
    </w:p>
    <w:p w14:paraId="6A50A70E" w14:textId="77777777" w:rsidR="00421BB5" w:rsidRPr="00D65AED" w:rsidRDefault="00421BB5" w:rsidP="00421BB5">
      <w:pPr>
        <w:pStyle w:val="2-1"/>
      </w:pPr>
      <w:r w:rsidRPr="00D65AED">
        <w:rPr>
          <w:rFonts w:hint="eastAsia"/>
        </w:rPr>
        <w:t>提案人：游毓蘭 曾銘宗 林思銘</w:t>
      </w:r>
    </w:p>
    <w:p w14:paraId="3325AF4F" w14:textId="77777777" w:rsidR="00421BB5" w:rsidRPr="00D65AED" w:rsidRDefault="00421BB5" w:rsidP="00421BB5">
      <w:pPr>
        <w:pStyle w:val="0-"/>
        <w:rPr>
          <w:rStyle w:val="0-0"/>
        </w:rPr>
      </w:pPr>
      <w:r w:rsidRPr="00D65AED">
        <w:t>(</w:t>
      </w:r>
      <w:r w:rsidRPr="00D65AED">
        <w:rPr>
          <w:rFonts w:hint="eastAsia"/>
        </w:rPr>
        <w:t>二</w:t>
      </w:r>
      <w:r w:rsidRPr="00D65AED">
        <w:t>)</w:t>
      </w:r>
      <w:r w:rsidRPr="00D65AED">
        <w:rPr>
          <w:rFonts w:hint="eastAsia"/>
        </w:rPr>
        <w:t>近年法務部行政執行署各分署之行政執行案件新收件數遽增，且多屬移送金額低之案件，各分署於有限人力下終結案件數雖呈逐年提升，惟未結案件數仍偏高，截至110年底仍近760萬件。雖行政執行署近年持續擴大超商繳款案件涵蓋範圍，提高繳款金額上限，並就無法提供超商繳款服務之部分案件提供虛擬帳號，提升義務人繳納之便利性，亦可節省執行機關之人力及物力，惟監理及交通裁決案件義務人利用超商繳款之比率卻明顯偏低，尚待研謀提升，以提高執行成效，爰要求法務部行政執行署強化多元繳款措施並加強宣導，以提升利用率。</w:t>
      </w:r>
    </w:p>
    <w:p w14:paraId="47C340C4" w14:textId="77777777" w:rsidR="00421BB5" w:rsidRPr="00D65AED" w:rsidRDefault="00421BB5" w:rsidP="00421BB5">
      <w:pPr>
        <w:pStyle w:val="2-1"/>
      </w:pPr>
      <w:r w:rsidRPr="00D65AED">
        <w:rPr>
          <w:rFonts w:hint="eastAsia"/>
        </w:rPr>
        <w:t>提案人：劉建國 陳歐珀 黃世杰</w:t>
      </w:r>
    </w:p>
    <w:p w14:paraId="28987B97" w14:textId="77777777" w:rsidR="00421BB5" w:rsidRPr="00D65AED" w:rsidRDefault="00421BB5" w:rsidP="00421BB5">
      <w:pPr>
        <w:pStyle w:val="0-"/>
        <w:rPr>
          <w:rStyle w:val="0-0"/>
        </w:rPr>
      </w:pPr>
      <w:r w:rsidRPr="00D65AED">
        <w:t>(</w:t>
      </w:r>
      <w:r w:rsidRPr="00D65AED">
        <w:rPr>
          <w:rFonts w:hint="eastAsia"/>
        </w:rPr>
        <w:t>三</w:t>
      </w:r>
      <w:r w:rsidRPr="00D65AED">
        <w:t>)</w:t>
      </w:r>
      <w:r w:rsidRPr="00D65AED">
        <w:rPr>
          <w:rFonts w:hint="eastAsia"/>
        </w:rPr>
        <w:t>11</w:t>
      </w:r>
      <w:r w:rsidRPr="00D65AED">
        <w:t>2</w:t>
      </w:r>
      <w:r w:rsidRPr="00D65AED">
        <w:rPr>
          <w:rFonts w:hint="eastAsia"/>
        </w:rPr>
        <w:t>年度法務部行政執行署及所屬歲出預算，司法支出「執行業務」編列2</w:t>
      </w:r>
      <w:r w:rsidRPr="00D65AED">
        <w:t>,</w:t>
      </w:r>
      <w:r w:rsidRPr="00D65AED">
        <w:rPr>
          <w:rFonts w:hint="eastAsia"/>
        </w:rPr>
        <w:t>722萬7千元。依審計部中央政府總決算審核報告指出，據行政執行署統計，截至111年4月7日止，各執行分署受理違反居家隔離（檢疫）及自主管理裁罰應執行案件為8</w:t>
      </w:r>
      <w:r w:rsidRPr="00D65AED">
        <w:t>14</w:t>
      </w:r>
      <w:r w:rsidRPr="00D65AED">
        <w:rPr>
          <w:rFonts w:hint="eastAsia"/>
        </w:rPr>
        <w:t>件，應執行金額1億2</w:t>
      </w:r>
      <w:r w:rsidRPr="00D65AED">
        <w:t>,</w:t>
      </w:r>
      <w:r w:rsidRPr="00D65AED">
        <w:rPr>
          <w:rFonts w:hint="eastAsia"/>
        </w:rPr>
        <w:t>656萬餘元，實際徵起金額4</w:t>
      </w:r>
      <w:r w:rsidRPr="00D65AED">
        <w:t>,</w:t>
      </w:r>
      <w:r w:rsidRPr="00D65AED">
        <w:rPr>
          <w:rFonts w:hint="eastAsia"/>
        </w:rPr>
        <w:t>962萬餘元，徵起比率約39.21%；經檢視各分署是類案件徵起情形，法務部行政執行署士林分署徵起比率達六成餘居冠，其次為新竹分署及臺北分署徵起比率為五成餘外，其餘徵起比率均未及五成。請法務部行政執行署於3個月內向立法院司法及法制委員會提出書面報告。</w:t>
      </w:r>
    </w:p>
    <w:p w14:paraId="7CCA2844" w14:textId="77777777" w:rsidR="00421BB5" w:rsidRPr="00D65AED" w:rsidRDefault="00421BB5" w:rsidP="00421BB5">
      <w:pPr>
        <w:pStyle w:val="2-1"/>
      </w:pPr>
      <w:r w:rsidRPr="00D65AED">
        <w:rPr>
          <w:rFonts w:hint="eastAsia"/>
        </w:rPr>
        <w:t xml:space="preserve">提案人：曾銘宗 林思銘 陳以信 </w:t>
      </w:r>
    </w:p>
    <w:p w14:paraId="7277C5CA" w14:textId="77777777" w:rsidR="00421BB5" w:rsidRPr="00D65AED" w:rsidRDefault="00421BB5" w:rsidP="00421BB5">
      <w:pPr>
        <w:pStyle w:val="0-"/>
        <w:rPr>
          <w:rStyle w:val="0-0"/>
        </w:rPr>
      </w:pPr>
      <w:r w:rsidRPr="00D65AED">
        <w:t>(</w:t>
      </w:r>
      <w:r w:rsidRPr="00D65AED">
        <w:rPr>
          <w:rFonts w:hint="eastAsia"/>
        </w:rPr>
        <w:t>四</w:t>
      </w:r>
      <w:r w:rsidRPr="00D65AED">
        <w:t>)</w:t>
      </w:r>
      <w:r w:rsidRPr="00D65AED">
        <w:rPr>
          <w:rFonts w:hint="eastAsia"/>
        </w:rPr>
        <w:t>11</w:t>
      </w:r>
      <w:r w:rsidRPr="00D65AED">
        <w:t>2</w:t>
      </w:r>
      <w:r w:rsidRPr="00D65AED">
        <w:rPr>
          <w:rFonts w:hint="eastAsia"/>
        </w:rPr>
        <w:t>年度法務部行政執行署及所屬歲出預算，司法支出「執行案件處理」編列14億1</w:t>
      </w:r>
      <w:r w:rsidRPr="00D65AED">
        <w:t>,</w:t>
      </w:r>
      <w:r w:rsidRPr="00D65AED">
        <w:rPr>
          <w:rFonts w:hint="eastAsia"/>
        </w:rPr>
        <w:t>167萬4千元。依審計部中央政府總決算審核報告指出，截至110年底止，滯欠大戶未結案件仍有565件，待執行金額為658億餘元，占全部行政執行未結案件待執行金額1</w:t>
      </w:r>
      <w:r w:rsidRPr="00D65AED">
        <w:t>,323</w:t>
      </w:r>
      <w:r w:rsidRPr="00D65AED">
        <w:rPr>
          <w:rFonts w:hint="eastAsia"/>
        </w:rPr>
        <w:t>億餘元之49.74%，且排名前10名之滯欠大戶義務人待執行金額占全部待執行金額13.53%，執行期間將於115至124年間陸續屆滿。請法務部行政執行署於3個月內就問題癥結，研謀改善，向立法院司法及法制委員會提出書面報告。</w:t>
      </w:r>
    </w:p>
    <w:p w14:paraId="77EBD7C8" w14:textId="77777777" w:rsidR="00421BB5" w:rsidRPr="00D65AED" w:rsidRDefault="00421BB5" w:rsidP="00421BB5">
      <w:pPr>
        <w:pStyle w:val="2-1"/>
      </w:pPr>
      <w:r w:rsidRPr="00D65AED">
        <w:rPr>
          <w:rFonts w:hint="eastAsia"/>
        </w:rPr>
        <w:t>提案人：曾銘宗 林思銘 陳以信</w:t>
      </w:r>
    </w:p>
    <w:p w14:paraId="2DC2082C" w14:textId="77777777" w:rsidR="00421BB5" w:rsidRPr="00D65AED" w:rsidRDefault="00421BB5" w:rsidP="00421BB5">
      <w:pPr>
        <w:pStyle w:val="0-"/>
      </w:pPr>
      <w:r w:rsidRPr="00D65AED">
        <w:t>(</w:t>
      </w:r>
      <w:r w:rsidRPr="00D65AED">
        <w:rPr>
          <w:rFonts w:hint="eastAsia"/>
        </w:rPr>
        <w:t>五</w:t>
      </w:r>
      <w:r w:rsidRPr="00D65AED">
        <w:t>)</w:t>
      </w:r>
      <w:r w:rsidRPr="00D65AED">
        <w:rPr>
          <w:rFonts w:hint="eastAsia"/>
        </w:rPr>
        <w:t>截止至111年4月底為止，法務部行政執行署及所屬列管滯欠大戶義務人前10名待執行金額累計約180億元左右，另外截</w:t>
      </w:r>
      <w:r w:rsidRPr="00D65AED">
        <w:rPr>
          <w:rFonts w:hint="eastAsia"/>
        </w:rPr>
        <w:lastRenderedPageBreak/>
        <w:t>至111年6月底滯欠大戶列管人數577人，待執行金額634億8,829萬7,124元；另從110年1月至111年6月底為止，已清償98億9,804萬1,056元，占行政執行案件徵起金額(394億7,545萬9,021元)25%，現行加強執行滯欠大戶精進措施之徵起成效仍屬有限。為維護公法債權，行政執行署應就問題癥結，檢討分析成因妥為因應處理，以提升滯欠大戶之執行成效。</w:t>
      </w:r>
    </w:p>
    <w:p w14:paraId="07C044D9" w14:textId="77777777" w:rsidR="00421BB5" w:rsidRPr="00D65AED" w:rsidRDefault="00421BB5" w:rsidP="00421BB5">
      <w:pPr>
        <w:pStyle w:val="0-2"/>
        <w:rPr>
          <w:rStyle w:val="0-0"/>
        </w:rPr>
      </w:pPr>
      <w:r w:rsidRPr="00D65AED">
        <w:rPr>
          <w:rFonts w:hint="eastAsia"/>
        </w:rPr>
        <w:t>綜上所述，請法務部行政執行署於3個月內提出強化執行滯欠大戶措施並向立法院司法及法制委員會與提案委員提出書面報告。</w:t>
      </w:r>
    </w:p>
    <w:p w14:paraId="761DE988" w14:textId="77777777" w:rsidR="00421BB5" w:rsidRPr="00D65AED" w:rsidRDefault="00421BB5" w:rsidP="00421BB5">
      <w:pPr>
        <w:pStyle w:val="2-1"/>
      </w:pPr>
      <w:r w:rsidRPr="00D65AED">
        <w:rPr>
          <w:rStyle w:val="0-0"/>
          <w:rFonts w:hint="eastAsia"/>
        </w:rPr>
        <w:t>提案人：黃世杰 江永昌 陳歐珀</w:t>
      </w:r>
    </w:p>
    <w:p w14:paraId="74950927" w14:textId="77777777" w:rsidR="00421BB5" w:rsidRPr="00D65AED" w:rsidRDefault="00421BB5" w:rsidP="00421BB5">
      <w:pPr>
        <w:pStyle w:val="0-"/>
      </w:pPr>
      <w:r w:rsidRPr="00D65AED">
        <w:t>(</w:t>
      </w:r>
      <w:r w:rsidRPr="00D65AED">
        <w:rPr>
          <w:rFonts w:hint="eastAsia"/>
        </w:rPr>
        <w:t>六</w:t>
      </w:r>
      <w:r w:rsidRPr="00D65AED">
        <w:t>)據</w:t>
      </w:r>
      <w:r w:rsidRPr="00D65AED">
        <w:rPr>
          <w:lang w:eastAsia="zh-HK"/>
        </w:rPr>
        <w:t>法務部</w:t>
      </w:r>
      <w:r w:rsidRPr="00D65AED">
        <w:t>行政執行署統計，截至110年底止滯欠大戶未結案件仍有565件，待執行金額為658億餘元，占全部行政執行未結案件待執行金額1,323億餘元之49.74</w:t>
      </w:r>
      <w:r w:rsidRPr="00D65AED">
        <w:rPr>
          <w:rFonts w:hint="eastAsia"/>
        </w:rPr>
        <w:t>%</w:t>
      </w:r>
      <w:r w:rsidRPr="00D65AED">
        <w:t>，且排名前10名之滯欠大戶義務人待執行金額占全部待執行金額13.53</w:t>
      </w:r>
      <w:r w:rsidRPr="00D65AED">
        <w:rPr>
          <w:rFonts w:hint="eastAsia"/>
        </w:rPr>
        <w:t>%</w:t>
      </w:r>
      <w:r w:rsidRPr="00D65AED">
        <w:t>，執行期間將於115至124年間陸續屆滿，爰要求</w:t>
      </w:r>
      <w:r w:rsidRPr="00D65AED">
        <w:rPr>
          <w:lang w:eastAsia="zh-HK"/>
        </w:rPr>
        <w:t>法務部</w:t>
      </w:r>
      <w:r w:rsidRPr="00D65AED">
        <w:t>行政執行署</w:t>
      </w:r>
      <w:r w:rsidRPr="00D65AED">
        <w:rPr>
          <w:rFonts w:cs="標楷體" w:hint="eastAsia"/>
        </w:rPr>
        <w:t>加強辦理，積極運用查封財產、限制出境、聲請拘提管收等手段</w:t>
      </w:r>
      <w:r w:rsidRPr="00D65AED">
        <w:t>，以提升滯欠大戶之執行成效。</w:t>
      </w:r>
    </w:p>
    <w:p w14:paraId="148D1C06" w14:textId="77777777" w:rsidR="00421BB5" w:rsidRPr="00D65AED" w:rsidRDefault="00421BB5" w:rsidP="00421BB5">
      <w:pPr>
        <w:pStyle w:val="2-1"/>
      </w:pPr>
      <w:r w:rsidRPr="00D65AED">
        <w:t>提案人：</w:t>
      </w:r>
      <w:r w:rsidRPr="00D65AED">
        <w:rPr>
          <w:rFonts w:hint="eastAsia"/>
        </w:rPr>
        <w:t xml:space="preserve">林思銘 </w:t>
      </w:r>
    </w:p>
    <w:p w14:paraId="0478D997" w14:textId="77777777" w:rsidR="00421BB5" w:rsidRPr="00D65AED" w:rsidRDefault="00421BB5" w:rsidP="00421BB5">
      <w:pPr>
        <w:pStyle w:val="2-1"/>
      </w:pPr>
      <w:r w:rsidRPr="00D65AED">
        <w:rPr>
          <w:rFonts w:hint="eastAsia"/>
        </w:rPr>
        <w:t>連署人：游毓蘭 曾銘宗</w:t>
      </w:r>
    </w:p>
    <w:p w14:paraId="2B402D4E" w14:textId="77777777" w:rsidR="00421BB5" w:rsidRPr="00D65AED" w:rsidRDefault="00421BB5" w:rsidP="00421BB5">
      <w:pPr>
        <w:pStyle w:val="0-"/>
      </w:pPr>
      <w:r w:rsidRPr="00D65AED">
        <w:t>(</w:t>
      </w:r>
      <w:r w:rsidRPr="00D65AED">
        <w:rPr>
          <w:rFonts w:hint="eastAsia"/>
        </w:rPr>
        <w:t>七</w:t>
      </w:r>
      <w:r w:rsidRPr="00D65AED">
        <w:t>)</w:t>
      </w:r>
      <w:r w:rsidRPr="00D65AED">
        <w:rPr>
          <w:lang w:eastAsia="zh-HK"/>
        </w:rPr>
        <w:t>法務部</w:t>
      </w:r>
      <w:r w:rsidRPr="00D65AED">
        <w:t>行政執行署為因應各機關移送違反新型冠狀病毒肺炎疫情居家隔離及自主管理等裁罰案件，自109年1月30日起即成立防疫應變小組，強力執行防疫裁罰案件，並於110年度辦理4波「強力執行滯欠防疫案件罰鍰專案」。據該署統計，截至111年4月7日止，各執行分署應執行案件為814件，應執行金額1億2,656萬餘元，實際徵起金額4,962萬餘元，徵起比率約39.21</w:t>
      </w:r>
      <w:r w:rsidRPr="00D65AED">
        <w:rPr>
          <w:rFonts w:hint="eastAsia"/>
        </w:rPr>
        <w:t>%</w:t>
      </w:r>
      <w:r w:rsidRPr="00D65AED">
        <w:t>。鑑於新型冠狀病毒肺炎（COVID－19）疫情延燒，爰要求</w:t>
      </w:r>
      <w:r w:rsidRPr="00D65AED">
        <w:rPr>
          <w:lang w:eastAsia="zh-HK"/>
        </w:rPr>
        <w:t>法務部</w:t>
      </w:r>
      <w:r w:rsidRPr="00D65AED">
        <w:rPr>
          <w:rFonts w:cs="標楷體" w:hint="eastAsia"/>
        </w:rPr>
        <w:t>行政執行署持續加強辦理，積極扣押義務人財產，對金額較高或情節重大者，必要時予以限制出境或聲請拘提管收</w:t>
      </w:r>
      <w:r w:rsidRPr="00D65AED">
        <w:t>，以強化民眾守法意識。</w:t>
      </w:r>
    </w:p>
    <w:p w14:paraId="5816CCB2" w14:textId="77777777" w:rsidR="00421BB5" w:rsidRPr="00D65AED" w:rsidRDefault="00421BB5" w:rsidP="00421BB5">
      <w:pPr>
        <w:pStyle w:val="2-1"/>
      </w:pPr>
      <w:r w:rsidRPr="00D65AED">
        <w:t>提案人：</w:t>
      </w:r>
      <w:r w:rsidRPr="00D65AED">
        <w:rPr>
          <w:rFonts w:hint="eastAsia"/>
        </w:rPr>
        <w:t xml:space="preserve">林思銘 </w:t>
      </w:r>
    </w:p>
    <w:p w14:paraId="7DB7ADD0" w14:textId="77777777" w:rsidR="00421BB5" w:rsidRPr="00D65AED" w:rsidRDefault="00421BB5" w:rsidP="00421BB5">
      <w:pPr>
        <w:pStyle w:val="2-1"/>
      </w:pPr>
      <w:r w:rsidRPr="00D65AED">
        <w:rPr>
          <w:rFonts w:hint="eastAsia"/>
        </w:rPr>
        <w:t>連署人：游毓蘭 曾銘宗</w:t>
      </w:r>
    </w:p>
    <w:p w14:paraId="0A940D03" w14:textId="77777777" w:rsidR="00421BB5" w:rsidRPr="00A52F6B" w:rsidRDefault="00421BB5" w:rsidP="00A52F6B">
      <w:pPr>
        <w:spacing w:line="360" w:lineRule="exact"/>
        <w:ind w:left="594" w:hanging="311"/>
        <w:rPr>
          <w:rFonts w:ascii="標楷體" w:eastAsia="標楷體" w:hAnsi="標楷體"/>
          <w:sz w:val="28"/>
          <w:szCs w:val="28"/>
          <w:shd w:val="clear" w:color="auto" w:fill="FFFFFF"/>
        </w:rPr>
      </w:pPr>
      <w:r w:rsidRPr="00A52F6B">
        <w:rPr>
          <w:rFonts w:ascii="標楷體" w:eastAsia="標楷體" w:hAnsi="標楷體" w:hint="eastAsia"/>
          <w:sz w:val="28"/>
          <w:szCs w:val="28"/>
          <w:shd w:val="clear" w:color="auto" w:fill="FFFFFF"/>
        </w:rPr>
        <w:t>第7項　最高檢察署</w:t>
      </w:r>
      <w:r w:rsidRPr="00A52F6B">
        <w:rPr>
          <w:rFonts w:ascii="標楷體" w:eastAsia="標楷體" w:hAnsi="標楷體" w:hint="eastAsia"/>
          <w:sz w:val="28"/>
          <w:szCs w:val="28"/>
        </w:rPr>
        <w:t>1億9,691萬5千元</w:t>
      </w:r>
      <w:r w:rsidRPr="00A52F6B">
        <w:rPr>
          <w:rFonts w:ascii="標楷體" w:eastAsia="標楷體" w:hAnsi="標楷體" w:hint="eastAsia"/>
          <w:sz w:val="28"/>
          <w:szCs w:val="28"/>
          <w:shd w:val="clear" w:color="auto" w:fill="FFFFFF"/>
        </w:rPr>
        <w:t>，照列。</w:t>
      </w:r>
    </w:p>
    <w:p w14:paraId="6CC3D6B9" w14:textId="77777777" w:rsidR="00421BB5" w:rsidRPr="00A52F6B" w:rsidRDefault="00421BB5" w:rsidP="00A52F6B">
      <w:pPr>
        <w:spacing w:line="360" w:lineRule="exact"/>
        <w:ind w:left="594" w:hanging="311"/>
        <w:rPr>
          <w:rFonts w:ascii="標楷體" w:eastAsia="標楷體" w:hAnsi="標楷體"/>
          <w:sz w:val="28"/>
          <w:szCs w:val="28"/>
          <w:shd w:val="clear" w:color="auto" w:fill="FFFFFF"/>
        </w:rPr>
      </w:pPr>
      <w:r w:rsidRPr="00A52F6B">
        <w:rPr>
          <w:rFonts w:ascii="標楷體" w:eastAsia="標楷體" w:hAnsi="標楷體" w:hint="eastAsia"/>
          <w:sz w:val="28"/>
          <w:szCs w:val="28"/>
          <w:shd w:val="clear" w:color="auto" w:fill="FFFFFF"/>
        </w:rPr>
        <w:t>第8項　臺灣高等檢察署</w:t>
      </w:r>
      <w:r w:rsidRPr="00A52F6B">
        <w:rPr>
          <w:rFonts w:ascii="標楷體" w:eastAsia="標楷體" w:hAnsi="標楷體" w:hint="eastAsia"/>
          <w:sz w:val="28"/>
          <w:szCs w:val="28"/>
        </w:rPr>
        <w:t>21億8,885萬4千元</w:t>
      </w:r>
      <w:r w:rsidRPr="00A52F6B">
        <w:rPr>
          <w:rFonts w:ascii="標楷體" w:eastAsia="標楷體" w:hAnsi="標楷體" w:hint="eastAsia"/>
          <w:sz w:val="28"/>
          <w:szCs w:val="28"/>
          <w:shd w:val="clear" w:color="auto" w:fill="FFFFFF"/>
        </w:rPr>
        <w:t>，照列。</w:t>
      </w:r>
    </w:p>
    <w:p w14:paraId="30115E9C" w14:textId="77777777" w:rsidR="00421BB5" w:rsidRPr="00A52F6B" w:rsidRDefault="00421BB5" w:rsidP="009437ED">
      <w:pPr>
        <w:spacing w:line="360" w:lineRule="exact"/>
        <w:ind w:leftChars="119" w:left="1452" w:hangingChars="416" w:hanging="1166"/>
        <w:rPr>
          <w:rFonts w:ascii="標楷體" w:eastAsia="標楷體" w:hAnsi="標楷體"/>
          <w:b/>
          <w:sz w:val="28"/>
          <w:szCs w:val="28"/>
        </w:rPr>
      </w:pPr>
      <w:r w:rsidRPr="00A52F6B">
        <w:rPr>
          <w:rFonts w:ascii="標楷體" w:eastAsia="標楷體" w:hAnsi="標楷體" w:hint="eastAsia"/>
          <w:b/>
          <w:sz w:val="28"/>
          <w:szCs w:val="28"/>
        </w:rPr>
        <w:t>本項通過決議9項：</w:t>
      </w:r>
    </w:p>
    <w:p w14:paraId="256753A0" w14:textId="77777777" w:rsidR="00421BB5" w:rsidRPr="00D65AED" w:rsidRDefault="00421BB5" w:rsidP="00421BB5">
      <w:pPr>
        <w:pStyle w:val="0-"/>
        <w:rPr>
          <w:rStyle w:val="0-0"/>
        </w:rPr>
      </w:pPr>
      <w:r w:rsidRPr="00D65AED">
        <w:t>(</w:t>
      </w:r>
      <w:r w:rsidRPr="00D65AED">
        <w:rPr>
          <w:rFonts w:hint="eastAsia"/>
        </w:rPr>
        <w:t>一</w:t>
      </w:r>
      <w:r w:rsidRPr="00D65AED">
        <w:t>)</w:t>
      </w:r>
      <w:r w:rsidRPr="00D65AED">
        <w:rPr>
          <w:rFonts w:hint="eastAsia"/>
        </w:rPr>
        <w:t>11</w:t>
      </w:r>
      <w:r w:rsidRPr="00D65AED">
        <w:t>2</w:t>
      </w:r>
      <w:r w:rsidRPr="00D65AED">
        <w:rPr>
          <w:rFonts w:hint="eastAsia"/>
        </w:rPr>
        <w:t>年度臺灣高等檢察署歲出預算第2目「檢察業務」編列</w:t>
      </w:r>
      <w:r w:rsidRPr="00D65AED">
        <w:t>12</w:t>
      </w:r>
      <w:r w:rsidRPr="00D65AED">
        <w:rPr>
          <w:rFonts w:hint="eastAsia"/>
        </w:rPr>
        <w:t>億9,</w:t>
      </w:r>
      <w:r w:rsidRPr="00D65AED">
        <w:t>356</w:t>
      </w:r>
      <w:r w:rsidRPr="00D65AED">
        <w:rPr>
          <w:rFonts w:hint="eastAsia"/>
        </w:rPr>
        <w:t>萬3千元，凍結50萬元，俟向立法院司法及法制委員會提出書面報告後，始得動支。</w:t>
      </w:r>
    </w:p>
    <w:p w14:paraId="07FFE982" w14:textId="77777777" w:rsidR="00421BB5" w:rsidRPr="00D65AED" w:rsidRDefault="00421BB5" w:rsidP="00421BB5">
      <w:pPr>
        <w:pStyle w:val="2-1"/>
      </w:pPr>
      <w:r w:rsidRPr="00D65AED">
        <w:t>提案人：</w:t>
      </w:r>
      <w:r w:rsidRPr="00D65AED">
        <w:rPr>
          <w:rFonts w:hint="eastAsia"/>
        </w:rPr>
        <w:t>黃世杰 陳以信 江永昌 陳歐珀</w:t>
      </w:r>
    </w:p>
    <w:p w14:paraId="7FADE588" w14:textId="77777777" w:rsidR="00421BB5" w:rsidRPr="00D65AED" w:rsidRDefault="00421BB5" w:rsidP="00421BB5">
      <w:pPr>
        <w:pStyle w:val="2-1"/>
      </w:pPr>
      <w:r w:rsidRPr="00D65AED">
        <w:rPr>
          <w:rFonts w:hint="eastAsia"/>
        </w:rPr>
        <w:t>連署人：林思銘 游毓蘭</w:t>
      </w:r>
    </w:p>
    <w:p w14:paraId="4D4B9348" w14:textId="77777777" w:rsidR="00421BB5" w:rsidRPr="00D65AED" w:rsidRDefault="00421BB5" w:rsidP="00421BB5">
      <w:pPr>
        <w:pStyle w:val="0-"/>
      </w:pPr>
      <w:r w:rsidRPr="00D65AED">
        <w:lastRenderedPageBreak/>
        <w:t>(</w:t>
      </w:r>
      <w:r w:rsidRPr="00D65AED">
        <w:rPr>
          <w:rFonts w:hint="eastAsia"/>
        </w:rPr>
        <w:t>二</w:t>
      </w:r>
      <w:r w:rsidRPr="00D65AED">
        <w:t>)</w:t>
      </w:r>
      <w:r w:rsidRPr="00D65AED">
        <w:rPr>
          <w:rFonts w:hint="eastAsia"/>
        </w:rPr>
        <w:t>查112年度臺灣高等檢察署歲出預算「檢察業務」編列12億9</w:t>
      </w:r>
      <w:r w:rsidRPr="00D65AED">
        <w:t>,</w:t>
      </w:r>
      <w:r w:rsidRPr="00D65AED">
        <w:rPr>
          <w:rFonts w:hint="eastAsia"/>
        </w:rPr>
        <w:t>356萬3千元，其中包括辦理強化社會安全網第二期計畫等業務。然依據「強化社會安全網第二期計畫」(110至114年)規劃，由衛生福利部籌設之司法精神病房將陸續設立，未來可提供較完整醫療資源及配置安全維護人力，以收治收監護處分人，惟司法精神病房設置進度未如預期，恐影響臺灣高等檢察署所編列精神耗弱刑事犯強制診療及相關維安人力等經費之執行，爰請臺灣高等檢察署每月定期與衛生福利部承辦單位連繫，以確認司法精神病房成立進度。</w:t>
      </w:r>
    </w:p>
    <w:p w14:paraId="675E1B2D" w14:textId="77777777" w:rsidR="00421BB5" w:rsidRPr="00D65AED" w:rsidRDefault="00421BB5" w:rsidP="00421BB5">
      <w:pPr>
        <w:pStyle w:val="2-1"/>
      </w:pPr>
      <w:r w:rsidRPr="00D65AED">
        <w:t>提案人：</w:t>
      </w:r>
      <w:r w:rsidRPr="00D65AED">
        <w:rPr>
          <w:rFonts w:hint="eastAsia"/>
        </w:rPr>
        <w:t xml:space="preserve">陳玉珍 </w:t>
      </w:r>
    </w:p>
    <w:p w14:paraId="20458E60" w14:textId="77777777" w:rsidR="00421BB5" w:rsidRPr="00D65AED" w:rsidRDefault="00421BB5" w:rsidP="00421BB5">
      <w:pPr>
        <w:pStyle w:val="2-1"/>
      </w:pPr>
      <w:r w:rsidRPr="00D65AED">
        <w:rPr>
          <w:rFonts w:hint="eastAsia"/>
        </w:rPr>
        <w:t>連署人：游毓蘭 林思銘</w:t>
      </w:r>
    </w:p>
    <w:p w14:paraId="2773CA79" w14:textId="77777777" w:rsidR="00421BB5" w:rsidRPr="00D65AED" w:rsidRDefault="00421BB5" w:rsidP="00421BB5">
      <w:pPr>
        <w:pStyle w:val="0-"/>
      </w:pPr>
      <w:r w:rsidRPr="00D65AED">
        <w:t>(</w:t>
      </w:r>
      <w:r w:rsidRPr="00D65AED">
        <w:rPr>
          <w:rFonts w:hint="eastAsia"/>
        </w:rPr>
        <w:t>三</w:t>
      </w:r>
      <w:r w:rsidRPr="00D65AED">
        <w:t>)</w:t>
      </w:r>
      <w:r w:rsidRPr="00D65AED">
        <w:rPr>
          <w:rFonts w:hint="eastAsia"/>
        </w:rPr>
        <w:t>查112年度臺灣高等檢察署歲出預算「檢察業務」編列12億9</w:t>
      </w:r>
      <w:r w:rsidRPr="00D65AED">
        <w:t>,</w:t>
      </w:r>
      <w:r w:rsidRPr="00D65AED">
        <w:rPr>
          <w:rFonts w:hint="eastAsia"/>
        </w:rPr>
        <w:t>356萬3千元，其中包括辦理刑事案件偵查及執行等業務。然為因應刑事訴訟法關於防逃新制之實施，依據法務部與司法院之共識，委由臺灣高等檢察署規劃及建置科技設備監控中心。惟實際接受科技設備監控之被告人數累計迄未達10人，相關監控設備長期閒置導致無謂損耗，現又擬採購其他科技監控設備，恐有預算浪費之虞，爰請臺灣高等檢察署於6個月內就提升監控人數及減少設備因閒置導致損耗之措施，向立法院司法及法制委員會提出書面報告。</w:t>
      </w:r>
    </w:p>
    <w:p w14:paraId="202B5661" w14:textId="77777777" w:rsidR="00421BB5" w:rsidRPr="00D65AED" w:rsidRDefault="00421BB5" w:rsidP="00421BB5">
      <w:pPr>
        <w:pStyle w:val="2-1"/>
      </w:pPr>
      <w:r w:rsidRPr="00D65AED">
        <w:t>提案人：</w:t>
      </w:r>
      <w:r w:rsidRPr="00D65AED">
        <w:rPr>
          <w:rFonts w:hint="eastAsia"/>
        </w:rPr>
        <w:t xml:space="preserve">陳玉珍 </w:t>
      </w:r>
    </w:p>
    <w:p w14:paraId="399D9996" w14:textId="77777777" w:rsidR="00421BB5" w:rsidRPr="00D65AED" w:rsidRDefault="00421BB5" w:rsidP="00421BB5">
      <w:pPr>
        <w:pStyle w:val="2-1"/>
      </w:pPr>
      <w:r w:rsidRPr="00D65AED">
        <w:rPr>
          <w:rFonts w:hint="eastAsia"/>
        </w:rPr>
        <w:t>連署人：游毓蘭 林思銘</w:t>
      </w:r>
    </w:p>
    <w:p w14:paraId="6E19DADE" w14:textId="77777777" w:rsidR="00421BB5" w:rsidRPr="00D65AED" w:rsidRDefault="00421BB5" w:rsidP="00421BB5">
      <w:pPr>
        <w:pStyle w:val="0-"/>
      </w:pPr>
      <w:r w:rsidRPr="00D65AED">
        <w:t>(</w:t>
      </w:r>
      <w:r w:rsidRPr="00D65AED">
        <w:rPr>
          <w:rFonts w:hint="eastAsia"/>
        </w:rPr>
        <w:t>四</w:t>
      </w:r>
      <w:r w:rsidRPr="00D65AED">
        <w:t>)</w:t>
      </w:r>
      <w:r w:rsidRPr="00D65AED">
        <w:rPr>
          <w:rFonts w:hint="eastAsia"/>
        </w:rPr>
        <w:t>行政院於110年7月29日核定強化社會安全網第二期計畫，其中臺灣高等檢察署所分配之經費總計34億6,135萬2千元，分5年辦理，110年度編列2</w:t>
      </w:r>
      <w:r w:rsidRPr="00D65AED">
        <w:t>,</w:t>
      </w:r>
      <w:r w:rsidRPr="00D65AED">
        <w:rPr>
          <w:rFonts w:hint="eastAsia"/>
        </w:rPr>
        <w:t>460萬8千元，111年度編列4億3</w:t>
      </w:r>
      <w:r w:rsidRPr="00D65AED">
        <w:t>,</w:t>
      </w:r>
      <w:r w:rsidRPr="00D65AED">
        <w:rPr>
          <w:rFonts w:hint="eastAsia"/>
        </w:rPr>
        <w:t>623萬2千元，112年度編列第3年經費6億2</w:t>
      </w:r>
      <w:r w:rsidRPr="00D65AED">
        <w:t>,</w:t>
      </w:r>
      <w:r w:rsidRPr="00D65AED">
        <w:rPr>
          <w:rFonts w:hint="eastAsia"/>
        </w:rPr>
        <w:t>600萬9千元；而112年度編列之預算，其中有4億2</w:t>
      </w:r>
      <w:r w:rsidRPr="00D65AED">
        <w:t>,</w:t>
      </w:r>
      <w:r w:rsidRPr="00D65AED">
        <w:rPr>
          <w:rFonts w:hint="eastAsia"/>
        </w:rPr>
        <w:t>414萬8千元用於精神耗弱刑事犯強制診療等相關經費。</w:t>
      </w:r>
    </w:p>
    <w:p w14:paraId="70EE6C82" w14:textId="77777777" w:rsidR="00421BB5" w:rsidRPr="00D65AED" w:rsidRDefault="00421BB5" w:rsidP="00421BB5">
      <w:pPr>
        <w:pStyle w:val="0-2"/>
      </w:pPr>
      <w:r w:rsidRPr="00D65AED">
        <w:rPr>
          <w:rFonts w:hint="eastAsia"/>
        </w:rPr>
        <w:t>查臺灣高等檢察署於111年6月7日函請所屬地方檢察署向配合執行監護處分之醫療機構宣導，有關執行監護處分之醫療費用，不採健保給付，而改以衛生福利部109年12月30日函所附之費用估算表來給付。惟強化社會安全網第二期計畫既已於110年7月29日核定，預算亦有逐年撥付，何故111年6月7日尚須發函向配合執行監護處分之醫療機構宣導?再者，配合執行監護處分之醫療機構雖被告知執行監護處分之醫療費用增加，經費核銷過程卻過於冗長，致使醫療機構申報之意願大幅降低，顯有檢討必要。</w:t>
      </w:r>
    </w:p>
    <w:p w14:paraId="05C5ACCB" w14:textId="77777777" w:rsidR="00421BB5" w:rsidRPr="00D65AED" w:rsidRDefault="00421BB5" w:rsidP="00421BB5">
      <w:pPr>
        <w:pStyle w:val="0-2"/>
      </w:pPr>
      <w:r w:rsidRPr="00D65AED">
        <w:rPr>
          <w:rFonts w:hint="eastAsia"/>
        </w:rPr>
        <w:t>爰此，請臺灣高等檢察署就執行監護處分醫療費用之核銷撥付，提出改進方案，並向立法院司法及法制委員會與提案委員提出書面報告。</w:t>
      </w:r>
    </w:p>
    <w:p w14:paraId="0B829B13" w14:textId="77777777" w:rsidR="00421BB5" w:rsidRPr="00D65AED" w:rsidRDefault="00421BB5" w:rsidP="00421BB5">
      <w:pPr>
        <w:pStyle w:val="2-1"/>
      </w:pPr>
      <w:r w:rsidRPr="00D65AED">
        <w:lastRenderedPageBreak/>
        <w:t>提案人：</w:t>
      </w:r>
      <w:r w:rsidRPr="00D65AED">
        <w:rPr>
          <w:rFonts w:hint="eastAsia"/>
        </w:rPr>
        <w:t>江永昌 黃世杰 陳歐珀 吳玉琴</w:t>
      </w:r>
    </w:p>
    <w:p w14:paraId="2C83EBA4" w14:textId="77777777" w:rsidR="00421BB5" w:rsidRPr="00D65AED" w:rsidRDefault="00421BB5" w:rsidP="00421BB5">
      <w:pPr>
        <w:pStyle w:val="0-"/>
      </w:pPr>
      <w:r w:rsidRPr="00D65AED">
        <w:t>(</w:t>
      </w:r>
      <w:r w:rsidRPr="00D65AED">
        <w:rPr>
          <w:rFonts w:hint="eastAsia"/>
        </w:rPr>
        <w:t>五</w:t>
      </w:r>
      <w:r w:rsidRPr="00D65AED">
        <w:t>)</w:t>
      </w:r>
      <w:r w:rsidRPr="00D65AED">
        <w:rPr>
          <w:rFonts w:hint="eastAsia"/>
        </w:rPr>
        <w:t>112年度臺灣高等檢察署歲出預算「檢察業務」項下「辦理刑事案件偵查及執行等業務」編列6億5</w:t>
      </w:r>
      <w:r w:rsidRPr="00D65AED">
        <w:t>,</w:t>
      </w:r>
      <w:r w:rsidRPr="00D65AED">
        <w:rPr>
          <w:rFonts w:hint="eastAsia"/>
        </w:rPr>
        <w:t>210萬7千元。</w:t>
      </w:r>
      <w:r w:rsidRPr="00D65AED">
        <w:t>詐騙集團猖獗，警方統計111年就發生4萬多件詐騙案，金額高達50億</w:t>
      </w:r>
      <w:r w:rsidRPr="00D65AED">
        <w:rPr>
          <w:rFonts w:hint="eastAsia"/>
        </w:rPr>
        <w:t>元</w:t>
      </w:r>
      <w:r w:rsidRPr="00D65AED">
        <w:t>，</w:t>
      </w:r>
      <w:r w:rsidRPr="00D65AED">
        <w:rPr>
          <w:rFonts w:hint="eastAsia"/>
        </w:rPr>
        <w:t>為強化檢警聯手打擊詐欺作為，臺高檢應提供第一線查緝詐欺之警察機關更多之協助，期能於案發第一時間掌握各項犯罪事證、減少被害人財產損失。爰請臺灣高等檢察署就此研議相關精進作為，向立法院司法及法制委員會提出書面報告。</w:t>
      </w:r>
    </w:p>
    <w:p w14:paraId="5BF3ADD8" w14:textId="77777777" w:rsidR="00421BB5" w:rsidRPr="00D65AED" w:rsidRDefault="00421BB5" w:rsidP="00421BB5">
      <w:pPr>
        <w:pStyle w:val="2-1"/>
      </w:pPr>
      <w:r w:rsidRPr="00D65AED">
        <w:t>提案人：</w:t>
      </w:r>
      <w:r w:rsidRPr="00D65AED">
        <w:rPr>
          <w:rFonts w:hint="eastAsia"/>
        </w:rPr>
        <w:t>游毓蘭 林思銘 陳玉珍</w:t>
      </w:r>
    </w:p>
    <w:p w14:paraId="2E612B4F" w14:textId="77777777" w:rsidR="00421BB5" w:rsidRPr="00D65AED" w:rsidRDefault="00421BB5" w:rsidP="00421BB5">
      <w:pPr>
        <w:pStyle w:val="0-"/>
      </w:pPr>
      <w:r w:rsidRPr="00D65AED">
        <w:t>(</w:t>
      </w:r>
      <w:r w:rsidRPr="00D65AED">
        <w:rPr>
          <w:rFonts w:hint="eastAsia"/>
        </w:rPr>
        <w:t>六</w:t>
      </w:r>
      <w:r w:rsidRPr="00D65AED">
        <w:t>)</w:t>
      </w:r>
      <w:r w:rsidRPr="00D65AED">
        <w:rPr>
          <w:rFonts w:hint="eastAsia"/>
        </w:rPr>
        <w:t>在台鐵殺警案後，警察同仁執勤安全備受重視，同時111年又有台南殺警案，因此警察同仁執勤時，可否有精良配備防身，政府機關必須慎重看待，然而查法務部各級地方檢察署，配給辣椒水設備，竟查無相關備品資料，並且發覺基層法警同仁對於辣椒水的使用效期、補充，完全不知。且亦有基層反映，諸如警棍良率、電擊槍(棒)配給等裝備問題，顯然法務部在此，有相當不足之處，為此針對法警設備良率問題，請法務部重新進行盤點，並提出檢討措施，諸如：明確訂定地檢署庫存量、進行警棍、設備等良率調查等。</w:t>
      </w:r>
    </w:p>
    <w:p w14:paraId="60C7487E" w14:textId="77777777" w:rsidR="00421BB5" w:rsidRPr="00D65AED" w:rsidRDefault="00421BB5" w:rsidP="00421BB5">
      <w:pPr>
        <w:pStyle w:val="0-2"/>
      </w:pPr>
      <w:r w:rsidRPr="00D65AED">
        <w:rPr>
          <w:rFonts w:hint="eastAsia"/>
        </w:rPr>
        <w:t>爰此請臺灣高等檢察署積極督導各級檢察機關依實際需求，添購符合實際執勤需要之法警設備，並定期維護法警裝備之妥善狀況及落實法警教育訓練，以降低執勤之風險。</w:t>
      </w:r>
    </w:p>
    <w:p w14:paraId="5834FEF6" w14:textId="77777777" w:rsidR="00421BB5" w:rsidRPr="00D65AED" w:rsidRDefault="00421BB5" w:rsidP="00421BB5">
      <w:pPr>
        <w:pStyle w:val="2-1"/>
      </w:pPr>
      <w:r w:rsidRPr="00D65AED">
        <w:t>提案人：</w:t>
      </w:r>
      <w:r w:rsidRPr="00D65AED">
        <w:rPr>
          <w:rFonts w:hint="eastAsia"/>
        </w:rPr>
        <w:t xml:space="preserve">劉建國 陳歐珀 黃世杰 </w:t>
      </w:r>
    </w:p>
    <w:p w14:paraId="04260082" w14:textId="77777777" w:rsidR="00421BB5" w:rsidRPr="00D65AED" w:rsidRDefault="00421BB5" w:rsidP="00421BB5">
      <w:pPr>
        <w:pStyle w:val="0-"/>
        <w:rPr>
          <w:rStyle w:val="0-0"/>
        </w:rPr>
      </w:pPr>
      <w:r w:rsidRPr="00D65AED">
        <w:t>(</w:t>
      </w:r>
      <w:r w:rsidRPr="00D65AED">
        <w:rPr>
          <w:rFonts w:hint="eastAsia"/>
        </w:rPr>
        <w:t>七</w:t>
      </w:r>
      <w:r w:rsidRPr="00D65AED">
        <w:t>)</w:t>
      </w:r>
      <w:r w:rsidRPr="00D65AED">
        <w:rPr>
          <w:rFonts w:hint="eastAsia"/>
        </w:rPr>
        <w:t>112年度臺灣高等檢察署歲出預算「檢察業務」項下「辦理刑事案件偵察及執行等業務」編列6億5,210萬7千元。依刑罰執行手冊之規定，受刑人可因戶籍遷徙，聲請囑託其他檢察署執行，惟矯正人力不足，倘受刑人以戶籍遷徙為由，聲請囑託執行，是否會造成矯正機關戒管失衡，例如宜蘭監獄核定容額：3</w:t>
      </w:r>
      <w:r w:rsidRPr="00D65AED">
        <w:t>,</w:t>
      </w:r>
      <w:r w:rsidRPr="00D65AED">
        <w:rPr>
          <w:rFonts w:hint="eastAsia"/>
        </w:rPr>
        <w:t>171人，實際收容：3</w:t>
      </w:r>
      <w:r w:rsidRPr="00D65AED">
        <w:t>,</w:t>
      </w:r>
      <w:r w:rsidRPr="00D65AED">
        <w:rPr>
          <w:rFonts w:hint="eastAsia"/>
        </w:rPr>
        <w:t>413人，超收率：7.63%，而許多政治名人、社運人士等等，突然於刑案執行前遷徙戶籍至宜蘭，而囑託宜蘭地檢執行，是否允當，爰請臺灣高等檢察署研議就矯正目的及人權保障間，有關受刑人以遷徙戶籍為由聲請囑託執行是否有違刑罰目的，向立法院司法及法制委員會於3個月內提出書面報告。</w:t>
      </w:r>
    </w:p>
    <w:p w14:paraId="40EE263C" w14:textId="77777777" w:rsidR="00421BB5" w:rsidRPr="00D65AED" w:rsidRDefault="00421BB5" w:rsidP="00421BB5">
      <w:pPr>
        <w:pStyle w:val="2-1"/>
      </w:pPr>
      <w:r w:rsidRPr="00D65AED">
        <w:t>提案人：</w:t>
      </w:r>
      <w:r w:rsidRPr="00D65AED">
        <w:rPr>
          <w:rFonts w:hint="eastAsia"/>
        </w:rPr>
        <w:t>游毓蘭 林思銘 陳玉珍</w:t>
      </w:r>
    </w:p>
    <w:p w14:paraId="0B3DAFAE" w14:textId="77777777" w:rsidR="00421BB5" w:rsidRPr="00D65AED" w:rsidRDefault="00421BB5" w:rsidP="00421BB5">
      <w:pPr>
        <w:pStyle w:val="0-"/>
      </w:pPr>
      <w:r w:rsidRPr="00D65AED">
        <w:t>(</w:t>
      </w:r>
      <w:r w:rsidRPr="00D65AED">
        <w:rPr>
          <w:rFonts w:hint="eastAsia"/>
        </w:rPr>
        <w:t>八</w:t>
      </w:r>
      <w:r w:rsidRPr="00D65AED">
        <w:t>)為解決被告逃匿問題，臺</w:t>
      </w:r>
      <w:r w:rsidRPr="00D65AED">
        <w:rPr>
          <w:rFonts w:hint="eastAsia"/>
        </w:rPr>
        <w:t>灣</w:t>
      </w:r>
      <w:r w:rsidRPr="00D65AED">
        <w:t>高</w:t>
      </w:r>
      <w:r w:rsidRPr="00D65AED">
        <w:rPr>
          <w:rFonts w:hint="eastAsia"/>
        </w:rPr>
        <w:t>等</w:t>
      </w:r>
      <w:r w:rsidRPr="00D65AED">
        <w:t>檢</w:t>
      </w:r>
      <w:r w:rsidRPr="00D65AED">
        <w:rPr>
          <w:rFonts w:hint="eastAsia"/>
        </w:rPr>
        <w:t>察署</w:t>
      </w:r>
      <w:r w:rsidRPr="00D65AED">
        <w:t>已建置科技設備監控中心，但因監控案件數偏少，致科技監控設備及人力多閒置，爰要求臺</w:t>
      </w:r>
      <w:r w:rsidRPr="00D65AED">
        <w:rPr>
          <w:rFonts w:hint="eastAsia"/>
        </w:rPr>
        <w:t>灣</w:t>
      </w:r>
      <w:r w:rsidRPr="00D65AED">
        <w:t>高</w:t>
      </w:r>
      <w:r w:rsidRPr="00D65AED">
        <w:rPr>
          <w:rFonts w:hint="eastAsia"/>
        </w:rPr>
        <w:t>等</w:t>
      </w:r>
      <w:r w:rsidRPr="00D65AED">
        <w:t>檢</w:t>
      </w:r>
      <w:r w:rsidRPr="00D65AED">
        <w:rPr>
          <w:rFonts w:hint="eastAsia"/>
        </w:rPr>
        <w:t>察署</w:t>
      </w:r>
      <w:r w:rsidRPr="00D65AED">
        <w:t>於6個月內向立法院司法及法制委員會提出如何加強宣導善用科技設備</w:t>
      </w:r>
      <w:r w:rsidRPr="00D65AED">
        <w:rPr>
          <w:rFonts w:hint="eastAsia"/>
        </w:rPr>
        <w:t>書面報告</w:t>
      </w:r>
      <w:r w:rsidRPr="00D65AED">
        <w:t>，確保國家刑罰權有效行使。</w:t>
      </w:r>
    </w:p>
    <w:p w14:paraId="58895E8E" w14:textId="77777777" w:rsidR="00421BB5" w:rsidRPr="00D65AED" w:rsidRDefault="00421BB5" w:rsidP="00421BB5">
      <w:pPr>
        <w:pStyle w:val="2-1"/>
      </w:pPr>
      <w:r w:rsidRPr="00D65AED">
        <w:lastRenderedPageBreak/>
        <w:t>提案人：</w:t>
      </w:r>
      <w:r w:rsidRPr="00D65AED">
        <w:rPr>
          <w:rFonts w:hint="eastAsia"/>
        </w:rPr>
        <w:t xml:space="preserve">林思銘 </w:t>
      </w:r>
    </w:p>
    <w:p w14:paraId="28FD5E34" w14:textId="77777777" w:rsidR="00421BB5" w:rsidRPr="00D65AED" w:rsidRDefault="00421BB5" w:rsidP="00421BB5">
      <w:pPr>
        <w:pStyle w:val="2-1"/>
      </w:pPr>
      <w:r w:rsidRPr="00D65AED">
        <w:rPr>
          <w:rFonts w:hint="eastAsia"/>
        </w:rPr>
        <w:t>連署人：游毓蘭 曾銘宗</w:t>
      </w:r>
    </w:p>
    <w:p w14:paraId="1B13CAF5" w14:textId="77777777" w:rsidR="00421BB5" w:rsidRPr="00D65AED" w:rsidRDefault="00421BB5" w:rsidP="00421BB5">
      <w:pPr>
        <w:pStyle w:val="0-"/>
        <w:rPr>
          <w:rStyle w:val="0-0"/>
        </w:rPr>
      </w:pPr>
      <w:r w:rsidRPr="00D65AED">
        <w:t>(</w:t>
      </w:r>
      <w:r w:rsidRPr="00D65AED">
        <w:rPr>
          <w:rFonts w:hint="eastAsia"/>
        </w:rPr>
        <w:t>九</w:t>
      </w:r>
      <w:r w:rsidRPr="00D65AED">
        <w:t>)</w:t>
      </w:r>
      <w:r w:rsidRPr="00D65AED">
        <w:rPr>
          <w:rFonts w:hint="eastAsia"/>
        </w:rPr>
        <w:t>112年度</w:t>
      </w:r>
      <w:r w:rsidRPr="00D65AED">
        <w:t>臺</w:t>
      </w:r>
      <w:r w:rsidRPr="00D65AED">
        <w:rPr>
          <w:rFonts w:hint="eastAsia"/>
        </w:rPr>
        <w:t>灣高等檢察署歲出預算「檢察業務」項下「辦理刑事案件偵查及執行等業務」中「一般事務費」之「辦理詐欺案件不法所得之查扣、變價經費」編列229萬元，用於辦理詐欺案件不法所得之查扣、變價。然而海外求職詐騙案的情況，111年有向</w:t>
      </w:r>
      <w:r w:rsidRPr="00D65AED">
        <w:t>臺</w:t>
      </w:r>
      <w:r w:rsidRPr="00D65AED">
        <w:rPr>
          <w:rFonts w:hint="eastAsia"/>
        </w:rPr>
        <w:t>灣本土發展的情況，11月初淡水與中壢先後救出58人，卻仍有3人遇害，</w:t>
      </w:r>
      <w:r w:rsidRPr="00D65AED">
        <w:t>臺</w:t>
      </w:r>
      <w:r w:rsidRPr="00D65AED">
        <w:rPr>
          <w:rFonts w:hint="eastAsia"/>
        </w:rPr>
        <w:t>灣高等檢察署應即就如何遏止求職詐騙案在本土蔓延研擬方案。</w:t>
      </w:r>
    </w:p>
    <w:p w14:paraId="615DD937" w14:textId="77777777" w:rsidR="00421BB5" w:rsidRPr="00D65AED" w:rsidRDefault="00421BB5" w:rsidP="00421BB5">
      <w:pPr>
        <w:pStyle w:val="2-1"/>
      </w:pPr>
      <w:r w:rsidRPr="00D65AED">
        <w:t>提案人：</w:t>
      </w:r>
      <w:r w:rsidRPr="00D65AED">
        <w:rPr>
          <w:rFonts w:hint="eastAsia"/>
        </w:rPr>
        <w:t>陳以信</w:t>
      </w:r>
    </w:p>
    <w:p w14:paraId="6863065E" w14:textId="77777777" w:rsidR="00421BB5" w:rsidRPr="00D65AED" w:rsidRDefault="00421BB5" w:rsidP="00421BB5">
      <w:pPr>
        <w:pStyle w:val="2-1"/>
      </w:pPr>
      <w:r w:rsidRPr="00D65AED">
        <w:rPr>
          <w:rFonts w:hint="eastAsia"/>
        </w:rPr>
        <w:t>連署人：林思銘 游毓蘭</w:t>
      </w:r>
    </w:p>
    <w:p w14:paraId="39F839DD"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第9項　臺灣高等檢察署臺中檢察分署1億8,403萬7千元，照列。</w:t>
      </w:r>
    </w:p>
    <w:p w14:paraId="02D0947A"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第10項　臺灣高等檢察署臺南檢察分署1億4,024萬1千元，照列。</w:t>
      </w:r>
    </w:p>
    <w:p w14:paraId="16DCC0D9"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第11項　臺灣高等檢察署高雄檢察分署1億7,237萬2千元，照列。</w:t>
      </w:r>
    </w:p>
    <w:p w14:paraId="2DDF04F9"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第12項　臺灣高等檢察署花蓮檢察分署5,894萬元，照列。</w:t>
      </w:r>
    </w:p>
    <w:p w14:paraId="5FCEA184"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第13項　臺灣高等檢察署智慧財產檢察分署1,876萬1千元，照列。</w:t>
      </w:r>
    </w:p>
    <w:p w14:paraId="151735B9"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第14項　臺灣臺北地方檢察署11億8,801萬元，照列。</w:t>
      </w:r>
    </w:p>
    <w:p w14:paraId="3674BBD8"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第15項　臺灣士林地方檢察署5億5,066萬3千元，照列。</w:t>
      </w:r>
    </w:p>
    <w:p w14:paraId="37572BCE"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第16項　臺灣新北地方檢察署9億7,457萬3千元，照列。</w:t>
      </w:r>
    </w:p>
    <w:p w14:paraId="26384B9D"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第17項　臺灣桃園地方檢察署8億2,12</w:t>
      </w:r>
      <w:r w:rsidRPr="00A52F6B">
        <w:rPr>
          <w:rFonts w:ascii="標楷體" w:eastAsia="標楷體" w:hAnsi="標楷體"/>
          <w:sz w:val="28"/>
          <w:szCs w:val="28"/>
        </w:rPr>
        <w:t>2</w:t>
      </w:r>
      <w:r w:rsidRPr="00A52F6B">
        <w:rPr>
          <w:rFonts w:ascii="標楷體" w:eastAsia="標楷體" w:hAnsi="標楷體" w:hint="eastAsia"/>
          <w:sz w:val="28"/>
          <w:szCs w:val="28"/>
        </w:rPr>
        <w:t>萬2千元，照列。</w:t>
      </w:r>
    </w:p>
    <w:p w14:paraId="58B98E57"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第18項　臺灣新竹地方檢察署3億7,610萬8千元，照列。</w:t>
      </w:r>
    </w:p>
    <w:p w14:paraId="6196844F"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第19項　臺灣苗栗地方檢察署2億4,630萬5千元，照列。</w:t>
      </w:r>
    </w:p>
    <w:p w14:paraId="665EA955"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第20項　臺灣臺中地方檢察署10億7,179萬4千元，照列。</w:t>
      </w:r>
    </w:p>
    <w:p w14:paraId="58930B87"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第21項　臺灣南投地方檢察署2億3,173萬2千元，照列。</w:t>
      </w:r>
    </w:p>
    <w:p w14:paraId="1C2E183B" w14:textId="77777777" w:rsidR="00421BB5" w:rsidRPr="00A52F6B" w:rsidRDefault="00421BB5" w:rsidP="00A52F6B">
      <w:pPr>
        <w:spacing w:line="360" w:lineRule="exact"/>
        <w:ind w:leftChars="205" w:left="1450" w:hangingChars="342" w:hanging="958"/>
        <w:rPr>
          <w:rFonts w:ascii="標楷體" w:eastAsia="標楷體" w:hAnsi="標楷體"/>
          <w:sz w:val="28"/>
          <w:szCs w:val="28"/>
        </w:rPr>
      </w:pPr>
      <w:r w:rsidRPr="00A52F6B">
        <w:rPr>
          <w:rFonts w:ascii="標楷體" w:eastAsia="標楷體" w:hAnsi="標楷體" w:hint="eastAsia"/>
          <w:sz w:val="28"/>
          <w:szCs w:val="28"/>
        </w:rPr>
        <w:t>第22項　臺灣彰化地方檢察署9億5,</w:t>
      </w:r>
      <w:r w:rsidRPr="00A52F6B">
        <w:rPr>
          <w:rFonts w:ascii="標楷體" w:eastAsia="標楷體" w:hAnsi="標楷體"/>
          <w:sz w:val="28"/>
          <w:szCs w:val="28"/>
        </w:rPr>
        <w:t>104</w:t>
      </w:r>
      <w:r w:rsidRPr="00A52F6B">
        <w:rPr>
          <w:rFonts w:ascii="標楷體" w:eastAsia="標楷體" w:hAnsi="標楷體" w:hint="eastAsia"/>
          <w:sz w:val="28"/>
          <w:szCs w:val="28"/>
        </w:rPr>
        <w:t>萬5千元，照列。</w:t>
      </w:r>
    </w:p>
    <w:p w14:paraId="2F644F46" w14:textId="77777777" w:rsidR="00421BB5" w:rsidRPr="00A52F6B" w:rsidRDefault="00421BB5" w:rsidP="00A52F6B">
      <w:pPr>
        <w:spacing w:line="360" w:lineRule="exact"/>
        <w:ind w:leftChars="205" w:left="1451" w:hangingChars="342" w:hanging="959"/>
        <w:rPr>
          <w:rFonts w:ascii="標楷體" w:eastAsia="標楷體" w:hAnsi="標楷體"/>
          <w:b/>
          <w:sz w:val="28"/>
          <w:szCs w:val="28"/>
        </w:rPr>
      </w:pPr>
      <w:r w:rsidRPr="00A52F6B">
        <w:rPr>
          <w:rFonts w:ascii="標楷體" w:eastAsia="標楷體" w:hAnsi="標楷體" w:hint="eastAsia"/>
          <w:b/>
          <w:sz w:val="28"/>
          <w:szCs w:val="28"/>
        </w:rPr>
        <w:t>本項通過決議1項：</w:t>
      </w:r>
    </w:p>
    <w:p w14:paraId="364200FB" w14:textId="77777777" w:rsidR="00421BB5" w:rsidRPr="00D65AED" w:rsidRDefault="00421BB5" w:rsidP="00421BB5">
      <w:pPr>
        <w:pStyle w:val="0-"/>
      </w:pPr>
      <w:r w:rsidRPr="00D65AED">
        <w:t>(</w:t>
      </w:r>
      <w:r w:rsidRPr="00D65AED">
        <w:rPr>
          <w:rFonts w:hint="eastAsia"/>
        </w:rPr>
        <w:t>一</w:t>
      </w:r>
      <w:r w:rsidRPr="00D65AED">
        <w:t>)臺灣彰化地方檢察署辦理聯合辦公廳舍新建工程，以改善機關辦公環境，惟未依規定按月召開預算執行控管小組會議，確實控管辦理情形，亦未儘早洽請代辦機關通盤檢討工程經費合理性，肇致多次流標，耽延計畫執行進度，爰要求臺灣彰化地方檢察署於3個月內向立法院司法及法制委員會提出</w:t>
      </w:r>
      <w:r w:rsidRPr="00D65AED">
        <w:rPr>
          <w:rFonts w:hint="eastAsia"/>
        </w:rPr>
        <w:t>書面報告</w:t>
      </w:r>
      <w:r w:rsidRPr="00D65AED">
        <w:t>，以使聯合辦公廳舍新建工程順利進行。</w:t>
      </w:r>
    </w:p>
    <w:p w14:paraId="1D2C5AC7" w14:textId="77777777" w:rsidR="00421BB5" w:rsidRPr="00D65AED" w:rsidRDefault="00421BB5" w:rsidP="00421BB5">
      <w:pPr>
        <w:pStyle w:val="2-1"/>
      </w:pPr>
      <w:r w:rsidRPr="00D65AED">
        <w:t>提案人：</w:t>
      </w:r>
      <w:r w:rsidRPr="00D65AED">
        <w:rPr>
          <w:rFonts w:hint="eastAsia"/>
        </w:rPr>
        <w:t xml:space="preserve">林思銘 </w:t>
      </w:r>
    </w:p>
    <w:p w14:paraId="49A3439B" w14:textId="77777777" w:rsidR="00421BB5" w:rsidRPr="00D65AED" w:rsidRDefault="00421BB5" w:rsidP="00421BB5">
      <w:pPr>
        <w:pStyle w:val="2-1"/>
      </w:pPr>
      <w:r w:rsidRPr="00D65AED">
        <w:rPr>
          <w:rFonts w:hint="eastAsia"/>
        </w:rPr>
        <w:t>連署人：游毓蘭 曾銘宗</w:t>
      </w:r>
    </w:p>
    <w:p w14:paraId="17657DCF"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第23項　臺灣雲林地方檢察署2億5,780萬6千元，照列。</w:t>
      </w:r>
    </w:p>
    <w:p w14:paraId="2B982247"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第24項　臺灣嘉義地方檢察署3億3,952萬元，照列。</w:t>
      </w:r>
    </w:p>
    <w:p w14:paraId="0667BA7D"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第25項　臺灣臺南地方檢察署6億4,731萬元，照列。</w:t>
      </w:r>
    </w:p>
    <w:p w14:paraId="546A05D5"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lastRenderedPageBreak/>
        <w:t>第26項　臺灣橋頭地方檢察署4億3,407萬6千元，照列。</w:t>
      </w:r>
    </w:p>
    <w:p w14:paraId="026E8D9B"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第27項　臺灣高雄地方檢察署8億6,388萬9千元，照列。</w:t>
      </w:r>
    </w:p>
    <w:p w14:paraId="663B22E3"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第28項　臺灣屏東地方檢察署3億5,</w:t>
      </w:r>
      <w:r w:rsidRPr="00A52F6B">
        <w:rPr>
          <w:rFonts w:ascii="標楷體" w:eastAsia="標楷體" w:hAnsi="標楷體"/>
          <w:sz w:val="28"/>
          <w:szCs w:val="28"/>
        </w:rPr>
        <w:t>331</w:t>
      </w:r>
      <w:r w:rsidRPr="00A52F6B">
        <w:rPr>
          <w:rFonts w:ascii="標楷體" w:eastAsia="標楷體" w:hAnsi="標楷體" w:hint="eastAsia"/>
          <w:sz w:val="28"/>
          <w:szCs w:val="28"/>
        </w:rPr>
        <w:t>萬元，照列。</w:t>
      </w:r>
    </w:p>
    <w:p w14:paraId="05B6456C"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第29項　臺灣臺東地方檢察署1億7,218萬8千元，照列。</w:t>
      </w:r>
    </w:p>
    <w:p w14:paraId="3C91FA61"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第30項　臺灣花蓮地方檢察署2億1,945萬8千元，照列。</w:t>
      </w:r>
    </w:p>
    <w:p w14:paraId="473F3347"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第31項　臺灣宜蘭地方檢察署2億0,480萬2千元，照列。</w:t>
      </w:r>
    </w:p>
    <w:p w14:paraId="5E9F150A"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第32項　臺灣基隆地方檢察署2億2,778萬1千元，照列。</w:t>
      </w:r>
    </w:p>
    <w:p w14:paraId="17F71034"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第33項　臺灣澎湖地方檢察署9,793萬8千元，照列。</w:t>
      </w:r>
    </w:p>
    <w:p w14:paraId="7C35601F"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第34項　福建高等檢察署金門檢察分署2,528萬1千元，照列。</w:t>
      </w:r>
    </w:p>
    <w:p w14:paraId="26B57F2C"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第35項　福建金門地方檢察署6,</w:t>
      </w:r>
      <w:r w:rsidRPr="00A52F6B">
        <w:rPr>
          <w:rFonts w:ascii="標楷體" w:eastAsia="標楷體" w:hAnsi="標楷體"/>
          <w:sz w:val="28"/>
          <w:szCs w:val="28"/>
        </w:rPr>
        <w:t>545</w:t>
      </w:r>
      <w:r w:rsidRPr="00A52F6B">
        <w:rPr>
          <w:rFonts w:ascii="標楷體" w:eastAsia="標楷體" w:hAnsi="標楷體" w:hint="eastAsia"/>
          <w:sz w:val="28"/>
          <w:szCs w:val="28"/>
        </w:rPr>
        <w:t>萬4千元，照列。</w:t>
      </w:r>
    </w:p>
    <w:p w14:paraId="1BDC82D8"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第36項　福建連江地方檢察署1,971萬1千元，照列。</w:t>
      </w:r>
    </w:p>
    <w:p w14:paraId="7594535C" w14:textId="77777777" w:rsidR="00421BB5" w:rsidRPr="00A52F6B" w:rsidRDefault="00421BB5" w:rsidP="00A52F6B">
      <w:pPr>
        <w:spacing w:line="360" w:lineRule="exact"/>
        <w:ind w:left="594" w:hanging="311"/>
        <w:rPr>
          <w:rFonts w:ascii="標楷體" w:eastAsia="標楷體" w:hAnsi="標楷體"/>
          <w:sz w:val="28"/>
          <w:szCs w:val="28"/>
        </w:rPr>
      </w:pPr>
      <w:r w:rsidRPr="00A52F6B">
        <w:rPr>
          <w:rFonts w:ascii="標楷體" w:eastAsia="標楷體" w:hAnsi="標楷體" w:hint="eastAsia"/>
          <w:sz w:val="28"/>
          <w:szCs w:val="28"/>
        </w:rPr>
        <w:t>第37項　調查局6</w:t>
      </w:r>
      <w:r w:rsidRPr="00A52F6B">
        <w:rPr>
          <w:rFonts w:ascii="標楷體" w:eastAsia="標楷體" w:hAnsi="標楷體"/>
          <w:sz w:val="28"/>
          <w:szCs w:val="28"/>
        </w:rPr>
        <w:t>7</w:t>
      </w:r>
      <w:r w:rsidRPr="00A52F6B">
        <w:rPr>
          <w:rFonts w:ascii="標楷體" w:eastAsia="標楷體" w:hAnsi="標楷體" w:hint="eastAsia"/>
          <w:sz w:val="28"/>
          <w:szCs w:val="28"/>
        </w:rPr>
        <w:t>億0,2</w:t>
      </w:r>
      <w:r w:rsidRPr="00A52F6B">
        <w:rPr>
          <w:rFonts w:ascii="標楷體" w:eastAsia="標楷體" w:hAnsi="標楷體"/>
          <w:sz w:val="28"/>
          <w:szCs w:val="28"/>
        </w:rPr>
        <w:t>97</w:t>
      </w:r>
      <w:r w:rsidRPr="00A52F6B">
        <w:rPr>
          <w:rFonts w:ascii="標楷體" w:eastAsia="標楷體" w:hAnsi="標楷體" w:hint="eastAsia"/>
          <w:sz w:val="28"/>
          <w:szCs w:val="28"/>
        </w:rPr>
        <w:t>萬8千元，照列。</w:t>
      </w:r>
    </w:p>
    <w:p w14:paraId="564EE7C8" w14:textId="77777777" w:rsidR="00421BB5" w:rsidRPr="00A52F6B" w:rsidRDefault="00421BB5" w:rsidP="00A52F6B">
      <w:pPr>
        <w:spacing w:line="360" w:lineRule="exact"/>
        <w:ind w:leftChars="215" w:left="1449" w:hangingChars="333" w:hanging="933"/>
        <w:rPr>
          <w:rFonts w:ascii="標楷體" w:eastAsia="標楷體" w:hAnsi="標楷體"/>
          <w:b/>
          <w:sz w:val="28"/>
          <w:szCs w:val="28"/>
        </w:rPr>
      </w:pPr>
      <w:r w:rsidRPr="00A52F6B">
        <w:rPr>
          <w:rFonts w:ascii="標楷體" w:eastAsia="標楷體" w:hAnsi="標楷體" w:hint="eastAsia"/>
          <w:b/>
          <w:sz w:val="28"/>
          <w:szCs w:val="28"/>
        </w:rPr>
        <w:t>本項通過決議6項：</w:t>
      </w:r>
    </w:p>
    <w:p w14:paraId="2C1ECB22" w14:textId="77777777" w:rsidR="00421BB5" w:rsidRPr="00D65AED" w:rsidRDefault="00421BB5" w:rsidP="00421BB5">
      <w:pPr>
        <w:pStyle w:val="0-"/>
      </w:pPr>
      <w:r w:rsidRPr="00D65AED">
        <w:rPr>
          <w:rFonts w:hint="eastAsia"/>
        </w:rPr>
        <w:t>(一)11</w:t>
      </w:r>
      <w:r w:rsidRPr="00D65AED">
        <w:t>2</w:t>
      </w:r>
      <w:r w:rsidRPr="00D65AED">
        <w:rPr>
          <w:rFonts w:hint="eastAsia"/>
        </w:rPr>
        <w:t>年度調查局歲出預算第1目「一般行政」編列52億9,653萬元，凍結100萬元，俟向立法院司法及法制委員會提出書面報告後，始得動支。</w:t>
      </w:r>
    </w:p>
    <w:p w14:paraId="3463AB46" w14:textId="77777777" w:rsidR="00421BB5" w:rsidRPr="00D65AED" w:rsidRDefault="00421BB5" w:rsidP="00421BB5">
      <w:pPr>
        <w:pStyle w:val="2-1"/>
      </w:pPr>
      <w:r w:rsidRPr="00D65AED">
        <w:t>提案人：</w:t>
      </w:r>
      <w:r w:rsidRPr="00D65AED">
        <w:rPr>
          <w:rFonts w:hint="eastAsia"/>
        </w:rPr>
        <w:t>陳以信 游毓蘭 林思銘 陳玉珍</w:t>
      </w:r>
    </w:p>
    <w:p w14:paraId="6EAE60B0" w14:textId="77777777" w:rsidR="00421BB5" w:rsidRPr="00D65AED" w:rsidRDefault="00421BB5" w:rsidP="00421BB5">
      <w:pPr>
        <w:pStyle w:val="0-"/>
      </w:pPr>
      <w:r w:rsidRPr="00D65AED">
        <w:rPr>
          <w:rFonts w:hint="eastAsia"/>
        </w:rPr>
        <w:t>(二)11</w:t>
      </w:r>
      <w:r w:rsidRPr="00D65AED">
        <w:t>2</w:t>
      </w:r>
      <w:r w:rsidRPr="00D65AED">
        <w:rPr>
          <w:rFonts w:hint="eastAsia"/>
        </w:rPr>
        <w:t>年度調查局歲出預算第2目「司法調查業務」編列2億2,752萬元，凍結200萬元，俟向立法院司法及法制委員會提出書面報告後，始得動支。</w:t>
      </w:r>
    </w:p>
    <w:p w14:paraId="32C02BFC" w14:textId="77777777" w:rsidR="00421BB5" w:rsidRPr="00D65AED" w:rsidRDefault="00421BB5" w:rsidP="00421BB5">
      <w:pPr>
        <w:pStyle w:val="2-1"/>
      </w:pPr>
      <w:r w:rsidRPr="00D65AED">
        <w:t>提案人：</w:t>
      </w:r>
      <w:r w:rsidRPr="00D65AED">
        <w:rPr>
          <w:rFonts w:hint="eastAsia"/>
        </w:rPr>
        <w:t>江永昌 陳以信 游毓蘭 黃世杰</w:t>
      </w:r>
    </w:p>
    <w:p w14:paraId="116439B1" w14:textId="77777777" w:rsidR="00421BB5" w:rsidRPr="00D65AED" w:rsidRDefault="00421BB5" w:rsidP="00421BB5">
      <w:pPr>
        <w:pStyle w:val="2-2"/>
      </w:pPr>
      <w:r w:rsidRPr="00D65AED">
        <w:rPr>
          <w:rFonts w:hint="eastAsia"/>
        </w:rPr>
        <w:t xml:space="preserve">陳歐珀 林思銘 </w:t>
      </w:r>
    </w:p>
    <w:p w14:paraId="4D05F84B" w14:textId="77777777" w:rsidR="00421BB5" w:rsidRPr="00D65AED" w:rsidRDefault="00421BB5" w:rsidP="00421BB5">
      <w:pPr>
        <w:pStyle w:val="0-"/>
      </w:pPr>
      <w:r w:rsidRPr="00D65AED">
        <w:rPr>
          <w:rFonts w:hint="eastAsia"/>
        </w:rPr>
        <w:t>(三)11</w:t>
      </w:r>
      <w:r w:rsidRPr="00D65AED">
        <w:t>2</w:t>
      </w:r>
      <w:r w:rsidRPr="00D65AED">
        <w:rPr>
          <w:rFonts w:hint="eastAsia"/>
        </w:rPr>
        <w:t>年度調查局歲出預算第6目「鑑識科技業務」編列5,308萬8千元，凍結100萬元，俟向立法院司法及法制委員會提出書面報告後，始得動支。</w:t>
      </w:r>
    </w:p>
    <w:p w14:paraId="7913298A" w14:textId="77777777" w:rsidR="00421BB5" w:rsidRPr="00D65AED" w:rsidRDefault="00421BB5" w:rsidP="00421BB5">
      <w:pPr>
        <w:pStyle w:val="2-1"/>
      </w:pPr>
      <w:r w:rsidRPr="00D65AED">
        <w:t>提案人：</w:t>
      </w:r>
      <w:r w:rsidRPr="00D65AED">
        <w:rPr>
          <w:rFonts w:hint="eastAsia"/>
        </w:rPr>
        <w:t xml:space="preserve">陳以信 </w:t>
      </w:r>
    </w:p>
    <w:p w14:paraId="6F2D7A3B" w14:textId="77777777" w:rsidR="00421BB5" w:rsidRPr="00D65AED" w:rsidRDefault="00421BB5" w:rsidP="00421BB5">
      <w:pPr>
        <w:pStyle w:val="2-1"/>
      </w:pPr>
      <w:r w:rsidRPr="00D65AED">
        <w:rPr>
          <w:rFonts w:hint="eastAsia"/>
        </w:rPr>
        <w:t>連署人：林思銘 游毓蘭</w:t>
      </w:r>
    </w:p>
    <w:p w14:paraId="3EB7273D" w14:textId="77777777" w:rsidR="00421BB5" w:rsidRPr="00D65AED" w:rsidRDefault="00421BB5" w:rsidP="00421BB5">
      <w:pPr>
        <w:pStyle w:val="0-"/>
      </w:pPr>
      <w:r w:rsidRPr="00D65AED">
        <w:rPr>
          <w:rFonts w:hint="eastAsia"/>
        </w:rPr>
        <w:t>(四)112年度法務部調查局歲出預算「一般行政」項下「基本行政工作維持」編列1億2</w:t>
      </w:r>
      <w:r w:rsidRPr="00D65AED">
        <w:t>,</w:t>
      </w:r>
      <w:r w:rsidRPr="00D65AED">
        <w:rPr>
          <w:rFonts w:hint="eastAsia"/>
        </w:rPr>
        <w:t>374萬6千元。查</w:t>
      </w:r>
      <w:r w:rsidRPr="00D65AED">
        <w:t>公務員服務法明定公務員延長辦公和正常上班時數每日不得超過12小時，但特殊勤務單位可排除，新制</w:t>
      </w:r>
      <w:r w:rsidRPr="00D65AED">
        <w:rPr>
          <w:rFonts w:hint="eastAsia"/>
        </w:rPr>
        <w:t>將於</w:t>
      </w:r>
      <w:r w:rsidRPr="00D65AED">
        <w:t>112年元旦</w:t>
      </w:r>
      <w:r w:rsidRPr="00D65AED">
        <w:rPr>
          <w:rFonts w:hint="eastAsia"/>
        </w:rPr>
        <w:t>實施，惟</w:t>
      </w:r>
      <w:r w:rsidRPr="00D65AED">
        <w:t>調查局</w:t>
      </w:r>
      <w:r w:rsidRPr="00D65AED">
        <w:rPr>
          <w:rFonts w:hint="eastAsia"/>
        </w:rPr>
        <w:t>所屬人員</w:t>
      </w:r>
      <w:r w:rsidRPr="00D65AED">
        <w:t>未排除適用，恐</w:t>
      </w:r>
      <w:r w:rsidRPr="00D65AED">
        <w:rPr>
          <w:rFonts w:hint="eastAsia"/>
        </w:rPr>
        <w:t>影響日後</w:t>
      </w:r>
      <w:r w:rsidRPr="00D65AED">
        <w:t>勤務</w:t>
      </w:r>
      <w:r w:rsidRPr="00D65AED">
        <w:rPr>
          <w:rFonts w:hint="eastAsia"/>
        </w:rPr>
        <w:t>遂行</w:t>
      </w:r>
      <w:r w:rsidRPr="00D65AED">
        <w:t>。</w:t>
      </w:r>
    </w:p>
    <w:p w14:paraId="1369281A" w14:textId="77777777" w:rsidR="00421BB5" w:rsidRPr="00D65AED" w:rsidRDefault="00421BB5" w:rsidP="00421BB5">
      <w:pPr>
        <w:pStyle w:val="0-2"/>
      </w:pPr>
      <w:r w:rsidRPr="00D65AED">
        <w:t>因勤務特性緣故，警察、</w:t>
      </w:r>
      <w:r w:rsidRPr="00D65AED">
        <w:rPr>
          <w:rFonts w:hint="eastAsia"/>
        </w:rPr>
        <w:t>海洋委員會</w:t>
      </w:r>
      <w:r w:rsidRPr="00D65AED">
        <w:t>海巡署、國</w:t>
      </w:r>
      <w:r w:rsidRPr="00D65AED">
        <w:rPr>
          <w:rFonts w:hint="eastAsia"/>
        </w:rPr>
        <w:t>家</w:t>
      </w:r>
      <w:r w:rsidRPr="00D65AED">
        <w:t>安</w:t>
      </w:r>
      <w:r w:rsidRPr="00D65AED">
        <w:rPr>
          <w:rFonts w:hint="eastAsia"/>
        </w:rPr>
        <w:t>全</w:t>
      </w:r>
      <w:r w:rsidRPr="00D65AED">
        <w:t>局、</w:t>
      </w:r>
      <w:r w:rsidRPr="00D65AED">
        <w:rPr>
          <w:rFonts w:hint="eastAsia"/>
        </w:rPr>
        <w:t>內政部</w:t>
      </w:r>
      <w:r w:rsidRPr="00D65AED">
        <w:t>移民署都排除適用，仍可超過12小時值勤，但兼具情報人員與司法警察官身分的調查局人員，勤務特性與這些人都相同，卻</w:t>
      </w:r>
      <w:r w:rsidRPr="00D65AED">
        <w:rPr>
          <w:rFonts w:hint="eastAsia"/>
        </w:rPr>
        <w:t>未加以</w:t>
      </w:r>
      <w:r w:rsidRPr="00D65AED">
        <w:t>排除</w:t>
      </w:r>
      <w:r w:rsidRPr="00D65AED">
        <w:rPr>
          <w:rFonts w:hint="eastAsia"/>
        </w:rPr>
        <w:t>適用</w:t>
      </w:r>
      <w:r w:rsidRPr="00D65AED">
        <w:t>。</w:t>
      </w:r>
    </w:p>
    <w:p w14:paraId="44343839" w14:textId="77777777" w:rsidR="00421BB5" w:rsidRPr="00D65AED" w:rsidRDefault="00421BB5" w:rsidP="00421BB5">
      <w:pPr>
        <w:pStyle w:val="0-2"/>
      </w:pPr>
      <w:r w:rsidRPr="00D65AED">
        <w:t>「公務員服務法」新制上路後，</w:t>
      </w:r>
      <w:r w:rsidRPr="00D65AED">
        <w:rPr>
          <w:rFonts w:hint="eastAsia"/>
        </w:rPr>
        <w:t>恐</w:t>
      </w:r>
      <w:r w:rsidRPr="00D65AED">
        <w:t>發生</w:t>
      </w:r>
      <w:r w:rsidRPr="00D65AED">
        <w:rPr>
          <w:rFonts w:hint="eastAsia"/>
        </w:rPr>
        <w:t>調查官執行外勤滿</w:t>
      </w:r>
      <w:r w:rsidRPr="00D65AED">
        <w:t>12個工作時數，</w:t>
      </w:r>
      <w:r w:rsidRPr="00D65AED">
        <w:rPr>
          <w:rFonts w:hint="eastAsia"/>
        </w:rPr>
        <w:t>將如何打擊犯罪</w:t>
      </w:r>
      <w:r w:rsidRPr="00D65AED">
        <w:t>?新制上路，原本1天1人值班24小時制將改為2人各12小時，值班者隔天還不能上班，再扣掉1個值晚班人力，每天外勤就少3個人力，</w:t>
      </w:r>
      <w:r w:rsidRPr="00D65AED">
        <w:rPr>
          <w:rFonts w:hint="eastAsia"/>
        </w:rPr>
        <w:t>調查局所屬</w:t>
      </w:r>
      <w:r w:rsidRPr="00D65AED">
        <w:rPr>
          <w:rFonts w:hint="eastAsia"/>
        </w:rPr>
        <w:lastRenderedPageBreak/>
        <w:t>應如何應處</w:t>
      </w:r>
      <w:r w:rsidRPr="00D65AED">
        <w:t>?</w:t>
      </w:r>
      <w:r w:rsidRPr="00D65AED">
        <w:rPr>
          <w:rFonts w:hint="eastAsia"/>
        </w:rPr>
        <w:t>請法務部調查局就此向立法院司法及法制委員會於3個月內提出書面報告。</w:t>
      </w:r>
    </w:p>
    <w:p w14:paraId="225DC730" w14:textId="77777777" w:rsidR="00421BB5" w:rsidRPr="00D65AED" w:rsidRDefault="00421BB5" w:rsidP="00421BB5">
      <w:pPr>
        <w:pStyle w:val="2-1"/>
      </w:pPr>
      <w:r w:rsidRPr="00D65AED">
        <w:rPr>
          <w:rFonts w:hint="eastAsia"/>
        </w:rPr>
        <w:t>提案人：游毓蘭 曾銘宗 林思銘</w:t>
      </w:r>
    </w:p>
    <w:p w14:paraId="02AF462C" w14:textId="77777777" w:rsidR="00421BB5" w:rsidRPr="00D65AED" w:rsidRDefault="00421BB5" w:rsidP="00421BB5">
      <w:pPr>
        <w:pStyle w:val="0-"/>
      </w:pPr>
      <w:r w:rsidRPr="00D65AED">
        <w:rPr>
          <w:rFonts w:hint="eastAsia"/>
        </w:rPr>
        <w:t>(五)112年度法務部調查局歲出預算「司法調查業務」項下「</w:t>
      </w:r>
      <w:r w:rsidRPr="00D65AED">
        <w:t>洗錢犯罪及電腦犯罪防制</w:t>
      </w:r>
      <w:r w:rsidRPr="00D65AED">
        <w:rPr>
          <w:rFonts w:hint="eastAsia"/>
        </w:rPr>
        <w:t>」編列992萬元。因應陸製資通訊設備對國家安全之危害，且伴隨網際網路等智慧應用興起，資安風險也逐漸提升，政府機關及民眾生活遭駭大增，恐成為駭客進入國家重要資訊系統之跳板。爰請法務部調查局主動掃描偵測公務機關維護國家安全，積極研究資通訊設備漏洞，以降低資安風險，並於3個月內向立法院司法及法制委員會提出書面報告。</w:t>
      </w:r>
    </w:p>
    <w:p w14:paraId="1923AF46" w14:textId="77777777" w:rsidR="00421BB5" w:rsidRPr="00D65AED" w:rsidRDefault="00421BB5" w:rsidP="00421BB5">
      <w:pPr>
        <w:pStyle w:val="2-1"/>
      </w:pPr>
      <w:r w:rsidRPr="00D65AED">
        <w:rPr>
          <w:rFonts w:hint="eastAsia"/>
        </w:rPr>
        <w:t>提案人：游毓蘭 林思銘 陳以信</w:t>
      </w:r>
    </w:p>
    <w:p w14:paraId="0907C722" w14:textId="77777777" w:rsidR="00421BB5" w:rsidRPr="00D65AED" w:rsidRDefault="00421BB5" w:rsidP="00421BB5">
      <w:pPr>
        <w:pStyle w:val="0-"/>
      </w:pPr>
      <w:r w:rsidRPr="00D65AED">
        <w:rPr>
          <w:rFonts w:hint="eastAsia"/>
        </w:rPr>
        <w:t>(六)112年度法務部調查局歲出預算編列「衛星定位裝置電話費及無線網卡等數據通訊費」</w:t>
      </w:r>
      <w:r w:rsidRPr="00D65AED">
        <w:t>450</w:t>
      </w:r>
      <w:r w:rsidRPr="00D65AED">
        <w:rPr>
          <w:rFonts w:hint="eastAsia"/>
        </w:rPr>
        <w:t>萬元，較111年度無端增加</w:t>
      </w:r>
      <w:r w:rsidRPr="00D65AED">
        <w:t>113</w:t>
      </w:r>
      <w:r w:rsidRPr="00D65AED">
        <w:rPr>
          <w:rFonts w:hint="eastAsia"/>
        </w:rPr>
        <w:t>萬元。請法務部調查局就本案於3個月內向立法院司法及法制委員會提出書面報告。</w:t>
      </w:r>
    </w:p>
    <w:p w14:paraId="0A6F1E66" w14:textId="77777777" w:rsidR="00421BB5" w:rsidRPr="00D65AED" w:rsidRDefault="00421BB5" w:rsidP="00421BB5">
      <w:pPr>
        <w:pStyle w:val="2-1"/>
      </w:pPr>
      <w:r w:rsidRPr="00D65AED">
        <w:rPr>
          <w:rFonts w:hint="eastAsia"/>
        </w:rPr>
        <w:t>提案人：陳以信</w:t>
      </w:r>
    </w:p>
    <w:p w14:paraId="63EDE7A0" w14:textId="77777777" w:rsidR="00421BB5" w:rsidRPr="00D65AED" w:rsidRDefault="00421BB5" w:rsidP="00421BB5">
      <w:pPr>
        <w:pStyle w:val="2-1"/>
      </w:pPr>
      <w:r w:rsidRPr="00D65AED">
        <w:rPr>
          <w:rFonts w:hint="eastAsia"/>
        </w:rPr>
        <w:t xml:space="preserve">連署人：林思銘 游毓蘭 </w:t>
      </w:r>
    </w:p>
    <w:p w14:paraId="38DBC449" w14:textId="77777777" w:rsidR="00421BB5" w:rsidRPr="00D65AED" w:rsidRDefault="00421BB5" w:rsidP="00421BB5">
      <w:pPr>
        <w:spacing w:line="360" w:lineRule="exact"/>
        <w:ind w:leftChars="-12" w:left="783" w:hangingChars="290" w:hanging="812"/>
        <w:jc w:val="both"/>
        <w:rPr>
          <w:rFonts w:ascii="標楷體" w:eastAsia="標楷體" w:hAnsi="標楷體"/>
          <w:kern w:val="0"/>
          <w:sz w:val="28"/>
          <w:szCs w:val="28"/>
        </w:rPr>
      </w:pPr>
      <w:r w:rsidRPr="00D65AED">
        <w:rPr>
          <w:rFonts w:ascii="標楷體" w:eastAsia="標楷體" w:hAnsi="標楷體" w:hint="eastAsia"/>
          <w:kern w:val="0"/>
          <w:sz w:val="28"/>
          <w:szCs w:val="28"/>
        </w:rPr>
        <w:t>（三）中華民國112年度中央政府總預算案關於法務部及所屬主管收支部分</w:t>
      </w:r>
      <w:r w:rsidRPr="00D65AED">
        <w:rPr>
          <w:rFonts w:ascii="標楷體" w:eastAsia="標楷體" w:hAnsi="標楷體"/>
          <w:kern w:val="0"/>
          <w:sz w:val="28"/>
          <w:szCs w:val="28"/>
        </w:rPr>
        <w:t>審查完竣，提報院會</w:t>
      </w:r>
      <w:r w:rsidRPr="00D65AED">
        <w:rPr>
          <w:rFonts w:ascii="標楷體" w:eastAsia="標楷體" w:hAnsi="標楷體" w:hint="eastAsia"/>
          <w:kern w:val="0"/>
          <w:sz w:val="28"/>
          <w:szCs w:val="28"/>
        </w:rPr>
        <w:t>，</w:t>
      </w:r>
      <w:r w:rsidRPr="00D65AED">
        <w:rPr>
          <w:rFonts w:ascii="標楷體" w:eastAsia="標楷體" w:hAnsi="標楷體"/>
          <w:kern w:val="0"/>
          <w:sz w:val="28"/>
          <w:szCs w:val="28"/>
        </w:rPr>
        <w:t>院會討論</w:t>
      </w:r>
      <w:r w:rsidRPr="00D65AED">
        <w:rPr>
          <w:rFonts w:ascii="標楷體" w:eastAsia="標楷體" w:hAnsi="標楷體" w:hint="eastAsia"/>
          <w:kern w:val="0"/>
          <w:sz w:val="28"/>
          <w:szCs w:val="28"/>
        </w:rPr>
        <w:t>前，</w:t>
      </w:r>
      <w:r w:rsidRPr="00D65AED">
        <w:rPr>
          <w:rFonts w:ascii="標楷體" w:eastAsia="標楷體" w:hAnsi="標楷體"/>
          <w:kern w:val="0"/>
          <w:sz w:val="28"/>
          <w:szCs w:val="28"/>
        </w:rPr>
        <w:t>須交由黨團協商</w:t>
      </w:r>
      <w:r w:rsidRPr="00D65AED">
        <w:rPr>
          <w:rFonts w:ascii="標楷體" w:eastAsia="標楷體" w:hAnsi="標楷體" w:hint="eastAsia"/>
          <w:kern w:val="0"/>
          <w:sz w:val="28"/>
          <w:szCs w:val="28"/>
        </w:rPr>
        <w:t>；院會討論時，由林召集委員思銘出席說明</w:t>
      </w:r>
      <w:r w:rsidRPr="00D65AED">
        <w:rPr>
          <w:rFonts w:ascii="標楷體" w:eastAsia="標楷體" w:hAnsi="標楷體"/>
          <w:kern w:val="0"/>
          <w:sz w:val="28"/>
          <w:szCs w:val="28"/>
        </w:rPr>
        <w:t>。</w:t>
      </w:r>
    </w:p>
    <w:p w14:paraId="6205F238" w14:textId="77777777" w:rsidR="00421BB5" w:rsidRPr="00D65AED" w:rsidRDefault="00421BB5" w:rsidP="00421BB5">
      <w:pPr>
        <w:adjustRightInd w:val="0"/>
        <w:snapToGrid w:val="0"/>
        <w:spacing w:beforeLines="20" w:before="72" w:line="360" w:lineRule="exact"/>
        <w:jc w:val="both"/>
        <w:rPr>
          <w:rFonts w:ascii="標楷體" w:eastAsia="標楷體" w:hAnsi="標楷體"/>
          <w:b/>
          <w:sz w:val="28"/>
          <w:szCs w:val="28"/>
        </w:rPr>
      </w:pPr>
      <w:r w:rsidRPr="00D65AED">
        <w:rPr>
          <w:rFonts w:ascii="標楷體" w:eastAsia="標楷體" w:hAnsi="標楷體" w:hint="eastAsia"/>
          <w:b/>
          <w:sz w:val="28"/>
          <w:szCs w:val="28"/>
        </w:rPr>
        <w:t>二、「法務部矯正機關作業基金」：</w:t>
      </w:r>
    </w:p>
    <w:p w14:paraId="192A360C"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(一)業務計畫：應依據業務收支、轉投資、固定資產建設改良擴充及資金運用等項之審查結果，隨同調整。</w:t>
      </w:r>
    </w:p>
    <w:p w14:paraId="03682CD3" w14:textId="77777777" w:rsidR="00421BB5" w:rsidRPr="00D65AED" w:rsidRDefault="00421BB5" w:rsidP="00421BB5">
      <w:pPr>
        <w:spacing w:line="360" w:lineRule="exact"/>
        <w:ind w:leftChars="200" w:left="964" w:hangingChars="173" w:hanging="484"/>
        <w:jc w:val="both"/>
        <w:rPr>
          <w:rFonts w:ascii="標楷體" w:eastAsia="標楷體" w:hAnsi="標楷體"/>
          <w:sz w:val="28"/>
          <w:szCs w:val="28"/>
        </w:rPr>
      </w:pPr>
      <w:r w:rsidRPr="00D65AED">
        <w:rPr>
          <w:rFonts w:ascii="標楷體" w:eastAsia="標楷體" w:hAnsi="標楷體" w:hint="eastAsia"/>
          <w:sz w:val="28"/>
          <w:szCs w:val="28"/>
        </w:rPr>
        <w:t>(二)業務收支：</w:t>
      </w:r>
    </w:p>
    <w:p w14:paraId="4E8C528C" w14:textId="77777777" w:rsidR="00421BB5" w:rsidRPr="00D65AED" w:rsidRDefault="00421BB5" w:rsidP="00421BB5">
      <w:pPr>
        <w:spacing w:line="360" w:lineRule="exact"/>
        <w:ind w:leftChars="450" w:left="1360" w:hangingChars="100" w:hanging="280"/>
        <w:jc w:val="both"/>
        <w:rPr>
          <w:rFonts w:ascii="標楷體" w:eastAsia="標楷體" w:hAnsi="標楷體"/>
          <w:sz w:val="28"/>
          <w:szCs w:val="28"/>
        </w:rPr>
      </w:pPr>
      <w:r w:rsidRPr="00D65AED">
        <w:rPr>
          <w:rFonts w:ascii="標楷體" w:eastAsia="標楷體" w:hAnsi="標楷體" w:hint="eastAsia"/>
          <w:sz w:val="28"/>
          <w:szCs w:val="28"/>
        </w:rPr>
        <w:t>1.業務總收入：11億7,798萬3千元，照列。</w:t>
      </w:r>
    </w:p>
    <w:p w14:paraId="7847B207" w14:textId="77777777" w:rsidR="00421BB5" w:rsidRPr="00D65AED" w:rsidRDefault="00421BB5" w:rsidP="00421BB5">
      <w:pPr>
        <w:spacing w:line="360" w:lineRule="exact"/>
        <w:ind w:leftChars="450" w:left="1360" w:hangingChars="100" w:hanging="280"/>
        <w:jc w:val="both"/>
        <w:rPr>
          <w:rFonts w:ascii="標楷體" w:eastAsia="標楷體" w:hAnsi="標楷體"/>
          <w:sz w:val="28"/>
          <w:szCs w:val="28"/>
        </w:rPr>
      </w:pPr>
      <w:r w:rsidRPr="00D65AED">
        <w:rPr>
          <w:rFonts w:ascii="標楷體" w:eastAsia="標楷體" w:hAnsi="標楷體" w:hint="eastAsia"/>
          <w:sz w:val="28"/>
          <w:szCs w:val="28"/>
        </w:rPr>
        <w:t>2.業務總支出：12億7,387萬9千元，照列。</w:t>
      </w:r>
    </w:p>
    <w:p w14:paraId="7185A955" w14:textId="77777777" w:rsidR="00421BB5" w:rsidRPr="00D65AED" w:rsidRDefault="00421BB5" w:rsidP="00421BB5">
      <w:pPr>
        <w:spacing w:line="360" w:lineRule="exact"/>
        <w:ind w:leftChars="450" w:left="1360" w:hangingChars="100" w:hanging="280"/>
        <w:jc w:val="both"/>
        <w:rPr>
          <w:rFonts w:ascii="標楷體" w:eastAsia="標楷體" w:hAnsi="標楷體"/>
          <w:sz w:val="28"/>
          <w:szCs w:val="28"/>
        </w:rPr>
      </w:pPr>
      <w:r w:rsidRPr="00D65AED">
        <w:rPr>
          <w:rFonts w:ascii="標楷體" w:eastAsia="標楷體" w:hAnsi="標楷體" w:hint="eastAsia"/>
          <w:sz w:val="28"/>
          <w:szCs w:val="28"/>
        </w:rPr>
        <w:t>3.本期短絀：9,589萬6千元，照列。</w:t>
      </w:r>
    </w:p>
    <w:p w14:paraId="2FBE0636" w14:textId="77777777" w:rsidR="00421BB5" w:rsidRPr="00D65AED" w:rsidRDefault="00421BB5" w:rsidP="00421BB5">
      <w:pPr>
        <w:spacing w:line="360" w:lineRule="exact"/>
        <w:ind w:leftChars="200" w:left="964" w:hangingChars="173" w:hanging="484"/>
        <w:jc w:val="both"/>
        <w:rPr>
          <w:rFonts w:ascii="標楷體" w:eastAsia="標楷體" w:hAnsi="標楷體"/>
          <w:sz w:val="28"/>
          <w:szCs w:val="28"/>
        </w:rPr>
      </w:pPr>
      <w:r w:rsidRPr="00D65AED">
        <w:rPr>
          <w:rFonts w:ascii="標楷體" w:eastAsia="標楷體" w:hAnsi="標楷體" w:hint="eastAsia"/>
          <w:sz w:val="28"/>
          <w:szCs w:val="28"/>
        </w:rPr>
        <w:t>(三)解繳公庫淨額：無列數。</w:t>
      </w:r>
    </w:p>
    <w:p w14:paraId="2801017D" w14:textId="77777777" w:rsidR="00421BB5" w:rsidRPr="00D65AED" w:rsidRDefault="00421BB5" w:rsidP="00421BB5">
      <w:pPr>
        <w:spacing w:line="360" w:lineRule="exact"/>
        <w:ind w:leftChars="199" w:left="962" w:hangingChars="173" w:hanging="484"/>
        <w:jc w:val="both"/>
        <w:rPr>
          <w:rFonts w:ascii="標楷體" w:eastAsia="標楷體" w:hAnsi="標楷體"/>
          <w:sz w:val="28"/>
          <w:szCs w:val="28"/>
        </w:rPr>
      </w:pPr>
      <w:r w:rsidRPr="00D65AED">
        <w:rPr>
          <w:rFonts w:ascii="標楷體" w:eastAsia="標楷體" w:hAnsi="標楷體" w:hint="eastAsia"/>
          <w:sz w:val="28"/>
          <w:szCs w:val="28"/>
        </w:rPr>
        <w:t>(四)轉投資計畫：無列數。</w:t>
      </w:r>
    </w:p>
    <w:p w14:paraId="49A2D0E8" w14:textId="77777777" w:rsidR="00421BB5" w:rsidRPr="00D65AED" w:rsidRDefault="00421BB5" w:rsidP="00421BB5">
      <w:pPr>
        <w:spacing w:line="360" w:lineRule="exact"/>
        <w:ind w:leftChars="199" w:left="962" w:hangingChars="173" w:hanging="484"/>
        <w:jc w:val="both"/>
        <w:rPr>
          <w:rFonts w:ascii="標楷體" w:eastAsia="標楷體" w:hAnsi="標楷體"/>
          <w:sz w:val="28"/>
          <w:szCs w:val="28"/>
        </w:rPr>
      </w:pPr>
      <w:r w:rsidRPr="00D65AED">
        <w:rPr>
          <w:rFonts w:ascii="標楷體" w:eastAsia="標楷體" w:hAnsi="標楷體" w:hint="eastAsia"/>
          <w:sz w:val="28"/>
          <w:szCs w:val="28"/>
        </w:rPr>
        <w:t>(五)固定資產建設改良擴充：687萬元，照列。</w:t>
      </w:r>
    </w:p>
    <w:p w14:paraId="06352C7A" w14:textId="77777777" w:rsidR="00421BB5" w:rsidRPr="00D65AED" w:rsidRDefault="00421BB5" w:rsidP="00421BB5">
      <w:pPr>
        <w:spacing w:line="360" w:lineRule="exact"/>
        <w:ind w:leftChars="204" w:left="781" w:hangingChars="104" w:hanging="291"/>
        <w:jc w:val="both"/>
        <w:rPr>
          <w:rFonts w:ascii="標楷體" w:eastAsia="標楷體" w:hAnsi="標楷體"/>
          <w:sz w:val="28"/>
          <w:szCs w:val="28"/>
          <w:shd w:val="clear" w:color="auto" w:fill="FFFFFF"/>
        </w:rPr>
      </w:pPr>
      <w:r w:rsidRPr="00D65AED">
        <w:rPr>
          <w:rFonts w:ascii="標楷體" w:eastAsia="標楷體" w:hAnsi="標楷體" w:hint="eastAsia"/>
          <w:sz w:val="28"/>
          <w:szCs w:val="28"/>
          <w:shd w:val="clear" w:color="auto" w:fill="FFFFFF"/>
        </w:rPr>
        <w:t>(六)國庫增撥基金額：無列數</w:t>
      </w:r>
      <w:r w:rsidRPr="00D65AED">
        <w:rPr>
          <w:rFonts w:ascii="標楷體" w:eastAsia="標楷體" w:hAnsi="標楷體" w:hint="eastAsia"/>
          <w:sz w:val="28"/>
          <w:szCs w:val="28"/>
        </w:rPr>
        <w:t>。</w:t>
      </w:r>
    </w:p>
    <w:p w14:paraId="40F7EFC7" w14:textId="77777777" w:rsidR="00421BB5" w:rsidRPr="00D65AED" w:rsidRDefault="00421BB5" w:rsidP="00421BB5">
      <w:pPr>
        <w:spacing w:line="360" w:lineRule="exact"/>
        <w:ind w:leftChars="204" w:left="1008" w:hangingChars="185" w:hanging="518"/>
        <w:jc w:val="both"/>
        <w:rPr>
          <w:rFonts w:ascii="標楷體" w:eastAsia="標楷體" w:hAnsi="標楷體"/>
          <w:sz w:val="28"/>
          <w:szCs w:val="28"/>
          <w:shd w:val="clear" w:color="auto" w:fill="FFFFFF"/>
        </w:rPr>
      </w:pPr>
      <w:r w:rsidRPr="00D65AED">
        <w:rPr>
          <w:rFonts w:ascii="標楷體" w:eastAsia="標楷體" w:hAnsi="標楷體" w:hint="eastAsia"/>
          <w:sz w:val="28"/>
          <w:szCs w:val="28"/>
        </w:rPr>
        <w:t>(七)本案審查完竣，提報院會，院會討論前，須交由黨團協商；院會討論時，由林召集</w:t>
      </w:r>
      <w:r w:rsidRPr="00D65AED">
        <w:rPr>
          <w:rFonts w:ascii="標楷體" w:eastAsia="標楷體" w:hAnsi="標楷體"/>
          <w:sz w:val="28"/>
          <w:szCs w:val="28"/>
        </w:rPr>
        <w:t>委員</w:t>
      </w:r>
      <w:r w:rsidRPr="00D65AED">
        <w:rPr>
          <w:rFonts w:ascii="標楷體" w:eastAsia="標楷體" w:hAnsi="標楷體" w:hint="eastAsia"/>
          <w:sz w:val="28"/>
          <w:szCs w:val="28"/>
        </w:rPr>
        <w:t>思銘出席說明。</w:t>
      </w:r>
    </w:p>
    <w:p w14:paraId="02B68CA0" w14:textId="77777777" w:rsidR="00421BB5" w:rsidRPr="00D65AED" w:rsidRDefault="00421BB5" w:rsidP="00421BB5">
      <w:pPr>
        <w:adjustRightInd w:val="0"/>
        <w:snapToGrid w:val="0"/>
        <w:spacing w:beforeLines="20" w:before="72" w:line="360" w:lineRule="exact"/>
        <w:jc w:val="both"/>
        <w:rPr>
          <w:rFonts w:ascii="標楷體" w:eastAsia="標楷體" w:hAnsi="標楷體"/>
          <w:b/>
          <w:sz w:val="28"/>
          <w:szCs w:val="28"/>
        </w:rPr>
      </w:pPr>
      <w:r w:rsidRPr="00D65AED">
        <w:rPr>
          <w:rFonts w:ascii="標楷體" w:eastAsia="標楷體" w:hAnsi="標楷體" w:hint="eastAsia"/>
          <w:b/>
          <w:sz w:val="28"/>
          <w:szCs w:val="28"/>
        </w:rPr>
        <w:t>三、「毒品防制基金」：</w:t>
      </w:r>
    </w:p>
    <w:p w14:paraId="303D75BF"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(一)業務計畫：應依據基金來源與用途審查結果，隨同調整。</w:t>
      </w:r>
    </w:p>
    <w:p w14:paraId="40DAECE4"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(二)基金來源、用途及餘絀：</w:t>
      </w:r>
    </w:p>
    <w:p w14:paraId="29BEC2C4" w14:textId="77777777" w:rsidR="00421BB5" w:rsidRPr="00D65AED" w:rsidRDefault="00421BB5" w:rsidP="00421BB5">
      <w:pPr>
        <w:spacing w:line="360" w:lineRule="exact"/>
        <w:ind w:leftChars="450" w:left="1640" w:hangingChars="200" w:hanging="560"/>
        <w:jc w:val="both"/>
        <w:rPr>
          <w:rFonts w:ascii="標楷體" w:eastAsia="標楷體" w:hAnsi="標楷體"/>
          <w:sz w:val="28"/>
          <w:szCs w:val="28"/>
        </w:rPr>
      </w:pPr>
      <w:r w:rsidRPr="00D65AED">
        <w:rPr>
          <w:rFonts w:ascii="標楷體" w:eastAsia="標楷體" w:hAnsi="標楷體" w:hint="eastAsia"/>
          <w:sz w:val="28"/>
          <w:szCs w:val="28"/>
        </w:rPr>
        <w:t>1.基金來源：5億6,705萬5千元，照列。</w:t>
      </w:r>
    </w:p>
    <w:p w14:paraId="1642AE2D" w14:textId="77777777" w:rsidR="00421BB5" w:rsidRPr="00D65AED" w:rsidRDefault="00421BB5" w:rsidP="00421BB5">
      <w:pPr>
        <w:spacing w:line="360" w:lineRule="exact"/>
        <w:ind w:leftChars="449" w:left="1358" w:hangingChars="100" w:hanging="280"/>
        <w:jc w:val="both"/>
        <w:rPr>
          <w:rFonts w:ascii="標楷體" w:eastAsia="標楷體" w:hAnsi="標楷體"/>
          <w:sz w:val="28"/>
          <w:szCs w:val="28"/>
        </w:rPr>
      </w:pPr>
      <w:r w:rsidRPr="00D65AED">
        <w:rPr>
          <w:rFonts w:ascii="標楷體" w:eastAsia="標楷體" w:hAnsi="標楷體" w:hint="eastAsia"/>
          <w:sz w:val="28"/>
          <w:szCs w:val="28"/>
        </w:rPr>
        <w:t>2.基金用途：7億1,191萬8千元，照列。</w:t>
      </w:r>
    </w:p>
    <w:p w14:paraId="1720A714" w14:textId="77777777" w:rsidR="00421BB5" w:rsidRPr="00D65AED" w:rsidRDefault="00421BB5" w:rsidP="00421BB5">
      <w:pPr>
        <w:spacing w:line="360" w:lineRule="exact"/>
        <w:ind w:leftChars="449" w:left="1358" w:hangingChars="100" w:hanging="280"/>
        <w:jc w:val="both"/>
        <w:rPr>
          <w:rFonts w:ascii="標楷體" w:eastAsia="標楷體" w:hAnsi="標楷體"/>
          <w:sz w:val="28"/>
          <w:szCs w:val="28"/>
        </w:rPr>
      </w:pPr>
      <w:r w:rsidRPr="00D65AED">
        <w:rPr>
          <w:rFonts w:ascii="標楷體" w:eastAsia="標楷體" w:hAnsi="標楷體" w:hint="eastAsia"/>
          <w:sz w:val="28"/>
          <w:szCs w:val="28"/>
        </w:rPr>
        <w:lastRenderedPageBreak/>
        <w:t>3.本期短絀：1億4,486萬3千元，照列。</w:t>
      </w:r>
    </w:p>
    <w:p w14:paraId="5AB65C9E"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(三)解繳公庫：無列數。</w:t>
      </w:r>
    </w:p>
    <w:p w14:paraId="210BF5A3" w14:textId="77777777" w:rsidR="00421BB5" w:rsidRPr="00D65AED" w:rsidRDefault="00421BB5" w:rsidP="00421BB5">
      <w:pPr>
        <w:spacing w:line="360" w:lineRule="exact"/>
        <w:ind w:leftChars="200" w:left="1041" w:hangingChars="200" w:hanging="561"/>
        <w:jc w:val="both"/>
        <w:rPr>
          <w:rFonts w:ascii="標楷體" w:eastAsia="標楷體" w:hAnsi="標楷體"/>
          <w:b/>
          <w:color w:val="000000"/>
          <w:sz w:val="28"/>
          <w:szCs w:val="28"/>
        </w:rPr>
      </w:pPr>
      <w:r w:rsidRPr="00D65AED">
        <w:rPr>
          <w:rFonts w:ascii="標楷體" w:eastAsia="標楷體" w:hAnsi="標楷體" w:hint="eastAsia"/>
          <w:b/>
          <w:color w:val="000000"/>
          <w:sz w:val="28"/>
          <w:szCs w:val="28"/>
        </w:rPr>
        <w:t>(四)通過決議4項：</w:t>
      </w:r>
    </w:p>
    <w:p w14:paraId="62DB38B1" w14:textId="77777777" w:rsidR="00421BB5" w:rsidRPr="00D65AED" w:rsidRDefault="00421BB5" w:rsidP="00421BB5">
      <w:pPr>
        <w:spacing w:line="360" w:lineRule="exact"/>
        <w:ind w:leftChars="449" w:left="1358" w:hangingChars="100" w:hanging="280"/>
        <w:jc w:val="both"/>
        <w:rPr>
          <w:rFonts w:ascii="標楷體" w:eastAsia="標楷體" w:hAnsi="標楷體"/>
          <w:sz w:val="28"/>
          <w:szCs w:val="28"/>
          <w:shd w:val="clear" w:color="auto" w:fill="FFFFFF"/>
        </w:rPr>
      </w:pPr>
      <w:r w:rsidRPr="00D65AED">
        <w:rPr>
          <w:rFonts w:ascii="標楷體" w:eastAsia="標楷體" w:hAnsi="標楷體" w:hint="eastAsia"/>
          <w:sz w:val="28"/>
          <w:szCs w:val="28"/>
        </w:rPr>
        <w:t>1.112年度</w:t>
      </w:r>
      <w:r w:rsidRPr="00D65AED">
        <w:rPr>
          <w:rFonts w:ascii="標楷體" w:eastAsia="標楷體" w:hAnsi="標楷體" w:hint="eastAsia"/>
          <w:kern w:val="0"/>
          <w:sz w:val="28"/>
          <w:szCs w:val="28"/>
        </w:rPr>
        <w:t>法務部主管</w:t>
      </w:r>
      <w:r w:rsidRPr="00D65AED">
        <w:rPr>
          <w:rFonts w:ascii="標楷體" w:eastAsia="標楷體" w:hAnsi="標楷體" w:hint="eastAsia"/>
          <w:sz w:val="28"/>
          <w:szCs w:val="28"/>
        </w:rPr>
        <w:t>毒品防制基金附屬單位預算「矯正觀護社區預防毒品防制計畫」編列</w:t>
      </w:r>
      <w:r w:rsidRPr="00D65AED">
        <w:rPr>
          <w:rFonts w:ascii="標楷體" w:eastAsia="標楷體" w:hAnsi="標楷體"/>
          <w:sz w:val="28"/>
          <w:szCs w:val="28"/>
        </w:rPr>
        <w:t>2</w:t>
      </w:r>
      <w:r w:rsidRPr="00D65AED">
        <w:rPr>
          <w:rFonts w:ascii="標楷體" w:eastAsia="標楷體" w:hAnsi="標楷體" w:hint="eastAsia"/>
          <w:sz w:val="28"/>
          <w:szCs w:val="28"/>
        </w:rPr>
        <w:t>億6</w:t>
      </w:r>
      <w:r w:rsidRPr="00D65AED">
        <w:rPr>
          <w:rFonts w:ascii="標楷體" w:eastAsia="標楷體" w:hAnsi="標楷體"/>
          <w:sz w:val="28"/>
          <w:szCs w:val="28"/>
        </w:rPr>
        <w:t>,776</w:t>
      </w:r>
      <w:r w:rsidRPr="00D65AED">
        <w:rPr>
          <w:rFonts w:ascii="標楷體" w:eastAsia="標楷體" w:hAnsi="標楷體" w:hint="eastAsia"/>
          <w:sz w:val="28"/>
          <w:szCs w:val="28"/>
        </w:rPr>
        <w:t>萬</w:t>
      </w:r>
      <w:r w:rsidRPr="00D65AED">
        <w:rPr>
          <w:rFonts w:ascii="標楷體" w:eastAsia="標楷體" w:hAnsi="標楷體"/>
          <w:sz w:val="28"/>
          <w:szCs w:val="28"/>
        </w:rPr>
        <w:t>2</w:t>
      </w:r>
      <w:r w:rsidRPr="00D65AED">
        <w:rPr>
          <w:rFonts w:ascii="標楷體" w:eastAsia="標楷體" w:hAnsi="標楷體" w:hint="eastAsia"/>
          <w:sz w:val="28"/>
          <w:szCs w:val="28"/>
        </w:rPr>
        <w:t>千元。臺中於111年7月間查獲大規模大麻毒品91包、混合性毒品咖啡包603包等，毒品氾濫問題極為嚴重，前端偵查、後端戒治問題，應同步重視。據審計部之訪談及問卷(110年決算審核報告-丙42)，毒品戒癮觀護人，每人案件逾200件，更有問卷顯示有77.78%觀護人認為，沒有充分時間深入瞭解輔導之個案。法務部於執行毒品防制基金預算時，應瞭解第一線同仁之困難加以檢討，積極向行政院請增觀護人力，請法務部就相關人力經費資源規劃減少觀護人業務過量，向立法院司法及法制委員會提出</w:t>
      </w:r>
      <w:r w:rsidRPr="00D65AED">
        <w:rPr>
          <w:rFonts w:ascii="標楷體" w:eastAsia="標楷體" w:hAnsi="標楷體" w:hint="eastAsia"/>
          <w:kern w:val="0"/>
          <w:sz w:val="28"/>
          <w:szCs w:val="28"/>
        </w:rPr>
        <w:t>書面</w:t>
      </w:r>
      <w:r w:rsidRPr="00D65AED">
        <w:rPr>
          <w:rFonts w:ascii="標楷體" w:eastAsia="標楷體" w:hAnsi="標楷體" w:hint="eastAsia"/>
          <w:sz w:val="28"/>
          <w:szCs w:val="28"/>
        </w:rPr>
        <w:t>報告</w:t>
      </w:r>
      <w:r w:rsidRPr="00D65AED">
        <w:rPr>
          <w:rFonts w:ascii="標楷體" w:eastAsia="標楷體" w:hAnsi="標楷體" w:hint="eastAsia"/>
          <w:color w:val="000000"/>
          <w:kern w:val="0"/>
          <w:sz w:val="28"/>
          <w:szCs w:val="28"/>
        </w:rPr>
        <w:t>。</w:t>
      </w:r>
    </w:p>
    <w:p w14:paraId="0F1ACD46" w14:textId="77777777" w:rsidR="00421BB5" w:rsidRPr="00D65AED" w:rsidRDefault="00421BB5" w:rsidP="00421BB5">
      <w:pPr>
        <w:spacing w:line="360" w:lineRule="exact"/>
        <w:ind w:leftChars="1441" w:left="4704" w:hangingChars="445" w:hanging="1246"/>
        <w:jc w:val="both"/>
        <w:rPr>
          <w:rFonts w:ascii="標楷體" w:eastAsia="標楷體" w:hAnsi="標楷體"/>
          <w:sz w:val="28"/>
          <w:szCs w:val="28"/>
        </w:rPr>
      </w:pPr>
      <w:r w:rsidRPr="00D65AED">
        <w:rPr>
          <w:rFonts w:ascii="標楷體" w:eastAsia="標楷體" w:hAnsi="標楷體"/>
          <w:sz w:val="28"/>
          <w:szCs w:val="28"/>
        </w:rPr>
        <w:t>提案人：</w:t>
      </w:r>
      <w:r w:rsidRPr="00D65AED">
        <w:rPr>
          <w:rFonts w:ascii="標楷體" w:eastAsia="標楷體" w:hAnsi="標楷體" w:hint="eastAsia"/>
          <w:sz w:val="28"/>
          <w:szCs w:val="28"/>
        </w:rPr>
        <w:t>游毓蘭 曾銘宗 林思銘</w:t>
      </w:r>
      <w:r w:rsidRPr="00D65AED">
        <w:rPr>
          <w:rFonts w:ascii="標楷體" w:eastAsia="標楷體" w:hAnsi="標楷體"/>
          <w:sz w:val="28"/>
          <w:szCs w:val="28"/>
        </w:rPr>
        <w:t xml:space="preserve"> </w:t>
      </w:r>
    </w:p>
    <w:p w14:paraId="1241AA48" w14:textId="77777777" w:rsidR="00421BB5" w:rsidRPr="00D65AED" w:rsidRDefault="00421BB5" w:rsidP="00421BB5">
      <w:pPr>
        <w:spacing w:line="360" w:lineRule="exact"/>
        <w:ind w:leftChars="449" w:left="1358" w:hangingChars="100" w:hanging="280"/>
        <w:jc w:val="both"/>
        <w:rPr>
          <w:rFonts w:ascii="標楷體" w:eastAsia="標楷體" w:hAnsi="標楷體"/>
          <w:kern w:val="0"/>
          <w:sz w:val="28"/>
          <w:szCs w:val="28"/>
        </w:rPr>
      </w:pPr>
      <w:r w:rsidRPr="00D65AED">
        <w:rPr>
          <w:rFonts w:ascii="標楷體" w:eastAsia="標楷體" w:hAnsi="標楷體" w:hint="eastAsia"/>
          <w:kern w:val="0"/>
          <w:sz w:val="28"/>
          <w:szCs w:val="28"/>
        </w:rPr>
        <w:t>2</w:t>
      </w:r>
      <w:r w:rsidRPr="00D65AED">
        <w:rPr>
          <w:rFonts w:ascii="標楷體" w:eastAsia="標楷體" w:hAnsi="標楷體"/>
          <w:kern w:val="0"/>
          <w:sz w:val="28"/>
          <w:szCs w:val="28"/>
        </w:rPr>
        <w:t>.</w:t>
      </w:r>
      <w:r w:rsidRPr="00D65AED">
        <w:rPr>
          <w:rFonts w:ascii="標楷體" w:eastAsia="標楷體" w:hAnsi="標楷體" w:hint="eastAsia"/>
          <w:kern w:val="0"/>
          <w:sz w:val="28"/>
          <w:szCs w:val="28"/>
        </w:rPr>
        <w:t>112年度法務部主管毒品防制基金附屬單位預算「醫療社福毒品防制計畫」編列3億3</w:t>
      </w:r>
      <w:r w:rsidRPr="00D65AED">
        <w:rPr>
          <w:rFonts w:ascii="標楷體" w:eastAsia="標楷體" w:hAnsi="標楷體"/>
          <w:kern w:val="0"/>
          <w:sz w:val="28"/>
          <w:szCs w:val="28"/>
        </w:rPr>
        <w:t>,</w:t>
      </w:r>
      <w:r w:rsidRPr="00D65AED">
        <w:rPr>
          <w:rFonts w:ascii="標楷體" w:eastAsia="標楷體" w:hAnsi="標楷體" w:hint="eastAsia"/>
          <w:kern w:val="0"/>
          <w:sz w:val="28"/>
          <w:szCs w:val="28"/>
        </w:rPr>
        <w:t>820萬6千元。本項經費係衛生福利部向本基金申請，辦理毒品防制業務。請法務部督導考核衛生福利部執行經費情形，是否確保各地方政府毒品防制專責機關構，落實以家庭為中心之追蹤輔導；特別是未進入司法，未必需要戒治之兒少，是否需要其他種類之輔導協助，俾利落實及早防制毒品之作為。請法務部督同衛生福利部就本項計畫案由所揭推展情形，向立法院司法及法制委員會提出書面報告。</w:t>
      </w:r>
    </w:p>
    <w:p w14:paraId="7C2E5A4E" w14:textId="77777777" w:rsidR="00421BB5" w:rsidRPr="00D65AED" w:rsidRDefault="00421BB5" w:rsidP="00421BB5">
      <w:pPr>
        <w:pStyle w:val="2-1"/>
        <w:rPr>
          <w:kern w:val="0"/>
        </w:rPr>
      </w:pPr>
      <w:r w:rsidRPr="00D65AED">
        <w:t>提案人：</w:t>
      </w:r>
      <w:r w:rsidRPr="00D65AED">
        <w:rPr>
          <w:rFonts w:hint="eastAsia"/>
        </w:rPr>
        <w:t>游毓蘭</w:t>
      </w:r>
      <w:r w:rsidRPr="00D65AED">
        <w:rPr>
          <w:kern w:val="0"/>
        </w:rPr>
        <w:t xml:space="preserve"> </w:t>
      </w:r>
      <w:r w:rsidRPr="00D65AED">
        <w:rPr>
          <w:rFonts w:hint="eastAsia"/>
        </w:rPr>
        <w:t>曾銘宗 林思銘</w:t>
      </w:r>
    </w:p>
    <w:p w14:paraId="194B4D7C" w14:textId="77777777" w:rsidR="00421BB5" w:rsidRPr="00D65AED" w:rsidRDefault="00421BB5" w:rsidP="00421BB5">
      <w:pPr>
        <w:spacing w:line="360" w:lineRule="exact"/>
        <w:ind w:leftChars="449" w:left="1358" w:hangingChars="100" w:hanging="280"/>
        <w:jc w:val="both"/>
        <w:rPr>
          <w:rFonts w:ascii="標楷體" w:eastAsia="標楷體" w:hAnsi="標楷體"/>
          <w:sz w:val="28"/>
          <w:szCs w:val="28"/>
          <w:shd w:val="clear" w:color="auto" w:fill="FFFFFF"/>
        </w:rPr>
      </w:pPr>
      <w:r w:rsidRPr="00D65AED">
        <w:rPr>
          <w:rFonts w:ascii="標楷體" w:eastAsia="標楷體" w:hAnsi="標楷體"/>
          <w:kern w:val="0"/>
          <w:sz w:val="28"/>
          <w:szCs w:val="28"/>
        </w:rPr>
        <w:t>3.</w:t>
      </w:r>
      <w:r w:rsidRPr="00D65AED">
        <w:rPr>
          <w:rFonts w:ascii="標楷體" w:eastAsia="標楷體" w:hAnsi="標楷體" w:hint="eastAsia"/>
          <w:kern w:val="0"/>
          <w:sz w:val="28"/>
          <w:szCs w:val="28"/>
        </w:rPr>
        <w:t>112年度法務部主管毒品防制基金附屬單位預算「社會維安毒品防制計畫」編列5</w:t>
      </w:r>
      <w:r w:rsidRPr="00D65AED">
        <w:rPr>
          <w:rFonts w:ascii="標楷體" w:eastAsia="標楷體" w:hAnsi="標楷體"/>
          <w:kern w:val="0"/>
          <w:sz w:val="28"/>
          <w:szCs w:val="28"/>
        </w:rPr>
        <w:t>,</w:t>
      </w:r>
      <w:r w:rsidRPr="00D65AED">
        <w:rPr>
          <w:rFonts w:ascii="標楷體" w:eastAsia="標楷體" w:hAnsi="標楷體" w:hint="eastAsia"/>
          <w:kern w:val="0"/>
          <w:sz w:val="28"/>
          <w:szCs w:val="28"/>
        </w:rPr>
        <w:t>000萬1千元，法務部應行改善。本項經費係內政部向本基金申請，辦理毒品防制業務，其編列「補助毒品扣押物數位化管理平臺建置計畫」（2,500萬元，該經費係為無線射頻識別系統RFID管理毒品贓證物），為111年立法院審議本附屬單位預算時要求，始新增編列。法務部為相同目的，於本基金編列共6</w:t>
      </w:r>
      <w:r w:rsidRPr="00D65AED">
        <w:rPr>
          <w:rFonts w:ascii="標楷體" w:eastAsia="標楷體" w:hAnsi="標楷體"/>
          <w:kern w:val="0"/>
          <w:sz w:val="28"/>
          <w:szCs w:val="28"/>
        </w:rPr>
        <w:t>,</w:t>
      </w:r>
      <w:r w:rsidRPr="00D65AED">
        <w:rPr>
          <w:rFonts w:ascii="標楷體" w:eastAsia="標楷體" w:hAnsi="標楷體" w:hint="eastAsia"/>
          <w:kern w:val="0"/>
          <w:sz w:val="28"/>
          <w:szCs w:val="28"/>
        </w:rPr>
        <w:t>339萬7千元。但從毒品扣押來說，內政部警政署為偵查之前端，警察機關之地點也較各檢察署數量更多地點更廣，經費卻較少，資源分配是否合理?不無檢討餘地。爰法務部執行本項經費案由部分業務時，檢討就警察機關及檢察機關毒品扣押數位化經費分配是否合理，並於3個月內將檢討情形向立法院司法及法制委員會提出書面報告。</w:t>
      </w:r>
    </w:p>
    <w:p w14:paraId="78E85E4B" w14:textId="77777777" w:rsidR="00421BB5" w:rsidRPr="00D65AED" w:rsidRDefault="00421BB5" w:rsidP="00421BB5">
      <w:pPr>
        <w:pStyle w:val="2-1"/>
      </w:pPr>
      <w:r w:rsidRPr="00D65AED">
        <w:t>提案人：</w:t>
      </w:r>
      <w:r w:rsidRPr="00D65AED">
        <w:rPr>
          <w:rFonts w:hint="eastAsia"/>
        </w:rPr>
        <w:t>游毓蘭</w:t>
      </w:r>
      <w:r w:rsidRPr="00D65AED">
        <w:rPr>
          <w:kern w:val="0"/>
        </w:rPr>
        <w:t xml:space="preserve"> </w:t>
      </w:r>
      <w:r w:rsidRPr="00D65AED">
        <w:rPr>
          <w:rFonts w:hint="eastAsia"/>
        </w:rPr>
        <w:t>曾銘宗 林思銘</w:t>
      </w:r>
    </w:p>
    <w:p w14:paraId="057651B2" w14:textId="77777777" w:rsidR="00421BB5" w:rsidRPr="00D65AED" w:rsidRDefault="00421BB5" w:rsidP="00421BB5">
      <w:pPr>
        <w:pStyle w:val="2-1"/>
        <w:ind w:leftChars="455" w:left="1355" w:hangingChars="94" w:hanging="263"/>
        <w:rPr>
          <w:rStyle w:val="0-0"/>
        </w:rPr>
      </w:pPr>
      <w:r w:rsidRPr="00D65AED">
        <w:rPr>
          <w:kern w:val="0"/>
        </w:rPr>
        <w:t>4.</w:t>
      </w:r>
      <w:r w:rsidRPr="00D65AED">
        <w:rPr>
          <w:rFonts w:hint="eastAsia"/>
          <w:kern w:val="0"/>
        </w:rPr>
        <w:t>112年度法務部主管毒品防制基金附屬單位預算「社會維安</w:t>
      </w:r>
      <w:r w:rsidRPr="00D65AED">
        <w:rPr>
          <w:rFonts w:hint="eastAsia"/>
          <w:kern w:val="0"/>
        </w:rPr>
        <w:lastRenderedPageBreak/>
        <w:t>毒品防制計畫」編列5</w:t>
      </w:r>
      <w:r w:rsidRPr="00D65AED">
        <w:rPr>
          <w:kern w:val="0"/>
        </w:rPr>
        <w:t>,</w:t>
      </w:r>
      <w:r w:rsidRPr="00D65AED">
        <w:rPr>
          <w:rFonts w:hint="eastAsia"/>
          <w:kern w:val="0"/>
        </w:rPr>
        <w:t>000萬1千元，法務部應行改善。本項經費係內政部向本基金申請，辦理毒品防制業務，緣少年輔導委員會新制將於112年7月上路，主要由社會安全網及本基金支應相關經費。惟查本基金資料，似乎以單次宣導、輔導為主。據審計部之訪談及問卷(110年決算審核報告-丙42)，毒品戒癮觀護人，每人案件逾200件，更有問卷顯示有77.78%觀護人認為，沒有充分時間深入瞭解輔導之個案；如果再加上未進入司法及勒戒程序，毒品曝險程度較低、尚能及早防制之少年，僅以個別場次之宣導輔導諮詢是否足夠，似宜檢討。綜上請法務部與相關中央地方執行單位密集討論，作為未來編列此項經費之檢討參與。爰法務部執行本項經費案由部分業務時，檢討少年輔導委員會毒防諮詢輔導服務方式是否恰當，並於3個月內將檢討情形向立法院司法及法制委員會提出書面報告。</w:t>
      </w:r>
    </w:p>
    <w:p w14:paraId="2728C340" w14:textId="77777777" w:rsidR="00421BB5" w:rsidRPr="00D65AED" w:rsidRDefault="00421BB5" w:rsidP="00421BB5">
      <w:pPr>
        <w:pStyle w:val="2-1"/>
      </w:pPr>
      <w:r w:rsidRPr="00D65AED">
        <w:t>提案人：</w:t>
      </w:r>
      <w:r w:rsidRPr="00D65AED">
        <w:rPr>
          <w:rFonts w:hint="eastAsia"/>
        </w:rPr>
        <w:t>游毓蘭</w:t>
      </w:r>
      <w:r w:rsidRPr="00D65AED">
        <w:rPr>
          <w:kern w:val="0"/>
        </w:rPr>
        <w:t xml:space="preserve"> </w:t>
      </w:r>
      <w:r w:rsidRPr="00D65AED">
        <w:rPr>
          <w:rFonts w:hint="eastAsia"/>
        </w:rPr>
        <w:t>曾銘宗 林思銘</w:t>
      </w:r>
    </w:p>
    <w:p w14:paraId="61D740D2" w14:textId="77777777" w:rsidR="00421BB5" w:rsidRPr="00D65AED" w:rsidRDefault="00421BB5" w:rsidP="00421BB5">
      <w:pPr>
        <w:pStyle w:val="2-1"/>
        <w:ind w:leftChars="211" w:left="1063" w:hangingChars="199" w:hanging="557"/>
      </w:pPr>
      <w:r w:rsidRPr="00D65AED">
        <w:rPr>
          <w:rFonts w:hint="eastAsia"/>
        </w:rPr>
        <w:t>(五)本案審查完竣，提報院會，院會討論前，須交由黨團協商；院會討論時，由林召集</w:t>
      </w:r>
      <w:r w:rsidRPr="00D65AED">
        <w:t>委員</w:t>
      </w:r>
      <w:r w:rsidRPr="00D65AED">
        <w:rPr>
          <w:rFonts w:hint="eastAsia"/>
        </w:rPr>
        <w:t>思銘出席說明。</w:t>
      </w:r>
    </w:p>
    <w:p w14:paraId="19DE9893" w14:textId="77777777" w:rsidR="00421BB5" w:rsidRPr="00D65AED" w:rsidRDefault="00421BB5" w:rsidP="00421BB5">
      <w:pPr>
        <w:adjustRightInd w:val="0"/>
        <w:snapToGrid w:val="0"/>
        <w:spacing w:beforeLines="20" w:before="72" w:line="360" w:lineRule="exact"/>
        <w:jc w:val="both"/>
        <w:rPr>
          <w:rFonts w:ascii="標楷體" w:eastAsia="標楷體" w:hAnsi="標楷體"/>
          <w:b/>
          <w:sz w:val="28"/>
          <w:szCs w:val="28"/>
        </w:rPr>
      </w:pPr>
      <w:r w:rsidRPr="00D65AED">
        <w:rPr>
          <w:rFonts w:ascii="標楷體" w:eastAsia="標楷體" w:hAnsi="標楷體" w:hint="eastAsia"/>
          <w:b/>
          <w:sz w:val="28"/>
          <w:szCs w:val="28"/>
        </w:rPr>
        <w:t>四、</w:t>
      </w:r>
      <w:r w:rsidRPr="00D65AED">
        <w:rPr>
          <w:rFonts w:ascii="標楷體" w:eastAsia="標楷體" w:hAnsi="標楷體"/>
          <w:b/>
          <w:sz w:val="28"/>
          <w:szCs w:val="28"/>
        </w:rPr>
        <w:t>財團法人臺灣更生保護會</w:t>
      </w:r>
      <w:r w:rsidRPr="00D65AED">
        <w:rPr>
          <w:rFonts w:ascii="標楷體" w:eastAsia="標楷體" w:hAnsi="標楷體" w:hint="eastAsia"/>
          <w:b/>
          <w:sz w:val="28"/>
          <w:szCs w:val="28"/>
        </w:rPr>
        <w:t>11</w:t>
      </w:r>
      <w:r w:rsidRPr="00D65AED">
        <w:rPr>
          <w:rFonts w:ascii="標楷體" w:eastAsia="標楷體" w:hAnsi="標楷體"/>
          <w:b/>
          <w:sz w:val="28"/>
          <w:szCs w:val="28"/>
        </w:rPr>
        <w:t>2</w:t>
      </w:r>
      <w:r w:rsidRPr="00D65AED">
        <w:rPr>
          <w:rFonts w:ascii="標楷體" w:eastAsia="標楷體" w:hAnsi="標楷體" w:hint="eastAsia"/>
          <w:b/>
          <w:sz w:val="28"/>
          <w:szCs w:val="28"/>
        </w:rPr>
        <w:t>年度預算書案：</w:t>
      </w:r>
    </w:p>
    <w:p w14:paraId="0B90028B"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(一)業務計畫：應依據業務收支、轉投資、固定資產投資及資金運用等項之審查結果，隨同調整。</w:t>
      </w:r>
    </w:p>
    <w:p w14:paraId="2EBE3862"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(二)業務收支：</w:t>
      </w:r>
    </w:p>
    <w:p w14:paraId="5285CFAF" w14:textId="77777777" w:rsidR="00421BB5" w:rsidRPr="00D65AED" w:rsidRDefault="00421BB5" w:rsidP="00421BB5">
      <w:pPr>
        <w:spacing w:line="360" w:lineRule="exact"/>
        <w:ind w:leftChars="450" w:left="1360" w:hangingChars="100" w:hanging="280"/>
        <w:jc w:val="both"/>
        <w:rPr>
          <w:rFonts w:ascii="標楷體" w:eastAsia="標楷體" w:hAnsi="標楷體"/>
          <w:sz w:val="28"/>
          <w:szCs w:val="28"/>
        </w:rPr>
      </w:pPr>
      <w:r w:rsidRPr="00D65AED">
        <w:rPr>
          <w:rFonts w:ascii="標楷體" w:eastAsia="標楷體" w:hAnsi="標楷體" w:hint="eastAsia"/>
          <w:sz w:val="28"/>
          <w:szCs w:val="28"/>
        </w:rPr>
        <w:t>1.業務總收入：2億9,603萬1千元，照列。</w:t>
      </w:r>
    </w:p>
    <w:p w14:paraId="727D3C5F" w14:textId="77777777" w:rsidR="00421BB5" w:rsidRPr="00D65AED" w:rsidRDefault="00421BB5" w:rsidP="00421BB5">
      <w:pPr>
        <w:spacing w:line="360" w:lineRule="exact"/>
        <w:ind w:leftChars="450" w:left="1360" w:hangingChars="100" w:hanging="280"/>
        <w:jc w:val="both"/>
        <w:rPr>
          <w:rFonts w:ascii="標楷體" w:eastAsia="標楷體" w:hAnsi="標楷體"/>
          <w:sz w:val="28"/>
          <w:szCs w:val="28"/>
        </w:rPr>
      </w:pPr>
      <w:r w:rsidRPr="00D65AED">
        <w:rPr>
          <w:rFonts w:ascii="標楷體" w:eastAsia="標楷體" w:hAnsi="標楷體" w:hint="eastAsia"/>
          <w:sz w:val="28"/>
          <w:szCs w:val="28"/>
        </w:rPr>
        <w:t>2.業務總支出：2億9,603萬1千元，照列。</w:t>
      </w:r>
    </w:p>
    <w:p w14:paraId="4981F382" w14:textId="77777777" w:rsidR="00421BB5" w:rsidRPr="00D65AED" w:rsidRDefault="00421BB5" w:rsidP="00421BB5">
      <w:pPr>
        <w:spacing w:line="360" w:lineRule="exact"/>
        <w:ind w:leftChars="450" w:left="1360" w:hangingChars="100" w:hanging="280"/>
        <w:jc w:val="both"/>
        <w:rPr>
          <w:rFonts w:ascii="標楷體" w:eastAsia="標楷體" w:hAnsi="標楷體"/>
          <w:sz w:val="28"/>
          <w:szCs w:val="28"/>
        </w:rPr>
      </w:pPr>
      <w:r w:rsidRPr="00D65AED">
        <w:rPr>
          <w:rFonts w:ascii="標楷體" w:eastAsia="標楷體" w:hAnsi="標楷體" w:hint="eastAsia"/>
          <w:sz w:val="28"/>
          <w:szCs w:val="28"/>
        </w:rPr>
        <w:t>3.本期餘絀：0元，照列</w:t>
      </w:r>
      <w:r w:rsidRPr="00D65AED">
        <w:rPr>
          <w:rFonts w:ascii="標楷體" w:eastAsia="標楷體" w:hAnsi="標楷體"/>
          <w:sz w:val="28"/>
          <w:szCs w:val="28"/>
        </w:rPr>
        <w:t>。</w:t>
      </w:r>
    </w:p>
    <w:p w14:paraId="1967AAC1"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(三)解繳公庫淨額：無列數。</w:t>
      </w:r>
    </w:p>
    <w:p w14:paraId="390E7080"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(四)轉投資計畫：無列數。</w:t>
      </w:r>
    </w:p>
    <w:p w14:paraId="79FEB5CA"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(五)固定資產投資：120萬9千元，照列。</w:t>
      </w:r>
    </w:p>
    <w:p w14:paraId="3B90F7AD"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(六)國庫增撥基金額：無列數。</w:t>
      </w:r>
    </w:p>
    <w:p w14:paraId="437A73E6" w14:textId="77777777" w:rsidR="00421BB5" w:rsidRPr="00D65AED" w:rsidRDefault="00421BB5" w:rsidP="00421BB5">
      <w:pPr>
        <w:adjustRightInd w:val="0"/>
        <w:snapToGrid w:val="0"/>
        <w:spacing w:beforeLines="20" w:before="72" w:line="360" w:lineRule="exact"/>
        <w:jc w:val="both"/>
        <w:rPr>
          <w:rFonts w:ascii="標楷體" w:eastAsia="標楷體" w:hAnsi="標楷體"/>
          <w:b/>
          <w:sz w:val="28"/>
          <w:szCs w:val="28"/>
        </w:rPr>
      </w:pPr>
      <w:r w:rsidRPr="00D65AED">
        <w:rPr>
          <w:rFonts w:ascii="標楷體" w:eastAsia="標楷體" w:hAnsi="標楷體" w:hint="eastAsia"/>
          <w:b/>
          <w:sz w:val="28"/>
          <w:szCs w:val="28"/>
        </w:rPr>
        <w:t>五、財團法人福建更生保護會11</w:t>
      </w:r>
      <w:r w:rsidRPr="00D65AED">
        <w:rPr>
          <w:rFonts w:ascii="標楷體" w:eastAsia="標楷體" w:hAnsi="標楷體"/>
          <w:b/>
          <w:sz w:val="28"/>
          <w:szCs w:val="28"/>
        </w:rPr>
        <w:t>2</w:t>
      </w:r>
      <w:r w:rsidRPr="00D65AED">
        <w:rPr>
          <w:rFonts w:ascii="標楷體" w:eastAsia="標楷體" w:hAnsi="標楷體" w:hint="eastAsia"/>
          <w:b/>
          <w:sz w:val="28"/>
          <w:szCs w:val="28"/>
        </w:rPr>
        <w:t>年度預算書案：</w:t>
      </w:r>
    </w:p>
    <w:p w14:paraId="4BBD2668"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(一)業務計畫：應依據業務收支、轉投資、固定資產投資及資金運用等項之審查結果，隨同調整。</w:t>
      </w:r>
    </w:p>
    <w:p w14:paraId="3277342E"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(二)業務收支：</w:t>
      </w:r>
    </w:p>
    <w:p w14:paraId="22199EBB" w14:textId="77777777" w:rsidR="00421BB5" w:rsidRPr="00D65AED" w:rsidRDefault="00421BB5" w:rsidP="00421BB5">
      <w:pPr>
        <w:spacing w:line="360" w:lineRule="exact"/>
        <w:ind w:leftChars="450" w:left="1640" w:hangingChars="200" w:hanging="560"/>
        <w:jc w:val="both"/>
        <w:rPr>
          <w:rFonts w:ascii="標楷體" w:eastAsia="標楷體" w:hAnsi="標楷體"/>
          <w:sz w:val="28"/>
          <w:szCs w:val="28"/>
        </w:rPr>
      </w:pPr>
      <w:r w:rsidRPr="00D65AED">
        <w:rPr>
          <w:rFonts w:ascii="標楷體" w:eastAsia="標楷體" w:hAnsi="標楷體" w:hint="eastAsia"/>
          <w:sz w:val="28"/>
          <w:szCs w:val="28"/>
        </w:rPr>
        <w:t>1.業務總收入：689萬2千元，照列。</w:t>
      </w:r>
    </w:p>
    <w:p w14:paraId="4BEB337D" w14:textId="77777777" w:rsidR="00421BB5" w:rsidRPr="00D65AED" w:rsidRDefault="00421BB5" w:rsidP="00421BB5">
      <w:pPr>
        <w:spacing w:line="360" w:lineRule="exact"/>
        <w:ind w:leftChars="450" w:left="1640" w:hangingChars="200" w:hanging="560"/>
        <w:jc w:val="both"/>
        <w:rPr>
          <w:rFonts w:ascii="標楷體" w:eastAsia="標楷體" w:hAnsi="標楷體"/>
          <w:sz w:val="28"/>
          <w:szCs w:val="28"/>
        </w:rPr>
      </w:pPr>
      <w:r w:rsidRPr="00D65AED">
        <w:rPr>
          <w:rFonts w:ascii="標楷體" w:eastAsia="標楷體" w:hAnsi="標楷體" w:hint="eastAsia"/>
          <w:sz w:val="28"/>
          <w:szCs w:val="28"/>
        </w:rPr>
        <w:t>2.業務總支出：689萬2千元，照列。</w:t>
      </w:r>
    </w:p>
    <w:p w14:paraId="19232E29" w14:textId="77777777" w:rsidR="00421BB5" w:rsidRPr="00D65AED" w:rsidRDefault="00421BB5" w:rsidP="00421BB5">
      <w:pPr>
        <w:spacing w:line="360" w:lineRule="exact"/>
        <w:ind w:leftChars="450" w:left="1640" w:hangingChars="200" w:hanging="560"/>
        <w:jc w:val="both"/>
        <w:rPr>
          <w:rFonts w:ascii="標楷體" w:eastAsia="標楷體" w:hAnsi="標楷體"/>
          <w:sz w:val="28"/>
          <w:szCs w:val="28"/>
        </w:rPr>
      </w:pPr>
      <w:r w:rsidRPr="00D65AED">
        <w:rPr>
          <w:rFonts w:ascii="標楷體" w:eastAsia="標楷體" w:hAnsi="標楷體" w:hint="eastAsia"/>
          <w:sz w:val="28"/>
          <w:szCs w:val="28"/>
        </w:rPr>
        <w:t>3.本期餘絀：0元，照列。</w:t>
      </w:r>
    </w:p>
    <w:p w14:paraId="75AE9603"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(三)解繳公庫淨額：無列數。</w:t>
      </w:r>
    </w:p>
    <w:p w14:paraId="45BDD6FE"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(四)轉投資計畫：無列數。</w:t>
      </w:r>
    </w:p>
    <w:p w14:paraId="1EEDA950"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(五)固定資產投資：4萬4千元，照列。</w:t>
      </w:r>
    </w:p>
    <w:p w14:paraId="1E853024"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(六)國庫增撥基金額：無列數。</w:t>
      </w:r>
    </w:p>
    <w:p w14:paraId="769492E4" w14:textId="77777777" w:rsidR="00421BB5" w:rsidRPr="00D65AED" w:rsidRDefault="00421BB5" w:rsidP="00421BB5">
      <w:pPr>
        <w:adjustRightInd w:val="0"/>
        <w:snapToGrid w:val="0"/>
        <w:spacing w:beforeLines="20" w:before="72" w:line="360" w:lineRule="exact"/>
        <w:jc w:val="both"/>
        <w:rPr>
          <w:rFonts w:ascii="標楷體" w:eastAsia="標楷體" w:hAnsi="標楷體"/>
          <w:b/>
          <w:sz w:val="28"/>
          <w:szCs w:val="28"/>
        </w:rPr>
      </w:pPr>
      <w:r w:rsidRPr="00D65AED">
        <w:rPr>
          <w:rFonts w:ascii="標楷體" w:eastAsia="標楷體" w:hAnsi="標楷體" w:hint="eastAsia"/>
          <w:b/>
          <w:sz w:val="28"/>
          <w:szCs w:val="28"/>
        </w:rPr>
        <w:lastRenderedPageBreak/>
        <w:t>六、</w:t>
      </w:r>
      <w:r w:rsidRPr="00D65AED">
        <w:rPr>
          <w:rFonts w:ascii="標楷體" w:eastAsia="標楷體" w:hAnsi="標楷體"/>
          <w:b/>
          <w:sz w:val="28"/>
          <w:szCs w:val="28"/>
        </w:rPr>
        <w:t>財團法人犯罪被害人保護協會</w:t>
      </w:r>
      <w:r w:rsidRPr="00D65AED">
        <w:rPr>
          <w:rFonts w:ascii="標楷體" w:eastAsia="標楷體" w:hAnsi="標楷體" w:hint="eastAsia"/>
          <w:b/>
          <w:sz w:val="28"/>
          <w:szCs w:val="28"/>
        </w:rPr>
        <w:t>11</w:t>
      </w:r>
      <w:r w:rsidRPr="00D65AED">
        <w:rPr>
          <w:rFonts w:ascii="標楷體" w:eastAsia="標楷體" w:hAnsi="標楷體"/>
          <w:b/>
          <w:sz w:val="28"/>
          <w:szCs w:val="28"/>
        </w:rPr>
        <w:t>2</w:t>
      </w:r>
      <w:r w:rsidRPr="00D65AED">
        <w:rPr>
          <w:rFonts w:ascii="標楷體" w:eastAsia="標楷體" w:hAnsi="標楷體" w:hint="eastAsia"/>
          <w:b/>
          <w:sz w:val="28"/>
          <w:szCs w:val="28"/>
        </w:rPr>
        <w:t>年度預算書案：</w:t>
      </w:r>
    </w:p>
    <w:p w14:paraId="3CD42F69"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(一)業務計畫：應依據業務收支、轉投資、固定資產投資及資金運用等項之審查結果，隨同調整。</w:t>
      </w:r>
    </w:p>
    <w:p w14:paraId="332BAF47"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(二)業務收支：</w:t>
      </w:r>
    </w:p>
    <w:p w14:paraId="2DF0125B" w14:textId="77777777" w:rsidR="00421BB5" w:rsidRPr="00D65AED" w:rsidRDefault="00421BB5" w:rsidP="00421BB5">
      <w:pPr>
        <w:spacing w:line="360" w:lineRule="exact"/>
        <w:ind w:leftChars="450" w:left="1640" w:hangingChars="200" w:hanging="560"/>
        <w:jc w:val="both"/>
        <w:rPr>
          <w:rFonts w:ascii="標楷體" w:eastAsia="標楷體" w:hAnsi="標楷體"/>
          <w:sz w:val="28"/>
          <w:szCs w:val="28"/>
        </w:rPr>
      </w:pPr>
      <w:r w:rsidRPr="00D65AED">
        <w:rPr>
          <w:rFonts w:ascii="標楷體" w:eastAsia="標楷體" w:hAnsi="標楷體" w:hint="eastAsia"/>
          <w:sz w:val="28"/>
          <w:szCs w:val="28"/>
        </w:rPr>
        <w:t>1.業務總收入：1億7</w:t>
      </w:r>
      <w:r w:rsidRPr="00D65AED">
        <w:rPr>
          <w:rFonts w:ascii="標楷體" w:eastAsia="標楷體" w:hAnsi="標楷體"/>
          <w:sz w:val="28"/>
          <w:szCs w:val="28"/>
        </w:rPr>
        <w:t>,</w:t>
      </w:r>
      <w:r w:rsidRPr="00D65AED">
        <w:rPr>
          <w:rFonts w:ascii="標楷體" w:eastAsia="標楷體" w:hAnsi="標楷體" w:hint="eastAsia"/>
          <w:sz w:val="28"/>
          <w:szCs w:val="28"/>
        </w:rPr>
        <w:t>871萬9千元，照列。</w:t>
      </w:r>
    </w:p>
    <w:p w14:paraId="6DFD058C" w14:textId="77777777" w:rsidR="00421BB5" w:rsidRPr="00D65AED" w:rsidRDefault="00421BB5" w:rsidP="00421BB5">
      <w:pPr>
        <w:spacing w:line="360" w:lineRule="exact"/>
        <w:ind w:leftChars="449" w:left="1358" w:hangingChars="100" w:hanging="280"/>
        <w:jc w:val="both"/>
        <w:rPr>
          <w:rFonts w:ascii="標楷體" w:eastAsia="標楷體" w:hAnsi="標楷體"/>
          <w:sz w:val="28"/>
          <w:szCs w:val="28"/>
        </w:rPr>
      </w:pPr>
      <w:r w:rsidRPr="00D65AED">
        <w:rPr>
          <w:rFonts w:ascii="標楷體" w:eastAsia="標楷體" w:hAnsi="標楷體" w:hint="eastAsia"/>
          <w:sz w:val="28"/>
          <w:szCs w:val="28"/>
        </w:rPr>
        <w:t>2.業務總支出：</w:t>
      </w:r>
      <w:r w:rsidRPr="00D65AED">
        <w:rPr>
          <w:rFonts w:ascii="標楷體" w:eastAsia="標楷體" w:hAnsi="標楷體"/>
          <w:sz w:val="28"/>
          <w:szCs w:val="28"/>
        </w:rPr>
        <w:t>1</w:t>
      </w:r>
      <w:r w:rsidRPr="00D65AED">
        <w:rPr>
          <w:rFonts w:ascii="標楷體" w:eastAsia="標楷體" w:hAnsi="標楷體" w:hint="eastAsia"/>
          <w:sz w:val="28"/>
          <w:szCs w:val="28"/>
        </w:rPr>
        <w:t>億7</w:t>
      </w:r>
      <w:r w:rsidRPr="00D65AED">
        <w:rPr>
          <w:rFonts w:ascii="標楷體" w:eastAsia="標楷體" w:hAnsi="標楷體"/>
          <w:sz w:val="28"/>
          <w:szCs w:val="28"/>
        </w:rPr>
        <w:t>,</w:t>
      </w:r>
      <w:r w:rsidRPr="00D65AED">
        <w:rPr>
          <w:rFonts w:ascii="標楷體" w:eastAsia="標楷體" w:hAnsi="標楷體" w:hint="eastAsia"/>
          <w:sz w:val="28"/>
          <w:szCs w:val="28"/>
        </w:rPr>
        <w:t>871萬9千元，照列。</w:t>
      </w:r>
    </w:p>
    <w:p w14:paraId="1ECAB98F" w14:textId="77777777" w:rsidR="00421BB5" w:rsidRPr="00D65AED" w:rsidRDefault="00421BB5" w:rsidP="00421BB5">
      <w:pPr>
        <w:spacing w:line="360" w:lineRule="exact"/>
        <w:ind w:leftChars="450" w:left="1640" w:hangingChars="200" w:hanging="560"/>
        <w:jc w:val="both"/>
        <w:rPr>
          <w:rFonts w:ascii="標楷體" w:eastAsia="標楷體" w:hAnsi="標楷體"/>
          <w:sz w:val="28"/>
          <w:szCs w:val="28"/>
        </w:rPr>
      </w:pPr>
      <w:r w:rsidRPr="00D65AED">
        <w:rPr>
          <w:rFonts w:ascii="標楷體" w:eastAsia="標楷體" w:hAnsi="標楷體" w:hint="eastAsia"/>
          <w:sz w:val="28"/>
          <w:szCs w:val="28"/>
        </w:rPr>
        <w:t>3.本期餘絀：0元，照列。</w:t>
      </w:r>
    </w:p>
    <w:p w14:paraId="623D536D"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(三)解繳公庫淨額：無列數。</w:t>
      </w:r>
    </w:p>
    <w:p w14:paraId="65B66A71"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(四)轉投資計畫：無列數。</w:t>
      </w:r>
    </w:p>
    <w:p w14:paraId="221E55D5" w14:textId="77777777" w:rsidR="00421BB5" w:rsidRPr="00D65AED" w:rsidRDefault="00421BB5" w:rsidP="00421BB5">
      <w:pPr>
        <w:spacing w:line="360" w:lineRule="exact"/>
        <w:ind w:leftChars="200" w:left="1040" w:hangingChars="200" w:hanging="560"/>
        <w:jc w:val="both"/>
        <w:rPr>
          <w:rFonts w:ascii="標楷體" w:eastAsia="標楷體" w:hAnsi="標楷體"/>
          <w:sz w:val="28"/>
          <w:szCs w:val="28"/>
        </w:rPr>
      </w:pPr>
      <w:r w:rsidRPr="00D65AED">
        <w:rPr>
          <w:rFonts w:ascii="標楷體" w:eastAsia="標楷體" w:hAnsi="標楷體" w:hint="eastAsia"/>
          <w:sz w:val="28"/>
          <w:szCs w:val="28"/>
        </w:rPr>
        <w:t>(五)固定資產投資：206萬元，照列。</w:t>
      </w:r>
    </w:p>
    <w:p w14:paraId="00CF8B9F" w14:textId="77777777" w:rsidR="00421BB5" w:rsidRPr="00D65AED" w:rsidRDefault="00421BB5" w:rsidP="00421BB5">
      <w:pPr>
        <w:pStyle w:val="2-1"/>
        <w:ind w:leftChars="204" w:left="613" w:hangingChars="44" w:hanging="123"/>
        <w:rPr>
          <w:kern w:val="0"/>
        </w:rPr>
      </w:pPr>
      <w:r w:rsidRPr="00D65AED">
        <w:rPr>
          <w:rFonts w:hint="eastAsia"/>
        </w:rPr>
        <w:t>(六)國庫增撥基金額：無列數。</w:t>
      </w:r>
    </w:p>
    <w:p w14:paraId="352C11ED" w14:textId="77777777" w:rsidR="00421BB5" w:rsidRPr="00D65AED" w:rsidRDefault="00421BB5" w:rsidP="00421BB5">
      <w:pPr>
        <w:adjustRightInd w:val="0"/>
        <w:snapToGrid w:val="0"/>
        <w:spacing w:line="360" w:lineRule="exact"/>
        <w:ind w:left="560" w:hangingChars="200" w:hanging="560"/>
        <w:rPr>
          <w:rFonts w:ascii="標楷體" w:eastAsia="標楷體" w:hAnsi="標楷體"/>
          <w:sz w:val="28"/>
          <w:szCs w:val="28"/>
        </w:rPr>
      </w:pPr>
      <w:r w:rsidRPr="00D65AED">
        <w:rPr>
          <w:rFonts w:ascii="標楷體" w:eastAsia="標楷體" w:hAnsi="標楷體" w:hint="eastAsia"/>
          <w:sz w:val="28"/>
          <w:szCs w:val="28"/>
          <w:shd w:val="clear" w:color="auto" w:fill="FFFFFF"/>
        </w:rPr>
        <w:t>七、法務部函送</w:t>
      </w:r>
      <w:r w:rsidRPr="00D65AED">
        <w:rPr>
          <w:rFonts w:ascii="標楷體" w:eastAsia="標楷體" w:hAnsi="標楷體"/>
          <w:sz w:val="28"/>
          <w:szCs w:val="28"/>
          <w:shd w:val="clear" w:color="auto" w:fill="FFFFFF"/>
        </w:rPr>
        <w:t>財團法人臺灣更生保護會</w:t>
      </w:r>
      <w:r w:rsidRPr="00D65AED">
        <w:rPr>
          <w:rFonts w:ascii="標楷體" w:eastAsia="標楷體" w:hAnsi="標楷體" w:hint="eastAsia"/>
          <w:sz w:val="28"/>
          <w:szCs w:val="28"/>
          <w:shd w:val="clear" w:color="auto" w:fill="FFFFFF"/>
        </w:rPr>
        <w:t>、</w:t>
      </w:r>
      <w:r w:rsidRPr="00D65AED">
        <w:rPr>
          <w:rFonts w:ascii="標楷體" w:eastAsia="標楷體" w:hAnsi="標楷體"/>
          <w:sz w:val="28"/>
          <w:szCs w:val="28"/>
          <w:shd w:val="clear" w:color="auto" w:fill="FFFFFF"/>
        </w:rPr>
        <w:t>財團法人福建更生保護會</w:t>
      </w:r>
      <w:r w:rsidRPr="00D65AED">
        <w:rPr>
          <w:rFonts w:ascii="標楷體" w:eastAsia="標楷體" w:hAnsi="標楷體" w:hint="eastAsia"/>
          <w:sz w:val="28"/>
          <w:szCs w:val="28"/>
          <w:shd w:val="clear" w:color="auto" w:fill="FFFFFF"/>
        </w:rPr>
        <w:t>及</w:t>
      </w:r>
      <w:r w:rsidRPr="00D65AED">
        <w:rPr>
          <w:rFonts w:ascii="標楷體" w:eastAsia="標楷體" w:hAnsi="標楷體"/>
          <w:sz w:val="28"/>
          <w:szCs w:val="28"/>
          <w:shd w:val="clear" w:color="auto" w:fill="FFFFFF"/>
        </w:rPr>
        <w:t>財團法人犯罪被害人保護協會1</w:t>
      </w:r>
      <w:r w:rsidRPr="00D65AED">
        <w:rPr>
          <w:rFonts w:ascii="標楷體" w:eastAsia="標楷體" w:hAnsi="標楷體" w:hint="eastAsia"/>
          <w:sz w:val="28"/>
          <w:szCs w:val="28"/>
          <w:shd w:val="clear" w:color="auto" w:fill="FFFFFF"/>
        </w:rPr>
        <w:t>1</w:t>
      </w:r>
      <w:r w:rsidRPr="00D65AED">
        <w:rPr>
          <w:rFonts w:ascii="標楷體" w:eastAsia="標楷體" w:hAnsi="標楷體"/>
          <w:sz w:val="28"/>
          <w:szCs w:val="28"/>
          <w:shd w:val="clear" w:color="auto" w:fill="FFFFFF"/>
        </w:rPr>
        <w:t>2年度預算書案</w:t>
      </w:r>
      <w:r w:rsidRPr="00D65AED">
        <w:rPr>
          <w:rFonts w:ascii="標楷體" w:eastAsia="標楷體" w:hAnsi="標楷體" w:hint="eastAsia"/>
          <w:sz w:val="28"/>
          <w:szCs w:val="28"/>
          <w:shd w:val="clear" w:color="auto" w:fill="FFFFFF"/>
        </w:rPr>
        <w:t>，審查完竣，提報院會，院會討論前，不須交由黨團協商；院會討論時，由林召集</w:t>
      </w:r>
      <w:r w:rsidRPr="00D65AED">
        <w:rPr>
          <w:rFonts w:ascii="標楷體" w:eastAsia="標楷體" w:hAnsi="標楷體"/>
          <w:sz w:val="28"/>
          <w:szCs w:val="28"/>
          <w:shd w:val="clear" w:color="auto" w:fill="FFFFFF"/>
        </w:rPr>
        <w:t>委員</w:t>
      </w:r>
      <w:r w:rsidRPr="00D65AED">
        <w:rPr>
          <w:rFonts w:ascii="標楷體" w:eastAsia="標楷體" w:hAnsi="標楷體" w:hint="eastAsia"/>
          <w:sz w:val="28"/>
          <w:szCs w:val="28"/>
          <w:shd w:val="clear" w:color="auto" w:fill="FFFFFF"/>
        </w:rPr>
        <w:t>思銘出席說明。</w:t>
      </w:r>
    </w:p>
    <w:p w14:paraId="76B88FA8" w14:textId="77777777" w:rsidR="00421BB5" w:rsidRPr="00D65AED" w:rsidRDefault="00421BB5" w:rsidP="00421BB5">
      <w:pPr>
        <w:adjustRightInd w:val="0"/>
        <w:snapToGrid w:val="0"/>
        <w:spacing w:line="360" w:lineRule="exact"/>
        <w:ind w:left="560" w:hangingChars="200" w:hanging="560"/>
        <w:rPr>
          <w:rFonts w:ascii="標楷體" w:eastAsia="標楷體" w:hAnsi="標楷體"/>
          <w:sz w:val="28"/>
          <w:szCs w:val="28"/>
        </w:rPr>
      </w:pPr>
      <w:r w:rsidRPr="00D65AED">
        <w:rPr>
          <w:rFonts w:ascii="標楷體" w:eastAsia="標楷體" w:hAnsi="標楷體" w:hint="eastAsia"/>
          <w:sz w:val="28"/>
          <w:szCs w:val="28"/>
        </w:rPr>
        <w:t>八、本次會議通過之決議，依例文字授權主席及議事人員整理。</w:t>
      </w:r>
    </w:p>
    <w:p w14:paraId="216C0E37" w14:textId="77777777" w:rsidR="00421BB5" w:rsidRDefault="00421BB5" w:rsidP="00421BB5">
      <w:pPr>
        <w:adjustRightInd w:val="0"/>
        <w:snapToGrid w:val="0"/>
        <w:spacing w:beforeLines="50" w:before="180" w:line="360" w:lineRule="exact"/>
        <w:ind w:left="619" w:hangingChars="221" w:hanging="619"/>
        <w:jc w:val="both"/>
        <w:rPr>
          <w:rFonts w:ascii="標楷體" w:eastAsia="標楷體" w:hAnsi="標楷體"/>
          <w:sz w:val="28"/>
          <w:szCs w:val="28"/>
        </w:rPr>
      </w:pPr>
      <w:r w:rsidRPr="00D65AED">
        <w:rPr>
          <w:rFonts w:ascii="標楷體" w:eastAsia="標楷體" w:hAnsi="標楷體"/>
          <w:sz w:val="28"/>
          <w:szCs w:val="28"/>
        </w:rPr>
        <w:t>散會</w:t>
      </w:r>
    </w:p>
    <w:p w14:paraId="496A1EAF" w14:textId="77777777" w:rsidR="00421BB5" w:rsidRPr="00664CE1" w:rsidRDefault="00421BB5" w:rsidP="00421BB5">
      <w:pPr>
        <w:spacing w:beforeLines="50" w:before="180" w:afterLines="50" w:after="180" w:line="360" w:lineRule="exact"/>
        <w:outlineLvl w:val="2"/>
        <w:rPr>
          <w:rFonts w:ascii="標楷體" w:eastAsia="標楷體" w:hAnsi="標楷體"/>
          <w:b/>
          <w:spacing w:val="-4"/>
          <w:sz w:val="28"/>
          <w:szCs w:val="28"/>
        </w:rPr>
      </w:pPr>
      <w:r>
        <w:rPr>
          <w:rFonts w:ascii="標楷體" w:eastAsia="標楷體" w:hAnsi="標楷體"/>
          <w:sz w:val="28"/>
          <w:szCs w:val="28"/>
        </w:rPr>
        <w:br w:type="page"/>
      </w:r>
      <w:r w:rsidRPr="00664CE1">
        <w:rPr>
          <w:rFonts w:ascii="標楷體" w:eastAsia="標楷體" w:hAnsi="標楷體" w:hint="eastAsia"/>
          <w:b/>
          <w:spacing w:val="-4"/>
          <w:sz w:val="28"/>
          <w:szCs w:val="28"/>
        </w:rPr>
        <w:lastRenderedPageBreak/>
        <w:t>立法院第10屆第6會期司法及法制委員會第24次全體委員會議議事錄</w:t>
      </w:r>
    </w:p>
    <w:p w14:paraId="0727FD17" w14:textId="77777777" w:rsidR="00421BB5" w:rsidRPr="00EF1C9F" w:rsidRDefault="00421BB5" w:rsidP="00421BB5">
      <w:pPr>
        <w:pStyle w:val="-9"/>
        <w:spacing w:line="360" w:lineRule="exact"/>
        <w:ind w:left="1417" w:hangingChars="506" w:hanging="1417"/>
        <w:rPr>
          <w:rFonts w:ascii="標楷體" w:hAnsi="標楷體"/>
          <w:snapToGrid w:val="0"/>
          <w:sz w:val="28"/>
          <w:szCs w:val="28"/>
        </w:rPr>
      </w:pPr>
      <w:r w:rsidRPr="00EF1C9F">
        <w:rPr>
          <w:rFonts w:ascii="標楷體" w:hAnsi="標楷體"/>
          <w:snapToGrid w:val="0"/>
          <w:sz w:val="28"/>
          <w:szCs w:val="28"/>
          <w:fitText w:val="1120" w:id="-1975260672"/>
        </w:rPr>
        <w:t>時    間</w:t>
      </w:r>
      <w:r w:rsidRPr="00EF1C9F">
        <w:rPr>
          <w:rFonts w:ascii="標楷體" w:hAnsi="標楷體"/>
          <w:snapToGrid w:val="0"/>
          <w:sz w:val="28"/>
          <w:szCs w:val="28"/>
        </w:rPr>
        <w:t>：中華民國111年</w:t>
      </w:r>
      <w:r w:rsidRPr="00EF1C9F">
        <w:rPr>
          <w:rFonts w:ascii="標楷體" w:hAnsi="標楷體" w:hint="eastAsia"/>
          <w:snapToGrid w:val="0"/>
          <w:spacing w:val="-10"/>
          <w:sz w:val="28"/>
          <w:szCs w:val="28"/>
          <w:shd w:val="clear" w:color="auto" w:fill="FFFFFF"/>
        </w:rPr>
        <w:t>1</w:t>
      </w:r>
      <w:r w:rsidRPr="00EF1C9F">
        <w:rPr>
          <w:rFonts w:ascii="標楷體" w:hAnsi="標楷體"/>
          <w:snapToGrid w:val="0"/>
          <w:spacing w:val="-10"/>
          <w:sz w:val="28"/>
          <w:szCs w:val="28"/>
          <w:shd w:val="clear" w:color="auto" w:fill="FFFFFF"/>
        </w:rPr>
        <w:t>2</w:t>
      </w:r>
      <w:r w:rsidRPr="00EF1C9F">
        <w:rPr>
          <w:rFonts w:ascii="標楷體" w:hAnsi="標楷體" w:hint="eastAsia"/>
          <w:snapToGrid w:val="0"/>
          <w:spacing w:val="-10"/>
          <w:sz w:val="28"/>
          <w:szCs w:val="28"/>
          <w:shd w:val="clear" w:color="auto" w:fill="FFFFFF"/>
        </w:rPr>
        <w:t>月7日（星期三）上午9時</w:t>
      </w:r>
      <w:r w:rsidRPr="00EF1C9F">
        <w:rPr>
          <w:rFonts w:ascii="標楷體" w:hAnsi="標楷體" w:hint="eastAsia"/>
          <w:snapToGrid w:val="0"/>
          <w:spacing w:val="-10"/>
          <w:sz w:val="28"/>
          <w:szCs w:val="28"/>
        </w:rPr>
        <w:t>至10時23分</w:t>
      </w:r>
    </w:p>
    <w:p w14:paraId="242502D8" w14:textId="77777777" w:rsidR="00421BB5" w:rsidRPr="00EF1C9F" w:rsidRDefault="00421BB5" w:rsidP="00421BB5">
      <w:pPr>
        <w:adjustRightInd w:val="0"/>
        <w:snapToGrid w:val="0"/>
        <w:spacing w:line="360" w:lineRule="exact"/>
        <w:ind w:left="1364" w:hangingChars="487" w:hanging="1364"/>
        <w:jc w:val="both"/>
        <w:rPr>
          <w:rFonts w:ascii="標楷體" w:eastAsia="標楷體" w:hAnsi="標楷體"/>
          <w:kern w:val="0"/>
          <w:sz w:val="28"/>
          <w:szCs w:val="28"/>
          <w:lang w:val="x-none"/>
        </w:rPr>
      </w:pPr>
      <w:r w:rsidRPr="00EF1C9F">
        <w:rPr>
          <w:rFonts w:ascii="標楷體" w:eastAsia="標楷體" w:hAnsi="標楷體" w:hint="eastAsia"/>
          <w:kern w:val="0"/>
          <w:sz w:val="28"/>
          <w:szCs w:val="28"/>
          <w:lang w:val="x-none" w:eastAsia="x-none"/>
        </w:rPr>
        <w:t>地    點：</w:t>
      </w:r>
      <w:r w:rsidRPr="00EF1C9F">
        <w:rPr>
          <w:rFonts w:ascii="標楷體" w:eastAsia="標楷體" w:hAnsi="標楷體" w:hint="eastAsia"/>
          <w:kern w:val="0"/>
          <w:sz w:val="28"/>
          <w:szCs w:val="28"/>
          <w:lang w:val="x-none"/>
        </w:rPr>
        <w:t>本</w:t>
      </w:r>
      <w:r w:rsidRPr="00EF1C9F">
        <w:rPr>
          <w:rFonts w:ascii="標楷體" w:eastAsia="標楷體" w:hAnsi="標楷體" w:hint="eastAsia"/>
          <w:kern w:val="0"/>
          <w:sz w:val="28"/>
          <w:szCs w:val="28"/>
          <w:lang w:val="x-none" w:eastAsia="x-none"/>
        </w:rPr>
        <w:t>院紅樓302會議室</w:t>
      </w:r>
    </w:p>
    <w:p w14:paraId="3AEAE7BE" w14:textId="77777777" w:rsidR="00421BB5" w:rsidRPr="00EF1C9F" w:rsidRDefault="00421BB5" w:rsidP="00421BB5">
      <w:pPr>
        <w:snapToGrid w:val="0"/>
        <w:spacing w:line="360" w:lineRule="exact"/>
        <w:ind w:leftChars="-4" w:left="1401" w:hangingChars="504" w:hanging="1411"/>
        <w:rPr>
          <w:rFonts w:ascii="標楷體" w:eastAsia="標楷體" w:hAnsi="標楷體"/>
          <w:sz w:val="28"/>
          <w:szCs w:val="28"/>
        </w:rPr>
      </w:pPr>
      <w:r w:rsidRPr="00EF1C9F">
        <w:rPr>
          <w:rFonts w:ascii="標楷體" w:eastAsia="標楷體" w:hAnsi="標楷體"/>
          <w:kern w:val="0"/>
          <w:sz w:val="28"/>
          <w:szCs w:val="28"/>
          <w:fitText w:val="1400" w:id="-1975252222"/>
        </w:rPr>
        <w:t>出席委員</w:t>
      </w:r>
      <w:r w:rsidRPr="00EF1C9F">
        <w:rPr>
          <w:rFonts w:ascii="標楷體" w:eastAsia="標楷體" w:hAnsi="標楷體" w:hint="eastAsia"/>
          <w:kern w:val="0"/>
          <w:sz w:val="28"/>
          <w:szCs w:val="28"/>
          <w:fitText w:val="1400" w:id="-1975252222"/>
        </w:rPr>
        <w:t>：</w:t>
      </w:r>
      <w:r w:rsidRPr="00EF1C9F">
        <w:rPr>
          <w:rFonts w:ascii="標楷體" w:eastAsia="標楷體" w:hAnsi="標楷體" w:hint="eastAsia"/>
          <w:sz w:val="28"/>
          <w:szCs w:val="28"/>
        </w:rPr>
        <w:t>曾銘宗</w:t>
      </w:r>
      <w:r w:rsidRPr="00EF1C9F">
        <w:rPr>
          <w:rFonts w:ascii="標楷體" w:eastAsia="標楷體" w:hAnsi="標楷體"/>
          <w:sz w:val="28"/>
          <w:szCs w:val="28"/>
        </w:rPr>
        <w:tab/>
      </w:r>
      <w:r w:rsidRPr="00EF1C9F">
        <w:rPr>
          <w:rFonts w:ascii="標楷體" w:eastAsia="標楷體" w:hAnsi="標楷體" w:hint="eastAsia"/>
          <w:sz w:val="28"/>
          <w:szCs w:val="28"/>
        </w:rPr>
        <w:t>游毓蘭</w:t>
      </w:r>
      <w:r w:rsidRPr="00EF1C9F">
        <w:rPr>
          <w:rFonts w:ascii="標楷體" w:eastAsia="標楷體" w:hAnsi="標楷體"/>
          <w:sz w:val="28"/>
          <w:szCs w:val="28"/>
        </w:rPr>
        <w:tab/>
      </w:r>
      <w:r w:rsidRPr="00EF1C9F">
        <w:rPr>
          <w:rFonts w:ascii="標楷體" w:eastAsia="標楷體" w:hAnsi="標楷體" w:hint="eastAsia"/>
          <w:sz w:val="28"/>
          <w:szCs w:val="28"/>
        </w:rPr>
        <w:t>林思銘</w:t>
      </w:r>
      <w:r w:rsidRPr="00EF1C9F">
        <w:rPr>
          <w:rFonts w:ascii="標楷體" w:eastAsia="標楷體" w:hAnsi="標楷體"/>
          <w:sz w:val="28"/>
          <w:szCs w:val="28"/>
        </w:rPr>
        <w:tab/>
      </w:r>
      <w:r w:rsidRPr="00EF1C9F">
        <w:rPr>
          <w:rFonts w:ascii="標楷體" w:eastAsia="標楷體" w:hAnsi="標楷體" w:hint="eastAsia"/>
          <w:sz w:val="28"/>
          <w:szCs w:val="28"/>
        </w:rPr>
        <w:t>鄭運鵬</w:t>
      </w:r>
      <w:r w:rsidRPr="00EF1C9F">
        <w:rPr>
          <w:rFonts w:ascii="標楷體" w:eastAsia="標楷體" w:hAnsi="標楷體"/>
          <w:sz w:val="28"/>
          <w:szCs w:val="28"/>
        </w:rPr>
        <w:tab/>
      </w:r>
      <w:r w:rsidRPr="00EF1C9F">
        <w:rPr>
          <w:rFonts w:ascii="標楷體" w:eastAsia="標楷體" w:hAnsi="標楷體" w:hint="eastAsia"/>
          <w:sz w:val="28"/>
          <w:szCs w:val="28"/>
        </w:rPr>
        <w:t>陳以信</w:t>
      </w:r>
      <w:r w:rsidRPr="00EF1C9F">
        <w:rPr>
          <w:rFonts w:ascii="標楷體" w:eastAsia="標楷體" w:hAnsi="標楷體"/>
          <w:sz w:val="28"/>
          <w:szCs w:val="28"/>
        </w:rPr>
        <w:tab/>
      </w:r>
      <w:r w:rsidRPr="00EF1C9F">
        <w:rPr>
          <w:rFonts w:ascii="標楷體" w:eastAsia="標楷體" w:hAnsi="標楷體" w:hint="eastAsia"/>
          <w:sz w:val="28"/>
          <w:szCs w:val="28"/>
        </w:rPr>
        <w:t>黃世杰</w:t>
      </w:r>
      <w:r w:rsidRPr="00EF1C9F">
        <w:rPr>
          <w:rFonts w:ascii="標楷體" w:eastAsia="標楷體" w:hAnsi="標楷體"/>
          <w:sz w:val="28"/>
          <w:szCs w:val="28"/>
        </w:rPr>
        <w:tab/>
      </w:r>
      <w:r w:rsidRPr="00EF1C9F">
        <w:rPr>
          <w:rFonts w:ascii="標楷體" w:eastAsia="標楷體" w:hAnsi="標楷體" w:hint="eastAsia"/>
          <w:sz w:val="28"/>
          <w:szCs w:val="28"/>
        </w:rPr>
        <w:t>江永昌</w:t>
      </w:r>
    </w:p>
    <w:p w14:paraId="60C9449B" w14:textId="77777777" w:rsidR="00421BB5" w:rsidRPr="00EF1C9F" w:rsidRDefault="00421BB5" w:rsidP="00421BB5">
      <w:pPr>
        <w:snapToGrid w:val="0"/>
        <w:spacing w:line="360" w:lineRule="exact"/>
        <w:ind w:leftChars="583" w:left="1399" w:firstLineChars="4" w:firstLine="11"/>
        <w:rPr>
          <w:rFonts w:ascii="標楷體" w:eastAsia="標楷體" w:hAnsi="標楷體"/>
          <w:sz w:val="28"/>
          <w:szCs w:val="28"/>
        </w:rPr>
      </w:pPr>
      <w:r w:rsidRPr="00EF1C9F">
        <w:rPr>
          <w:rFonts w:ascii="標楷體" w:eastAsia="標楷體" w:hAnsi="標楷體" w:hint="eastAsia"/>
          <w:sz w:val="28"/>
          <w:szCs w:val="28"/>
        </w:rPr>
        <w:t>陳歐珀</w:t>
      </w:r>
      <w:r w:rsidRPr="00EF1C9F">
        <w:rPr>
          <w:rFonts w:ascii="標楷體" w:eastAsia="標楷體" w:hAnsi="標楷體"/>
          <w:sz w:val="28"/>
          <w:szCs w:val="28"/>
        </w:rPr>
        <w:tab/>
      </w:r>
      <w:r>
        <w:rPr>
          <w:rFonts w:ascii="標楷體" w:eastAsia="標楷體" w:hAnsi="標楷體" w:hint="eastAsia"/>
          <w:sz w:val="28"/>
          <w:szCs w:val="28"/>
        </w:rPr>
        <w:t>劉建國</w:t>
      </w:r>
      <w:r>
        <w:rPr>
          <w:rFonts w:ascii="標楷體" w:eastAsia="標楷體" w:hAnsi="標楷體"/>
          <w:sz w:val="28"/>
          <w:szCs w:val="28"/>
        </w:rPr>
        <w:tab/>
      </w:r>
      <w:r>
        <w:rPr>
          <w:rFonts w:ascii="標楷體" w:eastAsia="標楷體" w:hAnsi="標楷體" w:hint="eastAsia"/>
          <w:sz w:val="28"/>
          <w:szCs w:val="28"/>
        </w:rPr>
        <w:t>柯建銘</w:t>
      </w:r>
    </w:p>
    <w:p w14:paraId="2459CD52" w14:textId="77777777" w:rsidR="00421BB5" w:rsidRPr="00EF1C9F" w:rsidRDefault="00421BB5" w:rsidP="00421BB5">
      <w:pPr>
        <w:adjustRightInd w:val="0"/>
        <w:snapToGrid w:val="0"/>
        <w:spacing w:line="360" w:lineRule="exact"/>
        <w:ind w:firstLineChars="495" w:firstLine="1386"/>
        <w:jc w:val="both"/>
        <w:rPr>
          <w:rFonts w:hAnsi="標楷體"/>
        </w:rPr>
      </w:pPr>
      <w:r w:rsidRPr="00EF1C9F">
        <w:rPr>
          <w:rFonts w:ascii="標楷體" w:eastAsia="標楷體" w:hAnsi="標楷體" w:hint="eastAsia"/>
          <w:sz w:val="28"/>
          <w:szCs w:val="28"/>
        </w:rPr>
        <w:t>委員出席</w:t>
      </w:r>
      <w:r>
        <w:rPr>
          <w:rFonts w:ascii="標楷體" w:eastAsia="標楷體" w:hAnsi="標楷體" w:hint="eastAsia"/>
          <w:sz w:val="28"/>
          <w:szCs w:val="28"/>
        </w:rPr>
        <w:t>10</w:t>
      </w:r>
      <w:r w:rsidRPr="00EF1C9F">
        <w:rPr>
          <w:rFonts w:ascii="標楷體" w:eastAsia="標楷體" w:hAnsi="標楷體" w:hint="eastAsia"/>
          <w:sz w:val="28"/>
          <w:szCs w:val="28"/>
        </w:rPr>
        <w:t>人</w:t>
      </w:r>
    </w:p>
    <w:p w14:paraId="2426828E" w14:textId="77777777" w:rsidR="00421BB5" w:rsidRPr="00EF1C9F"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EF1C9F">
        <w:rPr>
          <w:rFonts w:ascii="標楷體" w:eastAsia="標楷體" w:hAnsi="標楷體" w:hint="eastAsia"/>
          <w:sz w:val="28"/>
          <w:szCs w:val="28"/>
        </w:rPr>
        <w:t>列</w:t>
      </w:r>
      <w:r w:rsidRPr="00EF1C9F">
        <w:rPr>
          <w:rFonts w:ascii="標楷體" w:eastAsia="標楷體" w:hAnsi="標楷體"/>
          <w:sz w:val="28"/>
          <w:szCs w:val="28"/>
        </w:rPr>
        <w:t>席委員：</w:t>
      </w:r>
      <w:r w:rsidRPr="00EF1C9F">
        <w:rPr>
          <w:rFonts w:ascii="標楷體" w:eastAsia="標楷體" w:hAnsi="標楷體" w:hint="eastAsia"/>
          <w:sz w:val="28"/>
          <w:szCs w:val="28"/>
        </w:rPr>
        <w:t>李貴敏</w:t>
      </w:r>
      <w:r w:rsidRPr="00EF1C9F">
        <w:rPr>
          <w:rFonts w:ascii="標楷體" w:eastAsia="標楷體" w:hAnsi="標楷體"/>
          <w:sz w:val="28"/>
          <w:szCs w:val="28"/>
        </w:rPr>
        <w:tab/>
      </w:r>
      <w:r w:rsidRPr="00EF1C9F">
        <w:rPr>
          <w:rFonts w:ascii="標楷體" w:eastAsia="標楷體" w:hAnsi="標楷體" w:hint="eastAsia"/>
          <w:sz w:val="28"/>
          <w:szCs w:val="28"/>
        </w:rPr>
        <w:t>劉世芳</w:t>
      </w:r>
      <w:r w:rsidRPr="00EF1C9F">
        <w:rPr>
          <w:rFonts w:ascii="標楷體" w:eastAsia="標楷體" w:hAnsi="標楷體"/>
          <w:sz w:val="28"/>
          <w:szCs w:val="28"/>
        </w:rPr>
        <w:tab/>
      </w:r>
      <w:r w:rsidRPr="00EF1C9F">
        <w:rPr>
          <w:rFonts w:ascii="標楷體" w:eastAsia="標楷體" w:hAnsi="標楷體" w:hint="eastAsia"/>
          <w:sz w:val="28"/>
          <w:szCs w:val="28"/>
        </w:rPr>
        <w:t>廖婉汝</w:t>
      </w:r>
      <w:r w:rsidRPr="00EF1C9F">
        <w:rPr>
          <w:rFonts w:ascii="標楷體" w:eastAsia="標楷體" w:hAnsi="標楷體"/>
          <w:sz w:val="28"/>
          <w:szCs w:val="28"/>
        </w:rPr>
        <w:tab/>
      </w:r>
      <w:r w:rsidRPr="00EF1C9F">
        <w:rPr>
          <w:rFonts w:ascii="標楷體" w:eastAsia="標楷體" w:hAnsi="標楷體" w:hint="eastAsia"/>
          <w:sz w:val="28"/>
          <w:szCs w:val="28"/>
        </w:rPr>
        <w:t>林德福</w:t>
      </w:r>
      <w:r w:rsidRPr="00EF1C9F">
        <w:rPr>
          <w:rFonts w:ascii="標楷體" w:eastAsia="標楷體" w:hAnsi="標楷體"/>
          <w:sz w:val="28"/>
          <w:szCs w:val="28"/>
        </w:rPr>
        <w:tab/>
      </w:r>
      <w:r w:rsidRPr="00EF1C9F">
        <w:rPr>
          <w:rFonts w:ascii="標楷體" w:eastAsia="標楷體" w:hAnsi="標楷體" w:hint="eastAsia"/>
          <w:sz w:val="28"/>
          <w:szCs w:val="28"/>
        </w:rPr>
        <w:t>陳亭妃</w:t>
      </w:r>
      <w:r w:rsidRPr="00EF1C9F">
        <w:rPr>
          <w:rFonts w:ascii="標楷體" w:eastAsia="標楷體" w:hAnsi="標楷體"/>
          <w:sz w:val="28"/>
          <w:szCs w:val="28"/>
        </w:rPr>
        <w:tab/>
      </w:r>
      <w:r w:rsidRPr="00EF1C9F">
        <w:rPr>
          <w:rFonts w:ascii="標楷體" w:eastAsia="標楷體" w:hAnsi="標楷體" w:hint="eastAsia"/>
          <w:sz w:val="28"/>
          <w:szCs w:val="28"/>
        </w:rPr>
        <w:t>陳椒華</w:t>
      </w:r>
      <w:r w:rsidRPr="00EF1C9F">
        <w:rPr>
          <w:rFonts w:ascii="標楷體" w:eastAsia="標楷體" w:hAnsi="標楷體"/>
          <w:sz w:val="28"/>
          <w:szCs w:val="28"/>
        </w:rPr>
        <w:tab/>
      </w:r>
      <w:r w:rsidRPr="00EF1C9F">
        <w:rPr>
          <w:rFonts w:ascii="標楷體" w:eastAsia="標楷體" w:hAnsi="標楷體" w:hint="eastAsia"/>
          <w:sz w:val="28"/>
          <w:szCs w:val="28"/>
        </w:rPr>
        <w:t>洪孟楷</w:t>
      </w:r>
    </w:p>
    <w:p w14:paraId="746B4B2A" w14:textId="77777777" w:rsidR="00421BB5" w:rsidRPr="00EF1C9F" w:rsidRDefault="00421BB5" w:rsidP="00421BB5">
      <w:pPr>
        <w:adjustRightInd w:val="0"/>
        <w:snapToGrid w:val="0"/>
        <w:spacing w:line="360" w:lineRule="exact"/>
        <w:ind w:leftChars="577" w:left="1399" w:hangingChars="5" w:hanging="14"/>
        <w:jc w:val="both"/>
        <w:rPr>
          <w:rFonts w:ascii="標楷體" w:eastAsia="標楷體" w:hAnsi="標楷體"/>
          <w:spacing w:val="-20"/>
          <w:w w:val="95"/>
          <w:sz w:val="28"/>
          <w:szCs w:val="28"/>
        </w:rPr>
      </w:pPr>
      <w:r w:rsidRPr="00EF1C9F">
        <w:rPr>
          <w:rFonts w:ascii="標楷體" w:eastAsia="標楷體" w:hAnsi="標楷體" w:hint="eastAsia"/>
          <w:sz w:val="28"/>
          <w:szCs w:val="28"/>
        </w:rPr>
        <w:t>張其祿</w:t>
      </w:r>
      <w:r w:rsidRPr="00EF1C9F">
        <w:rPr>
          <w:rFonts w:ascii="標楷體" w:eastAsia="標楷體" w:hAnsi="標楷體"/>
          <w:sz w:val="28"/>
          <w:szCs w:val="28"/>
        </w:rPr>
        <w:tab/>
      </w:r>
      <w:r w:rsidRPr="00EF1C9F">
        <w:rPr>
          <w:rFonts w:ascii="標楷體" w:eastAsia="標楷體" w:hAnsi="標楷體" w:hint="eastAsia"/>
          <w:sz w:val="28"/>
          <w:szCs w:val="28"/>
        </w:rPr>
        <w:t>高嘉瑜 楊瓊瓔</w:t>
      </w:r>
    </w:p>
    <w:p w14:paraId="532F7255" w14:textId="77777777" w:rsidR="00421BB5" w:rsidRPr="00B9285C" w:rsidRDefault="00421BB5" w:rsidP="00421BB5">
      <w:pPr>
        <w:adjustRightInd w:val="0"/>
        <w:snapToGrid w:val="0"/>
        <w:spacing w:line="360" w:lineRule="exact"/>
        <w:ind w:firstLineChars="495" w:firstLine="1386"/>
        <w:jc w:val="both"/>
        <w:rPr>
          <w:rFonts w:ascii="標楷體" w:eastAsia="標楷體" w:hAnsi="標楷體"/>
          <w:sz w:val="28"/>
          <w:szCs w:val="28"/>
        </w:rPr>
      </w:pPr>
      <w:r w:rsidRPr="00B9285C">
        <w:rPr>
          <w:rFonts w:ascii="標楷體" w:eastAsia="標楷體" w:hAnsi="標楷體"/>
          <w:sz w:val="28"/>
          <w:szCs w:val="28"/>
        </w:rPr>
        <w:t>委員列席10人</w:t>
      </w:r>
    </w:p>
    <w:p w14:paraId="5E420C41" w14:textId="77777777" w:rsidR="00421BB5" w:rsidRPr="00EF1C9F" w:rsidRDefault="00421BB5" w:rsidP="00421BB5">
      <w:pPr>
        <w:snapToGrid w:val="0"/>
        <w:spacing w:line="360" w:lineRule="exact"/>
        <w:jc w:val="both"/>
        <w:rPr>
          <w:rFonts w:ascii="標楷體" w:eastAsia="標楷體" w:hAnsi="標楷體"/>
          <w:sz w:val="28"/>
          <w:szCs w:val="28"/>
        </w:rPr>
      </w:pPr>
      <w:r w:rsidRPr="00EF1C9F">
        <w:rPr>
          <w:rFonts w:ascii="標楷體" w:eastAsia="標楷體" w:hAnsi="標楷體" w:hint="eastAsia"/>
          <w:sz w:val="28"/>
          <w:szCs w:val="28"/>
        </w:rPr>
        <w:t>請假委員：陳玉珍</w:t>
      </w:r>
      <w:r w:rsidRPr="00EF1C9F">
        <w:rPr>
          <w:rFonts w:ascii="標楷體" w:eastAsia="標楷體" w:hAnsi="標楷體"/>
          <w:sz w:val="28"/>
          <w:szCs w:val="28"/>
        </w:rPr>
        <w:t xml:space="preserve"> </w:t>
      </w:r>
      <w:r w:rsidRPr="00EF1C9F">
        <w:rPr>
          <w:rFonts w:ascii="標楷體" w:eastAsia="標楷體" w:hAnsi="標楷體" w:hint="eastAsia"/>
          <w:sz w:val="28"/>
          <w:szCs w:val="28"/>
        </w:rPr>
        <w:t>周春米</w:t>
      </w:r>
    </w:p>
    <w:p w14:paraId="26DD109A" w14:textId="77777777" w:rsidR="00421BB5" w:rsidRPr="00B9285C" w:rsidRDefault="00421BB5" w:rsidP="00421BB5">
      <w:pPr>
        <w:adjustRightInd w:val="0"/>
        <w:snapToGrid w:val="0"/>
        <w:spacing w:line="360" w:lineRule="exact"/>
        <w:ind w:firstLineChars="495" w:firstLine="1386"/>
        <w:jc w:val="both"/>
        <w:rPr>
          <w:rFonts w:ascii="標楷體" w:eastAsia="標楷體" w:hAnsi="標楷體"/>
          <w:sz w:val="28"/>
          <w:szCs w:val="28"/>
        </w:rPr>
      </w:pPr>
      <w:r w:rsidRPr="00B9285C">
        <w:rPr>
          <w:rFonts w:ascii="標楷體" w:eastAsia="標楷體" w:hAnsi="標楷體"/>
          <w:sz w:val="28"/>
          <w:szCs w:val="28"/>
        </w:rPr>
        <w:t>委員</w:t>
      </w:r>
      <w:r w:rsidRPr="00B9285C">
        <w:rPr>
          <w:rFonts w:ascii="標楷體" w:eastAsia="標楷體" w:hAnsi="標楷體" w:hint="eastAsia"/>
          <w:sz w:val="28"/>
          <w:szCs w:val="28"/>
        </w:rPr>
        <w:t>請假2人</w:t>
      </w:r>
    </w:p>
    <w:p w14:paraId="09D2A882" w14:textId="77777777" w:rsidR="00421BB5" w:rsidRPr="00EF1C9F" w:rsidRDefault="00421BB5" w:rsidP="00421BB5">
      <w:pPr>
        <w:pStyle w:val="-9"/>
        <w:spacing w:line="360" w:lineRule="exact"/>
        <w:ind w:left="1361" w:hangingChars="486" w:hanging="1361"/>
        <w:rPr>
          <w:rFonts w:ascii="標楷體" w:hAnsi="標楷體"/>
          <w:snapToGrid w:val="0"/>
          <w:sz w:val="28"/>
          <w:szCs w:val="28"/>
        </w:rPr>
      </w:pPr>
      <w:r w:rsidRPr="00EF1C9F">
        <w:rPr>
          <w:rFonts w:ascii="標楷體" w:hAnsi="標楷體"/>
          <w:sz w:val="28"/>
          <w:szCs w:val="28"/>
        </w:rPr>
        <w:t>列席官員：</w:t>
      </w:r>
      <w:r w:rsidRPr="00EF1C9F">
        <w:rPr>
          <w:rFonts w:ascii="標楷體" w:hAnsi="標楷體" w:hint="eastAsia"/>
          <w:sz w:val="28"/>
          <w:szCs w:val="28"/>
        </w:rPr>
        <w:t>行政院人事行政總處人事長</w:t>
      </w:r>
      <w:r w:rsidRPr="00EF1C9F">
        <w:rPr>
          <w:rFonts w:ascii="標楷體" w:hAnsi="標楷體" w:hint="eastAsia"/>
          <w:snapToGrid w:val="0"/>
          <w:sz w:val="28"/>
          <w:szCs w:val="28"/>
        </w:rPr>
        <w:t xml:space="preserve">　蘇俊榮</w:t>
      </w:r>
    </w:p>
    <w:p w14:paraId="71973E6B" w14:textId="77777777" w:rsidR="00421BB5" w:rsidRPr="00EF1C9F" w:rsidRDefault="00421BB5" w:rsidP="00421BB5">
      <w:pPr>
        <w:pStyle w:val="-9"/>
        <w:spacing w:line="360" w:lineRule="exact"/>
        <w:ind w:leftChars="567" w:left="1361" w:firstLineChars="913" w:firstLine="2556"/>
        <w:rPr>
          <w:rFonts w:ascii="標楷體" w:hAnsi="標楷體"/>
          <w:snapToGrid w:val="0"/>
          <w:sz w:val="28"/>
          <w:szCs w:val="28"/>
        </w:rPr>
      </w:pPr>
      <w:r w:rsidRPr="00EF1C9F">
        <w:rPr>
          <w:rFonts w:ascii="標楷體" w:hAnsi="標楷體" w:hint="eastAsia"/>
          <w:sz w:val="28"/>
          <w:szCs w:val="28"/>
        </w:rPr>
        <w:t>公務人力發展學院院長</w:t>
      </w:r>
      <w:r w:rsidRPr="00EF1C9F">
        <w:rPr>
          <w:rFonts w:ascii="標楷體" w:hAnsi="標楷體" w:hint="eastAsia"/>
          <w:snapToGrid w:val="0"/>
          <w:sz w:val="28"/>
          <w:szCs w:val="28"/>
        </w:rPr>
        <w:t xml:space="preserve">　陳明忠</w:t>
      </w:r>
    </w:p>
    <w:p w14:paraId="52427BBE" w14:textId="77777777" w:rsidR="00421BB5" w:rsidRPr="00EF1C9F" w:rsidRDefault="00421BB5" w:rsidP="00421BB5">
      <w:pPr>
        <w:pStyle w:val="-9"/>
        <w:spacing w:line="360" w:lineRule="exact"/>
        <w:ind w:leftChars="567" w:left="1361" w:firstLineChars="3" w:firstLine="7"/>
        <w:rPr>
          <w:rFonts w:ascii="標楷體" w:hAnsi="標楷體"/>
          <w:snapToGrid w:val="0"/>
          <w:spacing w:val="-20"/>
          <w:sz w:val="28"/>
          <w:szCs w:val="28"/>
        </w:rPr>
      </w:pPr>
      <w:r w:rsidRPr="00EF1C9F">
        <w:rPr>
          <w:rFonts w:ascii="標楷體" w:hAnsi="標楷體"/>
          <w:snapToGrid w:val="0"/>
          <w:spacing w:val="-20"/>
          <w:sz w:val="28"/>
          <w:szCs w:val="28"/>
        </w:rPr>
        <w:t>公務人員保障暨培訓委員會主任委員兼國家文官學院院長</w:t>
      </w:r>
      <w:r w:rsidRPr="00EF1C9F">
        <w:rPr>
          <w:rFonts w:ascii="標楷體" w:hAnsi="標楷體" w:hint="eastAsia"/>
          <w:snapToGrid w:val="0"/>
          <w:spacing w:val="-20"/>
          <w:sz w:val="28"/>
          <w:szCs w:val="28"/>
        </w:rPr>
        <w:t xml:space="preserve">　郝培芝</w:t>
      </w:r>
    </w:p>
    <w:p w14:paraId="5B91FF04" w14:textId="77777777" w:rsidR="00421BB5" w:rsidRPr="00EF1C9F" w:rsidRDefault="00421BB5" w:rsidP="00421BB5">
      <w:pPr>
        <w:pStyle w:val="-9"/>
        <w:spacing w:line="360" w:lineRule="exact"/>
        <w:ind w:leftChars="584" w:left="2802" w:hangingChars="500" w:hanging="1400"/>
        <w:rPr>
          <w:rFonts w:ascii="標楷體" w:hAnsi="標楷體"/>
          <w:sz w:val="28"/>
          <w:szCs w:val="28"/>
        </w:rPr>
      </w:pPr>
      <w:r w:rsidRPr="00EF1C9F">
        <w:rPr>
          <w:rFonts w:ascii="標楷體" w:hAnsi="標楷體"/>
          <w:snapToGrid w:val="0"/>
          <w:sz w:val="28"/>
          <w:szCs w:val="28"/>
        </w:rPr>
        <w:t>行政院主計總處公務</w:t>
      </w:r>
      <w:r w:rsidRPr="00EF1C9F">
        <w:rPr>
          <w:rFonts w:ascii="標楷體" w:hAnsi="標楷體"/>
          <w:sz w:val="28"/>
          <w:szCs w:val="28"/>
        </w:rPr>
        <w:t>預算處</w:t>
      </w:r>
      <w:r w:rsidRPr="00EF1C9F">
        <w:rPr>
          <w:rFonts w:ascii="標楷體" w:hAnsi="標楷體" w:hint="eastAsia"/>
          <w:sz w:val="28"/>
          <w:szCs w:val="28"/>
        </w:rPr>
        <w:t>專門委員　翁燕雪</w:t>
      </w:r>
    </w:p>
    <w:p w14:paraId="0AF111E0" w14:textId="77777777" w:rsidR="00421BB5" w:rsidRPr="00EF1C9F" w:rsidRDefault="00421BB5" w:rsidP="00421BB5">
      <w:pPr>
        <w:pStyle w:val="-9"/>
        <w:spacing w:line="360" w:lineRule="exact"/>
        <w:ind w:leftChars="1167" w:left="2801" w:firstLineChars="204" w:firstLine="571"/>
        <w:rPr>
          <w:rFonts w:ascii="標楷體" w:hAnsi="標楷體"/>
          <w:sz w:val="28"/>
          <w:szCs w:val="28"/>
        </w:rPr>
      </w:pPr>
      <w:r w:rsidRPr="00EF1C9F">
        <w:rPr>
          <w:rFonts w:ascii="標楷體" w:hAnsi="標楷體" w:hint="eastAsia"/>
          <w:sz w:val="28"/>
          <w:szCs w:val="28"/>
        </w:rPr>
        <w:t>基金預算處科長　江衍陞</w:t>
      </w:r>
    </w:p>
    <w:p w14:paraId="5D47748C" w14:textId="77777777" w:rsidR="00421BB5" w:rsidRPr="00EF1C9F" w:rsidRDefault="00421BB5" w:rsidP="00421BB5">
      <w:pPr>
        <w:adjustRightInd w:val="0"/>
        <w:snapToGrid w:val="0"/>
        <w:spacing w:line="360" w:lineRule="exact"/>
        <w:ind w:left="1117" w:hangingChars="399" w:hanging="1117"/>
        <w:jc w:val="both"/>
        <w:rPr>
          <w:rFonts w:ascii="標楷體" w:eastAsia="標楷體" w:hAnsi="標楷體"/>
          <w:sz w:val="28"/>
          <w:szCs w:val="28"/>
        </w:rPr>
      </w:pPr>
      <w:r w:rsidRPr="00EF1C9F">
        <w:rPr>
          <w:rFonts w:ascii="標楷體" w:eastAsia="標楷體" w:hAnsi="標楷體"/>
          <w:kern w:val="0"/>
          <w:sz w:val="28"/>
          <w:szCs w:val="28"/>
          <w:fitText w:val="1120" w:id="-1975261439"/>
        </w:rPr>
        <w:t>主    席</w:t>
      </w:r>
      <w:r w:rsidRPr="00EF1C9F">
        <w:rPr>
          <w:rFonts w:ascii="標楷體" w:eastAsia="標楷體" w:hAnsi="標楷體"/>
          <w:sz w:val="28"/>
          <w:szCs w:val="28"/>
        </w:rPr>
        <w:t>：</w:t>
      </w:r>
      <w:r w:rsidRPr="00EF1C9F">
        <w:rPr>
          <w:rFonts w:ascii="標楷體" w:eastAsia="標楷體" w:hAnsi="標楷體" w:hint="eastAsia"/>
          <w:sz w:val="28"/>
          <w:szCs w:val="28"/>
        </w:rPr>
        <w:t>林</w:t>
      </w:r>
      <w:r w:rsidRPr="00EF1C9F">
        <w:rPr>
          <w:rFonts w:ascii="標楷體" w:eastAsia="標楷體" w:hAnsi="標楷體"/>
          <w:sz w:val="28"/>
          <w:szCs w:val="28"/>
        </w:rPr>
        <w:t>召</w:t>
      </w:r>
      <w:r w:rsidRPr="00EF1C9F">
        <w:rPr>
          <w:rFonts w:ascii="標楷體" w:eastAsia="標楷體" w:hAnsi="標楷體" w:hint="eastAsia"/>
          <w:sz w:val="28"/>
          <w:szCs w:val="28"/>
        </w:rPr>
        <w:t>集</w:t>
      </w:r>
      <w:r w:rsidRPr="00EF1C9F">
        <w:rPr>
          <w:rFonts w:ascii="標楷體" w:eastAsia="標楷體" w:hAnsi="標楷體"/>
          <w:sz w:val="28"/>
          <w:szCs w:val="28"/>
        </w:rPr>
        <w:t>委員</w:t>
      </w:r>
      <w:r w:rsidRPr="00EF1C9F">
        <w:rPr>
          <w:rFonts w:ascii="標楷體" w:eastAsia="標楷體" w:hAnsi="標楷體" w:hint="eastAsia"/>
          <w:sz w:val="28"/>
          <w:szCs w:val="28"/>
        </w:rPr>
        <w:t>思銘</w:t>
      </w:r>
    </w:p>
    <w:p w14:paraId="194F0537" w14:textId="77777777" w:rsidR="00421BB5" w:rsidRPr="00EF1C9F" w:rsidRDefault="00421BB5" w:rsidP="00421BB5">
      <w:pPr>
        <w:snapToGrid w:val="0"/>
        <w:spacing w:line="360" w:lineRule="exact"/>
        <w:jc w:val="both"/>
        <w:rPr>
          <w:rFonts w:ascii="標楷體" w:eastAsia="標楷體" w:hAnsi="標楷體"/>
          <w:sz w:val="28"/>
          <w:szCs w:val="28"/>
        </w:rPr>
      </w:pPr>
      <w:r w:rsidRPr="00EF1C9F">
        <w:rPr>
          <w:rFonts w:ascii="標楷體" w:eastAsia="標楷體" w:hAnsi="標楷體" w:hint="eastAsia"/>
          <w:sz w:val="28"/>
          <w:szCs w:val="28"/>
        </w:rPr>
        <w:t>專門委員：梁雯璍</w:t>
      </w:r>
    </w:p>
    <w:p w14:paraId="0787C71B" w14:textId="77777777" w:rsidR="00421BB5" w:rsidRPr="00EF1C9F" w:rsidRDefault="00421BB5" w:rsidP="00421BB5">
      <w:pPr>
        <w:snapToGrid w:val="0"/>
        <w:spacing w:line="360" w:lineRule="exact"/>
        <w:jc w:val="both"/>
        <w:rPr>
          <w:rFonts w:ascii="標楷體" w:eastAsia="標楷體" w:hAnsi="標楷體"/>
          <w:sz w:val="28"/>
          <w:szCs w:val="28"/>
        </w:rPr>
      </w:pPr>
      <w:r w:rsidRPr="00EF1C9F">
        <w:rPr>
          <w:rFonts w:ascii="標楷體" w:eastAsia="標楷體" w:hAnsi="標楷體" w:hint="eastAsia"/>
          <w:sz w:val="28"/>
          <w:szCs w:val="28"/>
        </w:rPr>
        <w:t>主任秘書：張智為</w:t>
      </w:r>
    </w:p>
    <w:p w14:paraId="7EEE0C27" w14:textId="77777777" w:rsidR="00421BB5" w:rsidRPr="00EF1C9F" w:rsidRDefault="00421BB5" w:rsidP="00421BB5">
      <w:pPr>
        <w:adjustRightInd w:val="0"/>
        <w:snapToGrid w:val="0"/>
        <w:spacing w:line="360" w:lineRule="exact"/>
        <w:rPr>
          <w:rFonts w:ascii="標楷體" w:eastAsia="標楷體" w:hAnsi="標楷體"/>
          <w:sz w:val="28"/>
          <w:szCs w:val="28"/>
        </w:rPr>
      </w:pPr>
      <w:r w:rsidRPr="00EF1C9F">
        <w:rPr>
          <w:rFonts w:ascii="標楷體" w:eastAsia="標楷體" w:hAnsi="標楷體" w:hint="eastAsia"/>
          <w:sz w:val="28"/>
          <w:szCs w:val="28"/>
        </w:rPr>
        <w:t>紀    錄：簡任秘書　陳杏枝</w:t>
      </w:r>
    </w:p>
    <w:p w14:paraId="0D5540F6" w14:textId="77777777" w:rsidR="00421BB5" w:rsidRPr="00EF1C9F" w:rsidRDefault="00421BB5" w:rsidP="00421BB5">
      <w:pPr>
        <w:adjustRightInd w:val="0"/>
        <w:snapToGrid w:val="0"/>
        <w:spacing w:line="360" w:lineRule="exact"/>
        <w:ind w:firstLineChars="500" w:firstLine="1400"/>
        <w:jc w:val="both"/>
        <w:rPr>
          <w:rFonts w:ascii="標楷體" w:eastAsia="標楷體" w:hAnsi="標楷體"/>
          <w:sz w:val="28"/>
          <w:szCs w:val="28"/>
        </w:rPr>
      </w:pPr>
      <w:r w:rsidRPr="00EF1C9F">
        <w:rPr>
          <w:rFonts w:ascii="標楷體" w:eastAsia="標楷體" w:hAnsi="標楷體" w:hint="eastAsia"/>
          <w:sz w:val="28"/>
          <w:szCs w:val="28"/>
        </w:rPr>
        <w:t>簡任編審　薛復寧</w:t>
      </w:r>
    </w:p>
    <w:p w14:paraId="1AA9DC89" w14:textId="77777777" w:rsidR="00421BB5" w:rsidRPr="00EF1C9F" w:rsidRDefault="00421BB5" w:rsidP="00421BB5">
      <w:pPr>
        <w:adjustRightInd w:val="0"/>
        <w:snapToGrid w:val="0"/>
        <w:spacing w:line="360" w:lineRule="exact"/>
        <w:ind w:firstLineChars="500" w:firstLine="1400"/>
        <w:jc w:val="both"/>
        <w:rPr>
          <w:rFonts w:ascii="標楷體" w:eastAsia="標楷體" w:hAnsi="標楷體"/>
          <w:sz w:val="28"/>
          <w:szCs w:val="28"/>
        </w:rPr>
      </w:pPr>
      <w:r w:rsidRPr="00EF1C9F">
        <w:rPr>
          <w:rFonts w:ascii="標楷體" w:eastAsia="標楷體" w:hAnsi="標楷體" w:hint="eastAsia"/>
          <w:sz w:val="28"/>
          <w:szCs w:val="28"/>
        </w:rPr>
        <w:t>科　　長　鮑夏明</w:t>
      </w:r>
    </w:p>
    <w:p w14:paraId="017E2BF8" w14:textId="77777777" w:rsidR="00421BB5" w:rsidRPr="00EF1C9F" w:rsidRDefault="00421BB5" w:rsidP="00421BB5">
      <w:pPr>
        <w:adjustRightInd w:val="0"/>
        <w:snapToGrid w:val="0"/>
        <w:spacing w:line="360" w:lineRule="exact"/>
        <w:ind w:firstLineChars="506" w:firstLine="1417"/>
        <w:jc w:val="both"/>
        <w:rPr>
          <w:rFonts w:ascii="標楷體" w:eastAsia="標楷體" w:hAnsi="標楷體"/>
          <w:sz w:val="28"/>
          <w:szCs w:val="28"/>
        </w:rPr>
      </w:pPr>
      <w:r w:rsidRPr="00EF1C9F">
        <w:rPr>
          <w:rFonts w:ascii="標楷體" w:eastAsia="標楷體" w:hAnsi="標楷體" w:hint="eastAsia"/>
          <w:sz w:val="28"/>
          <w:szCs w:val="28"/>
        </w:rPr>
        <w:t>專　　員　林宗賢</w:t>
      </w:r>
    </w:p>
    <w:p w14:paraId="60698569" w14:textId="77777777" w:rsidR="00421BB5" w:rsidRPr="00EF1C9F"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EF1C9F">
        <w:rPr>
          <w:rFonts w:ascii="標楷體" w:hAnsi="標楷體"/>
          <w:b/>
          <w:sz w:val="28"/>
          <w:szCs w:val="28"/>
        </w:rPr>
        <w:t>報告事項</w:t>
      </w:r>
    </w:p>
    <w:p w14:paraId="4B2FEF74" w14:textId="77777777" w:rsidR="00421BB5" w:rsidRPr="00EF1C9F" w:rsidRDefault="00421BB5" w:rsidP="00421BB5">
      <w:pPr>
        <w:adjustRightInd w:val="0"/>
        <w:snapToGrid w:val="0"/>
        <w:spacing w:line="360" w:lineRule="exact"/>
        <w:ind w:left="840" w:hangingChars="300" w:hanging="840"/>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一、宣讀上次會議議事錄。</w:t>
      </w:r>
    </w:p>
    <w:p w14:paraId="09020013" w14:textId="77777777" w:rsidR="00421BB5" w:rsidRPr="00EF1C9F" w:rsidRDefault="00421BB5" w:rsidP="00421BB5">
      <w:pPr>
        <w:adjustRightInd w:val="0"/>
        <w:snapToGrid w:val="0"/>
        <w:spacing w:line="360" w:lineRule="exact"/>
        <w:ind w:left="840" w:hangingChars="300" w:hanging="840"/>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rPr>
        <w:t>決定：確定。</w:t>
      </w:r>
    </w:p>
    <w:p w14:paraId="2CC97E98"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二、公務人員保障暨培訓委員會函，為111年度中央政府總預算決議，檢送決議（一）「國外旅費」預算凍結30</w:t>
      </w:r>
      <w:r w:rsidRPr="00EF1C9F">
        <w:rPr>
          <w:rFonts w:ascii="標楷體" w:eastAsia="標楷體" w:hAnsi="標楷體" w:hint="eastAsia"/>
          <w:snapToGrid w:val="0"/>
          <w:kern w:val="0"/>
          <w:sz w:val="28"/>
          <w:szCs w:val="28"/>
        </w:rPr>
        <w:t>%</w:t>
      </w:r>
      <w:r w:rsidRPr="00EF1C9F">
        <w:rPr>
          <w:rFonts w:ascii="標楷體" w:eastAsia="標楷體" w:hAnsi="標楷體" w:hint="eastAsia"/>
          <w:snapToGrid w:val="0"/>
          <w:kern w:val="0"/>
          <w:sz w:val="28"/>
          <w:szCs w:val="28"/>
          <w:lang w:eastAsia="x-none"/>
        </w:rPr>
        <w:t>書面報告，請查照案。</w:t>
      </w:r>
    </w:p>
    <w:p w14:paraId="490A4EB5"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三、公務人員保障暨培訓委員會函，為111年度中央政府總預算決議，檢送決議（二）「一般行政」預算凍結5萬元書面報告，請查照案。</w:t>
      </w:r>
    </w:p>
    <w:p w14:paraId="2B7A4627"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四、公務人員保障暨培訓委員會函，為111年度中央政府總預算決議，檢送決議（三）「保障暨培訓」預算凍結5萬元書面報告，請查照案。</w:t>
      </w:r>
    </w:p>
    <w:p w14:paraId="0CE21C30"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五、公務人員保障暨培訓委員會函，為111年度中央政府總預算決議，檢送決議（六）「保障暨培訓」預算凍結5萬元書面報告，請查照案。</w:t>
      </w:r>
    </w:p>
    <w:p w14:paraId="596024FE"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六、公務人員保障暨培訓委員會函，為111年度中央政府總預算決議，</w:t>
      </w:r>
      <w:r w:rsidRPr="00EF1C9F">
        <w:rPr>
          <w:rFonts w:ascii="標楷體" w:eastAsia="標楷體" w:hAnsi="標楷體" w:hint="eastAsia"/>
          <w:snapToGrid w:val="0"/>
          <w:kern w:val="0"/>
          <w:sz w:val="28"/>
          <w:szCs w:val="28"/>
          <w:lang w:eastAsia="x-none"/>
        </w:rPr>
        <w:lastRenderedPageBreak/>
        <w:t>檢送決議（八）「一般行政」預算凍結60萬元書面報告，請查照案。</w:t>
      </w:r>
    </w:p>
    <w:p w14:paraId="58781005"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七、公務人員保障暨培訓委員會函，為111年度中央政府總預算決議，檢送決議（九）「一般行政」預算凍結20萬元書面報告，請查照案。</w:t>
      </w:r>
    </w:p>
    <w:p w14:paraId="110B714D"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八、公務人員保障暨培訓委員會函，為111年度中央政府總預算決議，檢送決議（十）「保障暨培訓」預算凍結10萬元書面報告，請查照案。</w:t>
      </w:r>
    </w:p>
    <w:p w14:paraId="7F065682"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九、公務人員保障暨培訓委員會函，為111年度中央政府總預算決議，檢送決議（十一）「保障暨培訓」預算凍結100萬元書面報告，請查照案。</w:t>
      </w:r>
    </w:p>
    <w:p w14:paraId="3131BAA1"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lang w:eastAsia="x-none"/>
        </w:rPr>
      </w:pPr>
      <w:r w:rsidRPr="00EF1C9F">
        <w:rPr>
          <w:rFonts w:ascii="標楷體" w:eastAsia="標楷體" w:hAnsi="標楷體" w:hint="eastAsia"/>
          <w:snapToGrid w:val="0"/>
          <w:kern w:val="0"/>
          <w:sz w:val="28"/>
          <w:szCs w:val="28"/>
          <w:lang w:eastAsia="x-none"/>
        </w:rPr>
        <w:t>十、公務人員保障暨培訓委員會函，為111年度中央政府總預算決議，檢送國家文官學院「國家文官培訓業務」凍結10萬元書面報告（更正本），請查照案。</w:t>
      </w:r>
    </w:p>
    <w:p w14:paraId="5BD180A3" w14:textId="77777777" w:rsidR="00421BB5" w:rsidRPr="00EF1C9F" w:rsidRDefault="00421BB5" w:rsidP="00421BB5">
      <w:pPr>
        <w:adjustRightInd w:val="0"/>
        <w:snapToGrid w:val="0"/>
        <w:spacing w:line="360" w:lineRule="exact"/>
        <w:ind w:left="588" w:hangingChars="210" w:hanging="588"/>
        <w:jc w:val="both"/>
        <w:rPr>
          <w:rFonts w:ascii="標楷體" w:eastAsia="標楷體" w:hAnsi="標楷體"/>
          <w:snapToGrid w:val="0"/>
          <w:kern w:val="0"/>
          <w:sz w:val="28"/>
          <w:szCs w:val="28"/>
        </w:rPr>
      </w:pPr>
      <w:r w:rsidRPr="00EF1C9F">
        <w:rPr>
          <w:rFonts w:ascii="標楷體" w:eastAsia="標楷體" w:hAnsi="標楷體" w:hint="eastAsia"/>
          <w:snapToGrid w:val="0"/>
          <w:kern w:val="0"/>
          <w:sz w:val="28"/>
          <w:szCs w:val="28"/>
        </w:rPr>
        <w:t>決定：第二案至第十案，均另定期繼續處理。</w:t>
      </w:r>
    </w:p>
    <w:p w14:paraId="0F40D85E" w14:textId="77777777" w:rsidR="00421BB5" w:rsidRPr="00EF1C9F"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EF1C9F">
        <w:rPr>
          <w:rFonts w:ascii="標楷體" w:hAnsi="標楷體"/>
          <w:b/>
          <w:sz w:val="28"/>
          <w:szCs w:val="28"/>
        </w:rPr>
        <w:t>討論事項</w:t>
      </w:r>
    </w:p>
    <w:p w14:paraId="45B937E2" w14:textId="77777777" w:rsidR="00421BB5" w:rsidRPr="00EF1C9F" w:rsidRDefault="00421BB5" w:rsidP="007015C7">
      <w:pPr>
        <w:numPr>
          <w:ilvl w:val="0"/>
          <w:numId w:val="26"/>
        </w:numPr>
        <w:autoSpaceDN w:val="0"/>
        <w:spacing w:line="360" w:lineRule="exact"/>
        <w:ind w:left="560" w:hangingChars="200" w:hanging="560"/>
        <w:jc w:val="both"/>
        <w:rPr>
          <w:rFonts w:ascii="標楷體" w:eastAsia="標楷體" w:hAnsi="標楷體"/>
          <w:color w:val="000000"/>
          <w:sz w:val="28"/>
          <w:szCs w:val="28"/>
          <w:shd w:val="clear" w:color="auto" w:fill="FFFFFF"/>
        </w:rPr>
      </w:pPr>
      <w:r w:rsidRPr="00EF1C9F">
        <w:rPr>
          <w:rFonts w:ascii="標楷體" w:eastAsia="標楷體" w:hAnsi="標楷體" w:hint="eastAsia"/>
          <w:color w:val="000000"/>
          <w:sz w:val="28"/>
          <w:szCs w:val="28"/>
          <w:shd w:val="clear" w:color="auto" w:fill="FFFFFF"/>
        </w:rPr>
        <w:t>繼續審查1</w:t>
      </w:r>
      <w:r w:rsidRPr="00EF1C9F">
        <w:rPr>
          <w:rFonts w:ascii="標楷體" w:eastAsia="標楷體" w:hAnsi="標楷體"/>
          <w:color w:val="000000"/>
          <w:sz w:val="28"/>
          <w:szCs w:val="28"/>
          <w:shd w:val="clear" w:color="auto" w:fill="FFFFFF"/>
        </w:rPr>
        <w:t>12</w:t>
      </w:r>
      <w:r w:rsidRPr="00EF1C9F">
        <w:rPr>
          <w:rFonts w:ascii="標楷體" w:eastAsia="標楷體" w:hAnsi="標楷體" w:hint="eastAsia"/>
          <w:color w:val="000000"/>
          <w:sz w:val="28"/>
          <w:szCs w:val="28"/>
          <w:shd w:val="clear" w:color="auto" w:fill="FFFFFF"/>
        </w:rPr>
        <w:t>年度中央政府總預算案關於行政院人事行政總處及所屬主管收支部分。</w:t>
      </w:r>
    </w:p>
    <w:p w14:paraId="6DA1B99B" w14:textId="77777777" w:rsidR="00421BB5" w:rsidRPr="00EF1C9F" w:rsidRDefault="00421BB5" w:rsidP="007015C7">
      <w:pPr>
        <w:numPr>
          <w:ilvl w:val="0"/>
          <w:numId w:val="26"/>
        </w:numPr>
        <w:autoSpaceDN w:val="0"/>
        <w:spacing w:line="360" w:lineRule="exact"/>
        <w:ind w:left="560" w:hangingChars="200" w:hanging="560"/>
        <w:jc w:val="both"/>
        <w:rPr>
          <w:rFonts w:ascii="標楷體" w:eastAsia="標楷體" w:hAnsi="標楷體"/>
          <w:color w:val="000000"/>
          <w:sz w:val="28"/>
          <w:szCs w:val="28"/>
          <w:shd w:val="clear" w:color="auto" w:fill="FFFFFF"/>
        </w:rPr>
      </w:pPr>
      <w:r w:rsidRPr="00EF1C9F">
        <w:rPr>
          <w:rFonts w:ascii="標楷體" w:eastAsia="標楷體" w:hAnsi="標楷體" w:hint="eastAsia"/>
          <w:color w:val="000000"/>
          <w:sz w:val="28"/>
          <w:szCs w:val="28"/>
          <w:shd w:val="clear" w:color="auto" w:fill="FFFFFF"/>
        </w:rPr>
        <w:t>繼續審查1</w:t>
      </w:r>
      <w:r w:rsidRPr="00EF1C9F">
        <w:rPr>
          <w:rFonts w:ascii="標楷體" w:eastAsia="標楷體" w:hAnsi="標楷體"/>
          <w:color w:val="000000"/>
          <w:sz w:val="28"/>
          <w:szCs w:val="28"/>
          <w:shd w:val="clear" w:color="auto" w:fill="FFFFFF"/>
        </w:rPr>
        <w:t>12</w:t>
      </w:r>
      <w:r w:rsidRPr="00EF1C9F">
        <w:rPr>
          <w:rFonts w:ascii="標楷體" w:eastAsia="標楷體" w:hAnsi="標楷體" w:hint="eastAsia"/>
          <w:color w:val="000000"/>
          <w:sz w:val="28"/>
          <w:szCs w:val="28"/>
          <w:shd w:val="clear" w:color="auto" w:fill="FFFFFF"/>
        </w:rPr>
        <w:t>年度中央政府總預算案附屬單位預算非營業部分關於行政院人事行政總處主管「中央公教人員急難救助基金」收支部分。</w:t>
      </w:r>
    </w:p>
    <w:p w14:paraId="705A6DB6" w14:textId="77777777" w:rsidR="00421BB5" w:rsidRPr="00EF1C9F" w:rsidRDefault="00421BB5" w:rsidP="00421BB5">
      <w:pPr>
        <w:spacing w:line="360" w:lineRule="exact"/>
        <w:ind w:left="280" w:hangingChars="100" w:hanging="280"/>
        <w:contextualSpacing/>
        <w:jc w:val="both"/>
        <w:rPr>
          <w:rFonts w:ascii="標楷體" w:eastAsia="標楷體" w:hAnsi="標楷體"/>
          <w:sz w:val="28"/>
          <w:szCs w:val="28"/>
        </w:rPr>
      </w:pPr>
      <w:r w:rsidRPr="00EF1C9F">
        <w:rPr>
          <w:rFonts w:ascii="標楷體" w:eastAsia="標楷體" w:hAnsi="標楷體"/>
          <w:sz w:val="28"/>
          <w:szCs w:val="28"/>
        </w:rPr>
        <w:t>決議：</w:t>
      </w:r>
    </w:p>
    <w:p w14:paraId="582FC970" w14:textId="77777777" w:rsidR="00421BB5" w:rsidRPr="00EF1C9F" w:rsidRDefault="00421BB5" w:rsidP="00421BB5">
      <w:pPr>
        <w:autoSpaceDN w:val="0"/>
        <w:spacing w:line="360" w:lineRule="exact"/>
        <w:ind w:left="560" w:hangingChars="200" w:hanging="560"/>
        <w:contextualSpacing/>
        <w:jc w:val="both"/>
        <w:rPr>
          <w:rFonts w:ascii="標楷體" w:eastAsia="標楷體" w:hAnsi="標楷體"/>
          <w:sz w:val="28"/>
          <w:szCs w:val="28"/>
        </w:rPr>
      </w:pPr>
      <w:bookmarkStart w:id="523" w:name="_Hlk20681751"/>
      <w:r w:rsidRPr="00EF1C9F">
        <w:rPr>
          <w:rFonts w:ascii="標楷體" w:eastAsia="標楷體" w:hAnsi="標楷體" w:hint="eastAsia"/>
          <w:sz w:val="28"/>
          <w:szCs w:val="28"/>
        </w:rPr>
        <w:t>一、1</w:t>
      </w:r>
      <w:r w:rsidRPr="00EF1C9F">
        <w:rPr>
          <w:rFonts w:ascii="標楷體" w:eastAsia="標楷體" w:hAnsi="標楷體"/>
          <w:sz w:val="28"/>
          <w:szCs w:val="28"/>
        </w:rPr>
        <w:t>12</w:t>
      </w:r>
      <w:r w:rsidRPr="00EF1C9F">
        <w:rPr>
          <w:rFonts w:ascii="標楷體" w:eastAsia="標楷體" w:hAnsi="標楷體" w:hint="eastAsia"/>
          <w:sz w:val="28"/>
          <w:szCs w:val="28"/>
        </w:rPr>
        <w:t>年度中央政府總預算案關於行政院人事行政總處及所屬主管收支部分</w:t>
      </w:r>
      <w:bookmarkEnd w:id="523"/>
      <w:r w:rsidRPr="00EF1C9F">
        <w:rPr>
          <w:rFonts w:ascii="標楷體" w:eastAsia="標楷體" w:hAnsi="標楷體" w:hint="eastAsia"/>
          <w:sz w:val="28"/>
          <w:szCs w:val="28"/>
        </w:rPr>
        <w:t>：</w:t>
      </w:r>
    </w:p>
    <w:p w14:paraId="3C4FC44D" w14:textId="77777777" w:rsidR="00421BB5" w:rsidRPr="00EF1C9F" w:rsidRDefault="00421BB5" w:rsidP="00421BB5">
      <w:pPr>
        <w:autoSpaceDN w:val="0"/>
        <w:spacing w:line="360" w:lineRule="exact"/>
        <w:ind w:leftChars="-46" w:left="563" w:hangingChars="240" w:hanging="673"/>
        <w:contextualSpacing/>
        <w:jc w:val="both"/>
        <w:rPr>
          <w:rFonts w:ascii="標楷體" w:eastAsia="標楷體" w:hAnsi="標楷體"/>
          <w:b/>
          <w:sz w:val="28"/>
          <w:szCs w:val="28"/>
        </w:rPr>
      </w:pPr>
      <w:r w:rsidRPr="00EF1C9F">
        <w:rPr>
          <w:rFonts w:ascii="標楷體" w:eastAsia="標楷體" w:hAnsi="標楷體" w:hint="eastAsia"/>
          <w:b/>
          <w:sz w:val="28"/>
          <w:szCs w:val="28"/>
        </w:rPr>
        <w:t>（一）</w:t>
      </w:r>
      <w:r w:rsidRPr="00EF1C9F">
        <w:rPr>
          <w:rFonts w:ascii="標楷體" w:eastAsia="標楷體" w:hAnsi="標楷體"/>
          <w:b/>
          <w:sz w:val="28"/>
          <w:szCs w:val="28"/>
        </w:rPr>
        <w:t>歲入部分</w:t>
      </w:r>
    </w:p>
    <w:p w14:paraId="5B2A860D" w14:textId="77777777" w:rsidR="00421BB5" w:rsidRPr="00A52F6B" w:rsidRDefault="00421BB5" w:rsidP="00A52F6B">
      <w:pPr>
        <w:spacing w:line="360" w:lineRule="exact"/>
        <w:rPr>
          <w:rFonts w:ascii="標楷體" w:eastAsia="標楷體" w:hAnsi="標楷體"/>
          <w:sz w:val="28"/>
          <w:szCs w:val="28"/>
        </w:rPr>
      </w:pPr>
      <w:r w:rsidRPr="00A52F6B">
        <w:rPr>
          <w:rFonts w:ascii="標楷體" w:eastAsia="標楷體" w:hAnsi="標楷體"/>
          <w:sz w:val="28"/>
          <w:szCs w:val="28"/>
        </w:rPr>
        <w:t>第2款</w:t>
      </w:r>
      <w:r w:rsidRPr="00A52F6B">
        <w:rPr>
          <w:rFonts w:ascii="標楷體" w:eastAsia="標楷體" w:hAnsi="標楷體" w:hint="eastAsia"/>
          <w:sz w:val="28"/>
          <w:szCs w:val="28"/>
        </w:rPr>
        <w:t xml:space="preserve">　</w:t>
      </w:r>
      <w:r w:rsidRPr="00A52F6B">
        <w:rPr>
          <w:rFonts w:ascii="標楷體" w:eastAsia="標楷體" w:hAnsi="標楷體"/>
          <w:sz w:val="28"/>
          <w:szCs w:val="28"/>
        </w:rPr>
        <w:t>罰款及賠償收入</w:t>
      </w:r>
    </w:p>
    <w:p w14:paraId="096596E3" w14:textId="77777777" w:rsidR="00421BB5" w:rsidRPr="00A52F6B" w:rsidRDefault="00421BB5" w:rsidP="00A52F6B">
      <w:pPr>
        <w:spacing w:line="360" w:lineRule="exact"/>
        <w:rPr>
          <w:rFonts w:ascii="標楷體" w:eastAsia="標楷體" w:hAnsi="標楷體"/>
          <w:sz w:val="28"/>
          <w:szCs w:val="28"/>
        </w:rPr>
      </w:pPr>
      <w:r w:rsidRPr="00A52F6B">
        <w:rPr>
          <w:rFonts w:ascii="標楷體" w:eastAsia="標楷體" w:hAnsi="標楷體"/>
          <w:sz w:val="28"/>
          <w:szCs w:val="28"/>
        </w:rPr>
        <w:t>第</w:t>
      </w:r>
      <w:r w:rsidRPr="00A52F6B">
        <w:rPr>
          <w:rFonts w:ascii="標楷體" w:eastAsia="標楷體" w:hAnsi="標楷體" w:hint="eastAsia"/>
          <w:sz w:val="28"/>
          <w:szCs w:val="28"/>
        </w:rPr>
        <w:t>7</w:t>
      </w:r>
      <w:r w:rsidRPr="00A52F6B">
        <w:rPr>
          <w:rFonts w:ascii="標楷體" w:eastAsia="標楷體" w:hAnsi="標楷體"/>
          <w:sz w:val="28"/>
          <w:szCs w:val="28"/>
        </w:rPr>
        <w:t>項</w:t>
      </w:r>
      <w:r w:rsidRPr="00A52F6B">
        <w:rPr>
          <w:rFonts w:ascii="標楷體" w:eastAsia="標楷體" w:hAnsi="標楷體" w:hint="eastAsia"/>
          <w:sz w:val="28"/>
          <w:szCs w:val="28"/>
        </w:rPr>
        <w:t xml:space="preserve">　人事行政總處1千元</w:t>
      </w:r>
      <w:r w:rsidRPr="00A52F6B">
        <w:rPr>
          <w:rFonts w:ascii="標楷體" w:eastAsia="標楷體" w:hAnsi="標楷體"/>
          <w:sz w:val="28"/>
          <w:szCs w:val="28"/>
        </w:rPr>
        <w:t>，照列。</w:t>
      </w:r>
    </w:p>
    <w:p w14:paraId="195A471A" w14:textId="77777777" w:rsidR="00421BB5" w:rsidRPr="00A52F6B" w:rsidRDefault="00421BB5" w:rsidP="00A52F6B">
      <w:pPr>
        <w:spacing w:line="360" w:lineRule="exact"/>
        <w:rPr>
          <w:rFonts w:ascii="標楷體" w:eastAsia="標楷體" w:hAnsi="標楷體"/>
          <w:sz w:val="28"/>
          <w:szCs w:val="28"/>
        </w:rPr>
      </w:pPr>
      <w:r w:rsidRPr="00A52F6B">
        <w:rPr>
          <w:rFonts w:ascii="標楷體" w:eastAsia="標楷體" w:hAnsi="標楷體"/>
          <w:sz w:val="28"/>
          <w:szCs w:val="28"/>
        </w:rPr>
        <w:t>第4款</w:t>
      </w:r>
      <w:r w:rsidRPr="00A52F6B">
        <w:rPr>
          <w:rFonts w:ascii="標楷體" w:eastAsia="標楷體" w:hAnsi="標楷體" w:hint="eastAsia"/>
          <w:sz w:val="28"/>
          <w:szCs w:val="28"/>
        </w:rPr>
        <w:t xml:space="preserve">　</w:t>
      </w:r>
      <w:r w:rsidRPr="00A52F6B">
        <w:rPr>
          <w:rFonts w:ascii="標楷體" w:eastAsia="標楷體" w:hAnsi="標楷體"/>
          <w:sz w:val="28"/>
          <w:szCs w:val="28"/>
        </w:rPr>
        <w:t>財產收入</w:t>
      </w:r>
    </w:p>
    <w:p w14:paraId="3766729C" w14:textId="77777777" w:rsidR="00421BB5" w:rsidRPr="00A52F6B" w:rsidRDefault="00421BB5" w:rsidP="00A52F6B">
      <w:pPr>
        <w:adjustRightInd w:val="0"/>
        <w:snapToGrid w:val="0"/>
        <w:spacing w:line="360" w:lineRule="exact"/>
        <w:ind w:leftChars="140" w:left="1596" w:hangingChars="450" w:hanging="1260"/>
        <w:jc w:val="both"/>
        <w:rPr>
          <w:rFonts w:ascii="標楷體" w:eastAsia="標楷體" w:hAnsi="標楷體"/>
          <w:sz w:val="28"/>
          <w:szCs w:val="28"/>
        </w:rPr>
      </w:pPr>
      <w:r w:rsidRPr="00A52F6B">
        <w:rPr>
          <w:rFonts w:ascii="標楷體" w:eastAsia="標楷體" w:hAnsi="標楷體"/>
          <w:sz w:val="28"/>
          <w:szCs w:val="28"/>
        </w:rPr>
        <w:t>第8項</w:t>
      </w:r>
      <w:r w:rsidRPr="00A52F6B">
        <w:rPr>
          <w:rFonts w:ascii="標楷體" w:eastAsia="標楷體" w:hAnsi="標楷體" w:hint="eastAsia"/>
          <w:sz w:val="28"/>
          <w:szCs w:val="28"/>
        </w:rPr>
        <w:t xml:space="preserve">　</w:t>
      </w:r>
      <w:r w:rsidRPr="00A52F6B">
        <w:rPr>
          <w:rFonts w:ascii="標楷體" w:eastAsia="標楷體" w:hAnsi="標楷體"/>
          <w:sz w:val="28"/>
          <w:szCs w:val="28"/>
        </w:rPr>
        <w:t>人事行政總處</w:t>
      </w:r>
      <w:r w:rsidRPr="00A52F6B">
        <w:rPr>
          <w:rFonts w:ascii="標楷體" w:eastAsia="標楷體" w:hAnsi="標楷體" w:hint="eastAsia"/>
          <w:sz w:val="28"/>
          <w:szCs w:val="28"/>
        </w:rPr>
        <w:t>35</w:t>
      </w:r>
      <w:r w:rsidRPr="00A52F6B">
        <w:rPr>
          <w:rFonts w:ascii="標楷體" w:eastAsia="標楷體" w:hAnsi="標楷體"/>
          <w:sz w:val="28"/>
          <w:szCs w:val="28"/>
        </w:rPr>
        <w:t>萬</w:t>
      </w:r>
      <w:r w:rsidRPr="00A52F6B">
        <w:rPr>
          <w:rFonts w:ascii="標楷體" w:eastAsia="標楷體" w:hAnsi="標楷體" w:hint="eastAsia"/>
          <w:sz w:val="28"/>
          <w:szCs w:val="28"/>
        </w:rPr>
        <w:t>3千</w:t>
      </w:r>
      <w:r w:rsidRPr="00A52F6B">
        <w:rPr>
          <w:rFonts w:ascii="標楷體" w:eastAsia="標楷體" w:hAnsi="標楷體"/>
          <w:sz w:val="28"/>
          <w:szCs w:val="28"/>
        </w:rPr>
        <w:t>元，照列。</w:t>
      </w:r>
    </w:p>
    <w:p w14:paraId="70478D0E" w14:textId="77777777" w:rsidR="00421BB5" w:rsidRPr="00A52F6B" w:rsidRDefault="00421BB5" w:rsidP="00A52F6B">
      <w:pPr>
        <w:adjustRightInd w:val="0"/>
        <w:snapToGrid w:val="0"/>
        <w:spacing w:line="360" w:lineRule="exact"/>
        <w:ind w:leftChars="140" w:left="1596" w:hangingChars="450" w:hanging="1260"/>
        <w:jc w:val="both"/>
        <w:rPr>
          <w:rFonts w:ascii="標楷體" w:eastAsia="標楷體" w:hAnsi="標楷體"/>
          <w:sz w:val="28"/>
          <w:szCs w:val="28"/>
        </w:rPr>
      </w:pPr>
      <w:r w:rsidRPr="00A52F6B">
        <w:rPr>
          <w:rFonts w:ascii="標楷體" w:eastAsia="標楷體" w:hAnsi="標楷體"/>
          <w:sz w:val="28"/>
          <w:szCs w:val="28"/>
        </w:rPr>
        <w:t>第9項</w:t>
      </w:r>
      <w:r w:rsidRPr="00A52F6B">
        <w:rPr>
          <w:rFonts w:ascii="標楷體" w:eastAsia="標楷體" w:hAnsi="標楷體" w:hint="eastAsia"/>
          <w:sz w:val="28"/>
          <w:szCs w:val="28"/>
        </w:rPr>
        <w:t xml:space="preserve">　</w:t>
      </w:r>
      <w:r w:rsidRPr="00A52F6B">
        <w:rPr>
          <w:rFonts w:ascii="標楷體" w:eastAsia="標楷體" w:hAnsi="標楷體"/>
          <w:sz w:val="28"/>
          <w:szCs w:val="28"/>
        </w:rPr>
        <w:t>公務人力發展</w:t>
      </w:r>
      <w:r w:rsidRPr="00A52F6B">
        <w:rPr>
          <w:rFonts w:ascii="標楷體" w:eastAsia="標楷體" w:hAnsi="標楷體" w:hint="eastAsia"/>
          <w:sz w:val="28"/>
          <w:szCs w:val="28"/>
        </w:rPr>
        <w:t>學院3,58</w:t>
      </w:r>
      <w:r w:rsidRPr="00A52F6B">
        <w:rPr>
          <w:rFonts w:ascii="標楷體" w:eastAsia="標楷體" w:hAnsi="標楷體"/>
          <w:sz w:val="28"/>
          <w:szCs w:val="28"/>
        </w:rPr>
        <w:t>5</w:t>
      </w:r>
      <w:r w:rsidRPr="00A52F6B">
        <w:rPr>
          <w:rFonts w:ascii="標楷體" w:eastAsia="標楷體" w:hAnsi="標楷體" w:hint="eastAsia"/>
          <w:sz w:val="28"/>
          <w:szCs w:val="28"/>
        </w:rPr>
        <w:t>萬6千元</w:t>
      </w:r>
      <w:r w:rsidRPr="00A52F6B">
        <w:rPr>
          <w:rFonts w:ascii="標楷體" w:eastAsia="標楷體" w:hAnsi="標楷體"/>
          <w:sz w:val="28"/>
          <w:szCs w:val="28"/>
        </w:rPr>
        <w:t>，照列。</w:t>
      </w:r>
    </w:p>
    <w:p w14:paraId="03FB4FBF" w14:textId="77777777" w:rsidR="00421BB5" w:rsidRPr="00A52F6B" w:rsidRDefault="00421BB5" w:rsidP="00A52F6B">
      <w:pPr>
        <w:spacing w:line="360" w:lineRule="exact"/>
        <w:rPr>
          <w:rFonts w:ascii="標楷體" w:eastAsia="標楷體" w:hAnsi="標楷體"/>
          <w:sz w:val="28"/>
          <w:szCs w:val="28"/>
        </w:rPr>
      </w:pPr>
      <w:r w:rsidRPr="00A52F6B">
        <w:rPr>
          <w:rFonts w:ascii="標楷體" w:eastAsia="標楷體" w:hAnsi="標楷體"/>
          <w:sz w:val="28"/>
          <w:szCs w:val="28"/>
        </w:rPr>
        <w:t>第7款</w:t>
      </w:r>
      <w:r w:rsidRPr="00A52F6B">
        <w:rPr>
          <w:rFonts w:ascii="標楷體" w:eastAsia="標楷體" w:hAnsi="標楷體" w:hint="eastAsia"/>
          <w:sz w:val="28"/>
          <w:szCs w:val="28"/>
        </w:rPr>
        <w:t xml:space="preserve">　</w:t>
      </w:r>
      <w:r w:rsidRPr="00A52F6B">
        <w:rPr>
          <w:rFonts w:ascii="標楷體" w:eastAsia="標楷體" w:hAnsi="標楷體"/>
          <w:sz w:val="28"/>
          <w:szCs w:val="28"/>
        </w:rPr>
        <w:t>其他收入</w:t>
      </w:r>
    </w:p>
    <w:p w14:paraId="5B2EF706" w14:textId="77777777" w:rsidR="00421BB5" w:rsidRPr="00EF1C9F"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EF1C9F">
        <w:rPr>
          <w:rFonts w:ascii="標楷體" w:eastAsia="標楷體" w:hAnsi="標楷體"/>
          <w:sz w:val="28"/>
          <w:szCs w:val="28"/>
        </w:rPr>
        <w:t>第8項</w:t>
      </w:r>
      <w:r w:rsidRPr="00EF1C9F">
        <w:rPr>
          <w:rFonts w:ascii="標楷體" w:eastAsia="標楷體" w:hAnsi="標楷體" w:hint="eastAsia"/>
          <w:sz w:val="28"/>
          <w:szCs w:val="28"/>
        </w:rPr>
        <w:t xml:space="preserve">　</w:t>
      </w:r>
      <w:r w:rsidRPr="00EF1C9F">
        <w:rPr>
          <w:rFonts w:ascii="標楷體" w:eastAsia="標楷體" w:hAnsi="標楷體"/>
          <w:sz w:val="28"/>
          <w:szCs w:val="28"/>
        </w:rPr>
        <w:t>人事行政總處1</w:t>
      </w:r>
      <w:r w:rsidRPr="00EF1C9F">
        <w:rPr>
          <w:rFonts w:ascii="標楷體" w:eastAsia="標楷體" w:hAnsi="標楷體" w:hint="eastAsia"/>
          <w:sz w:val="28"/>
          <w:szCs w:val="28"/>
        </w:rPr>
        <w:t>5</w:t>
      </w:r>
      <w:r w:rsidRPr="00EF1C9F">
        <w:rPr>
          <w:rFonts w:ascii="標楷體" w:eastAsia="標楷體" w:hAnsi="標楷體"/>
          <w:sz w:val="28"/>
          <w:szCs w:val="28"/>
        </w:rPr>
        <w:t>萬9</w:t>
      </w:r>
      <w:r w:rsidRPr="00EF1C9F">
        <w:rPr>
          <w:rFonts w:ascii="標楷體" w:eastAsia="標楷體" w:hAnsi="標楷體" w:hint="eastAsia"/>
          <w:sz w:val="28"/>
          <w:szCs w:val="28"/>
        </w:rPr>
        <w:t>千</w:t>
      </w:r>
      <w:r w:rsidRPr="00EF1C9F">
        <w:rPr>
          <w:rFonts w:ascii="標楷體" w:eastAsia="標楷體" w:hAnsi="標楷體"/>
          <w:sz w:val="28"/>
          <w:szCs w:val="28"/>
        </w:rPr>
        <w:t>元，照列。</w:t>
      </w:r>
    </w:p>
    <w:p w14:paraId="33C79A91" w14:textId="77777777" w:rsidR="00421BB5" w:rsidRPr="00EF1C9F" w:rsidRDefault="00421BB5" w:rsidP="00421BB5">
      <w:pPr>
        <w:adjustRightInd w:val="0"/>
        <w:snapToGrid w:val="0"/>
        <w:spacing w:line="360" w:lineRule="exact"/>
        <w:ind w:leftChars="140" w:left="1596" w:hangingChars="450" w:hanging="1260"/>
        <w:jc w:val="both"/>
        <w:rPr>
          <w:rFonts w:ascii="標楷體" w:eastAsia="標楷體" w:hAnsi="標楷體"/>
          <w:sz w:val="28"/>
          <w:szCs w:val="28"/>
        </w:rPr>
      </w:pPr>
      <w:r w:rsidRPr="00EF1C9F">
        <w:rPr>
          <w:rFonts w:ascii="標楷體" w:eastAsia="標楷體" w:hAnsi="標楷體" w:hint="eastAsia"/>
          <w:sz w:val="28"/>
          <w:szCs w:val="28"/>
        </w:rPr>
        <w:t xml:space="preserve">第9項　</w:t>
      </w:r>
      <w:r w:rsidRPr="00EF1C9F">
        <w:rPr>
          <w:rFonts w:ascii="標楷體" w:eastAsia="標楷體" w:hAnsi="標楷體"/>
          <w:sz w:val="28"/>
          <w:szCs w:val="28"/>
        </w:rPr>
        <w:t>公務人力發展</w:t>
      </w:r>
      <w:r w:rsidRPr="00EF1C9F">
        <w:rPr>
          <w:rFonts w:ascii="標楷體" w:eastAsia="標楷體" w:hAnsi="標楷體" w:hint="eastAsia"/>
          <w:sz w:val="28"/>
          <w:szCs w:val="28"/>
        </w:rPr>
        <w:t>學院69萬9千元</w:t>
      </w:r>
      <w:r w:rsidRPr="00EF1C9F">
        <w:rPr>
          <w:rFonts w:ascii="標楷體" w:eastAsia="標楷體" w:hAnsi="標楷體"/>
          <w:sz w:val="28"/>
          <w:szCs w:val="28"/>
        </w:rPr>
        <w:t>，照列。</w:t>
      </w:r>
    </w:p>
    <w:p w14:paraId="0B816A0C" w14:textId="77777777" w:rsidR="00421BB5" w:rsidRPr="00EF1C9F" w:rsidRDefault="00421BB5" w:rsidP="00421BB5">
      <w:pPr>
        <w:adjustRightInd w:val="0"/>
        <w:snapToGrid w:val="0"/>
        <w:spacing w:line="360" w:lineRule="exact"/>
        <w:ind w:leftChars="-29" w:hangingChars="25" w:hanging="70"/>
        <w:jc w:val="both"/>
        <w:rPr>
          <w:rFonts w:ascii="標楷體" w:eastAsia="標楷體" w:hAnsi="標楷體"/>
          <w:sz w:val="28"/>
          <w:szCs w:val="28"/>
        </w:rPr>
      </w:pPr>
      <w:r w:rsidRPr="00EF1C9F">
        <w:rPr>
          <w:rFonts w:ascii="標楷體" w:eastAsia="標楷體" w:hAnsi="標楷體" w:hint="eastAsia"/>
          <w:b/>
          <w:sz w:val="28"/>
          <w:szCs w:val="28"/>
        </w:rPr>
        <w:t>（二）</w:t>
      </w:r>
      <w:r w:rsidRPr="00EF1C9F">
        <w:rPr>
          <w:rFonts w:ascii="標楷體" w:eastAsia="標楷體" w:hAnsi="標楷體"/>
          <w:b/>
          <w:sz w:val="28"/>
          <w:szCs w:val="28"/>
        </w:rPr>
        <w:t>歲出部分</w:t>
      </w:r>
    </w:p>
    <w:p w14:paraId="7ECDF8C4" w14:textId="77777777" w:rsidR="00421BB5" w:rsidRPr="00EF1C9F" w:rsidRDefault="00421BB5" w:rsidP="00421BB5">
      <w:pPr>
        <w:adjustRightInd w:val="0"/>
        <w:snapToGrid w:val="0"/>
        <w:spacing w:line="360" w:lineRule="exact"/>
        <w:jc w:val="both"/>
        <w:rPr>
          <w:rFonts w:ascii="標楷體" w:eastAsia="標楷體" w:hAnsi="標楷體"/>
          <w:kern w:val="0"/>
          <w:sz w:val="28"/>
          <w:szCs w:val="28"/>
        </w:rPr>
      </w:pPr>
      <w:r w:rsidRPr="00EF1C9F">
        <w:rPr>
          <w:rFonts w:ascii="標楷體" w:eastAsia="標楷體" w:hAnsi="標楷體"/>
          <w:kern w:val="0"/>
          <w:sz w:val="28"/>
          <w:szCs w:val="28"/>
        </w:rPr>
        <w:t>第</w:t>
      </w:r>
      <w:r w:rsidRPr="00EF1C9F">
        <w:rPr>
          <w:rFonts w:ascii="標楷體" w:eastAsia="標楷體" w:hAnsi="標楷體" w:hint="eastAsia"/>
          <w:kern w:val="0"/>
          <w:sz w:val="28"/>
          <w:szCs w:val="28"/>
        </w:rPr>
        <w:t>2</w:t>
      </w:r>
      <w:r w:rsidRPr="00EF1C9F">
        <w:rPr>
          <w:rFonts w:ascii="標楷體" w:eastAsia="標楷體" w:hAnsi="標楷體"/>
          <w:kern w:val="0"/>
          <w:sz w:val="28"/>
          <w:szCs w:val="28"/>
        </w:rPr>
        <w:t xml:space="preserve">款　</w:t>
      </w:r>
      <w:r w:rsidRPr="00EF1C9F">
        <w:rPr>
          <w:rFonts w:ascii="標楷體" w:eastAsia="標楷體" w:hAnsi="標楷體" w:hint="eastAsia"/>
          <w:kern w:val="0"/>
          <w:sz w:val="28"/>
          <w:szCs w:val="28"/>
        </w:rPr>
        <w:t>行政院</w:t>
      </w:r>
      <w:r w:rsidRPr="00EF1C9F">
        <w:rPr>
          <w:rFonts w:ascii="標楷體" w:eastAsia="標楷體" w:hAnsi="標楷體"/>
          <w:kern w:val="0"/>
          <w:sz w:val="28"/>
          <w:szCs w:val="28"/>
        </w:rPr>
        <w:t>主管</w:t>
      </w:r>
    </w:p>
    <w:p w14:paraId="3ECD7010" w14:textId="77777777" w:rsidR="00421BB5" w:rsidRPr="00EF1C9F" w:rsidRDefault="00421BB5" w:rsidP="00421BB5">
      <w:pPr>
        <w:adjustRightInd w:val="0"/>
        <w:snapToGrid w:val="0"/>
        <w:spacing w:line="360" w:lineRule="exact"/>
        <w:ind w:leftChars="138" w:left="1451" w:hangingChars="400" w:hanging="1120"/>
        <w:jc w:val="both"/>
        <w:rPr>
          <w:rFonts w:ascii="標楷體" w:eastAsia="標楷體" w:hAnsi="標楷體"/>
          <w:sz w:val="28"/>
          <w:szCs w:val="28"/>
        </w:rPr>
      </w:pPr>
      <w:r w:rsidRPr="00EF1C9F">
        <w:rPr>
          <w:rFonts w:ascii="標楷體" w:eastAsia="標楷體" w:hAnsi="標楷體"/>
          <w:color w:val="000000"/>
          <w:sz w:val="28"/>
          <w:szCs w:val="28"/>
        </w:rPr>
        <w:t>第3項</w:t>
      </w:r>
      <w:r w:rsidRPr="00EF1C9F">
        <w:rPr>
          <w:rFonts w:ascii="標楷體" w:eastAsia="標楷體" w:hAnsi="標楷體" w:hint="eastAsia"/>
          <w:color w:val="000000"/>
          <w:sz w:val="28"/>
          <w:szCs w:val="28"/>
        </w:rPr>
        <w:t xml:space="preserve">　</w:t>
      </w:r>
      <w:r w:rsidRPr="00EF1C9F">
        <w:rPr>
          <w:rFonts w:ascii="標楷體" w:eastAsia="標楷體" w:hAnsi="標楷體"/>
          <w:color w:val="000000"/>
          <w:sz w:val="28"/>
          <w:szCs w:val="28"/>
        </w:rPr>
        <w:t>人事行政總處</w:t>
      </w:r>
      <w:r w:rsidRPr="00EF1C9F">
        <w:rPr>
          <w:rFonts w:ascii="標楷體" w:eastAsia="標楷體" w:hAnsi="標楷體" w:hint="eastAsia"/>
          <w:color w:val="000000"/>
          <w:sz w:val="28"/>
          <w:szCs w:val="28"/>
        </w:rPr>
        <w:t>原列</w:t>
      </w:r>
      <w:r w:rsidRPr="00EF1C9F">
        <w:rPr>
          <w:rFonts w:ascii="標楷體" w:eastAsia="標楷體" w:hAnsi="標楷體" w:hint="eastAsia"/>
          <w:sz w:val="28"/>
          <w:szCs w:val="28"/>
        </w:rPr>
        <w:t>24億1,519萬1千元，減列第7目「公教員工資遣退職給付」100萬元，其餘均照列，改列為24億1,419萬1千元</w:t>
      </w:r>
      <w:r w:rsidRPr="00EF1C9F">
        <w:rPr>
          <w:rFonts w:ascii="標楷體" w:eastAsia="標楷體" w:hAnsi="標楷體"/>
          <w:sz w:val="28"/>
          <w:szCs w:val="28"/>
        </w:rPr>
        <w:t>。</w:t>
      </w:r>
    </w:p>
    <w:p w14:paraId="6A50EF33" w14:textId="77777777" w:rsidR="00421BB5" w:rsidRPr="00EF1C9F" w:rsidRDefault="00421BB5" w:rsidP="00421BB5">
      <w:pPr>
        <w:adjustRightInd w:val="0"/>
        <w:snapToGrid w:val="0"/>
        <w:spacing w:line="360" w:lineRule="exact"/>
        <w:ind w:leftChars="198" w:left="1449" w:hangingChars="348" w:hanging="974"/>
        <w:jc w:val="both"/>
        <w:rPr>
          <w:rFonts w:ascii="標楷體" w:eastAsia="標楷體" w:hAnsi="標楷體"/>
          <w:sz w:val="28"/>
          <w:szCs w:val="28"/>
        </w:rPr>
      </w:pPr>
      <w:r w:rsidRPr="00EF1C9F">
        <w:rPr>
          <w:rFonts w:ascii="標楷體" w:eastAsia="標楷體" w:hAnsi="標楷體" w:hint="eastAsia"/>
          <w:sz w:val="28"/>
          <w:szCs w:val="28"/>
        </w:rPr>
        <w:t>本項通過決議28項：</w:t>
      </w:r>
    </w:p>
    <w:p w14:paraId="3DF56C1E" w14:textId="77777777" w:rsidR="00421BB5" w:rsidRPr="00EF1C9F" w:rsidRDefault="00421BB5" w:rsidP="00421BB5">
      <w:pPr>
        <w:pStyle w:val="0-"/>
        <w:rPr>
          <w:rStyle w:val="0-0"/>
        </w:rPr>
      </w:pPr>
      <w:r w:rsidRPr="00EF1C9F">
        <w:rPr>
          <w:rFonts w:hint="eastAsia"/>
        </w:rPr>
        <w:lastRenderedPageBreak/>
        <w:t>(一)</w:t>
      </w:r>
      <w:r w:rsidRPr="00EF1C9F">
        <w:rPr>
          <w:rStyle w:val="0-0"/>
          <w:rFonts w:hint="eastAsia"/>
        </w:rPr>
        <w:t>112年度人事行政總處歲出預算第1目「一般行政」編列3億8</w:t>
      </w:r>
      <w:r w:rsidRPr="00EF1C9F">
        <w:rPr>
          <w:rStyle w:val="0-0"/>
        </w:rPr>
        <w:t>,</w:t>
      </w:r>
      <w:r w:rsidRPr="00EF1C9F">
        <w:rPr>
          <w:rStyle w:val="0-0"/>
          <w:rFonts w:hint="eastAsia"/>
        </w:rPr>
        <w:t>438萬6千元，凍結500萬元，俟向立法院司法及法制委員會提出書面報告後，始得動支。</w:t>
      </w:r>
    </w:p>
    <w:p w14:paraId="0B4186A8" w14:textId="77777777" w:rsidR="00421BB5" w:rsidRPr="00EF1C9F" w:rsidRDefault="00421BB5" w:rsidP="00421BB5">
      <w:pPr>
        <w:pStyle w:val="2-1"/>
        <w:rPr>
          <w:shd w:val="clear" w:color="auto" w:fill="FFFFFF"/>
        </w:rPr>
      </w:pPr>
      <w:r w:rsidRPr="00EF1C9F">
        <w:rPr>
          <w:rFonts w:hint="eastAsia"/>
          <w:shd w:val="clear" w:color="auto" w:fill="FFFFFF"/>
        </w:rPr>
        <w:t>提案人：陳玉珍 林思銘 游毓蘭 陳以信</w:t>
      </w:r>
    </w:p>
    <w:p w14:paraId="6BD780A5" w14:textId="77777777" w:rsidR="00421BB5" w:rsidRPr="00EF1C9F" w:rsidRDefault="00421BB5" w:rsidP="00421BB5">
      <w:pPr>
        <w:pStyle w:val="2-1"/>
        <w:ind w:leftChars="1901" w:left="4702" w:hangingChars="50" w:hanging="140"/>
        <w:rPr>
          <w:shd w:val="clear" w:color="auto" w:fill="FFFFFF"/>
        </w:rPr>
      </w:pPr>
      <w:r w:rsidRPr="00EF1C9F">
        <w:rPr>
          <w:rFonts w:hint="eastAsia"/>
          <w:shd w:val="clear" w:color="auto" w:fill="FFFFFF"/>
        </w:rPr>
        <w:t xml:space="preserve">黃世杰 江永昌 </w:t>
      </w:r>
    </w:p>
    <w:p w14:paraId="456F1AD3" w14:textId="77777777" w:rsidR="00421BB5" w:rsidRPr="00EF1C9F" w:rsidRDefault="00421BB5" w:rsidP="00421BB5">
      <w:pPr>
        <w:pStyle w:val="2-1"/>
        <w:rPr>
          <w:shd w:val="clear" w:color="auto" w:fill="FFFFFF"/>
        </w:rPr>
      </w:pPr>
      <w:r w:rsidRPr="00EF1C9F">
        <w:rPr>
          <w:rFonts w:hint="eastAsia"/>
          <w:shd w:val="clear" w:color="auto" w:fill="FFFFFF"/>
        </w:rPr>
        <w:t>連署人：曾銘宗 陳歐珀</w:t>
      </w:r>
    </w:p>
    <w:p w14:paraId="5264E53F" w14:textId="77777777" w:rsidR="00421BB5" w:rsidRPr="00EF1C9F" w:rsidRDefault="00421BB5" w:rsidP="00421BB5">
      <w:pPr>
        <w:pStyle w:val="0-"/>
      </w:pPr>
      <w:r w:rsidRPr="00EF1C9F">
        <w:rPr>
          <w:rFonts w:hint="eastAsia"/>
        </w:rPr>
        <w:t>(二)112年度</w:t>
      </w:r>
      <w:r w:rsidRPr="00EF1C9F">
        <w:t>人事行政總處</w:t>
      </w:r>
      <w:r w:rsidRPr="00EF1C9F">
        <w:rPr>
          <w:rFonts w:hint="eastAsia"/>
        </w:rPr>
        <w:t>歲出預算第2目「人事行政之政策規劃執行及發展」編列</w:t>
      </w:r>
      <w:r w:rsidRPr="00EF1C9F">
        <w:rPr>
          <w:rStyle w:val="0-0"/>
          <w:rFonts w:hint="eastAsia"/>
        </w:rPr>
        <w:t>2億0</w:t>
      </w:r>
      <w:r w:rsidRPr="00EF1C9F">
        <w:rPr>
          <w:rStyle w:val="0-0"/>
        </w:rPr>
        <w:t>,</w:t>
      </w:r>
      <w:r w:rsidRPr="00EF1C9F">
        <w:rPr>
          <w:rStyle w:val="0-0"/>
          <w:rFonts w:hint="eastAsia"/>
        </w:rPr>
        <w:t>003萬8千元</w:t>
      </w:r>
      <w:r w:rsidRPr="00EF1C9F">
        <w:rPr>
          <w:rFonts w:hint="eastAsia"/>
        </w:rPr>
        <w:t>，凍結</w:t>
      </w:r>
      <w:r w:rsidRPr="00EF1C9F">
        <w:rPr>
          <w:rStyle w:val="0-0"/>
          <w:rFonts w:hint="eastAsia"/>
        </w:rPr>
        <w:t>500萬元</w:t>
      </w:r>
      <w:r w:rsidRPr="00EF1C9F">
        <w:rPr>
          <w:rFonts w:hint="eastAsia"/>
        </w:rPr>
        <w:t>，俟向立法院司法及法制委員會提出書面報告後，始得動支。</w:t>
      </w:r>
    </w:p>
    <w:p w14:paraId="03BB7E81" w14:textId="77777777" w:rsidR="00421BB5" w:rsidRPr="00EF1C9F" w:rsidRDefault="00421BB5" w:rsidP="00421BB5">
      <w:pPr>
        <w:pStyle w:val="2-1"/>
        <w:rPr>
          <w:shd w:val="clear" w:color="auto" w:fill="FFFFFF"/>
        </w:rPr>
      </w:pPr>
      <w:r w:rsidRPr="00EF1C9F">
        <w:rPr>
          <w:rFonts w:hint="eastAsia"/>
          <w:shd w:val="clear" w:color="auto" w:fill="FFFFFF"/>
        </w:rPr>
        <w:t xml:space="preserve">提案人：陳玉珍 江永昌 游毓蘭 林思銘 </w:t>
      </w:r>
    </w:p>
    <w:p w14:paraId="4AF0BB75" w14:textId="77777777" w:rsidR="00421BB5" w:rsidRPr="00EF1C9F" w:rsidRDefault="00421BB5" w:rsidP="00421BB5">
      <w:pPr>
        <w:pStyle w:val="2-2"/>
        <w:rPr>
          <w:shd w:val="clear" w:color="auto" w:fill="FFFFFF"/>
        </w:rPr>
      </w:pPr>
      <w:r w:rsidRPr="00EF1C9F">
        <w:rPr>
          <w:rFonts w:hint="eastAsia"/>
          <w:shd w:val="clear" w:color="auto" w:fill="FFFFFF"/>
        </w:rPr>
        <w:t>陳以信 黃世杰 周春米 陳歐珀</w:t>
      </w:r>
    </w:p>
    <w:p w14:paraId="105451DF" w14:textId="77777777" w:rsidR="00421BB5" w:rsidRPr="00EF1C9F" w:rsidRDefault="00421BB5" w:rsidP="00421BB5">
      <w:pPr>
        <w:pStyle w:val="2-2"/>
        <w:rPr>
          <w:shd w:val="clear" w:color="auto" w:fill="FFFFFF"/>
        </w:rPr>
      </w:pPr>
      <w:r w:rsidRPr="00EF1C9F">
        <w:rPr>
          <w:rFonts w:hint="eastAsia"/>
          <w:shd w:val="clear" w:color="auto" w:fill="FFFFFF"/>
        </w:rPr>
        <w:t xml:space="preserve">曾銘宗 </w:t>
      </w:r>
    </w:p>
    <w:p w14:paraId="0DD58DBD" w14:textId="77777777" w:rsidR="00421BB5" w:rsidRPr="00EF1C9F" w:rsidRDefault="00421BB5" w:rsidP="00421BB5">
      <w:pPr>
        <w:pStyle w:val="0-"/>
      </w:pPr>
      <w:r w:rsidRPr="00EF1C9F">
        <w:rPr>
          <w:rFonts w:hint="eastAsia"/>
        </w:rPr>
        <w:t>(三)112年度</w:t>
      </w:r>
      <w:r w:rsidRPr="00EF1C9F">
        <w:t>人事行政總處</w:t>
      </w:r>
      <w:r w:rsidRPr="00EF1C9F">
        <w:rPr>
          <w:rFonts w:hint="eastAsia"/>
        </w:rPr>
        <w:t>歲出預算第6目「執行職務意外傷亡慰問給付」編列</w:t>
      </w:r>
      <w:r w:rsidRPr="00EF1C9F">
        <w:rPr>
          <w:rStyle w:val="0-0"/>
          <w:rFonts w:hint="eastAsia"/>
        </w:rPr>
        <w:t>1</w:t>
      </w:r>
      <w:r w:rsidRPr="00EF1C9F">
        <w:rPr>
          <w:rStyle w:val="0-0"/>
        </w:rPr>
        <w:t>,</w:t>
      </w:r>
      <w:r w:rsidRPr="00EF1C9F">
        <w:rPr>
          <w:rStyle w:val="0-0"/>
          <w:rFonts w:hint="eastAsia"/>
        </w:rPr>
        <w:t>800萬元</w:t>
      </w:r>
      <w:r w:rsidRPr="00EF1C9F">
        <w:rPr>
          <w:rFonts w:hint="eastAsia"/>
        </w:rPr>
        <w:t>，凍結4</w:t>
      </w:r>
      <w:r w:rsidRPr="00EF1C9F">
        <w:rPr>
          <w:rStyle w:val="0-0"/>
          <w:rFonts w:hint="eastAsia"/>
        </w:rPr>
        <w:t>50萬元</w:t>
      </w:r>
      <w:r w:rsidRPr="00EF1C9F">
        <w:rPr>
          <w:rFonts w:hint="eastAsia"/>
        </w:rPr>
        <w:t>，俟向立法院司法及法制委員會提出書面報告後，始得動支。</w:t>
      </w:r>
    </w:p>
    <w:p w14:paraId="54AB4834" w14:textId="77777777" w:rsidR="00421BB5" w:rsidRPr="00EF1C9F" w:rsidRDefault="00421BB5" w:rsidP="00421BB5">
      <w:pPr>
        <w:pStyle w:val="2-1"/>
        <w:rPr>
          <w:shd w:val="clear" w:color="auto" w:fill="FFFFFF"/>
        </w:rPr>
      </w:pPr>
      <w:r w:rsidRPr="00EF1C9F">
        <w:rPr>
          <w:rFonts w:hint="eastAsia"/>
          <w:shd w:val="clear" w:color="auto" w:fill="FFFFFF"/>
        </w:rPr>
        <w:t>提案人：江永昌 陳歐珀 黃世杰</w:t>
      </w:r>
    </w:p>
    <w:p w14:paraId="49FDC3BD" w14:textId="77777777" w:rsidR="00421BB5" w:rsidRPr="00EF1C9F" w:rsidRDefault="00421BB5" w:rsidP="00421BB5">
      <w:pPr>
        <w:pStyle w:val="0-"/>
      </w:pPr>
      <w:r w:rsidRPr="00EF1C9F">
        <w:rPr>
          <w:rFonts w:hint="eastAsia"/>
        </w:rPr>
        <w:t>(四)為因應大陸科技設備影響國家安全，行政院人事行政總處業務範圍涉及存有公務人員個人資料部分，若公務資訊設備中有大陸科技設備，恐有洩漏我國公務人員個資之虞，故允宜與相關單位進行設備檢視並研議因應措施。</w:t>
      </w:r>
    </w:p>
    <w:p w14:paraId="274B0320" w14:textId="77777777" w:rsidR="00421BB5" w:rsidRPr="00EF1C9F" w:rsidRDefault="00421BB5" w:rsidP="00421BB5">
      <w:pPr>
        <w:pStyle w:val="0-2"/>
        <w:rPr>
          <w:rStyle w:val="0-0"/>
        </w:rPr>
      </w:pPr>
      <w:r w:rsidRPr="00EF1C9F">
        <w:rPr>
          <w:rFonts w:hint="eastAsia"/>
        </w:rPr>
        <w:t>爰此，請行政院人事行政總處擬具避免大陸科技設備影響之實際作法，並向立法院司法及法制委員會提出書面報告。</w:t>
      </w:r>
    </w:p>
    <w:p w14:paraId="03C3B7D3" w14:textId="77777777" w:rsidR="00421BB5" w:rsidRPr="00EF1C9F" w:rsidRDefault="00421BB5" w:rsidP="00421BB5">
      <w:pPr>
        <w:pStyle w:val="2-1"/>
        <w:rPr>
          <w:shd w:val="clear" w:color="auto" w:fill="FFFFFF"/>
        </w:rPr>
      </w:pPr>
      <w:r w:rsidRPr="00EF1C9F">
        <w:rPr>
          <w:rFonts w:hint="eastAsia"/>
          <w:shd w:val="clear" w:color="auto" w:fill="FFFFFF"/>
        </w:rPr>
        <w:t>提案人：林思銘</w:t>
      </w:r>
    </w:p>
    <w:p w14:paraId="066FBAED" w14:textId="77777777" w:rsidR="00421BB5" w:rsidRPr="00EF1C9F" w:rsidRDefault="00421BB5" w:rsidP="00421BB5">
      <w:pPr>
        <w:pStyle w:val="2-1"/>
        <w:rPr>
          <w:shd w:val="clear" w:color="auto" w:fill="FFFFFF"/>
        </w:rPr>
      </w:pPr>
      <w:r w:rsidRPr="00EF1C9F">
        <w:rPr>
          <w:rFonts w:hint="eastAsia"/>
          <w:shd w:val="clear" w:color="auto" w:fill="FFFFFF"/>
        </w:rPr>
        <w:t xml:space="preserve">連署人：曾銘宗 陳以信 </w:t>
      </w:r>
    </w:p>
    <w:p w14:paraId="0762BC17" w14:textId="77777777" w:rsidR="00421BB5" w:rsidRPr="00EF1C9F" w:rsidRDefault="00421BB5" w:rsidP="00421BB5">
      <w:pPr>
        <w:pStyle w:val="0-"/>
        <w:rPr>
          <w:rStyle w:val="0-0"/>
        </w:rPr>
      </w:pPr>
      <w:r w:rsidRPr="00EF1C9F">
        <w:rPr>
          <w:rFonts w:hint="eastAsia"/>
        </w:rPr>
        <w:t>(五)112年度人事行政總處歲出預算「一般行政」項下「基本行政工作維持」編列4</w:t>
      </w:r>
      <w:r w:rsidRPr="00EF1C9F">
        <w:t>,</w:t>
      </w:r>
      <w:r w:rsidRPr="00EF1C9F">
        <w:rPr>
          <w:rFonts w:hint="eastAsia"/>
        </w:rPr>
        <w:t>265萬8千元。查111年6月中，發生國道警察舉槍自殺憾事，傳出疑似遭職場霸凌，機關第一時間駁斥說是感情問題導致，但相關影片遭披露後，不到1天就改稱要「調查」。次查，各機關為了符合公務人員保障法以及人事總處所定霸凌防制法規，輒有明定專屬霸凌申訴、防制、調查的規定，例如交通部民用航空局、行政院農業委員會，連不屬公務人員保障法規範之國軍單位，都制定了專屬法令，而內政部警政署於此，付之闕如。綜上，人事總處應依據「員工職場霸凌處理標準作業流程」，督促警政署及其所屬速檢討制定應有之法令並加以落實。爰請行政院人事行政總處督促內政部就警察機關防制職場霸凌作為，於3個月內將辦理情形向立法院司法及法制委員會提出書面報告。</w:t>
      </w:r>
    </w:p>
    <w:p w14:paraId="71D6755A" w14:textId="77777777" w:rsidR="00421BB5" w:rsidRPr="00EF1C9F" w:rsidRDefault="00421BB5" w:rsidP="00421BB5">
      <w:pPr>
        <w:pStyle w:val="2-1"/>
        <w:rPr>
          <w:rStyle w:val="0-0"/>
        </w:rPr>
      </w:pPr>
      <w:r w:rsidRPr="00EF1C9F">
        <w:rPr>
          <w:rStyle w:val="0-0"/>
          <w:rFonts w:hint="eastAsia"/>
        </w:rPr>
        <w:t>提案人：游毓蘭 陳以信 林思銘</w:t>
      </w:r>
    </w:p>
    <w:p w14:paraId="4B60E3F9" w14:textId="77777777" w:rsidR="00421BB5" w:rsidRPr="00EF1C9F" w:rsidRDefault="00421BB5" w:rsidP="00421BB5">
      <w:pPr>
        <w:pStyle w:val="0-"/>
        <w:rPr>
          <w:rStyle w:val="0-0"/>
        </w:rPr>
      </w:pPr>
      <w:r w:rsidRPr="00EF1C9F">
        <w:rPr>
          <w:rFonts w:hint="eastAsia"/>
        </w:rPr>
        <w:t>(六)112年度人事行政總處歲出預算下編列「辦理國會及新聞聯繫等相關事項所需各項費用」經費3</w:t>
      </w:r>
      <w:r w:rsidRPr="00EF1C9F">
        <w:t>6</w:t>
      </w:r>
      <w:r w:rsidRPr="00EF1C9F">
        <w:rPr>
          <w:rFonts w:hint="eastAsia"/>
        </w:rPr>
        <w:t>萬</w:t>
      </w:r>
      <w:r w:rsidRPr="00EF1C9F">
        <w:t>9</w:t>
      </w:r>
      <w:r w:rsidRPr="00EF1C9F">
        <w:rPr>
          <w:rFonts w:hint="eastAsia"/>
        </w:rPr>
        <w:t>千元，無端較</w:t>
      </w:r>
      <w:r w:rsidRPr="00EF1C9F">
        <w:t>111</w:t>
      </w:r>
      <w:r w:rsidRPr="00EF1C9F">
        <w:rPr>
          <w:rFonts w:hint="eastAsia"/>
        </w:rPr>
        <w:t>年</w:t>
      </w:r>
      <w:r w:rsidRPr="00EF1C9F">
        <w:rPr>
          <w:rFonts w:hint="eastAsia"/>
        </w:rPr>
        <w:lastRenderedPageBreak/>
        <w:t>度增加</w:t>
      </w:r>
      <w:r w:rsidRPr="00EF1C9F">
        <w:t>1</w:t>
      </w:r>
      <w:r w:rsidRPr="00EF1C9F">
        <w:rPr>
          <w:rFonts w:hint="eastAsia"/>
        </w:rPr>
        <w:t>萬</w:t>
      </w:r>
      <w:r w:rsidRPr="00EF1C9F">
        <w:t>9</w:t>
      </w:r>
      <w:r w:rsidRPr="00EF1C9F">
        <w:rPr>
          <w:rFonts w:hint="eastAsia"/>
        </w:rPr>
        <w:t>千元。有鑑於國家財政窘困，為免浪費公帑，請秉持撙節原則，妥適運用經費。</w:t>
      </w:r>
    </w:p>
    <w:p w14:paraId="5F169F0C" w14:textId="77777777" w:rsidR="00421BB5" w:rsidRPr="00EF1C9F" w:rsidRDefault="00421BB5" w:rsidP="00421BB5">
      <w:pPr>
        <w:pStyle w:val="2-1"/>
      </w:pPr>
      <w:r w:rsidRPr="00EF1C9F">
        <w:rPr>
          <w:rStyle w:val="0-0"/>
          <w:rFonts w:hint="eastAsia"/>
        </w:rPr>
        <w:t>提案人：陳以信</w:t>
      </w:r>
    </w:p>
    <w:p w14:paraId="01E0762A" w14:textId="77777777" w:rsidR="00421BB5" w:rsidRPr="00EF1C9F" w:rsidRDefault="00421BB5" w:rsidP="00421BB5">
      <w:pPr>
        <w:pStyle w:val="2-1"/>
        <w:rPr>
          <w:rStyle w:val="0-0"/>
        </w:rPr>
      </w:pPr>
      <w:r w:rsidRPr="00EF1C9F">
        <w:rPr>
          <w:rStyle w:val="0-0"/>
          <w:rFonts w:hint="eastAsia"/>
        </w:rPr>
        <w:t>連署人：游毓蘭 林思銘</w:t>
      </w:r>
    </w:p>
    <w:p w14:paraId="1B21E4D4" w14:textId="77777777" w:rsidR="00421BB5" w:rsidRPr="00EF1C9F" w:rsidRDefault="00421BB5" w:rsidP="00421BB5">
      <w:pPr>
        <w:pStyle w:val="0-"/>
        <w:rPr>
          <w:rStyle w:val="0-0"/>
        </w:rPr>
      </w:pPr>
      <w:r w:rsidRPr="00EF1C9F">
        <w:rPr>
          <w:rFonts w:hint="eastAsia"/>
        </w:rPr>
        <w:t>(七)112年度人事行政總處歲出預算「人事行政之政策規劃執行及發展」編列</w:t>
      </w:r>
      <w:r w:rsidRPr="00EF1C9F">
        <w:t>2</w:t>
      </w:r>
      <w:r w:rsidRPr="00EF1C9F">
        <w:rPr>
          <w:rFonts w:hint="eastAsia"/>
        </w:rPr>
        <w:t>億</w:t>
      </w:r>
      <w:r w:rsidRPr="00EF1C9F">
        <w:t>0,003</w:t>
      </w:r>
      <w:r w:rsidRPr="00EF1C9F">
        <w:rPr>
          <w:rFonts w:hint="eastAsia"/>
        </w:rPr>
        <w:t>萬</w:t>
      </w:r>
      <w:r w:rsidRPr="00EF1C9F">
        <w:t>8</w:t>
      </w:r>
      <w:r w:rsidRPr="00EF1C9F">
        <w:rPr>
          <w:rFonts w:hint="eastAsia"/>
        </w:rPr>
        <w:t>千元。公務員服務法明定公務員延長辦公和正常上班時數每日不得超過12小時，但特殊勤務單位可排除，新制將於112年元旦實施，惟法務部調查局所屬人員未排除適用，恐影響日後勤務遂行。因勤務特性緣故，警察、海洋委員會海巡署、國家安全局、內政部移民署都排除適用，仍可超過12小時值勤，但兼具情報人員與司法警察官身分的調查局人員，勤務特性與這些人都相同，卻未加以排除適用。「公務員服務法」新制上路後，恐發生調查官執行外勤滿12個工作時數，將如何打擊犯罪?新制上路，原本1天1人值班24小時制將改為2人各12小時，值班者隔天還不能上班，再扣掉1個值晚班人力，每天外勤就少3個人力，法務部調查局所屬應如何應處?請行政院人事行政總處就此向立法院司法及法制委員會提出書面報告。</w:t>
      </w:r>
    </w:p>
    <w:p w14:paraId="7E545C00" w14:textId="77777777" w:rsidR="00421BB5" w:rsidRPr="00EF1C9F" w:rsidRDefault="00421BB5" w:rsidP="00421BB5">
      <w:pPr>
        <w:pStyle w:val="2-1"/>
        <w:rPr>
          <w:rStyle w:val="0-0"/>
        </w:rPr>
      </w:pPr>
      <w:r w:rsidRPr="00EF1C9F">
        <w:rPr>
          <w:rStyle w:val="0-0"/>
          <w:rFonts w:hint="eastAsia"/>
        </w:rPr>
        <w:t>提案人：游毓蘭 陳以信 林思銘</w:t>
      </w:r>
    </w:p>
    <w:p w14:paraId="055A6BAF" w14:textId="77777777" w:rsidR="00421BB5" w:rsidRPr="00EF1C9F" w:rsidRDefault="00421BB5" w:rsidP="00421BB5">
      <w:pPr>
        <w:pStyle w:val="0-"/>
        <w:rPr>
          <w:rStyle w:val="0-0"/>
        </w:rPr>
      </w:pPr>
      <w:r w:rsidRPr="00EF1C9F">
        <w:rPr>
          <w:rFonts w:hint="eastAsia"/>
        </w:rPr>
        <w:t>(八)112年度人事行政總處歲出預算「人事行政之政策規劃執行及發展」編列</w:t>
      </w:r>
      <w:r w:rsidRPr="00EF1C9F">
        <w:t>2</w:t>
      </w:r>
      <w:r w:rsidRPr="00EF1C9F">
        <w:rPr>
          <w:rFonts w:hint="eastAsia"/>
        </w:rPr>
        <w:t>億</w:t>
      </w:r>
      <w:r w:rsidRPr="00EF1C9F">
        <w:t>0,003</w:t>
      </w:r>
      <w:r w:rsidRPr="00EF1C9F">
        <w:rPr>
          <w:rFonts w:hint="eastAsia"/>
        </w:rPr>
        <w:t>萬</w:t>
      </w:r>
      <w:r w:rsidRPr="00EF1C9F">
        <w:t>8</w:t>
      </w:r>
      <w:r w:rsidRPr="00EF1C9F">
        <w:rPr>
          <w:rFonts w:hint="eastAsia"/>
        </w:rPr>
        <w:t>千元。經查，1</w:t>
      </w:r>
      <w:r w:rsidRPr="00EF1C9F">
        <w:t>10</w:t>
      </w:r>
      <w:r w:rsidRPr="00EF1C9F">
        <w:rPr>
          <w:rFonts w:hint="eastAsia"/>
        </w:rPr>
        <w:t>年一般簡薦委制公務人員中簡任官有1萬0</w:t>
      </w:r>
      <w:r w:rsidRPr="00EF1C9F">
        <w:t>,</w:t>
      </w:r>
      <w:r w:rsidRPr="00EF1C9F">
        <w:rPr>
          <w:rFonts w:hint="eastAsia"/>
        </w:rPr>
        <w:t>144人，占全國總公務人員5</w:t>
      </w:r>
      <w:r w:rsidRPr="00EF1C9F">
        <w:t>.2%</w:t>
      </w:r>
      <w:r w:rsidRPr="00EF1C9F">
        <w:rPr>
          <w:rFonts w:hint="eastAsia"/>
        </w:rPr>
        <w:t>；惟相應簡任官等之警監職務則僅有454人，占警察人員0</w:t>
      </w:r>
      <w:r w:rsidRPr="00EF1C9F">
        <w:t>.52%</w:t>
      </w:r>
      <w:r w:rsidRPr="00EF1C9F">
        <w:rPr>
          <w:rFonts w:hint="eastAsia"/>
        </w:rPr>
        <w:t>；高階警力職位稀缺難以調度，肇生許多人事制度問題，也導致警察政策規劃量能有所不足。人事總處身為統籌行政院及所屬人事之機關，應謀求改善警監職務比例。爰請行政院人事行政總處會同銓敘部及內政部改善全國警監職務比例，向立法院司法及法制委員會提出書面報告。</w:t>
      </w:r>
    </w:p>
    <w:p w14:paraId="78E1B977" w14:textId="77777777" w:rsidR="00421BB5" w:rsidRPr="00EF1C9F" w:rsidRDefault="00421BB5" w:rsidP="00421BB5">
      <w:pPr>
        <w:pStyle w:val="2-1"/>
        <w:rPr>
          <w:rStyle w:val="0-0"/>
        </w:rPr>
      </w:pPr>
      <w:r w:rsidRPr="00EF1C9F">
        <w:rPr>
          <w:rStyle w:val="0-0"/>
          <w:rFonts w:hint="eastAsia"/>
        </w:rPr>
        <w:t>提案人：游毓蘭 陳以信 林思銘</w:t>
      </w:r>
    </w:p>
    <w:p w14:paraId="06950079" w14:textId="77777777" w:rsidR="00421BB5" w:rsidRPr="00EF1C9F" w:rsidRDefault="00421BB5" w:rsidP="00421BB5">
      <w:pPr>
        <w:pStyle w:val="0-"/>
      </w:pPr>
      <w:r w:rsidRPr="00EF1C9F">
        <w:rPr>
          <w:rFonts w:hint="eastAsia"/>
        </w:rPr>
        <w:t>(九)112年度人事行政總處歲出預算「人事行政之政策規劃執行及發展」編列2億</w:t>
      </w:r>
      <w:r w:rsidRPr="00EF1C9F">
        <w:t>0,00</w:t>
      </w:r>
      <w:r w:rsidRPr="00EF1C9F">
        <w:rPr>
          <w:rFonts w:hint="eastAsia"/>
        </w:rPr>
        <w:t>3萬8千元。經查，民國86年頒訂「地方警察機關員額設置參考基準」，僅以設籍人口、土地面積、登記車輛、犯罪率為設置地方警察機關之標準，時空環境變遷甚鉅，應該參考流動人口、流動車輛等動態標準。另外，其他中央派出單位，亦有此種情形，例如財政部國稅局各地稽徵所、內政部移民署分署各地之各大隊、勞動部勞動力發展署各地分署…等等，設置員額基準僵化，未依各機關單位業務特性及動態性質之因素，妥為規劃符合業務特性、業務量之妥適員額。爰請行政院人事行政總處會同內政部就各地方警察機關動態性質因素影響員額設置之基準，向立法院司法及法制委員會提</w:t>
      </w:r>
      <w:r w:rsidRPr="00EF1C9F">
        <w:rPr>
          <w:rFonts w:hint="eastAsia"/>
        </w:rPr>
        <w:lastRenderedPageBreak/>
        <w:t>出書面報告。</w:t>
      </w:r>
    </w:p>
    <w:p w14:paraId="1D3FC759" w14:textId="77777777" w:rsidR="00421BB5" w:rsidRPr="00EF1C9F" w:rsidRDefault="00421BB5" w:rsidP="00421BB5">
      <w:pPr>
        <w:pStyle w:val="2-1"/>
        <w:rPr>
          <w:rStyle w:val="0-0"/>
        </w:rPr>
      </w:pPr>
      <w:r w:rsidRPr="00EF1C9F">
        <w:rPr>
          <w:rStyle w:val="0-0"/>
          <w:rFonts w:hint="eastAsia"/>
        </w:rPr>
        <w:t>提案人：游毓蘭 林思銘 曾銘宗</w:t>
      </w:r>
    </w:p>
    <w:p w14:paraId="32CF6D4F" w14:textId="77777777" w:rsidR="00421BB5" w:rsidRPr="00EF1C9F" w:rsidRDefault="00421BB5" w:rsidP="00421BB5">
      <w:pPr>
        <w:pStyle w:val="0-"/>
      </w:pPr>
      <w:r w:rsidRPr="00EF1C9F">
        <w:rPr>
          <w:rFonts w:hint="eastAsia"/>
        </w:rPr>
        <w:t>(十)112年度人事行政總處歲出預算「人事行政之政策規劃執行及發展」編列</w:t>
      </w:r>
      <w:r w:rsidRPr="00EF1C9F">
        <w:t>2</w:t>
      </w:r>
      <w:r w:rsidRPr="00EF1C9F">
        <w:rPr>
          <w:rFonts w:hint="eastAsia"/>
        </w:rPr>
        <w:t>億</w:t>
      </w:r>
      <w:r w:rsidRPr="00EF1C9F">
        <w:t>0,003</w:t>
      </w:r>
      <w:r w:rsidRPr="00EF1C9F">
        <w:rPr>
          <w:rFonts w:hint="eastAsia"/>
        </w:rPr>
        <w:t>萬</w:t>
      </w:r>
      <w:r w:rsidRPr="00EF1C9F">
        <w:t>8</w:t>
      </w:r>
      <w:r w:rsidRPr="00EF1C9F">
        <w:rPr>
          <w:rFonts w:hint="eastAsia"/>
        </w:rPr>
        <w:t>千元。內政部移民署</w:t>
      </w:r>
      <w:r w:rsidRPr="00EF1C9F">
        <w:t>96</w:t>
      </w:r>
      <w:r w:rsidRPr="00EF1C9F">
        <w:rPr>
          <w:rFonts w:hint="eastAsia"/>
        </w:rPr>
        <w:t>年起由內政部警政署改制、移撥，組織設計並未完全針對業務特性，抱殘守缺勉強運作至今。目前內政部移民署4個派出單位－－北、中、南區事務大隊及國境事務大隊，管轄業務範圍大，但並未列為四級機關，未設有內勤輔助之人事、秘書、主計、政風、督察等單位，也不是可以單獨對外之行政機關，對其執法其強制力性質多有不便。爰請行政院人事行政總處積極會同內政部評估內政部移民署各大隊等提升為四級機關之可行性，於3個月內向立法院司法及法制委員會提出書面報告。</w:t>
      </w:r>
    </w:p>
    <w:p w14:paraId="5AA15095" w14:textId="77777777" w:rsidR="00421BB5" w:rsidRPr="00EF1C9F" w:rsidRDefault="00421BB5" w:rsidP="00421BB5">
      <w:pPr>
        <w:pStyle w:val="2-1"/>
        <w:rPr>
          <w:rStyle w:val="0-0"/>
        </w:rPr>
      </w:pPr>
      <w:r w:rsidRPr="00EF1C9F">
        <w:rPr>
          <w:rStyle w:val="0-0"/>
          <w:rFonts w:hint="eastAsia"/>
        </w:rPr>
        <w:t>提案人：游毓蘭 林思銘 曾銘宗</w:t>
      </w:r>
    </w:p>
    <w:p w14:paraId="799D38A5" w14:textId="77777777" w:rsidR="00421BB5" w:rsidRPr="00EF1C9F" w:rsidRDefault="00421BB5" w:rsidP="00421BB5">
      <w:pPr>
        <w:pStyle w:val="0-"/>
      </w:pPr>
      <w:r w:rsidRPr="00EF1C9F">
        <w:rPr>
          <w:rFonts w:hint="eastAsia"/>
        </w:rPr>
        <w:t>(十一)目前警察機關之人事主管，均為警職人員經訓練後調任，而非人事行政之職系，因升遷序列及體制上之緣故，辦理人事業務之專業性難以確保。從人事制度衡平性之角度考慮，為何警察機關之人事主管不能貫徹人事一條鞭，由人事行政職系人員擔任，以確保承辦人事業務之專業性，並確保同仁人事法令上的權益，殊值檢討。請行政院人事行政總處會同內政部及內政部警政署就警察機關貫徹人事一條鞭辦理情形，於3個月內向立法院司法及法制委員會提出書面報告。</w:t>
      </w:r>
    </w:p>
    <w:p w14:paraId="1F930DF3" w14:textId="77777777" w:rsidR="00421BB5" w:rsidRPr="00EF1C9F" w:rsidRDefault="00421BB5" w:rsidP="00421BB5">
      <w:pPr>
        <w:pStyle w:val="2-1"/>
        <w:rPr>
          <w:rStyle w:val="0-0"/>
        </w:rPr>
      </w:pPr>
      <w:r w:rsidRPr="00EF1C9F">
        <w:rPr>
          <w:rStyle w:val="0-0"/>
          <w:rFonts w:hint="eastAsia"/>
        </w:rPr>
        <w:t>提案人：游毓蘭 林思銘 曾銘宗</w:t>
      </w:r>
    </w:p>
    <w:p w14:paraId="678AEE6E" w14:textId="77777777" w:rsidR="00421BB5" w:rsidRPr="00EF1C9F" w:rsidRDefault="00421BB5" w:rsidP="00421BB5">
      <w:pPr>
        <w:pStyle w:val="0-"/>
      </w:pPr>
      <w:r w:rsidRPr="00EF1C9F">
        <w:rPr>
          <w:rFonts w:hint="eastAsia"/>
        </w:rPr>
        <w:t>(十二)由於目前新冠狀肺炎疫情尚未完全控制，截至111年10月30日止，全球累計確診人數達6億3</w:t>
      </w:r>
      <w:r w:rsidRPr="00EF1C9F">
        <w:t>,</w:t>
      </w:r>
      <w:r w:rsidRPr="00EF1C9F">
        <w:rPr>
          <w:rFonts w:hint="eastAsia"/>
        </w:rPr>
        <w:t>007萬7</w:t>
      </w:r>
      <w:r w:rsidRPr="00EF1C9F">
        <w:t>,</w:t>
      </w:r>
      <w:r w:rsidRPr="00EF1C9F">
        <w:rPr>
          <w:rFonts w:hint="eastAsia"/>
        </w:rPr>
        <w:t>481例，我國每日確診人數仍破2萬人以上，病毒不斷變異，更有專家預言疫情恐再起，尚無法預期112年國際疫情趨勢，此「出國進修及研究」計畫應視國際疫情變化狀況有所調整。</w:t>
      </w:r>
    </w:p>
    <w:p w14:paraId="57E9D2EB" w14:textId="77777777" w:rsidR="00421BB5" w:rsidRPr="00EF1C9F" w:rsidRDefault="00421BB5" w:rsidP="00421BB5">
      <w:pPr>
        <w:pStyle w:val="0-2"/>
        <w:rPr>
          <w:rStyle w:val="0-0"/>
        </w:rPr>
      </w:pPr>
      <w:r w:rsidRPr="00EF1C9F">
        <w:rPr>
          <w:rFonts w:hint="eastAsia"/>
        </w:rPr>
        <w:t>請行政院人事行政總處就出國考察計畫擬具人員防疫指引，並向立法院司法及法制委員會提出書面報告。</w:t>
      </w:r>
    </w:p>
    <w:p w14:paraId="404D5CDC" w14:textId="77777777" w:rsidR="00421BB5" w:rsidRPr="00EF1C9F" w:rsidRDefault="00421BB5" w:rsidP="00421BB5">
      <w:pPr>
        <w:pStyle w:val="2-1"/>
        <w:rPr>
          <w:rStyle w:val="0-0"/>
        </w:rPr>
      </w:pPr>
      <w:r w:rsidRPr="00EF1C9F">
        <w:rPr>
          <w:rStyle w:val="0-0"/>
          <w:rFonts w:hint="eastAsia"/>
        </w:rPr>
        <w:t xml:space="preserve">提案人：林思銘 </w:t>
      </w:r>
    </w:p>
    <w:p w14:paraId="72F03571" w14:textId="77777777" w:rsidR="00421BB5" w:rsidRPr="00EF1C9F" w:rsidRDefault="00421BB5" w:rsidP="00421BB5">
      <w:pPr>
        <w:pStyle w:val="2-1"/>
        <w:rPr>
          <w:rStyle w:val="0-0"/>
        </w:rPr>
      </w:pPr>
      <w:r w:rsidRPr="00EF1C9F">
        <w:rPr>
          <w:rStyle w:val="0-0"/>
          <w:rFonts w:hint="eastAsia"/>
        </w:rPr>
        <w:t>連署人：曾銘宗 陳以信</w:t>
      </w:r>
    </w:p>
    <w:p w14:paraId="043F21DF" w14:textId="77777777" w:rsidR="00421BB5" w:rsidRPr="00EF1C9F" w:rsidRDefault="00421BB5" w:rsidP="00421BB5">
      <w:pPr>
        <w:pStyle w:val="0-"/>
      </w:pPr>
      <w:r w:rsidRPr="00EF1C9F">
        <w:rPr>
          <w:rFonts w:hint="eastAsia"/>
        </w:rPr>
        <w:t>(十三)</w:t>
      </w:r>
      <w:r w:rsidRPr="00EF1C9F">
        <w:rPr>
          <w:rFonts w:hint="eastAsia"/>
          <w:color w:val="000000"/>
        </w:rPr>
        <w:t>為因應大陸科技設備影響國家安全</w:t>
      </w:r>
      <w:r w:rsidRPr="00EF1C9F">
        <w:rPr>
          <w:rFonts w:hint="eastAsia"/>
        </w:rPr>
        <w:t>，行政院人事行政總處業務範圍涉及存有公務人員個人資料部分，若公務資訊設備中有大陸科技設備，恐有洩漏我國公務人員個資之虞，故允宜與相關單位進行設備檢視並研議因應措施。</w:t>
      </w:r>
    </w:p>
    <w:p w14:paraId="05031832" w14:textId="77777777" w:rsidR="00421BB5" w:rsidRPr="00EF1C9F" w:rsidRDefault="00421BB5" w:rsidP="00421BB5">
      <w:pPr>
        <w:pStyle w:val="0-2"/>
        <w:rPr>
          <w:rStyle w:val="0-0"/>
        </w:rPr>
      </w:pPr>
      <w:r w:rsidRPr="00EF1C9F">
        <w:rPr>
          <w:rFonts w:hint="eastAsia"/>
        </w:rPr>
        <w:t>請行政院人事行政總處擬具</w:t>
      </w:r>
      <w:r w:rsidRPr="00EF1C9F">
        <w:rPr>
          <w:rFonts w:hint="eastAsia"/>
          <w:color w:val="000000"/>
        </w:rPr>
        <w:t>避免大陸科技設備影響之實際作法</w:t>
      </w:r>
      <w:r w:rsidRPr="00EF1C9F">
        <w:rPr>
          <w:rFonts w:hint="eastAsia"/>
        </w:rPr>
        <w:t>，並向立法院司法及法制委員會提出書面報告。</w:t>
      </w:r>
    </w:p>
    <w:p w14:paraId="62C3E1C5" w14:textId="77777777" w:rsidR="00421BB5" w:rsidRPr="00EF1C9F" w:rsidRDefault="00421BB5" w:rsidP="00421BB5">
      <w:pPr>
        <w:pStyle w:val="2-1"/>
        <w:rPr>
          <w:rStyle w:val="0-0"/>
        </w:rPr>
      </w:pPr>
      <w:r w:rsidRPr="00EF1C9F">
        <w:rPr>
          <w:rStyle w:val="0-0"/>
          <w:rFonts w:hint="eastAsia"/>
        </w:rPr>
        <w:t xml:space="preserve">提案人：林思銘 </w:t>
      </w:r>
    </w:p>
    <w:p w14:paraId="0FB937D5" w14:textId="77777777" w:rsidR="00421BB5" w:rsidRPr="00EF1C9F" w:rsidRDefault="00421BB5" w:rsidP="00421BB5">
      <w:pPr>
        <w:pStyle w:val="2-1"/>
        <w:rPr>
          <w:rStyle w:val="0-0"/>
        </w:rPr>
      </w:pPr>
      <w:r w:rsidRPr="00EF1C9F">
        <w:rPr>
          <w:rStyle w:val="0-0"/>
          <w:rFonts w:hint="eastAsia"/>
        </w:rPr>
        <w:t>連署人：曾銘宗 陳以信</w:t>
      </w:r>
    </w:p>
    <w:p w14:paraId="4F9FA41F" w14:textId="77777777" w:rsidR="00421BB5" w:rsidRPr="00EF1C9F" w:rsidRDefault="00421BB5" w:rsidP="00421BB5">
      <w:pPr>
        <w:pStyle w:val="0-"/>
        <w:rPr>
          <w:rStyle w:val="0-0"/>
        </w:rPr>
      </w:pPr>
      <w:r w:rsidRPr="00EF1C9F">
        <w:rPr>
          <w:rFonts w:hint="eastAsia"/>
        </w:rPr>
        <w:t xml:space="preserve">(十四)行政院人事行政總處推動「員工協助方案」(Employee </w:t>
      </w:r>
      <w:r w:rsidRPr="00EF1C9F">
        <w:rPr>
          <w:rFonts w:hint="eastAsia"/>
        </w:rPr>
        <w:lastRenderedPageBreak/>
        <w:t>Assistance Programs,簡稱EAPs)推廣、輔導作業及標竿學習相關經費37萬8千元，然而查行政院相關部會在員工協助方案推廣上，成效不彰，多為敷衍了事，就連行政院本身，在112年員工協助方案上，也僅編列62萬元，究竟能否有效執行員工協助方案，實在令人費解。爰此，請行政院人事行政總處針對如何更具體推廣員工協助方案於3個月內提出書面報告。</w:t>
      </w:r>
    </w:p>
    <w:p w14:paraId="3A680683" w14:textId="77777777" w:rsidR="00421BB5" w:rsidRPr="00EF1C9F" w:rsidRDefault="00421BB5" w:rsidP="00421BB5">
      <w:pPr>
        <w:pStyle w:val="2-1"/>
        <w:rPr>
          <w:rStyle w:val="0-0"/>
        </w:rPr>
      </w:pPr>
      <w:r w:rsidRPr="00EF1C9F">
        <w:rPr>
          <w:rStyle w:val="0-0"/>
          <w:rFonts w:hint="eastAsia"/>
        </w:rPr>
        <w:t>提案人：劉建國 江永昌</w:t>
      </w:r>
    </w:p>
    <w:p w14:paraId="43CEB3D8" w14:textId="77777777" w:rsidR="00421BB5" w:rsidRPr="00EF1C9F" w:rsidRDefault="00421BB5" w:rsidP="00421BB5">
      <w:pPr>
        <w:pStyle w:val="2-1"/>
        <w:rPr>
          <w:rStyle w:val="0-0"/>
        </w:rPr>
      </w:pPr>
      <w:r w:rsidRPr="00EF1C9F">
        <w:rPr>
          <w:rStyle w:val="0-0"/>
          <w:rFonts w:hint="eastAsia"/>
        </w:rPr>
        <w:t>連署人：陳歐珀</w:t>
      </w:r>
    </w:p>
    <w:p w14:paraId="6BD640A7" w14:textId="77777777" w:rsidR="00421BB5" w:rsidRPr="00EF1C9F" w:rsidRDefault="00421BB5" w:rsidP="00421BB5">
      <w:pPr>
        <w:pStyle w:val="0-"/>
        <w:rPr>
          <w:rStyle w:val="0-0"/>
        </w:rPr>
      </w:pPr>
      <w:r w:rsidRPr="00EF1C9F">
        <w:rPr>
          <w:rFonts w:hint="eastAsia"/>
        </w:rPr>
        <w:t>(十五)11</w:t>
      </w:r>
      <w:r w:rsidRPr="00EF1C9F">
        <w:t>2</w:t>
      </w:r>
      <w:r w:rsidRPr="00EF1C9F">
        <w:rPr>
          <w:rFonts w:hint="eastAsia"/>
        </w:rPr>
        <w:t>年度人事行政總處歲出預算，行政支出「人事行政之政策規劃執行及發展」項下「人事行政綜合規劃」編列332萬6千元。數位發展部包括1部、2署，人員編制共598人，其中約聘總員額上限300人。111年10月12日人事長蘇俊榮表示數發部112年度提出85位約聘人員，目前實際到位不足額，且112年預算約聘人員不會超過15%，總員額達上限300人的機會不大，至少要5到10年之後，另外約聘人員進用標準係數發部、資安署先組成遴選委員會，資安署有筆試或口試，並參考學經歷等資料；惟常任文官經高普考有一定篩選制度，數發部約聘雇人員所謂的公開徵選是少數主管面試通過就任用，很容易發生弊端，相關人員晉用到數發部恐將網軍檯面化！網軍變成正式公務員並依職責認定假消息是不公平的情況。另外，數發部約聘人員沒有保障，也無法累積經驗，達成一定任務後會有離職的狀況，反而產生反淘汰問題。因此，任用約聘人員並非長久之計。人事行政總處應研擬逐年刪減數發部約聘員額，以健全文官體制，爰請行政院人事行政總處向立法院司法及法制委員會提出如何強化數位發展部聘用人員進用及考核機制書面報告。</w:t>
      </w:r>
    </w:p>
    <w:p w14:paraId="157B490C" w14:textId="77777777" w:rsidR="00421BB5" w:rsidRPr="00EF1C9F" w:rsidRDefault="00421BB5" w:rsidP="00421BB5">
      <w:pPr>
        <w:pStyle w:val="2-1"/>
        <w:rPr>
          <w:rStyle w:val="0-0"/>
        </w:rPr>
      </w:pPr>
      <w:r w:rsidRPr="00EF1C9F">
        <w:rPr>
          <w:rStyle w:val="0-0"/>
          <w:rFonts w:hint="eastAsia"/>
        </w:rPr>
        <w:t>提案人：曾銘宗 林思銘 游毓蘭</w:t>
      </w:r>
    </w:p>
    <w:p w14:paraId="35AE06EF" w14:textId="77777777" w:rsidR="00421BB5" w:rsidRPr="00EF1C9F" w:rsidRDefault="00421BB5" w:rsidP="00421BB5">
      <w:pPr>
        <w:pStyle w:val="0-"/>
        <w:rPr>
          <w:rStyle w:val="0-0"/>
        </w:rPr>
      </w:pPr>
      <w:r w:rsidRPr="00EF1C9F">
        <w:rPr>
          <w:rFonts w:hint="eastAsia"/>
        </w:rPr>
        <w:t>(十六)110年行政院人事行政總處報告「111年度軍公教員工待遇調整作業」，於111年政府約聘僱人員調薪4%。但臨時約用人員調薪卻似仍由各機關自行決定，缺乏制度化調薪機制；而上次調薪係於108年政府為減少帶頭低薪情事，提出「公部門主動解決低薪方案」將每月薪資低於3萬元者加薪1,100元、約僱1職等改為2職等…等缺乏制度性調薪機制。爰請行政院人事行政總處就「比照勞工薪資每年檢討約聘僱及約用人員薪資之制度及財政可行性」提出書面報告。</w:t>
      </w:r>
    </w:p>
    <w:p w14:paraId="704CD3CA" w14:textId="77777777" w:rsidR="00421BB5" w:rsidRPr="00EF1C9F" w:rsidRDefault="00421BB5" w:rsidP="00421BB5">
      <w:pPr>
        <w:pStyle w:val="2-1"/>
        <w:rPr>
          <w:rStyle w:val="0-0"/>
        </w:rPr>
      </w:pPr>
      <w:r w:rsidRPr="00EF1C9F">
        <w:rPr>
          <w:rStyle w:val="0-0"/>
          <w:rFonts w:hint="eastAsia"/>
        </w:rPr>
        <w:t>提案人：陳歐珀</w:t>
      </w:r>
    </w:p>
    <w:p w14:paraId="4E65EBD6" w14:textId="77777777" w:rsidR="00421BB5" w:rsidRPr="00EF1C9F" w:rsidRDefault="00421BB5" w:rsidP="00421BB5">
      <w:pPr>
        <w:pStyle w:val="2-1"/>
      </w:pPr>
      <w:r w:rsidRPr="00EF1C9F">
        <w:rPr>
          <w:rStyle w:val="0-0"/>
          <w:rFonts w:hint="eastAsia"/>
        </w:rPr>
        <w:t>連署人：游毓蘭 黃世杰</w:t>
      </w:r>
      <w:r w:rsidRPr="00EF1C9F">
        <w:t xml:space="preserve"> </w:t>
      </w:r>
    </w:p>
    <w:p w14:paraId="37154988" w14:textId="77777777" w:rsidR="00421BB5" w:rsidRPr="00EF1C9F" w:rsidRDefault="00421BB5" w:rsidP="00421BB5">
      <w:pPr>
        <w:pStyle w:val="0-"/>
        <w:rPr>
          <w:rStyle w:val="0-0"/>
        </w:rPr>
      </w:pPr>
      <w:r w:rsidRPr="00EF1C9F">
        <w:rPr>
          <w:rFonts w:hint="eastAsia"/>
        </w:rPr>
        <w:t>(十七)11</w:t>
      </w:r>
      <w:r w:rsidRPr="00EF1C9F">
        <w:t>2</w:t>
      </w:r>
      <w:r w:rsidRPr="00EF1C9F">
        <w:rPr>
          <w:rFonts w:hint="eastAsia"/>
        </w:rPr>
        <w:t>年度人事行政總處歲出預算，行政支出「人事行政之政策規劃執行及發展」項下「合理配置組設人力」編列204萬7</w:t>
      </w:r>
      <w:r w:rsidRPr="00EF1C9F">
        <w:rPr>
          <w:rFonts w:hint="eastAsia"/>
        </w:rPr>
        <w:lastRenderedPageBreak/>
        <w:t>千元。依立法院預算中心評估報告指出，中央政府機關總員額法自99年4月1日起正式實施，另配合108年12月31日該法修正第一類員額排除公立醫院職員，框定五院在內之中央政府機關總員額高限訂為16萬0,900人。112年度中央政府總預算案總說明及主要附表揭示，112年度中央政府機關預算員額總計編列14萬0,</w:t>
      </w:r>
      <w:r w:rsidRPr="00EF1C9F">
        <w:t>0</w:t>
      </w:r>
      <w:r w:rsidRPr="00EF1C9F">
        <w:rPr>
          <w:rFonts w:hint="eastAsia"/>
        </w:rPr>
        <w:t>34人，分別為第一類員額7萬1,539人、第二類員額2萬6,709人、第三類員額1萬4,437人、第四類員額6,389人及第五類員額2萬0,960人，整體員額較111年度增加684人(增幅0.49%)。為持續落實員額規模精簡政策，爰請行政院人事行政總處向立法院司法及法制委員會提出書面報告。</w:t>
      </w:r>
    </w:p>
    <w:p w14:paraId="46B2C99C" w14:textId="77777777" w:rsidR="00421BB5" w:rsidRPr="00EF1C9F" w:rsidRDefault="00421BB5" w:rsidP="00421BB5">
      <w:pPr>
        <w:pStyle w:val="2-1"/>
      </w:pPr>
      <w:r w:rsidRPr="00EF1C9F">
        <w:rPr>
          <w:rStyle w:val="0-0"/>
          <w:rFonts w:hint="eastAsia"/>
        </w:rPr>
        <w:t>提案人：曾銘宗 林思銘 游毓蘭</w:t>
      </w:r>
    </w:p>
    <w:p w14:paraId="53ED5264" w14:textId="77777777" w:rsidR="00421BB5" w:rsidRPr="00EF1C9F" w:rsidRDefault="00421BB5" w:rsidP="00421BB5">
      <w:pPr>
        <w:pStyle w:val="0-"/>
        <w:rPr>
          <w:rStyle w:val="0-0"/>
        </w:rPr>
      </w:pPr>
      <w:r w:rsidRPr="00EF1C9F">
        <w:rPr>
          <w:rFonts w:hint="eastAsia"/>
        </w:rPr>
        <w:t>(十八)中央政府機關總員額精簡率雖達10.2%，但根據《110年行政院所屬及地方政府公教人力統計年報</w:t>
      </w:r>
      <w:r w:rsidRPr="00EF1C9F">
        <w:t>》</w:t>
      </w:r>
      <w:r w:rsidRPr="00EF1C9F">
        <w:rPr>
          <w:rFonts w:hint="eastAsia"/>
        </w:rPr>
        <w:t>，比較106與110年約聘僱人員增加213人、比率從6.95%增加為7.13%；另根據《行政院及所屬機關臨時人員人數統計表》，行政機關（未包含公立學校及醫療機構）聘用之臨時人員從5</w:t>
      </w:r>
      <w:r w:rsidRPr="00EF1C9F">
        <w:t>,</w:t>
      </w:r>
      <w:r w:rsidRPr="00EF1C9F">
        <w:rPr>
          <w:rFonts w:hint="eastAsia"/>
        </w:rPr>
        <w:t>017位增加至1萬</w:t>
      </w:r>
      <w:r w:rsidRPr="00EF1C9F">
        <w:t>1,174</w:t>
      </w:r>
      <w:r w:rsidRPr="00EF1C9F">
        <w:rPr>
          <w:rFonts w:hint="eastAsia"/>
        </w:rPr>
        <w:t>位，顯示公家機關人力需求未減少，有使約聘僱人員與公務人員同工不同酬、降低勞動保障之虞。爰請行政院人事行政總處就「公務人力精簡同時，卻增加約聘僱人員之原因及如何保障約聘僱人員勞動權益」向立法院司法及法制委員會提出書面報告。</w:t>
      </w:r>
    </w:p>
    <w:p w14:paraId="527EB5AC" w14:textId="77777777" w:rsidR="00421BB5" w:rsidRPr="00EF1C9F" w:rsidRDefault="00421BB5" w:rsidP="00421BB5">
      <w:pPr>
        <w:pStyle w:val="2-1"/>
        <w:rPr>
          <w:rStyle w:val="0-0"/>
        </w:rPr>
      </w:pPr>
      <w:r w:rsidRPr="00EF1C9F">
        <w:rPr>
          <w:rStyle w:val="0-0"/>
          <w:rFonts w:hint="eastAsia"/>
        </w:rPr>
        <w:t>提案人：陳歐珀</w:t>
      </w:r>
    </w:p>
    <w:p w14:paraId="620C5E2D" w14:textId="77777777" w:rsidR="00421BB5" w:rsidRPr="00EF1C9F" w:rsidRDefault="00421BB5" w:rsidP="00421BB5">
      <w:pPr>
        <w:pStyle w:val="2-1"/>
        <w:rPr>
          <w:rStyle w:val="0-0"/>
        </w:rPr>
      </w:pPr>
      <w:r w:rsidRPr="00EF1C9F">
        <w:rPr>
          <w:rStyle w:val="0-0"/>
          <w:rFonts w:hint="eastAsia"/>
        </w:rPr>
        <w:t>連署人：游毓蘭 黃世杰</w:t>
      </w:r>
    </w:p>
    <w:p w14:paraId="0F85C442" w14:textId="77777777" w:rsidR="00421BB5" w:rsidRPr="00EF1C9F" w:rsidRDefault="00421BB5" w:rsidP="00421BB5">
      <w:pPr>
        <w:pStyle w:val="0-"/>
        <w:rPr>
          <w:rStyle w:val="0-0"/>
        </w:rPr>
      </w:pPr>
      <w:r w:rsidRPr="00EF1C9F">
        <w:rPr>
          <w:rFonts w:hint="eastAsia"/>
        </w:rPr>
        <w:t>(十九)</w:t>
      </w:r>
      <w:r w:rsidRPr="00EF1C9F">
        <w:rPr>
          <w:rFonts w:hint="eastAsia"/>
          <w:noProof/>
        </w:rPr>
        <w:t>11</w:t>
      </w:r>
      <w:r w:rsidRPr="00EF1C9F">
        <w:rPr>
          <w:noProof/>
        </w:rPr>
        <w:t>2</w:t>
      </w:r>
      <w:r w:rsidRPr="00EF1C9F">
        <w:rPr>
          <w:rFonts w:ascii="Times New Roman" w:hAnsi="Times New Roman" w:hint="eastAsia"/>
          <w:noProof/>
        </w:rPr>
        <w:t>年度人事行政總處</w:t>
      </w:r>
      <w:r w:rsidRPr="00EF1C9F">
        <w:rPr>
          <w:rFonts w:hint="eastAsia"/>
        </w:rPr>
        <w:t>歲出</w:t>
      </w:r>
      <w:r w:rsidRPr="00EF1C9F">
        <w:rPr>
          <w:rFonts w:ascii="Times New Roman" w:hAnsi="Times New Roman" w:hint="eastAsia"/>
          <w:noProof/>
        </w:rPr>
        <w:t>預算，</w:t>
      </w:r>
      <w:r w:rsidRPr="00EF1C9F">
        <w:rPr>
          <w:rFonts w:hint="eastAsia"/>
        </w:rPr>
        <w:t>行政支出「人事行政之政策規劃執行及發展」項下「</w:t>
      </w:r>
      <w:r w:rsidRPr="00EF1C9F">
        <w:rPr>
          <w:rFonts w:ascii="Times New Roman" w:hAnsi="Times New Roman" w:hint="eastAsia"/>
          <w:noProof/>
        </w:rPr>
        <w:t>公務人員培訓與考用」</w:t>
      </w:r>
      <w:r w:rsidRPr="00EF1C9F">
        <w:rPr>
          <w:rFonts w:hint="eastAsia"/>
        </w:rPr>
        <w:t>編列</w:t>
      </w:r>
      <w:r w:rsidRPr="00EF1C9F">
        <w:rPr>
          <w:rFonts w:hint="eastAsia"/>
          <w:noProof/>
        </w:rPr>
        <w:t>5,680</w:t>
      </w:r>
      <w:r w:rsidRPr="00EF1C9F">
        <w:rPr>
          <w:rFonts w:ascii="Times New Roman" w:hAnsi="Times New Roman" w:hint="eastAsia"/>
          <w:noProof/>
        </w:rPr>
        <w:t>萬</w:t>
      </w:r>
      <w:r w:rsidRPr="00EF1C9F">
        <w:rPr>
          <w:rFonts w:hint="eastAsia"/>
          <w:noProof/>
        </w:rPr>
        <w:t>6</w:t>
      </w:r>
      <w:r w:rsidRPr="00EF1C9F">
        <w:rPr>
          <w:rFonts w:ascii="Times New Roman" w:hAnsi="Times New Roman" w:hint="eastAsia"/>
          <w:noProof/>
        </w:rPr>
        <w:t>千元，較</w:t>
      </w:r>
      <w:r w:rsidRPr="00EF1C9F">
        <w:rPr>
          <w:rFonts w:ascii="Times New Roman" w:hAnsi="Times New Roman" w:hint="eastAsia"/>
          <w:noProof/>
        </w:rPr>
        <w:t>111</w:t>
      </w:r>
      <w:r w:rsidRPr="00EF1C9F">
        <w:rPr>
          <w:rFonts w:ascii="Times New Roman" w:hAnsi="Times New Roman" w:hint="eastAsia"/>
          <w:noProof/>
        </w:rPr>
        <w:t>年度增列選送人員出國進修研習等經費</w:t>
      </w:r>
      <w:r w:rsidRPr="00EF1C9F">
        <w:rPr>
          <w:rFonts w:hint="eastAsia"/>
          <w:noProof/>
        </w:rPr>
        <w:t>952</w:t>
      </w:r>
      <w:r w:rsidRPr="00EF1C9F">
        <w:rPr>
          <w:rFonts w:ascii="Times New Roman" w:hAnsi="Times New Roman" w:hint="eastAsia"/>
          <w:noProof/>
        </w:rPr>
        <w:t>萬</w:t>
      </w:r>
      <w:r w:rsidRPr="00EF1C9F">
        <w:rPr>
          <w:rFonts w:hint="eastAsia"/>
          <w:noProof/>
        </w:rPr>
        <w:t>9</w:t>
      </w:r>
      <w:r w:rsidRPr="00EF1C9F">
        <w:rPr>
          <w:rFonts w:ascii="Times New Roman" w:hAnsi="Times New Roman" w:hint="eastAsia"/>
          <w:noProof/>
        </w:rPr>
        <w:t>千元</w:t>
      </w:r>
      <w:r w:rsidRPr="00EF1C9F">
        <w:rPr>
          <w:rFonts w:hint="eastAsia"/>
          <w:noProof/>
        </w:rPr>
        <w:t>。依立法院預算中心評估報告指出，106至110年度中央各機關公務人員參與訓練進修情形，總人次由106年度之374萬5,821人次減至110年度之358萬8,881人次，最近二年多因COVID-19疫情影響相關訓練進修課程參與，如109及110年度因防疫需求，均未安排國外進修研習。惟部分訓練課程自疫情前即有參與人數減少趨勢，如初任各官等主管人員訓練參與人次由106年度742人次逐年減至108年度590人次，管理訓練亦由106年度36萬9,141人次減至108年度29萬8,067人次，各該專業課程參與訓練人次呈下滑態勢。</w:t>
      </w:r>
      <w:r w:rsidRPr="00EF1C9F">
        <w:rPr>
          <w:rFonts w:hint="eastAsia"/>
        </w:rPr>
        <w:t>行政院</w:t>
      </w:r>
      <w:r w:rsidRPr="00EF1C9F">
        <w:rPr>
          <w:rFonts w:hint="eastAsia"/>
          <w:noProof/>
        </w:rPr>
        <w:t>人事行政總處應持續推動人才培育發展工作，積極鼓勵各機關(構)規劃各項專業訓練課程，以充實公務人員專業能力</w:t>
      </w:r>
      <w:r w:rsidRPr="00EF1C9F">
        <w:rPr>
          <w:rFonts w:ascii="Times New Roman" w:hAnsi="Times New Roman" w:hint="eastAsia"/>
          <w:noProof/>
        </w:rPr>
        <w:t>。</w:t>
      </w:r>
    </w:p>
    <w:p w14:paraId="19C6DEA3" w14:textId="77777777" w:rsidR="00421BB5" w:rsidRPr="00EF1C9F" w:rsidRDefault="00421BB5" w:rsidP="00421BB5">
      <w:pPr>
        <w:pStyle w:val="2-1"/>
        <w:rPr>
          <w:rFonts w:ascii="Times New Roman" w:hAnsi="Times New Roman"/>
          <w:noProof/>
        </w:rPr>
      </w:pPr>
      <w:r w:rsidRPr="00EF1C9F">
        <w:rPr>
          <w:rStyle w:val="0-0"/>
          <w:rFonts w:hint="eastAsia"/>
        </w:rPr>
        <w:t>提案人：曾銘宗 林思銘 游毓蘭</w:t>
      </w:r>
    </w:p>
    <w:p w14:paraId="7D57D1B4" w14:textId="77777777" w:rsidR="00421BB5" w:rsidRPr="00EF1C9F" w:rsidRDefault="00421BB5" w:rsidP="00421BB5">
      <w:pPr>
        <w:pStyle w:val="0-"/>
      </w:pPr>
      <w:r w:rsidRPr="00EF1C9F">
        <w:rPr>
          <w:rFonts w:hint="eastAsia"/>
        </w:rPr>
        <w:t>(二十)行政院人事行政總處作為公務人員考選、培訓推動與評鑑的</w:t>
      </w:r>
      <w:r w:rsidRPr="00EF1C9F">
        <w:rPr>
          <w:rFonts w:hint="eastAsia"/>
        </w:rPr>
        <w:lastRenderedPageBreak/>
        <w:t>主管機關，其針對所承辦有關「公務人員培訓與考用」範圍內之「辦理選送公務人員出國專題研究」及「辦理中高階公務人員訓練研習進修」等相關人員訓練及進修相關事項，編列</w:t>
      </w:r>
      <w:r w:rsidRPr="00EF1C9F">
        <w:t>4,315</w:t>
      </w:r>
      <w:r w:rsidRPr="00EF1C9F">
        <w:rPr>
          <w:rFonts w:hint="eastAsia"/>
        </w:rPr>
        <w:t>萬4千元預算，惟針對研究專題內容、訓練研習內容及經費支出等相關說明未臻清楚完備。</w:t>
      </w:r>
    </w:p>
    <w:p w14:paraId="2D14D2F7" w14:textId="77777777" w:rsidR="00421BB5" w:rsidRPr="00EF1C9F" w:rsidRDefault="00421BB5" w:rsidP="00421BB5">
      <w:pPr>
        <w:pStyle w:val="0-2"/>
        <w:rPr>
          <w:rStyle w:val="0-0"/>
        </w:rPr>
      </w:pPr>
      <w:r w:rsidRPr="00EF1C9F">
        <w:rPr>
          <w:rFonts w:hint="eastAsia"/>
        </w:rPr>
        <w:t>爰此，請行政院人事行政總處就此業務向立法院司法及法制委員會提出書面報告。</w:t>
      </w:r>
    </w:p>
    <w:p w14:paraId="12EE08DA" w14:textId="77777777" w:rsidR="00421BB5" w:rsidRPr="00EF1C9F" w:rsidRDefault="00421BB5" w:rsidP="00421BB5">
      <w:pPr>
        <w:pStyle w:val="2-1"/>
        <w:rPr>
          <w:rStyle w:val="0-0"/>
        </w:rPr>
      </w:pPr>
      <w:r w:rsidRPr="00EF1C9F">
        <w:rPr>
          <w:rStyle w:val="0-0"/>
          <w:rFonts w:hint="eastAsia"/>
        </w:rPr>
        <w:t xml:space="preserve">提案人：林思銘 </w:t>
      </w:r>
    </w:p>
    <w:p w14:paraId="50D652BC" w14:textId="77777777" w:rsidR="00421BB5" w:rsidRPr="00EF1C9F" w:rsidRDefault="00421BB5" w:rsidP="00421BB5">
      <w:pPr>
        <w:pStyle w:val="2-1"/>
        <w:rPr>
          <w:rStyle w:val="0-0"/>
        </w:rPr>
      </w:pPr>
      <w:r w:rsidRPr="00EF1C9F">
        <w:rPr>
          <w:rStyle w:val="0-0"/>
          <w:rFonts w:hint="eastAsia"/>
        </w:rPr>
        <w:t>連署人：曾銘宗 陳以信</w:t>
      </w:r>
    </w:p>
    <w:p w14:paraId="4930D156" w14:textId="77777777" w:rsidR="00421BB5" w:rsidRPr="00EF1C9F" w:rsidRDefault="00421BB5" w:rsidP="00421BB5">
      <w:pPr>
        <w:pStyle w:val="0-"/>
        <w:rPr>
          <w:rStyle w:val="0-0"/>
        </w:rPr>
      </w:pPr>
      <w:r w:rsidRPr="00EF1C9F">
        <w:rPr>
          <w:rFonts w:hint="eastAsia"/>
        </w:rPr>
        <w:t>(二十一)行政院人事行政總處辦理公務人員獎懲業務，選拔模範公務人員35至40人，112和111年選拔規模相當，其各項經費預算也都相同，惟印製獎章及證書費用112年度編列418萬3千元，比111年度298萬3千元，增加120萬元，請撙節開支，妥善運用經費。</w:t>
      </w:r>
    </w:p>
    <w:p w14:paraId="70DB9E51" w14:textId="77777777" w:rsidR="00421BB5" w:rsidRPr="00EF1C9F" w:rsidRDefault="00421BB5" w:rsidP="00421BB5">
      <w:pPr>
        <w:pStyle w:val="2-1"/>
        <w:rPr>
          <w:rStyle w:val="0-0"/>
        </w:rPr>
      </w:pPr>
      <w:r w:rsidRPr="00EF1C9F">
        <w:rPr>
          <w:rStyle w:val="0-0"/>
          <w:rFonts w:hint="eastAsia"/>
        </w:rPr>
        <w:t>提案人：鄭運鵬 黃世杰 陳歐珀</w:t>
      </w:r>
    </w:p>
    <w:p w14:paraId="34556D9B" w14:textId="77777777" w:rsidR="00421BB5" w:rsidRPr="00EF1C9F" w:rsidRDefault="00421BB5" w:rsidP="00421BB5">
      <w:pPr>
        <w:pStyle w:val="0-"/>
        <w:rPr>
          <w:rStyle w:val="0-0"/>
        </w:rPr>
      </w:pPr>
      <w:r w:rsidRPr="00EF1C9F">
        <w:rPr>
          <w:rFonts w:hint="eastAsia"/>
        </w:rPr>
        <w:t>(二十二)</w:t>
      </w:r>
      <w:r w:rsidRPr="00EF1C9F">
        <w:t>112年度</w:t>
      </w:r>
      <w:r w:rsidRPr="00EF1C9F">
        <w:rPr>
          <w:rFonts w:hint="eastAsia"/>
        </w:rPr>
        <w:t>人事行政總處歲出</w:t>
      </w:r>
      <w:r w:rsidRPr="00EF1C9F">
        <w:t>預算</w:t>
      </w:r>
      <w:r w:rsidRPr="00EF1C9F">
        <w:rPr>
          <w:rFonts w:hint="eastAsia"/>
        </w:rPr>
        <w:t>「給與福利制度規劃」編列14</w:t>
      </w:r>
      <w:r w:rsidRPr="00EF1C9F">
        <w:t>9</w:t>
      </w:r>
      <w:r w:rsidRPr="00EF1C9F">
        <w:rPr>
          <w:rFonts w:hint="eastAsia"/>
        </w:rPr>
        <w:t>萬元，其中3</w:t>
      </w:r>
      <w:r w:rsidRPr="00EF1C9F">
        <w:t>2</w:t>
      </w:r>
      <w:r w:rsidRPr="00EF1C9F">
        <w:rPr>
          <w:rFonts w:hint="eastAsia"/>
        </w:rPr>
        <w:t>萬</w:t>
      </w:r>
      <w:r w:rsidRPr="00EF1C9F">
        <w:t>7</w:t>
      </w:r>
      <w:r w:rsidRPr="00EF1C9F">
        <w:rPr>
          <w:rFonts w:hint="eastAsia"/>
        </w:rPr>
        <w:t>千元用於「獎勵機關推動設置職場托育設施」。然而自1</w:t>
      </w:r>
      <w:r w:rsidRPr="00EF1C9F">
        <w:t>0</w:t>
      </w:r>
      <w:r w:rsidRPr="00EF1C9F">
        <w:rPr>
          <w:rFonts w:hint="eastAsia"/>
        </w:rPr>
        <w:t>7年人事總處推動相關政策起，托育設施僅新增國立成功大學醫學院附設醫院私立成醫托嬰中心1家。請行政院人事行政總處持續積極推動各機關設置職場托育設施。</w:t>
      </w:r>
    </w:p>
    <w:p w14:paraId="4C5AA79A" w14:textId="77777777" w:rsidR="00421BB5" w:rsidRPr="00EF1C9F" w:rsidRDefault="00421BB5" w:rsidP="00421BB5">
      <w:pPr>
        <w:pStyle w:val="2-1"/>
        <w:rPr>
          <w:rStyle w:val="0-0"/>
        </w:rPr>
      </w:pPr>
      <w:r w:rsidRPr="00EF1C9F">
        <w:rPr>
          <w:rStyle w:val="0-0"/>
          <w:rFonts w:hint="eastAsia"/>
        </w:rPr>
        <w:t>提案人：陳以信</w:t>
      </w:r>
    </w:p>
    <w:p w14:paraId="4CDCA60C" w14:textId="77777777" w:rsidR="00421BB5" w:rsidRPr="00EF1C9F" w:rsidRDefault="00421BB5" w:rsidP="00421BB5">
      <w:pPr>
        <w:pStyle w:val="2-1"/>
        <w:rPr>
          <w:rStyle w:val="0-0"/>
        </w:rPr>
      </w:pPr>
      <w:r w:rsidRPr="00EF1C9F">
        <w:rPr>
          <w:rStyle w:val="0-0"/>
          <w:rFonts w:hint="eastAsia"/>
        </w:rPr>
        <w:t>連署人：游毓蘭 林思銘</w:t>
      </w:r>
    </w:p>
    <w:p w14:paraId="47DAF1CD" w14:textId="77777777" w:rsidR="00421BB5" w:rsidRPr="00EF1C9F" w:rsidRDefault="00421BB5" w:rsidP="00421BB5">
      <w:pPr>
        <w:pStyle w:val="0-"/>
        <w:rPr>
          <w:rStyle w:val="0-0"/>
        </w:rPr>
      </w:pPr>
      <w:r w:rsidRPr="00EF1C9F">
        <w:rPr>
          <w:rFonts w:hint="eastAsia"/>
        </w:rPr>
        <w:t>(二十三)11</w:t>
      </w:r>
      <w:r w:rsidRPr="00EF1C9F">
        <w:t>2</w:t>
      </w:r>
      <w:r w:rsidRPr="00EF1C9F">
        <w:rPr>
          <w:rFonts w:hint="eastAsia"/>
        </w:rPr>
        <w:t>年度人事行政總處歲出預算，行政支出「人事行政之政策規劃執行及發展」項下「</w:t>
      </w:r>
      <w:r w:rsidRPr="00EF1C9F">
        <w:rPr>
          <w:rFonts w:ascii="Times New Roman" w:hAnsi="Times New Roman" w:hint="eastAsia"/>
          <w:noProof/>
        </w:rPr>
        <w:t>給與福利制度規劃」</w:t>
      </w:r>
      <w:r w:rsidRPr="00EF1C9F">
        <w:rPr>
          <w:rFonts w:hint="eastAsia"/>
        </w:rPr>
        <w:t>編列149萬元。依立法院預算中心評估報告指出，人事行政總處依「我國少子女化對策計畫(107至113年)」，自107年起定期函請各主管機關調查公教員工子女托育需求，並刻由各機關全面盤點場地，洽請教育部及衛生福利部勘查評估，該總處則每半年定期追蹤各機關辦理進度。截至111年8月底止，各機關設置職場托育設施共計55家，包括利用校園空間、行政機關內部空間、其他空間及聯合設置等型態，惟僅有新增1家托育設施(國立成功大學醫學院附設醫院私立成醫托嬰中心)，各機關設置托育設施仍有提升空間。另人事行政總處110年函請各主管機關調查員工願意將子女受托在機關內部(含附近)設置托育設施之整體需求比率為33.09%，其中托嬰服務(0至2歲)及托兒服務(2至6歲)需求比率分別為35.31%及32.11%，公教子女之托育服務需求仍高。行政院人事行政總處宜研謀改善，以促進更多各機關設置托育設施。</w:t>
      </w:r>
    </w:p>
    <w:p w14:paraId="357B1E57" w14:textId="77777777" w:rsidR="00421BB5" w:rsidRPr="00EF1C9F" w:rsidRDefault="00421BB5" w:rsidP="00421BB5">
      <w:pPr>
        <w:pStyle w:val="2-1"/>
        <w:rPr>
          <w:rStyle w:val="0-0"/>
        </w:rPr>
      </w:pPr>
      <w:r w:rsidRPr="00EF1C9F">
        <w:rPr>
          <w:rStyle w:val="0-0"/>
          <w:rFonts w:hint="eastAsia"/>
        </w:rPr>
        <w:t>提案人：曾銘宗 林思銘 游毓蘭</w:t>
      </w:r>
    </w:p>
    <w:p w14:paraId="4F47B36A" w14:textId="77777777" w:rsidR="00421BB5" w:rsidRPr="00EF1C9F" w:rsidRDefault="00421BB5" w:rsidP="00421BB5">
      <w:pPr>
        <w:pStyle w:val="0-"/>
        <w:rPr>
          <w:rStyle w:val="0-0"/>
        </w:rPr>
      </w:pPr>
      <w:r w:rsidRPr="00EF1C9F">
        <w:rPr>
          <w:rFonts w:hint="eastAsia"/>
        </w:rPr>
        <w:lastRenderedPageBreak/>
        <w:t>(二十四)11</w:t>
      </w:r>
      <w:r w:rsidRPr="00EF1C9F">
        <w:t>2</w:t>
      </w:r>
      <w:r w:rsidRPr="00EF1C9F">
        <w:rPr>
          <w:rFonts w:hint="eastAsia"/>
        </w:rPr>
        <w:t>年度人事行政總處歲出預算，行政支出「人事行政之政策規劃執行及發展」項下「人事資訊發展規劃」編列6</w:t>
      </w:r>
      <w:r w:rsidRPr="00EF1C9F">
        <w:t>,</w:t>
      </w:r>
      <w:r w:rsidRPr="00EF1C9F">
        <w:rPr>
          <w:rFonts w:hint="eastAsia"/>
        </w:rPr>
        <w:t>171萬8千元，包括全國性共用人事業務資訊系統功能提升及維運計畫、資訊服務費、人事業務資訊系統訓練等相關費用。依銓敘部110年銓敘統計年報提要報告指出，110年底全國公務人員人數為36萬3,197人，平均年齡為43.59歲，其中40至49歲者占28.10%，50至59歲者占27.64%，30至39歲者占25.60%；身心障礙者任公務人員6,988人，占全國公務人員人數比率1.92%；另外，依公務人員退休撫卹基金110年度統計年報指出，104年軍公教退休人數2萬8</w:t>
      </w:r>
      <w:r w:rsidRPr="00EF1C9F">
        <w:t>,</w:t>
      </w:r>
      <w:r w:rsidRPr="00EF1C9F">
        <w:rPr>
          <w:rFonts w:hint="eastAsia"/>
        </w:rPr>
        <w:t>554人，105年5月20日蔡政府執政以來，推動年金改革，110年軍公教退休人數較104年減少7</w:t>
      </w:r>
      <w:r w:rsidRPr="00EF1C9F">
        <w:t>,275</w:t>
      </w:r>
      <w:r w:rsidRPr="00EF1C9F">
        <w:rPr>
          <w:rFonts w:hint="eastAsia"/>
        </w:rPr>
        <w:t>人，顯示軍公教人員延後退休情況遞增，公務體系面臨老化。行政院人事行政總處研擬人事資訊發展規劃，應考量數位落差問題，協助相關人員增進資訊能力。</w:t>
      </w:r>
    </w:p>
    <w:p w14:paraId="0CBAD21C" w14:textId="77777777" w:rsidR="00421BB5" w:rsidRPr="00EF1C9F" w:rsidRDefault="00421BB5" w:rsidP="00421BB5">
      <w:pPr>
        <w:pStyle w:val="2-1"/>
        <w:rPr>
          <w:rStyle w:val="0-0"/>
        </w:rPr>
      </w:pPr>
      <w:r w:rsidRPr="00EF1C9F">
        <w:rPr>
          <w:rStyle w:val="0-0"/>
          <w:rFonts w:hint="eastAsia"/>
        </w:rPr>
        <w:t>提案人：曾銘宗 林思銘 游毓蘭</w:t>
      </w:r>
    </w:p>
    <w:p w14:paraId="761B4586" w14:textId="77777777" w:rsidR="00421BB5" w:rsidRPr="00EF1C9F" w:rsidRDefault="00421BB5" w:rsidP="00421BB5">
      <w:pPr>
        <w:pStyle w:val="0-"/>
        <w:rPr>
          <w:rStyle w:val="0-0"/>
        </w:rPr>
      </w:pPr>
      <w:r w:rsidRPr="00EF1C9F">
        <w:rPr>
          <w:rFonts w:hint="eastAsia"/>
        </w:rPr>
        <w:t>(二十五)有關「執行職務意外傷亡慰問給付」預算，行政院人事行政總處112年度編列預算數為1</w:t>
      </w:r>
      <w:r w:rsidRPr="00EF1C9F">
        <w:t>,</w:t>
      </w:r>
      <w:r w:rsidRPr="00EF1C9F">
        <w:rPr>
          <w:rFonts w:hint="eastAsia"/>
        </w:rPr>
        <w:t>800萬元，較111年2</w:t>
      </w:r>
      <w:r w:rsidRPr="00EF1C9F">
        <w:t>,</w:t>
      </w:r>
      <w:r w:rsidRPr="00EF1C9F">
        <w:rPr>
          <w:rFonts w:hint="eastAsia"/>
        </w:rPr>
        <w:t>297萬6千元減少497萬6千元。經查歷年執行之決算數，110年為300萬元，109、108年為0元，107年230萬元，106年49萬2千元，105年119萬元，104年0元，執行率偏低，而且從未超過300萬元，請行政院人事行政總處就「執行職務意外傷亡慰問給付工作計畫之編列基準」向立法院司法及法制委員會提出書面報告。</w:t>
      </w:r>
    </w:p>
    <w:p w14:paraId="0F471F37" w14:textId="77777777" w:rsidR="00421BB5" w:rsidRPr="00EF1C9F" w:rsidRDefault="00421BB5" w:rsidP="00421BB5">
      <w:pPr>
        <w:pStyle w:val="2-1"/>
      </w:pPr>
      <w:r w:rsidRPr="00EF1C9F">
        <w:rPr>
          <w:rStyle w:val="0-0"/>
          <w:rFonts w:hint="eastAsia"/>
        </w:rPr>
        <w:t>提案人：鄭運鵬 黃世杰 陳歐珀</w:t>
      </w:r>
    </w:p>
    <w:p w14:paraId="36854C6F" w14:textId="77777777" w:rsidR="00421BB5" w:rsidRPr="00EF1C9F" w:rsidRDefault="00421BB5" w:rsidP="00421BB5">
      <w:pPr>
        <w:pStyle w:val="0-"/>
      </w:pPr>
      <w:r w:rsidRPr="00EF1C9F">
        <w:rPr>
          <w:rFonts w:hint="eastAsia"/>
        </w:rPr>
        <w:t>(二十六)</w:t>
      </w:r>
      <w:r w:rsidRPr="00EF1C9F">
        <w:t>112</w:t>
      </w:r>
      <w:r w:rsidRPr="00EF1C9F">
        <w:rPr>
          <w:rFonts w:hint="eastAsia"/>
        </w:rPr>
        <w:t>年度人事行政總處歲出預算「公教人員育嬰留職停薪津貼加發補助」編列</w:t>
      </w:r>
      <w:r w:rsidRPr="00EF1C9F">
        <w:rPr>
          <w:rStyle w:val="0-0"/>
          <w:rFonts w:hint="eastAsia"/>
        </w:rPr>
        <w:t>2億1</w:t>
      </w:r>
      <w:r w:rsidRPr="00EF1C9F">
        <w:rPr>
          <w:rStyle w:val="0-0"/>
        </w:rPr>
        <w:t>,</w:t>
      </w:r>
      <w:r w:rsidRPr="00EF1C9F">
        <w:rPr>
          <w:rStyle w:val="0-0"/>
          <w:rFonts w:hint="eastAsia"/>
        </w:rPr>
        <w:t>216萬</w:t>
      </w:r>
      <w:r w:rsidRPr="00EF1C9F">
        <w:rPr>
          <w:rFonts w:hint="eastAsia"/>
        </w:rPr>
        <w:t>元，然而根據人事總處統計，1</w:t>
      </w:r>
      <w:r w:rsidRPr="00EF1C9F">
        <w:t>07</w:t>
      </w:r>
      <w:r w:rsidRPr="00EF1C9F">
        <w:rPr>
          <w:rFonts w:hint="eastAsia"/>
        </w:rPr>
        <w:t>年度以來男性為育嬰申請留職停薪補助的比例雖遠低於女性，但是到1</w:t>
      </w:r>
      <w:r w:rsidRPr="00EF1C9F">
        <w:t>11</w:t>
      </w:r>
      <w:r w:rsidRPr="00EF1C9F">
        <w:rPr>
          <w:rFonts w:hint="eastAsia"/>
        </w:rPr>
        <w:t>年度有明顯成長超過2</w:t>
      </w:r>
      <w:r w:rsidRPr="00EF1C9F">
        <w:t>0%</w:t>
      </w:r>
      <w:r w:rsidRPr="00EF1C9F">
        <w:rPr>
          <w:rFonts w:hint="eastAsia"/>
        </w:rPr>
        <w:t>，顯見更多男性申請留職停薪協助育嬰已成未來趨勢。為推動國內公務機關性別平等政策，行政院人事行政總處應即研擬相關措施鼓勵更多男性申請育嬰留職停薪補助。</w:t>
      </w:r>
    </w:p>
    <w:p w14:paraId="32D214CB" w14:textId="77777777" w:rsidR="00421BB5" w:rsidRPr="00EF1C9F" w:rsidRDefault="00421BB5" w:rsidP="00421BB5">
      <w:pPr>
        <w:pStyle w:val="2-1"/>
      </w:pPr>
      <w:r w:rsidRPr="00EF1C9F">
        <w:t>提案人：</w:t>
      </w:r>
      <w:r w:rsidRPr="00EF1C9F">
        <w:rPr>
          <w:rFonts w:hint="eastAsia"/>
        </w:rPr>
        <w:t>陳以信</w:t>
      </w:r>
    </w:p>
    <w:p w14:paraId="40747AC0" w14:textId="77777777" w:rsidR="00421BB5" w:rsidRPr="00EF1C9F" w:rsidRDefault="00421BB5" w:rsidP="00421BB5">
      <w:pPr>
        <w:pStyle w:val="2-1"/>
      </w:pPr>
      <w:r w:rsidRPr="00EF1C9F">
        <w:rPr>
          <w:rFonts w:hint="eastAsia"/>
        </w:rPr>
        <w:t>連署人：林思銘 曾銘宗</w:t>
      </w:r>
    </w:p>
    <w:p w14:paraId="4F95EAC5" w14:textId="77777777" w:rsidR="00421BB5" w:rsidRPr="00EF1C9F" w:rsidRDefault="00421BB5" w:rsidP="00421BB5">
      <w:pPr>
        <w:pStyle w:val="0-"/>
      </w:pPr>
      <w:r w:rsidRPr="00EF1C9F">
        <w:rPr>
          <w:rFonts w:hint="eastAsia"/>
        </w:rPr>
        <w:t>(二十七)行政院人事行政總處有關公教人員婚喪生育及子女教育補助，112年度編列17億8</w:t>
      </w:r>
      <w:r w:rsidRPr="00EF1C9F">
        <w:t>,</w:t>
      </w:r>
      <w:r w:rsidRPr="00EF1C9F">
        <w:rPr>
          <w:rFonts w:hint="eastAsia"/>
        </w:rPr>
        <w:t>913萬9千元，較111年度減少1億</w:t>
      </w:r>
      <w:r w:rsidRPr="00EF1C9F">
        <w:rPr>
          <w:rStyle w:val="0-0"/>
          <w:rFonts w:hint="eastAsia"/>
        </w:rPr>
        <w:t>0</w:t>
      </w:r>
      <w:r w:rsidRPr="00EF1C9F">
        <w:rPr>
          <w:rStyle w:val="0-0"/>
        </w:rPr>
        <w:t>,</w:t>
      </w:r>
      <w:r w:rsidRPr="00EF1C9F">
        <w:rPr>
          <w:rStyle w:val="0-0"/>
          <w:rFonts w:hint="eastAsia"/>
        </w:rPr>
        <w:t>060萬6千</w:t>
      </w:r>
      <w:r w:rsidRPr="00EF1C9F">
        <w:rPr>
          <w:rFonts w:hint="eastAsia"/>
        </w:rPr>
        <w:t>元，經查該預算自101至110年歷年的決算執行，107年最高為93%，108年最低82%，平均每年有10%之賸餘。行政院人事行政總處應研擬比照子女教育補助採定額方式，將生育補助亦採定額補助，並依經費賸餘情況，每年滾動檢討，採取不減少預算總額原則，逐年調漲公教人員之生育補助，並</w:t>
      </w:r>
      <w:r w:rsidRPr="00EF1C9F">
        <w:rPr>
          <w:rFonts w:hint="eastAsia"/>
        </w:rPr>
        <w:lastRenderedPageBreak/>
        <w:t>於3個月內提出書面報告。</w:t>
      </w:r>
    </w:p>
    <w:p w14:paraId="455C6B4C" w14:textId="77777777" w:rsidR="00421BB5" w:rsidRPr="00EF1C9F" w:rsidRDefault="00421BB5" w:rsidP="00421BB5">
      <w:pPr>
        <w:pStyle w:val="2-1"/>
      </w:pPr>
      <w:r w:rsidRPr="00EF1C9F">
        <w:t>提案人：</w:t>
      </w:r>
      <w:r w:rsidRPr="00EF1C9F">
        <w:rPr>
          <w:rFonts w:hint="eastAsia"/>
        </w:rPr>
        <w:t>鄭運鵬 黃世杰 陳歐珀</w:t>
      </w:r>
    </w:p>
    <w:p w14:paraId="058D1363" w14:textId="77777777" w:rsidR="00421BB5" w:rsidRPr="00EF1C9F" w:rsidRDefault="00421BB5" w:rsidP="00421BB5">
      <w:pPr>
        <w:pStyle w:val="0-"/>
      </w:pPr>
      <w:r w:rsidRPr="00EF1C9F">
        <w:rPr>
          <w:rFonts w:hint="eastAsia"/>
        </w:rPr>
        <w:t>(二十八)第一屆資深中央民意代表自願退職條例於78年1月26日制定後，退職資深中央民代在無法源依據下比照公教人員享有18%臺灣銀行之優惠存款。83年度以前相關預算編列在國民大會、監察院、立法院各機關預算中，自85年起統一編列在行政院人事行政局。95年資深監察委員全部亡故，資深監委優惠利息補貼自96年度起不再編列；111年資深立法委員全部亡故，112年起不再編列資深立委優惠利息補貼。而資深國民大會代表根據預算書說明也僅存2人。為了讓相關優惠利息補貼政策方便國人搜尋及研究，要求行政院人事行政總處於3個月內，提出資深監察委員及資深立法委員優惠利息補貼之總結報告送交立法院備查，而資深國民大會代表部分則於全部亡故後1年內提出總結報告送交立法院備查。</w:t>
      </w:r>
    </w:p>
    <w:p w14:paraId="102D691A" w14:textId="77777777" w:rsidR="00421BB5" w:rsidRPr="00EF1C9F" w:rsidRDefault="00421BB5" w:rsidP="00421BB5">
      <w:pPr>
        <w:pStyle w:val="2-1"/>
      </w:pPr>
      <w:r w:rsidRPr="00EF1C9F">
        <w:t>提案人：</w:t>
      </w:r>
      <w:r w:rsidRPr="00EF1C9F">
        <w:rPr>
          <w:rFonts w:hint="eastAsia"/>
        </w:rPr>
        <w:t>鄭運鵬 黃世杰 陳歐珀</w:t>
      </w:r>
    </w:p>
    <w:p w14:paraId="3925BD66" w14:textId="77777777" w:rsidR="00421BB5" w:rsidRPr="00A52F6B" w:rsidRDefault="00421BB5" w:rsidP="00421BB5">
      <w:pPr>
        <w:spacing w:line="360" w:lineRule="exact"/>
        <w:ind w:left="594" w:hanging="311"/>
        <w:rPr>
          <w:rFonts w:ascii="標楷體" w:eastAsia="標楷體" w:hAnsi="標楷體"/>
          <w:sz w:val="28"/>
          <w:szCs w:val="28"/>
        </w:rPr>
      </w:pPr>
      <w:r w:rsidRPr="00A52F6B">
        <w:rPr>
          <w:rFonts w:ascii="標楷體" w:eastAsia="標楷體" w:hAnsi="標楷體"/>
          <w:sz w:val="28"/>
          <w:szCs w:val="28"/>
        </w:rPr>
        <w:t>第4項</w:t>
      </w:r>
      <w:r w:rsidRPr="00A52F6B">
        <w:rPr>
          <w:rFonts w:ascii="標楷體" w:eastAsia="標楷體" w:hAnsi="標楷體" w:hint="eastAsia"/>
          <w:sz w:val="28"/>
          <w:szCs w:val="28"/>
        </w:rPr>
        <w:t xml:space="preserve">　</w:t>
      </w:r>
      <w:r w:rsidRPr="00A52F6B">
        <w:rPr>
          <w:rFonts w:ascii="標楷體" w:eastAsia="標楷體" w:hAnsi="標楷體"/>
          <w:sz w:val="28"/>
          <w:szCs w:val="28"/>
        </w:rPr>
        <w:t>公務人力發展</w:t>
      </w:r>
      <w:r w:rsidRPr="00A52F6B">
        <w:rPr>
          <w:rFonts w:ascii="標楷體" w:eastAsia="標楷體" w:hAnsi="標楷體" w:hint="eastAsia"/>
          <w:sz w:val="28"/>
          <w:szCs w:val="28"/>
        </w:rPr>
        <w:t>學院</w:t>
      </w:r>
      <w:r w:rsidRPr="00A52F6B">
        <w:rPr>
          <w:rFonts w:ascii="標楷體" w:eastAsia="標楷體" w:hAnsi="標楷體"/>
          <w:sz w:val="28"/>
          <w:szCs w:val="28"/>
        </w:rPr>
        <w:t>2</w:t>
      </w:r>
      <w:r w:rsidRPr="00A52F6B">
        <w:rPr>
          <w:rFonts w:ascii="標楷體" w:eastAsia="標楷體" w:hAnsi="標楷體" w:hint="eastAsia"/>
          <w:sz w:val="28"/>
          <w:szCs w:val="28"/>
        </w:rPr>
        <w:t>億5,124萬9千元，照列。</w:t>
      </w:r>
    </w:p>
    <w:p w14:paraId="77DFB94F" w14:textId="77777777" w:rsidR="00421BB5" w:rsidRPr="00EF1C9F" w:rsidRDefault="00421BB5" w:rsidP="00421BB5">
      <w:pPr>
        <w:pStyle w:val="0-"/>
      </w:pPr>
      <w:r w:rsidRPr="00EF1C9F">
        <w:rPr>
          <w:rFonts w:hint="eastAsia"/>
        </w:rPr>
        <w:t>本項通過決議4項：</w:t>
      </w:r>
    </w:p>
    <w:p w14:paraId="5CD501EF" w14:textId="77777777" w:rsidR="00421BB5" w:rsidRPr="00EF1C9F" w:rsidRDefault="00421BB5" w:rsidP="00421BB5">
      <w:pPr>
        <w:pStyle w:val="0-"/>
      </w:pPr>
      <w:r w:rsidRPr="00EF1C9F">
        <w:rPr>
          <w:rFonts w:hint="eastAsia"/>
        </w:rPr>
        <w:t>(一)112年度</w:t>
      </w:r>
      <w:r w:rsidRPr="00EF1C9F">
        <w:t>公務人力發展</w:t>
      </w:r>
      <w:r w:rsidRPr="00EF1C9F">
        <w:rPr>
          <w:rFonts w:hint="eastAsia"/>
        </w:rPr>
        <w:t>學院歲出預算第2目「訓練輔導及研究」編列1億0,</w:t>
      </w:r>
      <w:r w:rsidRPr="00EF1C9F">
        <w:t>864</w:t>
      </w:r>
      <w:r w:rsidRPr="00EF1C9F">
        <w:rPr>
          <w:rFonts w:hint="eastAsia"/>
        </w:rPr>
        <w:t>萬1千元，凍結100萬元，俟向立法院司法及法制委員會提出書面報告後，始得動支。</w:t>
      </w:r>
    </w:p>
    <w:p w14:paraId="72B81FF0" w14:textId="77777777" w:rsidR="00421BB5" w:rsidRPr="00EF1C9F" w:rsidRDefault="00421BB5" w:rsidP="00421BB5">
      <w:pPr>
        <w:pStyle w:val="2-1"/>
        <w:rPr>
          <w:shd w:val="clear" w:color="auto" w:fill="FFFFFF"/>
        </w:rPr>
      </w:pPr>
      <w:r w:rsidRPr="00EF1C9F">
        <w:rPr>
          <w:rFonts w:hint="eastAsia"/>
          <w:shd w:val="clear" w:color="auto" w:fill="FFFFFF"/>
        </w:rPr>
        <w:t xml:space="preserve">提案人：陳以信 陳歐珀 </w:t>
      </w:r>
    </w:p>
    <w:p w14:paraId="1CAE2C88" w14:textId="77777777" w:rsidR="00421BB5" w:rsidRPr="00EF1C9F" w:rsidRDefault="00421BB5" w:rsidP="00421BB5">
      <w:pPr>
        <w:pStyle w:val="2-1"/>
        <w:rPr>
          <w:shd w:val="clear" w:color="auto" w:fill="FFFFFF"/>
        </w:rPr>
      </w:pPr>
      <w:r w:rsidRPr="00EF1C9F">
        <w:rPr>
          <w:rFonts w:hint="eastAsia"/>
          <w:shd w:val="clear" w:color="auto" w:fill="FFFFFF"/>
        </w:rPr>
        <w:t>連署人：游毓蘭 林思銘 黃世杰</w:t>
      </w:r>
    </w:p>
    <w:p w14:paraId="60EF1813" w14:textId="77777777" w:rsidR="00421BB5" w:rsidRPr="00EF1C9F" w:rsidRDefault="00421BB5" w:rsidP="00421BB5">
      <w:pPr>
        <w:pStyle w:val="0-"/>
      </w:pPr>
      <w:r w:rsidRPr="00EF1C9F">
        <w:rPr>
          <w:rFonts w:hint="eastAsia"/>
        </w:rPr>
        <w:t>(二)1</w:t>
      </w:r>
      <w:r w:rsidRPr="00EF1C9F">
        <w:t>12</w:t>
      </w:r>
      <w:r w:rsidRPr="00EF1C9F">
        <w:rPr>
          <w:rFonts w:hint="eastAsia"/>
        </w:rPr>
        <w:t>年度公務人力發展學院歲出預算「訓練輔導及研究」項下「訓練輔導行政維持」中「一般事務費」、「房屋建築養護費」及「設施及機械設備養護費」共編列786萬1千元，考量國家財政困窘，請撙節相關費用辦理。</w:t>
      </w:r>
    </w:p>
    <w:p w14:paraId="4F7B735C" w14:textId="77777777" w:rsidR="00421BB5" w:rsidRPr="00EF1C9F" w:rsidRDefault="00421BB5" w:rsidP="00421BB5">
      <w:pPr>
        <w:pStyle w:val="2-1"/>
        <w:rPr>
          <w:shd w:val="clear" w:color="auto" w:fill="FFFFFF"/>
        </w:rPr>
      </w:pPr>
      <w:r w:rsidRPr="00EF1C9F">
        <w:t>提案人：</w:t>
      </w:r>
      <w:r w:rsidRPr="00EF1C9F">
        <w:rPr>
          <w:rFonts w:hint="eastAsia"/>
        </w:rPr>
        <w:t>黃世杰 江永昌 陳歐珀</w:t>
      </w:r>
    </w:p>
    <w:p w14:paraId="4E055DD3" w14:textId="77777777" w:rsidR="00421BB5" w:rsidRPr="00EF1C9F" w:rsidRDefault="00421BB5" w:rsidP="00421BB5">
      <w:pPr>
        <w:pStyle w:val="0-"/>
      </w:pPr>
      <w:r w:rsidRPr="00EF1C9F">
        <w:rPr>
          <w:rFonts w:hint="eastAsia"/>
        </w:rPr>
        <w:t>(三)</w:t>
      </w:r>
      <w:r w:rsidRPr="00EF1C9F">
        <w:t>行政院人事行政總處</w:t>
      </w:r>
      <w:r w:rsidRPr="00EF1C9F">
        <w:rPr>
          <w:rFonts w:hint="eastAsia"/>
        </w:rPr>
        <w:t>公務人力發展學院中高階主管培訓業務因於110、111年度受新冠肺炎之影響，停辦「高階領導研究班」，因此於112年度減列「訓練輔導及研究」學員住宿訓練費用92萬9千元，但「訓練輔導行政維持」之業務費卻反而較111年度增加240萬元。此雖係因該學院南投院區幅員廣闊設備老舊，為維持服務品質，於核定概算額度內調整所致，惟考量國家財政困窘，請</w:t>
      </w:r>
      <w:r w:rsidRPr="00EF1C9F">
        <w:t>行政院人事行政總處</w:t>
      </w:r>
      <w:r w:rsidRPr="00EF1C9F">
        <w:rPr>
          <w:rFonts w:hint="eastAsia"/>
        </w:rPr>
        <w:t>公務人力發展學院仍應撙節相關費用辦理。</w:t>
      </w:r>
    </w:p>
    <w:p w14:paraId="3EED337B" w14:textId="77777777" w:rsidR="00421BB5" w:rsidRPr="00EF1C9F" w:rsidRDefault="00421BB5" w:rsidP="00421BB5">
      <w:pPr>
        <w:pStyle w:val="2-1"/>
      </w:pPr>
      <w:r w:rsidRPr="00EF1C9F">
        <w:t>提案人：</w:t>
      </w:r>
      <w:r w:rsidRPr="00EF1C9F">
        <w:rPr>
          <w:rFonts w:hint="eastAsia"/>
        </w:rPr>
        <w:t>陳歐珀</w:t>
      </w:r>
    </w:p>
    <w:p w14:paraId="2CDCC8A1" w14:textId="77777777" w:rsidR="00421BB5" w:rsidRPr="00EF1C9F" w:rsidRDefault="00421BB5" w:rsidP="00421BB5">
      <w:pPr>
        <w:pStyle w:val="2-1"/>
      </w:pPr>
      <w:r w:rsidRPr="00EF1C9F">
        <w:rPr>
          <w:rFonts w:hint="eastAsia"/>
        </w:rPr>
        <w:t>連署人：游毓蘭 黃世杰</w:t>
      </w:r>
    </w:p>
    <w:p w14:paraId="2D09A540" w14:textId="77777777" w:rsidR="00421BB5" w:rsidRPr="00EF1C9F" w:rsidRDefault="00421BB5" w:rsidP="00421BB5">
      <w:pPr>
        <w:pStyle w:val="0-"/>
      </w:pPr>
      <w:r w:rsidRPr="00EF1C9F">
        <w:rPr>
          <w:rFonts w:hint="eastAsia"/>
        </w:rPr>
        <w:t>(四)</w:t>
      </w:r>
      <w:r w:rsidRPr="00EF1C9F">
        <w:t>112</w:t>
      </w:r>
      <w:r w:rsidRPr="00EF1C9F">
        <w:rPr>
          <w:rFonts w:hint="eastAsia"/>
        </w:rPr>
        <w:t>年度公務人力發展學院歲出預算「人力資源研究發展」編列3</w:t>
      </w:r>
      <w:r w:rsidRPr="00EF1C9F">
        <w:t>,278</w:t>
      </w:r>
      <w:r w:rsidRPr="00EF1C9F">
        <w:rPr>
          <w:rFonts w:hint="eastAsia"/>
        </w:rPr>
        <w:t>萬</w:t>
      </w:r>
      <w:r w:rsidRPr="00EF1C9F">
        <w:t>5千元</w:t>
      </w:r>
      <w:r w:rsidRPr="00EF1C9F">
        <w:rPr>
          <w:rFonts w:hint="eastAsia"/>
        </w:rPr>
        <w:t>，為辦理資訊管理、數位學習、圖書管理等工作計畫。其中辦理「e等公務園+公部門數位學習整合平台」</w:t>
      </w:r>
      <w:r w:rsidRPr="00EF1C9F">
        <w:rPr>
          <w:rFonts w:hint="eastAsia"/>
        </w:rPr>
        <w:lastRenderedPageBreak/>
        <w:t>編列1</w:t>
      </w:r>
      <w:r w:rsidRPr="00EF1C9F">
        <w:t>,057</w:t>
      </w:r>
      <w:r w:rsidRPr="00EF1C9F">
        <w:rPr>
          <w:rFonts w:hint="eastAsia"/>
        </w:rPr>
        <w:t>萬</w:t>
      </w:r>
      <w:r w:rsidRPr="00EF1C9F">
        <w:t>2</w:t>
      </w:r>
      <w:r w:rsidRPr="00EF1C9F">
        <w:rPr>
          <w:rFonts w:hint="eastAsia"/>
        </w:rPr>
        <w:t>千元，提供網路教育平台給公務員與一般民眾。然而根據公務人力發展學院統計，該平台新增公務員會員數從107年的17萬3</w:t>
      </w:r>
      <w:r w:rsidRPr="00EF1C9F">
        <w:t>,294</w:t>
      </w:r>
      <w:r w:rsidRPr="00EF1C9F">
        <w:rPr>
          <w:rFonts w:hint="eastAsia"/>
        </w:rPr>
        <w:t>人降至11</w:t>
      </w:r>
      <w:r w:rsidRPr="00EF1C9F">
        <w:t>0</w:t>
      </w:r>
      <w:r w:rsidRPr="00EF1C9F">
        <w:rPr>
          <w:rFonts w:hint="eastAsia"/>
        </w:rPr>
        <w:t>年的5萬</w:t>
      </w:r>
      <w:r w:rsidRPr="00EF1C9F">
        <w:t>4,709</w:t>
      </w:r>
      <w:r w:rsidRPr="00EF1C9F">
        <w:rPr>
          <w:rFonts w:hint="eastAsia"/>
        </w:rPr>
        <w:t>人，一般民眾卻從107年的4萬</w:t>
      </w:r>
      <w:r w:rsidRPr="00EF1C9F">
        <w:t>1,176</w:t>
      </w:r>
      <w:r w:rsidRPr="00EF1C9F">
        <w:rPr>
          <w:rFonts w:hint="eastAsia"/>
        </w:rPr>
        <w:t>人增加至11</w:t>
      </w:r>
      <w:r w:rsidRPr="00EF1C9F">
        <w:t>0</w:t>
      </w:r>
      <w:r w:rsidRPr="00EF1C9F">
        <w:rPr>
          <w:rFonts w:hint="eastAsia"/>
        </w:rPr>
        <w:t>年的1</w:t>
      </w:r>
      <w:r w:rsidRPr="00EF1C9F">
        <w:t>4</w:t>
      </w:r>
      <w:r w:rsidRPr="00EF1C9F">
        <w:rPr>
          <w:rFonts w:hint="eastAsia"/>
        </w:rPr>
        <w:t>萬8</w:t>
      </w:r>
      <w:r w:rsidRPr="00EF1C9F">
        <w:t>,399</w:t>
      </w:r>
      <w:r w:rsidRPr="00EF1C9F">
        <w:rPr>
          <w:rFonts w:hint="eastAsia"/>
        </w:rPr>
        <w:t>人，比例相當懸殊。公務人力發展學院應設法提高公務人員會員比例，請</w:t>
      </w:r>
      <w:r w:rsidRPr="00EF1C9F">
        <w:t>行政院人事行政總處</w:t>
      </w:r>
      <w:r w:rsidRPr="00EF1C9F">
        <w:rPr>
          <w:rFonts w:hint="eastAsia"/>
        </w:rPr>
        <w:t>公務人力發展學院向立法院司法及法制委員會提出書面報告。</w:t>
      </w:r>
    </w:p>
    <w:p w14:paraId="66155D24" w14:textId="77777777" w:rsidR="00421BB5" w:rsidRPr="00EF1C9F" w:rsidRDefault="00421BB5" w:rsidP="00421BB5">
      <w:pPr>
        <w:pStyle w:val="2-1"/>
        <w:rPr>
          <w:shd w:val="clear" w:color="auto" w:fill="FFFFFF"/>
        </w:rPr>
      </w:pPr>
      <w:r w:rsidRPr="00EF1C9F">
        <w:rPr>
          <w:rFonts w:hint="eastAsia"/>
          <w:shd w:val="clear" w:color="auto" w:fill="FFFFFF"/>
        </w:rPr>
        <w:t>提案人：陳以信</w:t>
      </w:r>
    </w:p>
    <w:p w14:paraId="5CA32690" w14:textId="77777777" w:rsidR="00421BB5" w:rsidRPr="00EF1C9F" w:rsidRDefault="00421BB5" w:rsidP="00421BB5">
      <w:pPr>
        <w:pStyle w:val="2-1"/>
        <w:rPr>
          <w:shd w:val="clear" w:color="auto" w:fill="FFFFFF"/>
        </w:rPr>
      </w:pPr>
      <w:r w:rsidRPr="00EF1C9F">
        <w:rPr>
          <w:rFonts w:hint="eastAsia"/>
          <w:shd w:val="clear" w:color="auto" w:fill="FFFFFF"/>
        </w:rPr>
        <w:t>連署人：游毓蘭 林思銘</w:t>
      </w:r>
    </w:p>
    <w:p w14:paraId="7A0B3F25" w14:textId="77777777" w:rsidR="00421BB5" w:rsidRPr="00EF1C9F" w:rsidRDefault="00421BB5" w:rsidP="00421BB5">
      <w:pPr>
        <w:adjustRightInd w:val="0"/>
        <w:snapToGrid w:val="0"/>
        <w:spacing w:line="360" w:lineRule="exact"/>
        <w:ind w:left="560" w:hangingChars="200" w:hanging="560"/>
        <w:rPr>
          <w:rFonts w:ascii="標楷體" w:eastAsia="標楷體" w:hAnsi="標楷體"/>
          <w:sz w:val="28"/>
          <w:szCs w:val="28"/>
        </w:rPr>
      </w:pPr>
      <w:r w:rsidRPr="00EF1C9F">
        <w:rPr>
          <w:rFonts w:ascii="標楷體" w:eastAsia="標楷體" w:hAnsi="標楷體" w:hint="eastAsia"/>
          <w:sz w:val="28"/>
          <w:szCs w:val="28"/>
        </w:rPr>
        <w:t>（三）中華民國112年度中央政府總預算案關於行政院人事行政總處</w:t>
      </w:r>
    </w:p>
    <w:p w14:paraId="1C8270AB" w14:textId="77777777" w:rsidR="00421BB5" w:rsidRPr="00EF1C9F" w:rsidRDefault="00421BB5" w:rsidP="00421BB5">
      <w:pPr>
        <w:adjustRightInd w:val="0"/>
        <w:snapToGrid w:val="0"/>
        <w:spacing w:line="360" w:lineRule="exact"/>
        <w:ind w:leftChars="354" w:left="850" w:firstLineChars="6" w:firstLine="17"/>
        <w:rPr>
          <w:rFonts w:ascii="標楷體" w:eastAsia="標楷體" w:hAnsi="標楷體"/>
          <w:sz w:val="28"/>
          <w:szCs w:val="28"/>
        </w:rPr>
      </w:pPr>
      <w:r w:rsidRPr="00EF1C9F">
        <w:rPr>
          <w:rFonts w:ascii="標楷體" w:eastAsia="標楷體" w:hAnsi="標楷體" w:hint="eastAsia"/>
          <w:sz w:val="28"/>
          <w:szCs w:val="28"/>
        </w:rPr>
        <w:t>及所屬主管收支部分</w:t>
      </w:r>
      <w:r w:rsidRPr="00EF1C9F">
        <w:rPr>
          <w:rFonts w:ascii="標楷體" w:eastAsia="標楷體" w:hAnsi="標楷體"/>
          <w:sz w:val="28"/>
          <w:szCs w:val="28"/>
        </w:rPr>
        <w:t>審查完竣，提報院會</w:t>
      </w:r>
      <w:r w:rsidRPr="00EF1C9F">
        <w:rPr>
          <w:rFonts w:ascii="標楷體" w:eastAsia="標楷體" w:hAnsi="標楷體" w:hint="eastAsia"/>
          <w:sz w:val="28"/>
          <w:szCs w:val="28"/>
        </w:rPr>
        <w:t>，</w:t>
      </w:r>
      <w:r w:rsidRPr="00EF1C9F">
        <w:rPr>
          <w:rFonts w:ascii="標楷體" w:eastAsia="標楷體" w:hAnsi="標楷體"/>
          <w:sz w:val="28"/>
          <w:szCs w:val="28"/>
        </w:rPr>
        <w:t>院會討論</w:t>
      </w:r>
      <w:r w:rsidRPr="00EF1C9F">
        <w:rPr>
          <w:rFonts w:ascii="標楷體" w:eastAsia="標楷體" w:hAnsi="標楷體" w:hint="eastAsia"/>
          <w:sz w:val="28"/>
          <w:szCs w:val="28"/>
        </w:rPr>
        <w:t>前，</w:t>
      </w:r>
      <w:r w:rsidRPr="00EF1C9F">
        <w:rPr>
          <w:rFonts w:ascii="標楷體" w:eastAsia="標楷體" w:hAnsi="標楷體"/>
          <w:sz w:val="28"/>
          <w:szCs w:val="28"/>
        </w:rPr>
        <w:t>須交由黨團協商</w:t>
      </w:r>
      <w:r w:rsidRPr="00EF1C9F">
        <w:rPr>
          <w:rFonts w:ascii="標楷體" w:eastAsia="標楷體" w:hAnsi="標楷體" w:hint="eastAsia"/>
          <w:sz w:val="28"/>
          <w:szCs w:val="28"/>
          <w:shd w:val="clear" w:color="auto" w:fill="FFFFFF"/>
        </w:rPr>
        <w:t>；院會討論時，由林召集委員思銘出席說明</w:t>
      </w:r>
      <w:r w:rsidRPr="00EF1C9F">
        <w:rPr>
          <w:rFonts w:ascii="標楷體" w:eastAsia="標楷體" w:hAnsi="標楷體"/>
          <w:sz w:val="28"/>
          <w:szCs w:val="28"/>
        </w:rPr>
        <w:t>。</w:t>
      </w:r>
    </w:p>
    <w:p w14:paraId="53291E45" w14:textId="77777777" w:rsidR="00421BB5" w:rsidRPr="00EF1C9F" w:rsidRDefault="00421BB5" w:rsidP="00421BB5">
      <w:pPr>
        <w:spacing w:line="360" w:lineRule="exact"/>
        <w:ind w:left="426" w:hangingChars="152" w:hanging="426"/>
        <w:contextualSpacing/>
        <w:jc w:val="both"/>
        <w:rPr>
          <w:rFonts w:ascii="標楷體" w:eastAsia="標楷體" w:hAnsi="標楷體"/>
          <w:sz w:val="28"/>
          <w:szCs w:val="28"/>
        </w:rPr>
      </w:pPr>
      <w:r w:rsidRPr="00EF1C9F">
        <w:rPr>
          <w:rFonts w:ascii="標楷體" w:eastAsia="標楷體" w:hAnsi="標楷體" w:hint="eastAsia"/>
          <w:sz w:val="28"/>
          <w:szCs w:val="28"/>
        </w:rPr>
        <w:t>二</w:t>
      </w:r>
      <w:r w:rsidRPr="00EF1C9F">
        <w:rPr>
          <w:rFonts w:ascii="標楷體" w:eastAsia="標楷體" w:hAnsi="標楷體"/>
          <w:sz w:val="28"/>
          <w:szCs w:val="28"/>
        </w:rPr>
        <w:t>、</w:t>
      </w:r>
      <w:r w:rsidRPr="00EF1C9F">
        <w:rPr>
          <w:rFonts w:ascii="標楷體" w:eastAsia="標楷體" w:hAnsi="標楷體" w:hint="eastAsia"/>
          <w:sz w:val="28"/>
          <w:szCs w:val="28"/>
        </w:rPr>
        <w:t>11</w:t>
      </w:r>
      <w:r w:rsidRPr="00EF1C9F">
        <w:rPr>
          <w:rFonts w:ascii="標楷體" w:eastAsia="標楷體" w:hAnsi="標楷體"/>
          <w:sz w:val="28"/>
          <w:szCs w:val="28"/>
        </w:rPr>
        <w:t>2</w:t>
      </w:r>
      <w:r w:rsidRPr="00EF1C9F">
        <w:rPr>
          <w:rFonts w:ascii="標楷體" w:eastAsia="標楷體" w:hAnsi="標楷體" w:hint="eastAsia"/>
          <w:sz w:val="28"/>
          <w:szCs w:val="28"/>
        </w:rPr>
        <w:t>年度中央政府總預算案附屬單位預算非營業部分關於行政院人事行政總處主管「中央公教人員急難救助基金」收支部分</w:t>
      </w:r>
      <w:r w:rsidRPr="00EF1C9F">
        <w:rPr>
          <w:rFonts w:ascii="標楷體" w:eastAsia="標楷體" w:hAnsi="標楷體"/>
          <w:sz w:val="28"/>
          <w:szCs w:val="28"/>
        </w:rPr>
        <w:t>：</w:t>
      </w:r>
    </w:p>
    <w:p w14:paraId="6B7B2836" w14:textId="77777777" w:rsidR="00421BB5" w:rsidRPr="00EF1C9F" w:rsidRDefault="00421BB5" w:rsidP="00421BB5">
      <w:pPr>
        <w:spacing w:line="360" w:lineRule="exact"/>
        <w:ind w:leftChars="200" w:left="1040" w:hangingChars="200" w:hanging="560"/>
        <w:jc w:val="both"/>
        <w:rPr>
          <w:rFonts w:ascii="標楷體" w:eastAsia="標楷體" w:hAnsi="標楷體"/>
          <w:sz w:val="28"/>
          <w:szCs w:val="28"/>
        </w:rPr>
      </w:pPr>
      <w:r w:rsidRPr="00EF1C9F">
        <w:rPr>
          <w:rFonts w:ascii="標楷體" w:eastAsia="標楷體" w:hAnsi="標楷體"/>
          <w:sz w:val="28"/>
          <w:szCs w:val="28"/>
        </w:rPr>
        <w:t>(一)基金運用計畫：應依據收支、餘絀撥補等項之審查結果</w:t>
      </w:r>
      <w:r w:rsidRPr="00EF1C9F">
        <w:rPr>
          <w:rFonts w:ascii="標楷體" w:eastAsia="標楷體" w:hAnsi="標楷體" w:hint="eastAsia"/>
          <w:sz w:val="28"/>
          <w:szCs w:val="28"/>
        </w:rPr>
        <w:t>，隨同</w:t>
      </w:r>
      <w:r w:rsidRPr="00EF1C9F">
        <w:rPr>
          <w:rFonts w:ascii="標楷體" w:eastAsia="標楷體" w:hAnsi="標楷體"/>
          <w:sz w:val="28"/>
          <w:szCs w:val="28"/>
        </w:rPr>
        <w:t>調整。</w:t>
      </w:r>
    </w:p>
    <w:p w14:paraId="6EC29614" w14:textId="77777777" w:rsidR="00421BB5" w:rsidRPr="00EF1C9F" w:rsidRDefault="00421BB5" w:rsidP="00421BB5">
      <w:pPr>
        <w:spacing w:line="360" w:lineRule="exact"/>
        <w:ind w:leftChars="199" w:left="962" w:hangingChars="173" w:hanging="484"/>
        <w:jc w:val="both"/>
        <w:rPr>
          <w:rFonts w:ascii="標楷體" w:eastAsia="標楷體" w:hAnsi="標楷體"/>
          <w:sz w:val="28"/>
          <w:szCs w:val="28"/>
        </w:rPr>
      </w:pPr>
      <w:r w:rsidRPr="00EF1C9F">
        <w:rPr>
          <w:rFonts w:ascii="標楷體" w:eastAsia="標楷體" w:hAnsi="標楷體"/>
          <w:sz w:val="28"/>
          <w:szCs w:val="28"/>
        </w:rPr>
        <w:t>(二)總收入：</w:t>
      </w:r>
      <w:r w:rsidRPr="00EF1C9F">
        <w:rPr>
          <w:rFonts w:ascii="標楷體" w:eastAsia="標楷體" w:hAnsi="標楷體" w:hint="eastAsia"/>
          <w:sz w:val="28"/>
          <w:szCs w:val="28"/>
        </w:rPr>
        <w:t>398萬</w:t>
      </w:r>
      <w:r w:rsidRPr="00EF1C9F">
        <w:rPr>
          <w:rFonts w:ascii="標楷體" w:eastAsia="標楷體" w:hAnsi="標楷體"/>
          <w:sz w:val="28"/>
          <w:szCs w:val="28"/>
        </w:rPr>
        <w:t>8</w:t>
      </w:r>
      <w:r w:rsidRPr="00EF1C9F">
        <w:rPr>
          <w:rFonts w:ascii="標楷體" w:eastAsia="標楷體" w:hAnsi="標楷體" w:hint="eastAsia"/>
          <w:sz w:val="28"/>
          <w:szCs w:val="28"/>
        </w:rPr>
        <w:t>千元</w:t>
      </w:r>
      <w:r w:rsidRPr="00EF1C9F">
        <w:rPr>
          <w:rFonts w:ascii="標楷體" w:eastAsia="標楷體" w:hAnsi="標楷體"/>
          <w:sz w:val="28"/>
          <w:szCs w:val="28"/>
        </w:rPr>
        <w:t>，照列。</w:t>
      </w:r>
    </w:p>
    <w:p w14:paraId="3A045DD9" w14:textId="77777777" w:rsidR="00421BB5" w:rsidRPr="00EF1C9F" w:rsidRDefault="00421BB5" w:rsidP="00421BB5">
      <w:pPr>
        <w:spacing w:line="360" w:lineRule="exact"/>
        <w:ind w:leftChars="199" w:left="962" w:hangingChars="173" w:hanging="484"/>
        <w:jc w:val="both"/>
        <w:rPr>
          <w:rFonts w:ascii="標楷體" w:eastAsia="標楷體" w:hAnsi="標楷體"/>
          <w:sz w:val="28"/>
          <w:szCs w:val="28"/>
        </w:rPr>
      </w:pPr>
      <w:r w:rsidRPr="00EF1C9F">
        <w:rPr>
          <w:rFonts w:ascii="標楷體" w:eastAsia="標楷體" w:hAnsi="標楷體"/>
          <w:sz w:val="28"/>
          <w:szCs w:val="28"/>
        </w:rPr>
        <w:t>(三)總支出：</w:t>
      </w:r>
      <w:r w:rsidRPr="00EF1C9F">
        <w:rPr>
          <w:rFonts w:ascii="標楷體" w:eastAsia="標楷體" w:hAnsi="標楷體" w:hint="eastAsia"/>
          <w:bCs/>
          <w:sz w:val="28"/>
          <w:szCs w:val="28"/>
        </w:rPr>
        <w:t>1</w:t>
      </w:r>
      <w:r w:rsidRPr="00EF1C9F">
        <w:rPr>
          <w:rFonts w:ascii="標楷體" w:eastAsia="標楷體" w:hAnsi="標楷體"/>
          <w:bCs/>
          <w:sz w:val="28"/>
          <w:szCs w:val="28"/>
        </w:rPr>
        <w:t>24</w:t>
      </w:r>
      <w:r w:rsidRPr="00EF1C9F">
        <w:rPr>
          <w:rFonts w:ascii="標楷體" w:eastAsia="標楷體" w:hAnsi="標楷體" w:hint="eastAsia"/>
          <w:sz w:val="28"/>
          <w:szCs w:val="28"/>
        </w:rPr>
        <w:t>萬</w:t>
      </w:r>
      <w:r w:rsidRPr="00EF1C9F">
        <w:rPr>
          <w:rFonts w:ascii="標楷體" w:eastAsia="標楷體" w:hAnsi="標楷體"/>
          <w:sz w:val="28"/>
          <w:szCs w:val="28"/>
        </w:rPr>
        <w:t>6</w:t>
      </w:r>
      <w:r w:rsidRPr="00EF1C9F">
        <w:rPr>
          <w:rFonts w:ascii="標楷體" w:eastAsia="標楷體" w:hAnsi="標楷體" w:hint="eastAsia"/>
          <w:sz w:val="28"/>
          <w:szCs w:val="28"/>
        </w:rPr>
        <w:t>千元</w:t>
      </w:r>
      <w:r w:rsidRPr="00EF1C9F">
        <w:rPr>
          <w:rFonts w:ascii="標楷體" w:eastAsia="標楷體" w:hAnsi="標楷體"/>
          <w:sz w:val="28"/>
          <w:szCs w:val="28"/>
        </w:rPr>
        <w:t>，照列。</w:t>
      </w:r>
    </w:p>
    <w:p w14:paraId="54912CEA" w14:textId="77777777" w:rsidR="00421BB5" w:rsidRPr="00EF1C9F" w:rsidRDefault="00421BB5" w:rsidP="00421BB5">
      <w:pPr>
        <w:spacing w:line="360" w:lineRule="exact"/>
        <w:ind w:leftChars="199" w:left="962" w:hangingChars="173" w:hanging="484"/>
        <w:jc w:val="both"/>
        <w:rPr>
          <w:rFonts w:ascii="標楷體" w:eastAsia="標楷體" w:hAnsi="標楷體"/>
          <w:sz w:val="28"/>
          <w:szCs w:val="28"/>
        </w:rPr>
      </w:pPr>
      <w:r w:rsidRPr="00EF1C9F">
        <w:rPr>
          <w:rFonts w:ascii="標楷體" w:eastAsia="標楷體" w:hAnsi="標楷體"/>
          <w:sz w:val="28"/>
          <w:szCs w:val="28"/>
        </w:rPr>
        <w:t>(四)本期賸餘：</w:t>
      </w:r>
      <w:r w:rsidRPr="00EF1C9F">
        <w:rPr>
          <w:rFonts w:ascii="標楷體" w:eastAsia="標楷體" w:hAnsi="標楷體" w:hint="eastAsia"/>
          <w:sz w:val="28"/>
          <w:szCs w:val="28"/>
        </w:rPr>
        <w:t>274萬</w:t>
      </w:r>
      <w:r w:rsidRPr="00EF1C9F">
        <w:rPr>
          <w:rFonts w:ascii="標楷體" w:eastAsia="標楷體" w:hAnsi="標楷體"/>
          <w:sz w:val="28"/>
          <w:szCs w:val="28"/>
        </w:rPr>
        <w:t>2</w:t>
      </w:r>
      <w:r w:rsidRPr="00EF1C9F">
        <w:rPr>
          <w:rFonts w:ascii="標楷體" w:eastAsia="標楷體" w:hAnsi="標楷體" w:hint="eastAsia"/>
          <w:sz w:val="28"/>
          <w:szCs w:val="28"/>
        </w:rPr>
        <w:t>千元</w:t>
      </w:r>
      <w:r w:rsidRPr="00EF1C9F">
        <w:rPr>
          <w:rFonts w:ascii="標楷體" w:eastAsia="標楷體" w:hAnsi="標楷體"/>
          <w:sz w:val="28"/>
          <w:szCs w:val="28"/>
        </w:rPr>
        <w:t>，照列。</w:t>
      </w:r>
    </w:p>
    <w:p w14:paraId="02ABA345" w14:textId="2B316CC8" w:rsidR="00421BB5" w:rsidRPr="00EF1C9F" w:rsidRDefault="00421BB5" w:rsidP="009728BB">
      <w:pPr>
        <w:spacing w:line="360" w:lineRule="exact"/>
        <w:ind w:leftChars="200" w:left="1040" w:hangingChars="200" w:hanging="560"/>
        <w:jc w:val="both"/>
        <w:rPr>
          <w:rFonts w:ascii="標楷體" w:eastAsia="標楷體" w:hAnsi="標楷體"/>
          <w:sz w:val="28"/>
          <w:szCs w:val="28"/>
        </w:rPr>
      </w:pPr>
      <w:r w:rsidRPr="00EF1C9F">
        <w:rPr>
          <w:rFonts w:ascii="標楷體" w:eastAsia="標楷體" w:hAnsi="標楷體"/>
          <w:sz w:val="28"/>
          <w:szCs w:val="28"/>
        </w:rPr>
        <w:t>(</w:t>
      </w:r>
      <w:r w:rsidRPr="00EF1C9F">
        <w:rPr>
          <w:rFonts w:ascii="標楷體" w:eastAsia="標楷體" w:hAnsi="標楷體" w:hint="eastAsia"/>
          <w:sz w:val="28"/>
          <w:szCs w:val="28"/>
        </w:rPr>
        <w:t>五</w:t>
      </w:r>
      <w:r w:rsidRPr="00EF1C9F">
        <w:rPr>
          <w:rFonts w:ascii="標楷體" w:eastAsia="標楷體" w:hAnsi="標楷體"/>
          <w:sz w:val="28"/>
          <w:szCs w:val="28"/>
        </w:rPr>
        <w:t>)</w:t>
      </w:r>
      <w:r w:rsidRPr="00EF1C9F">
        <w:rPr>
          <w:rFonts w:ascii="標楷體" w:eastAsia="標楷體" w:hAnsi="標楷體" w:hint="eastAsia"/>
          <w:sz w:val="28"/>
          <w:szCs w:val="28"/>
        </w:rPr>
        <w:t>本案</w:t>
      </w:r>
      <w:r w:rsidRPr="00EF1C9F">
        <w:rPr>
          <w:rFonts w:ascii="標楷體" w:eastAsia="標楷體" w:hAnsi="標楷體"/>
          <w:sz w:val="28"/>
          <w:szCs w:val="28"/>
        </w:rPr>
        <w:t>審查完竣，提報院會</w:t>
      </w:r>
      <w:r w:rsidRPr="00EF1C9F">
        <w:rPr>
          <w:rFonts w:ascii="標楷體" w:eastAsia="標楷體" w:hAnsi="標楷體" w:hint="eastAsia"/>
          <w:sz w:val="28"/>
          <w:szCs w:val="28"/>
        </w:rPr>
        <w:t>，</w:t>
      </w:r>
      <w:r w:rsidRPr="00EF1C9F">
        <w:rPr>
          <w:rFonts w:ascii="標楷體" w:eastAsia="標楷體" w:hAnsi="標楷體"/>
          <w:sz w:val="28"/>
          <w:szCs w:val="28"/>
        </w:rPr>
        <w:t>院會討論</w:t>
      </w:r>
      <w:r w:rsidRPr="00EF1C9F">
        <w:rPr>
          <w:rFonts w:ascii="標楷體" w:eastAsia="標楷體" w:hAnsi="標楷體" w:hint="eastAsia"/>
          <w:sz w:val="28"/>
          <w:szCs w:val="28"/>
        </w:rPr>
        <w:t>前，</w:t>
      </w:r>
      <w:r w:rsidRPr="00EF1C9F">
        <w:rPr>
          <w:rFonts w:ascii="標楷體" w:eastAsia="標楷體" w:hAnsi="標楷體"/>
          <w:sz w:val="28"/>
          <w:szCs w:val="28"/>
        </w:rPr>
        <w:t>須交由黨團協商</w:t>
      </w:r>
      <w:r w:rsidRPr="00EF1C9F">
        <w:rPr>
          <w:rFonts w:ascii="標楷體" w:eastAsia="標楷體" w:hAnsi="標楷體" w:hint="eastAsia"/>
          <w:sz w:val="28"/>
          <w:szCs w:val="28"/>
        </w:rPr>
        <w:t>；院會討論時，由</w:t>
      </w:r>
      <w:r w:rsidRPr="00EF1C9F">
        <w:rPr>
          <w:rFonts w:ascii="標楷體" w:eastAsia="標楷體" w:hAnsi="標楷體" w:hint="eastAsia"/>
          <w:sz w:val="28"/>
          <w:szCs w:val="28"/>
          <w:shd w:val="clear" w:color="auto" w:fill="FFFFFF"/>
        </w:rPr>
        <w:t>林召集委員思銘</w:t>
      </w:r>
      <w:r w:rsidRPr="00EF1C9F">
        <w:rPr>
          <w:rFonts w:ascii="標楷體" w:eastAsia="標楷體" w:hAnsi="標楷體" w:hint="eastAsia"/>
          <w:sz w:val="28"/>
          <w:szCs w:val="28"/>
        </w:rPr>
        <w:t>出席說明</w:t>
      </w:r>
      <w:r w:rsidRPr="00EF1C9F">
        <w:rPr>
          <w:rFonts w:ascii="標楷體" w:eastAsia="標楷體" w:hAnsi="標楷體"/>
          <w:sz w:val="28"/>
          <w:szCs w:val="28"/>
        </w:rPr>
        <w:t>。</w:t>
      </w:r>
    </w:p>
    <w:p w14:paraId="0DA35028" w14:textId="77777777" w:rsidR="00421BB5" w:rsidRPr="00EF1C9F" w:rsidRDefault="00421BB5" w:rsidP="00421BB5">
      <w:pPr>
        <w:adjustRightInd w:val="0"/>
        <w:snapToGrid w:val="0"/>
        <w:spacing w:line="360" w:lineRule="exact"/>
        <w:ind w:left="560" w:hangingChars="200" w:hanging="560"/>
        <w:rPr>
          <w:rFonts w:ascii="標楷體" w:eastAsia="標楷體" w:hAnsi="標楷體"/>
          <w:sz w:val="28"/>
          <w:szCs w:val="28"/>
        </w:rPr>
      </w:pPr>
      <w:r w:rsidRPr="00EF1C9F">
        <w:rPr>
          <w:rFonts w:ascii="標楷體" w:eastAsia="標楷體" w:hAnsi="標楷體" w:hint="eastAsia"/>
          <w:sz w:val="28"/>
          <w:szCs w:val="28"/>
        </w:rPr>
        <w:t>三、本次會議通過之決議，依例文字授權主席及議事人員整理。</w:t>
      </w:r>
    </w:p>
    <w:p w14:paraId="4D46C9F4" w14:textId="77777777" w:rsidR="00421BB5" w:rsidRPr="00EF1C9F" w:rsidRDefault="00421BB5" w:rsidP="00421BB5">
      <w:pPr>
        <w:adjustRightInd w:val="0"/>
        <w:snapToGrid w:val="0"/>
        <w:spacing w:beforeLines="50" w:before="180" w:line="360" w:lineRule="exact"/>
        <w:ind w:left="619" w:hangingChars="221" w:hanging="619"/>
        <w:jc w:val="both"/>
        <w:rPr>
          <w:rFonts w:ascii="標楷體" w:eastAsia="標楷體" w:hAnsi="標楷體"/>
          <w:sz w:val="28"/>
          <w:szCs w:val="28"/>
        </w:rPr>
      </w:pPr>
      <w:r w:rsidRPr="00EF1C9F">
        <w:rPr>
          <w:rFonts w:ascii="標楷體" w:eastAsia="標楷體" w:hAnsi="標楷體"/>
          <w:sz w:val="28"/>
          <w:szCs w:val="28"/>
        </w:rPr>
        <w:t>散會</w:t>
      </w:r>
    </w:p>
    <w:p w14:paraId="2FBE61B2" w14:textId="77777777" w:rsidR="00421BB5" w:rsidRPr="009B7A41" w:rsidRDefault="00421BB5" w:rsidP="00421BB5">
      <w:pPr>
        <w:adjustRightInd w:val="0"/>
        <w:snapToGrid w:val="0"/>
        <w:spacing w:beforeLines="50" w:before="180" w:afterLines="50" w:after="180" w:line="360" w:lineRule="exact"/>
        <w:jc w:val="distribute"/>
        <w:outlineLvl w:val="2"/>
        <w:rPr>
          <w:rFonts w:ascii="標楷體" w:eastAsia="標楷體" w:hAnsi="標楷體"/>
          <w:b/>
          <w:spacing w:val="-20"/>
          <w:sz w:val="28"/>
          <w:szCs w:val="28"/>
        </w:rPr>
      </w:pPr>
      <w:r>
        <w:rPr>
          <w:rFonts w:ascii="標楷體" w:eastAsia="標楷體" w:hAnsi="標楷體"/>
          <w:sz w:val="28"/>
          <w:szCs w:val="28"/>
        </w:rPr>
        <w:br w:type="page"/>
      </w:r>
      <w:r w:rsidRPr="009B7A41">
        <w:rPr>
          <w:rFonts w:ascii="標楷體" w:eastAsia="標楷體" w:hAnsi="標楷體" w:hint="eastAsia"/>
          <w:b/>
          <w:spacing w:val="-20"/>
          <w:sz w:val="28"/>
          <w:szCs w:val="28"/>
        </w:rPr>
        <w:lastRenderedPageBreak/>
        <w:t>立法院第10屆第</w:t>
      </w:r>
      <w:r w:rsidRPr="009B7A41">
        <w:rPr>
          <w:rFonts w:ascii="標楷體" w:eastAsia="標楷體" w:hAnsi="標楷體"/>
          <w:b/>
          <w:spacing w:val="-20"/>
          <w:sz w:val="28"/>
          <w:szCs w:val="28"/>
        </w:rPr>
        <w:t>6</w:t>
      </w:r>
      <w:r w:rsidRPr="009B7A41">
        <w:rPr>
          <w:rFonts w:ascii="標楷體" w:eastAsia="標楷體" w:hAnsi="標楷體" w:hint="eastAsia"/>
          <w:b/>
          <w:spacing w:val="-20"/>
          <w:sz w:val="28"/>
          <w:szCs w:val="28"/>
        </w:rPr>
        <w:t>會期司法及法制委員會第</w:t>
      </w:r>
      <w:r w:rsidRPr="009B7A41">
        <w:rPr>
          <w:rFonts w:ascii="標楷體" w:eastAsia="標楷體" w:hAnsi="標楷體"/>
          <w:b/>
          <w:spacing w:val="-20"/>
          <w:sz w:val="28"/>
          <w:szCs w:val="28"/>
        </w:rPr>
        <w:t>25</w:t>
      </w:r>
      <w:r w:rsidRPr="009B7A41">
        <w:rPr>
          <w:rFonts w:ascii="標楷體" w:eastAsia="標楷體" w:hAnsi="標楷體" w:hint="eastAsia"/>
          <w:b/>
          <w:spacing w:val="-20"/>
          <w:sz w:val="28"/>
          <w:szCs w:val="28"/>
        </w:rPr>
        <w:t>次全體委員會議議事錄</w:t>
      </w:r>
    </w:p>
    <w:p w14:paraId="35B6AB27" w14:textId="77777777" w:rsidR="00421BB5" w:rsidRPr="00237A6E" w:rsidRDefault="00421BB5" w:rsidP="00421BB5">
      <w:pPr>
        <w:pStyle w:val="-9"/>
        <w:spacing w:line="360" w:lineRule="exact"/>
        <w:ind w:left="1417" w:hangingChars="506" w:hanging="1417"/>
        <w:rPr>
          <w:rFonts w:ascii="標楷體" w:hAnsi="標楷體"/>
          <w:sz w:val="28"/>
          <w:szCs w:val="28"/>
        </w:rPr>
      </w:pPr>
      <w:r w:rsidRPr="00237A6E">
        <w:rPr>
          <w:rFonts w:ascii="標楷體" w:hAnsi="標楷體"/>
          <w:sz w:val="28"/>
          <w:szCs w:val="28"/>
        </w:rPr>
        <w:t>時</w:t>
      </w:r>
      <w:r w:rsidRPr="00237A6E">
        <w:rPr>
          <w:rFonts w:ascii="標楷體" w:hAnsi="標楷體" w:hint="eastAsia"/>
          <w:sz w:val="28"/>
          <w:szCs w:val="28"/>
        </w:rPr>
        <w:t xml:space="preserve">　　</w:t>
      </w:r>
      <w:r w:rsidRPr="00237A6E">
        <w:rPr>
          <w:rFonts w:ascii="標楷體" w:hAnsi="標楷體"/>
          <w:sz w:val="28"/>
          <w:szCs w:val="28"/>
        </w:rPr>
        <w:t>間：</w:t>
      </w:r>
      <w:r w:rsidRPr="00237A6E">
        <w:rPr>
          <w:rFonts w:ascii="標楷體" w:hAnsi="標楷體" w:hint="eastAsia"/>
          <w:sz w:val="28"/>
          <w:szCs w:val="28"/>
        </w:rPr>
        <w:t>中華民國11</w:t>
      </w:r>
      <w:r w:rsidRPr="00237A6E">
        <w:rPr>
          <w:rFonts w:ascii="標楷體" w:hAnsi="標楷體"/>
          <w:sz w:val="28"/>
          <w:szCs w:val="28"/>
        </w:rPr>
        <w:t>1</w:t>
      </w:r>
      <w:r w:rsidRPr="00237A6E">
        <w:rPr>
          <w:rFonts w:ascii="標楷體" w:hAnsi="標楷體" w:hint="eastAsia"/>
          <w:sz w:val="28"/>
          <w:szCs w:val="28"/>
        </w:rPr>
        <w:t>年12月</w:t>
      </w:r>
      <w:r w:rsidRPr="00237A6E">
        <w:rPr>
          <w:rFonts w:ascii="標楷體" w:hAnsi="標楷體"/>
          <w:sz w:val="28"/>
          <w:szCs w:val="28"/>
        </w:rPr>
        <w:t>8</w:t>
      </w:r>
      <w:r w:rsidRPr="00237A6E">
        <w:rPr>
          <w:rFonts w:ascii="標楷體" w:hAnsi="標楷體" w:hint="eastAsia"/>
          <w:sz w:val="28"/>
          <w:szCs w:val="28"/>
        </w:rPr>
        <w:t>日（星期四）上午9時2分至12時45分</w:t>
      </w:r>
    </w:p>
    <w:p w14:paraId="3BD0C791" w14:textId="77777777" w:rsidR="00421BB5" w:rsidRPr="00237A6E" w:rsidRDefault="00421BB5" w:rsidP="00421BB5">
      <w:pPr>
        <w:pStyle w:val="-9"/>
        <w:spacing w:line="360" w:lineRule="exact"/>
        <w:ind w:left="1364" w:hanging="1364"/>
        <w:rPr>
          <w:rFonts w:ascii="標楷體" w:hAnsi="標楷體"/>
          <w:spacing w:val="-20"/>
          <w:sz w:val="28"/>
          <w:szCs w:val="28"/>
        </w:rPr>
      </w:pPr>
      <w:r w:rsidRPr="00237A6E">
        <w:rPr>
          <w:rFonts w:ascii="標楷體" w:hAnsi="標楷體"/>
          <w:sz w:val="28"/>
          <w:szCs w:val="28"/>
        </w:rPr>
        <w:t>地</w:t>
      </w:r>
      <w:r w:rsidRPr="00237A6E">
        <w:rPr>
          <w:rFonts w:ascii="標楷體" w:hAnsi="標楷體" w:hint="eastAsia"/>
          <w:sz w:val="28"/>
          <w:szCs w:val="28"/>
        </w:rPr>
        <w:t xml:space="preserve">　　</w:t>
      </w:r>
      <w:r w:rsidRPr="00237A6E">
        <w:rPr>
          <w:rFonts w:ascii="標楷體" w:hAnsi="標楷體"/>
          <w:sz w:val="28"/>
          <w:szCs w:val="28"/>
        </w:rPr>
        <w:t>點：</w:t>
      </w:r>
      <w:r w:rsidRPr="00237A6E">
        <w:rPr>
          <w:rFonts w:ascii="標楷體" w:hAnsi="標楷體" w:hint="eastAsia"/>
          <w:sz w:val="28"/>
          <w:szCs w:val="28"/>
        </w:rPr>
        <w:t>本院</w:t>
      </w:r>
      <w:r w:rsidRPr="00237A6E">
        <w:rPr>
          <w:rFonts w:ascii="標楷體" w:hAnsi="標楷體"/>
          <w:sz w:val="28"/>
          <w:szCs w:val="28"/>
        </w:rPr>
        <w:t>紅樓302會議室</w:t>
      </w:r>
    </w:p>
    <w:p w14:paraId="5384DBB1" w14:textId="77777777" w:rsidR="00421BB5" w:rsidRDefault="00421BB5" w:rsidP="00421BB5">
      <w:pPr>
        <w:snapToGrid w:val="0"/>
        <w:spacing w:line="360" w:lineRule="exact"/>
        <w:ind w:leftChars="-4" w:left="1401" w:hangingChars="504" w:hanging="1411"/>
        <w:rPr>
          <w:rFonts w:ascii="標楷體" w:eastAsia="標楷體" w:hAnsi="標楷體"/>
          <w:sz w:val="28"/>
          <w:szCs w:val="28"/>
        </w:rPr>
      </w:pPr>
      <w:r w:rsidRPr="00237A6E">
        <w:rPr>
          <w:rFonts w:ascii="標楷體" w:eastAsia="標楷體" w:hAnsi="標楷體"/>
          <w:sz w:val="28"/>
          <w:szCs w:val="28"/>
        </w:rPr>
        <w:t>出席委員</w:t>
      </w:r>
      <w:r w:rsidRPr="00237A6E">
        <w:rPr>
          <w:rFonts w:ascii="標楷體" w:eastAsia="標楷體" w:hAnsi="標楷體" w:hint="eastAsia"/>
          <w:sz w:val="28"/>
          <w:szCs w:val="28"/>
        </w:rPr>
        <w:t>：曾銘宗</w:t>
      </w:r>
      <w:r w:rsidRPr="00237A6E">
        <w:rPr>
          <w:rFonts w:ascii="標楷體" w:eastAsia="標楷體" w:hAnsi="標楷體"/>
          <w:sz w:val="28"/>
          <w:szCs w:val="28"/>
        </w:rPr>
        <w:tab/>
      </w:r>
      <w:r w:rsidRPr="00237A6E">
        <w:rPr>
          <w:rFonts w:ascii="標楷體" w:eastAsia="標楷體" w:hAnsi="標楷體" w:hint="eastAsia"/>
          <w:sz w:val="28"/>
          <w:szCs w:val="28"/>
        </w:rPr>
        <w:t>鄭運鵬</w:t>
      </w:r>
      <w:r w:rsidRPr="00237A6E">
        <w:rPr>
          <w:rFonts w:ascii="標楷體" w:eastAsia="標楷體" w:hAnsi="標楷體"/>
          <w:sz w:val="28"/>
          <w:szCs w:val="28"/>
        </w:rPr>
        <w:tab/>
      </w:r>
      <w:r w:rsidRPr="00237A6E">
        <w:rPr>
          <w:rFonts w:ascii="標楷體" w:eastAsia="標楷體" w:hAnsi="標楷體" w:hint="eastAsia"/>
          <w:sz w:val="28"/>
          <w:szCs w:val="28"/>
        </w:rPr>
        <w:t>游毓蘭</w:t>
      </w:r>
      <w:r w:rsidRPr="00237A6E">
        <w:rPr>
          <w:rFonts w:ascii="標楷體" w:eastAsia="標楷體" w:hAnsi="標楷體"/>
          <w:sz w:val="28"/>
          <w:szCs w:val="28"/>
        </w:rPr>
        <w:tab/>
      </w:r>
      <w:r w:rsidRPr="00237A6E">
        <w:rPr>
          <w:rFonts w:ascii="標楷體" w:eastAsia="標楷體" w:hAnsi="標楷體" w:hint="eastAsia"/>
          <w:sz w:val="28"/>
          <w:szCs w:val="28"/>
        </w:rPr>
        <w:t>林思銘</w:t>
      </w:r>
      <w:r w:rsidRPr="00237A6E">
        <w:rPr>
          <w:rFonts w:ascii="標楷體" w:eastAsia="標楷體" w:hAnsi="標楷體"/>
          <w:sz w:val="28"/>
          <w:szCs w:val="28"/>
        </w:rPr>
        <w:tab/>
      </w:r>
      <w:r w:rsidRPr="00237A6E">
        <w:rPr>
          <w:rFonts w:ascii="標楷體" w:eastAsia="標楷體" w:hAnsi="標楷體" w:hint="eastAsia"/>
          <w:sz w:val="28"/>
          <w:szCs w:val="28"/>
        </w:rPr>
        <w:t>陳以信</w:t>
      </w:r>
      <w:r w:rsidRPr="00237A6E">
        <w:rPr>
          <w:rFonts w:ascii="標楷體" w:eastAsia="標楷體" w:hAnsi="標楷體"/>
          <w:sz w:val="28"/>
          <w:szCs w:val="28"/>
        </w:rPr>
        <w:tab/>
      </w:r>
      <w:r w:rsidRPr="00237A6E">
        <w:rPr>
          <w:rFonts w:ascii="標楷體" w:eastAsia="標楷體" w:hAnsi="標楷體" w:hint="eastAsia"/>
          <w:sz w:val="28"/>
          <w:szCs w:val="28"/>
        </w:rPr>
        <w:t>陳歐珀</w:t>
      </w:r>
      <w:r w:rsidRPr="00237A6E">
        <w:rPr>
          <w:rFonts w:ascii="標楷體" w:eastAsia="標楷體" w:hAnsi="標楷體"/>
          <w:sz w:val="28"/>
          <w:szCs w:val="28"/>
        </w:rPr>
        <w:tab/>
      </w:r>
      <w:r w:rsidRPr="00237A6E">
        <w:rPr>
          <w:rFonts w:ascii="標楷體" w:eastAsia="標楷體" w:hAnsi="標楷體" w:hint="eastAsia"/>
          <w:sz w:val="28"/>
          <w:szCs w:val="28"/>
        </w:rPr>
        <w:t>黃世杰</w:t>
      </w:r>
      <w:r w:rsidRPr="00237A6E">
        <w:rPr>
          <w:rFonts w:ascii="標楷體" w:eastAsia="標楷體" w:hAnsi="標楷體"/>
          <w:sz w:val="28"/>
          <w:szCs w:val="28"/>
        </w:rPr>
        <w:tab/>
      </w:r>
    </w:p>
    <w:p w14:paraId="2AED0339" w14:textId="77777777" w:rsidR="00421BB5" w:rsidRPr="00237A6E" w:rsidRDefault="00421BB5" w:rsidP="00421BB5">
      <w:pPr>
        <w:adjustRightInd w:val="0"/>
        <w:snapToGrid w:val="0"/>
        <w:spacing w:line="360" w:lineRule="exact"/>
        <w:ind w:leftChars="568" w:left="1363" w:firstLineChars="12" w:firstLine="34"/>
        <w:jc w:val="both"/>
        <w:rPr>
          <w:rFonts w:ascii="標楷體" w:eastAsia="標楷體" w:hAnsi="標楷體"/>
          <w:sz w:val="28"/>
          <w:szCs w:val="28"/>
        </w:rPr>
      </w:pPr>
      <w:r w:rsidRPr="00237A6E">
        <w:rPr>
          <w:rFonts w:ascii="標楷體" w:eastAsia="標楷體" w:hAnsi="標楷體" w:hint="eastAsia"/>
          <w:sz w:val="28"/>
          <w:szCs w:val="28"/>
        </w:rPr>
        <w:t>江永昌</w:t>
      </w:r>
      <w:r w:rsidRPr="00237A6E">
        <w:rPr>
          <w:rFonts w:ascii="標楷體" w:eastAsia="標楷體" w:hAnsi="標楷體"/>
          <w:sz w:val="28"/>
          <w:szCs w:val="28"/>
        </w:rPr>
        <w:tab/>
      </w:r>
      <w:r w:rsidRPr="00237A6E">
        <w:rPr>
          <w:rFonts w:ascii="標楷體" w:eastAsia="標楷體" w:hAnsi="標楷體" w:hint="eastAsia"/>
          <w:sz w:val="28"/>
          <w:szCs w:val="28"/>
        </w:rPr>
        <w:t>劉建國 陳玉珍</w:t>
      </w:r>
      <w:r w:rsidRPr="00237A6E">
        <w:rPr>
          <w:rFonts w:ascii="標楷體" w:eastAsia="標楷體" w:hAnsi="標楷體"/>
          <w:sz w:val="28"/>
          <w:szCs w:val="28"/>
        </w:rPr>
        <w:tab/>
      </w:r>
      <w:r w:rsidRPr="00237A6E">
        <w:rPr>
          <w:rFonts w:ascii="標楷體" w:eastAsia="標楷體" w:hAnsi="標楷體" w:hint="eastAsia"/>
          <w:sz w:val="28"/>
          <w:szCs w:val="28"/>
        </w:rPr>
        <w:t>柯建銘</w:t>
      </w:r>
    </w:p>
    <w:p w14:paraId="61A16717" w14:textId="77777777" w:rsidR="00421BB5" w:rsidRPr="00237A6E" w:rsidRDefault="00421BB5" w:rsidP="00421BB5">
      <w:pPr>
        <w:adjustRightInd w:val="0"/>
        <w:snapToGrid w:val="0"/>
        <w:spacing w:line="360" w:lineRule="exact"/>
        <w:ind w:leftChars="568" w:left="1363" w:firstLineChars="12" w:firstLine="34"/>
        <w:jc w:val="both"/>
        <w:rPr>
          <w:rFonts w:ascii="標楷體" w:eastAsia="標楷體" w:hAnsi="標楷體"/>
          <w:sz w:val="28"/>
          <w:szCs w:val="28"/>
        </w:rPr>
      </w:pPr>
      <w:r w:rsidRPr="00237A6E">
        <w:rPr>
          <w:rFonts w:ascii="標楷體" w:eastAsia="標楷體" w:hAnsi="標楷體" w:hint="eastAsia"/>
          <w:sz w:val="28"/>
          <w:szCs w:val="28"/>
        </w:rPr>
        <w:t>委員出席11人</w:t>
      </w:r>
    </w:p>
    <w:p w14:paraId="07FCBED7" w14:textId="77777777" w:rsidR="00421BB5" w:rsidRPr="00237A6E" w:rsidRDefault="00421BB5" w:rsidP="00421BB5">
      <w:pPr>
        <w:adjustRightInd w:val="0"/>
        <w:snapToGrid w:val="0"/>
        <w:spacing w:line="360" w:lineRule="exact"/>
        <w:ind w:leftChars="-11" w:left="1402" w:hangingChars="510" w:hanging="1428"/>
        <w:jc w:val="both"/>
        <w:rPr>
          <w:rFonts w:ascii="標楷體" w:eastAsia="標楷體" w:hAnsi="標楷體"/>
          <w:spacing w:val="-20"/>
          <w:w w:val="95"/>
          <w:sz w:val="28"/>
          <w:szCs w:val="28"/>
        </w:rPr>
      </w:pPr>
      <w:r w:rsidRPr="00237A6E">
        <w:rPr>
          <w:rFonts w:ascii="標楷體" w:eastAsia="標楷體" w:hAnsi="標楷體"/>
          <w:kern w:val="0"/>
          <w:sz w:val="28"/>
          <w:szCs w:val="28"/>
        </w:rPr>
        <w:t>列席</w:t>
      </w:r>
      <w:r w:rsidRPr="00237A6E">
        <w:rPr>
          <w:rFonts w:ascii="標楷體" w:eastAsia="標楷體" w:hAnsi="標楷體"/>
          <w:sz w:val="28"/>
          <w:szCs w:val="28"/>
        </w:rPr>
        <w:t>委員：</w:t>
      </w:r>
      <w:r w:rsidRPr="00237A6E">
        <w:rPr>
          <w:rFonts w:ascii="標楷體" w:eastAsia="標楷體" w:hAnsi="標楷體" w:hint="eastAsia"/>
          <w:sz w:val="28"/>
          <w:szCs w:val="28"/>
        </w:rPr>
        <w:t>陳椒華</w:t>
      </w:r>
      <w:r w:rsidRPr="00237A6E">
        <w:rPr>
          <w:rFonts w:ascii="標楷體" w:eastAsia="標楷體" w:hAnsi="標楷體"/>
          <w:sz w:val="28"/>
          <w:szCs w:val="28"/>
        </w:rPr>
        <w:tab/>
      </w:r>
      <w:r w:rsidRPr="00237A6E">
        <w:rPr>
          <w:rFonts w:ascii="標楷體" w:eastAsia="標楷體" w:hAnsi="標楷體" w:hint="eastAsia"/>
          <w:sz w:val="28"/>
          <w:szCs w:val="28"/>
        </w:rPr>
        <w:t>李德維</w:t>
      </w:r>
      <w:r w:rsidRPr="00237A6E">
        <w:rPr>
          <w:rFonts w:ascii="標楷體" w:eastAsia="標楷體" w:hAnsi="標楷體"/>
          <w:sz w:val="28"/>
          <w:szCs w:val="28"/>
        </w:rPr>
        <w:tab/>
      </w:r>
      <w:r w:rsidRPr="00237A6E">
        <w:rPr>
          <w:rFonts w:ascii="標楷體" w:eastAsia="標楷體" w:hAnsi="標楷體" w:hint="eastAsia"/>
          <w:sz w:val="28"/>
          <w:szCs w:val="28"/>
        </w:rPr>
        <w:t>張其祿</w:t>
      </w:r>
      <w:r w:rsidRPr="00237A6E">
        <w:rPr>
          <w:rFonts w:ascii="標楷體" w:eastAsia="標楷體" w:hAnsi="標楷體"/>
          <w:sz w:val="28"/>
          <w:szCs w:val="28"/>
        </w:rPr>
        <w:tab/>
      </w:r>
      <w:r w:rsidRPr="00237A6E">
        <w:rPr>
          <w:rFonts w:ascii="標楷體" w:eastAsia="標楷體" w:hAnsi="標楷體" w:hint="eastAsia"/>
          <w:sz w:val="28"/>
          <w:szCs w:val="28"/>
        </w:rPr>
        <w:t>吳玉琴</w:t>
      </w:r>
      <w:r w:rsidRPr="00237A6E">
        <w:rPr>
          <w:rFonts w:ascii="標楷體" w:eastAsia="標楷體" w:hAnsi="標楷體"/>
          <w:sz w:val="28"/>
          <w:szCs w:val="28"/>
        </w:rPr>
        <w:tab/>
      </w:r>
      <w:r w:rsidRPr="00237A6E">
        <w:rPr>
          <w:rFonts w:ascii="標楷體" w:eastAsia="標楷體" w:hAnsi="標楷體" w:hint="eastAsia"/>
          <w:sz w:val="28"/>
          <w:szCs w:val="28"/>
        </w:rPr>
        <w:t>李貴敏</w:t>
      </w:r>
    </w:p>
    <w:p w14:paraId="0631FDA6" w14:textId="77777777" w:rsidR="00421BB5" w:rsidRPr="00237A6E" w:rsidRDefault="00421BB5" w:rsidP="00421BB5">
      <w:pPr>
        <w:adjustRightInd w:val="0"/>
        <w:snapToGrid w:val="0"/>
        <w:spacing w:line="360" w:lineRule="exact"/>
        <w:ind w:leftChars="571" w:left="1398" w:hangingChars="10" w:hanging="28"/>
        <w:jc w:val="both"/>
        <w:rPr>
          <w:rFonts w:ascii="標楷體" w:eastAsia="標楷體" w:hAnsi="標楷體"/>
          <w:sz w:val="28"/>
          <w:szCs w:val="28"/>
        </w:rPr>
      </w:pPr>
      <w:r w:rsidRPr="00237A6E">
        <w:rPr>
          <w:rFonts w:ascii="標楷體" w:eastAsia="標楷體" w:hAnsi="標楷體"/>
          <w:sz w:val="28"/>
          <w:szCs w:val="28"/>
        </w:rPr>
        <w:t>委員列席5人</w:t>
      </w:r>
    </w:p>
    <w:p w14:paraId="46DC7DFB" w14:textId="77777777" w:rsidR="00421BB5" w:rsidRPr="00237A6E" w:rsidRDefault="00421BB5" w:rsidP="00421BB5">
      <w:pPr>
        <w:adjustRightInd w:val="0"/>
        <w:snapToGrid w:val="0"/>
        <w:spacing w:line="360" w:lineRule="exact"/>
        <w:ind w:left="1361" w:hangingChars="486" w:hanging="1361"/>
        <w:jc w:val="both"/>
        <w:rPr>
          <w:rFonts w:ascii="標楷體" w:eastAsia="標楷體" w:hAnsi="標楷體"/>
          <w:kern w:val="0"/>
          <w:sz w:val="28"/>
          <w:szCs w:val="28"/>
        </w:rPr>
      </w:pPr>
      <w:r w:rsidRPr="00237A6E">
        <w:rPr>
          <w:rFonts w:ascii="標楷體" w:eastAsia="標楷體" w:hAnsi="標楷體"/>
          <w:sz w:val="28"/>
          <w:szCs w:val="28"/>
        </w:rPr>
        <w:t>列席官員：</w:t>
      </w:r>
      <w:r w:rsidRPr="00237A6E">
        <w:rPr>
          <w:rFonts w:ascii="標楷體" w:eastAsia="標楷體" w:hAnsi="標楷體"/>
          <w:kern w:val="0"/>
          <w:sz w:val="28"/>
          <w:szCs w:val="28"/>
        </w:rPr>
        <w:t>司法院秘書長</w:t>
      </w:r>
      <w:r w:rsidRPr="00237A6E">
        <w:rPr>
          <w:rFonts w:ascii="標楷體" w:eastAsia="標楷體" w:hAnsi="標楷體" w:hint="eastAsia"/>
          <w:kern w:val="0"/>
          <w:sz w:val="28"/>
          <w:szCs w:val="28"/>
        </w:rPr>
        <w:t xml:space="preserve">　林輝煌</w:t>
      </w:r>
    </w:p>
    <w:p w14:paraId="13D9D443"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法官學院院長　張升星</w:t>
      </w:r>
    </w:p>
    <w:p w14:paraId="26B0CC28"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臺灣臺北地方法院院長　黃國忠</w:t>
      </w:r>
    </w:p>
    <w:p w14:paraId="6794EEC0"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臺灣士林地方法院院長　彭幸鳴</w:t>
      </w:r>
    </w:p>
    <w:p w14:paraId="57981BE2"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臺灣新北地方法院院長　陳賢慧</w:t>
      </w:r>
    </w:p>
    <w:p w14:paraId="017288AB"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臺灣桃園地方法院院長　李國增</w:t>
      </w:r>
    </w:p>
    <w:p w14:paraId="21F1BA40"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臺灣新竹地方法院院長　梁玉芬</w:t>
      </w:r>
    </w:p>
    <w:p w14:paraId="5182F095"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臺灣苗栗地方法院院長　陳雅玲</w:t>
      </w:r>
    </w:p>
    <w:p w14:paraId="27546679"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臺灣臺中地方法院院長　邱志平</w:t>
      </w:r>
    </w:p>
    <w:p w14:paraId="6BEC061F"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臺灣南投地方法院院長　王邁揚</w:t>
      </w:r>
    </w:p>
    <w:p w14:paraId="58B3CF1E"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臺灣彰化地方法院院長　陳毓秀</w:t>
      </w:r>
    </w:p>
    <w:p w14:paraId="051D957B"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臺灣雲林地方法院院長　劉長宜</w:t>
      </w:r>
    </w:p>
    <w:p w14:paraId="5AFC5285"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臺灣嘉義地方法院院長　胡文傑</w:t>
      </w:r>
    </w:p>
    <w:p w14:paraId="1CF6930F"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臺灣臺南地方法院院長　董武全</w:t>
      </w:r>
    </w:p>
    <w:p w14:paraId="3A7458A7"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臺灣橋頭地方法院院長　黃莉雲</w:t>
      </w:r>
    </w:p>
    <w:p w14:paraId="1C79CCF8"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臺灣高雄地方法院院長　蔡國卿</w:t>
      </w:r>
    </w:p>
    <w:p w14:paraId="07B918D1"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臺灣屏東地方法院院長　李淑惠</w:t>
      </w:r>
    </w:p>
    <w:p w14:paraId="62F9D1C8"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臺灣臺東地方法院院長　王漢章</w:t>
      </w:r>
    </w:p>
    <w:p w14:paraId="24F1C6EA"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臺灣花蓮地方法院院長　許仕楓</w:t>
      </w:r>
    </w:p>
    <w:p w14:paraId="6A68D001"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臺灣宜蘭地方法院院長　莊深淵</w:t>
      </w:r>
    </w:p>
    <w:p w14:paraId="52009DC3"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臺灣基隆地方法院院長　李麗玲</w:t>
      </w:r>
    </w:p>
    <w:p w14:paraId="7CB13527"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財團法人法律扶助基金會董事長　陳碧玉</w:t>
      </w:r>
    </w:p>
    <w:p w14:paraId="355107EA" w14:textId="77777777" w:rsidR="00421BB5" w:rsidRPr="00237A6E" w:rsidRDefault="00421BB5" w:rsidP="00421BB5">
      <w:pPr>
        <w:adjustRightInd w:val="0"/>
        <w:snapToGrid w:val="0"/>
        <w:spacing w:line="360" w:lineRule="exact"/>
        <w:ind w:leftChars="567" w:left="1361" w:firstLineChars="28" w:firstLine="78"/>
        <w:jc w:val="both"/>
        <w:rPr>
          <w:rFonts w:ascii="標楷體" w:eastAsia="標楷體" w:hAnsi="標楷體"/>
          <w:color w:val="000000"/>
          <w:kern w:val="0"/>
          <w:sz w:val="28"/>
          <w:szCs w:val="28"/>
        </w:rPr>
      </w:pPr>
      <w:r w:rsidRPr="00237A6E">
        <w:rPr>
          <w:rFonts w:ascii="標楷體" w:eastAsia="標楷體" w:hAnsi="標楷體" w:hint="eastAsia"/>
          <w:kern w:val="0"/>
          <w:sz w:val="28"/>
          <w:szCs w:val="28"/>
        </w:rPr>
        <w:t>行政院主計總處公務預算處專門委員　廖玉琳</w:t>
      </w:r>
    </w:p>
    <w:p w14:paraId="00A96178" w14:textId="77777777" w:rsidR="00421BB5" w:rsidRPr="00237A6E" w:rsidRDefault="00421BB5" w:rsidP="00421BB5">
      <w:pPr>
        <w:pStyle w:val="-9"/>
        <w:spacing w:line="360" w:lineRule="exact"/>
        <w:ind w:left="1361" w:hangingChars="486" w:hanging="1361"/>
        <w:rPr>
          <w:rFonts w:ascii="標楷體" w:hAnsi="標楷體"/>
          <w:sz w:val="28"/>
          <w:szCs w:val="28"/>
        </w:rPr>
      </w:pPr>
      <w:r w:rsidRPr="00237A6E">
        <w:rPr>
          <w:rFonts w:ascii="標楷體" w:hAnsi="標楷體"/>
          <w:sz w:val="28"/>
          <w:szCs w:val="28"/>
        </w:rPr>
        <w:t>主    席：</w:t>
      </w:r>
      <w:r w:rsidRPr="00237A6E">
        <w:rPr>
          <w:rFonts w:ascii="標楷體" w:hAnsi="標楷體" w:hint="eastAsia"/>
          <w:sz w:val="28"/>
          <w:szCs w:val="28"/>
        </w:rPr>
        <w:t>陳召集委員歐珀</w:t>
      </w:r>
    </w:p>
    <w:p w14:paraId="7D0CFAAD" w14:textId="77777777" w:rsidR="00421BB5" w:rsidRPr="00237A6E" w:rsidRDefault="00421BB5" w:rsidP="00421BB5">
      <w:pPr>
        <w:snapToGrid w:val="0"/>
        <w:spacing w:line="360" w:lineRule="exact"/>
        <w:jc w:val="both"/>
        <w:rPr>
          <w:rFonts w:ascii="標楷體" w:eastAsia="標楷體" w:hAnsi="標楷體"/>
          <w:sz w:val="28"/>
          <w:szCs w:val="28"/>
        </w:rPr>
      </w:pPr>
      <w:r w:rsidRPr="00237A6E">
        <w:rPr>
          <w:rFonts w:ascii="標楷體" w:eastAsia="標楷體" w:hAnsi="標楷體" w:hint="eastAsia"/>
          <w:sz w:val="28"/>
          <w:szCs w:val="28"/>
        </w:rPr>
        <w:t>專門委員：梁雯璍</w:t>
      </w:r>
    </w:p>
    <w:p w14:paraId="75F9C6FE" w14:textId="77777777" w:rsidR="00421BB5" w:rsidRPr="00237A6E" w:rsidRDefault="00421BB5" w:rsidP="00421BB5">
      <w:pPr>
        <w:snapToGrid w:val="0"/>
        <w:spacing w:line="360" w:lineRule="exact"/>
        <w:jc w:val="both"/>
        <w:rPr>
          <w:rFonts w:ascii="標楷體" w:eastAsia="標楷體" w:hAnsi="標楷體"/>
          <w:sz w:val="28"/>
          <w:szCs w:val="28"/>
        </w:rPr>
      </w:pPr>
      <w:r w:rsidRPr="00237A6E">
        <w:rPr>
          <w:rFonts w:ascii="標楷體" w:eastAsia="標楷體" w:hAnsi="標楷體" w:hint="eastAsia"/>
          <w:sz w:val="28"/>
          <w:szCs w:val="28"/>
        </w:rPr>
        <w:t>主任秘書：張智為</w:t>
      </w:r>
    </w:p>
    <w:p w14:paraId="0A53E54E" w14:textId="77777777" w:rsidR="00421BB5" w:rsidRPr="00237A6E" w:rsidRDefault="00421BB5" w:rsidP="00421BB5">
      <w:pPr>
        <w:adjustRightInd w:val="0"/>
        <w:snapToGrid w:val="0"/>
        <w:spacing w:line="360" w:lineRule="exact"/>
        <w:rPr>
          <w:rFonts w:ascii="標楷體" w:eastAsia="標楷體" w:hAnsi="標楷體"/>
          <w:sz w:val="28"/>
          <w:szCs w:val="28"/>
        </w:rPr>
      </w:pPr>
      <w:r w:rsidRPr="00237A6E">
        <w:rPr>
          <w:rFonts w:ascii="標楷體" w:eastAsia="標楷體" w:hAnsi="標楷體" w:hint="eastAsia"/>
          <w:sz w:val="28"/>
          <w:szCs w:val="28"/>
        </w:rPr>
        <w:t>紀    錄：簡任秘書　陳杏枝</w:t>
      </w:r>
    </w:p>
    <w:p w14:paraId="4F908B85" w14:textId="77777777" w:rsidR="00421BB5" w:rsidRPr="00237A6E" w:rsidRDefault="00421BB5" w:rsidP="00421BB5">
      <w:pPr>
        <w:adjustRightInd w:val="0"/>
        <w:snapToGrid w:val="0"/>
        <w:spacing w:line="360" w:lineRule="exact"/>
        <w:ind w:firstLineChars="500" w:firstLine="1400"/>
        <w:jc w:val="both"/>
        <w:rPr>
          <w:rFonts w:ascii="標楷體" w:eastAsia="標楷體" w:hAnsi="標楷體"/>
          <w:sz w:val="28"/>
          <w:szCs w:val="28"/>
        </w:rPr>
      </w:pPr>
      <w:r w:rsidRPr="00237A6E">
        <w:rPr>
          <w:rFonts w:ascii="標楷體" w:eastAsia="標楷體" w:hAnsi="標楷體" w:hint="eastAsia"/>
          <w:sz w:val="28"/>
          <w:szCs w:val="28"/>
        </w:rPr>
        <w:t>簡任編審　薛復寧</w:t>
      </w:r>
    </w:p>
    <w:p w14:paraId="77455145" w14:textId="77777777" w:rsidR="00421BB5" w:rsidRPr="00237A6E" w:rsidRDefault="00421BB5" w:rsidP="00421BB5">
      <w:pPr>
        <w:adjustRightInd w:val="0"/>
        <w:snapToGrid w:val="0"/>
        <w:spacing w:line="360" w:lineRule="exact"/>
        <w:ind w:firstLineChars="500" w:firstLine="1400"/>
        <w:jc w:val="both"/>
        <w:rPr>
          <w:rFonts w:ascii="標楷體" w:eastAsia="標楷體" w:hAnsi="標楷體"/>
          <w:sz w:val="28"/>
          <w:szCs w:val="28"/>
        </w:rPr>
      </w:pPr>
      <w:r w:rsidRPr="00237A6E">
        <w:rPr>
          <w:rFonts w:ascii="標楷體" w:eastAsia="標楷體" w:hAnsi="標楷體" w:hint="eastAsia"/>
          <w:sz w:val="28"/>
          <w:szCs w:val="28"/>
        </w:rPr>
        <w:t>科　　長　鮑夏明</w:t>
      </w:r>
    </w:p>
    <w:p w14:paraId="394BA9BF" w14:textId="77777777" w:rsidR="00421BB5" w:rsidRPr="00237A6E" w:rsidRDefault="00421BB5" w:rsidP="00421BB5">
      <w:pPr>
        <w:spacing w:line="360" w:lineRule="exact"/>
        <w:ind w:firstLineChars="506" w:firstLine="1417"/>
        <w:jc w:val="both"/>
        <w:rPr>
          <w:rFonts w:ascii="標楷體" w:eastAsia="標楷體" w:hAnsi="標楷體"/>
          <w:sz w:val="28"/>
          <w:szCs w:val="28"/>
        </w:rPr>
      </w:pPr>
      <w:r w:rsidRPr="00237A6E">
        <w:rPr>
          <w:rFonts w:ascii="標楷體" w:eastAsia="標楷體" w:hAnsi="標楷體" w:hint="eastAsia"/>
          <w:sz w:val="28"/>
          <w:szCs w:val="28"/>
        </w:rPr>
        <w:t>專　　員　林宗賢</w:t>
      </w:r>
    </w:p>
    <w:p w14:paraId="26BBCA99" w14:textId="77777777" w:rsidR="00421BB5" w:rsidRPr="00237A6E" w:rsidRDefault="00421BB5" w:rsidP="00421BB5">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237A6E">
        <w:rPr>
          <w:rFonts w:ascii="標楷體" w:eastAsia="標楷體" w:hAnsi="標楷體"/>
          <w:b/>
          <w:kern w:val="0"/>
          <w:sz w:val="28"/>
          <w:szCs w:val="28"/>
        </w:rPr>
        <w:lastRenderedPageBreak/>
        <w:t>報告事項</w:t>
      </w:r>
    </w:p>
    <w:p w14:paraId="0D580AA1" w14:textId="77777777" w:rsidR="00421BB5" w:rsidRPr="00237A6E" w:rsidRDefault="00421BB5" w:rsidP="00421BB5">
      <w:pPr>
        <w:tabs>
          <w:tab w:val="left" w:pos="574"/>
          <w:tab w:val="left" w:pos="602"/>
          <w:tab w:val="left" w:pos="709"/>
        </w:tabs>
        <w:autoSpaceDE w:val="0"/>
        <w:autoSpaceDN w:val="0"/>
        <w:spacing w:line="360" w:lineRule="exact"/>
        <w:jc w:val="both"/>
        <w:rPr>
          <w:rFonts w:ascii="標楷體" w:eastAsia="標楷體" w:hAnsi="標楷體"/>
          <w:sz w:val="28"/>
          <w:szCs w:val="28"/>
        </w:rPr>
      </w:pPr>
      <w:r w:rsidRPr="00237A6E">
        <w:rPr>
          <w:rFonts w:ascii="標楷體" w:eastAsia="標楷體" w:hAnsi="標楷體" w:hint="eastAsia"/>
          <w:sz w:val="28"/>
          <w:szCs w:val="28"/>
        </w:rPr>
        <w:t>宣讀上次會議議事錄。</w:t>
      </w:r>
    </w:p>
    <w:p w14:paraId="059C7B10" w14:textId="77777777" w:rsidR="00421BB5" w:rsidRPr="00237A6E" w:rsidRDefault="00421BB5" w:rsidP="00421BB5">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237A6E">
        <w:rPr>
          <w:rFonts w:ascii="標楷體" w:eastAsia="標楷體" w:hAnsi="標楷體" w:hint="eastAsia"/>
          <w:color w:val="000000"/>
          <w:sz w:val="28"/>
          <w:szCs w:val="28"/>
        </w:rPr>
        <w:t>決定：確定。</w:t>
      </w:r>
    </w:p>
    <w:p w14:paraId="5F29CD9B" w14:textId="77777777" w:rsidR="00421BB5" w:rsidRPr="00237A6E" w:rsidRDefault="00421BB5" w:rsidP="00421BB5">
      <w:pPr>
        <w:pStyle w:val="afffff2"/>
        <w:spacing w:beforeLines="30" w:before="108" w:line="360" w:lineRule="exact"/>
        <w:ind w:leftChars="0" w:left="0" w:rightChars="0" w:right="0" w:firstLineChars="398" w:firstLine="1115"/>
        <w:jc w:val="both"/>
        <w:rPr>
          <w:rFonts w:ascii="標楷體" w:hAnsi="標楷體"/>
          <w:b/>
          <w:sz w:val="28"/>
          <w:szCs w:val="28"/>
        </w:rPr>
      </w:pPr>
      <w:r w:rsidRPr="00237A6E">
        <w:rPr>
          <w:rFonts w:ascii="標楷體" w:hAnsi="標楷體"/>
          <w:b/>
          <w:sz w:val="28"/>
          <w:szCs w:val="28"/>
        </w:rPr>
        <w:t>討論事項</w:t>
      </w:r>
    </w:p>
    <w:p w14:paraId="61C1A75F" w14:textId="4A36DAC7" w:rsidR="00421BB5" w:rsidRPr="00237A6E" w:rsidRDefault="004B49C3" w:rsidP="00A566DF">
      <w:pPr>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一、</w:t>
      </w:r>
      <w:r w:rsidR="00421BB5" w:rsidRPr="00237A6E">
        <w:rPr>
          <w:rFonts w:ascii="標楷體" w:eastAsia="標楷體" w:hAnsi="標楷體" w:hint="eastAsia"/>
          <w:sz w:val="28"/>
          <w:szCs w:val="28"/>
        </w:rPr>
        <w:t>繼續審查112年度中央政府總預算案關於司法院及所屬主管收支部分。</w:t>
      </w:r>
    </w:p>
    <w:p w14:paraId="5D3ECF36" w14:textId="6E8D5F41" w:rsidR="00421BB5" w:rsidRPr="00237A6E" w:rsidRDefault="004B49C3" w:rsidP="004B49C3">
      <w:pPr>
        <w:adjustRightInd w:val="0"/>
        <w:snapToGrid w:val="0"/>
        <w:spacing w:line="360" w:lineRule="exact"/>
        <w:jc w:val="distribute"/>
        <w:rPr>
          <w:rFonts w:ascii="標楷體" w:eastAsia="標楷體" w:hAnsi="標楷體"/>
          <w:sz w:val="28"/>
          <w:szCs w:val="28"/>
        </w:rPr>
      </w:pPr>
      <w:r>
        <w:rPr>
          <w:rFonts w:ascii="標楷體" w:eastAsia="標楷體" w:hAnsi="標楷體" w:hint="eastAsia"/>
          <w:sz w:val="28"/>
          <w:szCs w:val="28"/>
        </w:rPr>
        <w:t>二、</w:t>
      </w:r>
      <w:r w:rsidR="00421BB5" w:rsidRPr="00237A6E">
        <w:rPr>
          <w:rFonts w:ascii="標楷體" w:eastAsia="標楷體" w:hAnsi="標楷體" w:hint="eastAsia"/>
          <w:sz w:val="28"/>
          <w:szCs w:val="28"/>
        </w:rPr>
        <w:t>繼續</w:t>
      </w:r>
      <w:r w:rsidR="00421BB5" w:rsidRPr="00237A6E">
        <w:rPr>
          <w:rFonts w:ascii="標楷體" w:eastAsia="標楷體" w:hAnsi="標楷體" w:hint="eastAsia"/>
          <w:spacing w:val="-20"/>
          <w:sz w:val="28"/>
          <w:szCs w:val="28"/>
        </w:rPr>
        <w:t>審查司法院函送財團法人法律扶助基金會112年度預算書案。</w:t>
      </w:r>
    </w:p>
    <w:p w14:paraId="4DA03371" w14:textId="77777777" w:rsidR="00421BB5" w:rsidRPr="00237A6E" w:rsidRDefault="00421BB5" w:rsidP="00421BB5">
      <w:pPr>
        <w:spacing w:line="360" w:lineRule="exact"/>
        <w:contextualSpacing/>
        <w:jc w:val="both"/>
        <w:rPr>
          <w:rFonts w:ascii="標楷體" w:eastAsia="標楷體" w:hAnsi="標楷體"/>
          <w:sz w:val="28"/>
          <w:szCs w:val="28"/>
        </w:rPr>
      </w:pPr>
      <w:r w:rsidRPr="00237A6E">
        <w:rPr>
          <w:rFonts w:ascii="標楷體" w:eastAsia="標楷體" w:hAnsi="標楷體" w:hint="eastAsia"/>
          <w:sz w:val="28"/>
          <w:szCs w:val="28"/>
        </w:rPr>
        <w:t>決議：</w:t>
      </w:r>
    </w:p>
    <w:p w14:paraId="15E25450" w14:textId="77777777" w:rsidR="00421BB5" w:rsidRPr="00237A6E"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237A6E">
        <w:rPr>
          <w:rFonts w:ascii="標楷體" w:eastAsia="標楷體" w:hAnsi="標楷體" w:hint="eastAsia"/>
          <w:kern w:val="0"/>
          <w:sz w:val="28"/>
          <w:szCs w:val="28"/>
        </w:rPr>
        <w:t>一、11</w:t>
      </w:r>
      <w:r w:rsidRPr="00237A6E">
        <w:rPr>
          <w:rFonts w:ascii="標楷體" w:eastAsia="標楷體" w:hAnsi="標楷體"/>
          <w:kern w:val="0"/>
          <w:sz w:val="28"/>
          <w:szCs w:val="28"/>
        </w:rPr>
        <w:t>2</w:t>
      </w:r>
      <w:r w:rsidRPr="00237A6E">
        <w:rPr>
          <w:rFonts w:ascii="標楷體" w:eastAsia="標楷體" w:hAnsi="標楷體" w:hint="eastAsia"/>
          <w:kern w:val="0"/>
          <w:sz w:val="28"/>
          <w:szCs w:val="28"/>
        </w:rPr>
        <w:t>年度中央政府總預算案關於</w:t>
      </w:r>
      <w:r w:rsidRPr="00237A6E">
        <w:rPr>
          <w:rFonts w:ascii="標楷體" w:eastAsia="標楷體" w:hAnsi="標楷體" w:hint="eastAsia"/>
          <w:sz w:val="28"/>
          <w:szCs w:val="28"/>
        </w:rPr>
        <w:t>司法院及所屬</w:t>
      </w:r>
      <w:r w:rsidRPr="00237A6E">
        <w:rPr>
          <w:rFonts w:ascii="標楷體" w:eastAsia="標楷體" w:hAnsi="標楷體" w:hint="eastAsia"/>
          <w:kern w:val="0"/>
          <w:sz w:val="28"/>
          <w:szCs w:val="28"/>
        </w:rPr>
        <w:t>主管收支部分：</w:t>
      </w:r>
    </w:p>
    <w:p w14:paraId="26C947DF" w14:textId="77777777" w:rsidR="00421BB5" w:rsidRPr="00237A6E" w:rsidRDefault="00421BB5" w:rsidP="00421BB5">
      <w:pPr>
        <w:adjustRightInd w:val="0"/>
        <w:snapToGrid w:val="0"/>
        <w:spacing w:line="360" w:lineRule="exact"/>
        <w:ind w:leftChars="50" w:left="120"/>
        <w:rPr>
          <w:rFonts w:ascii="標楷體" w:eastAsia="標楷體" w:hAnsi="標楷體"/>
          <w:b/>
          <w:kern w:val="0"/>
          <w:sz w:val="28"/>
          <w:szCs w:val="28"/>
        </w:rPr>
      </w:pPr>
      <w:r w:rsidRPr="00237A6E">
        <w:rPr>
          <w:rFonts w:ascii="標楷體" w:eastAsia="標楷體" w:hAnsi="標楷體" w:hint="eastAsia"/>
          <w:b/>
          <w:kern w:val="0"/>
          <w:sz w:val="28"/>
          <w:szCs w:val="28"/>
        </w:rPr>
        <w:t>(一)</w:t>
      </w:r>
      <w:r w:rsidRPr="00237A6E">
        <w:rPr>
          <w:rFonts w:ascii="標楷體" w:eastAsia="標楷體" w:hAnsi="標楷體"/>
          <w:b/>
          <w:kern w:val="0"/>
          <w:sz w:val="28"/>
          <w:szCs w:val="28"/>
        </w:rPr>
        <w:t>歲入部分</w:t>
      </w:r>
    </w:p>
    <w:p w14:paraId="12D70271" w14:textId="77777777" w:rsidR="00421BB5" w:rsidRPr="00237A6E" w:rsidRDefault="00421BB5" w:rsidP="00421BB5">
      <w:pPr>
        <w:pStyle w:val="3-"/>
        <w:adjustRightInd w:val="0"/>
        <w:snapToGrid w:val="0"/>
        <w:ind w:left="800" w:hanging="560"/>
        <w:rPr>
          <w:shd w:val="clear" w:color="auto" w:fill="FFFFFF"/>
        </w:rPr>
      </w:pPr>
      <w:r w:rsidRPr="00237A6E">
        <w:rPr>
          <w:shd w:val="clear" w:color="auto" w:fill="FFFFFF"/>
        </w:rPr>
        <w:t>第</w:t>
      </w:r>
      <w:r w:rsidRPr="00237A6E">
        <w:rPr>
          <w:shd w:val="clear" w:color="auto" w:fill="FFFFFF"/>
          <w:lang w:val="x-none"/>
        </w:rPr>
        <w:t>2</w:t>
      </w:r>
      <w:r w:rsidRPr="00237A6E">
        <w:rPr>
          <w:shd w:val="clear" w:color="auto" w:fill="FFFFFF"/>
        </w:rPr>
        <w:t>款　罰款及賠償收入</w:t>
      </w:r>
    </w:p>
    <w:p w14:paraId="5D85670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司法院，無列數。</w:t>
      </w:r>
    </w:p>
    <w:p w14:paraId="61CDE69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最高法</w:t>
      </w:r>
      <w:r w:rsidRPr="00237A6E">
        <w:rPr>
          <w:shd w:val="clear" w:color="auto" w:fill="FFFFFF"/>
        </w:rPr>
        <w:t>院，無列數。</w:t>
      </w:r>
    </w:p>
    <w:p w14:paraId="3314C69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最高行政法</w:t>
      </w:r>
      <w:r w:rsidRPr="00237A6E">
        <w:rPr>
          <w:shd w:val="clear" w:color="auto" w:fill="FFFFFF"/>
        </w:rPr>
        <w:t>院，無列數。</w:t>
      </w:r>
    </w:p>
    <w:p w14:paraId="3F125EA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4項　臺北高等行政</w:t>
      </w:r>
      <w:r w:rsidRPr="00237A6E">
        <w:rPr>
          <w:shd w:val="clear" w:color="auto" w:fill="FFFFFF"/>
        </w:rPr>
        <w:t>法院，無列數。</w:t>
      </w:r>
    </w:p>
    <w:p w14:paraId="3EC4F19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5項　臺中高等行政</w:t>
      </w:r>
      <w:r w:rsidRPr="00237A6E">
        <w:rPr>
          <w:shd w:val="clear" w:color="auto" w:fill="FFFFFF"/>
        </w:rPr>
        <w:t>法院，無列數。</w:t>
      </w:r>
    </w:p>
    <w:p w14:paraId="247458E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6項　高雄高等行政</w:t>
      </w:r>
      <w:r w:rsidRPr="00237A6E">
        <w:rPr>
          <w:shd w:val="clear" w:color="auto" w:fill="FFFFFF"/>
        </w:rPr>
        <w:t>法院，無列數。</w:t>
      </w:r>
    </w:p>
    <w:p w14:paraId="1E82D70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7項　懲戒</w:t>
      </w:r>
      <w:r w:rsidRPr="00237A6E">
        <w:rPr>
          <w:shd w:val="clear" w:color="auto" w:fill="FFFFFF"/>
        </w:rPr>
        <w:t>法院，無列數。</w:t>
      </w:r>
    </w:p>
    <w:p w14:paraId="1C80FEB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法官學院</w:t>
      </w:r>
      <w:r w:rsidRPr="00237A6E">
        <w:rPr>
          <w:shd w:val="clear" w:color="auto" w:fill="FFFFFF"/>
        </w:rPr>
        <w:t>，無列數。</w:t>
      </w:r>
    </w:p>
    <w:p w14:paraId="1BB88906"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智慧財產及商業法院</w:t>
      </w:r>
      <w:r w:rsidRPr="00237A6E">
        <w:rPr>
          <w:shd w:val="clear" w:color="auto" w:fill="FFFFFF"/>
        </w:rPr>
        <w:t>，無列數。</w:t>
      </w:r>
    </w:p>
    <w:p w14:paraId="116D7D2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第30項</w:t>
      </w:r>
      <w:r w:rsidRPr="00237A6E">
        <w:rPr>
          <w:rFonts w:hint="eastAsia"/>
          <w:shd w:val="clear" w:color="auto" w:fill="FFFFFF"/>
        </w:rPr>
        <w:t xml:space="preserve">　</w:t>
      </w:r>
      <w:r w:rsidRPr="00237A6E">
        <w:rPr>
          <w:shd w:val="clear" w:color="auto" w:fill="FFFFFF"/>
        </w:rPr>
        <w:t>臺灣高等法院</w:t>
      </w:r>
      <w:r w:rsidRPr="00237A6E">
        <w:rPr>
          <w:rFonts w:hint="eastAsia"/>
          <w:shd w:val="clear" w:color="auto" w:fill="FFFFFF"/>
        </w:rPr>
        <w:t>151</w:t>
      </w:r>
      <w:r w:rsidRPr="00237A6E">
        <w:rPr>
          <w:shd w:val="clear" w:color="auto" w:fill="FFFFFF"/>
        </w:rPr>
        <w:t>萬</w:t>
      </w:r>
      <w:r w:rsidRPr="00237A6E">
        <w:rPr>
          <w:rFonts w:hint="eastAsia"/>
          <w:shd w:val="clear" w:color="auto" w:fill="FFFFFF"/>
        </w:rPr>
        <w:t>1</w:t>
      </w:r>
      <w:r w:rsidRPr="00237A6E">
        <w:rPr>
          <w:shd w:val="clear" w:color="auto" w:fill="FFFFFF"/>
        </w:rPr>
        <w:t>千元，照列。</w:t>
      </w:r>
    </w:p>
    <w:p w14:paraId="3067101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第31項</w:t>
      </w:r>
      <w:r w:rsidRPr="00237A6E">
        <w:rPr>
          <w:rFonts w:hint="eastAsia"/>
          <w:shd w:val="clear" w:color="auto" w:fill="FFFFFF"/>
        </w:rPr>
        <w:t xml:space="preserve">　</w:t>
      </w:r>
      <w:r w:rsidRPr="00237A6E">
        <w:rPr>
          <w:shd w:val="clear" w:color="auto" w:fill="FFFFFF"/>
        </w:rPr>
        <w:t>臺灣高等法院臺中分院</w:t>
      </w:r>
      <w:r w:rsidRPr="00237A6E">
        <w:rPr>
          <w:rFonts w:hint="eastAsia"/>
          <w:shd w:val="clear" w:color="auto" w:fill="FFFFFF"/>
        </w:rPr>
        <w:t>56</w:t>
      </w:r>
      <w:r w:rsidRPr="00237A6E">
        <w:rPr>
          <w:shd w:val="clear" w:color="auto" w:fill="FFFFFF"/>
        </w:rPr>
        <w:t>萬元，照列。</w:t>
      </w:r>
    </w:p>
    <w:p w14:paraId="7CE04047"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32</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Pr="00237A6E">
        <w:rPr>
          <w:rFonts w:hint="eastAsia"/>
          <w:shd w:val="clear" w:color="auto" w:fill="FFFFFF"/>
        </w:rPr>
        <w:t>10</w:t>
      </w:r>
      <w:r w:rsidRPr="00237A6E">
        <w:rPr>
          <w:shd w:val="clear" w:color="auto" w:fill="FFFFFF"/>
        </w:rPr>
        <w:t>萬元，照列。</w:t>
      </w:r>
    </w:p>
    <w:p w14:paraId="420ED76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33</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臺灣高等法院高雄分院</w:t>
      </w:r>
      <w:r w:rsidRPr="00237A6E">
        <w:rPr>
          <w:rFonts w:hint="eastAsia"/>
          <w:shd w:val="clear" w:color="auto" w:fill="FFFFFF"/>
        </w:rPr>
        <w:t>49</w:t>
      </w:r>
      <w:r w:rsidRPr="00237A6E">
        <w:rPr>
          <w:shd w:val="clear" w:color="auto" w:fill="FFFFFF"/>
        </w:rPr>
        <w:t>萬元，照列。</w:t>
      </w:r>
    </w:p>
    <w:p w14:paraId="4E6A951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臺灣高等法院花蓮分院11萬元，照列。</w:t>
      </w:r>
    </w:p>
    <w:p w14:paraId="69E7355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臺灣臺北地方法院</w:t>
      </w:r>
      <w:r w:rsidRPr="00237A6E">
        <w:rPr>
          <w:rFonts w:cs="細明體" w:hint="eastAsia"/>
          <w:color w:val="000000"/>
          <w:kern w:val="0"/>
          <w:shd w:val="clear" w:color="auto" w:fill="FFFFFF"/>
        </w:rPr>
        <w:t>1</w:t>
      </w:r>
      <w:r w:rsidRPr="00237A6E">
        <w:rPr>
          <w:rFonts w:cs="細明體"/>
          <w:color w:val="000000"/>
          <w:kern w:val="0"/>
          <w:shd w:val="clear" w:color="auto" w:fill="FFFFFF"/>
        </w:rPr>
        <w:t>,</w:t>
      </w:r>
      <w:r w:rsidRPr="00237A6E">
        <w:rPr>
          <w:rFonts w:cs="細明體" w:hint="eastAsia"/>
          <w:color w:val="000000"/>
          <w:kern w:val="0"/>
          <w:shd w:val="clear" w:color="auto" w:fill="FFFFFF"/>
        </w:rPr>
        <w:t>155萬6千元</w:t>
      </w:r>
      <w:r w:rsidRPr="00237A6E">
        <w:rPr>
          <w:shd w:val="clear" w:color="auto" w:fill="FFFFFF"/>
        </w:rPr>
        <w:t>，照列。</w:t>
      </w:r>
    </w:p>
    <w:p w14:paraId="65F5AF6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臺灣士林地方法院</w:t>
      </w:r>
      <w:r w:rsidRPr="00237A6E">
        <w:rPr>
          <w:rFonts w:hint="eastAsia"/>
          <w:shd w:val="clear" w:color="auto" w:fill="FFFFFF"/>
        </w:rPr>
        <w:t>271</w:t>
      </w:r>
      <w:r w:rsidRPr="00237A6E">
        <w:rPr>
          <w:shd w:val="clear" w:color="auto" w:fill="FFFFFF"/>
        </w:rPr>
        <w:t>萬</w:t>
      </w:r>
      <w:r w:rsidRPr="00237A6E">
        <w:rPr>
          <w:rFonts w:hint="eastAsia"/>
          <w:shd w:val="clear" w:color="auto" w:fill="FFFFFF"/>
        </w:rPr>
        <w:t>8</w:t>
      </w:r>
      <w:r w:rsidRPr="00237A6E">
        <w:rPr>
          <w:shd w:val="clear" w:color="auto" w:fill="FFFFFF"/>
        </w:rPr>
        <w:t>千元，照列。</w:t>
      </w:r>
    </w:p>
    <w:p w14:paraId="1D57051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臺灣新北地方法院</w:t>
      </w:r>
      <w:r w:rsidRPr="00237A6E">
        <w:rPr>
          <w:rFonts w:cs="細明體"/>
          <w:color w:val="000000"/>
          <w:kern w:val="0"/>
          <w:shd w:val="clear" w:color="auto" w:fill="FFFFFF"/>
        </w:rPr>
        <w:t>7</w:t>
      </w:r>
      <w:r w:rsidRPr="00237A6E">
        <w:rPr>
          <w:rFonts w:cs="細明體" w:hint="eastAsia"/>
          <w:color w:val="000000"/>
          <w:kern w:val="0"/>
          <w:shd w:val="clear" w:color="auto" w:fill="FFFFFF"/>
        </w:rPr>
        <w:t>46萬7千元</w:t>
      </w:r>
      <w:r w:rsidRPr="00237A6E">
        <w:rPr>
          <w:shd w:val="clear" w:color="auto" w:fill="FFFFFF"/>
        </w:rPr>
        <w:t>，照列。</w:t>
      </w:r>
    </w:p>
    <w:p w14:paraId="2E6B3B2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Pr="00237A6E">
        <w:rPr>
          <w:rFonts w:cs="細明體" w:hint="eastAsia"/>
          <w:color w:val="000000"/>
          <w:kern w:val="0"/>
          <w:shd w:val="clear" w:color="auto" w:fill="FFFFFF"/>
        </w:rPr>
        <w:t>6,</w:t>
      </w:r>
      <w:r w:rsidRPr="00237A6E">
        <w:rPr>
          <w:rFonts w:cs="細明體"/>
          <w:color w:val="000000"/>
          <w:kern w:val="0"/>
          <w:shd w:val="clear" w:color="auto" w:fill="FFFFFF"/>
        </w:rPr>
        <w:t>9</w:t>
      </w:r>
      <w:r w:rsidRPr="00237A6E">
        <w:rPr>
          <w:rFonts w:cs="細明體" w:hint="eastAsia"/>
          <w:color w:val="000000"/>
          <w:kern w:val="0"/>
          <w:shd w:val="clear" w:color="auto" w:fill="FFFFFF"/>
        </w:rPr>
        <w:t>44萬</w:t>
      </w:r>
      <w:r w:rsidRPr="00237A6E">
        <w:rPr>
          <w:rFonts w:hint="eastAsia"/>
          <w:shd w:val="clear" w:color="auto" w:fill="FFFFFF"/>
        </w:rPr>
        <w:t>4</w:t>
      </w:r>
      <w:r w:rsidRPr="00237A6E">
        <w:rPr>
          <w:shd w:val="clear" w:color="auto" w:fill="FFFFFF"/>
        </w:rPr>
        <w:t>千</w:t>
      </w:r>
      <w:r w:rsidRPr="00237A6E">
        <w:rPr>
          <w:rFonts w:cs="細明體"/>
          <w:color w:val="000000"/>
          <w:kern w:val="0"/>
          <w:shd w:val="clear" w:color="auto" w:fill="FFFFFF"/>
        </w:rPr>
        <w:t>元</w:t>
      </w:r>
      <w:r w:rsidRPr="00237A6E">
        <w:rPr>
          <w:shd w:val="clear" w:color="auto" w:fill="FFFFFF"/>
        </w:rPr>
        <w:t>，照列。</w:t>
      </w:r>
    </w:p>
    <w:p w14:paraId="62C9A51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Pr="00237A6E">
        <w:rPr>
          <w:rFonts w:cs="細明體" w:hint="eastAsia"/>
          <w:color w:val="000000"/>
          <w:kern w:val="0"/>
          <w:shd w:val="clear" w:color="auto" w:fill="FFFFFF"/>
        </w:rPr>
        <w:t>250萬1千元</w:t>
      </w:r>
      <w:r w:rsidRPr="00237A6E">
        <w:rPr>
          <w:shd w:val="clear" w:color="auto" w:fill="FFFFFF"/>
        </w:rPr>
        <w:t>，照列。</w:t>
      </w:r>
    </w:p>
    <w:p w14:paraId="6CCFD76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第40項</w:t>
      </w:r>
      <w:r w:rsidRPr="00237A6E">
        <w:rPr>
          <w:rFonts w:hint="eastAsia"/>
          <w:shd w:val="clear" w:color="auto" w:fill="FFFFFF"/>
        </w:rPr>
        <w:t xml:space="preserve">　</w:t>
      </w:r>
      <w:r w:rsidRPr="00237A6E">
        <w:rPr>
          <w:shd w:val="clear" w:color="auto" w:fill="FFFFFF"/>
        </w:rPr>
        <w:t>臺灣苗栗地方法院</w:t>
      </w:r>
      <w:r w:rsidRPr="00237A6E">
        <w:rPr>
          <w:rFonts w:cs="細明體" w:hint="eastAsia"/>
          <w:color w:val="000000"/>
          <w:kern w:val="0"/>
          <w:shd w:val="clear" w:color="auto" w:fill="FFFFFF"/>
        </w:rPr>
        <w:t>154萬2千元</w:t>
      </w:r>
      <w:r w:rsidRPr="00237A6E">
        <w:rPr>
          <w:shd w:val="clear" w:color="auto" w:fill="FFFFFF"/>
        </w:rPr>
        <w:t>，照列。</w:t>
      </w:r>
    </w:p>
    <w:p w14:paraId="7C872EA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41</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臺灣臺中地方法院</w:t>
      </w:r>
      <w:r w:rsidRPr="00237A6E">
        <w:rPr>
          <w:rFonts w:cs="細明體" w:hint="eastAsia"/>
          <w:color w:val="000000"/>
          <w:kern w:val="0"/>
          <w:shd w:val="clear" w:color="auto" w:fill="FFFFFF"/>
        </w:rPr>
        <w:t>1,565萬元</w:t>
      </w:r>
      <w:r w:rsidRPr="00237A6E">
        <w:rPr>
          <w:shd w:val="clear" w:color="auto" w:fill="FFFFFF"/>
        </w:rPr>
        <w:t>，照列。</w:t>
      </w:r>
    </w:p>
    <w:p w14:paraId="6916C61D"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42</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Pr="00237A6E">
        <w:rPr>
          <w:rFonts w:cs="細明體" w:hint="eastAsia"/>
          <w:color w:val="000000"/>
          <w:kern w:val="0"/>
          <w:shd w:val="clear" w:color="auto" w:fill="FFFFFF"/>
        </w:rPr>
        <w:t>87萬4千元</w:t>
      </w:r>
      <w:r w:rsidRPr="00237A6E">
        <w:rPr>
          <w:shd w:val="clear" w:color="auto" w:fill="FFFFFF"/>
        </w:rPr>
        <w:t>，照列。</w:t>
      </w:r>
    </w:p>
    <w:p w14:paraId="29BB3EF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43</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Pr="00237A6E">
        <w:rPr>
          <w:rFonts w:cs="細明體" w:hint="eastAsia"/>
          <w:color w:val="000000"/>
          <w:kern w:val="0"/>
          <w:shd w:val="clear" w:color="auto" w:fill="FFFFFF"/>
        </w:rPr>
        <w:t>159萬元</w:t>
      </w:r>
      <w:r w:rsidRPr="00237A6E">
        <w:rPr>
          <w:shd w:val="clear" w:color="auto" w:fill="FFFFFF"/>
        </w:rPr>
        <w:t>，照列。</w:t>
      </w:r>
    </w:p>
    <w:p w14:paraId="0F6A9FC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Pr="00237A6E">
        <w:rPr>
          <w:rFonts w:cs="細明體" w:hint="eastAsia"/>
          <w:color w:val="000000"/>
          <w:kern w:val="0"/>
          <w:shd w:val="clear" w:color="auto" w:fill="FFFFFF"/>
        </w:rPr>
        <w:t>204萬2千元</w:t>
      </w:r>
      <w:r w:rsidRPr="00237A6E">
        <w:rPr>
          <w:shd w:val="clear" w:color="auto" w:fill="FFFFFF"/>
        </w:rPr>
        <w:t>，照列。</w:t>
      </w:r>
    </w:p>
    <w:p w14:paraId="08809BA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Pr="00237A6E">
        <w:rPr>
          <w:rFonts w:cs="細明體" w:hint="eastAsia"/>
          <w:color w:val="000000"/>
          <w:kern w:val="0"/>
          <w:shd w:val="clear" w:color="auto" w:fill="FFFFFF"/>
        </w:rPr>
        <w:t>121萬元</w:t>
      </w:r>
      <w:r w:rsidRPr="00237A6E">
        <w:rPr>
          <w:shd w:val="clear" w:color="auto" w:fill="FFFFFF"/>
        </w:rPr>
        <w:t>，照列。</w:t>
      </w:r>
    </w:p>
    <w:p w14:paraId="48DFB03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46</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臺灣臺南地方法院</w:t>
      </w:r>
      <w:r w:rsidRPr="00237A6E">
        <w:rPr>
          <w:rFonts w:cs="細明體" w:hint="eastAsia"/>
          <w:color w:val="000000"/>
          <w:kern w:val="0"/>
          <w:shd w:val="clear" w:color="auto" w:fill="FFFFFF"/>
        </w:rPr>
        <w:t>262萬元</w:t>
      </w:r>
      <w:r w:rsidRPr="00237A6E">
        <w:rPr>
          <w:shd w:val="clear" w:color="auto" w:fill="FFFFFF"/>
        </w:rPr>
        <w:t>，照列。</w:t>
      </w:r>
    </w:p>
    <w:p w14:paraId="48779B9F" w14:textId="77777777" w:rsidR="00421BB5" w:rsidRPr="00237A6E" w:rsidRDefault="00421BB5" w:rsidP="00421BB5">
      <w:pPr>
        <w:pStyle w:val="3-1"/>
        <w:adjustRightInd w:val="0"/>
        <w:snapToGrid w:val="0"/>
        <w:ind w:left="1600" w:hanging="1120"/>
        <w:rPr>
          <w:shd w:val="clear" w:color="auto" w:fill="FFFFFF"/>
        </w:rPr>
      </w:pPr>
      <w:r w:rsidRPr="00237A6E">
        <w:rPr>
          <w:rFonts w:hint="eastAsia"/>
          <w:shd w:val="clear" w:color="auto" w:fill="FFFFFF"/>
        </w:rPr>
        <w:t>第</w:t>
      </w:r>
      <w:r w:rsidRPr="00237A6E">
        <w:rPr>
          <w:shd w:val="clear" w:color="auto" w:fill="FFFFFF"/>
        </w:rPr>
        <w:t>4</w:t>
      </w:r>
      <w:r w:rsidRPr="00237A6E">
        <w:rPr>
          <w:rFonts w:hint="eastAsia"/>
          <w:shd w:val="clear" w:color="auto" w:fill="FFFFFF"/>
        </w:rPr>
        <w:t>7項　臺灣橋頭地方法院</w:t>
      </w:r>
      <w:r w:rsidRPr="00237A6E">
        <w:rPr>
          <w:rFonts w:cs="細明體" w:hint="eastAsia"/>
          <w:color w:val="000000"/>
          <w:kern w:val="0"/>
          <w:shd w:val="clear" w:color="auto" w:fill="FFFFFF"/>
        </w:rPr>
        <w:t>296萬元</w:t>
      </w:r>
      <w:r w:rsidRPr="00237A6E">
        <w:rPr>
          <w:rFonts w:hint="eastAsia"/>
          <w:shd w:val="clear" w:color="auto" w:fill="FFFFFF"/>
        </w:rPr>
        <w:t>，照列。</w:t>
      </w:r>
    </w:p>
    <w:p w14:paraId="2F9A0FB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臺灣高雄地方法院</w:t>
      </w:r>
      <w:r w:rsidRPr="00237A6E">
        <w:rPr>
          <w:rFonts w:cs="細明體" w:hint="eastAsia"/>
          <w:color w:val="000000"/>
          <w:kern w:val="0"/>
          <w:shd w:val="clear" w:color="auto" w:fill="FFFFFF"/>
        </w:rPr>
        <w:t>462萬元</w:t>
      </w:r>
      <w:r w:rsidRPr="00237A6E">
        <w:rPr>
          <w:shd w:val="clear" w:color="auto" w:fill="FFFFFF"/>
        </w:rPr>
        <w:t>，照列。</w:t>
      </w:r>
    </w:p>
    <w:p w14:paraId="445970A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lastRenderedPageBreak/>
        <w:t>第4</w:t>
      </w:r>
      <w:r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Pr="00237A6E">
        <w:rPr>
          <w:rFonts w:cs="細明體" w:hint="eastAsia"/>
          <w:color w:val="000000"/>
          <w:kern w:val="0"/>
          <w:shd w:val="clear" w:color="auto" w:fill="FFFFFF"/>
        </w:rPr>
        <w:t>334萬元</w:t>
      </w:r>
      <w:r w:rsidRPr="00237A6E">
        <w:rPr>
          <w:shd w:val="clear" w:color="auto" w:fill="FFFFFF"/>
        </w:rPr>
        <w:t>，照列。</w:t>
      </w:r>
    </w:p>
    <w:p w14:paraId="36430DE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第50項</w:t>
      </w:r>
      <w:r w:rsidRPr="00237A6E">
        <w:rPr>
          <w:rFonts w:hint="eastAsia"/>
          <w:shd w:val="clear" w:color="auto" w:fill="FFFFFF"/>
        </w:rPr>
        <w:t xml:space="preserve">　</w:t>
      </w:r>
      <w:r w:rsidRPr="00237A6E">
        <w:rPr>
          <w:shd w:val="clear" w:color="auto" w:fill="FFFFFF"/>
        </w:rPr>
        <w:t>臺灣臺東地方法院</w:t>
      </w:r>
      <w:r w:rsidRPr="00237A6E">
        <w:rPr>
          <w:rFonts w:cs="細明體" w:hint="eastAsia"/>
          <w:color w:val="000000"/>
          <w:kern w:val="0"/>
          <w:shd w:val="clear" w:color="auto" w:fill="FFFFFF"/>
        </w:rPr>
        <w:t>28萬元</w:t>
      </w:r>
      <w:r w:rsidRPr="00237A6E">
        <w:rPr>
          <w:shd w:val="clear" w:color="auto" w:fill="FFFFFF"/>
        </w:rPr>
        <w:t>，照列。</w:t>
      </w:r>
    </w:p>
    <w:p w14:paraId="45795E5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51</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Pr="00237A6E">
        <w:rPr>
          <w:rFonts w:cs="細明體" w:hint="eastAsia"/>
          <w:color w:val="000000"/>
          <w:kern w:val="0"/>
          <w:shd w:val="clear" w:color="auto" w:fill="FFFFFF"/>
        </w:rPr>
        <w:t>79萬1千元</w:t>
      </w:r>
      <w:r w:rsidRPr="00237A6E">
        <w:rPr>
          <w:shd w:val="clear" w:color="auto" w:fill="FFFFFF"/>
        </w:rPr>
        <w:t>，照列。</w:t>
      </w:r>
    </w:p>
    <w:p w14:paraId="5C24058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52</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Pr="00237A6E">
        <w:rPr>
          <w:rFonts w:hint="eastAsia"/>
          <w:shd w:val="clear" w:color="auto" w:fill="FFFFFF"/>
        </w:rPr>
        <w:t>130</w:t>
      </w:r>
      <w:r w:rsidRPr="00237A6E">
        <w:rPr>
          <w:shd w:val="clear" w:color="auto" w:fill="FFFFFF"/>
        </w:rPr>
        <w:t>萬</w:t>
      </w:r>
      <w:r w:rsidRPr="00237A6E">
        <w:rPr>
          <w:rFonts w:hint="eastAsia"/>
          <w:shd w:val="clear" w:color="auto" w:fill="FFFFFF"/>
        </w:rPr>
        <w:t>1</w:t>
      </w:r>
      <w:r w:rsidRPr="00237A6E">
        <w:rPr>
          <w:shd w:val="clear" w:color="auto" w:fill="FFFFFF"/>
        </w:rPr>
        <w:t>千元，照列。</w:t>
      </w:r>
    </w:p>
    <w:p w14:paraId="6CF48CB7"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53</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Pr="00237A6E">
        <w:rPr>
          <w:rFonts w:cs="細明體" w:hint="eastAsia"/>
          <w:color w:val="000000"/>
          <w:kern w:val="0"/>
          <w:shd w:val="clear" w:color="auto" w:fill="FFFFFF"/>
        </w:rPr>
        <w:t>91萬5千元</w:t>
      </w:r>
      <w:r w:rsidRPr="00237A6E">
        <w:rPr>
          <w:shd w:val="clear" w:color="auto" w:fill="FFFFFF"/>
        </w:rPr>
        <w:t>，照列。</w:t>
      </w:r>
    </w:p>
    <w:p w14:paraId="7CC73AA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Pr="00237A6E">
        <w:rPr>
          <w:rFonts w:cs="細明體" w:hint="eastAsia"/>
          <w:color w:val="000000"/>
          <w:kern w:val="0"/>
          <w:shd w:val="clear" w:color="auto" w:fill="FFFFFF"/>
        </w:rPr>
        <w:t>7萬4千元</w:t>
      </w:r>
      <w:r w:rsidRPr="00237A6E">
        <w:rPr>
          <w:shd w:val="clear" w:color="auto" w:fill="FFFFFF"/>
        </w:rPr>
        <w:t>，照列。</w:t>
      </w:r>
    </w:p>
    <w:p w14:paraId="0222AB6F"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Pr="00237A6E">
        <w:rPr>
          <w:rFonts w:cs="Mangal" w:hint="eastAsia"/>
          <w:color w:val="000000"/>
          <w:kern w:val="0"/>
          <w:shd w:val="clear" w:color="auto" w:fill="FFFFFF"/>
        </w:rPr>
        <w:t>8萬6千元</w:t>
      </w:r>
      <w:r w:rsidRPr="00237A6E">
        <w:rPr>
          <w:shd w:val="clear" w:color="auto" w:fill="FFFFFF"/>
        </w:rPr>
        <w:t>，照列。</w:t>
      </w:r>
    </w:p>
    <w:p w14:paraId="071777CD" w14:textId="77777777" w:rsidR="00421BB5" w:rsidRPr="00237A6E" w:rsidRDefault="00421BB5" w:rsidP="00421BB5">
      <w:pPr>
        <w:adjustRightInd w:val="0"/>
        <w:snapToGrid w:val="0"/>
        <w:spacing w:line="360" w:lineRule="exact"/>
        <w:ind w:leftChars="200" w:left="1040" w:hangingChars="200" w:hanging="560"/>
        <w:rPr>
          <w:rFonts w:ascii="標楷體" w:eastAsia="標楷體" w:hAnsi="標楷體" w:cs="Mangal"/>
          <w:color w:val="000000"/>
          <w:kern w:val="0"/>
          <w:sz w:val="28"/>
          <w:szCs w:val="28"/>
          <w:shd w:val="clear" w:color="auto" w:fill="FFFFFF"/>
        </w:rPr>
      </w:pPr>
      <w:r w:rsidRPr="00237A6E">
        <w:rPr>
          <w:rFonts w:ascii="標楷體" w:eastAsia="標楷體" w:hAnsi="標楷體" w:cs="Mangal"/>
          <w:color w:val="000000"/>
          <w:kern w:val="0"/>
          <w:sz w:val="28"/>
          <w:szCs w:val="28"/>
          <w:shd w:val="clear" w:color="auto" w:fill="FFFFFF"/>
        </w:rPr>
        <w:t>第</w:t>
      </w:r>
      <w:r w:rsidRPr="00237A6E">
        <w:rPr>
          <w:rFonts w:ascii="標楷體" w:eastAsia="標楷體" w:hAnsi="標楷體" w:cs="Mangal" w:hint="eastAsia"/>
          <w:color w:val="000000"/>
          <w:kern w:val="0"/>
          <w:sz w:val="28"/>
          <w:szCs w:val="28"/>
          <w:shd w:val="clear" w:color="auto" w:fill="FFFFFF"/>
        </w:rPr>
        <w:t>56</w:t>
      </w:r>
      <w:r w:rsidRPr="00237A6E">
        <w:rPr>
          <w:rFonts w:ascii="標楷體" w:eastAsia="標楷體" w:hAnsi="標楷體" w:cs="Mangal"/>
          <w:color w:val="000000"/>
          <w:kern w:val="0"/>
          <w:sz w:val="28"/>
          <w:szCs w:val="28"/>
          <w:shd w:val="clear" w:color="auto" w:fill="FFFFFF"/>
        </w:rPr>
        <w:t>項</w:t>
      </w:r>
      <w:r w:rsidRPr="00237A6E">
        <w:rPr>
          <w:rFonts w:ascii="標楷體" w:eastAsia="標楷體" w:hAnsi="標楷體" w:cs="Mangal" w:hint="eastAsia"/>
          <w:color w:val="000000"/>
          <w:kern w:val="0"/>
          <w:sz w:val="28"/>
          <w:szCs w:val="28"/>
          <w:shd w:val="clear" w:color="auto" w:fill="FFFFFF"/>
        </w:rPr>
        <w:t xml:space="preserve">　</w:t>
      </w:r>
      <w:r w:rsidRPr="00237A6E">
        <w:rPr>
          <w:rFonts w:ascii="標楷體" w:eastAsia="標楷體" w:hAnsi="標楷體" w:cs="Mangal"/>
          <w:color w:val="000000"/>
          <w:kern w:val="0"/>
          <w:sz w:val="28"/>
          <w:szCs w:val="28"/>
          <w:shd w:val="clear" w:color="auto" w:fill="FFFFFF"/>
        </w:rPr>
        <w:t>福建金門地方法院10萬6千元，照列。</w:t>
      </w:r>
    </w:p>
    <w:p w14:paraId="2A5BA8FA" w14:textId="77777777" w:rsidR="00421BB5" w:rsidRPr="00237A6E" w:rsidRDefault="00421BB5" w:rsidP="00421BB5">
      <w:pPr>
        <w:pStyle w:val="3-"/>
        <w:adjustRightInd w:val="0"/>
        <w:snapToGrid w:val="0"/>
        <w:ind w:left="800" w:hanging="560"/>
        <w:rPr>
          <w:shd w:val="clear" w:color="auto" w:fill="FFFFFF"/>
        </w:rPr>
      </w:pPr>
      <w:r w:rsidRPr="00237A6E">
        <w:rPr>
          <w:shd w:val="clear" w:color="auto" w:fill="FFFFFF"/>
        </w:rPr>
        <w:t>第3款　規費收入</w:t>
      </w:r>
    </w:p>
    <w:p w14:paraId="196E3D74" w14:textId="77777777" w:rsidR="00421BB5" w:rsidRPr="00237A6E" w:rsidRDefault="00421BB5" w:rsidP="00421BB5">
      <w:pPr>
        <w:adjustRightInd w:val="0"/>
        <w:snapToGrid w:val="0"/>
        <w:spacing w:line="360" w:lineRule="exact"/>
        <w:ind w:leftChars="200" w:left="1040" w:hangingChars="200" w:hanging="560"/>
        <w:rPr>
          <w:rFonts w:ascii="標楷體" w:eastAsia="標楷體" w:hAnsi="標楷體"/>
          <w:sz w:val="28"/>
          <w:szCs w:val="28"/>
          <w:shd w:val="clear" w:color="auto" w:fill="FFFFFF"/>
        </w:rPr>
      </w:pPr>
      <w:r w:rsidRPr="00237A6E">
        <w:rPr>
          <w:rFonts w:ascii="標楷體" w:eastAsia="標楷體" w:hAnsi="標楷體"/>
          <w:sz w:val="28"/>
          <w:szCs w:val="28"/>
          <w:shd w:val="clear" w:color="auto" w:fill="FFFFFF"/>
        </w:rPr>
        <w:t>第</w:t>
      </w:r>
      <w:r w:rsidRPr="00237A6E">
        <w:rPr>
          <w:rFonts w:ascii="標楷體" w:eastAsia="標楷體" w:hAnsi="標楷體" w:hint="eastAsia"/>
          <w:sz w:val="28"/>
          <w:szCs w:val="28"/>
          <w:shd w:val="clear" w:color="auto" w:fill="FFFFFF"/>
        </w:rPr>
        <w:t>14</w:t>
      </w:r>
      <w:r w:rsidRPr="00237A6E">
        <w:rPr>
          <w:rFonts w:ascii="標楷體" w:eastAsia="標楷體" w:hAnsi="標楷體"/>
          <w:sz w:val="28"/>
          <w:szCs w:val="28"/>
          <w:shd w:val="clear" w:color="auto" w:fill="FFFFFF"/>
        </w:rPr>
        <w:t>項</w:t>
      </w:r>
      <w:r w:rsidRPr="00237A6E">
        <w:rPr>
          <w:rFonts w:ascii="標楷體" w:eastAsia="標楷體" w:hAnsi="標楷體" w:hint="eastAsia"/>
          <w:sz w:val="28"/>
          <w:szCs w:val="28"/>
          <w:shd w:val="clear" w:color="auto" w:fill="FFFFFF"/>
        </w:rPr>
        <w:t xml:space="preserve">　</w:t>
      </w:r>
      <w:r w:rsidRPr="00237A6E">
        <w:rPr>
          <w:rFonts w:ascii="標楷體" w:eastAsia="標楷體" w:hAnsi="標楷體"/>
          <w:sz w:val="28"/>
          <w:szCs w:val="28"/>
          <w:shd w:val="clear" w:color="auto" w:fill="FFFFFF"/>
        </w:rPr>
        <w:t>司法院</w:t>
      </w:r>
      <w:r w:rsidRPr="00237A6E">
        <w:rPr>
          <w:rFonts w:ascii="標楷體" w:eastAsia="標楷體" w:hAnsi="標楷體" w:hint="eastAsia"/>
          <w:sz w:val="28"/>
          <w:szCs w:val="28"/>
          <w:shd w:val="clear" w:color="auto" w:fill="FFFFFF"/>
        </w:rPr>
        <w:t>115萬2千元</w:t>
      </w:r>
      <w:r w:rsidRPr="00237A6E">
        <w:rPr>
          <w:rFonts w:ascii="標楷體" w:eastAsia="標楷體" w:hAnsi="標楷體"/>
          <w:sz w:val="28"/>
          <w:szCs w:val="28"/>
          <w:shd w:val="clear" w:color="auto" w:fill="FFFFFF"/>
        </w:rPr>
        <w:t>，照列。</w:t>
      </w:r>
    </w:p>
    <w:p w14:paraId="3538500A"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15</w:t>
      </w:r>
      <w:r w:rsidRPr="00237A6E">
        <w:rPr>
          <w:shd w:val="clear" w:color="auto" w:fill="FFFFFF"/>
        </w:rPr>
        <w:t>項</w:t>
      </w:r>
      <w:r w:rsidRPr="00237A6E">
        <w:rPr>
          <w:rFonts w:hint="eastAsia"/>
          <w:shd w:val="clear" w:color="auto" w:fill="FFFFFF"/>
        </w:rPr>
        <w:t xml:space="preserve">　</w:t>
      </w:r>
      <w:r w:rsidRPr="00237A6E">
        <w:rPr>
          <w:shd w:val="clear" w:color="auto" w:fill="FFFFFF"/>
        </w:rPr>
        <w:t>最高法院</w:t>
      </w:r>
      <w:r w:rsidRPr="00237A6E">
        <w:rPr>
          <w:rFonts w:cs="Mangal" w:hint="eastAsia"/>
          <w:color w:val="000000"/>
          <w:kern w:val="0"/>
          <w:shd w:val="clear" w:color="auto" w:fill="FFFFFF"/>
        </w:rPr>
        <w:t>1,597萬2千元</w:t>
      </w:r>
      <w:r w:rsidRPr="00237A6E">
        <w:rPr>
          <w:shd w:val="clear" w:color="auto" w:fill="FFFFFF"/>
        </w:rPr>
        <w:t>，照列。</w:t>
      </w:r>
    </w:p>
    <w:p w14:paraId="4C63570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16</w:t>
      </w:r>
      <w:r w:rsidRPr="00237A6E">
        <w:rPr>
          <w:shd w:val="clear" w:color="auto" w:fill="FFFFFF"/>
        </w:rPr>
        <w:t>項</w:t>
      </w:r>
      <w:r w:rsidRPr="00237A6E">
        <w:rPr>
          <w:rFonts w:hint="eastAsia"/>
          <w:shd w:val="clear" w:color="auto" w:fill="FFFFFF"/>
        </w:rPr>
        <w:t xml:space="preserve">　</w:t>
      </w:r>
      <w:r w:rsidRPr="00237A6E">
        <w:rPr>
          <w:shd w:val="clear" w:color="auto" w:fill="FFFFFF"/>
        </w:rPr>
        <w:t>最高行政法院</w:t>
      </w:r>
      <w:r w:rsidRPr="00237A6E">
        <w:rPr>
          <w:rFonts w:cs="Mangal" w:hint="eastAsia"/>
          <w:color w:val="000000"/>
          <w:kern w:val="0"/>
          <w:shd w:val="clear" w:color="auto" w:fill="FFFFFF"/>
        </w:rPr>
        <w:t>62萬2千元</w:t>
      </w:r>
      <w:r w:rsidRPr="00237A6E">
        <w:rPr>
          <w:shd w:val="clear" w:color="auto" w:fill="FFFFFF"/>
        </w:rPr>
        <w:t>，照列。</w:t>
      </w:r>
    </w:p>
    <w:p w14:paraId="1A0D888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17</w:t>
      </w:r>
      <w:r w:rsidRPr="00237A6E">
        <w:rPr>
          <w:shd w:val="clear" w:color="auto" w:fill="FFFFFF"/>
        </w:rPr>
        <w:t>項</w:t>
      </w:r>
      <w:r w:rsidRPr="00237A6E">
        <w:rPr>
          <w:rFonts w:hint="eastAsia"/>
          <w:shd w:val="clear" w:color="auto" w:fill="FFFFFF"/>
        </w:rPr>
        <w:t xml:space="preserve">　</w:t>
      </w:r>
      <w:r w:rsidRPr="00237A6E">
        <w:rPr>
          <w:shd w:val="clear" w:color="auto" w:fill="FFFFFF"/>
        </w:rPr>
        <w:t>臺北高等行政法院</w:t>
      </w:r>
      <w:r w:rsidRPr="00237A6E">
        <w:rPr>
          <w:rFonts w:cs="Mangal" w:hint="eastAsia"/>
          <w:color w:val="000000"/>
          <w:kern w:val="0"/>
          <w:shd w:val="clear" w:color="auto" w:fill="FFFFFF"/>
        </w:rPr>
        <w:t>1,334萬3千元</w:t>
      </w:r>
      <w:r w:rsidRPr="00237A6E">
        <w:rPr>
          <w:shd w:val="clear" w:color="auto" w:fill="FFFFFF"/>
        </w:rPr>
        <w:t>，照列。</w:t>
      </w:r>
    </w:p>
    <w:p w14:paraId="143ABBC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18</w:t>
      </w:r>
      <w:r w:rsidRPr="00237A6E">
        <w:rPr>
          <w:shd w:val="clear" w:color="auto" w:fill="FFFFFF"/>
        </w:rPr>
        <w:t>項</w:t>
      </w:r>
      <w:r w:rsidRPr="00237A6E">
        <w:rPr>
          <w:rFonts w:hint="eastAsia"/>
          <w:shd w:val="clear" w:color="auto" w:fill="FFFFFF"/>
        </w:rPr>
        <w:t xml:space="preserve">　</w:t>
      </w:r>
      <w:r w:rsidRPr="00237A6E">
        <w:rPr>
          <w:shd w:val="clear" w:color="auto" w:fill="FFFFFF"/>
        </w:rPr>
        <w:t>臺中高等行政法院</w:t>
      </w:r>
      <w:r w:rsidRPr="00237A6E">
        <w:rPr>
          <w:rFonts w:cs="Mangal" w:hint="eastAsia"/>
          <w:color w:val="000000"/>
          <w:kern w:val="0"/>
          <w:shd w:val="clear" w:color="auto" w:fill="FFFFFF"/>
        </w:rPr>
        <w:t>255萬7千元</w:t>
      </w:r>
      <w:r w:rsidRPr="00237A6E">
        <w:rPr>
          <w:shd w:val="clear" w:color="auto" w:fill="FFFFFF"/>
        </w:rPr>
        <w:t>，照列。</w:t>
      </w:r>
    </w:p>
    <w:p w14:paraId="2C43290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第19項</w:t>
      </w:r>
      <w:r w:rsidRPr="00237A6E">
        <w:rPr>
          <w:rFonts w:hint="eastAsia"/>
          <w:shd w:val="clear" w:color="auto" w:fill="FFFFFF"/>
        </w:rPr>
        <w:t xml:space="preserve">　</w:t>
      </w:r>
      <w:r w:rsidRPr="00237A6E">
        <w:rPr>
          <w:shd w:val="clear" w:color="auto" w:fill="FFFFFF"/>
        </w:rPr>
        <w:t>高雄高等行政法院</w:t>
      </w:r>
      <w:r w:rsidRPr="00237A6E">
        <w:rPr>
          <w:rFonts w:cs="Mangal" w:hint="eastAsia"/>
          <w:color w:val="000000"/>
          <w:kern w:val="0"/>
          <w:shd w:val="clear" w:color="auto" w:fill="FFFFFF"/>
        </w:rPr>
        <w:t>385萬7千元</w:t>
      </w:r>
      <w:r w:rsidRPr="00237A6E">
        <w:rPr>
          <w:shd w:val="clear" w:color="auto" w:fill="FFFFFF"/>
        </w:rPr>
        <w:t>，照列。</w:t>
      </w:r>
    </w:p>
    <w:p w14:paraId="278A841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20</w:t>
      </w:r>
      <w:r w:rsidRPr="00237A6E">
        <w:rPr>
          <w:shd w:val="clear" w:color="auto" w:fill="FFFFFF"/>
        </w:rPr>
        <w:t>項</w:t>
      </w:r>
      <w:r w:rsidRPr="00237A6E">
        <w:rPr>
          <w:rFonts w:hint="eastAsia"/>
          <w:shd w:val="clear" w:color="auto" w:fill="FFFFFF"/>
        </w:rPr>
        <w:t xml:space="preserve">　</w:t>
      </w:r>
      <w:r w:rsidRPr="00237A6E">
        <w:rPr>
          <w:rFonts w:cs="Mangal" w:hint="eastAsia"/>
          <w:color w:val="000000"/>
          <w:kern w:val="0"/>
          <w:shd w:val="clear" w:color="auto" w:fill="FFFFFF"/>
        </w:rPr>
        <w:t>懲戒法院1萬5千元</w:t>
      </w:r>
      <w:r w:rsidRPr="00237A6E">
        <w:rPr>
          <w:shd w:val="clear" w:color="auto" w:fill="FFFFFF"/>
        </w:rPr>
        <w:t>，照列。</w:t>
      </w:r>
    </w:p>
    <w:p w14:paraId="07F9E17D"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21</w:t>
      </w:r>
      <w:r w:rsidRPr="00237A6E">
        <w:rPr>
          <w:shd w:val="clear" w:color="auto" w:fill="FFFFFF"/>
        </w:rPr>
        <w:t>項</w:t>
      </w:r>
      <w:r w:rsidRPr="00237A6E">
        <w:rPr>
          <w:rFonts w:hint="eastAsia"/>
          <w:shd w:val="clear" w:color="auto" w:fill="FFFFFF"/>
        </w:rPr>
        <w:t xml:space="preserve">　法官學院10萬元，照列。</w:t>
      </w:r>
    </w:p>
    <w:p w14:paraId="184C334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 xml:space="preserve">22項　</w:t>
      </w:r>
      <w:r w:rsidRPr="00237A6E">
        <w:rPr>
          <w:shd w:val="clear" w:color="auto" w:fill="FFFFFF"/>
        </w:rPr>
        <w:t>智慧財產</w:t>
      </w:r>
      <w:r w:rsidRPr="00237A6E">
        <w:rPr>
          <w:rFonts w:hint="eastAsia"/>
          <w:shd w:val="clear" w:color="auto" w:fill="FFFFFF"/>
        </w:rPr>
        <w:t>及商業</w:t>
      </w:r>
      <w:r w:rsidRPr="00237A6E">
        <w:rPr>
          <w:shd w:val="clear" w:color="auto" w:fill="FFFFFF"/>
        </w:rPr>
        <w:t>法院</w:t>
      </w:r>
      <w:r w:rsidRPr="00237A6E">
        <w:rPr>
          <w:rFonts w:cs="Mangal" w:hint="eastAsia"/>
          <w:color w:val="000000"/>
          <w:kern w:val="0"/>
          <w:shd w:val="clear" w:color="auto" w:fill="FFFFFF"/>
        </w:rPr>
        <w:t>6,07</w:t>
      </w:r>
      <w:r w:rsidRPr="00237A6E">
        <w:rPr>
          <w:rFonts w:cs="Mangal"/>
          <w:color w:val="000000"/>
          <w:kern w:val="0"/>
          <w:shd w:val="clear" w:color="auto" w:fill="FFFFFF"/>
        </w:rPr>
        <w:t>3</w:t>
      </w:r>
      <w:r w:rsidRPr="00237A6E">
        <w:rPr>
          <w:rFonts w:cs="Mangal" w:hint="eastAsia"/>
          <w:color w:val="000000"/>
          <w:kern w:val="0"/>
          <w:shd w:val="clear" w:color="auto" w:fill="FFFFFF"/>
        </w:rPr>
        <w:t>萬1千元</w:t>
      </w:r>
      <w:r w:rsidRPr="00237A6E">
        <w:rPr>
          <w:shd w:val="clear" w:color="auto" w:fill="FFFFFF"/>
        </w:rPr>
        <w:t>，照列。</w:t>
      </w:r>
    </w:p>
    <w:p w14:paraId="3E59085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23</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w:t>
      </w:r>
      <w:r w:rsidRPr="00237A6E">
        <w:rPr>
          <w:rFonts w:cs="Mangal" w:hint="eastAsia"/>
          <w:color w:val="000000"/>
          <w:kern w:val="0"/>
          <w:shd w:val="clear" w:color="auto" w:fill="FFFFFF"/>
        </w:rPr>
        <w:t>3億5,469萬2千元</w:t>
      </w:r>
      <w:r w:rsidRPr="00237A6E">
        <w:rPr>
          <w:shd w:val="clear" w:color="auto" w:fill="FFFFFF"/>
        </w:rPr>
        <w:t>，照列。</w:t>
      </w:r>
    </w:p>
    <w:p w14:paraId="78A18C47"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臺灣高等法院臺中分院</w:t>
      </w:r>
      <w:r w:rsidRPr="00237A6E">
        <w:rPr>
          <w:rFonts w:cs="Mangal" w:hint="eastAsia"/>
          <w:color w:val="000000"/>
          <w:kern w:val="0"/>
          <w:shd w:val="clear" w:color="auto" w:fill="FFFFFF"/>
        </w:rPr>
        <w:t>7,221萬元</w:t>
      </w:r>
      <w:r w:rsidRPr="00237A6E">
        <w:rPr>
          <w:shd w:val="clear" w:color="auto" w:fill="FFFFFF"/>
        </w:rPr>
        <w:t>，照列。</w:t>
      </w:r>
    </w:p>
    <w:p w14:paraId="688F731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Pr="00237A6E">
        <w:rPr>
          <w:rFonts w:cs="Mangal" w:hint="eastAsia"/>
          <w:color w:val="000000"/>
          <w:kern w:val="0"/>
          <w:shd w:val="clear" w:color="auto" w:fill="FFFFFF"/>
        </w:rPr>
        <w:t>3,198萬9千元</w:t>
      </w:r>
      <w:r w:rsidRPr="00237A6E">
        <w:rPr>
          <w:shd w:val="clear" w:color="auto" w:fill="FFFFFF"/>
        </w:rPr>
        <w:t>，照列。</w:t>
      </w:r>
    </w:p>
    <w:p w14:paraId="623FC1A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26</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臺灣高等法院高雄分院</w:t>
      </w:r>
      <w:r w:rsidRPr="00237A6E">
        <w:rPr>
          <w:rFonts w:cs="Mangal" w:hint="eastAsia"/>
          <w:color w:val="000000"/>
          <w:kern w:val="0"/>
          <w:shd w:val="clear" w:color="auto" w:fill="FFFFFF"/>
        </w:rPr>
        <w:t>3,645萬8千元</w:t>
      </w:r>
      <w:r w:rsidRPr="00237A6E">
        <w:rPr>
          <w:shd w:val="clear" w:color="auto" w:fill="FFFFFF"/>
        </w:rPr>
        <w:t>，照列。</w:t>
      </w:r>
    </w:p>
    <w:p w14:paraId="42F409C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27</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w:t>
      </w:r>
      <w:r w:rsidRPr="00237A6E">
        <w:rPr>
          <w:rFonts w:cs="Mangal" w:hint="eastAsia"/>
          <w:color w:val="000000"/>
          <w:kern w:val="0"/>
          <w:shd w:val="clear" w:color="auto" w:fill="FFFFFF"/>
        </w:rPr>
        <w:t>817萬9千元</w:t>
      </w:r>
      <w:r w:rsidRPr="00237A6E">
        <w:rPr>
          <w:shd w:val="clear" w:color="auto" w:fill="FFFFFF"/>
        </w:rPr>
        <w:t>，照列。</w:t>
      </w:r>
    </w:p>
    <w:p w14:paraId="27277A9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28</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臺灣臺北地方法院</w:t>
      </w:r>
      <w:r w:rsidRPr="00237A6E">
        <w:rPr>
          <w:rFonts w:cs="Mangal" w:hint="eastAsia"/>
          <w:color w:val="000000"/>
          <w:kern w:val="0"/>
          <w:shd w:val="clear" w:color="auto" w:fill="FFFFFF"/>
        </w:rPr>
        <w:t>14億8,918萬5千元</w:t>
      </w:r>
      <w:r w:rsidRPr="00237A6E">
        <w:rPr>
          <w:shd w:val="clear" w:color="auto" w:fill="FFFFFF"/>
        </w:rPr>
        <w:t>，照列。</w:t>
      </w:r>
    </w:p>
    <w:p w14:paraId="3097039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29</w:t>
      </w:r>
      <w:r w:rsidRPr="00237A6E">
        <w:rPr>
          <w:shd w:val="clear" w:color="auto" w:fill="FFFFFF"/>
        </w:rPr>
        <w:t>項</w:t>
      </w:r>
      <w:r w:rsidRPr="00237A6E">
        <w:rPr>
          <w:rFonts w:hint="eastAsia"/>
          <w:shd w:val="clear" w:color="auto" w:fill="FFFFFF"/>
        </w:rPr>
        <w:t xml:space="preserve">　</w:t>
      </w:r>
      <w:r w:rsidRPr="00237A6E">
        <w:rPr>
          <w:shd w:val="clear" w:color="auto" w:fill="FFFFFF"/>
        </w:rPr>
        <w:t>臺灣士林地方法院</w:t>
      </w:r>
      <w:r w:rsidRPr="00237A6E">
        <w:rPr>
          <w:rFonts w:cs="Mangal" w:hint="eastAsia"/>
          <w:color w:val="000000"/>
          <w:kern w:val="0"/>
          <w:shd w:val="clear" w:color="auto" w:fill="FFFFFF"/>
        </w:rPr>
        <w:t>3億9</w:t>
      </w:r>
      <w:r w:rsidRPr="00237A6E">
        <w:rPr>
          <w:rFonts w:cs="Mangal"/>
          <w:color w:val="000000"/>
          <w:kern w:val="0"/>
          <w:shd w:val="clear" w:color="auto" w:fill="FFFFFF"/>
        </w:rPr>
        <w:t>,250</w:t>
      </w:r>
      <w:r w:rsidRPr="00237A6E">
        <w:rPr>
          <w:rFonts w:cs="Mangal" w:hint="eastAsia"/>
          <w:color w:val="000000"/>
          <w:kern w:val="0"/>
          <w:shd w:val="clear" w:color="auto" w:fill="FFFFFF"/>
        </w:rPr>
        <w:t>萬9千元</w:t>
      </w:r>
      <w:r w:rsidRPr="00237A6E">
        <w:rPr>
          <w:shd w:val="clear" w:color="auto" w:fill="FFFFFF"/>
        </w:rPr>
        <w:t>，照列。</w:t>
      </w:r>
    </w:p>
    <w:p w14:paraId="2C729B8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30</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臺灣新北地方法院</w:t>
      </w:r>
      <w:r w:rsidRPr="00237A6E">
        <w:rPr>
          <w:rFonts w:cs="Mangal" w:hint="eastAsia"/>
          <w:color w:val="000000"/>
          <w:kern w:val="0"/>
          <w:shd w:val="clear" w:color="auto" w:fill="FFFFFF"/>
        </w:rPr>
        <w:t>5億8,</w:t>
      </w:r>
      <w:r w:rsidRPr="00237A6E">
        <w:rPr>
          <w:rFonts w:cs="Mangal"/>
          <w:color w:val="000000"/>
          <w:kern w:val="0"/>
          <w:shd w:val="clear" w:color="auto" w:fill="FFFFFF"/>
        </w:rPr>
        <w:t>032</w:t>
      </w:r>
      <w:r w:rsidRPr="00237A6E">
        <w:rPr>
          <w:rFonts w:cs="Mangal" w:hint="eastAsia"/>
          <w:color w:val="000000"/>
          <w:kern w:val="0"/>
          <w:shd w:val="clear" w:color="auto" w:fill="FFFFFF"/>
        </w:rPr>
        <w:t>萬6千元</w:t>
      </w:r>
      <w:r w:rsidRPr="00237A6E">
        <w:rPr>
          <w:shd w:val="clear" w:color="auto" w:fill="FFFFFF"/>
        </w:rPr>
        <w:t>，照列。</w:t>
      </w:r>
    </w:p>
    <w:p w14:paraId="43C5E07D"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31</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Pr="00237A6E">
        <w:rPr>
          <w:rFonts w:cs="Mangal" w:hint="eastAsia"/>
          <w:color w:val="000000"/>
          <w:kern w:val="0"/>
          <w:shd w:val="clear" w:color="auto" w:fill="FFFFFF"/>
        </w:rPr>
        <w:t>4億</w:t>
      </w:r>
      <w:r w:rsidRPr="00237A6E">
        <w:rPr>
          <w:rFonts w:cs="Mangal"/>
          <w:color w:val="000000"/>
          <w:kern w:val="0"/>
          <w:shd w:val="clear" w:color="auto" w:fill="FFFFFF"/>
        </w:rPr>
        <w:t>8</w:t>
      </w:r>
      <w:r w:rsidRPr="00237A6E">
        <w:rPr>
          <w:rFonts w:cs="Mangal" w:hint="eastAsia"/>
          <w:color w:val="000000"/>
          <w:kern w:val="0"/>
          <w:shd w:val="clear" w:color="auto" w:fill="FFFFFF"/>
        </w:rPr>
        <w:t>,</w:t>
      </w:r>
      <w:r w:rsidRPr="00237A6E">
        <w:rPr>
          <w:rFonts w:cs="Mangal"/>
          <w:color w:val="000000"/>
          <w:kern w:val="0"/>
          <w:shd w:val="clear" w:color="auto" w:fill="FFFFFF"/>
        </w:rPr>
        <w:t>131</w:t>
      </w:r>
      <w:r w:rsidRPr="00237A6E">
        <w:rPr>
          <w:rFonts w:cs="Mangal" w:hint="eastAsia"/>
          <w:color w:val="000000"/>
          <w:kern w:val="0"/>
          <w:shd w:val="clear" w:color="auto" w:fill="FFFFFF"/>
        </w:rPr>
        <w:t>萬8千元</w:t>
      </w:r>
      <w:r w:rsidRPr="00237A6E">
        <w:rPr>
          <w:shd w:val="clear" w:color="auto" w:fill="FFFFFF"/>
        </w:rPr>
        <w:t>，照列。</w:t>
      </w:r>
    </w:p>
    <w:p w14:paraId="1941EFB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32</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Pr="00237A6E">
        <w:rPr>
          <w:rFonts w:cs="Mangal" w:hint="eastAsia"/>
          <w:color w:val="000000"/>
          <w:kern w:val="0"/>
          <w:shd w:val="clear" w:color="auto" w:fill="FFFFFF"/>
        </w:rPr>
        <w:t>1億9,686萬2千元</w:t>
      </w:r>
      <w:r w:rsidRPr="00237A6E">
        <w:rPr>
          <w:shd w:val="clear" w:color="auto" w:fill="FFFFFF"/>
        </w:rPr>
        <w:t>，照列。</w:t>
      </w:r>
    </w:p>
    <w:p w14:paraId="1195B37F"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33</w:t>
      </w:r>
      <w:r w:rsidRPr="00237A6E">
        <w:rPr>
          <w:shd w:val="clear" w:color="auto" w:fill="FFFFFF"/>
        </w:rPr>
        <w:t>項</w:t>
      </w:r>
      <w:r w:rsidRPr="00237A6E">
        <w:rPr>
          <w:rFonts w:hint="eastAsia"/>
          <w:shd w:val="clear" w:color="auto" w:fill="FFFFFF"/>
        </w:rPr>
        <w:t xml:space="preserve">　</w:t>
      </w:r>
      <w:r w:rsidRPr="00237A6E">
        <w:rPr>
          <w:shd w:val="clear" w:color="auto" w:fill="FFFFFF"/>
        </w:rPr>
        <w:t>臺灣苗栗地方法院</w:t>
      </w:r>
      <w:r w:rsidRPr="00237A6E">
        <w:rPr>
          <w:rFonts w:cs="Mangal" w:hint="eastAsia"/>
          <w:color w:val="000000"/>
          <w:kern w:val="0"/>
          <w:shd w:val="clear" w:color="auto" w:fill="FFFFFF"/>
        </w:rPr>
        <w:t>6,342萬元</w:t>
      </w:r>
      <w:r w:rsidRPr="00237A6E">
        <w:rPr>
          <w:shd w:val="clear" w:color="auto" w:fill="FFFFFF"/>
        </w:rPr>
        <w:t>，照列。</w:t>
      </w:r>
    </w:p>
    <w:p w14:paraId="3713C037"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34</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臺灣臺中地方法院</w:t>
      </w:r>
      <w:r w:rsidRPr="00237A6E">
        <w:rPr>
          <w:rFonts w:cs="Mangal" w:hint="eastAsia"/>
          <w:color w:val="000000"/>
          <w:kern w:val="0"/>
          <w:shd w:val="clear" w:color="auto" w:fill="FFFFFF"/>
        </w:rPr>
        <w:t>5億9,122萬3千元</w:t>
      </w:r>
      <w:r w:rsidRPr="00237A6E">
        <w:rPr>
          <w:shd w:val="clear" w:color="auto" w:fill="FFFFFF"/>
        </w:rPr>
        <w:t>，照列。</w:t>
      </w:r>
    </w:p>
    <w:p w14:paraId="0BC1D6D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35</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Pr="00237A6E">
        <w:rPr>
          <w:rFonts w:cs="Mangal" w:hint="eastAsia"/>
          <w:color w:val="000000"/>
          <w:kern w:val="0"/>
          <w:shd w:val="clear" w:color="auto" w:fill="FFFFFF"/>
        </w:rPr>
        <w:t>5,941萬8千元</w:t>
      </w:r>
      <w:r w:rsidRPr="00237A6E">
        <w:rPr>
          <w:shd w:val="clear" w:color="auto" w:fill="FFFFFF"/>
        </w:rPr>
        <w:t>，照列。</w:t>
      </w:r>
    </w:p>
    <w:p w14:paraId="265C06A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36</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Pr="00237A6E">
        <w:rPr>
          <w:rFonts w:cs="Mangal" w:hint="eastAsia"/>
          <w:color w:val="000000"/>
          <w:kern w:val="0"/>
          <w:shd w:val="clear" w:color="auto" w:fill="FFFFFF"/>
        </w:rPr>
        <w:t>1億4,281萬1千元</w:t>
      </w:r>
      <w:r w:rsidRPr="00237A6E">
        <w:rPr>
          <w:shd w:val="clear" w:color="auto" w:fill="FFFFFF"/>
        </w:rPr>
        <w:t>，照列。</w:t>
      </w:r>
    </w:p>
    <w:p w14:paraId="3377AA2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37</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Pr="00237A6E">
        <w:rPr>
          <w:rFonts w:cs="Mangal" w:hint="eastAsia"/>
          <w:color w:val="000000"/>
          <w:kern w:val="0"/>
          <w:shd w:val="clear" w:color="auto" w:fill="FFFFFF"/>
        </w:rPr>
        <w:t>7,451萬4千元</w:t>
      </w:r>
      <w:r w:rsidRPr="00237A6E">
        <w:rPr>
          <w:shd w:val="clear" w:color="auto" w:fill="FFFFFF"/>
        </w:rPr>
        <w:t>，照列。</w:t>
      </w:r>
    </w:p>
    <w:p w14:paraId="10C8701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38</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Pr="00237A6E">
        <w:rPr>
          <w:rFonts w:cs="Mangal" w:hint="eastAsia"/>
          <w:color w:val="000000"/>
          <w:kern w:val="0"/>
          <w:shd w:val="clear" w:color="auto" w:fill="FFFFFF"/>
        </w:rPr>
        <w:t>9</w:t>
      </w:r>
      <w:r w:rsidRPr="00237A6E">
        <w:rPr>
          <w:rFonts w:cs="Mangal"/>
          <w:color w:val="000000"/>
          <w:kern w:val="0"/>
          <w:shd w:val="clear" w:color="auto" w:fill="FFFFFF"/>
        </w:rPr>
        <w:t>,</w:t>
      </w:r>
      <w:r w:rsidRPr="00237A6E">
        <w:rPr>
          <w:rFonts w:cs="Mangal" w:hint="eastAsia"/>
          <w:color w:val="000000"/>
          <w:kern w:val="0"/>
          <w:shd w:val="clear" w:color="auto" w:fill="FFFFFF"/>
        </w:rPr>
        <w:t>942</w:t>
      </w:r>
      <w:r w:rsidRPr="00237A6E">
        <w:rPr>
          <w:rFonts w:cs="Mangal"/>
          <w:color w:val="000000"/>
          <w:kern w:val="0"/>
          <w:shd w:val="clear" w:color="auto" w:fill="FFFFFF"/>
        </w:rPr>
        <w:t>萬2千元</w:t>
      </w:r>
      <w:r w:rsidRPr="00237A6E">
        <w:rPr>
          <w:shd w:val="clear" w:color="auto" w:fill="FFFFFF"/>
        </w:rPr>
        <w:t>，照列。</w:t>
      </w:r>
    </w:p>
    <w:p w14:paraId="74800F5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39</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臺灣臺南地方法院</w:t>
      </w:r>
      <w:r w:rsidRPr="00237A6E">
        <w:rPr>
          <w:rFonts w:cs="Mangal" w:hint="eastAsia"/>
          <w:color w:val="000000"/>
          <w:kern w:val="0"/>
          <w:shd w:val="clear" w:color="auto" w:fill="FFFFFF"/>
        </w:rPr>
        <w:t>2億9,059萬7千元</w:t>
      </w:r>
      <w:r w:rsidRPr="00237A6E">
        <w:rPr>
          <w:shd w:val="clear" w:color="auto" w:fill="FFFFFF"/>
        </w:rPr>
        <w:t>，照列。</w:t>
      </w:r>
    </w:p>
    <w:p w14:paraId="6FD994A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40</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橋頭</w:t>
      </w:r>
      <w:r w:rsidRPr="00237A6E">
        <w:rPr>
          <w:shd w:val="clear" w:color="auto" w:fill="FFFFFF"/>
        </w:rPr>
        <w:t>地方法院</w:t>
      </w:r>
      <w:r w:rsidRPr="00237A6E">
        <w:rPr>
          <w:rFonts w:cs="Mangal" w:hint="eastAsia"/>
          <w:color w:val="000000"/>
          <w:kern w:val="0"/>
          <w:shd w:val="clear" w:color="auto" w:fill="FFFFFF"/>
        </w:rPr>
        <w:t>1億8,451萬4千元</w:t>
      </w:r>
      <w:r w:rsidRPr="00237A6E">
        <w:rPr>
          <w:shd w:val="clear" w:color="auto" w:fill="FFFFFF"/>
        </w:rPr>
        <w:t>，照列。</w:t>
      </w:r>
    </w:p>
    <w:p w14:paraId="0927F9D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41</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臺灣高雄地方法院</w:t>
      </w:r>
      <w:r w:rsidRPr="00237A6E">
        <w:rPr>
          <w:rFonts w:cs="Mangal" w:hint="eastAsia"/>
          <w:color w:val="000000"/>
          <w:kern w:val="0"/>
          <w:shd w:val="clear" w:color="auto" w:fill="FFFFFF"/>
        </w:rPr>
        <w:t>4億1,976萬3千元</w:t>
      </w:r>
      <w:r w:rsidRPr="00237A6E">
        <w:rPr>
          <w:shd w:val="clear" w:color="auto" w:fill="FFFFFF"/>
        </w:rPr>
        <w:t>，照列。</w:t>
      </w:r>
    </w:p>
    <w:p w14:paraId="5DA7C79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42</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Pr="00237A6E">
        <w:rPr>
          <w:rFonts w:cs="Mangal" w:hint="eastAsia"/>
          <w:color w:val="000000"/>
          <w:kern w:val="0"/>
          <w:shd w:val="clear" w:color="auto" w:fill="FFFFFF"/>
        </w:rPr>
        <w:t>1億0,986萬4千元</w:t>
      </w:r>
      <w:r w:rsidRPr="00237A6E">
        <w:rPr>
          <w:shd w:val="clear" w:color="auto" w:fill="FFFFFF"/>
        </w:rPr>
        <w:t>，照列。</w:t>
      </w:r>
    </w:p>
    <w:p w14:paraId="08A04DE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43</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臺灣臺東地方法院</w:t>
      </w:r>
      <w:r w:rsidRPr="00237A6E">
        <w:rPr>
          <w:rFonts w:cs="Mangal" w:hint="eastAsia"/>
          <w:color w:val="000000"/>
          <w:kern w:val="0"/>
          <w:shd w:val="clear" w:color="auto" w:fill="FFFFFF"/>
        </w:rPr>
        <w:t>2,</w:t>
      </w:r>
      <w:r w:rsidRPr="00237A6E">
        <w:rPr>
          <w:rFonts w:cs="Mangal"/>
          <w:color w:val="000000"/>
          <w:kern w:val="0"/>
          <w:shd w:val="clear" w:color="auto" w:fill="FFFFFF"/>
        </w:rPr>
        <w:t>888</w:t>
      </w:r>
      <w:r w:rsidRPr="00237A6E">
        <w:rPr>
          <w:rFonts w:cs="Mangal" w:hint="eastAsia"/>
          <w:color w:val="000000"/>
          <w:kern w:val="0"/>
          <w:shd w:val="clear" w:color="auto" w:fill="FFFFFF"/>
        </w:rPr>
        <w:t>萬元</w:t>
      </w:r>
      <w:r w:rsidRPr="00237A6E">
        <w:rPr>
          <w:shd w:val="clear" w:color="auto" w:fill="FFFFFF"/>
        </w:rPr>
        <w:t>，照列。</w:t>
      </w:r>
    </w:p>
    <w:p w14:paraId="08D8BE2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44</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Pr="00237A6E">
        <w:rPr>
          <w:rFonts w:cs="Mangal" w:hint="eastAsia"/>
          <w:color w:val="000000"/>
          <w:kern w:val="0"/>
          <w:shd w:val="clear" w:color="auto" w:fill="FFFFFF"/>
        </w:rPr>
        <w:t>6,613萬6千元</w:t>
      </w:r>
      <w:r w:rsidRPr="00237A6E">
        <w:rPr>
          <w:shd w:val="clear" w:color="auto" w:fill="FFFFFF"/>
        </w:rPr>
        <w:t>，照列。</w:t>
      </w:r>
    </w:p>
    <w:p w14:paraId="7E02C87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lastRenderedPageBreak/>
        <w:t>第</w:t>
      </w:r>
      <w:r w:rsidRPr="00237A6E">
        <w:rPr>
          <w:rFonts w:hint="eastAsia"/>
          <w:shd w:val="clear" w:color="auto" w:fill="FFFFFF"/>
        </w:rPr>
        <w:t>45</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Pr="00237A6E">
        <w:rPr>
          <w:rFonts w:cs="Mangal" w:hint="eastAsia"/>
          <w:color w:val="000000"/>
          <w:kern w:val="0"/>
          <w:shd w:val="clear" w:color="auto" w:fill="FFFFFF"/>
        </w:rPr>
        <w:t>8,463萬7千元</w:t>
      </w:r>
      <w:r w:rsidRPr="00237A6E">
        <w:rPr>
          <w:shd w:val="clear" w:color="auto" w:fill="FFFFFF"/>
        </w:rPr>
        <w:t>，照列。</w:t>
      </w:r>
    </w:p>
    <w:p w14:paraId="4BD133DA"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46</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Pr="00237A6E">
        <w:rPr>
          <w:rFonts w:cs="Mangal" w:hint="eastAsia"/>
          <w:color w:val="000000"/>
          <w:kern w:val="0"/>
          <w:shd w:val="clear" w:color="auto" w:fill="FFFFFF"/>
        </w:rPr>
        <w:t>6,</w:t>
      </w:r>
      <w:r w:rsidRPr="00237A6E">
        <w:rPr>
          <w:rFonts w:cs="Mangal"/>
          <w:color w:val="000000"/>
          <w:kern w:val="0"/>
          <w:shd w:val="clear" w:color="auto" w:fill="FFFFFF"/>
        </w:rPr>
        <w:t>933</w:t>
      </w:r>
      <w:r w:rsidRPr="00237A6E">
        <w:rPr>
          <w:rFonts w:cs="Mangal" w:hint="eastAsia"/>
          <w:color w:val="000000"/>
          <w:kern w:val="0"/>
          <w:shd w:val="clear" w:color="auto" w:fill="FFFFFF"/>
        </w:rPr>
        <w:t>萬5千元</w:t>
      </w:r>
      <w:r w:rsidRPr="00237A6E">
        <w:rPr>
          <w:shd w:val="clear" w:color="auto" w:fill="FFFFFF"/>
        </w:rPr>
        <w:t>，照列。</w:t>
      </w:r>
    </w:p>
    <w:p w14:paraId="33BF1C1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47</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Pr="00237A6E">
        <w:rPr>
          <w:rFonts w:cs="Mangal" w:hint="eastAsia"/>
          <w:color w:val="000000"/>
          <w:kern w:val="0"/>
          <w:shd w:val="clear" w:color="auto" w:fill="FFFFFF"/>
        </w:rPr>
        <w:t>1,186萬5千元</w:t>
      </w:r>
      <w:r w:rsidRPr="00237A6E">
        <w:rPr>
          <w:shd w:val="clear" w:color="auto" w:fill="FFFFFF"/>
        </w:rPr>
        <w:t>，照列。</w:t>
      </w:r>
    </w:p>
    <w:p w14:paraId="45A4AB4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48</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Pr="00237A6E">
        <w:rPr>
          <w:rFonts w:cs="Mangal" w:hint="eastAsia"/>
          <w:color w:val="000000"/>
          <w:kern w:val="0"/>
          <w:shd w:val="clear" w:color="auto" w:fill="FFFFFF"/>
        </w:rPr>
        <w:t>3,313萬1千元</w:t>
      </w:r>
      <w:r w:rsidRPr="00237A6E">
        <w:rPr>
          <w:shd w:val="clear" w:color="auto" w:fill="FFFFFF"/>
        </w:rPr>
        <w:t>，照列。</w:t>
      </w:r>
    </w:p>
    <w:p w14:paraId="594B298A"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49</w:t>
      </w:r>
      <w:r w:rsidRPr="00237A6E">
        <w:rPr>
          <w:shd w:val="clear" w:color="auto" w:fill="FFFFFF"/>
        </w:rPr>
        <w:t>項</w:t>
      </w:r>
      <w:r w:rsidRPr="00237A6E">
        <w:rPr>
          <w:rFonts w:hint="eastAsia"/>
          <w:shd w:val="clear" w:color="auto" w:fill="FFFFFF"/>
        </w:rPr>
        <w:t xml:space="preserve">　</w:t>
      </w:r>
      <w:r w:rsidRPr="00237A6E">
        <w:rPr>
          <w:shd w:val="clear" w:color="auto" w:fill="FFFFFF"/>
        </w:rPr>
        <w:t>福建高等法院金門分院</w:t>
      </w:r>
      <w:r w:rsidRPr="00237A6E">
        <w:rPr>
          <w:rFonts w:cs="Mangal" w:hint="eastAsia"/>
          <w:color w:val="000000"/>
          <w:kern w:val="0"/>
          <w:shd w:val="clear" w:color="auto" w:fill="FFFFFF"/>
        </w:rPr>
        <w:t>272萬8千元</w:t>
      </w:r>
      <w:r w:rsidRPr="00237A6E">
        <w:rPr>
          <w:shd w:val="clear" w:color="auto" w:fill="FFFFFF"/>
        </w:rPr>
        <w:t>，照列。</w:t>
      </w:r>
    </w:p>
    <w:p w14:paraId="33858B2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福建金門地方法院</w:t>
      </w:r>
      <w:r w:rsidRPr="00237A6E">
        <w:rPr>
          <w:rFonts w:cs="Mangal" w:hint="eastAsia"/>
          <w:color w:val="000000"/>
          <w:kern w:val="0"/>
          <w:shd w:val="clear" w:color="auto" w:fill="FFFFFF"/>
        </w:rPr>
        <w:t>1,641萬2千元</w:t>
      </w:r>
      <w:r w:rsidRPr="00237A6E">
        <w:rPr>
          <w:shd w:val="clear" w:color="auto" w:fill="FFFFFF"/>
        </w:rPr>
        <w:t>，照列。</w:t>
      </w:r>
    </w:p>
    <w:p w14:paraId="2538CA0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51</w:t>
      </w:r>
      <w:r w:rsidRPr="00237A6E">
        <w:rPr>
          <w:shd w:val="clear" w:color="auto" w:fill="FFFFFF"/>
        </w:rPr>
        <w:t>項</w:t>
      </w:r>
      <w:r w:rsidRPr="00237A6E">
        <w:rPr>
          <w:rFonts w:hint="eastAsia"/>
          <w:shd w:val="clear" w:color="auto" w:fill="FFFFFF"/>
        </w:rPr>
        <w:t xml:space="preserve">　</w:t>
      </w:r>
      <w:r w:rsidRPr="00237A6E">
        <w:rPr>
          <w:shd w:val="clear" w:color="auto" w:fill="FFFFFF"/>
        </w:rPr>
        <w:t>福建連江地方法院</w:t>
      </w:r>
      <w:r w:rsidRPr="00237A6E">
        <w:rPr>
          <w:rFonts w:cs="Mangal" w:hint="eastAsia"/>
          <w:color w:val="000000"/>
          <w:kern w:val="0"/>
          <w:shd w:val="clear" w:color="auto" w:fill="FFFFFF"/>
        </w:rPr>
        <w:t>341萬9千元</w:t>
      </w:r>
      <w:r w:rsidRPr="00237A6E">
        <w:rPr>
          <w:shd w:val="clear" w:color="auto" w:fill="FFFFFF"/>
        </w:rPr>
        <w:t>，照列。</w:t>
      </w:r>
    </w:p>
    <w:p w14:paraId="0EAAA351" w14:textId="77777777" w:rsidR="00421BB5" w:rsidRPr="00237A6E" w:rsidRDefault="00421BB5" w:rsidP="00421BB5">
      <w:pPr>
        <w:pStyle w:val="3-"/>
        <w:adjustRightInd w:val="0"/>
        <w:snapToGrid w:val="0"/>
        <w:ind w:left="800" w:hanging="560"/>
        <w:rPr>
          <w:shd w:val="clear" w:color="auto" w:fill="FFFFFF"/>
        </w:rPr>
      </w:pPr>
      <w:r w:rsidRPr="00237A6E">
        <w:rPr>
          <w:shd w:val="clear" w:color="auto" w:fill="FFFFFF"/>
        </w:rPr>
        <w:t>第4款　財產收入</w:t>
      </w:r>
    </w:p>
    <w:p w14:paraId="4348262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司法院</w:t>
      </w:r>
      <w:r w:rsidRPr="00237A6E">
        <w:rPr>
          <w:rFonts w:hint="eastAsia"/>
          <w:shd w:val="clear" w:color="auto" w:fill="FFFFFF"/>
        </w:rPr>
        <w:t>50</w:t>
      </w:r>
      <w:r w:rsidRPr="00237A6E">
        <w:rPr>
          <w:shd w:val="clear" w:color="auto" w:fill="FFFFFF"/>
        </w:rPr>
        <w:t>萬元，照列。</w:t>
      </w:r>
    </w:p>
    <w:p w14:paraId="41ED7EB0" w14:textId="77777777" w:rsidR="00421BB5" w:rsidRPr="00237A6E" w:rsidRDefault="00421BB5" w:rsidP="00421BB5">
      <w:pPr>
        <w:pStyle w:val="3-1"/>
        <w:adjustRightInd w:val="0"/>
        <w:snapToGrid w:val="0"/>
        <w:ind w:left="1601" w:hanging="1121"/>
        <w:rPr>
          <w:b/>
          <w:shd w:val="clear" w:color="auto" w:fill="FFFFFF"/>
        </w:rPr>
      </w:pPr>
      <w:r w:rsidRPr="00237A6E">
        <w:rPr>
          <w:rFonts w:hint="eastAsia"/>
          <w:b/>
          <w:shd w:val="clear" w:color="auto" w:fill="FFFFFF"/>
        </w:rPr>
        <w:t>本項通過決議</w:t>
      </w:r>
      <w:r w:rsidRPr="00237A6E">
        <w:rPr>
          <w:b/>
          <w:shd w:val="clear" w:color="auto" w:fill="FFFFFF"/>
        </w:rPr>
        <w:t>1</w:t>
      </w:r>
      <w:r w:rsidRPr="00237A6E">
        <w:rPr>
          <w:rFonts w:hint="eastAsia"/>
          <w:b/>
          <w:shd w:val="clear" w:color="auto" w:fill="FFFFFF"/>
        </w:rPr>
        <w:t>項：</w:t>
      </w:r>
    </w:p>
    <w:p w14:paraId="4F2206D2" w14:textId="77777777" w:rsidR="00421BB5" w:rsidRPr="00237A6E" w:rsidRDefault="00421BB5" w:rsidP="00421BB5">
      <w:pPr>
        <w:pStyle w:val="0-"/>
      </w:pPr>
      <w:r w:rsidRPr="00237A6E">
        <w:rPr>
          <w:rFonts w:hint="eastAsia"/>
        </w:rPr>
        <w:t>(一)司法院有關租金收入112年度編列數為42萬元，查司法院租金收入決算數，110年度為1,326萬8千元、109年度1,383萬9千元，108年度1,383萬9千元，歷年租金收入都超過1,000萬元，</w:t>
      </w:r>
      <w:r>
        <w:rPr>
          <w:rFonts w:hint="eastAsia"/>
        </w:rPr>
        <w:t>請積極提升資源運用效益，以增加租金收入。</w:t>
      </w:r>
    </w:p>
    <w:p w14:paraId="676C7ACE" w14:textId="77777777" w:rsidR="00421BB5" w:rsidRPr="00237A6E" w:rsidRDefault="00421BB5" w:rsidP="00421BB5">
      <w:pPr>
        <w:pStyle w:val="2-1"/>
        <w:rPr>
          <w:shd w:val="clear" w:color="auto" w:fill="FFFFFF"/>
        </w:rPr>
      </w:pPr>
      <w:r w:rsidRPr="00237A6E">
        <w:rPr>
          <w:rFonts w:hint="eastAsia"/>
          <w:shd w:val="clear" w:color="auto" w:fill="FFFFFF"/>
        </w:rPr>
        <w:t>提案人：鄭運鵬 黃世杰 陳歐珀</w:t>
      </w:r>
    </w:p>
    <w:p w14:paraId="47B02CD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最高法院</w:t>
      </w:r>
      <w:r w:rsidRPr="00237A6E">
        <w:rPr>
          <w:rFonts w:hint="eastAsia"/>
          <w:shd w:val="clear" w:color="auto" w:fill="FFFFFF"/>
        </w:rPr>
        <w:t>3</w:t>
      </w:r>
      <w:r w:rsidRPr="00237A6E">
        <w:rPr>
          <w:shd w:val="clear" w:color="auto" w:fill="FFFFFF"/>
        </w:rPr>
        <w:t>萬</w:t>
      </w:r>
      <w:r w:rsidRPr="00237A6E">
        <w:rPr>
          <w:rFonts w:hint="eastAsia"/>
          <w:shd w:val="clear" w:color="auto" w:fill="FFFFFF"/>
        </w:rPr>
        <w:t>4</w:t>
      </w:r>
      <w:r w:rsidRPr="00237A6E">
        <w:rPr>
          <w:shd w:val="clear" w:color="auto" w:fill="FFFFFF"/>
        </w:rPr>
        <w:t>千元，照列。</w:t>
      </w:r>
    </w:p>
    <w:p w14:paraId="4CB5258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最高行政法院5千元，照列。</w:t>
      </w:r>
    </w:p>
    <w:p w14:paraId="5C6E45D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臺北高等行政法院</w:t>
      </w:r>
      <w:r w:rsidRPr="00237A6E">
        <w:rPr>
          <w:rFonts w:cs="Mangal" w:hint="eastAsia"/>
          <w:color w:val="000000"/>
          <w:kern w:val="0"/>
          <w:shd w:val="clear" w:color="auto" w:fill="FFFFFF"/>
        </w:rPr>
        <w:t>2千元</w:t>
      </w:r>
      <w:r w:rsidRPr="00237A6E">
        <w:rPr>
          <w:shd w:val="clear" w:color="auto" w:fill="FFFFFF"/>
        </w:rPr>
        <w:t>，照列。</w:t>
      </w:r>
    </w:p>
    <w:p w14:paraId="0D7A757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臺中高等行政法院</w:t>
      </w:r>
      <w:r w:rsidRPr="00237A6E">
        <w:rPr>
          <w:rFonts w:cs="Mangal" w:hint="eastAsia"/>
          <w:color w:val="000000"/>
          <w:kern w:val="0"/>
          <w:shd w:val="clear" w:color="auto" w:fill="FFFFFF"/>
        </w:rPr>
        <w:t>4萬2千元</w:t>
      </w:r>
      <w:r w:rsidRPr="00237A6E">
        <w:rPr>
          <w:shd w:val="clear" w:color="auto" w:fill="FFFFFF"/>
        </w:rPr>
        <w:t>，照列。</w:t>
      </w:r>
    </w:p>
    <w:p w14:paraId="2DF8413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高雄高等行政法院</w:t>
      </w:r>
      <w:r w:rsidRPr="00237A6E">
        <w:rPr>
          <w:rFonts w:cs="Mangal" w:hint="eastAsia"/>
          <w:color w:val="000000"/>
          <w:kern w:val="0"/>
          <w:shd w:val="clear" w:color="auto" w:fill="FFFFFF"/>
        </w:rPr>
        <w:t>7萬2千元</w:t>
      </w:r>
      <w:r w:rsidRPr="00237A6E">
        <w:rPr>
          <w:shd w:val="clear" w:color="auto" w:fill="FFFFFF"/>
        </w:rPr>
        <w:t>，照列。</w:t>
      </w:r>
    </w:p>
    <w:p w14:paraId="27EA1081"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w:t>
      </w:r>
      <w:r w:rsidRPr="00237A6E">
        <w:rPr>
          <w:shd w:val="clear" w:color="auto" w:fill="FFFFFF"/>
        </w:rPr>
        <w:t>懲戒法院</w:t>
      </w:r>
      <w:r w:rsidRPr="00237A6E">
        <w:rPr>
          <w:rFonts w:hint="eastAsia"/>
          <w:shd w:val="clear" w:color="auto" w:fill="FFFFFF"/>
        </w:rPr>
        <w:t>3千</w:t>
      </w:r>
      <w:r w:rsidRPr="00237A6E">
        <w:rPr>
          <w:shd w:val="clear" w:color="auto" w:fill="FFFFFF"/>
        </w:rPr>
        <w:t>元，照列。</w:t>
      </w:r>
    </w:p>
    <w:p w14:paraId="5987E99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30</w:t>
      </w:r>
      <w:r w:rsidRPr="00237A6E">
        <w:rPr>
          <w:shd w:val="clear" w:color="auto" w:fill="FFFFFF"/>
        </w:rPr>
        <w:t>項</w:t>
      </w:r>
      <w:r w:rsidRPr="00237A6E">
        <w:rPr>
          <w:rFonts w:hint="eastAsia"/>
          <w:shd w:val="clear" w:color="auto" w:fill="FFFFFF"/>
        </w:rPr>
        <w:t xml:space="preserve">　</w:t>
      </w:r>
      <w:r w:rsidRPr="00237A6E">
        <w:rPr>
          <w:shd w:val="clear" w:color="auto" w:fill="FFFFFF"/>
        </w:rPr>
        <w:t>法官學院</w:t>
      </w:r>
      <w:r w:rsidRPr="00237A6E">
        <w:rPr>
          <w:rFonts w:cs="Mangal" w:hint="eastAsia"/>
          <w:color w:val="000000"/>
          <w:kern w:val="0"/>
          <w:shd w:val="clear" w:color="auto" w:fill="FFFFFF"/>
        </w:rPr>
        <w:t>6萬元</w:t>
      </w:r>
      <w:r w:rsidRPr="00237A6E">
        <w:rPr>
          <w:shd w:val="clear" w:color="auto" w:fill="FFFFFF"/>
        </w:rPr>
        <w:t>，照列。</w:t>
      </w:r>
    </w:p>
    <w:p w14:paraId="4E18758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智慧財產</w:t>
      </w:r>
      <w:r w:rsidRPr="00237A6E">
        <w:rPr>
          <w:rFonts w:hint="eastAsia"/>
          <w:shd w:val="clear" w:color="auto" w:fill="FFFFFF"/>
        </w:rPr>
        <w:t>及商業</w:t>
      </w:r>
      <w:r w:rsidRPr="00237A6E">
        <w:rPr>
          <w:shd w:val="clear" w:color="auto" w:fill="FFFFFF"/>
        </w:rPr>
        <w:t>法院</w:t>
      </w:r>
      <w:r w:rsidRPr="00237A6E">
        <w:rPr>
          <w:rFonts w:hint="eastAsia"/>
          <w:shd w:val="clear" w:color="auto" w:fill="FFFFFF"/>
        </w:rPr>
        <w:t>8萬</w:t>
      </w:r>
      <w:r w:rsidRPr="00237A6E">
        <w:rPr>
          <w:rFonts w:cs="Mangal" w:hint="eastAsia"/>
          <w:color w:val="000000"/>
          <w:kern w:val="0"/>
          <w:shd w:val="clear" w:color="auto" w:fill="FFFFFF"/>
        </w:rPr>
        <w:t>7千元</w:t>
      </w:r>
      <w:r w:rsidRPr="00237A6E">
        <w:rPr>
          <w:shd w:val="clear" w:color="auto" w:fill="FFFFFF"/>
        </w:rPr>
        <w:t>，照列。</w:t>
      </w:r>
    </w:p>
    <w:p w14:paraId="1B61C70A"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臺灣高等法院1</w:t>
      </w:r>
      <w:r w:rsidRPr="00237A6E">
        <w:rPr>
          <w:rFonts w:hint="eastAsia"/>
          <w:shd w:val="clear" w:color="auto" w:fill="FFFFFF"/>
        </w:rPr>
        <w:t>40</w:t>
      </w:r>
      <w:r w:rsidRPr="00237A6E">
        <w:rPr>
          <w:shd w:val="clear" w:color="auto" w:fill="FFFFFF"/>
        </w:rPr>
        <w:t>萬</w:t>
      </w:r>
      <w:r w:rsidRPr="00237A6E">
        <w:rPr>
          <w:rFonts w:hint="eastAsia"/>
          <w:shd w:val="clear" w:color="auto" w:fill="FFFFFF"/>
        </w:rPr>
        <w:t>2</w:t>
      </w:r>
      <w:r w:rsidRPr="00237A6E">
        <w:rPr>
          <w:shd w:val="clear" w:color="auto" w:fill="FFFFFF"/>
        </w:rPr>
        <w:t>千元，照列。</w:t>
      </w:r>
    </w:p>
    <w:p w14:paraId="111D7BF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臺灣高等法院臺中分院</w:t>
      </w:r>
      <w:r w:rsidRPr="00237A6E">
        <w:rPr>
          <w:rFonts w:hint="eastAsia"/>
          <w:shd w:val="clear" w:color="auto" w:fill="FFFFFF"/>
        </w:rPr>
        <w:t>8</w:t>
      </w:r>
      <w:r w:rsidRPr="00237A6E">
        <w:rPr>
          <w:shd w:val="clear" w:color="auto" w:fill="FFFFFF"/>
        </w:rPr>
        <w:t>萬</w:t>
      </w:r>
      <w:r w:rsidRPr="00237A6E">
        <w:rPr>
          <w:rFonts w:hint="eastAsia"/>
          <w:shd w:val="clear" w:color="auto" w:fill="FFFFFF"/>
        </w:rPr>
        <w:t>2千</w:t>
      </w:r>
      <w:r w:rsidRPr="00237A6E">
        <w:rPr>
          <w:shd w:val="clear" w:color="auto" w:fill="FFFFFF"/>
        </w:rPr>
        <w:t>元，照列。</w:t>
      </w:r>
    </w:p>
    <w:p w14:paraId="33286D9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Pr="00237A6E">
        <w:rPr>
          <w:rFonts w:cs="Mangal" w:hint="eastAsia"/>
          <w:color w:val="000000"/>
          <w:kern w:val="0"/>
          <w:shd w:val="clear" w:color="auto" w:fill="FFFFFF"/>
        </w:rPr>
        <w:t>8萬元</w:t>
      </w:r>
      <w:r w:rsidRPr="00237A6E">
        <w:rPr>
          <w:shd w:val="clear" w:color="auto" w:fill="FFFFFF"/>
        </w:rPr>
        <w:t>，照列。</w:t>
      </w:r>
    </w:p>
    <w:p w14:paraId="31013E0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臺灣高等法院高雄分院</w:t>
      </w:r>
      <w:r w:rsidRPr="00237A6E">
        <w:rPr>
          <w:rFonts w:cs="Mangal" w:hint="eastAsia"/>
          <w:color w:val="000000"/>
          <w:kern w:val="0"/>
          <w:shd w:val="clear" w:color="auto" w:fill="FFFFFF"/>
        </w:rPr>
        <w:t>16萬5千元</w:t>
      </w:r>
      <w:r w:rsidRPr="00237A6E">
        <w:rPr>
          <w:shd w:val="clear" w:color="auto" w:fill="FFFFFF"/>
        </w:rPr>
        <w:t>，照列。</w:t>
      </w:r>
    </w:p>
    <w:p w14:paraId="17B57C4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w:t>
      </w:r>
      <w:r w:rsidRPr="00237A6E">
        <w:rPr>
          <w:rFonts w:cs="Mangal" w:hint="eastAsia"/>
          <w:color w:val="000000"/>
          <w:kern w:val="0"/>
          <w:shd w:val="clear" w:color="auto" w:fill="FFFFFF"/>
        </w:rPr>
        <w:t>1萬4千元</w:t>
      </w:r>
      <w:r w:rsidRPr="00237A6E">
        <w:rPr>
          <w:shd w:val="clear" w:color="auto" w:fill="FFFFFF"/>
        </w:rPr>
        <w:t>，照列。</w:t>
      </w:r>
    </w:p>
    <w:p w14:paraId="286D21D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臺灣臺北地方法院</w:t>
      </w:r>
      <w:r w:rsidRPr="00237A6E">
        <w:rPr>
          <w:rFonts w:cs="Mangal" w:hint="eastAsia"/>
          <w:color w:val="000000"/>
          <w:kern w:val="0"/>
          <w:shd w:val="clear" w:color="auto" w:fill="FFFFFF"/>
        </w:rPr>
        <w:t>87萬8千元</w:t>
      </w:r>
      <w:r w:rsidRPr="00237A6E">
        <w:rPr>
          <w:shd w:val="clear" w:color="auto" w:fill="FFFFFF"/>
        </w:rPr>
        <w:t>，照列。</w:t>
      </w:r>
    </w:p>
    <w:p w14:paraId="7DB8B0A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臺灣士林地方法院</w:t>
      </w:r>
      <w:r w:rsidRPr="00237A6E">
        <w:rPr>
          <w:rFonts w:cs="Mangal" w:hint="eastAsia"/>
          <w:color w:val="000000"/>
          <w:kern w:val="0"/>
          <w:shd w:val="clear" w:color="auto" w:fill="FFFFFF"/>
        </w:rPr>
        <w:t>19萬2千元</w:t>
      </w:r>
      <w:r w:rsidRPr="00237A6E">
        <w:rPr>
          <w:shd w:val="clear" w:color="auto" w:fill="FFFFFF"/>
        </w:rPr>
        <w:t>，照列。</w:t>
      </w:r>
    </w:p>
    <w:p w14:paraId="315D548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39</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臺灣新北地方法院</w:t>
      </w:r>
      <w:r w:rsidRPr="00237A6E">
        <w:rPr>
          <w:rFonts w:cs="Mangal" w:hint="eastAsia"/>
          <w:color w:val="000000"/>
          <w:kern w:val="0"/>
          <w:shd w:val="clear" w:color="auto" w:fill="FFFFFF"/>
        </w:rPr>
        <w:t>11萬1千元</w:t>
      </w:r>
      <w:r w:rsidRPr="00237A6E">
        <w:rPr>
          <w:shd w:val="clear" w:color="auto" w:fill="FFFFFF"/>
        </w:rPr>
        <w:t>，照列。</w:t>
      </w:r>
    </w:p>
    <w:p w14:paraId="647F92E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Pr="00237A6E">
        <w:rPr>
          <w:rFonts w:cs="Mangal" w:hint="eastAsia"/>
          <w:color w:val="000000"/>
          <w:kern w:val="0"/>
          <w:shd w:val="clear" w:color="auto" w:fill="FFFFFF"/>
        </w:rPr>
        <w:t>6</w:t>
      </w:r>
      <w:r w:rsidRPr="00237A6E">
        <w:rPr>
          <w:rFonts w:cs="Mangal"/>
          <w:color w:val="000000"/>
          <w:kern w:val="0"/>
          <w:shd w:val="clear" w:color="auto" w:fill="FFFFFF"/>
        </w:rPr>
        <w:t>0</w:t>
      </w:r>
      <w:r w:rsidRPr="00237A6E">
        <w:rPr>
          <w:rFonts w:cs="Mangal" w:hint="eastAsia"/>
          <w:color w:val="000000"/>
          <w:kern w:val="0"/>
          <w:shd w:val="clear" w:color="auto" w:fill="FFFFFF"/>
        </w:rPr>
        <w:t>萬元</w:t>
      </w:r>
      <w:r w:rsidRPr="00237A6E">
        <w:rPr>
          <w:shd w:val="clear" w:color="auto" w:fill="FFFFFF"/>
        </w:rPr>
        <w:t>，照列。</w:t>
      </w:r>
    </w:p>
    <w:p w14:paraId="0D34ABE6"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Pr="00237A6E">
        <w:rPr>
          <w:rFonts w:cs="Mangal" w:hint="eastAsia"/>
          <w:color w:val="000000"/>
          <w:kern w:val="0"/>
          <w:shd w:val="clear" w:color="auto" w:fill="FFFFFF"/>
        </w:rPr>
        <w:t>13萬1千元</w:t>
      </w:r>
      <w:r w:rsidRPr="00237A6E">
        <w:rPr>
          <w:shd w:val="clear" w:color="auto" w:fill="FFFFFF"/>
        </w:rPr>
        <w:t>，照列。</w:t>
      </w:r>
    </w:p>
    <w:p w14:paraId="38B35E9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臺灣苗栗地方法院</w:t>
      </w:r>
      <w:r w:rsidRPr="00237A6E">
        <w:rPr>
          <w:rFonts w:cs="Mangal" w:hint="eastAsia"/>
          <w:color w:val="000000"/>
          <w:kern w:val="0"/>
          <w:shd w:val="clear" w:color="auto" w:fill="FFFFFF"/>
        </w:rPr>
        <w:t>15萬1千元</w:t>
      </w:r>
      <w:r w:rsidRPr="00237A6E">
        <w:rPr>
          <w:shd w:val="clear" w:color="auto" w:fill="FFFFFF"/>
        </w:rPr>
        <w:t>，照列。</w:t>
      </w:r>
    </w:p>
    <w:p w14:paraId="543F832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臺灣臺中地方法院</w:t>
      </w:r>
      <w:r w:rsidRPr="00237A6E">
        <w:rPr>
          <w:rFonts w:cs="Mangal" w:hint="eastAsia"/>
          <w:color w:val="000000"/>
          <w:kern w:val="0"/>
          <w:shd w:val="clear" w:color="auto" w:fill="FFFFFF"/>
        </w:rPr>
        <w:t>34萬7千</w:t>
      </w:r>
      <w:r w:rsidRPr="00237A6E">
        <w:rPr>
          <w:shd w:val="clear" w:color="auto" w:fill="FFFFFF"/>
        </w:rPr>
        <w:t>元，照列。</w:t>
      </w:r>
    </w:p>
    <w:p w14:paraId="2396EB3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Pr="00237A6E">
        <w:rPr>
          <w:rFonts w:cs="Mangal" w:hint="eastAsia"/>
          <w:color w:val="000000"/>
          <w:kern w:val="0"/>
          <w:shd w:val="clear" w:color="auto" w:fill="FFFFFF"/>
        </w:rPr>
        <w:t>8萬7千元</w:t>
      </w:r>
      <w:r w:rsidRPr="00237A6E">
        <w:rPr>
          <w:shd w:val="clear" w:color="auto" w:fill="FFFFFF"/>
        </w:rPr>
        <w:t>，照列。</w:t>
      </w:r>
    </w:p>
    <w:p w14:paraId="6FC9C55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Pr="00237A6E">
        <w:rPr>
          <w:rFonts w:cs="Mangal" w:hint="eastAsia"/>
          <w:color w:val="000000"/>
          <w:kern w:val="0"/>
          <w:shd w:val="clear" w:color="auto" w:fill="FFFFFF"/>
        </w:rPr>
        <w:t>7萬4千元</w:t>
      </w:r>
      <w:r w:rsidRPr="00237A6E">
        <w:rPr>
          <w:shd w:val="clear" w:color="auto" w:fill="FFFFFF"/>
        </w:rPr>
        <w:t>，照列。</w:t>
      </w:r>
    </w:p>
    <w:p w14:paraId="2AA37A56"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Pr="00237A6E">
        <w:rPr>
          <w:rFonts w:cs="Mangal" w:hint="eastAsia"/>
          <w:color w:val="000000"/>
          <w:kern w:val="0"/>
          <w:shd w:val="clear" w:color="auto" w:fill="FFFFFF"/>
        </w:rPr>
        <w:t>22萬元</w:t>
      </w:r>
      <w:r w:rsidRPr="00237A6E">
        <w:rPr>
          <w:shd w:val="clear" w:color="auto" w:fill="FFFFFF"/>
        </w:rPr>
        <w:t>，照列。</w:t>
      </w:r>
    </w:p>
    <w:p w14:paraId="5C98FAD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Pr="00237A6E">
        <w:rPr>
          <w:rFonts w:cs="Mangal" w:hint="eastAsia"/>
          <w:color w:val="000000"/>
          <w:kern w:val="0"/>
          <w:shd w:val="clear" w:color="auto" w:fill="FFFFFF"/>
        </w:rPr>
        <w:t>2萬6千元</w:t>
      </w:r>
      <w:r w:rsidRPr="00237A6E">
        <w:rPr>
          <w:shd w:val="clear" w:color="auto" w:fill="FFFFFF"/>
        </w:rPr>
        <w:t>，照列。</w:t>
      </w:r>
    </w:p>
    <w:p w14:paraId="73DC4D37"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臺灣臺南地方法院</w:t>
      </w:r>
      <w:r w:rsidRPr="00237A6E">
        <w:rPr>
          <w:rFonts w:cs="Mangal" w:hint="eastAsia"/>
          <w:color w:val="000000"/>
          <w:kern w:val="0"/>
          <w:shd w:val="clear" w:color="auto" w:fill="FFFFFF"/>
        </w:rPr>
        <w:t>48萬元</w:t>
      </w:r>
      <w:r w:rsidRPr="00237A6E">
        <w:rPr>
          <w:shd w:val="clear" w:color="auto" w:fill="FFFFFF"/>
        </w:rPr>
        <w:t>，照列。</w:t>
      </w:r>
    </w:p>
    <w:p w14:paraId="658B36E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lastRenderedPageBreak/>
        <w:t>第</w:t>
      </w:r>
      <w:r w:rsidRPr="00237A6E">
        <w:rPr>
          <w:rFonts w:hint="eastAsia"/>
          <w:shd w:val="clear" w:color="auto" w:fill="FFFFFF"/>
        </w:rPr>
        <w:t>49</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橋頭</w:t>
      </w:r>
      <w:r w:rsidRPr="00237A6E">
        <w:rPr>
          <w:shd w:val="clear" w:color="auto" w:fill="FFFFFF"/>
        </w:rPr>
        <w:t>地方法院</w:t>
      </w:r>
      <w:r w:rsidRPr="00237A6E">
        <w:rPr>
          <w:rFonts w:cs="Mangal" w:hint="eastAsia"/>
          <w:color w:val="000000"/>
          <w:kern w:val="0"/>
          <w:shd w:val="clear" w:color="auto" w:fill="FFFFFF"/>
        </w:rPr>
        <w:t>109萬8千元</w:t>
      </w:r>
      <w:r w:rsidRPr="00237A6E">
        <w:rPr>
          <w:shd w:val="clear" w:color="auto" w:fill="FFFFFF"/>
        </w:rPr>
        <w:t>，照列。</w:t>
      </w:r>
    </w:p>
    <w:p w14:paraId="28C55857"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高雄</w:t>
      </w:r>
      <w:r w:rsidRPr="00237A6E">
        <w:rPr>
          <w:shd w:val="clear" w:color="auto" w:fill="FFFFFF"/>
        </w:rPr>
        <w:t>地方法院</w:t>
      </w:r>
      <w:r w:rsidRPr="00237A6E">
        <w:rPr>
          <w:rFonts w:hint="eastAsia"/>
          <w:shd w:val="clear" w:color="auto" w:fill="FFFFFF"/>
        </w:rPr>
        <w:t>32</w:t>
      </w:r>
      <w:r w:rsidRPr="00237A6E">
        <w:rPr>
          <w:shd w:val="clear" w:color="auto" w:fill="FFFFFF"/>
        </w:rPr>
        <w:t>萬</w:t>
      </w:r>
      <w:r w:rsidRPr="00237A6E">
        <w:rPr>
          <w:rFonts w:hint="eastAsia"/>
          <w:shd w:val="clear" w:color="auto" w:fill="FFFFFF"/>
        </w:rPr>
        <w:t>9千</w:t>
      </w:r>
      <w:r w:rsidRPr="00237A6E">
        <w:rPr>
          <w:shd w:val="clear" w:color="auto" w:fill="FFFFFF"/>
        </w:rPr>
        <w:t>元，照列。</w:t>
      </w:r>
    </w:p>
    <w:p w14:paraId="35DACC16"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Pr="00237A6E">
        <w:rPr>
          <w:rFonts w:hint="eastAsia"/>
          <w:shd w:val="clear" w:color="auto" w:fill="FFFFFF"/>
        </w:rPr>
        <w:t>5</w:t>
      </w:r>
      <w:r w:rsidRPr="00237A6E">
        <w:rPr>
          <w:shd w:val="clear" w:color="auto" w:fill="FFFFFF"/>
        </w:rPr>
        <w:t>萬</w:t>
      </w:r>
      <w:r w:rsidRPr="00237A6E">
        <w:rPr>
          <w:rFonts w:hint="eastAsia"/>
          <w:shd w:val="clear" w:color="auto" w:fill="FFFFFF"/>
        </w:rPr>
        <w:t>3千</w:t>
      </w:r>
      <w:r w:rsidRPr="00237A6E">
        <w:rPr>
          <w:shd w:val="clear" w:color="auto" w:fill="FFFFFF"/>
        </w:rPr>
        <w:t>元，照列。</w:t>
      </w:r>
    </w:p>
    <w:p w14:paraId="25D4309A"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臺灣臺東地方法院</w:t>
      </w:r>
      <w:r w:rsidRPr="00237A6E">
        <w:rPr>
          <w:rFonts w:hint="eastAsia"/>
          <w:shd w:val="clear" w:color="auto" w:fill="FFFFFF"/>
        </w:rPr>
        <w:t>3</w:t>
      </w:r>
      <w:r w:rsidRPr="00237A6E">
        <w:rPr>
          <w:shd w:val="clear" w:color="auto" w:fill="FFFFFF"/>
        </w:rPr>
        <w:t>萬6千元，照列。</w:t>
      </w:r>
    </w:p>
    <w:p w14:paraId="585937C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Pr="00237A6E">
        <w:rPr>
          <w:rFonts w:cs="Mangal" w:hint="eastAsia"/>
          <w:color w:val="000000"/>
          <w:kern w:val="0"/>
          <w:shd w:val="clear" w:color="auto" w:fill="FFFFFF"/>
        </w:rPr>
        <w:t>21萬1千元</w:t>
      </w:r>
      <w:r w:rsidRPr="00237A6E">
        <w:rPr>
          <w:shd w:val="clear" w:color="auto" w:fill="FFFFFF"/>
        </w:rPr>
        <w:t>，照列。</w:t>
      </w:r>
    </w:p>
    <w:p w14:paraId="71BE5B4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Pr="00237A6E">
        <w:rPr>
          <w:rFonts w:hint="eastAsia"/>
          <w:shd w:val="clear" w:color="auto" w:fill="FFFFFF"/>
        </w:rPr>
        <w:t>23</w:t>
      </w:r>
      <w:r w:rsidRPr="00237A6E">
        <w:rPr>
          <w:rFonts w:cs="Mangal" w:hint="eastAsia"/>
          <w:color w:val="000000"/>
          <w:kern w:val="0"/>
          <w:shd w:val="clear" w:color="auto" w:fill="FFFFFF"/>
        </w:rPr>
        <w:t>萬5千元</w:t>
      </w:r>
      <w:r w:rsidRPr="00237A6E">
        <w:rPr>
          <w:shd w:val="clear" w:color="auto" w:fill="FFFFFF"/>
        </w:rPr>
        <w:t>，照列。</w:t>
      </w:r>
    </w:p>
    <w:p w14:paraId="2EBFDE2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Pr="00237A6E">
        <w:rPr>
          <w:rFonts w:cs="Mangal" w:hint="eastAsia"/>
          <w:color w:val="000000"/>
          <w:kern w:val="0"/>
          <w:shd w:val="clear" w:color="auto" w:fill="FFFFFF"/>
        </w:rPr>
        <w:t>2萬4千元</w:t>
      </w:r>
      <w:r w:rsidRPr="00237A6E">
        <w:rPr>
          <w:shd w:val="clear" w:color="auto" w:fill="FFFFFF"/>
        </w:rPr>
        <w:t>，照列。</w:t>
      </w:r>
    </w:p>
    <w:p w14:paraId="11B941E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Pr="00237A6E">
        <w:rPr>
          <w:rFonts w:cs="Mangal" w:hint="eastAsia"/>
          <w:color w:val="000000"/>
          <w:kern w:val="0"/>
          <w:shd w:val="clear" w:color="auto" w:fill="FFFFFF"/>
        </w:rPr>
        <w:t>1萬7千元</w:t>
      </w:r>
      <w:r w:rsidRPr="00237A6E">
        <w:rPr>
          <w:shd w:val="clear" w:color="auto" w:fill="FFFFFF"/>
        </w:rPr>
        <w:t>，照列。</w:t>
      </w:r>
    </w:p>
    <w:p w14:paraId="0B20F676"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Pr="00237A6E">
        <w:rPr>
          <w:rFonts w:cs="Mangal" w:hint="eastAsia"/>
          <w:color w:val="000000"/>
          <w:kern w:val="0"/>
          <w:shd w:val="clear" w:color="auto" w:fill="FFFFFF"/>
        </w:rPr>
        <w:t>6</w:t>
      </w:r>
      <w:r w:rsidRPr="00237A6E">
        <w:rPr>
          <w:shd w:val="clear" w:color="auto" w:fill="FFFFFF"/>
        </w:rPr>
        <w:t>萬</w:t>
      </w:r>
      <w:r w:rsidRPr="00237A6E">
        <w:rPr>
          <w:rFonts w:hint="eastAsia"/>
          <w:shd w:val="clear" w:color="auto" w:fill="FFFFFF"/>
        </w:rPr>
        <w:t>1</w:t>
      </w:r>
      <w:r w:rsidRPr="00237A6E">
        <w:rPr>
          <w:shd w:val="clear" w:color="auto" w:fill="FFFFFF"/>
        </w:rPr>
        <w:t>千元，照列。</w:t>
      </w:r>
    </w:p>
    <w:p w14:paraId="0A9BB64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福建高等法院金門分院1萬元，照列。</w:t>
      </w:r>
    </w:p>
    <w:p w14:paraId="12AD92F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59</w:t>
      </w:r>
      <w:r w:rsidRPr="00237A6E">
        <w:rPr>
          <w:shd w:val="clear" w:color="auto" w:fill="FFFFFF"/>
        </w:rPr>
        <w:t>項</w:t>
      </w:r>
      <w:r w:rsidRPr="00237A6E">
        <w:rPr>
          <w:rFonts w:hint="eastAsia"/>
          <w:shd w:val="clear" w:color="auto" w:fill="FFFFFF"/>
        </w:rPr>
        <w:t xml:space="preserve">　</w:t>
      </w:r>
      <w:r w:rsidRPr="00237A6E">
        <w:rPr>
          <w:shd w:val="clear" w:color="auto" w:fill="FFFFFF"/>
        </w:rPr>
        <w:t>福建金門地方法院3萬元，照列。</w:t>
      </w:r>
    </w:p>
    <w:p w14:paraId="27EC1C9F"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60</w:t>
      </w:r>
      <w:r w:rsidRPr="00237A6E">
        <w:rPr>
          <w:shd w:val="clear" w:color="auto" w:fill="FFFFFF"/>
        </w:rPr>
        <w:t>項</w:t>
      </w:r>
      <w:r w:rsidRPr="00237A6E">
        <w:rPr>
          <w:rFonts w:hint="eastAsia"/>
          <w:shd w:val="clear" w:color="auto" w:fill="FFFFFF"/>
        </w:rPr>
        <w:t xml:space="preserve">　</w:t>
      </w:r>
      <w:r w:rsidRPr="00237A6E">
        <w:rPr>
          <w:shd w:val="clear" w:color="auto" w:fill="FFFFFF"/>
        </w:rPr>
        <w:t>福建連江地方法院1千元，照列。</w:t>
      </w:r>
    </w:p>
    <w:p w14:paraId="2812C226" w14:textId="77777777" w:rsidR="00421BB5" w:rsidRPr="00237A6E" w:rsidRDefault="00421BB5" w:rsidP="00421BB5">
      <w:pPr>
        <w:pStyle w:val="3-"/>
        <w:adjustRightInd w:val="0"/>
        <w:snapToGrid w:val="0"/>
        <w:ind w:left="800" w:hanging="560"/>
        <w:rPr>
          <w:shd w:val="clear" w:color="auto" w:fill="FFFFFF"/>
        </w:rPr>
      </w:pPr>
      <w:r w:rsidRPr="00237A6E">
        <w:rPr>
          <w:shd w:val="clear" w:color="auto" w:fill="FFFFFF"/>
        </w:rPr>
        <w:t>第7款　其他收入</w:t>
      </w:r>
    </w:p>
    <w:p w14:paraId="72AF031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司法院</w:t>
      </w:r>
      <w:r w:rsidRPr="00237A6E">
        <w:rPr>
          <w:rFonts w:cs="Mangal" w:hint="eastAsia"/>
          <w:color w:val="000000"/>
          <w:kern w:val="0"/>
          <w:shd w:val="clear" w:color="auto" w:fill="FFFFFF"/>
        </w:rPr>
        <w:t>151萬4千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3F16A10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最高法院</w:t>
      </w:r>
      <w:r w:rsidRPr="00237A6E">
        <w:rPr>
          <w:rFonts w:cs="Mangal" w:hint="eastAsia"/>
          <w:color w:val="000000"/>
          <w:kern w:val="0"/>
          <w:shd w:val="clear" w:color="auto" w:fill="FFFFFF"/>
        </w:rPr>
        <w:t>86萬元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622BBC2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最高行政法院</w:t>
      </w:r>
      <w:r w:rsidRPr="00237A6E">
        <w:rPr>
          <w:rFonts w:hint="eastAsia"/>
          <w:shd w:val="clear" w:color="auto" w:fill="FFFFFF"/>
        </w:rPr>
        <w:t>13</w:t>
      </w:r>
      <w:r w:rsidRPr="00237A6E">
        <w:rPr>
          <w:shd w:val="clear" w:color="auto" w:fill="FFFFFF"/>
        </w:rPr>
        <w:t>萬</w:t>
      </w:r>
      <w:r w:rsidRPr="00237A6E">
        <w:rPr>
          <w:rFonts w:hint="eastAsia"/>
          <w:shd w:val="clear" w:color="auto" w:fill="FFFFFF"/>
        </w:rPr>
        <w:t>8千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42DD98E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臺北高等行政法院</w:t>
      </w:r>
      <w:r w:rsidRPr="00237A6E">
        <w:rPr>
          <w:rFonts w:hint="eastAsia"/>
          <w:shd w:val="clear" w:color="auto" w:fill="FFFFFF"/>
        </w:rPr>
        <w:t>38</w:t>
      </w:r>
      <w:r w:rsidRPr="00237A6E">
        <w:rPr>
          <w:shd w:val="clear" w:color="auto" w:fill="FFFFFF"/>
        </w:rPr>
        <w:t>萬</w:t>
      </w:r>
      <w:r w:rsidRPr="00237A6E">
        <w:rPr>
          <w:rFonts w:hint="eastAsia"/>
          <w:shd w:val="clear" w:color="auto" w:fill="FFFFFF"/>
        </w:rPr>
        <w:t>8千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4A40B2D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臺中高等行政法院</w:t>
      </w:r>
      <w:r w:rsidRPr="00237A6E">
        <w:rPr>
          <w:rFonts w:cs="Mangal" w:hint="eastAsia"/>
          <w:color w:val="000000"/>
          <w:kern w:val="0"/>
          <w:shd w:val="clear" w:color="auto" w:fill="FFFFFF"/>
        </w:rPr>
        <w:t>89萬1千元</w:t>
      </w:r>
      <w:r w:rsidRPr="00237A6E">
        <w:rPr>
          <w:shd w:val="clear" w:color="auto" w:fill="FFFFFF"/>
        </w:rPr>
        <w:t>，</w:t>
      </w:r>
      <w:r w:rsidRPr="00237A6E">
        <w:rPr>
          <w:rFonts w:hint="eastAsia"/>
          <w:shd w:val="clear" w:color="auto" w:fill="FFFFFF"/>
        </w:rPr>
        <w:t>照列</w:t>
      </w:r>
      <w:r w:rsidRPr="00237A6E">
        <w:rPr>
          <w:shd w:val="clear" w:color="auto" w:fill="FFFFFF"/>
        </w:rPr>
        <w:t xml:space="preserve">。 </w:t>
      </w:r>
    </w:p>
    <w:p w14:paraId="2F1A77F1"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28</w:t>
      </w:r>
      <w:r w:rsidRPr="00237A6E">
        <w:rPr>
          <w:shd w:val="clear" w:color="auto" w:fill="FFFFFF"/>
        </w:rPr>
        <w:t>項</w:t>
      </w:r>
      <w:r w:rsidRPr="00237A6E">
        <w:rPr>
          <w:rFonts w:hint="eastAsia"/>
          <w:shd w:val="clear" w:color="auto" w:fill="FFFFFF"/>
        </w:rPr>
        <w:t xml:space="preserve">　</w:t>
      </w:r>
      <w:r w:rsidRPr="00237A6E">
        <w:rPr>
          <w:shd w:val="clear" w:color="auto" w:fill="FFFFFF"/>
        </w:rPr>
        <w:t>高雄高等行政法院</w:t>
      </w:r>
      <w:r w:rsidRPr="00237A6E">
        <w:rPr>
          <w:rFonts w:cs="Mangal" w:hint="eastAsia"/>
          <w:color w:val="000000"/>
          <w:kern w:val="0"/>
          <w:shd w:val="clear" w:color="auto" w:fill="FFFFFF"/>
        </w:rPr>
        <w:t>65萬3千元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2578201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第29項</w:t>
      </w:r>
      <w:r w:rsidRPr="00237A6E">
        <w:rPr>
          <w:rFonts w:hint="eastAsia"/>
          <w:shd w:val="clear" w:color="auto" w:fill="FFFFFF"/>
        </w:rPr>
        <w:t xml:space="preserve">　</w:t>
      </w:r>
      <w:r w:rsidRPr="00237A6E">
        <w:rPr>
          <w:shd w:val="clear" w:color="auto" w:fill="FFFFFF"/>
        </w:rPr>
        <w:t>懲戒法院</w:t>
      </w:r>
      <w:r w:rsidRPr="00237A6E">
        <w:rPr>
          <w:rFonts w:cs="Mangal" w:hint="eastAsia"/>
          <w:color w:val="000000"/>
          <w:kern w:val="0"/>
          <w:shd w:val="clear" w:color="auto" w:fill="FFFFFF"/>
        </w:rPr>
        <w:t>11萬4千元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0C74978F"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第30項</w:t>
      </w:r>
      <w:r w:rsidRPr="00237A6E">
        <w:rPr>
          <w:rFonts w:hint="eastAsia"/>
          <w:shd w:val="clear" w:color="auto" w:fill="FFFFFF"/>
        </w:rPr>
        <w:t xml:space="preserve">　法官學院</w:t>
      </w:r>
      <w:r w:rsidRPr="00237A6E">
        <w:rPr>
          <w:rFonts w:cs="Mangal" w:hint="eastAsia"/>
          <w:color w:val="000000"/>
          <w:kern w:val="0"/>
          <w:shd w:val="clear" w:color="auto" w:fill="FFFFFF"/>
        </w:rPr>
        <w:t>8千元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6FE70411"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智慧財產</w:t>
      </w:r>
      <w:r w:rsidRPr="00237A6E">
        <w:rPr>
          <w:rFonts w:hint="eastAsia"/>
          <w:shd w:val="clear" w:color="auto" w:fill="FFFFFF"/>
        </w:rPr>
        <w:t>及商業</w:t>
      </w:r>
      <w:r w:rsidRPr="00237A6E">
        <w:rPr>
          <w:shd w:val="clear" w:color="auto" w:fill="FFFFFF"/>
        </w:rPr>
        <w:t>法院</w:t>
      </w:r>
      <w:r w:rsidRPr="00237A6E">
        <w:rPr>
          <w:rFonts w:hint="eastAsia"/>
          <w:shd w:val="clear" w:color="auto" w:fill="FFFFFF"/>
        </w:rPr>
        <w:t>28</w:t>
      </w:r>
      <w:r w:rsidRPr="00237A6E">
        <w:rPr>
          <w:shd w:val="clear" w:color="auto" w:fill="FFFFFF"/>
        </w:rPr>
        <w:t>萬</w:t>
      </w:r>
      <w:r w:rsidRPr="00237A6E">
        <w:rPr>
          <w:rFonts w:hint="eastAsia"/>
          <w:shd w:val="clear" w:color="auto" w:fill="FFFFFF"/>
        </w:rPr>
        <w:t>7</w:t>
      </w:r>
      <w:r w:rsidRPr="00237A6E">
        <w:rPr>
          <w:shd w:val="clear" w:color="auto" w:fill="FFFFFF"/>
        </w:rPr>
        <w:t>千元，</w:t>
      </w:r>
      <w:r w:rsidRPr="00237A6E">
        <w:rPr>
          <w:rFonts w:hint="eastAsia"/>
          <w:shd w:val="clear" w:color="auto" w:fill="FFFFFF"/>
        </w:rPr>
        <w:t>照列</w:t>
      </w:r>
      <w:r w:rsidRPr="00237A6E">
        <w:rPr>
          <w:shd w:val="clear" w:color="auto" w:fill="FFFFFF"/>
        </w:rPr>
        <w:t>。</w:t>
      </w:r>
    </w:p>
    <w:p w14:paraId="0C93E61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w:t>
      </w:r>
      <w:r w:rsidRPr="00237A6E">
        <w:rPr>
          <w:rFonts w:cs="Mangal" w:hint="eastAsia"/>
          <w:color w:val="000000"/>
          <w:kern w:val="0"/>
          <w:shd w:val="clear" w:color="auto" w:fill="FFFFFF"/>
        </w:rPr>
        <w:t>145萬8千元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20EE684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第33項</w:t>
      </w:r>
      <w:r w:rsidRPr="00237A6E">
        <w:rPr>
          <w:rFonts w:hint="eastAsia"/>
          <w:shd w:val="clear" w:color="auto" w:fill="FFFFFF"/>
        </w:rPr>
        <w:t xml:space="preserve">　</w:t>
      </w:r>
      <w:r w:rsidRPr="00237A6E">
        <w:rPr>
          <w:shd w:val="clear" w:color="auto" w:fill="FFFFFF"/>
        </w:rPr>
        <w:t>臺灣高等法院臺中分院</w:t>
      </w:r>
      <w:r w:rsidRPr="00237A6E">
        <w:rPr>
          <w:rFonts w:hint="eastAsia"/>
          <w:shd w:val="clear" w:color="auto" w:fill="FFFFFF"/>
        </w:rPr>
        <w:t>242</w:t>
      </w:r>
      <w:r w:rsidRPr="00237A6E">
        <w:rPr>
          <w:shd w:val="clear" w:color="auto" w:fill="FFFFFF"/>
        </w:rPr>
        <w:t>萬</w:t>
      </w:r>
      <w:r w:rsidRPr="00237A6E">
        <w:rPr>
          <w:rFonts w:hint="eastAsia"/>
          <w:shd w:val="clear" w:color="auto" w:fill="FFFFFF"/>
        </w:rPr>
        <w:t>7</w:t>
      </w:r>
      <w:r w:rsidRPr="00237A6E">
        <w:rPr>
          <w:shd w:val="clear" w:color="auto" w:fill="FFFFFF"/>
        </w:rPr>
        <w:t>千元，</w:t>
      </w:r>
      <w:r w:rsidRPr="00237A6E">
        <w:rPr>
          <w:rFonts w:hint="eastAsia"/>
          <w:shd w:val="clear" w:color="auto" w:fill="FFFFFF"/>
        </w:rPr>
        <w:t>照列</w:t>
      </w:r>
      <w:r w:rsidRPr="00237A6E">
        <w:rPr>
          <w:shd w:val="clear" w:color="auto" w:fill="FFFFFF"/>
        </w:rPr>
        <w:t>。</w:t>
      </w:r>
    </w:p>
    <w:p w14:paraId="7524466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Pr="00237A6E">
        <w:rPr>
          <w:rFonts w:hint="eastAsia"/>
          <w:shd w:val="clear" w:color="auto" w:fill="FFFFFF"/>
        </w:rPr>
        <w:t>124</w:t>
      </w:r>
      <w:r w:rsidRPr="00237A6E">
        <w:rPr>
          <w:shd w:val="clear" w:color="auto" w:fill="FFFFFF"/>
        </w:rPr>
        <w:t>萬</w:t>
      </w:r>
      <w:r w:rsidRPr="00237A6E">
        <w:rPr>
          <w:rFonts w:hint="eastAsia"/>
          <w:shd w:val="clear" w:color="auto" w:fill="FFFFFF"/>
        </w:rPr>
        <w:t>8千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0BAE0E5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臺灣高等法院高雄分院</w:t>
      </w:r>
      <w:r w:rsidRPr="00237A6E">
        <w:rPr>
          <w:rFonts w:hint="eastAsia"/>
          <w:shd w:val="clear" w:color="auto" w:fill="FFFFFF"/>
        </w:rPr>
        <w:t>114</w:t>
      </w:r>
      <w:r w:rsidRPr="00237A6E">
        <w:rPr>
          <w:shd w:val="clear" w:color="auto" w:fill="FFFFFF"/>
        </w:rPr>
        <w:t>萬元，</w:t>
      </w:r>
      <w:r w:rsidRPr="00237A6E">
        <w:rPr>
          <w:rFonts w:hint="eastAsia"/>
          <w:shd w:val="clear" w:color="auto" w:fill="FFFFFF"/>
        </w:rPr>
        <w:t>照列</w:t>
      </w:r>
      <w:r w:rsidRPr="00237A6E">
        <w:rPr>
          <w:shd w:val="clear" w:color="auto" w:fill="FFFFFF"/>
        </w:rPr>
        <w:t>。</w:t>
      </w:r>
    </w:p>
    <w:p w14:paraId="2F685A7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w:t>
      </w:r>
      <w:r w:rsidRPr="00237A6E">
        <w:rPr>
          <w:rFonts w:hint="eastAsia"/>
          <w:shd w:val="clear" w:color="auto" w:fill="FFFFFF"/>
        </w:rPr>
        <w:t>63</w:t>
      </w:r>
      <w:r w:rsidRPr="00237A6E">
        <w:rPr>
          <w:shd w:val="clear" w:color="auto" w:fill="FFFFFF"/>
        </w:rPr>
        <w:t>萬</w:t>
      </w:r>
      <w:r w:rsidRPr="00237A6E">
        <w:rPr>
          <w:rFonts w:hint="eastAsia"/>
          <w:shd w:val="clear" w:color="auto" w:fill="FFFFFF"/>
        </w:rPr>
        <w:t>9</w:t>
      </w:r>
      <w:r w:rsidRPr="00237A6E">
        <w:rPr>
          <w:shd w:val="clear" w:color="auto" w:fill="FFFFFF"/>
        </w:rPr>
        <w:t>千元，</w:t>
      </w:r>
      <w:r w:rsidRPr="00237A6E">
        <w:rPr>
          <w:rFonts w:hint="eastAsia"/>
          <w:shd w:val="clear" w:color="auto" w:fill="FFFFFF"/>
        </w:rPr>
        <w:t>照列</w:t>
      </w:r>
      <w:r w:rsidRPr="00237A6E">
        <w:rPr>
          <w:shd w:val="clear" w:color="auto" w:fill="FFFFFF"/>
        </w:rPr>
        <w:t>。</w:t>
      </w:r>
    </w:p>
    <w:p w14:paraId="5162AE8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臺灣臺北地方法院</w:t>
      </w:r>
      <w:r w:rsidRPr="00237A6E">
        <w:rPr>
          <w:rFonts w:hint="eastAsia"/>
          <w:shd w:val="clear" w:color="auto" w:fill="FFFFFF"/>
        </w:rPr>
        <w:t>1億0</w:t>
      </w:r>
      <w:r w:rsidRPr="00237A6E">
        <w:rPr>
          <w:shd w:val="clear" w:color="auto" w:fill="FFFFFF"/>
        </w:rPr>
        <w:t>,</w:t>
      </w:r>
      <w:r w:rsidRPr="00237A6E">
        <w:rPr>
          <w:rFonts w:hint="eastAsia"/>
          <w:shd w:val="clear" w:color="auto" w:fill="FFFFFF"/>
        </w:rPr>
        <w:t>111</w:t>
      </w:r>
      <w:r w:rsidRPr="00237A6E">
        <w:rPr>
          <w:shd w:val="clear" w:color="auto" w:fill="FFFFFF"/>
        </w:rPr>
        <w:t>萬</w:t>
      </w:r>
      <w:r w:rsidRPr="00237A6E">
        <w:rPr>
          <w:rFonts w:hint="eastAsia"/>
          <w:shd w:val="clear" w:color="auto" w:fill="FFFFFF"/>
        </w:rPr>
        <w:t>9千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51CDD56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第38項</w:t>
      </w:r>
      <w:r w:rsidRPr="00237A6E">
        <w:rPr>
          <w:rFonts w:hint="eastAsia"/>
          <w:shd w:val="clear" w:color="auto" w:fill="FFFFFF"/>
        </w:rPr>
        <w:t xml:space="preserve">　</w:t>
      </w:r>
      <w:r w:rsidRPr="00237A6E">
        <w:rPr>
          <w:shd w:val="clear" w:color="auto" w:fill="FFFFFF"/>
        </w:rPr>
        <w:t>臺灣士林地方法院</w:t>
      </w:r>
      <w:r w:rsidRPr="00237A6E">
        <w:rPr>
          <w:rFonts w:hint="eastAsia"/>
          <w:shd w:val="clear" w:color="auto" w:fill="FFFFFF"/>
        </w:rPr>
        <w:t>8,414</w:t>
      </w:r>
      <w:r w:rsidRPr="00237A6E">
        <w:rPr>
          <w:shd w:val="clear" w:color="auto" w:fill="FFFFFF"/>
        </w:rPr>
        <w:t>萬</w:t>
      </w:r>
      <w:r w:rsidRPr="00237A6E">
        <w:rPr>
          <w:rFonts w:hint="eastAsia"/>
          <w:shd w:val="clear" w:color="auto" w:fill="FFFFFF"/>
        </w:rPr>
        <w:t>3</w:t>
      </w:r>
      <w:r w:rsidRPr="00237A6E">
        <w:rPr>
          <w:shd w:val="clear" w:color="auto" w:fill="FFFFFF"/>
        </w:rPr>
        <w:t>千元，</w:t>
      </w:r>
      <w:r w:rsidRPr="00237A6E">
        <w:rPr>
          <w:rFonts w:hint="eastAsia"/>
          <w:shd w:val="clear" w:color="auto" w:fill="FFFFFF"/>
        </w:rPr>
        <w:t>照列</w:t>
      </w:r>
      <w:r w:rsidRPr="00237A6E">
        <w:rPr>
          <w:shd w:val="clear" w:color="auto" w:fill="FFFFFF"/>
        </w:rPr>
        <w:t>。</w:t>
      </w:r>
    </w:p>
    <w:p w14:paraId="60805C8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第39項</w:t>
      </w:r>
      <w:r w:rsidRPr="00237A6E">
        <w:rPr>
          <w:rFonts w:hint="eastAsia"/>
          <w:shd w:val="clear" w:color="auto" w:fill="FFFFFF"/>
        </w:rPr>
        <w:t xml:space="preserve">　</w:t>
      </w:r>
      <w:r w:rsidRPr="00237A6E">
        <w:rPr>
          <w:shd w:val="clear" w:color="auto" w:fill="FFFFFF"/>
        </w:rPr>
        <w:t>臺灣新北地方法院</w:t>
      </w:r>
      <w:r w:rsidRPr="00237A6E">
        <w:rPr>
          <w:rFonts w:hint="eastAsia"/>
          <w:shd w:val="clear" w:color="auto" w:fill="FFFFFF"/>
        </w:rPr>
        <w:t>3,520</w:t>
      </w:r>
      <w:r w:rsidRPr="00237A6E">
        <w:rPr>
          <w:shd w:val="clear" w:color="auto" w:fill="FFFFFF"/>
        </w:rPr>
        <w:t>萬</w:t>
      </w:r>
      <w:r w:rsidRPr="00237A6E">
        <w:rPr>
          <w:rFonts w:hint="eastAsia"/>
          <w:shd w:val="clear" w:color="auto" w:fill="FFFFFF"/>
        </w:rPr>
        <w:t>1千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376B9DC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Pr="00237A6E">
        <w:rPr>
          <w:rFonts w:hint="eastAsia"/>
          <w:shd w:val="clear" w:color="auto" w:fill="FFFFFF"/>
        </w:rPr>
        <w:t>2,536</w:t>
      </w:r>
      <w:r w:rsidRPr="00237A6E">
        <w:rPr>
          <w:shd w:val="clear" w:color="auto" w:fill="FFFFFF"/>
        </w:rPr>
        <w:t>萬</w:t>
      </w:r>
      <w:r w:rsidRPr="00237A6E">
        <w:rPr>
          <w:rFonts w:hint="eastAsia"/>
          <w:shd w:val="clear" w:color="auto" w:fill="FFFFFF"/>
        </w:rPr>
        <w:t>8</w:t>
      </w:r>
      <w:r w:rsidRPr="00237A6E">
        <w:rPr>
          <w:shd w:val="clear" w:color="auto" w:fill="FFFFFF"/>
        </w:rPr>
        <w:t>千元，</w:t>
      </w:r>
      <w:r w:rsidRPr="00237A6E">
        <w:rPr>
          <w:rFonts w:hint="eastAsia"/>
          <w:shd w:val="clear" w:color="auto" w:fill="FFFFFF"/>
        </w:rPr>
        <w:t>照列</w:t>
      </w:r>
      <w:r w:rsidRPr="00237A6E">
        <w:rPr>
          <w:shd w:val="clear" w:color="auto" w:fill="FFFFFF"/>
        </w:rPr>
        <w:t>。</w:t>
      </w:r>
    </w:p>
    <w:p w14:paraId="36900414"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Pr="00237A6E">
        <w:rPr>
          <w:rFonts w:cs="Mangal"/>
          <w:color w:val="000000"/>
          <w:kern w:val="0"/>
          <w:shd w:val="clear" w:color="auto" w:fill="FFFFFF"/>
        </w:rPr>
        <w:t>1</w:t>
      </w:r>
      <w:r w:rsidRPr="00237A6E">
        <w:rPr>
          <w:rFonts w:cs="Mangal" w:hint="eastAsia"/>
          <w:color w:val="000000"/>
          <w:kern w:val="0"/>
          <w:shd w:val="clear" w:color="auto" w:fill="FFFFFF"/>
        </w:rPr>
        <w:t>,979萬6千元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4DF93C9F"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臺灣苗栗地方法院</w:t>
      </w:r>
      <w:r w:rsidRPr="00237A6E">
        <w:rPr>
          <w:rFonts w:cs="Mangal" w:hint="eastAsia"/>
          <w:color w:val="000000"/>
          <w:kern w:val="0"/>
          <w:shd w:val="clear" w:color="auto" w:fill="FFFFFF"/>
        </w:rPr>
        <w:t>181萬6千元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6D9772EE"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臺灣臺中地方法院</w:t>
      </w:r>
      <w:r w:rsidRPr="00237A6E">
        <w:rPr>
          <w:rFonts w:cs="Mangal" w:hint="eastAsia"/>
          <w:color w:val="000000"/>
          <w:kern w:val="0"/>
          <w:shd w:val="clear" w:color="auto" w:fill="FFFFFF"/>
        </w:rPr>
        <w:t>3,998萬7千元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6621062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Pr="00237A6E">
        <w:rPr>
          <w:rFonts w:cs="Mangal" w:hint="eastAsia"/>
          <w:color w:val="000000"/>
          <w:kern w:val="0"/>
          <w:shd w:val="clear" w:color="auto" w:fill="FFFFFF"/>
        </w:rPr>
        <w:t>232萬7千元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1BF4E89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Pr="00237A6E">
        <w:rPr>
          <w:rFonts w:cs="Mangal"/>
          <w:color w:val="000000"/>
          <w:kern w:val="0"/>
          <w:shd w:val="clear" w:color="auto" w:fill="FFFFFF"/>
        </w:rPr>
        <w:t>1</w:t>
      </w:r>
      <w:r w:rsidRPr="00237A6E">
        <w:rPr>
          <w:rFonts w:cs="Mangal" w:hint="eastAsia"/>
          <w:color w:val="000000"/>
          <w:kern w:val="0"/>
          <w:shd w:val="clear" w:color="auto" w:fill="FFFFFF"/>
        </w:rPr>
        <w:t>,</w:t>
      </w:r>
      <w:r w:rsidRPr="00237A6E">
        <w:rPr>
          <w:rFonts w:cs="Mangal"/>
          <w:color w:val="000000"/>
          <w:kern w:val="0"/>
          <w:shd w:val="clear" w:color="auto" w:fill="FFFFFF"/>
        </w:rPr>
        <w:t>055</w:t>
      </w:r>
      <w:r w:rsidRPr="00237A6E">
        <w:rPr>
          <w:rFonts w:cs="Mangal" w:hint="eastAsia"/>
          <w:color w:val="000000"/>
          <w:kern w:val="0"/>
          <w:shd w:val="clear" w:color="auto" w:fill="FFFFFF"/>
        </w:rPr>
        <w:t>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1D8BE96F"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Pr="00237A6E">
        <w:rPr>
          <w:rFonts w:cs="Mangal" w:hint="eastAsia"/>
          <w:color w:val="000000"/>
          <w:kern w:val="0"/>
          <w:shd w:val="clear" w:color="auto" w:fill="FFFFFF"/>
        </w:rPr>
        <w:t>30</w:t>
      </w:r>
      <w:r w:rsidRPr="00237A6E">
        <w:rPr>
          <w:rFonts w:cs="Mangal"/>
          <w:color w:val="000000"/>
          <w:kern w:val="0"/>
          <w:shd w:val="clear" w:color="auto" w:fill="FFFFFF"/>
        </w:rPr>
        <w:t>5</w:t>
      </w:r>
      <w:r w:rsidRPr="00237A6E">
        <w:rPr>
          <w:rFonts w:cs="Mangal" w:hint="eastAsia"/>
          <w:color w:val="000000"/>
          <w:kern w:val="0"/>
          <w:shd w:val="clear" w:color="auto" w:fill="FFFFFF"/>
        </w:rPr>
        <w:t>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1B87157A"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Pr="00237A6E">
        <w:rPr>
          <w:rFonts w:cs="Mangal" w:hint="eastAsia"/>
          <w:color w:val="000000"/>
          <w:kern w:val="0"/>
          <w:shd w:val="clear" w:color="auto" w:fill="FFFFFF"/>
        </w:rPr>
        <w:t>441萬6千元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284FAE1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48</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臺灣臺南地方法院</w:t>
      </w:r>
      <w:r w:rsidRPr="00237A6E">
        <w:rPr>
          <w:rFonts w:cs="Mangal"/>
          <w:color w:val="000000"/>
          <w:kern w:val="0"/>
          <w:shd w:val="clear" w:color="auto" w:fill="FFFFFF"/>
        </w:rPr>
        <w:t>3,450</w:t>
      </w:r>
      <w:r w:rsidRPr="00237A6E">
        <w:rPr>
          <w:rFonts w:cs="Mangal" w:hint="eastAsia"/>
          <w:color w:val="000000"/>
          <w:kern w:val="0"/>
          <w:shd w:val="clear" w:color="auto" w:fill="FFFFFF"/>
        </w:rPr>
        <w:t>萬元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13D711E9"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第49項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橋頭</w:t>
      </w:r>
      <w:r w:rsidRPr="00237A6E">
        <w:rPr>
          <w:shd w:val="clear" w:color="auto" w:fill="FFFFFF"/>
        </w:rPr>
        <w:t>地方法院</w:t>
      </w:r>
      <w:r w:rsidRPr="00237A6E">
        <w:rPr>
          <w:rFonts w:cs="Mangal" w:hint="eastAsia"/>
          <w:color w:val="000000"/>
          <w:kern w:val="0"/>
          <w:shd w:val="clear" w:color="auto" w:fill="FFFFFF"/>
        </w:rPr>
        <w:t>208萬6千元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3CD6D1CA"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lastRenderedPageBreak/>
        <w:t>第5</w:t>
      </w:r>
      <w:r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臺灣高雄地方法院</w:t>
      </w:r>
      <w:r w:rsidRPr="00237A6E">
        <w:rPr>
          <w:rFonts w:cs="Mangal" w:hint="eastAsia"/>
          <w:color w:val="000000"/>
          <w:kern w:val="0"/>
          <w:shd w:val="clear" w:color="auto" w:fill="FFFFFF"/>
        </w:rPr>
        <w:t>2,992萬6千元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183B0A6D"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Pr="00237A6E">
        <w:rPr>
          <w:rFonts w:cs="Mangal" w:hint="eastAsia"/>
          <w:color w:val="000000"/>
          <w:kern w:val="0"/>
          <w:shd w:val="clear" w:color="auto" w:fill="FFFFFF"/>
        </w:rPr>
        <w:t>519萬6千元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2C0BBB7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臺灣臺東地方法院</w:t>
      </w:r>
      <w:r w:rsidRPr="00237A6E">
        <w:rPr>
          <w:rFonts w:cs="Mangal"/>
          <w:color w:val="000000"/>
          <w:kern w:val="0"/>
          <w:shd w:val="clear" w:color="auto" w:fill="FFFFFF"/>
        </w:rPr>
        <w:t>237</w:t>
      </w:r>
      <w:r w:rsidRPr="00237A6E">
        <w:rPr>
          <w:rFonts w:cs="Mangal" w:hint="eastAsia"/>
          <w:color w:val="000000"/>
          <w:kern w:val="0"/>
          <w:shd w:val="clear" w:color="auto" w:fill="FFFFFF"/>
        </w:rPr>
        <w:t>萬</w:t>
      </w:r>
      <w:r w:rsidRPr="00237A6E">
        <w:rPr>
          <w:rFonts w:cs="Mangal"/>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59244D40"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Pr="00237A6E">
        <w:rPr>
          <w:rFonts w:cs="Mangal" w:hint="eastAsia"/>
          <w:color w:val="000000"/>
          <w:kern w:val="0"/>
          <w:shd w:val="clear" w:color="auto" w:fill="FFFFFF"/>
        </w:rPr>
        <w:t>614萬7千元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60B47BD8"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Pr="00237A6E">
        <w:rPr>
          <w:rFonts w:cs="Mangal" w:hint="eastAsia"/>
          <w:color w:val="000000"/>
          <w:kern w:val="0"/>
          <w:shd w:val="clear" w:color="auto" w:fill="FFFFFF"/>
        </w:rPr>
        <w:t>527萬2千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07000762"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Pr="00237A6E">
        <w:rPr>
          <w:rFonts w:cs="Mangal" w:hint="eastAsia"/>
          <w:color w:val="000000"/>
          <w:kern w:val="0"/>
          <w:shd w:val="clear" w:color="auto" w:fill="FFFFFF"/>
        </w:rPr>
        <w:t>773萬2千元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2727DC05"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Pr="00237A6E">
        <w:rPr>
          <w:rFonts w:cs="Mangal" w:hint="eastAsia"/>
          <w:color w:val="000000"/>
          <w:kern w:val="0"/>
          <w:shd w:val="clear" w:color="auto" w:fill="FFFFFF"/>
        </w:rPr>
        <w:t>53萬7千元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3F30861B"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Pr="00237A6E">
        <w:rPr>
          <w:rFonts w:cs="Mangal" w:hint="eastAsia"/>
          <w:color w:val="000000"/>
          <w:kern w:val="0"/>
          <w:shd w:val="clear" w:color="auto" w:fill="FFFFFF"/>
        </w:rPr>
        <w:t>87萬6千元</w:t>
      </w:r>
      <w:r w:rsidRPr="00237A6E">
        <w:rPr>
          <w:shd w:val="clear" w:color="auto" w:fill="FFFFFF"/>
        </w:rPr>
        <w:t>，</w:t>
      </w:r>
      <w:r w:rsidRPr="00237A6E">
        <w:rPr>
          <w:rFonts w:hint="eastAsia"/>
          <w:shd w:val="clear" w:color="auto" w:fill="FFFFFF"/>
        </w:rPr>
        <w:t>照列</w:t>
      </w:r>
      <w:r w:rsidRPr="00237A6E">
        <w:rPr>
          <w:shd w:val="clear" w:color="auto" w:fill="FFFFFF"/>
        </w:rPr>
        <w:t>。</w:t>
      </w:r>
    </w:p>
    <w:p w14:paraId="43958EED"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58</w:t>
      </w:r>
      <w:r w:rsidRPr="00237A6E">
        <w:rPr>
          <w:shd w:val="clear" w:color="auto" w:fill="FFFFFF"/>
        </w:rPr>
        <w:t>項</w:t>
      </w:r>
      <w:r w:rsidRPr="00237A6E">
        <w:rPr>
          <w:rFonts w:hint="eastAsia"/>
          <w:shd w:val="clear" w:color="auto" w:fill="FFFFFF"/>
        </w:rPr>
        <w:t xml:space="preserve">　</w:t>
      </w:r>
      <w:r w:rsidRPr="00237A6E">
        <w:rPr>
          <w:shd w:val="clear" w:color="auto" w:fill="FFFFFF"/>
        </w:rPr>
        <w:t>福建高等法院金門分院</w:t>
      </w:r>
      <w:r w:rsidRPr="00237A6E">
        <w:rPr>
          <w:rFonts w:hint="eastAsia"/>
          <w:shd w:val="clear" w:color="auto" w:fill="FFFFFF"/>
        </w:rPr>
        <w:t>6</w:t>
      </w:r>
      <w:r w:rsidRPr="00237A6E">
        <w:rPr>
          <w:shd w:val="clear" w:color="auto" w:fill="FFFFFF"/>
        </w:rPr>
        <w:t>萬</w:t>
      </w:r>
      <w:r w:rsidRPr="00237A6E">
        <w:rPr>
          <w:rFonts w:hint="eastAsia"/>
          <w:shd w:val="clear" w:color="auto" w:fill="FFFFFF"/>
        </w:rPr>
        <w:t>7千</w:t>
      </w:r>
      <w:r w:rsidRPr="00237A6E">
        <w:rPr>
          <w:shd w:val="clear" w:color="auto" w:fill="FFFFFF"/>
        </w:rPr>
        <w:t>元，</w:t>
      </w:r>
      <w:r w:rsidRPr="00237A6E">
        <w:rPr>
          <w:rFonts w:hint="eastAsia"/>
          <w:shd w:val="clear" w:color="auto" w:fill="FFFFFF"/>
        </w:rPr>
        <w:t>照列</w:t>
      </w:r>
      <w:r w:rsidRPr="00237A6E">
        <w:rPr>
          <w:shd w:val="clear" w:color="auto" w:fill="FFFFFF"/>
        </w:rPr>
        <w:t>。</w:t>
      </w:r>
    </w:p>
    <w:p w14:paraId="5B99011F"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59</w:t>
      </w:r>
      <w:r w:rsidRPr="00237A6E">
        <w:rPr>
          <w:shd w:val="clear" w:color="auto" w:fill="FFFFFF"/>
        </w:rPr>
        <w:t>項</w:t>
      </w:r>
      <w:r w:rsidRPr="00237A6E">
        <w:rPr>
          <w:rFonts w:hint="eastAsia"/>
          <w:shd w:val="clear" w:color="auto" w:fill="FFFFFF"/>
        </w:rPr>
        <w:t xml:space="preserve">　</w:t>
      </w:r>
      <w:r w:rsidRPr="00237A6E">
        <w:rPr>
          <w:shd w:val="clear" w:color="auto" w:fill="FFFFFF"/>
        </w:rPr>
        <w:t>福建金門地方法院</w:t>
      </w:r>
      <w:r w:rsidRPr="00237A6E">
        <w:rPr>
          <w:rFonts w:hint="eastAsia"/>
          <w:shd w:val="clear" w:color="auto" w:fill="FFFFFF"/>
        </w:rPr>
        <w:t>93</w:t>
      </w:r>
      <w:r w:rsidRPr="00237A6E">
        <w:rPr>
          <w:shd w:val="clear" w:color="auto" w:fill="FFFFFF"/>
        </w:rPr>
        <w:t>萬元，</w:t>
      </w:r>
      <w:r w:rsidRPr="00237A6E">
        <w:rPr>
          <w:rFonts w:hint="eastAsia"/>
          <w:shd w:val="clear" w:color="auto" w:fill="FFFFFF"/>
        </w:rPr>
        <w:t>照列</w:t>
      </w:r>
      <w:r w:rsidRPr="00237A6E">
        <w:rPr>
          <w:shd w:val="clear" w:color="auto" w:fill="FFFFFF"/>
        </w:rPr>
        <w:t>。</w:t>
      </w:r>
    </w:p>
    <w:p w14:paraId="17CCF91A" w14:textId="77777777" w:rsidR="00421BB5" w:rsidRPr="00237A6E" w:rsidRDefault="00421BB5" w:rsidP="00421BB5">
      <w:pPr>
        <w:adjustRightInd w:val="0"/>
        <w:snapToGrid w:val="0"/>
        <w:spacing w:line="360" w:lineRule="exact"/>
        <w:ind w:leftChars="200" w:left="1040" w:hangingChars="200" w:hanging="560"/>
        <w:rPr>
          <w:rFonts w:ascii="標楷體" w:eastAsia="標楷體" w:hAnsi="標楷體"/>
          <w:sz w:val="28"/>
          <w:szCs w:val="28"/>
          <w:shd w:val="clear" w:color="auto" w:fill="FFFFFF"/>
        </w:rPr>
      </w:pPr>
      <w:r w:rsidRPr="00237A6E">
        <w:rPr>
          <w:rFonts w:ascii="標楷體" w:eastAsia="標楷體" w:hAnsi="標楷體"/>
          <w:sz w:val="28"/>
          <w:szCs w:val="28"/>
          <w:shd w:val="clear" w:color="auto" w:fill="FFFFFF"/>
        </w:rPr>
        <w:t>第</w:t>
      </w:r>
      <w:r w:rsidRPr="00237A6E">
        <w:rPr>
          <w:rFonts w:ascii="標楷體" w:eastAsia="標楷體" w:hAnsi="標楷體" w:hint="eastAsia"/>
          <w:sz w:val="28"/>
          <w:szCs w:val="28"/>
          <w:shd w:val="clear" w:color="auto" w:fill="FFFFFF"/>
        </w:rPr>
        <w:t>60</w:t>
      </w:r>
      <w:r w:rsidRPr="00237A6E">
        <w:rPr>
          <w:rFonts w:ascii="標楷體" w:eastAsia="標楷體" w:hAnsi="標楷體"/>
          <w:sz w:val="28"/>
          <w:szCs w:val="28"/>
          <w:shd w:val="clear" w:color="auto" w:fill="FFFFFF"/>
        </w:rPr>
        <w:t>項</w:t>
      </w:r>
      <w:r w:rsidRPr="00237A6E">
        <w:rPr>
          <w:rFonts w:ascii="標楷體" w:eastAsia="標楷體" w:hAnsi="標楷體" w:hint="eastAsia"/>
          <w:sz w:val="28"/>
          <w:szCs w:val="28"/>
          <w:shd w:val="clear" w:color="auto" w:fill="FFFFFF"/>
        </w:rPr>
        <w:t xml:space="preserve">　</w:t>
      </w:r>
      <w:r w:rsidRPr="00237A6E">
        <w:rPr>
          <w:rFonts w:ascii="標楷體" w:eastAsia="標楷體" w:hAnsi="標楷體"/>
          <w:sz w:val="28"/>
          <w:szCs w:val="28"/>
          <w:shd w:val="clear" w:color="auto" w:fill="FFFFFF"/>
        </w:rPr>
        <w:t>福建</w:t>
      </w:r>
      <w:r w:rsidRPr="00237A6E">
        <w:rPr>
          <w:rFonts w:ascii="標楷體" w:eastAsia="標楷體" w:hAnsi="標楷體" w:hint="eastAsia"/>
          <w:sz w:val="28"/>
          <w:szCs w:val="28"/>
          <w:shd w:val="clear" w:color="auto" w:fill="FFFFFF"/>
        </w:rPr>
        <w:t>連江</w:t>
      </w:r>
      <w:r w:rsidRPr="00237A6E">
        <w:rPr>
          <w:rFonts w:ascii="標楷體" w:eastAsia="標楷體" w:hAnsi="標楷體"/>
          <w:sz w:val="28"/>
          <w:szCs w:val="28"/>
          <w:shd w:val="clear" w:color="auto" w:fill="FFFFFF"/>
        </w:rPr>
        <w:t>地方法院，無列數。</w:t>
      </w:r>
    </w:p>
    <w:p w14:paraId="2D7D1112" w14:textId="77777777" w:rsidR="00421BB5" w:rsidRPr="00237A6E" w:rsidRDefault="00421BB5" w:rsidP="00421BB5">
      <w:pPr>
        <w:adjustRightInd w:val="0"/>
        <w:snapToGrid w:val="0"/>
        <w:spacing w:line="360" w:lineRule="exact"/>
        <w:ind w:leftChars="50" w:left="120"/>
        <w:rPr>
          <w:rFonts w:ascii="標楷體" w:eastAsia="標楷體" w:hAnsi="標楷體"/>
          <w:b/>
          <w:kern w:val="0"/>
          <w:sz w:val="28"/>
          <w:szCs w:val="28"/>
        </w:rPr>
      </w:pPr>
      <w:r w:rsidRPr="00237A6E">
        <w:rPr>
          <w:rFonts w:ascii="標楷體" w:eastAsia="標楷體" w:hAnsi="標楷體" w:hint="eastAsia"/>
          <w:b/>
          <w:kern w:val="0"/>
          <w:sz w:val="28"/>
          <w:szCs w:val="28"/>
        </w:rPr>
        <w:t>(二)</w:t>
      </w:r>
      <w:r w:rsidRPr="00237A6E">
        <w:rPr>
          <w:rFonts w:ascii="標楷體" w:eastAsia="標楷體" w:hAnsi="標楷體"/>
          <w:b/>
          <w:kern w:val="0"/>
          <w:sz w:val="28"/>
          <w:szCs w:val="28"/>
        </w:rPr>
        <w:t>歲出部分</w:t>
      </w:r>
    </w:p>
    <w:p w14:paraId="3204A2FA" w14:textId="77777777" w:rsidR="00421BB5" w:rsidRPr="00237A6E" w:rsidRDefault="00421BB5" w:rsidP="00421BB5">
      <w:pPr>
        <w:adjustRightInd w:val="0"/>
        <w:snapToGrid w:val="0"/>
        <w:spacing w:line="360" w:lineRule="exact"/>
        <w:ind w:leftChars="100" w:left="587" w:hangingChars="124" w:hanging="347"/>
        <w:jc w:val="both"/>
        <w:rPr>
          <w:rFonts w:ascii="標楷體" w:eastAsia="標楷體" w:hAnsi="標楷體"/>
          <w:sz w:val="28"/>
          <w:szCs w:val="28"/>
          <w:shd w:val="clear" w:color="auto" w:fill="FFFFFF"/>
        </w:rPr>
      </w:pPr>
      <w:r w:rsidRPr="00237A6E">
        <w:rPr>
          <w:rFonts w:ascii="標楷體" w:eastAsia="標楷體" w:hAnsi="標楷體"/>
          <w:sz w:val="28"/>
          <w:szCs w:val="28"/>
          <w:shd w:val="clear" w:color="auto" w:fill="FFFFFF"/>
        </w:rPr>
        <w:t>第4款</w:t>
      </w:r>
      <w:r w:rsidRPr="00237A6E">
        <w:rPr>
          <w:rFonts w:ascii="標楷體" w:eastAsia="標楷體" w:hAnsi="標楷體" w:hint="eastAsia"/>
          <w:sz w:val="28"/>
          <w:szCs w:val="28"/>
          <w:shd w:val="clear" w:color="auto" w:fill="FFFFFF"/>
        </w:rPr>
        <w:t xml:space="preserve">　</w:t>
      </w:r>
      <w:r w:rsidRPr="00237A6E">
        <w:rPr>
          <w:rFonts w:ascii="標楷體" w:eastAsia="標楷體" w:hAnsi="標楷體"/>
          <w:sz w:val="28"/>
          <w:szCs w:val="28"/>
          <w:shd w:val="clear" w:color="auto" w:fill="FFFFFF"/>
        </w:rPr>
        <w:t>司法院主管</w:t>
      </w:r>
    </w:p>
    <w:p w14:paraId="76ED1693" w14:textId="77777777" w:rsidR="00421BB5" w:rsidRPr="00237A6E" w:rsidRDefault="00421BB5" w:rsidP="00421BB5">
      <w:pPr>
        <w:pStyle w:val="affb"/>
        <w:spacing w:line="360" w:lineRule="exact"/>
        <w:ind w:leftChars="0"/>
        <w:jc w:val="distribute"/>
        <w:rPr>
          <w:rFonts w:ascii="標楷體" w:eastAsia="標楷體" w:hAnsi="標楷體"/>
          <w:sz w:val="28"/>
          <w:szCs w:val="28"/>
        </w:rPr>
      </w:pPr>
      <w:r w:rsidRPr="00237A6E">
        <w:rPr>
          <w:rFonts w:ascii="標楷體" w:eastAsia="標楷體" w:hAnsi="標楷體"/>
          <w:color w:val="000000"/>
          <w:sz w:val="28"/>
          <w:szCs w:val="28"/>
        </w:rPr>
        <w:t>第</w:t>
      </w:r>
      <w:r w:rsidRPr="00237A6E">
        <w:rPr>
          <w:rFonts w:ascii="標楷體" w:eastAsia="標楷體" w:hAnsi="標楷體" w:hint="eastAsia"/>
          <w:color w:val="000000"/>
          <w:sz w:val="28"/>
          <w:szCs w:val="28"/>
        </w:rPr>
        <w:t>1</w:t>
      </w:r>
      <w:r w:rsidRPr="00237A6E">
        <w:rPr>
          <w:rFonts w:ascii="標楷體" w:eastAsia="標楷體" w:hAnsi="標楷體"/>
          <w:color w:val="000000"/>
          <w:sz w:val="28"/>
          <w:szCs w:val="28"/>
        </w:rPr>
        <w:t>項</w:t>
      </w:r>
      <w:r w:rsidRPr="00237A6E">
        <w:rPr>
          <w:rFonts w:ascii="標楷體" w:eastAsia="標楷體" w:hAnsi="標楷體" w:hint="eastAsia"/>
          <w:color w:val="000000"/>
          <w:sz w:val="28"/>
          <w:szCs w:val="28"/>
        </w:rPr>
        <w:t xml:space="preserve">　</w:t>
      </w:r>
      <w:r w:rsidRPr="00237A6E">
        <w:rPr>
          <w:rFonts w:ascii="標楷體" w:eastAsia="標楷體" w:hAnsi="標楷體" w:hint="eastAsia"/>
          <w:sz w:val="28"/>
          <w:szCs w:val="28"/>
          <w:shd w:val="clear" w:color="auto" w:fill="FFFFFF"/>
        </w:rPr>
        <w:t>司法院</w:t>
      </w:r>
      <w:r w:rsidRPr="00237A6E">
        <w:rPr>
          <w:rFonts w:ascii="標楷體" w:eastAsia="標楷體" w:hAnsi="標楷體" w:hint="eastAsia"/>
          <w:sz w:val="28"/>
          <w:szCs w:val="28"/>
        </w:rPr>
        <w:t>原</w:t>
      </w:r>
      <w:r w:rsidRPr="00237A6E">
        <w:rPr>
          <w:rFonts w:ascii="標楷體" w:eastAsia="標楷體" w:hAnsi="標楷體" w:hint="eastAsia"/>
          <w:color w:val="000000"/>
          <w:sz w:val="28"/>
          <w:szCs w:val="28"/>
          <w:shd w:val="clear" w:color="auto" w:fill="FFFFFF"/>
        </w:rPr>
        <w:t>列3</w:t>
      </w:r>
      <w:r w:rsidRPr="00237A6E">
        <w:rPr>
          <w:rFonts w:ascii="標楷體" w:eastAsia="標楷體" w:hAnsi="標楷體"/>
          <w:color w:val="000000"/>
          <w:sz w:val="28"/>
          <w:szCs w:val="28"/>
          <w:shd w:val="clear" w:color="auto" w:fill="FFFFFF"/>
        </w:rPr>
        <w:t>8</w:t>
      </w:r>
      <w:r w:rsidRPr="00237A6E">
        <w:rPr>
          <w:rFonts w:ascii="標楷體" w:eastAsia="標楷體" w:hAnsi="標楷體" w:hint="eastAsia"/>
          <w:color w:val="000000"/>
          <w:sz w:val="28"/>
          <w:szCs w:val="28"/>
          <w:shd w:val="clear" w:color="auto" w:fill="FFFFFF"/>
        </w:rPr>
        <w:t>億1,840萬9千</w:t>
      </w:r>
      <w:r w:rsidRPr="00237A6E">
        <w:rPr>
          <w:rFonts w:ascii="標楷體" w:eastAsia="標楷體" w:hAnsi="標楷體"/>
          <w:color w:val="000000"/>
          <w:sz w:val="28"/>
          <w:szCs w:val="28"/>
          <w:shd w:val="clear" w:color="auto" w:fill="FFFFFF"/>
        </w:rPr>
        <w:t>元</w:t>
      </w:r>
      <w:r w:rsidRPr="00237A6E">
        <w:rPr>
          <w:rFonts w:ascii="標楷體" w:eastAsia="標楷體" w:hAnsi="標楷體" w:hint="eastAsia"/>
          <w:spacing w:val="-4"/>
          <w:sz w:val="28"/>
          <w:szCs w:val="28"/>
        </w:rPr>
        <w:t>，</w:t>
      </w:r>
      <w:r w:rsidRPr="00237A6E">
        <w:rPr>
          <w:rFonts w:ascii="標楷體" w:eastAsia="標楷體" w:hAnsi="標楷體" w:hint="eastAsia"/>
          <w:sz w:val="28"/>
          <w:szCs w:val="28"/>
        </w:rPr>
        <w:t>減列第1目「一般</w:t>
      </w:r>
    </w:p>
    <w:p w14:paraId="008809BB" w14:textId="77777777" w:rsidR="00421BB5" w:rsidRPr="00237A6E" w:rsidRDefault="00421BB5" w:rsidP="00421BB5">
      <w:pPr>
        <w:pStyle w:val="affb"/>
        <w:spacing w:line="360" w:lineRule="exact"/>
        <w:ind w:leftChars="0" w:left="1610"/>
        <w:jc w:val="both"/>
        <w:rPr>
          <w:rFonts w:ascii="標楷體" w:eastAsia="標楷體" w:hAnsi="標楷體"/>
          <w:sz w:val="28"/>
          <w:szCs w:val="28"/>
        </w:rPr>
      </w:pPr>
      <w:r w:rsidRPr="00237A6E">
        <w:rPr>
          <w:rFonts w:ascii="標楷體" w:eastAsia="標楷體" w:hAnsi="標楷體" w:hint="eastAsia"/>
          <w:sz w:val="28"/>
          <w:szCs w:val="28"/>
        </w:rPr>
        <w:t>行政」10萬元(科目自行調整)，其餘均照列，改列為</w:t>
      </w:r>
      <w:r w:rsidRPr="00237A6E">
        <w:rPr>
          <w:rFonts w:ascii="標楷體" w:eastAsia="標楷體" w:hAnsi="標楷體" w:hint="eastAsia"/>
          <w:color w:val="000000"/>
          <w:sz w:val="28"/>
          <w:szCs w:val="28"/>
          <w:shd w:val="clear" w:color="auto" w:fill="FFFFFF"/>
        </w:rPr>
        <w:t>3</w:t>
      </w:r>
      <w:r w:rsidRPr="00237A6E">
        <w:rPr>
          <w:rFonts w:ascii="標楷體" w:eastAsia="標楷體" w:hAnsi="標楷體"/>
          <w:color w:val="000000"/>
          <w:sz w:val="28"/>
          <w:szCs w:val="28"/>
          <w:shd w:val="clear" w:color="auto" w:fill="FFFFFF"/>
        </w:rPr>
        <w:t>8</w:t>
      </w:r>
      <w:r w:rsidRPr="00237A6E">
        <w:rPr>
          <w:rFonts w:ascii="標楷體" w:eastAsia="標楷體" w:hAnsi="標楷體" w:hint="eastAsia"/>
          <w:color w:val="000000"/>
          <w:sz w:val="28"/>
          <w:szCs w:val="28"/>
          <w:shd w:val="clear" w:color="auto" w:fill="FFFFFF"/>
        </w:rPr>
        <w:t>億1,830萬9千</w:t>
      </w:r>
      <w:r w:rsidRPr="00237A6E">
        <w:rPr>
          <w:rFonts w:ascii="標楷體" w:eastAsia="標楷體" w:hAnsi="標楷體"/>
          <w:color w:val="000000"/>
          <w:sz w:val="28"/>
          <w:szCs w:val="28"/>
          <w:shd w:val="clear" w:color="auto" w:fill="FFFFFF"/>
        </w:rPr>
        <w:t>元</w:t>
      </w:r>
      <w:r w:rsidRPr="00237A6E">
        <w:rPr>
          <w:rFonts w:ascii="標楷體" w:eastAsia="標楷體" w:hAnsi="標楷體" w:hint="eastAsia"/>
          <w:sz w:val="28"/>
          <w:szCs w:val="28"/>
        </w:rPr>
        <w:t>。</w:t>
      </w:r>
    </w:p>
    <w:p w14:paraId="7DE9F604" w14:textId="77777777" w:rsidR="00421BB5" w:rsidRPr="00237A6E" w:rsidRDefault="00421BB5" w:rsidP="00421BB5">
      <w:pPr>
        <w:pStyle w:val="2-1"/>
        <w:ind w:leftChars="0" w:left="0" w:firstLineChars="160" w:firstLine="448"/>
        <w:rPr>
          <w:b/>
          <w:kern w:val="0"/>
        </w:rPr>
      </w:pPr>
      <w:r w:rsidRPr="00237A6E">
        <w:rPr>
          <w:rFonts w:hint="eastAsia"/>
          <w:b/>
          <w:kern w:val="0"/>
        </w:rPr>
        <w:t>本項通過決議74項：</w:t>
      </w:r>
    </w:p>
    <w:p w14:paraId="138FE24E" w14:textId="77777777" w:rsidR="00421BB5" w:rsidRPr="00237A6E" w:rsidRDefault="00421BB5" w:rsidP="00421BB5">
      <w:pPr>
        <w:pStyle w:val="0-"/>
        <w:ind w:rightChars="-21" w:right="-50"/>
      </w:pPr>
      <w:r w:rsidRPr="00237A6E">
        <w:rPr>
          <w:rFonts w:hint="eastAsia"/>
        </w:rPr>
        <w:t>(一)112年度司法院歲出預算第1目「一般行政」編列16億4,290萬4千元，凍結3</w:t>
      </w:r>
      <w:r w:rsidRPr="00237A6E">
        <w:t>00</w:t>
      </w:r>
      <w:r w:rsidRPr="00237A6E">
        <w:rPr>
          <w:rFonts w:hint="eastAsia"/>
        </w:rPr>
        <w:t>萬元，俟向立法院司法及法制委員會提出書面報告後，始得動支。</w:t>
      </w:r>
    </w:p>
    <w:p w14:paraId="11E98A1A" w14:textId="77777777" w:rsidR="00421BB5" w:rsidRPr="00237A6E" w:rsidRDefault="00421BB5" w:rsidP="00421BB5">
      <w:pPr>
        <w:pStyle w:val="2-1"/>
        <w:rPr>
          <w:shd w:val="clear" w:color="auto" w:fill="FFFFFF"/>
        </w:rPr>
      </w:pPr>
      <w:r w:rsidRPr="00237A6E">
        <w:rPr>
          <w:rFonts w:hint="eastAsia"/>
          <w:shd w:val="clear" w:color="auto" w:fill="FFFFFF"/>
        </w:rPr>
        <w:t xml:space="preserve">提案人：陳玉珍 黃世杰 陳以信 江永昌 </w:t>
      </w:r>
    </w:p>
    <w:p w14:paraId="4763D106" w14:textId="77777777" w:rsidR="00421BB5" w:rsidRPr="00237A6E" w:rsidRDefault="00421BB5" w:rsidP="00421BB5">
      <w:pPr>
        <w:pStyle w:val="2-2"/>
        <w:rPr>
          <w:shd w:val="clear" w:color="auto" w:fill="FFFFFF"/>
        </w:rPr>
      </w:pPr>
      <w:r w:rsidRPr="00237A6E">
        <w:rPr>
          <w:rFonts w:hint="eastAsia"/>
          <w:shd w:val="clear" w:color="auto" w:fill="FFFFFF"/>
        </w:rPr>
        <w:t>陳歐珀</w:t>
      </w:r>
    </w:p>
    <w:p w14:paraId="5B56BB41" w14:textId="77777777" w:rsidR="00421BB5" w:rsidRPr="00237A6E" w:rsidRDefault="00421BB5" w:rsidP="00421BB5">
      <w:pPr>
        <w:pStyle w:val="2-1"/>
        <w:rPr>
          <w:shd w:val="clear" w:color="auto" w:fill="FFFFFF"/>
        </w:rPr>
      </w:pPr>
      <w:r w:rsidRPr="00237A6E">
        <w:rPr>
          <w:rFonts w:hint="eastAsia"/>
          <w:shd w:val="clear" w:color="auto" w:fill="FFFFFF"/>
        </w:rPr>
        <w:t>連署人：游毓蘭 林思銘</w:t>
      </w:r>
    </w:p>
    <w:p w14:paraId="295A91EB" w14:textId="77777777" w:rsidR="00421BB5" w:rsidRPr="00237A6E" w:rsidRDefault="00421BB5" w:rsidP="00421BB5">
      <w:pPr>
        <w:pStyle w:val="0-"/>
      </w:pPr>
      <w:r w:rsidRPr="00237A6E">
        <w:rPr>
          <w:rFonts w:hint="eastAsia"/>
        </w:rPr>
        <w:t>(二)112年度司法院歲出預算第</w:t>
      </w:r>
      <w:r w:rsidRPr="00237A6E">
        <w:t>2</w:t>
      </w:r>
      <w:r w:rsidRPr="00237A6E">
        <w:rPr>
          <w:rFonts w:hint="eastAsia"/>
        </w:rPr>
        <w:t>目「憲法訴訟業務」編列1,244萬元，凍結50萬元，俟向立法院司法及法制委員會提出書面報告後，始得動支。</w:t>
      </w:r>
    </w:p>
    <w:p w14:paraId="129CAE07" w14:textId="77777777" w:rsidR="00421BB5" w:rsidRPr="00237A6E" w:rsidRDefault="00421BB5" w:rsidP="00421BB5">
      <w:pPr>
        <w:pStyle w:val="2-1"/>
        <w:rPr>
          <w:shd w:val="clear" w:color="auto" w:fill="FFFFFF"/>
        </w:rPr>
      </w:pPr>
      <w:r w:rsidRPr="00237A6E">
        <w:rPr>
          <w:rFonts w:hint="eastAsia"/>
          <w:shd w:val="clear" w:color="auto" w:fill="FFFFFF"/>
        </w:rPr>
        <w:t>提案人：江永昌 陳歐珀 黃世杰</w:t>
      </w:r>
    </w:p>
    <w:p w14:paraId="1FCD0B3A" w14:textId="77777777" w:rsidR="00421BB5" w:rsidRPr="00237A6E" w:rsidRDefault="00421BB5" w:rsidP="00421BB5">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rPr>
      </w:pPr>
      <w:r w:rsidRPr="00237A6E">
        <w:rPr>
          <w:rFonts w:ascii="標楷體" w:eastAsia="標楷體" w:hAnsi="標楷體" w:hint="eastAsia"/>
          <w:sz w:val="28"/>
          <w:szCs w:val="28"/>
          <w:shd w:val="clear" w:color="auto" w:fill="FFFFFF"/>
        </w:rPr>
        <w:t>(三)</w:t>
      </w:r>
      <w:r w:rsidRPr="00237A6E">
        <w:rPr>
          <w:rFonts w:ascii="標楷體" w:eastAsia="標楷體" w:hAnsi="標楷體" w:hint="eastAsia"/>
          <w:kern w:val="0"/>
          <w:sz w:val="28"/>
          <w:szCs w:val="28"/>
          <w:shd w:val="clear" w:color="auto" w:fill="FFFFFF"/>
        </w:rPr>
        <w:t>112年度司法院歲出預算第3目「審判行政」編列1</w:t>
      </w:r>
      <w:r w:rsidRPr="00237A6E">
        <w:rPr>
          <w:rFonts w:ascii="標楷體" w:eastAsia="標楷體" w:hAnsi="標楷體" w:hint="eastAsia"/>
          <w:color w:val="000000"/>
          <w:sz w:val="28"/>
          <w:szCs w:val="28"/>
          <w:shd w:val="clear" w:color="auto" w:fill="FFFFFF"/>
        </w:rPr>
        <w:t>億2,189萬9千元</w:t>
      </w:r>
      <w:r w:rsidRPr="00237A6E">
        <w:rPr>
          <w:rFonts w:ascii="標楷體" w:eastAsia="標楷體" w:hAnsi="標楷體" w:hint="eastAsia"/>
          <w:kern w:val="0"/>
          <w:sz w:val="28"/>
          <w:szCs w:val="28"/>
          <w:shd w:val="clear" w:color="auto" w:fill="FFFFFF"/>
        </w:rPr>
        <w:t>，凍結100萬元，俟向立法院司法及法制委員會提出書面報告後，始得動支。</w:t>
      </w:r>
    </w:p>
    <w:p w14:paraId="18346AE4" w14:textId="77777777" w:rsidR="00421BB5" w:rsidRPr="00237A6E" w:rsidRDefault="00421BB5" w:rsidP="00421BB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237A6E">
        <w:rPr>
          <w:rFonts w:ascii="標楷體" w:eastAsia="標楷體" w:hAnsi="標楷體" w:hint="eastAsia"/>
          <w:sz w:val="28"/>
          <w:szCs w:val="28"/>
          <w:shd w:val="clear" w:color="auto" w:fill="FFFFFF"/>
        </w:rPr>
        <w:t>提案人：陳玉珍</w:t>
      </w:r>
      <w:r w:rsidRPr="00237A6E">
        <w:rPr>
          <w:rFonts w:ascii="標楷體" w:eastAsia="標楷體" w:hAnsi="標楷體"/>
          <w:sz w:val="28"/>
          <w:szCs w:val="28"/>
          <w:shd w:val="clear" w:color="auto" w:fill="FFFFFF"/>
        </w:rPr>
        <w:t xml:space="preserve"> </w:t>
      </w:r>
      <w:r w:rsidRPr="00237A6E">
        <w:rPr>
          <w:rFonts w:ascii="標楷體" w:eastAsia="標楷體" w:hAnsi="標楷體" w:hint="eastAsia"/>
          <w:sz w:val="28"/>
          <w:szCs w:val="28"/>
          <w:shd w:val="clear" w:color="auto" w:fill="FFFFFF"/>
        </w:rPr>
        <w:t>江永昌 黃世杰 周春米 劉建國 陳以信 陳歐珀</w:t>
      </w:r>
    </w:p>
    <w:p w14:paraId="2DF576DC" w14:textId="77777777" w:rsidR="00421BB5" w:rsidRPr="00237A6E" w:rsidRDefault="00421BB5" w:rsidP="00421BB5">
      <w:pPr>
        <w:pStyle w:val="2-1"/>
        <w:rPr>
          <w:shd w:val="clear" w:color="auto" w:fill="FFFFFF"/>
        </w:rPr>
      </w:pPr>
      <w:r w:rsidRPr="00237A6E">
        <w:rPr>
          <w:rFonts w:hint="eastAsia"/>
          <w:shd w:val="clear" w:color="auto" w:fill="FFFFFF"/>
        </w:rPr>
        <w:t>連署人：游毓蘭 林思銘</w:t>
      </w:r>
    </w:p>
    <w:p w14:paraId="3CDD9B15" w14:textId="77777777" w:rsidR="00421BB5" w:rsidRPr="00237A6E" w:rsidRDefault="00421BB5" w:rsidP="00421BB5">
      <w:pPr>
        <w:pStyle w:val="0-"/>
      </w:pPr>
      <w:r w:rsidRPr="00237A6E">
        <w:rPr>
          <w:rFonts w:hint="eastAsia"/>
        </w:rPr>
        <w:t>(四)112年度司法院歲出預算第4目「司法業務規劃研考」編列</w:t>
      </w:r>
      <w:r w:rsidRPr="00237A6E">
        <w:rPr>
          <w:rFonts w:hint="eastAsia"/>
          <w:color w:val="000000"/>
        </w:rPr>
        <w:t>2,944萬4千元</w:t>
      </w:r>
      <w:r w:rsidRPr="00237A6E">
        <w:rPr>
          <w:rFonts w:hint="eastAsia"/>
        </w:rPr>
        <w:t>，凍結150萬元，俟向立法院司法及法制委員會提出書面報告後，始得動支。</w:t>
      </w:r>
    </w:p>
    <w:p w14:paraId="1C934135" w14:textId="77777777" w:rsidR="00421BB5" w:rsidRPr="00237A6E" w:rsidRDefault="00421BB5" w:rsidP="00421BB5">
      <w:pPr>
        <w:pStyle w:val="2-1"/>
        <w:rPr>
          <w:shd w:val="clear" w:color="auto" w:fill="FFFFFF"/>
        </w:rPr>
      </w:pPr>
      <w:r w:rsidRPr="00237A6E">
        <w:rPr>
          <w:rFonts w:hint="eastAsia"/>
          <w:shd w:val="clear" w:color="auto" w:fill="FFFFFF"/>
        </w:rPr>
        <w:t>提案人：陳玉珍</w:t>
      </w:r>
      <w:r w:rsidRPr="00237A6E">
        <w:rPr>
          <w:shd w:val="clear" w:color="auto" w:fill="FFFFFF"/>
        </w:rPr>
        <w:t xml:space="preserve"> </w:t>
      </w:r>
      <w:r w:rsidRPr="00237A6E">
        <w:rPr>
          <w:rFonts w:hint="eastAsia"/>
          <w:shd w:val="clear" w:color="auto" w:fill="FFFFFF"/>
        </w:rPr>
        <w:t>黃世杰 江永昌 游毓蘭</w:t>
      </w:r>
    </w:p>
    <w:p w14:paraId="58395A28" w14:textId="77777777" w:rsidR="00421BB5" w:rsidRPr="00237A6E" w:rsidRDefault="00421BB5" w:rsidP="00421BB5">
      <w:pPr>
        <w:pStyle w:val="2-2"/>
        <w:rPr>
          <w:shd w:val="clear" w:color="auto" w:fill="FFFFFF"/>
        </w:rPr>
      </w:pPr>
      <w:r w:rsidRPr="00237A6E">
        <w:rPr>
          <w:rFonts w:hint="eastAsia"/>
          <w:shd w:val="clear" w:color="auto" w:fill="FFFFFF"/>
        </w:rPr>
        <w:t xml:space="preserve">陳歐珀 林思銘 </w:t>
      </w:r>
    </w:p>
    <w:p w14:paraId="2B448A72" w14:textId="77777777" w:rsidR="00421BB5" w:rsidRPr="00237A6E" w:rsidRDefault="00421BB5" w:rsidP="00421BB5">
      <w:pPr>
        <w:pStyle w:val="0-"/>
      </w:pPr>
      <w:r w:rsidRPr="00237A6E">
        <w:rPr>
          <w:rFonts w:hint="eastAsia"/>
        </w:rPr>
        <w:t>(五)</w:t>
      </w:r>
      <w:r w:rsidRPr="00237A6E">
        <w:rPr>
          <w:rFonts w:cs="標楷體" w:hint="eastAsia"/>
          <w:color w:val="000000"/>
        </w:rPr>
        <w:t>有鑑於法官及司法人員工作負擔沈重，長時間承受高度壓力，司法院為此推動「司法減壓」措施，其中包括擴大辦理法官多</w:t>
      </w:r>
      <w:r w:rsidRPr="00237A6E">
        <w:rPr>
          <w:rFonts w:cs="標楷體" w:hint="eastAsia"/>
          <w:color w:val="000000"/>
        </w:rPr>
        <w:lastRenderedPageBreak/>
        <w:t>元進用，近年來積極辦理「律師轉任法官」、「檢察官轉任法官」及「法官再任」等多元進用方案，並藉由說明會等方式加強宣導，未來也將擴大辦理「學者及公務人員轉任法官」，惟我國法官人力來源長期以考試方式進用為主，因考試進用法官之年紀過輕、缺乏社會歷練，顯示法官多元進用之執行成效仍有精進空間，</w:t>
      </w:r>
      <w:r w:rsidRPr="00237A6E">
        <w:rPr>
          <w:rFonts w:hint="eastAsia"/>
        </w:rPr>
        <w:t>請司法院於3個月內向立法院司法及法制委員會提出近五年來各年「律師轉任法官」、「檢察官轉任法官」及「法官再任」人數統計，並說明為何檢察官申請轉任居最多數，資深執業律師、學者申請轉任者較少，及應如何精進法官多元進用之執行成效</w:t>
      </w:r>
      <w:r w:rsidRPr="00237A6E">
        <w:rPr>
          <w:rFonts w:cs="標楷體" w:hint="eastAsia"/>
          <w:color w:val="000000"/>
        </w:rPr>
        <w:t>之</w:t>
      </w:r>
      <w:r w:rsidRPr="00237A6E">
        <w:rPr>
          <w:rFonts w:hint="eastAsia"/>
        </w:rPr>
        <w:t>書面報告。</w:t>
      </w:r>
    </w:p>
    <w:p w14:paraId="7F80100D" w14:textId="77777777" w:rsidR="00421BB5" w:rsidRPr="00237A6E" w:rsidRDefault="00421BB5" w:rsidP="00421BB5">
      <w:pPr>
        <w:pStyle w:val="2-1"/>
      </w:pPr>
      <w:r w:rsidRPr="00237A6E">
        <w:rPr>
          <w:rFonts w:hint="eastAsia"/>
        </w:rPr>
        <w:t xml:space="preserve">提案人：劉建國 江永昌 陳歐珀 </w:t>
      </w:r>
    </w:p>
    <w:p w14:paraId="6EF4BE5A" w14:textId="77777777" w:rsidR="00421BB5" w:rsidRPr="00237A6E" w:rsidRDefault="00421BB5" w:rsidP="00421BB5">
      <w:pPr>
        <w:pStyle w:val="0-"/>
      </w:pPr>
      <w:r w:rsidRPr="00237A6E">
        <w:rPr>
          <w:rFonts w:hint="eastAsia"/>
        </w:rPr>
        <w:t>(六)112年度司法院歲出預算「辦理綜合性司法政策對外溝通宣導、輿情蒐集彙報及多媒體簡介業務等經費」編列3,650萬元，比111年度2,014萬8千元，增加1</w:t>
      </w:r>
      <w:r w:rsidRPr="00237A6E">
        <w:t>,</w:t>
      </w:r>
      <w:r w:rsidRPr="00237A6E">
        <w:rPr>
          <w:rFonts w:hint="eastAsia"/>
        </w:rPr>
        <w:t>600萬元，請依實際需求撙節開支。</w:t>
      </w:r>
    </w:p>
    <w:p w14:paraId="3E3777CF" w14:textId="77777777" w:rsidR="00421BB5" w:rsidRPr="00237A6E" w:rsidRDefault="00421BB5" w:rsidP="00421BB5">
      <w:pPr>
        <w:pStyle w:val="2-1"/>
      </w:pPr>
      <w:r w:rsidRPr="00237A6E">
        <w:rPr>
          <w:rFonts w:hint="eastAsia"/>
        </w:rPr>
        <w:t>提案人：鄭運鵬 黃世杰 陳歐珀</w:t>
      </w:r>
    </w:p>
    <w:p w14:paraId="70FC1670" w14:textId="77777777" w:rsidR="00421BB5" w:rsidRPr="00237A6E" w:rsidRDefault="00421BB5" w:rsidP="00421BB5">
      <w:pPr>
        <w:pStyle w:val="0-"/>
      </w:pPr>
      <w:r w:rsidRPr="00237A6E">
        <w:rPr>
          <w:rFonts w:hint="eastAsia"/>
        </w:rPr>
        <w:t>(七)資訊化、網路化為世界潮流，減少紙本及相關費用減少下，司法院相關預算也應呈遞減趨勢，然司法院各類書表、刊物印製費111年度為275萬7千元，112年度不減反而增為488萬1千元，請司法院落實減紙，研議以資訊化方式取代紙本，以降低各類印製費。</w:t>
      </w:r>
    </w:p>
    <w:p w14:paraId="11F5C984" w14:textId="77777777" w:rsidR="00421BB5" w:rsidRPr="00237A6E" w:rsidRDefault="00421BB5" w:rsidP="00421BB5">
      <w:pPr>
        <w:pStyle w:val="2-1"/>
      </w:pPr>
      <w:r w:rsidRPr="00237A6E">
        <w:rPr>
          <w:rFonts w:hint="eastAsia"/>
        </w:rPr>
        <w:t>提案人：鄭運鵬 黃世杰 陳歐珀</w:t>
      </w:r>
    </w:p>
    <w:p w14:paraId="1D408620" w14:textId="77777777" w:rsidR="00421BB5" w:rsidRPr="00237A6E" w:rsidRDefault="00421BB5" w:rsidP="00421BB5">
      <w:pPr>
        <w:pStyle w:val="0-"/>
      </w:pPr>
      <w:r w:rsidRPr="00237A6E">
        <w:rPr>
          <w:rFonts w:hint="eastAsia"/>
        </w:rPr>
        <w:t>(八)司法院司法周刊於民國70年4月1日發行創刊，司法院網站原僅供民眾免費閱讀1版和4版，經鄭委員運鵬要求後，目前已經全部4版供民眾參閱。就成本考量，請司法院應逐年調查紙本印刷之實際需求，避免浪費。</w:t>
      </w:r>
    </w:p>
    <w:p w14:paraId="4F6643CE" w14:textId="77777777" w:rsidR="00421BB5" w:rsidRPr="00237A6E" w:rsidRDefault="00421BB5" w:rsidP="00421BB5">
      <w:pPr>
        <w:pStyle w:val="2-1"/>
      </w:pPr>
      <w:r w:rsidRPr="00237A6E">
        <w:rPr>
          <w:rFonts w:hint="eastAsia"/>
        </w:rPr>
        <w:t>提案人：鄭運鵬 黃世杰 陳歐珀</w:t>
      </w:r>
    </w:p>
    <w:p w14:paraId="214408EF" w14:textId="77777777" w:rsidR="00421BB5" w:rsidRPr="00237A6E" w:rsidRDefault="00421BB5" w:rsidP="00421BB5">
      <w:pPr>
        <w:pStyle w:val="0-"/>
      </w:pPr>
      <w:r w:rsidRPr="00237A6E">
        <w:rPr>
          <w:rFonts w:hint="eastAsia"/>
        </w:rPr>
        <w:t>(九)112年度司法院歲出預算編列「一般行政」項下「辦理法律教育推廣宣導經費」共2</w:t>
      </w:r>
      <w:r w:rsidRPr="00237A6E">
        <w:t>,</w:t>
      </w:r>
      <w:r w:rsidRPr="00237A6E">
        <w:rPr>
          <w:rFonts w:hint="eastAsia"/>
        </w:rPr>
        <w:t>315萬元，不得委託特定廠商、包裹發案或養網軍攻擊不同意見的民眾，並依需求確實執行。</w:t>
      </w:r>
    </w:p>
    <w:p w14:paraId="4A177D29" w14:textId="77777777" w:rsidR="00421BB5" w:rsidRPr="00237A6E" w:rsidRDefault="00421BB5" w:rsidP="00421BB5">
      <w:pPr>
        <w:pStyle w:val="2-1"/>
      </w:pPr>
      <w:r w:rsidRPr="00237A6E">
        <w:rPr>
          <w:rFonts w:hint="eastAsia"/>
        </w:rPr>
        <w:t>提案人：林思銘</w:t>
      </w:r>
    </w:p>
    <w:p w14:paraId="02295A8D" w14:textId="77777777" w:rsidR="00421BB5" w:rsidRPr="00237A6E" w:rsidRDefault="00421BB5" w:rsidP="00421BB5">
      <w:pPr>
        <w:pStyle w:val="2-1"/>
      </w:pPr>
      <w:r w:rsidRPr="00237A6E">
        <w:rPr>
          <w:rFonts w:hint="eastAsia"/>
        </w:rPr>
        <w:t>連署人：陳以信 游毓蘭</w:t>
      </w:r>
    </w:p>
    <w:p w14:paraId="07837FBC" w14:textId="77777777" w:rsidR="00421BB5" w:rsidRPr="00237A6E" w:rsidRDefault="00421BB5" w:rsidP="00421BB5">
      <w:pPr>
        <w:pStyle w:val="0-"/>
      </w:pPr>
      <w:r w:rsidRPr="00237A6E">
        <w:rPr>
          <w:rFonts w:hint="eastAsia"/>
        </w:rPr>
        <w:t>(十)112年度司法院歲出預算編列「一般行政」項下「辦理綜合性司法政策對外溝通宣導、輿情蒐集彙報及多媒體簡介業務等經費」共3,650萬元，不得委託特定廠商、包裹發案或養網軍攻擊不同意見的民眾，並依需求確實執行。</w:t>
      </w:r>
    </w:p>
    <w:p w14:paraId="5AC7FEBA" w14:textId="77777777" w:rsidR="00421BB5" w:rsidRPr="00237A6E" w:rsidRDefault="00421BB5" w:rsidP="00421BB5">
      <w:pPr>
        <w:pStyle w:val="2-1"/>
      </w:pPr>
      <w:r w:rsidRPr="00237A6E">
        <w:rPr>
          <w:rFonts w:hint="eastAsia"/>
        </w:rPr>
        <w:t>提案人：林思銘</w:t>
      </w:r>
    </w:p>
    <w:p w14:paraId="45841594" w14:textId="77777777" w:rsidR="00421BB5" w:rsidRPr="00237A6E" w:rsidRDefault="00421BB5" w:rsidP="00421BB5">
      <w:pPr>
        <w:pStyle w:val="2-1"/>
      </w:pPr>
      <w:r w:rsidRPr="00237A6E">
        <w:rPr>
          <w:rFonts w:hint="eastAsia"/>
        </w:rPr>
        <w:t>連署人：陳以信 游毓蘭</w:t>
      </w:r>
    </w:p>
    <w:p w14:paraId="773CAE85" w14:textId="77777777" w:rsidR="00421BB5" w:rsidRPr="00237A6E" w:rsidRDefault="00421BB5" w:rsidP="00421BB5">
      <w:pPr>
        <w:pStyle w:val="0-"/>
      </w:pPr>
      <w:r w:rsidRPr="00237A6E">
        <w:rPr>
          <w:rFonts w:hint="eastAsia"/>
        </w:rPr>
        <w:t>(十一)112年度司法院歲出預算編列「臨時人員酬金」共186萬元，利用寒暑假僱用大專校院法律系、所學生擔任工讀生，協助處</w:t>
      </w:r>
      <w:r w:rsidRPr="00237A6E">
        <w:rPr>
          <w:rFonts w:hint="eastAsia"/>
        </w:rPr>
        <w:lastRenderedPageBreak/>
        <w:t>理輔助性業務。爰請司法院於辦理上開事務時，宜整合司法實務與法學教育資源，並具體考核工讀成效，以培育優良司法人才。</w:t>
      </w:r>
    </w:p>
    <w:p w14:paraId="6E0029C3" w14:textId="77777777" w:rsidR="00421BB5" w:rsidRPr="00237A6E" w:rsidRDefault="00421BB5" w:rsidP="00421BB5">
      <w:pPr>
        <w:pStyle w:val="2-1"/>
      </w:pPr>
      <w:r w:rsidRPr="00237A6E">
        <w:rPr>
          <w:rFonts w:hint="eastAsia"/>
        </w:rPr>
        <w:t>提案人：林思銘</w:t>
      </w:r>
    </w:p>
    <w:p w14:paraId="174F0B03" w14:textId="77777777" w:rsidR="00421BB5" w:rsidRPr="00237A6E" w:rsidRDefault="00421BB5" w:rsidP="00421BB5">
      <w:pPr>
        <w:pStyle w:val="2-1"/>
      </w:pPr>
      <w:r w:rsidRPr="00237A6E">
        <w:rPr>
          <w:rFonts w:hint="eastAsia"/>
        </w:rPr>
        <w:t xml:space="preserve">連署人：曾銘宗 陳以信 </w:t>
      </w:r>
    </w:p>
    <w:p w14:paraId="4E663E97" w14:textId="77777777" w:rsidR="00421BB5" w:rsidRPr="00237A6E" w:rsidRDefault="00421BB5" w:rsidP="00421BB5">
      <w:pPr>
        <w:pStyle w:val="0-"/>
      </w:pPr>
      <w:r w:rsidRPr="00237A6E">
        <w:rPr>
          <w:rFonts w:hint="eastAsia"/>
        </w:rPr>
        <w:t>(十二)112年度司法院歲出預算編列「電話總機、駕駛、公文傳遞、資料登錄等勞務委外經費」</w:t>
      </w:r>
      <w:r w:rsidRPr="00237A6E">
        <w:t>1,152</w:t>
      </w:r>
      <w:r w:rsidRPr="00237A6E">
        <w:rPr>
          <w:rFonts w:hint="eastAsia"/>
        </w:rPr>
        <w:t>萬</w:t>
      </w:r>
      <w:r w:rsidRPr="00237A6E">
        <w:t>3</w:t>
      </w:r>
      <w:r w:rsidRPr="00237A6E">
        <w:rPr>
          <w:rFonts w:hint="eastAsia"/>
        </w:rPr>
        <w:t>千元，較</w:t>
      </w:r>
      <w:r w:rsidRPr="00237A6E">
        <w:t>111</w:t>
      </w:r>
      <w:r w:rsidRPr="00237A6E">
        <w:rPr>
          <w:rFonts w:hint="eastAsia"/>
        </w:rPr>
        <w:t>年度編列的</w:t>
      </w:r>
      <w:r w:rsidRPr="00237A6E">
        <w:t>889</w:t>
      </w:r>
      <w:r w:rsidRPr="00237A6E">
        <w:rPr>
          <w:rFonts w:hint="eastAsia"/>
        </w:rPr>
        <w:t>萬</w:t>
      </w:r>
      <w:r w:rsidRPr="00237A6E">
        <w:t>7</w:t>
      </w:r>
      <w:r w:rsidRPr="00237A6E">
        <w:rPr>
          <w:rFonts w:hint="eastAsia"/>
        </w:rPr>
        <w:t>千元無端增加三成。有鑑於國家財政窘困，為免浪費公帑，請司法院向立法院司法及法制委員會提出書面報告，並確實依實際業務需要，妥適配置運用委外人力，以提高工作效益。</w:t>
      </w:r>
    </w:p>
    <w:p w14:paraId="437C1227" w14:textId="77777777" w:rsidR="00421BB5" w:rsidRPr="00237A6E" w:rsidRDefault="00421BB5" w:rsidP="00421BB5">
      <w:pPr>
        <w:pStyle w:val="2-1"/>
      </w:pPr>
      <w:r w:rsidRPr="00237A6E">
        <w:rPr>
          <w:rFonts w:hint="eastAsia"/>
        </w:rPr>
        <w:t>提案人：陳以信</w:t>
      </w:r>
    </w:p>
    <w:p w14:paraId="09D14035" w14:textId="77777777" w:rsidR="00421BB5" w:rsidRPr="00237A6E" w:rsidRDefault="00421BB5" w:rsidP="00421BB5">
      <w:pPr>
        <w:pStyle w:val="2-1"/>
      </w:pPr>
      <w:r w:rsidRPr="00237A6E">
        <w:rPr>
          <w:rFonts w:hint="eastAsia"/>
        </w:rPr>
        <w:t>連署人：游毓蘭 林思銘</w:t>
      </w:r>
    </w:p>
    <w:p w14:paraId="3B98E328" w14:textId="77777777" w:rsidR="00421BB5" w:rsidRPr="00237A6E" w:rsidRDefault="00421BB5" w:rsidP="00421BB5">
      <w:pPr>
        <w:pStyle w:val="0-"/>
      </w:pPr>
      <w:r w:rsidRPr="00237A6E">
        <w:rPr>
          <w:rFonts w:hint="eastAsia"/>
        </w:rPr>
        <w:t>(十三)112年度司法院歲出預算編列「辦公廳室清潔維護費及管理費」</w:t>
      </w:r>
      <w:r w:rsidRPr="00237A6E">
        <w:t>641</w:t>
      </w:r>
      <w:r w:rsidRPr="00237A6E">
        <w:rPr>
          <w:rFonts w:hint="eastAsia"/>
        </w:rPr>
        <w:t>萬</w:t>
      </w:r>
      <w:r w:rsidRPr="00237A6E">
        <w:t>8</w:t>
      </w:r>
      <w:r w:rsidRPr="00237A6E">
        <w:rPr>
          <w:rFonts w:hint="eastAsia"/>
        </w:rPr>
        <w:t>千元，較</w:t>
      </w:r>
      <w:r w:rsidRPr="00237A6E">
        <w:t>111</w:t>
      </w:r>
      <w:r w:rsidRPr="00237A6E">
        <w:rPr>
          <w:rFonts w:hint="eastAsia"/>
        </w:rPr>
        <w:t>年度編列的</w:t>
      </w:r>
      <w:r w:rsidRPr="00237A6E">
        <w:t>487</w:t>
      </w:r>
      <w:r w:rsidRPr="00237A6E">
        <w:rPr>
          <w:rFonts w:hint="eastAsia"/>
        </w:rPr>
        <w:t>萬元增加三成。而</w:t>
      </w:r>
      <w:r w:rsidRPr="00237A6E">
        <w:t>112</w:t>
      </w:r>
      <w:r w:rsidRPr="00237A6E">
        <w:rPr>
          <w:rFonts w:hint="eastAsia"/>
        </w:rPr>
        <w:t>年度僅多編列管理費，不符比例原則。有鑑於國家財政窘困，為免浪費公帑，</w:t>
      </w:r>
      <w:r>
        <w:rPr>
          <w:rFonts w:hint="eastAsia"/>
        </w:rPr>
        <w:t>請司法院依實際業務需要，妥適配置清潔委外人力，</w:t>
      </w:r>
      <w:r w:rsidRPr="00237A6E">
        <w:rPr>
          <w:rFonts w:hint="eastAsia"/>
        </w:rPr>
        <w:t>本於撙節原則，核實運用相關經費，並向立法院司法及法制委員會提出書面報告。</w:t>
      </w:r>
    </w:p>
    <w:p w14:paraId="734F4E52" w14:textId="77777777" w:rsidR="00421BB5" w:rsidRPr="00237A6E" w:rsidRDefault="00421BB5" w:rsidP="00421BB5">
      <w:pPr>
        <w:pStyle w:val="2-1"/>
      </w:pPr>
      <w:r w:rsidRPr="00237A6E">
        <w:rPr>
          <w:rFonts w:hint="eastAsia"/>
        </w:rPr>
        <w:t>提案人：陳以信</w:t>
      </w:r>
    </w:p>
    <w:p w14:paraId="447C82FF" w14:textId="77777777" w:rsidR="00421BB5" w:rsidRPr="00237A6E" w:rsidRDefault="00421BB5" w:rsidP="00421BB5">
      <w:pPr>
        <w:pStyle w:val="2-1"/>
      </w:pPr>
      <w:r w:rsidRPr="00237A6E">
        <w:rPr>
          <w:rFonts w:hint="eastAsia"/>
        </w:rPr>
        <w:t>連署人：游毓蘭 林思銘</w:t>
      </w:r>
    </w:p>
    <w:p w14:paraId="77BA36FE" w14:textId="77777777" w:rsidR="00421BB5" w:rsidRPr="00237A6E" w:rsidRDefault="00421BB5" w:rsidP="00421BB5">
      <w:pPr>
        <w:pStyle w:val="0-"/>
      </w:pPr>
      <w:r w:rsidRPr="00237A6E">
        <w:rPr>
          <w:rFonts w:hint="eastAsia"/>
        </w:rPr>
        <w:t>(十四)</w:t>
      </w:r>
      <w:r w:rsidRPr="00237A6E">
        <w:rPr>
          <w:rFonts w:cs="標楷體" w:hint="eastAsia"/>
          <w:color w:val="000000"/>
        </w:rPr>
        <w:t>法官及司法人員工作負擔沈重，承受高度壓力，為此推動「司法減壓」措施，以加速增補審判人力，擴大辦理法官多元進用及落實身心關懷，推動心理健康協助，故司法院推動之員工心理健康協助方案，惟司法院僅將預算編列於「辦理司法行政業務」項下「業務費」中「</w:t>
      </w:r>
      <w:r w:rsidRPr="00237A6E">
        <w:rPr>
          <w:rFonts w:cs="標楷體" w:hint="eastAsia"/>
        </w:rPr>
        <w:t>一般</w:t>
      </w:r>
      <w:r w:rsidRPr="00237A6E">
        <w:rPr>
          <w:rFonts w:cs="標楷體" w:hint="eastAsia"/>
          <w:color w:val="000000"/>
        </w:rPr>
        <w:t>事務費」之「員工健康檢查補助費」68萬8千元下，並未專款專項編列，似難分辨為法官及司法人員每年符合年齡之健檢補助費用亦或是身心功能評估、心理諮商費用之補助，且司法院之司法院員工協助方案專區有關推動心理健康協助方案之頁面，適用對象亦未擴及全院，僅明列部分，此似有待改善。綜合前述，</w:t>
      </w:r>
      <w:r w:rsidRPr="00237A6E">
        <w:rPr>
          <w:rFonts w:hint="eastAsia"/>
        </w:rPr>
        <w:t>請司法院於3個月內向立法院司法及法制委員會提出</w:t>
      </w:r>
      <w:r w:rsidRPr="00237A6E">
        <w:rPr>
          <w:rFonts w:cs="標楷體" w:hint="eastAsia"/>
          <w:color w:val="000000"/>
        </w:rPr>
        <w:t>員工心理健康協助方案自108年起申請心理諮商費用之統計人數與補助金額之</w:t>
      </w:r>
      <w:r w:rsidRPr="00237A6E">
        <w:rPr>
          <w:rFonts w:hint="eastAsia"/>
        </w:rPr>
        <w:t>書面報告。</w:t>
      </w:r>
    </w:p>
    <w:p w14:paraId="3DDC9D9E" w14:textId="77777777" w:rsidR="00421BB5" w:rsidRPr="00237A6E" w:rsidRDefault="00421BB5" w:rsidP="00421BB5">
      <w:pPr>
        <w:pStyle w:val="2-1"/>
      </w:pPr>
      <w:r w:rsidRPr="00237A6E">
        <w:rPr>
          <w:rFonts w:hint="eastAsia"/>
        </w:rPr>
        <w:t>提案人：劉建國 江永昌 陳歐珀</w:t>
      </w:r>
    </w:p>
    <w:p w14:paraId="53978D3D" w14:textId="77777777" w:rsidR="00421BB5" w:rsidRPr="00237A6E" w:rsidRDefault="00421BB5" w:rsidP="00421BB5">
      <w:pPr>
        <w:pStyle w:val="0-"/>
      </w:pPr>
      <w:r w:rsidRPr="00237A6E">
        <w:rPr>
          <w:rFonts w:hint="eastAsia"/>
        </w:rPr>
        <w:t>(十五)112年度</w:t>
      </w:r>
      <w:r w:rsidRPr="00237A6E">
        <w:rPr>
          <w:rFonts w:hint="eastAsia"/>
          <w:noProof/>
        </w:rPr>
        <w:t>司法院</w:t>
      </w:r>
      <w:r w:rsidRPr="00237A6E">
        <w:rPr>
          <w:rFonts w:hint="eastAsia"/>
        </w:rPr>
        <w:t>歲出預算編列「</w:t>
      </w:r>
      <w:r w:rsidRPr="00237A6E">
        <w:rPr>
          <w:rFonts w:hint="eastAsia"/>
          <w:noProof/>
        </w:rPr>
        <w:t>一般行政」項下「辦理司法行政業務」中</w:t>
      </w:r>
      <w:r w:rsidRPr="00237A6E">
        <w:rPr>
          <w:rFonts w:hint="eastAsia"/>
        </w:rPr>
        <w:t>「</w:t>
      </w:r>
      <w:r w:rsidRPr="00237A6E">
        <w:rPr>
          <w:rFonts w:hint="eastAsia"/>
          <w:noProof/>
        </w:rPr>
        <w:t>一般事務費</w:t>
      </w:r>
      <w:r w:rsidRPr="00237A6E">
        <w:rPr>
          <w:rFonts w:hint="eastAsia"/>
        </w:rPr>
        <w:t>」共</w:t>
      </w:r>
      <w:r w:rsidRPr="00237A6E">
        <w:rPr>
          <w:noProof/>
        </w:rPr>
        <w:t>1</w:t>
      </w:r>
      <w:r w:rsidRPr="00237A6E">
        <w:rPr>
          <w:rFonts w:hint="eastAsia"/>
          <w:noProof/>
        </w:rPr>
        <w:t>億</w:t>
      </w:r>
      <w:r w:rsidRPr="00237A6E">
        <w:rPr>
          <w:noProof/>
        </w:rPr>
        <w:t>8,724</w:t>
      </w:r>
      <w:r w:rsidRPr="00237A6E">
        <w:rPr>
          <w:rFonts w:hint="eastAsia"/>
        </w:rPr>
        <w:t>萬元，</w:t>
      </w:r>
      <w:r w:rsidRPr="00237A6E">
        <w:rPr>
          <w:rFonts w:hint="eastAsia"/>
          <w:noProof/>
        </w:rPr>
        <w:t>因由法院撥出的電話顯示非官方網站所示電話，常有</w:t>
      </w:r>
      <w:bookmarkStart w:id="524" w:name="_Hlk119053709"/>
      <w:r w:rsidRPr="00237A6E">
        <w:rPr>
          <w:rFonts w:hint="eastAsia"/>
          <w:noProof/>
        </w:rPr>
        <w:t>詐騙</w:t>
      </w:r>
      <w:bookmarkEnd w:id="524"/>
      <w:r w:rsidRPr="00237A6E">
        <w:rPr>
          <w:rFonts w:hint="eastAsia"/>
          <w:noProof/>
        </w:rPr>
        <w:t>集團假借法院名義以電話詐騙，易導致民眾混亂及上當受騙，司法院應督促各法院查明及檢討電話撥出之顯示代表號，並與電信業者聯繫修正，讓代表號與官方網站資訊一致。</w:t>
      </w:r>
    </w:p>
    <w:p w14:paraId="78124B00" w14:textId="77777777" w:rsidR="00421BB5" w:rsidRPr="00237A6E" w:rsidRDefault="00421BB5" w:rsidP="00421BB5">
      <w:pPr>
        <w:pStyle w:val="2-1"/>
      </w:pPr>
      <w:r w:rsidRPr="00237A6E">
        <w:rPr>
          <w:rFonts w:hint="eastAsia"/>
        </w:rPr>
        <w:lastRenderedPageBreak/>
        <w:t>提案人：林思銘</w:t>
      </w:r>
    </w:p>
    <w:p w14:paraId="70D44A24" w14:textId="77777777" w:rsidR="00421BB5" w:rsidRPr="00237A6E" w:rsidRDefault="00421BB5" w:rsidP="00421BB5">
      <w:pPr>
        <w:pStyle w:val="2-1"/>
      </w:pPr>
      <w:r w:rsidRPr="00237A6E">
        <w:rPr>
          <w:rFonts w:hint="eastAsia"/>
        </w:rPr>
        <w:t>連署人：曾銘宗 陳以信</w:t>
      </w:r>
    </w:p>
    <w:p w14:paraId="1B2D2CC2" w14:textId="77777777" w:rsidR="00421BB5" w:rsidRPr="00237A6E" w:rsidRDefault="00421BB5" w:rsidP="00421BB5">
      <w:pPr>
        <w:pStyle w:val="0-"/>
      </w:pPr>
      <w:r w:rsidRPr="00237A6E">
        <w:rPr>
          <w:rFonts w:hint="eastAsia"/>
        </w:rPr>
        <w:t>(十六)112年度司法院歲出預算編列「一般行政」項下「辦理司法行政業務」中「業務費」之「國內旅費」735萬1千元，較111年度、110年度增加502萬6千元、502萬5千元，增幅達216%，未見較往年特殊用途事項，卻較以前年度預算數大幅增加，欠缺合理性，鑑於國家財政狀況困窘，應撙節相關費用支出，爰請司法院向立法院司法及法制委員會提出相關書面說明報告。</w:t>
      </w:r>
    </w:p>
    <w:p w14:paraId="2F1AD4B0" w14:textId="77777777" w:rsidR="00421BB5" w:rsidRPr="00237A6E" w:rsidRDefault="00421BB5" w:rsidP="00421BB5">
      <w:pPr>
        <w:pStyle w:val="2-1"/>
      </w:pPr>
      <w:r w:rsidRPr="00237A6E">
        <w:rPr>
          <w:rFonts w:hint="eastAsia"/>
        </w:rPr>
        <w:t>提案人：曾銘宗 林思銘 陳以信</w:t>
      </w:r>
      <w:r w:rsidRPr="00237A6E">
        <w:t xml:space="preserve"> </w:t>
      </w:r>
    </w:p>
    <w:p w14:paraId="335E1EFB" w14:textId="77777777" w:rsidR="00421BB5" w:rsidRPr="00237A6E" w:rsidRDefault="00421BB5" w:rsidP="00421BB5">
      <w:pPr>
        <w:pStyle w:val="0-"/>
      </w:pPr>
      <w:r w:rsidRPr="00237A6E">
        <w:rPr>
          <w:rFonts w:hint="eastAsia"/>
        </w:rPr>
        <w:t>(十七)112年度</w:t>
      </w:r>
      <w:r w:rsidRPr="00237A6E">
        <w:rPr>
          <w:rFonts w:hint="eastAsia"/>
          <w:noProof/>
        </w:rPr>
        <w:t>司法院</w:t>
      </w:r>
      <w:r w:rsidRPr="00237A6E">
        <w:rPr>
          <w:rFonts w:hint="eastAsia"/>
        </w:rPr>
        <w:t>歲出預算編列「</w:t>
      </w:r>
      <w:r w:rsidRPr="00237A6E">
        <w:rPr>
          <w:rFonts w:hint="eastAsia"/>
          <w:noProof/>
        </w:rPr>
        <w:t>一般行政」項下「辦理司法行政業務」中「設備及投資」</w:t>
      </w:r>
      <w:r w:rsidRPr="00237A6E">
        <w:rPr>
          <w:rFonts w:hint="eastAsia"/>
          <w:szCs w:val="32"/>
        </w:rPr>
        <w:t>共</w:t>
      </w:r>
      <w:r w:rsidRPr="00237A6E">
        <w:rPr>
          <w:noProof/>
          <w:szCs w:val="32"/>
        </w:rPr>
        <w:t>3,828</w:t>
      </w:r>
      <w:r w:rsidRPr="00237A6E">
        <w:rPr>
          <w:rFonts w:hint="eastAsia"/>
          <w:noProof/>
          <w:szCs w:val="32"/>
        </w:rPr>
        <w:t>萬4</w:t>
      </w:r>
      <w:r w:rsidRPr="00237A6E">
        <w:rPr>
          <w:rFonts w:hint="eastAsia"/>
          <w:szCs w:val="32"/>
        </w:rPr>
        <w:t>千元</w:t>
      </w:r>
      <w:r w:rsidRPr="00237A6E">
        <w:rPr>
          <w:rFonts w:hint="eastAsia"/>
        </w:rPr>
        <w:t>，</w:t>
      </w:r>
      <w:r w:rsidRPr="00237A6E">
        <w:rPr>
          <w:rFonts w:hint="eastAsia"/>
          <w:noProof/>
        </w:rPr>
        <w:t>因由司法院撥出的電話顯示非官方網站所示電話，常有詐騙集團假借法院名義以電話詐騙，易導致民眾混亂及上當受騙。</w:t>
      </w:r>
    </w:p>
    <w:p w14:paraId="3CD7621E" w14:textId="77777777" w:rsidR="00421BB5" w:rsidRPr="00237A6E" w:rsidRDefault="00421BB5" w:rsidP="00421BB5">
      <w:pPr>
        <w:pStyle w:val="0-2"/>
      </w:pPr>
      <w:r w:rsidRPr="00237A6E">
        <w:rPr>
          <w:rFonts w:hint="eastAsia"/>
          <w:noProof/>
        </w:rPr>
        <w:t>司法院應查明及檢討電話撥出之顯示代表號，並與電信業者聯繫修正，讓代表號與官方網站資訊一致。</w:t>
      </w:r>
    </w:p>
    <w:p w14:paraId="2DDBF80F" w14:textId="77777777" w:rsidR="00421BB5" w:rsidRPr="00237A6E" w:rsidRDefault="00421BB5" w:rsidP="00421BB5">
      <w:pPr>
        <w:pStyle w:val="2-1"/>
      </w:pPr>
      <w:r w:rsidRPr="00237A6E">
        <w:rPr>
          <w:rFonts w:hint="eastAsia"/>
        </w:rPr>
        <w:t>提案人：林思銘</w:t>
      </w:r>
    </w:p>
    <w:p w14:paraId="6AC82526" w14:textId="77777777" w:rsidR="00421BB5" w:rsidRPr="00237A6E" w:rsidRDefault="00421BB5" w:rsidP="00421BB5">
      <w:pPr>
        <w:pStyle w:val="2-1"/>
      </w:pPr>
      <w:r w:rsidRPr="00237A6E">
        <w:rPr>
          <w:rFonts w:hint="eastAsia"/>
        </w:rPr>
        <w:t>連署人：曾銘宗 陳以信</w:t>
      </w:r>
    </w:p>
    <w:p w14:paraId="1B460A82" w14:textId="77777777" w:rsidR="00421BB5" w:rsidRPr="00237A6E" w:rsidRDefault="00421BB5" w:rsidP="00421BB5">
      <w:pPr>
        <w:pStyle w:val="0-"/>
      </w:pPr>
      <w:r w:rsidRPr="00237A6E">
        <w:rPr>
          <w:rFonts w:hint="eastAsia"/>
        </w:rPr>
        <w:t>(十八)目前司法院之統計系統，跟蹤騷擾防制法第5條第4項依家庭暴力防治法聲請保護令之跟蹤騷擾行為，與家暴法其他案件混合統計，惟現行內政部警政署管考機制，有將此類案件單獨列出。為供政策成效之評估，請司法院設法改善統計方式，使前揭保護令之統計得單獨呈現跟騷之部分，並彙編相關統計報表上網公開供各界參用。</w:t>
      </w:r>
    </w:p>
    <w:p w14:paraId="690DDFB0" w14:textId="77777777" w:rsidR="00421BB5" w:rsidRPr="00237A6E" w:rsidRDefault="00421BB5" w:rsidP="00421BB5">
      <w:pPr>
        <w:pStyle w:val="2-1"/>
      </w:pPr>
      <w:r w:rsidRPr="00237A6E">
        <w:rPr>
          <w:rFonts w:hint="eastAsia"/>
        </w:rPr>
        <w:t>提案人：游毓蘭 林思銘 曾銘宗</w:t>
      </w:r>
      <w:r w:rsidRPr="00237A6E">
        <w:t xml:space="preserve"> </w:t>
      </w:r>
    </w:p>
    <w:p w14:paraId="544B4132" w14:textId="77777777" w:rsidR="00421BB5" w:rsidRPr="00237A6E" w:rsidRDefault="00421BB5" w:rsidP="00421BB5">
      <w:pPr>
        <w:pStyle w:val="0-"/>
        <w:rPr>
          <w:noProof/>
        </w:rPr>
      </w:pPr>
      <w:r w:rsidRPr="00237A6E">
        <w:rPr>
          <w:rFonts w:hint="eastAsia"/>
        </w:rPr>
        <w:t>(十九)112年度</w:t>
      </w:r>
      <w:r w:rsidRPr="00237A6E">
        <w:rPr>
          <w:rFonts w:hint="eastAsia"/>
          <w:noProof/>
        </w:rPr>
        <w:t>司法院</w:t>
      </w:r>
      <w:r w:rsidRPr="00237A6E">
        <w:rPr>
          <w:rFonts w:hint="eastAsia"/>
        </w:rPr>
        <w:t>歲出預算編列「</w:t>
      </w:r>
      <w:r w:rsidRPr="00237A6E">
        <w:rPr>
          <w:rFonts w:hint="eastAsia"/>
          <w:noProof/>
        </w:rPr>
        <w:t>一般行政」項下「辦理電腦資訊作業」中「業務費」之「通訊費</w:t>
      </w:r>
      <w:r w:rsidRPr="00237A6E">
        <w:rPr>
          <w:rFonts w:hint="eastAsia"/>
        </w:rPr>
        <w:t>」其中「</w:t>
      </w:r>
      <w:r w:rsidRPr="00237A6E">
        <w:rPr>
          <w:rFonts w:hint="eastAsia"/>
          <w:noProof/>
        </w:rPr>
        <w:t>數據通訊月租費</w:t>
      </w:r>
      <w:r w:rsidRPr="00237A6E">
        <w:rPr>
          <w:rFonts w:hint="eastAsia"/>
        </w:rPr>
        <w:t>」共</w:t>
      </w:r>
      <w:r w:rsidRPr="00237A6E">
        <w:rPr>
          <w:noProof/>
        </w:rPr>
        <w:t>4,287</w:t>
      </w:r>
      <w:r w:rsidRPr="00237A6E">
        <w:rPr>
          <w:rFonts w:hint="eastAsia"/>
          <w:noProof/>
        </w:rPr>
        <w:t>萬</w:t>
      </w:r>
      <w:r w:rsidRPr="00237A6E">
        <w:rPr>
          <w:noProof/>
        </w:rPr>
        <w:t>7</w:t>
      </w:r>
      <w:r w:rsidRPr="00237A6E">
        <w:rPr>
          <w:rFonts w:hint="eastAsia"/>
        </w:rPr>
        <w:t>千元，</w:t>
      </w:r>
      <w:r w:rsidRPr="00237A6E">
        <w:rPr>
          <w:rFonts w:hint="eastAsia"/>
          <w:noProof/>
        </w:rPr>
        <w:t>因科技進步通訊費降幅頗多，請檢討費率。</w:t>
      </w:r>
    </w:p>
    <w:p w14:paraId="66110855" w14:textId="77777777" w:rsidR="00421BB5" w:rsidRPr="00237A6E" w:rsidRDefault="00421BB5" w:rsidP="00421BB5">
      <w:pPr>
        <w:pStyle w:val="0-2"/>
      </w:pPr>
      <w:r w:rsidRPr="00237A6E">
        <w:rPr>
          <w:rFonts w:hint="eastAsia"/>
          <w:noProof/>
        </w:rPr>
        <w:t>爰請司法院提出需求明細及書面報告，送立法院司法及法制委員會。</w:t>
      </w:r>
    </w:p>
    <w:p w14:paraId="367997AC" w14:textId="77777777" w:rsidR="00421BB5" w:rsidRPr="00237A6E" w:rsidRDefault="00421BB5" w:rsidP="00421BB5">
      <w:pPr>
        <w:pStyle w:val="2-1"/>
      </w:pPr>
      <w:r w:rsidRPr="00237A6E">
        <w:rPr>
          <w:rFonts w:hint="eastAsia"/>
        </w:rPr>
        <w:t>提案人：林思銘</w:t>
      </w:r>
    </w:p>
    <w:p w14:paraId="71BC5F73" w14:textId="77777777" w:rsidR="00421BB5" w:rsidRPr="00237A6E" w:rsidRDefault="00421BB5" w:rsidP="00421BB5">
      <w:pPr>
        <w:pStyle w:val="2-1"/>
      </w:pPr>
      <w:r w:rsidRPr="00237A6E">
        <w:rPr>
          <w:rFonts w:hint="eastAsia"/>
        </w:rPr>
        <w:t>連署人：陳以信 游毓蘭</w:t>
      </w:r>
    </w:p>
    <w:p w14:paraId="62A6A0EE" w14:textId="77777777" w:rsidR="00421BB5" w:rsidRPr="00237A6E" w:rsidRDefault="00421BB5" w:rsidP="00421BB5">
      <w:pPr>
        <w:pStyle w:val="0-"/>
      </w:pPr>
      <w:r w:rsidRPr="00237A6E">
        <w:rPr>
          <w:rFonts w:hint="eastAsia"/>
        </w:rPr>
        <w:t>(二十)112年度</w:t>
      </w:r>
      <w:r w:rsidRPr="00237A6E">
        <w:rPr>
          <w:rFonts w:hint="eastAsia"/>
          <w:noProof/>
        </w:rPr>
        <w:t>司法院</w:t>
      </w:r>
      <w:r w:rsidRPr="00237A6E">
        <w:rPr>
          <w:rFonts w:hint="eastAsia"/>
        </w:rPr>
        <w:t>歲出預算「</w:t>
      </w:r>
      <w:r w:rsidRPr="00237A6E">
        <w:t>一般行政</w:t>
      </w:r>
      <w:r w:rsidRPr="00237A6E">
        <w:rPr>
          <w:rFonts w:hint="eastAsia"/>
        </w:rPr>
        <w:t>」項下「</w:t>
      </w:r>
      <w:r w:rsidRPr="00237A6E">
        <w:t>辦理電腦資訊作業</w:t>
      </w:r>
      <w:r w:rsidRPr="00237A6E">
        <w:rPr>
          <w:rFonts w:hint="eastAsia"/>
        </w:rPr>
        <w:t>」中「</w:t>
      </w:r>
      <w:r w:rsidRPr="00237A6E">
        <w:t>業務費</w:t>
      </w:r>
      <w:r w:rsidRPr="00237A6E">
        <w:rPr>
          <w:rFonts w:hint="eastAsia"/>
        </w:rPr>
        <w:t>」之「</w:t>
      </w:r>
      <w:r w:rsidRPr="00237A6E">
        <w:t>資訊服務費</w:t>
      </w:r>
      <w:r w:rsidRPr="00237A6E">
        <w:rPr>
          <w:rFonts w:hint="eastAsia"/>
        </w:rPr>
        <w:t>」</w:t>
      </w:r>
      <w:r w:rsidRPr="00237A6E">
        <w:t>編列1</w:t>
      </w:r>
      <w:r w:rsidRPr="00237A6E">
        <w:rPr>
          <w:rFonts w:hint="eastAsia"/>
        </w:rPr>
        <w:t>億</w:t>
      </w:r>
      <w:r w:rsidRPr="00237A6E">
        <w:t>1,331</w:t>
      </w:r>
      <w:r w:rsidRPr="00237A6E">
        <w:rPr>
          <w:rFonts w:hint="eastAsia"/>
        </w:rPr>
        <w:t>萬</w:t>
      </w:r>
      <w:r w:rsidRPr="00237A6E">
        <w:t>元，較111年度預算1</w:t>
      </w:r>
      <w:r w:rsidRPr="00237A6E">
        <w:rPr>
          <w:rFonts w:hint="eastAsia"/>
        </w:rPr>
        <w:t>億</w:t>
      </w:r>
      <w:r w:rsidRPr="00237A6E">
        <w:t>0,796</w:t>
      </w:r>
      <w:r w:rsidRPr="00237A6E">
        <w:rPr>
          <w:rFonts w:hint="eastAsia"/>
        </w:rPr>
        <w:t>萬</w:t>
      </w:r>
      <w:r w:rsidRPr="00237A6E">
        <w:t>5千元</w:t>
      </w:r>
      <w:r w:rsidRPr="00237A6E">
        <w:rPr>
          <w:rFonts w:hint="eastAsia"/>
        </w:rPr>
        <w:t>無端</w:t>
      </w:r>
      <w:r w:rsidRPr="00237A6E">
        <w:t>增加534</w:t>
      </w:r>
      <w:r w:rsidRPr="00237A6E">
        <w:rPr>
          <w:rFonts w:hint="eastAsia"/>
        </w:rPr>
        <w:t>萬</w:t>
      </w:r>
      <w:r w:rsidRPr="00237A6E">
        <w:t>5千元</w:t>
      </w:r>
      <w:r w:rsidRPr="00237A6E">
        <w:rPr>
          <w:rFonts w:hint="eastAsia"/>
        </w:rPr>
        <w:t>。且根據1</w:t>
      </w:r>
      <w:r w:rsidRPr="00237A6E">
        <w:t>12</w:t>
      </w:r>
      <w:r w:rsidRPr="00237A6E">
        <w:rPr>
          <w:rFonts w:hint="eastAsia"/>
        </w:rPr>
        <w:t>年度預算，司法院裁判書查詢系統屢屢發生有判決書未上傳，還有非屬依法不公開案件卻因程式設定為不公開案件等離譜事件，爰請司法院提出書面報告，送立法院司法及法制委員會</w:t>
      </w:r>
      <w:r>
        <w:rPr>
          <w:rFonts w:hint="eastAsia"/>
        </w:rPr>
        <w:t>。</w:t>
      </w:r>
    </w:p>
    <w:p w14:paraId="2D78C8DE" w14:textId="77777777" w:rsidR="00421BB5" w:rsidRPr="00237A6E" w:rsidRDefault="00421BB5" w:rsidP="00421BB5">
      <w:pPr>
        <w:pStyle w:val="2-1"/>
      </w:pPr>
      <w:r w:rsidRPr="00237A6E">
        <w:rPr>
          <w:rFonts w:hint="eastAsia"/>
        </w:rPr>
        <w:t>提案人：陳以信</w:t>
      </w:r>
    </w:p>
    <w:p w14:paraId="0DBEB089" w14:textId="77777777" w:rsidR="00421BB5" w:rsidRPr="00237A6E" w:rsidRDefault="00421BB5" w:rsidP="00421BB5">
      <w:pPr>
        <w:pStyle w:val="2-1"/>
      </w:pPr>
      <w:r w:rsidRPr="00237A6E">
        <w:rPr>
          <w:rFonts w:hint="eastAsia"/>
        </w:rPr>
        <w:lastRenderedPageBreak/>
        <w:t>連署人：游毓蘭 林思銘</w:t>
      </w:r>
    </w:p>
    <w:p w14:paraId="678740F9" w14:textId="77777777" w:rsidR="00421BB5" w:rsidRPr="00237A6E" w:rsidRDefault="00421BB5" w:rsidP="00421BB5">
      <w:pPr>
        <w:pStyle w:val="0-"/>
      </w:pPr>
      <w:r w:rsidRPr="00237A6E">
        <w:rPr>
          <w:rFonts w:hint="eastAsia"/>
        </w:rPr>
        <w:t>(二十一)112年度</w:t>
      </w:r>
      <w:r w:rsidRPr="00237A6E">
        <w:rPr>
          <w:rFonts w:hint="eastAsia"/>
          <w:noProof/>
        </w:rPr>
        <w:t>司法院</w:t>
      </w:r>
      <w:r w:rsidRPr="00237A6E">
        <w:rPr>
          <w:rFonts w:hint="eastAsia"/>
        </w:rPr>
        <w:t>歲出預算「司法院及所屬各機關電腦軟體發展經費」編列5,200萬元，較111年度同預算增加500萬元，惟增加之預算無敘明應用於何處，爰</w:t>
      </w:r>
      <w:r w:rsidRPr="00237A6E">
        <w:rPr>
          <w:rFonts w:hint="eastAsia"/>
          <w:noProof/>
        </w:rPr>
        <w:t>請</w:t>
      </w:r>
      <w:r>
        <w:rPr>
          <w:rFonts w:hint="eastAsia"/>
        </w:rPr>
        <w:t>司法院向立法院司法及法制委員會提出書面報告。</w:t>
      </w:r>
    </w:p>
    <w:p w14:paraId="4AD47C0E" w14:textId="77777777" w:rsidR="00421BB5" w:rsidRPr="00237A6E" w:rsidRDefault="00421BB5" w:rsidP="00421BB5">
      <w:pPr>
        <w:pStyle w:val="2-1"/>
      </w:pPr>
      <w:r w:rsidRPr="00237A6E">
        <w:rPr>
          <w:rFonts w:hint="eastAsia"/>
        </w:rPr>
        <w:t>提案人：陳以信</w:t>
      </w:r>
    </w:p>
    <w:p w14:paraId="54A7F8A1" w14:textId="77777777" w:rsidR="00421BB5" w:rsidRPr="00237A6E" w:rsidRDefault="00421BB5" w:rsidP="00421BB5">
      <w:pPr>
        <w:pStyle w:val="2-1"/>
      </w:pPr>
      <w:r w:rsidRPr="00237A6E">
        <w:rPr>
          <w:rFonts w:hint="eastAsia"/>
        </w:rPr>
        <w:t>連署人：游毓蘭 林思銘</w:t>
      </w:r>
    </w:p>
    <w:p w14:paraId="4AFA26A2" w14:textId="77777777" w:rsidR="00421BB5" w:rsidRPr="00237A6E" w:rsidRDefault="00421BB5" w:rsidP="00421BB5">
      <w:pPr>
        <w:pStyle w:val="0-"/>
      </w:pPr>
      <w:r w:rsidRPr="00237A6E">
        <w:rPr>
          <w:rFonts w:hint="eastAsia"/>
        </w:rPr>
        <w:t>(二十二)112年度司法院歲出預算編列「一般行政」項下</w:t>
      </w:r>
      <w:r w:rsidRPr="00237A6E">
        <w:rPr>
          <w:rFonts w:hint="eastAsia"/>
          <w:noProof/>
        </w:rPr>
        <w:t>「辦理電腦資訊作業」中</w:t>
      </w:r>
      <w:r w:rsidRPr="00237A6E">
        <w:rPr>
          <w:rFonts w:hint="eastAsia"/>
        </w:rPr>
        <w:t>「業務費」之「資訊服務費」其中「司法院及所屬各機關文書處理軟體企業大量授權採購計畫」共</w:t>
      </w:r>
      <w:r w:rsidRPr="00237A6E">
        <w:t>913</w:t>
      </w:r>
      <w:r w:rsidRPr="00237A6E">
        <w:rPr>
          <w:rFonts w:hint="eastAsia"/>
        </w:rPr>
        <w:t>萬</w:t>
      </w:r>
      <w:r w:rsidRPr="00237A6E">
        <w:t>3</w:t>
      </w:r>
      <w:r w:rsidRPr="00237A6E">
        <w:rPr>
          <w:rFonts w:hint="eastAsia"/>
        </w:rPr>
        <w:t>千元，因大陸科技相關設備嚴重影響國家安全，</w:t>
      </w:r>
      <w:r w:rsidRPr="00237A6E">
        <w:rPr>
          <w:rFonts w:hint="eastAsia"/>
          <w:noProof/>
        </w:rPr>
        <w:t>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79A8EF23" w14:textId="77777777" w:rsidR="00421BB5" w:rsidRPr="00237A6E" w:rsidRDefault="00421BB5" w:rsidP="00421BB5">
      <w:pPr>
        <w:pStyle w:val="2-1"/>
      </w:pPr>
      <w:r w:rsidRPr="00237A6E">
        <w:rPr>
          <w:rFonts w:hint="eastAsia"/>
        </w:rPr>
        <w:t>提案人：林思銘</w:t>
      </w:r>
    </w:p>
    <w:p w14:paraId="60EB0D32" w14:textId="77777777" w:rsidR="00421BB5" w:rsidRPr="00237A6E" w:rsidRDefault="00421BB5" w:rsidP="00421BB5">
      <w:pPr>
        <w:pStyle w:val="2-1"/>
      </w:pPr>
      <w:r w:rsidRPr="00237A6E">
        <w:rPr>
          <w:rFonts w:hint="eastAsia"/>
        </w:rPr>
        <w:t xml:space="preserve">連署人：曾銘宗 陳以信 </w:t>
      </w:r>
    </w:p>
    <w:p w14:paraId="34661E31" w14:textId="77777777" w:rsidR="00421BB5" w:rsidRPr="00237A6E" w:rsidRDefault="00421BB5" w:rsidP="00421BB5">
      <w:pPr>
        <w:pStyle w:val="0-"/>
        <w:rPr>
          <w:noProof/>
        </w:rPr>
      </w:pPr>
      <w:r w:rsidRPr="00237A6E">
        <w:rPr>
          <w:rFonts w:hint="eastAsia"/>
        </w:rPr>
        <w:t>(二十三)112年度</w:t>
      </w:r>
      <w:r w:rsidRPr="00237A6E">
        <w:rPr>
          <w:rFonts w:hint="eastAsia"/>
          <w:noProof/>
        </w:rPr>
        <w:t>司法院</w:t>
      </w:r>
      <w:r w:rsidRPr="00237A6E">
        <w:rPr>
          <w:rFonts w:hint="eastAsia"/>
        </w:rPr>
        <w:t>歲出預算編列「</w:t>
      </w:r>
      <w:r w:rsidRPr="00237A6E">
        <w:rPr>
          <w:rFonts w:hint="eastAsia"/>
          <w:noProof/>
        </w:rPr>
        <w:t>一般行政」項下「辦理電腦資訊作業」中</w:t>
      </w:r>
      <w:r w:rsidRPr="00237A6E">
        <w:rPr>
          <w:rFonts w:hint="eastAsia"/>
        </w:rPr>
        <w:t>「業務費」之「資訊服務費」其中「</w:t>
      </w:r>
      <w:r w:rsidRPr="00237A6E">
        <w:rPr>
          <w:rFonts w:hint="eastAsia"/>
          <w:noProof/>
        </w:rPr>
        <w:t>司法院及所屬各機關電腦資訊軟體及系統維護費</w:t>
      </w:r>
      <w:r w:rsidRPr="00237A6E">
        <w:rPr>
          <w:rFonts w:hint="eastAsia"/>
        </w:rPr>
        <w:t>」共</w:t>
      </w:r>
      <w:r w:rsidRPr="00237A6E">
        <w:rPr>
          <w:noProof/>
        </w:rPr>
        <w:t>8,150</w:t>
      </w:r>
      <w:r w:rsidRPr="00237A6E">
        <w:rPr>
          <w:rFonts w:hint="eastAsia"/>
          <w:noProof/>
        </w:rPr>
        <w:t>萬</w:t>
      </w:r>
      <w:r w:rsidRPr="00237A6E">
        <w:rPr>
          <w:rFonts w:hint="eastAsia"/>
        </w:rPr>
        <w:t>元，</w:t>
      </w:r>
      <w:r w:rsidRPr="00237A6E">
        <w:rPr>
          <w:rFonts w:hint="eastAsia"/>
          <w:noProof/>
        </w:rPr>
        <w:t>因大陸科技相關設備嚴重影響國家安全，爰請司法院提出書面報告，送立法院司法及法制委員會。</w:t>
      </w:r>
    </w:p>
    <w:p w14:paraId="4CA10E46" w14:textId="77777777" w:rsidR="00421BB5" w:rsidRPr="00237A6E" w:rsidRDefault="00421BB5" w:rsidP="00421BB5">
      <w:pPr>
        <w:pStyle w:val="2-1"/>
      </w:pPr>
      <w:r w:rsidRPr="00237A6E">
        <w:rPr>
          <w:rFonts w:hint="eastAsia"/>
        </w:rPr>
        <w:t>提案人：林思銘</w:t>
      </w:r>
    </w:p>
    <w:p w14:paraId="59AD706A" w14:textId="77777777" w:rsidR="00421BB5" w:rsidRPr="00237A6E" w:rsidRDefault="00421BB5" w:rsidP="00421BB5">
      <w:pPr>
        <w:pStyle w:val="2-1"/>
      </w:pPr>
      <w:r w:rsidRPr="00237A6E">
        <w:rPr>
          <w:rFonts w:hint="eastAsia"/>
        </w:rPr>
        <w:t>連署人：曾銘宗 陳以信</w:t>
      </w:r>
    </w:p>
    <w:p w14:paraId="6DBE7C4E" w14:textId="77777777" w:rsidR="00421BB5" w:rsidRPr="00237A6E" w:rsidRDefault="00421BB5" w:rsidP="00421BB5">
      <w:pPr>
        <w:pStyle w:val="0-"/>
        <w:rPr>
          <w:noProof/>
        </w:rPr>
      </w:pPr>
      <w:r w:rsidRPr="00237A6E">
        <w:rPr>
          <w:rFonts w:hint="eastAsia"/>
        </w:rPr>
        <w:t>(二十四)112年度</w:t>
      </w:r>
      <w:r w:rsidRPr="00237A6E">
        <w:rPr>
          <w:rFonts w:hint="eastAsia"/>
          <w:noProof/>
        </w:rPr>
        <w:t>司法院</w:t>
      </w:r>
      <w:r w:rsidRPr="00237A6E">
        <w:rPr>
          <w:rFonts w:hint="eastAsia"/>
        </w:rPr>
        <w:t>歲出預算編列「</w:t>
      </w:r>
      <w:r w:rsidRPr="00237A6E">
        <w:rPr>
          <w:rFonts w:hint="eastAsia"/>
          <w:noProof/>
        </w:rPr>
        <w:t>一般行政」項下「辦理電腦資訊作業」中</w:t>
      </w:r>
      <w:r w:rsidRPr="00237A6E">
        <w:rPr>
          <w:rFonts w:hint="eastAsia"/>
        </w:rPr>
        <w:t>「業務費」之「資訊服務費」其中「</w:t>
      </w:r>
      <w:r w:rsidRPr="00237A6E">
        <w:rPr>
          <w:rFonts w:hint="eastAsia"/>
          <w:noProof/>
        </w:rPr>
        <w:t>電腦資訊硬體設備養護費</w:t>
      </w:r>
      <w:r w:rsidRPr="00237A6E">
        <w:rPr>
          <w:rFonts w:hint="eastAsia"/>
        </w:rPr>
        <w:t>」共</w:t>
      </w:r>
      <w:r w:rsidRPr="00237A6E">
        <w:rPr>
          <w:rFonts w:hint="eastAsia"/>
          <w:noProof/>
        </w:rPr>
        <w:t>449萬6</w:t>
      </w:r>
      <w:r w:rsidRPr="00237A6E">
        <w:rPr>
          <w:rFonts w:hint="eastAsia"/>
        </w:rPr>
        <w:t>元，</w:t>
      </w:r>
      <w:r w:rsidRPr="00237A6E">
        <w:rPr>
          <w:rFonts w:hint="eastAsia"/>
          <w:noProof/>
        </w:rPr>
        <w:t>司法院編列資訊相關設備費用過高。</w:t>
      </w:r>
    </w:p>
    <w:p w14:paraId="3FB3A875" w14:textId="77777777" w:rsidR="00421BB5" w:rsidRPr="00237A6E" w:rsidRDefault="00421BB5" w:rsidP="00421BB5">
      <w:pPr>
        <w:pStyle w:val="0-2"/>
        <w:rPr>
          <w:noProof/>
        </w:rPr>
      </w:pPr>
      <w:r w:rsidRPr="00237A6E">
        <w:rPr>
          <w:rFonts w:hint="eastAsia"/>
          <w:noProof/>
        </w:rPr>
        <w:t>爰請司法院提出書面報告，送立法院司法及法制委員會。</w:t>
      </w:r>
    </w:p>
    <w:p w14:paraId="6A526E89" w14:textId="77777777" w:rsidR="00421BB5" w:rsidRPr="00237A6E" w:rsidRDefault="00421BB5" w:rsidP="00421BB5">
      <w:pPr>
        <w:pStyle w:val="2-1"/>
      </w:pPr>
      <w:r w:rsidRPr="00237A6E">
        <w:rPr>
          <w:rFonts w:hint="eastAsia"/>
        </w:rPr>
        <w:t>提案人：林思銘</w:t>
      </w:r>
    </w:p>
    <w:p w14:paraId="77677C65" w14:textId="77777777" w:rsidR="00421BB5" w:rsidRPr="00237A6E" w:rsidRDefault="00421BB5" w:rsidP="00421BB5">
      <w:pPr>
        <w:pStyle w:val="2-1"/>
      </w:pPr>
      <w:r w:rsidRPr="00237A6E">
        <w:rPr>
          <w:rFonts w:hint="eastAsia"/>
        </w:rPr>
        <w:t>連署人：陳以信 游毓蘭</w:t>
      </w:r>
    </w:p>
    <w:p w14:paraId="581C2DD8" w14:textId="77777777" w:rsidR="00421BB5" w:rsidRPr="00237A6E" w:rsidRDefault="00421BB5" w:rsidP="00421BB5">
      <w:pPr>
        <w:pStyle w:val="0-"/>
        <w:rPr>
          <w:noProof/>
        </w:rPr>
      </w:pPr>
      <w:r w:rsidRPr="00237A6E">
        <w:rPr>
          <w:rFonts w:hint="eastAsia"/>
        </w:rPr>
        <w:t>(二十五)112年度</w:t>
      </w:r>
      <w:r w:rsidRPr="00237A6E">
        <w:rPr>
          <w:rFonts w:hint="eastAsia"/>
          <w:noProof/>
        </w:rPr>
        <w:t>司法院</w:t>
      </w:r>
      <w:r w:rsidRPr="00237A6E">
        <w:rPr>
          <w:rFonts w:hint="eastAsia"/>
        </w:rPr>
        <w:t>歲出預算編列「</w:t>
      </w:r>
      <w:r w:rsidRPr="00237A6E">
        <w:rPr>
          <w:rFonts w:hint="eastAsia"/>
          <w:noProof/>
        </w:rPr>
        <w:t>一般行政」項下「辦理電腦資訊作業」中</w:t>
      </w:r>
      <w:r w:rsidRPr="00237A6E">
        <w:rPr>
          <w:rFonts w:hint="eastAsia"/>
        </w:rPr>
        <w:t>「業務費」之「資訊服務費」其中「</w:t>
      </w:r>
      <w:r w:rsidRPr="00237A6E">
        <w:rPr>
          <w:rFonts w:hint="eastAsia"/>
          <w:noProof/>
        </w:rPr>
        <w:t>司法院及所屬各機關數位資訊經費</w:t>
      </w:r>
      <w:r w:rsidRPr="00237A6E">
        <w:rPr>
          <w:rFonts w:hint="eastAsia"/>
        </w:rPr>
        <w:t>」共</w:t>
      </w:r>
      <w:r w:rsidRPr="00237A6E">
        <w:rPr>
          <w:noProof/>
        </w:rPr>
        <w:t>287</w:t>
      </w:r>
      <w:r w:rsidRPr="00237A6E">
        <w:rPr>
          <w:rFonts w:hint="eastAsia"/>
          <w:noProof/>
        </w:rPr>
        <w:t>萬</w:t>
      </w:r>
      <w:r w:rsidRPr="00237A6E">
        <w:rPr>
          <w:noProof/>
        </w:rPr>
        <w:t>5</w:t>
      </w:r>
      <w:r w:rsidRPr="00237A6E">
        <w:rPr>
          <w:rFonts w:hint="eastAsia"/>
        </w:rPr>
        <w:t>千元，</w:t>
      </w:r>
      <w:r w:rsidRPr="00237A6E">
        <w:rPr>
          <w:rFonts w:hint="eastAsia"/>
          <w:noProof/>
        </w:rPr>
        <w:t>司法院編列資訊相關設備費用過高。</w:t>
      </w:r>
    </w:p>
    <w:p w14:paraId="4C179AC0" w14:textId="77777777" w:rsidR="00421BB5" w:rsidRPr="00237A6E" w:rsidRDefault="00421BB5" w:rsidP="00421BB5">
      <w:pPr>
        <w:pStyle w:val="0-2"/>
        <w:rPr>
          <w:noProof/>
        </w:rPr>
      </w:pPr>
      <w:r w:rsidRPr="00237A6E">
        <w:rPr>
          <w:rFonts w:hint="eastAsia"/>
          <w:noProof/>
        </w:rPr>
        <w:t>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40988514" w14:textId="77777777" w:rsidR="00421BB5" w:rsidRPr="00237A6E" w:rsidRDefault="00421BB5" w:rsidP="00421BB5">
      <w:pPr>
        <w:pStyle w:val="2-1"/>
      </w:pPr>
      <w:r w:rsidRPr="00237A6E">
        <w:rPr>
          <w:rFonts w:hint="eastAsia"/>
        </w:rPr>
        <w:t>提案人：林思銘</w:t>
      </w:r>
    </w:p>
    <w:p w14:paraId="36361520" w14:textId="77777777" w:rsidR="00421BB5" w:rsidRPr="00237A6E" w:rsidRDefault="00421BB5" w:rsidP="00421BB5">
      <w:pPr>
        <w:pStyle w:val="2-1"/>
      </w:pPr>
      <w:r w:rsidRPr="00237A6E">
        <w:rPr>
          <w:rFonts w:hint="eastAsia"/>
        </w:rPr>
        <w:t xml:space="preserve">連署人：曾銘宗 陳以信 </w:t>
      </w:r>
    </w:p>
    <w:p w14:paraId="53D543B1" w14:textId="77777777" w:rsidR="00421BB5" w:rsidRPr="00237A6E" w:rsidRDefault="00421BB5" w:rsidP="00421BB5">
      <w:pPr>
        <w:pStyle w:val="0-"/>
      </w:pPr>
      <w:r w:rsidRPr="00237A6E">
        <w:rPr>
          <w:rFonts w:hint="eastAsia"/>
        </w:rPr>
        <w:t>(二十六)112年度司法院歲出預算「司法院及所屬各機關電腦及週邊設備汰購經費」編列1億0,417萬3千元。惟汰換數量，購入數量等細節未敘明，爰請司法院提出</w:t>
      </w:r>
      <w:r w:rsidRPr="00237A6E">
        <w:rPr>
          <w:rFonts w:hint="eastAsia"/>
          <w:noProof/>
        </w:rPr>
        <w:t>書面報告</w:t>
      </w:r>
      <w:r w:rsidRPr="00237A6E">
        <w:rPr>
          <w:rFonts w:hint="eastAsia"/>
        </w:rPr>
        <w:t>，</w:t>
      </w:r>
      <w:r w:rsidRPr="00237A6E">
        <w:rPr>
          <w:rFonts w:hint="eastAsia"/>
          <w:noProof/>
        </w:rPr>
        <w:t>送</w:t>
      </w:r>
      <w:r w:rsidRPr="00237A6E">
        <w:rPr>
          <w:rFonts w:hint="eastAsia"/>
        </w:rPr>
        <w:t>立法院司法及法制委員會</w:t>
      </w:r>
      <w:r w:rsidRPr="00237A6E">
        <w:rPr>
          <w:rFonts w:hint="eastAsia"/>
          <w:noProof/>
        </w:rPr>
        <w:t>。</w:t>
      </w:r>
    </w:p>
    <w:p w14:paraId="3792B9B0" w14:textId="77777777" w:rsidR="00421BB5" w:rsidRPr="00237A6E" w:rsidRDefault="00421BB5" w:rsidP="00421BB5">
      <w:pPr>
        <w:pStyle w:val="2-1"/>
      </w:pPr>
      <w:r w:rsidRPr="00237A6E">
        <w:rPr>
          <w:rFonts w:hint="eastAsia"/>
        </w:rPr>
        <w:t>提案人：陳以信</w:t>
      </w:r>
    </w:p>
    <w:p w14:paraId="12EA6D5B" w14:textId="77777777" w:rsidR="00421BB5" w:rsidRPr="00237A6E" w:rsidRDefault="00421BB5" w:rsidP="00421BB5">
      <w:pPr>
        <w:pStyle w:val="2-1"/>
      </w:pPr>
      <w:r w:rsidRPr="00237A6E">
        <w:rPr>
          <w:rFonts w:hint="eastAsia"/>
        </w:rPr>
        <w:lastRenderedPageBreak/>
        <w:t>連署人：游毓蘭 林思銘</w:t>
      </w:r>
    </w:p>
    <w:p w14:paraId="4671FC6C" w14:textId="77777777" w:rsidR="00421BB5" w:rsidRPr="00237A6E" w:rsidRDefault="00421BB5" w:rsidP="00421BB5">
      <w:pPr>
        <w:pStyle w:val="0-"/>
      </w:pPr>
      <w:r w:rsidRPr="00237A6E">
        <w:rPr>
          <w:rFonts w:hint="eastAsia"/>
        </w:rPr>
        <w:t>(二十七)</w:t>
      </w:r>
      <w:r w:rsidRPr="00237A6E">
        <w:rPr>
          <w:rFonts w:cs="標楷體" w:hint="eastAsia"/>
          <w:color w:val="000000"/>
        </w:rPr>
        <w:t>依法院組織法第83條規定，判決書除少年事件、性侵害犯罪、家庭暴力事件、民事執行等審理不公開或依法律規定不得公開或涉及民事執行程序保密性等案件之裁判書，未上網提供民眾查詢外，其餘皆應於司法院網站刊載裁判書全文，接受全民之監督及公評，並利學術研究。惟常有非為不公開案件卻未於司法院的法學資料檢索系統上傳之情形發生，每每皆須以電話來電或利用司法信箱來函等管道告知，並需等候多時，始可查詢。請司法院於</w:t>
      </w:r>
      <w:r w:rsidRPr="00237A6E">
        <w:rPr>
          <w:rFonts w:hint="eastAsia"/>
        </w:rPr>
        <w:t>3個月內向立法院司法及法制委員會</w:t>
      </w:r>
      <w:r w:rsidRPr="00237A6E">
        <w:rPr>
          <w:rFonts w:cs="標楷體" w:hint="eastAsia"/>
          <w:color w:val="000000"/>
        </w:rPr>
        <w:t>提出「如何有效降低非為不公開案件卻未於司法院的法學資料檢索系統上傳之情形發生」之書面報告。</w:t>
      </w:r>
    </w:p>
    <w:p w14:paraId="1DED9633" w14:textId="77777777" w:rsidR="00421BB5" w:rsidRPr="00237A6E" w:rsidRDefault="00421BB5" w:rsidP="00421BB5">
      <w:pPr>
        <w:pStyle w:val="2-1"/>
      </w:pPr>
      <w:r w:rsidRPr="00237A6E">
        <w:rPr>
          <w:rFonts w:hint="eastAsia"/>
        </w:rPr>
        <w:t>提案人：劉建國 江永昌 陳歐珀</w:t>
      </w:r>
    </w:p>
    <w:p w14:paraId="3EA7E9A2" w14:textId="77777777" w:rsidR="00421BB5" w:rsidRPr="00237A6E" w:rsidRDefault="00421BB5" w:rsidP="00421BB5">
      <w:pPr>
        <w:pStyle w:val="0-"/>
      </w:pPr>
      <w:r w:rsidRPr="00237A6E">
        <w:rPr>
          <w:rFonts w:hint="eastAsia"/>
        </w:rPr>
        <w:t>(二十八)112年度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司法院及所屬各機關電腦及週邊設備汰購經費</w:t>
      </w:r>
      <w:r w:rsidRPr="00237A6E">
        <w:rPr>
          <w:rFonts w:hint="eastAsia"/>
        </w:rPr>
        <w:t>」共</w:t>
      </w:r>
      <w:r w:rsidRPr="00237A6E">
        <w:rPr>
          <w:noProof/>
        </w:rPr>
        <w:t>1</w:t>
      </w:r>
      <w:r w:rsidRPr="00237A6E">
        <w:rPr>
          <w:rFonts w:hint="eastAsia"/>
          <w:noProof/>
        </w:rPr>
        <w:t>億0</w:t>
      </w:r>
      <w:r w:rsidRPr="00237A6E">
        <w:rPr>
          <w:noProof/>
        </w:rPr>
        <w:t>,417</w:t>
      </w:r>
      <w:r w:rsidRPr="00237A6E">
        <w:rPr>
          <w:rFonts w:hint="eastAsia"/>
          <w:noProof/>
        </w:rPr>
        <w:t>萬</w:t>
      </w:r>
      <w:r w:rsidRPr="00237A6E">
        <w:rPr>
          <w:noProof/>
        </w:rPr>
        <w:t>3</w:t>
      </w:r>
      <w:r w:rsidRPr="00237A6E">
        <w:rPr>
          <w:rFonts w:hint="eastAsia"/>
        </w:rPr>
        <w:t>千元，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4ABAD427" w14:textId="77777777" w:rsidR="00421BB5" w:rsidRPr="00237A6E" w:rsidRDefault="00421BB5" w:rsidP="00421BB5">
      <w:pPr>
        <w:pStyle w:val="2-1"/>
      </w:pPr>
      <w:r w:rsidRPr="00237A6E">
        <w:rPr>
          <w:rFonts w:hint="eastAsia"/>
        </w:rPr>
        <w:t>提案人：林思銘</w:t>
      </w:r>
    </w:p>
    <w:p w14:paraId="7C69B002" w14:textId="77777777" w:rsidR="00421BB5" w:rsidRPr="00237A6E" w:rsidRDefault="00421BB5" w:rsidP="00421BB5">
      <w:pPr>
        <w:pStyle w:val="2-1"/>
      </w:pPr>
      <w:r w:rsidRPr="00237A6E">
        <w:rPr>
          <w:rFonts w:hint="eastAsia"/>
        </w:rPr>
        <w:t>連署人：曾銘宗 陳以信</w:t>
      </w:r>
    </w:p>
    <w:p w14:paraId="7D9246BE" w14:textId="77777777" w:rsidR="00421BB5" w:rsidRPr="00237A6E" w:rsidRDefault="00421BB5" w:rsidP="00421BB5">
      <w:pPr>
        <w:pStyle w:val="0-"/>
      </w:pPr>
      <w:r w:rsidRPr="00237A6E">
        <w:rPr>
          <w:rFonts w:hint="eastAsia"/>
        </w:rPr>
        <w:t>(二十九)112年度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司法院次世代資訊機房建置計畫</w:t>
      </w:r>
      <w:r w:rsidRPr="00237A6E">
        <w:rPr>
          <w:rFonts w:hint="eastAsia"/>
        </w:rPr>
        <w:t>」共</w:t>
      </w:r>
      <w:r w:rsidRPr="00237A6E">
        <w:rPr>
          <w:noProof/>
        </w:rPr>
        <w:t>8,200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6FB0D757" w14:textId="77777777" w:rsidR="00421BB5" w:rsidRPr="00237A6E" w:rsidRDefault="00421BB5" w:rsidP="00421BB5">
      <w:pPr>
        <w:pStyle w:val="2-1"/>
      </w:pPr>
      <w:r w:rsidRPr="00237A6E">
        <w:rPr>
          <w:rFonts w:hint="eastAsia"/>
        </w:rPr>
        <w:t>提案人：林思銘</w:t>
      </w:r>
    </w:p>
    <w:p w14:paraId="6E42093B" w14:textId="77777777" w:rsidR="00421BB5" w:rsidRPr="00237A6E" w:rsidRDefault="00421BB5" w:rsidP="00421BB5">
      <w:pPr>
        <w:pStyle w:val="2-1"/>
      </w:pPr>
      <w:r w:rsidRPr="00237A6E">
        <w:rPr>
          <w:rFonts w:hint="eastAsia"/>
        </w:rPr>
        <w:t>連署人：陳以信 游毓蘭</w:t>
      </w:r>
    </w:p>
    <w:p w14:paraId="76691A89" w14:textId="77777777" w:rsidR="00421BB5" w:rsidRPr="00237A6E" w:rsidRDefault="00421BB5" w:rsidP="00421BB5">
      <w:pPr>
        <w:pStyle w:val="0-"/>
      </w:pPr>
      <w:r w:rsidRPr="00237A6E">
        <w:rPr>
          <w:rFonts w:hint="eastAsia"/>
        </w:rPr>
        <w:t>(三十)112年度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司法院及所屬機關備份系統改善計畫</w:t>
      </w:r>
      <w:r w:rsidRPr="00237A6E">
        <w:rPr>
          <w:rFonts w:hint="eastAsia"/>
        </w:rPr>
        <w:t>」共</w:t>
      </w:r>
      <w:r w:rsidRPr="00237A6E">
        <w:rPr>
          <w:rFonts w:hint="eastAsia"/>
          <w:noProof/>
        </w:rPr>
        <w:t>8</w:t>
      </w:r>
      <w:r w:rsidRPr="00237A6E">
        <w:rPr>
          <w:noProof/>
        </w:rPr>
        <w:t>75</w:t>
      </w:r>
      <w:r w:rsidRPr="00237A6E">
        <w:rPr>
          <w:rFonts w:hint="eastAsia"/>
          <w:noProof/>
        </w:rPr>
        <w:t>萬</w:t>
      </w:r>
      <w:r w:rsidRPr="00237A6E">
        <w:rPr>
          <w:noProof/>
        </w:rPr>
        <w:t>8</w:t>
      </w:r>
      <w:r w:rsidRPr="00237A6E">
        <w:rPr>
          <w:rFonts w:hint="eastAsia"/>
        </w:rPr>
        <w:t>千元，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392BEE95" w14:textId="77777777" w:rsidR="00421BB5" w:rsidRPr="00237A6E" w:rsidRDefault="00421BB5" w:rsidP="00421BB5">
      <w:pPr>
        <w:pStyle w:val="2-1"/>
      </w:pPr>
      <w:r w:rsidRPr="00237A6E">
        <w:rPr>
          <w:rFonts w:hint="eastAsia"/>
        </w:rPr>
        <w:t>提案人：林思銘</w:t>
      </w:r>
    </w:p>
    <w:p w14:paraId="656CAADC" w14:textId="77777777" w:rsidR="00421BB5" w:rsidRPr="00237A6E" w:rsidRDefault="00421BB5" w:rsidP="00421BB5">
      <w:pPr>
        <w:pStyle w:val="2-1"/>
      </w:pPr>
      <w:r w:rsidRPr="00237A6E">
        <w:rPr>
          <w:rFonts w:hint="eastAsia"/>
        </w:rPr>
        <w:t>連署人：陳以信 游毓蘭</w:t>
      </w:r>
    </w:p>
    <w:p w14:paraId="14E3A6DF" w14:textId="77777777" w:rsidR="00421BB5" w:rsidRPr="00237A6E" w:rsidRDefault="00421BB5" w:rsidP="00421BB5">
      <w:pPr>
        <w:pStyle w:val="0-"/>
      </w:pPr>
      <w:r w:rsidRPr="00237A6E">
        <w:rPr>
          <w:rFonts w:hint="eastAsia"/>
        </w:rPr>
        <w:t>(三十一)112年度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司法院所屬各機關網路路由設備更新計畫</w:t>
      </w:r>
      <w:r w:rsidRPr="00237A6E">
        <w:rPr>
          <w:rFonts w:hint="eastAsia"/>
        </w:rPr>
        <w:t>」共</w:t>
      </w:r>
      <w:r w:rsidRPr="00237A6E">
        <w:rPr>
          <w:noProof/>
        </w:rPr>
        <w:t>1,015</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7C857088" w14:textId="77777777" w:rsidR="00421BB5" w:rsidRPr="00237A6E" w:rsidRDefault="00421BB5" w:rsidP="00421BB5">
      <w:pPr>
        <w:pStyle w:val="2-1"/>
      </w:pPr>
      <w:r w:rsidRPr="00237A6E">
        <w:rPr>
          <w:rFonts w:hint="eastAsia"/>
        </w:rPr>
        <w:t>提案人：林思銘</w:t>
      </w:r>
    </w:p>
    <w:p w14:paraId="263B021A" w14:textId="77777777" w:rsidR="00421BB5" w:rsidRPr="00237A6E" w:rsidRDefault="00421BB5" w:rsidP="00421BB5">
      <w:pPr>
        <w:pStyle w:val="2-1"/>
      </w:pPr>
      <w:r w:rsidRPr="00237A6E">
        <w:rPr>
          <w:rFonts w:hint="eastAsia"/>
        </w:rPr>
        <w:t>連署人：陳以信 游毓蘭</w:t>
      </w:r>
    </w:p>
    <w:p w14:paraId="40CC5A1D" w14:textId="77777777" w:rsidR="00421BB5" w:rsidRPr="00237A6E" w:rsidRDefault="00421BB5" w:rsidP="00421BB5">
      <w:pPr>
        <w:pStyle w:val="0-"/>
      </w:pPr>
      <w:r w:rsidRPr="00237A6E">
        <w:rPr>
          <w:rFonts w:hint="eastAsia"/>
        </w:rPr>
        <w:lastRenderedPageBreak/>
        <w:t>(三十二)112年度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法院WiFi建置計畫</w:t>
      </w:r>
      <w:r w:rsidRPr="00237A6E">
        <w:rPr>
          <w:rFonts w:hint="eastAsia"/>
        </w:rPr>
        <w:t>」共</w:t>
      </w:r>
      <w:r w:rsidRPr="00237A6E">
        <w:rPr>
          <w:noProof/>
        </w:rPr>
        <w:t>2</w:t>
      </w:r>
      <w:r w:rsidRPr="00237A6E">
        <w:rPr>
          <w:rFonts w:hint="eastAsia"/>
        </w:rPr>
        <w:t>,000萬元，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7AA9ECFD" w14:textId="77777777" w:rsidR="00421BB5" w:rsidRPr="00237A6E" w:rsidRDefault="00421BB5" w:rsidP="00421BB5">
      <w:pPr>
        <w:pStyle w:val="2-1"/>
      </w:pPr>
      <w:r w:rsidRPr="00237A6E">
        <w:rPr>
          <w:rFonts w:hint="eastAsia"/>
        </w:rPr>
        <w:t>提案人：林思銘</w:t>
      </w:r>
    </w:p>
    <w:p w14:paraId="63F599AC" w14:textId="77777777" w:rsidR="00421BB5" w:rsidRPr="00237A6E" w:rsidRDefault="00421BB5" w:rsidP="00421BB5">
      <w:pPr>
        <w:pStyle w:val="2-1"/>
      </w:pPr>
      <w:r w:rsidRPr="00237A6E">
        <w:rPr>
          <w:rFonts w:hint="eastAsia"/>
        </w:rPr>
        <w:t>連署人：陳以信 游毓蘭</w:t>
      </w:r>
    </w:p>
    <w:p w14:paraId="60154DC0" w14:textId="77777777" w:rsidR="00421BB5" w:rsidRPr="00237A6E" w:rsidRDefault="00421BB5" w:rsidP="00421BB5">
      <w:pPr>
        <w:pStyle w:val="0-"/>
      </w:pPr>
      <w:r w:rsidRPr="00237A6E">
        <w:rPr>
          <w:rFonts w:hint="eastAsia"/>
        </w:rPr>
        <w:t>(三十三)112年度</w:t>
      </w:r>
      <w:r w:rsidRPr="00237A6E">
        <w:rPr>
          <w:rFonts w:hint="eastAsia"/>
          <w:noProof/>
        </w:rPr>
        <w:t>司法院</w:t>
      </w:r>
      <w:r w:rsidRPr="00237A6E">
        <w:rPr>
          <w:rFonts w:hint="eastAsia"/>
        </w:rPr>
        <w:t>歲出預算編列「</w:t>
      </w:r>
      <w:r w:rsidRPr="00237A6E">
        <w:rPr>
          <w:rFonts w:hint="eastAsia"/>
          <w:noProof/>
        </w:rPr>
        <w:t>電子訴訟文書服務平台再造計畫</w:t>
      </w:r>
      <w:r w:rsidRPr="00237A6E">
        <w:rPr>
          <w:rFonts w:hint="eastAsia"/>
        </w:rPr>
        <w:t>」共</w:t>
      </w:r>
      <w:r w:rsidRPr="00237A6E">
        <w:rPr>
          <w:noProof/>
        </w:rPr>
        <w:t>1,450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2C5498AA" w14:textId="77777777" w:rsidR="00421BB5" w:rsidRPr="00237A6E" w:rsidRDefault="00421BB5" w:rsidP="00421BB5">
      <w:pPr>
        <w:pStyle w:val="2-1"/>
      </w:pPr>
      <w:r w:rsidRPr="00237A6E">
        <w:rPr>
          <w:rFonts w:hint="eastAsia"/>
        </w:rPr>
        <w:t>提案人：林思銘</w:t>
      </w:r>
    </w:p>
    <w:p w14:paraId="44718A66" w14:textId="77777777" w:rsidR="00421BB5" w:rsidRPr="00237A6E" w:rsidRDefault="00421BB5" w:rsidP="00421BB5">
      <w:pPr>
        <w:pStyle w:val="2-1"/>
      </w:pPr>
      <w:r w:rsidRPr="00237A6E">
        <w:rPr>
          <w:rFonts w:hint="eastAsia"/>
        </w:rPr>
        <w:t>連署人：陳以信 游毓蘭</w:t>
      </w:r>
    </w:p>
    <w:p w14:paraId="52D74052" w14:textId="77777777" w:rsidR="00421BB5" w:rsidRPr="00237A6E" w:rsidRDefault="00421BB5" w:rsidP="00421BB5">
      <w:pPr>
        <w:pStyle w:val="0-"/>
      </w:pPr>
      <w:r w:rsidRPr="00237A6E">
        <w:rPr>
          <w:rFonts w:hint="eastAsia"/>
        </w:rPr>
        <w:t>(三十四)112年度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審判AI大數據分析中心計畫</w:t>
      </w:r>
      <w:r w:rsidRPr="00237A6E">
        <w:rPr>
          <w:rFonts w:hint="eastAsia"/>
        </w:rPr>
        <w:t>」共</w:t>
      </w:r>
      <w:r w:rsidRPr="00237A6E">
        <w:rPr>
          <w:noProof/>
        </w:rPr>
        <w:t>1</w:t>
      </w:r>
      <w:r w:rsidRPr="00237A6E">
        <w:rPr>
          <w:rFonts w:hint="eastAsia"/>
        </w:rPr>
        <w:t>,000萬元，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26CB7EC1" w14:textId="77777777" w:rsidR="00421BB5" w:rsidRPr="00237A6E" w:rsidRDefault="00421BB5" w:rsidP="00421BB5">
      <w:pPr>
        <w:pStyle w:val="2-1"/>
      </w:pPr>
      <w:r w:rsidRPr="00237A6E">
        <w:rPr>
          <w:rFonts w:hint="eastAsia"/>
        </w:rPr>
        <w:t>提案人：林思銘</w:t>
      </w:r>
    </w:p>
    <w:p w14:paraId="67CA7A58" w14:textId="77777777" w:rsidR="00421BB5" w:rsidRPr="00237A6E" w:rsidRDefault="00421BB5" w:rsidP="00421BB5">
      <w:pPr>
        <w:pStyle w:val="2-1"/>
      </w:pPr>
      <w:r w:rsidRPr="00237A6E">
        <w:rPr>
          <w:rFonts w:hint="eastAsia"/>
        </w:rPr>
        <w:t>連署人：陳以信 游毓蘭</w:t>
      </w:r>
    </w:p>
    <w:p w14:paraId="5DC45FB4" w14:textId="77777777" w:rsidR="00421BB5" w:rsidRPr="00237A6E" w:rsidRDefault="00421BB5" w:rsidP="00421BB5">
      <w:pPr>
        <w:pStyle w:val="0-"/>
      </w:pPr>
      <w:r w:rsidRPr="00237A6E">
        <w:rPr>
          <w:rFonts w:hint="eastAsia"/>
        </w:rPr>
        <w:t>(三十五)112年度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審判資料探勘應用環境建構計畫</w:t>
      </w:r>
      <w:r w:rsidRPr="00237A6E">
        <w:rPr>
          <w:rFonts w:hint="eastAsia"/>
        </w:rPr>
        <w:t>」共</w:t>
      </w:r>
      <w:r w:rsidRPr="00237A6E">
        <w:rPr>
          <w:noProof/>
        </w:rPr>
        <w:t>800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51985F25" w14:textId="77777777" w:rsidR="00421BB5" w:rsidRPr="00237A6E" w:rsidRDefault="00421BB5" w:rsidP="00421BB5">
      <w:pPr>
        <w:pStyle w:val="2-1"/>
      </w:pPr>
      <w:r w:rsidRPr="00237A6E">
        <w:rPr>
          <w:rFonts w:hint="eastAsia"/>
        </w:rPr>
        <w:t>提案人：林思銘</w:t>
      </w:r>
    </w:p>
    <w:p w14:paraId="5D86F7B7" w14:textId="77777777" w:rsidR="00421BB5" w:rsidRPr="00237A6E" w:rsidRDefault="00421BB5" w:rsidP="00421BB5">
      <w:pPr>
        <w:pStyle w:val="2-1"/>
      </w:pPr>
      <w:r w:rsidRPr="00237A6E">
        <w:rPr>
          <w:rFonts w:hint="eastAsia"/>
        </w:rPr>
        <w:t>連署人：陳以信 游毓蘭</w:t>
      </w:r>
    </w:p>
    <w:p w14:paraId="1DDA0930" w14:textId="77777777" w:rsidR="00421BB5" w:rsidRPr="00237A6E" w:rsidRDefault="00421BB5" w:rsidP="00421BB5">
      <w:pPr>
        <w:pStyle w:val="0-"/>
      </w:pPr>
      <w:r w:rsidRPr="00237A6E">
        <w:rPr>
          <w:rFonts w:hint="eastAsia"/>
        </w:rPr>
        <w:t>(三十六)112年度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中文語音辨識應用推廣實施計畫</w:t>
      </w:r>
      <w:r w:rsidRPr="00237A6E">
        <w:rPr>
          <w:rFonts w:hint="eastAsia"/>
        </w:rPr>
        <w:t>」共</w:t>
      </w:r>
      <w:r w:rsidRPr="00237A6E">
        <w:rPr>
          <w:noProof/>
        </w:rPr>
        <w:t>4,250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509F4AE2" w14:textId="77777777" w:rsidR="00421BB5" w:rsidRPr="00237A6E" w:rsidRDefault="00421BB5" w:rsidP="00421BB5">
      <w:pPr>
        <w:pStyle w:val="2-1"/>
      </w:pPr>
      <w:r w:rsidRPr="00237A6E">
        <w:rPr>
          <w:rFonts w:hint="eastAsia"/>
        </w:rPr>
        <w:t>提案人：林思銘</w:t>
      </w:r>
    </w:p>
    <w:p w14:paraId="0A088EC8" w14:textId="77777777" w:rsidR="00421BB5" w:rsidRPr="00237A6E" w:rsidRDefault="00421BB5" w:rsidP="00421BB5">
      <w:pPr>
        <w:pStyle w:val="2-1"/>
      </w:pPr>
      <w:r w:rsidRPr="00237A6E">
        <w:rPr>
          <w:rFonts w:hint="eastAsia"/>
        </w:rPr>
        <w:t xml:space="preserve">連署人：曾銘宗 陳以信 </w:t>
      </w:r>
    </w:p>
    <w:p w14:paraId="055A377F" w14:textId="77777777" w:rsidR="00421BB5" w:rsidRPr="00237A6E" w:rsidRDefault="00421BB5" w:rsidP="00421BB5">
      <w:pPr>
        <w:pStyle w:val="0-"/>
      </w:pPr>
      <w:r w:rsidRPr="00237A6E">
        <w:rPr>
          <w:rFonts w:hint="eastAsia"/>
        </w:rPr>
        <w:t>(三十七)112年度</w:t>
      </w:r>
      <w:r w:rsidRPr="00237A6E">
        <w:rPr>
          <w:rFonts w:hint="eastAsia"/>
          <w:noProof/>
        </w:rPr>
        <w:t>司法院</w:t>
      </w:r>
      <w:r w:rsidRPr="00237A6E">
        <w:rPr>
          <w:rFonts w:hint="eastAsia"/>
        </w:rPr>
        <w:t>歲出預算編列</w:t>
      </w:r>
      <w:bookmarkStart w:id="525" w:name="_Hlk119054768"/>
      <w:r w:rsidRPr="00237A6E">
        <w:rPr>
          <w:rFonts w:hint="eastAsia"/>
        </w:rPr>
        <w:t>「</w:t>
      </w:r>
      <w:r w:rsidRPr="00237A6E">
        <w:rPr>
          <w:rFonts w:hint="eastAsia"/>
          <w:noProof/>
        </w:rPr>
        <w:t>一般行政」項下「辦理電腦資訊作業」中「設備及投資」之「資訊軟硬體設備費</w:t>
      </w:r>
      <w:r w:rsidRPr="00237A6E">
        <w:rPr>
          <w:rFonts w:hint="eastAsia"/>
        </w:rPr>
        <w:t>」其中</w:t>
      </w:r>
      <w:bookmarkEnd w:id="525"/>
      <w:r w:rsidRPr="00237A6E">
        <w:rPr>
          <w:rFonts w:hint="eastAsia"/>
        </w:rPr>
        <w:t>「</w:t>
      </w:r>
      <w:r w:rsidRPr="00237A6E">
        <w:rPr>
          <w:rFonts w:hint="eastAsia"/>
          <w:noProof/>
        </w:rPr>
        <w:t>司法院及所屬各機關個人電腦作業系統、主機伺服器作業系統及資料庫大量授權軟體採購計畫</w:t>
      </w:r>
      <w:r w:rsidRPr="00237A6E">
        <w:rPr>
          <w:rFonts w:hint="eastAsia"/>
        </w:rPr>
        <w:t>」共</w:t>
      </w:r>
      <w:r w:rsidRPr="00237A6E">
        <w:rPr>
          <w:noProof/>
        </w:rPr>
        <w:t>1,400</w:t>
      </w:r>
      <w:r w:rsidRPr="00237A6E">
        <w:rPr>
          <w:rFonts w:hint="eastAsia"/>
        </w:rPr>
        <w:t>萬元，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710FB663" w14:textId="77777777" w:rsidR="00421BB5" w:rsidRPr="00237A6E" w:rsidRDefault="00421BB5" w:rsidP="00421BB5">
      <w:pPr>
        <w:pStyle w:val="2-1"/>
      </w:pPr>
      <w:r w:rsidRPr="00237A6E">
        <w:rPr>
          <w:rFonts w:hint="eastAsia"/>
        </w:rPr>
        <w:t>提案人：林思銘</w:t>
      </w:r>
    </w:p>
    <w:p w14:paraId="02D4D719" w14:textId="77777777" w:rsidR="00421BB5" w:rsidRPr="00237A6E" w:rsidRDefault="00421BB5" w:rsidP="00421BB5">
      <w:pPr>
        <w:pStyle w:val="2-1"/>
      </w:pPr>
      <w:r w:rsidRPr="00237A6E">
        <w:rPr>
          <w:rFonts w:hint="eastAsia"/>
        </w:rPr>
        <w:lastRenderedPageBreak/>
        <w:t>連署人：曾銘宗 陳以信</w:t>
      </w:r>
    </w:p>
    <w:p w14:paraId="3A4C998C" w14:textId="77777777" w:rsidR="00421BB5" w:rsidRPr="00237A6E" w:rsidRDefault="00421BB5" w:rsidP="00421BB5">
      <w:pPr>
        <w:pStyle w:val="0-"/>
      </w:pPr>
      <w:r w:rsidRPr="00237A6E">
        <w:rPr>
          <w:rFonts w:hint="eastAsia"/>
        </w:rPr>
        <w:t>(三十八)112年度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司法院及所屬各機關第四期加強資訊安全計畫</w:t>
      </w:r>
      <w:r w:rsidRPr="00237A6E">
        <w:rPr>
          <w:rFonts w:hint="eastAsia"/>
        </w:rPr>
        <w:t>」共</w:t>
      </w:r>
      <w:r w:rsidRPr="00237A6E">
        <w:rPr>
          <w:noProof/>
        </w:rPr>
        <w:t>2,940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27AB63EF" w14:textId="77777777" w:rsidR="00421BB5" w:rsidRPr="00237A6E" w:rsidRDefault="00421BB5" w:rsidP="00421BB5">
      <w:pPr>
        <w:pStyle w:val="2-1"/>
      </w:pPr>
      <w:r w:rsidRPr="00237A6E">
        <w:rPr>
          <w:rFonts w:hint="eastAsia"/>
        </w:rPr>
        <w:t>提案人：林思銘</w:t>
      </w:r>
    </w:p>
    <w:p w14:paraId="75258AA8" w14:textId="77777777" w:rsidR="00421BB5" w:rsidRPr="00237A6E" w:rsidRDefault="00421BB5" w:rsidP="00421BB5">
      <w:pPr>
        <w:pStyle w:val="2-1"/>
      </w:pPr>
      <w:r w:rsidRPr="00237A6E">
        <w:rPr>
          <w:rFonts w:hint="eastAsia"/>
        </w:rPr>
        <w:t>連署人：曾銘宗 陳以信</w:t>
      </w:r>
    </w:p>
    <w:p w14:paraId="3C455022" w14:textId="77777777" w:rsidR="00421BB5" w:rsidRPr="00237A6E" w:rsidRDefault="00421BB5" w:rsidP="00421BB5">
      <w:pPr>
        <w:pStyle w:val="0-"/>
      </w:pPr>
      <w:r w:rsidRPr="00237A6E">
        <w:rPr>
          <w:rFonts w:hint="eastAsia"/>
        </w:rPr>
        <w:t>(三十九)112年度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司法院便民服務APP開發計畫</w:t>
      </w:r>
      <w:r w:rsidRPr="00237A6E">
        <w:rPr>
          <w:rFonts w:hint="eastAsia"/>
        </w:rPr>
        <w:t>」共</w:t>
      </w:r>
      <w:r w:rsidRPr="00237A6E">
        <w:rPr>
          <w:noProof/>
        </w:rPr>
        <w:t>700</w:t>
      </w:r>
      <w:r w:rsidRPr="00237A6E">
        <w:rPr>
          <w:rFonts w:hint="eastAsia"/>
          <w:noProof/>
        </w:rPr>
        <w:t>萬</w:t>
      </w:r>
      <w:r w:rsidRPr="00237A6E">
        <w:rPr>
          <w:rFonts w:hint="eastAsia"/>
        </w:rPr>
        <w:t>元，</w:t>
      </w:r>
      <w:r w:rsidRPr="00237A6E">
        <w:rPr>
          <w:rFonts w:hint="eastAsia"/>
          <w:noProof/>
        </w:rPr>
        <w:t>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4A2000FE" w14:textId="77777777" w:rsidR="00421BB5" w:rsidRPr="00237A6E" w:rsidRDefault="00421BB5" w:rsidP="00421BB5">
      <w:pPr>
        <w:pStyle w:val="2-1"/>
      </w:pPr>
      <w:r w:rsidRPr="00237A6E">
        <w:rPr>
          <w:rFonts w:hint="eastAsia"/>
        </w:rPr>
        <w:t>提案人：林思銘</w:t>
      </w:r>
    </w:p>
    <w:p w14:paraId="48D2E58B" w14:textId="77777777" w:rsidR="00421BB5" w:rsidRPr="00237A6E" w:rsidRDefault="00421BB5" w:rsidP="00421BB5">
      <w:pPr>
        <w:pStyle w:val="2-1"/>
      </w:pPr>
      <w:r w:rsidRPr="00237A6E">
        <w:rPr>
          <w:rFonts w:hint="eastAsia"/>
        </w:rPr>
        <w:t>連署人：陳以信 游毓蘭</w:t>
      </w:r>
    </w:p>
    <w:p w14:paraId="5DBCD418" w14:textId="77777777" w:rsidR="00421BB5" w:rsidRPr="00237A6E" w:rsidRDefault="00421BB5" w:rsidP="00421BB5">
      <w:pPr>
        <w:pStyle w:val="0-"/>
      </w:pPr>
      <w:r w:rsidRPr="00237A6E">
        <w:rPr>
          <w:rFonts w:hint="eastAsia"/>
        </w:rPr>
        <w:t>(四十)112年度</w:t>
      </w:r>
      <w:r w:rsidRPr="00237A6E">
        <w:rPr>
          <w:rFonts w:hint="eastAsia"/>
          <w:noProof/>
        </w:rPr>
        <w:t>司法院</w:t>
      </w:r>
      <w:r w:rsidRPr="00237A6E">
        <w:rPr>
          <w:rFonts w:hint="eastAsia"/>
        </w:rPr>
        <w:t>歲出預算編列</w:t>
      </w:r>
      <w:bookmarkStart w:id="526" w:name="_Hlk119054927"/>
      <w:r w:rsidRPr="00237A6E">
        <w:rPr>
          <w:rFonts w:hint="eastAsia"/>
        </w:rPr>
        <w:t>「</w:t>
      </w:r>
      <w:r w:rsidRPr="00237A6E">
        <w:rPr>
          <w:rFonts w:hint="eastAsia"/>
          <w:noProof/>
        </w:rPr>
        <w:t>一般行政」項下「辦理電腦資訊作業」中「設備及投資」之「資訊軟硬體設備費</w:t>
      </w:r>
      <w:r w:rsidRPr="00237A6E">
        <w:rPr>
          <w:rFonts w:hint="eastAsia"/>
        </w:rPr>
        <w:t>」其中</w:t>
      </w:r>
      <w:bookmarkEnd w:id="526"/>
      <w:r w:rsidRPr="00237A6E">
        <w:rPr>
          <w:rFonts w:hint="eastAsia"/>
        </w:rPr>
        <w:t>「</w:t>
      </w:r>
      <w:r w:rsidRPr="00237A6E">
        <w:rPr>
          <w:rFonts w:hint="eastAsia"/>
          <w:noProof/>
        </w:rPr>
        <w:t>司法院及所屬各機關電腦軟體發展經費</w:t>
      </w:r>
      <w:r w:rsidRPr="00237A6E">
        <w:rPr>
          <w:rFonts w:hint="eastAsia"/>
        </w:rPr>
        <w:t>」共</w:t>
      </w:r>
      <w:r w:rsidRPr="00237A6E">
        <w:rPr>
          <w:noProof/>
        </w:rPr>
        <w:t>5,200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30218B50" w14:textId="77777777" w:rsidR="00421BB5" w:rsidRPr="00237A6E" w:rsidRDefault="00421BB5" w:rsidP="00421BB5">
      <w:pPr>
        <w:pStyle w:val="2-1"/>
      </w:pPr>
      <w:r w:rsidRPr="00237A6E">
        <w:rPr>
          <w:rFonts w:hint="eastAsia"/>
        </w:rPr>
        <w:t>提案人：林思銘</w:t>
      </w:r>
    </w:p>
    <w:p w14:paraId="11EA59CD" w14:textId="77777777" w:rsidR="00421BB5" w:rsidRPr="00237A6E" w:rsidRDefault="00421BB5" w:rsidP="00421BB5">
      <w:pPr>
        <w:pStyle w:val="2-1"/>
      </w:pPr>
      <w:r w:rsidRPr="00237A6E">
        <w:rPr>
          <w:rFonts w:hint="eastAsia"/>
        </w:rPr>
        <w:t>連署人：曾銘宗 陳以信</w:t>
      </w:r>
    </w:p>
    <w:p w14:paraId="6683C9DD" w14:textId="77777777" w:rsidR="00421BB5" w:rsidRPr="00237A6E" w:rsidRDefault="00421BB5" w:rsidP="00421BB5">
      <w:pPr>
        <w:pStyle w:val="0-"/>
      </w:pPr>
      <w:r w:rsidRPr="00237A6E">
        <w:rPr>
          <w:rFonts w:hint="eastAsia"/>
        </w:rPr>
        <w:t>(四十一)112年度</w:t>
      </w:r>
      <w:r w:rsidRPr="00237A6E">
        <w:rPr>
          <w:rFonts w:hint="eastAsia"/>
          <w:noProof/>
        </w:rPr>
        <w:t>司法院</w:t>
      </w:r>
      <w:r w:rsidRPr="00237A6E">
        <w:rPr>
          <w:rFonts w:hint="eastAsia"/>
        </w:rPr>
        <w:t>歲出預算編列</w:t>
      </w:r>
      <w:bookmarkStart w:id="527" w:name="_Hlk119055805"/>
      <w:r w:rsidRPr="00237A6E">
        <w:rPr>
          <w:rFonts w:hint="eastAsia"/>
        </w:rPr>
        <w:t>「</w:t>
      </w:r>
      <w:r w:rsidRPr="00237A6E">
        <w:rPr>
          <w:rFonts w:hint="eastAsia"/>
          <w:noProof/>
        </w:rPr>
        <w:t>一般行政」項下「辦理電腦資訊作業」中「設備及投資」之「資訊軟硬體設備費</w:t>
      </w:r>
      <w:r w:rsidRPr="00237A6E">
        <w:rPr>
          <w:rFonts w:hint="eastAsia"/>
        </w:rPr>
        <w:t>」其中</w:t>
      </w:r>
      <w:bookmarkEnd w:id="527"/>
      <w:r w:rsidRPr="00237A6E">
        <w:rPr>
          <w:rFonts w:hint="eastAsia"/>
        </w:rPr>
        <w:t>「</w:t>
      </w:r>
      <w:r w:rsidRPr="00237A6E">
        <w:rPr>
          <w:rFonts w:hint="eastAsia"/>
          <w:noProof/>
        </w:rPr>
        <w:t>司法院及所屬機關主機環境建構及汰換計畫</w:t>
      </w:r>
      <w:r w:rsidRPr="00237A6E">
        <w:rPr>
          <w:rFonts w:hint="eastAsia"/>
        </w:rPr>
        <w:t>」共</w:t>
      </w:r>
      <w:r w:rsidRPr="00237A6E">
        <w:rPr>
          <w:noProof/>
        </w:rPr>
        <w:t>6,800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68E40C8F" w14:textId="77777777" w:rsidR="00421BB5" w:rsidRPr="00237A6E" w:rsidRDefault="00421BB5" w:rsidP="00421BB5">
      <w:pPr>
        <w:pStyle w:val="2-1"/>
      </w:pPr>
      <w:r w:rsidRPr="00237A6E">
        <w:rPr>
          <w:rFonts w:hint="eastAsia"/>
        </w:rPr>
        <w:t>提案人：林思銘</w:t>
      </w:r>
    </w:p>
    <w:p w14:paraId="0FC2ABA9" w14:textId="77777777" w:rsidR="00421BB5" w:rsidRPr="00237A6E" w:rsidRDefault="00421BB5" w:rsidP="00421BB5">
      <w:pPr>
        <w:pStyle w:val="2-1"/>
      </w:pPr>
      <w:r w:rsidRPr="00237A6E">
        <w:rPr>
          <w:rFonts w:hint="eastAsia"/>
        </w:rPr>
        <w:t>連署人：曾銘宗 陳以信</w:t>
      </w:r>
    </w:p>
    <w:p w14:paraId="3A40207A" w14:textId="77777777" w:rsidR="00421BB5" w:rsidRPr="00237A6E" w:rsidRDefault="00421BB5" w:rsidP="00421BB5">
      <w:pPr>
        <w:pStyle w:val="0-"/>
      </w:pPr>
      <w:r w:rsidRPr="00237A6E">
        <w:rPr>
          <w:rFonts w:hint="eastAsia"/>
        </w:rPr>
        <w:t>(四十二)112年度</w:t>
      </w:r>
      <w:r w:rsidRPr="00237A6E">
        <w:rPr>
          <w:rFonts w:hint="eastAsia"/>
          <w:noProof/>
        </w:rPr>
        <w:t>司法院</w:t>
      </w:r>
      <w:r w:rsidRPr="00237A6E">
        <w:rPr>
          <w:rFonts w:hint="eastAsia"/>
        </w:rPr>
        <w:t>歲出預算編列「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司法院遠距訊問(審理)排程系統及遠距視訊設備建置計畫</w:t>
      </w:r>
      <w:r w:rsidRPr="00237A6E">
        <w:rPr>
          <w:rFonts w:hint="eastAsia"/>
        </w:rPr>
        <w:t>」共</w:t>
      </w:r>
      <w:r w:rsidRPr="00237A6E">
        <w:rPr>
          <w:noProof/>
        </w:rPr>
        <w:t>867</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14:paraId="492AB6FF" w14:textId="77777777" w:rsidR="00421BB5" w:rsidRPr="00237A6E" w:rsidRDefault="00421BB5" w:rsidP="00421BB5">
      <w:pPr>
        <w:pStyle w:val="2-1"/>
      </w:pPr>
      <w:r w:rsidRPr="00237A6E">
        <w:rPr>
          <w:rFonts w:hint="eastAsia"/>
        </w:rPr>
        <w:t>提案人：林思銘</w:t>
      </w:r>
    </w:p>
    <w:p w14:paraId="06BB23D7" w14:textId="77777777" w:rsidR="00421BB5" w:rsidRPr="00237A6E" w:rsidRDefault="00421BB5" w:rsidP="00421BB5">
      <w:pPr>
        <w:pStyle w:val="2-1"/>
      </w:pPr>
      <w:r w:rsidRPr="00237A6E">
        <w:rPr>
          <w:rFonts w:hint="eastAsia"/>
        </w:rPr>
        <w:t>連署人：陳以信 游毓蘭</w:t>
      </w:r>
    </w:p>
    <w:p w14:paraId="545AA25B" w14:textId="77777777" w:rsidR="00421BB5" w:rsidRPr="00237A6E" w:rsidRDefault="00421BB5" w:rsidP="00421BB5">
      <w:pPr>
        <w:pStyle w:val="0-"/>
      </w:pPr>
      <w:r w:rsidRPr="00237A6E">
        <w:rPr>
          <w:rFonts w:hint="eastAsia"/>
        </w:rPr>
        <w:t>(四十三)</w:t>
      </w:r>
      <w:r w:rsidRPr="00237A6E">
        <w:rPr>
          <w:rFonts w:hint="eastAsia"/>
          <w:noProof/>
        </w:rPr>
        <w:t>司法院</w:t>
      </w:r>
      <w:r w:rsidRPr="00237A6E">
        <w:rPr>
          <w:rFonts w:hint="eastAsia"/>
        </w:rPr>
        <w:t>歲出預算「國際法學人士交流經費」105至111年度之相同計畫預算皆編列62萬2千元，112年度相同計畫預算卻編列161萬3千元，無端增加99萬1千元。</w:t>
      </w:r>
      <w:r w:rsidRPr="00237A6E">
        <w:rPr>
          <w:rFonts w:hint="eastAsia"/>
          <w:noProof/>
        </w:rPr>
        <w:t>請</w:t>
      </w:r>
      <w:r w:rsidRPr="00237A6E">
        <w:rPr>
          <w:rFonts w:hint="eastAsia"/>
        </w:rPr>
        <w:t>司法院就該項交流計畫經費增編之原因，於3個月內提出書面報告</w:t>
      </w:r>
      <w:r>
        <w:rPr>
          <w:rFonts w:hint="eastAsia"/>
        </w:rPr>
        <w:t>。</w:t>
      </w:r>
    </w:p>
    <w:p w14:paraId="34136031" w14:textId="77777777" w:rsidR="00421BB5" w:rsidRPr="00237A6E" w:rsidRDefault="00421BB5" w:rsidP="00421BB5">
      <w:pPr>
        <w:pStyle w:val="2-1"/>
      </w:pPr>
      <w:r w:rsidRPr="00237A6E">
        <w:rPr>
          <w:rFonts w:hint="eastAsia"/>
        </w:rPr>
        <w:t>提案人：陳以信</w:t>
      </w:r>
    </w:p>
    <w:p w14:paraId="665DF730" w14:textId="77777777" w:rsidR="00421BB5" w:rsidRPr="00237A6E" w:rsidRDefault="00421BB5" w:rsidP="00421BB5">
      <w:pPr>
        <w:pStyle w:val="2-1"/>
      </w:pPr>
      <w:r w:rsidRPr="00237A6E">
        <w:rPr>
          <w:rFonts w:hint="eastAsia"/>
        </w:rPr>
        <w:lastRenderedPageBreak/>
        <w:t>連署人：游毓蘭 林思銘</w:t>
      </w:r>
    </w:p>
    <w:p w14:paraId="3DE0DFE7" w14:textId="77777777" w:rsidR="00421BB5" w:rsidRPr="00237A6E" w:rsidRDefault="00421BB5" w:rsidP="00421BB5">
      <w:pPr>
        <w:pStyle w:val="0-"/>
      </w:pPr>
      <w:r w:rsidRPr="00237A6E">
        <w:rPr>
          <w:rFonts w:hint="eastAsia"/>
        </w:rPr>
        <w:t>(四十四)</w:t>
      </w:r>
      <w:r w:rsidRPr="00237A6E">
        <w:rPr>
          <w:rFonts w:hint="eastAsia"/>
          <w:noProof/>
        </w:rPr>
        <w:t>司法院</w:t>
      </w:r>
      <w:r w:rsidRPr="00237A6E">
        <w:rPr>
          <w:rFonts w:hint="eastAsia"/>
        </w:rPr>
        <w:t>歲出預算「國際法學人士交流經費」105至111年度之相同計畫預算皆編列62萬2千元，112年度相同計畫預算卻編列161萬3千元，無端增加99萬1千元。</w:t>
      </w:r>
      <w:r w:rsidRPr="00237A6E">
        <w:rPr>
          <w:rFonts w:hint="eastAsia"/>
          <w:noProof/>
        </w:rPr>
        <w:t>請</w:t>
      </w:r>
      <w:r w:rsidRPr="00237A6E">
        <w:rPr>
          <w:rFonts w:hint="eastAsia"/>
        </w:rPr>
        <w:t>司法院就該項交流計畫經費增編之原因，於3個月內提出書面報告。</w:t>
      </w:r>
    </w:p>
    <w:p w14:paraId="76FA773B" w14:textId="77777777" w:rsidR="00421BB5" w:rsidRPr="00237A6E" w:rsidRDefault="00421BB5" w:rsidP="00421BB5">
      <w:pPr>
        <w:pStyle w:val="2-1"/>
      </w:pPr>
      <w:r w:rsidRPr="00237A6E">
        <w:rPr>
          <w:rFonts w:hint="eastAsia"/>
        </w:rPr>
        <w:t>提案人：陳以信</w:t>
      </w:r>
    </w:p>
    <w:p w14:paraId="01BD1C3B" w14:textId="77777777" w:rsidR="00421BB5" w:rsidRPr="00237A6E" w:rsidRDefault="00421BB5" w:rsidP="00421BB5">
      <w:pPr>
        <w:pStyle w:val="2-1"/>
      </w:pPr>
      <w:r w:rsidRPr="00237A6E">
        <w:rPr>
          <w:rFonts w:hint="eastAsia"/>
        </w:rPr>
        <w:t>連署人：游毓蘭 林思銘</w:t>
      </w:r>
    </w:p>
    <w:p w14:paraId="4EF0B868" w14:textId="77777777" w:rsidR="00421BB5" w:rsidRPr="00237A6E" w:rsidRDefault="00421BB5" w:rsidP="00421BB5">
      <w:pPr>
        <w:pStyle w:val="0-"/>
      </w:pPr>
      <w:r w:rsidRPr="00237A6E">
        <w:rPr>
          <w:rFonts w:hint="eastAsia"/>
        </w:rPr>
        <w:t>(四十五)112年度</w:t>
      </w:r>
      <w:r w:rsidRPr="00237A6E">
        <w:rPr>
          <w:rFonts w:hint="eastAsia"/>
          <w:noProof/>
        </w:rPr>
        <w:t>司法院</w:t>
      </w:r>
      <w:r w:rsidRPr="00237A6E">
        <w:rPr>
          <w:rFonts w:hint="eastAsia"/>
        </w:rPr>
        <w:t>歲出預算「國際法學人士交流經費」編列161萬3千元。經查1</w:t>
      </w:r>
      <w:r w:rsidRPr="00237A6E">
        <w:t>12</w:t>
      </w:r>
      <w:r w:rsidRPr="00237A6E">
        <w:rPr>
          <w:rFonts w:hint="eastAsia"/>
        </w:rPr>
        <w:t>年度憲法法庭年報卻無端置於交流經費中，該項年報細節、製作目的、印刷數量等應敘明清楚。又憲法法庭年報既以憲法法庭當年度活動、裁判為內容，為重要文獻，卻僅編列於「國際法學人士交流經費」項目下，未能突顯其重要性，爰請司法院就該項計畫內容、預算之編列方式與所需數額，於3個月內</w:t>
      </w:r>
      <w:r>
        <w:rPr>
          <w:rFonts w:hint="eastAsia"/>
        </w:rPr>
        <w:t>向立法院司法及法制委員會提出書面報告。</w:t>
      </w:r>
    </w:p>
    <w:p w14:paraId="03DF57BC" w14:textId="77777777" w:rsidR="00421BB5" w:rsidRPr="00237A6E" w:rsidRDefault="00421BB5" w:rsidP="00421BB5">
      <w:pPr>
        <w:pStyle w:val="2-1"/>
      </w:pPr>
      <w:r w:rsidRPr="00237A6E">
        <w:rPr>
          <w:rFonts w:hint="eastAsia"/>
        </w:rPr>
        <w:t>提案人：陳以信</w:t>
      </w:r>
    </w:p>
    <w:p w14:paraId="2A358BA2" w14:textId="77777777" w:rsidR="00421BB5" w:rsidRPr="00237A6E" w:rsidRDefault="00421BB5" w:rsidP="00421BB5">
      <w:pPr>
        <w:pStyle w:val="2-1"/>
      </w:pPr>
      <w:r w:rsidRPr="00237A6E">
        <w:rPr>
          <w:rFonts w:hint="eastAsia"/>
        </w:rPr>
        <w:t>連署人：游毓蘭 林思銘</w:t>
      </w:r>
    </w:p>
    <w:p w14:paraId="633A9280" w14:textId="77777777" w:rsidR="00421BB5" w:rsidRPr="00237A6E" w:rsidRDefault="00421BB5" w:rsidP="00421BB5">
      <w:pPr>
        <w:pStyle w:val="0-"/>
      </w:pPr>
      <w:r w:rsidRPr="00237A6E">
        <w:rPr>
          <w:rFonts w:hint="eastAsia"/>
        </w:rPr>
        <w:t>(四十六)針對不受理之釋憲聲請案，大法官提有意見書者，憲法法庭除應公開裁定並載明不受理之理由外，亦應公開聲請書，讓包含聲請人在內之外界人士，得以知曉不受理之原因究竟是聲請書之內容沒有具體指摘違憲理由，抑或是不符合其他法定程序所致。惟至今仍未見憲法法庭公開不受理案件之聲請書之相關改革措施。爰請司法院就大法官審理案件法時期，大法官決議不受理之案件，以及憲法訴訟法施行後，憲法法庭、審查庭裁定不受理案件，提出公開聲請人聲請書之相關規劃，並就憲法法庭不受理裁定理由之記載方式，於3個月內向立法院司法及法制委員會提出書面報告。</w:t>
      </w:r>
    </w:p>
    <w:p w14:paraId="591331BC" w14:textId="77777777" w:rsidR="00421BB5" w:rsidRPr="00237A6E" w:rsidRDefault="00421BB5" w:rsidP="00421BB5">
      <w:pPr>
        <w:pStyle w:val="2-1"/>
      </w:pPr>
      <w:r w:rsidRPr="00237A6E">
        <w:rPr>
          <w:rFonts w:hint="eastAsia"/>
        </w:rPr>
        <w:t>提案人：陳歐珀</w:t>
      </w:r>
      <w:r w:rsidRPr="00237A6E">
        <w:t xml:space="preserve"> </w:t>
      </w:r>
    </w:p>
    <w:p w14:paraId="5067CF17" w14:textId="77777777" w:rsidR="00421BB5" w:rsidRPr="00237A6E" w:rsidRDefault="00421BB5" w:rsidP="00421BB5">
      <w:pPr>
        <w:pStyle w:val="2-1"/>
      </w:pPr>
      <w:r w:rsidRPr="00237A6E">
        <w:rPr>
          <w:rFonts w:hint="eastAsia"/>
        </w:rPr>
        <w:t>連署人：游毓蘭 黃世杰</w:t>
      </w:r>
    </w:p>
    <w:p w14:paraId="39807E5F" w14:textId="77777777" w:rsidR="00421BB5" w:rsidRPr="00237A6E" w:rsidRDefault="00421BB5" w:rsidP="00421BB5">
      <w:pPr>
        <w:pStyle w:val="0-"/>
      </w:pPr>
      <w:r w:rsidRPr="00237A6E">
        <w:rPr>
          <w:rFonts w:hint="eastAsia"/>
        </w:rPr>
        <w:t>(四十七)112年度</w:t>
      </w:r>
      <w:r w:rsidRPr="00237A6E">
        <w:rPr>
          <w:rFonts w:hint="eastAsia"/>
          <w:noProof/>
        </w:rPr>
        <w:t>司法院</w:t>
      </w:r>
      <w:r w:rsidRPr="00237A6E">
        <w:rPr>
          <w:rFonts w:hint="eastAsia"/>
        </w:rPr>
        <w:t>歲出預算編列「憲法訴訟業務」項下「辦理憲法訴訟審判業務」中「業務費」之「一般事務費」</w:t>
      </w:r>
      <w:r w:rsidRPr="00237A6E">
        <w:t>280</w:t>
      </w:r>
      <w:r w:rsidRPr="00237A6E">
        <w:rPr>
          <w:rFonts w:hint="eastAsia"/>
        </w:rPr>
        <w:t>萬</w:t>
      </w:r>
      <w:r w:rsidRPr="00237A6E">
        <w:t>6</w:t>
      </w:r>
      <w:r w:rsidRPr="00237A6E">
        <w:rPr>
          <w:rFonts w:hint="eastAsia"/>
        </w:rPr>
        <w:t>千元，較</w:t>
      </w:r>
      <w:r w:rsidRPr="00237A6E">
        <w:t>111</w:t>
      </w:r>
      <w:r w:rsidRPr="00237A6E">
        <w:rPr>
          <w:rFonts w:hint="eastAsia"/>
        </w:rPr>
        <w:t>年度編列的</w:t>
      </w:r>
      <w:r w:rsidRPr="00237A6E">
        <w:t>156</w:t>
      </w:r>
      <w:r w:rsidRPr="00237A6E">
        <w:rPr>
          <w:rFonts w:hint="eastAsia"/>
        </w:rPr>
        <w:t>萬元增加1</w:t>
      </w:r>
      <w:r w:rsidRPr="00237A6E">
        <w:t>24</w:t>
      </w:r>
      <w:r w:rsidRPr="00237A6E">
        <w:rPr>
          <w:rFonts w:hint="eastAsia"/>
        </w:rPr>
        <w:t>萬</w:t>
      </w:r>
      <w:r w:rsidRPr="00237A6E">
        <w:t>6</w:t>
      </w:r>
      <w:r w:rsidRPr="00237A6E">
        <w:rPr>
          <w:rFonts w:hint="eastAsia"/>
        </w:rPr>
        <w:t>千元。有鑑於國家財政窘困，請司法院於3個月內向立法院司法及法制委員會提出書面報告，詳細說明其內容。</w:t>
      </w:r>
    </w:p>
    <w:p w14:paraId="117CD443" w14:textId="77777777" w:rsidR="00421BB5" w:rsidRPr="00237A6E" w:rsidRDefault="00421BB5" w:rsidP="00421BB5">
      <w:pPr>
        <w:pStyle w:val="2-1"/>
      </w:pPr>
      <w:r w:rsidRPr="00237A6E">
        <w:rPr>
          <w:rFonts w:hint="eastAsia"/>
        </w:rPr>
        <w:t>提案人：陳以信</w:t>
      </w:r>
    </w:p>
    <w:p w14:paraId="7CE7C855" w14:textId="77777777" w:rsidR="00421BB5" w:rsidRPr="00237A6E" w:rsidRDefault="00421BB5" w:rsidP="00421BB5">
      <w:pPr>
        <w:pStyle w:val="2-1"/>
      </w:pPr>
      <w:r w:rsidRPr="00237A6E">
        <w:rPr>
          <w:rFonts w:hint="eastAsia"/>
        </w:rPr>
        <w:t>連署人：游毓蘭 林思銘</w:t>
      </w:r>
    </w:p>
    <w:p w14:paraId="62FD5558" w14:textId="77777777" w:rsidR="00421BB5" w:rsidRPr="00237A6E" w:rsidRDefault="00421BB5" w:rsidP="00421BB5">
      <w:pPr>
        <w:pStyle w:val="0-"/>
      </w:pPr>
      <w:r w:rsidRPr="00237A6E">
        <w:rPr>
          <w:rFonts w:hint="eastAsia"/>
        </w:rPr>
        <w:t>(四十八)112年度司法院歲出預算「審判行政」編列1億2,189萬9千元。茲不諳司法之一般人民，若看到法官當庭態度凶惡辱罵當事人、律師、檢察官，不當指揮訴訟，如何能相信法院足以保障人民權利、正義得以伸張？遺憾的是這樣的事件並非罕</w:t>
      </w:r>
      <w:r w:rsidRPr="00237A6E">
        <w:rPr>
          <w:rFonts w:hint="eastAsia"/>
        </w:rPr>
        <w:lastRenderedPageBreak/>
        <w:t>見，例如前苗栗周靜妮法官私下與當事人見面、要求少年自行掌嘴、恫嚇收容少年「去少觀所跟人家捅ＸＸ」，而遭監察院彈劾及司法院個案評鑑移送懲戒；再如宣判松山分局案法官謝欣宓延遲78分鐘，並曾在法臺上拍桌不肯宣判怒嗆「我就是不宣判」；又如自行用鐵棍敲頭一度聲名大噪的曾雨明法官，曾因開庭時有不當言論，無理責備被告威脅收押等言行，而被懲戒判決罰款。綜上，如何制止法官不當指揮訴訟，維護人民訴訟權益，亟待檢討改善。爰請司法院落實對法官違失行為之職務監督機制，並督促法院確實辦理開庭準時及辦案態度改善措施。</w:t>
      </w:r>
    </w:p>
    <w:p w14:paraId="2BC00389"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00546E33" w14:textId="77777777" w:rsidR="00421BB5" w:rsidRPr="00237A6E" w:rsidRDefault="00421BB5" w:rsidP="00421BB5">
      <w:pPr>
        <w:pStyle w:val="0-"/>
      </w:pPr>
      <w:r w:rsidRPr="00237A6E">
        <w:rPr>
          <w:rFonts w:hint="eastAsia"/>
        </w:rPr>
        <w:t>(四十九)</w:t>
      </w:r>
      <w:r w:rsidRPr="00237A6E">
        <w:rPr>
          <w:rFonts w:hint="eastAsia"/>
          <w:color w:val="000000"/>
        </w:rPr>
        <w:t>公證業務雙軌制於民國</w:t>
      </w:r>
      <w:r w:rsidRPr="00237A6E">
        <w:rPr>
          <w:color w:val="000000"/>
        </w:rPr>
        <w:t>88</w:t>
      </w:r>
      <w:r w:rsidRPr="00237A6E">
        <w:rPr>
          <w:rFonts w:hint="eastAsia"/>
          <w:color w:val="000000"/>
        </w:rPr>
        <w:t>年</w:t>
      </w:r>
      <w:r w:rsidRPr="00237A6E">
        <w:rPr>
          <w:color w:val="000000"/>
        </w:rPr>
        <w:t>4</w:t>
      </w:r>
      <w:r w:rsidRPr="00237A6E">
        <w:rPr>
          <w:rFonts w:hint="eastAsia"/>
          <w:color w:val="000000"/>
        </w:rPr>
        <w:t>月</w:t>
      </w:r>
      <w:r w:rsidRPr="00237A6E">
        <w:rPr>
          <w:color w:val="000000"/>
        </w:rPr>
        <w:t>21</w:t>
      </w:r>
      <w:r w:rsidRPr="00237A6E">
        <w:rPr>
          <w:rFonts w:hint="eastAsia"/>
          <w:color w:val="000000"/>
        </w:rPr>
        <w:t>日經修正公布公證法，並自公布生效後</w:t>
      </w:r>
      <w:r w:rsidRPr="00237A6E">
        <w:rPr>
          <w:color w:val="000000"/>
        </w:rPr>
        <w:t>2</w:t>
      </w:r>
      <w:r w:rsidRPr="00237A6E">
        <w:rPr>
          <w:rFonts w:hint="eastAsia"/>
          <w:color w:val="000000"/>
        </w:rPr>
        <w:t>年施行，開啟我國法院公證人與民間之公證人共同服務民眾公證業務的紀元</w:t>
      </w:r>
      <w:r w:rsidRPr="00237A6E">
        <w:rPr>
          <w:rFonts w:hint="eastAsia"/>
        </w:rPr>
        <w:t>。</w:t>
      </w:r>
      <w:r w:rsidRPr="00237A6E">
        <w:rPr>
          <w:rFonts w:hint="eastAsia"/>
          <w:color w:val="000000"/>
        </w:rPr>
        <w:t>自</w:t>
      </w:r>
      <w:r w:rsidRPr="00237A6E">
        <w:rPr>
          <w:color w:val="000000"/>
        </w:rPr>
        <w:t>99</w:t>
      </w:r>
      <w:r w:rsidRPr="00237A6E">
        <w:rPr>
          <w:rFonts w:hint="eastAsia"/>
          <w:color w:val="000000"/>
        </w:rPr>
        <w:t>至</w:t>
      </w:r>
      <w:r w:rsidRPr="00237A6E">
        <w:rPr>
          <w:color w:val="000000"/>
        </w:rPr>
        <w:t>109</w:t>
      </w:r>
      <w:r w:rsidRPr="00237A6E">
        <w:rPr>
          <w:rFonts w:hint="eastAsia"/>
          <w:color w:val="000000"/>
        </w:rPr>
        <w:t>年，法院公證人辦理的案件數占總比率已經從</w:t>
      </w:r>
      <w:r w:rsidRPr="00237A6E">
        <w:rPr>
          <w:color w:val="000000"/>
        </w:rPr>
        <w:t>35%</w:t>
      </w:r>
      <w:r w:rsidRPr="00237A6E">
        <w:rPr>
          <w:rFonts w:hint="eastAsia"/>
          <w:color w:val="000000"/>
        </w:rPr>
        <w:t>下降至</w:t>
      </w:r>
      <w:r w:rsidRPr="00237A6E">
        <w:rPr>
          <w:color w:val="000000"/>
        </w:rPr>
        <w:t>18.6%</w:t>
      </w:r>
      <w:r w:rsidRPr="00237A6E">
        <w:rPr>
          <w:rFonts w:hint="eastAsia"/>
          <w:color w:val="000000"/>
        </w:rPr>
        <w:t>，</w:t>
      </w:r>
      <w:r w:rsidRPr="00237A6E">
        <w:rPr>
          <w:color w:val="000000"/>
        </w:rPr>
        <w:t>110</w:t>
      </w:r>
      <w:r w:rsidRPr="00237A6E">
        <w:rPr>
          <w:rFonts w:hint="eastAsia"/>
          <w:color w:val="000000"/>
        </w:rPr>
        <w:t>年法院公證人辦理案件數占總比率更降至</w:t>
      </w:r>
      <w:r w:rsidRPr="00237A6E">
        <w:rPr>
          <w:color w:val="000000"/>
        </w:rPr>
        <w:t>17.7%</w:t>
      </w:r>
      <w:r w:rsidRPr="00237A6E">
        <w:rPr>
          <w:rFonts w:hint="eastAsia"/>
          <w:color w:val="000000"/>
        </w:rPr>
        <w:t>。又先進國家的公證制度多只有民間公證制度，</w:t>
      </w:r>
      <w:r w:rsidRPr="00237A6E">
        <w:rPr>
          <w:rFonts w:hint="eastAsia"/>
        </w:rPr>
        <w:t>請</w:t>
      </w:r>
      <w:r w:rsidRPr="00237A6E">
        <w:rPr>
          <w:rFonts w:hint="eastAsia"/>
          <w:color w:val="000000"/>
        </w:rPr>
        <w:t>司法院檢討公證雙軌制暨相關制度，提出書面報告送立法院司法及法制委員會。</w:t>
      </w:r>
    </w:p>
    <w:p w14:paraId="42143C52"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1D5AEC8F" w14:textId="77777777" w:rsidR="00421BB5" w:rsidRPr="00237A6E" w:rsidRDefault="00421BB5" w:rsidP="00421BB5">
      <w:pPr>
        <w:pStyle w:val="0-"/>
      </w:pPr>
      <w:r w:rsidRPr="00237A6E">
        <w:rPr>
          <w:rFonts w:hint="eastAsia"/>
        </w:rPr>
        <w:t>(五十)鑑於新制度之建立涉及層面甚廣，對應之法律條文亦為繁多，故行政機關於提出制度改革之際，皆須盤點相關法律並提出配套之修正草案；惟查，立法院於111年1月27日三讀通過之刑法、刑事訴訟法修正案，於委員會審查階段，司法院並未就監護處分延長之訴訟程序保障提出刑事訴訟法之配套修正，此外，111年11月15日三讀通過之刑事訴訟法修正案，司法院於提出之際亦未考量刑法已就強制治療之規定提出修正草案，以上2次疏漏，所幸皆能於審查期間予以修正，避免新制之施行因此延宕。</w:t>
      </w:r>
    </w:p>
    <w:p w14:paraId="4431F8D9" w14:textId="77777777" w:rsidR="00421BB5" w:rsidRPr="00237A6E" w:rsidRDefault="00421BB5" w:rsidP="00421BB5">
      <w:pPr>
        <w:pStyle w:val="0-2"/>
      </w:pPr>
      <w:r w:rsidRPr="00237A6E">
        <w:rPr>
          <w:rFonts w:hint="eastAsia"/>
        </w:rPr>
        <w:t>為使制度改革之落實得以順遂，爰請司法院就疏漏提出配套修法之</w:t>
      </w:r>
      <w:r>
        <w:rPr>
          <w:rFonts w:hint="eastAsia"/>
        </w:rPr>
        <w:t>原因暨改進方案向立法院司法及法制委員會與提案委員提出書面報告。</w:t>
      </w:r>
    </w:p>
    <w:p w14:paraId="4C2480F0" w14:textId="77777777" w:rsidR="00421BB5" w:rsidRPr="00237A6E" w:rsidRDefault="00421BB5" w:rsidP="00421BB5">
      <w:pPr>
        <w:pStyle w:val="2-1"/>
      </w:pPr>
      <w:r w:rsidRPr="00237A6E">
        <w:rPr>
          <w:rFonts w:hint="eastAsia"/>
        </w:rPr>
        <w:t>提案人：江永昌</w:t>
      </w:r>
      <w:r w:rsidRPr="00237A6E">
        <w:t xml:space="preserve"> </w:t>
      </w:r>
      <w:r w:rsidRPr="00237A6E">
        <w:rPr>
          <w:rFonts w:hint="eastAsia"/>
        </w:rPr>
        <w:t>黃世杰 游毓蘭 吳玉琴</w:t>
      </w:r>
    </w:p>
    <w:p w14:paraId="2F734471" w14:textId="77777777" w:rsidR="00421BB5" w:rsidRPr="00237A6E" w:rsidRDefault="00421BB5" w:rsidP="00421BB5">
      <w:pPr>
        <w:pStyle w:val="0-"/>
      </w:pPr>
      <w:r w:rsidRPr="00237A6E">
        <w:rPr>
          <w:rFonts w:hint="eastAsia"/>
        </w:rPr>
        <w:t>(五十一)查法務部檢察官人事審議委員會於106年9月15日通過之「再議新制」，明定再議案件僅能發回1次，臺灣高等檢察署若認為一審偵查不完備，就應自為偵查。相較於偵查機關為避免被告陷入纏訟懸而未決的痛苦，且為避免浪費偵查資源之改革，審判機關就三審發回不斷致纏訟數十年之結果，並無提出具體之改革措施。</w:t>
      </w:r>
    </w:p>
    <w:p w14:paraId="741560F0" w14:textId="77777777" w:rsidR="00421BB5" w:rsidRPr="00237A6E" w:rsidRDefault="00421BB5" w:rsidP="00421BB5">
      <w:pPr>
        <w:pStyle w:val="0-2"/>
      </w:pPr>
      <w:r w:rsidRPr="00237A6E">
        <w:rPr>
          <w:rFonts w:hint="eastAsia"/>
        </w:rPr>
        <w:t>為避免被告陷入纏訟懸而未決的痛苦，且為避免司法資源之浪費，除應建立堅實的事實審外，亦應研議限制第三審法院</w:t>
      </w:r>
      <w:r w:rsidRPr="00237A6E">
        <w:rPr>
          <w:rFonts w:hint="eastAsia"/>
        </w:rPr>
        <w:lastRenderedPageBreak/>
        <w:t>撤銷發回之次數，明定其自為判決之機制。爰由司法院就限制第三審發回次數暨自為判決之改革方案，向立法院司法及法制委員會與提案委員提出書面報告。</w:t>
      </w:r>
    </w:p>
    <w:p w14:paraId="7334D8BC" w14:textId="77777777" w:rsidR="00421BB5" w:rsidRPr="00237A6E" w:rsidRDefault="00421BB5" w:rsidP="00421BB5">
      <w:pPr>
        <w:pStyle w:val="2-1"/>
      </w:pPr>
      <w:r w:rsidRPr="00237A6E">
        <w:rPr>
          <w:rFonts w:hint="eastAsia"/>
        </w:rPr>
        <w:t>提案人：江永昌</w:t>
      </w:r>
      <w:r w:rsidRPr="00237A6E">
        <w:t xml:space="preserve"> </w:t>
      </w:r>
      <w:r w:rsidRPr="00237A6E">
        <w:rPr>
          <w:rFonts w:hint="eastAsia"/>
        </w:rPr>
        <w:t>黃世杰 游毓蘭 吳玉琴</w:t>
      </w:r>
    </w:p>
    <w:p w14:paraId="4D6BA6BF" w14:textId="77777777" w:rsidR="00421BB5" w:rsidRPr="00237A6E" w:rsidRDefault="00421BB5" w:rsidP="00421BB5">
      <w:pPr>
        <w:pStyle w:val="0-"/>
      </w:pPr>
      <w:r w:rsidRPr="00237A6E">
        <w:rPr>
          <w:rFonts w:hint="eastAsia"/>
        </w:rPr>
        <w:t>(五十二)112年度</w:t>
      </w:r>
      <w:r w:rsidRPr="00237A6E">
        <w:rPr>
          <w:rFonts w:hint="eastAsia"/>
          <w:noProof/>
        </w:rPr>
        <w:t>司法院</w:t>
      </w:r>
      <w:r w:rsidRPr="00237A6E">
        <w:rPr>
          <w:rFonts w:hint="eastAsia"/>
        </w:rPr>
        <w:t>歲出預算編列「</w:t>
      </w:r>
      <w:r w:rsidRPr="00237A6E">
        <w:rPr>
          <w:rFonts w:hint="eastAsia"/>
          <w:noProof/>
        </w:rPr>
        <w:t>審判行政</w:t>
      </w:r>
      <w:r w:rsidRPr="00237A6E">
        <w:rPr>
          <w:rFonts w:hint="eastAsia"/>
        </w:rPr>
        <w:t>」共</w:t>
      </w:r>
      <w:r w:rsidRPr="00237A6E">
        <w:rPr>
          <w:noProof/>
        </w:rPr>
        <w:t>1</w:t>
      </w:r>
      <w:r w:rsidRPr="00237A6E">
        <w:rPr>
          <w:rFonts w:hint="eastAsia"/>
          <w:noProof/>
        </w:rPr>
        <w:t>億</w:t>
      </w:r>
      <w:r w:rsidRPr="00237A6E">
        <w:rPr>
          <w:noProof/>
        </w:rPr>
        <w:t>2,189</w:t>
      </w:r>
      <w:r w:rsidRPr="00237A6E">
        <w:rPr>
          <w:rFonts w:hint="eastAsia"/>
          <w:noProof/>
        </w:rPr>
        <w:t>萬</w:t>
      </w:r>
      <w:r w:rsidRPr="00237A6E">
        <w:rPr>
          <w:noProof/>
        </w:rPr>
        <w:t>9</w:t>
      </w:r>
      <w:r w:rsidRPr="00237A6E">
        <w:rPr>
          <w:rFonts w:hint="eastAsia"/>
        </w:rPr>
        <w:t>千元，</w:t>
      </w:r>
      <w:r w:rsidRPr="00237A6E">
        <w:rPr>
          <w:rFonts w:hint="eastAsia"/>
          <w:noProof/>
        </w:rPr>
        <w:t>法院裁判之量刑無妥適、透明、公平及合理可預測性，為完善刑事案件量刑法制，爰由司法院向立法院司法及法制委員會提出書面報告。</w:t>
      </w:r>
    </w:p>
    <w:p w14:paraId="35E8D05E" w14:textId="77777777" w:rsidR="00421BB5" w:rsidRPr="00237A6E" w:rsidRDefault="00421BB5" w:rsidP="00421BB5">
      <w:pPr>
        <w:pStyle w:val="2-1"/>
      </w:pPr>
      <w:r w:rsidRPr="00237A6E">
        <w:rPr>
          <w:rFonts w:hint="eastAsia"/>
        </w:rPr>
        <w:t>提案人：林思銘</w:t>
      </w:r>
    </w:p>
    <w:p w14:paraId="3F8E7DF7" w14:textId="77777777" w:rsidR="00421BB5" w:rsidRPr="00237A6E" w:rsidRDefault="00421BB5" w:rsidP="00421BB5">
      <w:pPr>
        <w:pStyle w:val="2-1"/>
      </w:pPr>
      <w:r w:rsidRPr="00237A6E">
        <w:rPr>
          <w:rFonts w:hint="eastAsia"/>
        </w:rPr>
        <w:t>連署人：陳以信 游毓蘭</w:t>
      </w:r>
    </w:p>
    <w:p w14:paraId="58834213" w14:textId="77777777" w:rsidR="00421BB5" w:rsidRPr="00237A6E" w:rsidRDefault="00421BB5" w:rsidP="00421BB5">
      <w:pPr>
        <w:pStyle w:val="0-"/>
      </w:pPr>
      <w:r w:rsidRPr="00237A6E">
        <w:rPr>
          <w:rFonts w:hint="eastAsia"/>
        </w:rPr>
        <w:t>(五十三)</w:t>
      </w:r>
      <w:r w:rsidRPr="00237A6E">
        <w:t>112</w:t>
      </w:r>
      <w:r w:rsidRPr="00237A6E">
        <w:rPr>
          <w:rFonts w:hint="eastAsia"/>
        </w:rPr>
        <w:t>年度司法院歲出預算「審判行政」項下「辦理民事審判行政」編列</w:t>
      </w:r>
      <w:r w:rsidRPr="00237A6E">
        <w:t>605</w:t>
      </w:r>
      <w:r w:rsidRPr="00237A6E">
        <w:rPr>
          <w:rFonts w:hint="eastAsia"/>
        </w:rPr>
        <w:t>萬</w:t>
      </w:r>
      <w:r w:rsidRPr="00237A6E">
        <w:t>3</w:t>
      </w:r>
      <w:r w:rsidRPr="00237A6E">
        <w:rPr>
          <w:rFonts w:hint="eastAsia"/>
        </w:rPr>
        <w:t>千元。按法院組織法第</w:t>
      </w:r>
      <w:r w:rsidRPr="00237A6E">
        <w:t>17</w:t>
      </w:r>
      <w:r w:rsidRPr="00237A6E">
        <w:rPr>
          <w:rFonts w:hint="eastAsia"/>
        </w:rPr>
        <w:t>條之</w:t>
      </w:r>
      <w:r w:rsidRPr="00237A6E">
        <w:t>1</w:t>
      </w:r>
      <w:r w:rsidRPr="00237A6E">
        <w:rPr>
          <w:rFonts w:hint="eastAsia"/>
        </w:rPr>
        <w:t>第</w:t>
      </w:r>
      <w:r w:rsidRPr="00237A6E">
        <w:t>2</w:t>
      </w:r>
      <w:r w:rsidRPr="00237A6E">
        <w:rPr>
          <w:rFonts w:hint="eastAsia"/>
        </w:rPr>
        <w:t>項增訂第一類地方法院及其分院司法事務官，其中</w:t>
      </w:r>
      <w:r w:rsidRPr="00237A6E">
        <w:t>2</w:t>
      </w:r>
      <w:r w:rsidRPr="00237A6E">
        <w:rPr>
          <w:rFonts w:hint="eastAsia"/>
        </w:rPr>
        <w:t>人職等得列簡任第十職等；復考量各法院之司法事務官室人力配置有限，倘現有人員均未具有核派或代理單位主管資格，於實務運作上恐有窒礙，並修正法院組織法第</w:t>
      </w:r>
      <w:r w:rsidRPr="00237A6E">
        <w:t>17</w:t>
      </w:r>
      <w:r w:rsidRPr="00237A6E">
        <w:rPr>
          <w:rFonts w:hint="eastAsia"/>
        </w:rPr>
        <w:t>條之</w:t>
      </w:r>
      <w:r w:rsidRPr="00237A6E">
        <w:t>1</w:t>
      </w:r>
      <w:r w:rsidRPr="00237A6E">
        <w:rPr>
          <w:rFonts w:hint="eastAsia"/>
        </w:rPr>
        <w:t>第</w:t>
      </w:r>
      <w:r w:rsidRPr="00237A6E">
        <w:t>2</w:t>
      </w:r>
      <w:r w:rsidRPr="00237A6E">
        <w:rPr>
          <w:rFonts w:hint="eastAsia"/>
        </w:rPr>
        <w:t>項主任司法事務官之職務列等為薦任第九職等或簡任第十職等，法院得於必要時，指派合格實授薦任人員權理主任司法事務官一職，以增加機關用人彈性，俾維持業務正常運作。嗣於</w:t>
      </w:r>
      <w:r w:rsidRPr="00237A6E">
        <w:t>111</w:t>
      </w:r>
      <w:r w:rsidRPr="00237A6E">
        <w:rPr>
          <w:rFonts w:hint="eastAsia"/>
        </w:rPr>
        <w:t>年</w:t>
      </w:r>
      <w:r w:rsidRPr="00237A6E">
        <w:t>6</w:t>
      </w:r>
      <w:r w:rsidRPr="00237A6E">
        <w:rPr>
          <w:rFonts w:hint="eastAsia"/>
        </w:rPr>
        <w:t>月</w:t>
      </w:r>
      <w:r w:rsidRPr="00237A6E">
        <w:t>22</w:t>
      </w:r>
      <w:r w:rsidRPr="00237A6E">
        <w:rPr>
          <w:rFonts w:hint="eastAsia"/>
        </w:rPr>
        <w:t>日修正通過施行。惟目前第一類法院中僅臺灣新北地方法院、臺灣桃園地方法院、臺灣新竹地方法院、臺灣臺南地方法院設置主任司法事務官，比率僅</w:t>
      </w:r>
      <w:r w:rsidRPr="00237A6E">
        <w:t>30.7%</w:t>
      </w:r>
      <w:r w:rsidRPr="00237A6E">
        <w:rPr>
          <w:rFonts w:hint="eastAsia"/>
        </w:rPr>
        <w:t>；而其中</w:t>
      </w:r>
      <w:r w:rsidRPr="00237A6E">
        <w:t>2</w:t>
      </w:r>
      <w:r w:rsidRPr="00237A6E">
        <w:rPr>
          <w:rFonts w:hint="eastAsia"/>
        </w:rPr>
        <w:t>位司法事務官之職等得列簡任第十職等，更未見各法院依法設置。查司法事務官依法院組織法第</w:t>
      </w:r>
      <w:r w:rsidRPr="00237A6E">
        <w:t>17</w:t>
      </w:r>
      <w:r w:rsidRPr="00237A6E">
        <w:rPr>
          <w:rFonts w:hint="eastAsia"/>
        </w:rPr>
        <w:t>條之</w:t>
      </w:r>
      <w:r w:rsidRPr="00237A6E">
        <w:t>2</w:t>
      </w:r>
      <w:r w:rsidRPr="00237A6E">
        <w:rPr>
          <w:rFonts w:hint="eastAsia"/>
        </w:rPr>
        <w:t>規定，職掌諸如返還擔保金事件、調解程序事件、督促程序事件、保全程序事件、公示催告程序裁定事件、確定訴訟費用額事件、民事強制執行事件、非訟事件法及其他法律所定之非訟事件，亟需由設置主任司法官協調或連繫，提升當事人對司法機關之好感，並增設簡任十職等之司法事務官，俾拔擢優秀人才，激勵基層人員士氣。請司法院就所屬各法院增置主任司法事務官及簡任司法事務官之辦理情形，於</w:t>
      </w:r>
      <w:r w:rsidRPr="00237A6E">
        <w:t>3</w:t>
      </w:r>
      <w:r w:rsidRPr="00237A6E">
        <w:rPr>
          <w:rFonts w:hint="eastAsia"/>
        </w:rPr>
        <w:t>個月內提出書面報告送立法院司法及法制委員會。</w:t>
      </w:r>
    </w:p>
    <w:p w14:paraId="3E8AA879"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686DEE11" w14:textId="77777777" w:rsidR="00421BB5" w:rsidRPr="00237A6E" w:rsidRDefault="00421BB5" w:rsidP="00421BB5">
      <w:pPr>
        <w:pStyle w:val="0-"/>
      </w:pPr>
      <w:r w:rsidRPr="00237A6E">
        <w:rPr>
          <w:rFonts w:hint="eastAsia"/>
        </w:rPr>
        <w:t>(五十四)</w:t>
      </w:r>
      <w:r w:rsidRPr="00237A6E">
        <w:rPr>
          <w:rFonts w:hint="eastAsia"/>
          <w:color w:val="000000"/>
        </w:rPr>
        <w:t>我國現行法中關於「足認法官有執行職務偏頗之虞」的法官迴避認定要件仍有改進空間，不宜將法官與當事人有故舊恩怨當</w:t>
      </w:r>
      <w:r w:rsidRPr="00237A6E">
        <w:rPr>
          <w:rFonts w:hint="eastAsia"/>
        </w:rPr>
        <w:t>成唯一標準，尤其在「法官曾經參與同一案件」的類型中，宜多加考量法官對案件形成預斷的可能性，由法官對案件是否會產生預斷的危險程度來判斷是否應該迴避。就算在法官訴訟指揮或證據調查合法時，也不排除個案情節會有偏頗之虞的情形產生，若法官未落實迴避制度，勢必影響民眾接受公平審判之機會，爰由司法院向立法院司法及法制委員會提出書面報</w:t>
      </w:r>
      <w:r w:rsidRPr="00237A6E">
        <w:rPr>
          <w:rFonts w:hint="eastAsia"/>
        </w:rPr>
        <w:lastRenderedPageBreak/>
        <w:t>告。</w:t>
      </w:r>
    </w:p>
    <w:p w14:paraId="5C52E049"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72732FC0" w14:textId="77777777" w:rsidR="00421BB5" w:rsidRPr="00237A6E" w:rsidRDefault="00421BB5" w:rsidP="00421BB5">
      <w:pPr>
        <w:pStyle w:val="0-"/>
      </w:pPr>
      <w:r w:rsidRPr="00237A6E">
        <w:rPr>
          <w:rFonts w:hint="eastAsia"/>
        </w:rPr>
        <w:t>(五十五)</w:t>
      </w:r>
      <w:r w:rsidRPr="00237A6E">
        <w:rPr>
          <w:rFonts w:hint="eastAsia"/>
          <w:color w:val="000000"/>
        </w:rPr>
        <w:t>被告若有羈押原因而無羈押必要，本可命以交保、責付或限制住居等手段為之，若被告無法繳交保證金，法院自應命為羈押或改以其他替代處分，且被告交保之保釋金如何交付給法院，並非員警之法定</w:t>
      </w:r>
      <w:r w:rsidRPr="00237A6E">
        <w:rPr>
          <w:rFonts w:hint="eastAsia"/>
        </w:rPr>
        <w:t>職務與責任，惟臺灣彰化地方法院日前命員警至被告位於南投之住處拿取保釋金，顯然已逾越其職權，況有其他繳交保釋金之方式，如由被告或親友自南投之金融機構以現金存入或匯款方式繳交保釋金至臺灣彰化地方法院之國庫帳戶，故法官命員警跨縣市去拿取被告保釋金之行為，顯有不當。</w:t>
      </w:r>
    </w:p>
    <w:p w14:paraId="47FBD3C8" w14:textId="77777777" w:rsidR="00421BB5" w:rsidRPr="00237A6E" w:rsidRDefault="00421BB5" w:rsidP="00421BB5">
      <w:pPr>
        <w:pStyle w:val="0-2"/>
      </w:pPr>
      <w:r w:rsidRPr="00237A6E">
        <w:rPr>
          <w:rFonts w:hint="eastAsia"/>
        </w:rPr>
        <w:t>類此事件允宜由司法院約束所屬，爰由司法院向立法院司法及法制委員會提出書面</w:t>
      </w:r>
      <w:r>
        <w:rPr>
          <w:rFonts w:hint="eastAsia"/>
        </w:rPr>
        <w:t>報告。</w:t>
      </w:r>
    </w:p>
    <w:p w14:paraId="22F88363"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林思銘 陳以信</w:t>
      </w:r>
    </w:p>
    <w:p w14:paraId="32D53DBD" w14:textId="77777777" w:rsidR="00421BB5" w:rsidRPr="00237A6E" w:rsidRDefault="00421BB5" w:rsidP="00421BB5">
      <w:pPr>
        <w:pStyle w:val="0-"/>
        <w:rPr>
          <w:spacing w:val="-20"/>
        </w:rPr>
      </w:pPr>
      <w:r w:rsidRPr="00237A6E">
        <w:rPr>
          <w:rFonts w:hint="eastAsia"/>
        </w:rPr>
        <w:t>(五十六)我</w:t>
      </w:r>
      <w:r w:rsidRPr="00237A6E">
        <w:rPr>
          <w:rFonts w:hint="eastAsia"/>
          <w:color w:val="000000"/>
        </w:rPr>
        <w:t>國刑事訴訟制度是採取「直接審理原則」，法官必須要親自聽取當事人的說法並親自觀察證據資料，最後再親自作出判決結果</w:t>
      </w:r>
      <w:r w:rsidRPr="00237A6E">
        <w:rPr>
          <w:rFonts w:hint="eastAsia"/>
        </w:rPr>
        <w:t>。此即為了讓被告受審的權利獲得完整的保護，法官不受他人價值影響、親自審閱證據並進行判斷，才有辦法作出最公正的判決。因此，法官須始終參與審理，使得為判決，此乃刑事訴訟最基本之原則，然臺灣臺中地方法院日前竟發生審理與判決之陪席法官為不同人之情事，違法情節不可謂不重，若此等顯而易見之違法行為均能發生，恐法院之審判品質堪憂，爰由司法院向立法院司法及法制委員會提出書面報告。</w:t>
      </w:r>
    </w:p>
    <w:p w14:paraId="39AE4E28"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林思銘 陳以信</w:t>
      </w:r>
    </w:p>
    <w:p w14:paraId="6EF92DD8" w14:textId="77777777" w:rsidR="00421BB5" w:rsidRPr="00237A6E" w:rsidRDefault="00421BB5" w:rsidP="00421BB5">
      <w:pPr>
        <w:pStyle w:val="0-"/>
      </w:pPr>
      <w:r w:rsidRPr="00237A6E">
        <w:rPr>
          <w:rFonts w:hint="eastAsia"/>
        </w:rPr>
        <w:t>(五十七)</w:t>
      </w:r>
      <w:r w:rsidRPr="00237A6E">
        <w:t>112</w:t>
      </w:r>
      <w:r w:rsidRPr="00237A6E">
        <w:rPr>
          <w:rFonts w:hint="eastAsia"/>
        </w:rPr>
        <w:t>年度司法院歲出預算編列「</w:t>
      </w:r>
      <w:r w:rsidRPr="00237A6E">
        <w:t>推動國民法官制度經費</w:t>
      </w:r>
      <w:r w:rsidRPr="00237A6E">
        <w:rPr>
          <w:rFonts w:hint="eastAsia"/>
        </w:rPr>
        <w:t>」共</w:t>
      </w:r>
      <w:r w:rsidRPr="00237A6E">
        <w:t>5,530</w:t>
      </w:r>
      <w:r w:rsidRPr="00237A6E">
        <w:rPr>
          <w:rFonts w:hint="eastAsia"/>
        </w:rPr>
        <w:t>萬元。據</w:t>
      </w:r>
      <w:r w:rsidRPr="00237A6E">
        <w:t>媒體報導，一名101歲的失智老人</w:t>
      </w:r>
      <w:r w:rsidRPr="00237A6E">
        <w:rPr>
          <w:rFonts w:hint="eastAsia"/>
        </w:rPr>
        <w:t>3</w:t>
      </w:r>
      <w:r w:rsidRPr="00237A6E">
        <w:t>度收到</w:t>
      </w:r>
      <w:r w:rsidRPr="00237A6E">
        <w:rPr>
          <w:rFonts w:hint="eastAsia"/>
        </w:rPr>
        <w:t>臺灣</w:t>
      </w:r>
      <w:r w:rsidRPr="00237A6E">
        <w:t>桃園地方法院通知要擔任國民法官</w:t>
      </w:r>
      <w:r w:rsidRPr="00237A6E">
        <w:rPr>
          <w:rFonts w:hint="eastAsia"/>
        </w:rPr>
        <w:t>，顯示作業程序有改進之空間。「國民法官」制度將於112年開始實施，爰請司法院於國民法官法施行細則增訂相關規範，完善配套措施，以避免增加民眾負擔，並提書面改進報告。</w:t>
      </w:r>
    </w:p>
    <w:p w14:paraId="6860A516" w14:textId="77777777" w:rsidR="00421BB5" w:rsidRPr="00237A6E" w:rsidRDefault="00421BB5" w:rsidP="00421BB5">
      <w:pPr>
        <w:pStyle w:val="2-1"/>
      </w:pPr>
      <w:r w:rsidRPr="00237A6E">
        <w:rPr>
          <w:rFonts w:hint="eastAsia"/>
        </w:rPr>
        <w:t>提案人：陳以信</w:t>
      </w:r>
    </w:p>
    <w:p w14:paraId="5EAA334D" w14:textId="77777777" w:rsidR="00421BB5" w:rsidRPr="00237A6E" w:rsidRDefault="00421BB5" w:rsidP="00421BB5">
      <w:pPr>
        <w:pStyle w:val="2-1"/>
      </w:pPr>
      <w:r w:rsidRPr="00237A6E">
        <w:rPr>
          <w:rFonts w:hint="eastAsia"/>
        </w:rPr>
        <w:t>連署人：游毓蘭 林思銘</w:t>
      </w:r>
    </w:p>
    <w:p w14:paraId="427F09E8" w14:textId="77777777" w:rsidR="00421BB5" w:rsidRPr="00237A6E" w:rsidRDefault="00421BB5" w:rsidP="00421BB5">
      <w:pPr>
        <w:pStyle w:val="0-"/>
      </w:pPr>
      <w:r w:rsidRPr="00237A6E">
        <w:rPr>
          <w:rFonts w:hint="eastAsia"/>
        </w:rPr>
        <w:t>(五十八)憲法第16條明定訴訟權之保障，其內涵為保障人民有受公正、合法及迅速審判之權利，司法院釋字第446號、第530號解釋理由亦均明白揭示此一意旨。此外，聯合國公民與政治權利國際公約第14條第3項第3款明定「立即受審，不得無故稽延」；歐洲人權公約第6條第1項亦明定任何人有權在合理的期間內受到依法設立的獨立與公正的法庭之公平與公開審理。是以，我國於99年制定</w:t>
      </w:r>
      <w:bookmarkStart w:id="528" w:name="_Hlk119306714"/>
      <w:r w:rsidRPr="00237A6E">
        <w:rPr>
          <w:rFonts w:hint="eastAsia"/>
        </w:rPr>
        <w:t>刑事妥速審判法</w:t>
      </w:r>
      <w:bookmarkEnd w:id="528"/>
      <w:r w:rsidRPr="00237A6E">
        <w:rPr>
          <w:rFonts w:hint="eastAsia"/>
        </w:rPr>
        <w:t>，期能維護刑事審判之公正、合法、迅速，避免證據滅失或薄弱化、提高判</w:t>
      </w:r>
      <w:r w:rsidRPr="00237A6E">
        <w:rPr>
          <w:rFonts w:hint="eastAsia"/>
        </w:rPr>
        <w:lastRenderedPageBreak/>
        <w:t>決之一般預防效果，並減少積案導致國民對刑事司法的不信任感。</w:t>
      </w:r>
    </w:p>
    <w:p w14:paraId="1EABE991" w14:textId="77777777" w:rsidR="00421BB5" w:rsidRPr="00237A6E" w:rsidRDefault="00421BB5" w:rsidP="00421BB5">
      <w:pPr>
        <w:pStyle w:val="0-2"/>
      </w:pPr>
      <w:r w:rsidRPr="00237A6E">
        <w:rPr>
          <w:rFonts w:hint="eastAsia"/>
        </w:rPr>
        <w:t>惟查，「法院適用刑事妥速審判法應行注意事項」第8點，將刑事妥速審判法第8條「無罪判決不得上訴最高法院之案件」，明定為須自第一審繫屬日起已逾6年且經最高法院第3次以上發回後，第二審法院為無罪之更審判決，如於更審前曾經同審級法院為2次以上無罪判決者，檢察官、自訴人不得上訴於最高法院。</w:t>
      </w:r>
    </w:p>
    <w:p w14:paraId="442C22D0" w14:textId="77777777" w:rsidR="00421BB5" w:rsidRPr="00237A6E" w:rsidRDefault="00421BB5" w:rsidP="00421BB5">
      <w:pPr>
        <w:pStyle w:val="0-2"/>
      </w:pPr>
      <w:r w:rsidRPr="00237A6E">
        <w:rPr>
          <w:rFonts w:hint="eastAsia"/>
        </w:rPr>
        <w:t>為維護刑事審判之公正、合法、迅速，是否須以逾6年做為得否上訴最高法院之要件？不無疑義。再者，於推動金字塔型訴訟，落實堅實事實審之際，卻明定更審前曾經同審級法院為2次以上無罪判決者，如未逾6年，仍可上訴最高法院，豈不矛盾？爰由司法院邀集學者專家就刑事妥速審判法第8條所定之6年限制，檢討有無修正之必要，並向立法院司法及法制委員會與提案委員提出書面報告。</w:t>
      </w:r>
    </w:p>
    <w:p w14:paraId="6C4055CF" w14:textId="77777777" w:rsidR="00421BB5" w:rsidRPr="00237A6E" w:rsidRDefault="00421BB5" w:rsidP="00421BB5">
      <w:pPr>
        <w:pStyle w:val="2-1"/>
      </w:pPr>
      <w:r w:rsidRPr="00237A6E">
        <w:rPr>
          <w:rFonts w:hint="eastAsia"/>
        </w:rPr>
        <w:t>提案人：江永昌</w:t>
      </w:r>
      <w:r w:rsidRPr="00237A6E">
        <w:t xml:space="preserve"> </w:t>
      </w:r>
      <w:r w:rsidRPr="00237A6E">
        <w:rPr>
          <w:rFonts w:hint="eastAsia"/>
        </w:rPr>
        <w:t xml:space="preserve">黃世杰 游毓蘭 吳玉琴 </w:t>
      </w:r>
    </w:p>
    <w:p w14:paraId="7B28D4A4" w14:textId="77777777" w:rsidR="00421BB5" w:rsidRPr="00237A6E" w:rsidRDefault="00421BB5" w:rsidP="00421BB5">
      <w:pPr>
        <w:pStyle w:val="0-"/>
      </w:pPr>
      <w:r w:rsidRPr="00237A6E">
        <w:rPr>
          <w:rFonts w:hint="eastAsia"/>
        </w:rPr>
        <w:t>(五十九)立法院於111年5月30日三讀通過醫療事故預防及爭議處理法，並納入醫療爭議刑事案件調解先行之機制，明定檢察官偵查或法院審理之醫療爭議刑事案件，應移付管轄之調解會先行調解；此與刑事訴訟法僅明定檢察官於偵查中或法院於言詞辯論終結前，得將案件移付調解之規定，明顯不同。</w:t>
      </w:r>
    </w:p>
    <w:p w14:paraId="68728DE3" w14:textId="77777777" w:rsidR="00421BB5" w:rsidRPr="00237A6E" w:rsidRDefault="00421BB5" w:rsidP="00421BB5">
      <w:pPr>
        <w:pStyle w:val="0-2"/>
      </w:pPr>
      <w:r w:rsidRPr="00237A6E">
        <w:rPr>
          <w:rFonts w:hint="eastAsia"/>
        </w:rPr>
        <w:t>惟參考德國刑事訴訟法之規定，德國就部分犯罪類型之自訴，須以試行調解無果做為合法性要件；司法院釋字第507號解釋亦指出，法律為防止濫行興訟致妨害他人自由，或為避免虛耗國家有限之司法資源，對於告訴或自訴自得為合理之限制，惟此種限制仍應符合憲法第23條之比例原則。足見刑事自訴案件是否應先行調解，純屬立法自由形成之範圍。</w:t>
      </w:r>
    </w:p>
    <w:p w14:paraId="0DBA367A" w14:textId="77777777" w:rsidR="00421BB5" w:rsidRPr="00237A6E" w:rsidRDefault="00421BB5" w:rsidP="00421BB5">
      <w:pPr>
        <w:pStyle w:val="0-2"/>
      </w:pPr>
      <w:r w:rsidRPr="00237A6E">
        <w:rPr>
          <w:rFonts w:hint="eastAsia"/>
        </w:rPr>
        <w:t>為合理減輕法官工作負擔，減少案件進入審理程序，刑事自訴案件先行調解之研究，實屬重要課題。爰由司法院邀集學者專家就刑事自訴案件先行調解之規劃</w:t>
      </w:r>
      <w:r>
        <w:rPr>
          <w:rFonts w:hint="eastAsia"/>
        </w:rPr>
        <w:t>，進行研議，並向立法院司法及法制委員會與提案委員提出書面報告。</w:t>
      </w:r>
    </w:p>
    <w:p w14:paraId="3BC8A735" w14:textId="77777777" w:rsidR="00421BB5" w:rsidRPr="00237A6E" w:rsidRDefault="00421BB5" w:rsidP="00421BB5">
      <w:pPr>
        <w:pStyle w:val="2-1"/>
      </w:pPr>
      <w:r w:rsidRPr="00237A6E">
        <w:rPr>
          <w:rFonts w:hint="eastAsia"/>
        </w:rPr>
        <w:t>提案人：江永昌</w:t>
      </w:r>
      <w:r w:rsidRPr="00237A6E">
        <w:t xml:space="preserve"> </w:t>
      </w:r>
      <w:r w:rsidRPr="00237A6E">
        <w:rPr>
          <w:rFonts w:hint="eastAsia"/>
        </w:rPr>
        <w:t>黃世杰 游毓蘭 吳玉琴</w:t>
      </w:r>
    </w:p>
    <w:p w14:paraId="1BC381A2" w14:textId="77777777" w:rsidR="00421BB5" w:rsidRPr="00237A6E" w:rsidRDefault="00421BB5" w:rsidP="00421BB5">
      <w:pPr>
        <w:pStyle w:val="0-"/>
      </w:pPr>
      <w:r w:rsidRPr="00237A6E">
        <w:rPr>
          <w:rFonts w:hint="eastAsia"/>
        </w:rPr>
        <w:t>(六十)立法院於111年1月27日三讀通過暫行安置新制，明定犯罪嫌疑重大，且有事實足認為刑法第19條第1項、第2項之原因可能存在，而有危害公共安全之虞，並有緊急必要者，得以裁定諭知6月以下期間，令入司法精神醫院、醫院、精神醫療機構或其他適當處所，施以暫行安置；暫行安置期間屆滿前，認有延長之必要者，得以裁定延長之，每次延長不得逾6月。但暫行安置期間，累計不得逾5年。</w:t>
      </w:r>
    </w:p>
    <w:p w14:paraId="3650F47A" w14:textId="77777777" w:rsidR="00421BB5" w:rsidRPr="00237A6E" w:rsidRDefault="00421BB5" w:rsidP="00421BB5">
      <w:pPr>
        <w:pStyle w:val="0-2"/>
      </w:pPr>
      <w:r w:rsidRPr="00237A6E">
        <w:rPr>
          <w:rFonts w:hint="eastAsia"/>
        </w:rPr>
        <w:t>惟查，暫行安置、延長暫行安置，係由該管檢察官執行，</w:t>
      </w:r>
      <w:r w:rsidRPr="00237A6E">
        <w:rPr>
          <w:rFonts w:hint="eastAsia"/>
        </w:rPr>
        <w:lastRenderedPageBreak/>
        <w:t>此與執行羈押，偵查中依檢察官之指揮，審判中依審判長或受命法官之指揮，有所不同；暫行安置固非羈押替代處分，然何故審判中經法院依職權裁定之暫行安置，係由檢察官執行？</w:t>
      </w:r>
    </w:p>
    <w:p w14:paraId="5ABFB0E1" w14:textId="77777777" w:rsidR="00421BB5" w:rsidRPr="00237A6E" w:rsidRDefault="00421BB5" w:rsidP="00421BB5">
      <w:pPr>
        <w:pStyle w:val="0-2"/>
      </w:pPr>
      <w:r w:rsidRPr="00237A6E">
        <w:rPr>
          <w:rFonts w:hint="eastAsia"/>
        </w:rPr>
        <w:t xml:space="preserve">此外，暫行安置並未如羈押可抵有期徒刑或保安處分，僅明定暫行安置執行後，認為無執行刑之必要者，法院得免其刑之全部或一部執行；惟刑法第19條第1項明定行為時因精神障礙或其他心智缺陷，致不能辨識其行為違法或欠缺依其辨識而行為之能力者，不罰，於此情形下，受暫行安置而有特別犧牲之被告，得否請求國家補償？ </w:t>
      </w:r>
    </w:p>
    <w:p w14:paraId="06F1894C" w14:textId="77777777" w:rsidR="00421BB5" w:rsidRPr="00237A6E" w:rsidRDefault="00421BB5" w:rsidP="00421BB5">
      <w:pPr>
        <w:pStyle w:val="0-2"/>
      </w:pPr>
      <w:r w:rsidRPr="00237A6E">
        <w:rPr>
          <w:rFonts w:hint="eastAsia"/>
        </w:rPr>
        <w:t>爰由司法院釐清暫行安置之疑義，檢討有無修法之必要，並向立法院司法及法制委員會與提案委員提出書面報告。</w:t>
      </w:r>
    </w:p>
    <w:p w14:paraId="7B2CEF1D" w14:textId="77777777" w:rsidR="00421BB5" w:rsidRPr="00237A6E" w:rsidRDefault="00421BB5" w:rsidP="00421BB5">
      <w:pPr>
        <w:pStyle w:val="2-1"/>
      </w:pPr>
      <w:r w:rsidRPr="00237A6E">
        <w:rPr>
          <w:rFonts w:hint="eastAsia"/>
        </w:rPr>
        <w:t>提案人：江永昌</w:t>
      </w:r>
      <w:r w:rsidRPr="00237A6E">
        <w:t xml:space="preserve"> </w:t>
      </w:r>
      <w:r w:rsidRPr="00237A6E">
        <w:rPr>
          <w:rFonts w:hint="eastAsia"/>
        </w:rPr>
        <w:t>黃世杰 游毓蘭 吳玉琴</w:t>
      </w:r>
    </w:p>
    <w:p w14:paraId="05DE28D2" w14:textId="77777777" w:rsidR="00421BB5" w:rsidRPr="00237A6E" w:rsidRDefault="00421BB5" w:rsidP="00421BB5">
      <w:pPr>
        <w:pStyle w:val="0-"/>
        <w:rPr>
          <w:b/>
        </w:rPr>
      </w:pPr>
      <w:r w:rsidRPr="00237A6E">
        <w:rPr>
          <w:rFonts w:hint="eastAsia"/>
        </w:rPr>
        <w:t>(六十一)112年度司法院歲出預算「審判行政」項下「辦理少年及家事審判行政」編列4</w:t>
      </w:r>
      <w:r w:rsidRPr="00237A6E">
        <w:t>,</w:t>
      </w:r>
      <w:r w:rsidRPr="00237A6E">
        <w:rPr>
          <w:rFonts w:hint="eastAsia"/>
        </w:rPr>
        <w:t>245萬6千元。</w:t>
      </w:r>
    </w:p>
    <w:p w14:paraId="36D0A860" w14:textId="77777777" w:rsidR="00421BB5" w:rsidRPr="00237A6E" w:rsidRDefault="00421BB5" w:rsidP="00421BB5">
      <w:pPr>
        <w:pStyle w:val="0-2"/>
      </w:pPr>
      <w:r w:rsidRPr="00237A6E">
        <w:rPr>
          <w:rFonts w:hint="eastAsia"/>
        </w:rPr>
        <w:t>依少年及家事法院審理期限規則規定，對於聲請認可收養事件之辦案期限定有相關規定，原則上為8個月，並因受新冠肺炎疫情之影響，司法院統一延長4個月之辦案期限。有關認可收養事件，涉被收養人之權益甚鉅，縱未逾辦案期限，相關收養事件程序仍應連續為之，如辦理期限過長，恐對出養兒童及認養家庭致生困擾，司法院應函請各法院注意是類事件宜妥速處理，以維未成年子女最佳利益。</w:t>
      </w:r>
    </w:p>
    <w:p w14:paraId="7DD84B87"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6DD68662" w14:textId="77777777" w:rsidR="00421BB5" w:rsidRPr="00237A6E" w:rsidRDefault="00421BB5" w:rsidP="00421BB5">
      <w:pPr>
        <w:pStyle w:val="0-"/>
      </w:pPr>
      <w:r w:rsidRPr="00237A6E">
        <w:rPr>
          <w:rFonts w:hint="eastAsia"/>
        </w:rPr>
        <w:t>(六十二)經查，監察院</w:t>
      </w:r>
      <w:r w:rsidRPr="00237A6E">
        <w:t>107</w:t>
      </w:r>
      <w:r w:rsidRPr="00237A6E">
        <w:rPr>
          <w:rFonts w:hint="eastAsia"/>
        </w:rPr>
        <w:t>年劾字第</w:t>
      </w:r>
      <w:r w:rsidRPr="00237A6E">
        <w:t>9</w:t>
      </w:r>
      <w:r w:rsidRPr="00237A6E">
        <w:rPr>
          <w:rFonts w:hint="eastAsia"/>
        </w:rPr>
        <w:t>號彈劾少年保護官、</w:t>
      </w:r>
      <w:r w:rsidRPr="00237A6E">
        <w:t>111</w:t>
      </w:r>
      <w:r w:rsidRPr="00237A6E">
        <w:rPr>
          <w:rFonts w:hint="eastAsia"/>
        </w:rPr>
        <w:t>年劾字第</w:t>
      </w:r>
      <w:r w:rsidRPr="00237A6E">
        <w:t>15</w:t>
      </w:r>
      <w:r w:rsidRPr="00237A6E">
        <w:rPr>
          <w:rFonts w:hint="eastAsia"/>
        </w:rPr>
        <w:t>號彈劾法官及少年保護官等，均與司法人員為依法通報兒少、性侵事件有關。究其原因，在法院工作之司法人員對通報義務之認知，未必周全、單位協調間有落差等，相關監督機制也未健全。次查，安置機構財源雖來自司法機關，惟兒少、性侵事件業務主管機關卻是衛生福利部、社政機關，相關職務認知及落實機制顯有強化空間。末查，現行依少年事件處理法由法院裁判安置後，僅以書面報表、少年保護官定期訪視等方法，確認少年情況，難以第一時間對少年受到性暴力等情況反應，實務上甚至有司法人員誤解僅有安置機構須通報之問題。爰請司法院就司法人員性別通報義務落實，向立法院司法及法制委員會提出書面</w:t>
      </w:r>
      <w:r>
        <w:rPr>
          <w:rFonts w:hint="eastAsia"/>
        </w:rPr>
        <w:t>報告。</w:t>
      </w:r>
    </w:p>
    <w:p w14:paraId="59EE3FAE"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240DED93" w14:textId="77777777" w:rsidR="00421BB5" w:rsidRPr="00237A6E" w:rsidRDefault="00421BB5" w:rsidP="00421BB5">
      <w:pPr>
        <w:pStyle w:val="0-"/>
        <w:rPr>
          <w:b/>
        </w:rPr>
      </w:pPr>
      <w:r w:rsidRPr="00237A6E">
        <w:rPr>
          <w:rFonts w:hint="eastAsia"/>
        </w:rPr>
        <w:t>(六十三)112年度司法院歲出預算「司法業務規劃研考」項下「辦理研究改進司法制度業務」編列1</w:t>
      </w:r>
      <w:r w:rsidRPr="00237A6E">
        <w:t>,</w:t>
      </w:r>
      <w:r w:rsidRPr="00237A6E">
        <w:rPr>
          <w:rFonts w:hint="eastAsia"/>
        </w:rPr>
        <w:t>082萬5千元。</w:t>
      </w:r>
    </w:p>
    <w:p w14:paraId="455FE171" w14:textId="77777777" w:rsidR="00421BB5" w:rsidRPr="00237A6E" w:rsidRDefault="00421BB5" w:rsidP="00421BB5">
      <w:pPr>
        <w:pStyle w:val="0-2"/>
      </w:pPr>
      <w:r w:rsidRPr="00237A6E">
        <w:rPr>
          <w:rFonts w:hint="eastAsia"/>
        </w:rPr>
        <w:t>臺灣高等法院某男法官與已婚之臺灣桃園地方法院某女法官發生婚外情，介入他人婚姻，並導致該女法官欲與其夫離婚，已破壞他人婚姻圓滿，雖屬個人行為，然而法官身為執法</w:t>
      </w:r>
      <w:r w:rsidRPr="00237A6E">
        <w:rPr>
          <w:rFonts w:hint="eastAsia"/>
        </w:rPr>
        <w:lastRenderedPageBreak/>
        <w:t>者，卻未能以身作則、道德觀念低落，如何能期待該法官在審判職務上能公平、公正、客觀從事職務？且此舉亦有違反法官倫理規範等情形，司法院應加強宣導法官倫理規範，避免有損法官職位尊嚴或職務信任，以提升人民對司法之信任度</w:t>
      </w:r>
      <w:r>
        <w:rPr>
          <w:rFonts w:hint="eastAsia"/>
        </w:rPr>
        <w:t>。</w:t>
      </w:r>
    </w:p>
    <w:p w14:paraId="0A587901"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7F26E3BE" w14:textId="77777777" w:rsidR="00421BB5" w:rsidRPr="00237A6E" w:rsidRDefault="00421BB5" w:rsidP="00421BB5">
      <w:pPr>
        <w:pStyle w:val="0-"/>
      </w:pPr>
      <w:r w:rsidRPr="00237A6E">
        <w:rPr>
          <w:rFonts w:hint="eastAsia"/>
        </w:rPr>
        <w:t>(六十四)緣總統府司法改革國是會議通過諸多保護被害人、推動修復式司法之決議，但被害人在訴訟過程中之不友善未有具體改善。例如立法院司法及法制委員會109年3月舉行「暗夜哭泣聲-被害人血淚誰來顧？強化犯罪被害人保護機制」公聽會，就有立法委員現場泣訴「...在事情發生不到一週之內，其實就有很多人透過關係問本席是否要與被告見面、是否要與被告和解…這個程序真是太過分了！」現行各級法院迭有以被害人意見表之行政慣例，事先要求被害人表態是否願意原諒、和解加害人。再者，司法行政管考法官績效，以折服率、上訴維持率等指標影響下，法官對法律人同僚意見甚為重視，卻忽略了尊重被害人程序權益，進而提升司法之溫度。綜上，司法文化、行政慣例、績效管考等因素導致司法欠缺對被害人友善，亟待檢討改進。爰由司法院就案由所揭從各方面提升對被害人友善之司法，向立法院司法及法制委員會提出書面</w:t>
      </w:r>
      <w:r>
        <w:rPr>
          <w:rFonts w:hint="eastAsia"/>
        </w:rPr>
        <w:t>報告。</w:t>
      </w:r>
    </w:p>
    <w:p w14:paraId="11FBDBB3"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曾銘宗 林思銘</w:t>
      </w:r>
    </w:p>
    <w:p w14:paraId="06281642" w14:textId="77777777" w:rsidR="00421BB5" w:rsidRPr="00237A6E" w:rsidRDefault="00421BB5" w:rsidP="00421BB5">
      <w:pPr>
        <w:pStyle w:val="0-"/>
      </w:pPr>
      <w:r w:rsidRPr="00237A6E">
        <w:rPr>
          <w:rFonts w:hint="eastAsia"/>
        </w:rPr>
        <w:t>(六十五)112年度司法院歲出預算「司法業務規劃研考」項下「辦理研究改進司法制度業務」編列1,082萬5千元。經查，為應對外界對翁茂鍾案衍生司法風紀之質疑，司法院增訂「司法院及所屬機關辦理廉政風險人員提列作業注意事項」，然而因法官法整體立法架構不變，所謂提列風險人員，就法官而言最終仍須經個案評鑑方可究責，程序門檻甚高，政風機構之追蹤列管僅係文書作業，難以即時阻止風險行為。111年2月國立中正大學犯罪研究中心公布民調，對「法官能公平公正審判」滿意度僅達33.1%，司法院增訂因應作為，若未能及早抓出有問題之法官，恐對沉痾問題沒有幫助。</w:t>
      </w:r>
      <w:r>
        <w:rPr>
          <w:rFonts w:hint="eastAsia"/>
        </w:rPr>
        <w:t>爰由</w:t>
      </w:r>
      <w:r w:rsidRPr="00237A6E">
        <w:rPr>
          <w:rFonts w:hint="eastAsia"/>
        </w:rPr>
        <w:t>司法院就司法風紀之及早行政監督作為、制度改進，向立法院司法及法制委員會提出書面報告。</w:t>
      </w:r>
    </w:p>
    <w:p w14:paraId="4AEA863E"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林思銘 曾銘宗</w:t>
      </w:r>
    </w:p>
    <w:p w14:paraId="222CCF11" w14:textId="77777777" w:rsidR="00421BB5" w:rsidRPr="00237A6E" w:rsidRDefault="00421BB5" w:rsidP="00421BB5">
      <w:pPr>
        <w:pStyle w:val="0-"/>
      </w:pPr>
      <w:r w:rsidRPr="00237A6E">
        <w:rPr>
          <w:rFonts w:hint="eastAsia"/>
        </w:rPr>
        <w:t>(六十六)112年度司法院歲出預算「汰購公務車3輛」編列預算534萬元，為避免浪費公帑，請司法院確實依汰換車輛之購入年、使用年、歷年保養經費及預計購入之車輛規格及價格等，本於撙節原則辦理，並應落實節能減碳政策，優先購置低污染、低耗油之車種，並向立法院司法及法制委員會提出書面報告</w:t>
      </w:r>
      <w:r>
        <w:rPr>
          <w:rFonts w:hint="eastAsia"/>
        </w:rPr>
        <w:t>。</w:t>
      </w:r>
    </w:p>
    <w:p w14:paraId="2C109126" w14:textId="77777777" w:rsidR="00421BB5" w:rsidRPr="00237A6E" w:rsidRDefault="00421BB5" w:rsidP="00421BB5">
      <w:pPr>
        <w:pStyle w:val="2-1"/>
      </w:pPr>
      <w:r w:rsidRPr="00237A6E">
        <w:rPr>
          <w:rFonts w:hint="eastAsia"/>
        </w:rPr>
        <w:t>提案人：陳以信</w:t>
      </w:r>
    </w:p>
    <w:p w14:paraId="129D2DB5" w14:textId="77777777" w:rsidR="00421BB5" w:rsidRPr="00237A6E" w:rsidRDefault="00421BB5" w:rsidP="00421BB5">
      <w:pPr>
        <w:pStyle w:val="2-1"/>
      </w:pPr>
      <w:r w:rsidRPr="00237A6E">
        <w:rPr>
          <w:rFonts w:hint="eastAsia"/>
        </w:rPr>
        <w:t>連署人：游毓蘭 林思銘</w:t>
      </w:r>
    </w:p>
    <w:p w14:paraId="32EF367F" w14:textId="77777777" w:rsidR="00421BB5" w:rsidRPr="00237A6E" w:rsidRDefault="00421BB5" w:rsidP="00421BB5">
      <w:pPr>
        <w:pStyle w:val="0-"/>
        <w:rPr>
          <w:spacing w:val="-20"/>
        </w:rPr>
      </w:pPr>
      <w:r w:rsidRPr="00237A6E">
        <w:rPr>
          <w:rFonts w:hint="eastAsia"/>
        </w:rPr>
        <w:lastRenderedPageBreak/>
        <w:t>(六十七)台灣詐欺案件自106年6.3萬件躍升為110年12.4萬件，不只成為台灣刑事犯罪之首，也成為法律扶助之刑事類型中占比最多的案件，成為法扶資源負擔。唯礙於刑事訴訟程序，詐欺案件之法律扶助對象多為加害者，對於詐欺受害者之民事方面的法律扶助相對較少，形成加害者得到比受害者更多資源的弔詭情形。雖加害者亦須享有司法權利的保障，但仍需考量司法正義及資源分配衡平性。爰請司法院督促財團法人法律扶助基金會自112年度起，增加宣傳場次及強化宣傳內容，適時對詐欺案件被害人提供法律協助。</w:t>
      </w:r>
    </w:p>
    <w:p w14:paraId="1E0A7364" w14:textId="77777777" w:rsidR="00421BB5" w:rsidRPr="00237A6E" w:rsidRDefault="00421BB5" w:rsidP="00421BB5">
      <w:pPr>
        <w:pStyle w:val="2-1"/>
      </w:pPr>
      <w:r w:rsidRPr="00237A6E">
        <w:rPr>
          <w:rFonts w:hint="eastAsia"/>
        </w:rPr>
        <w:t>提案人：陳歐珀</w:t>
      </w:r>
    </w:p>
    <w:p w14:paraId="11F98139" w14:textId="77777777" w:rsidR="00421BB5" w:rsidRPr="00237A6E" w:rsidRDefault="00421BB5" w:rsidP="00421BB5">
      <w:pPr>
        <w:pStyle w:val="2-1"/>
      </w:pPr>
      <w:r w:rsidRPr="00237A6E">
        <w:rPr>
          <w:rFonts w:hint="eastAsia"/>
        </w:rPr>
        <w:t>連署人：游毓蘭 黃世杰</w:t>
      </w:r>
      <w:r w:rsidRPr="00237A6E">
        <w:t xml:space="preserve"> </w:t>
      </w:r>
    </w:p>
    <w:p w14:paraId="2BDF1C88" w14:textId="77777777" w:rsidR="00421BB5" w:rsidRPr="00237A6E" w:rsidRDefault="00421BB5" w:rsidP="00421BB5">
      <w:pPr>
        <w:pStyle w:val="0-"/>
      </w:pPr>
      <w:r w:rsidRPr="00237A6E">
        <w:rPr>
          <w:rFonts w:hint="eastAsia"/>
        </w:rPr>
        <w:t>(六十八)近年司法院編列捐助財團法人法律扶助基金會預算之資料，101至103年度司法院捐助用以挹注基金之數額平均2億元，至104年度及105年度分別減少至1億5,000</w:t>
      </w:r>
      <w:r w:rsidRPr="00237A6E">
        <w:rPr>
          <w:rFonts w:hint="eastAsia"/>
          <w:lang w:eastAsia="zh-HK"/>
        </w:rPr>
        <w:t>萬</w:t>
      </w:r>
      <w:r w:rsidRPr="00237A6E">
        <w:rPr>
          <w:rFonts w:hint="eastAsia"/>
        </w:rPr>
        <w:t>元及6,000萬元，於106、107、108、109及1</w:t>
      </w:r>
      <w:r w:rsidRPr="00237A6E">
        <w:t>12</w:t>
      </w:r>
      <w:r w:rsidRPr="00237A6E">
        <w:rPr>
          <w:rFonts w:hint="eastAsia"/>
        </w:rPr>
        <w:t>年度</w:t>
      </w:r>
      <w:r w:rsidRPr="00237A6E">
        <w:rPr>
          <w:rFonts w:hint="eastAsia"/>
          <w:lang w:eastAsia="zh-HK"/>
        </w:rPr>
        <w:t>均</w:t>
      </w:r>
      <w:r w:rsidRPr="00237A6E">
        <w:rPr>
          <w:rFonts w:hint="eastAsia"/>
        </w:rPr>
        <w:t>僅餘2,000萬元，金額呈逐年降低；其捐助用以挹注基金占捐助總金額之比率，亦同步由101年度之21.61%大幅滑落至11</w:t>
      </w:r>
      <w:r w:rsidRPr="00237A6E">
        <w:t>2</w:t>
      </w:r>
      <w:r w:rsidRPr="00237A6E">
        <w:rPr>
          <w:rFonts w:hint="eastAsia"/>
        </w:rPr>
        <w:t>年度之1.3</w:t>
      </w:r>
      <w:r w:rsidRPr="00237A6E">
        <w:t>8</w:t>
      </w:r>
      <w:r w:rsidRPr="00237A6E">
        <w:rPr>
          <w:rFonts w:hint="eastAsia"/>
        </w:rPr>
        <w:t>%，實不利基金累積至100億元法定目標。爰要求司法院於3個月內</w:t>
      </w:r>
      <w:r>
        <w:rPr>
          <w:rFonts w:hint="eastAsia"/>
        </w:rPr>
        <w:t>提出書面檢討報告。</w:t>
      </w:r>
    </w:p>
    <w:p w14:paraId="2956696B" w14:textId="77777777" w:rsidR="00421BB5" w:rsidRPr="00237A6E" w:rsidRDefault="00421BB5" w:rsidP="00421BB5">
      <w:pPr>
        <w:pStyle w:val="2-1"/>
      </w:pPr>
      <w:r w:rsidRPr="00237A6E">
        <w:rPr>
          <w:rFonts w:hint="eastAsia"/>
        </w:rPr>
        <w:t>提案人：鄭運鵬</w:t>
      </w:r>
      <w:r w:rsidRPr="00237A6E">
        <w:t xml:space="preserve"> </w:t>
      </w:r>
      <w:r w:rsidRPr="00237A6E">
        <w:rPr>
          <w:rFonts w:hint="eastAsia"/>
        </w:rPr>
        <w:t>黃世杰 陳歐珀</w:t>
      </w:r>
    </w:p>
    <w:p w14:paraId="731709CE" w14:textId="77777777" w:rsidR="00421BB5" w:rsidRPr="00237A6E" w:rsidRDefault="00421BB5" w:rsidP="00421BB5">
      <w:pPr>
        <w:pStyle w:val="0-"/>
      </w:pPr>
      <w:r w:rsidRPr="00237A6E">
        <w:rPr>
          <w:rFonts w:hint="eastAsia"/>
        </w:rPr>
        <w:t>(六十九)112年度司法院歲出預算「審判行政」項下「辦理行政訴訟及懲戒行政」編列401萬8千元，司法院應行改善。鑑於我國憲法五權分立之公務員責任法制，公務員經常遭司法懲戒、行政懲處等制度重複調查、立案、決定、後續司法審判等等程序，再加上警察機關向來重獎重懲，諸如大馬女大生命案臺南市政府警察局歸仁分局前分局長楊慶裕、臺北市政府警察局交通警察大隊配賦萬華分隊前警員石明謹均為適例。憲法法庭111年憲判字第9號判決敘明，懲戒懲處併存法制造成雙重程序負擔，相關機關宜檢討修正相關法令。司法院長期就懲戒懲處議題著有研究，並提出不同程度整合的草案，惟行政院人事行政總處、銓敘部、內政部等人事、用人機關基於本位主義不願改變，而造成制度沉痾長年未改，不斷耗費國家行政資源重複調查，也漠視公務員權益。爰由司法院就公務員懲戒法未來修法方向及規劃提出書面報告，送立法院司法及法制委員會。</w:t>
      </w:r>
    </w:p>
    <w:p w14:paraId="55E01F2B" w14:textId="77777777" w:rsidR="00421BB5" w:rsidRPr="00237A6E" w:rsidRDefault="00421BB5" w:rsidP="00421BB5">
      <w:pPr>
        <w:pStyle w:val="2-1"/>
      </w:pPr>
      <w:r w:rsidRPr="00237A6E">
        <w:rPr>
          <w:rFonts w:hint="eastAsia"/>
        </w:rPr>
        <w:t>提案人：游毓蘭</w:t>
      </w:r>
      <w:r w:rsidRPr="00237A6E">
        <w:t xml:space="preserve"> </w:t>
      </w:r>
      <w:r w:rsidRPr="00237A6E">
        <w:rPr>
          <w:rFonts w:hint="eastAsia"/>
        </w:rPr>
        <w:t xml:space="preserve">曾銘宗 林思銘 </w:t>
      </w:r>
    </w:p>
    <w:p w14:paraId="12188DDD" w14:textId="77777777" w:rsidR="00421BB5" w:rsidRPr="00237A6E" w:rsidRDefault="00421BB5" w:rsidP="00421BB5">
      <w:pPr>
        <w:pStyle w:val="0-"/>
      </w:pPr>
      <w:r w:rsidRPr="00237A6E">
        <w:rPr>
          <w:rFonts w:hint="eastAsia"/>
        </w:rPr>
        <w:t>(七十)112年度司法院歲出預算於「一般行政」項下「辦理電腦資訊作業」編列6億2,567萬9千元，較110年度增加9,199萬4千元，增幅達17%。依立法院預算中心評估報告指出，近年司法院資通訊計畫經費增長快速，為有效推動資訊業務，司法院應主動協調所屬單位檢討資訊作業現況，將業務性質相近之</w:t>
      </w:r>
      <w:r w:rsidRPr="00237A6E">
        <w:rPr>
          <w:rFonts w:hint="eastAsia"/>
        </w:rPr>
        <w:lastRenderedPageBreak/>
        <w:t>資訊系統予以整併，或統籌開發共通性資訊系統，以利資訊資源充分運用，爰要求司法院加強控管經費成長規模，於3個月內向立法院司法及法制委員會提出書面</w:t>
      </w:r>
      <w:r>
        <w:rPr>
          <w:rFonts w:hint="eastAsia"/>
        </w:rPr>
        <w:t>檢討報告，俾利撙節支出並提升經費運用效益。</w:t>
      </w:r>
    </w:p>
    <w:p w14:paraId="53071793" w14:textId="77777777" w:rsidR="00421BB5" w:rsidRPr="00237A6E" w:rsidRDefault="00421BB5" w:rsidP="00421BB5">
      <w:pPr>
        <w:pStyle w:val="2-1"/>
      </w:pPr>
      <w:r w:rsidRPr="00237A6E">
        <w:rPr>
          <w:rFonts w:hint="eastAsia"/>
        </w:rPr>
        <w:t>提案人：曾銘宗 林思銘</w:t>
      </w:r>
      <w:r w:rsidRPr="00237A6E">
        <w:t xml:space="preserve"> </w:t>
      </w:r>
      <w:r w:rsidRPr="00237A6E">
        <w:rPr>
          <w:rFonts w:hint="eastAsia"/>
        </w:rPr>
        <w:t>陳以信</w:t>
      </w:r>
    </w:p>
    <w:p w14:paraId="52203665" w14:textId="77777777" w:rsidR="00421BB5" w:rsidRPr="00237A6E" w:rsidRDefault="00421BB5" w:rsidP="00421BB5">
      <w:pPr>
        <w:pStyle w:val="0-"/>
      </w:pPr>
      <w:r w:rsidRPr="00237A6E">
        <w:rPr>
          <w:rFonts w:hint="eastAsia"/>
        </w:rPr>
        <w:t>(七十一)112年度司法院歲出預算於「一般行政」業務計畫項下之「辦理電腦資訊作業」分支計畫，編列「電子訴訟文書服務平台再造計畫」經費1,450萬元。據司法院統計，截至110年6月底止，司法院電子訴訟文書（含線上起訴）服務平台認證系統各類別使用者申請帳號數計1萬3,057個，其中自然人憑證使用者申請帳號23%及當事人申請帳號5%，其餘各類別使用者申請帳號數皆未及1%，爰要求司法院持續加強推廣，於3個月內向立法院司法及法制委員會提出書面</w:t>
      </w:r>
      <w:r>
        <w:rPr>
          <w:rFonts w:hint="eastAsia"/>
        </w:rPr>
        <w:t>檢討報告，以提升使用者之申請意願。</w:t>
      </w:r>
    </w:p>
    <w:p w14:paraId="38D3B249" w14:textId="77777777" w:rsidR="00421BB5" w:rsidRPr="00237A6E" w:rsidRDefault="00421BB5" w:rsidP="00421BB5">
      <w:pPr>
        <w:pStyle w:val="2-1"/>
      </w:pPr>
      <w:r w:rsidRPr="00237A6E">
        <w:rPr>
          <w:rFonts w:hint="eastAsia"/>
        </w:rPr>
        <w:t>提案人：曾銘宗 林思銘</w:t>
      </w:r>
      <w:r w:rsidRPr="00237A6E">
        <w:t xml:space="preserve"> </w:t>
      </w:r>
      <w:r w:rsidRPr="00237A6E">
        <w:rPr>
          <w:rFonts w:hint="eastAsia"/>
        </w:rPr>
        <w:t>陳以信</w:t>
      </w:r>
    </w:p>
    <w:p w14:paraId="2C6B5C15" w14:textId="77777777" w:rsidR="00421BB5" w:rsidRPr="00237A6E" w:rsidRDefault="00421BB5" w:rsidP="00421BB5">
      <w:pPr>
        <w:pStyle w:val="0-"/>
      </w:pPr>
      <w:r w:rsidRPr="00237A6E">
        <w:rPr>
          <w:rFonts w:hint="eastAsia"/>
        </w:rPr>
        <w:t>(七十二)據瞭解臺灣桃園地方法院3度通知101歲失智症患者擔任國民法官，依國民法官法規定，於選任國民法官前，需製作3份名冊，並通知列名於上之國民，雖臺灣桃園地方法院無違法之處，惟審核小組應於第1次或第2次通知國民時，即剔除年滿70歲以上，或有重大疾病致擔任國民法官有困難者，顯示相關程序規定尚有優化空間，爰要求司法院積極檢討國民法官選任程序，於1個月內向立法院司法及法制委員會提出書面</w:t>
      </w:r>
      <w:r>
        <w:rPr>
          <w:rFonts w:hint="eastAsia"/>
        </w:rPr>
        <w:t>檢討報告，俾利於國民法官制度運作順暢。</w:t>
      </w:r>
    </w:p>
    <w:p w14:paraId="2DB868FF" w14:textId="77777777" w:rsidR="00421BB5" w:rsidRPr="00237A6E" w:rsidRDefault="00421BB5" w:rsidP="00421BB5">
      <w:pPr>
        <w:pStyle w:val="2-1"/>
      </w:pPr>
      <w:r w:rsidRPr="00237A6E">
        <w:rPr>
          <w:rFonts w:hint="eastAsia"/>
        </w:rPr>
        <w:t>提案人：曾銘宗 林思銘</w:t>
      </w:r>
      <w:r w:rsidRPr="00237A6E">
        <w:t xml:space="preserve"> </w:t>
      </w:r>
      <w:r w:rsidRPr="00237A6E">
        <w:rPr>
          <w:rFonts w:hint="eastAsia"/>
        </w:rPr>
        <w:t>陳以信</w:t>
      </w:r>
    </w:p>
    <w:p w14:paraId="16A0D089" w14:textId="77777777" w:rsidR="00421BB5" w:rsidRPr="00237A6E" w:rsidRDefault="00421BB5" w:rsidP="00421BB5">
      <w:pPr>
        <w:pStyle w:val="0-"/>
      </w:pPr>
      <w:r w:rsidRPr="00237A6E">
        <w:rPr>
          <w:rFonts w:hint="eastAsia"/>
        </w:rPr>
        <w:t>(七十三)查國際審查委員會（IRC）就我國施行身心障礙者權利公約（CRPD）所提出之第2次國家報告結論性意見第66點，委員會建議司法院應：</w:t>
      </w:r>
    </w:p>
    <w:p w14:paraId="326CDFB4" w14:textId="77777777" w:rsidR="00421BB5" w:rsidRPr="00237A6E" w:rsidRDefault="00421BB5" w:rsidP="00421BB5">
      <w:pPr>
        <w:pStyle w:val="0-"/>
        <w:ind w:leftChars="444" w:left="1357" w:hangingChars="104" w:hanging="291"/>
      </w:pPr>
      <w:r w:rsidRPr="00237A6E">
        <w:t>1</w:t>
      </w:r>
      <w:r w:rsidRPr="00237A6E">
        <w:rPr>
          <w:rFonts w:hint="eastAsia"/>
        </w:rPr>
        <w:t>.諮詢心智障礙者、神經多樣性者和心理社會障礙者等代表團體的意見，以瞭解他們使用司法系統的經驗，並發布符合《障礙者近用司法之國際原則與指引》的指引，解決身心障礙者在近用司法的具體不利條件。該指引應列出法院工作人員和法官可以採取的實際方法，以確保身心障礙者在與其他人平等的基礎上近用司法。</w:t>
      </w:r>
    </w:p>
    <w:p w14:paraId="15CEBE41" w14:textId="77777777" w:rsidR="00421BB5" w:rsidRPr="00237A6E" w:rsidRDefault="00421BB5" w:rsidP="00421BB5">
      <w:pPr>
        <w:pStyle w:val="0-"/>
        <w:ind w:leftChars="444" w:left="1357" w:hangingChars="104" w:hanging="291"/>
      </w:pPr>
      <w:r w:rsidRPr="00237A6E">
        <w:t>2.</w:t>
      </w:r>
      <w:r w:rsidRPr="00237A6E">
        <w:rPr>
          <w:rFonts w:hint="eastAsia"/>
        </w:rPr>
        <w:t>確保法官學院為臺灣的每位法官和法院工作人員提供有關該指引的培訓，且此種培訓應該由包括身心障礙者在內的專家提供。</w:t>
      </w:r>
    </w:p>
    <w:p w14:paraId="3765907E" w14:textId="77777777" w:rsidR="00421BB5" w:rsidRPr="00237A6E" w:rsidRDefault="00421BB5" w:rsidP="00421BB5">
      <w:pPr>
        <w:pStyle w:val="0-"/>
        <w:ind w:leftChars="444" w:left="1357" w:hangingChars="104" w:hanging="291"/>
      </w:pPr>
      <w:r w:rsidRPr="00237A6E">
        <w:t>3.</w:t>
      </w:r>
      <w:r w:rsidRPr="00237A6E">
        <w:rPr>
          <w:rFonts w:hint="eastAsia"/>
        </w:rPr>
        <w:t>建立一個由各種身心障礙者團體代表以及無障礙專家組成的諮詢機構，以監督無障礙措施的實施，並提出後續改進的建議。</w:t>
      </w:r>
    </w:p>
    <w:p w14:paraId="4E64F32F" w14:textId="77777777" w:rsidR="00421BB5" w:rsidRPr="00237A6E" w:rsidRDefault="00421BB5" w:rsidP="00421BB5">
      <w:pPr>
        <w:pStyle w:val="0-"/>
        <w:ind w:leftChars="444" w:left="1357" w:hangingChars="104" w:hanging="291"/>
      </w:pPr>
      <w:r w:rsidRPr="00237A6E">
        <w:t>4</w:t>
      </w:r>
      <w:r w:rsidRPr="00237A6E">
        <w:rPr>
          <w:rFonts w:hint="eastAsia"/>
        </w:rPr>
        <w:t>.確保身心障礙者進出法院時能獲得交通協助服務。</w:t>
      </w:r>
    </w:p>
    <w:p w14:paraId="11D241DF" w14:textId="77777777" w:rsidR="00421BB5" w:rsidRPr="00237A6E" w:rsidRDefault="00421BB5" w:rsidP="00421BB5">
      <w:pPr>
        <w:pStyle w:val="0-2"/>
      </w:pPr>
      <w:r w:rsidRPr="00237A6E">
        <w:rPr>
          <w:rFonts w:hint="eastAsia"/>
        </w:rPr>
        <w:lastRenderedPageBreak/>
        <w:t>為落實身心障礙者權利公約之精神，爰要求司法院應就國際審查委員會建議之事項，訂定</w:t>
      </w:r>
      <w:r>
        <w:rPr>
          <w:rFonts w:hint="eastAsia"/>
        </w:rPr>
        <w:t>執行計畫，並向立法院司法及法制委員會與提案委員提出書面報告。</w:t>
      </w:r>
    </w:p>
    <w:p w14:paraId="4A35BBC9" w14:textId="77777777" w:rsidR="00421BB5" w:rsidRPr="00237A6E" w:rsidRDefault="00421BB5" w:rsidP="00421BB5">
      <w:pPr>
        <w:pStyle w:val="2-1"/>
      </w:pPr>
      <w:r w:rsidRPr="00237A6E">
        <w:rPr>
          <w:rFonts w:hint="eastAsia"/>
        </w:rPr>
        <w:t>提案人：江永昌</w:t>
      </w:r>
      <w:r w:rsidRPr="00237A6E">
        <w:t xml:space="preserve"> </w:t>
      </w:r>
      <w:r w:rsidRPr="00237A6E">
        <w:rPr>
          <w:rFonts w:hint="eastAsia"/>
        </w:rPr>
        <w:t>黃世杰 游毓蘭 吳玉琴</w:t>
      </w:r>
    </w:p>
    <w:p w14:paraId="0A71FB91" w14:textId="77777777" w:rsidR="00421BB5" w:rsidRPr="00237A6E" w:rsidRDefault="00421BB5" w:rsidP="00421BB5">
      <w:pPr>
        <w:pStyle w:val="0-"/>
      </w:pPr>
      <w:r w:rsidRPr="00237A6E">
        <w:rPr>
          <w:rFonts w:hint="eastAsia"/>
        </w:rPr>
        <w:t>(七十四)身心障礙者權益保障法第84條第1項明定：「法院或檢察機關於訴訟程序實施過程，身心障礙者涉訟或須作證時，應就其障礙類別之特別需要，提供必要之協助。」；惟國際審查委員會（IRC）就我國施行身心障礙者權利公約（CRPD）所提出之第2次國家報告結論性意見，提及司法院並未充分考慮心智障礙者、神經多樣性者，包括自閉症者或心理社會障礙者在司法系統中的需求，亦未訂定相關措施來解決他們在近用司法方面所面臨的不利處境。</w:t>
      </w:r>
    </w:p>
    <w:p w14:paraId="51CCB295" w14:textId="77777777" w:rsidR="00421BB5" w:rsidRPr="00237A6E" w:rsidRDefault="00421BB5" w:rsidP="00421BB5">
      <w:pPr>
        <w:pStyle w:val="0-2"/>
      </w:pPr>
      <w:r w:rsidRPr="00237A6E">
        <w:rPr>
          <w:rFonts w:hint="eastAsia"/>
        </w:rPr>
        <w:t>再者，無論身心障礙者權益保障法或刑事訴訟法，有明文規定須有輔佐人陪同在場者，僅限於被告或犯罪嫌疑人，如被害人為身心障礙者，得否擁有輔佐人陪同在場之權利，猶未可知。</w:t>
      </w:r>
    </w:p>
    <w:p w14:paraId="34EBCDDB" w14:textId="77777777" w:rsidR="00421BB5" w:rsidRPr="00237A6E" w:rsidRDefault="00421BB5" w:rsidP="00421BB5">
      <w:pPr>
        <w:pStyle w:val="0-2"/>
      </w:pPr>
      <w:r w:rsidRPr="00237A6E">
        <w:rPr>
          <w:rFonts w:hint="eastAsia"/>
        </w:rPr>
        <w:t>為強化身心障礙者之司法近用，落實犯罪被害人之權利保障，爰要求司法院應就身心障礙之被害人於司法程序之權利保障，邀集學者專家研議精進辦法，以確保身心障礙者得與其他人在平等的基礎</w:t>
      </w:r>
      <w:r>
        <w:rPr>
          <w:rFonts w:hint="eastAsia"/>
        </w:rPr>
        <w:t>上近用司法，並向立法院司法及法制委員會與提案委員提出書面報告。</w:t>
      </w:r>
    </w:p>
    <w:p w14:paraId="55450839" w14:textId="77777777" w:rsidR="00421BB5" w:rsidRPr="00237A6E" w:rsidRDefault="00421BB5" w:rsidP="00421BB5">
      <w:pPr>
        <w:pStyle w:val="2-1"/>
      </w:pPr>
      <w:r w:rsidRPr="00237A6E">
        <w:rPr>
          <w:rFonts w:hint="eastAsia"/>
        </w:rPr>
        <w:t>提案人：江永昌</w:t>
      </w:r>
      <w:r w:rsidRPr="00237A6E">
        <w:t xml:space="preserve"> </w:t>
      </w:r>
      <w:r w:rsidRPr="00237A6E">
        <w:rPr>
          <w:rFonts w:hint="eastAsia"/>
        </w:rPr>
        <w:t>黃世杰 游毓蘭 吳玉琴</w:t>
      </w:r>
    </w:p>
    <w:p w14:paraId="54595F5A" w14:textId="77777777" w:rsidR="00421BB5" w:rsidRPr="00237A6E" w:rsidRDefault="00421BB5" w:rsidP="00421BB5">
      <w:pPr>
        <w:pStyle w:val="3-1"/>
        <w:adjustRightInd w:val="0"/>
        <w:snapToGrid w:val="0"/>
        <w:ind w:left="1600" w:hanging="1120"/>
      </w:pPr>
      <w:r w:rsidRPr="00237A6E">
        <w:t>第2項</w:t>
      </w:r>
      <w:r w:rsidRPr="00237A6E">
        <w:rPr>
          <w:rFonts w:hint="eastAsia"/>
        </w:rPr>
        <w:t xml:space="preserve">　</w:t>
      </w:r>
      <w:r w:rsidRPr="00237A6E">
        <w:t>最高法院</w:t>
      </w:r>
      <w:r w:rsidRPr="00237A6E">
        <w:rPr>
          <w:rFonts w:hint="eastAsia"/>
          <w:color w:val="000000"/>
        </w:rPr>
        <w:t>5億6,162萬7千元</w:t>
      </w:r>
      <w:r w:rsidRPr="00237A6E">
        <w:t>，照列。</w:t>
      </w:r>
    </w:p>
    <w:p w14:paraId="03ABE813" w14:textId="77777777" w:rsidR="00421BB5" w:rsidRPr="00237A6E" w:rsidRDefault="00421BB5" w:rsidP="00421BB5">
      <w:pPr>
        <w:pStyle w:val="3-1"/>
        <w:adjustRightInd w:val="0"/>
        <w:snapToGrid w:val="0"/>
        <w:ind w:left="1600" w:hanging="1120"/>
      </w:pPr>
      <w:r w:rsidRPr="00237A6E">
        <w:t>第3項</w:t>
      </w:r>
      <w:r w:rsidRPr="00237A6E">
        <w:rPr>
          <w:rFonts w:hint="eastAsia"/>
        </w:rPr>
        <w:t xml:space="preserve">　</w:t>
      </w:r>
      <w:r w:rsidRPr="00237A6E">
        <w:t>最高行政法院</w:t>
      </w:r>
      <w:r w:rsidRPr="00237A6E">
        <w:rPr>
          <w:rFonts w:hint="eastAsia"/>
          <w:color w:val="000000"/>
        </w:rPr>
        <w:t>1億5,</w:t>
      </w:r>
      <w:r w:rsidRPr="00237A6E">
        <w:rPr>
          <w:color w:val="000000"/>
        </w:rPr>
        <w:t>660</w:t>
      </w:r>
      <w:r w:rsidRPr="00237A6E">
        <w:rPr>
          <w:rFonts w:hint="eastAsia"/>
          <w:color w:val="000000"/>
        </w:rPr>
        <w:t>萬4千元</w:t>
      </w:r>
      <w:r w:rsidRPr="00237A6E">
        <w:t>，照列。</w:t>
      </w:r>
    </w:p>
    <w:p w14:paraId="74F2D559" w14:textId="77777777" w:rsidR="00421BB5" w:rsidRPr="00237A6E" w:rsidRDefault="00421BB5" w:rsidP="00421BB5">
      <w:pPr>
        <w:pStyle w:val="3-1"/>
        <w:adjustRightInd w:val="0"/>
        <w:snapToGrid w:val="0"/>
        <w:ind w:left="1600" w:hanging="1120"/>
      </w:pPr>
      <w:r w:rsidRPr="00237A6E">
        <w:t>第4項</w:t>
      </w:r>
      <w:r w:rsidRPr="00237A6E">
        <w:rPr>
          <w:rFonts w:hint="eastAsia"/>
        </w:rPr>
        <w:t xml:space="preserve">　</w:t>
      </w:r>
      <w:r w:rsidRPr="00237A6E">
        <w:t>臺北高等行政法院</w:t>
      </w:r>
      <w:r w:rsidRPr="00237A6E">
        <w:rPr>
          <w:rFonts w:hint="eastAsia"/>
          <w:color w:val="000000"/>
        </w:rPr>
        <w:t>4億2,484萬5千元</w:t>
      </w:r>
      <w:r w:rsidRPr="00237A6E">
        <w:t>，照列。</w:t>
      </w:r>
    </w:p>
    <w:p w14:paraId="22EFBD3B" w14:textId="77777777" w:rsidR="00421BB5" w:rsidRPr="00237A6E" w:rsidRDefault="00421BB5" w:rsidP="00421BB5">
      <w:pPr>
        <w:pStyle w:val="3-1"/>
        <w:adjustRightInd w:val="0"/>
        <w:snapToGrid w:val="0"/>
        <w:ind w:left="1600" w:hanging="1120"/>
      </w:pPr>
      <w:r w:rsidRPr="00237A6E">
        <w:t>第5項</w:t>
      </w:r>
      <w:r w:rsidRPr="00237A6E">
        <w:rPr>
          <w:rFonts w:hint="eastAsia"/>
        </w:rPr>
        <w:t xml:space="preserve">　</w:t>
      </w:r>
      <w:r w:rsidRPr="00237A6E">
        <w:t>臺中高等行政法院</w:t>
      </w:r>
      <w:r w:rsidRPr="00237A6E">
        <w:rPr>
          <w:rFonts w:hint="eastAsia"/>
          <w:color w:val="000000"/>
        </w:rPr>
        <w:t>1億6,471萬1千元</w:t>
      </w:r>
      <w:r w:rsidRPr="00237A6E">
        <w:t>，照列。</w:t>
      </w:r>
    </w:p>
    <w:p w14:paraId="623B4AB0" w14:textId="77777777" w:rsidR="00421BB5" w:rsidRPr="00237A6E" w:rsidRDefault="00421BB5" w:rsidP="00421BB5">
      <w:pPr>
        <w:pStyle w:val="3-1"/>
        <w:adjustRightInd w:val="0"/>
        <w:snapToGrid w:val="0"/>
        <w:ind w:left="1600" w:hanging="1120"/>
      </w:pPr>
      <w:r w:rsidRPr="00237A6E">
        <w:t>第6項</w:t>
      </w:r>
      <w:r w:rsidRPr="00237A6E">
        <w:rPr>
          <w:rFonts w:hint="eastAsia"/>
        </w:rPr>
        <w:t xml:space="preserve">　</w:t>
      </w:r>
      <w:r w:rsidRPr="00237A6E">
        <w:t>高雄高等行政法院</w:t>
      </w:r>
      <w:r w:rsidRPr="00237A6E">
        <w:rPr>
          <w:rFonts w:hint="eastAsia"/>
          <w:color w:val="000000"/>
        </w:rPr>
        <w:t>1億9,317萬元</w:t>
      </w:r>
      <w:r w:rsidRPr="00237A6E">
        <w:t>，照列。</w:t>
      </w:r>
    </w:p>
    <w:p w14:paraId="17AD1C01" w14:textId="77777777" w:rsidR="00421BB5" w:rsidRPr="00237A6E" w:rsidRDefault="00421BB5" w:rsidP="00421BB5">
      <w:pPr>
        <w:pStyle w:val="3-1"/>
        <w:adjustRightInd w:val="0"/>
        <w:snapToGrid w:val="0"/>
        <w:ind w:left="1600" w:hanging="1120"/>
      </w:pPr>
      <w:r w:rsidRPr="00237A6E">
        <w:t>第7項</w:t>
      </w:r>
      <w:r w:rsidRPr="00237A6E">
        <w:rPr>
          <w:rFonts w:hint="eastAsia"/>
        </w:rPr>
        <w:t xml:space="preserve">　</w:t>
      </w:r>
      <w:r w:rsidRPr="00237A6E">
        <w:t>懲戒法院</w:t>
      </w:r>
      <w:r w:rsidRPr="00237A6E">
        <w:rPr>
          <w:rFonts w:hint="eastAsia"/>
          <w:color w:val="000000"/>
        </w:rPr>
        <w:t>1億</w:t>
      </w:r>
      <w:r w:rsidRPr="00237A6E">
        <w:rPr>
          <w:color w:val="000000"/>
        </w:rPr>
        <w:t>0</w:t>
      </w:r>
      <w:r w:rsidRPr="00237A6E">
        <w:rPr>
          <w:rFonts w:hint="eastAsia"/>
          <w:color w:val="000000"/>
        </w:rPr>
        <w:t>,</w:t>
      </w:r>
      <w:r w:rsidRPr="00237A6E">
        <w:rPr>
          <w:color w:val="000000"/>
        </w:rPr>
        <w:t>789</w:t>
      </w:r>
      <w:r w:rsidRPr="00237A6E">
        <w:rPr>
          <w:rFonts w:hint="eastAsia"/>
          <w:color w:val="000000"/>
        </w:rPr>
        <w:t>萬7千</w:t>
      </w:r>
      <w:r w:rsidRPr="00237A6E">
        <w:t>元，照列。</w:t>
      </w:r>
    </w:p>
    <w:p w14:paraId="67181293" w14:textId="77777777" w:rsidR="00421BB5" w:rsidRPr="00237A6E" w:rsidRDefault="00421BB5" w:rsidP="00421BB5">
      <w:pPr>
        <w:kinsoku w:val="0"/>
        <w:overflowPunct w:val="0"/>
        <w:spacing w:line="360" w:lineRule="exact"/>
        <w:ind w:leftChars="200" w:left="1600" w:hangingChars="400" w:hanging="1120"/>
        <w:jc w:val="both"/>
        <w:rPr>
          <w:rFonts w:ascii="標楷體" w:eastAsia="標楷體" w:hAnsi="標楷體"/>
          <w:color w:val="000000"/>
          <w:sz w:val="28"/>
          <w:szCs w:val="28"/>
        </w:rPr>
      </w:pPr>
      <w:r w:rsidRPr="00237A6E">
        <w:rPr>
          <w:rFonts w:ascii="標楷體" w:eastAsia="標楷體" w:hAnsi="標楷體"/>
          <w:color w:val="000000"/>
          <w:sz w:val="28"/>
          <w:szCs w:val="28"/>
        </w:rPr>
        <w:t>第8項</w:t>
      </w:r>
      <w:r w:rsidRPr="00237A6E">
        <w:rPr>
          <w:rFonts w:ascii="標楷體" w:eastAsia="標楷體" w:hAnsi="標楷體" w:hint="eastAsia"/>
          <w:color w:val="000000"/>
          <w:sz w:val="28"/>
          <w:szCs w:val="28"/>
        </w:rPr>
        <w:t xml:space="preserve">　</w:t>
      </w:r>
      <w:r w:rsidRPr="00237A6E">
        <w:rPr>
          <w:rFonts w:ascii="標楷體" w:eastAsia="標楷體" w:hAnsi="標楷體"/>
          <w:color w:val="000000"/>
          <w:sz w:val="28"/>
          <w:szCs w:val="28"/>
        </w:rPr>
        <w:t>法官學院</w:t>
      </w:r>
      <w:r w:rsidRPr="00237A6E">
        <w:rPr>
          <w:rFonts w:ascii="標楷體" w:eastAsia="標楷體" w:hAnsi="標楷體" w:hint="eastAsia"/>
          <w:color w:val="000000"/>
          <w:sz w:val="28"/>
          <w:szCs w:val="28"/>
        </w:rPr>
        <w:t>1億8,073萬8千</w:t>
      </w:r>
      <w:r w:rsidRPr="00237A6E">
        <w:rPr>
          <w:rFonts w:ascii="標楷體" w:eastAsia="標楷體" w:hAnsi="標楷體"/>
          <w:color w:val="000000"/>
          <w:sz w:val="28"/>
          <w:szCs w:val="28"/>
        </w:rPr>
        <w:t>元，照列。</w:t>
      </w:r>
    </w:p>
    <w:p w14:paraId="218D84CB" w14:textId="77777777" w:rsidR="00421BB5" w:rsidRPr="00237A6E" w:rsidRDefault="00421BB5" w:rsidP="00421BB5">
      <w:pPr>
        <w:kinsoku w:val="0"/>
        <w:overflowPunct w:val="0"/>
        <w:spacing w:line="360" w:lineRule="exact"/>
        <w:ind w:leftChars="200" w:left="1601" w:hangingChars="400" w:hanging="1121"/>
        <w:jc w:val="both"/>
        <w:rPr>
          <w:rFonts w:ascii="標楷體" w:eastAsia="標楷體" w:hAnsi="標楷體"/>
          <w:b/>
          <w:kern w:val="0"/>
          <w:sz w:val="28"/>
          <w:szCs w:val="28"/>
        </w:rPr>
      </w:pPr>
      <w:r w:rsidRPr="00237A6E">
        <w:rPr>
          <w:rFonts w:ascii="標楷體" w:eastAsia="標楷體" w:hAnsi="標楷體" w:hint="eastAsia"/>
          <w:b/>
          <w:kern w:val="0"/>
          <w:sz w:val="28"/>
          <w:szCs w:val="28"/>
        </w:rPr>
        <w:t>本項通過決議3項：</w:t>
      </w:r>
    </w:p>
    <w:p w14:paraId="4D2C2F18" w14:textId="77777777" w:rsidR="00421BB5" w:rsidRPr="00237A6E" w:rsidRDefault="00421BB5" w:rsidP="00421BB5">
      <w:pPr>
        <w:pStyle w:val="0-"/>
        <w:ind w:rightChars="-21" w:right="-50"/>
      </w:pPr>
      <w:r w:rsidRPr="00237A6E">
        <w:rPr>
          <w:rFonts w:hint="eastAsia"/>
        </w:rPr>
        <w:t>(一)112年度法官學院歲出預算第1目「一般行政」編列</w:t>
      </w:r>
      <w:r w:rsidRPr="00237A6E">
        <w:rPr>
          <w:rFonts w:hint="eastAsia"/>
          <w:color w:val="000000"/>
        </w:rPr>
        <w:t>1億</w:t>
      </w:r>
      <w:r w:rsidRPr="00237A6E">
        <w:rPr>
          <w:rFonts w:hint="eastAsia"/>
        </w:rPr>
        <w:t>1,893萬7千元，凍結100萬元，俟向立法院司法及法制委員會提出書面報告後，始得動支。</w:t>
      </w:r>
    </w:p>
    <w:p w14:paraId="33179345" w14:textId="77777777" w:rsidR="00421BB5" w:rsidRPr="00237A6E" w:rsidRDefault="00421BB5" w:rsidP="00421BB5">
      <w:pPr>
        <w:pStyle w:val="2-1"/>
        <w:rPr>
          <w:shd w:val="clear" w:color="auto" w:fill="FFFFFF"/>
        </w:rPr>
      </w:pPr>
      <w:r w:rsidRPr="00237A6E">
        <w:rPr>
          <w:rFonts w:hint="eastAsia"/>
          <w:shd w:val="clear" w:color="auto" w:fill="FFFFFF"/>
        </w:rPr>
        <w:t>提案人：陳以信</w:t>
      </w:r>
      <w:r w:rsidRPr="00237A6E">
        <w:rPr>
          <w:shd w:val="clear" w:color="auto" w:fill="FFFFFF"/>
        </w:rPr>
        <w:t xml:space="preserve"> </w:t>
      </w:r>
    </w:p>
    <w:p w14:paraId="2A7998F5" w14:textId="77777777" w:rsidR="00421BB5" w:rsidRPr="00237A6E" w:rsidRDefault="00421BB5" w:rsidP="00421BB5">
      <w:pPr>
        <w:pStyle w:val="2-1"/>
        <w:rPr>
          <w:shd w:val="clear" w:color="auto" w:fill="FFFFFF"/>
        </w:rPr>
      </w:pPr>
      <w:r w:rsidRPr="00237A6E">
        <w:rPr>
          <w:rFonts w:hint="eastAsia"/>
          <w:shd w:val="clear" w:color="auto" w:fill="FFFFFF"/>
        </w:rPr>
        <w:t>連署人：游毓蘭 林思銘</w:t>
      </w:r>
    </w:p>
    <w:p w14:paraId="15EDAF25" w14:textId="77777777" w:rsidR="00421BB5" w:rsidRPr="00237A6E" w:rsidRDefault="00421BB5" w:rsidP="00421BB5">
      <w:pPr>
        <w:pStyle w:val="0-"/>
        <w:ind w:rightChars="-21" w:right="-50"/>
      </w:pPr>
      <w:r w:rsidRPr="00237A6E">
        <w:rPr>
          <w:rFonts w:hint="eastAsia"/>
        </w:rPr>
        <w:t>(二)法官學院於111年度法定預算書中編列「研習業務」經費6,590萬9千元。經查行政院主計總處111年度總預算上半年度結算報告，法官學院「研習業務」工作計畫分配預算數達2,432萬7千元，惟實際執行數僅1,463萬1,862元，執行率僅60.15%。若依此執行率推估，111年度所編列之6,590萬9千元預算將</w:t>
      </w:r>
      <w:r w:rsidRPr="00237A6E">
        <w:rPr>
          <w:rFonts w:hint="eastAsia"/>
        </w:rPr>
        <w:lastRenderedPageBreak/>
        <w:t>有約2,636萬元之賸餘。</w:t>
      </w:r>
    </w:p>
    <w:p w14:paraId="5A64E480" w14:textId="77777777" w:rsidR="00421BB5" w:rsidRPr="00237A6E" w:rsidRDefault="00421BB5" w:rsidP="00421BB5">
      <w:pPr>
        <w:pStyle w:val="0-2"/>
      </w:pPr>
      <w:r w:rsidRPr="00237A6E">
        <w:rPr>
          <w:rFonts w:hint="eastAsia"/>
        </w:rPr>
        <w:t>為撙節政府支出、妥善運用政府資源，爰請法官學院於112年度加強改善研習業務計畫執行情形。</w:t>
      </w:r>
    </w:p>
    <w:p w14:paraId="6B9ED5F8" w14:textId="77777777" w:rsidR="00421BB5" w:rsidRPr="00237A6E" w:rsidRDefault="00421BB5" w:rsidP="00421BB5">
      <w:pPr>
        <w:pStyle w:val="2-1"/>
        <w:rPr>
          <w:shd w:val="clear" w:color="auto" w:fill="FFFFFF"/>
        </w:rPr>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 xml:space="preserve">陳歐珀 黃世杰 </w:t>
      </w:r>
    </w:p>
    <w:p w14:paraId="47837245" w14:textId="77777777" w:rsidR="00421BB5" w:rsidRPr="00237A6E" w:rsidRDefault="00421BB5" w:rsidP="00421BB5">
      <w:pPr>
        <w:pStyle w:val="0-"/>
      </w:pPr>
      <w:r w:rsidRPr="00237A6E">
        <w:rPr>
          <w:rFonts w:hint="eastAsia"/>
        </w:rPr>
        <w:t>(三)查國際審查委員會（IRC）就我國施行身心障礙者權利公約（CRPD）所提出之第2次國家報告結論性意見，其中第66點建議司法院：應確保法官學院為臺灣的每位法官和法院工作人員提供有關「障礙者近用司法之國際原則與指引」之培訓，且此種培訓應該由包括身心障礙者在內的專家提供。</w:t>
      </w:r>
    </w:p>
    <w:p w14:paraId="18C39F8E" w14:textId="77777777" w:rsidR="00421BB5" w:rsidRPr="00237A6E" w:rsidRDefault="00421BB5" w:rsidP="00421BB5">
      <w:pPr>
        <w:pStyle w:val="0-2"/>
      </w:pPr>
      <w:r w:rsidRPr="00237A6E">
        <w:rPr>
          <w:rFonts w:hint="eastAsia"/>
        </w:rPr>
        <w:t>為確保身心障礙者得與其他人在平等的基礎上近用司法，肩負法官及其他司法人員在職進修及研習訓練的法官學院，更應強化相關指引之培訓。</w:t>
      </w:r>
    </w:p>
    <w:p w14:paraId="23CCBFF0" w14:textId="77777777" w:rsidR="00421BB5" w:rsidRPr="00237A6E" w:rsidRDefault="00421BB5" w:rsidP="00421BB5">
      <w:pPr>
        <w:pStyle w:val="0-2"/>
      </w:pPr>
      <w:r w:rsidRPr="00237A6E">
        <w:rPr>
          <w:rFonts w:hint="eastAsia"/>
        </w:rPr>
        <w:t>請法官學院諮詢心智障礙者、神經多樣性者和心理社會障礙者等代表團體之意見，瞭解其使用司法系統之經驗，研議障礙者近用司法之指引暨該指引之培訓課程規劃，並向立法院司法及法制委員會與提案委員提出書面報告。</w:t>
      </w:r>
    </w:p>
    <w:p w14:paraId="00EC1A41" w14:textId="77777777" w:rsidR="00421BB5" w:rsidRPr="00237A6E" w:rsidRDefault="00421BB5" w:rsidP="00421BB5">
      <w:pPr>
        <w:pStyle w:val="0-2"/>
      </w:pPr>
      <w:r w:rsidRPr="00237A6E">
        <w:rPr>
          <w:rFonts w:hint="eastAsia"/>
        </w:rPr>
        <w:t>提案人：江永昌</w:t>
      </w:r>
      <w:r w:rsidRPr="00237A6E">
        <w:t xml:space="preserve"> </w:t>
      </w:r>
      <w:r w:rsidRPr="00237A6E">
        <w:rPr>
          <w:rFonts w:hint="eastAsia"/>
        </w:rPr>
        <w:t>黃世杰 游毓蘭 吳玉琴</w:t>
      </w:r>
    </w:p>
    <w:p w14:paraId="7CB7EEB3"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第9項</w:t>
      </w:r>
      <w:r w:rsidRPr="00237A6E">
        <w:rPr>
          <w:rFonts w:hint="eastAsia"/>
          <w:shd w:val="clear" w:color="auto" w:fill="FFFFFF"/>
        </w:rPr>
        <w:t xml:space="preserve">　</w:t>
      </w:r>
      <w:r w:rsidRPr="00237A6E">
        <w:rPr>
          <w:shd w:val="clear" w:color="auto" w:fill="FFFFFF"/>
        </w:rPr>
        <w:t>智慧財產</w:t>
      </w:r>
      <w:r w:rsidRPr="00237A6E">
        <w:rPr>
          <w:rFonts w:hint="eastAsia"/>
          <w:shd w:val="clear" w:color="auto" w:fill="FFFFFF"/>
        </w:rPr>
        <w:t>及商業</w:t>
      </w:r>
      <w:r w:rsidRPr="00237A6E">
        <w:rPr>
          <w:shd w:val="clear" w:color="auto" w:fill="FFFFFF"/>
        </w:rPr>
        <w:t>法院</w:t>
      </w:r>
      <w:r w:rsidRPr="00237A6E">
        <w:rPr>
          <w:rFonts w:hint="eastAsia"/>
          <w:color w:val="000000"/>
          <w:shd w:val="clear" w:color="auto" w:fill="FFFFFF"/>
        </w:rPr>
        <w:t>3億0,812萬5千元</w:t>
      </w:r>
      <w:r w:rsidRPr="00237A6E">
        <w:rPr>
          <w:shd w:val="clear" w:color="auto" w:fill="FFFFFF"/>
        </w:rPr>
        <w:t>，照列。</w:t>
      </w:r>
    </w:p>
    <w:p w14:paraId="374D46FC" w14:textId="77777777" w:rsidR="00421BB5" w:rsidRPr="00237A6E" w:rsidRDefault="00421BB5" w:rsidP="00421BB5">
      <w:pPr>
        <w:pStyle w:val="3-1"/>
        <w:adjustRightInd w:val="0"/>
        <w:snapToGrid w:val="0"/>
        <w:ind w:left="1600" w:hanging="1120"/>
        <w:rPr>
          <w:shd w:val="clear" w:color="auto" w:fill="FFFFFF"/>
        </w:rPr>
      </w:pPr>
      <w:r w:rsidRPr="00237A6E">
        <w:rPr>
          <w:shd w:val="clear" w:color="auto" w:fill="FFFFFF"/>
        </w:rPr>
        <w:t>第10項</w:t>
      </w:r>
      <w:r w:rsidRPr="00237A6E">
        <w:rPr>
          <w:rFonts w:hint="eastAsia"/>
          <w:shd w:val="clear" w:color="auto" w:fill="FFFFFF"/>
        </w:rPr>
        <w:t xml:space="preserve">　</w:t>
      </w:r>
      <w:r w:rsidRPr="00237A6E">
        <w:rPr>
          <w:shd w:val="clear" w:color="auto" w:fill="FFFFFF"/>
        </w:rPr>
        <w:t>臺灣高等法院</w:t>
      </w:r>
      <w:r w:rsidRPr="00237A6E">
        <w:rPr>
          <w:rFonts w:hint="eastAsia"/>
          <w:color w:val="000000"/>
          <w:shd w:val="clear" w:color="auto" w:fill="FFFFFF"/>
        </w:rPr>
        <w:t>21億3,045萬3千元</w:t>
      </w:r>
      <w:r w:rsidRPr="00237A6E">
        <w:rPr>
          <w:shd w:val="clear" w:color="auto" w:fill="FFFFFF"/>
        </w:rPr>
        <w:t>，照列。</w:t>
      </w:r>
    </w:p>
    <w:p w14:paraId="2AA8FD9A" w14:textId="77777777" w:rsidR="00421BB5" w:rsidRPr="00237A6E" w:rsidRDefault="00421BB5" w:rsidP="00421BB5">
      <w:pPr>
        <w:pStyle w:val="3-1"/>
        <w:adjustRightInd w:val="0"/>
        <w:snapToGrid w:val="0"/>
        <w:ind w:left="1600" w:hanging="1120"/>
      </w:pPr>
      <w:r w:rsidRPr="00237A6E">
        <w:t>第11項</w:t>
      </w:r>
      <w:r w:rsidRPr="00237A6E">
        <w:rPr>
          <w:rFonts w:hint="eastAsia"/>
        </w:rPr>
        <w:t xml:space="preserve">　</w:t>
      </w:r>
      <w:r w:rsidRPr="00237A6E">
        <w:t>臺灣高等法院臺中分院</w:t>
      </w:r>
      <w:r w:rsidRPr="00237A6E">
        <w:rPr>
          <w:rFonts w:hint="eastAsia"/>
          <w:color w:val="000000"/>
        </w:rPr>
        <w:t>7億5,074萬1千元</w:t>
      </w:r>
      <w:r w:rsidRPr="00237A6E">
        <w:t>，照列。</w:t>
      </w:r>
    </w:p>
    <w:p w14:paraId="3015BE6F" w14:textId="77777777" w:rsidR="00421BB5" w:rsidRPr="00237A6E" w:rsidRDefault="00421BB5" w:rsidP="00421BB5">
      <w:pPr>
        <w:pStyle w:val="3-1"/>
        <w:adjustRightInd w:val="0"/>
        <w:snapToGrid w:val="0"/>
        <w:ind w:left="1600" w:hanging="1120"/>
      </w:pPr>
      <w:r w:rsidRPr="00237A6E">
        <w:t>第12項</w:t>
      </w:r>
      <w:r w:rsidRPr="00237A6E">
        <w:rPr>
          <w:rFonts w:hint="eastAsia"/>
        </w:rPr>
        <w:t xml:space="preserve">　</w:t>
      </w:r>
      <w:r w:rsidRPr="00237A6E">
        <w:t>臺灣高等法院臺南分院</w:t>
      </w:r>
      <w:r w:rsidRPr="00237A6E">
        <w:rPr>
          <w:rFonts w:hint="eastAsia"/>
          <w:color w:val="000000"/>
        </w:rPr>
        <w:t>4億9,408萬4千元</w:t>
      </w:r>
      <w:r w:rsidRPr="00237A6E">
        <w:t>，照列。</w:t>
      </w:r>
    </w:p>
    <w:p w14:paraId="4D3778B9" w14:textId="77777777" w:rsidR="00421BB5" w:rsidRPr="00237A6E" w:rsidRDefault="00421BB5" w:rsidP="00421BB5">
      <w:pPr>
        <w:pStyle w:val="3-1"/>
        <w:adjustRightInd w:val="0"/>
        <w:snapToGrid w:val="0"/>
        <w:ind w:left="1600" w:hanging="1120"/>
      </w:pPr>
      <w:r w:rsidRPr="00237A6E">
        <w:t>第13項</w:t>
      </w:r>
      <w:r w:rsidRPr="00237A6E">
        <w:rPr>
          <w:rFonts w:hint="eastAsia"/>
        </w:rPr>
        <w:t xml:space="preserve">　</w:t>
      </w:r>
      <w:r w:rsidRPr="00237A6E">
        <w:t>臺灣高等法院高雄分院</w:t>
      </w:r>
      <w:r w:rsidRPr="00237A6E">
        <w:rPr>
          <w:rFonts w:hint="eastAsia"/>
          <w:color w:val="000000"/>
        </w:rPr>
        <w:t>6億0,920萬8千元</w:t>
      </w:r>
      <w:r w:rsidRPr="00237A6E">
        <w:t>，照列。</w:t>
      </w:r>
    </w:p>
    <w:p w14:paraId="641F2739" w14:textId="77777777" w:rsidR="00421BB5" w:rsidRPr="00237A6E" w:rsidRDefault="00421BB5" w:rsidP="00421BB5">
      <w:pPr>
        <w:pStyle w:val="3-1"/>
        <w:adjustRightInd w:val="0"/>
        <w:snapToGrid w:val="0"/>
        <w:ind w:left="1600" w:hanging="1120"/>
      </w:pPr>
      <w:r w:rsidRPr="00237A6E">
        <w:t>第14項</w:t>
      </w:r>
      <w:r w:rsidRPr="00237A6E">
        <w:rPr>
          <w:rFonts w:hint="eastAsia"/>
        </w:rPr>
        <w:t xml:space="preserve">　</w:t>
      </w:r>
      <w:r w:rsidRPr="00237A6E">
        <w:t>臺灣高等法院花蓮分院</w:t>
      </w:r>
      <w:r w:rsidRPr="00237A6E">
        <w:rPr>
          <w:rFonts w:hint="eastAsia"/>
          <w:color w:val="000000"/>
        </w:rPr>
        <w:t>1億9,392萬元</w:t>
      </w:r>
      <w:r w:rsidRPr="00237A6E">
        <w:t>，照列。</w:t>
      </w:r>
    </w:p>
    <w:p w14:paraId="1A30A3A1" w14:textId="77777777" w:rsidR="00421BB5" w:rsidRPr="00237A6E" w:rsidRDefault="00421BB5" w:rsidP="00421BB5">
      <w:pPr>
        <w:pStyle w:val="3-1"/>
        <w:adjustRightInd w:val="0"/>
        <w:snapToGrid w:val="0"/>
        <w:ind w:left="1600" w:hanging="1120"/>
      </w:pPr>
      <w:r w:rsidRPr="00237A6E">
        <w:t>第15項</w:t>
      </w:r>
      <w:r w:rsidRPr="00237A6E">
        <w:rPr>
          <w:rFonts w:hint="eastAsia"/>
        </w:rPr>
        <w:t xml:space="preserve">　</w:t>
      </w:r>
      <w:r w:rsidRPr="00237A6E">
        <w:t>臺灣臺北地方法院</w:t>
      </w:r>
      <w:r w:rsidRPr="00237A6E">
        <w:rPr>
          <w:rFonts w:hint="eastAsia"/>
          <w:color w:val="000000"/>
        </w:rPr>
        <w:t>20億3,317萬6千</w:t>
      </w:r>
      <w:r w:rsidRPr="00237A6E">
        <w:t>元，照列。</w:t>
      </w:r>
    </w:p>
    <w:p w14:paraId="57021CDF" w14:textId="77777777" w:rsidR="00421BB5" w:rsidRPr="00237A6E" w:rsidRDefault="00421BB5" w:rsidP="00421BB5">
      <w:pPr>
        <w:pStyle w:val="3-1"/>
        <w:adjustRightInd w:val="0"/>
        <w:snapToGrid w:val="0"/>
        <w:ind w:left="1601" w:hanging="1121"/>
        <w:rPr>
          <w:b/>
        </w:rPr>
      </w:pPr>
      <w:r w:rsidRPr="00237A6E">
        <w:rPr>
          <w:b/>
        </w:rPr>
        <w:t>本項通過決議</w:t>
      </w:r>
      <w:r w:rsidRPr="00237A6E">
        <w:rPr>
          <w:rFonts w:hint="eastAsia"/>
          <w:b/>
        </w:rPr>
        <w:t>1</w:t>
      </w:r>
      <w:r w:rsidRPr="00237A6E">
        <w:rPr>
          <w:b/>
        </w:rPr>
        <w:t>項：</w:t>
      </w:r>
    </w:p>
    <w:p w14:paraId="071A787F" w14:textId="77777777" w:rsidR="00421BB5" w:rsidRPr="00237A6E" w:rsidRDefault="00421BB5" w:rsidP="00421BB5">
      <w:pPr>
        <w:pStyle w:val="0-"/>
        <w:ind w:rightChars="-21" w:right="-5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1D8D5FAE" w14:textId="77777777" w:rsidR="00421BB5" w:rsidRPr="00237A6E" w:rsidRDefault="00421BB5" w:rsidP="00421BB5">
      <w:pPr>
        <w:pStyle w:val="0-2"/>
      </w:pPr>
      <w:r w:rsidRPr="00237A6E">
        <w:rPr>
          <w:rFonts w:hint="eastAsia"/>
        </w:rPr>
        <w:t>惟民事訴訟法第270條第3項第4款「兩造合意」條款是否有導致證據調查在準備程序進行，而未落實合議庭3位法官共同審理之審判制度，值得關切。</w:t>
      </w:r>
    </w:p>
    <w:p w14:paraId="539C4AE2" w14:textId="77777777" w:rsidR="00421BB5" w:rsidRPr="00237A6E" w:rsidRDefault="00421BB5" w:rsidP="00421BB5">
      <w:pPr>
        <w:pStyle w:val="0-2"/>
      </w:pPr>
      <w:r w:rsidRPr="00237A6E">
        <w:rPr>
          <w:rFonts w:hint="eastAsia"/>
        </w:rPr>
        <w:t>為堅實民事訴訟事實審、強化民事法院合議庭運作，爰請</w:t>
      </w:r>
      <w:r w:rsidRPr="00237A6E">
        <w:t>臺灣臺北地方法院</w:t>
      </w:r>
      <w:r w:rsidRPr="00237A6E">
        <w:rPr>
          <w:rFonts w:hint="eastAsia"/>
        </w:rPr>
        <w:t>於3個月內就民事庭落實合議審判之情形，</w:t>
      </w:r>
      <w:r w:rsidRPr="00237A6E">
        <w:rPr>
          <w:rFonts w:hint="eastAsia"/>
        </w:rPr>
        <w:lastRenderedPageBreak/>
        <w:t>提出書面報告。</w:t>
      </w:r>
    </w:p>
    <w:p w14:paraId="2DF1B48B" w14:textId="77777777" w:rsidR="00421BB5" w:rsidRPr="00237A6E" w:rsidRDefault="00421BB5" w:rsidP="00421BB5">
      <w:pPr>
        <w:pStyle w:val="2-1"/>
        <w:rPr>
          <w:shd w:val="clear" w:color="auto" w:fill="FFFFFF"/>
        </w:rPr>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2CA7F650" w14:textId="77777777" w:rsidR="00421BB5" w:rsidRPr="00237A6E" w:rsidRDefault="00421BB5" w:rsidP="00421BB5">
      <w:pPr>
        <w:pStyle w:val="3-1"/>
        <w:adjustRightInd w:val="0"/>
        <w:snapToGrid w:val="0"/>
        <w:ind w:left="1600" w:hanging="1120"/>
      </w:pPr>
      <w:r w:rsidRPr="00237A6E">
        <w:t>第16項</w:t>
      </w:r>
      <w:r w:rsidRPr="00237A6E">
        <w:rPr>
          <w:rFonts w:hint="eastAsia"/>
        </w:rPr>
        <w:t xml:space="preserve">　</w:t>
      </w:r>
      <w:r w:rsidRPr="00237A6E">
        <w:t>臺灣士林地方法院</w:t>
      </w:r>
      <w:r w:rsidRPr="00237A6E">
        <w:rPr>
          <w:rFonts w:hint="eastAsia"/>
          <w:color w:val="000000"/>
        </w:rPr>
        <w:t>8億5,915萬7千元</w:t>
      </w:r>
      <w:r w:rsidRPr="00237A6E">
        <w:t>，照列。</w:t>
      </w:r>
    </w:p>
    <w:p w14:paraId="42A12F48" w14:textId="77777777" w:rsidR="00421BB5" w:rsidRPr="00237A6E" w:rsidRDefault="00421BB5" w:rsidP="00421BB5">
      <w:pPr>
        <w:pStyle w:val="3-1"/>
        <w:adjustRightInd w:val="0"/>
        <w:snapToGrid w:val="0"/>
        <w:ind w:left="1601" w:hanging="1121"/>
        <w:rPr>
          <w:b/>
        </w:rPr>
      </w:pPr>
      <w:r w:rsidRPr="00237A6E">
        <w:rPr>
          <w:b/>
        </w:rPr>
        <w:t>本項通過決議</w:t>
      </w:r>
      <w:r w:rsidRPr="00237A6E">
        <w:rPr>
          <w:rFonts w:hint="eastAsia"/>
          <w:b/>
        </w:rPr>
        <w:t>1</w:t>
      </w:r>
      <w:r w:rsidRPr="00237A6E">
        <w:rPr>
          <w:b/>
        </w:rPr>
        <w:t>項：</w:t>
      </w:r>
    </w:p>
    <w:p w14:paraId="3C9FBD4A"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572D9B72"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0BB13CE8" w14:textId="77777777" w:rsidR="00421BB5" w:rsidRPr="00237A6E" w:rsidRDefault="00421BB5" w:rsidP="00421BB5">
      <w:pPr>
        <w:pStyle w:val="0-2"/>
      </w:pPr>
      <w:r w:rsidRPr="00237A6E">
        <w:rPr>
          <w:rFonts w:hint="eastAsia"/>
        </w:rPr>
        <w:t>為堅實民事訴訟事實審、強化民事法院合議庭運作、防止民事審判遁入準備程序，爰請臺灣士林地方法院於3個月內就民事庭落實合議審判之情形（含民事訴訟法第270條第3項各款之適用），</w:t>
      </w:r>
      <w:r>
        <w:rPr>
          <w:rFonts w:hint="eastAsia"/>
        </w:rPr>
        <w:t>提出書面報告。</w:t>
      </w:r>
    </w:p>
    <w:p w14:paraId="297A579D"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557FF8E0" w14:textId="77777777" w:rsidR="00421BB5" w:rsidRPr="00237A6E" w:rsidRDefault="00421BB5" w:rsidP="00421BB5">
      <w:pPr>
        <w:pStyle w:val="3-1"/>
        <w:adjustRightInd w:val="0"/>
        <w:snapToGrid w:val="0"/>
        <w:ind w:left="1600" w:hanging="1120"/>
      </w:pPr>
      <w:r w:rsidRPr="00237A6E">
        <w:t>第17項</w:t>
      </w:r>
      <w:r w:rsidRPr="00237A6E">
        <w:rPr>
          <w:rFonts w:hint="eastAsia"/>
        </w:rPr>
        <w:t xml:space="preserve">　</w:t>
      </w:r>
      <w:r w:rsidRPr="00237A6E">
        <w:t>臺灣新北地方法院</w:t>
      </w:r>
      <w:r w:rsidRPr="00237A6E">
        <w:rPr>
          <w:rFonts w:hint="eastAsia"/>
          <w:color w:val="000000"/>
        </w:rPr>
        <w:t>15億2,697萬4千</w:t>
      </w:r>
      <w:r w:rsidRPr="00237A6E">
        <w:t>元，照列。</w:t>
      </w:r>
    </w:p>
    <w:p w14:paraId="297B9739" w14:textId="77777777" w:rsidR="00421BB5" w:rsidRPr="00237A6E" w:rsidRDefault="00421BB5" w:rsidP="00421BB5">
      <w:pPr>
        <w:pStyle w:val="3-1"/>
        <w:adjustRightInd w:val="0"/>
        <w:snapToGrid w:val="0"/>
        <w:ind w:left="1601" w:hanging="1121"/>
        <w:rPr>
          <w:b/>
        </w:rPr>
      </w:pPr>
      <w:r w:rsidRPr="00237A6E">
        <w:rPr>
          <w:b/>
        </w:rPr>
        <w:t>本項通過決議</w:t>
      </w:r>
      <w:r w:rsidRPr="00237A6E">
        <w:rPr>
          <w:rFonts w:hint="eastAsia"/>
          <w:b/>
        </w:rPr>
        <w:t>1</w:t>
      </w:r>
      <w:r w:rsidRPr="00237A6E">
        <w:rPr>
          <w:b/>
        </w:rPr>
        <w:t>項：</w:t>
      </w:r>
    </w:p>
    <w:p w14:paraId="05652420"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14279EDE"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4F0669D0" w14:textId="77777777" w:rsidR="00421BB5" w:rsidRPr="00237A6E" w:rsidRDefault="00421BB5" w:rsidP="00421BB5">
      <w:pPr>
        <w:pStyle w:val="0-2"/>
      </w:pPr>
      <w:r w:rsidRPr="00237A6E">
        <w:rPr>
          <w:rFonts w:hint="eastAsia"/>
        </w:rPr>
        <w:t>為堅實民事訴訟事實審、強化民事法院合議庭運作、防止</w:t>
      </w:r>
      <w:r w:rsidRPr="00237A6E">
        <w:rPr>
          <w:rFonts w:hint="eastAsia"/>
        </w:rPr>
        <w:lastRenderedPageBreak/>
        <w:t>民事審判遁入準備程序，爰請臺灣新北地方法院於3個月內就民事庭落實合議審判之情形（含民事訴訟法第270條第3項各款之適用），</w:t>
      </w:r>
      <w:r>
        <w:rPr>
          <w:rFonts w:hint="eastAsia"/>
        </w:rPr>
        <w:t>提出書面報告。</w:t>
      </w:r>
    </w:p>
    <w:p w14:paraId="44162F1F"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221A9AF2" w14:textId="77777777" w:rsidR="00421BB5" w:rsidRPr="00237A6E" w:rsidRDefault="00421BB5" w:rsidP="00421BB5">
      <w:pPr>
        <w:pStyle w:val="3-1"/>
        <w:adjustRightInd w:val="0"/>
        <w:snapToGrid w:val="0"/>
        <w:ind w:left="1600" w:hanging="1120"/>
      </w:pPr>
      <w:r w:rsidRPr="00237A6E">
        <w:t>第18項</w:t>
      </w:r>
      <w:r w:rsidRPr="00237A6E">
        <w:rPr>
          <w:rFonts w:hint="eastAsia"/>
        </w:rPr>
        <w:t xml:space="preserve">　</w:t>
      </w:r>
      <w:r w:rsidRPr="00237A6E">
        <w:t>臺灣桃園地方法院</w:t>
      </w:r>
      <w:r w:rsidRPr="00237A6E">
        <w:rPr>
          <w:rFonts w:hint="eastAsia"/>
        </w:rPr>
        <w:t>12億9,555萬7千元</w:t>
      </w:r>
      <w:r w:rsidRPr="00237A6E">
        <w:t>，照列。</w:t>
      </w:r>
    </w:p>
    <w:p w14:paraId="71B6F1DB"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12694464"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6B715E1B"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惟民事訴訟法第270條第3項的各款例外、尤其是第4款「兩造合意」條款，有導致證據調查在準備程序進行，而架空合議庭3位法官共同審理之審判制度、造成民事訴訟金字塔底座空虛化之疑義。</w:t>
      </w:r>
    </w:p>
    <w:p w14:paraId="77343155" w14:textId="77777777" w:rsidR="00421BB5" w:rsidRPr="00237A6E" w:rsidRDefault="00421BB5" w:rsidP="00421BB5">
      <w:pPr>
        <w:pStyle w:val="0-2"/>
      </w:pPr>
      <w:r w:rsidRPr="00237A6E">
        <w:rPr>
          <w:rFonts w:hint="eastAsia"/>
        </w:rPr>
        <w:t>為堅實民事訴訟事實審、強化民事法院合議庭運作、防止民事審判遁入準備程序，爰請臺灣桃園地方法院於3個月內就民事庭落實合議審判之情形（含民事訴訟法第270條第3項各款之適用），</w:t>
      </w:r>
      <w:r>
        <w:rPr>
          <w:rFonts w:hint="eastAsia"/>
        </w:rPr>
        <w:t>提出書面報告。</w:t>
      </w:r>
    </w:p>
    <w:p w14:paraId="28559014"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75850F07" w14:textId="77777777" w:rsidR="00421BB5" w:rsidRPr="00237A6E" w:rsidRDefault="00421BB5" w:rsidP="00421BB5">
      <w:pPr>
        <w:pStyle w:val="3-1"/>
        <w:adjustRightInd w:val="0"/>
        <w:snapToGrid w:val="0"/>
        <w:ind w:left="1600" w:hanging="1120"/>
      </w:pPr>
      <w:r w:rsidRPr="00237A6E">
        <w:t>第19項</w:t>
      </w:r>
      <w:r w:rsidRPr="00237A6E">
        <w:rPr>
          <w:rFonts w:hint="eastAsia"/>
        </w:rPr>
        <w:t xml:space="preserve">　</w:t>
      </w:r>
      <w:r w:rsidRPr="00237A6E">
        <w:t>臺灣新竹地方法院</w:t>
      </w:r>
      <w:r w:rsidRPr="00237A6E">
        <w:rPr>
          <w:rFonts w:hint="eastAsia"/>
          <w:color w:val="000000"/>
        </w:rPr>
        <w:t>6億4,086萬9千元</w:t>
      </w:r>
      <w:r w:rsidRPr="00237A6E">
        <w:t>，照列。</w:t>
      </w:r>
    </w:p>
    <w:p w14:paraId="0C9E6F7D"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3527D046"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536DDA4E"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w:t>
      </w:r>
      <w:r w:rsidRPr="00237A6E">
        <w:rPr>
          <w:rFonts w:hint="eastAsia"/>
        </w:rPr>
        <w:lastRenderedPageBreak/>
        <w:t>底座空虛化之疑慮。</w:t>
      </w:r>
    </w:p>
    <w:p w14:paraId="385CCA1D" w14:textId="77777777" w:rsidR="00421BB5" w:rsidRPr="00237A6E" w:rsidRDefault="00421BB5" w:rsidP="00421BB5">
      <w:pPr>
        <w:pStyle w:val="0-2"/>
      </w:pPr>
      <w:r w:rsidRPr="00237A6E">
        <w:rPr>
          <w:rFonts w:hint="eastAsia"/>
        </w:rPr>
        <w:t>為堅實民事訴訟事實審、強化民事法院合議庭運作、防止民事審判遁入準備程序，爰請臺灣新竹地方法院於3個月內就民事庭落實合議審判之情形（含民事訴訟法第270條第3項各款之適用），</w:t>
      </w:r>
      <w:r>
        <w:rPr>
          <w:rFonts w:hint="eastAsia"/>
        </w:rPr>
        <w:t>提出書面報告。</w:t>
      </w:r>
    </w:p>
    <w:p w14:paraId="5AC283F7"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734D74DE" w14:textId="77777777" w:rsidR="00421BB5" w:rsidRPr="00237A6E" w:rsidRDefault="00421BB5" w:rsidP="00421BB5">
      <w:pPr>
        <w:pStyle w:val="3-1"/>
        <w:adjustRightInd w:val="0"/>
        <w:snapToGrid w:val="0"/>
        <w:ind w:left="1600" w:hanging="1120"/>
      </w:pPr>
      <w:r w:rsidRPr="00237A6E">
        <w:t>第20項</w:t>
      </w:r>
      <w:r w:rsidRPr="00237A6E">
        <w:rPr>
          <w:rFonts w:hint="eastAsia"/>
        </w:rPr>
        <w:t xml:space="preserve">　</w:t>
      </w:r>
      <w:r w:rsidRPr="00237A6E">
        <w:t>臺灣苗栗地方法院</w:t>
      </w:r>
      <w:r w:rsidRPr="00237A6E">
        <w:rPr>
          <w:rFonts w:hint="eastAsia"/>
          <w:color w:val="000000"/>
        </w:rPr>
        <w:t>3億9,352萬7千元</w:t>
      </w:r>
      <w:r w:rsidRPr="00237A6E">
        <w:t>，照列。</w:t>
      </w:r>
    </w:p>
    <w:p w14:paraId="7D895631"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18BC8539"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134F9315"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6ECA4905" w14:textId="77777777" w:rsidR="00421BB5" w:rsidRPr="00237A6E" w:rsidRDefault="00421BB5" w:rsidP="00421BB5">
      <w:pPr>
        <w:pStyle w:val="0-2"/>
      </w:pPr>
      <w:r w:rsidRPr="00237A6E">
        <w:rPr>
          <w:rFonts w:hint="eastAsia"/>
        </w:rPr>
        <w:t>為堅實民事訴訟事實審、強化民事法院合議庭運作、防止民事審判遁入準備程序，爰請臺灣苗栗地方法院於3個月內就民事庭落實合議審判之情形（含民事訴訟法第270條第3項各款之適用），</w:t>
      </w:r>
      <w:r>
        <w:rPr>
          <w:rFonts w:hint="eastAsia"/>
        </w:rPr>
        <w:t>提出書面報告。</w:t>
      </w:r>
    </w:p>
    <w:p w14:paraId="61602E17"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41D50A23" w14:textId="77777777" w:rsidR="00421BB5" w:rsidRPr="00237A6E" w:rsidRDefault="00421BB5" w:rsidP="00421BB5">
      <w:pPr>
        <w:pStyle w:val="3-1"/>
        <w:adjustRightInd w:val="0"/>
        <w:snapToGrid w:val="0"/>
        <w:ind w:left="1600" w:hanging="1120"/>
      </w:pPr>
      <w:r w:rsidRPr="00237A6E">
        <w:t>第21項</w:t>
      </w:r>
      <w:r w:rsidRPr="00237A6E">
        <w:rPr>
          <w:rFonts w:hint="eastAsia"/>
        </w:rPr>
        <w:t xml:space="preserve">　</w:t>
      </w:r>
      <w:r w:rsidRPr="00237A6E">
        <w:t>臺灣臺中地方法院</w:t>
      </w:r>
      <w:r w:rsidRPr="00237A6E">
        <w:rPr>
          <w:rFonts w:hint="eastAsia"/>
          <w:color w:val="000000"/>
        </w:rPr>
        <w:t>16億6,661萬3千元</w:t>
      </w:r>
      <w:r w:rsidRPr="00237A6E">
        <w:t>，照列。</w:t>
      </w:r>
    </w:p>
    <w:p w14:paraId="24F2BC21"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2</w:t>
      </w:r>
      <w:r w:rsidRPr="00237A6E">
        <w:rPr>
          <w:b/>
        </w:rPr>
        <w:t>項：</w:t>
      </w:r>
    </w:p>
    <w:p w14:paraId="0F28088C" w14:textId="77777777" w:rsidR="00421BB5" w:rsidRPr="00237A6E" w:rsidRDefault="00421BB5" w:rsidP="00421BB5">
      <w:pPr>
        <w:pStyle w:val="0-"/>
      </w:pPr>
      <w:r w:rsidRPr="00237A6E">
        <w:rPr>
          <w:rFonts w:hint="eastAsia"/>
        </w:rPr>
        <w:t>(一)</w:t>
      </w:r>
      <w:r w:rsidRPr="00237A6E">
        <w:t>112年度</w:t>
      </w:r>
      <w:r w:rsidRPr="00237A6E">
        <w:rPr>
          <w:rFonts w:hint="eastAsia"/>
        </w:rPr>
        <w:t>臺灣臺中地方法院歲出</w:t>
      </w:r>
      <w:r w:rsidRPr="00237A6E">
        <w:t>預</w:t>
      </w:r>
      <w:r w:rsidRPr="00237A6E">
        <w:rPr>
          <w:rFonts w:hint="eastAsia"/>
        </w:rPr>
        <w:t>算「基本行政工作維持」業務費</w:t>
      </w:r>
      <w:r w:rsidRPr="00237A6E">
        <w:t>編列3,349</w:t>
      </w:r>
      <w:r w:rsidRPr="00237A6E">
        <w:rPr>
          <w:rFonts w:hint="eastAsia"/>
        </w:rPr>
        <w:t>萬</w:t>
      </w:r>
      <w:r w:rsidRPr="00237A6E">
        <w:t>3千</w:t>
      </w:r>
      <w:r w:rsidRPr="00237A6E">
        <w:rPr>
          <w:rFonts w:hint="eastAsia"/>
        </w:rPr>
        <w:t>元。然而根據媒體1</w:t>
      </w:r>
      <w:r w:rsidRPr="00237A6E">
        <w:t>11</w:t>
      </w:r>
      <w:r w:rsidRPr="00237A6E">
        <w:rPr>
          <w:rFonts w:hint="eastAsia"/>
        </w:rPr>
        <w:t>年度10月2</w:t>
      </w:r>
      <w:r w:rsidRPr="00237A6E">
        <w:t>9</w:t>
      </w:r>
      <w:r w:rsidRPr="00237A6E">
        <w:rPr>
          <w:rFonts w:hint="eastAsia"/>
        </w:rPr>
        <w:t>日報導，臺中地方法院發生法官助理涉嫌性騷擾4名女性事件，顯見該院性平教育成效不彰，爰請臺灣臺中地方法院加強性平教育，強化同仁性別平權意識及性騷擾防治觀念，落實兩性平權，並向立法院司法及法制委員會提出書面報告辦理成果。</w:t>
      </w:r>
    </w:p>
    <w:p w14:paraId="0DDC8C13" w14:textId="77777777" w:rsidR="00421BB5" w:rsidRPr="00237A6E" w:rsidRDefault="00421BB5" w:rsidP="00421BB5">
      <w:pPr>
        <w:pStyle w:val="2-1"/>
      </w:pPr>
      <w:r w:rsidRPr="00237A6E">
        <w:rPr>
          <w:rFonts w:hint="eastAsia"/>
        </w:rPr>
        <w:t>提案人：陳以信</w:t>
      </w:r>
    </w:p>
    <w:p w14:paraId="60F664A1" w14:textId="77777777" w:rsidR="00421BB5" w:rsidRPr="00237A6E" w:rsidRDefault="00421BB5" w:rsidP="00421BB5">
      <w:pPr>
        <w:pStyle w:val="2-1"/>
      </w:pPr>
      <w:r w:rsidRPr="00237A6E">
        <w:rPr>
          <w:rFonts w:hint="eastAsia"/>
        </w:rPr>
        <w:t>連署人：游毓蘭 林思銘</w:t>
      </w:r>
    </w:p>
    <w:p w14:paraId="677F6960" w14:textId="77777777" w:rsidR="00421BB5" w:rsidRPr="00237A6E" w:rsidRDefault="00421BB5" w:rsidP="00421BB5">
      <w:pPr>
        <w:pStyle w:val="0-"/>
      </w:pPr>
      <w:r w:rsidRPr="00237A6E">
        <w:rPr>
          <w:rFonts w:hint="eastAsia"/>
        </w:rPr>
        <w:t>(二)司法院欲打造金字塔型訴訟制度、並以堅實事實審為其基礎。而我國現行民事訴訟制度規定，就較複雜的案件，原則上應以合議庭審理。惟法院於必要時以庭員1人為受命法官，使行準</w:t>
      </w:r>
      <w:r w:rsidRPr="00237A6E">
        <w:rPr>
          <w:rFonts w:hint="eastAsia"/>
        </w:rPr>
        <w:lastRenderedPageBreak/>
        <w:t>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1DFA6F81"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2B94635C" w14:textId="77777777" w:rsidR="00421BB5" w:rsidRPr="00237A6E" w:rsidRDefault="00421BB5" w:rsidP="00421BB5">
      <w:pPr>
        <w:pStyle w:val="0-2"/>
      </w:pPr>
      <w:r w:rsidRPr="00237A6E">
        <w:rPr>
          <w:rFonts w:hint="eastAsia"/>
        </w:rPr>
        <w:t>為堅實民事訴訟事實審、強化民事法院合議庭運作、防止民事審判遁入準備程序，爰請臺灣臺中地方法院於3個月內就民事庭落實合議審判之情形（含民事訴訟法第270條第3項各款之適用），</w:t>
      </w:r>
      <w:r>
        <w:rPr>
          <w:rFonts w:hint="eastAsia"/>
        </w:rPr>
        <w:t>提出書面報告。</w:t>
      </w:r>
    </w:p>
    <w:p w14:paraId="76B47C70"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0516C17D" w14:textId="77777777" w:rsidR="00421BB5" w:rsidRPr="00237A6E" w:rsidRDefault="00421BB5" w:rsidP="00421BB5">
      <w:pPr>
        <w:pStyle w:val="3-1"/>
        <w:adjustRightInd w:val="0"/>
        <w:snapToGrid w:val="0"/>
        <w:ind w:left="1600" w:hanging="1120"/>
      </w:pPr>
      <w:r w:rsidRPr="00237A6E">
        <w:t>第22項</w:t>
      </w:r>
      <w:r w:rsidRPr="00237A6E">
        <w:rPr>
          <w:rFonts w:hint="eastAsia"/>
        </w:rPr>
        <w:t xml:space="preserve">　</w:t>
      </w:r>
      <w:r w:rsidRPr="00237A6E">
        <w:t>臺灣南投地方法院</w:t>
      </w:r>
      <w:r w:rsidRPr="00237A6E">
        <w:rPr>
          <w:rFonts w:hint="eastAsia"/>
          <w:color w:val="000000"/>
        </w:rPr>
        <w:t>3億6,901萬2千元</w:t>
      </w:r>
      <w:r w:rsidRPr="00237A6E">
        <w:t>，照列。</w:t>
      </w:r>
    </w:p>
    <w:p w14:paraId="550981FF"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68CCE635"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17A85F8A"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3165F445" w14:textId="77777777" w:rsidR="00421BB5" w:rsidRPr="00237A6E" w:rsidRDefault="00421BB5" w:rsidP="00421BB5">
      <w:pPr>
        <w:pStyle w:val="0-2"/>
      </w:pPr>
      <w:r w:rsidRPr="00237A6E">
        <w:rPr>
          <w:rFonts w:hint="eastAsia"/>
        </w:rPr>
        <w:t>為堅實民事訴訟事實審、強化民事法院合議庭運作、防止民事審判遁入準備程序，爰請臺灣南投地方法院於3個月內就民事庭落實合議審判之情形（含民事訴訟法第270條第3項各款之適用），</w:t>
      </w:r>
      <w:r>
        <w:rPr>
          <w:rFonts w:hint="eastAsia"/>
        </w:rPr>
        <w:t>提出書面報告。</w:t>
      </w:r>
    </w:p>
    <w:p w14:paraId="2F58CB51"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7C7CAA81" w14:textId="77777777" w:rsidR="00421BB5" w:rsidRPr="00237A6E" w:rsidRDefault="00421BB5" w:rsidP="00421BB5">
      <w:pPr>
        <w:pStyle w:val="3-1"/>
        <w:adjustRightInd w:val="0"/>
        <w:snapToGrid w:val="0"/>
        <w:ind w:left="1600" w:hanging="1120"/>
      </w:pPr>
      <w:r w:rsidRPr="00237A6E">
        <w:t>第23項</w:t>
      </w:r>
      <w:r w:rsidRPr="00237A6E">
        <w:rPr>
          <w:rFonts w:hint="eastAsia"/>
        </w:rPr>
        <w:t xml:space="preserve">　</w:t>
      </w:r>
      <w:r w:rsidRPr="00237A6E">
        <w:t>臺灣彰化地方法院</w:t>
      </w:r>
      <w:r w:rsidRPr="00237A6E">
        <w:rPr>
          <w:rFonts w:hint="eastAsia"/>
        </w:rPr>
        <w:t>7</w:t>
      </w:r>
      <w:r w:rsidRPr="00237A6E">
        <w:rPr>
          <w:rFonts w:hint="eastAsia"/>
          <w:color w:val="000000"/>
        </w:rPr>
        <w:t>億3,995萬元</w:t>
      </w:r>
      <w:r w:rsidRPr="00237A6E">
        <w:t>，照列。</w:t>
      </w:r>
    </w:p>
    <w:p w14:paraId="55A60D06"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5E4E8A40" w14:textId="77777777" w:rsidR="00421BB5" w:rsidRPr="00237A6E" w:rsidRDefault="00421BB5" w:rsidP="00421BB5">
      <w:pPr>
        <w:pStyle w:val="0-"/>
      </w:pPr>
      <w:r w:rsidRPr="00237A6E">
        <w:rPr>
          <w:rFonts w:hint="eastAsia"/>
        </w:rPr>
        <w:t>(一)司法院欲打造金字塔型訴訟制度、並以堅實事實審為其基礎。</w:t>
      </w:r>
      <w:r w:rsidRPr="00237A6E">
        <w:rPr>
          <w:rFonts w:hint="eastAsia"/>
        </w:rPr>
        <w:lastRenderedPageBreak/>
        <w:t>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061AA8BF"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47C865A7" w14:textId="77777777" w:rsidR="00421BB5" w:rsidRPr="00237A6E" w:rsidRDefault="00421BB5" w:rsidP="00421BB5">
      <w:pPr>
        <w:pStyle w:val="0-2"/>
      </w:pPr>
      <w:r w:rsidRPr="00237A6E">
        <w:rPr>
          <w:rFonts w:hint="eastAsia"/>
        </w:rPr>
        <w:t>為堅實民事訴訟事實審、強化民事法院合議庭運作、防止民事審判遁入準備程序，爰請臺灣彰化地方法院於3個月內就民事庭落實合議審判之情形（含民事訴訟法第270條第3項各款之適用），</w:t>
      </w:r>
      <w:r>
        <w:rPr>
          <w:rFonts w:hint="eastAsia"/>
        </w:rPr>
        <w:t>提出書面報告。</w:t>
      </w:r>
    </w:p>
    <w:p w14:paraId="6DF08F55"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40B79DA6" w14:textId="77777777" w:rsidR="00421BB5" w:rsidRPr="00237A6E" w:rsidRDefault="00421BB5" w:rsidP="00421BB5">
      <w:pPr>
        <w:pStyle w:val="3-1"/>
        <w:adjustRightInd w:val="0"/>
        <w:snapToGrid w:val="0"/>
        <w:ind w:left="1600" w:hanging="1120"/>
      </w:pPr>
      <w:r w:rsidRPr="00237A6E">
        <w:t>第24項</w:t>
      </w:r>
      <w:r w:rsidRPr="00237A6E">
        <w:rPr>
          <w:rFonts w:hint="eastAsia"/>
        </w:rPr>
        <w:t xml:space="preserve">　</w:t>
      </w:r>
      <w:r w:rsidRPr="00237A6E">
        <w:t>臺灣雲林地方法院</w:t>
      </w:r>
      <w:r w:rsidRPr="00237A6E">
        <w:rPr>
          <w:rFonts w:hint="eastAsia"/>
          <w:color w:val="000000"/>
        </w:rPr>
        <w:t>4億8,705萬4千元</w:t>
      </w:r>
      <w:r w:rsidRPr="00237A6E">
        <w:t>，照列。</w:t>
      </w:r>
    </w:p>
    <w:p w14:paraId="5F27C730"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14116D22"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7B946C04"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0800DE47" w14:textId="77777777" w:rsidR="00421BB5" w:rsidRPr="00237A6E" w:rsidRDefault="00421BB5" w:rsidP="00421BB5">
      <w:pPr>
        <w:pStyle w:val="0-2"/>
      </w:pPr>
      <w:r w:rsidRPr="00237A6E">
        <w:rPr>
          <w:rFonts w:hint="eastAsia"/>
        </w:rPr>
        <w:t>為堅實民事訴訟事實審、強化民事法院合議庭運作、防止民事審判遁入準備程序，爰請臺灣雲林地方法院於3個月內就民事庭落實合議審判之情形（含民事訴訟法第270條第3項各款之適用），</w:t>
      </w:r>
      <w:r>
        <w:rPr>
          <w:rFonts w:hint="eastAsia"/>
        </w:rPr>
        <w:t>提出書面報告。</w:t>
      </w:r>
    </w:p>
    <w:p w14:paraId="245BF0FC"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7638A6F2" w14:textId="77777777" w:rsidR="00421BB5" w:rsidRPr="00237A6E" w:rsidRDefault="00421BB5" w:rsidP="00421BB5">
      <w:pPr>
        <w:pStyle w:val="3-1"/>
        <w:adjustRightInd w:val="0"/>
        <w:snapToGrid w:val="0"/>
        <w:ind w:left="1600" w:hanging="1120"/>
      </w:pPr>
      <w:r w:rsidRPr="00237A6E">
        <w:t>第25項</w:t>
      </w:r>
      <w:r w:rsidRPr="00237A6E">
        <w:rPr>
          <w:rFonts w:hint="eastAsia"/>
        </w:rPr>
        <w:t xml:space="preserve">　</w:t>
      </w:r>
      <w:r w:rsidRPr="00237A6E">
        <w:t>臺灣嘉義地方法院</w:t>
      </w:r>
      <w:r w:rsidRPr="00237A6E">
        <w:rPr>
          <w:rFonts w:hint="eastAsia"/>
          <w:color w:val="000000"/>
        </w:rPr>
        <w:t>5億7,177萬7千元</w:t>
      </w:r>
      <w:r w:rsidRPr="00237A6E">
        <w:t>，照列。</w:t>
      </w:r>
    </w:p>
    <w:p w14:paraId="766982FA" w14:textId="77777777" w:rsidR="00421BB5" w:rsidRPr="00237A6E" w:rsidRDefault="00421BB5" w:rsidP="00421BB5">
      <w:pPr>
        <w:pStyle w:val="3-1"/>
        <w:adjustRightInd w:val="0"/>
        <w:snapToGrid w:val="0"/>
        <w:ind w:left="1601" w:hanging="1121"/>
      </w:pPr>
      <w:r w:rsidRPr="00237A6E">
        <w:rPr>
          <w:b/>
        </w:rPr>
        <w:lastRenderedPageBreak/>
        <w:t>本項通過決議</w:t>
      </w:r>
      <w:r w:rsidRPr="00237A6E">
        <w:rPr>
          <w:rFonts w:hint="eastAsia"/>
          <w:b/>
        </w:rPr>
        <w:t>1</w:t>
      </w:r>
      <w:r w:rsidRPr="00237A6E">
        <w:rPr>
          <w:b/>
        </w:rPr>
        <w:t>項：</w:t>
      </w:r>
    </w:p>
    <w:p w14:paraId="48D2B4C5"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566DBE76"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4B3086FD" w14:textId="77777777" w:rsidR="00421BB5" w:rsidRPr="00237A6E" w:rsidRDefault="00421BB5" w:rsidP="00421BB5">
      <w:pPr>
        <w:pStyle w:val="0-2"/>
      </w:pPr>
      <w:r w:rsidRPr="00237A6E">
        <w:rPr>
          <w:rFonts w:hint="eastAsia"/>
        </w:rPr>
        <w:t>為堅實民事訴訟事實審、強化民事法院合議庭運作、防止民事審判遁入準備程序，爰請臺灣嘉義地方法院於3個月內就民事庭落實合議審判之情形（含民事訴訟法第270條第3項各款之適用），</w:t>
      </w:r>
      <w:r>
        <w:rPr>
          <w:rFonts w:hint="eastAsia"/>
        </w:rPr>
        <w:t>提出書面報告。</w:t>
      </w:r>
    </w:p>
    <w:p w14:paraId="1FB774C0"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5C069F3F" w14:textId="77777777" w:rsidR="00421BB5" w:rsidRPr="00237A6E" w:rsidRDefault="00421BB5" w:rsidP="00421BB5">
      <w:pPr>
        <w:pStyle w:val="3-1"/>
        <w:adjustRightInd w:val="0"/>
        <w:snapToGrid w:val="0"/>
        <w:ind w:left="1600" w:hanging="1120"/>
      </w:pPr>
      <w:r w:rsidRPr="00237A6E">
        <w:t>第26項</w:t>
      </w:r>
      <w:r w:rsidRPr="00237A6E">
        <w:rPr>
          <w:rFonts w:hint="eastAsia"/>
        </w:rPr>
        <w:t xml:space="preserve">　</w:t>
      </w:r>
      <w:r w:rsidRPr="00237A6E">
        <w:t>臺灣臺南地方法院</w:t>
      </w:r>
      <w:r w:rsidRPr="00237A6E">
        <w:rPr>
          <w:rFonts w:hint="eastAsia"/>
          <w:color w:val="000000"/>
        </w:rPr>
        <w:t>11億4,</w:t>
      </w:r>
      <w:r w:rsidRPr="00237A6E">
        <w:rPr>
          <w:color w:val="000000"/>
        </w:rPr>
        <w:t>087</w:t>
      </w:r>
      <w:r w:rsidRPr="00237A6E">
        <w:rPr>
          <w:rFonts w:hint="eastAsia"/>
          <w:color w:val="000000"/>
        </w:rPr>
        <w:t>萬元</w:t>
      </w:r>
      <w:r w:rsidRPr="00237A6E">
        <w:t>，照列。</w:t>
      </w:r>
    </w:p>
    <w:p w14:paraId="05182841"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0ACCFC77"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74FE1334"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5233B803" w14:textId="77777777" w:rsidR="00421BB5" w:rsidRPr="00237A6E" w:rsidRDefault="00421BB5" w:rsidP="00421BB5">
      <w:pPr>
        <w:pStyle w:val="0-2"/>
      </w:pPr>
      <w:r w:rsidRPr="00237A6E">
        <w:rPr>
          <w:rFonts w:hint="eastAsia"/>
        </w:rPr>
        <w:t>為堅實民事訴訟事實審、強化民事法院合議庭運作、防止民事審判遁入準備程序，爰請臺灣臺南地方法院於3個月內就民事庭落實合議審判之情形（含民事訴訟法第270條第3項各款之適用），</w:t>
      </w:r>
      <w:r>
        <w:rPr>
          <w:rFonts w:hint="eastAsia"/>
        </w:rPr>
        <w:t>提出書面報告。</w:t>
      </w:r>
    </w:p>
    <w:p w14:paraId="25272A53" w14:textId="77777777" w:rsidR="00421BB5" w:rsidRPr="00237A6E" w:rsidRDefault="00421BB5" w:rsidP="00421BB5">
      <w:pPr>
        <w:pStyle w:val="2-1"/>
      </w:pPr>
      <w:r w:rsidRPr="00237A6E">
        <w:rPr>
          <w:rFonts w:hint="eastAsia"/>
          <w:shd w:val="clear" w:color="auto" w:fill="FFFFFF"/>
        </w:rPr>
        <w:lastRenderedPageBreak/>
        <w:t>提案人：江永昌</w:t>
      </w:r>
      <w:r w:rsidRPr="00237A6E">
        <w:rPr>
          <w:shd w:val="clear" w:color="auto" w:fill="FFFFFF"/>
        </w:rPr>
        <w:t xml:space="preserve"> </w:t>
      </w:r>
      <w:r w:rsidRPr="00237A6E">
        <w:rPr>
          <w:rFonts w:hint="eastAsia"/>
          <w:shd w:val="clear" w:color="auto" w:fill="FFFFFF"/>
        </w:rPr>
        <w:t>黃世杰 陳歐珀</w:t>
      </w:r>
    </w:p>
    <w:p w14:paraId="6A8F86D2" w14:textId="77777777" w:rsidR="00421BB5" w:rsidRPr="00237A6E" w:rsidRDefault="00421BB5" w:rsidP="00421BB5">
      <w:pPr>
        <w:pStyle w:val="3-1"/>
        <w:adjustRightInd w:val="0"/>
        <w:snapToGrid w:val="0"/>
        <w:ind w:left="1600" w:hanging="1120"/>
      </w:pPr>
      <w:r w:rsidRPr="00237A6E">
        <w:t>第27項</w:t>
      </w:r>
      <w:r w:rsidRPr="00237A6E">
        <w:rPr>
          <w:rFonts w:hint="eastAsia"/>
        </w:rPr>
        <w:t xml:space="preserve">　</w:t>
      </w:r>
      <w:r w:rsidRPr="00237A6E">
        <w:t>臺灣</w:t>
      </w:r>
      <w:r w:rsidRPr="00237A6E">
        <w:rPr>
          <w:rFonts w:hint="eastAsia"/>
        </w:rPr>
        <w:t>橋頭</w:t>
      </w:r>
      <w:r w:rsidRPr="00237A6E">
        <w:t>地方法院</w:t>
      </w:r>
      <w:r w:rsidRPr="00237A6E">
        <w:rPr>
          <w:rFonts w:hint="eastAsia"/>
          <w:color w:val="000000"/>
        </w:rPr>
        <w:t>6億2,686萬9千元</w:t>
      </w:r>
      <w:r w:rsidRPr="00237A6E">
        <w:t>，照列。</w:t>
      </w:r>
    </w:p>
    <w:p w14:paraId="1F3409DF"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2A6B72D9"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7721C991"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663EBE9A" w14:textId="77777777" w:rsidR="00421BB5" w:rsidRPr="00237A6E" w:rsidRDefault="00421BB5" w:rsidP="00421BB5">
      <w:pPr>
        <w:pStyle w:val="0-2"/>
      </w:pPr>
      <w:r w:rsidRPr="00237A6E">
        <w:rPr>
          <w:rFonts w:hint="eastAsia"/>
        </w:rPr>
        <w:t>為堅實民事訴訟事實審、強化民事法院合議庭運作、防止民事審判遁入準備程序，爰請臺灣橋頭地方法院於3個月內就民事庭落實合議審判之情形（含民事訴訟法第270條第3項各款之適用），</w:t>
      </w:r>
      <w:r>
        <w:rPr>
          <w:rFonts w:hint="eastAsia"/>
        </w:rPr>
        <w:t>提出書面報告。</w:t>
      </w:r>
    </w:p>
    <w:p w14:paraId="10230EC3"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2BFA0923" w14:textId="77777777" w:rsidR="00421BB5" w:rsidRPr="00237A6E" w:rsidRDefault="00421BB5" w:rsidP="00421BB5">
      <w:pPr>
        <w:pStyle w:val="3-1"/>
        <w:adjustRightInd w:val="0"/>
        <w:snapToGrid w:val="0"/>
        <w:ind w:left="1600" w:hanging="1120"/>
      </w:pPr>
      <w:r w:rsidRPr="00237A6E">
        <w:t>第2</w:t>
      </w:r>
      <w:r w:rsidRPr="00237A6E">
        <w:rPr>
          <w:rFonts w:hint="eastAsia"/>
        </w:rPr>
        <w:t>8</w:t>
      </w:r>
      <w:r w:rsidRPr="00237A6E">
        <w:t>項</w:t>
      </w:r>
      <w:r w:rsidRPr="00237A6E">
        <w:rPr>
          <w:rFonts w:hint="eastAsia"/>
        </w:rPr>
        <w:t xml:space="preserve">　</w:t>
      </w:r>
      <w:r w:rsidRPr="00237A6E">
        <w:t>臺灣高雄地方法院</w:t>
      </w:r>
      <w:r w:rsidRPr="00237A6E">
        <w:rPr>
          <w:rFonts w:hint="eastAsia"/>
          <w:color w:val="000000"/>
        </w:rPr>
        <w:t>11億6,240萬7千元</w:t>
      </w:r>
      <w:r w:rsidRPr="00237A6E">
        <w:t>，照列。</w:t>
      </w:r>
    </w:p>
    <w:p w14:paraId="323D4355"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734CCF85"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64C211A2"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042B587C" w14:textId="77777777" w:rsidR="00421BB5" w:rsidRPr="00237A6E" w:rsidRDefault="00421BB5" w:rsidP="00421BB5">
      <w:pPr>
        <w:pStyle w:val="0-2"/>
      </w:pPr>
      <w:r w:rsidRPr="00237A6E">
        <w:rPr>
          <w:rFonts w:hint="eastAsia"/>
        </w:rPr>
        <w:t>為堅實民事訴訟事實審、強化民事法院合議庭運作、防止民事審判遁入準備程序，爰請臺灣高雄地方法院於3個月內就</w:t>
      </w:r>
      <w:r w:rsidRPr="00237A6E">
        <w:rPr>
          <w:rFonts w:hint="eastAsia"/>
        </w:rPr>
        <w:lastRenderedPageBreak/>
        <w:t>民事庭落實合議審判之情形（含民事訴訟法第270條第3項各款之適用），</w:t>
      </w:r>
      <w:r>
        <w:rPr>
          <w:rFonts w:hint="eastAsia"/>
        </w:rPr>
        <w:t>提出書面報告。</w:t>
      </w:r>
    </w:p>
    <w:p w14:paraId="0DEE3E5A"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07DACA1B" w14:textId="77777777" w:rsidR="00421BB5" w:rsidRPr="00237A6E" w:rsidRDefault="00421BB5" w:rsidP="00421BB5">
      <w:pPr>
        <w:pStyle w:val="3-1"/>
        <w:adjustRightInd w:val="0"/>
        <w:snapToGrid w:val="0"/>
        <w:ind w:left="1600" w:hanging="1120"/>
      </w:pPr>
      <w:r w:rsidRPr="00237A6E">
        <w:t>第2</w:t>
      </w:r>
      <w:r w:rsidRPr="00237A6E">
        <w:rPr>
          <w:rFonts w:hint="eastAsia"/>
        </w:rPr>
        <w:t>9</w:t>
      </w:r>
      <w:r w:rsidRPr="00237A6E">
        <w:t>項</w:t>
      </w:r>
      <w:r w:rsidRPr="00237A6E">
        <w:rPr>
          <w:rFonts w:hint="eastAsia"/>
        </w:rPr>
        <w:t xml:space="preserve">　</w:t>
      </w:r>
      <w:r w:rsidRPr="00237A6E">
        <w:t>臺灣屏東地方法院</w:t>
      </w:r>
      <w:r w:rsidRPr="00237A6E">
        <w:rPr>
          <w:rFonts w:hint="eastAsia"/>
          <w:color w:val="000000"/>
        </w:rPr>
        <w:t>6億2,647萬6千元</w:t>
      </w:r>
      <w:r w:rsidRPr="00237A6E">
        <w:t>，照列。</w:t>
      </w:r>
    </w:p>
    <w:p w14:paraId="6F882541"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550A1856"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7F548077"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67D164A4" w14:textId="77777777" w:rsidR="00421BB5" w:rsidRPr="00237A6E" w:rsidRDefault="00421BB5" w:rsidP="00421BB5">
      <w:pPr>
        <w:pStyle w:val="0-2"/>
      </w:pPr>
      <w:r w:rsidRPr="00237A6E">
        <w:rPr>
          <w:rFonts w:hint="eastAsia"/>
        </w:rPr>
        <w:t>為堅實民事訴訟事實審、強化民事法院合議庭運作、防止民事審判遁入準備程序，爰請臺灣屏東地方法院於3個月內就民事庭落實合議審判之情形（含民事訴訟法第270條第3項各款之適用），</w:t>
      </w:r>
      <w:r>
        <w:rPr>
          <w:rFonts w:hint="eastAsia"/>
        </w:rPr>
        <w:t>提出書面報告。</w:t>
      </w:r>
    </w:p>
    <w:p w14:paraId="670EDAE4"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3FF04B93" w14:textId="77777777" w:rsidR="00421BB5" w:rsidRPr="00237A6E" w:rsidRDefault="00421BB5" w:rsidP="00421BB5">
      <w:pPr>
        <w:pStyle w:val="3-1"/>
        <w:adjustRightInd w:val="0"/>
        <w:snapToGrid w:val="0"/>
        <w:ind w:left="1600" w:hanging="1120"/>
      </w:pPr>
      <w:r w:rsidRPr="00237A6E">
        <w:t>第</w:t>
      </w:r>
      <w:r w:rsidRPr="00237A6E">
        <w:rPr>
          <w:rFonts w:hint="eastAsia"/>
        </w:rPr>
        <w:t>30</w:t>
      </w:r>
      <w:r w:rsidRPr="00237A6E">
        <w:t>項</w:t>
      </w:r>
      <w:r w:rsidRPr="00237A6E">
        <w:rPr>
          <w:rFonts w:hint="eastAsia"/>
        </w:rPr>
        <w:t xml:space="preserve">　</w:t>
      </w:r>
      <w:r w:rsidRPr="00237A6E">
        <w:t>臺灣臺東地方法院</w:t>
      </w:r>
      <w:r w:rsidRPr="00237A6E">
        <w:rPr>
          <w:rFonts w:hint="eastAsia"/>
          <w:color w:val="000000"/>
        </w:rPr>
        <w:t>2億8,416萬元</w:t>
      </w:r>
      <w:r w:rsidRPr="00237A6E">
        <w:t>，照列。</w:t>
      </w:r>
    </w:p>
    <w:p w14:paraId="00900BB7" w14:textId="77777777" w:rsidR="00421BB5" w:rsidRPr="00237A6E" w:rsidRDefault="00421BB5" w:rsidP="00421BB5">
      <w:pPr>
        <w:pStyle w:val="3-1"/>
        <w:adjustRightInd w:val="0"/>
        <w:snapToGrid w:val="0"/>
        <w:ind w:left="1600" w:hanging="1120"/>
      </w:pPr>
      <w:r w:rsidRPr="00237A6E">
        <w:t>第3</w:t>
      </w:r>
      <w:r w:rsidRPr="00237A6E">
        <w:rPr>
          <w:rFonts w:hint="eastAsia"/>
        </w:rPr>
        <w:t>1</w:t>
      </w:r>
      <w:r w:rsidRPr="00237A6E">
        <w:t>項</w:t>
      </w:r>
      <w:r w:rsidRPr="00237A6E">
        <w:rPr>
          <w:rFonts w:hint="eastAsia"/>
        </w:rPr>
        <w:t xml:space="preserve">　</w:t>
      </w:r>
      <w:r w:rsidRPr="00237A6E">
        <w:t>臺灣花蓮地方法院</w:t>
      </w:r>
      <w:r w:rsidRPr="00237A6E">
        <w:rPr>
          <w:rFonts w:hint="eastAsia"/>
          <w:color w:val="000000"/>
        </w:rPr>
        <w:t>3億4,713萬3千元</w:t>
      </w:r>
      <w:r w:rsidRPr="00237A6E">
        <w:rPr>
          <w:rFonts w:hint="eastAsia"/>
        </w:rPr>
        <w:t>，</w:t>
      </w:r>
      <w:r w:rsidRPr="00237A6E">
        <w:t>照列。</w:t>
      </w:r>
    </w:p>
    <w:p w14:paraId="311E1FA2"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6BB04D83"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659A80C1"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w:t>
      </w:r>
      <w:r w:rsidRPr="00237A6E">
        <w:rPr>
          <w:rFonts w:hint="eastAsia"/>
        </w:rPr>
        <w:lastRenderedPageBreak/>
        <w:t>底座空虛化之疑慮。</w:t>
      </w:r>
    </w:p>
    <w:p w14:paraId="734A4C65" w14:textId="77777777" w:rsidR="00421BB5" w:rsidRPr="00237A6E" w:rsidRDefault="00421BB5" w:rsidP="00421BB5">
      <w:pPr>
        <w:pStyle w:val="0-2"/>
      </w:pPr>
      <w:r w:rsidRPr="00237A6E">
        <w:rPr>
          <w:rFonts w:hint="eastAsia"/>
        </w:rPr>
        <w:t>為堅實民事訴訟事實審、強化民事法院合議庭運作、防止民事審判遁入準備程序，爰請臺灣花蓮地方法院於3個月內就民事庭落實合議審判之情形（含民事訴訟法第270條第3項各款之適用），</w:t>
      </w:r>
      <w:r>
        <w:rPr>
          <w:rFonts w:hint="eastAsia"/>
        </w:rPr>
        <w:t>提出書面報告。</w:t>
      </w:r>
    </w:p>
    <w:p w14:paraId="0461A832"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317E300D" w14:textId="77777777" w:rsidR="00421BB5" w:rsidRPr="00237A6E" w:rsidRDefault="00421BB5" w:rsidP="00421BB5">
      <w:pPr>
        <w:pStyle w:val="3-1"/>
        <w:adjustRightInd w:val="0"/>
        <w:snapToGrid w:val="0"/>
        <w:ind w:left="1600" w:hanging="1120"/>
      </w:pPr>
      <w:r w:rsidRPr="00237A6E">
        <w:t>第3</w:t>
      </w:r>
      <w:r w:rsidRPr="00237A6E">
        <w:rPr>
          <w:rFonts w:hint="eastAsia"/>
        </w:rPr>
        <w:t>2</w:t>
      </w:r>
      <w:r w:rsidRPr="00237A6E">
        <w:t>項</w:t>
      </w:r>
      <w:r w:rsidRPr="00237A6E">
        <w:rPr>
          <w:rFonts w:hint="eastAsia"/>
        </w:rPr>
        <w:t xml:space="preserve">　</w:t>
      </w:r>
      <w:r w:rsidRPr="00237A6E">
        <w:t>臺灣宜蘭地方法院</w:t>
      </w:r>
      <w:r w:rsidRPr="00237A6E">
        <w:rPr>
          <w:rFonts w:hint="eastAsia"/>
          <w:color w:val="000000"/>
        </w:rPr>
        <w:t>3億3,971萬7千元</w:t>
      </w:r>
      <w:r w:rsidRPr="00237A6E">
        <w:t>，照列。</w:t>
      </w:r>
    </w:p>
    <w:p w14:paraId="51062ACE"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74A4F0A2"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76B061D9" w14:textId="77777777" w:rsidR="00421BB5" w:rsidRPr="00237A6E" w:rsidRDefault="00421BB5" w:rsidP="00421BB5">
      <w:pPr>
        <w:pStyle w:val="0-2"/>
      </w:pPr>
      <w:r w:rsidRPr="00237A6E">
        <w:rPr>
          <w:rFonts w:hint="eastAsia"/>
        </w:rPr>
        <w:t>惟民事訴訟法第270條第3項的各款例外、尤其是第4款「兩造合意」條款，有導致證據調查在準備程序進行，而架空合議庭3位法官共同審理之審判制度、造成民事訴訟金字塔底座空虛化之疑慮。</w:t>
      </w:r>
    </w:p>
    <w:p w14:paraId="67A6AA5B" w14:textId="77777777" w:rsidR="00421BB5" w:rsidRPr="00237A6E" w:rsidRDefault="00421BB5" w:rsidP="00421BB5">
      <w:pPr>
        <w:pStyle w:val="0-2"/>
      </w:pPr>
      <w:r w:rsidRPr="00237A6E">
        <w:rPr>
          <w:rFonts w:hint="eastAsia"/>
        </w:rPr>
        <w:t>為堅實民事訴訟事實審、強化民事法院合議庭運作、防止民事審判遁入準備程序，爰請臺灣宜蘭地方法院於3個月內就民事庭落實合議審判之情形（含民事訴訟法第270條第3項各款之適用），</w:t>
      </w:r>
      <w:r>
        <w:rPr>
          <w:rFonts w:hint="eastAsia"/>
        </w:rPr>
        <w:t>提出書面報告。</w:t>
      </w:r>
    </w:p>
    <w:p w14:paraId="7FE24DE1"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27D2B55D" w14:textId="77777777" w:rsidR="00421BB5" w:rsidRPr="00237A6E" w:rsidRDefault="00421BB5" w:rsidP="00421BB5">
      <w:pPr>
        <w:pStyle w:val="3-1"/>
        <w:adjustRightInd w:val="0"/>
        <w:snapToGrid w:val="0"/>
        <w:ind w:left="1600" w:hanging="1120"/>
      </w:pPr>
      <w:r w:rsidRPr="00237A6E">
        <w:t>第3</w:t>
      </w:r>
      <w:r w:rsidRPr="00237A6E">
        <w:rPr>
          <w:rFonts w:hint="eastAsia"/>
        </w:rPr>
        <w:t>3</w:t>
      </w:r>
      <w:r w:rsidRPr="00237A6E">
        <w:t>項</w:t>
      </w:r>
      <w:r w:rsidRPr="00237A6E">
        <w:rPr>
          <w:rFonts w:hint="eastAsia"/>
        </w:rPr>
        <w:t xml:space="preserve">　</w:t>
      </w:r>
      <w:r w:rsidRPr="00237A6E">
        <w:t>臺灣基隆地方法院</w:t>
      </w:r>
      <w:r w:rsidRPr="00237A6E">
        <w:rPr>
          <w:rFonts w:hint="eastAsia"/>
          <w:color w:val="000000"/>
        </w:rPr>
        <w:t>3億</w:t>
      </w:r>
      <w:r w:rsidRPr="00237A6E">
        <w:rPr>
          <w:color w:val="000000"/>
        </w:rPr>
        <w:t>9</w:t>
      </w:r>
      <w:r w:rsidRPr="00237A6E">
        <w:rPr>
          <w:rFonts w:hint="eastAsia"/>
          <w:color w:val="000000"/>
        </w:rPr>
        <w:t>,108萬2千元</w:t>
      </w:r>
      <w:r w:rsidRPr="00237A6E">
        <w:t>，照列。</w:t>
      </w:r>
    </w:p>
    <w:p w14:paraId="598477BE" w14:textId="77777777" w:rsidR="00421BB5" w:rsidRPr="00237A6E" w:rsidRDefault="00421BB5" w:rsidP="00421BB5">
      <w:pPr>
        <w:pStyle w:val="3-1"/>
        <w:adjustRightInd w:val="0"/>
        <w:snapToGrid w:val="0"/>
        <w:ind w:left="1601" w:hanging="1121"/>
      </w:pPr>
      <w:r w:rsidRPr="00237A6E">
        <w:rPr>
          <w:b/>
        </w:rPr>
        <w:t>本項通過決議</w:t>
      </w:r>
      <w:r w:rsidRPr="00237A6E">
        <w:rPr>
          <w:rFonts w:hint="eastAsia"/>
          <w:b/>
        </w:rPr>
        <w:t>1</w:t>
      </w:r>
      <w:r w:rsidRPr="00237A6E">
        <w:rPr>
          <w:b/>
        </w:rPr>
        <w:t>項：</w:t>
      </w:r>
    </w:p>
    <w:p w14:paraId="49F28E63" w14:textId="77777777" w:rsidR="00421BB5" w:rsidRPr="00237A6E" w:rsidRDefault="00421BB5" w:rsidP="00421BB5">
      <w:pPr>
        <w:pStyle w:val="0-"/>
      </w:pPr>
      <w:r w:rsidRPr="00237A6E">
        <w:rPr>
          <w:rFonts w:hint="eastAsia"/>
        </w:rPr>
        <w:t>(一)司法院欲打造金字塔型訴訟制度、並以堅實事實審為其基礎。而我國現行民事訴訟制度規定，就較複雜的案件，原則上應以合議庭審理。惟法院於必要時以庭員1人為受命法官，使行準備程序。準備程序，以闡明訴訟關係為止。命受命法官調查證據，以下列情形為限：1、有在證據所在地調查之必要者。2、依法應在法院以外之場所調查者。3、於言詞辯論期日調查，有致證據毀損、滅失或礙難使用之虞，或顯有其他困難者。4、兩造合意由受命法官調查者。民事訴訟法第270條第1項、第3項定有明文。足見民事訴訟於準備程序由受命法官調查證據，應屬例外。</w:t>
      </w:r>
    </w:p>
    <w:p w14:paraId="794D480C" w14:textId="77777777" w:rsidR="00421BB5" w:rsidRPr="00237A6E" w:rsidRDefault="00421BB5" w:rsidP="00421BB5">
      <w:pPr>
        <w:pStyle w:val="0-2"/>
      </w:pPr>
      <w:r w:rsidRPr="00237A6E">
        <w:rPr>
          <w:rFonts w:hint="eastAsia"/>
        </w:rPr>
        <w:t>惟民事訴訟法第270條第3項的各款例外、尤其是第4</w:t>
      </w:r>
      <w:r w:rsidRPr="00237A6E">
        <w:rPr>
          <w:rFonts w:hint="eastAsia"/>
        </w:rPr>
        <w:lastRenderedPageBreak/>
        <w:t>款「兩造合意」條款，有導致證據調查在準備程序進行，而架空合議庭3位法官共同審理之審判制度、造成民事訴訟金字塔底座空虛化之疑慮。</w:t>
      </w:r>
    </w:p>
    <w:p w14:paraId="24D1FDA1" w14:textId="77777777" w:rsidR="00421BB5" w:rsidRPr="00237A6E" w:rsidRDefault="00421BB5" w:rsidP="00421BB5">
      <w:pPr>
        <w:pStyle w:val="0-2"/>
      </w:pPr>
      <w:r w:rsidRPr="00237A6E">
        <w:rPr>
          <w:rFonts w:hint="eastAsia"/>
        </w:rPr>
        <w:t>為堅實民事訴訟事實審、強化民事法院合議庭運作、防止民事審判遁入準備程序，爰請臺灣基隆地方法院於3個月內就民事庭落實合議審判之情形（含民事訴訟法第270條第3項各款之適用），</w:t>
      </w:r>
      <w:r>
        <w:rPr>
          <w:rFonts w:hint="eastAsia"/>
        </w:rPr>
        <w:t>提出書面報告。</w:t>
      </w:r>
    </w:p>
    <w:p w14:paraId="26FBDA56" w14:textId="77777777" w:rsidR="00421BB5" w:rsidRPr="00237A6E" w:rsidRDefault="00421BB5" w:rsidP="00421BB5">
      <w:pPr>
        <w:pStyle w:val="2-1"/>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14:paraId="26F3EEB5" w14:textId="77777777" w:rsidR="00421BB5" w:rsidRPr="00237A6E" w:rsidRDefault="00421BB5" w:rsidP="00421BB5">
      <w:pPr>
        <w:pStyle w:val="3-1"/>
        <w:adjustRightInd w:val="0"/>
        <w:snapToGrid w:val="0"/>
        <w:ind w:left="1600" w:hanging="1120"/>
      </w:pPr>
      <w:r w:rsidRPr="00237A6E">
        <w:t>第3</w:t>
      </w:r>
      <w:r w:rsidRPr="00237A6E">
        <w:rPr>
          <w:rFonts w:hint="eastAsia"/>
        </w:rPr>
        <w:t>4</w:t>
      </w:r>
      <w:r w:rsidRPr="00237A6E">
        <w:t>項</w:t>
      </w:r>
      <w:r w:rsidRPr="00237A6E">
        <w:rPr>
          <w:rFonts w:hint="eastAsia"/>
        </w:rPr>
        <w:t xml:space="preserve">　</w:t>
      </w:r>
      <w:r w:rsidRPr="00237A6E">
        <w:t>臺灣澎湖地方法院</w:t>
      </w:r>
      <w:r w:rsidRPr="00237A6E">
        <w:rPr>
          <w:rFonts w:hint="eastAsia"/>
          <w:color w:val="000000"/>
        </w:rPr>
        <w:t>1億3,285萬7千元</w:t>
      </w:r>
      <w:r w:rsidRPr="00237A6E">
        <w:t>，照列。</w:t>
      </w:r>
    </w:p>
    <w:p w14:paraId="77196AF2" w14:textId="77777777" w:rsidR="00421BB5" w:rsidRPr="00237A6E" w:rsidRDefault="00421BB5" w:rsidP="00421BB5">
      <w:pPr>
        <w:pStyle w:val="3-1"/>
        <w:adjustRightInd w:val="0"/>
        <w:snapToGrid w:val="0"/>
        <w:ind w:left="1600" w:hanging="1120"/>
      </w:pPr>
      <w:r w:rsidRPr="00237A6E">
        <w:t>第3</w:t>
      </w:r>
      <w:r w:rsidRPr="00237A6E">
        <w:rPr>
          <w:rFonts w:hint="eastAsia"/>
        </w:rPr>
        <w:t>5</w:t>
      </w:r>
      <w:r w:rsidRPr="00237A6E">
        <w:t>項</w:t>
      </w:r>
      <w:r w:rsidRPr="00237A6E">
        <w:rPr>
          <w:rFonts w:hint="eastAsia"/>
        </w:rPr>
        <w:t xml:space="preserve">　</w:t>
      </w:r>
      <w:r w:rsidRPr="00237A6E">
        <w:rPr>
          <w:spacing w:val="-6"/>
        </w:rPr>
        <w:t>臺灣高雄少年及家事法院</w:t>
      </w:r>
      <w:r w:rsidRPr="00237A6E">
        <w:rPr>
          <w:rFonts w:hint="eastAsia"/>
          <w:color w:val="000000"/>
        </w:rPr>
        <w:t>3億3,337萬5千元</w:t>
      </w:r>
      <w:r w:rsidRPr="00237A6E">
        <w:rPr>
          <w:spacing w:val="-6"/>
        </w:rPr>
        <w:t>，照列。</w:t>
      </w:r>
    </w:p>
    <w:p w14:paraId="2528B3E9" w14:textId="77777777" w:rsidR="00421BB5" w:rsidRPr="00237A6E" w:rsidRDefault="00421BB5" w:rsidP="00421BB5">
      <w:pPr>
        <w:pStyle w:val="3-1"/>
        <w:adjustRightInd w:val="0"/>
        <w:snapToGrid w:val="0"/>
        <w:ind w:left="1600" w:hanging="1120"/>
      </w:pPr>
      <w:r w:rsidRPr="00237A6E">
        <w:t>第3</w:t>
      </w:r>
      <w:r w:rsidRPr="00237A6E">
        <w:rPr>
          <w:rFonts w:hint="eastAsia"/>
        </w:rPr>
        <w:t>6</w:t>
      </w:r>
      <w:r w:rsidRPr="00237A6E">
        <w:t>項</w:t>
      </w:r>
      <w:r w:rsidRPr="00237A6E">
        <w:rPr>
          <w:rFonts w:hint="eastAsia"/>
        </w:rPr>
        <w:t xml:space="preserve">　</w:t>
      </w:r>
      <w:r w:rsidRPr="00237A6E">
        <w:t>福建高等法院金門分院</w:t>
      </w:r>
      <w:r w:rsidRPr="00237A6E">
        <w:rPr>
          <w:rFonts w:hint="eastAsia"/>
          <w:color w:val="000000"/>
        </w:rPr>
        <w:t>3,874萬1千元</w:t>
      </w:r>
      <w:r w:rsidRPr="00237A6E">
        <w:t>，照列。</w:t>
      </w:r>
    </w:p>
    <w:p w14:paraId="258ABE00" w14:textId="77777777" w:rsidR="00421BB5" w:rsidRPr="00237A6E" w:rsidRDefault="00421BB5" w:rsidP="00421BB5">
      <w:pPr>
        <w:pStyle w:val="3-1"/>
        <w:adjustRightInd w:val="0"/>
        <w:snapToGrid w:val="0"/>
        <w:ind w:left="1600" w:hanging="1120"/>
      </w:pPr>
      <w:r w:rsidRPr="00237A6E">
        <w:t>第3</w:t>
      </w:r>
      <w:r w:rsidRPr="00237A6E">
        <w:rPr>
          <w:rFonts w:hint="eastAsia"/>
        </w:rPr>
        <w:t>7</w:t>
      </w:r>
      <w:r w:rsidRPr="00237A6E">
        <w:t>項</w:t>
      </w:r>
      <w:r w:rsidRPr="00237A6E">
        <w:rPr>
          <w:rFonts w:hint="eastAsia"/>
        </w:rPr>
        <w:t xml:space="preserve">　</w:t>
      </w:r>
      <w:r w:rsidRPr="00237A6E">
        <w:t>福建金門地方法院</w:t>
      </w:r>
      <w:r w:rsidRPr="00237A6E">
        <w:rPr>
          <w:rFonts w:hint="eastAsia"/>
          <w:color w:val="000000"/>
        </w:rPr>
        <w:t>1億0,653萬2千元</w:t>
      </w:r>
      <w:r w:rsidRPr="00237A6E">
        <w:t>，照列。</w:t>
      </w:r>
    </w:p>
    <w:p w14:paraId="56A7BCFF" w14:textId="77777777" w:rsidR="00421BB5" w:rsidRPr="00237A6E" w:rsidRDefault="00421BB5" w:rsidP="00421BB5">
      <w:pPr>
        <w:pStyle w:val="3-1"/>
        <w:adjustRightInd w:val="0"/>
        <w:snapToGrid w:val="0"/>
        <w:ind w:left="1600" w:hanging="1120"/>
      </w:pPr>
      <w:r w:rsidRPr="00237A6E">
        <w:t>第3</w:t>
      </w:r>
      <w:r w:rsidRPr="00237A6E">
        <w:rPr>
          <w:rFonts w:hint="eastAsia"/>
        </w:rPr>
        <w:t>8</w:t>
      </w:r>
      <w:r w:rsidRPr="00237A6E">
        <w:t>項</w:t>
      </w:r>
      <w:r w:rsidRPr="00237A6E">
        <w:rPr>
          <w:rFonts w:hint="eastAsia"/>
        </w:rPr>
        <w:t xml:space="preserve">　</w:t>
      </w:r>
      <w:r w:rsidRPr="00237A6E">
        <w:t>福建連江地方法院</w:t>
      </w:r>
      <w:r w:rsidRPr="00237A6E">
        <w:rPr>
          <w:rFonts w:hint="eastAsia"/>
        </w:rPr>
        <w:t>3,409萬9千元</w:t>
      </w:r>
      <w:r w:rsidRPr="00237A6E">
        <w:t>，照列。</w:t>
      </w:r>
    </w:p>
    <w:p w14:paraId="7C0A68E9" w14:textId="77777777" w:rsidR="00421BB5" w:rsidRPr="00237A6E" w:rsidRDefault="00421BB5" w:rsidP="00421BB5">
      <w:pPr>
        <w:overflowPunct w:val="0"/>
        <w:spacing w:line="360" w:lineRule="exact"/>
        <w:ind w:left="560" w:rightChars="-21" w:right="-50" w:hangingChars="200" w:hanging="560"/>
        <w:contextualSpacing/>
        <w:jc w:val="distribute"/>
        <w:rPr>
          <w:rFonts w:ascii="標楷體" w:eastAsia="標楷體" w:hAnsi="標楷體"/>
          <w:sz w:val="28"/>
          <w:szCs w:val="28"/>
        </w:rPr>
      </w:pPr>
      <w:r w:rsidRPr="00237A6E">
        <w:rPr>
          <w:rFonts w:ascii="標楷體" w:eastAsia="標楷體" w:hAnsi="標楷體" w:hint="eastAsia"/>
          <w:sz w:val="28"/>
          <w:szCs w:val="28"/>
        </w:rPr>
        <w:t>(</w:t>
      </w:r>
      <w:r w:rsidRPr="00237A6E">
        <w:rPr>
          <w:rFonts w:ascii="標楷體" w:eastAsia="標楷體" w:hAnsi="標楷體"/>
          <w:sz w:val="28"/>
          <w:szCs w:val="28"/>
        </w:rPr>
        <w:t>三</w:t>
      </w:r>
      <w:r w:rsidRPr="00237A6E">
        <w:rPr>
          <w:rFonts w:ascii="標楷體" w:eastAsia="標楷體" w:hAnsi="標楷體" w:hint="eastAsia"/>
          <w:sz w:val="28"/>
          <w:szCs w:val="28"/>
        </w:rPr>
        <w:t>)</w:t>
      </w:r>
      <w:r w:rsidRPr="00237A6E">
        <w:rPr>
          <w:rFonts w:ascii="標楷體" w:eastAsia="標楷體" w:hAnsi="標楷體"/>
          <w:sz w:val="28"/>
          <w:szCs w:val="28"/>
        </w:rPr>
        <w:t>中華民國</w:t>
      </w:r>
      <w:r w:rsidRPr="00237A6E">
        <w:rPr>
          <w:rFonts w:ascii="標楷體" w:eastAsia="標楷體" w:hAnsi="標楷體" w:hint="eastAsia"/>
          <w:sz w:val="28"/>
          <w:szCs w:val="28"/>
        </w:rPr>
        <w:t>11</w:t>
      </w:r>
      <w:r w:rsidRPr="00237A6E">
        <w:rPr>
          <w:rFonts w:ascii="標楷體" w:eastAsia="標楷體" w:hAnsi="標楷體"/>
          <w:sz w:val="28"/>
          <w:szCs w:val="28"/>
        </w:rPr>
        <w:t>2</w:t>
      </w:r>
      <w:r w:rsidRPr="00237A6E">
        <w:rPr>
          <w:rFonts w:ascii="標楷體" w:eastAsia="標楷體" w:hAnsi="標楷體" w:hint="eastAsia"/>
          <w:sz w:val="28"/>
          <w:szCs w:val="28"/>
        </w:rPr>
        <w:t>年度中央政府總預算案關於司法院及所屬主管收</w:t>
      </w:r>
    </w:p>
    <w:p w14:paraId="3667B086" w14:textId="77777777" w:rsidR="00421BB5" w:rsidRPr="00237A6E" w:rsidRDefault="00421BB5" w:rsidP="00421BB5">
      <w:pPr>
        <w:overflowPunct w:val="0"/>
        <w:spacing w:line="360" w:lineRule="exact"/>
        <w:ind w:leftChars="233" w:left="559" w:rightChars="-21" w:right="-50" w:firstLineChars="5" w:firstLine="14"/>
        <w:contextualSpacing/>
        <w:jc w:val="both"/>
        <w:rPr>
          <w:rFonts w:ascii="標楷體" w:eastAsia="標楷體" w:hAnsi="標楷體"/>
          <w:sz w:val="28"/>
          <w:szCs w:val="28"/>
        </w:rPr>
      </w:pPr>
      <w:r w:rsidRPr="00237A6E">
        <w:rPr>
          <w:rFonts w:ascii="標楷體" w:eastAsia="標楷體" w:hAnsi="標楷體" w:hint="eastAsia"/>
          <w:sz w:val="28"/>
          <w:szCs w:val="28"/>
        </w:rPr>
        <w:t>支部分</w:t>
      </w:r>
      <w:r w:rsidRPr="00237A6E">
        <w:rPr>
          <w:rFonts w:ascii="標楷體" w:eastAsia="標楷體" w:hAnsi="標楷體"/>
          <w:sz w:val="28"/>
          <w:szCs w:val="28"/>
        </w:rPr>
        <w:t>審查完竣，提報院會</w:t>
      </w:r>
      <w:r w:rsidRPr="00237A6E">
        <w:rPr>
          <w:rFonts w:ascii="標楷體" w:eastAsia="標楷體" w:hAnsi="標楷體" w:hint="eastAsia"/>
          <w:sz w:val="28"/>
          <w:szCs w:val="28"/>
        </w:rPr>
        <w:t>，院會討論前，</w:t>
      </w:r>
      <w:r w:rsidRPr="00237A6E">
        <w:rPr>
          <w:rFonts w:ascii="標楷體" w:eastAsia="標楷體" w:hAnsi="標楷體"/>
          <w:sz w:val="28"/>
          <w:szCs w:val="28"/>
        </w:rPr>
        <w:t>須交由黨團協商</w:t>
      </w:r>
      <w:r w:rsidRPr="00237A6E">
        <w:rPr>
          <w:rFonts w:ascii="標楷體" w:eastAsia="標楷體" w:hAnsi="標楷體" w:hint="eastAsia"/>
          <w:sz w:val="28"/>
          <w:szCs w:val="28"/>
        </w:rPr>
        <w:t>；院會討論時，由陳召集委員歐珀出席說明</w:t>
      </w:r>
      <w:r w:rsidRPr="00237A6E">
        <w:rPr>
          <w:rFonts w:ascii="標楷體" w:eastAsia="標楷體" w:hAnsi="標楷體"/>
          <w:sz w:val="28"/>
          <w:szCs w:val="28"/>
        </w:rPr>
        <w:t>。</w:t>
      </w:r>
    </w:p>
    <w:p w14:paraId="42EBE483" w14:textId="77777777" w:rsidR="00421BB5" w:rsidRPr="00237A6E" w:rsidRDefault="00421BB5" w:rsidP="00421BB5">
      <w:pPr>
        <w:kinsoku w:val="0"/>
        <w:adjustRightInd w:val="0"/>
        <w:snapToGrid w:val="0"/>
        <w:spacing w:line="360" w:lineRule="exact"/>
        <w:ind w:left="560" w:hangingChars="200" w:hanging="560"/>
        <w:jc w:val="both"/>
        <w:rPr>
          <w:rFonts w:ascii="標楷體" w:eastAsia="標楷體" w:hAnsi="標楷體"/>
          <w:kern w:val="0"/>
          <w:sz w:val="28"/>
          <w:szCs w:val="28"/>
          <w:shd w:val="pct15" w:color="auto" w:fill="FFFFFF"/>
        </w:rPr>
      </w:pPr>
      <w:r w:rsidRPr="00237A6E">
        <w:rPr>
          <w:rFonts w:ascii="標楷體" w:eastAsia="標楷體" w:hAnsi="標楷體" w:hint="eastAsia"/>
          <w:sz w:val="28"/>
          <w:szCs w:val="28"/>
        </w:rPr>
        <w:t>二、財團法人法律扶助基金會112年度預算書案</w:t>
      </w:r>
      <w:r w:rsidRPr="00237A6E">
        <w:rPr>
          <w:rFonts w:ascii="標楷體" w:eastAsia="標楷體" w:hAnsi="標楷體"/>
          <w:sz w:val="28"/>
          <w:szCs w:val="28"/>
          <w:shd w:val="clear" w:color="auto" w:fill="FFFFFF"/>
        </w:rPr>
        <w:t>：</w:t>
      </w:r>
    </w:p>
    <w:p w14:paraId="6EAA5BA4" w14:textId="77777777" w:rsidR="00421BB5" w:rsidRPr="00237A6E" w:rsidRDefault="00421BB5" w:rsidP="00421BB5">
      <w:pPr>
        <w:adjustRightInd w:val="0"/>
        <w:snapToGrid w:val="0"/>
        <w:spacing w:line="360" w:lineRule="exact"/>
        <w:ind w:left="560" w:hangingChars="200" w:hanging="560"/>
        <w:jc w:val="distribute"/>
        <w:rPr>
          <w:rFonts w:ascii="標楷體" w:eastAsia="標楷體" w:hAnsi="標楷體"/>
          <w:sz w:val="28"/>
          <w:szCs w:val="28"/>
          <w:shd w:val="clear" w:color="auto" w:fill="FFFFFF"/>
        </w:rPr>
      </w:pPr>
      <w:r w:rsidRPr="00237A6E">
        <w:rPr>
          <w:rFonts w:ascii="標楷體" w:eastAsia="標楷體" w:hAnsi="標楷體"/>
          <w:sz w:val="28"/>
          <w:szCs w:val="28"/>
        </w:rPr>
        <w:t xml:space="preserve"> </w:t>
      </w:r>
      <w:r w:rsidRPr="00237A6E">
        <w:rPr>
          <w:rFonts w:ascii="標楷體" w:eastAsia="標楷體" w:hAnsi="標楷體"/>
          <w:sz w:val="28"/>
          <w:szCs w:val="28"/>
          <w:shd w:val="clear" w:color="auto" w:fill="FFFFFF"/>
        </w:rPr>
        <w:t>(一)業務計畫：應依據業務收支、轉投資、固定資產</w:t>
      </w:r>
      <w:r w:rsidRPr="00237A6E">
        <w:rPr>
          <w:rFonts w:ascii="標楷體" w:eastAsia="標楷體" w:hAnsi="標楷體" w:hint="eastAsia"/>
          <w:sz w:val="28"/>
          <w:szCs w:val="28"/>
          <w:shd w:val="clear" w:color="auto" w:fill="FFFFFF"/>
        </w:rPr>
        <w:t>投資</w:t>
      </w:r>
      <w:r w:rsidRPr="00237A6E">
        <w:rPr>
          <w:rFonts w:ascii="標楷體" w:eastAsia="標楷體" w:hAnsi="標楷體"/>
          <w:sz w:val="28"/>
          <w:szCs w:val="28"/>
          <w:shd w:val="clear" w:color="auto" w:fill="FFFFFF"/>
        </w:rPr>
        <w:t xml:space="preserve">及資金運 </w:t>
      </w:r>
    </w:p>
    <w:p w14:paraId="188A8B8E" w14:textId="77777777" w:rsidR="00421BB5" w:rsidRPr="00237A6E" w:rsidRDefault="00421BB5" w:rsidP="00421BB5">
      <w:pPr>
        <w:adjustRightInd w:val="0"/>
        <w:snapToGrid w:val="0"/>
        <w:spacing w:line="360" w:lineRule="exact"/>
        <w:ind w:leftChars="233" w:left="559" w:firstLineChars="65" w:firstLine="182"/>
        <w:jc w:val="both"/>
        <w:rPr>
          <w:rFonts w:ascii="標楷體" w:eastAsia="標楷體" w:hAnsi="標楷體"/>
          <w:sz w:val="28"/>
          <w:szCs w:val="28"/>
        </w:rPr>
      </w:pPr>
      <w:r w:rsidRPr="00237A6E">
        <w:rPr>
          <w:rFonts w:ascii="標楷體" w:eastAsia="標楷體" w:hAnsi="標楷體"/>
          <w:sz w:val="28"/>
          <w:szCs w:val="28"/>
          <w:shd w:val="clear" w:color="auto" w:fill="FFFFFF"/>
        </w:rPr>
        <w:t>用等項之審查結果，隨同調整。</w:t>
      </w:r>
    </w:p>
    <w:p w14:paraId="16188C7F" w14:textId="77777777" w:rsidR="00421BB5" w:rsidRPr="00237A6E" w:rsidRDefault="00421BB5" w:rsidP="00421BB5">
      <w:pPr>
        <w:adjustRightInd w:val="0"/>
        <w:snapToGrid w:val="0"/>
        <w:spacing w:line="360" w:lineRule="exact"/>
        <w:ind w:left="280" w:hangingChars="100" w:hanging="280"/>
        <w:jc w:val="both"/>
        <w:rPr>
          <w:rFonts w:ascii="標楷體" w:eastAsia="標楷體" w:hAnsi="標楷體"/>
          <w:sz w:val="28"/>
          <w:szCs w:val="28"/>
        </w:rPr>
      </w:pPr>
      <w:r w:rsidRPr="00237A6E">
        <w:rPr>
          <w:rFonts w:ascii="標楷體" w:eastAsia="標楷體" w:hAnsi="標楷體"/>
          <w:sz w:val="28"/>
          <w:szCs w:val="28"/>
          <w:shd w:val="clear" w:color="auto" w:fill="FFFFFF"/>
        </w:rPr>
        <w:t xml:space="preserve"> </w:t>
      </w:r>
      <w:r w:rsidRPr="00237A6E">
        <w:rPr>
          <w:rFonts w:ascii="標楷體" w:eastAsia="標楷體" w:hAnsi="標楷體"/>
          <w:sz w:val="28"/>
          <w:szCs w:val="28"/>
        </w:rPr>
        <w:t>(</w:t>
      </w:r>
      <w:r w:rsidRPr="00237A6E">
        <w:rPr>
          <w:rFonts w:ascii="標楷體" w:eastAsia="標楷體" w:hAnsi="標楷體" w:hint="eastAsia"/>
          <w:sz w:val="28"/>
          <w:szCs w:val="28"/>
        </w:rPr>
        <w:t>二</w:t>
      </w:r>
      <w:r w:rsidRPr="00237A6E">
        <w:rPr>
          <w:rFonts w:ascii="標楷體" w:eastAsia="標楷體" w:hAnsi="標楷體"/>
          <w:sz w:val="28"/>
          <w:szCs w:val="28"/>
        </w:rPr>
        <w:t>)收支</w:t>
      </w:r>
      <w:r w:rsidRPr="00237A6E">
        <w:rPr>
          <w:rFonts w:ascii="標楷體" w:eastAsia="標楷體" w:hAnsi="標楷體" w:hint="eastAsia"/>
          <w:sz w:val="28"/>
          <w:szCs w:val="28"/>
        </w:rPr>
        <w:t>預算</w:t>
      </w:r>
      <w:r w:rsidRPr="00237A6E">
        <w:rPr>
          <w:rFonts w:ascii="標楷體" w:eastAsia="標楷體" w:hAnsi="標楷體"/>
          <w:sz w:val="28"/>
          <w:szCs w:val="28"/>
        </w:rPr>
        <w:t>：</w:t>
      </w:r>
    </w:p>
    <w:p w14:paraId="46D2A9AC" w14:textId="77777777" w:rsidR="00421BB5" w:rsidRPr="00237A6E" w:rsidRDefault="00421BB5" w:rsidP="00421BB5">
      <w:pPr>
        <w:adjustRightInd w:val="0"/>
        <w:snapToGrid w:val="0"/>
        <w:spacing w:line="360" w:lineRule="exact"/>
        <w:ind w:leftChars="221" w:left="1037" w:hangingChars="181" w:hanging="507"/>
        <w:jc w:val="both"/>
        <w:rPr>
          <w:rFonts w:ascii="標楷體" w:eastAsia="標楷體" w:hAnsi="標楷體"/>
          <w:sz w:val="28"/>
          <w:szCs w:val="28"/>
        </w:rPr>
      </w:pPr>
      <w:r w:rsidRPr="00237A6E">
        <w:rPr>
          <w:rFonts w:ascii="標楷體" w:eastAsia="標楷體" w:hAnsi="標楷體" w:hint="eastAsia"/>
          <w:sz w:val="28"/>
          <w:szCs w:val="28"/>
        </w:rPr>
        <w:t>1.</w:t>
      </w:r>
      <w:r w:rsidRPr="00237A6E">
        <w:rPr>
          <w:rFonts w:ascii="標楷體" w:eastAsia="標楷體" w:hAnsi="標楷體"/>
          <w:sz w:val="28"/>
          <w:szCs w:val="28"/>
        </w:rPr>
        <w:t>總收入：</w:t>
      </w:r>
      <w:r w:rsidRPr="00237A6E">
        <w:rPr>
          <w:rFonts w:ascii="標楷體" w:eastAsia="標楷體" w:hAnsi="標楷體"/>
          <w:color w:val="000000"/>
          <w:sz w:val="28"/>
          <w:szCs w:val="28"/>
        </w:rPr>
        <w:t>16</w:t>
      </w:r>
      <w:r w:rsidRPr="00237A6E">
        <w:rPr>
          <w:rFonts w:ascii="標楷體" w:eastAsia="標楷體" w:hAnsi="標楷體" w:hint="eastAsia"/>
          <w:color w:val="000000"/>
          <w:sz w:val="28"/>
          <w:szCs w:val="28"/>
        </w:rPr>
        <w:t>億</w:t>
      </w:r>
      <w:r w:rsidRPr="00237A6E">
        <w:rPr>
          <w:rFonts w:ascii="標楷體" w:eastAsia="標楷體" w:hAnsi="標楷體" w:hint="eastAsia"/>
          <w:sz w:val="28"/>
          <w:szCs w:val="28"/>
        </w:rPr>
        <w:t>6</w:t>
      </w:r>
      <w:r w:rsidRPr="00237A6E">
        <w:rPr>
          <w:rFonts w:ascii="標楷體" w:eastAsia="標楷體" w:hAnsi="標楷體"/>
          <w:sz w:val="28"/>
          <w:szCs w:val="28"/>
        </w:rPr>
        <w:t>,</w:t>
      </w:r>
      <w:r w:rsidRPr="00237A6E">
        <w:rPr>
          <w:rFonts w:ascii="標楷體" w:eastAsia="標楷體" w:hAnsi="標楷體" w:hint="eastAsia"/>
          <w:sz w:val="28"/>
          <w:szCs w:val="28"/>
        </w:rPr>
        <w:t>149萬7</w:t>
      </w:r>
      <w:r w:rsidRPr="00237A6E">
        <w:rPr>
          <w:rFonts w:ascii="標楷體" w:eastAsia="標楷體" w:hAnsi="標楷體" w:hint="eastAsia"/>
          <w:color w:val="000000"/>
          <w:sz w:val="28"/>
          <w:szCs w:val="28"/>
        </w:rPr>
        <w:t>千元</w:t>
      </w:r>
      <w:r w:rsidRPr="00237A6E">
        <w:rPr>
          <w:rFonts w:ascii="標楷體" w:eastAsia="標楷體" w:hAnsi="標楷體" w:hint="eastAsia"/>
          <w:sz w:val="28"/>
          <w:szCs w:val="28"/>
        </w:rPr>
        <w:t>，</w:t>
      </w:r>
      <w:r w:rsidRPr="00237A6E">
        <w:rPr>
          <w:rFonts w:ascii="標楷體" w:eastAsia="標楷體" w:hAnsi="標楷體"/>
          <w:sz w:val="28"/>
          <w:szCs w:val="28"/>
        </w:rPr>
        <w:t>照列。</w:t>
      </w:r>
    </w:p>
    <w:p w14:paraId="1AC3F48B" w14:textId="77777777" w:rsidR="00421BB5" w:rsidRPr="00237A6E" w:rsidRDefault="00421BB5" w:rsidP="00421BB5">
      <w:pPr>
        <w:adjustRightInd w:val="0"/>
        <w:snapToGrid w:val="0"/>
        <w:spacing w:line="360" w:lineRule="exact"/>
        <w:ind w:leftChars="217" w:left="1361" w:hangingChars="300" w:hanging="840"/>
        <w:jc w:val="both"/>
        <w:rPr>
          <w:rFonts w:ascii="標楷體" w:eastAsia="標楷體" w:hAnsi="標楷體"/>
          <w:sz w:val="28"/>
          <w:szCs w:val="28"/>
        </w:rPr>
      </w:pPr>
      <w:r w:rsidRPr="00237A6E">
        <w:rPr>
          <w:rFonts w:ascii="標楷體" w:eastAsia="標楷體" w:hAnsi="標楷體" w:hint="eastAsia"/>
          <w:sz w:val="28"/>
          <w:szCs w:val="28"/>
        </w:rPr>
        <w:t>2.</w:t>
      </w:r>
      <w:r w:rsidRPr="00237A6E">
        <w:rPr>
          <w:rFonts w:ascii="標楷體" w:eastAsia="標楷體" w:hAnsi="標楷體"/>
          <w:sz w:val="28"/>
          <w:szCs w:val="28"/>
        </w:rPr>
        <w:t>總支出：</w:t>
      </w:r>
      <w:r w:rsidRPr="00237A6E">
        <w:rPr>
          <w:rFonts w:ascii="標楷體" w:eastAsia="標楷體" w:hAnsi="標楷體"/>
          <w:color w:val="000000"/>
          <w:sz w:val="28"/>
          <w:szCs w:val="28"/>
        </w:rPr>
        <w:t>16</w:t>
      </w:r>
      <w:r w:rsidRPr="00237A6E">
        <w:rPr>
          <w:rFonts w:ascii="標楷體" w:eastAsia="標楷體" w:hAnsi="標楷體" w:hint="eastAsia"/>
          <w:color w:val="000000"/>
          <w:sz w:val="28"/>
          <w:szCs w:val="28"/>
        </w:rPr>
        <w:t>億</w:t>
      </w:r>
      <w:r w:rsidRPr="00237A6E">
        <w:rPr>
          <w:rFonts w:ascii="標楷體" w:eastAsia="標楷體" w:hAnsi="標楷體" w:hint="eastAsia"/>
          <w:sz w:val="28"/>
          <w:szCs w:val="28"/>
        </w:rPr>
        <w:t>6</w:t>
      </w:r>
      <w:r w:rsidRPr="00237A6E">
        <w:rPr>
          <w:rFonts w:ascii="標楷體" w:eastAsia="標楷體" w:hAnsi="標楷體"/>
          <w:sz w:val="28"/>
          <w:szCs w:val="28"/>
        </w:rPr>
        <w:t>,</w:t>
      </w:r>
      <w:r w:rsidRPr="00237A6E">
        <w:rPr>
          <w:rFonts w:ascii="標楷體" w:eastAsia="標楷體" w:hAnsi="標楷體" w:hint="eastAsia"/>
          <w:sz w:val="28"/>
          <w:szCs w:val="28"/>
        </w:rPr>
        <w:t>149萬7</w:t>
      </w:r>
      <w:r w:rsidRPr="00237A6E">
        <w:rPr>
          <w:rFonts w:ascii="標楷體" w:eastAsia="標楷體" w:hAnsi="標楷體" w:hint="eastAsia"/>
          <w:color w:val="000000"/>
          <w:sz w:val="28"/>
          <w:szCs w:val="28"/>
        </w:rPr>
        <w:t>千元</w:t>
      </w:r>
      <w:r w:rsidRPr="00237A6E">
        <w:rPr>
          <w:rFonts w:ascii="標楷體" w:eastAsia="標楷體" w:hAnsi="標楷體" w:hint="eastAsia"/>
          <w:sz w:val="28"/>
          <w:szCs w:val="28"/>
        </w:rPr>
        <w:t>，照列</w:t>
      </w:r>
      <w:r w:rsidRPr="00237A6E">
        <w:rPr>
          <w:rFonts w:ascii="標楷體" w:eastAsia="標楷體" w:hAnsi="標楷體"/>
          <w:sz w:val="28"/>
          <w:szCs w:val="28"/>
        </w:rPr>
        <w:t>。</w:t>
      </w:r>
    </w:p>
    <w:p w14:paraId="6A892FCA" w14:textId="77777777" w:rsidR="00421BB5" w:rsidRPr="00237A6E" w:rsidRDefault="00421BB5" w:rsidP="00421BB5">
      <w:pPr>
        <w:adjustRightInd w:val="0"/>
        <w:snapToGrid w:val="0"/>
        <w:spacing w:line="360" w:lineRule="exact"/>
        <w:ind w:leftChars="210" w:left="1358" w:hangingChars="305" w:hanging="854"/>
        <w:jc w:val="both"/>
        <w:rPr>
          <w:rFonts w:ascii="標楷體" w:eastAsia="標楷體" w:hAnsi="標楷體"/>
          <w:sz w:val="28"/>
          <w:szCs w:val="28"/>
        </w:rPr>
      </w:pPr>
      <w:r w:rsidRPr="00237A6E">
        <w:rPr>
          <w:rFonts w:ascii="標楷體" w:eastAsia="標楷體" w:hAnsi="標楷體" w:hint="eastAsia"/>
          <w:sz w:val="28"/>
          <w:szCs w:val="28"/>
        </w:rPr>
        <w:t>3.</w:t>
      </w:r>
      <w:r w:rsidRPr="00237A6E">
        <w:rPr>
          <w:rFonts w:ascii="標楷體" w:eastAsia="標楷體" w:hAnsi="標楷體"/>
          <w:sz w:val="28"/>
          <w:szCs w:val="28"/>
        </w:rPr>
        <w:t>本期餘</w:t>
      </w:r>
      <w:r w:rsidRPr="00237A6E">
        <w:rPr>
          <w:rFonts w:ascii="標楷體" w:eastAsia="標楷體" w:hAnsi="標楷體" w:hint="eastAsia"/>
          <w:sz w:val="28"/>
          <w:szCs w:val="28"/>
        </w:rPr>
        <w:t>絀</w:t>
      </w:r>
      <w:r w:rsidRPr="00237A6E">
        <w:rPr>
          <w:rFonts w:ascii="標楷體" w:eastAsia="標楷體" w:hAnsi="標楷體"/>
          <w:sz w:val="28"/>
          <w:szCs w:val="28"/>
        </w:rPr>
        <w:t>：</w:t>
      </w:r>
      <w:r w:rsidRPr="00237A6E">
        <w:rPr>
          <w:rFonts w:ascii="標楷體" w:eastAsia="標楷體" w:hAnsi="標楷體" w:hint="eastAsia"/>
          <w:sz w:val="28"/>
          <w:szCs w:val="28"/>
        </w:rPr>
        <w:t>0</w:t>
      </w:r>
      <w:r w:rsidRPr="00237A6E">
        <w:rPr>
          <w:rFonts w:ascii="標楷體" w:eastAsia="標楷體" w:hAnsi="標楷體"/>
          <w:sz w:val="28"/>
          <w:szCs w:val="28"/>
        </w:rPr>
        <w:t>元，</w:t>
      </w:r>
      <w:r w:rsidRPr="00237A6E">
        <w:rPr>
          <w:rFonts w:ascii="標楷體" w:eastAsia="標楷體" w:hAnsi="標楷體" w:hint="eastAsia"/>
          <w:sz w:val="28"/>
          <w:szCs w:val="28"/>
        </w:rPr>
        <w:t>照列</w:t>
      </w:r>
      <w:r w:rsidRPr="00237A6E">
        <w:rPr>
          <w:rFonts w:ascii="標楷體" w:eastAsia="標楷體" w:hAnsi="標楷體"/>
          <w:sz w:val="28"/>
          <w:szCs w:val="28"/>
        </w:rPr>
        <w:t>。</w:t>
      </w:r>
    </w:p>
    <w:p w14:paraId="2BFB5A89" w14:textId="77777777" w:rsidR="00421BB5" w:rsidRPr="00237A6E" w:rsidRDefault="00421BB5" w:rsidP="00421BB5">
      <w:pPr>
        <w:adjustRightInd w:val="0"/>
        <w:snapToGrid w:val="0"/>
        <w:spacing w:line="360" w:lineRule="exact"/>
        <w:ind w:left="280" w:hangingChars="100" w:hanging="280"/>
        <w:jc w:val="both"/>
        <w:rPr>
          <w:rFonts w:ascii="標楷體" w:eastAsia="標楷體" w:hAnsi="標楷體"/>
          <w:sz w:val="28"/>
          <w:szCs w:val="28"/>
        </w:rPr>
      </w:pPr>
      <w:r w:rsidRPr="00237A6E">
        <w:rPr>
          <w:rFonts w:ascii="標楷體" w:eastAsia="標楷體" w:hAnsi="標楷體" w:hint="eastAsia"/>
          <w:sz w:val="28"/>
          <w:szCs w:val="28"/>
        </w:rPr>
        <w:t xml:space="preserve"> (三)</w:t>
      </w:r>
      <w:r w:rsidRPr="00237A6E">
        <w:rPr>
          <w:rFonts w:ascii="標楷體" w:eastAsia="標楷體" w:hAnsi="標楷體"/>
          <w:sz w:val="28"/>
          <w:szCs w:val="28"/>
        </w:rPr>
        <w:t>解繳</w:t>
      </w:r>
      <w:r w:rsidRPr="00237A6E">
        <w:rPr>
          <w:rFonts w:ascii="標楷體" w:eastAsia="標楷體" w:hAnsi="標楷體" w:hint="eastAsia"/>
          <w:sz w:val="28"/>
          <w:szCs w:val="28"/>
        </w:rPr>
        <w:t>公</w:t>
      </w:r>
      <w:r w:rsidRPr="00237A6E">
        <w:rPr>
          <w:rFonts w:ascii="標楷體" w:eastAsia="標楷體" w:hAnsi="標楷體"/>
          <w:sz w:val="28"/>
          <w:szCs w:val="28"/>
        </w:rPr>
        <w:t>庫淨額：無列數。</w:t>
      </w:r>
    </w:p>
    <w:p w14:paraId="64CD00CD" w14:textId="77777777" w:rsidR="00421BB5" w:rsidRPr="00237A6E" w:rsidRDefault="00421BB5" w:rsidP="00421BB5">
      <w:pPr>
        <w:adjustRightInd w:val="0"/>
        <w:snapToGrid w:val="0"/>
        <w:spacing w:line="360" w:lineRule="exact"/>
        <w:ind w:left="280" w:hangingChars="100" w:hanging="280"/>
        <w:jc w:val="both"/>
        <w:rPr>
          <w:rFonts w:ascii="標楷體" w:eastAsia="標楷體" w:hAnsi="標楷體"/>
          <w:sz w:val="28"/>
          <w:szCs w:val="28"/>
        </w:rPr>
      </w:pPr>
      <w:r w:rsidRPr="00237A6E">
        <w:rPr>
          <w:rFonts w:ascii="標楷體" w:eastAsia="標楷體" w:hAnsi="標楷體" w:hint="eastAsia"/>
          <w:sz w:val="28"/>
          <w:szCs w:val="28"/>
        </w:rPr>
        <w:t xml:space="preserve"> (四)</w:t>
      </w:r>
      <w:r w:rsidRPr="00237A6E">
        <w:rPr>
          <w:rFonts w:ascii="標楷體" w:eastAsia="標楷體" w:hAnsi="標楷體"/>
          <w:sz w:val="28"/>
          <w:szCs w:val="28"/>
        </w:rPr>
        <w:t>轉投資計畫：無列數。</w:t>
      </w:r>
    </w:p>
    <w:p w14:paraId="27A499CE" w14:textId="77777777" w:rsidR="00421BB5" w:rsidRPr="00237A6E" w:rsidRDefault="00421BB5" w:rsidP="00421BB5">
      <w:pPr>
        <w:adjustRightInd w:val="0"/>
        <w:snapToGrid w:val="0"/>
        <w:spacing w:line="360" w:lineRule="exact"/>
        <w:ind w:left="1319" w:hangingChars="471" w:hanging="1319"/>
        <w:jc w:val="both"/>
        <w:rPr>
          <w:rFonts w:ascii="標楷體" w:eastAsia="標楷體" w:hAnsi="標楷體"/>
          <w:sz w:val="28"/>
          <w:szCs w:val="28"/>
        </w:rPr>
      </w:pPr>
      <w:r w:rsidRPr="00237A6E">
        <w:rPr>
          <w:rFonts w:ascii="標楷體" w:eastAsia="標楷體" w:hAnsi="標楷體" w:hint="eastAsia"/>
          <w:sz w:val="28"/>
          <w:szCs w:val="28"/>
        </w:rPr>
        <w:t xml:space="preserve"> (</w:t>
      </w:r>
      <w:r w:rsidRPr="00237A6E">
        <w:rPr>
          <w:rFonts w:ascii="標楷體" w:eastAsia="標楷體" w:hAnsi="標楷體"/>
          <w:sz w:val="28"/>
          <w:szCs w:val="28"/>
        </w:rPr>
        <w:t>五</w:t>
      </w:r>
      <w:r w:rsidRPr="00237A6E">
        <w:rPr>
          <w:rFonts w:ascii="標楷體" w:eastAsia="標楷體" w:hAnsi="標楷體" w:hint="eastAsia"/>
          <w:sz w:val="28"/>
          <w:szCs w:val="28"/>
        </w:rPr>
        <w:t>)固定資產投資</w:t>
      </w:r>
      <w:r w:rsidRPr="00237A6E">
        <w:rPr>
          <w:rFonts w:ascii="標楷體" w:eastAsia="標楷體" w:hAnsi="標楷體"/>
          <w:sz w:val="28"/>
          <w:szCs w:val="28"/>
        </w:rPr>
        <w:t>：</w:t>
      </w:r>
      <w:r w:rsidRPr="00237A6E">
        <w:rPr>
          <w:rFonts w:ascii="標楷體" w:eastAsia="標楷體" w:hAnsi="標楷體" w:hint="eastAsia"/>
          <w:sz w:val="28"/>
          <w:szCs w:val="28"/>
        </w:rPr>
        <w:t>878萬6千元</w:t>
      </w:r>
      <w:r w:rsidRPr="00237A6E">
        <w:rPr>
          <w:rFonts w:ascii="標楷體" w:eastAsia="標楷體" w:hAnsi="標楷體"/>
          <w:sz w:val="28"/>
          <w:szCs w:val="28"/>
        </w:rPr>
        <w:t>，照列。</w:t>
      </w:r>
    </w:p>
    <w:p w14:paraId="70AD4BCD" w14:textId="77777777" w:rsidR="00421BB5" w:rsidRPr="00237A6E" w:rsidRDefault="00421BB5" w:rsidP="00421BB5">
      <w:pPr>
        <w:adjustRightInd w:val="0"/>
        <w:snapToGrid w:val="0"/>
        <w:spacing w:line="360" w:lineRule="exact"/>
        <w:ind w:left="1319" w:hangingChars="471" w:hanging="1319"/>
        <w:jc w:val="both"/>
        <w:rPr>
          <w:rFonts w:ascii="標楷體" w:eastAsia="標楷體" w:hAnsi="標楷體"/>
          <w:sz w:val="28"/>
          <w:szCs w:val="28"/>
        </w:rPr>
      </w:pPr>
      <w:r w:rsidRPr="00237A6E">
        <w:rPr>
          <w:rFonts w:ascii="標楷體" w:eastAsia="標楷體" w:hAnsi="標楷體" w:hint="eastAsia"/>
          <w:sz w:val="28"/>
          <w:szCs w:val="28"/>
        </w:rPr>
        <w:t xml:space="preserve"> (</w:t>
      </w:r>
      <w:r w:rsidRPr="00237A6E">
        <w:rPr>
          <w:rFonts w:ascii="標楷體" w:eastAsia="標楷體" w:hAnsi="標楷體"/>
          <w:sz w:val="28"/>
          <w:szCs w:val="28"/>
        </w:rPr>
        <w:t>六</w:t>
      </w:r>
      <w:r w:rsidRPr="00237A6E">
        <w:rPr>
          <w:rFonts w:ascii="標楷體" w:eastAsia="標楷體" w:hAnsi="標楷體" w:hint="eastAsia"/>
          <w:sz w:val="28"/>
          <w:szCs w:val="28"/>
        </w:rPr>
        <w:t>)</w:t>
      </w:r>
      <w:r w:rsidRPr="00237A6E">
        <w:rPr>
          <w:rFonts w:ascii="標楷體" w:eastAsia="標楷體" w:hAnsi="標楷體"/>
          <w:sz w:val="28"/>
          <w:szCs w:val="28"/>
        </w:rPr>
        <w:t>國庫增撥基金額：</w:t>
      </w:r>
      <w:r w:rsidRPr="00237A6E">
        <w:rPr>
          <w:rFonts w:ascii="標楷體" w:eastAsia="標楷體" w:hAnsi="標楷體" w:hint="eastAsia"/>
          <w:sz w:val="28"/>
          <w:szCs w:val="28"/>
        </w:rPr>
        <w:t>2,</w:t>
      </w:r>
      <w:r w:rsidRPr="00237A6E">
        <w:rPr>
          <w:rFonts w:ascii="標楷體" w:eastAsia="標楷體" w:hAnsi="標楷體"/>
          <w:sz w:val="28"/>
          <w:szCs w:val="28"/>
        </w:rPr>
        <w:t>000</w:t>
      </w:r>
      <w:r w:rsidRPr="00237A6E">
        <w:rPr>
          <w:rFonts w:ascii="標楷體" w:eastAsia="標楷體" w:hAnsi="標楷體" w:hint="eastAsia"/>
          <w:sz w:val="28"/>
          <w:szCs w:val="28"/>
        </w:rPr>
        <w:t>萬元，照列</w:t>
      </w:r>
      <w:r w:rsidRPr="00237A6E">
        <w:rPr>
          <w:rFonts w:ascii="標楷體" w:eastAsia="標楷體" w:hAnsi="標楷體"/>
          <w:sz w:val="28"/>
          <w:szCs w:val="28"/>
        </w:rPr>
        <w:t>。</w:t>
      </w:r>
    </w:p>
    <w:p w14:paraId="4341DAC1" w14:textId="77777777" w:rsidR="00421BB5" w:rsidRPr="00237A6E" w:rsidRDefault="00421BB5" w:rsidP="00421BB5">
      <w:pPr>
        <w:adjustRightInd w:val="0"/>
        <w:snapToGrid w:val="0"/>
        <w:spacing w:line="360" w:lineRule="exact"/>
        <w:ind w:leftChars="59" w:left="565" w:hangingChars="151" w:hanging="423"/>
        <w:jc w:val="both"/>
        <w:rPr>
          <w:rFonts w:ascii="標楷體" w:eastAsia="標楷體" w:hAnsi="標楷體"/>
          <w:sz w:val="28"/>
          <w:szCs w:val="28"/>
        </w:rPr>
      </w:pPr>
      <w:r w:rsidRPr="00237A6E">
        <w:rPr>
          <w:rFonts w:ascii="標楷體" w:eastAsia="標楷體" w:hAnsi="標楷體" w:hint="eastAsia"/>
          <w:sz w:val="28"/>
          <w:szCs w:val="28"/>
        </w:rPr>
        <w:t>(七)本案</w:t>
      </w:r>
      <w:r w:rsidRPr="00237A6E">
        <w:rPr>
          <w:rFonts w:ascii="標楷體" w:eastAsia="標楷體" w:hAnsi="標楷體"/>
          <w:sz w:val="28"/>
          <w:szCs w:val="28"/>
        </w:rPr>
        <w:t>審查完竣，</w:t>
      </w:r>
      <w:r w:rsidRPr="00237A6E">
        <w:rPr>
          <w:rFonts w:ascii="標楷體" w:eastAsia="標楷體" w:hAnsi="標楷體" w:hint="eastAsia"/>
          <w:sz w:val="28"/>
          <w:szCs w:val="28"/>
        </w:rPr>
        <w:t>擬具審查報告，</w:t>
      </w:r>
      <w:r w:rsidRPr="00237A6E">
        <w:rPr>
          <w:rFonts w:ascii="標楷體" w:eastAsia="標楷體" w:hAnsi="標楷體"/>
          <w:sz w:val="28"/>
          <w:szCs w:val="28"/>
        </w:rPr>
        <w:t>提</w:t>
      </w:r>
      <w:r w:rsidRPr="00237A6E">
        <w:rPr>
          <w:rFonts w:ascii="標楷體" w:eastAsia="標楷體" w:hAnsi="標楷體" w:hint="eastAsia"/>
          <w:sz w:val="28"/>
          <w:szCs w:val="28"/>
        </w:rPr>
        <w:t>請</w:t>
      </w:r>
      <w:r w:rsidRPr="00237A6E">
        <w:rPr>
          <w:rFonts w:ascii="標楷體" w:eastAsia="標楷體" w:hAnsi="標楷體"/>
          <w:sz w:val="28"/>
          <w:szCs w:val="28"/>
        </w:rPr>
        <w:t>院會</w:t>
      </w:r>
      <w:r w:rsidRPr="00237A6E">
        <w:rPr>
          <w:rFonts w:ascii="標楷體" w:eastAsia="標楷體" w:hAnsi="標楷體" w:hint="eastAsia"/>
          <w:sz w:val="28"/>
          <w:szCs w:val="28"/>
        </w:rPr>
        <w:t>公決，</w:t>
      </w:r>
      <w:r w:rsidRPr="00237A6E">
        <w:rPr>
          <w:rFonts w:ascii="標楷體" w:eastAsia="標楷體" w:hAnsi="標楷體"/>
          <w:sz w:val="28"/>
          <w:szCs w:val="28"/>
        </w:rPr>
        <w:t>院會討論</w:t>
      </w:r>
      <w:r w:rsidRPr="00237A6E">
        <w:rPr>
          <w:rFonts w:ascii="標楷體" w:eastAsia="標楷體" w:hAnsi="標楷體" w:hint="eastAsia"/>
          <w:sz w:val="28"/>
          <w:szCs w:val="28"/>
        </w:rPr>
        <w:t>前，</w:t>
      </w:r>
    </w:p>
    <w:p w14:paraId="5071EB83" w14:textId="77777777" w:rsidR="00421BB5" w:rsidRPr="00237A6E" w:rsidRDefault="00421BB5" w:rsidP="00421BB5">
      <w:pPr>
        <w:adjustRightInd w:val="0"/>
        <w:snapToGrid w:val="0"/>
        <w:spacing w:line="360" w:lineRule="exact"/>
        <w:ind w:leftChars="235" w:left="564" w:firstLineChars="48" w:firstLine="134"/>
        <w:jc w:val="both"/>
        <w:rPr>
          <w:rFonts w:ascii="標楷體" w:eastAsia="標楷體" w:hAnsi="標楷體"/>
          <w:sz w:val="28"/>
          <w:szCs w:val="28"/>
        </w:rPr>
      </w:pPr>
      <w:r w:rsidRPr="00237A6E">
        <w:rPr>
          <w:rFonts w:ascii="標楷體" w:eastAsia="標楷體" w:hAnsi="標楷體" w:hint="eastAsia"/>
          <w:sz w:val="28"/>
          <w:szCs w:val="28"/>
        </w:rPr>
        <w:t>不</w:t>
      </w:r>
      <w:r w:rsidRPr="00237A6E">
        <w:rPr>
          <w:rFonts w:ascii="標楷體" w:eastAsia="標楷體" w:hAnsi="標楷體"/>
          <w:sz w:val="28"/>
          <w:szCs w:val="28"/>
        </w:rPr>
        <w:t>須交由黨團協商</w:t>
      </w:r>
      <w:r w:rsidRPr="00237A6E">
        <w:rPr>
          <w:rFonts w:ascii="標楷體" w:eastAsia="標楷體" w:hAnsi="標楷體" w:hint="eastAsia"/>
          <w:sz w:val="28"/>
          <w:szCs w:val="28"/>
        </w:rPr>
        <w:t>；院會討論時，由陳召集委員歐珀出席說明</w:t>
      </w:r>
      <w:r w:rsidRPr="00237A6E">
        <w:rPr>
          <w:rFonts w:ascii="標楷體" w:eastAsia="標楷體" w:hAnsi="標楷體"/>
          <w:sz w:val="28"/>
          <w:szCs w:val="28"/>
        </w:rPr>
        <w:t>。</w:t>
      </w:r>
    </w:p>
    <w:p w14:paraId="3D64F2C8" w14:textId="77777777" w:rsidR="00421BB5" w:rsidRPr="00237A6E" w:rsidRDefault="00421BB5" w:rsidP="00421BB5">
      <w:pPr>
        <w:overflowPunct w:val="0"/>
        <w:spacing w:line="360" w:lineRule="exact"/>
        <w:ind w:left="560" w:rightChars="-21" w:right="-50" w:hangingChars="200" w:hanging="560"/>
        <w:contextualSpacing/>
        <w:rPr>
          <w:rFonts w:ascii="標楷體" w:eastAsia="標楷體" w:hAnsi="標楷體"/>
          <w:sz w:val="28"/>
          <w:szCs w:val="28"/>
        </w:rPr>
      </w:pPr>
      <w:r w:rsidRPr="00B240D5">
        <w:rPr>
          <w:rFonts w:ascii="標楷體" w:eastAsia="標楷體" w:hAnsi="標楷體" w:hint="eastAsia"/>
          <w:color w:val="000000"/>
          <w:sz w:val="28"/>
          <w:szCs w:val="28"/>
        </w:rPr>
        <w:t>三、</w:t>
      </w:r>
      <w:r w:rsidRPr="00237A6E">
        <w:rPr>
          <w:rFonts w:ascii="標楷體" w:eastAsia="標楷體" w:hAnsi="標楷體" w:hint="eastAsia"/>
          <w:sz w:val="28"/>
          <w:szCs w:val="28"/>
        </w:rPr>
        <w:t>本次會議通過之決議，依例文字授權主席及議事人員整理。</w:t>
      </w:r>
    </w:p>
    <w:p w14:paraId="64C2B59A" w14:textId="77777777" w:rsidR="00421BB5" w:rsidRPr="00237A6E" w:rsidRDefault="00421BB5" w:rsidP="00421BB5">
      <w:pPr>
        <w:spacing w:line="360" w:lineRule="exact"/>
        <w:ind w:left="560" w:hangingChars="200" w:hanging="560"/>
        <w:contextualSpacing/>
        <w:jc w:val="both"/>
        <w:rPr>
          <w:rFonts w:ascii="標楷體" w:eastAsia="標楷體" w:hAnsi="標楷體"/>
          <w:sz w:val="28"/>
          <w:szCs w:val="28"/>
        </w:rPr>
      </w:pPr>
      <w:r w:rsidRPr="00237A6E">
        <w:rPr>
          <w:rFonts w:ascii="標楷體" w:eastAsia="標楷體" w:hAnsi="標楷體"/>
          <w:sz w:val="28"/>
          <w:szCs w:val="28"/>
        </w:rPr>
        <w:t>散會</w:t>
      </w:r>
    </w:p>
    <w:p w14:paraId="1CBDB1B6" w14:textId="77777777" w:rsidR="00421BB5" w:rsidRPr="00562C04" w:rsidRDefault="00421BB5" w:rsidP="00421BB5">
      <w:pPr>
        <w:spacing w:line="360" w:lineRule="exact"/>
        <w:contextualSpacing/>
        <w:jc w:val="both"/>
        <w:rPr>
          <w:rFonts w:ascii="標楷體" w:eastAsia="標楷體" w:hAnsi="標楷體"/>
          <w:sz w:val="28"/>
          <w:szCs w:val="28"/>
        </w:rPr>
      </w:pPr>
    </w:p>
    <w:p w14:paraId="345741A6" w14:textId="77777777" w:rsidR="00421BB5" w:rsidRPr="00435750" w:rsidRDefault="00421BB5" w:rsidP="00421BB5">
      <w:pPr>
        <w:spacing w:beforeLines="50" w:before="180" w:afterLines="50" w:after="180" w:line="360" w:lineRule="exact"/>
        <w:jc w:val="distribute"/>
        <w:outlineLvl w:val="2"/>
        <w:rPr>
          <w:rFonts w:ascii="標楷體" w:eastAsia="標楷體" w:hAnsi="標楷體"/>
          <w:b/>
          <w:snapToGrid w:val="0"/>
          <w:spacing w:val="-10"/>
          <w:sz w:val="28"/>
          <w:szCs w:val="28"/>
        </w:rPr>
      </w:pPr>
      <w:r w:rsidRPr="00D65AED">
        <w:rPr>
          <w:rFonts w:ascii="標楷體" w:eastAsia="標楷體" w:hAnsi="標楷體"/>
          <w:sz w:val="28"/>
          <w:szCs w:val="28"/>
        </w:rPr>
        <w:br w:type="page"/>
      </w:r>
      <w:bookmarkStart w:id="529" w:name="_Toc96350584"/>
      <w:r w:rsidRPr="00435750">
        <w:rPr>
          <w:rFonts w:ascii="標楷體" w:eastAsia="標楷體" w:hAnsi="標楷體"/>
          <w:b/>
          <w:snapToGrid w:val="0"/>
          <w:spacing w:val="-10"/>
          <w:sz w:val="28"/>
          <w:szCs w:val="28"/>
        </w:rPr>
        <w:lastRenderedPageBreak/>
        <w:t>立法院第</w:t>
      </w:r>
      <w:r w:rsidRPr="00435750">
        <w:rPr>
          <w:rFonts w:ascii="標楷體" w:eastAsia="標楷體" w:hAnsi="標楷體" w:hint="eastAsia"/>
          <w:b/>
          <w:snapToGrid w:val="0"/>
          <w:spacing w:val="-10"/>
          <w:sz w:val="28"/>
          <w:szCs w:val="28"/>
        </w:rPr>
        <w:t>10</w:t>
      </w:r>
      <w:r w:rsidRPr="00435750">
        <w:rPr>
          <w:rFonts w:ascii="標楷體" w:eastAsia="標楷體" w:hAnsi="標楷體"/>
          <w:b/>
          <w:snapToGrid w:val="0"/>
          <w:spacing w:val="-10"/>
          <w:sz w:val="28"/>
          <w:szCs w:val="28"/>
        </w:rPr>
        <w:t>屆第</w:t>
      </w:r>
      <w:r>
        <w:rPr>
          <w:rFonts w:ascii="標楷體" w:eastAsia="標楷體" w:hAnsi="標楷體" w:hint="eastAsia"/>
          <w:b/>
          <w:snapToGrid w:val="0"/>
          <w:spacing w:val="-10"/>
          <w:sz w:val="28"/>
          <w:szCs w:val="28"/>
        </w:rPr>
        <w:t>6</w:t>
      </w:r>
      <w:r w:rsidRPr="00435750">
        <w:rPr>
          <w:rFonts w:ascii="標楷體" w:eastAsia="標楷體" w:hAnsi="標楷體"/>
          <w:b/>
          <w:snapToGrid w:val="0"/>
          <w:spacing w:val="-10"/>
          <w:sz w:val="28"/>
          <w:szCs w:val="28"/>
        </w:rPr>
        <w:t>會期司法及法制委員會第</w:t>
      </w:r>
      <w:r>
        <w:rPr>
          <w:rFonts w:ascii="標楷體" w:eastAsia="標楷體" w:hAnsi="標楷體" w:hint="eastAsia"/>
          <w:b/>
          <w:snapToGrid w:val="0"/>
          <w:spacing w:val="-10"/>
          <w:sz w:val="28"/>
          <w:szCs w:val="28"/>
        </w:rPr>
        <w:t>2</w:t>
      </w:r>
      <w:r>
        <w:rPr>
          <w:rFonts w:ascii="標楷體" w:eastAsia="標楷體" w:hAnsi="標楷體"/>
          <w:b/>
          <w:snapToGrid w:val="0"/>
          <w:spacing w:val="-10"/>
          <w:sz w:val="28"/>
          <w:szCs w:val="28"/>
        </w:rPr>
        <w:t>6次</w:t>
      </w:r>
      <w:r w:rsidRPr="00435750">
        <w:rPr>
          <w:rFonts w:ascii="標楷體" w:eastAsia="標楷體" w:hAnsi="標楷體"/>
          <w:b/>
          <w:snapToGrid w:val="0"/>
          <w:spacing w:val="-10"/>
          <w:sz w:val="28"/>
          <w:szCs w:val="28"/>
        </w:rPr>
        <w:t>全體委員會議議事錄</w:t>
      </w:r>
    </w:p>
    <w:p w14:paraId="127E4F6E" w14:textId="77777777" w:rsidR="00421BB5" w:rsidRPr="000C2843" w:rsidRDefault="00421BB5" w:rsidP="00421BB5">
      <w:pPr>
        <w:pStyle w:val="-9"/>
        <w:spacing w:line="400" w:lineRule="exact"/>
        <w:ind w:left="1417" w:hangingChars="506" w:hanging="1417"/>
        <w:rPr>
          <w:rFonts w:ascii="標楷體" w:hAnsi="標楷體"/>
          <w:sz w:val="28"/>
          <w:szCs w:val="28"/>
        </w:rPr>
      </w:pPr>
      <w:r w:rsidRPr="00435750">
        <w:rPr>
          <w:rFonts w:ascii="標楷體" w:hAnsi="標楷體"/>
          <w:sz w:val="28"/>
          <w:szCs w:val="28"/>
          <w:fitText w:val="1120" w:id="972279552"/>
        </w:rPr>
        <w:t>時    間</w:t>
      </w:r>
      <w:r w:rsidRPr="00435750">
        <w:rPr>
          <w:rFonts w:ascii="標楷體" w:hAnsi="標楷體"/>
          <w:sz w:val="28"/>
          <w:szCs w:val="28"/>
        </w:rPr>
        <w:t>：</w:t>
      </w:r>
      <w:r w:rsidRPr="00435750">
        <w:rPr>
          <w:rFonts w:ascii="標楷體" w:hAnsi="標楷體" w:hint="eastAsia"/>
          <w:sz w:val="28"/>
          <w:szCs w:val="28"/>
        </w:rPr>
        <w:t>中華民國11</w:t>
      </w:r>
      <w:r>
        <w:rPr>
          <w:rFonts w:ascii="標楷體" w:hAnsi="標楷體"/>
          <w:sz w:val="28"/>
          <w:szCs w:val="28"/>
        </w:rPr>
        <w:t>1</w:t>
      </w:r>
      <w:r w:rsidRPr="00435750">
        <w:rPr>
          <w:rFonts w:ascii="標楷體" w:hAnsi="標楷體" w:hint="eastAsia"/>
          <w:sz w:val="28"/>
          <w:szCs w:val="28"/>
        </w:rPr>
        <w:t>年1</w:t>
      </w:r>
      <w:r>
        <w:rPr>
          <w:rFonts w:ascii="標楷體" w:hAnsi="標楷體"/>
          <w:sz w:val="28"/>
          <w:szCs w:val="28"/>
        </w:rPr>
        <w:t>2月</w:t>
      </w:r>
      <w:r>
        <w:rPr>
          <w:rFonts w:ascii="標楷體" w:hAnsi="標楷體" w:hint="eastAsia"/>
          <w:sz w:val="28"/>
          <w:szCs w:val="28"/>
        </w:rPr>
        <w:t>1</w:t>
      </w:r>
      <w:r>
        <w:rPr>
          <w:rFonts w:ascii="標楷體" w:hAnsi="標楷體"/>
          <w:sz w:val="28"/>
          <w:szCs w:val="28"/>
        </w:rPr>
        <w:t>2日（星期一）</w:t>
      </w:r>
      <w:r>
        <w:rPr>
          <w:rFonts w:ascii="標楷體" w:hAnsi="標楷體" w:hint="eastAsia"/>
          <w:sz w:val="28"/>
          <w:szCs w:val="28"/>
        </w:rPr>
        <w:t>上午9時</w:t>
      </w:r>
      <w:r w:rsidRPr="00185378">
        <w:rPr>
          <w:rFonts w:ascii="標楷體" w:hAnsi="標楷體" w:hint="eastAsia"/>
          <w:sz w:val="28"/>
          <w:szCs w:val="28"/>
        </w:rPr>
        <w:t>9分至1</w:t>
      </w:r>
      <w:r>
        <w:rPr>
          <w:rFonts w:ascii="標楷體" w:hAnsi="標楷體" w:hint="eastAsia"/>
          <w:sz w:val="28"/>
          <w:szCs w:val="28"/>
        </w:rPr>
        <w:t>1</w:t>
      </w:r>
      <w:r w:rsidRPr="00E91868">
        <w:rPr>
          <w:rFonts w:ascii="標楷體" w:hAnsi="標楷體" w:hint="eastAsia"/>
          <w:sz w:val="28"/>
          <w:szCs w:val="28"/>
        </w:rPr>
        <w:t>時2</w:t>
      </w:r>
      <w:r w:rsidRPr="00E91868">
        <w:rPr>
          <w:rFonts w:ascii="標楷體" w:hAnsi="標楷體"/>
          <w:sz w:val="28"/>
          <w:szCs w:val="28"/>
        </w:rPr>
        <w:t>6</w:t>
      </w:r>
      <w:r w:rsidRPr="00E91868">
        <w:rPr>
          <w:rFonts w:ascii="標楷體" w:hAnsi="標楷體" w:hint="eastAsia"/>
          <w:sz w:val="28"/>
          <w:szCs w:val="28"/>
        </w:rPr>
        <w:t>分</w:t>
      </w:r>
    </w:p>
    <w:p w14:paraId="12B9E570" w14:textId="77777777" w:rsidR="00421BB5" w:rsidRPr="00C03AE3" w:rsidRDefault="00421BB5" w:rsidP="00421BB5">
      <w:pPr>
        <w:adjustRightInd w:val="0"/>
        <w:snapToGrid w:val="0"/>
        <w:spacing w:line="400" w:lineRule="exact"/>
        <w:ind w:left="1364" w:hangingChars="487" w:hanging="1364"/>
        <w:jc w:val="both"/>
        <w:rPr>
          <w:rFonts w:ascii="標楷體" w:eastAsia="標楷體" w:hAnsi="標楷體"/>
          <w:kern w:val="0"/>
          <w:sz w:val="28"/>
          <w:szCs w:val="28"/>
          <w:lang w:val="x-none"/>
        </w:rPr>
      </w:pPr>
      <w:r w:rsidRPr="00C03AE3">
        <w:rPr>
          <w:rFonts w:ascii="標楷體" w:eastAsia="標楷體" w:hAnsi="標楷體" w:hint="eastAsia"/>
          <w:kern w:val="0"/>
          <w:sz w:val="28"/>
          <w:szCs w:val="28"/>
          <w:lang w:val="x-none" w:eastAsia="x-none"/>
        </w:rPr>
        <w:t>地    點：本院紅樓302會議室</w:t>
      </w:r>
    </w:p>
    <w:p w14:paraId="00A3AF31" w14:textId="77777777" w:rsidR="00421BB5" w:rsidRPr="00185378" w:rsidRDefault="00421BB5" w:rsidP="00421BB5">
      <w:pPr>
        <w:snapToGrid w:val="0"/>
        <w:spacing w:line="400" w:lineRule="exact"/>
        <w:jc w:val="both"/>
        <w:rPr>
          <w:rFonts w:ascii="標楷體" w:eastAsia="標楷體" w:hAnsi="標楷體"/>
          <w:sz w:val="28"/>
          <w:szCs w:val="28"/>
        </w:rPr>
      </w:pPr>
      <w:r w:rsidRPr="00C03AE3">
        <w:rPr>
          <w:rFonts w:ascii="標楷體" w:eastAsia="標楷體" w:hAnsi="標楷體"/>
          <w:sz w:val="28"/>
          <w:szCs w:val="28"/>
        </w:rPr>
        <w:t>出席委員</w:t>
      </w:r>
      <w:r w:rsidRPr="00C03AE3">
        <w:rPr>
          <w:rFonts w:ascii="標楷體" w:eastAsia="標楷體" w:hAnsi="標楷體" w:hint="eastAsia"/>
          <w:sz w:val="28"/>
          <w:szCs w:val="28"/>
        </w:rPr>
        <w:t>：</w:t>
      </w:r>
      <w:r w:rsidRPr="00185378">
        <w:rPr>
          <w:rFonts w:ascii="標楷體" w:eastAsia="標楷體" w:hAnsi="標楷體" w:hint="eastAsia"/>
          <w:sz w:val="28"/>
          <w:szCs w:val="28"/>
        </w:rPr>
        <w:t>曾銘宗</w:t>
      </w:r>
      <w:r w:rsidRPr="00185378">
        <w:rPr>
          <w:rFonts w:ascii="標楷體" w:eastAsia="標楷體" w:hAnsi="標楷體"/>
          <w:sz w:val="28"/>
          <w:szCs w:val="28"/>
        </w:rPr>
        <w:tab/>
        <w:t>陳歐珀</w:t>
      </w:r>
      <w:r w:rsidRPr="00185378">
        <w:rPr>
          <w:rFonts w:ascii="標楷體" w:eastAsia="標楷體" w:hAnsi="標楷體"/>
          <w:sz w:val="28"/>
          <w:szCs w:val="28"/>
        </w:rPr>
        <w:tab/>
      </w:r>
      <w:r w:rsidRPr="00185378">
        <w:rPr>
          <w:rFonts w:ascii="標楷體" w:eastAsia="標楷體" w:hAnsi="標楷體" w:hint="eastAsia"/>
          <w:sz w:val="28"/>
          <w:szCs w:val="28"/>
        </w:rPr>
        <w:t>鄭運鵬</w:t>
      </w:r>
      <w:r w:rsidRPr="00185378">
        <w:rPr>
          <w:rFonts w:ascii="標楷體" w:eastAsia="標楷體" w:hAnsi="標楷體"/>
          <w:sz w:val="28"/>
          <w:szCs w:val="28"/>
        </w:rPr>
        <w:tab/>
      </w:r>
      <w:r w:rsidRPr="00185378">
        <w:rPr>
          <w:rFonts w:ascii="標楷體" w:eastAsia="標楷體" w:hAnsi="標楷體" w:hint="eastAsia"/>
          <w:sz w:val="28"/>
          <w:szCs w:val="28"/>
        </w:rPr>
        <w:t>陳玉珍</w:t>
      </w:r>
      <w:r w:rsidRPr="00185378">
        <w:rPr>
          <w:rFonts w:ascii="標楷體" w:eastAsia="標楷體" w:hAnsi="標楷體"/>
          <w:sz w:val="28"/>
          <w:szCs w:val="28"/>
        </w:rPr>
        <w:tab/>
      </w:r>
      <w:r w:rsidRPr="00185378">
        <w:rPr>
          <w:rFonts w:ascii="標楷體" w:eastAsia="標楷體" w:hAnsi="標楷體" w:hint="eastAsia"/>
          <w:sz w:val="28"/>
          <w:szCs w:val="28"/>
        </w:rPr>
        <w:t>江永昌</w:t>
      </w:r>
      <w:r w:rsidRPr="00185378">
        <w:rPr>
          <w:rFonts w:ascii="標楷體" w:eastAsia="標楷體" w:hAnsi="標楷體"/>
          <w:sz w:val="28"/>
          <w:szCs w:val="28"/>
        </w:rPr>
        <w:tab/>
      </w:r>
      <w:r w:rsidRPr="00185378">
        <w:rPr>
          <w:rFonts w:ascii="標楷體" w:eastAsia="標楷體" w:hAnsi="標楷體" w:hint="eastAsia"/>
          <w:sz w:val="28"/>
          <w:szCs w:val="28"/>
        </w:rPr>
        <w:t>陳以信</w:t>
      </w:r>
      <w:r w:rsidRPr="00185378">
        <w:rPr>
          <w:rFonts w:ascii="標楷體" w:eastAsia="標楷體" w:hAnsi="標楷體"/>
          <w:sz w:val="28"/>
          <w:szCs w:val="28"/>
        </w:rPr>
        <w:tab/>
      </w:r>
      <w:r w:rsidRPr="00185378">
        <w:rPr>
          <w:rFonts w:ascii="標楷體" w:eastAsia="標楷體" w:hAnsi="標楷體" w:hint="eastAsia"/>
          <w:sz w:val="28"/>
          <w:szCs w:val="28"/>
        </w:rPr>
        <w:t>黃世杰</w:t>
      </w:r>
      <w:r w:rsidRPr="00185378">
        <w:rPr>
          <w:rFonts w:ascii="標楷體" w:eastAsia="標楷體" w:hAnsi="標楷體"/>
          <w:sz w:val="28"/>
          <w:szCs w:val="28"/>
        </w:rPr>
        <w:tab/>
      </w:r>
    </w:p>
    <w:p w14:paraId="22849271" w14:textId="77777777" w:rsidR="00421BB5" w:rsidRPr="00E35CEE" w:rsidRDefault="00421BB5" w:rsidP="00421BB5">
      <w:pPr>
        <w:adjustRightInd w:val="0"/>
        <w:snapToGrid w:val="0"/>
        <w:spacing w:line="400" w:lineRule="exact"/>
        <w:ind w:firstLineChars="495" w:firstLine="1386"/>
        <w:jc w:val="both"/>
        <w:rPr>
          <w:rFonts w:ascii="標楷體" w:eastAsia="標楷體" w:hAnsi="標楷體"/>
          <w:sz w:val="28"/>
          <w:szCs w:val="28"/>
        </w:rPr>
      </w:pPr>
      <w:r w:rsidRPr="00185378">
        <w:rPr>
          <w:rFonts w:ascii="標楷體" w:eastAsia="標楷體" w:hAnsi="標楷體" w:hint="eastAsia"/>
          <w:sz w:val="28"/>
          <w:szCs w:val="28"/>
        </w:rPr>
        <w:t>林思銘</w:t>
      </w:r>
      <w:r w:rsidRPr="000B63F7">
        <w:rPr>
          <w:rFonts w:ascii="標楷體" w:eastAsia="標楷體" w:hAnsi="標楷體"/>
          <w:sz w:val="28"/>
          <w:szCs w:val="28"/>
        </w:rPr>
        <w:tab/>
      </w:r>
      <w:r w:rsidRPr="000B63F7">
        <w:rPr>
          <w:rFonts w:ascii="標楷體" w:eastAsia="標楷體" w:hAnsi="標楷體" w:hint="eastAsia"/>
          <w:sz w:val="28"/>
          <w:szCs w:val="28"/>
        </w:rPr>
        <w:t>劉建國</w:t>
      </w:r>
    </w:p>
    <w:p w14:paraId="52F2AFE6" w14:textId="77777777" w:rsidR="00421BB5" w:rsidRPr="00D43291" w:rsidRDefault="00421BB5" w:rsidP="00421BB5">
      <w:pPr>
        <w:adjustRightInd w:val="0"/>
        <w:snapToGrid w:val="0"/>
        <w:spacing w:line="400" w:lineRule="exact"/>
        <w:ind w:firstLineChars="495" w:firstLine="1386"/>
        <w:jc w:val="both"/>
        <w:rPr>
          <w:rFonts w:ascii="標楷體" w:eastAsia="標楷體" w:hAnsi="標楷體"/>
          <w:sz w:val="28"/>
          <w:szCs w:val="28"/>
        </w:rPr>
      </w:pPr>
      <w:r w:rsidRPr="00D43291">
        <w:rPr>
          <w:rFonts w:ascii="標楷體" w:eastAsia="標楷體" w:hAnsi="標楷體"/>
          <w:sz w:val="28"/>
          <w:szCs w:val="28"/>
        </w:rPr>
        <w:t>委員出席</w:t>
      </w:r>
      <w:r>
        <w:rPr>
          <w:rFonts w:ascii="標楷體" w:eastAsia="標楷體" w:hAnsi="標楷體" w:hint="eastAsia"/>
          <w:sz w:val="28"/>
          <w:szCs w:val="28"/>
        </w:rPr>
        <w:t>9</w:t>
      </w:r>
      <w:r w:rsidRPr="00D43291">
        <w:rPr>
          <w:rFonts w:ascii="標楷體" w:eastAsia="標楷體" w:hAnsi="標楷體"/>
          <w:sz w:val="28"/>
          <w:szCs w:val="28"/>
        </w:rPr>
        <w:t>人</w:t>
      </w:r>
    </w:p>
    <w:p w14:paraId="4352EE66" w14:textId="77777777" w:rsidR="00421BB5" w:rsidRPr="00185378" w:rsidRDefault="00421BB5" w:rsidP="00421BB5">
      <w:pPr>
        <w:snapToGrid w:val="0"/>
        <w:spacing w:line="400" w:lineRule="exact"/>
        <w:jc w:val="both"/>
        <w:rPr>
          <w:rFonts w:ascii="標楷體" w:eastAsia="標楷體" w:hAnsi="標楷體"/>
          <w:color w:val="000000"/>
          <w:sz w:val="28"/>
          <w:szCs w:val="28"/>
        </w:rPr>
      </w:pPr>
      <w:r w:rsidRPr="00C03AE3">
        <w:rPr>
          <w:rFonts w:ascii="標楷體" w:eastAsia="標楷體" w:hAnsi="標楷體"/>
          <w:kern w:val="0"/>
          <w:sz w:val="28"/>
          <w:szCs w:val="28"/>
        </w:rPr>
        <w:t>列席</w:t>
      </w:r>
      <w:r w:rsidRPr="00C03AE3">
        <w:rPr>
          <w:rFonts w:ascii="標楷體" w:eastAsia="標楷體" w:hAnsi="標楷體"/>
          <w:sz w:val="28"/>
          <w:szCs w:val="28"/>
        </w:rPr>
        <w:t>委員：</w:t>
      </w:r>
      <w:r w:rsidRPr="00185378">
        <w:rPr>
          <w:rFonts w:ascii="標楷體" w:eastAsia="標楷體" w:hAnsi="標楷體" w:hint="eastAsia"/>
          <w:sz w:val="28"/>
          <w:szCs w:val="28"/>
        </w:rPr>
        <w:t>李貴敏</w:t>
      </w:r>
      <w:r w:rsidRPr="00185378">
        <w:rPr>
          <w:rFonts w:ascii="標楷體" w:eastAsia="標楷體" w:hAnsi="標楷體"/>
          <w:sz w:val="28"/>
          <w:szCs w:val="28"/>
        </w:rPr>
        <w:tab/>
      </w:r>
      <w:r w:rsidRPr="00185378">
        <w:rPr>
          <w:rFonts w:eastAsia="標楷體" w:hint="eastAsia"/>
          <w:sz w:val="28"/>
        </w:rPr>
        <w:t>羅明才</w:t>
      </w:r>
      <w:r w:rsidRPr="00185378">
        <w:rPr>
          <w:rFonts w:eastAsia="標楷體"/>
          <w:sz w:val="28"/>
        </w:rPr>
        <w:tab/>
      </w:r>
      <w:r w:rsidRPr="00185378">
        <w:rPr>
          <w:rFonts w:ascii="標楷體" w:eastAsia="標楷體" w:hAnsi="標楷體"/>
          <w:color w:val="000000"/>
          <w:sz w:val="28"/>
          <w:szCs w:val="28"/>
        </w:rPr>
        <w:t>陳椒華</w:t>
      </w:r>
      <w:r w:rsidRPr="00185378">
        <w:rPr>
          <w:rFonts w:ascii="標楷體" w:eastAsia="標楷體" w:hAnsi="標楷體"/>
          <w:color w:val="000000"/>
          <w:sz w:val="28"/>
          <w:szCs w:val="28"/>
        </w:rPr>
        <w:tab/>
      </w:r>
      <w:r w:rsidRPr="00185378">
        <w:rPr>
          <w:rFonts w:ascii="標楷體" w:eastAsia="標楷體" w:hAnsi="標楷體" w:hint="eastAsia"/>
          <w:color w:val="000000"/>
          <w:sz w:val="28"/>
          <w:szCs w:val="28"/>
        </w:rPr>
        <w:t>邱顯智</w:t>
      </w:r>
      <w:r w:rsidRPr="00185378">
        <w:rPr>
          <w:rFonts w:ascii="標楷體" w:eastAsia="標楷體" w:hAnsi="標楷體"/>
          <w:color w:val="000000"/>
          <w:sz w:val="28"/>
          <w:szCs w:val="28"/>
        </w:rPr>
        <w:tab/>
      </w:r>
      <w:r w:rsidRPr="00C15518">
        <w:rPr>
          <w:rFonts w:ascii="標楷體" w:eastAsia="標楷體" w:hAnsi="標楷體"/>
          <w:spacing w:val="-30"/>
          <w:sz w:val="28"/>
          <w:szCs w:val="28"/>
        </w:rPr>
        <w:t>鄭天財Sra</w:t>
      </w:r>
      <w:r w:rsidRPr="00C15518">
        <w:rPr>
          <w:rFonts w:ascii="標楷體" w:eastAsia="標楷體" w:hAnsi="標楷體" w:hint="eastAsia"/>
          <w:spacing w:val="-30"/>
          <w:sz w:val="28"/>
          <w:szCs w:val="28"/>
        </w:rPr>
        <w:t xml:space="preserve"> </w:t>
      </w:r>
      <w:r w:rsidRPr="00C15518">
        <w:rPr>
          <w:rFonts w:ascii="標楷體" w:eastAsia="標楷體" w:hAnsi="標楷體"/>
          <w:spacing w:val="-30"/>
          <w:sz w:val="28"/>
          <w:szCs w:val="28"/>
        </w:rPr>
        <w:t>Kacaw</w:t>
      </w:r>
      <w:r w:rsidRPr="00185378">
        <w:rPr>
          <w:rFonts w:ascii="標楷體" w:eastAsia="標楷體" w:hAnsi="標楷體"/>
          <w:sz w:val="28"/>
          <w:szCs w:val="28"/>
        </w:rPr>
        <w:tab/>
        <w:t>陳亭妃</w:t>
      </w:r>
      <w:r w:rsidRPr="00185378">
        <w:rPr>
          <w:rFonts w:ascii="標楷體" w:eastAsia="標楷體" w:hAnsi="標楷體"/>
          <w:color w:val="000000"/>
          <w:sz w:val="28"/>
          <w:szCs w:val="28"/>
        </w:rPr>
        <w:tab/>
      </w:r>
    </w:p>
    <w:p w14:paraId="5F908722" w14:textId="77777777" w:rsidR="00421BB5" w:rsidRPr="00B507B1" w:rsidRDefault="00421BB5" w:rsidP="00421BB5">
      <w:pPr>
        <w:adjustRightInd w:val="0"/>
        <w:snapToGrid w:val="0"/>
        <w:spacing w:line="400" w:lineRule="exact"/>
        <w:ind w:leftChars="584" w:left="1402" w:firstLineChars="4" w:firstLine="11"/>
        <w:jc w:val="both"/>
        <w:rPr>
          <w:rFonts w:eastAsia="標楷體"/>
          <w:sz w:val="28"/>
          <w:highlight w:val="yellow"/>
        </w:rPr>
      </w:pPr>
      <w:r w:rsidRPr="00185378">
        <w:rPr>
          <w:rFonts w:ascii="標楷體" w:eastAsia="標楷體" w:hAnsi="標楷體" w:hint="eastAsia"/>
          <w:sz w:val="28"/>
          <w:szCs w:val="28"/>
        </w:rPr>
        <w:t>楊瓊瓔</w:t>
      </w:r>
      <w:r w:rsidRPr="00185378">
        <w:rPr>
          <w:rFonts w:ascii="標楷體" w:eastAsia="標楷體" w:hAnsi="標楷體"/>
          <w:sz w:val="28"/>
          <w:szCs w:val="28"/>
        </w:rPr>
        <w:tab/>
      </w:r>
      <w:r w:rsidRPr="00185378">
        <w:rPr>
          <w:rFonts w:ascii="標楷體" w:eastAsia="標楷體" w:hAnsi="標楷體" w:hint="eastAsia"/>
          <w:color w:val="000000"/>
          <w:sz w:val="28"/>
          <w:szCs w:val="28"/>
        </w:rPr>
        <w:t>張其祿</w:t>
      </w:r>
      <w:r w:rsidRPr="00185378">
        <w:rPr>
          <w:rFonts w:ascii="標楷體" w:eastAsia="標楷體" w:hAnsi="標楷體"/>
          <w:sz w:val="28"/>
          <w:szCs w:val="28"/>
        </w:rPr>
        <w:tab/>
      </w:r>
    </w:p>
    <w:p w14:paraId="469D1983" w14:textId="77777777" w:rsidR="00421BB5" w:rsidRDefault="00421BB5" w:rsidP="00421BB5">
      <w:pPr>
        <w:adjustRightInd w:val="0"/>
        <w:snapToGrid w:val="0"/>
        <w:spacing w:line="400" w:lineRule="exact"/>
        <w:ind w:firstLineChars="495" w:firstLine="1386"/>
        <w:jc w:val="both"/>
        <w:rPr>
          <w:rFonts w:ascii="標楷體" w:eastAsia="標楷體" w:hAnsi="標楷體"/>
          <w:sz w:val="28"/>
          <w:szCs w:val="28"/>
        </w:rPr>
      </w:pPr>
      <w:r w:rsidRPr="007E77E2">
        <w:rPr>
          <w:rFonts w:ascii="標楷體" w:eastAsia="標楷體" w:hAnsi="標楷體"/>
          <w:sz w:val="28"/>
          <w:szCs w:val="28"/>
        </w:rPr>
        <w:t>委員列席</w:t>
      </w:r>
      <w:r w:rsidRPr="007E77E2">
        <w:rPr>
          <w:rFonts w:ascii="標楷體" w:eastAsia="標楷體" w:hAnsi="標楷體" w:hint="eastAsia"/>
          <w:sz w:val="28"/>
          <w:szCs w:val="28"/>
        </w:rPr>
        <w:t>8</w:t>
      </w:r>
      <w:r w:rsidRPr="007E77E2">
        <w:rPr>
          <w:rFonts w:ascii="標楷體" w:eastAsia="標楷體" w:hAnsi="標楷體"/>
          <w:sz w:val="28"/>
          <w:szCs w:val="28"/>
        </w:rPr>
        <w:t>人</w:t>
      </w:r>
    </w:p>
    <w:p w14:paraId="13E8A197" w14:textId="77777777" w:rsidR="00421BB5" w:rsidRPr="00071BE4" w:rsidRDefault="00421BB5" w:rsidP="00421BB5">
      <w:pPr>
        <w:pStyle w:val="-9"/>
        <w:spacing w:line="400" w:lineRule="exact"/>
        <w:ind w:left="1361" w:hangingChars="486" w:hanging="1361"/>
        <w:rPr>
          <w:rFonts w:ascii="標楷體" w:hAnsi="標楷體"/>
          <w:sz w:val="28"/>
          <w:szCs w:val="28"/>
        </w:rPr>
      </w:pPr>
      <w:r w:rsidRPr="00C03AE3">
        <w:rPr>
          <w:rFonts w:ascii="標楷體" w:hAnsi="標楷體"/>
          <w:sz w:val="28"/>
          <w:szCs w:val="28"/>
        </w:rPr>
        <w:t>列席官員：</w:t>
      </w:r>
      <w:r w:rsidRPr="00071BE4">
        <w:rPr>
          <w:rFonts w:ascii="標楷體" w:hAnsi="標楷體" w:hint="eastAsia"/>
          <w:sz w:val="28"/>
          <w:szCs w:val="28"/>
        </w:rPr>
        <w:t>法務部常務次長　林錦村(部長請假)</w:t>
      </w:r>
    </w:p>
    <w:p w14:paraId="5E8BE004" w14:textId="77777777" w:rsidR="00421BB5" w:rsidRPr="00071BE4" w:rsidRDefault="00421BB5" w:rsidP="00421BB5">
      <w:pPr>
        <w:pStyle w:val="-9"/>
        <w:spacing w:line="400" w:lineRule="exact"/>
        <w:ind w:leftChars="485" w:left="1164" w:firstLineChars="85" w:firstLine="238"/>
        <w:rPr>
          <w:rFonts w:ascii="標楷體" w:hAnsi="標楷體"/>
          <w:sz w:val="28"/>
          <w:szCs w:val="28"/>
        </w:rPr>
      </w:pPr>
      <w:r w:rsidRPr="00071BE4">
        <w:rPr>
          <w:rFonts w:ascii="標楷體" w:hAnsi="標楷體" w:hint="eastAsia"/>
          <w:sz w:val="28"/>
          <w:szCs w:val="28"/>
        </w:rPr>
        <w:t>司法院副秘書長　黃麟倫</w:t>
      </w:r>
    </w:p>
    <w:p w14:paraId="371DE234" w14:textId="77777777" w:rsidR="00421BB5" w:rsidRPr="00071BE4" w:rsidRDefault="00421BB5" w:rsidP="00421BB5">
      <w:pPr>
        <w:pStyle w:val="-9"/>
        <w:spacing w:line="400" w:lineRule="exact"/>
        <w:ind w:leftChars="485" w:left="1164" w:firstLineChars="85" w:firstLine="238"/>
        <w:rPr>
          <w:rFonts w:ascii="標楷體" w:hAnsi="標楷體"/>
          <w:sz w:val="28"/>
          <w:szCs w:val="28"/>
        </w:rPr>
      </w:pPr>
      <w:r w:rsidRPr="00071BE4">
        <w:rPr>
          <w:rFonts w:ascii="標楷體" w:hAnsi="標楷體" w:hint="eastAsia"/>
          <w:sz w:val="28"/>
          <w:szCs w:val="28"/>
        </w:rPr>
        <w:t>銓敘部法規司簡任視察　廖康如</w:t>
      </w:r>
    </w:p>
    <w:p w14:paraId="107BBC2F" w14:textId="77777777" w:rsidR="00421BB5" w:rsidRPr="00071BE4" w:rsidRDefault="00421BB5" w:rsidP="00421BB5">
      <w:pPr>
        <w:pStyle w:val="-9"/>
        <w:spacing w:line="400" w:lineRule="exact"/>
        <w:ind w:leftChars="485" w:left="1164" w:firstLineChars="85" w:firstLine="238"/>
        <w:rPr>
          <w:rFonts w:ascii="標楷體" w:hAnsi="標楷體"/>
          <w:sz w:val="28"/>
          <w:szCs w:val="28"/>
        </w:rPr>
      </w:pPr>
      <w:r w:rsidRPr="00071BE4">
        <w:rPr>
          <w:rFonts w:ascii="標楷體" w:hAnsi="標楷體" w:hint="eastAsia"/>
          <w:sz w:val="28"/>
          <w:szCs w:val="28"/>
        </w:rPr>
        <w:t>國家發展委員會社會發展處簡任視察　邱承旭</w:t>
      </w:r>
    </w:p>
    <w:p w14:paraId="75EF2200" w14:textId="77777777" w:rsidR="00421BB5" w:rsidRPr="00071BE4" w:rsidRDefault="00421BB5" w:rsidP="00421BB5">
      <w:pPr>
        <w:pStyle w:val="-9"/>
        <w:spacing w:line="400" w:lineRule="exact"/>
        <w:ind w:leftChars="485" w:left="1164" w:firstLineChars="85" w:firstLine="238"/>
        <w:rPr>
          <w:rFonts w:ascii="標楷體" w:hAnsi="標楷體"/>
          <w:sz w:val="28"/>
          <w:szCs w:val="28"/>
        </w:rPr>
      </w:pPr>
      <w:r w:rsidRPr="00071BE4">
        <w:rPr>
          <w:rFonts w:ascii="標楷體" w:hAnsi="標楷體" w:hint="eastAsia"/>
          <w:sz w:val="28"/>
          <w:szCs w:val="28"/>
        </w:rPr>
        <w:t>行政院人事行政總處組編人力處專門委員　古元玲</w:t>
      </w:r>
    </w:p>
    <w:p w14:paraId="71F84C6A" w14:textId="77777777" w:rsidR="00421BB5" w:rsidRDefault="00421BB5" w:rsidP="00421BB5">
      <w:pPr>
        <w:pStyle w:val="-9"/>
        <w:spacing w:line="400" w:lineRule="exact"/>
        <w:ind w:leftChars="485" w:left="1164" w:firstLineChars="85" w:firstLine="238"/>
        <w:rPr>
          <w:rFonts w:ascii="標楷體" w:hAnsi="標楷體"/>
          <w:sz w:val="28"/>
          <w:szCs w:val="28"/>
        </w:rPr>
      </w:pPr>
      <w:r w:rsidRPr="00071BE4">
        <w:rPr>
          <w:rFonts w:ascii="標楷體" w:hAnsi="標楷體" w:hint="eastAsia"/>
          <w:sz w:val="28"/>
          <w:szCs w:val="28"/>
        </w:rPr>
        <w:t>行政院主計總處公務預算處專門委員　廖玉</w:t>
      </w:r>
      <w:r w:rsidRPr="00185378">
        <w:rPr>
          <w:rFonts w:ascii="標楷體" w:hAnsi="標楷體" w:hint="eastAsia"/>
          <w:sz w:val="28"/>
          <w:szCs w:val="28"/>
        </w:rPr>
        <w:t>琳</w:t>
      </w:r>
    </w:p>
    <w:p w14:paraId="5D98666F" w14:textId="77777777" w:rsidR="00421BB5" w:rsidRPr="00747727" w:rsidRDefault="00421BB5" w:rsidP="00421BB5">
      <w:pPr>
        <w:pStyle w:val="-9"/>
        <w:spacing w:line="400" w:lineRule="exact"/>
        <w:ind w:left="1361" w:hangingChars="486" w:hanging="1361"/>
        <w:rPr>
          <w:rFonts w:ascii="標楷體" w:hAnsi="標楷體"/>
          <w:sz w:val="28"/>
          <w:szCs w:val="28"/>
        </w:rPr>
      </w:pPr>
      <w:r w:rsidRPr="00747727">
        <w:rPr>
          <w:rFonts w:ascii="標楷體" w:hAnsi="標楷體" w:hint="eastAsia"/>
          <w:sz w:val="28"/>
          <w:szCs w:val="28"/>
        </w:rPr>
        <w:t>主    席：</w:t>
      </w:r>
      <w:r>
        <w:rPr>
          <w:rFonts w:ascii="標楷體" w:hAnsi="標楷體" w:hint="eastAsia"/>
          <w:sz w:val="28"/>
          <w:szCs w:val="28"/>
        </w:rPr>
        <w:t>陳召集委員歐珀</w:t>
      </w:r>
    </w:p>
    <w:p w14:paraId="3A9E87C4" w14:textId="77777777" w:rsidR="00421BB5" w:rsidRPr="00747727" w:rsidRDefault="00421BB5" w:rsidP="00421BB5">
      <w:pPr>
        <w:pStyle w:val="-9"/>
        <w:spacing w:line="400" w:lineRule="exact"/>
        <w:ind w:left="1361" w:hangingChars="486" w:hanging="1361"/>
        <w:rPr>
          <w:rFonts w:ascii="標楷體" w:hAnsi="標楷體"/>
          <w:sz w:val="28"/>
          <w:szCs w:val="28"/>
        </w:rPr>
      </w:pPr>
      <w:r w:rsidRPr="00747727">
        <w:rPr>
          <w:rFonts w:ascii="標楷體" w:hAnsi="標楷體" w:hint="eastAsia"/>
          <w:sz w:val="28"/>
          <w:szCs w:val="28"/>
        </w:rPr>
        <w:t>專門委員：梁雯璍</w:t>
      </w:r>
    </w:p>
    <w:p w14:paraId="6ECB4311" w14:textId="77777777" w:rsidR="00421BB5" w:rsidRPr="00747727" w:rsidRDefault="00421BB5" w:rsidP="00421BB5">
      <w:pPr>
        <w:pStyle w:val="-9"/>
        <w:spacing w:line="400" w:lineRule="exact"/>
        <w:ind w:left="1361" w:hangingChars="486" w:hanging="1361"/>
        <w:rPr>
          <w:rFonts w:ascii="標楷體" w:hAnsi="標楷體"/>
          <w:sz w:val="28"/>
          <w:szCs w:val="28"/>
        </w:rPr>
      </w:pPr>
      <w:r w:rsidRPr="00747727">
        <w:rPr>
          <w:rFonts w:ascii="標楷體" w:hAnsi="標楷體" w:hint="eastAsia"/>
          <w:sz w:val="28"/>
          <w:szCs w:val="28"/>
        </w:rPr>
        <w:t>主任秘書：張智為</w:t>
      </w:r>
    </w:p>
    <w:p w14:paraId="06D8CD5A" w14:textId="77777777" w:rsidR="00421BB5" w:rsidRPr="00747727" w:rsidRDefault="00421BB5" w:rsidP="00421BB5">
      <w:pPr>
        <w:pStyle w:val="-9"/>
        <w:spacing w:line="400" w:lineRule="exact"/>
        <w:ind w:left="1361" w:hangingChars="486" w:hanging="1361"/>
        <w:rPr>
          <w:rFonts w:ascii="標楷體" w:hAnsi="標楷體"/>
          <w:sz w:val="28"/>
          <w:szCs w:val="28"/>
        </w:rPr>
      </w:pPr>
      <w:r w:rsidRPr="00747727">
        <w:rPr>
          <w:rFonts w:ascii="標楷體" w:hAnsi="標楷體" w:hint="eastAsia"/>
          <w:sz w:val="28"/>
          <w:szCs w:val="28"/>
        </w:rPr>
        <w:t>紀    錄：簡任秘書　陳杏枝</w:t>
      </w:r>
    </w:p>
    <w:p w14:paraId="464AB802" w14:textId="77777777" w:rsidR="00421BB5" w:rsidRPr="00747727" w:rsidRDefault="00421BB5" w:rsidP="00421BB5">
      <w:pPr>
        <w:pStyle w:val="-9"/>
        <w:spacing w:line="400" w:lineRule="exact"/>
        <w:ind w:leftChars="567" w:left="1361" w:firstLineChars="20" w:firstLine="56"/>
        <w:rPr>
          <w:rFonts w:ascii="標楷體" w:hAnsi="標楷體"/>
          <w:sz w:val="28"/>
          <w:szCs w:val="28"/>
        </w:rPr>
      </w:pPr>
      <w:r w:rsidRPr="00747727">
        <w:rPr>
          <w:rFonts w:ascii="標楷體" w:hAnsi="標楷體" w:hint="eastAsia"/>
          <w:sz w:val="28"/>
          <w:szCs w:val="28"/>
        </w:rPr>
        <w:t>簡任編審　薛復寧</w:t>
      </w:r>
    </w:p>
    <w:p w14:paraId="3B81F50D" w14:textId="77777777" w:rsidR="00421BB5" w:rsidRDefault="00421BB5" w:rsidP="00421BB5">
      <w:pPr>
        <w:pStyle w:val="-9"/>
        <w:spacing w:line="400" w:lineRule="exact"/>
        <w:ind w:leftChars="567" w:left="1361" w:firstLineChars="20" w:firstLine="56"/>
        <w:rPr>
          <w:rFonts w:ascii="標楷體" w:hAnsi="標楷體"/>
          <w:sz w:val="28"/>
          <w:szCs w:val="28"/>
        </w:rPr>
      </w:pPr>
      <w:r w:rsidRPr="00747727">
        <w:rPr>
          <w:rFonts w:ascii="標楷體" w:hAnsi="標楷體" w:hint="eastAsia"/>
          <w:sz w:val="28"/>
          <w:szCs w:val="28"/>
        </w:rPr>
        <w:t>科　　長　鮑夏明</w:t>
      </w:r>
    </w:p>
    <w:p w14:paraId="03A2C2C7" w14:textId="77777777" w:rsidR="00421BB5" w:rsidRPr="00747727" w:rsidRDefault="00421BB5" w:rsidP="00421BB5">
      <w:pPr>
        <w:pStyle w:val="afffff2"/>
        <w:spacing w:beforeLines="50" w:before="180" w:line="40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報告事項</w:t>
      </w:r>
    </w:p>
    <w:p w14:paraId="1616F19C" w14:textId="77777777" w:rsidR="00421BB5" w:rsidRPr="00C03AE3" w:rsidRDefault="00421BB5" w:rsidP="00421BB5">
      <w:pPr>
        <w:pStyle w:val="afffff4"/>
        <w:spacing w:beforeLines="20" w:before="72" w:line="400" w:lineRule="exact"/>
        <w:ind w:left="560" w:hanging="560"/>
        <w:jc w:val="both"/>
        <w:rPr>
          <w:rFonts w:ascii="標楷體" w:hAnsi="標楷體"/>
          <w:sz w:val="28"/>
          <w:szCs w:val="28"/>
        </w:rPr>
      </w:pPr>
      <w:r w:rsidRPr="00C03AE3">
        <w:rPr>
          <w:rFonts w:ascii="標楷體" w:hAnsi="標楷體"/>
          <w:sz w:val="28"/>
          <w:szCs w:val="28"/>
        </w:rPr>
        <w:t>宣讀上次會議議事錄</w:t>
      </w:r>
    </w:p>
    <w:p w14:paraId="093FB2AF" w14:textId="77777777" w:rsidR="00421BB5" w:rsidRPr="00C03AE3" w:rsidRDefault="00421BB5" w:rsidP="00421BB5">
      <w:pPr>
        <w:adjustRightInd w:val="0"/>
        <w:snapToGrid w:val="0"/>
        <w:spacing w:line="400" w:lineRule="exact"/>
        <w:ind w:left="840" w:hangingChars="300" w:hanging="840"/>
        <w:jc w:val="both"/>
        <w:rPr>
          <w:rFonts w:ascii="標楷體" w:hAnsi="標楷體"/>
          <w:sz w:val="28"/>
          <w:szCs w:val="28"/>
        </w:rPr>
      </w:pPr>
      <w:r w:rsidRPr="00C03AE3">
        <w:rPr>
          <w:rFonts w:ascii="標楷體" w:eastAsia="標楷體" w:hAnsi="標楷體" w:hint="eastAsia"/>
          <w:kern w:val="0"/>
          <w:sz w:val="28"/>
          <w:szCs w:val="28"/>
        </w:rPr>
        <w:t>決定：確定。</w:t>
      </w:r>
    </w:p>
    <w:p w14:paraId="6BB6A236" w14:textId="77777777" w:rsidR="00421BB5" w:rsidRPr="00C03AE3" w:rsidRDefault="00421BB5" w:rsidP="00421BB5">
      <w:pPr>
        <w:pStyle w:val="afffff2"/>
        <w:spacing w:beforeLines="50" w:before="180" w:line="40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14:paraId="5879EC20" w14:textId="77777777" w:rsidR="00421BB5" w:rsidRPr="00B507B1" w:rsidRDefault="00421BB5" w:rsidP="00421BB5">
      <w:pPr>
        <w:spacing w:line="400" w:lineRule="exact"/>
        <w:ind w:left="560" w:hangingChars="200" w:hanging="560"/>
        <w:jc w:val="both"/>
        <w:rPr>
          <w:rFonts w:ascii="標楷體" w:eastAsia="標楷體" w:hAnsi="標楷體"/>
          <w:sz w:val="28"/>
          <w:szCs w:val="28"/>
        </w:rPr>
      </w:pPr>
      <w:r w:rsidRPr="00C03AE3">
        <w:rPr>
          <w:rFonts w:ascii="標楷體" w:eastAsia="標楷體" w:hAnsi="標楷體" w:hint="eastAsia"/>
          <w:sz w:val="28"/>
          <w:szCs w:val="28"/>
          <w:lang w:val="x-none"/>
        </w:rPr>
        <w:t>一、</w:t>
      </w:r>
      <w:r w:rsidRPr="00B507B1">
        <w:rPr>
          <w:rFonts w:ascii="標楷體" w:eastAsia="標楷體" w:hAnsi="標楷體" w:hint="eastAsia"/>
          <w:sz w:val="28"/>
          <w:szCs w:val="28"/>
        </w:rPr>
        <w:t>併案審查（一）行政院函請審議「法務部法醫研究所組織法第二條及第五條條文修正草案」、（二）委員萬美玲等23人擬具「法務部法醫研究所組織法第二條及第五條條文修正草案」、（三）時代力量黨團擬具「法務部法醫研究所組織法第二條條文修正草案」、（四）委員黃世杰等20人擬具「法務部法醫研究所組織法第二條條文修正草案」、（五）台灣民眾黨黨團擬具「法務部法醫研究所組織法第二條及第五條條文修正草案」及（六）委員伍麗華Saidhai‧Tahovecahe等17人擬具「法務部法醫研究所組織法第</w:t>
      </w:r>
      <w:r w:rsidRPr="00B507B1">
        <w:rPr>
          <w:rFonts w:ascii="標楷體" w:eastAsia="標楷體" w:hAnsi="標楷體" w:hint="eastAsia"/>
          <w:sz w:val="28"/>
          <w:szCs w:val="28"/>
        </w:rPr>
        <w:lastRenderedPageBreak/>
        <w:t>二條及第五條條文修正草案」案。</w:t>
      </w:r>
    </w:p>
    <w:p w14:paraId="586460DD" w14:textId="77777777" w:rsidR="00421BB5" w:rsidRPr="00B507B1" w:rsidRDefault="00421BB5" w:rsidP="00421BB5">
      <w:pPr>
        <w:adjustRightInd w:val="0"/>
        <w:snapToGrid w:val="0"/>
        <w:spacing w:line="400" w:lineRule="exact"/>
        <w:ind w:left="560" w:hangingChars="200" w:hanging="560"/>
        <w:jc w:val="both"/>
        <w:rPr>
          <w:rFonts w:ascii="標楷體" w:eastAsia="標楷體" w:hAnsi="標楷體"/>
          <w:sz w:val="28"/>
          <w:szCs w:val="28"/>
        </w:rPr>
      </w:pPr>
      <w:r w:rsidRPr="00B507B1">
        <w:rPr>
          <w:rFonts w:ascii="標楷體" w:eastAsia="標楷體" w:hAnsi="標楷體" w:hint="eastAsia"/>
          <w:sz w:val="28"/>
          <w:szCs w:val="28"/>
        </w:rPr>
        <w:t>二、併案審查（一）行政院函請審議「法務部司法官學院組織法第二條及第八條條文修正草案」、（二）委員黃世杰等19人擬具「法務部司法官學院組織法第二條條文修正草案」、（三）台灣民眾黨黨團擬具「法務部司法官學院組織法第二條及第八條條文修正草案」及（四）委員伍麗華Saidhai‧Tahovecahe等16人擬具「法務部司法官學院組織法第二條及第八條條文修正草案」案。</w:t>
      </w:r>
    </w:p>
    <w:p w14:paraId="1DE4E4F0" w14:textId="77777777" w:rsidR="00421BB5" w:rsidRPr="00B507B1" w:rsidRDefault="00421BB5" w:rsidP="00421BB5">
      <w:pPr>
        <w:adjustRightInd w:val="0"/>
        <w:snapToGrid w:val="0"/>
        <w:spacing w:line="400" w:lineRule="exact"/>
        <w:ind w:left="560" w:hangingChars="200" w:hanging="560"/>
        <w:jc w:val="both"/>
        <w:rPr>
          <w:rFonts w:ascii="標楷體" w:eastAsia="標楷體" w:hAnsi="標楷體"/>
          <w:sz w:val="28"/>
          <w:szCs w:val="28"/>
        </w:rPr>
      </w:pPr>
      <w:r w:rsidRPr="00B507B1">
        <w:rPr>
          <w:rFonts w:ascii="標楷體" w:eastAsia="標楷體" w:hAnsi="標楷體" w:hint="eastAsia"/>
          <w:sz w:val="28"/>
          <w:szCs w:val="28"/>
        </w:rPr>
        <w:t>三、審查委員黃世杰等20人擬具「少年矯正學校設置及教育實施通則第四十六條條文修正草案」案。</w:t>
      </w:r>
    </w:p>
    <w:p w14:paraId="712F9F2E" w14:textId="77777777" w:rsidR="00421BB5" w:rsidRPr="00B507B1" w:rsidRDefault="00421BB5" w:rsidP="00421BB5">
      <w:pPr>
        <w:adjustRightInd w:val="0"/>
        <w:snapToGrid w:val="0"/>
        <w:spacing w:line="400" w:lineRule="exact"/>
        <w:ind w:left="560" w:hangingChars="200" w:hanging="560"/>
        <w:jc w:val="both"/>
        <w:rPr>
          <w:rFonts w:ascii="標楷體" w:eastAsia="標楷體" w:hAnsi="標楷體"/>
          <w:sz w:val="28"/>
          <w:szCs w:val="28"/>
        </w:rPr>
      </w:pPr>
      <w:r w:rsidRPr="00B507B1">
        <w:rPr>
          <w:rFonts w:ascii="標楷體" w:eastAsia="標楷體" w:hAnsi="標楷體" w:hint="eastAsia"/>
          <w:sz w:val="28"/>
          <w:szCs w:val="28"/>
        </w:rPr>
        <w:t>四、併案審查（一）委員黃世杰等22人及（二）委員林宜瑾等18人分別擬具「少年觀護所設置及實施通則第二條條文修正草案」案。</w:t>
      </w:r>
    </w:p>
    <w:p w14:paraId="4AFA994D" w14:textId="77777777" w:rsidR="00421BB5" w:rsidRPr="00B507B1" w:rsidRDefault="00421BB5" w:rsidP="00421BB5">
      <w:pPr>
        <w:adjustRightInd w:val="0"/>
        <w:snapToGrid w:val="0"/>
        <w:spacing w:line="400" w:lineRule="exact"/>
        <w:ind w:left="560" w:hangingChars="200" w:hanging="560"/>
        <w:jc w:val="both"/>
        <w:rPr>
          <w:rFonts w:ascii="標楷體" w:eastAsia="標楷體" w:hAnsi="標楷體"/>
          <w:sz w:val="28"/>
          <w:szCs w:val="28"/>
        </w:rPr>
      </w:pPr>
      <w:r w:rsidRPr="00B507B1">
        <w:rPr>
          <w:rFonts w:ascii="標楷體" w:eastAsia="標楷體" w:hAnsi="標楷體" w:hint="eastAsia"/>
          <w:sz w:val="28"/>
          <w:szCs w:val="28"/>
        </w:rPr>
        <w:t>五、併案審查（一）委員黃世杰等20人及（二）委員林宜瑾等18人分別擬具「鄉鎮市調解條例部分條文修正草案」案。</w:t>
      </w:r>
    </w:p>
    <w:p w14:paraId="0AD806E7" w14:textId="77777777" w:rsidR="00421BB5" w:rsidRPr="00B507B1" w:rsidRDefault="00421BB5" w:rsidP="00421BB5">
      <w:pPr>
        <w:adjustRightInd w:val="0"/>
        <w:snapToGrid w:val="0"/>
        <w:spacing w:line="400" w:lineRule="exact"/>
        <w:ind w:left="560" w:hangingChars="200" w:hanging="560"/>
        <w:jc w:val="both"/>
        <w:rPr>
          <w:rFonts w:ascii="標楷體" w:eastAsia="標楷體" w:hAnsi="標楷體"/>
          <w:sz w:val="28"/>
          <w:szCs w:val="28"/>
        </w:rPr>
      </w:pPr>
      <w:r w:rsidRPr="00B507B1">
        <w:rPr>
          <w:rFonts w:ascii="標楷體" w:eastAsia="標楷體" w:hAnsi="標楷體" w:hint="eastAsia"/>
          <w:sz w:val="28"/>
          <w:szCs w:val="28"/>
        </w:rPr>
        <w:t>六、審查委員黃世杰等20人擬具「戒治處分執行條例第十八條條文修正草案」案。</w:t>
      </w:r>
    </w:p>
    <w:p w14:paraId="1C8D7CEC" w14:textId="77777777" w:rsidR="00421BB5" w:rsidRDefault="00421BB5" w:rsidP="00421BB5">
      <w:pPr>
        <w:adjustRightInd w:val="0"/>
        <w:snapToGrid w:val="0"/>
        <w:spacing w:line="400" w:lineRule="exact"/>
        <w:ind w:left="560" w:hangingChars="200" w:hanging="560"/>
        <w:jc w:val="both"/>
        <w:rPr>
          <w:rFonts w:ascii="標楷體" w:eastAsia="標楷體" w:hAnsi="標楷體"/>
          <w:sz w:val="28"/>
          <w:szCs w:val="28"/>
        </w:rPr>
      </w:pPr>
      <w:r w:rsidRPr="00B507B1">
        <w:rPr>
          <w:rFonts w:ascii="標楷體" w:eastAsia="標楷體" w:hAnsi="標楷體" w:hint="eastAsia"/>
          <w:sz w:val="28"/>
          <w:szCs w:val="28"/>
        </w:rPr>
        <w:t>七、審查委員黃世杰等21人擬具「公設辯護人條例第七條條文修正草案」案。</w:t>
      </w:r>
    </w:p>
    <w:p w14:paraId="7AFE3BA1" w14:textId="77777777" w:rsidR="00421BB5" w:rsidRPr="00B507B1" w:rsidRDefault="00421BB5" w:rsidP="00421BB5">
      <w:pPr>
        <w:adjustRightInd w:val="0"/>
        <w:snapToGrid w:val="0"/>
        <w:spacing w:line="400" w:lineRule="exact"/>
        <w:ind w:left="266" w:hangingChars="95" w:hanging="266"/>
        <w:jc w:val="both"/>
        <w:rPr>
          <w:rFonts w:ascii="標楷體" w:eastAsia="標楷體" w:hAnsi="標楷體"/>
          <w:sz w:val="28"/>
          <w:szCs w:val="28"/>
        </w:rPr>
      </w:pPr>
      <w:r w:rsidRPr="00CA4D18">
        <w:rPr>
          <w:rFonts w:ascii="標楷體" w:eastAsia="標楷體" w:hAnsi="標楷體" w:hint="eastAsia"/>
          <w:sz w:val="28"/>
          <w:szCs w:val="28"/>
        </w:rPr>
        <w:t>（本次會議有委員曾銘宗、陳歐珀、鄭運鵬</w:t>
      </w:r>
      <w:r w:rsidRPr="00EF7B67">
        <w:rPr>
          <w:rFonts w:ascii="標楷體" w:eastAsia="標楷體" w:hAnsi="標楷體" w:hint="eastAsia"/>
          <w:sz w:val="28"/>
          <w:szCs w:val="28"/>
        </w:rPr>
        <w:t>、江永昌、</w:t>
      </w:r>
      <w:r w:rsidRPr="00AC7DC6">
        <w:rPr>
          <w:rFonts w:ascii="標楷體" w:eastAsia="標楷體" w:hAnsi="標楷體" w:hint="eastAsia"/>
          <w:sz w:val="28"/>
          <w:szCs w:val="28"/>
        </w:rPr>
        <w:t>陳以信、</w:t>
      </w:r>
      <w:r>
        <w:rPr>
          <w:rFonts w:ascii="標楷體" w:eastAsia="標楷體" w:hAnsi="標楷體" w:hint="eastAsia"/>
          <w:sz w:val="28"/>
          <w:szCs w:val="28"/>
        </w:rPr>
        <w:t>楊瓊瓔、</w:t>
      </w:r>
      <w:r w:rsidRPr="00263999">
        <w:rPr>
          <w:rFonts w:ascii="標楷體" w:eastAsia="標楷體" w:hAnsi="標楷體" w:hint="eastAsia"/>
          <w:sz w:val="28"/>
          <w:szCs w:val="28"/>
        </w:rPr>
        <w:t>黃世杰、</w:t>
      </w:r>
      <w:r w:rsidRPr="008846BF">
        <w:rPr>
          <w:rFonts w:ascii="標楷體" w:eastAsia="標楷體" w:hAnsi="標楷體" w:hint="eastAsia"/>
          <w:sz w:val="28"/>
          <w:szCs w:val="28"/>
        </w:rPr>
        <w:t>劉建國</w:t>
      </w:r>
      <w:r w:rsidRPr="00CA4D18">
        <w:rPr>
          <w:rFonts w:ascii="標楷體" w:eastAsia="標楷體" w:hAnsi="標楷體" w:hint="eastAsia"/>
          <w:sz w:val="28"/>
          <w:szCs w:val="28"/>
        </w:rPr>
        <w:t>提出質詢；委員</w:t>
      </w:r>
      <w:r w:rsidRPr="00AC7DC6">
        <w:rPr>
          <w:rFonts w:ascii="標楷體" w:eastAsia="標楷體" w:hAnsi="標楷體" w:hint="eastAsia"/>
          <w:sz w:val="28"/>
          <w:szCs w:val="28"/>
        </w:rPr>
        <w:t>陳玉珍、林思銘提出</w:t>
      </w:r>
      <w:r w:rsidRPr="00CA4D18">
        <w:rPr>
          <w:rFonts w:ascii="標楷體" w:eastAsia="標楷體" w:hAnsi="標楷體" w:hint="eastAsia"/>
          <w:sz w:val="28"/>
          <w:szCs w:val="28"/>
        </w:rPr>
        <w:t>書面質詢。）</w:t>
      </w:r>
    </w:p>
    <w:p w14:paraId="06427DC9" w14:textId="77777777" w:rsidR="00421BB5" w:rsidRPr="00633EB1" w:rsidRDefault="00421BB5" w:rsidP="00421BB5">
      <w:pPr>
        <w:pStyle w:val="afffffff2"/>
        <w:spacing w:line="400" w:lineRule="exact"/>
        <w:ind w:leftChars="0" w:left="567" w:firstLineChars="0" w:hanging="567"/>
      </w:pPr>
      <w:r w:rsidRPr="00633EB1">
        <w:rPr>
          <w:rFonts w:hint="eastAsia"/>
        </w:rPr>
        <w:t>決議：</w:t>
      </w:r>
    </w:p>
    <w:p w14:paraId="3FE049E2" w14:textId="77777777" w:rsidR="00421BB5" w:rsidRPr="00E17F34" w:rsidRDefault="00421BB5" w:rsidP="00421BB5">
      <w:pPr>
        <w:adjustRightInd w:val="0"/>
        <w:snapToGrid w:val="0"/>
        <w:spacing w:line="400" w:lineRule="exact"/>
        <w:ind w:left="560" w:hangingChars="200" w:hanging="560"/>
        <w:jc w:val="both"/>
        <w:rPr>
          <w:rFonts w:ascii="標楷體" w:eastAsia="標楷體" w:hAnsi="標楷體"/>
          <w:sz w:val="28"/>
          <w:szCs w:val="28"/>
        </w:rPr>
      </w:pPr>
      <w:r w:rsidRPr="00E17F34">
        <w:rPr>
          <w:rFonts w:ascii="標楷體" w:eastAsia="標楷體" w:hAnsi="標楷體"/>
          <w:sz w:val="28"/>
          <w:szCs w:val="28"/>
        </w:rPr>
        <w:t>一、</w:t>
      </w:r>
      <w:r w:rsidRPr="00E17F34">
        <w:rPr>
          <w:rFonts w:ascii="標楷體" w:eastAsia="標楷體" w:hAnsi="標楷體" w:hint="eastAsia"/>
          <w:sz w:val="28"/>
          <w:szCs w:val="28"/>
        </w:rPr>
        <w:t>報告及詢答完畢。</w:t>
      </w:r>
    </w:p>
    <w:p w14:paraId="1A7F2FFB" w14:textId="77777777" w:rsidR="00421BB5" w:rsidRPr="006107DC" w:rsidRDefault="00421BB5" w:rsidP="00421BB5">
      <w:pPr>
        <w:kinsoku w:val="0"/>
        <w:spacing w:line="400" w:lineRule="exact"/>
        <w:ind w:left="520" w:hangingChars="200" w:hanging="520"/>
        <w:contextualSpacing/>
        <w:jc w:val="both"/>
        <w:rPr>
          <w:rFonts w:ascii="標楷體" w:eastAsia="標楷體" w:hAnsi="標楷體"/>
          <w:spacing w:val="-10"/>
          <w:sz w:val="28"/>
          <w:szCs w:val="28"/>
        </w:rPr>
      </w:pPr>
      <w:r>
        <w:rPr>
          <w:rFonts w:ascii="標楷體" w:eastAsia="標楷體" w:hAnsi="標楷體" w:hint="eastAsia"/>
          <w:spacing w:val="-10"/>
          <w:sz w:val="28"/>
          <w:szCs w:val="28"/>
        </w:rPr>
        <w:t>二、</w:t>
      </w:r>
      <w:r w:rsidRPr="00B507B1">
        <w:rPr>
          <w:rFonts w:ascii="標楷體" w:eastAsia="標楷體" w:hAnsi="標楷體" w:hint="eastAsia"/>
          <w:sz w:val="28"/>
          <w:szCs w:val="28"/>
        </w:rPr>
        <w:t>「法務部法醫研究所組織法第二條及第五條條文修正草案」</w:t>
      </w:r>
      <w:r>
        <w:rPr>
          <w:rFonts w:ascii="標楷體" w:eastAsia="標楷體" w:hAnsi="標楷體" w:hint="eastAsia"/>
          <w:sz w:val="28"/>
          <w:szCs w:val="28"/>
        </w:rPr>
        <w:t>等6</w:t>
      </w:r>
      <w:r w:rsidRPr="00633EB1">
        <w:rPr>
          <w:rFonts w:ascii="標楷體" w:eastAsia="標楷體" w:hAnsi="標楷體" w:hint="eastAsia"/>
          <w:spacing w:val="-10"/>
          <w:sz w:val="28"/>
          <w:szCs w:val="28"/>
        </w:rPr>
        <w:t>案</w:t>
      </w:r>
      <w:r w:rsidRPr="006107DC">
        <w:rPr>
          <w:rFonts w:ascii="標楷體" w:eastAsia="標楷體" w:hAnsi="標楷體" w:hint="eastAsia"/>
          <w:spacing w:val="-10"/>
          <w:sz w:val="28"/>
          <w:szCs w:val="28"/>
        </w:rPr>
        <w:t>：</w:t>
      </w:r>
    </w:p>
    <w:p w14:paraId="1C607199" w14:textId="77777777" w:rsidR="00421BB5" w:rsidRPr="00E17F34" w:rsidRDefault="00421BB5" w:rsidP="00421BB5">
      <w:pPr>
        <w:kinsoku w:val="0"/>
        <w:spacing w:line="400" w:lineRule="exact"/>
        <w:ind w:firstLineChars="100" w:firstLine="280"/>
        <w:contextualSpacing/>
        <w:jc w:val="both"/>
        <w:rPr>
          <w:rFonts w:ascii="標楷體" w:eastAsia="標楷體" w:hAnsi="標楷體"/>
          <w:sz w:val="28"/>
          <w:szCs w:val="28"/>
        </w:rPr>
      </w:pPr>
      <w:r>
        <w:rPr>
          <w:rFonts w:ascii="標楷體" w:eastAsia="標楷體" w:hAnsi="標楷體" w:hint="eastAsia"/>
          <w:sz w:val="28"/>
          <w:szCs w:val="28"/>
        </w:rPr>
        <w:t>(一)</w:t>
      </w:r>
      <w:r w:rsidRPr="00E17F34">
        <w:rPr>
          <w:rFonts w:ascii="標楷體" w:eastAsia="標楷體" w:hAnsi="標楷體" w:hint="eastAsia"/>
          <w:sz w:val="28"/>
          <w:szCs w:val="28"/>
        </w:rPr>
        <w:t>逕行逐條審查。</w:t>
      </w:r>
    </w:p>
    <w:p w14:paraId="3AF2C403" w14:textId="77777777" w:rsidR="00421BB5" w:rsidRDefault="00421BB5" w:rsidP="00421BB5">
      <w:pPr>
        <w:kinsoku w:val="0"/>
        <w:spacing w:line="400" w:lineRule="exact"/>
        <w:ind w:firstLineChars="100" w:firstLine="280"/>
        <w:contextualSpacing/>
        <w:jc w:val="both"/>
        <w:rPr>
          <w:rFonts w:ascii="標楷體" w:eastAsia="標楷體" w:hAnsi="標楷體"/>
          <w:sz w:val="28"/>
          <w:szCs w:val="28"/>
        </w:rPr>
      </w:pPr>
      <w:r>
        <w:rPr>
          <w:rFonts w:ascii="標楷體" w:eastAsia="標楷體" w:hAnsi="標楷體" w:hint="eastAsia"/>
          <w:sz w:val="28"/>
          <w:szCs w:val="28"/>
        </w:rPr>
        <w:t>(二)</w:t>
      </w:r>
      <w:r w:rsidRPr="00577D0C">
        <w:rPr>
          <w:rFonts w:ascii="標楷體" w:eastAsia="標楷體" w:hAnsi="標楷體" w:hint="eastAsia"/>
          <w:sz w:val="28"/>
          <w:szCs w:val="28"/>
        </w:rPr>
        <w:t>第</w:t>
      </w:r>
      <w:r>
        <w:rPr>
          <w:rFonts w:ascii="標楷體" w:eastAsia="標楷體" w:hAnsi="標楷體" w:hint="eastAsia"/>
          <w:sz w:val="28"/>
          <w:szCs w:val="28"/>
        </w:rPr>
        <w:t>二</w:t>
      </w:r>
      <w:r w:rsidRPr="006E2D99">
        <w:rPr>
          <w:rFonts w:ascii="標楷體" w:eastAsia="標楷體" w:hAnsi="標楷體" w:hint="eastAsia"/>
          <w:sz w:val="28"/>
          <w:szCs w:val="28"/>
        </w:rPr>
        <w:t>條</w:t>
      </w:r>
      <w:r>
        <w:rPr>
          <w:rFonts w:ascii="標楷體" w:eastAsia="標楷體" w:hAnsi="標楷體" w:hint="eastAsia"/>
          <w:sz w:val="28"/>
          <w:szCs w:val="28"/>
        </w:rPr>
        <w:t>及第</w:t>
      </w:r>
      <w:r w:rsidRPr="006E2D99">
        <w:rPr>
          <w:rFonts w:ascii="標楷體" w:eastAsia="標楷體" w:hAnsi="標楷體" w:hint="eastAsia"/>
          <w:sz w:val="28"/>
          <w:szCs w:val="28"/>
        </w:rPr>
        <w:t>五條，均照</w:t>
      </w:r>
      <w:r>
        <w:rPr>
          <w:rFonts w:ascii="標楷體" w:eastAsia="標楷體" w:hAnsi="標楷體" w:hint="eastAsia"/>
          <w:sz w:val="28"/>
          <w:szCs w:val="28"/>
        </w:rPr>
        <w:t>行政院提</w:t>
      </w:r>
      <w:r w:rsidRPr="006E2D99">
        <w:rPr>
          <w:rFonts w:ascii="標楷體" w:eastAsia="標楷體" w:hAnsi="標楷體" w:hint="eastAsia"/>
          <w:sz w:val="28"/>
          <w:szCs w:val="28"/>
        </w:rPr>
        <w:t>案通過。</w:t>
      </w:r>
    </w:p>
    <w:p w14:paraId="0E56813B" w14:textId="77777777" w:rsidR="00421BB5" w:rsidRPr="00577D0C"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577D0C">
        <w:rPr>
          <w:rFonts w:ascii="標楷體" w:eastAsia="標楷體" w:hAnsi="標楷體" w:hint="eastAsia"/>
          <w:sz w:val="28"/>
          <w:szCs w:val="28"/>
        </w:rPr>
        <w:t>本案審查完竣，擬具審查報告，提請院會公決；</w:t>
      </w:r>
      <w:r w:rsidRPr="00BB32BF">
        <w:rPr>
          <w:rFonts w:ascii="標楷體" w:eastAsia="標楷體" w:hAnsi="標楷體" w:hint="eastAsia"/>
          <w:sz w:val="28"/>
          <w:szCs w:val="28"/>
        </w:rPr>
        <w:t>不</w:t>
      </w:r>
      <w:r w:rsidRPr="00577D0C">
        <w:rPr>
          <w:rFonts w:ascii="標楷體" w:eastAsia="標楷體" w:hAnsi="標楷體" w:hint="eastAsia"/>
          <w:sz w:val="28"/>
          <w:szCs w:val="28"/>
        </w:rPr>
        <w:t>須交由黨團協商；院會討論時，由</w:t>
      </w:r>
      <w:r>
        <w:rPr>
          <w:rFonts w:ascii="標楷體" w:eastAsia="標楷體" w:hAnsi="標楷體" w:hint="eastAsia"/>
          <w:sz w:val="28"/>
          <w:szCs w:val="28"/>
        </w:rPr>
        <w:t>陳</w:t>
      </w:r>
      <w:r w:rsidRPr="00577D0C">
        <w:rPr>
          <w:rFonts w:ascii="標楷體" w:eastAsia="標楷體" w:hAnsi="標楷體" w:hint="eastAsia"/>
          <w:sz w:val="28"/>
          <w:szCs w:val="28"/>
        </w:rPr>
        <w:t>召集委員</w:t>
      </w:r>
      <w:r>
        <w:rPr>
          <w:rFonts w:ascii="標楷體" w:eastAsia="標楷體" w:hAnsi="標楷體" w:hint="eastAsia"/>
          <w:sz w:val="28"/>
          <w:szCs w:val="28"/>
        </w:rPr>
        <w:t>歐珀</w:t>
      </w:r>
      <w:r w:rsidRPr="00577D0C">
        <w:rPr>
          <w:rFonts w:ascii="標楷體" w:eastAsia="標楷體" w:hAnsi="標楷體" w:hint="eastAsia"/>
          <w:sz w:val="28"/>
          <w:szCs w:val="28"/>
        </w:rPr>
        <w:t>出席說明。</w:t>
      </w:r>
    </w:p>
    <w:p w14:paraId="27A87B9E" w14:textId="77777777" w:rsidR="00421BB5" w:rsidRPr="00577D0C"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Pr>
          <w:rFonts w:ascii="標楷體" w:eastAsia="標楷體" w:hAnsi="標楷體"/>
          <w:sz w:val="28"/>
          <w:szCs w:val="28"/>
        </w:rPr>
        <w:t>(四)</w:t>
      </w:r>
      <w:r w:rsidRPr="00577D0C">
        <w:rPr>
          <w:rFonts w:ascii="標楷體" w:eastAsia="標楷體" w:hAnsi="標楷體" w:hint="eastAsia"/>
          <w:sz w:val="28"/>
          <w:szCs w:val="28"/>
        </w:rPr>
        <w:t>條次、引述條文部分文字及法制用字用語，授權主席及議事人員整理。</w:t>
      </w:r>
    </w:p>
    <w:p w14:paraId="059B254F" w14:textId="77777777" w:rsidR="00421BB5" w:rsidRDefault="00421BB5" w:rsidP="00421BB5">
      <w:pPr>
        <w:kinsoku w:val="0"/>
        <w:spacing w:line="40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9B4F81">
        <w:rPr>
          <w:rFonts w:ascii="標楷體" w:eastAsia="標楷體" w:hAnsi="標楷體" w:hint="eastAsia"/>
          <w:sz w:val="28"/>
          <w:szCs w:val="28"/>
        </w:rPr>
        <w:t>、「法務部司法官學院組織法第二條及第八條條文修正草案」等4案：</w:t>
      </w:r>
    </w:p>
    <w:p w14:paraId="2BF2F110" w14:textId="77777777" w:rsidR="00421BB5" w:rsidRPr="00E17F34" w:rsidRDefault="00421BB5" w:rsidP="00421BB5">
      <w:pPr>
        <w:kinsoku w:val="0"/>
        <w:spacing w:line="400" w:lineRule="exact"/>
        <w:ind w:firstLineChars="100" w:firstLine="280"/>
        <w:contextualSpacing/>
        <w:jc w:val="both"/>
        <w:rPr>
          <w:rFonts w:ascii="標楷體" w:eastAsia="標楷體" w:hAnsi="標楷體"/>
          <w:sz w:val="28"/>
          <w:szCs w:val="28"/>
        </w:rPr>
      </w:pPr>
      <w:r>
        <w:rPr>
          <w:rFonts w:ascii="標楷體" w:eastAsia="標楷體" w:hAnsi="標楷體" w:hint="eastAsia"/>
          <w:sz w:val="28"/>
          <w:szCs w:val="28"/>
        </w:rPr>
        <w:t>(一)</w:t>
      </w:r>
      <w:r w:rsidRPr="00E17F34">
        <w:rPr>
          <w:rFonts w:ascii="標楷體" w:eastAsia="標楷體" w:hAnsi="標楷體" w:hint="eastAsia"/>
          <w:sz w:val="28"/>
          <w:szCs w:val="28"/>
        </w:rPr>
        <w:t>逕行逐條審查。</w:t>
      </w:r>
    </w:p>
    <w:p w14:paraId="2216B07B" w14:textId="77777777" w:rsidR="00421BB5" w:rsidRPr="006E2D99" w:rsidRDefault="00421BB5" w:rsidP="00421BB5">
      <w:pPr>
        <w:kinsoku w:val="0"/>
        <w:spacing w:line="400" w:lineRule="exact"/>
        <w:ind w:firstLineChars="100" w:firstLine="280"/>
        <w:contextualSpacing/>
        <w:jc w:val="both"/>
        <w:rPr>
          <w:rFonts w:ascii="標楷體" w:eastAsia="標楷體" w:hAnsi="標楷體"/>
          <w:sz w:val="28"/>
          <w:szCs w:val="28"/>
        </w:rPr>
      </w:pPr>
      <w:r>
        <w:rPr>
          <w:rFonts w:ascii="標楷體" w:eastAsia="標楷體" w:hAnsi="標楷體" w:hint="eastAsia"/>
          <w:sz w:val="28"/>
          <w:szCs w:val="28"/>
        </w:rPr>
        <w:t>(二)</w:t>
      </w:r>
      <w:r w:rsidRPr="00577D0C">
        <w:rPr>
          <w:rFonts w:ascii="標楷體" w:eastAsia="標楷體" w:hAnsi="標楷體" w:hint="eastAsia"/>
          <w:sz w:val="28"/>
          <w:szCs w:val="28"/>
        </w:rPr>
        <w:t>第</w:t>
      </w:r>
      <w:r>
        <w:rPr>
          <w:rFonts w:ascii="標楷體" w:eastAsia="標楷體" w:hAnsi="標楷體" w:hint="eastAsia"/>
          <w:sz w:val="28"/>
          <w:szCs w:val="28"/>
        </w:rPr>
        <w:t>二</w:t>
      </w:r>
      <w:r w:rsidRPr="006E2D99">
        <w:rPr>
          <w:rFonts w:ascii="標楷體" w:eastAsia="標楷體" w:hAnsi="標楷體" w:hint="eastAsia"/>
          <w:sz w:val="28"/>
          <w:szCs w:val="28"/>
        </w:rPr>
        <w:t>條</w:t>
      </w:r>
      <w:r>
        <w:rPr>
          <w:rFonts w:ascii="標楷體" w:eastAsia="標楷體" w:hAnsi="標楷體" w:hint="eastAsia"/>
          <w:sz w:val="28"/>
          <w:szCs w:val="28"/>
        </w:rPr>
        <w:t>及第八條</w:t>
      </w:r>
      <w:r w:rsidRPr="0065574B">
        <w:rPr>
          <w:rFonts w:ascii="標楷體" w:eastAsia="標楷體" w:hAnsi="標楷體" w:hint="eastAsia"/>
          <w:sz w:val="28"/>
          <w:szCs w:val="28"/>
        </w:rPr>
        <w:t>，均</w:t>
      </w:r>
      <w:r>
        <w:rPr>
          <w:rFonts w:ascii="標楷體" w:eastAsia="標楷體" w:hAnsi="標楷體" w:hint="eastAsia"/>
          <w:sz w:val="28"/>
          <w:szCs w:val="28"/>
        </w:rPr>
        <w:t>照行政院提</w:t>
      </w:r>
      <w:r w:rsidRPr="006E2D99">
        <w:rPr>
          <w:rFonts w:ascii="標楷體" w:eastAsia="標楷體" w:hAnsi="標楷體" w:hint="eastAsia"/>
          <w:sz w:val="28"/>
          <w:szCs w:val="28"/>
        </w:rPr>
        <w:t>案通過。</w:t>
      </w:r>
    </w:p>
    <w:p w14:paraId="5B7D24F7" w14:textId="77777777" w:rsidR="00421BB5"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577D0C">
        <w:rPr>
          <w:rFonts w:ascii="標楷體" w:eastAsia="標楷體" w:hAnsi="標楷體" w:hint="eastAsia"/>
          <w:sz w:val="28"/>
          <w:szCs w:val="28"/>
        </w:rPr>
        <w:t>本案審查完竣，擬具審查報告，提請院會公決；</w:t>
      </w:r>
      <w:r w:rsidRPr="00BB32BF">
        <w:rPr>
          <w:rFonts w:ascii="標楷體" w:eastAsia="標楷體" w:hAnsi="標楷體" w:hint="eastAsia"/>
          <w:sz w:val="28"/>
          <w:szCs w:val="28"/>
        </w:rPr>
        <w:t>不</w:t>
      </w:r>
      <w:r w:rsidRPr="00577D0C">
        <w:rPr>
          <w:rFonts w:ascii="標楷體" w:eastAsia="標楷體" w:hAnsi="標楷體" w:hint="eastAsia"/>
          <w:sz w:val="28"/>
          <w:szCs w:val="28"/>
        </w:rPr>
        <w:t>須交由黨團協商；院會討論時，由</w:t>
      </w:r>
      <w:r>
        <w:rPr>
          <w:rFonts w:ascii="標楷體" w:eastAsia="標楷體" w:hAnsi="標楷體" w:hint="eastAsia"/>
          <w:sz w:val="28"/>
          <w:szCs w:val="28"/>
        </w:rPr>
        <w:t>陳</w:t>
      </w:r>
      <w:r w:rsidRPr="00577D0C">
        <w:rPr>
          <w:rFonts w:ascii="標楷體" w:eastAsia="標楷體" w:hAnsi="標楷體" w:hint="eastAsia"/>
          <w:sz w:val="28"/>
          <w:szCs w:val="28"/>
        </w:rPr>
        <w:t>召集委員</w:t>
      </w:r>
      <w:r>
        <w:rPr>
          <w:rFonts w:ascii="標楷體" w:eastAsia="標楷體" w:hAnsi="標楷體" w:hint="eastAsia"/>
          <w:sz w:val="28"/>
          <w:szCs w:val="28"/>
        </w:rPr>
        <w:t>歐珀</w:t>
      </w:r>
      <w:r w:rsidRPr="00577D0C">
        <w:rPr>
          <w:rFonts w:ascii="標楷體" w:eastAsia="標楷體" w:hAnsi="標楷體" w:hint="eastAsia"/>
          <w:sz w:val="28"/>
          <w:szCs w:val="28"/>
        </w:rPr>
        <w:t>出席說明。</w:t>
      </w:r>
    </w:p>
    <w:p w14:paraId="6B00001A" w14:textId="77777777" w:rsidR="00421BB5"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Pr>
          <w:rFonts w:ascii="標楷體" w:eastAsia="標楷體" w:hAnsi="標楷體" w:hint="eastAsia"/>
          <w:sz w:val="28"/>
          <w:szCs w:val="28"/>
        </w:rPr>
        <w:t>(四)</w:t>
      </w:r>
      <w:r w:rsidRPr="00577D0C">
        <w:rPr>
          <w:rFonts w:ascii="標楷體" w:eastAsia="標楷體" w:hAnsi="標楷體" w:hint="eastAsia"/>
          <w:sz w:val="28"/>
          <w:szCs w:val="28"/>
        </w:rPr>
        <w:t>條次、引述條文部分文字及法制用字用語，授權主席及議事人員整理。</w:t>
      </w:r>
    </w:p>
    <w:p w14:paraId="7A10E69E" w14:textId="77777777" w:rsidR="00421BB5" w:rsidRDefault="00421BB5" w:rsidP="00421BB5">
      <w:pPr>
        <w:kinsoku w:val="0"/>
        <w:spacing w:line="40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lastRenderedPageBreak/>
        <w:t>四</w:t>
      </w:r>
      <w:r>
        <w:rPr>
          <w:rFonts w:ascii="標楷體" w:eastAsia="標楷體" w:hAnsi="標楷體"/>
          <w:sz w:val="28"/>
          <w:szCs w:val="28"/>
        </w:rPr>
        <w:t>、</w:t>
      </w:r>
      <w:r w:rsidRPr="009B4F81">
        <w:rPr>
          <w:rFonts w:ascii="標楷體" w:eastAsia="標楷體" w:hAnsi="標楷體" w:hint="eastAsia"/>
          <w:sz w:val="28"/>
          <w:szCs w:val="28"/>
        </w:rPr>
        <w:t>「少年矯正學校設置及教育實施通則第四十六條條文修正草案」案：</w:t>
      </w:r>
      <w:r w:rsidRPr="009B4F81">
        <w:rPr>
          <w:rFonts w:ascii="標楷體" w:eastAsia="標楷體" w:hAnsi="標楷體"/>
          <w:sz w:val="28"/>
          <w:szCs w:val="28"/>
        </w:rPr>
        <w:t xml:space="preserve"> </w:t>
      </w:r>
    </w:p>
    <w:p w14:paraId="756C414B" w14:textId="77777777" w:rsidR="00421BB5" w:rsidRPr="009B4F81" w:rsidRDefault="00421BB5" w:rsidP="00421BB5">
      <w:pPr>
        <w:kinsoku w:val="0"/>
        <w:spacing w:line="400" w:lineRule="exact"/>
        <w:ind w:firstLineChars="100" w:firstLine="280"/>
        <w:contextualSpacing/>
        <w:jc w:val="both"/>
        <w:rPr>
          <w:rFonts w:ascii="標楷體" w:eastAsia="標楷體" w:hAnsi="標楷體"/>
          <w:sz w:val="28"/>
          <w:szCs w:val="28"/>
        </w:rPr>
      </w:pPr>
      <w:r w:rsidRPr="00210EBB">
        <w:rPr>
          <w:rFonts w:ascii="標楷體" w:eastAsia="標楷體" w:hAnsi="標楷體" w:hint="eastAsia"/>
          <w:sz w:val="28"/>
          <w:szCs w:val="28"/>
        </w:rPr>
        <w:t>(一)逕行逐條審查。</w:t>
      </w:r>
    </w:p>
    <w:p w14:paraId="5511CADD" w14:textId="77777777" w:rsidR="00421BB5" w:rsidRPr="00221D2A" w:rsidRDefault="00421BB5" w:rsidP="00421BB5">
      <w:pPr>
        <w:kinsoku w:val="0"/>
        <w:spacing w:line="400" w:lineRule="exact"/>
        <w:ind w:firstLineChars="95" w:firstLine="266"/>
        <w:contextualSpacing/>
        <w:jc w:val="both"/>
        <w:rPr>
          <w:rFonts w:ascii="標楷體" w:eastAsia="標楷體" w:hAnsi="標楷體"/>
          <w:sz w:val="28"/>
          <w:szCs w:val="28"/>
        </w:rPr>
      </w:pPr>
      <w:r w:rsidRPr="00221D2A">
        <w:rPr>
          <w:rFonts w:ascii="標楷體" w:eastAsia="標楷體" w:hAnsi="標楷體"/>
          <w:sz w:val="28"/>
          <w:szCs w:val="28"/>
        </w:rPr>
        <w:t>(二)</w:t>
      </w:r>
      <w:r w:rsidRPr="00221D2A">
        <w:rPr>
          <w:rFonts w:ascii="標楷體" w:eastAsia="標楷體" w:hAnsi="標楷體" w:hint="eastAsia"/>
          <w:sz w:val="28"/>
          <w:szCs w:val="28"/>
        </w:rPr>
        <w:t>第四十六條，照案通過。</w:t>
      </w:r>
    </w:p>
    <w:p w14:paraId="26A05A6D"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(三)本案審查完竣，擬具審查報告，提請院會公決；不須交由黨團協商；院會討論時，由陳召集委員歐珀出席說明。</w:t>
      </w:r>
    </w:p>
    <w:p w14:paraId="70B9CEC7" w14:textId="77777777" w:rsidR="00421BB5"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(四)條次、引述條文部分文字及法制用字用語，授權主席及議事人員整理。</w:t>
      </w:r>
    </w:p>
    <w:p w14:paraId="233E9790" w14:textId="77777777" w:rsidR="00421BB5" w:rsidRDefault="00421BB5" w:rsidP="00421BB5">
      <w:pPr>
        <w:kinsoku w:val="0"/>
        <w:spacing w:line="400" w:lineRule="exact"/>
        <w:contextualSpacing/>
        <w:jc w:val="both"/>
        <w:rPr>
          <w:rFonts w:ascii="標楷體" w:eastAsia="標楷體" w:hAnsi="標楷體"/>
          <w:sz w:val="28"/>
          <w:szCs w:val="28"/>
        </w:rPr>
      </w:pPr>
      <w:r>
        <w:rPr>
          <w:rFonts w:ascii="標楷體" w:eastAsia="標楷體" w:hAnsi="標楷體" w:hint="eastAsia"/>
          <w:sz w:val="28"/>
          <w:szCs w:val="28"/>
        </w:rPr>
        <w:t>五</w:t>
      </w:r>
      <w:r>
        <w:rPr>
          <w:rFonts w:ascii="標楷體" w:eastAsia="標楷體" w:hAnsi="標楷體"/>
          <w:sz w:val="28"/>
          <w:szCs w:val="28"/>
        </w:rPr>
        <w:t>、「</w:t>
      </w:r>
      <w:r w:rsidRPr="009B4F81">
        <w:rPr>
          <w:rFonts w:ascii="標楷體" w:eastAsia="標楷體" w:hAnsi="標楷體" w:hint="eastAsia"/>
          <w:sz w:val="28"/>
          <w:szCs w:val="28"/>
        </w:rPr>
        <w:t>少年觀護所設置及實施通則第二條條文修正草案</w:t>
      </w:r>
      <w:r>
        <w:rPr>
          <w:rFonts w:ascii="標楷體" w:eastAsia="標楷體" w:hAnsi="標楷體" w:hint="eastAsia"/>
          <w:sz w:val="28"/>
          <w:szCs w:val="28"/>
        </w:rPr>
        <w:t>」等</w:t>
      </w:r>
      <w:r w:rsidRPr="00692112">
        <w:rPr>
          <w:rFonts w:ascii="標楷體" w:eastAsia="標楷體" w:hAnsi="標楷體" w:hint="eastAsia"/>
          <w:sz w:val="28"/>
          <w:szCs w:val="28"/>
        </w:rPr>
        <w:t>2</w:t>
      </w:r>
      <w:r>
        <w:rPr>
          <w:rFonts w:ascii="標楷體" w:eastAsia="標楷體" w:hAnsi="標楷體" w:hint="eastAsia"/>
          <w:sz w:val="28"/>
          <w:szCs w:val="28"/>
        </w:rPr>
        <w:t>案：</w:t>
      </w:r>
    </w:p>
    <w:p w14:paraId="33493F1D" w14:textId="77777777" w:rsidR="00421BB5" w:rsidRPr="009B4F81" w:rsidRDefault="00421BB5" w:rsidP="00421BB5">
      <w:pPr>
        <w:kinsoku w:val="0"/>
        <w:spacing w:line="400" w:lineRule="exact"/>
        <w:ind w:firstLineChars="100" w:firstLine="280"/>
        <w:contextualSpacing/>
        <w:jc w:val="both"/>
        <w:rPr>
          <w:rFonts w:ascii="標楷體" w:eastAsia="標楷體" w:hAnsi="標楷體"/>
          <w:sz w:val="28"/>
          <w:szCs w:val="28"/>
        </w:rPr>
      </w:pPr>
      <w:r w:rsidRPr="00210EBB">
        <w:rPr>
          <w:rFonts w:ascii="標楷體" w:eastAsia="標楷體" w:hAnsi="標楷體" w:hint="eastAsia"/>
          <w:sz w:val="28"/>
          <w:szCs w:val="28"/>
        </w:rPr>
        <w:t>(一)逕行逐條審查。</w:t>
      </w:r>
    </w:p>
    <w:p w14:paraId="1C07002C" w14:textId="77777777" w:rsidR="00421BB5" w:rsidRPr="00221D2A" w:rsidRDefault="00421BB5" w:rsidP="00421BB5">
      <w:pPr>
        <w:kinsoku w:val="0"/>
        <w:spacing w:line="400" w:lineRule="exact"/>
        <w:ind w:firstLineChars="95" w:firstLine="266"/>
        <w:contextualSpacing/>
        <w:jc w:val="both"/>
        <w:rPr>
          <w:rFonts w:ascii="標楷體" w:eastAsia="標楷體" w:hAnsi="標楷體"/>
          <w:sz w:val="28"/>
          <w:szCs w:val="28"/>
        </w:rPr>
      </w:pPr>
      <w:r w:rsidRPr="00221D2A">
        <w:rPr>
          <w:rFonts w:ascii="標楷體" w:eastAsia="標楷體" w:hAnsi="標楷體" w:hint="eastAsia"/>
          <w:sz w:val="28"/>
          <w:szCs w:val="28"/>
        </w:rPr>
        <w:t>(二)第二條，照委員黃世杰等22人提案通過。</w:t>
      </w:r>
    </w:p>
    <w:p w14:paraId="539E5A25"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(三)本案審查完竣，擬具審查報告，提請院會公決；不須交由黨團協商；院會討論時，由陳召集委員歐珀出席說明。</w:t>
      </w:r>
    </w:p>
    <w:p w14:paraId="7CF52630"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(四)條次、引述條文部分文字及法制用字用語，授權主席及議事人員整理。</w:t>
      </w:r>
    </w:p>
    <w:p w14:paraId="63C6FD17" w14:textId="77777777" w:rsidR="00421BB5" w:rsidRPr="00221D2A" w:rsidRDefault="00421BB5" w:rsidP="00421BB5">
      <w:pPr>
        <w:kinsoku w:val="0"/>
        <w:spacing w:line="400" w:lineRule="exact"/>
        <w:contextualSpacing/>
        <w:jc w:val="both"/>
        <w:rPr>
          <w:rFonts w:ascii="標楷體" w:eastAsia="標楷體" w:hAnsi="標楷體"/>
          <w:sz w:val="28"/>
          <w:szCs w:val="28"/>
        </w:rPr>
      </w:pPr>
      <w:r>
        <w:rPr>
          <w:rFonts w:ascii="標楷體" w:eastAsia="標楷體" w:hAnsi="標楷體" w:hint="eastAsia"/>
          <w:sz w:val="28"/>
          <w:szCs w:val="28"/>
        </w:rPr>
        <w:t>六</w:t>
      </w:r>
      <w:r w:rsidRPr="00221D2A">
        <w:rPr>
          <w:rFonts w:ascii="標楷體" w:eastAsia="標楷體" w:hAnsi="標楷體" w:hint="eastAsia"/>
          <w:sz w:val="28"/>
          <w:szCs w:val="28"/>
        </w:rPr>
        <w:t>、「鄉鎮市調解條例部分條文修正草案」等2案：</w:t>
      </w:r>
    </w:p>
    <w:p w14:paraId="63E84CB8" w14:textId="77777777" w:rsidR="00421BB5" w:rsidRPr="00221D2A" w:rsidRDefault="00421BB5" w:rsidP="00421BB5">
      <w:pPr>
        <w:kinsoku w:val="0"/>
        <w:spacing w:line="400" w:lineRule="exact"/>
        <w:ind w:firstLineChars="100" w:firstLine="280"/>
        <w:contextualSpacing/>
        <w:jc w:val="both"/>
        <w:rPr>
          <w:rFonts w:ascii="標楷體" w:eastAsia="標楷體" w:hAnsi="標楷體"/>
          <w:sz w:val="28"/>
          <w:szCs w:val="28"/>
        </w:rPr>
      </w:pPr>
      <w:r w:rsidRPr="00221D2A">
        <w:rPr>
          <w:rFonts w:ascii="標楷體" w:eastAsia="標楷體" w:hAnsi="標楷體" w:hint="eastAsia"/>
          <w:sz w:val="28"/>
          <w:szCs w:val="28"/>
        </w:rPr>
        <w:t>(一)逕行逐條審查。</w:t>
      </w:r>
    </w:p>
    <w:p w14:paraId="61D4283A" w14:textId="77777777" w:rsidR="00421BB5" w:rsidRPr="00221D2A" w:rsidRDefault="00421BB5" w:rsidP="00421BB5">
      <w:pPr>
        <w:kinsoku w:val="0"/>
        <w:spacing w:line="400" w:lineRule="exact"/>
        <w:ind w:leftChars="110" w:left="824"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(二)第三條、第六條、第九條</w:t>
      </w:r>
      <w:r>
        <w:rPr>
          <w:rFonts w:ascii="標楷體" w:eastAsia="標楷體" w:hAnsi="標楷體" w:hint="eastAsia"/>
          <w:sz w:val="28"/>
          <w:szCs w:val="28"/>
        </w:rPr>
        <w:t>及</w:t>
      </w:r>
      <w:r w:rsidRPr="00221D2A">
        <w:rPr>
          <w:rFonts w:ascii="標楷體" w:eastAsia="標楷體" w:hAnsi="標楷體" w:hint="eastAsia"/>
          <w:sz w:val="28"/>
          <w:szCs w:val="28"/>
        </w:rPr>
        <w:t>第三十二條，均照委員林宜瑾等18人提案通過。</w:t>
      </w:r>
    </w:p>
    <w:p w14:paraId="23181CCD"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(三)本案審查完竣，擬具審查報告，提請院會公決；不須交由黨團協商；院會討論時，由陳召集委員歐珀出席說明。</w:t>
      </w:r>
    </w:p>
    <w:p w14:paraId="6F15B53E"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(四)條次、引述條文部分文字及法制用字用語，授權主席及議事人員整理。</w:t>
      </w:r>
    </w:p>
    <w:p w14:paraId="2ED70462" w14:textId="77777777" w:rsidR="00421BB5" w:rsidRDefault="00421BB5" w:rsidP="00421BB5">
      <w:pPr>
        <w:kinsoku w:val="0"/>
        <w:spacing w:line="400" w:lineRule="exact"/>
        <w:contextualSpacing/>
        <w:jc w:val="both"/>
        <w:rPr>
          <w:rFonts w:ascii="標楷體" w:eastAsia="標楷體" w:hAnsi="標楷體"/>
          <w:sz w:val="28"/>
          <w:szCs w:val="28"/>
          <w:highlight w:val="yellow"/>
        </w:rPr>
      </w:pPr>
      <w:r>
        <w:rPr>
          <w:rFonts w:ascii="標楷體" w:eastAsia="標楷體" w:hAnsi="標楷體" w:hint="eastAsia"/>
          <w:sz w:val="28"/>
          <w:szCs w:val="28"/>
        </w:rPr>
        <w:t>七</w:t>
      </w:r>
      <w:r w:rsidRPr="00B42F34">
        <w:rPr>
          <w:rFonts w:ascii="標楷體" w:eastAsia="標楷體" w:hAnsi="標楷體"/>
          <w:sz w:val="28"/>
          <w:szCs w:val="28"/>
        </w:rPr>
        <w:t>、</w:t>
      </w:r>
      <w:r w:rsidRPr="00B42F34">
        <w:rPr>
          <w:rFonts w:ascii="標楷體" w:eastAsia="標楷體" w:hAnsi="標楷體" w:hint="eastAsia"/>
          <w:sz w:val="28"/>
          <w:szCs w:val="28"/>
        </w:rPr>
        <w:t>「戒治處分執行條例第十八條條文修正草</w:t>
      </w:r>
      <w:r w:rsidRPr="00221D2A">
        <w:rPr>
          <w:rFonts w:ascii="標楷體" w:eastAsia="標楷體" w:hAnsi="標楷體" w:hint="eastAsia"/>
          <w:sz w:val="28"/>
          <w:szCs w:val="28"/>
        </w:rPr>
        <w:t>案」案：</w:t>
      </w:r>
      <w:r w:rsidRPr="00221D2A">
        <w:rPr>
          <w:rFonts w:ascii="標楷體" w:eastAsia="標楷體" w:hAnsi="標楷體"/>
          <w:sz w:val="28"/>
          <w:szCs w:val="28"/>
        </w:rPr>
        <w:t xml:space="preserve"> </w:t>
      </w:r>
    </w:p>
    <w:p w14:paraId="09CFFCFF" w14:textId="77777777" w:rsidR="00421BB5" w:rsidRPr="00221D2A" w:rsidRDefault="00421BB5" w:rsidP="00421BB5">
      <w:pPr>
        <w:kinsoku w:val="0"/>
        <w:spacing w:line="400" w:lineRule="exact"/>
        <w:ind w:firstLineChars="100" w:firstLine="280"/>
        <w:contextualSpacing/>
        <w:jc w:val="both"/>
        <w:rPr>
          <w:rFonts w:ascii="標楷體" w:eastAsia="標楷體" w:hAnsi="標楷體"/>
          <w:sz w:val="28"/>
          <w:szCs w:val="28"/>
        </w:rPr>
      </w:pPr>
      <w:r w:rsidRPr="00221D2A">
        <w:rPr>
          <w:rFonts w:ascii="標楷體" w:eastAsia="標楷體" w:hAnsi="標楷體" w:hint="eastAsia"/>
          <w:sz w:val="28"/>
          <w:szCs w:val="28"/>
        </w:rPr>
        <w:t>(一)逕行逐條審查。</w:t>
      </w:r>
    </w:p>
    <w:p w14:paraId="0B296A81" w14:textId="77777777" w:rsidR="00421BB5" w:rsidRPr="00221D2A" w:rsidRDefault="00421BB5" w:rsidP="00421BB5">
      <w:pPr>
        <w:kinsoku w:val="0"/>
        <w:spacing w:line="400" w:lineRule="exact"/>
        <w:ind w:leftChars="110" w:left="824"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(二)第十八條，照案通過。</w:t>
      </w:r>
    </w:p>
    <w:p w14:paraId="4EE77C40"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(三)本案審查完竣，擬具審查報告，提請院會公決；不須交由黨團協商；院會討論時，由陳召集委員歐珀出席說明。</w:t>
      </w:r>
    </w:p>
    <w:p w14:paraId="21969598"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(四)條次、引述條文部分文字及法制用字用語，授權主席及議事人員整理。</w:t>
      </w:r>
    </w:p>
    <w:p w14:paraId="28F5A2BD" w14:textId="77777777" w:rsidR="00421BB5" w:rsidRPr="00221D2A" w:rsidRDefault="00421BB5" w:rsidP="00421BB5">
      <w:pPr>
        <w:kinsoku w:val="0"/>
        <w:spacing w:line="400" w:lineRule="exact"/>
        <w:contextualSpacing/>
        <w:jc w:val="both"/>
        <w:rPr>
          <w:rFonts w:ascii="標楷體" w:eastAsia="標楷體" w:hAnsi="標楷體"/>
          <w:sz w:val="28"/>
          <w:szCs w:val="28"/>
        </w:rPr>
      </w:pPr>
      <w:r>
        <w:rPr>
          <w:rFonts w:ascii="標楷體" w:eastAsia="標楷體" w:hAnsi="標楷體" w:hint="eastAsia"/>
          <w:sz w:val="28"/>
          <w:szCs w:val="28"/>
        </w:rPr>
        <w:t>八</w:t>
      </w:r>
      <w:r w:rsidRPr="00221D2A">
        <w:rPr>
          <w:rFonts w:ascii="標楷體" w:eastAsia="標楷體" w:hAnsi="標楷體" w:hint="eastAsia"/>
          <w:sz w:val="28"/>
          <w:szCs w:val="28"/>
        </w:rPr>
        <w:t>、「公設辯護人條例第七條條文修正草案」案：</w:t>
      </w:r>
    </w:p>
    <w:p w14:paraId="7271012D" w14:textId="77777777" w:rsidR="00421BB5" w:rsidRPr="00221D2A" w:rsidRDefault="00421BB5" w:rsidP="00421BB5">
      <w:pPr>
        <w:kinsoku w:val="0"/>
        <w:spacing w:line="400" w:lineRule="exact"/>
        <w:ind w:firstLineChars="100" w:firstLine="280"/>
        <w:contextualSpacing/>
        <w:jc w:val="both"/>
        <w:rPr>
          <w:rFonts w:ascii="標楷體" w:eastAsia="標楷體" w:hAnsi="標楷體"/>
          <w:sz w:val="28"/>
          <w:szCs w:val="28"/>
        </w:rPr>
      </w:pPr>
      <w:r w:rsidRPr="00221D2A">
        <w:rPr>
          <w:rFonts w:ascii="標楷體" w:eastAsia="標楷體" w:hAnsi="標楷體" w:hint="eastAsia"/>
          <w:sz w:val="28"/>
          <w:szCs w:val="28"/>
        </w:rPr>
        <w:t>(一)逕行逐條審查。</w:t>
      </w:r>
    </w:p>
    <w:p w14:paraId="7447175A" w14:textId="77777777" w:rsidR="00421BB5" w:rsidRPr="00221D2A" w:rsidRDefault="00421BB5" w:rsidP="00421BB5">
      <w:pPr>
        <w:kinsoku w:val="0"/>
        <w:spacing w:line="400" w:lineRule="exact"/>
        <w:ind w:leftChars="110" w:left="824"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(二)第七條，除將第一項第二款修正為「二、具有地方法院或其分院法官，</w:t>
      </w:r>
      <w:r w:rsidRPr="00997353">
        <w:rPr>
          <w:rFonts w:ascii="標楷體" w:eastAsia="標楷體" w:hAnsi="標楷體" w:hint="eastAsia"/>
          <w:sz w:val="28"/>
          <w:szCs w:val="28"/>
          <w:u w:val="single"/>
        </w:rPr>
        <w:t>地方檢察署</w:t>
      </w:r>
      <w:r w:rsidRPr="00BE0F0B">
        <w:rPr>
          <w:rFonts w:ascii="標楷體" w:eastAsia="標楷體" w:hAnsi="標楷體" w:hint="eastAsia"/>
          <w:b/>
          <w:color w:val="000000"/>
          <w:sz w:val="28"/>
          <w:szCs w:val="28"/>
          <w:u w:val="single"/>
        </w:rPr>
        <w:t>或</w:t>
      </w:r>
      <w:r w:rsidRPr="00997353">
        <w:rPr>
          <w:rFonts w:ascii="標楷體" w:eastAsia="標楷體" w:hAnsi="標楷體" w:hint="eastAsia"/>
          <w:sz w:val="28"/>
          <w:szCs w:val="28"/>
          <w:u w:val="single"/>
        </w:rPr>
        <w:t>其檢察分署</w:t>
      </w:r>
      <w:r w:rsidRPr="00221D2A">
        <w:rPr>
          <w:rFonts w:ascii="標楷體" w:eastAsia="標楷體" w:hAnsi="標楷體" w:hint="eastAsia"/>
          <w:sz w:val="28"/>
          <w:szCs w:val="28"/>
        </w:rPr>
        <w:t>檢察官任用資格者。」外，餘照案通過。</w:t>
      </w:r>
    </w:p>
    <w:p w14:paraId="6657C936"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(三)本案審查完竣，擬具審查報告，提請院會公決；不須交由黨團</w:t>
      </w:r>
      <w:r w:rsidRPr="00221D2A">
        <w:rPr>
          <w:rFonts w:ascii="標楷體" w:eastAsia="標楷體" w:hAnsi="標楷體" w:hint="eastAsia"/>
          <w:sz w:val="28"/>
          <w:szCs w:val="28"/>
        </w:rPr>
        <w:lastRenderedPageBreak/>
        <w:t>協商；院會討論時，由陳召集委員歐珀出席說明。</w:t>
      </w:r>
    </w:p>
    <w:p w14:paraId="50CEFDA6" w14:textId="77777777" w:rsidR="00421BB5" w:rsidRPr="00221D2A" w:rsidRDefault="00421BB5" w:rsidP="00421BB5">
      <w:pPr>
        <w:kinsoku w:val="0"/>
        <w:spacing w:line="400" w:lineRule="exact"/>
        <w:ind w:leftChars="116" w:left="838" w:hangingChars="200" w:hanging="560"/>
        <w:contextualSpacing/>
        <w:jc w:val="both"/>
        <w:rPr>
          <w:rFonts w:ascii="標楷體" w:eastAsia="標楷體" w:hAnsi="標楷體"/>
          <w:sz w:val="28"/>
          <w:szCs w:val="28"/>
        </w:rPr>
      </w:pPr>
      <w:r w:rsidRPr="00221D2A">
        <w:rPr>
          <w:rFonts w:ascii="標楷體" w:eastAsia="標楷體" w:hAnsi="標楷體" w:hint="eastAsia"/>
          <w:sz w:val="28"/>
          <w:szCs w:val="28"/>
        </w:rPr>
        <w:t>(四)條次、引述條文部分文字及法制用字用語，授權主席及議事人員整理。</w:t>
      </w:r>
    </w:p>
    <w:p w14:paraId="2FE5ABC3" w14:textId="77777777" w:rsidR="00421BB5" w:rsidRDefault="00421BB5" w:rsidP="00421BB5">
      <w:pPr>
        <w:kinsoku w:val="0"/>
        <w:spacing w:line="40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九</w:t>
      </w:r>
      <w:r w:rsidRPr="00CC1012">
        <w:rPr>
          <w:rFonts w:ascii="標楷體" w:eastAsia="標楷體" w:hAnsi="標楷體" w:hint="eastAsia"/>
          <w:sz w:val="28"/>
          <w:szCs w:val="28"/>
        </w:rPr>
        <w:t>、委員質詢時，要求提供相關資料或以書面答復者，請相關機關儘速送交個別委員及本會。</w:t>
      </w:r>
    </w:p>
    <w:p w14:paraId="18FB253E" w14:textId="77777777" w:rsidR="00421BB5" w:rsidRDefault="00421BB5" w:rsidP="00421BB5">
      <w:pPr>
        <w:kinsoku w:val="0"/>
        <w:spacing w:line="400" w:lineRule="exact"/>
        <w:contextualSpacing/>
        <w:jc w:val="both"/>
        <w:rPr>
          <w:rFonts w:ascii="標楷體" w:eastAsia="標楷體" w:hAnsi="標楷體"/>
          <w:sz w:val="28"/>
          <w:szCs w:val="28"/>
        </w:rPr>
      </w:pPr>
      <w:r>
        <w:rPr>
          <w:rFonts w:ascii="標楷體" w:eastAsia="標楷體" w:hAnsi="標楷體" w:hint="eastAsia"/>
          <w:sz w:val="28"/>
          <w:szCs w:val="28"/>
        </w:rPr>
        <w:t>散會</w:t>
      </w:r>
    </w:p>
    <w:p w14:paraId="75D08759" w14:textId="77777777" w:rsidR="00421BB5" w:rsidRDefault="00421BB5" w:rsidP="00421BB5">
      <w:pPr>
        <w:kinsoku w:val="0"/>
        <w:spacing w:line="400" w:lineRule="exact"/>
        <w:contextualSpacing/>
        <w:jc w:val="both"/>
        <w:rPr>
          <w:rFonts w:ascii="標楷體" w:eastAsia="標楷體" w:hAnsi="標楷體"/>
          <w:sz w:val="28"/>
          <w:szCs w:val="28"/>
        </w:rPr>
      </w:pPr>
    </w:p>
    <w:p w14:paraId="5BE55AA4" w14:textId="77777777" w:rsidR="00421BB5" w:rsidRPr="00914CF9" w:rsidRDefault="00421BB5" w:rsidP="00421BB5">
      <w:pPr>
        <w:pStyle w:val="-9"/>
        <w:spacing w:beforeLines="50" w:before="180" w:afterLines="50" w:after="180" w:line="360" w:lineRule="exact"/>
        <w:ind w:left="0" w:firstLineChars="0" w:firstLine="0"/>
        <w:jc w:val="distribute"/>
        <w:outlineLvl w:val="2"/>
        <w:rPr>
          <w:rFonts w:ascii="標楷體" w:hAnsi="標楷體"/>
          <w:b/>
          <w:spacing w:val="-20"/>
          <w:sz w:val="28"/>
          <w:szCs w:val="28"/>
        </w:rPr>
      </w:pPr>
      <w:r>
        <w:rPr>
          <w:rFonts w:ascii="標楷體" w:hAnsi="標楷體"/>
          <w:sz w:val="28"/>
          <w:szCs w:val="28"/>
        </w:rPr>
        <w:br w:type="page"/>
      </w:r>
      <w:r w:rsidRPr="00914CF9">
        <w:rPr>
          <w:rFonts w:ascii="標楷體" w:hAnsi="標楷體" w:hint="eastAsia"/>
          <w:b/>
          <w:spacing w:val="-20"/>
          <w:sz w:val="28"/>
          <w:szCs w:val="28"/>
        </w:rPr>
        <w:lastRenderedPageBreak/>
        <w:t>立法院第10屆第</w:t>
      </w:r>
      <w:r w:rsidRPr="00914CF9">
        <w:rPr>
          <w:rFonts w:ascii="標楷體" w:hAnsi="標楷體"/>
          <w:b/>
          <w:spacing w:val="-20"/>
          <w:sz w:val="28"/>
          <w:szCs w:val="28"/>
        </w:rPr>
        <w:t>6</w:t>
      </w:r>
      <w:r w:rsidRPr="00914CF9">
        <w:rPr>
          <w:rFonts w:ascii="標楷體" w:hAnsi="標楷體" w:hint="eastAsia"/>
          <w:b/>
          <w:spacing w:val="-20"/>
          <w:sz w:val="28"/>
          <w:szCs w:val="28"/>
        </w:rPr>
        <w:t>會期司法及法制委員會第27次全體委員會議議事錄</w:t>
      </w:r>
    </w:p>
    <w:p w14:paraId="08D3226B" w14:textId="77777777" w:rsidR="00421BB5" w:rsidRPr="00914CF9" w:rsidRDefault="00421BB5" w:rsidP="00421BB5">
      <w:pPr>
        <w:pStyle w:val="-9"/>
        <w:spacing w:line="360" w:lineRule="exact"/>
        <w:ind w:left="1417" w:hangingChars="506" w:hanging="1417"/>
        <w:rPr>
          <w:rFonts w:ascii="標楷體" w:hAnsi="標楷體"/>
          <w:sz w:val="28"/>
          <w:szCs w:val="28"/>
        </w:rPr>
      </w:pPr>
      <w:r w:rsidRPr="00914CF9">
        <w:rPr>
          <w:rFonts w:ascii="標楷體" w:hAnsi="標楷體"/>
          <w:sz w:val="28"/>
          <w:szCs w:val="28"/>
        </w:rPr>
        <w:t>時</w:t>
      </w:r>
      <w:r w:rsidRPr="00914CF9">
        <w:rPr>
          <w:rFonts w:ascii="標楷體" w:hAnsi="標楷體" w:hint="eastAsia"/>
          <w:sz w:val="28"/>
          <w:szCs w:val="28"/>
        </w:rPr>
        <w:t xml:space="preserve">　　</w:t>
      </w:r>
      <w:r w:rsidRPr="00914CF9">
        <w:rPr>
          <w:rFonts w:ascii="標楷體" w:hAnsi="標楷體"/>
          <w:sz w:val="28"/>
          <w:szCs w:val="28"/>
        </w:rPr>
        <w:t>間：</w:t>
      </w:r>
      <w:r w:rsidRPr="00914CF9">
        <w:rPr>
          <w:rFonts w:ascii="標楷體" w:hAnsi="標楷體" w:hint="eastAsia"/>
          <w:sz w:val="28"/>
          <w:szCs w:val="28"/>
        </w:rPr>
        <w:t>中華民國111年12月15日（星期四）上午9時</w:t>
      </w:r>
      <w:r w:rsidRPr="00914CF9">
        <w:rPr>
          <w:rFonts w:ascii="標楷體" w:hAnsi="標楷體"/>
          <w:sz w:val="28"/>
          <w:szCs w:val="28"/>
        </w:rPr>
        <w:t>4</w:t>
      </w:r>
      <w:r w:rsidRPr="00914CF9">
        <w:rPr>
          <w:rFonts w:ascii="標楷體" w:hAnsi="標楷體" w:hint="eastAsia"/>
          <w:sz w:val="28"/>
          <w:szCs w:val="28"/>
        </w:rPr>
        <w:t>分至11時44分、下午1時31分至3時50分</w:t>
      </w:r>
    </w:p>
    <w:p w14:paraId="26DC185F" w14:textId="77777777" w:rsidR="00421BB5" w:rsidRPr="00914CF9" w:rsidRDefault="00421BB5" w:rsidP="00421BB5">
      <w:pPr>
        <w:pStyle w:val="-9"/>
        <w:spacing w:line="360" w:lineRule="exact"/>
        <w:ind w:left="1364" w:hanging="1364"/>
        <w:rPr>
          <w:rFonts w:ascii="標楷體" w:hAnsi="標楷體"/>
          <w:sz w:val="28"/>
          <w:szCs w:val="28"/>
        </w:rPr>
      </w:pPr>
      <w:r w:rsidRPr="00914CF9">
        <w:rPr>
          <w:rFonts w:ascii="標楷體" w:hAnsi="標楷體"/>
          <w:sz w:val="28"/>
          <w:szCs w:val="28"/>
        </w:rPr>
        <w:t>地    點：本院紅樓302會議室</w:t>
      </w:r>
    </w:p>
    <w:p w14:paraId="649FC283" w14:textId="77777777" w:rsidR="00421BB5" w:rsidRPr="00914CF9" w:rsidRDefault="00421BB5" w:rsidP="00421BB5">
      <w:pPr>
        <w:snapToGrid w:val="0"/>
        <w:spacing w:line="360" w:lineRule="exact"/>
        <w:ind w:leftChars="-4" w:left="1401" w:hangingChars="504" w:hanging="1411"/>
        <w:rPr>
          <w:rFonts w:ascii="標楷體" w:eastAsia="標楷體" w:hAnsi="標楷體"/>
          <w:sz w:val="28"/>
          <w:szCs w:val="28"/>
        </w:rPr>
      </w:pPr>
      <w:r w:rsidRPr="00914CF9">
        <w:rPr>
          <w:rFonts w:ascii="標楷體" w:eastAsia="標楷體" w:hAnsi="標楷體"/>
          <w:sz w:val="28"/>
          <w:szCs w:val="28"/>
        </w:rPr>
        <w:t>出席委員</w:t>
      </w:r>
      <w:r w:rsidRPr="00914CF9">
        <w:rPr>
          <w:rFonts w:ascii="標楷體" w:eastAsia="標楷體" w:hAnsi="標楷體" w:hint="eastAsia"/>
          <w:sz w:val="28"/>
          <w:szCs w:val="28"/>
        </w:rPr>
        <w:t>：游毓蘭</w:t>
      </w:r>
      <w:r w:rsidRPr="00914CF9">
        <w:rPr>
          <w:rFonts w:ascii="標楷體" w:eastAsia="標楷體" w:hAnsi="標楷體"/>
          <w:sz w:val="28"/>
          <w:szCs w:val="28"/>
        </w:rPr>
        <w:tab/>
      </w:r>
      <w:r w:rsidRPr="00914CF9">
        <w:rPr>
          <w:rFonts w:ascii="標楷體" w:eastAsia="標楷體" w:hAnsi="標楷體" w:hint="eastAsia"/>
          <w:sz w:val="28"/>
          <w:szCs w:val="28"/>
        </w:rPr>
        <w:t>陳歐珀</w:t>
      </w:r>
      <w:r w:rsidRPr="00914CF9">
        <w:rPr>
          <w:rFonts w:ascii="標楷體" w:eastAsia="標楷體" w:hAnsi="標楷體"/>
          <w:sz w:val="28"/>
          <w:szCs w:val="28"/>
        </w:rPr>
        <w:tab/>
      </w:r>
      <w:r w:rsidRPr="00914CF9">
        <w:rPr>
          <w:rFonts w:ascii="標楷體" w:eastAsia="標楷體" w:hAnsi="標楷體" w:hint="eastAsia"/>
          <w:sz w:val="28"/>
          <w:szCs w:val="28"/>
        </w:rPr>
        <w:t>鄭運鵬</w:t>
      </w:r>
      <w:r w:rsidRPr="00914CF9">
        <w:rPr>
          <w:rFonts w:ascii="標楷體" w:eastAsia="標楷體" w:hAnsi="標楷體"/>
          <w:sz w:val="28"/>
          <w:szCs w:val="28"/>
        </w:rPr>
        <w:tab/>
      </w:r>
      <w:r w:rsidRPr="00914CF9">
        <w:rPr>
          <w:rFonts w:ascii="標楷體" w:eastAsia="標楷體" w:hAnsi="標楷體" w:hint="eastAsia"/>
          <w:sz w:val="28"/>
          <w:szCs w:val="28"/>
        </w:rPr>
        <w:t>陳玉珍</w:t>
      </w:r>
      <w:r w:rsidRPr="00914CF9">
        <w:rPr>
          <w:rFonts w:ascii="標楷體" w:eastAsia="標楷體" w:hAnsi="標楷體"/>
          <w:sz w:val="28"/>
          <w:szCs w:val="28"/>
        </w:rPr>
        <w:tab/>
      </w:r>
      <w:r w:rsidRPr="00914CF9">
        <w:rPr>
          <w:rFonts w:ascii="標楷體" w:eastAsia="標楷體" w:hAnsi="標楷體" w:hint="eastAsia"/>
          <w:sz w:val="28"/>
          <w:szCs w:val="28"/>
        </w:rPr>
        <w:t>黃世杰</w:t>
      </w:r>
      <w:r w:rsidRPr="00914CF9">
        <w:rPr>
          <w:rFonts w:ascii="標楷體" w:eastAsia="標楷體" w:hAnsi="標楷體"/>
          <w:sz w:val="28"/>
          <w:szCs w:val="28"/>
        </w:rPr>
        <w:tab/>
      </w:r>
      <w:r w:rsidRPr="00914CF9">
        <w:rPr>
          <w:rFonts w:ascii="標楷體" w:eastAsia="標楷體" w:hAnsi="標楷體" w:hint="eastAsia"/>
          <w:sz w:val="28"/>
          <w:szCs w:val="28"/>
        </w:rPr>
        <w:t>江永昌</w:t>
      </w:r>
      <w:r w:rsidRPr="00914CF9">
        <w:rPr>
          <w:rFonts w:ascii="標楷體" w:eastAsia="標楷體" w:hAnsi="標楷體"/>
          <w:sz w:val="28"/>
          <w:szCs w:val="28"/>
        </w:rPr>
        <w:tab/>
      </w:r>
      <w:r w:rsidRPr="00914CF9">
        <w:rPr>
          <w:rFonts w:ascii="標楷體" w:eastAsia="標楷體" w:hAnsi="標楷體" w:hint="eastAsia"/>
          <w:sz w:val="28"/>
          <w:szCs w:val="28"/>
        </w:rPr>
        <w:t>陳以信</w:t>
      </w:r>
    </w:p>
    <w:p w14:paraId="5FF5F8CD" w14:textId="77777777" w:rsidR="00421BB5" w:rsidRPr="00914CF9" w:rsidRDefault="00421BB5" w:rsidP="00421BB5">
      <w:pPr>
        <w:snapToGrid w:val="0"/>
        <w:spacing w:line="360" w:lineRule="exact"/>
        <w:ind w:leftChars="583" w:left="1400" w:hanging="1"/>
        <w:rPr>
          <w:rFonts w:ascii="標楷體" w:eastAsia="標楷體" w:hAnsi="標楷體"/>
          <w:sz w:val="28"/>
          <w:szCs w:val="28"/>
        </w:rPr>
      </w:pPr>
      <w:r w:rsidRPr="00914CF9">
        <w:rPr>
          <w:rFonts w:ascii="標楷體" w:eastAsia="標楷體" w:hAnsi="標楷體" w:hint="eastAsia"/>
          <w:sz w:val="28"/>
          <w:szCs w:val="28"/>
        </w:rPr>
        <w:t>曾銘宗</w:t>
      </w:r>
      <w:r w:rsidRPr="00914CF9">
        <w:rPr>
          <w:rFonts w:ascii="標楷體" w:eastAsia="標楷體" w:hAnsi="標楷體"/>
          <w:sz w:val="28"/>
          <w:szCs w:val="28"/>
        </w:rPr>
        <w:tab/>
      </w:r>
      <w:r w:rsidRPr="00914CF9">
        <w:rPr>
          <w:rFonts w:ascii="標楷體" w:eastAsia="標楷體" w:hAnsi="標楷體" w:hint="eastAsia"/>
          <w:sz w:val="28"/>
          <w:szCs w:val="28"/>
        </w:rPr>
        <w:t>劉建國</w:t>
      </w:r>
      <w:r w:rsidRPr="00914CF9">
        <w:rPr>
          <w:rFonts w:ascii="標楷體" w:eastAsia="標楷體" w:hAnsi="標楷體"/>
          <w:sz w:val="28"/>
          <w:szCs w:val="28"/>
        </w:rPr>
        <w:tab/>
      </w:r>
      <w:r w:rsidRPr="00914CF9">
        <w:rPr>
          <w:rFonts w:ascii="標楷體" w:eastAsia="標楷體" w:hAnsi="標楷體" w:hint="eastAsia"/>
          <w:sz w:val="28"/>
          <w:szCs w:val="28"/>
        </w:rPr>
        <w:t>林思銘</w:t>
      </w:r>
      <w:r w:rsidRPr="00914CF9">
        <w:rPr>
          <w:rFonts w:ascii="標楷體" w:eastAsia="標楷體" w:hAnsi="標楷體"/>
          <w:sz w:val="28"/>
          <w:szCs w:val="28"/>
        </w:rPr>
        <w:tab/>
      </w:r>
      <w:r w:rsidRPr="00914CF9">
        <w:rPr>
          <w:rFonts w:ascii="標楷體" w:eastAsia="標楷體" w:hAnsi="標楷體" w:hint="eastAsia"/>
          <w:sz w:val="28"/>
          <w:szCs w:val="28"/>
        </w:rPr>
        <w:t>柯建銘</w:t>
      </w:r>
    </w:p>
    <w:p w14:paraId="7A56A8CF" w14:textId="77777777" w:rsidR="00421BB5" w:rsidRPr="00914CF9" w:rsidRDefault="00421BB5" w:rsidP="00421BB5">
      <w:pPr>
        <w:adjustRightInd w:val="0"/>
        <w:snapToGrid w:val="0"/>
        <w:spacing w:line="360" w:lineRule="exact"/>
        <w:ind w:leftChars="568" w:left="1363" w:firstLineChars="12" w:firstLine="34"/>
        <w:jc w:val="both"/>
        <w:rPr>
          <w:rFonts w:ascii="標楷體" w:eastAsia="標楷體" w:hAnsi="標楷體"/>
          <w:sz w:val="28"/>
          <w:szCs w:val="28"/>
        </w:rPr>
      </w:pPr>
      <w:r w:rsidRPr="00914CF9">
        <w:rPr>
          <w:rFonts w:ascii="標楷體" w:eastAsia="標楷體" w:hAnsi="標楷體" w:hint="eastAsia"/>
          <w:sz w:val="28"/>
          <w:szCs w:val="28"/>
        </w:rPr>
        <w:t>委員出席11人</w:t>
      </w:r>
    </w:p>
    <w:p w14:paraId="69971352" w14:textId="77777777" w:rsidR="00421BB5" w:rsidRPr="00914CF9" w:rsidRDefault="00421BB5" w:rsidP="00421BB5">
      <w:pPr>
        <w:adjustRightInd w:val="0"/>
        <w:snapToGrid w:val="0"/>
        <w:spacing w:line="360" w:lineRule="exact"/>
        <w:ind w:leftChars="-11" w:left="1402" w:hangingChars="510" w:hanging="1428"/>
        <w:rPr>
          <w:rFonts w:ascii="標楷體" w:eastAsia="標楷體" w:hAnsi="標楷體"/>
          <w:spacing w:val="-20"/>
          <w:w w:val="95"/>
          <w:sz w:val="28"/>
          <w:szCs w:val="28"/>
        </w:rPr>
      </w:pPr>
      <w:r w:rsidRPr="00914CF9">
        <w:rPr>
          <w:rFonts w:ascii="標楷體" w:eastAsia="標楷體" w:hAnsi="標楷體" w:hint="eastAsia"/>
          <w:sz w:val="28"/>
          <w:szCs w:val="28"/>
        </w:rPr>
        <w:t>列</w:t>
      </w:r>
      <w:r w:rsidRPr="00914CF9">
        <w:rPr>
          <w:rFonts w:ascii="標楷體" w:eastAsia="標楷體" w:hAnsi="標楷體"/>
          <w:sz w:val="28"/>
          <w:szCs w:val="28"/>
        </w:rPr>
        <w:t>席委員：</w:t>
      </w:r>
      <w:r w:rsidRPr="00914CF9">
        <w:rPr>
          <w:rFonts w:ascii="標楷體" w:eastAsia="標楷體" w:hAnsi="標楷體" w:hint="eastAsia"/>
          <w:sz w:val="28"/>
          <w:szCs w:val="28"/>
        </w:rPr>
        <w:t>陳椒華</w:t>
      </w:r>
      <w:r w:rsidRPr="00914CF9">
        <w:rPr>
          <w:rFonts w:ascii="標楷體" w:eastAsia="標楷體" w:hAnsi="標楷體"/>
          <w:sz w:val="28"/>
          <w:szCs w:val="28"/>
        </w:rPr>
        <w:tab/>
      </w:r>
      <w:r w:rsidRPr="00914CF9">
        <w:rPr>
          <w:rFonts w:ascii="標楷體" w:eastAsia="標楷體" w:hAnsi="標楷體" w:hint="eastAsia"/>
          <w:sz w:val="28"/>
          <w:szCs w:val="28"/>
        </w:rPr>
        <w:t>張其祿</w:t>
      </w:r>
      <w:r w:rsidRPr="00914CF9">
        <w:rPr>
          <w:rFonts w:ascii="標楷體" w:eastAsia="標楷體" w:hAnsi="標楷體"/>
          <w:sz w:val="28"/>
          <w:szCs w:val="28"/>
        </w:rPr>
        <w:tab/>
      </w:r>
      <w:r w:rsidRPr="00914CF9">
        <w:rPr>
          <w:rFonts w:ascii="標楷體" w:eastAsia="標楷體" w:hAnsi="標楷體" w:hint="eastAsia"/>
          <w:sz w:val="28"/>
          <w:szCs w:val="28"/>
        </w:rPr>
        <w:t>高嘉瑜</w:t>
      </w:r>
      <w:r w:rsidRPr="00914CF9">
        <w:rPr>
          <w:rFonts w:ascii="標楷體" w:eastAsia="標楷體" w:hAnsi="標楷體"/>
          <w:sz w:val="28"/>
          <w:szCs w:val="28"/>
        </w:rPr>
        <w:tab/>
      </w:r>
      <w:r w:rsidRPr="00914CF9">
        <w:rPr>
          <w:rFonts w:ascii="標楷體" w:eastAsia="標楷體" w:hAnsi="標楷體" w:hint="eastAsia"/>
          <w:sz w:val="28"/>
          <w:szCs w:val="28"/>
        </w:rPr>
        <w:t>廖國棟Sufin‧Siluko</w:t>
      </w:r>
      <w:r w:rsidRPr="00914CF9">
        <w:rPr>
          <w:rFonts w:ascii="標楷體" w:eastAsia="標楷體" w:hAnsi="標楷體"/>
          <w:sz w:val="28"/>
          <w:szCs w:val="28"/>
        </w:rPr>
        <w:tab/>
      </w:r>
    </w:p>
    <w:p w14:paraId="63CD1005" w14:textId="77777777" w:rsidR="00421BB5" w:rsidRPr="0029524B" w:rsidRDefault="00421BB5" w:rsidP="00421BB5">
      <w:pPr>
        <w:adjustRightInd w:val="0"/>
        <w:snapToGrid w:val="0"/>
        <w:spacing w:line="360" w:lineRule="exact"/>
        <w:ind w:leftChars="568" w:left="1363" w:firstLineChars="12" w:firstLine="34"/>
        <w:jc w:val="both"/>
        <w:rPr>
          <w:rFonts w:ascii="標楷體" w:eastAsia="標楷體" w:hAnsi="標楷體"/>
          <w:sz w:val="28"/>
          <w:szCs w:val="28"/>
        </w:rPr>
      </w:pPr>
      <w:r w:rsidRPr="0029524B">
        <w:rPr>
          <w:rFonts w:ascii="標楷體" w:eastAsia="標楷體" w:hAnsi="標楷體"/>
          <w:sz w:val="28"/>
          <w:szCs w:val="28"/>
        </w:rPr>
        <w:t>委員列席</w:t>
      </w:r>
      <w:r w:rsidRPr="0029524B">
        <w:rPr>
          <w:rFonts w:ascii="標楷體" w:eastAsia="標楷體" w:hAnsi="標楷體" w:hint="eastAsia"/>
          <w:sz w:val="28"/>
          <w:szCs w:val="28"/>
        </w:rPr>
        <w:t>4</w:t>
      </w:r>
      <w:r w:rsidRPr="0029524B">
        <w:rPr>
          <w:rFonts w:ascii="標楷體" w:eastAsia="標楷體" w:hAnsi="標楷體"/>
          <w:sz w:val="28"/>
          <w:szCs w:val="28"/>
        </w:rPr>
        <w:t>人</w:t>
      </w:r>
    </w:p>
    <w:p w14:paraId="4CEC8AD9" w14:textId="77777777" w:rsidR="00421BB5" w:rsidRPr="00914CF9" w:rsidRDefault="00421BB5" w:rsidP="00421BB5">
      <w:pPr>
        <w:adjustRightInd w:val="0"/>
        <w:snapToGrid w:val="0"/>
        <w:spacing w:line="360" w:lineRule="exact"/>
        <w:ind w:leftChars="-11" w:left="1402" w:hangingChars="510" w:hanging="1428"/>
        <w:jc w:val="both"/>
        <w:rPr>
          <w:rFonts w:ascii="標楷體" w:hAnsi="標楷體"/>
          <w:sz w:val="28"/>
          <w:szCs w:val="28"/>
        </w:rPr>
      </w:pPr>
      <w:r w:rsidRPr="00914CF9">
        <w:rPr>
          <w:rFonts w:ascii="標楷體" w:eastAsia="標楷體" w:hAnsi="標楷體"/>
          <w:sz w:val="28"/>
          <w:szCs w:val="28"/>
        </w:rPr>
        <w:t>列席官員：</w:t>
      </w:r>
      <w:r w:rsidRPr="00914CF9">
        <w:rPr>
          <w:rFonts w:ascii="標楷體" w:eastAsia="標楷體" w:hAnsi="標楷體" w:hint="eastAsia"/>
          <w:sz w:val="28"/>
          <w:szCs w:val="28"/>
        </w:rPr>
        <w:t>總統府秘書長</w:t>
      </w:r>
      <w:r w:rsidRPr="00914CF9">
        <w:rPr>
          <w:rFonts w:ascii="標楷體" w:hAnsi="標楷體" w:hint="eastAsia"/>
          <w:sz w:val="28"/>
          <w:szCs w:val="28"/>
        </w:rPr>
        <w:t xml:space="preserve">　</w:t>
      </w:r>
      <w:r w:rsidRPr="00914CF9">
        <w:rPr>
          <w:rFonts w:ascii="標楷體" w:eastAsia="標楷體" w:hAnsi="標楷體" w:hint="eastAsia"/>
          <w:sz w:val="28"/>
          <w:szCs w:val="28"/>
        </w:rPr>
        <w:t>李大維（下午請假）</w:t>
      </w:r>
    </w:p>
    <w:p w14:paraId="29978A6A" w14:textId="77777777" w:rsidR="00421BB5" w:rsidRPr="00914CF9" w:rsidRDefault="00421BB5" w:rsidP="00421BB5">
      <w:pPr>
        <w:adjustRightInd w:val="0"/>
        <w:snapToGrid w:val="0"/>
        <w:spacing w:line="360" w:lineRule="exact"/>
        <w:ind w:leftChars="567" w:left="1361" w:firstLineChars="323" w:firstLine="904"/>
        <w:jc w:val="both"/>
        <w:rPr>
          <w:rFonts w:ascii="標楷體" w:eastAsia="標楷體" w:hAnsi="標楷體"/>
          <w:sz w:val="28"/>
          <w:szCs w:val="28"/>
        </w:rPr>
      </w:pPr>
      <w:r w:rsidRPr="00914CF9">
        <w:rPr>
          <w:rFonts w:ascii="標楷體" w:eastAsia="標楷體" w:hAnsi="標楷體" w:hint="eastAsia"/>
          <w:kern w:val="0"/>
          <w:sz w:val="28"/>
          <w:szCs w:val="28"/>
        </w:rPr>
        <w:t>副秘書長</w:t>
      </w:r>
      <w:r w:rsidRPr="00914CF9">
        <w:rPr>
          <w:rFonts w:ascii="標楷體" w:eastAsia="標楷體" w:hAnsi="標楷體" w:hint="eastAsia"/>
          <w:sz w:val="28"/>
          <w:szCs w:val="28"/>
        </w:rPr>
        <w:t xml:space="preserve">　黃重諺</w:t>
      </w:r>
    </w:p>
    <w:p w14:paraId="35A5C758" w14:textId="77777777" w:rsidR="00421BB5" w:rsidRPr="00914CF9" w:rsidRDefault="00421BB5" w:rsidP="00421BB5">
      <w:pPr>
        <w:adjustRightInd w:val="0"/>
        <w:snapToGrid w:val="0"/>
        <w:spacing w:line="360" w:lineRule="exact"/>
        <w:ind w:leftChars="567" w:left="1361" w:firstLineChars="23" w:firstLine="64"/>
        <w:jc w:val="both"/>
        <w:rPr>
          <w:rFonts w:ascii="標楷體" w:eastAsia="標楷體" w:hAnsi="標楷體"/>
          <w:kern w:val="0"/>
          <w:sz w:val="28"/>
          <w:szCs w:val="28"/>
        </w:rPr>
      </w:pPr>
      <w:r w:rsidRPr="00914CF9">
        <w:rPr>
          <w:rFonts w:ascii="標楷體" w:eastAsia="標楷體" w:hAnsi="標楷體" w:hint="eastAsia"/>
          <w:kern w:val="0"/>
          <w:sz w:val="28"/>
          <w:szCs w:val="28"/>
        </w:rPr>
        <w:t>國家安全會議秘書長</w:t>
      </w:r>
      <w:r w:rsidRPr="00914CF9">
        <w:rPr>
          <w:rFonts w:ascii="標楷體" w:eastAsia="標楷體" w:hAnsi="標楷體" w:hint="eastAsia"/>
          <w:sz w:val="28"/>
          <w:szCs w:val="28"/>
        </w:rPr>
        <w:t xml:space="preserve">　顧立雄（下午請假）</w:t>
      </w:r>
    </w:p>
    <w:p w14:paraId="33DD55B5" w14:textId="77777777" w:rsidR="00421BB5" w:rsidRPr="00914CF9" w:rsidRDefault="00421BB5" w:rsidP="00421BB5">
      <w:pPr>
        <w:adjustRightInd w:val="0"/>
        <w:snapToGrid w:val="0"/>
        <w:spacing w:line="360" w:lineRule="exact"/>
        <w:ind w:leftChars="567" w:left="1361" w:firstLineChars="618" w:firstLine="1730"/>
        <w:jc w:val="both"/>
        <w:rPr>
          <w:rFonts w:ascii="標楷體" w:eastAsia="標楷體" w:hAnsi="標楷體"/>
          <w:kern w:val="0"/>
          <w:sz w:val="28"/>
          <w:szCs w:val="28"/>
        </w:rPr>
      </w:pPr>
      <w:r w:rsidRPr="00914CF9">
        <w:rPr>
          <w:rFonts w:ascii="標楷體" w:eastAsia="標楷體" w:hAnsi="標楷體" w:hint="eastAsia"/>
          <w:kern w:val="0"/>
          <w:sz w:val="28"/>
          <w:szCs w:val="28"/>
        </w:rPr>
        <w:t>副秘書長</w:t>
      </w:r>
      <w:r w:rsidRPr="00914CF9">
        <w:rPr>
          <w:rFonts w:ascii="標楷體" w:eastAsia="標楷體" w:hAnsi="標楷體" w:hint="eastAsia"/>
          <w:sz w:val="28"/>
          <w:szCs w:val="28"/>
        </w:rPr>
        <w:t xml:space="preserve">　徐斯儉</w:t>
      </w:r>
    </w:p>
    <w:p w14:paraId="4D2DD952" w14:textId="77777777" w:rsidR="00421BB5" w:rsidRPr="00914CF9" w:rsidRDefault="00421BB5" w:rsidP="00421BB5">
      <w:pPr>
        <w:adjustRightInd w:val="0"/>
        <w:snapToGrid w:val="0"/>
        <w:spacing w:line="360" w:lineRule="exact"/>
        <w:ind w:leftChars="567" w:left="1361" w:firstLineChars="23" w:firstLine="64"/>
        <w:jc w:val="both"/>
        <w:rPr>
          <w:rFonts w:ascii="標楷體" w:eastAsia="標楷體" w:hAnsi="標楷體"/>
          <w:kern w:val="0"/>
          <w:sz w:val="28"/>
          <w:szCs w:val="28"/>
        </w:rPr>
      </w:pPr>
      <w:r w:rsidRPr="00914CF9">
        <w:rPr>
          <w:rFonts w:ascii="標楷體" w:eastAsia="標楷體" w:hAnsi="標楷體" w:hint="eastAsia"/>
          <w:kern w:val="0"/>
          <w:sz w:val="28"/>
          <w:szCs w:val="28"/>
        </w:rPr>
        <w:t>國史館館長</w:t>
      </w:r>
      <w:r w:rsidRPr="00914CF9">
        <w:rPr>
          <w:rFonts w:ascii="標楷體" w:eastAsia="標楷體" w:hAnsi="標楷體" w:hint="eastAsia"/>
          <w:sz w:val="28"/>
          <w:szCs w:val="28"/>
        </w:rPr>
        <w:t xml:space="preserve">　</w:t>
      </w:r>
      <w:r w:rsidRPr="00914CF9">
        <w:rPr>
          <w:rFonts w:ascii="標楷體" w:eastAsia="標楷體" w:hAnsi="標楷體" w:hint="eastAsia"/>
          <w:kern w:val="0"/>
          <w:sz w:val="28"/>
          <w:szCs w:val="28"/>
        </w:rPr>
        <w:t>陳儀深</w:t>
      </w:r>
    </w:p>
    <w:p w14:paraId="72F6ED16" w14:textId="77777777" w:rsidR="00421BB5" w:rsidRPr="00914CF9" w:rsidRDefault="00421BB5" w:rsidP="00421BB5">
      <w:pPr>
        <w:adjustRightInd w:val="0"/>
        <w:snapToGrid w:val="0"/>
        <w:spacing w:line="360" w:lineRule="exact"/>
        <w:ind w:leftChars="567" w:left="1361" w:firstLineChars="333" w:firstLine="932"/>
        <w:jc w:val="both"/>
        <w:rPr>
          <w:rFonts w:ascii="標楷體" w:eastAsia="標楷體" w:hAnsi="標楷體"/>
          <w:kern w:val="0"/>
          <w:sz w:val="28"/>
          <w:szCs w:val="28"/>
        </w:rPr>
      </w:pPr>
      <w:r w:rsidRPr="00914CF9">
        <w:rPr>
          <w:rFonts w:ascii="標楷體" w:eastAsia="標楷體" w:hAnsi="標楷體" w:hint="eastAsia"/>
          <w:kern w:val="0"/>
          <w:sz w:val="28"/>
          <w:szCs w:val="28"/>
        </w:rPr>
        <w:t>臺灣文獻館館長</w:t>
      </w:r>
      <w:r w:rsidRPr="00914CF9">
        <w:rPr>
          <w:rFonts w:ascii="標楷體" w:eastAsia="標楷體" w:hAnsi="標楷體" w:hint="eastAsia"/>
          <w:sz w:val="28"/>
          <w:szCs w:val="28"/>
        </w:rPr>
        <w:t xml:space="preserve">　</w:t>
      </w:r>
      <w:r w:rsidRPr="00914CF9">
        <w:rPr>
          <w:rFonts w:ascii="標楷體" w:eastAsia="標楷體" w:hAnsi="標楷體" w:hint="eastAsia"/>
          <w:kern w:val="0"/>
          <w:sz w:val="28"/>
          <w:szCs w:val="28"/>
        </w:rPr>
        <w:t>張鴻銘</w:t>
      </w:r>
    </w:p>
    <w:p w14:paraId="05F25E15" w14:textId="77777777" w:rsidR="00421BB5" w:rsidRPr="00914CF9" w:rsidRDefault="00421BB5" w:rsidP="00421BB5">
      <w:pPr>
        <w:pStyle w:val="-9"/>
        <w:spacing w:line="360" w:lineRule="exact"/>
        <w:ind w:leftChars="567" w:left="1361" w:firstLineChars="23" w:firstLine="64"/>
        <w:rPr>
          <w:rFonts w:ascii="標楷體" w:hAnsi="標楷體"/>
          <w:sz w:val="28"/>
          <w:szCs w:val="28"/>
        </w:rPr>
      </w:pPr>
      <w:r w:rsidRPr="00914CF9">
        <w:rPr>
          <w:rFonts w:ascii="標楷體" w:hAnsi="標楷體" w:hint="eastAsia"/>
          <w:sz w:val="28"/>
          <w:szCs w:val="28"/>
        </w:rPr>
        <w:t>行政院主計總處公務預算處科長　陳台偉</w:t>
      </w:r>
    </w:p>
    <w:p w14:paraId="3E0FED1F" w14:textId="77777777" w:rsidR="00421BB5" w:rsidRPr="00914CF9" w:rsidRDefault="00421BB5" w:rsidP="00421BB5">
      <w:pPr>
        <w:pStyle w:val="-9"/>
        <w:spacing w:line="360" w:lineRule="exact"/>
        <w:ind w:left="1361" w:hangingChars="486" w:hanging="1361"/>
        <w:rPr>
          <w:rFonts w:ascii="標楷體" w:hAnsi="標楷體"/>
          <w:sz w:val="28"/>
          <w:szCs w:val="28"/>
        </w:rPr>
      </w:pPr>
      <w:r w:rsidRPr="00914CF9">
        <w:rPr>
          <w:rFonts w:ascii="標楷體" w:hAnsi="標楷體"/>
          <w:sz w:val="28"/>
          <w:szCs w:val="28"/>
        </w:rPr>
        <w:t>主    席：</w:t>
      </w:r>
      <w:r w:rsidRPr="00914CF9">
        <w:rPr>
          <w:rFonts w:ascii="標楷體" w:hAnsi="標楷體" w:hint="eastAsia"/>
          <w:sz w:val="28"/>
          <w:szCs w:val="28"/>
        </w:rPr>
        <w:t>陳召集委員歐珀</w:t>
      </w:r>
    </w:p>
    <w:p w14:paraId="04089F86" w14:textId="77777777" w:rsidR="00421BB5" w:rsidRPr="00914CF9" w:rsidRDefault="00421BB5" w:rsidP="00421BB5">
      <w:pPr>
        <w:snapToGrid w:val="0"/>
        <w:spacing w:line="360" w:lineRule="exact"/>
        <w:jc w:val="both"/>
        <w:rPr>
          <w:rFonts w:ascii="標楷體" w:eastAsia="標楷體" w:hAnsi="標楷體"/>
          <w:sz w:val="28"/>
          <w:szCs w:val="28"/>
        </w:rPr>
      </w:pPr>
      <w:r w:rsidRPr="00914CF9">
        <w:rPr>
          <w:rFonts w:ascii="標楷體" w:eastAsia="標楷體" w:hAnsi="標楷體" w:hint="eastAsia"/>
          <w:sz w:val="28"/>
          <w:szCs w:val="28"/>
        </w:rPr>
        <w:t>專門委員：梁雯璍</w:t>
      </w:r>
    </w:p>
    <w:p w14:paraId="59DC8250" w14:textId="77777777" w:rsidR="00421BB5" w:rsidRPr="00914CF9" w:rsidRDefault="00421BB5" w:rsidP="00421BB5">
      <w:pPr>
        <w:snapToGrid w:val="0"/>
        <w:spacing w:line="360" w:lineRule="exact"/>
        <w:jc w:val="both"/>
        <w:rPr>
          <w:rFonts w:ascii="標楷體" w:eastAsia="標楷體" w:hAnsi="標楷體"/>
          <w:sz w:val="28"/>
          <w:szCs w:val="28"/>
        </w:rPr>
      </w:pPr>
      <w:r w:rsidRPr="00914CF9">
        <w:rPr>
          <w:rFonts w:ascii="標楷體" w:eastAsia="標楷體" w:hAnsi="標楷體" w:hint="eastAsia"/>
          <w:sz w:val="28"/>
          <w:szCs w:val="28"/>
        </w:rPr>
        <w:t>主任秘書：張智為</w:t>
      </w:r>
    </w:p>
    <w:p w14:paraId="7B801E76" w14:textId="77777777" w:rsidR="00421BB5" w:rsidRPr="00914CF9" w:rsidRDefault="00421BB5" w:rsidP="00421BB5">
      <w:pPr>
        <w:adjustRightInd w:val="0"/>
        <w:snapToGrid w:val="0"/>
        <w:spacing w:line="360" w:lineRule="exact"/>
        <w:rPr>
          <w:rFonts w:ascii="標楷體" w:eastAsia="標楷體" w:hAnsi="標楷體"/>
          <w:sz w:val="28"/>
          <w:szCs w:val="28"/>
        </w:rPr>
      </w:pPr>
      <w:r w:rsidRPr="00914CF9">
        <w:rPr>
          <w:rFonts w:ascii="標楷體" w:eastAsia="標楷體" w:hAnsi="標楷體" w:hint="eastAsia"/>
          <w:sz w:val="28"/>
          <w:szCs w:val="28"/>
        </w:rPr>
        <w:t>紀    錄：簡任秘書　陳杏枝</w:t>
      </w:r>
    </w:p>
    <w:p w14:paraId="7D1D882E" w14:textId="77777777" w:rsidR="00421BB5" w:rsidRPr="00914CF9" w:rsidRDefault="00421BB5" w:rsidP="00421BB5">
      <w:pPr>
        <w:adjustRightInd w:val="0"/>
        <w:snapToGrid w:val="0"/>
        <w:spacing w:line="360" w:lineRule="exact"/>
        <w:ind w:firstLineChars="500" w:firstLine="1400"/>
        <w:jc w:val="both"/>
        <w:rPr>
          <w:rFonts w:ascii="標楷體" w:eastAsia="標楷體" w:hAnsi="標楷體"/>
          <w:sz w:val="28"/>
          <w:szCs w:val="28"/>
        </w:rPr>
      </w:pPr>
      <w:r w:rsidRPr="00914CF9">
        <w:rPr>
          <w:rFonts w:ascii="標楷體" w:eastAsia="標楷體" w:hAnsi="標楷體" w:hint="eastAsia"/>
          <w:sz w:val="28"/>
          <w:szCs w:val="28"/>
        </w:rPr>
        <w:t>簡任編審　薛復寧</w:t>
      </w:r>
    </w:p>
    <w:p w14:paraId="70FE3B87" w14:textId="77777777" w:rsidR="00421BB5" w:rsidRPr="00914CF9" w:rsidRDefault="00421BB5" w:rsidP="00421BB5">
      <w:pPr>
        <w:adjustRightInd w:val="0"/>
        <w:snapToGrid w:val="0"/>
        <w:spacing w:line="360" w:lineRule="exact"/>
        <w:ind w:firstLineChars="500" w:firstLine="1400"/>
        <w:jc w:val="both"/>
        <w:rPr>
          <w:rFonts w:ascii="標楷體" w:eastAsia="標楷體" w:hAnsi="標楷體"/>
          <w:sz w:val="28"/>
          <w:szCs w:val="28"/>
        </w:rPr>
      </w:pPr>
      <w:r w:rsidRPr="00914CF9">
        <w:rPr>
          <w:rFonts w:ascii="標楷體" w:eastAsia="標楷體" w:hAnsi="標楷體" w:hint="eastAsia"/>
          <w:sz w:val="28"/>
          <w:szCs w:val="28"/>
        </w:rPr>
        <w:t>科　　長　鮑夏明</w:t>
      </w:r>
    </w:p>
    <w:p w14:paraId="643E9CC2" w14:textId="77777777" w:rsidR="00421BB5" w:rsidRPr="00914CF9" w:rsidRDefault="00421BB5" w:rsidP="00421BB5">
      <w:pPr>
        <w:spacing w:line="360" w:lineRule="exact"/>
        <w:ind w:firstLineChars="506" w:firstLine="1417"/>
        <w:jc w:val="both"/>
        <w:rPr>
          <w:rFonts w:ascii="標楷體" w:eastAsia="標楷體" w:hAnsi="標楷體"/>
          <w:sz w:val="28"/>
          <w:szCs w:val="28"/>
        </w:rPr>
      </w:pPr>
      <w:r w:rsidRPr="00914CF9">
        <w:rPr>
          <w:rFonts w:ascii="標楷體" w:eastAsia="標楷體" w:hAnsi="標楷體" w:hint="eastAsia"/>
          <w:sz w:val="28"/>
          <w:szCs w:val="28"/>
        </w:rPr>
        <w:t>專　　員　林宗賢</w:t>
      </w:r>
    </w:p>
    <w:p w14:paraId="51109BE9" w14:textId="77777777" w:rsidR="00421BB5" w:rsidRPr="00914CF9" w:rsidRDefault="00421BB5" w:rsidP="00421BB5">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914CF9">
        <w:rPr>
          <w:rFonts w:ascii="標楷體" w:eastAsia="標楷體" w:hAnsi="標楷體"/>
          <w:b/>
          <w:kern w:val="0"/>
          <w:sz w:val="28"/>
          <w:szCs w:val="28"/>
        </w:rPr>
        <w:t>報告事項</w:t>
      </w:r>
    </w:p>
    <w:p w14:paraId="053A26E5" w14:textId="77777777" w:rsidR="00421BB5" w:rsidRPr="00914CF9" w:rsidRDefault="00421BB5" w:rsidP="00421BB5">
      <w:pPr>
        <w:tabs>
          <w:tab w:val="left" w:pos="574"/>
          <w:tab w:val="left" w:pos="602"/>
          <w:tab w:val="left" w:pos="709"/>
        </w:tabs>
        <w:autoSpaceDE w:val="0"/>
        <w:autoSpaceDN w:val="0"/>
        <w:spacing w:line="360" w:lineRule="exact"/>
        <w:jc w:val="both"/>
        <w:rPr>
          <w:rFonts w:ascii="標楷體" w:eastAsia="標楷體" w:hAnsi="標楷體"/>
          <w:sz w:val="28"/>
          <w:szCs w:val="28"/>
        </w:rPr>
      </w:pPr>
      <w:r w:rsidRPr="00914CF9">
        <w:rPr>
          <w:rFonts w:ascii="標楷體" w:eastAsia="標楷體" w:hAnsi="標楷體" w:hint="eastAsia"/>
          <w:sz w:val="28"/>
          <w:szCs w:val="28"/>
        </w:rPr>
        <w:t>一、宣讀上次會議議事錄。</w:t>
      </w:r>
    </w:p>
    <w:p w14:paraId="22F2CC3A" w14:textId="77777777" w:rsidR="00421BB5" w:rsidRPr="00914CF9" w:rsidRDefault="00421BB5" w:rsidP="00421BB5">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914CF9">
        <w:rPr>
          <w:rFonts w:ascii="標楷體" w:eastAsia="標楷體" w:hAnsi="標楷體" w:hint="eastAsia"/>
          <w:color w:val="000000"/>
          <w:sz w:val="28"/>
          <w:szCs w:val="28"/>
        </w:rPr>
        <w:t>決定：確定。</w:t>
      </w:r>
    </w:p>
    <w:p w14:paraId="579186EA" w14:textId="77777777" w:rsidR="00421BB5" w:rsidRPr="00914CF9" w:rsidRDefault="00421BB5" w:rsidP="00421BB5">
      <w:pPr>
        <w:spacing w:line="360" w:lineRule="exact"/>
        <w:ind w:leftChars="-6" w:left="574" w:hangingChars="210" w:hanging="588"/>
        <w:contextualSpacing/>
        <w:jc w:val="both"/>
        <w:rPr>
          <w:rFonts w:ascii="標楷體" w:eastAsia="標楷體" w:hAnsi="標楷體"/>
          <w:color w:val="000000"/>
          <w:sz w:val="28"/>
          <w:szCs w:val="28"/>
        </w:rPr>
      </w:pPr>
      <w:r w:rsidRPr="00914CF9">
        <w:rPr>
          <w:rFonts w:ascii="標楷體" w:eastAsia="標楷體" w:hAnsi="標楷體" w:hint="eastAsia"/>
          <w:color w:val="000000"/>
          <w:sz w:val="28"/>
          <w:szCs w:val="28"/>
        </w:rPr>
        <w:t>二、總統府函，為111年度中央政府總預算決議，檢送決議（一）至（四）、（十三）及（十四）預算凍結書面報告，請查照案。</w:t>
      </w:r>
    </w:p>
    <w:p w14:paraId="04F1A18B" w14:textId="77777777" w:rsidR="00421BB5" w:rsidRPr="00914CF9" w:rsidRDefault="00421BB5" w:rsidP="00421BB5">
      <w:pPr>
        <w:spacing w:line="360" w:lineRule="exact"/>
        <w:ind w:leftChars="-6" w:left="574" w:hangingChars="210" w:hanging="588"/>
        <w:contextualSpacing/>
        <w:jc w:val="both"/>
        <w:rPr>
          <w:rFonts w:ascii="標楷體" w:eastAsia="標楷體" w:hAnsi="標楷體"/>
          <w:color w:val="000000"/>
          <w:sz w:val="28"/>
          <w:szCs w:val="28"/>
        </w:rPr>
      </w:pPr>
      <w:r w:rsidRPr="00914CF9">
        <w:rPr>
          <w:rFonts w:ascii="標楷體" w:eastAsia="標楷體" w:hAnsi="標楷體" w:hint="eastAsia"/>
          <w:color w:val="000000"/>
          <w:sz w:val="28"/>
          <w:szCs w:val="28"/>
        </w:rPr>
        <w:t>三、國史館函，為111年度中央政府總預算決議，檢送「一般行政」預算凍結書面報告，請查照案。</w:t>
      </w:r>
    </w:p>
    <w:p w14:paraId="44CEFF81" w14:textId="77777777" w:rsidR="00421BB5" w:rsidRPr="00914CF9" w:rsidRDefault="00421BB5" w:rsidP="00421BB5">
      <w:pPr>
        <w:spacing w:line="360" w:lineRule="exact"/>
        <w:ind w:leftChars="-6" w:left="574" w:hangingChars="210" w:hanging="588"/>
        <w:contextualSpacing/>
        <w:jc w:val="both"/>
        <w:rPr>
          <w:rFonts w:ascii="標楷體" w:eastAsia="標楷體" w:hAnsi="標楷體"/>
          <w:color w:val="000000"/>
          <w:sz w:val="28"/>
          <w:szCs w:val="28"/>
        </w:rPr>
      </w:pPr>
      <w:r w:rsidRPr="00914CF9">
        <w:rPr>
          <w:rFonts w:ascii="標楷體" w:eastAsia="標楷體" w:hAnsi="標楷體" w:hint="eastAsia"/>
          <w:color w:val="000000"/>
          <w:sz w:val="28"/>
          <w:szCs w:val="28"/>
        </w:rPr>
        <w:t>四、國史館函，為111年度中央政府總預算決議，檢送決議（二）預算凍結書面報告，請查照案。</w:t>
      </w:r>
    </w:p>
    <w:p w14:paraId="542CBF92" w14:textId="77777777" w:rsidR="00421BB5" w:rsidRPr="00914CF9" w:rsidRDefault="00421BB5" w:rsidP="00421BB5">
      <w:pPr>
        <w:spacing w:line="360" w:lineRule="exact"/>
        <w:contextualSpacing/>
        <w:jc w:val="both"/>
        <w:rPr>
          <w:rFonts w:ascii="標楷體" w:hAnsi="標楷體"/>
          <w:b/>
          <w:sz w:val="28"/>
          <w:szCs w:val="28"/>
        </w:rPr>
      </w:pPr>
      <w:r w:rsidRPr="00914CF9">
        <w:rPr>
          <w:rFonts w:ascii="標楷體" w:eastAsia="標楷體" w:hAnsi="標楷體" w:hint="eastAsia"/>
          <w:sz w:val="28"/>
          <w:szCs w:val="28"/>
        </w:rPr>
        <w:t>決定：</w:t>
      </w:r>
      <w:r w:rsidRPr="00914CF9">
        <w:rPr>
          <w:rFonts w:ascii="標楷體" w:eastAsia="標楷體" w:hAnsi="標楷體" w:hint="eastAsia"/>
          <w:kern w:val="0"/>
          <w:sz w:val="28"/>
          <w:szCs w:val="28"/>
        </w:rPr>
        <w:t>第二案至第四案，均</w:t>
      </w:r>
      <w:r w:rsidRPr="00914CF9">
        <w:rPr>
          <w:rFonts w:ascii="標楷體" w:eastAsia="標楷體" w:hAnsi="標楷體" w:hint="eastAsia"/>
          <w:sz w:val="28"/>
          <w:szCs w:val="28"/>
        </w:rPr>
        <w:t>准予備查，提報院會。</w:t>
      </w:r>
    </w:p>
    <w:p w14:paraId="53BE175C" w14:textId="77777777" w:rsidR="00421BB5" w:rsidRPr="00914CF9" w:rsidRDefault="00421BB5" w:rsidP="00421BB5">
      <w:pPr>
        <w:pStyle w:val="afffff2"/>
        <w:spacing w:beforeLines="30" w:before="108" w:line="360" w:lineRule="exact"/>
        <w:ind w:leftChars="0" w:left="0" w:rightChars="0" w:right="0" w:firstLineChars="398" w:firstLine="1115"/>
        <w:jc w:val="both"/>
        <w:rPr>
          <w:rFonts w:ascii="標楷體" w:hAnsi="標楷體"/>
          <w:b/>
          <w:sz w:val="28"/>
          <w:szCs w:val="28"/>
        </w:rPr>
      </w:pPr>
      <w:r w:rsidRPr="00914CF9">
        <w:rPr>
          <w:rFonts w:ascii="標楷體" w:hAnsi="標楷體"/>
          <w:b/>
          <w:sz w:val="28"/>
          <w:szCs w:val="28"/>
        </w:rPr>
        <w:t>討論事項</w:t>
      </w:r>
    </w:p>
    <w:p w14:paraId="3E92FDA9" w14:textId="77777777" w:rsidR="00421BB5" w:rsidRPr="00914CF9" w:rsidRDefault="00421BB5" w:rsidP="00421BB5">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lang w:val="x-none"/>
        </w:rPr>
        <w:t>一、</w:t>
      </w:r>
      <w:r w:rsidRPr="00914CF9">
        <w:rPr>
          <w:rFonts w:ascii="標楷體" w:eastAsia="標楷體" w:hAnsi="標楷體" w:hint="eastAsia"/>
          <w:sz w:val="28"/>
          <w:szCs w:val="28"/>
        </w:rPr>
        <w:t>審查112年度中央政府總預算案關於總統府主管(不含中央研究院)收支部分。</w:t>
      </w:r>
    </w:p>
    <w:p w14:paraId="281A230C" w14:textId="77777777" w:rsidR="00421BB5" w:rsidRPr="00914CF9" w:rsidRDefault="00421BB5" w:rsidP="00421BB5">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t>二、國家安全會議函，為111年度中央政府總預算決議，檢送歲出第1款第2項決議（一）凍結「一般行政」20萬元書面報告，請查照</w:t>
      </w:r>
      <w:r w:rsidRPr="00914CF9">
        <w:rPr>
          <w:rFonts w:ascii="標楷體" w:eastAsia="標楷體" w:hAnsi="標楷體" w:hint="eastAsia"/>
          <w:sz w:val="28"/>
          <w:szCs w:val="28"/>
        </w:rPr>
        <w:lastRenderedPageBreak/>
        <w:t>案。</w:t>
      </w:r>
    </w:p>
    <w:p w14:paraId="0DBF575B" w14:textId="77777777" w:rsidR="00421BB5" w:rsidRPr="00914CF9" w:rsidRDefault="00421BB5" w:rsidP="00421BB5">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t>三、國家安全會議函，為111年度中央政府總預算決議，檢送歲出第1款第2項決議（二）凍結「諮詢研究業務」50萬元書面報告，請查照案。</w:t>
      </w:r>
    </w:p>
    <w:p w14:paraId="0087094A" w14:textId="77777777" w:rsidR="00421BB5" w:rsidRDefault="00421BB5" w:rsidP="00421BB5">
      <w:pPr>
        <w:spacing w:beforeLines="10" w:before="36" w:line="360" w:lineRule="exact"/>
        <w:ind w:left="280" w:rightChars="92" w:right="221" w:hangingChars="100" w:hanging="280"/>
        <w:jc w:val="both"/>
        <w:rPr>
          <w:rFonts w:ascii="標楷體" w:eastAsia="標楷體" w:hAnsi="標楷體"/>
          <w:sz w:val="28"/>
          <w:szCs w:val="28"/>
        </w:rPr>
      </w:pPr>
      <w:r w:rsidRPr="00914CF9">
        <w:rPr>
          <w:rFonts w:ascii="標楷體" w:eastAsia="標楷體" w:hAnsi="標楷體" w:hint="eastAsia"/>
          <w:sz w:val="28"/>
          <w:szCs w:val="28"/>
        </w:rPr>
        <w:t>（</w:t>
      </w:r>
      <w:r w:rsidRPr="0029524B">
        <w:rPr>
          <w:rFonts w:ascii="標楷體" w:eastAsia="標楷體" w:hAnsi="標楷體" w:hint="eastAsia"/>
          <w:spacing w:val="-10"/>
          <w:sz w:val="28"/>
          <w:szCs w:val="28"/>
        </w:rPr>
        <w:t>本次會議有委員游毓蘭、陳歐珀、陳玉珍、黃世杰、高嘉瑜、陳以信</w:t>
      </w:r>
      <w:r w:rsidRPr="00914CF9">
        <w:rPr>
          <w:rFonts w:ascii="標楷體" w:eastAsia="標楷體" w:hAnsi="標楷體" w:hint="eastAsia"/>
          <w:sz w:val="28"/>
          <w:szCs w:val="28"/>
        </w:rPr>
        <w:t>、</w:t>
      </w:r>
    </w:p>
    <w:p w14:paraId="577C1D72" w14:textId="77777777" w:rsidR="00421BB5" w:rsidRDefault="00421BB5" w:rsidP="00421BB5">
      <w:pPr>
        <w:spacing w:beforeLines="10" w:before="36" w:line="360" w:lineRule="exact"/>
        <w:ind w:left="280" w:rightChars="92" w:right="221" w:hangingChars="100" w:hanging="280"/>
        <w:jc w:val="both"/>
        <w:rPr>
          <w:rFonts w:ascii="標楷體" w:eastAsia="標楷體" w:hAnsi="標楷體"/>
          <w:sz w:val="28"/>
          <w:szCs w:val="28"/>
        </w:rPr>
      </w:pPr>
      <w:r w:rsidRPr="00914CF9">
        <w:rPr>
          <w:rFonts w:ascii="標楷體" w:eastAsia="標楷體" w:hAnsi="標楷體" w:hint="eastAsia"/>
          <w:sz w:val="28"/>
          <w:szCs w:val="28"/>
        </w:rPr>
        <w:t>曾銘宗、張其祿、江永昌、劉建國、陳椒華提出質詢；委員鄭運鵬、</w:t>
      </w:r>
    </w:p>
    <w:p w14:paraId="4F8275C8" w14:textId="77777777" w:rsidR="00421BB5" w:rsidRPr="00914CF9" w:rsidRDefault="00421BB5" w:rsidP="00421BB5">
      <w:pPr>
        <w:spacing w:beforeLines="10" w:before="36" w:line="360" w:lineRule="exact"/>
        <w:ind w:left="280" w:rightChars="92" w:right="221" w:hangingChars="100" w:hanging="280"/>
        <w:jc w:val="both"/>
        <w:rPr>
          <w:rFonts w:ascii="標楷體" w:eastAsia="標楷體" w:hAnsi="標楷體"/>
          <w:sz w:val="28"/>
          <w:szCs w:val="28"/>
        </w:rPr>
      </w:pPr>
      <w:r w:rsidRPr="00914CF9">
        <w:rPr>
          <w:rFonts w:ascii="標楷體" w:eastAsia="標楷體" w:hAnsi="標楷體" w:hint="eastAsia"/>
          <w:sz w:val="28"/>
          <w:szCs w:val="28"/>
        </w:rPr>
        <w:t>林思銘提出書面質詢。）</w:t>
      </w:r>
    </w:p>
    <w:p w14:paraId="5AED5704" w14:textId="77777777" w:rsidR="00421BB5" w:rsidRPr="00914CF9" w:rsidRDefault="00421BB5" w:rsidP="00421BB5">
      <w:pPr>
        <w:spacing w:line="360" w:lineRule="exact"/>
        <w:contextualSpacing/>
        <w:jc w:val="both"/>
        <w:rPr>
          <w:rFonts w:ascii="標楷體" w:eastAsia="標楷體" w:hAnsi="標楷體"/>
          <w:sz w:val="28"/>
          <w:szCs w:val="28"/>
        </w:rPr>
      </w:pPr>
      <w:r w:rsidRPr="00914CF9">
        <w:rPr>
          <w:rFonts w:ascii="標楷體" w:eastAsia="標楷體" w:hAnsi="標楷體" w:hint="eastAsia"/>
          <w:sz w:val="28"/>
          <w:szCs w:val="28"/>
        </w:rPr>
        <w:t>決議：</w:t>
      </w:r>
    </w:p>
    <w:p w14:paraId="5E301ABB" w14:textId="77777777" w:rsidR="00421BB5" w:rsidRPr="00914CF9" w:rsidRDefault="00421BB5" w:rsidP="00421BB5">
      <w:pPr>
        <w:spacing w:line="360" w:lineRule="exact"/>
        <w:contextualSpacing/>
        <w:jc w:val="both"/>
        <w:rPr>
          <w:rFonts w:ascii="標楷體" w:eastAsia="標楷體" w:hAnsi="標楷體"/>
          <w:sz w:val="28"/>
          <w:szCs w:val="28"/>
        </w:rPr>
      </w:pPr>
      <w:r w:rsidRPr="00914CF9">
        <w:rPr>
          <w:rFonts w:ascii="標楷體" w:eastAsia="標楷體" w:hAnsi="標楷體" w:hint="eastAsia"/>
          <w:sz w:val="28"/>
          <w:szCs w:val="28"/>
        </w:rPr>
        <w:t>一、報告及詢答完畢。</w:t>
      </w:r>
    </w:p>
    <w:p w14:paraId="767E4F72" w14:textId="77777777" w:rsidR="00421BB5" w:rsidRPr="00914CF9" w:rsidRDefault="00421BB5" w:rsidP="00421BB5">
      <w:pPr>
        <w:adjustRightInd w:val="0"/>
        <w:snapToGrid w:val="0"/>
        <w:spacing w:line="360" w:lineRule="exact"/>
        <w:ind w:left="560" w:hangingChars="200" w:hanging="560"/>
        <w:jc w:val="distribute"/>
        <w:rPr>
          <w:rFonts w:ascii="標楷體" w:eastAsia="標楷體" w:hAnsi="標楷體"/>
          <w:kern w:val="0"/>
          <w:sz w:val="28"/>
          <w:szCs w:val="28"/>
        </w:rPr>
      </w:pPr>
      <w:r w:rsidRPr="00914CF9">
        <w:rPr>
          <w:rFonts w:ascii="標楷體" w:eastAsia="標楷體" w:hAnsi="標楷體" w:hint="eastAsia"/>
          <w:kern w:val="0"/>
          <w:sz w:val="28"/>
          <w:szCs w:val="28"/>
        </w:rPr>
        <w:t>二、112年度中央政府總預算案關於總統府主管(不含中央研究院)</w:t>
      </w:r>
    </w:p>
    <w:p w14:paraId="66BACE9C" w14:textId="77777777" w:rsidR="00421BB5" w:rsidRPr="00914CF9" w:rsidRDefault="00421BB5" w:rsidP="00421BB5">
      <w:pPr>
        <w:adjustRightInd w:val="0"/>
        <w:snapToGrid w:val="0"/>
        <w:spacing w:line="360" w:lineRule="exact"/>
        <w:ind w:leftChars="233" w:left="559" w:firstLineChars="2" w:firstLine="6"/>
        <w:jc w:val="both"/>
        <w:rPr>
          <w:rFonts w:ascii="標楷體" w:eastAsia="標楷體" w:hAnsi="標楷體"/>
          <w:kern w:val="0"/>
          <w:sz w:val="28"/>
          <w:szCs w:val="28"/>
        </w:rPr>
      </w:pPr>
      <w:r w:rsidRPr="00914CF9">
        <w:rPr>
          <w:rFonts w:ascii="標楷體" w:eastAsia="標楷體" w:hAnsi="標楷體" w:hint="eastAsia"/>
          <w:kern w:val="0"/>
          <w:sz w:val="28"/>
          <w:szCs w:val="28"/>
        </w:rPr>
        <w:t>收支部分：</w:t>
      </w:r>
    </w:p>
    <w:p w14:paraId="27951CCD" w14:textId="77777777" w:rsidR="00421BB5" w:rsidRPr="00914CF9" w:rsidRDefault="00421BB5" w:rsidP="00421BB5">
      <w:pPr>
        <w:adjustRightInd w:val="0"/>
        <w:snapToGrid w:val="0"/>
        <w:spacing w:line="360" w:lineRule="exact"/>
        <w:ind w:leftChars="50" w:left="120"/>
        <w:rPr>
          <w:rFonts w:ascii="標楷體" w:eastAsia="標楷體" w:hAnsi="標楷體"/>
          <w:b/>
          <w:kern w:val="0"/>
          <w:sz w:val="28"/>
          <w:szCs w:val="28"/>
        </w:rPr>
      </w:pPr>
      <w:r w:rsidRPr="00914CF9">
        <w:rPr>
          <w:rFonts w:ascii="標楷體" w:eastAsia="標楷體" w:hAnsi="標楷體" w:hint="eastAsia"/>
          <w:b/>
          <w:kern w:val="0"/>
          <w:sz w:val="28"/>
          <w:szCs w:val="28"/>
        </w:rPr>
        <w:t>(一)</w:t>
      </w:r>
      <w:r w:rsidRPr="00914CF9">
        <w:rPr>
          <w:rFonts w:ascii="標楷體" w:eastAsia="標楷體" w:hAnsi="標楷體"/>
          <w:b/>
          <w:kern w:val="0"/>
          <w:sz w:val="28"/>
          <w:szCs w:val="28"/>
        </w:rPr>
        <w:t>歲入部分</w:t>
      </w:r>
    </w:p>
    <w:p w14:paraId="1E7EAE0E" w14:textId="77777777" w:rsidR="00421BB5" w:rsidRPr="00914CF9" w:rsidRDefault="00421BB5" w:rsidP="00421BB5">
      <w:pPr>
        <w:pStyle w:val="3-"/>
        <w:ind w:left="240"/>
      </w:pPr>
      <w:r w:rsidRPr="00914CF9">
        <w:t>第2款　罰款及賠償收入</w:t>
      </w:r>
    </w:p>
    <w:p w14:paraId="7CE810CB" w14:textId="77777777" w:rsidR="00421BB5" w:rsidRPr="00914CF9" w:rsidRDefault="00421BB5" w:rsidP="00421BB5">
      <w:pPr>
        <w:pStyle w:val="3-1"/>
        <w:ind w:left="1600" w:hanging="1120"/>
      </w:pPr>
      <w:r w:rsidRPr="00914CF9">
        <w:t>第1項　總統府，無列數。</w:t>
      </w:r>
    </w:p>
    <w:p w14:paraId="6DD94769" w14:textId="77777777" w:rsidR="00421BB5" w:rsidRPr="00914CF9" w:rsidRDefault="00421BB5" w:rsidP="00421BB5">
      <w:pPr>
        <w:pStyle w:val="3-1"/>
        <w:ind w:left="1600" w:hanging="1120"/>
      </w:pPr>
      <w:r w:rsidRPr="00914CF9">
        <w:t xml:space="preserve">第2項　</w:t>
      </w:r>
      <w:r w:rsidRPr="00914CF9">
        <w:rPr>
          <w:rFonts w:hint="eastAsia"/>
        </w:rPr>
        <w:t>國史</w:t>
      </w:r>
      <w:r w:rsidRPr="00914CF9">
        <w:t>館，無列數。</w:t>
      </w:r>
    </w:p>
    <w:p w14:paraId="4395772A" w14:textId="77777777" w:rsidR="00421BB5" w:rsidRPr="00914CF9" w:rsidRDefault="00421BB5" w:rsidP="00421BB5">
      <w:pPr>
        <w:pStyle w:val="3-1"/>
        <w:ind w:left="1600" w:hanging="1120"/>
      </w:pPr>
      <w:r w:rsidRPr="00914CF9">
        <w:t>第</w:t>
      </w:r>
      <w:r w:rsidRPr="00914CF9">
        <w:rPr>
          <w:rFonts w:hint="eastAsia"/>
        </w:rPr>
        <w:t>3</w:t>
      </w:r>
      <w:r w:rsidRPr="00914CF9">
        <w:t>項　國史館臺灣文獻館，無列數。</w:t>
      </w:r>
    </w:p>
    <w:p w14:paraId="58094F03" w14:textId="77777777" w:rsidR="00421BB5" w:rsidRPr="00914CF9" w:rsidRDefault="00421BB5" w:rsidP="00421BB5">
      <w:pPr>
        <w:pStyle w:val="3-"/>
        <w:ind w:left="240"/>
      </w:pPr>
      <w:r w:rsidRPr="00914CF9">
        <w:t>第3款　規費收入</w:t>
      </w:r>
    </w:p>
    <w:p w14:paraId="78290E3D" w14:textId="77777777" w:rsidR="00421BB5" w:rsidRPr="00914CF9" w:rsidRDefault="00421BB5" w:rsidP="00421BB5">
      <w:pPr>
        <w:adjustRightInd w:val="0"/>
        <w:snapToGrid w:val="0"/>
        <w:spacing w:line="360" w:lineRule="exact"/>
        <w:ind w:leftChars="200" w:left="1040" w:hangingChars="200" w:hanging="560"/>
        <w:rPr>
          <w:rFonts w:ascii="標楷體" w:eastAsia="標楷體" w:hAnsi="標楷體"/>
          <w:kern w:val="0"/>
          <w:sz w:val="28"/>
          <w:szCs w:val="28"/>
        </w:rPr>
      </w:pPr>
      <w:r w:rsidRPr="00914CF9">
        <w:rPr>
          <w:rFonts w:ascii="標楷體" w:eastAsia="標楷體" w:hAnsi="標楷體"/>
          <w:kern w:val="0"/>
          <w:sz w:val="28"/>
          <w:szCs w:val="28"/>
        </w:rPr>
        <w:t>第</w:t>
      </w:r>
      <w:r w:rsidRPr="00914CF9">
        <w:rPr>
          <w:rFonts w:ascii="標楷體" w:eastAsia="標楷體" w:hAnsi="標楷體" w:hint="eastAsia"/>
          <w:kern w:val="0"/>
          <w:sz w:val="28"/>
          <w:szCs w:val="28"/>
        </w:rPr>
        <w:t>1</w:t>
      </w:r>
      <w:r w:rsidRPr="00914CF9">
        <w:rPr>
          <w:rFonts w:ascii="標楷體" w:eastAsia="標楷體" w:hAnsi="標楷體"/>
          <w:kern w:val="0"/>
          <w:sz w:val="28"/>
          <w:szCs w:val="28"/>
        </w:rPr>
        <w:t>項　總統府</w:t>
      </w:r>
      <w:r w:rsidRPr="00914CF9">
        <w:rPr>
          <w:rFonts w:ascii="標楷體" w:eastAsia="標楷體" w:hAnsi="標楷體" w:hint="eastAsia"/>
          <w:kern w:val="0"/>
          <w:sz w:val="28"/>
          <w:szCs w:val="28"/>
        </w:rPr>
        <w:t>1千</w:t>
      </w:r>
      <w:r w:rsidRPr="00914CF9">
        <w:rPr>
          <w:rFonts w:ascii="標楷體" w:eastAsia="標楷體" w:hAnsi="標楷體"/>
          <w:kern w:val="0"/>
          <w:sz w:val="28"/>
          <w:szCs w:val="28"/>
        </w:rPr>
        <w:t>元，照列。</w:t>
      </w:r>
    </w:p>
    <w:p w14:paraId="5A14266E" w14:textId="77777777" w:rsidR="00421BB5" w:rsidRPr="00914CF9" w:rsidRDefault="00421BB5" w:rsidP="00421BB5">
      <w:pPr>
        <w:adjustRightInd w:val="0"/>
        <w:snapToGrid w:val="0"/>
        <w:spacing w:line="360" w:lineRule="exact"/>
        <w:ind w:leftChars="200" w:left="1040" w:hangingChars="200" w:hanging="560"/>
        <w:rPr>
          <w:rFonts w:ascii="標楷體" w:eastAsia="標楷體" w:hAnsi="標楷體"/>
          <w:kern w:val="0"/>
          <w:sz w:val="28"/>
          <w:szCs w:val="28"/>
        </w:rPr>
      </w:pPr>
      <w:r w:rsidRPr="00914CF9">
        <w:rPr>
          <w:rFonts w:ascii="標楷體" w:eastAsia="標楷體" w:hAnsi="標楷體"/>
          <w:kern w:val="0"/>
          <w:sz w:val="28"/>
          <w:szCs w:val="28"/>
        </w:rPr>
        <w:t>第2項　國史館</w:t>
      </w:r>
      <w:r w:rsidRPr="00914CF9">
        <w:rPr>
          <w:rFonts w:ascii="標楷體" w:eastAsia="標楷體" w:hAnsi="標楷體" w:hint="eastAsia"/>
          <w:kern w:val="0"/>
          <w:sz w:val="28"/>
          <w:szCs w:val="28"/>
        </w:rPr>
        <w:t>20萬元，</w:t>
      </w:r>
      <w:r w:rsidRPr="00914CF9">
        <w:rPr>
          <w:rFonts w:ascii="標楷體" w:eastAsia="標楷體" w:hAnsi="標楷體"/>
          <w:kern w:val="0"/>
          <w:sz w:val="28"/>
          <w:szCs w:val="28"/>
        </w:rPr>
        <w:t>照列。</w:t>
      </w:r>
    </w:p>
    <w:p w14:paraId="521335EF" w14:textId="77777777" w:rsidR="00421BB5" w:rsidRPr="00914CF9" w:rsidRDefault="00421BB5" w:rsidP="00421BB5">
      <w:pPr>
        <w:adjustRightInd w:val="0"/>
        <w:snapToGrid w:val="0"/>
        <w:spacing w:line="360" w:lineRule="exact"/>
        <w:ind w:leftChars="200" w:left="1040" w:hangingChars="200" w:hanging="560"/>
        <w:rPr>
          <w:rFonts w:ascii="標楷體" w:eastAsia="標楷體" w:hAnsi="標楷體"/>
          <w:kern w:val="0"/>
          <w:sz w:val="28"/>
          <w:szCs w:val="28"/>
        </w:rPr>
      </w:pPr>
      <w:r w:rsidRPr="00914CF9">
        <w:rPr>
          <w:rFonts w:ascii="標楷體" w:eastAsia="標楷體" w:hAnsi="標楷體"/>
          <w:kern w:val="0"/>
          <w:sz w:val="28"/>
          <w:szCs w:val="28"/>
        </w:rPr>
        <w:t>第</w:t>
      </w:r>
      <w:r w:rsidRPr="00914CF9">
        <w:rPr>
          <w:rFonts w:ascii="標楷體" w:eastAsia="標楷體" w:hAnsi="標楷體" w:hint="eastAsia"/>
          <w:kern w:val="0"/>
          <w:sz w:val="28"/>
          <w:szCs w:val="28"/>
        </w:rPr>
        <w:t>3</w:t>
      </w:r>
      <w:r w:rsidRPr="00914CF9">
        <w:rPr>
          <w:rFonts w:ascii="標楷體" w:eastAsia="標楷體" w:hAnsi="標楷體"/>
          <w:kern w:val="0"/>
          <w:sz w:val="28"/>
          <w:szCs w:val="28"/>
        </w:rPr>
        <w:t>項　國史館臺灣文獻館</w:t>
      </w:r>
      <w:r w:rsidRPr="00914CF9">
        <w:rPr>
          <w:rFonts w:ascii="標楷體" w:eastAsia="標楷體" w:hAnsi="標楷體" w:hint="eastAsia"/>
          <w:kern w:val="0"/>
          <w:sz w:val="28"/>
          <w:szCs w:val="28"/>
        </w:rPr>
        <w:t>2</w:t>
      </w:r>
      <w:r w:rsidRPr="00914CF9">
        <w:rPr>
          <w:rFonts w:ascii="標楷體" w:eastAsia="標楷體" w:hAnsi="標楷體"/>
          <w:kern w:val="0"/>
          <w:sz w:val="28"/>
          <w:szCs w:val="28"/>
        </w:rPr>
        <w:t>9萬</w:t>
      </w:r>
      <w:r w:rsidRPr="00914CF9">
        <w:rPr>
          <w:rFonts w:ascii="標楷體" w:eastAsia="標楷體" w:hAnsi="標楷體" w:hint="eastAsia"/>
          <w:kern w:val="0"/>
          <w:sz w:val="28"/>
          <w:szCs w:val="28"/>
        </w:rPr>
        <w:t>3千</w:t>
      </w:r>
      <w:r w:rsidRPr="00914CF9">
        <w:rPr>
          <w:rFonts w:ascii="標楷體" w:eastAsia="標楷體" w:hAnsi="標楷體"/>
          <w:kern w:val="0"/>
          <w:sz w:val="28"/>
          <w:szCs w:val="28"/>
        </w:rPr>
        <w:t>元，照列。</w:t>
      </w:r>
    </w:p>
    <w:p w14:paraId="4608E1D9" w14:textId="77777777" w:rsidR="00421BB5" w:rsidRPr="00914CF9" w:rsidRDefault="00421BB5" w:rsidP="00421BB5">
      <w:pPr>
        <w:pStyle w:val="3-"/>
        <w:ind w:left="240"/>
      </w:pPr>
      <w:r w:rsidRPr="00914CF9">
        <w:t>第4款　財產收入</w:t>
      </w:r>
    </w:p>
    <w:p w14:paraId="5DCD1B5F" w14:textId="77777777" w:rsidR="00421BB5" w:rsidRPr="00914CF9" w:rsidRDefault="00421BB5" w:rsidP="00421BB5">
      <w:pPr>
        <w:pStyle w:val="3-1"/>
        <w:ind w:left="1600" w:hanging="1120"/>
      </w:pPr>
      <w:r w:rsidRPr="00914CF9">
        <w:t>第1項　總統府</w:t>
      </w:r>
      <w:r w:rsidRPr="00914CF9">
        <w:rPr>
          <w:rFonts w:hint="eastAsia"/>
        </w:rPr>
        <w:t>195萬6千元</w:t>
      </w:r>
      <w:r w:rsidRPr="00914CF9">
        <w:t>，照列。</w:t>
      </w:r>
    </w:p>
    <w:p w14:paraId="209FE7AD" w14:textId="77777777" w:rsidR="00421BB5" w:rsidRPr="00914CF9" w:rsidRDefault="00421BB5" w:rsidP="00421BB5">
      <w:pPr>
        <w:pStyle w:val="2-1"/>
        <w:ind w:leftChars="0" w:left="0" w:firstLineChars="160" w:firstLine="448"/>
        <w:rPr>
          <w:b/>
          <w:kern w:val="0"/>
        </w:rPr>
      </w:pPr>
      <w:r w:rsidRPr="00914CF9">
        <w:rPr>
          <w:rFonts w:hint="eastAsia"/>
          <w:b/>
          <w:kern w:val="0"/>
        </w:rPr>
        <w:t>本項通過決議1項：</w:t>
      </w:r>
    </w:p>
    <w:p w14:paraId="31879B5C" w14:textId="77777777" w:rsidR="00421BB5" w:rsidRPr="00914CF9" w:rsidRDefault="00421BB5" w:rsidP="00421BB5">
      <w:pPr>
        <w:pStyle w:val="0-"/>
      </w:pPr>
      <w:r w:rsidRPr="00914CF9">
        <w:rPr>
          <w:rFonts w:hint="eastAsia"/>
        </w:rPr>
        <w:t>(一)查112年度總統府歲入預算「財產孳息</w:t>
      </w:r>
      <w:r w:rsidRPr="00914CF9">
        <w:t>」</w:t>
      </w:r>
      <w:r w:rsidRPr="00914CF9">
        <w:rPr>
          <w:rFonts w:hint="eastAsia"/>
        </w:rPr>
        <w:t>項下「租金收入</w:t>
      </w:r>
      <w:r w:rsidRPr="00914CF9">
        <w:t>」</w:t>
      </w:r>
      <w:r w:rsidRPr="00914CF9">
        <w:rPr>
          <w:rFonts w:hint="eastAsia"/>
        </w:rPr>
        <w:t>編列184萬9千元，係為紀念品中心、美髮部、洗衣部、交誼廳餐飲部、複合式商店等場地租金及南北廣場停車費收入。惟該租金收入較111年度預算減列80萬2千元，又較110年度決算減列31萬9千元。</w:t>
      </w:r>
    </w:p>
    <w:p w14:paraId="3A5FE526" w14:textId="77777777" w:rsidR="00421BB5" w:rsidRPr="00914CF9" w:rsidRDefault="00421BB5" w:rsidP="00421BB5">
      <w:pPr>
        <w:pStyle w:val="0-2"/>
      </w:pPr>
      <w:r w:rsidRPr="00914CF9">
        <w:rPr>
          <w:rFonts w:hint="eastAsia"/>
        </w:rPr>
        <w:t>有鑑於疫情已然趨緩及考量財政穩健，爰請未來簽訂場地新租約時，適時調整標租率。</w:t>
      </w:r>
    </w:p>
    <w:p w14:paraId="0BE6BCA6" w14:textId="77777777" w:rsidR="00421BB5" w:rsidRPr="00914CF9" w:rsidRDefault="00421BB5" w:rsidP="00421BB5">
      <w:pPr>
        <w:pStyle w:val="2-1"/>
      </w:pPr>
      <w:r w:rsidRPr="00914CF9">
        <w:rPr>
          <w:rFonts w:hint="eastAsia"/>
          <w:shd w:val="clear" w:color="auto" w:fill="FFFFFF"/>
        </w:rPr>
        <w:t>提案人：江永昌 陳歐珀 黃世杰</w:t>
      </w:r>
    </w:p>
    <w:p w14:paraId="2DDFD79D" w14:textId="77777777" w:rsidR="00421BB5" w:rsidRPr="00914CF9" w:rsidRDefault="00421BB5" w:rsidP="00421BB5">
      <w:pPr>
        <w:pStyle w:val="3-1"/>
        <w:ind w:left="1600" w:hanging="1120"/>
      </w:pPr>
      <w:r w:rsidRPr="00914CF9">
        <w:t>第2項　國家安全會議</w:t>
      </w:r>
      <w:r w:rsidRPr="00914CF9">
        <w:rPr>
          <w:rFonts w:hint="eastAsia"/>
        </w:rPr>
        <w:t>2</w:t>
      </w:r>
      <w:r w:rsidRPr="00914CF9">
        <w:t>萬元，照列。</w:t>
      </w:r>
    </w:p>
    <w:p w14:paraId="7F5F7B6C" w14:textId="77777777" w:rsidR="00421BB5" w:rsidRPr="00914CF9" w:rsidRDefault="00421BB5" w:rsidP="00421BB5">
      <w:pPr>
        <w:pStyle w:val="3-1"/>
        <w:ind w:left="1600" w:hanging="1120"/>
      </w:pPr>
      <w:r w:rsidRPr="00914CF9">
        <w:t>第3項　國史館</w:t>
      </w:r>
      <w:r w:rsidRPr="00914CF9">
        <w:rPr>
          <w:rFonts w:hint="eastAsia"/>
        </w:rPr>
        <w:t>62</w:t>
      </w:r>
      <w:r w:rsidRPr="00914CF9">
        <w:t>萬</w:t>
      </w:r>
      <w:r w:rsidRPr="00914CF9">
        <w:rPr>
          <w:rFonts w:hint="eastAsia"/>
        </w:rPr>
        <w:t>元</w:t>
      </w:r>
      <w:r w:rsidRPr="00914CF9">
        <w:t>，照列。</w:t>
      </w:r>
    </w:p>
    <w:p w14:paraId="0D0ED2D4" w14:textId="77777777" w:rsidR="00421BB5" w:rsidRPr="00914CF9" w:rsidRDefault="00421BB5" w:rsidP="00421BB5">
      <w:pPr>
        <w:pStyle w:val="3-1"/>
        <w:ind w:left="1600" w:hanging="1120"/>
      </w:pPr>
      <w:r w:rsidRPr="00914CF9">
        <w:t>第4項　國史館臺灣文獻館1</w:t>
      </w:r>
      <w:r w:rsidRPr="00914CF9">
        <w:rPr>
          <w:rFonts w:hint="eastAsia"/>
        </w:rPr>
        <w:t>1</w:t>
      </w:r>
      <w:r w:rsidRPr="00914CF9">
        <w:t>萬</w:t>
      </w:r>
      <w:r w:rsidRPr="00914CF9">
        <w:rPr>
          <w:rFonts w:hint="eastAsia"/>
        </w:rPr>
        <w:t>2千</w:t>
      </w:r>
      <w:r w:rsidRPr="00914CF9">
        <w:t>元，照列。</w:t>
      </w:r>
    </w:p>
    <w:p w14:paraId="0CBAB469" w14:textId="77777777" w:rsidR="00421BB5" w:rsidRPr="00914CF9" w:rsidRDefault="00421BB5" w:rsidP="00421BB5">
      <w:pPr>
        <w:pStyle w:val="3-"/>
        <w:ind w:left="240"/>
      </w:pPr>
      <w:r w:rsidRPr="00914CF9">
        <w:t>第7款　其他收入</w:t>
      </w:r>
    </w:p>
    <w:p w14:paraId="71A7C5C1" w14:textId="77777777" w:rsidR="00421BB5" w:rsidRPr="00914CF9" w:rsidRDefault="00421BB5" w:rsidP="00421BB5">
      <w:pPr>
        <w:pStyle w:val="3-1"/>
        <w:ind w:left="1600" w:hanging="1120"/>
      </w:pPr>
      <w:r w:rsidRPr="00914CF9">
        <w:t>第1項　總統府</w:t>
      </w:r>
      <w:r w:rsidRPr="00914CF9">
        <w:rPr>
          <w:rFonts w:hint="eastAsia"/>
        </w:rPr>
        <w:t>3</w:t>
      </w:r>
      <w:r w:rsidRPr="00914CF9">
        <w:t>1</w:t>
      </w:r>
      <w:r w:rsidRPr="00914CF9">
        <w:rPr>
          <w:rFonts w:hint="eastAsia"/>
        </w:rPr>
        <w:t>萬8千元</w:t>
      </w:r>
      <w:r w:rsidRPr="00914CF9">
        <w:t>，照列。</w:t>
      </w:r>
    </w:p>
    <w:p w14:paraId="4C5A845C" w14:textId="77777777" w:rsidR="00421BB5" w:rsidRPr="00914CF9" w:rsidRDefault="00421BB5" w:rsidP="00421BB5">
      <w:pPr>
        <w:pStyle w:val="3-1"/>
        <w:ind w:left="1600" w:hanging="1120"/>
      </w:pPr>
      <w:r w:rsidRPr="00914CF9">
        <w:t>第2項　國家安全會議</w:t>
      </w:r>
      <w:r w:rsidRPr="00914CF9">
        <w:rPr>
          <w:rFonts w:hint="eastAsia"/>
        </w:rPr>
        <w:t>1</w:t>
      </w:r>
      <w:r w:rsidRPr="00914CF9">
        <w:t>萬8</w:t>
      </w:r>
      <w:r w:rsidRPr="00914CF9">
        <w:rPr>
          <w:rFonts w:hint="eastAsia"/>
        </w:rPr>
        <w:t>千</w:t>
      </w:r>
      <w:r w:rsidRPr="00914CF9">
        <w:t>元，照列。</w:t>
      </w:r>
    </w:p>
    <w:p w14:paraId="47949204" w14:textId="77777777" w:rsidR="00421BB5" w:rsidRPr="00914CF9" w:rsidRDefault="00421BB5" w:rsidP="00421BB5">
      <w:pPr>
        <w:pStyle w:val="3-1"/>
        <w:ind w:left="1600" w:hanging="1120"/>
      </w:pPr>
      <w:r w:rsidRPr="00914CF9">
        <w:t>第3項　國史館38</w:t>
      </w:r>
      <w:r w:rsidRPr="00914CF9">
        <w:rPr>
          <w:rFonts w:hint="eastAsia"/>
        </w:rPr>
        <w:t>萬元，照列。</w:t>
      </w:r>
    </w:p>
    <w:p w14:paraId="29B28011" w14:textId="77777777" w:rsidR="00421BB5" w:rsidRPr="00914CF9" w:rsidRDefault="00421BB5" w:rsidP="00421BB5">
      <w:pPr>
        <w:pStyle w:val="3-1"/>
        <w:ind w:left="1600" w:hanging="1120"/>
      </w:pPr>
      <w:r w:rsidRPr="00914CF9">
        <w:t>第4項　國史館臺灣文獻館71</w:t>
      </w:r>
      <w:r w:rsidRPr="00914CF9">
        <w:rPr>
          <w:rFonts w:hint="eastAsia"/>
        </w:rPr>
        <w:t>萬3千元，照列</w:t>
      </w:r>
      <w:r w:rsidRPr="00914CF9">
        <w:t>。</w:t>
      </w:r>
    </w:p>
    <w:p w14:paraId="3FE7D322" w14:textId="77777777" w:rsidR="00421BB5" w:rsidRPr="00914CF9" w:rsidRDefault="00421BB5" w:rsidP="00421BB5">
      <w:pPr>
        <w:adjustRightInd w:val="0"/>
        <w:snapToGrid w:val="0"/>
        <w:spacing w:line="360" w:lineRule="exact"/>
        <w:ind w:leftChars="50" w:left="120"/>
        <w:rPr>
          <w:rFonts w:ascii="標楷體" w:eastAsia="標楷體" w:hAnsi="標楷體"/>
          <w:b/>
          <w:kern w:val="0"/>
          <w:sz w:val="28"/>
          <w:szCs w:val="28"/>
        </w:rPr>
      </w:pPr>
      <w:r w:rsidRPr="00914CF9">
        <w:rPr>
          <w:rFonts w:ascii="標楷體" w:eastAsia="標楷體" w:hAnsi="標楷體" w:hint="eastAsia"/>
          <w:b/>
          <w:kern w:val="0"/>
          <w:sz w:val="28"/>
          <w:szCs w:val="28"/>
        </w:rPr>
        <w:lastRenderedPageBreak/>
        <w:t>(二)</w:t>
      </w:r>
      <w:r w:rsidRPr="00914CF9">
        <w:rPr>
          <w:rFonts w:ascii="標楷體" w:eastAsia="標楷體" w:hAnsi="標楷體"/>
          <w:b/>
          <w:kern w:val="0"/>
          <w:sz w:val="28"/>
          <w:szCs w:val="28"/>
        </w:rPr>
        <w:t>歲出部分</w:t>
      </w:r>
    </w:p>
    <w:p w14:paraId="3B9B99B7" w14:textId="77777777" w:rsidR="00421BB5" w:rsidRPr="00914CF9" w:rsidRDefault="00421BB5" w:rsidP="00421BB5">
      <w:pPr>
        <w:adjustRightInd w:val="0"/>
        <w:snapToGrid w:val="0"/>
        <w:spacing w:line="360" w:lineRule="exact"/>
        <w:ind w:leftChars="100" w:left="240"/>
        <w:rPr>
          <w:rFonts w:ascii="標楷體" w:eastAsia="標楷體" w:hAnsi="標楷體"/>
          <w:kern w:val="0"/>
          <w:sz w:val="28"/>
          <w:szCs w:val="28"/>
        </w:rPr>
      </w:pPr>
      <w:r w:rsidRPr="00914CF9">
        <w:rPr>
          <w:rFonts w:ascii="標楷體" w:eastAsia="標楷體" w:hAnsi="標楷體"/>
          <w:kern w:val="0"/>
          <w:sz w:val="28"/>
          <w:szCs w:val="28"/>
        </w:rPr>
        <w:t>第</w:t>
      </w:r>
      <w:r w:rsidRPr="00914CF9">
        <w:rPr>
          <w:rFonts w:ascii="標楷體" w:eastAsia="標楷體" w:hAnsi="標楷體" w:hint="eastAsia"/>
          <w:kern w:val="0"/>
          <w:sz w:val="28"/>
          <w:szCs w:val="28"/>
        </w:rPr>
        <w:t>1</w:t>
      </w:r>
      <w:r w:rsidRPr="00914CF9">
        <w:rPr>
          <w:rFonts w:ascii="標楷體" w:eastAsia="標楷體" w:hAnsi="標楷體"/>
          <w:kern w:val="0"/>
          <w:sz w:val="28"/>
          <w:szCs w:val="28"/>
        </w:rPr>
        <w:t xml:space="preserve">款　</w:t>
      </w:r>
      <w:r w:rsidRPr="00914CF9">
        <w:rPr>
          <w:rFonts w:ascii="標楷體" w:eastAsia="標楷體" w:hAnsi="標楷體" w:hint="eastAsia"/>
          <w:kern w:val="0"/>
          <w:sz w:val="28"/>
          <w:szCs w:val="28"/>
        </w:rPr>
        <w:t>總統府</w:t>
      </w:r>
      <w:r w:rsidRPr="00914CF9">
        <w:rPr>
          <w:rFonts w:ascii="標楷體" w:eastAsia="標楷體" w:hAnsi="標楷體"/>
          <w:kern w:val="0"/>
          <w:sz w:val="28"/>
          <w:szCs w:val="28"/>
        </w:rPr>
        <w:t>主管</w:t>
      </w:r>
    </w:p>
    <w:p w14:paraId="5B64DD91" w14:textId="77777777" w:rsidR="00421BB5" w:rsidRPr="00914CF9" w:rsidRDefault="00421BB5" w:rsidP="00421BB5">
      <w:pPr>
        <w:adjustRightInd w:val="0"/>
        <w:snapToGrid w:val="0"/>
        <w:spacing w:line="360" w:lineRule="exact"/>
        <w:ind w:leftChars="200" w:left="1656" w:hangingChars="420" w:hanging="1176"/>
        <w:jc w:val="both"/>
        <w:rPr>
          <w:rFonts w:ascii="標楷體" w:eastAsia="標楷體" w:hAnsi="標楷體"/>
          <w:sz w:val="28"/>
          <w:szCs w:val="28"/>
        </w:rPr>
      </w:pPr>
      <w:r w:rsidRPr="00914CF9">
        <w:rPr>
          <w:rFonts w:ascii="標楷體" w:eastAsia="標楷體" w:hAnsi="標楷體" w:hint="eastAsia"/>
          <w:sz w:val="28"/>
          <w:szCs w:val="28"/>
        </w:rPr>
        <w:t>第1項</w:t>
      </w:r>
      <w:r w:rsidRPr="00914CF9">
        <w:rPr>
          <w:rFonts w:ascii="標楷體" w:eastAsia="標楷體" w:hAnsi="標楷體"/>
          <w:sz w:val="28"/>
          <w:szCs w:val="28"/>
        </w:rPr>
        <w:t xml:space="preserve">　</w:t>
      </w:r>
      <w:r w:rsidRPr="00914CF9">
        <w:rPr>
          <w:rFonts w:ascii="標楷體" w:eastAsia="標楷體" w:hAnsi="標楷體" w:hint="eastAsia"/>
          <w:kern w:val="0"/>
          <w:sz w:val="28"/>
          <w:szCs w:val="28"/>
        </w:rPr>
        <w:t>總統府</w:t>
      </w:r>
      <w:r w:rsidRPr="00914CF9">
        <w:rPr>
          <w:rFonts w:ascii="標楷體" w:eastAsia="標楷體" w:hAnsi="標楷體"/>
          <w:sz w:val="28"/>
          <w:szCs w:val="28"/>
        </w:rPr>
        <w:t>10億5</w:t>
      </w:r>
      <w:r w:rsidRPr="00914CF9">
        <w:rPr>
          <w:rFonts w:ascii="標楷體" w:eastAsia="標楷體" w:hAnsi="標楷體" w:hint="eastAsia"/>
          <w:sz w:val="28"/>
          <w:szCs w:val="28"/>
        </w:rPr>
        <w:t>,</w:t>
      </w:r>
      <w:r w:rsidRPr="00914CF9">
        <w:rPr>
          <w:rFonts w:ascii="標楷體" w:eastAsia="標楷體" w:hAnsi="標楷體"/>
          <w:sz w:val="28"/>
          <w:szCs w:val="28"/>
        </w:rPr>
        <w:t>110萬2</w:t>
      </w:r>
      <w:r w:rsidRPr="00914CF9">
        <w:rPr>
          <w:rFonts w:ascii="標楷體" w:eastAsia="標楷體" w:hAnsi="標楷體" w:hint="eastAsia"/>
          <w:sz w:val="28"/>
          <w:szCs w:val="28"/>
        </w:rPr>
        <w:t>千</w:t>
      </w:r>
      <w:r w:rsidRPr="00914CF9">
        <w:rPr>
          <w:rFonts w:ascii="標楷體" w:eastAsia="標楷體" w:hAnsi="標楷體"/>
          <w:sz w:val="28"/>
          <w:szCs w:val="28"/>
        </w:rPr>
        <w:t>元</w:t>
      </w:r>
      <w:r w:rsidRPr="00914CF9">
        <w:rPr>
          <w:rFonts w:ascii="標楷體" w:eastAsia="標楷體" w:hAnsi="標楷體" w:hint="eastAsia"/>
          <w:sz w:val="28"/>
          <w:szCs w:val="28"/>
        </w:rPr>
        <w:t>，照列。</w:t>
      </w:r>
    </w:p>
    <w:p w14:paraId="4794E695" w14:textId="77777777" w:rsidR="00421BB5" w:rsidRPr="00B240D5" w:rsidRDefault="00421BB5" w:rsidP="00421BB5">
      <w:pPr>
        <w:adjustRightInd w:val="0"/>
        <w:snapToGrid w:val="0"/>
        <w:spacing w:line="360" w:lineRule="exact"/>
        <w:ind w:firstLineChars="175" w:firstLine="490"/>
        <w:jc w:val="both"/>
        <w:rPr>
          <w:rFonts w:ascii="標楷體" w:eastAsia="標楷體" w:hAnsi="標楷體"/>
          <w:sz w:val="28"/>
          <w:szCs w:val="28"/>
          <w:shd w:val="clear" w:color="auto" w:fill="FFFFFF"/>
        </w:rPr>
      </w:pPr>
      <w:r w:rsidRPr="00914CF9">
        <w:rPr>
          <w:rFonts w:ascii="標楷體" w:eastAsia="標楷體" w:hAnsi="標楷體" w:hint="eastAsia"/>
          <w:b/>
          <w:kern w:val="0"/>
          <w:sz w:val="28"/>
          <w:szCs w:val="28"/>
        </w:rPr>
        <w:t>本項提案6案，保留，送院會處理：</w:t>
      </w:r>
    </w:p>
    <w:p w14:paraId="365EB2FA" w14:textId="77777777" w:rsidR="00421BB5" w:rsidRPr="00914CF9" w:rsidRDefault="00421BB5" w:rsidP="00421BB5">
      <w:pPr>
        <w:pStyle w:val="0-"/>
      </w:pPr>
      <w:r w:rsidRPr="00914CF9">
        <w:rPr>
          <w:rFonts w:hint="eastAsia"/>
        </w:rPr>
        <w:t>(一)查總統府112年度一般行政編列新台幣9億6673萬2千元，其主要工作包括加強內部管理，提供優良辦公環境，維護古蹟建物安全，提高行政效率，促進業務革新，強化資訊安全，確保國家元首、副元首之安全。然查總統府於112年度起將編列4年度資訊資安基礎環境創新升級計畫預算，1</w:t>
      </w:r>
      <w:r w:rsidRPr="00914CF9">
        <w:t>12</w:t>
      </w:r>
      <w:r w:rsidRPr="00914CF9">
        <w:rPr>
          <w:rFonts w:hint="eastAsia"/>
        </w:rPr>
        <w:t>年度預算數為3300萬元。而總統府近年均將「健全資安防護能力、建構可信賴優質安全的數位服務」列為年度施政目標，近三年來每年投入之資安預算均高達3000餘萬元，此新興計畫與原辦理之資安防護事項關連性為何？彼此間是否能相互配合，以收綜效？爰提案減列</w:t>
      </w:r>
      <w:r w:rsidRPr="00914CF9">
        <w:t>500</w:t>
      </w:r>
      <w:r w:rsidRPr="00914CF9">
        <w:rPr>
          <w:rFonts w:hint="eastAsia"/>
        </w:rPr>
        <w:t>萬元。</w:t>
      </w:r>
    </w:p>
    <w:p w14:paraId="6A04FA48" w14:textId="77777777" w:rsidR="00421BB5" w:rsidRPr="00B240D5" w:rsidRDefault="00421BB5" w:rsidP="00421BB5">
      <w:pPr>
        <w:spacing w:line="360" w:lineRule="exact"/>
        <w:ind w:leftChars="1400" w:left="4620" w:hangingChars="450" w:hanging="1260"/>
        <w:jc w:val="both"/>
        <w:rPr>
          <w:rFonts w:ascii="標楷體" w:eastAsia="標楷體" w:hAnsi="標楷體"/>
          <w:sz w:val="28"/>
          <w:szCs w:val="28"/>
          <w:shd w:val="clear" w:color="auto" w:fill="FFFFFF"/>
        </w:rPr>
      </w:pPr>
      <w:r w:rsidRPr="00B240D5">
        <w:rPr>
          <w:rFonts w:ascii="標楷體" w:eastAsia="標楷體" w:hAnsi="標楷體"/>
          <w:sz w:val="28"/>
          <w:szCs w:val="28"/>
          <w:shd w:val="clear" w:color="auto" w:fill="FFFFFF"/>
        </w:rPr>
        <w:t>提案人：</w:t>
      </w:r>
      <w:r w:rsidRPr="00B240D5">
        <w:rPr>
          <w:rFonts w:ascii="標楷體" w:eastAsia="標楷體" w:hAnsi="標楷體" w:hint="eastAsia"/>
          <w:sz w:val="28"/>
          <w:szCs w:val="28"/>
          <w:shd w:val="clear" w:color="auto" w:fill="FFFFFF"/>
        </w:rPr>
        <w:t>陳玉珍</w:t>
      </w:r>
    </w:p>
    <w:p w14:paraId="5C0297B6" w14:textId="77777777" w:rsidR="00421BB5" w:rsidRPr="00B240D5" w:rsidRDefault="00421BB5" w:rsidP="00421BB5">
      <w:pPr>
        <w:pStyle w:val="2-1"/>
        <w:rPr>
          <w:shd w:val="clear" w:color="auto" w:fill="FFFFFF"/>
        </w:rPr>
      </w:pPr>
      <w:r w:rsidRPr="00B240D5">
        <w:rPr>
          <w:rFonts w:hint="eastAsia"/>
          <w:shd w:val="clear" w:color="auto" w:fill="FFFFFF"/>
        </w:rPr>
        <w:t xml:space="preserve">連署人：游毓蘭 曾銘宗 </w:t>
      </w:r>
    </w:p>
    <w:p w14:paraId="6A830F1C" w14:textId="77777777" w:rsidR="00421BB5" w:rsidRPr="00914CF9" w:rsidRDefault="00421BB5" w:rsidP="00421BB5">
      <w:pPr>
        <w:pStyle w:val="0-"/>
      </w:pPr>
      <w:r w:rsidRPr="00914CF9">
        <w:rPr>
          <w:rFonts w:hint="eastAsia"/>
        </w:rPr>
        <w:t>(二)總統府112年度單位預算，「國務支出－一般行政－基本行政工作維持」編列200</w:t>
      </w:r>
      <w:r w:rsidRPr="00914CF9">
        <w:t>,</w:t>
      </w:r>
      <w:r w:rsidRPr="00914CF9">
        <w:rPr>
          <w:rFonts w:hint="eastAsia"/>
        </w:rPr>
        <w:t>611千元。111年4月起我國疫情再度升溫，應是全民共同抗疫時刻。蔡總統召開防疫策略會議，卻僅邀民進黨籍兩位直轄市長，刻意忽略非民進黨籍、人口數更多、疫情更嚴峻、更需要中央政府協助的縣市首長意見！非民進黨籍縣市首長只能大聲疾呼，要求中央政府儘速訂定具體執行指引，希望減輕本土確診者暴增對醫療體系的壓力，但蔡政府卻無動於衷，還在總統府防疫策略會議上刻意排擠其他非綠營縣市首長的聲音與建議，讓多數縣市首長在防疫工作上遇到的困難及希望中央政府協助處理的問題，難以在總統府層級的防疫策略會議上具體反映，令各界質疑這樣的防疫策略會議結論是看顏色防疫，無法有效控制國內疫情。蔡總統召開防疫策略會議應廣納各縣市首長意見，中央政府與地方政府攜手協力，才能讓國內疫情獲得有效控制，儘速脫離疫情困境，爰凍結10%，俟總統府向司法及法制委員會提出相關說明報告並經同意後，始得動支。是否有當？敬請公決。</w:t>
      </w:r>
    </w:p>
    <w:p w14:paraId="40E797E3" w14:textId="77777777" w:rsidR="00421BB5" w:rsidRPr="00B240D5" w:rsidRDefault="00421BB5" w:rsidP="00421BB5">
      <w:pPr>
        <w:pStyle w:val="2-1"/>
        <w:rPr>
          <w:shd w:val="clear" w:color="auto" w:fill="FFFFFF"/>
        </w:rPr>
      </w:pPr>
      <w:r w:rsidRPr="00B240D5">
        <w:rPr>
          <w:shd w:val="clear" w:color="auto" w:fill="FFFFFF"/>
        </w:rPr>
        <w:t>提案人：</w:t>
      </w:r>
      <w:r w:rsidRPr="00B240D5">
        <w:rPr>
          <w:rFonts w:hint="eastAsia"/>
          <w:shd w:val="clear" w:color="auto" w:fill="FFFFFF"/>
        </w:rPr>
        <w:t>曾銘宗 林思銘 陳以信</w:t>
      </w:r>
    </w:p>
    <w:p w14:paraId="0FBABCD4" w14:textId="77777777" w:rsidR="00421BB5" w:rsidRPr="00914CF9" w:rsidRDefault="00421BB5" w:rsidP="00421BB5">
      <w:pPr>
        <w:pStyle w:val="0-"/>
      </w:pPr>
      <w:r w:rsidRPr="00914CF9">
        <w:rPr>
          <w:rFonts w:hint="eastAsia"/>
        </w:rPr>
        <w:t>(三)總統府112年度單位預算，「國務支出－國務機要」30,000千元。依「公務人員行政中立法」規定，公務員應忠實推行政府政策。蔡總統多次在總統官邸拍板民進黨選務人事，政黨政策和政府政策早已模糊不清，包括蔡總統在總統官邸會議獨排眾議敲定新竹市前市長林智堅參選桃園市長，之後林智堅陷入論文抄襲案爭議，民進黨臨時在總統官邸召開選對會因應，總統官邸儼然變成協調派系事務的政治密室，黨政不分已嚴重違</w:t>
      </w:r>
      <w:r w:rsidRPr="00914CF9">
        <w:rPr>
          <w:rFonts w:hint="eastAsia"/>
        </w:rPr>
        <w:lastRenderedPageBreak/>
        <w:t>反「公務人員行政中立法」規定，爰凍結10%，俟總統府向司法及法制委員會提出相關說明報告並經同意後，始得動支。是否有當？敬請公決。</w:t>
      </w:r>
    </w:p>
    <w:p w14:paraId="09EAD0EF" w14:textId="77777777" w:rsidR="00421BB5" w:rsidRPr="00B240D5" w:rsidRDefault="00421BB5" w:rsidP="00421BB5">
      <w:pPr>
        <w:pStyle w:val="2-1"/>
        <w:rPr>
          <w:shd w:val="clear" w:color="auto" w:fill="FFFFFF"/>
        </w:rPr>
      </w:pPr>
      <w:r w:rsidRPr="00B240D5">
        <w:rPr>
          <w:shd w:val="clear" w:color="auto" w:fill="FFFFFF"/>
        </w:rPr>
        <w:t>提案人：</w:t>
      </w:r>
      <w:r w:rsidRPr="00B240D5">
        <w:rPr>
          <w:rFonts w:hint="eastAsia"/>
          <w:shd w:val="clear" w:color="auto" w:fill="FFFFFF"/>
        </w:rPr>
        <w:t>曾銘宗 林思銘 陳以信</w:t>
      </w:r>
    </w:p>
    <w:p w14:paraId="105E11FB" w14:textId="77777777" w:rsidR="00421BB5" w:rsidRPr="00914CF9" w:rsidRDefault="00421BB5" w:rsidP="00421BB5">
      <w:pPr>
        <w:pStyle w:val="0-"/>
      </w:pPr>
      <w:r w:rsidRPr="00914CF9">
        <w:rPr>
          <w:rFonts w:hint="eastAsia"/>
        </w:rPr>
        <w:t>(四)總統府112年度單位預算，「國務支出－研究發展－國家發展研究及諮詢－國政規劃與諮詢」4</w:t>
      </w:r>
      <w:r w:rsidRPr="00914CF9">
        <w:t>,</w:t>
      </w:r>
      <w:r w:rsidRPr="00914CF9">
        <w:rPr>
          <w:rFonts w:hint="eastAsia"/>
        </w:rPr>
        <w:t>134千元。106年12月29日蔡總統表示「107年會終結青年低薪，鼓勵企業加薪，不改善對不起年輕人。」，但目前低薪情況依然非常嚴重！110年受僱者每月主要工作經常性收入，未滿3萬元達27%、未滿4萬元高達62%，110年薪資更是負成長0.04%，111年1月至6月薪資負成長0.1%，低薪情況更為嚴重！另外，各國薪資情形，109年我國每人每月薪資為54,160元、香港為60,116元、日本為81,856元、韓國為82,048元、新加坡為111,996元，我國每人每月薪資連新加坡的一半都不到！蔡政府一直強調經濟成長非常好，但經濟成長結果主要是由大股東、企業家享有，81年受僱人員報酬占GDP比率為51.1%，而109年受僱人員報酬占GDP比率降為45%，經濟成長果實勞工享有的部分越來越少！國內長期低薪問題迫使許多年輕人遠走他鄉工作，近期發生許多海外打工遭詐騙、殘害的情況，政府應提出具體辦法，徹底解決低薪問題，爰凍結10%，俟總統府向司法及法制委員會提出相關說明報告並經同意後，始得動支。是否有當？敬請公決。</w:t>
      </w:r>
    </w:p>
    <w:p w14:paraId="03E483A8" w14:textId="77777777" w:rsidR="00421BB5" w:rsidRPr="00B240D5" w:rsidRDefault="00421BB5" w:rsidP="00421BB5">
      <w:pPr>
        <w:pStyle w:val="2-1"/>
        <w:rPr>
          <w:shd w:val="clear" w:color="auto" w:fill="FFFFFF"/>
        </w:rPr>
      </w:pPr>
      <w:r w:rsidRPr="00B240D5">
        <w:rPr>
          <w:shd w:val="clear" w:color="auto" w:fill="FFFFFF"/>
        </w:rPr>
        <w:t>提案人：</w:t>
      </w:r>
      <w:r w:rsidRPr="00B240D5">
        <w:rPr>
          <w:rFonts w:hint="eastAsia"/>
          <w:shd w:val="clear" w:color="auto" w:fill="FFFFFF"/>
        </w:rPr>
        <w:t>曾銘宗 林思銘 陳以信</w:t>
      </w:r>
    </w:p>
    <w:p w14:paraId="709B83B8" w14:textId="77777777" w:rsidR="00421BB5" w:rsidRPr="00914CF9" w:rsidRDefault="00421BB5" w:rsidP="00421BB5">
      <w:pPr>
        <w:pStyle w:val="0-"/>
      </w:pPr>
      <w:r w:rsidRPr="00914CF9">
        <w:rPr>
          <w:rFonts w:hint="eastAsia"/>
        </w:rPr>
        <w:t>(五)總統府112年度單位預算，「國務支出－研究發展－國家發展研究及諮詢－國政建言」967千元。蔡總統就職6周年，媒體票選當年代表字，2016年是「苦」、2017年是「茫」、2018年是「翻」、2019年是「亂」、2020年是「疫」，2021年是「宅」，代表這6年來人民不快樂也不幸福！以防疫為例，上百萬人民確診，上千名國人死亡，在疫情惡化，全民期待政府出手幫忙時，赫然發現缺疫苗、缺藥品、缺快篩，原來政府宣稱超前部署，只是大內宣，只是形容詞，並未真正落實超前部署；缺電問題更加嚴重，政府一再宣稱供電穩定，絕對不會缺電，事實上蔡政府執政6年來，發生過6次大停電：2017年8月15日大潭電廠發生6號機跳機，影響590萬戶、2021年5月13日興達電廠跳機，影響145萬戶、517興達電廠跳機，影響100萬戶、1212萬隆變電所發生火災，影響30萬戶、2022年3月3日興達電廠開關故障，影響549萬戶，停電頻率越來越高，範圍越來越大；依國民黨智庫統計，2018年每戶停電次數為0.22次、2019年為0.20次、2020年為0.23次，2021年為1.097次，等於是每戶都有停電1次的經驗，是過去的5</w:t>
      </w:r>
      <w:r w:rsidRPr="00914CF9">
        <w:rPr>
          <w:rFonts w:hint="eastAsia"/>
        </w:rPr>
        <w:lastRenderedPageBreak/>
        <w:t>倍之多。每戶停電時間統計，2018年到2020年均為16分鐘，2021年則高達1小時；外交方面，蔡總統執政前有22個邦交國，執政6年來斷交8個邦交國；另以經貿為由，開放萊豬、核食進口來台，犧牲全民健康，爰凍結10%，俟總統府向司法及法制委員會提出相關說明報告並經同意後，始得動支。是否有當？敬請公決。</w:t>
      </w:r>
    </w:p>
    <w:p w14:paraId="191912D2" w14:textId="77777777" w:rsidR="00421BB5" w:rsidRPr="00B240D5" w:rsidRDefault="00421BB5" w:rsidP="00421BB5">
      <w:pPr>
        <w:pStyle w:val="2-1"/>
        <w:rPr>
          <w:shd w:val="clear" w:color="auto" w:fill="FFFFFF"/>
        </w:rPr>
      </w:pPr>
      <w:r w:rsidRPr="00B240D5">
        <w:rPr>
          <w:shd w:val="clear" w:color="auto" w:fill="FFFFFF"/>
        </w:rPr>
        <w:t>提案人：</w:t>
      </w:r>
      <w:r w:rsidRPr="00B240D5">
        <w:rPr>
          <w:rFonts w:hint="eastAsia"/>
          <w:shd w:val="clear" w:color="auto" w:fill="FFFFFF"/>
        </w:rPr>
        <w:t>曾銘宗 林思銘 陳以信</w:t>
      </w:r>
    </w:p>
    <w:p w14:paraId="71F3C832" w14:textId="77777777" w:rsidR="00421BB5" w:rsidRPr="00914CF9" w:rsidRDefault="00421BB5" w:rsidP="00421BB5">
      <w:pPr>
        <w:pStyle w:val="0-"/>
      </w:pPr>
      <w:r w:rsidRPr="00914CF9">
        <w:rPr>
          <w:rFonts w:hint="eastAsia"/>
        </w:rPr>
        <w:t>(六)總統府112年度單位預算，「國務支出－新聞發布」編列6</w:t>
      </w:r>
      <w:r w:rsidRPr="00914CF9">
        <w:t>,</w:t>
      </w:r>
      <w:r w:rsidRPr="00914CF9">
        <w:rPr>
          <w:rFonts w:hint="eastAsia"/>
        </w:rPr>
        <w:t>699千元。政府防疫政策落後部署，讓人民深陷缺口罩、缺疫苗、缺快篩等痛苦，111年4月起疫情再度爆發，許多父母帶著孩子連夜排隊搶打兒童疫苗，截至5月28日高達10位孩子染疫死亡。「很多小孩都走了」這是事實，不是假新聞！行政院長蘇貞昌竟喝斥「這種不實的謠言，內容相近、類似，都有相近的團體，有很明顯的操作痕跡，不法、非常不宜」、「會加以究責查辦」；前衛福部長陳時中強調依「傳染病防治法」可開罰300萬元或3年以下有期徒刑、拘役；刑事局也聲稱不排除約談當事人到案說明。人民說實話，政府卻企圖移送法辦、箝制人民言論自由。6月6日依指揮中心統計，整體「兒童接種率」僅有60.5%，蔡總統卻在臉書表示「目前我們5</w:t>
      </w:r>
      <w:r w:rsidRPr="00914CF9">
        <w:t>-</w:t>
      </w:r>
      <w:r w:rsidRPr="00914CF9">
        <w:rPr>
          <w:rFonts w:hint="eastAsia"/>
        </w:rPr>
        <w:t>11歲兒童疫苗涵蓋率74.2%，且持續上升中。與國際相比，台灣兒童疫苗覆蓋率算非常的高。」，涉及政策訊息不實，炒作兒童疫苗接種率，爰凍結10%，俟總統府向司法及法制委員會提出相關說明報告並經同意後，始得動支。是否有當？敬請公決。</w:t>
      </w:r>
    </w:p>
    <w:p w14:paraId="30541210" w14:textId="77777777" w:rsidR="00421BB5" w:rsidRPr="00914CF9" w:rsidRDefault="00421BB5" w:rsidP="00421BB5">
      <w:pPr>
        <w:pStyle w:val="2-1"/>
      </w:pPr>
      <w:r w:rsidRPr="00B240D5">
        <w:rPr>
          <w:shd w:val="clear" w:color="auto" w:fill="FFFFFF"/>
        </w:rPr>
        <w:t>提案人：</w:t>
      </w:r>
      <w:r w:rsidRPr="00B240D5">
        <w:rPr>
          <w:rFonts w:hint="eastAsia"/>
          <w:shd w:val="clear" w:color="auto" w:fill="FFFFFF"/>
        </w:rPr>
        <w:t>曾銘宗 林思銘 陳以信</w:t>
      </w:r>
    </w:p>
    <w:p w14:paraId="2445B8DF" w14:textId="77777777" w:rsidR="00421BB5" w:rsidRPr="00914CF9" w:rsidRDefault="00421BB5" w:rsidP="00421BB5">
      <w:pPr>
        <w:pStyle w:val="2-1"/>
        <w:ind w:leftChars="0" w:left="0" w:firstLineChars="160" w:firstLine="448"/>
        <w:rPr>
          <w:b/>
          <w:kern w:val="0"/>
        </w:rPr>
      </w:pPr>
      <w:r w:rsidRPr="00914CF9">
        <w:rPr>
          <w:rFonts w:hint="eastAsia"/>
          <w:b/>
          <w:kern w:val="0"/>
        </w:rPr>
        <w:t>本項通過決議10項：</w:t>
      </w:r>
    </w:p>
    <w:p w14:paraId="21D1FA50" w14:textId="77777777" w:rsidR="00421BB5" w:rsidRPr="00914CF9" w:rsidRDefault="00421BB5" w:rsidP="00421BB5">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(一)112年度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歲出預算第1目「一般行政」編列</w:t>
      </w:r>
      <w:r w:rsidRPr="00914CF9">
        <w:rPr>
          <w:rFonts w:ascii="標楷體" w:eastAsia="標楷體" w:hAnsi="標楷體"/>
          <w:spacing w:val="-4"/>
          <w:sz w:val="28"/>
          <w:szCs w:val="28"/>
        </w:rPr>
        <w:t>9</w:t>
      </w:r>
      <w:r w:rsidRPr="00914CF9">
        <w:rPr>
          <w:rFonts w:ascii="標楷體" w:eastAsia="標楷體" w:hAnsi="標楷體" w:hint="eastAsia"/>
          <w:spacing w:val="-4"/>
          <w:sz w:val="28"/>
          <w:szCs w:val="28"/>
        </w:rPr>
        <w:t>億6,673萬2千元</w:t>
      </w:r>
      <w:r w:rsidRPr="00914CF9">
        <w:rPr>
          <w:rFonts w:ascii="標楷體" w:eastAsia="標楷體" w:hAnsi="標楷體" w:hint="eastAsia"/>
          <w:kern w:val="0"/>
          <w:sz w:val="28"/>
          <w:szCs w:val="28"/>
        </w:rPr>
        <w:t>，凍結540萬元，俟向立法院司法及法制委員會提出書面報告後，始得動支。</w:t>
      </w:r>
    </w:p>
    <w:p w14:paraId="0F7C847D" w14:textId="77777777" w:rsidR="00421BB5" w:rsidRPr="00914CF9" w:rsidRDefault="00421BB5" w:rsidP="00421BB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914CF9">
        <w:rPr>
          <w:rFonts w:ascii="標楷體" w:eastAsia="標楷體" w:hAnsi="標楷體" w:hint="eastAsia"/>
          <w:sz w:val="28"/>
          <w:szCs w:val="28"/>
          <w:shd w:val="clear" w:color="auto" w:fill="FFFFFF"/>
        </w:rPr>
        <w:t>提案人：林思銘 陳以信</w:t>
      </w:r>
      <w:r w:rsidRPr="00914CF9">
        <w:rPr>
          <w:rFonts w:ascii="標楷體" w:eastAsia="標楷體" w:hAnsi="標楷體"/>
          <w:sz w:val="28"/>
          <w:szCs w:val="28"/>
          <w:shd w:val="clear" w:color="auto" w:fill="FFFFFF"/>
        </w:rPr>
        <w:t xml:space="preserve"> </w:t>
      </w:r>
      <w:r w:rsidRPr="00914CF9">
        <w:rPr>
          <w:rFonts w:ascii="標楷體" w:eastAsia="標楷體" w:hAnsi="標楷體" w:hint="eastAsia"/>
          <w:sz w:val="28"/>
          <w:szCs w:val="28"/>
          <w:shd w:val="clear" w:color="auto" w:fill="FFFFFF"/>
        </w:rPr>
        <w:t xml:space="preserve">劉建國 黃世杰 江永昌 陳歐珀 </w:t>
      </w:r>
    </w:p>
    <w:p w14:paraId="36F37671" w14:textId="77777777" w:rsidR="00421BB5" w:rsidRPr="00914CF9" w:rsidRDefault="00421BB5" w:rsidP="00421BB5">
      <w:pPr>
        <w:pStyle w:val="2-1"/>
        <w:rPr>
          <w:shd w:val="clear" w:color="auto" w:fill="FFFFFF"/>
        </w:rPr>
      </w:pPr>
      <w:r w:rsidRPr="00914CF9">
        <w:rPr>
          <w:rFonts w:hint="eastAsia"/>
          <w:shd w:val="clear" w:color="auto" w:fill="FFFFFF"/>
        </w:rPr>
        <w:t xml:space="preserve">連署人：游毓蘭 </w:t>
      </w:r>
    </w:p>
    <w:p w14:paraId="3513AE62" w14:textId="77777777" w:rsidR="00421BB5" w:rsidRPr="00914CF9" w:rsidRDefault="00421BB5" w:rsidP="00421BB5">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(二)112年度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歲出預算第4目「研究發展」編列</w:t>
      </w:r>
      <w:r w:rsidRPr="00914CF9">
        <w:rPr>
          <w:rFonts w:ascii="標楷體" w:eastAsia="標楷體" w:hAnsi="標楷體" w:hint="eastAsia"/>
          <w:spacing w:val="-4"/>
          <w:sz w:val="28"/>
          <w:szCs w:val="28"/>
        </w:rPr>
        <w:t>510萬1千元</w:t>
      </w:r>
      <w:r w:rsidRPr="00914CF9">
        <w:rPr>
          <w:rFonts w:ascii="標楷體" w:eastAsia="標楷體" w:hAnsi="標楷體" w:hint="eastAsia"/>
          <w:kern w:val="0"/>
          <w:sz w:val="28"/>
          <w:szCs w:val="28"/>
        </w:rPr>
        <w:t>，凍結50萬元，俟向立法院司法及法制委員會提出書面報告後，始得動支。</w:t>
      </w:r>
    </w:p>
    <w:p w14:paraId="4F15BD91" w14:textId="77777777" w:rsidR="00421BB5" w:rsidRPr="00914CF9" w:rsidRDefault="00421BB5" w:rsidP="00421BB5">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提案人：游毓蘭</w:t>
      </w:r>
      <w:r w:rsidRPr="00914CF9">
        <w:rPr>
          <w:rFonts w:ascii="標楷體" w:eastAsia="標楷體" w:hAnsi="標楷體"/>
          <w:sz w:val="28"/>
          <w:szCs w:val="28"/>
        </w:rPr>
        <w:t xml:space="preserve"> </w:t>
      </w:r>
      <w:r w:rsidRPr="00914CF9">
        <w:rPr>
          <w:rFonts w:ascii="標楷體" w:eastAsia="標楷體" w:hAnsi="標楷體" w:hint="eastAsia"/>
          <w:sz w:val="28"/>
          <w:szCs w:val="28"/>
        </w:rPr>
        <w:t>曾銘宗 陳玉珍</w:t>
      </w:r>
    </w:p>
    <w:p w14:paraId="101646F6" w14:textId="77777777" w:rsidR="00421BB5" w:rsidRPr="00914CF9" w:rsidRDefault="00421BB5" w:rsidP="00421BB5">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(三)112年度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歲出預算第5目「新聞發布」編列</w:t>
      </w:r>
      <w:r w:rsidRPr="00914CF9">
        <w:rPr>
          <w:rFonts w:ascii="標楷體" w:eastAsia="標楷體" w:hAnsi="標楷體" w:hint="eastAsia"/>
          <w:spacing w:val="-4"/>
          <w:sz w:val="28"/>
          <w:szCs w:val="28"/>
        </w:rPr>
        <w:t>669萬</w:t>
      </w:r>
      <w:r w:rsidRPr="00914CF9">
        <w:rPr>
          <w:rFonts w:ascii="標楷體" w:eastAsia="標楷體" w:hAnsi="標楷體"/>
          <w:spacing w:val="-4"/>
          <w:sz w:val="28"/>
          <w:szCs w:val="28"/>
        </w:rPr>
        <w:t>9</w:t>
      </w:r>
      <w:r w:rsidRPr="00914CF9">
        <w:rPr>
          <w:rFonts w:ascii="標楷體" w:eastAsia="標楷體" w:hAnsi="標楷體" w:hint="eastAsia"/>
          <w:spacing w:val="-4"/>
          <w:sz w:val="28"/>
          <w:szCs w:val="28"/>
        </w:rPr>
        <w:t>千元</w:t>
      </w:r>
      <w:r w:rsidRPr="00914CF9">
        <w:rPr>
          <w:rFonts w:ascii="標楷體" w:eastAsia="標楷體" w:hAnsi="標楷體" w:hint="eastAsia"/>
          <w:kern w:val="0"/>
          <w:sz w:val="28"/>
          <w:szCs w:val="28"/>
        </w:rPr>
        <w:t>，凍結50萬元，俟向立法院司法及法制委員會提出書面報告後，始得動支。</w:t>
      </w:r>
    </w:p>
    <w:p w14:paraId="41ACF255" w14:textId="77777777" w:rsidR="00421BB5" w:rsidRPr="00914CF9" w:rsidRDefault="00421BB5" w:rsidP="00421BB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914CF9">
        <w:rPr>
          <w:rFonts w:ascii="標楷體" w:eastAsia="標楷體" w:hAnsi="標楷體" w:hint="eastAsia"/>
          <w:kern w:val="0"/>
          <w:sz w:val="28"/>
          <w:szCs w:val="28"/>
        </w:rPr>
        <w:t>提案人：游毓蘭</w:t>
      </w:r>
      <w:r w:rsidRPr="00914CF9">
        <w:rPr>
          <w:rFonts w:ascii="標楷體" w:eastAsia="標楷體" w:hAnsi="標楷體" w:hint="eastAsia"/>
          <w:sz w:val="28"/>
          <w:szCs w:val="28"/>
          <w:shd w:val="clear" w:color="auto" w:fill="FFFFFF"/>
        </w:rPr>
        <w:t xml:space="preserve"> 江永昌 曾銘宗 陳玉珍 陳歐珀 黃世杰</w:t>
      </w:r>
    </w:p>
    <w:p w14:paraId="22D96BBD" w14:textId="77777777" w:rsidR="00421BB5" w:rsidRPr="00914CF9" w:rsidRDefault="00421BB5" w:rsidP="00421BB5">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lastRenderedPageBreak/>
        <w:t>(四)112年度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歲出預算第7目「公報編印及印信勳章鑄造」編列430萬5千元，凍結5萬元，俟向立法院司法及法制委員會提出書面報告後，始得動支。</w:t>
      </w:r>
    </w:p>
    <w:p w14:paraId="0A0708BB" w14:textId="77777777" w:rsidR="00421BB5" w:rsidRPr="00914CF9" w:rsidRDefault="00421BB5" w:rsidP="00421BB5">
      <w:pPr>
        <w:spacing w:line="360" w:lineRule="exact"/>
        <w:ind w:leftChars="1400" w:left="4620" w:hangingChars="450" w:hanging="1260"/>
        <w:jc w:val="both"/>
        <w:rPr>
          <w:rFonts w:ascii="標楷體" w:eastAsia="標楷體" w:hAnsi="標楷體"/>
          <w:kern w:val="0"/>
          <w:sz w:val="28"/>
          <w:szCs w:val="28"/>
        </w:rPr>
      </w:pPr>
      <w:r w:rsidRPr="00914CF9">
        <w:rPr>
          <w:rFonts w:ascii="標楷體" w:eastAsia="標楷體" w:hAnsi="標楷體" w:hint="eastAsia"/>
          <w:kern w:val="0"/>
          <w:sz w:val="28"/>
          <w:szCs w:val="28"/>
        </w:rPr>
        <w:t>提案人：黃世杰 陳歐珀 江永昌</w:t>
      </w:r>
    </w:p>
    <w:p w14:paraId="4AE6A3F5" w14:textId="77777777" w:rsidR="00421BB5" w:rsidRPr="00914CF9" w:rsidRDefault="00421BB5" w:rsidP="00421BB5">
      <w:pPr>
        <w:pStyle w:val="0-"/>
      </w:pPr>
      <w:r w:rsidRPr="00914CF9">
        <w:rPr>
          <w:rFonts w:hint="eastAsia"/>
        </w:rPr>
        <w:t>(五)總統府預算員額數為529人，惟自107年至今，決算實際員額數僅約460至</w:t>
      </w:r>
      <w:r w:rsidRPr="00914CF9">
        <w:t>470</w:t>
      </w:r>
      <w:r w:rsidRPr="00914CF9">
        <w:rPr>
          <w:rFonts w:hint="eastAsia"/>
        </w:rPr>
        <w:t>人，不足額約10%；近兩年預算賸餘數亦逾1</w:t>
      </w:r>
      <w:r w:rsidRPr="00914CF9">
        <w:t>,500</w:t>
      </w:r>
      <w:r w:rsidRPr="00914CF9">
        <w:rPr>
          <w:rFonts w:hint="eastAsia"/>
        </w:rPr>
        <w:t>萬元以上。有鑑於行政院人事行政總處自108年起精減中央政府機關總員額比率已達8.9%，總統府之預算員額在多年來無人力需求亦可維持業務正常運作之情形下，似有員額精簡空間。爰請總統府向立法院司法及法制委員會提出書面報告。</w:t>
      </w:r>
    </w:p>
    <w:p w14:paraId="0D2CC66C" w14:textId="77777777" w:rsidR="00421BB5" w:rsidRPr="00914CF9" w:rsidRDefault="00421BB5" w:rsidP="00421BB5">
      <w:pPr>
        <w:pStyle w:val="2-1"/>
      </w:pPr>
      <w:r w:rsidRPr="00914CF9">
        <w:rPr>
          <w:rFonts w:hint="eastAsia"/>
        </w:rPr>
        <w:t>提案人：陳歐珀 江永昌 黃世杰</w:t>
      </w:r>
    </w:p>
    <w:p w14:paraId="09C4DD9A" w14:textId="77777777" w:rsidR="00421BB5" w:rsidRPr="00914CF9" w:rsidRDefault="00421BB5" w:rsidP="00421BB5">
      <w:pPr>
        <w:pStyle w:val="0-"/>
        <w:ind w:rightChars="-18" w:right="-43"/>
      </w:pPr>
      <w:r w:rsidRPr="00914CF9">
        <w:t>(</w:t>
      </w:r>
      <w:r w:rsidRPr="00914CF9">
        <w:rPr>
          <w:rFonts w:hint="eastAsia"/>
        </w:rPr>
        <w:t>六</w:t>
      </w:r>
      <w:r w:rsidRPr="00914CF9">
        <w:t>)</w:t>
      </w:r>
      <w:r w:rsidRPr="00914CF9">
        <w:rPr>
          <w:rFonts w:hint="eastAsia"/>
        </w:rPr>
        <w:t>勞動部推動「員工協助方案」(Employee</w:t>
      </w:r>
      <w:r w:rsidRPr="00914CF9">
        <w:t xml:space="preserve"> </w:t>
      </w:r>
      <w:r w:rsidRPr="00914CF9">
        <w:rPr>
          <w:rFonts w:hint="eastAsia"/>
        </w:rPr>
        <w:t>Assistance Programs,簡稱EAPs)是企業透過系統化的專業服務，規劃方案與提供資源，以預防及解決可能導致員工工作生產力下降的組織與個人議題，使員工能以健康的身心投入工作，讓企業提升競爭力，塑造勞資雙贏。</w:t>
      </w:r>
    </w:p>
    <w:p w14:paraId="6076118B" w14:textId="77777777" w:rsidR="00421BB5" w:rsidRPr="00914CF9" w:rsidRDefault="00421BB5" w:rsidP="00421BB5">
      <w:pPr>
        <w:pStyle w:val="0-2"/>
      </w:pPr>
      <w:r w:rsidRPr="00914CF9">
        <w:rPr>
          <w:rFonts w:hint="eastAsia"/>
        </w:rPr>
        <w:t>但查總統府112年度預算，並未編列相關預算，顯現總統府並未重視「員工協助方案」，員工協助方案是針對員工身心靈健康重要一方案，總統府作為台灣政府最高機關，應做為表率，妥善落實員工協助方案。</w:t>
      </w:r>
    </w:p>
    <w:p w14:paraId="2C8BEEF8" w14:textId="77777777" w:rsidR="00421BB5" w:rsidRPr="00914CF9" w:rsidRDefault="00421BB5" w:rsidP="00421BB5">
      <w:pPr>
        <w:pStyle w:val="2-1"/>
      </w:pPr>
      <w:r w:rsidRPr="00914CF9">
        <w:rPr>
          <w:rFonts w:hint="eastAsia"/>
        </w:rPr>
        <w:t>提案人：劉建國 黃世杰 江永昌</w:t>
      </w:r>
    </w:p>
    <w:p w14:paraId="0F5B6209" w14:textId="77777777" w:rsidR="00421BB5" w:rsidRPr="00914CF9" w:rsidRDefault="00421BB5" w:rsidP="00421BB5">
      <w:pPr>
        <w:pStyle w:val="0-"/>
      </w:pPr>
      <w:r w:rsidRPr="00914CF9">
        <w:t>(</w:t>
      </w:r>
      <w:r w:rsidRPr="00914CF9">
        <w:rPr>
          <w:rFonts w:hint="eastAsia"/>
        </w:rPr>
        <w:t>七</w:t>
      </w:r>
      <w:r w:rsidRPr="00914CF9">
        <w:t>)</w:t>
      </w:r>
      <w:r w:rsidRPr="00914CF9">
        <w:rPr>
          <w:rFonts w:hint="eastAsia"/>
        </w:rPr>
        <w:t>查112年度總統府歲出預算「研究發展」編列510萬1千元，其主要工作因應國家發展需要，設置任務編組，提供諮詢意見作為政府決策參考。然查提升現有戰力、強化國家整體防衛能力，是確保國家安全與利益重要考量，有關義務役役期是否延長，國防部說法與總統府說法，莫衷一是，造成家長與役男對政策不安，爰建請總統府協請權責機關妥慎研處。</w:t>
      </w:r>
    </w:p>
    <w:p w14:paraId="3FCCA0C0" w14:textId="77777777" w:rsidR="00421BB5" w:rsidRPr="00914CF9" w:rsidRDefault="00421BB5" w:rsidP="00421BB5">
      <w:pPr>
        <w:pStyle w:val="2-1"/>
      </w:pPr>
      <w:r w:rsidRPr="00914CF9">
        <w:rPr>
          <w:rFonts w:hint="eastAsia"/>
        </w:rPr>
        <w:t>提案人：陳玉珍</w:t>
      </w:r>
    </w:p>
    <w:p w14:paraId="283FC968" w14:textId="77777777" w:rsidR="00421BB5" w:rsidRPr="00914CF9" w:rsidRDefault="00421BB5" w:rsidP="00421BB5">
      <w:pPr>
        <w:pStyle w:val="2-1"/>
      </w:pPr>
      <w:r w:rsidRPr="00914CF9">
        <w:rPr>
          <w:rFonts w:hint="eastAsia"/>
        </w:rPr>
        <w:t>連署人：游毓蘭 曾銘宗</w:t>
      </w:r>
    </w:p>
    <w:p w14:paraId="321E6496" w14:textId="77777777" w:rsidR="00421BB5" w:rsidRPr="00914CF9" w:rsidRDefault="00421BB5" w:rsidP="00421BB5">
      <w:pPr>
        <w:pStyle w:val="0-"/>
      </w:pPr>
      <w:r w:rsidRPr="00914CF9">
        <w:t>(</w:t>
      </w:r>
      <w:r w:rsidRPr="00914CF9">
        <w:rPr>
          <w:rFonts w:hint="eastAsia"/>
        </w:rPr>
        <w:t>八</w:t>
      </w:r>
      <w:r w:rsidRPr="00914CF9">
        <w:t>)</w:t>
      </w:r>
      <w:r w:rsidRPr="00914CF9">
        <w:rPr>
          <w:rFonts w:hint="eastAsia"/>
        </w:rPr>
        <w:t>總統府於111年度法定預算書中編列「卸任禮遇」經費868萬3千元。經查行政院主計總處111年度中央政府總預算半年結算報告，總統府「卸任禮遇」工作計畫分配預算數達510萬9千元，惟實際執行數僅257萬6</w:t>
      </w:r>
      <w:r w:rsidRPr="00914CF9">
        <w:t>,</w:t>
      </w:r>
      <w:r w:rsidRPr="00914CF9">
        <w:rPr>
          <w:rFonts w:hint="eastAsia"/>
        </w:rPr>
        <w:t>222元，執行率僅50.43%。</w:t>
      </w:r>
    </w:p>
    <w:p w14:paraId="5305A51C" w14:textId="77777777" w:rsidR="00421BB5" w:rsidRPr="00914CF9" w:rsidRDefault="00421BB5" w:rsidP="00421BB5">
      <w:pPr>
        <w:pStyle w:val="0-2"/>
      </w:pPr>
      <w:r w:rsidRPr="00914CF9">
        <w:rPr>
          <w:rFonts w:hint="eastAsia"/>
        </w:rPr>
        <w:t>另查110年度總統府同一工作計畫，全年預算編列868萬3千元，上半年分配數410萬9千元，上半年執行數僅254萬6</w:t>
      </w:r>
      <w:r w:rsidRPr="00914CF9">
        <w:t>,</w:t>
      </w:r>
      <w:r w:rsidRPr="00914CF9">
        <w:rPr>
          <w:rFonts w:hint="eastAsia"/>
        </w:rPr>
        <w:t>100元，全年執行數8</w:t>
      </w:r>
      <w:r w:rsidRPr="00914CF9">
        <w:t>38</w:t>
      </w:r>
      <w:r w:rsidRPr="00914CF9">
        <w:rPr>
          <w:rFonts w:hint="eastAsia"/>
        </w:rPr>
        <w:t>萬8</w:t>
      </w:r>
      <w:r w:rsidRPr="00914CF9">
        <w:t>,375</w:t>
      </w:r>
      <w:r w:rsidRPr="00914CF9">
        <w:rPr>
          <w:rFonts w:hint="eastAsia"/>
        </w:rPr>
        <w:t>元，可見連續兩年均有分配數不精確之情形。</w:t>
      </w:r>
    </w:p>
    <w:p w14:paraId="1A9BFC1D" w14:textId="77777777" w:rsidR="00421BB5" w:rsidRPr="00914CF9" w:rsidRDefault="00421BB5" w:rsidP="00421BB5">
      <w:pPr>
        <w:pStyle w:val="0-2"/>
      </w:pPr>
      <w:r w:rsidRPr="00914CF9">
        <w:rPr>
          <w:rFonts w:hint="eastAsia"/>
        </w:rPr>
        <w:t>為使預算編列確實、妥善運用政府資源，請總統府妥為辦理預算分配。</w:t>
      </w:r>
    </w:p>
    <w:p w14:paraId="6D23AF50" w14:textId="77777777" w:rsidR="00421BB5" w:rsidRPr="00914CF9" w:rsidRDefault="00421BB5" w:rsidP="00421BB5">
      <w:pPr>
        <w:pStyle w:val="2-1"/>
      </w:pPr>
      <w:r w:rsidRPr="00914CF9">
        <w:rPr>
          <w:rFonts w:hint="eastAsia"/>
        </w:rPr>
        <w:lastRenderedPageBreak/>
        <w:t>提案人：江永昌 陳歐珀 黃世杰</w:t>
      </w:r>
    </w:p>
    <w:p w14:paraId="0D09748B" w14:textId="77777777" w:rsidR="00421BB5" w:rsidRPr="00914CF9" w:rsidRDefault="00421BB5" w:rsidP="00421BB5">
      <w:pPr>
        <w:pStyle w:val="0-"/>
      </w:pPr>
      <w:r w:rsidRPr="00914CF9">
        <w:rPr>
          <w:rFonts w:hint="eastAsia"/>
        </w:rPr>
        <w:t>(九)資安即國安為蔡英文總統提出之國家戰略。根據「110年國家資通安全情勢報告」指出，我國資安防護演練分析，政府機關具重大、高、中衝擊性之資安弱點占比近50%，其中逾四成為高衝擊性弱點。而111年8月2日因美國眾議院議長裴洛西訪台，總統府官方網站遭中國駭客發動分散式阻斷服務攻擊癱瘓近20分鐘，雖該攻擊應無核心資料外洩疑慮，仍應可事先預防，顯見總統府資安防護工作仍有精進空間。請總統府於3個月內就「總統府資安系統弱點改善之精進作為」提出書面報告，以緩國人之國安疑慮。</w:t>
      </w:r>
    </w:p>
    <w:p w14:paraId="3EC8C24D" w14:textId="77777777" w:rsidR="00421BB5" w:rsidRPr="00914CF9" w:rsidRDefault="00421BB5" w:rsidP="00421BB5">
      <w:pPr>
        <w:pStyle w:val="2-1"/>
      </w:pPr>
      <w:r w:rsidRPr="00914CF9">
        <w:rPr>
          <w:rFonts w:hint="eastAsia"/>
        </w:rPr>
        <w:t>提案人：陳歐珀 江永昌 黃世杰</w:t>
      </w:r>
    </w:p>
    <w:p w14:paraId="36D2DA97" w14:textId="77777777" w:rsidR="00421BB5" w:rsidRPr="00914CF9" w:rsidRDefault="00421BB5" w:rsidP="00421BB5">
      <w:pPr>
        <w:pStyle w:val="0-"/>
      </w:pPr>
      <w:r w:rsidRPr="00914CF9">
        <w:rPr>
          <w:rFonts w:hint="eastAsia"/>
        </w:rPr>
        <w:t>(十)總統府112年度預算員額為529人，而111年8月底實際員工人數僅462人，實際人數與預算員額529人相較，差額達67人，占比高達12.67%。另查總統府近年來未足額進用人數之占比均超過一成，顯示實際人力需求下降，即使未足額進用人力之情形下仍不影響其業務運作，故其人力需求應該有調減空間。且依照中央政府機關員額管理辦法及預算編製相關規定，各機關預算員額，應本撙節原則，依實際需要核實配置，並核實減列已無業務需求之預算員額，所以請總統府依實際需要，通盤檢討人力配置，減列已無業務需求之預算員額。</w:t>
      </w:r>
    </w:p>
    <w:p w14:paraId="5218ABCB" w14:textId="77777777" w:rsidR="00421BB5" w:rsidRPr="00914CF9" w:rsidRDefault="00421BB5" w:rsidP="00421BB5">
      <w:pPr>
        <w:pStyle w:val="2-1"/>
      </w:pPr>
      <w:r w:rsidRPr="00914CF9">
        <w:rPr>
          <w:rFonts w:hint="eastAsia"/>
        </w:rPr>
        <w:t>提案人：劉建國 黃世杰 江永昌</w:t>
      </w:r>
    </w:p>
    <w:p w14:paraId="17837BE4" w14:textId="77777777" w:rsidR="00421BB5" w:rsidRPr="00914CF9" w:rsidRDefault="00421BB5" w:rsidP="00421BB5">
      <w:pPr>
        <w:kinsoku w:val="0"/>
        <w:overflowPunct w:val="0"/>
        <w:spacing w:line="360" w:lineRule="exact"/>
        <w:ind w:leftChars="200" w:left="1600" w:hangingChars="400" w:hanging="1120"/>
        <w:jc w:val="both"/>
        <w:rPr>
          <w:rFonts w:ascii="標楷體" w:eastAsia="標楷體" w:hAnsi="標楷體"/>
          <w:spacing w:val="-2"/>
          <w:sz w:val="28"/>
          <w:szCs w:val="28"/>
        </w:rPr>
      </w:pPr>
      <w:r w:rsidRPr="00914CF9">
        <w:rPr>
          <w:rFonts w:ascii="標楷體" w:eastAsia="標楷體" w:hAnsi="標楷體"/>
          <w:kern w:val="16"/>
          <w:sz w:val="28"/>
          <w:szCs w:val="28"/>
        </w:rPr>
        <w:t xml:space="preserve">第2項　</w:t>
      </w:r>
      <w:r w:rsidRPr="00914CF9">
        <w:rPr>
          <w:rFonts w:ascii="標楷體" w:eastAsia="標楷體" w:hAnsi="標楷體"/>
          <w:sz w:val="28"/>
          <w:szCs w:val="28"/>
        </w:rPr>
        <w:t>國家安全</w:t>
      </w:r>
      <w:r w:rsidRPr="00914CF9">
        <w:rPr>
          <w:rFonts w:ascii="標楷體" w:eastAsia="標楷體" w:hAnsi="標楷體"/>
          <w:kern w:val="16"/>
          <w:sz w:val="28"/>
          <w:szCs w:val="28"/>
        </w:rPr>
        <w:t>會議</w:t>
      </w:r>
      <w:r w:rsidRPr="00914CF9">
        <w:rPr>
          <w:rFonts w:ascii="標楷體" w:eastAsia="標楷體" w:hAnsi="標楷體"/>
          <w:sz w:val="28"/>
          <w:szCs w:val="28"/>
        </w:rPr>
        <w:t>2</w:t>
      </w:r>
      <w:r w:rsidRPr="00914CF9">
        <w:rPr>
          <w:rFonts w:ascii="標楷體" w:eastAsia="標楷體" w:hAnsi="標楷體" w:hint="eastAsia"/>
          <w:sz w:val="28"/>
          <w:szCs w:val="28"/>
        </w:rPr>
        <w:t>億1,</w:t>
      </w:r>
      <w:r w:rsidRPr="00914CF9">
        <w:rPr>
          <w:rFonts w:ascii="標楷體" w:eastAsia="標楷體" w:hAnsi="標楷體"/>
          <w:sz w:val="28"/>
          <w:szCs w:val="28"/>
        </w:rPr>
        <w:t>306</w:t>
      </w:r>
      <w:r w:rsidRPr="00914CF9">
        <w:rPr>
          <w:rFonts w:ascii="標楷體" w:eastAsia="標楷體" w:hAnsi="標楷體" w:hint="eastAsia"/>
          <w:sz w:val="28"/>
          <w:szCs w:val="28"/>
        </w:rPr>
        <w:t>萬2千元</w:t>
      </w:r>
      <w:r w:rsidRPr="00914CF9">
        <w:rPr>
          <w:rFonts w:ascii="標楷體" w:eastAsia="標楷體" w:hAnsi="標楷體"/>
          <w:sz w:val="28"/>
          <w:szCs w:val="28"/>
        </w:rPr>
        <w:t>，</w:t>
      </w:r>
      <w:r w:rsidRPr="00914CF9">
        <w:rPr>
          <w:rFonts w:ascii="標楷體" w:eastAsia="標楷體" w:hAnsi="標楷體"/>
          <w:spacing w:val="-2"/>
          <w:sz w:val="28"/>
          <w:szCs w:val="28"/>
        </w:rPr>
        <w:t>照列。</w:t>
      </w:r>
    </w:p>
    <w:p w14:paraId="2A3497F2" w14:textId="77777777" w:rsidR="00421BB5" w:rsidRPr="00914CF9" w:rsidRDefault="00421BB5" w:rsidP="00421BB5">
      <w:pPr>
        <w:pStyle w:val="0-"/>
        <w:ind w:left="1041" w:hanging="561"/>
      </w:pPr>
      <w:r w:rsidRPr="00914CF9">
        <w:rPr>
          <w:rFonts w:hint="eastAsia"/>
          <w:b/>
        </w:rPr>
        <w:t>本項提案1案，保留，送院會處理：</w:t>
      </w:r>
    </w:p>
    <w:p w14:paraId="3EB5E8A5" w14:textId="77777777" w:rsidR="00421BB5" w:rsidRPr="00914CF9" w:rsidRDefault="00421BB5" w:rsidP="00421BB5">
      <w:pPr>
        <w:pStyle w:val="0-"/>
      </w:pPr>
      <w:r w:rsidRPr="00914CF9">
        <w:rPr>
          <w:rFonts w:hint="eastAsia"/>
        </w:rPr>
        <w:t>(一)查國家安全會議112年度諮詢研究業務編列新台幣</w:t>
      </w:r>
      <w:r w:rsidRPr="00914CF9">
        <w:t>2120</w:t>
      </w:r>
      <w:r w:rsidRPr="00914CF9">
        <w:rPr>
          <w:rFonts w:hint="eastAsia"/>
        </w:rPr>
        <w:t>萬元，其主要工作為針對我國家安全的威脅，從外交、兩岸關係、經濟、心理、軍事、科技等要素分析，另結合政府及民間團體組織力量，提供戰略擬定及政策研究予國家元首參考。然查小三通攸關離島經濟發展與民眾生活，新冠疫情肆虐近3年來，業已對離島民生經濟與人民日常生活造成嚴重影響，國門解封即將屆滿2個月，包括開放非免簽證國家入境、取消旅行社出團禁令等措施，然卻獨獨排除金馬與對岸的小三通，這樣的差別待遇，無異將金馬居民當成次等國民，令人無法接受，國安會對於兩岸內外部情勢之可能發展與變化維持臺海和平穩定，推動兩岸經貿關係穩定發展均無具體作為，爰提案減列</w:t>
      </w:r>
      <w:r w:rsidRPr="00914CF9">
        <w:t>500</w:t>
      </w:r>
      <w:r w:rsidRPr="00914CF9">
        <w:rPr>
          <w:rFonts w:hint="eastAsia"/>
        </w:rPr>
        <w:t>萬元。</w:t>
      </w:r>
    </w:p>
    <w:p w14:paraId="63AAD197" w14:textId="77777777" w:rsidR="00421BB5" w:rsidRPr="00914CF9" w:rsidRDefault="00421BB5" w:rsidP="00421BB5">
      <w:pPr>
        <w:pStyle w:val="2-1"/>
      </w:pPr>
      <w:r w:rsidRPr="00914CF9">
        <w:rPr>
          <w:rFonts w:hint="eastAsia"/>
        </w:rPr>
        <w:t>提案人：陳玉珍</w:t>
      </w:r>
    </w:p>
    <w:p w14:paraId="2B376AEB" w14:textId="77777777" w:rsidR="00421BB5" w:rsidRPr="00914CF9" w:rsidRDefault="00421BB5" w:rsidP="00421BB5">
      <w:pPr>
        <w:pStyle w:val="2-1"/>
      </w:pPr>
      <w:r w:rsidRPr="00914CF9">
        <w:rPr>
          <w:rFonts w:hint="eastAsia"/>
        </w:rPr>
        <w:t>連署人：游毓蘭 曾銘宗</w:t>
      </w:r>
    </w:p>
    <w:p w14:paraId="080D83C7" w14:textId="77777777" w:rsidR="00421BB5" w:rsidRPr="00914CF9" w:rsidRDefault="00421BB5" w:rsidP="00421BB5">
      <w:pPr>
        <w:pStyle w:val="3-1"/>
        <w:ind w:left="1601" w:hanging="1121"/>
        <w:rPr>
          <w:b/>
        </w:rPr>
      </w:pPr>
      <w:r w:rsidRPr="00914CF9">
        <w:rPr>
          <w:b/>
        </w:rPr>
        <w:t>本項通過決議</w:t>
      </w:r>
      <w:r w:rsidRPr="00914CF9">
        <w:rPr>
          <w:rFonts w:hint="eastAsia"/>
          <w:b/>
        </w:rPr>
        <w:t>8</w:t>
      </w:r>
      <w:r w:rsidRPr="00914CF9">
        <w:rPr>
          <w:b/>
        </w:rPr>
        <w:t>項：</w:t>
      </w:r>
    </w:p>
    <w:p w14:paraId="09852AEF" w14:textId="77777777" w:rsidR="00421BB5" w:rsidRPr="00914CF9" w:rsidRDefault="00421BB5" w:rsidP="00421BB5">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(一)11</w:t>
      </w:r>
      <w:r w:rsidRPr="00914CF9">
        <w:rPr>
          <w:rFonts w:ascii="標楷體" w:eastAsia="標楷體" w:hAnsi="標楷體"/>
          <w:kern w:val="0"/>
          <w:sz w:val="28"/>
          <w:szCs w:val="28"/>
        </w:rPr>
        <w:t>2</w:t>
      </w:r>
      <w:r w:rsidRPr="00914CF9">
        <w:rPr>
          <w:rFonts w:ascii="標楷體" w:eastAsia="標楷體" w:hAnsi="標楷體" w:hint="eastAsia"/>
          <w:kern w:val="0"/>
          <w:sz w:val="28"/>
          <w:szCs w:val="28"/>
        </w:rPr>
        <w:t>年度</w:t>
      </w:r>
      <w:r w:rsidRPr="00914CF9">
        <w:rPr>
          <w:rFonts w:ascii="標楷體" w:eastAsia="標楷體" w:hAnsi="標楷體"/>
          <w:sz w:val="28"/>
          <w:szCs w:val="28"/>
        </w:rPr>
        <w:t>國家安全</w:t>
      </w:r>
      <w:r w:rsidRPr="00914CF9">
        <w:rPr>
          <w:rFonts w:ascii="標楷體" w:eastAsia="標楷體" w:hAnsi="標楷體"/>
          <w:kern w:val="16"/>
          <w:sz w:val="28"/>
          <w:szCs w:val="28"/>
        </w:rPr>
        <w:t>會議</w:t>
      </w:r>
      <w:r w:rsidRPr="00914CF9">
        <w:rPr>
          <w:rFonts w:ascii="標楷體" w:eastAsia="標楷體" w:hAnsi="標楷體" w:hint="eastAsia"/>
          <w:kern w:val="0"/>
          <w:sz w:val="28"/>
          <w:szCs w:val="28"/>
        </w:rPr>
        <w:t>歲出預算第1目「一般行政」編列</w:t>
      </w:r>
      <w:r w:rsidRPr="00914CF9">
        <w:rPr>
          <w:rFonts w:ascii="標楷體" w:eastAsia="標楷體" w:hAnsi="標楷體"/>
          <w:spacing w:val="-4"/>
          <w:sz w:val="28"/>
          <w:szCs w:val="28"/>
        </w:rPr>
        <w:t>1</w:t>
      </w:r>
      <w:r w:rsidRPr="00914CF9">
        <w:rPr>
          <w:rFonts w:ascii="標楷體" w:eastAsia="標楷體" w:hAnsi="標楷體" w:hint="eastAsia"/>
          <w:spacing w:val="-4"/>
          <w:sz w:val="28"/>
          <w:szCs w:val="28"/>
        </w:rPr>
        <w:t>億9,136萬2千元</w:t>
      </w:r>
      <w:r w:rsidRPr="00914CF9">
        <w:rPr>
          <w:rFonts w:ascii="標楷體" w:eastAsia="標楷體" w:hAnsi="標楷體" w:hint="eastAsia"/>
          <w:kern w:val="0"/>
          <w:sz w:val="28"/>
          <w:szCs w:val="28"/>
        </w:rPr>
        <w:t>，凍結60萬元，俟向立法院司法及法制委員會</w:t>
      </w:r>
      <w:r w:rsidRPr="00914CF9">
        <w:rPr>
          <w:rFonts w:ascii="標楷體" w:eastAsia="標楷體" w:hAnsi="標楷體" w:hint="eastAsia"/>
          <w:kern w:val="0"/>
          <w:sz w:val="28"/>
          <w:szCs w:val="28"/>
        </w:rPr>
        <w:lastRenderedPageBreak/>
        <w:t>提出書面報告後，始得動支。</w:t>
      </w:r>
    </w:p>
    <w:p w14:paraId="54CCCACB" w14:textId="77777777" w:rsidR="00421BB5" w:rsidRPr="00914CF9" w:rsidRDefault="00421BB5" w:rsidP="00421BB5">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提案人：陳以信 黃世杰</w:t>
      </w:r>
    </w:p>
    <w:p w14:paraId="4F8CC1E2" w14:textId="77777777" w:rsidR="00421BB5" w:rsidRPr="00914CF9" w:rsidRDefault="00421BB5" w:rsidP="00421BB5">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連署人：林思銘 游毓蘭</w:t>
      </w:r>
      <w:r w:rsidRPr="00914CF9">
        <w:rPr>
          <w:rFonts w:ascii="標楷體" w:eastAsia="標楷體" w:hAnsi="標楷體"/>
          <w:kern w:val="0"/>
          <w:sz w:val="28"/>
          <w:szCs w:val="28"/>
        </w:rPr>
        <w:t xml:space="preserve"> </w:t>
      </w:r>
      <w:r w:rsidRPr="00914CF9">
        <w:rPr>
          <w:rFonts w:ascii="標楷體" w:eastAsia="標楷體" w:hAnsi="標楷體" w:hint="eastAsia"/>
          <w:kern w:val="0"/>
          <w:sz w:val="28"/>
          <w:szCs w:val="28"/>
        </w:rPr>
        <w:t>江永昌 陳歐珀</w:t>
      </w:r>
    </w:p>
    <w:p w14:paraId="65F6E9C5" w14:textId="77777777" w:rsidR="00421BB5" w:rsidRPr="00914CF9" w:rsidRDefault="00421BB5" w:rsidP="00421BB5">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(二)112年度</w:t>
      </w:r>
      <w:r w:rsidRPr="00914CF9">
        <w:rPr>
          <w:rFonts w:ascii="標楷體" w:eastAsia="標楷體" w:hAnsi="標楷體"/>
          <w:sz w:val="28"/>
          <w:szCs w:val="28"/>
        </w:rPr>
        <w:t>國家安全</w:t>
      </w:r>
      <w:r w:rsidRPr="00914CF9">
        <w:rPr>
          <w:rFonts w:ascii="標楷體" w:eastAsia="標楷體" w:hAnsi="標楷體"/>
          <w:kern w:val="16"/>
          <w:sz w:val="28"/>
          <w:szCs w:val="28"/>
        </w:rPr>
        <w:t>會議</w:t>
      </w:r>
      <w:r w:rsidRPr="00914CF9">
        <w:rPr>
          <w:rFonts w:ascii="標楷體" w:eastAsia="標楷體" w:hAnsi="標楷體" w:hint="eastAsia"/>
          <w:kern w:val="0"/>
          <w:sz w:val="28"/>
          <w:szCs w:val="28"/>
        </w:rPr>
        <w:t>歲出預算第2目「諮詢研究業務」編列2</w:t>
      </w:r>
      <w:r w:rsidRPr="00914CF9">
        <w:rPr>
          <w:rFonts w:ascii="標楷體" w:eastAsia="標楷體" w:hAnsi="標楷體" w:hint="eastAsia"/>
          <w:spacing w:val="-4"/>
          <w:sz w:val="28"/>
          <w:szCs w:val="28"/>
        </w:rPr>
        <w:t>,120萬元</w:t>
      </w:r>
      <w:r w:rsidRPr="00914CF9">
        <w:rPr>
          <w:rFonts w:ascii="標楷體" w:eastAsia="標楷體" w:hAnsi="標楷體" w:hint="eastAsia"/>
          <w:kern w:val="0"/>
          <w:sz w:val="28"/>
          <w:szCs w:val="28"/>
        </w:rPr>
        <w:t>，凍結50萬元，俟向立法院司法及法制委員會提出書面報告後，始得動支。</w:t>
      </w:r>
    </w:p>
    <w:p w14:paraId="4C730F45" w14:textId="77777777" w:rsidR="00421BB5" w:rsidRPr="00914CF9" w:rsidRDefault="00421BB5" w:rsidP="00421BB5">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 xml:space="preserve">提案人：陳以信 </w:t>
      </w:r>
    </w:p>
    <w:p w14:paraId="751DA8B3" w14:textId="77777777" w:rsidR="00421BB5" w:rsidRPr="00914CF9" w:rsidRDefault="00421BB5" w:rsidP="00421BB5">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 xml:space="preserve">連署人：林思銘 游毓蘭 </w:t>
      </w:r>
    </w:p>
    <w:p w14:paraId="0DDDC4AE" w14:textId="77777777" w:rsidR="00421BB5" w:rsidRPr="00914CF9" w:rsidRDefault="00421BB5" w:rsidP="00421BB5">
      <w:pPr>
        <w:pStyle w:val="0-"/>
      </w:pPr>
      <w:r w:rsidRPr="00914CF9">
        <w:rPr>
          <w:rFonts w:hint="eastAsia"/>
        </w:rPr>
        <w:t>(三)</w:t>
      </w:r>
      <w:r w:rsidRPr="00914CF9">
        <w:t>112年度</w:t>
      </w:r>
      <w:r w:rsidRPr="00914CF9">
        <w:rPr>
          <w:rFonts w:hint="eastAsia"/>
        </w:rPr>
        <w:t>國家安全會議歲出預算</w:t>
      </w:r>
      <w:r w:rsidRPr="00914CF9">
        <w:t>「一般行政」項下編列</w:t>
      </w:r>
      <w:r w:rsidRPr="00914CF9">
        <w:rPr>
          <w:rFonts w:hint="eastAsia"/>
        </w:rPr>
        <w:t>「</w:t>
      </w:r>
      <w:r w:rsidRPr="00914CF9">
        <w:t>政務人員待遇</w:t>
      </w:r>
      <w:r w:rsidRPr="00914CF9">
        <w:rPr>
          <w:rFonts w:hint="eastAsia"/>
        </w:rPr>
        <w:t>」</w:t>
      </w:r>
      <w:r w:rsidRPr="00914CF9">
        <w:t>2,363萬1千元，為秘書長、副秘書長及諮詢委員薪給</w:t>
      </w:r>
      <w:r w:rsidRPr="00914CF9">
        <w:rPr>
          <w:rFonts w:hint="eastAsia"/>
        </w:rPr>
        <w:t>，</w:t>
      </w:r>
      <w:r w:rsidRPr="00914CF9">
        <w:t>其中諮委編列6人，人事費用為1,785萬3千元</w:t>
      </w:r>
      <w:r w:rsidRPr="00914CF9">
        <w:rPr>
          <w:rFonts w:hint="eastAsia"/>
        </w:rPr>
        <w:t>，平均下來，6位諮詢委員年薪近3</w:t>
      </w:r>
      <w:r w:rsidRPr="00914CF9">
        <w:t>00</w:t>
      </w:r>
      <w:r w:rsidRPr="00914CF9">
        <w:rPr>
          <w:rFonts w:hint="eastAsia"/>
        </w:rPr>
        <w:t>萬元，堪稱是部長級的年資。然，國安會設置諮詢委員是根據《</w:t>
      </w:r>
      <w:r w:rsidRPr="00914CF9">
        <w:t>國家安全會議組織法</w:t>
      </w:r>
      <w:r w:rsidRPr="00914CF9">
        <w:rPr>
          <w:rFonts w:hint="eastAsia"/>
        </w:rPr>
        <w:t>》</w:t>
      </w:r>
      <w:r w:rsidRPr="00914CF9">
        <w:t>第9條：「國家安全會議置諮詢委員5人至7人，由總統特聘之。」</w:t>
      </w:r>
      <w:r w:rsidRPr="00914CF9">
        <w:rPr>
          <w:rFonts w:hint="eastAsia"/>
        </w:rPr>
        <w:t>之規定，此條僅明定人數，對於諮詢委員之性質、職務、有給或無給等與組織有關的事項均未詳定，恐有「諮詢委員的設置</w:t>
      </w:r>
      <w:r w:rsidRPr="00914CF9">
        <w:t>無法源依據</w:t>
      </w:r>
      <w:r w:rsidRPr="00914CF9">
        <w:rPr>
          <w:rFonts w:hint="eastAsia"/>
        </w:rPr>
        <w:t>，諮詢委員</w:t>
      </w:r>
      <w:r w:rsidRPr="00914CF9">
        <w:t>卻</w:t>
      </w:r>
      <w:r w:rsidRPr="00914CF9">
        <w:rPr>
          <w:rFonts w:hint="eastAsia"/>
        </w:rPr>
        <w:t>得支</w:t>
      </w:r>
      <w:r w:rsidRPr="00914CF9">
        <w:t>領</w:t>
      </w:r>
      <w:r w:rsidRPr="00914CF9">
        <w:rPr>
          <w:rFonts w:hint="eastAsia"/>
        </w:rPr>
        <w:t>部長級薪水，有違法律明確性原則」之疑慮</w:t>
      </w:r>
      <w:r w:rsidRPr="00914CF9">
        <w:t>，</w:t>
      </w:r>
      <w:r w:rsidRPr="00914CF9">
        <w:rPr>
          <w:rFonts w:hint="eastAsia"/>
        </w:rPr>
        <w:t>且相關爭議已存在多年</w:t>
      </w:r>
      <w:r w:rsidRPr="00914CF9">
        <w:t>，11</w:t>
      </w:r>
      <w:r w:rsidRPr="00914CF9">
        <w:rPr>
          <w:rFonts w:hint="eastAsia"/>
        </w:rPr>
        <w:t>1年</w:t>
      </w:r>
      <w:r w:rsidRPr="00914CF9">
        <w:t>度</w:t>
      </w:r>
      <w:r w:rsidRPr="00914CF9">
        <w:rPr>
          <w:rFonts w:hint="eastAsia"/>
        </w:rPr>
        <w:t>預算審查亦有委員提及，國家安全會議至</w:t>
      </w:r>
      <w:r w:rsidRPr="00914CF9">
        <w:t>11</w:t>
      </w:r>
      <w:r w:rsidRPr="00914CF9">
        <w:rPr>
          <w:rFonts w:hint="eastAsia"/>
        </w:rPr>
        <w:t>1年仍未有相關改善措施</w:t>
      </w:r>
      <w:r w:rsidRPr="00914CF9">
        <w:t>，允宜儘速完成法制化，以符體制。</w:t>
      </w:r>
    </w:p>
    <w:p w14:paraId="0FCEFF30" w14:textId="77777777" w:rsidR="00421BB5" w:rsidRPr="00914CF9" w:rsidRDefault="00421BB5" w:rsidP="00421BB5">
      <w:pPr>
        <w:pStyle w:val="2-1"/>
      </w:pPr>
      <w:r w:rsidRPr="00914CF9">
        <w:rPr>
          <w:rFonts w:hint="eastAsia"/>
        </w:rPr>
        <w:t>提案人：林思銘</w:t>
      </w:r>
    </w:p>
    <w:p w14:paraId="13207BDA" w14:textId="77777777" w:rsidR="00421BB5" w:rsidRPr="00914CF9" w:rsidRDefault="00421BB5" w:rsidP="00421BB5">
      <w:pPr>
        <w:pStyle w:val="2-1"/>
      </w:pPr>
      <w:r w:rsidRPr="00914CF9">
        <w:rPr>
          <w:rFonts w:hint="eastAsia"/>
        </w:rPr>
        <w:t>連署人：陳以信 游毓蘭</w:t>
      </w:r>
    </w:p>
    <w:p w14:paraId="603C2280" w14:textId="77777777" w:rsidR="00421BB5" w:rsidRPr="00914CF9" w:rsidRDefault="00421BB5" w:rsidP="00421BB5">
      <w:pPr>
        <w:pStyle w:val="0-"/>
      </w:pPr>
      <w:r w:rsidRPr="00914CF9">
        <w:rPr>
          <w:rFonts w:hint="eastAsia"/>
        </w:rPr>
        <w:t>(四)勞動部推動「員工協助方案」(Employee Assistance Programs,簡稱EAPs)是企業透過系統化的專業服務，規劃方案與提供資源，以預防及解決可能導致員工工作生產力下降的組織與個人議題，使員工能以健康的身心投入工作，讓企業提升競爭力，塑造勞資雙贏。</w:t>
      </w:r>
    </w:p>
    <w:p w14:paraId="7E046D33" w14:textId="77777777" w:rsidR="00421BB5" w:rsidRPr="00914CF9" w:rsidRDefault="00421BB5" w:rsidP="00421BB5">
      <w:pPr>
        <w:pStyle w:val="0-2"/>
      </w:pPr>
      <w:r w:rsidRPr="00914CF9">
        <w:rPr>
          <w:rFonts w:hint="eastAsia"/>
        </w:rPr>
        <w:t>但查國家安全會議112年度預算，並未編列相關預算，請國家安全會議研議於113年度預算提出相關規劃，妥善落實員工協助方案。</w:t>
      </w:r>
    </w:p>
    <w:p w14:paraId="0ADE4287" w14:textId="77777777" w:rsidR="00421BB5" w:rsidRPr="00914CF9" w:rsidRDefault="00421BB5" w:rsidP="00421BB5">
      <w:pPr>
        <w:pStyle w:val="2-1"/>
      </w:pPr>
      <w:r w:rsidRPr="00914CF9">
        <w:rPr>
          <w:rFonts w:hint="eastAsia"/>
        </w:rPr>
        <w:t>提案人：劉建國 黃世杰 江永昌</w:t>
      </w:r>
    </w:p>
    <w:p w14:paraId="0BAAF868" w14:textId="77777777" w:rsidR="00421BB5" w:rsidRPr="00914CF9" w:rsidRDefault="00421BB5" w:rsidP="00421BB5">
      <w:pPr>
        <w:pStyle w:val="0-"/>
      </w:pPr>
      <w:r w:rsidRPr="00914CF9">
        <w:rPr>
          <w:rFonts w:hint="eastAsia"/>
        </w:rPr>
        <w:t>(五)查112年度國家安全會議歲出預算「諮詢研究業務」編列</w:t>
      </w:r>
      <w:r w:rsidRPr="00914CF9">
        <w:t>2,120</w:t>
      </w:r>
      <w:r w:rsidRPr="00914CF9">
        <w:rPr>
          <w:rFonts w:hint="eastAsia"/>
        </w:rPr>
        <w:t>萬元，其主要工作為針對我國國家安全的威脅，從外交、兩岸關係、經濟、心理、軍事、科技等要素分析，另結合政府及民間團體組織力量，提供戰略擬訂及政策研究予國家元首參考。然查1</w:t>
      </w:r>
      <w:r w:rsidRPr="00914CF9">
        <w:t>12</w:t>
      </w:r>
      <w:r w:rsidRPr="00914CF9">
        <w:rPr>
          <w:rFonts w:hint="eastAsia"/>
        </w:rPr>
        <w:t>年度，國安會在進行國防安全議題之探討與研究，包括積極強化我國與美國、日本就周邊海域及亞太區域的安全聯防及合作，落實「國防自主化」政策等研究預算大幅增加，卻對我國經貿議題之相關研究經費予以刪減，在疫後亟待振興經濟之時，國安會卻仍大賣芒果乾，況且美國總統拜登亦表示，</w:t>
      </w:r>
      <w:r w:rsidRPr="00914CF9">
        <w:rPr>
          <w:rFonts w:hint="eastAsia"/>
        </w:rPr>
        <w:lastRenderedPageBreak/>
        <w:t>「不認為中國有意立即侵略台灣」，國家安全會議應將重心放在經濟振興上，讓台灣的經濟安全更有保障。</w:t>
      </w:r>
    </w:p>
    <w:p w14:paraId="39086C92" w14:textId="77777777" w:rsidR="00421BB5" w:rsidRPr="00914CF9" w:rsidRDefault="00421BB5" w:rsidP="00421BB5">
      <w:pPr>
        <w:pStyle w:val="2-1"/>
      </w:pPr>
      <w:r w:rsidRPr="00914CF9">
        <w:rPr>
          <w:rFonts w:hint="eastAsia"/>
        </w:rPr>
        <w:t>提案人：陳玉珍</w:t>
      </w:r>
    </w:p>
    <w:p w14:paraId="1339FF20" w14:textId="77777777" w:rsidR="00421BB5" w:rsidRPr="00914CF9" w:rsidRDefault="00421BB5" w:rsidP="00421BB5">
      <w:pPr>
        <w:pStyle w:val="2-1"/>
      </w:pPr>
      <w:r w:rsidRPr="00914CF9">
        <w:rPr>
          <w:rFonts w:hint="eastAsia"/>
        </w:rPr>
        <w:t>連署人：游毓蘭 曾銘宗</w:t>
      </w:r>
    </w:p>
    <w:p w14:paraId="32FD192F" w14:textId="77777777" w:rsidR="00421BB5" w:rsidRPr="00914CF9" w:rsidRDefault="00421BB5" w:rsidP="00421BB5">
      <w:pPr>
        <w:pStyle w:val="0-"/>
      </w:pPr>
      <w:r w:rsidRPr="00914CF9">
        <w:rPr>
          <w:rFonts w:hint="eastAsia"/>
        </w:rPr>
        <w:t>(六)</w:t>
      </w:r>
      <w:r w:rsidRPr="00914CF9">
        <w:rPr>
          <w:rFonts w:hint="eastAsia"/>
          <w:lang w:eastAsia="zh-HK"/>
        </w:rPr>
        <w:t>自</w:t>
      </w:r>
      <w:r w:rsidRPr="00914CF9">
        <w:rPr>
          <w:rFonts w:hint="eastAsia"/>
        </w:rPr>
        <w:t>111</w:t>
      </w:r>
      <w:r w:rsidRPr="00914CF9">
        <w:rPr>
          <w:rFonts w:hint="eastAsia"/>
          <w:lang w:eastAsia="zh-HK"/>
        </w:rPr>
        <w:t>年</w:t>
      </w:r>
      <w:r w:rsidRPr="00914CF9">
        <w:rPr>
          <w:rFonts w:hint="eastAsia"/>
        </w:rPr>
        <w:t>10</w:t>
      </w:r>
      <w:r w:rsidRPr="00914CF9">
        <w:rPr>
          <w:rFonts w:hint="eastAsia"/>
          <w:lang w:eastAsia="zh-HK"/>
        </w:rPr>
        <w:t>月</w:t>
      </w:r>
      <w:r w:rsidRPr="00914CF9">
        <w:rPr>
          <w:rFonts w:hint="eastAsia"/>
        </w:rPr>
        <w:t>23</w:t>
      </w:r>
      <w:r w:rsidRPr="00914CF9">
        <w:rPr>
          <w:rFonts w:hint="eastAsia"/>
          <w:lang w:eastAsia="zh-HK"/>
        </w:rPr>
        <w:t>日</w:t>
      </w:r>
      <w:hyperlink r:id="rId14" w:history="1">
        <w:r w:rsidRPr="00914CF9">
          <w:rPr>
            <w:rFonts w:hint="eastAsia"/>
            <w:lang w:eastAsia="zh-HK"/>
          </w:rPr>
          <w:t>中共二十大</w:t>
        </w:r>
      </w:hyperlink>
      <w:r w:rsidRPr="00914CF9">
        <w:rPr>
          <w:rFonts w:hint="eastAsia"/>
          <w:lang w:eastAsia="zh-HK"/>
        </w:rPr>
        <w:t>後，兩岸與台海的未來如何演變引發各界關注。</w:t>
      </w:r>
      <w:r w:rsidRPr="00914CF9">
        <w:rPr>
          <w:rFonts w:hint="eastAsia"/>
        </w:rPr>
        <w:t>111</w:t>
      </w:r>
      <w:r w:rsidRPr="00914CF9">
        <w:rPr>
          <w:rFonts w:hint="eastAsia"/>
          <w:lang w:eastAsia="zh-HK"/>
        </w:rPr>
        <w:t>年8月美國眾議院議長裴洛西的訪台讓台灣安全受到空前挑戰。目前，「地緣對抗改變兩岸本質」、「</w:t>
      </w:r>
      <w:hyperlink r:id="rId15" w:history="1">
        <w:r w:rsidRPr="00914CF9">
          <w:rPr>
            <w:rFonts w:hint="eastAsia"/>
            <w:lang w:eastAsia="zh-HK"/>
          </w:rPr>
          <w:t>習近平</w:t>
        </w:r>
      </w:hyperlink>
      <w:r w:rsidRPr="00914CF9">
        <w:rPr>
          <w:rFonts w:hint="eastAsia"/>
          <w:lang w:eastAsia="zh-HK"/>
        </w:rPr>
        <w:t>提出新時代黨解決台灣問題方略」、「台灣反中選舉結構形成」、「國際反中冷戰聯盟形成」等</w:t>
      </w:r>
      <w:r w:rsidRPr="00914CF9">
        <w:rPr>
          <w:rFonts w:hint="eastAsia"/>
        </w:rPr>
        <w:t>4</w:t>
      </w:r>
      <w:r w:rsidRPr="00914CF9">
        <w:rPr>
          <w:rFonts w:hint="eastAsia"/>
          <w:lang w:eastAsia="zh-HK"/>
        </w:rPr>
        <w:t>因素，導致「兩岸不對稱對撞結構」已經形成；此外，</w:t>
      </w:r>
      <w:r w:rsidRPr="00914CF9">
        <w:rPr>
          <w:rFonts w:hint="eastAsia"/>
        </w:rPr>
        <w:t>116</w:t>
      </w:r>
      <w:r w:rsidRPr="00914CF9">
        <w:rPr>
          <w:rFonts w:hint="eastAsia"/>
          <w:lang w:eastAsia="zh-HK"/>
        </w:rPr>
        <w:t>年是中共建軍百年，以習近平在二十大表述上來看，推測習近平任內可能要解決台灣問題。換言之，在美軍介入台海之情況下，即使發動戰爭，北京當局仍有把握能打贏，故針對台灣主要的抗中保台問題，對北京當局之方針為「打台灣給美國看」，且依據美中近幾次接觸，可得知拜登對中國大陸採取全力避險之措施，從「四不一無意」、</w:t>
      </w:r>
      <w:r w:rsidRPr="00914CF9">
        <w:rPr>
          <w:rFonts w:hint="eastAsia"/>
        </w:rPr>
        <w:t>7</w:t>
      </w:r>
      <w:r w:rsidRPr="00914CF9">
        <w:rPr>
          <w:rFonts w:hint="eastAsia"/>
          <w:lang w:eastAsia="zh-HK"/>
        </w:rPr>
        <w:t>月份提出的「六不」，以及</w:t>
      </w:r>
      <w:r w:rsidRPr="00914CF9">
        <w:rPr>
          <w:rFonts w:hint="eastAsia"/>
        </w:rPr>
        <w:t>G</w:t>
      </w:r>
      <w:r w:rsidRPr="00914CF9">
        <w:t>20</w:t>
      </w:r>
      <w:r w:rsidRPr="00914CF9">
        <w:rPr>
          <w:rFonts w:hint="eastAsia"/>
        </w:rPr>
        <w:t>拜習會後提出的「五不四無意」等，在在皆</w:t>
      </w:r>
      <w:r w:rsidRPr="00914CF9">
        <w:rPr>
          <w:rFonts w:hint="eastAsia"/>
          <w:lang w:eastAsia="zh-HK"/>
        </w:rPr>
        <w:t>顯現美方對中方已做出許多讓步。故此，我國執政當局應思考如何透過我國民主、自由等精神目標，為兩岸和平鋪奠定基石，而非僅在國防預算上持續應付共軍軍事行動而耗費國防資源。</w:t>
      </w:r>
    </w:p>
    <w:p w14:paraId="32BC0082" w14:textId="77777777" w:rsidR="00421BB5" w:rsidRPr="00914CF9" w:rsidRDefault="00421BB5" w:rsidP="00421BB5">
      <w:pPr>
        <w:pStyle w:val="2-1"/>
      </w:pPr>
      <w:r w:rsidRPr="00914CF9">
        <w:rPr>
          <w:rFonts w:hint="eastAsia"/>
        </w:rPr>
        <w:t>提案人：林思銘</w:t>
      </w:r>
    </w:p>
    <w:p w14:paraId="716C4C4C" w14:textId="77777777" w:rsidR="00421BB5" w:rsidRPr="00914CF9" w:rsidRDefault="00421BB5" w:rsidP="00421BB5">
      <w:pPr>
        <w:pStyle w:val="2-1"/>
      </w:pPr>
      <w:r w:rsidRPr="00914CF9">
        <w:rPr>
          <w:rFonts w:hint="eastAsia"/>
        </w:rPr>
        <w:t>連署人：陳以信 游毓蘭</w:t>
      </w:r>
    </w:p>
    <w:p w14:paraId="62B7EDFA" w14:textId="77777777" w:rsidR="00421BB5" w:rsidRPr="00914CF9" w:rsidRDefault="00421BB5" w:rsidP="00421BB5">
      <w:pPr>
        <w:pStyle w:val="0-"/>
      </w:pPr>
      <w:r w:rsidRPr="00914CF9">
        <w:rPr>
          <w:rFonts w:hint="eastAsia"/>
        </w:rPr>
        <w:t>(七)112年度國家安全會議歲出預算「諮詢研究業務」較111年度增加274萬6千元，經查多增列於外交策略研擬、國安議題研究、兩岸局勢評估等，反而國際經濟策略部分預算則較111年減編。如此的預算安排為因應國際情勢之何種變化、為何相較之下國際經濟策略部分業務減少、是否有重軍事輕經濟之虞，尚待釐清。請國家安全會議就「台灣112年面臨之國際局勢為何、國際經濟策略為何被輕忽」於3個月內提出書面報告。</w:t>
      </w:r>
    </w:p>
    <w:p w14:paraId="45317F17" w14:textId="77777777" w:rsidR="00421BB5" w:rsidRPr="00914CF9" w:rsidRDefault="00421BB5" w:rsidP="00421BB5">
      <w:pPr>
        <w:pStyle w:val="2-1"/>
      </w:pPr>
      <w:r w:rsidRPr="00914CF9">
        <w:rPr>
          <w:rFonts w:hint="eastAsia"/>
        </w:rPr>
        <w:t>提案人：陳歐珀 江永昌 黃世杰</w:t>
      </w:r>
    </w:p>
    <w:p w14:paraId="16E56515" w14:textId="77777777" w:rsidR="00421BB5" w:rsidRPr="00914CF9" w:rsidRDefault="00421BB5" w:rsidP="00421BB5">
      <w:pPr>
        <w:pStyle w:val="0-"/>
      </w:pPr>
      <w:r w:rsidRPr="00914CF9">
        <w:rPr>
          <w:rFonts w:hint="eastAsia"/>
        </w:rPr>
        <w:t>(八)根據國家安全會議組織法第9條，總統得特聘國家安全會議諮詢委員，然缺乏對應職等之明文規定，恐產生過去總統府資政、國策顧問之遴聘爭議。爰建請國家安全會議應啟動修法，將諮詢委員職掌、官等、待遇明確規範於國家安全會議組織法或政務人員俸給條例中。</w:t>
      </w:r>
    </w:p>
    <w:p w14:paraId="7963944B" w14:textId="77777777" w:rsidR="00421BB5" w:rsidRPr="00914CF9" w:rsidRDefault="00421BB5" w:rsidP="00421BB5">
      <w:pPr>
        <w:pStyle w:val="2-1"/>
      </w:pPr>
      <w:r w:rsidRPr="00914CF9">
        <w:rPr>
          <w:rFonts w:hint="eastAsia"/>
        </w:rPr>
        <w:t>提案人：陳歐珀 江永昌 黃世杰</w:t>
      </w:r>
    </w:p>
    <w:p w14:paraId="7C3CEDE4" w14:textId="77777777" w:rsidR="00421BB5" w:rsidRPr="00914CF9" w:rsidRDefault="00421BB5" w:rsidP="00421BB5">
      <w:pPr>
        <w:spacing w:line="360" w:lineRule="exact"/>
        <w:ind w:leftChars="200" w:left="1600" w:hangingChars="400" w:hanging="1120"/>
        <w:jc w:val="both"/>
        <w:rPr>
          <w:rFonts w:ascii="標楷體" w:eastAsia="標楷體" w:hAnsi="標楷體"/>
          <w:sz w:val="28"/>
          <w:szCs w:val="28"/>
        </w:rPr>
      </w:pPr>
      <w:r w:rsidRPr="00914CF9">
        <w:rPr>
          <w:rFonts w:ascii="標楷體" w:eastAsia="標楷體" w:hAnsi="標楷體"/>
          <w:sz w:val="28"/>
          <w:szCs w:val="28"/>
        </w:rPr>
        <w:t>第3項　國史館2</w:t>
      </w:r>
      <w:r w:rsidRPr="00914CF9">
        <w:rPr>
          <w:rFonts w:ascii="標楷體" w:eastAsia="標楷體" w:hAnsi="標楷體" w:hint="eastAsia"/>
          <w:sz w:val="28"/>
          <w:szCs w:val="28"/>
        </w:rPr>
        <w:t>億0,</w:t>
      </w:r>
      <w:r w:rsidRPr="00914CF9">
        <w:rPr>
          <w:rFonts w:ascii="標楷體" w:eastAsia="標楷體" w:hAnsi="標楷體"/>
          <w:sz w:val="28"/>
          <w:szCs w:val="28"/>
        </w:rPr>
        <w:t>819</w:t>
      </w:r>
      <w:r w:rsidRPr="00914CF9">
        <w:rPr>
          <w:rFonts w:ascii="標楷體" w:eastAsia="標楷體" w:hAnsi="標楷體" w:hint="eastAsia"/>
          <w:sz w:val="28"/>
          <w:szCs w:val="28"/>
        </w:rPr>
        <w:t>萬2千元，照列。</w:t>
      </w:r>
    </w:p>
    <w:p w14:paraId="487F2C5A" w14:textId="77777777" w:rsidR="00421BB5" w:rsidRPr="00914CF9" w:rsidRDefault="00421BB5" w:rsidP="00421BB5">
      <w:pPr>
        <w:spacing w:line="360" w:lineRule="exact"/>
        <w:ind w:leftChars="200" w:left="1601" w:hangingChars="400" w:hanging="1121"/>
        <w:jc w:val="both"/>
        <w:rPr>
          <w:rFonts w:ascii="標楷體" w:eastAsia="標楷體" w:hAnsi="標楷體"/>
          <w:b/>
          <w:sz w:val="28"/>
          <w:szCs w:val="28"/>
        </w:rPr>
      </w:pPr>
      <w:r w:rsidRPr="00914CF9">
        <w:rPr>
          <w:rFonts w:ascii="標楷體" w:eastAsia="標楷體" w:hAnsi="標楷體"/>
          <w:b/>
          <w:sz w:val="28"/>
          <w:szCs w:val="28"/>
        </w:rPr>
        <w:t>本項通過決議</w:t>
      </w:r>
      <w:r w:rsidRPr="00914CF9">
        <w:rPr>
          <w:rFonts w:ascii="標楷體" w:eastAsia="標楷體" w:hAnsi="標楷體" w:hint="eastAsia"/>
          <w:b/>
          <w:sz w:val="28"/>
          <w:szCs w:val="28"/>
        </w:rPr>
        <w:t>10</w:t>
      </w:r>
      <w:r w:rsidRPr="00914CF9">
        <w:rPr>
          <w:rFonts w:ascii="標楷體" w:eastAsia="標楷體" w:hAnsi="標楷體"/>
          <w:b/>
          <w:sz w:val="28"/>
          <w:szCs w:val="28"/>
        </w:rPr>
        <w:t>項：</w:t>
      </w:r>
    </w:p>
    <w:p w14:paraId="51D56185" w14:textId="77777777" w:rsidR="00421BB5" w:rsidRPr="00914CF9" w:rsidRDefault="00421BB5" w:rsidP="00421BB5">
      <w:pPr>
        <w:pStyle w:val="0-"/>
      </w:pPr>
      <w:r w:rsidRPr="00914CF9">
        <w:rPr>
          <w:rFonts w:hint="eastAsia"/>
        </w:rPr>
        <w:t>(一)</w:t>
      </w:r>
      <w:r w:rsidRPr="00914CF9">
        <w:t>根據國史館說明，該館係基於總統副總統文物管理條例之相關規定，以「總統副總統文物展」為主題常態策展，未就該展覽</w:t>
      </w:r>
      <w:r w:rsidRPr="00914CF9">
        <w:lastRenderedPageBreak/>
        <w:t>之維運所需經費單獨編列預算，至於目前各年度策展之經費需求，包括展場之水電費用與清潔維護、空調照明設備維護、展件設備維修、展覽主題或展品更新、志工培訓保險與教育推廣活動等項目，係分別於國史館「一般行政」、「檔案文物管理與編纂」等相關業務計畫科目項下勻支。「總統副總統文物展」自99年10月策展以來，近</w:t>
      </w:r>
      <w:r w:rsidRPr="00914CF9">
        <w:rPr>
          <w:rFonts w:hint="eastAsia"/>
        </w:rPr>
        <w:t>三</w:t>
      </w:r>
      <w:r w:rsidRPr="00914CF9">
        <w:t>(108至110)年度之維運經費決算數分別為146萬4千元、232萬8千元及234萬7千元，平均每年維運經費約204萬6千元</w:t>
      </w:r>
      <w:r w:rsidRPr="00914CF9">
        <w:rPr>
          <w:rFonts w:hint="eastAsia"/>
        </w:rPr>
        <w:t>；為因疫情及展覽內容更換之因素，參觀人次</w:t>
      </w:r>
      <w:r w:rsidRPr="00914CF9">
        <w:t>自107年度之6,271人次至111年度之2,573人次，略呈下滑情形</w:t>
      </w:r>
      <w:r w:rsidRPr="00914CF9">
        <w:rPr>
          <w:rFonts w:hint="eastAsia"/>
        </w:rPr>
        <w:t>，</w:t>
      </w:r>
      <w:r w:rsidRPr="00914CF9">
        <w:t>根據國史館之說明，「總統副總統文物展」108至111年度分別係因更換展覽內容、疫情等影響，致整體參觀人次有所減少</w:t>
      </w:r>
      <w:r w:rsidRPr="00914CF9">
        <w:rPr>
          <w:rFonts w:hint="eastAsia"/>
        </w:rPr>
        <w:t>。</w:t>
      </w:r>
    </w:p>
    <w:p w14:paraId="020B0995" w14:textId="77777777" w:rsidR="00421BB5" w:rsidRPr="00914CF9" w:rsidRDefault="00421BB5" w:rsidP="00421BB5">
      <w:pPr>
        <w:pStyle w:val="0-2"/>
      </w:pPr>
      <w:r w:rsidRPr="00914CF9">
        <w:rPr>
          <w:rFonts w:hint="eastAsia"/>
        </w:rPr>
        <w:t>爰此，國史館允宜參考其他藝文、博物館機構因應疫情方式，思考運用數位科技辦理線上展覽之可行性，並於1個月內向立法院司法及法制委員會提出書面報告。</w:t>
      </w:r>
    </w:p>
    <w:p w14:paraId="7C7B3992" w14:textId="77777777" w:rsidR="00421BB5" w:rsidRPr="00914CF9" w:rsidRDefault="00421BB5" w:rsidP="00421BB5">
      <w:pPr>
        <w:pStyle w:val="2-1"/>
      </w:pPr>
      <w:r w:rsidRPr="00914CF9">
        <w:rPr>
          <w:rFonts w:hint="eastAsia"/>
        </w:rPr>
        <w:t>提案人：林思銘</w:t>
      </w:r>
      <w:r w:rsidRPr="00914CF9">
        <w:t xml:space="preserve"> </w:t>
      </w:r>
    </w:p>
    <w:p w14:paraId="1E5C88D5" w14:textId="77777777" w:rsidR="00421BB5" w:rsidRPr="00914CF9" w:rsidRDefault="00421BB5" w:rsidP="00421BB5">
      <w:pPr>
        <w:pStyle w:val="2-1"/>
      </w:pPr>
      <w:r w:rsidRPr="00914CF9">
        <w:rPr>
          <w:rFonts w:hint="eastAsia"/>
        </w:rPr>
        <w:t>連署人：陳以信 游毓蘭</w:t>
      </w:r>
    </w:p>
    <w:p w14:paraId="5EFA286C" w14:textId="77777777" w:rsidR="00421BB5" w:rsidRPr="00914CF9" w:rsidRDefault="00421BB5" w:rsidP="00421BB5">
      <w:pPr>
        <w:pStyle w:val="0-"/>
      </w:pPr>
      <w:r w:rsidRPr="00914CF9">
        <w:rPr>
          <w:rFonts w:hint="eastAsia"/>
        </w:rPr>
        <w:t>(二)勞動部推動「員工協助方案」(Employee Assistance Programs,簡稱EAPs)是企業透過系統化的專業服務，規劃方案與提供資源，以預防及解決可能導致員工工作生產力下降的組織與個人議題，使員工能以健康的身心投入工作，讓企業提升競爭力，塑造勞資雙贏。</w:t>
      </w:r>
    </w:p>
    <w:p w14:paraId="3DED974B" w14:textId="77777777" w:rsidR="00421BB5" w:rsidRPr="00914CF9" w:rsidRDefault="00421BB5" w:rsidP="00421BB5">
      <w:pPr>
        <w:pStyle w:val="0-2"/>
      </w:pPr>
      <w:r w:rsidRPr="00914CF9">
        <w:rPr>
          <w:rFonts w:hint="eastAsia"/>
        </w:rPr>
        <w:t>但查國史館112年度預算，並未編列相關預算，國史館身為政府重要機關，應做為表率，妥善落實員工協助方案。</w:t>
      </w:r>
    </w:p>
    <w:p w14:paraId="5ED1ECD7" w14:textId="77777777" w:rsidR="00421BB5" w:rsidRPr="00914CF9" w:rsidRDefault="00421BB5" w:rsidP="00421BB5">
      <w:pPr>
        <w:pStyle w:val="2-1"/>
      </w:pPr>
      <w:r w:rsidRPr="00914CF9">
        <w:rPr>
          <w:rFonts w:hint="eastAsia"/>
        </w:rPr>
        <w:t xml:space="preserve">提案人：劉建國 江永昌 黃世杰 </w:t>
      </w:r>
    </w:p>
    <w:p w14:paraId="3677D0B8" w14:textId="77777777" w:rsidR="00421BB5" w:rsidRPr="00914CF9" w:rsidRDefault="00421BB5" w:rsidP="00421BB5">
      <w:pPr>
        <w:pStyle w:val="0-"/>
      </w:pPr>
      <w:r w:rsidRPr="00914CF9">
        <w:rPr>
          <w:rFonts w:hint="eastAsia"/>
        </w:rPr>
        <w:t>(三)查112年度國史館歲出預算「檔案文物管理與編纂」編列3</w:t>
      </w:r>
      <w:r w:rsidRPr="00914CF9">
        <w:t>,</w:t>
      </w:r>
      <w:r w:rsidRPr="00914CF9">
        <w:rPr>
          <w:rFonts w:hint="eastAsia"/>
        </w:rPr>
        <w:t>038萬元，其主要妥善典藏與維護總統、副總統文物，以確保國有財產之安全，並加以推廣應用。並妥善典藏管理國家重要檔案史料及書刊文獻，透過資訊網路開放供各界查詢、閱覽應用。然查國史館乃國家最高層級的歷史纂修機構，所舉辦的活動可以是學術的、文化的、多元的，但不能與國家定位有所扞格。故國史館舉辦之活動不應出現否定中華民國之言論，綜觀國史館辦理之演講活動包括噶瑪蘭、台九線、排灣族、大雞籠社、中壢事件等議題，另有嘉南平原、花蓮等地域族群議題，明顯忽略金門在中華民國歷史中所占的重要地位，爰請國史館辦理金門在中華民國歷史上重要發展與重要地位相關論述之演講等活動。</w:t>
      </w:r>
    </w:p>
    <w:p w14:paraId="2D8EE9CD" w14:textId="77777777" w:rsidR="00421BB5" w:rsidRPr="00914CF9" w:rsidRDefault="00421BB5" w:rsidP="00421BB5">
      <w:pPr>
        <w:pStyle w:val="2-1"/>
      </w:pPr>
      <w:r w:rsidRPr="00914CF9">
        <w:rPr>
          <w:rFonts w:hint="eastAsia"/>
        </w:rPr>
        <w:t>提案人：陳玉珍</w:t>
      </w:r>
    </w:p>
    <w:p w14:paraId="5EAC37D6" w14:textId="77777777" w:rsidR="00421BB5" w:rsidRPr="00914CF9" w:rsidRDefault="00421BB5" w:rsidP="00421BB5">
      <w:pPr>
        <w:pStyle w:val="2-1"/>
      </w:pPr>
      <w:r w:rsidRPr="00914CF9">
        <w:rPr>
          <w:rFonts w:hint="eastAsia"/>
        </w:rPr>
        <w:t>連署人：游毓蘭 曾銘宗</w:t>
      </w:r>
    </w:p>
    <w:p w14:paraId="0FE6E8D5" w14:textId="77777777" w:rsidR="00421BB5" w:rsidRPr="00914CF9" w:rsidRDefault="00421BB5" w:rsidP="00421BB5">
      <w:pPr>
        <w:pStyle w:val="0-"/>
      </w:pPr>
      <w:r w:rsidRPr="00914CF9">
        <w:rPr>
          <w:rFonts w:hint="eastAsia"/>
        </w:rPr>
        <w:t>(四)查112年度國史館歲出預算「檔案文物管理與編纂」編列3</w:t>
      </w:r>
      <w:r w:rsidRPr="00914CF9">
        <w:t>,0</w:t>
      </w:r>
      <w:r w:rsidRPr="00914CF9">
        <w:rPr>
          <w:rFonts w:hint="eastAsia"/>
        </w:rPr>
        <w:t>38</w:t>
      </w:r>
      <w:r w:rsidRPr="00914CF9">
        <w:rPr>
          <w:rFonts w:hint="eastAsia"/>
        </w:rPr>
        <w:lastRenderedPageBreak/>
        <w:t>萬元，其主要妥善典藏與維護總統、副總統文物，以確保國有財產之安全，並加以推廣應用。並妥善典藏管理國家重要檔案史料及書刊文獻，透過資訊網路開放供各界查詢、閱覽應用。然查有前總統之重要文膽為文投書表示國史館對前總統之大溪檔案文件，未完整公開。雖國史館對外澄清，且稱會加強告訴大眾如何上網查詢史料及如何解讀史料，然顯見國史館未做到讓各界有充分資訊，閱覽應用國家重要檔案史料及書刊文獻，應強化推廣，落實政府資訊公開。</w:t>
      </w:r>
    </w:p>
    <w:p w14:paraId="287EEFEC" w14:textId="77777777" w:rsidR="00421BB5" w:rsidRPr="00914CF9" w:rsidRDefault="00421BB5" w:rsidP="00421BB5">
      <w:pPr>
        <w:pStyle w:val="2-1"/>
      </w:pPr>
      <w:r w:rsidRPr="00914CF9">
        <w:rPr>
          <w:rFonts w:hint="eastAsia"/>
        </w:rPr>
        <w:t>提案人：陳玉珍</w:t>
      </w:r>
    </w:p>
    <w:p w14:paraId="28C70195" w14:textId="77777777" w:rsidR="00421BB5" w:rsidRPr="00914CF9" w:rsidRDefault="00421BB5" w:rsidP="00421BB5">
      <w:pPr>
        <w:pStyle w:val="2-1"/>
      </w:pPr>
      <w:r w:rsidRPr="00914CF9">
        <w:rPr>
          <w:rFonts w:hint="eastAsia"/>
        </w:rPr>
        <w:t>連署人：游毓蘭 曾銘宗</w:t>
      </w:r>
    </w:p>
    <w:p w14:paraId="75948A97" w14:textId="77777777" w:rsidR="00421BB5" w:rsidRPr="00914CF9" w:rsidRDefault="00421BB5" w:rsidP="00421BB5">
      <w:pPr>
        <w:pStyle w:val="0-"/>
      </w:pPr>
      <w:r w:rsidRPr="00914CF9">
        <w:rPr>
          <w:rFonts w:hint="eastAsia"/>
        </w:rPr>
        <w:t>(五)112年度國史館歲出預算編列「檔案文物管理與編纂」項下「文物管理應用」中「業務費」4</w:t>
      </w:r>
      <w:r w:rsidRPr="00914CF9">
        <w:t>29</w:t>
      </w:r>
      <w:r w:rsidRPr="00914CF9">
        <w:rPr>
          <w:rFonts w:hint="eastAsia"/>
        </w:rPr>
        <w:t>萬</w:t>
      </w:r>
      <w:r w:rsidRPr="00914CF9">
        <w:t>6</w:t>
      </w:r>
      <w:r w:rsidRPr="00914CF9">
        <w:rPr>
          <w:rFonts w:hint="eastAsia"/>
        </w:rPr>
        <w:t>千元，其中1項業務為館藏檔案文物史料之推廣應用活動等業務。1</w:t>
      </w:r>
      <w:r w:rsidRPr="00914CF9">
        <w:t>12</w:t>
      </w:r>
      <w:r w:rsidRPr="00914CF9">
        <w:rPr>
          <w:rFonts w:hint="eastAsia"/>
        </w:rPr>
        <w:t>年為開羅會議召開8</w:t>
      </w:r>
      <w:r w:rsidRPr="00914CF9">
        <w:t>0</w:t>
      </w:r>
      <w:r w:rsidRPr="00914CF9">
        <w:rPr>
          <w:rFonts w:hint="eastAsia"/>
        </w:rPr>
        <w:t>週年紀念，國史館允就開羅會議8</w:t>
      </w:r>
      <w:r w:rsidRPr="00914CF9">
        <w:t>0</w:t>
      </w:r>
      <w:r w:rsidRPr="00914CF9">
        <w:rPr>
          <w:rFonts w:hint="eastAsia"/>
        </w:rPr>
        <w:t>週年舉辦紀念活動，並於1個月內</w:t>
      </w:r>
      <w:r w:rsidRPr="00914CF9">
        <w:t>向立法院司法及法制委員會提出書面報告</w:t>
      </w:r>
      <w:r w:rsidRPr="00914CF9">
        <w:rPr>
          <w:rFonts w:hint="eastAsia"/>
        </w:rPr>
        <w:t>。</w:t>
      </w:r>
    </w:p>
    <w:p w14:paraId="5E95BE69" w14:textId="77777777" w:rsidR="00421BB5" w:rsidRPr="00914CF9" w:rsidRDefault="00421BB5" w:rsidP="00421BB5">
      <w:pPr>
        <w:pStyle w:val="2-1"/>
      </w:pPr>
      <w:r w:rsidRPr="00914CF9">
        <w:rPr>
          <w:rFonts w:hint="eastAsia"/>
        </w:rPr>
        <w:t>提案人：陳以信</w:t>
      </w:r>
    </w:p>
    <w:p w14:paraId="31B6B037" w14:textId="77777777" w:rsidR="00421BB5" w:rsidRPr="00914CF9" w:rsidRDefault="00421BB5" w:rsidP="00421BB5">
      <w:pPr>
        <w:pStyle w:val="2-1"/>
      </w:pPr>
      <w:r w:rsidRPr="00914CF9">
        <w:rPr>
          <w:rFonts w:hint="eastAsia"/>
        </w:rPr>
        <w:t>連署人：林思銘 游毓蘭</w:t>
      </w:r>
    </w:p>
    <w:p w14:paraId="4893014D" w14:textId="77777777" w:rsidR="00421BB5" w:rsidRPr="00914CF9" w:rsidRDefault="00421BB5" w:rsidP="00421BB5">
      <w:pPr>
        <w:pStyle w:val="0-"/>
      </w:pPr>
      <w:r w:rsidRPr="00914CF9">
        <w:rPr>
          <w:rFonts w:hint="eastAsia"/>
        </w:rPr>
        <w:t>(六)112年度國史館歲出</w:t>
      </w:r>
      <w:r w:rsidRPr="00914CF9">
        <w:rPr>
          <w:rFonts w:hint="eastAsia"/>
          <w:bCs/>
        </w:rPr>
        <w:t>預算</w:t>
      </w:r>
      <w:r w:rsidRPr="00914CF9">
        <w:rPr>
          <w:rFonts w:hint="eastAsia"/>
        </w:rPr>
        <w:t>「</w:t>
      </w:r>
      <w:r w:rsidRPr="00914CF9">
        <w:rPr>
          <w:rFonts w:hint="eastAsia"/>
          <w:bCs/>
        </w:rPr>
        <w:t>檔案文物管理與編纂</w:t>
      </w:r>
      <w:r w:rsidRPr="00914CF9">
        <w:rPr>
          <w:rFonts w:hint="eastAsia"/>
        </w:rPr>
        <w:t>」項下「</w:t>
      </w:r>
      <w:r w:rsidRPr="00914CF9">
        <w:rPr>
          <w:rFonts w:hint="eastAsia"/>
          <w:bCs/>
        </w:rPr>
        <w:t>文物管理應用</w:t>
      </w:r>
      <w:r w:rsidRPr="00914CF9">
        <w:rPr>
          <w:rFonts w:hint="eastAsia"/>
        </w:rPr>
        <w:t>」中「</w:t>
      </w:r>
      <w:r w:rsidRPr="00914CF9">
        <w:rPr>
          <w:rFonts w:hint="eastAsia"/>
          <w:bCs/>
        </w:rPr>
        <w:t>業務費</w:t>
      </w:r>
      <w:r w:rsidRPr="00914CF9">
        <w:rPr>
          <w:rFonts w:hint="eastAsia"/>
        </w:rPr>
        <w:t>」之「</w:t>
      </w:r>
      <w:r w:rsidRPr="00914CF9">
        <w:rPr>
          <w:rFonts w:hint="eastAsia"/>
          <w:bCs/>
        </w:rPr>
        <w:t>一般事務費」編列</w:t>
      </w:r>
      <w:r w:rsidRPr="00914CF9">
        <w:rPr>
          <w:bCs/>
        </w:rPr>
        <w:t>263</w:t>
      </w:r>
      <w:r w:rsidRPr="00914CF9">
        <w:rPr>
          <w:rFonts w:hint="eastAsia"/>
          <w:bCs/>
        </w:rPr>
        <w:t>萬元。</w:t>
      </w:r>
      <w:r w:rsidRPr="00914CF9">
        <w:rPr>
          <w:rFonts w:hint="eastAsia"/>
        </w:rPr>
        <w:t>111</w:t>
      </w:r>
      <w:r w:rsidRPr="00914CF9">
        <w:rPr>
          <w:rFonts w:hint="eastAsia"/>
          <w:bCs/>
        </w:rPr>
        <w:t>年度為《中日和約》簽署與生效</w:t>
      </w:r>
      <w:r w:rsidRPr="00914CF9">
        <w:rPr>
          <w:bCs/>
        </w:rPr>
        <w:t>70周年，針對此一</w:t>
      </w:r>
      <w:r w:rsidRPr="00914CF9">
        <w:rPr>
          <w:rFonts w:hint="eastAsia"/>
          <w:bCs/>
        </w:rPr>
        <w:t>決定臺灣回歸中華民國</w:t>
      </w:r>
      <w:r w:rsidRPr="00914CF9">
        <w:rPr>
          <w:bCs/>
        </w:rPr>
        <w:t>的紀念日</w:t>
      </w:r>
      <w:r w:rsidRPr="00914CF9">
        <w:rPr>
          <w:rFonts w:hint="eastAsia"/>
          <w:bCs/>
        </w:rPr>
        <w:t>，國史館卻未辦理任何實體展覽活動，而以線上展覽辦理此</w:t>
      </w:r>
      <w:r w:rsidRPr="00914CF9">
        <w:rPr>
          <w:bCs/>
        </w:rPr>
        <w:t>紀念</w:t>
      </w:r>
      <w:r w:rsidRPr="00914CF9">
        <w:rPr>
          <w:rFonts w:hint="eastAsia"/>
          <w:bCs/>
        </w:rPr>
        <w:t>活動，並將簽約銅像，以及簽約、生效及換文之相關檔案照片等移展至</w:t>
      </w:r>
      <w:r w:rsidRPr="00914CF9">
        <w:t>國史館臺灣文獻館</w:t>
      </w:r>
      <w:r w:rsidRPr="00914CF9">
        <w:rPr>
          <w:rFonts w:hint="eastAsia"/>
        </w:rPr>
        <w:t>，允多加推廣此一紀念活動，並於1個月內向</w:t>
      </w:r>
      <w:r w:rsidRPr="00914CF9">
        <w:t>立法院司法及法制委員會提出書面報告</w:t>
      </w:r>
      <w:r w:rsidRPr="00914CF9">
        <w:rPr>
          <w:rFonts w:hint="eastAsia"/>
        </w:rPr>
        <w:t>。</w:t>
      </w:r>
    </w:p>
    <w:p w14:paraId="4AA5C036" w14:textId="77777777" w:rsidR="00421BB5" w:rsidRPr="00914CF9" w:rsidRDefault="00421BB5" w:rsidP="00421BB5">
      <w:pPr>
        <w:pStyle w:val="2-1"/>
      </w:pPr>
      <w:r w:rsidRPr="00914CF9">
        <w:rPr>
          <w:rFonts w:hint="eastAsia"/>
        </w:rPr>
        <w:t>提案人：陳以信</w:t>
      </w:r>
    </w:p>
    <w:p w14:paraId="53CBBE45" w14:textId="77777777" w:rsidR="00421BB5" w:rsidRPr="00914CF9" w:rsidRDefault="00421BB5" w:rsidP="00421BB5">
      <w:pPr>
        <w:pStyle w:val="2-1"/>
      </w:pPr>
      <w:r w:rsidRPr="00914CF9">
        <w:rPr>
          <w:rFonts w:hint="eastAsia"/>
        </w:rPr>
        <w:t>連署人：林思銘 游毓蘭</w:t>
      </w:r>
    </w:p>
    <w:p w14:paraId="4A4F3110" w14:textId="77777777" w:rsidR="00421BB5" w:rsidRPr="00914CF9" w:rsidRDefault="00421BB5" w:rsidP="00421BB5">
      <w:pPr>
        <w:pStyle w:val="0-"/>
      </w:pPr>
      <w:r w:rsidRPr="00914CF9">
        <w:rPr>
          <w:rFonts w:hint="eastAsia"/>
        </w:rPr>
        <w:t>(七)</w:t>
      </w:r>
      <w:r w:rsidRPr="00914CF9">
        <w:t>依國史館組織條例第2條規定，該館主要職掌事項包括：史料之蒐集、整理、複製、典藏、應用、展覽、管理、參考諮詢等事項。為落實「公開政府」及「資訊公開」政策，近年積極推動數位化服務，112年度</w:t>
      </w:r>
      <w:r w:rsidRPr="00914CF9">
        <w:rPr>
          <w:rFonts w:hint="eastAsia"/>
        </w:rPr>
        <w:t>國史館歲出預算</w:t>
      </w:r>
      <w:r w:rsidRPr="00914CF9">
        <w:t>於「檔案文物管理與編纂</w:t>
      </w:r>
      <w:r w:rsidRPr="00914CF9">
        <w:rPr>
          <w:rFonts w:hint="eastAsia"/>
        </w:rPr>
        <w:t>」項下「</w:t>
      </w:r>
      <w:r w:rsidRPr="00914CF9">
        <w:t>檔案管理應用」編列</w:t>
      </w:r>
      <w:r w:rsidRPr="00914CF9">
        <w:rPr>
          <w:rFonts w:hint="eastAsia"/>
        </w:rPr>
        <w:t>186</w:t>
      </w:r>
      <w:r w:rsidRPr="00914CF9">
        <w:t>萬</w:t>
      </w:r>
      <w:r w:rsidRPr="00914CF9">
        <w:rPr>
          <w:rFonts w:hint="eastAsia"/>
        </w:rPr>
        <w:t>8</w:t>
      </w:r>
      <w:r w:rsidRPr="00914CF9">
        <w:t>千元，以因應讀者申請應用館藏檔案史料數位化作業相關經費。經查：依該館提供資料顯示，截至1</w:t>
      </w:r>
      <w:r w:rsidRPr="00914CF9">
        <w:rPr>
          <w:rFonts w:hint="eastAsia"/>
        </w:rPr>
        <w:t>11</w:t>
      </w:r>
      <w:r w:rsidRPr="00914CF9">
        <w:t>年</w:t>
      </w:r>
      <w:r w:rsidRPr="00914CF9">
        <w:rPr>
          <w:rFonts w:hint="eastAsia"/>
        </w:rPr>
        <w:t>6</w:t>
      </w:r>
      <w:r w:rsidRPr="00914CF9">
        <w:t>月底該館入藏登錄之文件47</w:t>
      </w:r>
      <w:r w:rsidRPr="00914CF9">
        <w:rPr>
          <w:rFonts w:hint="eastAsia"/>
        </w:rPr>
        <w:t>萬</w:t>
      </w:r>
      <w:r w:rsidRPr="00914CF9">
        <w:t>2,135卷、照底片數</w:t>
      </w:r>
      <w:r w:rsidRPr="00914CF9">
        <w:rPr>
          <w:rFonts w:hint="eastAsia"/>
        </w:rPr>
        <w:t>6</w:t>
      </w:r>
      <w:r w:rsidRPr="00914CF9">
        <w:t>,</w:t>
      </w:r>
      <w:r w:rsidRPr="00914CF9">
        <w:rPr>
          <w:rFonts w:hint="eastAsia"/>
        </w:rPr>
        <w:t>429</w:t>
      </w:r>
      <w:r w:rsidRPr="00914CF9">
        <w:t>卷，合計47萬</w:t>
      </w:r>
      <w:r w:rsidRPr="00914CF9">
        <w:rPr>
          <w:rFonts w:hint="eastAsia"/>
        </w:rPr>
        <w:t>8</w:t>
      </w:r>
      <w:r w:rsidRPr="00914CF9">
        <w:t>,564卷，已全數整編完竣，其中完成數位掃描數量為文件27萬</w:t>
      </w:r>
      <w:r w:rsidRPr="00914CF9">
        <w:rPr>
          <w:rFonts w:hint="eastAsia"/>
        </w:rPr>
        <w:t>0</w:t>
      </w:r>
      <w:r w:rsidRPr="00914CF9">
        <w:t>,964卷、照底片數</w:t>
      </w:r>
      <w:r w:rsidRPr="00914CF9">
        <w:rPr>
          <w:rFonts w:hint="eastAsia"/>
        </w:rPr>
        <w:t>6</w:t>
      </w:r>
      <w:r w:rsidRPr="00914CF9">
        <w:t>,429卷，合計</w:t>
      </w:r>
      <w:r w:rsidRPr="00914CF9">
        <w:rPr>
          <w:rFonts w:hint="eastAsia"/>
        </w:rPr>
        <w:t>2</w:t>
      </w:r>
      <w:r w:rsidRPr="00914CF9">
        <w:t>7萬5,041卷，即仍有20萬</w:t>
      </w:r>
      <w:r w:rsidRPr="00914CF9">
        <w:rPr>
          <w:rFonts w:hint="eastAsia"/>
        </w:rPr>
        <w:t>3</w:t>
      </w:r>
      <w:r w:rsidRPr="00914CF9">
        <w:t>,523卷未完成數位掃描，占43.10%，比率偏高。</w:t>
      </w:r>
    </w:p>
    <w:p w14:paraId="5B19FE0A" w14:textId="77777777" w:rsidR="00421BB5" w:rsidRPr="00914CF9" w:rsidRDefault="00421BB5" w:rsidP="00421BB5">
      <w:pPr>
        <w:pStyle w:val="0-2"/>
      </w:pPr>
      <w:r w:rsidRPr="00914CF9">
        <w:rPr>
          <w:rFonts w:hint="eastAsia"/>
        </w:rPr>
        <w:t>綜上所述，請國史館應於3個月內向立法院司法及法制委員會提出國史館館藏數位化進度書面報告。</w:t>
      </w:r>
    </w:p>
    <w:p w14:paraId="0F33AD90" w14:textId="77777777" w:rsidR="00421BB5" w:rsidRPr="00914CF9" w:rsidRDefault="00421BB5" w:rsidP="00421BB5">
      <w:pPr>
        <w:pStyle w:val="2-1"/>
      </w:pPr>
      <w:r w:rsidRPr="00914CF9">
        <w:rPr>
          <w:rFonts w:hint="eastAsia"/>
        </w:rPr>
        <w:lastRenderedPageBreak/>
        <w:t>提案人：黃世杰</w:t>
      </w:r>
    </w:p>
    <w:p w14:paraId="4C961E51" w14:textId="77777777" w:rsidR="00421BB5" w:rsidRPr="00914CF9" w:rsidRDefault="00421BB5" w:rsidP="00421BB5">
      <w:pPr>
        <w:pStyle w:val="2-1"/>
      </w:pPr>
      <w:r w:rsidRPr="00914CF9">
        <w:rPr>
          <w:rFonts w:hint="eastAsia"/>
        </w:rPr>
        <w:t>連署人：江永昌 陳歐珀</w:t>
      </w:r>
    </w:p>
    <w:p w14:paraId="3615DB53" w14:textId="77777777" w:rsidR="00421BB5" w:rsidRPr="00914CF9" w:rsidRDefault="00421BB5" w:rsidP="00421BB5">
      <w:pPr>
        <w:pStyle w:val="0-"/>
      </w:pPr>
      <w:r w:rsidRPr="00914CF9">
        <w:rPr>
          <w:rFonts w:hint="eastAsia"/>
        </w:rPr>
        <w:t>(八)</w:t>
      </w:r>
      <w:r w:rsidRPr="00914CF9">
        <w:t>據國史館說明，有關建置總統資料庫之目的，係考量以專業資料庫系統整合與聯結館內外資源，並提供撰述研究應用指引，期能以結構性呈現相關史料，展示個別總統於各時期人際網絡與時空座標下主要活動足跡與事蹟，彰顯檔案文物史料多樣化資訊，俾供各界參考運用</w:t>
      </w:r>
      <w:r w:rsidRPr="00914CF9">
        <w:rPr>
          <w:rFonts w:hint="eastAsia"/>
        </w:rPr>
        <w:t>。截至111年8月底，國史館就辦理總統資料庫業務之工作，主要進行李故總統之資料蒐整，資料庫系統開發、建置、擴充、測試驗收與開放運用，</w:t>
      </w:r>
      <w:r w:rsidRPr="00914CF9">
        <w:t>包括開發建置「歷任總統資料庫」計畫項下「李登輝總統資料庫」網站</w:t>
      </w:r>
      <w:r w:rsidRPr="00914CF9">
        <w:rPr>
          <w:rFonts w:hint="eastAsia"/>
        </w:rPr>
        <w:t>、蒐集</w:t>
      </w:r>
      <w:r w:rsidRPr="00914CF9">
        <w:t>國史館張前館長炎憲主訪李故總統口述影音、目錄及全文逐字檔分析與著錄</w:t>
      </w:r>
      <w:r w:rsidRPr="00914CF9">
        <w:rPr>
          <w:rFonts w:hint="eastAsia"/>
        </w:rPr>
        <w:t>，而112年度推動總統資料庫業務之規劃方向，主要是為擴充李故總統資料庫系統，並規劃於113年度1月上線。</w:t>
      </w:r>
    </w:p>
    <w:p w14:paraId="7F8BC714" w14:textId="77777777" w:rsidR="00421BB5" w:rsidRPr="00914CF9" w:rsidRDefault="00421BB5" w:rsidP="00421BB5">
      <w:pPr>
        <w:pStyle w:val="0-2"/>
      </w:pPr>
      <w:r w:rsidRPr="00914CF9">
        <w:rPr>
          <w:rFonts w:hint="eastAsia"/>
        </w:rPr>
        <w:t>惟總統資料庫系統之建置與擴充，允宜留意採集資料本身及相關研析撰稿內容之客觀性與完整性，始符合國史館於112年度單位預算總說明提及之施政目標。</w:t>
      </w:r>
    </w:p>
    <w:p w14:paraId="306158DB" w14:textId="77777777" w:rsidR="00421BB5" w:rsidRPr="00914CF9" w:rsidRDefault="00421BB5" w:rsidP="00421BB5">
      <w:pPr>
        <w:pStyle w:val="0-2"/>
      </w:pPr>
      <w:r w:rsidRPr="00914CF9">
        <w:rPr>
          <w:rFonts w:hint="eastAsia"/>
        </w:rPr>
        <w:t>爰此，國史館允宜參考其他藝文、博物館機構因應疫情方式，思考運用數位科技辦理線上展覽之可行性，並於1個月內向立法院司法及法制委員會提出書面報告。</w:t>
      </w:r>
    </w:p>
    <w:p w14:paraId="219A9683" w14:textId="77777777" w:rsidR="00421BB5" w:rsidRPr="00914CF9" w:rsidRDefault="00421BB5" w:rsidP="00421BB5">
      <w:pPr>
        <w:pStyle w:val="2-1"/>
      </w:pPr>
      <w:r w:rsidRPr="00914CF9">
        <w:rPr>
          <w:rFonts w:hint="eastAsia"/>
        </w:rPr>
        <w:t>提案人：林思銘</w:t>
      </w:r>
    </w:p>
    <w:p w14:paraId="428CE7F9" w14:textId="77777777" w:rsidR="00421BB5" w:rsidRPr="00914CF9" w:rsidRDefault="00421BB5" w:rsidP="00421BB5">
      <w:pPr>
        <w:pStyle w:val="2-1"/>
      </w:pPr>
      <w:r w:rsidRPr="00914CF9">
        <w:rPr>
          <w:rFonts w:hint="eastAsia"/>
        </w:rPr>
        <w:t>連署人：陳以信 游毓蘭</w:t>
      </w:r>
    </w:p>
    <w:p w14:paraId="32AC00C4" w14:textId="77777777" w:rsidR="00421BB5" w:rsidRPr="00914CF9" w:rsidRDefault="00421BB5" w:rsidP="00421BB5">
      <w:pPr>
        <w:pStyle w:val="0-"/>
      </w:pPr>
      <w:r w:rsidRPr="00914CF9">
        <w:rPr>
          <w:rFonts w:hint="eastAsia"/>
        </w:rPr>
        <w:t>(九)為利全民瞭解歷史真相，避免遭受扭曲，要求國史館於112年6月底前將「大溪檔案」中，有關蔣前總統中正批示部分全部公布，爰要求國史館就辦理情形於3個月內向立法院司法及法制委員會提出書面報告。</w:t>
      </w:r>
    </w:p>
    <w:p w14:paraId="0BA639B8" w14:textId="77777777" w:rsidR="00421BB5" w:rsidRPr="00914CF9" w:rsidRDefault="00421BB5" w:rsidP="00421BB5">
      <w:pPr>
        <w:pStyle w:val="2-1"/>
      </w:pPr>
      <w:r w:rsidRPr="00914CF9">
        <w:rPr>
          <w:rFonts w:hint="eastAsia"/>
        </w:rPr>
        <w:t>提案人：曾銘宗</w:t>
      </w:r>
      <w:r w:rsidRPr="00914CF9">
        <w:t xml:space="preserve"> </w:t>
      </w:r>
      <w:r w:rsidRPr="00914CF9">
        <w:rPr>
          <w:rFonts w:hint="eastAsia"/>
        </w:rPr>
        <w:t>陳以信 林思銘</w:t>
      </w:r>
    </w:p>
    <w:p w14:paraId="03010B82" w14:textId="77777777" w:rsidR="00421BB5" w:rsidRPr="00914CF9" w:rsidRDefault="00421BB5" w:rsidP="00421BB5">
      <w:pPr>
        <w:pStyle w:val="0-"/>
      </w:pPr>
      <w:r w:rsidRPr="00914CF9">
        <w:rPr>
          <w:rFonts w:hint="eastAsia"/>
        </w:rPr>
        <w:t>(十)國史館為國內重要檔案史料庋藏機關，典藏機關及私人移轉、捐贈的檔案、史料及總統副總統文物。館藏檔案史料約47萬餘卷，總統副總統印章、勳章、禮品、衣飾及物品等文物約6千餘件。以國民政府等運臺機關檔案及中華民國行憲以來蔣中正、嚴家淦、蔣經國、李登輝、陳水扁、馬英九、蔡英文等歷任總統、副總統文物史料為主要典藏特色，國人得以見證國家發展歷程及不同時期國家領袖主政情況。國史館辦理中華民國歷史檔案各項業務，不得有意識型態，或有黨政不分之情形，務必秉持專業客觀、公平中立為原則，爰要求國史館於3個月內向立法院司法及法制委員會提出書面報告。</w:t>
      </w:r>
    </w:p>
    <w:p w14:paraId="5A232E86" w14:textId="77777777" w:rsidR="00421BB5" w:rsidRPr="00914CF9" w:rsidRDefault="00421BB5" w:rsidP="00421BB5">
      <w:pPr>
        <w:pStyle w:val="2-1"/>
      </w:pPr>
      <w:r w:rsidRPr="00914CF9">
        <w:rPr>
          <w:rFonts w:hint="eastAsia"/>
        </w:rPr>
        <w:t>提案人：曾銘宗</w:t>
      </w:r>
      <w:r w:rsidRPr="00914CF9">
        <w:t xml:space="preserve"> </w:t>
      </w:r>
      <w:r w:rsidRPr="00914CF9">
        <w:rPr>
          <w:rFonts w:hint="eastAsia"/>
        </w:rPr>
        <w:t>陳以信 林思銘</w:t>
      </w:r>
    </w:p>
    <w:p w14:paraId="12BCC2A5" w14:textId="77777777" w:rsidR="00421BB5" w:rsidRPr="00914CF9" w:rsidRDefault="00421BB5" w:rsidP="00421BB5">
      <w:pPr>
        <w:spacing w:line="360" w:lineRule="exact"/>
        <w:ind w:leftChars="200" w:left="1600" w:hangingChars="400" w:hanging="1120"/>
        <w:jc w:val="both"/>
        <w:rPr>
          <w:rFonts w:ascii="標楷體" w:eastAsia="標楷體" w:hAnsi="標楷體"/>
          <w:sz w:val="28"/>
          <w:szCs w:val="28"/>
        </w:rPr>
      </w:pPr>
      <w:r w:rsidRPr="00914CF9">
        <w:rPr>
          <w:rFonts w:ascii="標楷體" w:eastAsia="標楷體" w:hAnsi="標楷體"/>
          <w:sz w:val="28"/>
          <w:szCs w:val="28"/>
        </w:rPr>
        <w:t>第4項　國史館臺灣文獻館1</w:t>
      </w:r>
      <w:r w:rsidRPr="00914CF9">
        <w:rPr>
          <w:rFonts w:ascii="標楷體" w:eastAsia="標楷體" w:hAnsi="標楷體" w:hint="eastAsia"/>
          <w:sz w:val="28"/>
          <w:szCs w:val="28"/>
        </w:rPr>
        <w:t>億0,</w:t>
      </w:r>
      <w:r w:rsidRPr="00914CF9">
        <w:rPr>
          <w:rFonts w:ascii="標楷體" w:eastAsia="標楷體" w:hAnsi="標楷體"/>
          <w:sz w:val="28"/>
          <w:szCs w:val="28"/>
        </w:rPr>
        <w:t>943</w:t>
      </w:r>
      <w:r w:rsidRPr="00914CF9">
        <w:rPr>
          <w:rFonts w:ascii="標楷體" w:eastAsia="標楷體" w:hAnsi="標楷體" w:hint="eastAsia"/>
          <w:sz w:val="28"/>
          <w:szCs w:val="28"/>
        </w:rPr>
        <w:t>萬8千元</w:t>
      </w:r>
      <w:r w:rsidRPr="00914CF9">
        <w:rPr>
          <w:rFonts w:ascii="標楷體" w:eastAsia="標楷體" w:hAnsi="標楷體"/>
          <w:sz w:val="28"/>
          <w:szCs w:val="28"/>
        </w:rPr>
        <w:t>，照列。</w:t>
      </w:r>
    </w:p>
    <w:p w14:paraId="6E83F700" w14:textId="77777777" w:rsidR="00421BB5" w:rsidRPr="00914CF9" w:rsidRDefault="00421BB5" w:rsidP="00421BB5">
      <w:pPr>
        <w:spacing w:line="360" w:lineRule="exact"/>
        <w:ind w:leftChars="200" w:left="1601" w:hangingChars="400" w:hanging="1121"/>
        <w:jc w:val="both"/>
        <w:rPr>
          <w:rFonts w:ascii="標楷體" w:eastAsia="標楷體" w:hAnsi="標楷體"/>
          <w:b/>
          <w:sz w:val="28"/>
          <w:szCs w:val="28"/>
        </w:rPr>
      </w:pPr>
      <w:r w:rsidRPr="00914CF9">
        <w:rPr>
          <w:rFonts w:ascii="標楷體" w:eastAsia="標楷體" w:hAnsi="標楷體"/>
          <w:b/>
          <w:sz w:val="28"/>
          <w:szCs w:val="28"/>
        </w:rPr>
        <w:t>本項通過決議</w:t>
      </w:r>
      <w:r w:rsidRPr="00914CF9">
        <w:rPr>
          <w:rFonts w:ascii="標楷體" w:eastAsia="標楷體" w:hAnsi="標楷體" w:hint="eastAsia"/>
          <w:b/>
          <w:sz w:val="28"/>
          <w:szCs w:val="28"/>
        </w:rPr>
        <w:t>4</w:t>
      </w:r>
      <w:r w:rsidRPr="00914CF9">
        <w:rPr>
          <w:rFonts w:ascii="標楷體" w:eastAsia="標楷體" w:hAnsi="標楷體"/>
          <w:b/>
          <w:sz w:val="28"/>
          <w:szCs w:val="28"/>
        </w:rPr>
        <w:t>項：</w:t>
      </w:r>
    </w:p>
    <w:p w14:paraId="57A7AAA4" w14:textId="77777777" w:rsidR="00421BB5" w:rsidRPr="00914CF9" w:rsidRDefault="00421BB5" w:rsidP="00421BB5">
      <w:pPr>
        <w:pStyle w:val="0-"/>
      </w:pPr>
      <w:r w:rsidRPr="00914CF9">
        <w:rPr>
          <w:rFonts w:hint="eastAsia"/>
        </w:rPr>
        <w:lastRenderedPageBreak/>
        <w:t>(一)國史館</w:t>
      </w:r>
      <w:r w:rsidRPr="00914CF9">
        <w:t>臺灣文獻館為強化檔案與文物展示功能，有效促進資源共享與發揮場地使用功能，訂有「</w:t>
      </w:r>
      <w:r w:rsidRPr="00914CF9">
        <w:rPr>
          <w:rFonts w:hint="eastAsia"/>
        </w:rPr>
        <w:t>國史館</w:t>
      </w:r>
      <w:r w:rsidRPr="00914CF9">
        <w:t>臺灣文獻館外借特展室使用規定」，作為提供外界運用特展室場地空間之依據</w:t>
      </w:r>
      <w:r w:rsidRPr="00914CF9">
        <w:rPr>
          <w:rFonts w:hint="eastAsia"/>
        </w:rPr>
        <w:t>，</w:t>
      </w:r>
      <w:r w:rsidRPr="00914CF9">
        <w:t>在提供借用之空間方面，110年度以前包括分別位於文物大樓1至3樓之福爾摩沙特展室(155坪)、鯤島風華特展室(91坪)及蓬萊鄉情特展室(91坪)</w:t>
      </w:r>
      <w:r w:rsidRPr="00914CF9">
        <w:rPr>
          <w:rFonts w:hint="eastAsia"/>
        </w:rPr>
        <w:t>，</w:t>
      </w:r>
      <w:r w:rsidRPr="00914CF9">
        <w:t>收費(場地管理維護費)標準則以每坪每日1</w:t>
      </w:r>
      <w:r w:rsidRPr="00914CF9">
        <w:rPr>
          <w:rFonts w:hint="eastAsia"/>
        </w:rPr>
        <w:t>2</w:t>
      </w:r>
      <w:r w:rsidRPr="00914CF9">
        <w:t>元，佈(卸)展期間減半收費，另各級政府或所屬機關學校自行舉辦或與該館聯合舉辦活動得免收費用。</w:t>
      </w:r>
    </w:p>
    <w:p w14:paraId="564A484B" w14:textId="77777777" w:rsidR="00421BB5" w:rsidRPr="00914CF9" w:rsidRDefault="00421BB5" w:rsidP="00421BB5">
      <w:pPr>
        <w:pStyle w:val="0-2"/>
      </w:pPr>
      <w:r w:rsidRPr="00914CF9">
        <w:t>根據臺灣文獻館提供資料，該館</w:t>
      </w:r>
      <w:r w:rsidRPr="00914CF9">
        <w:rPr>
          <w:rFonts w:hint="eastAsia"/>
        </w:rPr>
        <w:t>自</w:t>
      </w:r>
      <w:r w:rsidRPr="00914CF9">
        <w:t>107至1</w:t>
      </w:r>
      <w:r w:rsidRPr="00914CF9">
        <w:rPr>
          <w:rFonts w:hint="eastAsia"/>
        </w:rPr>
        <w:t>11</w:t>
      </w:r>
      <w:r w:rsidRPr="00914CF9">
        <w:t>年</w:t>
      </w:r>
      <w:r w:rsidRPr="00914CF9">
        <w:rPr>
          <w:rFonts w:hint="eastAsia"/>
        </w:rPr>
        <w:t>8月</w:t>
      </w:r>
      <w:r w:rsidRPr="00914CF9">
        <w:t>期間特展室借用情形以鯤島風華特展室借用次數最多，主要係該場地緊鄰文物大樓入口處，對策展者或觀展者均較為便利；使用率最低者係面積最大之福爾摩沙特展室，僅於107</w:t>
      </w:r>
      <w:r w:rsidRPr="00914CF9">
        <w:rPr>
          <w:rFonts w:hint="eastAsia"/>
        </w:rPr>
        <w:t>及111年度各</w:t>
      </w:r>
      <w:r w:rsidRPr="00914CF9">
        <w:t>借用1次。</w:t>
      </w:r>
    </w:p>
    <w:p w14:paraId="7AC4429A" w14:textId="77777777" w:rsidR="00421BB5" w:rsidRPr="00914CF9" w:rsidRDefault="00421BB5" w:rsidP="00421BB5">
      <w:pPr>
        <w:pStyle w:val="0-2"/>
      </w:pPr>
      <w:r w:rsidRPr="00914CF9">
        <w:t>觀察臺灣文獻館特展室使用情形可悉，該館福爾摩沙特展室近年使用頻率較低，主因係該場地位置對參觀民眾出入館區較不便利，且該場地面積較大，不符多數借用場地者之需求。該館目前就特展室使用規費採取單一費率(每坪每日</w:t>
      </w:r>
      <w:r w:rsidRPr="00914CF9">
        <w:rPr>
          <w:rFonts w:hint="eastAsia"/>
        </w:rPr>
        <w:t>12</w:t>
      </w:r>
      <w:r w:rsidRPr="00914CF9">
        <w:t>元)政策，應係基於行政便利考量，倘能思考從場地使用者角度訂定收費標準，針對面積較大、就使用者位置較不便之展場提供優惠(如採取差別費率)，或就特展室空間作彈性調整，應有助於提升該場地之使用率，亦有利於增加整體使用收入。</w:t>
      </w:r>
    </w:p>
    <w:p w14:paraId="563C1A96" w14:textId="77777777" w:rsidR="00421BB5" w:rsidRPr="00914CF9" w:rsidRDefault="00421BB5" w:rsidP="00421BB5">
      <w:pPr>
        <w:pStyle w:val="0-2"/>
      </w:pPr>
      <w:r w:rsidRPr="00914CF9">
        <w:t>臺灣文獻館近年部分提供借用之特展室使用率較低，為提升相關場地之運用效益，允宜思考調整現行場地之使用收費政策或特展室空間之可行性，俾提升整體展場之空間運用效益。</w:t>
      </w:r>
    </w:p>
    <w:p w14:paraId="5AD4C415" w14:textId="77777777" w:rsidR="00421BB5" w:rsidRPr="00914CF9" w:rsidRDefault="00421BB5" w:rsidP="00421BB5">
      <w:pPr>
        <w:pStyle w:val="0-2"/>
      </w:pPr>
      <w:r w:rsidRPr="00914CF9">
        <w:rPr>
          <w:rFonts w:hint="eastAsia"/>
        </w:rPr>
        <w:t>綜上所述，對112年度國史館</w:t>
      </w:r>
      <w:r w:rsidRPr="00914CF9">
        <w:t>臺</w:t>
      </w:r>
      <w:r w:rsidRPr="00914CF9">
        <w:rPr>
          <w:rFonts w:hint="eastAsia"/>
        </w:rPr>
        <w:t>灣文獻館歲出預算於「一般行政」項下「公共建設及設施費」所編列</w:t>
      </w:r>
      <w:r w:rsidRPr="00914CF9">
        <w:t>25</w:t>
      </w:r>
      <w:r w:rsidRPr="00914CF9">
        <w:rPr>
          <w:rFonts w:hint="eastAsia"/>
        </w:rPr>
        <w:t>萬2千元，請依規定執行，以節約預算。</w:t>
      </w:r>
    </w:p>
    <w:p w14:paraId="2F73406F" w14:textId="77777777" w:rsidR="00421BB5" w:rsidRPr="00914CF9" w:rsidRDefault="00421BB5" w:rsidP="00421BB5">
      <w:pPr>
        <w:pStyle w:val="2-1"/>
      </w:pPr>
      <w:r w:rsidRPr="00914CF9">
        <w:rPr>
          <w:rFonts w:hint="eastAsia"/>
        </w:rPr>
        <w:t xml:space="preserve">提案人：黃世杰 陳歐珀 江永昌 </w:t>
      </w:r>
    </w:p>
    <w:p w14:paraId="737B9DE4" w14:textId="77777777" w:rsidR="00421BB5" w:rsidRPr="00914CF9" w:rsidRDefault="00421BB5" w:rsidP="00421BB5">
      <w:pPr>
        <w:pStyle w:val="0-"/>
      </w:pPr>
      <w:r w:rsidRPr="00914CF9">
        <w:rPr>
          <w:rFonts w:hint="eastAsia"/>
        </w:rPr>
        <w:t>(二)查112年度國史館</w:t>
      </w:r>
      <w:r w:rsidRPr="00914CF9">
        <w:t>臺</w:t>
      </w:r>
      <w:r w:rsidRPr="00914CF9">
        <w:rPr>
          <w:rFonts w:hint="eastAsia"/>
        </w:rPr>
        <w:t>灣文獻館歲出預算「文獻業務」編列2</w:t>
      </w:r>
      <w:r w:rsidRPr="00914CF9">
        <w:t>,</w:t>
      </w:r>
      <w:r w:rsidRPr="00914CF9">
        <w:rPr>
          <w:rFonts w:hint="eastAsia"/>
        </w:rPr>
        <w:t>571萬6千元，其主要調查蒐集民俗文物、文獻史料，提供纂修臺灣史、鄉土史志研究參考。並透過展示與出版，推廣臺灣歷史及本土文化教育，促進社會大眾對臺灣歷史文化之瞭解。然查臺灣文獻館在辦理文獻檔案數位化經費運用方面，107至110年度預算數介於20萬元與287萬8千元之間，決算數介於19萬元與194萬9千元之間，據館方說法為因應廠商技術更新，所需數位化經費減少所致。若果真如此，則112年度又編列350萬元預算，請依規定執行，並節約預算。</w:t>
      </w:r>
    </w:p>
    <w:p w14:paraId="68651D2D" w14:textId="77777777" w:rsidR="00421BB5" w:rsidRPr="00914CF9" w:rsidRDefault="00421BB5" w:rsidP="00421BB5">
      <w:pPr>
        <w:pStyle w:val="2-1"/>
      </w:pPr>
      <w:r w:rsidRPr="00914CF9">
        <w:rPr>
          <w:rFonts w:hint="eastAsia"/>
        </w:rPr>
        <w:t xml:space="preserve">提案人：陳玉珍 </w:t>
      </w:r>
    </w:p>
    <w:p w14:paraId="0A1D302D" w14:textId="77777777" w:rsidR="00421BB5" w:rsidRPr="00914CF9" w:rsidRDefault="00421BB5" w:rsidP="00421BB5">
      <w:pPr>
        <w:pStyle w:val="2-1"/>
      </w:pPr>
      <w:r w:rsidRPr="00914CF9">
        <w:rPr>
          <w:rFonts w:hint="eastAsia"/>
        </w:rPr>
        <w:t xml:space="preserve">連署人：游毓蘭 曾銘宗 </w:t>
      </w:r>
    </w:p>
    <w:p w14:paraId="1CCDE63F" w14:textId="77777777" w:rsidR="00421BB5" w:rsidRPr="00914CF9" w:rsidRDefault="00421BB5" w:rsidP="00421BB5">
      <w:pPr>
        <w:pStyle w:val="0-"/>
      </w:pPr>
      <w:r w:rsidRPr="00914CF9">
        <w:rPr>
          <w:rFonts w:hint="eastAsia"/>
        </w:rPr>
        <w:t>(三)1</w:t>
      </w:r>
      <w:r w:rsidRPr="00914CF9">
        <w:t>12</w:t>
      </w:r>
      <w:r w:rsidRPr="00914CF9">
        <w:rPr>
          <w:rFonts w:hint="eastAsia"/>
        </w:rPr>
        <w:t>年度國史館臺灣文獻館歲出預算「文獻業務」項下「民俗</w:t>
      </w:r>
      <w:r w:rsidRPr="00914CF9">
        <w:rPr>
          <w:rFonts w:hint="eastAsia"/>
        </w:rPr>
        <w:lastRenderedPageBreak/>
        <w:t>文物管理應用」中「業務費」預算編列6</w:t>
      </w:r>
      <w:r w:rsidRPr="00914CF9">
        <w:t>18</w:t>
      </w:r>
      <w:r w:rsidRPr="00914CF9">
        <w:rPr>
          <w:rFonts w:hint="eastAsia"/>
        </w:rPr>
        <w:t>萬</w:t>
      </w:r>
      <w:r w:rsidRPr="00914CF9">
        <w:t>4</w:t>
      </w:r>
      <w:r w:rsidRPr="00914CF9">
        <w:rPr>
          <w:rFonts w:hint="eastAsia"/>
        </w:rPr>
        <w:t>千元。1</w:t>
      </w:r>
      <w:r w:rsidRPr="00914CF9">
        <w:t>11</w:t>
      </w:r>
      <w:r w:rsidRPr="00914CF9">
        <w:rPr>
          <w:rFonts w:hint="eastAsia"/>
        </w:rPr>
        <w:t>年度為《中日和約》簽署與生效7</w:t>
      </w:r>
      <w:r w:rsidRPr="00914CF9">
        <w:t>0</w:t>
      </w:r>
      <w:r w:rsidRPr="00914CF9">
        <w:rPr>
          <w:rFonts w:hint="eastAsia"/>
        </w:rPr>
        <w:t>周年，針對此一決定臺灣回歸中華民國的紀念日，國史館臺灣文獻館未來應加強推廣此一紀念活動，例如網站宣教等。</w:t>
      </w:r>
    </w:p>
    <w:p w14:paraId="2206C5B2" w14:textId="77777777" w:rsidR="00421BB5" w:rsidRPr="00914CF9" w:rsidRDefault="00421BB5" w:rsidP="00421BB5">
      <w:pPr>
        <w:pStyle w:val="2-1"/>
      </w:pPr>
      <w:r w:rsidRPr="00914CF9">
        <w:rPr>
          <w:rFonts w:hint="eastAsia"/>
        </w:rPr>
        <w:t>提案人：陳以信</w:t>
      </w:r>
    </w:p>
    <w:p w14:paraId="78DB0A16" w14:textId="77777777" w:rsidR="00421BB5" w:rsidRPr="00914CF9" w:rsidRDefault="00421BB5" w:rsidP="00421BB5">
      <w:pPr>
        <w:pStyle w:val="2-1"/>
      </w:pPr>
      <w:r w:rsidRPr="00914CF9">
        <w:rPr>
          <w:rFonts w:hint="eastAsia"/>
        </w:rPr>
        <w:t>連署人：林思銘 游毓蘭</w:t>
      </w:r>
    </w:p>
    <w:p w14:paraId="061EF8B0" w14:textId="77777777" w:rsidR="00421BB5" w:rsidRPr="00914CF9" w:rsidRDefault="00421BB5" w:rsidP="00421BB5">
      <w:pPr>
        <w:pStyle w:val="0-"/>
      </w:pPr>
      <w:r w:rsidRPr="00914CF9">
        <w:rPr>
          <w:rFonts w:hint="eastAsia"/>
        </w:rPr>
        <w:t>(四)1</w:t>
      </w:r>
      <w:r w:rsidRPr="00914CF9">
        <w:t>12</w:t>
      </w:r>
      <w:r w:rsidRPr="00914CF9">
        <w:rPr>
          <w:rFonts w:hint="eastAsia"/>
        </w:rPr>
        <w:t>年度國史館臺灣文獻館歲出預算「文獻業務」項下「文獻管理應用」中「業務費」編列預算1</w:t>
      </w:r>
      <w:r w:rsidRPr="00914CF9">
        <w:t>,207</w:t>
      </w:r>
      <w:r w:rsidRPr="00914CF9">
        <w:rPr>
          <w:rFonts w:hint="eastAsia"/>
        </w:rPr>
        <w:t>萬</w:t>
      </w:r>
      <w:r w:rsidRPr="00914CF9">
        <w:t>2</w:t>
      </w:r>
      <w:r w:rsidRPr="00914CF9">
        <w:rPr>
          <w:rFonts w:hint="eastAsia"/>
        </w:rPr>
        <w:t>千元，用於推動史料檔案之數位化工作。然而檔案數位化的預算執行率，過去5年來不斷下降，從1</w:t>
      </w:r>
      <w:r w:rsidRPr="00914CF9">
        <w:t>07</w:t>
      </w:r>
      <w:r w:rsidRPr="00914CF9">
        <w:rPr>
          <w:rFonts w:hint="eastAsia"/>
        </w:rPr>
        <w:t>年的9</w:t>
      </w:r>
      <w:r w:rsidRPr="00914CF9">
        <w:t>5%</w:t>
      </w:r>
      <w:r w:rsidRPr="00914CF9">
        <w:rPr>
          <w:rFonts w:hint="eastAsia"/>
        </w:rPr>
        <w:t>、1</w:t>
      </w:r>
      <w:r w:rsidRPr="00914CF9">
        <w:t>08</w:t>
      </w:r>
      <w:r w:rsidRPr="00914CF9">
        <w:rPr>
          <w:rFonts w:hint="eastAsia"/>
        </w:rPr>
        <w:t>年的7</w:t>
      </w:r>
      <w:r w:rsidRPr="00914CF9">
        <w:t>1.5%</w:t>
      </w:r>
      <w:r w:rsidRPr="00914CF9">
        <w:rPr>
          <w:rFonts w:hint="eastAsia"/>
        </w:rPr>
        <w:t>、1</w:t>
      </w:r>
      <w:r w:rsidRPr="00914CF9">
        <w:t>09</w:t>
      </w:r>
      <w:r w:rsidRPr="00914CF9">
        <w:rPr>
          <w:rFonts w:hint="eastAsia"/>
        </w:rPr>
        <w:t>年的6</w:t>
      </w:r>
      <w:r w:rsidRPr="00914CF9">
        <w:t>6.8%</w:t>
      </w:r>
      <w:r w:rsidRPr="00914CF9">
        <w:rPr>
          <w:rFonts w:hint="eastAsia"/>
        </w:rPr>
        <w:t>、1</w:t>
      </w:r>
      <w:r w:rsidRPr="00914CF9">
        <w:t>10</w:t>
      </w:r>
      <w:r w:rsidRPr="00914CF9">
        <w:rPr>
          <w:rFonts w:hint="eastAsia"/>
        </w:rPr>
        <w:t>年的</w:t>
      </w:r>
      <w:r w:rsidRPr="00914CF9">
        <w:t>67</w:t>
      </w:r>
      <w:r w:rsidRPr="00914CF9">
        <w:rPr>
          <w:rFonts w:hint="eastAsia"/>
        </w:rPr>
        <w:t>.</w:t>
      </w:r>
      <w:r w:rsidRPr="00914CF9">
        <w:t>7%</w:t>
      </w:r>
      <w:r w:rsidRPr="00914CF9">
        <w:rPr>
          <w:rFonts w:hint="eastAsia"/>
        </w:rPr>
        <w:t>再到111年的3</w:t>
      </w:r>
      <w:r w:rsidRPr="00914CF9">
        <w:t>5.1%</w:t>
      </w:r>
      <w:r w:rsidRPr="00914CF9">
        <w:rPr>
          <w:rFonts w:hint="eastAsia"/>
        </w:rPr>
        <w:t>，請依規定加強執行，並節約預算。並於1個月內向立法院司法及法制委員會提出書面報告。</w:t>
      </w:r>
    </w:p>
    <w:p w14:paraId="6D3733CE" w14:textId="77777777" w:rsidR="00421BB5" w:rsidRPr="00914CF9" w:rsidRDefault="00421BB5" w:rsidP="00421BB5">
      <w:pPr>
        <w:pStyle w:val="2-1"/>
      </w:pPr>
      <w:r w:rsidRPr="00914CF9">
        <w:rPr>
          <w:rFonts w:hint="eastAsia"/>
        </w:rPr>
        <w:t>提案人：陳以信</w:t>
      </w:r>
    </w:p>
    <w:p w14:paraId="79CB44B1" w14:textId="77777777" w:rsidR="00421BB5" w:rsidRPr="00914CF9" w:rsidRDefault="00421BB5" w:rsidP="00421BB5">
      <w:pPr>
        <w:pStyle w:val="2-1"/>
      </w:pPr>
      <w:r w:rsidRPr="00914CF9">
        <w:rPr>
          <w:rFonts w:hint="eastAsia"/>
        </w:rPr>
        <w:t>連署人：林思銘 游毓蘭</w:t>
      </w:r>
    </w:p>
    <w:p w14:paraId="06173902" w14:textId="77777777" w:rsidR="00421BB5" w:rsidRPr="00914CF9" w:rsidRDefault="00421BB5" w:rsidP="00421BB5">
      <w:pPr>
        <w:overflowPunct w:val="0"/>
        <w:spacing w:line="360" w:lineRule="exact"/>
        <w:ind w:left="560" w:rightChars="-21" w:right="-5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t>(</w:t>
      </w:r>
      <w:r w:rsidRPr="00914CF9">
        <w:rPr>
          <w:rFonts w:ascii="標楷體" w:eastAsia="標楷體" w:hAnsi="標楷體"/>
          <w:sz w:val="28"/>
          <w:szCs w:val="28"/>
        </w:rPr>
        <w:t>三</w:t>
      </w:r>
      <w:r w:rsidRPr="00914CF9">
        <w:rPr>
          <w:rFonts w:ascii="標楷體" w:eastAsia="標楷體" w:hAnsi="標楷體" w:hint="eastAsia"/>
          <w:sz w:val="28"/>
          <w:szCs w:val="28"/>
        </w:rPr>
        <w:t>)</w:t>
      </w:r>
      <w:r w:rsidRPr="00914CF9">
        <w:rPr>
          <w:rFonts w:ascii="標楷體" w:eastAsia="標楷體" w:hAnsi="標楷體"/>
          <w:sz w:val="28"/>
          <w:szCs w:val="28"/>
        </w:rPr>
        <w:t>中華民國</w:t>
      </w:r>
      <w:r w:rsidRPr="00914CF9">
        <w:rPr>
          <w:rFonts w:ascii="標楷體" w:eastAsia="標楷體" w:hAnsi="標楷體" w:hint="eastAsia"/>
          <w:sz w:val="28"/>
          <w:szCs w:val="28"/>
        </w:rPr>
        <w:t>112年度中央政府總預算案關於總統府主管（不含中央研究院）收支部分</w:t>
      </w:r>
      <w:r w:rsidRPr="00914CF9">
        <w:rPr>
          <w:rFonts w:ascii="標楷體" w:eastAsia="標楷體" w:hAnsi="標楷體"/>
          <w:sz w:val="28"/>
          <w:szCs w:val="28"/>
        </w:rPr>
        <w:t>審查完竣，提報院會</w:t>
      </w:r>
      <w:r w:rsidRPr="00914CF9">
        <w:rPr>
          <w:rFonts w:ascii="標楷體" w:eastAsia="標楷體" w:hAnsi="標楷體" w:hint="eastAsia"/>
          <w:sz w:val="28"/>
          <w:szCs w:val="28"/>
        </w:rPr>
        <w:t>，院會討論前，</w:t>
      </w:r>
      <w:r w:rsidRPr="00914CF9">
        <w:rPr>
          <w:rFonts w:ascii="標楷體" w:eastAsia="標楷體" w:hAnsi="標楷體"/>
          <w:sz w:val="28"/>
          <w:szCs w:val="28"/>
        </w:rPr>
        <w:t>須交由黨團協商</w:t>
      </w:r>
      <w:r w:rsidRPr="00B240D5">
        <w:rPr>
          <w:rFonts w:ascii="標楷體" w:eastAsia="標楷體" w:hAnsi="標楷體" w:hint="eastAsia"/>
          <w:sz w:val="28"/>
          <w:szCs w:val="28"/>
          <w:shd w:val="clear" w:color="auto" w:fill="FFFFFF"/>
        </w:rPr>
        <w:t>；院會討論時，由陳召集委員歐珀出席說明</w:t>
      </w:r>
      <w:r w:rsidRPr="00914CF9">
        <w:rPr>
          <w:rFonts w:ascii="標楷體" w:eastAsia="標楷體" w:hAnsi="標楷體"/>
          <w:sz w:val="28"/>
          <w:szCs w:val="28"/>
        </w:rPr>
        <w:t>。</w:t>
      </w:r>
    </w:p>
    <w:p w14:paraId="43F2BB32" w14:textId="77777777" w:rsidR="00421BB5" w:rsidRPr="00B240D5" w:rsidRDefault="00421BB5" w:rsidP="00421BB5">
      <w:pPr>
        <w:overflowPunct w:val="0"/>
        <w:spacing w:line="360" w:lineRule="exact"/>
        <w:ind w:left="560" w:rightChars="-21" w:right="-50" w:hangingChars="200" w:hanging="560"/>
        <w:contextualSpacing/>
        <w:rPr>
          <w:rFonts w:ascii="標楷體" w:eastAsia="標楷體" w:hAnsi="標楷體"/>
          <w:color w:val="000000"/>
          <w:sz w:val="28"/>
          <w:szCs w:val="28"/>
        </w:rPr>
      </w:pPr>
      <w:r w:rsidRPr="00B240D5">
        <w:rPr>
          <w:rFonts w:ascii="標楷體" w:eastAsia="標楷體" w:hAnsi="標楷體" w:hint="eastAsia"/>
          <w:sz w:val="28"/>
          <w:szCs w:val="28"/>
          <w:shd w:val="clear" w:color="auto" w:fill="FFFFFF"/>
        </w:rPr>
        <w:t>三、第二案及第三案，均准予動支，提報院會。</w:t>
      </w:r>
    </w:p>
    <w:p w14:paraId="52045337" w14:textId="77777777" w:rsidR="00421BB5" w:rsidRPr="00914CF9" w:rsidRDefault="00421BB5" w:rsidP="00421BB5">
      <w:pPr>
        <w:overflowPunct w:val="0"/>
        <w:spacing w:line="360" w:lineRule="exact"/>
        <w:ind w:left="560" w:rightChars="-21" w:right="-50" w:hangingChars="200" w:hanging="560"/>
        <w:contextualSpacing/>
        <w:rPr>
          <w:rFonts w:ascii="標楷體" w:eastAsia="標楷體" w:hAnsi="標楷體"/>
          <w:sz w:val="28"/>
          <w:szCs w:val="28"/>
        </w:rPr>
      </w:pPr>
      <w:r w:rsidRPr="00914CF9">
        <w:rPr>
          <w:rFonts w:ascii="標楷體" w:eastAsia="標楷體" w:hAnsi="標楷體" w:hint="eastAsia"/>
          <w:sz w:val="28"/>
          <w:szCs w:val="28"/>
        </w:rPr>
        <w:t>四、本次會議通過之決議，依例文字授權主席及議事人員整理。</w:t>
      </w:r>
    </w:p>
    <w:p w14:paraId="0AF94DF5" w14:textId="77777777" w:rsidR="00421BB5" w:rsidRPr="00914CF9" w:rsidRDefault="00421BB5" w:rsidP="00421BB5">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t>五、委員質詢時，要求提供相關資料或以書面答復者，請相關機關儘速送交個別委員及本會。</w:t>
      </w:r>
    </w:p>
    <w:p w14:paraId="193075D7" w14:textId="77777777" w:rsidR="00421BB5" w:rsidRPr="00914CF9" w:rsidRDefault="00421BB5" w:rsidP="00421BB5">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sz w:val="28"/>
          <w:szCs w:val="28"/>
        </w:rPr>
        <w:t>散會</w:t>
      </w:r>
    </w:p>
    <w:p w14:paraId="732577AB" w14:textId="77777777" w:rsidR="00421BB5" w:rsidRDefault="00421BB5" w:rsidP="00421BB5">
      <w:pPr>
        <w:spacing w:line="360" w:lineRule="exact"/>
        <w:contextualSpacing/>
        <w:jc w:val="both"/>
        <w:rPr>
          <w:rFonts w:ascii="標楷體" w:eastAsia="標楷體" w:hAnsi="標楷體"/>
          <w:sz w:val="28"/>
          <w:szCs w:val="28"/>
        </w:rPr>
      </w:pPr>
    </w:p>
    <w:p w14:paraId="7F6CCEA8" w14:textId="77777777" w:rsidR="00421BB5" w:rsidRPr="00B42F5D" w:rsidRDefault="00421BB5" w:rsidP="00421BB5">
      <w:pPr>
        <w:pStyle w:val="-9"/>
        <w:spacing w:beforeLines="50" w:before="180" w:afterLines="50" w:after="180" w:line="360" w:lineRule="exact"/>
        <w:ind w:left="0" w:firstLineChars="0" w:firstLine="0"/>
        <w:jc w:val="distribute"/>
        <w:outlineLvl w:val="2"/>
        <w:rPr>
          <w:rFonts w:ascii="標楷體" w:hAnsi="標楷體"/>
          <w:b/>
          <w:spacing w:val="-20"/>
          <w:sz w:val="28"/>
          <w:szCs w:val="28"/>
        </w:rPr>
      </w:pPr>
      <w:r>
        <w:rPr>
          <w:rFonts w:ascii="標楷體" w:hAnsi="標楷體"/>
          <w:sz w:val="28"/>
          <w:szCs w:val="28"/>
        </w:rPr>
        <w:br w:type="page"/>
      </w:r>
      <w:r w:rsidRPr="00B42F5D">
        <w:rPr>
          <w:rFonts w:ascii="標楷體" w:hAnsi="標楷體" w:hint="eastAsia"/>
          <w:b/>
          <w:spacing w:val="-20"/>
          <w:sz w:val="28"/>
          <w:szCs w:val="28"/>
        </w:rPr>
        <w:lastRenderedPageBreak/>
        <w:t>立法院第10屆第6會期司法及法制委員會第</w:t>
      </w:r>
      <w:r>
        <w:rPr>
          <w:rFonts w:ascii="標楷體" w:hAnsi="標楷體" w:hint="eastAsia"/>
          <w:b/>
          <w:spacing w:val="-20"/>
          <w:sz w:val="28"/>
          <w:szCs w:val="28"/>
        </w:rPr>
        <w:t>2</w:t>
      </w:r>
      <w:r>
        <w:rPr>
          <w:rFonts w:ascii="標楷體" w:hAnsi="標楷體"/>
          <w:b/>
          <w:spacing w:val="-20"/>
          <w:sz w:val="28"/>
          <w:szCs w:val="28"/>
        </w:rPr>
        <w:t>8</w:t>
      </w:r>
      <w:r w:rsidRPr="00B42F5D">
        <w:rPr>
          <w:rFonts w:ascii="標楷體" w:hAnsi="標楷體" w:hint="eastAsia"/>
          <w:b/>
          <w:spacing w:val="-20"/>
          <w:sz w:val="28"/>
          <w:szCs w:val="28"/>
        </w:rPr>
        <w:t>次全體委員會議議事錄</w:t>
      </w:r>
    </w:p>
    <w:p w14:paraId="0C4106D5" w14:textId="77777777" w:rsidR="00421BB5" w:rsidRPr="00436658" w:rsidRDefault="00421BB5" w:rsidP="00421BB5">
      <w:pPr>
        <w:pStyle w:val="-9"/>
        <w:spacing w:line="360" w:lineRule="exact"/>
        <w:ind w:left="1417" w:hangingChars="506" w:hanging="1417"/>
        <w:rPr>
          <w:rFonts w:ascii="標楷體" w:hAnsi="標楷體"/>
          <w:sz w:val="28"/>
          <w:szCs w:val="28"/>
        </w:rPr>
      </w:pPr>
      <w:r w:rsidRPr="00502060">
        <w:rPr>
          <w:rFonts w:ascii="標楷體" w:hAnsi="標楷體"/>
          <w:sz w:val="28"/>
          <w:szCs w:val="28"/>
          <w:fitText w:val="1120" w:id="972279552"/>
        </w:rPr>
        <w:t>時    間</w:t>
      </w:r>
      <w:r w:rsidRPr="00436658">
        <w:rPr>
          <w:rFonts w:ascii="標楷體" w:hAnsi="標楷體"/>
          <w:sz w:val="28"/>
          <w:szCs w:val="28"/>
        </w:rPr>
        <w:t>：</w:t>
      </w:r>
      <w:r w:rsidRPr="00436658">
        <w:rPr>
          <w:rFonts w:ascii="標楷體" w:hAnsi="標楷體" w:hint="eastAsia"/>
          <w:sz w:val="28"/>
          <w:szCs w:val="28"/>
        </w:rPr>
        <w:t>中華民國</w:t>
      </w:r>
      <w:r>
        <w:rPr>
          <w:rFonts w:ascii="標楷體" w:hAnsi="標楷體" w:hint="eastAsia"/>
          <w:sz w:val="28"/>
          <w:szCs w:val="28"/>
        </w:rPr>
        <w:t>1</w:t>
      </w:r>
      <w:r>
        <w:rPr>
          <w:rFonts w:ascii="標楷體" w:hAnsi="標楷體"/>
          <w:sz w:val="28"/>
          <w:szCs w:val="28"/>
        </w:rPr>
        <w:t>11</w:t>
      </w:r>
      <w:r w:rsidRPr="00436658">
        <w:rPr>
          <w:rFonts w:ascii="標楷體" w:hAnsi="標楷體" w:hint="eastAsia"/>
          <w:sz w:val="28"/>
          <w:szCs w:val="28"/>
        </w:rPr>
        <w:t>年</w:t>
      </w:r>
      <w:r>
        <w:rPr>
          <w:rFonts w:ascii="標楷體" w:hAnsi="標楷體" w:hint="eastAsia"/>
          <w:sz w:val="28"/>
          <w:szCs w:val="28"/>
        </w:rPr>
        <w:t>12</w:t>
      </w:r>
      <w:r w:rsidRPr="00436658">
        <w:rPr>
          <w:rFonts w:ascii="標楷體" w:hAnsi="標楷體" w:hint="eastAsia"/>
          <w:sz w:val="28"/>
          <w:szCs w:val="28"/>
        </w:rPr>
        <w:t>月</w:t>
      </w:r>
      <w:r>
        <w:rPr>
          <w:rFonts w:ascii="標楷體" w:hAnsi="標楷體"/>
          <w:sz w:val="28"/>
          <w:szCs w:val="28"/>
        </w:rPr>
        <w:t>22</w:t>
      </w:r>
      <w:r w:rsidRPr="00436658">
        <w:rPr>
          <w:rFonts w:ascii="標楷體" w:hAnsi="標楷體" w:hint="eastAsia"/>
          <w:sz w:val="28"/>
          <w:szCs w:val="28"/>
        </w:rPr>
        <w:t>日（星期</w:t>
      </w:r>
      <w:r>
        <w:rPr>
          <w:rFonts w:ascii="標楷體" w:hAnsi="標楷體" w:hint="eastAsia"/>
          <w:sz w:val="28"/>
          <w:szCs w:val="28"/>
        </w:rPr>
        <w:t>四</w:t>
      </w:r>
      <w:r w:rsidRPr="00436658">
        <w:rPr>
          <w:rFonts w:ascii="標楷體" w:hAnsi="標楷體" w:hint="eastAsia"/>
          <w:sz w:val="28"/>
          <w:szCs w:val="28"/>
        </w:rPr>
        <w:t>）上午9時</w:t>
      </w:r>
      <w:r>
        <w:rPr>
          <w:rFonts w:ascii="標楷體" w:hAnsi="標楷體" w:hint="eastAsia"/>
          <w:sz w:val="28"/>
          <w:szCs w:val="28"/>
        </w:rPr>
        <w:t>3分</w:t>
      </w:r>
      <w:r w:rsidRPr="00436658">
        <w:rPr>
          <w:rFonts w:ascii="標楷體" w:hAnsi="標楷體" w:hint="eastAsia"/>
          <w:sz w:val="28"/>
          <w:szCs w:val="28"/>
        </w:rPr>
        <w:t>至</w:t>
      </w:r>
      <w:r>
        <w:rPr>
          <w:rFonts w:ascii="標楷體" w:hAnsi="標楷體" w:hint="eastAsia"/>
          <w:sz w:val="28"/>
          <w:szCs w:val="28"/>
        </w:rPr>
        <w:t>11</w:t>
      </w:r>
      <w:r w:rsidRPr="00436658">
        <w:rPr>
          <w:rFonts w:ascii="標楷體" w:hAnsi="標楷體" w:hint="eastAsia"/>
          <w:sz w:val="28"/>
          <w:szCs w:val="28"/>
        </w:rPr>
        <w:t>時</w:t>
      </w:r>
      <w:r>
        <w:rPr>
          <w:rFonts w:ascii="標楷體" w:hAnsi="標楷體" w:hint="eastAsia"/>
          <w:sz w:val="28"/>
          <w:szCs w:val="28"/>
        </w:rPr>
        <w:t>54分</w:t>
      </w:r>
    </w:p>
    <w:p w14:paraId="35AFE056" w14:textId="77777777" w:rsidR="00421BB5" w:rsidRPr="00436658" w:rsidRDefault="00421BB5" w:rsidP="00421BB5">
      <w:pPr>
        <w:pStyle w:val="-9"/>
        <w:spacing w:line="360" w:lineRule="exact"/>
        <w:ind w:left="1364" w:hanging="1364"/>
        <w:rPr>
          <w:rFonts w:ascii="標楷體" w:hAnsi="標楷體"/>
          <w:sz w:val="28"/>
          <w:szCs w:val="28"/>
        </w:rPr>
      </w:pPr>
      <w:r w:rsidRPr="00436658">
        <w:rPr>
          <w:rFonts w:ascii="標楷體" w:hAnsi="標楷體"/>
          <w:sz w:val="28"/>
          <w:szCs w:val="28"/>
          <w:fitText w:val="1120" w:id="972279808"/>
        </w:rPr>
        <w:t>地    點</w:t>
      </w:r>
      <w:r w:rsidRPr="00436658">
        <w:rPr>
          <w:rFonts w:ascii="標楷體" w:hAnsi="標楷體"/>
          <w:sz w:val="28"/>
          <w:szCs w:val="28"/>
        </w:rPr>
        <w:t>：本院紅樓302會議室</w:t>
      </w:r>
    </w:p>
    <w:p w14:paraId="373E1D9B" w14:textId="77777777" w:rsidR="00421BB5" w:rsidRDefault="00421BB5" w:rsidP="00421BB5">
      <w:pPr>
        <w:snapToGrid w:val="0"/>
        <w:spacing w:line="360" w:lineRule="exact"/>
        <w:ind w:leftChars="-4" w:left="1401" w:hangingChars="504" w:hanging="1411"/>
        <w:rPr>
          <w:rFonts w:ascii="標楷體" w:eastAsia="標楷體" w:hAnsi="標楷體"/>
          <w:sz w:val="28"/>
          <w:szCs w:val="28"/>
        </w:rPr>
      </w:pPr>
      <w:r w:rsidRPr="00436658">
        <w:rPr>
          <w:rFonts w:ascii="標楷體" w:eastAsia="標楷體" w:hAnsi="標楷體"/>
          <w:sz w:val="28"/>
          <w:szCs w:val="28"/>
        </w:rPr>
        <w:t>出席委員</w:t>
      </w:r>
      <w:r w:rsidRPr="00436658">
        <w:rPr>
          <w:rFonts w:ascii="標楷體" w:eastAsia="標楷體" w:hAnsi="標楷體" w:hint="eastAsia"/>
          <w:sz w:val="28"/>
          <w:szCs w:val="28"/>
        </w:rPr>
        <w:t>：</w:t>
      </w:r>
      <w:r>
        <w:rPr>
          <w:rFonts w:ascii="標楷體" w:eastAsia="標楷體" w:hAnsi="標楷體" w:hint="eastAsia"/>
          <w:sz w:val="28"/>
          <w:szCs w:val="28"/>
        </w:rPr>
        <w:t>游毓蘭</w:t>
      </w:r>
      <w:r>
        <w:rPr>
          <w:rFonts w:ascii="標楷體" w:eastAsia="標楷體" w:hAnsi="標楷體"/>
          <w:sz w:val="28"/>
          <w:szCs w:val="28"/>
        </w:rPr>
        <w:tab/>
      </w:r>
      <w:r>
        <w:rPr>
          <w:rFonts w:ascii="標楷體" w:eastAsia="標楷體" w:hAnsi="標楷體" w:hint="eastAsia"/>
          <w:sz w:val="28"/>
          <w:szCs w:val="28"/>
        </w:rPr>
        <w:t>陳歐珀</w:t>
      </w:r>
      <w:r>
        <w:rPr>
          <w:rFonts w:ascii="標楷體" w:eastAsia="標楷體" w:hAnsi="標楷體"/>
          <w:sz w:val="28"/>
          <w:szCs w:val="28"/>
        </w:rPr>
        <w:tab/>
      </w:r>
      <w:r>
        <w:rPr>
          <w:rFonts w:ascii="標楷體" w:eastAsia="標楷體" w:hAnsi="標楷體" w:hint="eastAsia"/>
          <w:sz w:val="28"/>
          <w:szCs w:val="28"/>
        </w:rPr>
        <w:t>黃世杰</w:t>
      </w:r>
      <w:r>
        <w:rPr>
          <w:rFonts w:ascii="標楷體" w:eastAsia="標楷體" w:hAnsi="標楷體"/>
          <w:sz w:val="28"/>
          <w:szCs w:val="28"/>
        </w:rPr>
        <w:tab/>
      </w:r>
      <w:r>
        <w:rPr>
          <w:rFonts w:ascii="標楷體" w:eastAsia="標楷體" w:hAnsi="標楷體" w:hint="eastAsia"/>
          <w:sz w:val="28"/>
          <w:szCs w:val="28"/>
        </w:rPr>
        <w:t>鄭運鵬</w:t>
      </w:r>
      <w:r>
        <w:rPr>
          <w:rFonts w:ascii="標楷體" w:eastAsia="標楷體" w:hAnsi="標楷體"/>
          <w:sz w:val="28"/>
          <w:szCs w:val="28"/>
        </w:rPr>
        <w:tab/>
      </w:r>
      <w:r>
        <w:rPr>
          <w:rFonts w:ascii="標楷體" w:eastAsia="標楷體" w:hAnsi="標楷體" w:hint="eastAsia"/>
          <w:sz w:val="28"/>
          <w:szCs w:val="28"/>
        </w:rPr>
        <w:t>陳玉珍</w:t>
      </w:r>
      <w:r>
        <w:rPr>
          <w:rFonts w:ascii="標楷體" w:eastAsia="標楷體" w:hAnsi="標楷體"/>
          <w:sz w:val="28"/>
          <w:szCs w:val="28"/>
        </w:rPr>
        <w:tab/>
      </w:r>
      <w:r>
        <w:rPr>
          <w:rFonts w:ascii="標楷體" w:eastAsia="標楷體" w:hAnsi="標楷體" w:hint="eastAsia"/>
          <w:sz w:val="28"/>
          <w:szCs w:val="28"/>
        </w:rPr>
        <w:t>林思銘</w:t>
      </w:r>
      <w:r>
        <w:rPr>
          <w:rFonts w:ascii="標楷體" w:eastAsia="標楷體" w:hAnsi="標楷體"/>
          <w:sz w:val="28"/>
          <w:szCs w:val="28"/>
        </w:rPr>
        <w:tab/>
      </w:r>
      <w:r>
        <w:rPr>
          <w:rFonts w:ascii="標楷體" w:eastAsia="標楷體" w:hAnsi="標楷體" w:hint="eastAsia"/>
          <w:sz w:val="28"/>
          <w:szCs w:val="28"/>
        </w:rPr>
        <w:t>江永昌</w:t>
      </w:r>
    </w:p>
    <w:p w14:paraId="65029F65" w14:textId="77777777" w:rsidR="00421BB5" w:rsidRPr="00C72BE9" w:rsidRDefault="00421BB5" w:rsidP="00421BB5">
      <w:pPr>
        <w:snapToGrid w:val="0"/>
        <w:spacing w:line="360" w:lineRule="exact"/>
        <w:ind w:leftChars="571" w:left="1398" w:hangingChars="10" w:hanging="28"/>
        <w:rPr>
          <w:rFonts w:ascii="標楷體" w:eastAsia="標楷體" w:hAnsi="標楷體"/>
          <w:sz w:val="28"/>
          <w:szCs w:val="28"/>
        </w:rPr>
      </w:pPr>
      <w:r w:rsidRPr="00B6442B">
        <w:rPr>
          <w:rFonts w:ascii="標楷體" w:eastAsia="標楷體" w:hAnsi="標楷體" w:hint="eastAsia"/>
          <w:sz w:val="28"/>
          <w:szCs w:val="28"/>
        </w:rPr>
        <w:t>劉建國</w:t>
      </w:r>
      <w:r w:rsidRPr="00B6442B">
        <w:rPr>
          <w:rFonts w:ascii="標楷體" w:eastAsia="標楷體" w:hAnsi="標楷體"/>
          <w:sz w:val="28"/>
          <w:szCs w:val="28"/>
        </w:rPr>
        <w:tab/>
      </w:r>
      <w:r w:rsidRPr="006E6AFF">
        <w:rPr>
          <w:rFonts w:ascii="標楷體" w:eastAsia="標楷體" w:hAnsi="標楷體" w:hint="eastAsia"/>
          <w:sz w:val="28"/>
          <w:szCs w:val="28"/>
        </w:rPr>
        <w:t>陳以信</w:t>
      </w:r>
      <w:r>
        <w:rPr>
          <w:rFonts w:ascii="標楷體" w:eastAsia="標楷體" w:hAnsi="標楷體"/>
          <w:sz w:val="28"/>
          <w:szCs w:val="28"/>
        </w:rPr>
        <w:tab/>
      </w:r>
      <w:r>
        <w:rPr>
          <w:rFonts w:ascii="標楷體" w:eastAsia="標楷體" w:hAnsi="標楷體" w:hint="eastAsia"/>
          <w:sz w:val="28"/>
          <w:szCs w:val="28"/>
        </w:rPr>
        <w:t>曾銘宗</w:t>
      </w:r>
      <w:r>
        <w:rPr>
          <w:rFonts w:ascii="標楷體" w:eastAsia="標楷體" w:hAnsi="標楷體"/>
          <w:sz w:val="28"/>
          <w:szCs w:val="28"/>
        </w:rPr>
        <w:tab/>
      </w:r>
      <w:r>
        <w:rPr>
          <w:rFonts w:ascii="標楷體" w:eastAsia="標楷體" w:hAnsi="標楷體" w:hint="eastAsia"/>
          <w:sz w:val="28"/>
          <w:szCs w:val="28"/>
        </w:rPr>
        <w:t>柯建銘</w:t>
      </w:r>
    </w:p>
    <w:p w14:paraId="30A9C899" w14:textId="77777777" w:rsidR="00421BB5" w:rsidRDefault="00421BB5" w:rsidP="00421BB5">
      <w:pPr>
        <w:snapToGrid w:val="0"/>
        <w:spacing w:line="360" w:lineRule="exact"/>
        <w:ind w:firstLineChars="485" w:firstLine="1358"/>
        <w:jc w:val="both"/>
        <w:rPr>
          <w:rFonts w:ascii="標楷體" w:eastAsia="標楷體" w:hAnsi="標楷體"/>
          <w:sz w:val="28"/>
          <w:szCs w:val="28"/>
        </w:rPr>
      </w:pPr>
      <w:r w:rsidRPr="00C72BE9">
        <w:rPr>
          <w:rFonts w:ascii="標楷體" w:eastAsia="標楷體" w:hAnsi="標楷體" w:hint="eastAsia"/>
          <w:sz w:val="28"/>
          <w:szCs w:val="28"/>
        </w:rPr>
        <w:t>委員出席</w:t>
      </w:r>
      <w:r>
        <w:rPr>
          <w:rFonts w:ascii="標楷體" w:eastAsia="標楷體" w:hAnsi="標楷體" w:hint="eastAsia"/>
          <w:sz w:val="28"/>
          <w:szCs w:val="28"/>
        </w:rPr>
        <w:t>11</w:t>
      </w:r>
      <w:r w:rsidRPr="00C72BE9">
        <w:rPr>
          <w:rFonts w:ascii="標楷體" w:eastAsia="標楷體" w:hAnsi="標楷體" w:hint="eastAsia"/>
          <w:sz w:val="28"/>
          <w:szCs w:val="28"/>
        </w:rPr>
        <w:t>人</w:t>
      </w:r>
    </w:p>
    <w:p w14:paraId="7C81666D" w14:textId="77777777" w:rsidR="00421BB5" w:rsidRDefault="00421BB5" w:rsidP="00421BB5">
      <w:pPr>
        <w:adjustRightInd w:val="0"/>
        <w:snapToGrid w:val="0"/>
        <w:spacing w:line="360" w:lineRule="exact"/>
        <w:ind w:leftChars="-11" w:left="1402" w:hangingChars="510" w:hanging="1428"/>
        <w:rPr>
          <w:rFonts w:ascii="標楷體" w:eastAsia="標楷體" w:hAnsi="標楷體"/>
          <w:sz w:val="28"/>
          <w:szCs w:val="28"/>
        </w:rPr>
      </w:pPr>
      <w:r w:rsidRPr="00436658">
        <w:rPr>
          <w:rFonts w:ascii="標楷體" w:eastAsia="標楷體" w:hAnsi="標楷體"/>
          <w:kern w:val="0"/>
          <w:sz w:val="28"/>
          <w:szCs w:val="28"/>
        </w:rPr>
        <w:t>列席</w:t>
      </w:r>
      <w:r w:rsidRPr="00436658">
        <w:rPr>
          <w:rFonts w:ascii="標楷體" w:eastAsia="標楷體" w:hAnsi="標楷體"/>
          <w:sz w:val="28"/>
          <w:szCs w:val="28"/>
        </w:rPr>
        <w:t>委員：</w:t>
      </w:r>
      <w:r>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楊瓊瓔</w:t>
      </w:r>
      <w:r>
        <w:rPr>
          <w:rFonts w:ascii="標楷體" w:eastAsia="標楷體" w:hAnsi="標楷體"/>
          <w:sz w:val="28"/>
          <w:szCs w:val="28"/>
        </w:rPr>
        <w:tab/>
      </w:r>
      <w:r>
        <w:rPr>
          <w:rFonts w:ascii="標楷體" w:eastAsia="標楷體" w:hAnsi="標楷體" w:hint="eastAsia"/>
          <w:sz w:val="28"/>
          <w:szCs w:val="28"/>
        </w:rPr>
        <w:t>李貴敏</w:t>
      </w:r>
      <w:r>
        <w:rPr>
          <w:rFonts w:ascii="標楷體" w:eastAsia="標楷體" w:hAnsi="標楷體"/>
          <w:sz w:val="28"/>
          <w:szCs w:val="28"/>
        </w:rPr>
        <w:tab/>
      </w:r>
      <w:r>
        <w:rPr>
          <w:rFonts w:ascii="標楷體" w:eastAsia="標楷體" w:hAnsi="標楷體" w:hint="eastAsia"/>
          <w:sz w:val="28"/>
          <w:szCs w:val="28"/>
        </w:rPr>
        <w:t>張其祿</w:t>
      </w:r>
    </w:p>
    <w:p w14:paraId="0B43636E" w14:textId="77777777" w:rsidR="00421BB5" w:rsidRDefault="00421BB5" w:rsidP="00421BB5">
      <w:pPr>
        <w:adjustRightInd w:val="0"/>
        <w:snapToGrid w:val="0"/>
        <w:spacing w:line="360" w:lineRule="exact"/>
        <w:ind w:leftChars="577" w:left="1399" w:hangingChars="5" w:hanging="14"/>
        <w:rPr>
          <w:rFonts w:ascii="標楷體" w:eastAsia="標楷體" w:hAnsi="標楷體"/>
          <w:sz w:val="28"/>
          <w:szCs w:val="28"/>
        </w:rPr>
      </w:pPr>
      <w:r w:rsidRPr="00A97A97">
        <w:rPr>
          <w:rFonts w:ascii="標楷體" w:eastAsia="標楷體" w:hAnsi="標楷體"/>
          <w:sz w:val="28"/>
          <w:szCs w:val="28"/>
        </w:rPr>
        <w:t>委員列席</w:t>
      </w:r>
      <w:r>
        <w:rPr>
          <w:rFonts w:ascii="標楷體" w:eastAsia="標楷體" w:hAnsi="標楷體" w:hint="eastAsia"/>
          <w:sz w:val="28"/>
          <w:szCs w:val="28"/>
        </w:rPr>
        <w:t>4</w:t>
      </w:r>
      <w:r w:rsidRPr="00A97A97">
        <w:rPr>
          <w:rFonts w:ascii="標楷體" w:eastAsia="標楷體" w:hAnsi="標楷體"/>
          <w:sz w:val="28"/>
          <w:szCs w:val="28"/>
        </w:rPr>
        <w:t>人</w:t>
      </w:r>
    </w:p>
    <w:p w14:paraId="334A21F1" w14:textId="77777777" w:rsidR="00421BB5" w:rsidRDefault="00421BB5" w:rsidP="00421BB5">
      <w:pPr>
        <w:pStyle w:val="-9"/>
        <w:spacing w:line="360" w:lineRule="exact"/>
        <w:ind w:left="2240" w:hangingChars="800" w:hanging="2240"/>
        <w:rPr>
          <w:rFonts w:ascii="標楷體" w:hAnsi="標楷體"/>
          <w:sz w:val="28"/>
          <w:szCs w:val="28"/>
        </w:rPr>
      </w:pPr>
      <w:r w:rsidRPr="00C3659F">
        <w:rPr>
          <w:rFonts w:ascii="標楷體" w:hAnsi="標楷體"/>
          <w:sz w:val="28"/>
          <w:szCs w:val="28"/>
        </w:rPr>
        <w:t>列席官員：</w:t>
      </w:r>
      <w:r>
        <w:rPr>
          <w:rFonts w:ascii="標楷體" w:hAnsi="標楷體" w:hint="eastAsia"/>
          <w:sz w:val="28"/>
          <w:szCs w:val="28"/>
        </w:rPr>
        <w:t>法務部部長　蔡清祥</w:t>
      </w:r>
    </w:p>
    <w:p w14:paraId="3E04F01F" w14:textId="77777777" w:rsidR="00421BB5" w:rsidRDefault="00421BB5" w:rsidP="00421BB5">
      <w:pPr>
        <w:pStyle w:val="-9"/>
        <w:spacing w:line="360" w:lineRule="exact"/>
        <w:ind w:leftChars="583" w:left="2239" w:hangingChars="300" w:hanging="840"/>
        <w:rPr>
          <w:rFonts w:ascii="標楷體" w:hAnsi="標楷體"/>
          <w:sz w:val="28"/>
          <w:szCs w:val="28"/>
        </w:rPr>
      </w:pPr>
      <w:r>
        <w:rPr>
          <w:rFonts w:ascii="標楷體" w:hAnsi="標楷體" w:hint="eastAsia"/>
          <w:sz w:val="28"/>
          <w:szCs w:val="28"/>
        </w:rPr>
        <w:t>行政院主計總處常務副主計長　陳慧娟（主計長請假）</w:t>
      </w:r>
    </w:p>
    <w:p w14:paraId="5E7C995F" w14:textId="77777777" w:rsidR="00421BB5" w:rsidRDefault="00421BB5" w:rsidP="00421BB5">
      <w:pPr>
        <w:pStyle w:val="-9"/>
        <w:spacing w:line="360" w:lineRule="exact"/>
        <w:ind w:leftChars="583" w:left="2239" w:hangingChars="300" w:hanging="840"/>
        <w:rPr>
          <w:rFonts w:ascii="標楷體" w:hAnsi="標楷體"/>
          <w:sz w:val="28"/>
          <w:szCs w:val="28"/>
        </w:rPr>
      </w:pPr>
      <w:r>
        <w:rPr>
          <w:rFonts w:ascii="標楷體" w:hAnsi="標楷體" w:hint="eastAsia"/>
          <w:sz w:val="28"/>
          <w:szCs w:val="28"/>
        </w:rPr>
        <w:t>財政部國有財產署副署長　李政宗（署長請假）</w:t>
      </w:r>
    </w:p>
    <w:p w14:paraId="6D14AF9F" w14:textId="77777777" w:rsidR="00421BB5" w:rsidRDefault="00421BB5" w:rsidP="00421BB5">
      <w:pPr>
        <w:pStyle w:val="-9"/>
        <w:spacing w:line="360" w:lineRule="exact"/>
        <w:ind w:leftChars="589" w:left="2240" w:hangingChars="295" w:hanging="826"/>
        <w:jc w:val="distribute"/>
        <w:rPr>
          <w:rFonts w:ascii="標楷體" w:hAnsi="標楷體"/>
          <w:sz w:val="28"/>
          <w:szCs w:val="28"/>
        </w:rPr>
      </w:pPr>
      <w:r>
        <w:rPr>
          <w:rFonts w:ascii="標楷體" w:hAnsi="標楷體" w:hint="eastAsia"/>
          <w:sz w:val="28"/>
          <w:szCs w:val="28"/>
        </w:rPr>
        <w:t xml:space="preserve">國家發展委員會社會發展處處長　</w:t>
      </w:r>
      <w:r w:rsidRPr="008E35D7">
        <w:rPr>
          <w:rFonts w:ascii="標楷體" w:hAnsi="標楷體" w:hint="eastAsia"/>
          <w:spacing w:val="-20"/>
          <w:sz w:val="28"/>
          <w:szCs w:val="28"/>
        </w:rPr>
        <w:t>張富林（主任委員請假）</w:t>
      </w:r>
    </w:p>
    <w:p w14:paraId="4DA245FF" w14:textId="77777777" w:rsidR="00421BB5" w:rsidRPr="002134F9" w:rsidRDefault="00421BB5" w:rsidP="00421BB5">
      <w:pPr>
        <w:pStyle w:val="-9"/>
        <w:spacing w:line="360" w:lineRule="exact"/>
        <w:ind w:leftChars="589" w:left="2240" w:hangingChars="295" w:hanging="826"/>
        <w:jc w:val="distribute"/>
        <w:rPr>
          <w:rFonts w:ascii="標楷體" w:hAnsi="標楷體"/>
          <w:sz w:val="28"/>
          <w:szCs w:val="28"/>
        </w:rPr>
      </w:pPr>
      <w:r>
        <w:rPr>
          <w:rFonts w:ascii="標楷體" w:hAnsi="標楷體" w:hint="eastAsia"/>
          <w:sz w:val="28"/>
          <w:szCs w:val="28"/>
        </w:rPr>
        <w:t xml:space="preserve">國家住宅及都市更新中心執行長　</w:t>
      </w:r>
      <w:r w:rsidRPr="008E35D7">
        <w:rPr>
          <w:rFonts w:ascii="標楷體" w:hAnsi="標楷體" w:hint="eastAsia"/>
          <w:spacing w:val="-20"/>
          <w:sz w:val="28"/>
          <w:szCs w:val="28"/>
        </w:rPr>
        <w:t>黃景茂（董事長請假）</w:t>
      </w:r>
    </w:p>
    <w:p w14:paraId="65641C61" w14:textId="77777777" w:rsidR="00421BB5" w:rsidRPr="00B70508" w:rsidRDefault="00421BB5" w:rsidP="00421BB5">
      <w:pPr>
        <w:spacing w:line="360" w:lineRule="exact"/>
        <w:ind w:left="1117" w:hangingChars="399" w:hanging="1117"/>
        <w:jc w:val="both"/>
        <w:rPr>
          <w:rFonts w:ascii="標楷體" w:eastAsia="標楷體" w:hAnsi="標楷體"/>
          <w:sz w:val="28"/>
          <w:szCs w:val="28"/>
        </w:rPr>
      </w:pPr>
      <w:r w:rsidRPr="00A64B13">
        <w:rPr>
          <w:rFonts w:ascii="標楷體" w:eastAsia="標楷體" w:hAnsi="標楷體"/>
          <w:kern w:val="0"/>
          <w:sz w:val="28"/>
          <w:szCs w:val="28"/>
          <w:fitText w:val="1120" w:id="972279812"/>
        </w:rPr>
        <w:t>主    席</w:t>
      </w:r>
      <w:r w:rsidRPr="00B70508">
        <w:rPr>
          <w:rFonts w:ascii="標楷體" w:eastAsia="標楷體" w:hAnsi="標楷體"/>
          <w:sz w:val="28"/>
          <w:szCs w:val="28"/>
        </w:rPr>
        <w:t>：</w:t>
      </w:r>
      <w:r>
        <w:rPr>
          <w:rFonts w:ascii="標楷體" w:eastAsia="標楷體" w:hAnsi="標楷體" w:hint="eastAsia"/>
          <w:sz w:val="28"/>
          <w:szCs w:val="28"/>
        </w:rPr>
        <w:t>林召集委員思銘</w:t>
      </w:r>
    </w:p>
    <w:p w14:paraId="4CA19FC9" w14:textId="77777777" w:rsidR="00421BB5" w:rsidRDefault="00421BB5" w:rsidP="00421BB5">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梁雯</w:t>
      </w:r>
      <w:r w:rsidRPr="00ED0626">
        <w:rPr>
          <w:rFonts w:ascii="標楷體" w:eastAsia="標楷體" w:hAnsi="標楷體" w:hint="eastAsia"/>
          <w:sz w:val="28"/>
          <w:szCs w:val="28"/>
        </w:rPr>
        <w:t>璍</w:t>
      </w:r>
    </w:p>
    <w:p w14:paraId="6F7BC718" w14:textId="77777777" w:rsidR="00421BB5" w:rsidRPr="008C1421" w:rsidRDefault="00421BB5" w:rsidP="00421BB5">
      <w:pPr>
        <w:snapToGrid w:val="0"/>
        <w:spacing w:line="360" w:lineRule="exact"/>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7A91E531" w14:textId="77777777" w:rsidR="00421BB5" w:rsidRPr="008C1421" w:rsidRDefault="00421BB5" w:rsidP="00421BB5">
      <w:pPr>
        <w:adjustRightInd w:val="0"/>
        <w:snapToGrid w:val="0"/>
        <w:spacing w:line="360" w:lineRule="exact"/>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14:paraId="4A128435" w14:textId="77777777" w:rsidR="00421BB5" w:rsidRPr="008C1421" w:rsidRDefault="00421BB5" w:rsidP="00421BB5">
      <w:pPr>
        <w:adjustRightInd w:val="0"/>
        <w:snapToGrid w:val="0"/>
        <w:spacing w:line="360" w:lineRule="exact"/>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14:paraId="4366C563" w14:textId="77777777" w:rsidR="00421BB5" w:rsidRDefault="00421BB5" w:rsidP="00421BB5">
      <w:pPr>
        <w:adjustRightInd w:val="0"/>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科　　長　鮑夏明</w:t>
      </w:r>
    </w:p>
    <w:p w14:paraId="58AF4287" w14:textId="77777777" w:rsidR="00421BB5" w:rsidRDefault="00421BB5" w:rsidP="00421BB5">
      <w:pPr>
        <w:adjustRightInd w:val="0"/>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專　　員　林宗賢</w:t>
      </w:r>
    </w:p>
    <w:p w14:paraId="56980D88" w14:textId="77777777" w:rsidR="00421BB5" w:rsidRPr="00B70508"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B70508">
        <w:rPr>
          <w:rFonts w:ascii="標楷體" w:hAnsi="標楷體"/>
          <w:b/>
          <w:sz w:val="28"/>
          <w:szCs w:val="28"/>
        </w:rPr>
        <w:t>報告事項</w:t>
      </w:r>
    </w:p>
    <w:p w14:paraId="224C081A" w14:textId="77777777" w:rsidR="00421BB5" w:rsidRPr="00B70508" w:rsidRDefault="00421BB5" w:rsidP="00421BB5">
      <w:pPr>
        <w:pStyle w:val="afffff4"/>
        <w:spacing w:line="360" w:lineRule="exact"/>
        <w:ind w:left="560" w:hanging="560"/>
        <w:jc w:val="both"/>
        <w:rPr>
          <w:rFonts w:ascii="標楷體" w:hAnsi="標楷體"/>
          <w:sz w:val="28"/>
          <w:szCs w:val="28"/>
        </w:rPr>
      </w:pPr>
      <w:r>
        <w:rPr>
          <w:rFonts w:ascii="標楷體" w:hAnsi="標楷體" w:hint="eastAsia"/>
          <w:sz w:val="28"/>
          <w:szCs w:val="28"/>
        </w:rPr>
        <w:t>一、</w:t>
      </w:r>
      <w:r w:rsidRPr="00B70508">
        <w:rPr>
          <w:rFonts w:ascii="標楷體" w:hAnsi="標楷體"/>
          <w:sz w:val="28"/>
          <w:szCs w:val="28"/>
        </w:rPr>
        <w:t>宣讀上次會議議事錄</w:t>
      </w:r>
      <w:r>
        <w:rPr>
          <w:rFonts w:ascii="標楷體" w:hAnsi="標楷體" w:hint="eastAsia"/>
          <w:sz w:val="28"/>
          <w:szCs w:val="28"/>
        </w:rPr>
        <w:t>。</w:t>
      </w:r>
    </w:p>
    <w:p w14:paraId="59DFA449" w14:textId="77777777" w:rsidR="00421BB5" w:rsidRDefault="00421BB5" w:rsidP="00421BB5">
      <w:pPr>
        <w:adjustRightInd w:val="0"/>
        <w:snapToGrid w:val="0"/>
        <w:spacing w:line="360" w:lineRule="exact"/>
        <w:ind w:left="840" w:hangingChars="300" w:hanging="840"/>
        <w:jc w:val="both"/>
        <w:rPr>
          <w:rFonts w:ascii="標楷體" w:eastAsia="標楷體" w:hAnsi="標楷體"/>
          <w:kern w:val="0"/>
          <w:sz w:val="28"/>
          <w:szCs w:val="28"/>
        </w:rPr>
      </w:pPr>
      <w:r w:rsidRPr="00B70508">
        <w:rPr>
          <w:rFonts w:ascii="標楷體" w:eastAsia="標楷體" w:hAnsi="標楷體" w:hint="eastAsia"/>
          <w:kern w:val="0"/>
          <w:sz w:val="28"/>
          <w:szCs w:val="28"/>
        </w:rPr>
        <w:t>決定：確定。</w:t>
      </w:r>
    </w:p>
    <w:p w14:paraId="73AE725D" w14:textId="77777777" w:rsidR="00421BB5" w:rsidRDefault="00421BB5" w:rsidP="00421BB5">
      <w:pPr>
        <w:adjustRightInd w:val="0"/>
        <w:snapToGrid w:val="0"/>
        <w:spacing w:line="360" w:lineRule="exact"/>
        <w:ind w:left="560" w:hangingChars="200" w:hanging="560"/>
        <w:jc w:val="both"/>
        <w:rPr>
          <w:rFonts w:ascii="標楷體" w:eastAsia="標楷體" w:hAnsi="標楷體"/>
          <w:kern w:val="0"/>
          <w:sz w:val="28"/>
          <w:szCs w:val="28"/>
        </w:rPr>
      </w:pPr>
      <w:r w:rsidRPr="00B72183">
        <w:rPr>
          <w:rFonts w:ascii="標楷體" w:eastAsia="標楷體" w:hAnsi="標楷體" w:hint="eastAsia"/>
          <w:kern w:val="0"/>
          <w:sz w:val="28"/>
          <w:szCs w:val="28"/>
        </w:rPr>
        <w:t>二、</w:t>
      </w:r>
      <w:r w:rsidRPr="002134F9">
        <w:rPr>
          <w:rFonts w:ascii="標楷體" w:eastAsia="標楷體" w:hAnsi="標楷體" w:hint="eastAsia"/>
          <w:kern w:val="0"/>
          <w:sz w:val="28"/>
          <w:szCs w:val="28"/>
        </w:rPr>
        <w:t>邀請法務部部長、行政院主計總處主計長、財政部國有財產署署長、國家發展委員會主任委員、國家住宅及都市更新中心董事長率所屬相關單位列席就「檢察機關職務宿舍現況盤點，法務部及相關部會針對檢察官職務宿舍數量不足問題之短期協助方案及中長程策進作為」進行專題報告，並備質詢。</w:t>
      </w:r>
    </w:p>
    <w:p w14:paraId="06663E91" w14:textId="77777777" w:rsidR="00421BB5" w:rsidRDefault="00421BB5" w:rsidP="00421BB5">
      <w:pPr>
        <w:spacing w:beforeLines="10" w:before="36" w:line="360" w:lineRule="exact"/>
        <w:ind w:left="280" w:rightChars="92" w:right="221" w:hangingChars="100" w:hanging="280"/>
        <w:jc w:val="both"/>
        <w:rPr>
          <w:rFonts w:ascii="標楷體" w:eastAsia="標楷體" w:hAnsi="標楷體"/>
          <w:sz w:val="28"/>
          <w:szCs w:val="28"/>
        </w:rPr>
      </w:pPr>
      <w:r w:rsidRPr="00436658">
        <w:rPr>
          <w:rFonts w:ascii="標楷體" w:eastAsia="標楷體" w:hAnsi="標楷體" w:hint="eastAsia"/>
          <w:sz w:val="28"/>
          <w:szCs w:val="28"/>
        </w:rPr>
        <w:t>（</w:t>
      </w:r>
      <w:r w:rsidRPr="00AA6EB2">
        <w:rPr>
          <w:rFonts w:ascii="標楷體" w:eastAsia="標楷體" w:hAnsi="標楷體" w:hint="eastAsia"/>
          <w:spacing w:val="-10"/>
          <w:sz w:val="28"/>
          <w:szCs w:val="28"/>
        </w:rPr>
        <w:t>本次會議有委員游毓蘭、陳歐珀、黃世杰、鄭運鵬、陳玉珍、林思銘</w:t>
      </w:r>
      <w:r>
        <w:rPr>
          <w:rFonts w:ascii="標楷體" w:eastAsia="標楷體" w:hAnsi="標楷體" w:hint="eastAsia"/>
          <w:sz w:val="28"/>
          <w:szCs w:val="28"/>
        </w:rPr>
        <w:t>、</w:t>
      </w:r>
    </w:p>
    <w:p w14:paraId="1B7AFFFE" w14:textId="77777777" w:rsidR="00421BB5" w:rsidRDefault="00421BB5" w:rsidP="00421BB5">
      <w:pPr>
        <w:spacing w:beforeLines="10" w:before="36" w:line="360" w:lineRule="exact"/>
        <w:ind w:leftChars="116" w:left="278" w:rightChars="92" w:right="221" w:firstLineChars="1" w:firstLine="3"/>
        <w:jc w:val="both"/>
        <w:rPr>
          <w:rFonts w:ascii="標楷體" w:eastAsia="標楷體" w:hAnsi="標楷體"/>
          <w:sz w:val="28"/>
          <w:szCs w:val="28"/>
        </w:rPr>
      </w:pPr>
      <w:r>
        <w:rPr>
          <w:rFonts w:ascii="標楷體" w:eastAsia="標楷體" w:hAnsi="標楷體" w:hint="eastAsia"/>
          <w:sz w:val="28"/>
          <w:szCs w:val="28"/>
        </w:rPr>
        <w:t>江永昌、楊瓊瓔、</w:t>
      </w:r>
      <w:r w:rsidRPr="006E6AFF">
        <w:rPr>
          <w:rFonts w:ascii="標楷體" w:eastAsia="標楷體" w:hAnsi="標楷體" w:hint="eastAsia"/>
          <w:sz w:val="28"/>
          <w:szCs w:val="28"/>
        </w:rPr>
        <w:t>陳以信</w:t>
      </w:r>
      <w:r>
        <w:rPr>
          <w:rFonts w:ascii="標楷體" w:eastAsia="標楷體" w:hAnsi="標楷體" w:hint="eastAsia"/>
          <w:sz w:val="28"/>
          <w:szCs w:val="28"/>
        </w:rPr>
        <w:t>、</w:t>
      </w:r>
      <w:r w:rsidRPr="00B6442B">
        <w:rPr>
          <w:rFonts w:ascii="標楷體" w:eastAsia="標楷體" w:hAnsi="標楷體" w:hint="eastAsia"/>
          <w:sz w:val="28"/>
          <w:szCs w:val="28"/>
        </w:rPr>
        <w:t>劉建國</w:t>
      </w:r>
      <w:r>
        <w:rPr>
          <w:rFonts w:ascii="標楷體" w:eastAsia="標楷體" w:hAnsi="標楷體" w:hint="eastAsia"/>
          <w:sz w:val="28"/>
          <w:szCs w:val="28"/>
        </w:rPr>
        <w:t>、陳椒華、曾銘宗</w:t>
      </w:r>
      <w:r w:rsidRPr="00436658">
        <w:rPr>
          <w:rFonts w:ascii="標楷體" w:eastAsia="標楷體" w:hAnsi="標楷體" w:hint="eastAsia"/>
          <w:sz w:val="28"/>
          <w:szCs w:val="28"/>
        </w:rPr>
        <w:t>提出質詢</w:t>
      </w:r>
      <w:r w:rsidRPr="00D67F7F">
        <w:rPr>
          <w:rFonts w:ascii="標楷體" w:eastAsia="標楷體" w:hAnsi="標楷體" w:hint="eastAsia"/>
          <w:sz w:val="28"/>
          <w:szCs w:val="28"/>
        </w:rPr>
        <w:t>。</w:t>
      </w:r>
      <w:r w:rsidRPr="00B70508">
        <w:rPr>
          <w:rFonts w:ascii="標楷體" w:eastAsia="標楷體" w:hAnsi="標楷體" w:hint="eastAsia"/>
          <w:sz w:val="28"/>
          <w:szCs w:val="28"/>
        </w:rPr>
        <w:t>）</w:t>
      </w:r>
    </w:p>
    <w:p w14:paraId="58BB7968" w14:textId="77777777" w:rsidR="00421BB5" w:rsidRDefault="00421BB5" w:rsidP="00421BB5">
      <w:pPr>
        <w:pStyle w:val="afffff4"/>
        <w:spacing w:line="360" w:lineRule="exact"/>
        <w:ind w:firstLineChars="0"/>
        <w:jc w:val="both"/>
        <w:rPr>
          <w:rFonts w:ascii="標楷體" w:hAnsi="標楷體"/>
          <w:sz w:val="28"/>
          <w:szCs w:val="28"/>
        </w:rPr>
      </w:pPr>
      <w:r w:rsidRPr="00FA4BCD">
        <w:rPr>
          <w:rFonts w:ascii="標楷體" w:hAnsi="標楷體" w:hint="eastAsia"/>
          <w:sz w:val="28"/>
          <w:szCs w:val="28"/>
        </w:rPr>
        <w:t>決定：</w:t>
      </w:r>
    </w:p>
    <w:p w14:paraId="2B2D6539" w14:textId="77777777" w:rsidR="00421BB5" w:rsidRDefault="00421BB5" w:rsidP="00421BB5">
      <w:pPr>
        <w:pStyle w:val="afffff4"/>
        <w:spacing w:line="360" w:lineRule="exact"/>
        <w:ind w:firstLineChars="0"/>
        <w:jc w:val="both"/>
        <w:rPr>
          <w:rFonts w:ascii="標楷體" w:hAnsi="標楷體"/>
          <w:sz w:val="28"/>
          <w:szCs w:val="28"/>
        </w:rPr>
      </w:pPr>
      <w:r>
        <w:rPr>
          <w:rFonts w:ascii="標楷體" w:hAnsi="標楷體" w:hint="eastAsia"/>
          <w:sz w:val="28"/>
          <w:szCs w:val="28"/>
        </w:rPr>
        <w:t>一、</w:t>
      </w:r>
      <w:r w:rsidRPr="00FA4BCD">
        <w:rPr>
          <w:rFonts w:ascii="標楷體" w:hAnsi="標楷體" w:hint="eastAsia"/>
          <w:sz w:val="28"/>
          <w:szCs w:val="28"/>
        </w:rPr>
        <w:t>報告及詢答完畢。</w:t>
      </w:r>
    </w:p>
    <w:p w14:paraId="0790F867" w14:textId="77777777" w:rsidR="00421BB5" w:rsidRDefault="00421BB5" w:rsidP="00421BB5">
      <w:pPr>
        <w:pStyle w:val="afffff4"/>
        <w:spacing w:line="360" w:lineRule="exact"/>
        <w:ind w:left="560" w:firstLineChars="0" w:hanging="574"/>
        <w:jc w:val="both"/>
        <w:rPr>
          <w:rFonts w:ascii="標楷體" w:hAnsi="標楷體"/>
          <w:sz w:val="28"/>
          <w:szCs w:val="28"/>
        </w:rPr>
      </w:pPr>
      <w:r>
        <w:rPr>
          <w:rFonts w:ascii="標楷體" w:hAnsi="標楷體" w:hint="eastAsia"/>
          <w:sz w:val="28"/>
          <w:szCs w:val="28"/>
        </w:rPr>
        <w:t>二、</w:t>
      </w:r>
      <w:r w:rsidRPr="00DC0704">
        <w:rPr>
          <w:rFonts w:ascii="標楷體" w:hAnsi="標楷體"/>
          <w:sz w:val="28"/>
          <w:szCs w:val="28"/>
        </w:rPr>
        <w:t>委員質詢時，要求提供相關資料或以書面答復者，請相關機關儘速送交個別委員及本會。</w:t>
      </w:r>
    </w:p>
    <w:p w14:paraId="5F963FD6" w14:textId="77777777" w:rsidR="00421BB5" w:rsidRDefault="00421BB5" w:rsidP="00421BB5">
      <w:pPr>
        <w:spacing w:line="360" w:lineRule="exact"/>
        <w:ind w:leftChars="5" w:left="617" w:hangingChars="216" w:hanging="605"/>
        <w:contextualSpacing/>
        <w:jc w:val="both"/>
        <w:rPr>
          <w:rFonts w:ascii="標楷體" w:eastAsia="標楷體" w:hAnsi="標楷體"/>
          <w:sz w:val="28"/>
          <w:szCs w:val="28"/>
        </w:rPr>
      </w:pPr>
      <w:r w:rsidRPr="00DD3E6B">
        <w:rPr>
          <w:rFonts w:ascii="標楷體" w:eastAsia="標楷體" w:hAnsi="標楷體"/>
          <w:sz w:val="28"/>
          <w:szCs w:val="28"/>
        </w:rPr>
        <w:t>散會</w:t>
      </w:r>
    </w:p>
    <w:p w14:paraId="221BEC54" w14:textId="77777777" w:rsidR="00421BB5" w:rsidRPr="000861EB" w:rsidRDefault="00421BB5" w:rsidP="00421BB5">
      <w:pPr>
        <w:spacing w:beforeLines="50" w:before="180" w:afterLines="50" w:after="180" w:line="360" w:lineRule="exact"/>
        <w:outlineLvl w:val="2"/>
        <w:rPr>
          <w:rFonts w:ascii="標楷體" w:eastAsia="標楷體" w:hAnsi="標楷體"/>
          <w:b/>
          <w:spacing w:val="-4"/>
          <w:sz w:val="28"/>
          <w:szCs w:val="28"/>
        </w:rPr>
      </w:pPr>
      <w:r>
        <w:rPr>
          <w:rFonts w:ascii="標楷體" w:eastAsia="標楷體" w:hAnsi="標楷體"/>
          <w:sz w:val="28"/>
          <w:szCs w:val="28"/>
        </w:rPr>
        <w:br w:type="page"/>
      </w:r>
      <w:r w:rsidRPr="000861EB">
        <w:rPr>
          <w:rFonts w:ascii="標楷體" w:eastAsia="標楷體" w:hAnsi="標楷體"/>
          <w:b/>
          <w:spacing w:val="-4"/>
          <w:sz w:val="28"/>
          <w:szCs w:val="28"/>
        </w:rPr>
        <w:lastRenderedPageBreak/>
        <w:t>立法院第</w:t>
      </w:r>
      <w:r w:rsidRPr="000861EB">
        <w:rPr>
          <w:rFonts w:ascii="標楷體" w:eastAsia="標楷體" w:hAnsi="標楷體" w:hint="eastAsia"/>
          <w:b/>
          <w:spacing w:val="-4"/>
          <w:sz w:val="28"/>
          <w:szCs w:val="28"/>
        </w:rPr>
        <w:t>10</w:t>
      </w:r>
      <w:r w:rsidRPr="000861EB">
        <w:rPr>
          <w:rFonts w:ascii="標楷體" w:eastAsia="標楷體" w:hAnsi="標楷體"/>
          <w:b/>
          <w:spacing w:val="-4"/>
          <w:sz w:val="28"/>
          <w:szCs w:val="28"/>
        </w:rPr>
        <w:t>屆第</w:t>
      </w:r>
      <w:r>
        <w:rPr>
          <w:rFonts w:ascii="標楷體" w:eastAsia="標楷體" w:hAnsi="標楷體" w:hint="eastAsia"/>
          <w:b/>
          <w:spacing w:val="-4"/>
          <w:sz w:val="28"/>
          <w:szCs w:val="28"/>
        </w:rPr>
        <w:t>6</w:t>
      </w:r>
      <w:r w:rsidRPr="000861EB">
        <w:rPr>
          <w:rFonts w:ascii="標楷體" w:eastAsia="標楷體" w:hAnsi="標楷體"/>
          <w:b/>
          <w:spacing w:val="-4"/>
          <w:sz w:val="28"/>
          <w:szCs w:val="28"/>
        </w:rPr>
        <w:t>會期司法及法制委員會第</w:t>
      </w:r>
      <w:r>
        <w:rPr>
          <w:rFonts w:ascii="標楷體" w:eastAsia="標楷體" w:hAnsi="標楷體"/>
          <w:b/>
          <w:spacing w:val="-4"/>
          <w:sz w:val="28"/>
          <w:szCs w:val="28"/>
        </w:rPr>
        <w:t>29</w:t>
      </w:r>
      <w:r w:rsidRPr="000861EB">
        <w:rPr>
          <w:rFonts w:ascii="標楷體" w:eastAsia="標楷體" w:hAnsi="標楷體"/>
          <w:b/>
          <w:spacing w:val="-4"/>
          <w:sz w:val="28"/>
          <w:szCs w:val="28"/>
        </w:rPr>
        <w:t>次全體委員會議議事錄</w:t>
      </w:r>
    </w:p>
    <w:p w14:paraId="24462876" w14:textId="77777777" w:rsidR="00421BB5" w:rsidRPr="00142DE1" w:rsidRDefault="00421BB5" w:rsidP="00421BB5">
      <w:pPr>
        <w:pStyle w:val="-9"/>
        <w:spacing w:line="360" w:lineRule="exact"/>
        <w:ind w:leftChars="1" w:left="1416" w:hangingChars="505" w:hanging="1414"/>
        <w:rPr>
          <w:rFonts w:ascii="標楷體" w:hAnsi="標楷體"/>
          <w:spacing w:val="-10"/>
          <w:sz w:val="28"/>
          <w:szCs w:val="28"/>
        </w:rPr>
      </w:pPr>
      <w:r w:rsidRPr="00B25FA4">
        <w:rPr>
          <w:rFonts w:ascii="標楷體" w:hAnsi="標楷體"/>
          <w:sz w:val="28"/>
          <w:szCs w:val="28"/>
          <w:fitText w:val="1120" w:id="972279552"/>
        </w:rPr>
        <w:t>時    間</w:t>
      </w:r>
      <w:r w:rsidRPr="00466925">
        <w:rPr>
          <w:rFonts w:ascii="標楷體" w:hAnsi="標楷體"/>
          <w:spacing w:val="-10"/>
          <w:sz w:val="28"/>
          <w:szCs w:val="28"/>
        </w:rPr>
        <w:t>：</w:t>
      </w:r>
      <w:r w:rsidRPr="00507BC9">
        <w:rPr>
          <w:rFonts w:ascii="標楷體" w:hAnsi="標楷體"/>
          <w:spacing w:val="-10"/>
          <w:sz w:val="28"/>
          <w:szCs w:val="28"/>
        </w:rPr>
        <w:t>中華民國1</w:t>
      </w:r>
      <w:r w:rsidRPr="00507BC9">
        <w:rPr>
          <w:rFonts w:ascii="標楷體" w:hAnsi="標楷體" w:hint="eastAsia"/>
          <w:spacing w:val="-10"/>
          <w:sz w:val="28"/>
          <w:szCs w:val="28"/>
        </w:rPr>
        <w:t>11</w:t>
      </w:r>
      <w:r w:rsidRPr="00507BC9">
        <w:rPr>
          <w:rFonts w:ascii="標楷體" w:hAnsi="標楷體"/>
          <w:spacing w:val="-10"/>
          <w:sz w:val="28"/>
          <w:szCs w:val="28"/>
        </w:rPr>
        <w:t>年</w:t>
      </w:r>
      <w:r>
        <w:rPr>
          <w:rFonts w:ascii="標楷體" w:hAnsi="標楷體" w:hint="eastAsia"/>
          <w:spacing w:val="-10"/>
          <w:sz w:val="28"/>
          <w:szCs w:val="28"/>
        </w:rPr>
        <w:t>12</w:t>
      </w:r>
      <w:r w:rsidRPr="00507BC9">
        <w:rPr>
          <w:rFonts w:ascii="標楷體" w:hAnsi="標楷體"/>
          <w:spacing w:val="-10"/>
          <w:sz w:val="28"/>
          <w:szCs w:val="28"/>
        </w:rPr>
        <w:t>月</w:t>
      </w:r>
      <w:r>
        <w:rPr>
          <w:rFonts w:ascii="標楷體" w:hAnsi="標楷體"/>
          <w:spacing w:val="-10"/>
          <w:sz w:val="28"/>
          <w:szCs w:val="28"/>
        </w:rPr>
        <w:t>28</w:t>
      </w:r>
      <w:r w:rsidRPr="00507BC9">
        <w:rPr>
          <w:rFonts w:ascii="標楷體" w:hAnsi="標楷體"/>
          <w:spacing w:val="-10"/>
          <w:sz w:val="28"/>
          <w:szCs w:val="28"/>
        </w:rPr>
        <w:t>日（星期</w:t>
      </w:r>
      <w:r>
        <w:rPr>
          <w:rFonts w:ascii="標楷體" w:hAnsi="標楷體" w:hint="eastAsia"/>
          <w:spacing w:val="-10"/>
          <w:sz w:val="28"/>
          <w:szCs w:val="28"/>
        </w:rPr>
        <w:t>三</w:t>
      </w:r>
      <w:r w:rsidRPr="00507BC9">
        <w:rPr>
          <w:rFonts w:ascii="標楷體" w:hAnsi="標楷體"/>
          <w:spacing w:val="-10"/>
          <w:sz w:val="28"/>
          <w:szCs w:val="28"/>
        </w:rPr>
        <w:t>）上午9時</w:t>
      </w:r>
      <w:r w:rsidRPr="00A959E2">
        <w:rPr>
          <w:rFonts w:ascii="標楷體" w:hAnsi="標楷體"/>
          <w:spacing w:val="-10"/>
          <w:sz w:val="28"/>
          <w:szCs w:val="28"/>
        </w:rPr>
        <w:t>至</w:t>
      </w:r>
      <w:r w:rsidRPr="00A959E2">
        <w:rPr>
          <w:rFonts w:ascii="標楷體" w:hAnsi="標楷體" w:hint="eastAsia"/>
          <w:spacing w:val="-10"/>
          <w:sz w:val="28"/>
          <w:szCs w:val="28"/>
        </w:rPr>
        <w:t>1</w:t>
      </w:r>
      <w:r>
        <w:rPr>
          <w:rFonts w:ascii="標楷體" w:hAnsi="標楷體" w:hint="eastAsia"/>
          <w:spacing w:val="-10"/>
          <w:sz w:val="28"/>
          <w:szCs w:val="28"/>
        </w:rPr>
        <w:t>0</w:t>
      </w:r>
      <w:r w:rsidRPr="00A959E2">
        <w:rPr>
          <w:rFonts w:ascii="標楷體" w:hAnsi="標楷體"/>
          <w:spacing w:val="-10"/>
          <w:sz w:val="28"/>
          <w:szCs w:val="28"/>
        </w:rPr>
        <w:t>時</w:t>
      </w:r>
      <w:r>
        <w:rPr>
          <w:rFonts w:ascii="標楷體" w:hAnsi="標楷體" w:hint="eastAsia"/>
          <w:spacing w:val="-10"/>
          <w:sz w:val="28"/>
          <w:szCs w:val="28"/>
        </w:rPr>
        <w:t>49</w:t>
      </w:r>
      <w:r w:rsidRPr="00A959E2">
        <w:rPr>
          <w:rFonts w:ascii="標楷體" w:hAnsi="標楷體"/>
          <w:spacing w:val="-10"/>
          <w:sz w:val="28"/>
          <w:szCs w:val="28"/>
        </w:rPr>
        <w:t>分</w:t>
      </w:r>
    </w:p>
    <w:p w14:paraId="328AF775" w14:textId="77777777" w:rsidR="00421BB5" w:rsidRDefault="00421BB5" w:rsidP="00421BB5">
      <w:pPr>
        <w:pStyle w:val="-9"/>
        <w:spacing w:line="360" w:lineRule="exact"/>
        <w:ind w:left="1364" w:hanging="1364"/>
        <w:rPr>
          <w:rFonts w:ascii="標楷體" w:hAnsi="標楷體"/>
          <w:sz w:val="28"/>
          <w:szCs w:val="28"/>
        </w:rPr>
      </w:pPr>
      <w:r w:rsidRPr="00C44672">
        <w:rPr>
          <w:rFonts w:ascii="標楷體" w:hAnsi="標楷體"/>
          <w:sz w:val="28"/>
          <w:szCs w:val="28"/>
          <w:fitText w:val="1120" w:id="972279808"/>
        </w:rPr>
        <w:t>地    點</w:t>
      </w:r>
      <w:r w:rsidRPr="00DD3E6B">
        <w:rPr>
          <w:rFonts w:ascii="標楷體" w:hAnsi="標楷體"/>
          <w:sz w:val="28"/>
          <w:szCs w:val="28"/>
        </w:rPr>
        <w:t>：本院紅樓302會議室</w:t>
      </w:r>
    </w:p>
    <w:p w14:paraId="78307A16" w14:textId="77777777" w:rsidR="00BE478A" w:rsidRDefault="00421BB5" w:rsidP="00421BB5">
      <w:pPr>
        <w:pStyle w:val="-9"/>
        <w:spacing w:line="360" w:lineRule="exact"/>
        <w:ind w:leftChars="1" w:left="1399" w:hangingChars="499" w:hanging="1397"/>
        <w:jc w:val="left"/>
        <w:rPr>
          <w:rFonts w:ascii="標楷體" w:hAnsi="標楷體"/>
          <w:sz w:val="28"/>
          <w:szCs w:val="28"/>
        </w:rPr>
      </w:pPr>
      <w:r w:rsidRPr="005E4554">
        <w:rPr>
          <w:rFonts w:ascii="標楷體" w:hAnsi="標楷體"/>
          <w:sz w:val="28"/>
          <w:szCs w:val="28"/>
        </w:rPr>
        <w:t>出席委員</w:t>
      </w:r>
      <w:r w:rsidRPr="005E4554">
        <w:rPr>
          <w:rFonts w:ascii="標楷體" w:hAnsi="標楷體" w:hint="eastAsia"/>
          <w:sz w:val="28"/>
          <w:szCs w:val="28"/>
        </w:rPr>
        <w:t>：</w:t>
      </w:r>
      <w:r w:rsidRPr="00FF5A17">
        <w:rPr>
          <w:rFonts w:ascii="標楷體" w:hAnsi="標楷體" w:hint="eastAsia"/>
          <w:sz w:val="28"/>
          <w:szCs w:val="28"/>
        </w:rPr>
        <w:t xml:space="preserve">曾銘宗 </w:t>
      </w:r>
      <w:r>
        <w:rPr>
          <w:rFonts w:ascii="標楷體" w:hAnsi="標楷體" w:hint="eastAsia"/>
          <w:sz w:val="28"/>
          <w:szCs w:val="28"/>
        </w:rPr>
        <w:t>游</w:t>
      </w:r>
      <w:r w:rsidRPr="00FF5A17">
        <w:rPr>
          <w:rFonts w:ascii="標楷體" w:hAnsi="標楷體" w:hint="eastAsia"/>
          <w:sz w:val="28"/>
          <w:szCs w:val="28"/>
        </w:rPr>
        <w:t>毓蘭</w:t>
      </w:r>
      <w:r>
        <w:rPr>
          <w:rFonts w:ascii="標楷體" w:hAnsi="標楷體"/>
          <w:sz w:val="28"/>
          <w:szCs w:val="28"/>
        </w:rPr>
        <w:tab/>
      </w:r>
      <w:r w:rsidRPr="00776953">
        <w:rPr>
          <w:rFonts w:ascii="標楷體" w:hAnsi="標楷體" w:hint="eastAsia"/>
          <w:sz w:val="28"/>
          <w:szCs w:val="28"/>
        </w:rPr>
        <w:t>陳歐珀</w:t>
      </w:r>
      <w:r>
        <w:rPr>
          <w:rFonts w:ascii="標楷體" w:hAnsi="標楷體"/>
          <w:sz w:val="28"/>
          <w:szCs w:val="28"/>
        </w:rPr>
        <w:tab/>
      </w:r>
      <w:r w:rsidRPr="00FF5A17">
        <w:rPr>
          <w:rFonts w:ascii="標楷體" w:hAnsi="標楷體" w:hint="eastAsia"/>
          <w:sz w:val="28"/>
          <w:szCs w:val="28"/>
        </w:rPr>
        <w:t>林思銘</w:t>
      </w:r>
      <w:r>
        <w:rPr>
          <w:rFonts w:ascii="標楷體" w:hAnsi="標楷體"/>
          <w:sz w:val="28"/>
          <w:szCs w:val="28"/>
        </w:rPr>
        <w:tab/>
      </w:r>
      <w:r w:rsidRPr="004F1258">
        <w:rPr>
          <w:rFonts w:ascii="標楷體" w:hAnsi="標楷體" w:hint="eastAsia"/>
          <w:sz w:val="28"/>
          <w:szCs w:val="28"/>
        </w:rPr>
        <w:t>陳以信</w:t>
      </w:r>
      <w:r w:rsidRPr="004F1258">
        <w:rPr>
          <w:rFonts w:ascii="標楷體" w:hAnsi="標楷體"/>
          <w:sz w:val="28"/>
          <w:szCs w:val="28"/>
        </w:rPr>
        <w:tab/>
      </w:r>
      <w:r w:rsidRPr="00DC3E65">
        <w:rPr>
          <w:rFonts w:ascii="標楷體" w:hAnsi="標楷體" w:hint="eastAsia"/>
          <w:sz w:val="28"/>
          <w:szCs w:val="28"/>
        </w:rPr>
        <w:t>黃世杰</w:t>
      </w:r>
      <w:r w:rsidRPr="00DC3E65">
        <w:rPr>
          <w:rFonts w:ascii="標楷體" w:hAnsi="標楷體"/>
          <w:sz w:val="28"/>
          <w:szCs w:val="28"/>
        </w:rPr>
        <w:tab/>
      </w:r>
      <w:r w:rsidRPr="00934DE9">
        <w:rPr>
          <w:rFonts w:ascii="標楷體" w:hAnsi="標楷體" w:hint="eastAsia"/>
          <w:sz w:val="28"/>
          <w:szCs w:val="28"/>
        </w:rPr>
        <w:t>鄭運鵬</w:t>
      </w:r>
    </w:p>
    <w:p w14:paraId="18440D03" w14:textId="228F8D67" w:rsidR="00421BB5" w:rsidRPr="00BE478A" w:rsidRDefault="00421BB5" w:rsidP="00BE478A">
      <w:pPr>
        <w:adjustRightInd w:val="0"/>
        <w:snapToGrid w:val="0"/>
        <w:spacing w:line="360" w:lineRule="exact"/>
        <w:ind w:firstLineChars="500" w:firstLine="1400"/>
        <w:jc w:val="both"/>
        <w:rPr>
          <w:rFonts w:ascii="標楷體" w:eastAsia="標楷體" w:hAnsi="標楷體"/>
          <w:sz w:val="28"/>
          <w:szCs w:val="28"/>
        </w:rPr>
      </w:pPr>
      <w:r w:rsidRPr="00BE478A">
        <w:rPr>
          <w:rFonts w:ascii="標楷體" w:eastAsia="標楷體" w:hAnsi="標楷體" w:hint="eastAsia"/>
          <w:sz w:val="28"/>
          <w:szCs w:val="28"/>
        </w:rPr>
        <w:t>江永昌</w:t>
      </w:r>
      <w:r>
        <w:rPr>
          <w:rFonts w:ascii="標楷體" w:hAnsi="標楷體"/>
          <w:sz w:val="28"/>
          <w:szCs w:val="28"/>
        </w:rPr>
        <w:tab/>
      </w:r>
      <w:r w:rsidRPr="00BE478A">
        <w:rPr>
          <w:rFonts w:ascii="標楷體" w:eastAsia="標楷體" w:hAnsi="標楷體" w:hint="eastAsia"/>
          <w:sz w:val="28"/>
          <w:szCs w:val="28"/>
        </w:rPr>
        <w:t>陳玉珍</w:t>
      </w:r>
      <w:r w:rsidRPr="00BE478A">
        <w:rPr>
          <w:rFonts w:ascii="標楷體" w:eastAsia="標楷體" w:hAnsi="標楷體"/>
          <w:sz w:val="28"/>
          <w:szCs w:val="28"/>
        </w:rPr>
        <w:tab/>
      </w:r>
      <w:r w:rsidRPr="00BE478A">
        <w:rPr>
          <w:rFonts w:ascii="標楷體" w:eastAsia="標楷體" w:hAnsi="標楷體" w:hint="eastAsia"/>
          <w:sz w:val="28"/>
          <w:szCs w:val="28"/>
        </w:rPr>
        <w:t>柯建銘</w:t>
      </w:r>
      <w:r w:rsidRPr="00BE478A">
        <w:rPr>
          <w:rFonts w:ascii="標楷體" w:eastAsia="標楷體" w:hAnsi="標楷體"/>
          <w:sz w:val="28"/>
          <w:szCs w:val="28"/>
        </w:rPr>
        <w:tab/>
      </w:r>
      <w:r w:rsidRPr="00BE478A">
        <w:rPr>
          <w:rFonts w:ascii="標楷體" w:eastAsia="標楷體" w:hAnsi="標楷體" w:hint="eastAsia"/>
          <w:sz w:val="28"/>
          <w:szCs w:val="28"/>
        </w:rPr>
        <w:t>劉建國</w:t>
      </w:r>
    </w:p>
    <w:p w14:paraId="05B3E6D6" w14:textId="77777777" w:rsidR="00421BB5" w:rsidRDefault="00421BB5" w:rsidP="00421BB5">
      <w:pPr>
        <w:adjustRightInd w:val="0"/>
        <w:snapToGrid w:val="0"/>
        <w:spacing w:line="360" w:lineRule="exact"/>
        <w:ind w:firstLineChars="500" w:firstLine="1400"/>
        <w:jc w:val="both"/>
        <w:rPr>
          <w:rFonts w:ascii="標楷體" w:eastAsia="標楷體" w:hAnsi="標楷體"/>
          <w:sz w:val="28"/>
          <w:szCs w:val="28"/>
        </w:rPr>
      </w:pPr>
      <w:r w:rsidRPr="00CB5959">
        <w:rPr>
          <w:rFonts w:ascii="標楷體" w:eastAsia="標楷體" w:hAnsi="標楷體"/>
          <w:sz w:val="28"/>
          <w:szCs w:val="28"/>
        </w:rPr>
        <w:t>委員出席</w:t>
      </w:r>
      <w:r>
        <w:rPr>
          <w:rFonts w:ascii="標楷體" w:eastAsia="標楷體" w:hAnsi="標楷體" w:hint="eastAsia"/>
          <w:sz w:val="28"/>
          <w:szCs w:val="28"/>
        </w:rPr>
        <w:t>11</w:t>
      </w:r>
      <w:r w:rsidRPr="00CB5959">
        <w:rPr>
          <w:rFonts w:ascii="標楷體" w:eastAsia="標楷體" w:hAnsi="標楷體"/>
          <w:sz w:val="28"/>
          <w:szCs w:val="28"/>
        </w:rPr>
        <w:t>人</w:t>
      </w:r>
    </w:p>
    <w:p w14:paraId="61AB62CD" w14:textId="77777777" w:rsidR="00421BB5" w:rsidRPr="004E3317" w:rsidRDefault="00421BB5" w:rsidP="00421BB5">
      <w:pPr>
        <w:adjustRightInd w:val="0"/>
        <w:snapToGrid w:val="0"/>
        <w:spacing w:line="360" w:lineRule="exact"/>
        <w:ind w:leftChars="-11" w:left="1402" w:hangingChars="510" w:hanging="1428"/>
        <w:rPr>
          <w:rFonts w:ascii="標楷體" w:eastAsia="標楷體" w:hAnsi="標楷體"/>
          <w:sz w:val="28"/>
          <w:szCs w:val="28"/>
          <w:highlight w:val="yellow"/>
        </w:rPr>
      </w:pPr>
      <w:r w:rsidRPr="005E4554">
        <w:rPr>
          <w:rFonts w:ascii="標楷體" w:eastAsia="標楷體" w:hAnsi="標楷體"/>
          <w:kern w:val="0"/>
          <w:sz w:val="28"/>
          <w:szCs w:val="28"/>
        </w:rPr>
        <w:t>列席</w:t>
      </w:r>
      <w:r w:rsidRPr="005E4554">
        <w:rPr>
          <w:rFonts w:ascii="標楷體" w:eastAsia="標楷體" w:hAnsi="標楷體"/>
          <w:sz w:val="28"/>
          <w:szCs w:val="28"/>
        </w:rPr>
        <w:t>委員：</w:t>
      </w:r>
      <w:r>
        <w:rPr>
          <w:rFonts w:ascii="標楷體" w:eastAsia="標楷體" w:hAnsi="標楷體" w:hint="eastAsia"/>
          <w:sz w:val="28"/>
          <w:szCs w:val="28"/>
        </w:rPr>
        <w:t>李貴敏</w:t>
      </w:r>
      <w:r>
        <w:rPr>
          <w:rFonts w:ascii="標楷體" w:eastAsia="標楷體" w:hAnsi="標楷體"/>
          <w:sz w:val="28"/>
          <w:szCs w:val="28"/>
        </w:rPr>
        <w:tab/>
      </w:r>
      <w:r>
        <w:rPr>
          <w:rFonts w:ascii="標楷體" w:eastAsia="標楷體" w:hAnsi="標楷體" w:hint="eastAsia"/>
          <w:sz w:val="28"/>
          <w:szCs w:val="28"/>
        </w:rPr>
        <w:t>劉世芳</w:t>
      </w:r>
      <w:r>
        <w:rPr>
          <w:rFonts w:ascii="標楷體" w:eastAsia="標楷體" w:hAnsi="標楷體"/>
          <w:sz w:val="28"/>
          <w:szCs w:val="28"/>
        </w:rPr>
        <w:tab/>
      </w:r>
      <w:r w:rsidRPr="005A4089">
        <w:rPr>
          <w:rFonts w:eastAsia="標楷體" w:hint="eastAsia"/>
          <w:sz w:val="28"/>
        </w:rPr>
        <w:t>洪孟楷</w:t>
      </w:r>
      <w:r>
        <w:rPr>
          <w:rFonts w:eastAsia="標楷體"/>
          <w:sz w:val="28"/>
        </w:rPr>
        <w:tab/>
      </w:r>
      <w:r w:rsidRPr="005A4089">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邱臣遠</w:t>
      </w:r>
      <w:r>
        <w:rPr>
          <w:rFonts w:ascii="標楷體" w:eastAsia="標楷體" w:hAnsi="標楷體"/>
          <w:sz w:val="28"/>
          <w:szCs w:val="28"/>
        </w:rPr>
        <w:tab/>
      </w:r>
      <w:r>
        <w:rPr>
          <w:rFonts w:ascii="標楷體" w:eastAsia="標楷體" w:hAnsi="標楷體" w:hint="eastAsia"/>
          <w:sz w:val="28"/>
          <w:szCs w:val="28"/>
        </w:rPr>
        <w:t>楊瓊</w:t>
      </w:r>
      <w:r w:rsidRPr="004F1258">
        <w:rPr>
          <w:rFonts w:ascii="標楷體" w:eastAsia="標楷體" w:hAnsi="標楷體" w:hint="eastAsia"/>
          <w:sz w:val="28"/>
          <w:szCs w:val="28"/>
        </w:rPr>
        <w:t>瓔</w:t>
      </w:r>
      <w:r w:rsidRPr="004F1258">
        <w:rPr>
          <w:rFonts w:ascii="標楷體" w:eastAsia="標楷體" w:hAnsi="標楷體"/>
          <w:sz w:val="28"/>
          <w:szCs w:val="28"/>
        </w:rPr>
        <w:tab/>
      </w:r>
      <w:r w:rsidRPr="004F1258">
        <w:rPr>
          <w:rFonts w:ascii="標楷體" w:eastAsia="標楷體" w:hAnsi="標楷體" w:hint="eastAsia"/>
          <w:sz w:val="28"/>
          <w:szCs w:val="28"/>
        </w:rPr>
        <w:t>張其祿</w:t>
      </w:r>
    </w:p>
    <w:p w14:paraId="06FA421F" w14:textId="77777777" w:rsidR="00421BB5" w:rsidRPr="00A3586D" w:rsidRDefault="00421BB5" w:rsidP="00421BB5">
      <w:pPr>
        <w:adjustRightInd w:val="0"/>
        <w:snapToGrid w:val="0"/>
        <w:spacing w:line="360" w:lineRule="exact"/>
        <w:ind w:leftChars="577" w:left="1399" w:hangingChars="5" w:hanging="14"/>
        <w:rPr>
          <w:rFonts w:ascii="標楷體" w:eastAsia="標楷體" w:hAnsi="標楷體"/>
          <w:color w:val="000000"/>
          <w:sz w:val="28"/>
          <w:szCs w:val="28"/>
        </w:rPr>
      </w:pPr>
      <w:r w:rsidRPr="004F1258">
        <w:rPr>
          <w:rFonts w:ascii="標楷體" w:eastAsia="標楷體" w:hAnsi="標楷體" w:hint="eastAsia"/>
          <w:sz w:val="28"/>
          <w:szCs w:val="28"/>
        </w:rPr>
        <w:t>鍾佳濱</w:t>
      </w:r>
      <w:r w:rsidRPr="004F1258">
        <w:rPr>
          <w:rFonts w:ascii="標楷體" w:eastAsia="標楷體" w:hAnsi="標楷體"/>
          <w:sz w:val="28"/>
          <w:szCs w:val="28"/>
        </w:rPr>
        <w:tab/>
      </w:r>
      <w:r w:rsidRPr="004F1258">
        <w:rPr>
          <w:rFonts w:ascii="標楷體" w:eastAsia="標楷體" w:hAnsi="標楷體" w:hint="eastAsia"/>
          <w:sz w:val="28"/>
          <w:szCs w:val="28"/>
        </w:rPr>
        <w:t>高嘉瑜</w:t>
      </w:r>
      <w:r w:rsidRPr="004F1258">
        <w:rPr>
          <w:rFonts w:ascii="標楷體" w:eastAsia="標楷體" w:hAnsi="標楷體"/>
          <w:sz w:val="28"/>
          <w:szCs w:val="28"/>
        </w:rPr>
        <w:tab/>
      </w:r>
      <w:r>
        <w:rPr>
          <w:rFonts w:ascii="標楷體" w:eastAsia="標楷體" w:hAnsi="標楷體" w:hint="eastAsia"/>
          <w:sz w:val="28"/>
          <w:szCs w:val="28"/>
        </w:rPr>
        <w:t>羅明才</w:t>
      </w:r>
      <w:r>
        <w:rPr>
          <w:rFonts w:ascii="標楷體" w:eastAsia="標楷體" w:hAnsi="標楷體"/>
          <w:sz w:val="28"/>
          <w:szCs w:val="28"/>
        </w:rPr>
        <w:tab/>
      </w:r>
      <w:r w:rsidRPr="00934DE9">
        <w:rPr>
          <w:rFonts w:ascii="標楷體" w:eastAsia="標楷體" w:hAnsi="標楷體" w:hint="eastAsia"/>
          <w:color w:val="000000"/>
          <w:sz w:val="28"/>
          <w:szCs w:val="28"/>
        </w:rPr>
        <w:t>邱顯智</w:t>
      </w:r>
      <w:r>
        <w:rPr>
          <w:rFonts w:ascii="標楷體" w:eastAsia="標楷體" w:hAnsi="標楷體"/>
          <w:color w:val="000000"/>
          <w:sz w:val="28"/>
          <w:szCs w:val="28"/>
        </w:rPr>
        <w:tab/>
      </w:r>
      <w:r w:rsidRPr="00B746AD">
        <w:rPr>
          <w:rFonts w:ascii="標楷體" w:eastAsia="標楷體" w:hAnsi="標楷體" w:hint="eastAsia"/>
          <w:sz w:val="28"/>
          <w:szCs w:val="28"/>
        </w:rPr>
        <w:t>鄭天財Sra Kacaw</w:t>
      </w:r>
    </w:p>
    <w:p w14:paraId="49C7451A" w14:textId="77777777" w:rsidR="00421BB5" w:rsidRPr="005E4554" w:rsidRDefault="00421BB5" w:rsidP="00421BB5">
      <w:pPr>
        <w:adjustRightInd w:val="0"/>
        <w:snapToGrid w:val="0"/>
        <w:spacing w:line="360" w:lineRule="exact"/>
        <w:ind w:firstLineChars="485" w:firstLine="1358"/>
        <w:jc w:val="both"/>
        <w:rPr>
          <w:rFonts w:ascii="標楷體" w:eastAsia="標楷體" w:hAnsi="標楷體"/>
          <w:sz w:val="28"/>
          <w:szCs w:val="28"/>
        </w:rPr>
      </w:pPr>
      <w:r w:rsidRPr="00A12B79">
        <w:rPr>
          <w:rFonts w:ascii="標楷體" w:eastAsia="標楷體" w:hAnsi="標楷體"/>
          <w:sz w:val="28"/>
          <w:szCs w:val="28"/>
        </w:rPr>
        <w:t>委員列席</w:t>
      </w:r>
      <w:r>
        <w:rPr>
          <w:rFonts w:ascii="標楷體" w:eastAsia="標楷體" w:hAnsi="標楷體" w:hint="eastAsia"/>
          <w:sz w:val="28"/>
          <w:szCs w:val="28"/>
        </w:rPr>
        <w:t>12</w:t>
      </w:r>
      <w:r w:rsidRPr="00A12B79">
        <w:rPr>
          <w:rFonts w:ascii="標楷體" w:eastAsia="標楷體" w:hAnsi="標楷體"/>
          <w:sz w:val="28"/>
          <w:szCs w:val="28"/>
        </w:rPr>
        <w:t>人</w:t>
      </w:r>
    </w:p>
    <w:p w14:paraId="7CB2C5DE" w14:textId="77777777" w:rsidR="00421BB5" w:rsidRDefault="00421BB5" w:rsidP="00421BB5">
      <w:pPr>
        <w:pStyle w:val="-9"/>
        <w:spacing w:line="360" w:lineRule="exact"/>
        <w:ind w:left="1361" w:hangingChars="486" w:hanging="1361"/>
        <w:rPr>
          <w:rFonts w:ascii="標楷體" w:hAnsi="標楷體"/>
          <w:sz w:val="28"/>
          <w:szCs w:val="28"/>
        </w:rPr>
      </w:pPr>
      <w:r w:rsidRPr="00DD3E6B">
        <w:rPr>
          <w:rFonts w:ascii="標楷體" w:hAnsi="標楷體"/>
          <w:sz w:val="28"/>
          <w:szCs w:val="28"/>
        </w:rPr>
        <w:t>列席官員：</w:t>
      </w:r>
      <w:r>
        <w:rPr>
          <w:rFonts w:ascii="標楷體" w:hAnsi="標楷體" w:hint="eastAsia"/>
          <w:sz w:val="28"/>
          <w:szCs w:val="28"/>
        </w:rPr>
        <w:t>司法院秘書長　林輝煌</w:t>
      </w:r>
    </w:p>
    <w:p w14:paraId="715DC42A" w14:textId="77777777" w:rsidR="00421BB5" w:rsidRDefault="00421BB5" w:rsidP="00421BB5">
      <w:pPr>
        <w:adjustRightInd w:val="0"/>
        <w:snapToGrid w:val="0"/>
        <w:spacing w:line="360" w:lineRule="exact"/>
        <w:ind w:firstLineChars="505" w:firstLine="1414"/>
        <w:jc w:val="both"/>
        <w:rPr>
          <w:rFonts w:ascii="標楷體" w:eastAsia="標楷體" w:hAnsi="標楷體"/>
          <w:kern w:val="0"/>
          <w:sz w:val="28"/>
          <w:szCs w:val="28"/>
        </w:rPr>
      </w:pPr>
      <w:r>
        <w:rPr>
          <w:rFonts w:ascii="標楷體" w:eastAsia="標楷體" w:hAnsi="標楷體" w:hint="eastAsia"/>
          <w:kern w:val="0"/>
          <w:sz w:val="28"/>
          <w:szCs w:val="28"/>
        </w:rPr>
        <w:t>最高檢察署</w:t>
      </w:r>
      <w:r w:rsidRPr="000072E5">
        <w:rPr>
          <w:rFonts w:ascii="標楷體" w:eastAsia="標楷體" w:hint="eastAsia"/>
          <w:color w:val="000000"/>
          <w:sz w:val="30"/>
          <w:szCs w:val="30"/>
        </w:rPr>
        <w:t>主任</w:t>
      </w:r>
      <w:r w:rsidRPr="000072E5">
        <w:rPr>
          <w:rFonts w:ascii="標楷體" w:eastAsia="標楷體" w:hAnsi="標楷體" w:hint="eastAsia"/>
          <w:kern w:val="0"/>
          <w:sz w:val="28"/>
          <w:szCs w:val="28"/>
          <w:lang w:val="x-none"/>
        </w:rPr>
        <w:t>檢察官</w:t>
      </w:r>
      <w:r>
        <w:rPr>
          <w:rFonts w:ascii="標楷體" w:hAnsi="標楷體" w:hint="eastAsia"/>
          <w:sz w:val="28"/>
          <w:szCs w:val="28"/>
        </w:rPr>
        <w:t xml:space="preserve">　</w:t>
      </w:r>
      <w:r w:rsidRPr="000072E5">
        <w:rPr>
          <w:rFonts w:ascii="標楷體" w:eastAsia="標楷體" w:hAnsi="標楷體"/>
          <w:kern w:val="0"/>
          <w:sz w:val="28"/>
          <w:szCs w:val="28"/>
        </w:rPr>
        <w:t>呂文忠</w:t>
      </w:r>
      <w:r>
        <w:rPr>
          <w:rFonts w:ascii="標楷體" w:hAnsi="標楷體" w:hint="eastAsia"/>
          <w:sz w:val="28"/>
          <w:szCs w:val="28"/>
        </w:rPr>
        <w:t>（</w:t>
      </w:r>
      <w:r>
        <w:rPr>
          <w:rFonts w:ascii="標楷體" w:eastAsia="標楷體" w:hAnsi="標楷體" w:hint="eastAsia"/>
          <w:kern w:val="0"/>
          <w:sz w:val="28"/>
          <w:szCs w:val="28"/>
        </w:rPr>
        <w:t>檢察總長請假）</w:t>
      </w:r>
    </w:p>
    <w:p w14:paraId="353B7C77" w14:textId="77777777" w:rsidR="00421BB5" w:rsidRDefault="00421BB5" w:rsidP="00421BB5">
      <w:pPr>
        <w:adjustRightInd w:val="0"/>
        <w:snapToGrid w:val="0"/>
        <w:spacing w:line="360" w:lineRule="exact"/>
        <w:ind w:firstLineChars="505" w:firstLine="1414"/>
        <w:jc w:val="both"/>
        <w:rPr>
          <w:rFonts w:ascii="標楷體" w:eastAsia="標楷體" w:hAnsi="標楷體"/>
          <w:kern w:val="0"/>
          <w:sz w:val="28"/>
          <w:szCs w:val="28"/>
        </w:rPr>
      </w:pPr>
      <w:r>
        <w:rPr>
          <w:rFonts w:ascii="標楷體" w:eastAsia="標楷體" w:hAnsi="標楷體" w:hint="eastAsia"/>
          <w:kern w:val="0"/>
          <w:sz w:val="28"/>
          <w:szCs w:val="28"/>
        </w:rPr>
        <w:t>立法院</w:t>
      </w:r>
      <w:r w:rsidRPr="000072E5">
        <w:rPr>
          <w:rFonts w:ascii="標楷體" w:eastAsia="標楷體" w:hAnsi="標楷體"/>
          <w:kern w:val="0"/>
          <w:sz w:val="28"/>
          <w:szCs w:val="28"/>
        </w:rPr>
        <w:t>法制局第三組組長</w:t>
      </w:r>
      <w:r>
        <w:rPr>
          <w:rFonts w:ascii="標楷體" w:hAnsi="標楷體" w:hint="eastAsia"/>
          <w:sz w:val="28"/>
          <w:szCs w:val="28"/>
        </w:rPr>
        <w:t xml:space="preserve">　</w:t>
      </w:r>
      <w:r w:rsidRPr="000072E5">
        <w:rPr>
          <w:rFonts w:ascii="標楷體" w:eastAsia="標楷體" w:hAnsi="標楷體"/>
          <w:kern w:val="0"/>
          <w:sz w:val="28"/>
          <w:szCs w:val="28"/>
        </w:rPr>
        <w:t>廖曼利</w:t>
      </w:r>
    </w:p>
    <w:p w14:paraId="4622A8C9" w14:textId="77777777" w:rsidR="00421BB5" w:rsidRDefault="00421BB5" w:rsidP="00421BB5">
      <w:pPr>
        <w:adjustRightInd w:val="0"/>
        <w:snapToGrid w:val="0"/>
        <w:spacing w:line="360" w:lineRule="exact"/>
        <w:ind w:firstLineChars="505" w:firstLine="1414"/>
        <w:jc w:val="both"/>
        <w:rPr>
          <w:rFonts w:ascii="標楷體" w:eastAsia="標楷體" w:hAnsi="標楷體"/>
          <w:kern w:val="0"/>
          <w:sz w:val="28"/>
          <w:szCs w:val="28"/>
        </w:rPr>
      </w:pPr>
      <w:r>
        <w:rPr>
          <w:rFonts w:ascii="標楷體" w:eastAsia="標楷體" w:hAnsi="標楷體" w:hint="eastAsia"/>
          <w:kern w:val="0"/>
          <w:sz w:val="28"/>
          <w:szCs w:val="28"/>
        </w:rPr>
        <w:t>法務部</w:t>
      </w:r>
      <w:r w:rsidRPr="000072E5">
        <w:rPr>
          <w:rFonts w:ascii="標楷體" w:eastAsia="標楷體" w:hAnsi="標楷體" w:hint="eastAsia"/>
          <w:kern w:val="0"/>
          <w:sz w:val="28"/>
          <w:szCs w:val="28"/>
        </w:rPr>
        <w:t>法制司副司長　鄧巧羚</w:t>
      </w:r>
    </w:p>
    <w:p w14:paraId="3AB212C4" w14:textId="77777777" w:rsidR="00421BB5" w:rsidRPr="00C8167F" w:rsidRDefault="00421BB5" w:rsidP="00421BB5">
      <w:pPr>
        <w:adjustRightInd w:val="0"/>
        <w:snapToGrid w:val="0"/>
        <w:spacing w:line="360" w:lineRule="exact"/>
        <w:ind w:firstLineChars="505" w:firstLine="1414"/>
        <w:jc w:val="both"/>
        <w:rPr>
          <w:rFonts w:ascii="標楷體" w:eastAsia="標楷體" w:hAnsi="標楷體"/>
          <w:kern w:val="0"/>
          <w:sz w:val="28"/>
          <w:szCs w:val="28"/>
          <w:lang w:eastAsia="x-none"/>
        </w:rPr>
      </w:pPr>
      <w:r>
        <w:rPr>
          <w:rFonts w:ascii="標楷體" w:eastAsia="標楷體" w:hAnsi="標楷體" w:hint="eastAsia"/>
          <w:kern w:val="0"/>
          <w:sz w:val="28"/>
          <w:szCs w:val="28"/>
        </w:rPr>
        <w:t>原住民族委員會</w:t>
      </w:r>
      <w:r w:rsidRPr="000072E5">
        <w:rPr>
          <w:rFonts w:ascii="標楷體" w:eastAsia="標楷體" w:hAnsi="標楷體" w:hint="eastAsia"/>
          <w:kern w:val="0"/>
          <w:sz w:val="28"/>
          <w:szCs w:val="28"/>
        </w:rPr>
        <w:t>綜合規劃處處長　雅柏甦詠．博伊哲努</w:t>
      </w:r>
    </w:p>
    <w:p w14:paraId="5C86CAAF" w14:textId="77777777" w:rsidR="00421BB5" w:rsidRPr="00DD3E6B" w:rsidRDefault="00421BB5" w:rsidP="00421BB5">
      <w:pPr>
        <w:adjustRightInd w:val="0"/>
        <w:snapToGrid w:val="0"/>
        <w:ind w:left="1364" w:rightChars="-355" w:right="-852" w:hangingChars="487" w:hanging="1364"/>
        <w:jc w:val="both"/>
        <w:rPr>
          <w:rFonts w:ascii="標楷體" w:eastAsia="標楷體" w:hAnsi="標楷體"/>
          <w:sz w:val="28"/>
          <w:szCs w:val="28"/>
        </w:rPr>
      </w:pPr>
      <w:r w:rsidRPr="000072E5">
        <w:rPr>
          <w:rFonts w:ascii="標楷體" w:eastAsia="標楷體" w:hAnsi="標楷體"/>
          <w:kern w:val="0"/>
          <w:sz w:val="28"/>
          <w:szCs w:val="28"/>
          <w:fitText w:val="1120" w:id="-1433690880"/>
        </w:rPr>
        <w:t>主    席</w:t>
      </w:r>
      <w:r w:rsidRPr="00DD3E6B">
        <w:rPr>
          <w:rFonts w:ascii="標楷體" w:eastAsia="標楷體" w:hAnsi="標楷體"/>
          <w:sz w:val="28"/>
          <w:szCs w:val="28"/>
        </w:rPr>
        <w:t>：</w:t>
      </w:r>
      <w:r>
        <w:rPr>
          <w:rFonts w:ascii="標楷體" w:eastAsia="標楷體" w:hAnsi="標楷體" w:hint="eastAsia"/>
          <w:sz w:val="28"/>
          <w:szCs w:val="28"/>
        </w:rPr>
        <w:t>陳</w:t>
      </w:r>
      <w:r w:rsidRPr="00E009E4">
        <w:rPr>
          <w:rFonts w:ascii="標楷體" w:eastAsia="標楷體" w:hAnsi="標楷體" w:hint="eastAsia"/>
          <w:sz w:val="28"/>
          <w:szCs w:val="28"/>
        </w:rPr>
        <w:t>召集委員</w:t>
      </w:r>
      <w:r>
        <w:rPr>
          <w:rFonts w:ascii="標楷體" w:eastAsia="標楷體" w:hAnsi="標楷體" w:hint="eastAsia"/>
          <w:sz w:val="28"/>
          <w:szCs w:val="28"/>
        </w:rPr>
        <w:t>歐珀</w:t>
      </w:r>
    </w:p>
    <w:p w14:paraId="3A1A817A" w14:textId="77777777" w:rsidR="00421BB5" w:rsidRDefault="00421BB5" w:rsidP="00421BB5">
      <w:pPr>
        <w:snapToGrid w:val="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梁雯</w:t>
      </w:r>
      <w:r w:rsidRPr="00ED0626">
        <w:rPr>
          <w:rFonts w:ascii="標楷體" w:eastAsia="標楷體" w:hAnsi="標楷體" w:hint="eastAsia"/>
          <w:sz w:val="28"/>
          <w:szCs w:val="28"/>
        </w:rPr>
        <w:t>璍</w:t>
      </w:r>
    </w:p>
    <w:p w14:paraId="25E6005C" w14:textId="77777777" w:rsidR="00421BB5" w:rsidRPr="008C1421" w:rsidRDefault="00421BB5" w:rsidP="00421BB5">
      <w:pPr>
        <w:snapToGrid w:val="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03A89780" w14:textId="77777777" w:rsidR="00421BB5" w:rsidRPr="008C1421" w:rsidRDefault="00421BB5" w:rsidP="00421BB5">
      <w:pPr>
        <w:adjustRightInd w:val="0"/>
        <w:snapToGrid w:val="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14:paraId="75C8C750" w14:textId="77777777" w:rsidR="00421BB5" w:rsidRPr="008C1421" w:rsidRDefault="00421BB5" w:rsidP="00421BB5">
      <w:pPr>
        <w:adjustRightInd w:val="0"/>
        <w:snapToGrid w:val="0"/>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14:paraId="329342A5" w14:textId="77777777" w:rsidR="00421BB5" w:rsidRDefault="00421BB5" w:rsidP="00421BB5">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科　　長　鮑夏明</w:t>
      </w:r>
    </w:p>
    <w:p w14:paraId="56709413" w14:textId="77777777" w:rsidR="00421BB5" w:rsidRDefault="00421BB5" w:rsidP="00421BB5">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專　　員　林宗賢</w:t>
      </w:r>
    </w:p>
    <w:p w14:paraId="37ED7877" w14:textId="77777777" w:rsidR="00421BB5" w:rsidRPr="006E0991"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2C3345B9" w14:textId="77777777" w:rsidR="00421BB5" w:rsidRPr="0008139C" w:rsidRDefault="00421BB5" w:rsidP="00421BB5">
      <w:pPr>
        <w:adjustRightInd w:val="0"/>
        <w:snapToGrid w:val="0"/>
        <w:spacing w:line="360" w:lineRule="exact"/>
        <w:jc w:val="both"/>
        <w:rPr>
          <w:rFonts w:ascii="標楷體" w:eastAsia="標楷體" w:hAnsi="標楷體"/>
          <w:sz w:val="28"/>
          <w:szCs w:val="28"/>
        </w:rPr>
      </w:pPr>
      <w:r w:rsidRPr="0008139C">
        <w:rPr>
          <w:rFonts w:ascii="標楷體" w:eastAsia="標楷體" w:hAnsi="標楷體"/>
          <w:sz w:val="28"/>
          <w:szCs w:val="28"/>
        </w:rPr>
        <w:t>宣讀上次會議議事錄。</w:t>
      </w:r>
    </w:p>
    <w:p w14:paraId="4606918A" w14:textId="77777777" w:rsidR="00421BB5" w:rsidRDefault="00421BB5" w:rsidP="00421BB5">
      <w:pPr>
        <w:pStyle w:val="afffff2"/>
        <w:spacing w:line="360" w:lineRule="exact"/>
        <w:ind w:leftChars="0" w:left="840" w:rightChars="0" w:right="0" w:hanging="840"/>
        <w:jc w:val="both"/>
        <w:rPr>
          <w:rFonts w:ascii="標楷體" w:hAnsi="標楷體"/>
          <w:sz w:val="28"/>
          <w:szCs w:val="28"/>
        </w:rPr>
      </w:pPr>
      <w:r w:rsidRPr="00987251">
        <w:rPr>
          <w:rFonts w:ascii="標楷體" w:hAnsi="標楷體"/>
          <w:sz w:val="28"/>
          <w:szCs w:val="28"/>
        </w:rPr>
        <w:t>決定：確定。</w:t>
      </w:r>
    </w:p>
    <w:p w14:paraId="050A31FB" w14:textId="77777777" w:rsidR="00421BB5" w:rsidRPr="00977B73"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732C0B4D" w14:textId="77777777" w:rsidR="00421BB5" w:rsidRPr="00B746AD" w:rsidRDefault="00421BB5" w:rsidP="00421BB5">
      <w:pPr>
        <w:adjustRightInd w:val="0"/>
        <w:snapToGrid w:val="0"/>
        <w:spacing w:line="360" w:lineRule="exact"/>
        <w:jc w:val="both"/>
        <w:rPr>
          <w:rFonts w:ascii="標楷體" w:eastAsia="標楷體" w:hAnsi="標楷體"/>
          <w:sz w:val="28"/>
          <w:szCs w:val="28"/>
        </w:rPr>
      </w:pPr>
      <w:r>
        <w:rPr>
          <w:rFonts w:ascii="標楷體" w:eastAsia="標楷體" w:hAnsi="標楷體" w:hint="eastAsia"/>
          <w:sz w:val="28"/>
          <w:szCs w:val="28"/>
        </w:rPr>
        <w:t>繼續</w:t>
      </w:r>
      <w:r w:rsidRPr="006C1001">
        <w:rPr>
          <w:rFonts w:ascii="標楷體" w:eastAsia="標楷體" w:hAnsi="標楷體" w:hint="eastAsia"/>
          <w:sz w:val="28"/>
          <w:szCs w:val="28"/>
        </w:rPr>
        <w:t>併案審查</w:t>
      </w:r>
    </w:p>
    <w:p w14:paraId="7BBA6DBF" w14:textId="77777777" w:rsidR="00421BB5" w:rsidRPr="00B746AD" w:rsidRDefault="00421BB5" w:rsidP="00421BB5">
      <w:pPr>
        <w:adjustRightInd w:val="0"/>
        <w:snapToGrid w:val="0"/>
        <w:spacing w:line="360" w:lineRule="exact"/>
        <w:jc w:val="both"/>
        <w:rPr>
          <w:rFonts w:ascii="標楷體" w:eastAsia="標楷體" w:hAnsi="標楷體"/>
          <w:sz w:val="28"/>
          <w:szCs w:val="28"/>
        </w:rPr>
      </w:pPr>
      <w:r w:rsidRPr="00B746AD">
        <w:rPr>
          <w:rFonts w:ascii="標楷體" w:eastAsia="標楷體" w:hAnsi="標楷體" w:hint="eastAsia"/>
          <w:sz w:val="28"/>
          <w:szCs w:val="28"/>
        </w:rPr>
        <w:t>（一）司法院函請審議「憲法訴訟法部分條文修正草案」案。</w:t>
      </w:r>
    </w:p>
    <w:p w14:paraId="3A11446E" w14:textId="77777777" w:rsidR="00421BB5" w:rsidRPr="00B746AD" w:rsidRDefault="00421BB5" w:rsidP="00421BB5">
      <w:pPr>
        <w:adjustRightInd w:val="0"/>
        <w:snapToGrid w:val="0"/>
        <w:spacing w:line="360" w:lineRule="exact"/>
        <w:ind w:leftChars="6" w:left="851" w:hangingChars="299" w:hanging="837"/>
        <w:jc w:val="both"/>
        <w:rPr>
          <w:rFonts w:ascii="標楷體" w:eastAsia="標楷體" w:hAnsi="標楷體"/>
          <w:sz w:val="28"/>
          <w:szCs w:val="28"/>
        </w:rPr>
      </w:pPr>
      <w:r w:rsidRPr="00B746AD">
        <w:rPr>
          <w:rFonts w:ascii="標楷體" w:eastAsia="標楷體" w:hAnsi="標楷體" w:hint="eastAsia"/>
          <w:sz w:val="28"/>
          <w:szCs w:val="28"/>
        </w:rPr>
        <w:t>（二）委員鍾佳濱等17人擬具「憲法訴訟法第四十九條及第九十五條條文修正草案」案。</w:t>
      </w:r>
    </w:p>
    <w:p w14:paraId="437AF62B" w14:textId="77777777" w:rsidR="00421BB5" w:rsidRPr="00B746AD" w:rsidRDefault="00421BB5" w:rsidP="00421BB5">
      <w:pPr>
        <w:adjustRightInd w:val="0"/>
        <w:snapToGrid w:val="0"/>
        <w:spacing w:line="360" w:lineRule="exact"/>
        <w:jc w:val="both"/>
        <w:rPr>
          <w:rFonts w:ascii="標楷體" w:eastAsia="標楷體" w:hAnsi="標楷體"/>
          <w:sz w:val="28"/>
          <w:szCs w:val="28"/>
        </w:rPr>
      </w:pPr>
      <w:r w:rsidRPr="00B746AD">
        <w:rPr>
          <w:rFonts w:ascii="標楷體" w:eastAsia="標楷體" w:hAnsi="標楷體" w:hint="eastAsia"/>
          <w:sz w:val="28"/>
          <w:szCs w:val="28"/>
        </w:rPr>
        <w:t>（三）台灣民眾黨黨團擬具「憲法訴訟法部分條文修正草案」案。</w:t>
      </w:r>
    </w:p>
    <w:p w14:paraId="5F42B107" w14:textId="77777777" w:rsidR="00421BB5" w:rsidRPr="00B746AD" w:rsidRDefault="00421BB5" w:rsidP="00421BB5">
      <w:pPr>
        <w:adjustRightInd w:val="0"/>
        <w:snapToGrid w:val="0"/>
        <w:spacing w:line="360" w:lineRule="exact"/>
        <w:ind w:leftChars="6" w:left="851" w:hangingChars="299" w:hanging="837"/>
        <w:jc w:val="distribute"/>
        <w:rPr>
          <w:rFonts w:ascii="標楷體" w:eastAsia="標楷體" w:hAnsi="標楷體"/>
          <w:sz w:val="28"/>
          <w:szCs w:val="28"/>
        </w:rPr>
      </w:pPr>
      <w:r w:rsidRPr="00B746AD">
        <w:rPr>
          <w:rFonts w:ascii="標楷體" w:eastAsia="標楷體" w:hAnsi="標楷體" w:hint="eastAsia"/>
          <w:sz w:val="28"/>
          <w:szCs w:val="28"/>
        </w:rPr>
        <w:t>（四）</w:t>
      </w:r>
      <w:r w:rsidRPr="00B37A23">
        <w:rPr>
          <w:rFonts w:ascii="標楷體" w:eastAsia="標楷體" w:hAnsi="標楷體" w:hint="eastAsia"/>
          <w:spacing w:val="-20"/>
          <w:sz w:val="28"/>
          <w:szCs w:val="28"/>
        </w:rPr>
        <w:t>台灣民眾黨黨團擬具「憲法訴訟法第五十九條條文修正草案」案。</w:t>
      </w:r>
    </w:p>
    <w:p w14:paraId="1C8E387B" w14:textId="77777777" w:rsidR="00421BB5" w:rsidRPr="00B746AD" w:rsidRDefault="00421BB5" w:rsidP="00421BB5">
      <w:pPr>
        <w:adjustRightInd w:val="0"/>
        <w:snapToGrid w:val="0"/>
        <w:spacing w:line="360" w:lineRule="exact"/>
        <w:ind w:leftChars="6" w:left="851" w:hangingChars="299" w:hanging="837"/>
        <w:jc w:val="both"/>
        <w:rPr>
          <w:rFonts w:ascii="標楷體" w:eastAsia="標楷體" w:hAnsi="標楷體"/>
          <w:sz w:val="28"/>
          <w:szCs w:val="28"/>
        </w:rPr>
      </w:pPr>
      <w:r w:rsidRPr="00B746AD">
        <w:rPr>
          <w:rFonts w:ascii="標楷體" w:eastAsia="標楷體" w:hAnsi="標楷體" w:hint="eastAsia"/>
          <w:sz w:val="28"/>
          <w:szCs w:val="28"/>
        </w:rPr>
        <w:t>（五）委員鄭天財Sra Kacaw等16人擬具「憲法訴訟法第十九條之一及第三十條條文修正草案」案。</w:t>
      </w:r>
    </w:p>
    <w:p w14:paraId="17197F7B" w14:textId="77777777" w:rsidR="00421BB5" w:rsidRDefault="00421BB5" w:rsidP="00421BB5">
      <w:pPr>
        <w:adjustRightInd w:val="0"/>
        <w:snapToGrid w:val="0"/>
        <w:spacing w:line="360" w:lineRule="exact"/>
        <w:jc w:val="both"/>
        <w:rPr>
          <w:rFonts w:ascii="標楷體" w:eastAsia="標楷體" w:hAnsi="標楷體"/>
          <w:sz w:val="28"/>
          <w:szCs w:val="28"/>
        </w:rPr>
      </w:pPr>
      <w:r w:rsidRPr="00B746AD">
        <w:rPr>
          <w:rFonts w:ascii="標楷體" w:eastAsia="標楷體" w:hAnsi="標楷體" w:hint="eastAsia"/>
          <w:sz w:val="28"/>
          <w:szCs w:val="28"/>
        </w:rPr>
        <w:t>（六）時代力量黨團擬具「憲法訴訟法部分條文修正草案」案。</w:t>
      </w:r>
    </w:p>
    <w:p w14:paraId="483C5F62" w14:textId="77777777" w:rsidR="00421BB5" w:rsidRDefault="00421BB5" w:rsidP="00421BB5">
      <w:pPr>
        <w:spacing w:line="360" w:lineRule="exact"/>
        <w:ind w:left="493" w:hangingChars="176" w:hanging="493"/>
        <w:contextualSpacing/>
        <w:jc w:val="both"/>
        <w:rPr>
          <w:rFonts w:ascii="標楷體" w:eastAsia="標楷體" w:hAnsi="標楷體"/>
          <w:bCs/>
          <w:sz w:val="28"/>
          <w:szCs w:val="28"/>
        </w:rPr>
      </w:pPr>
      <w:r w:rsidRPr="009C73CA">
        <w:rPr>
          <w:rFonts w:ascii="標楷體" w:eastAsia="標楷體" w:hAnsi="標楷體"/>
          <w:bCs/>
          <w:sz w:val="28"/>
          <w:szCs w:val="28"/>
        </w:rPr>
        <w:t>決</w:t>
      </w:r>
      <w:r w:rsidRPr="009C73CA">
        <w:rPr>
          <w:rFonts w:ascii="標楷體" w:eastAsia="標楷體" w:hAnsi="標楷體" w:hint="eastAsia"/>
          <w:bCs/>
          <w:sz w:val="28"/>
          <w:szCs w:val="28"/>
        </w:rPr>
        <w:t>議</w:t>
      </w:r>
      <w:r w:rsidRPr="009C73CA">
        <w:rPr>
          <w:rFonts w:ascii="標楷體" w:eastAsia="標楷體" w:hAnsi="標楷體"/>
          <w:bCs/>
          <w:sz w:val="28"/>
          <w:szCs w:val="28"/>
        </w:rPr>
        <w:t>：</w:t>
      </w:r>
    </w:p>
    <w:p w14:paraId="4F241A4D" w14:textId="77777777" w:rsidR="00421BB5" w:rsidRDefault="00421BB5" w:rsidP="00421BB5">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一、</w:t>
      </w:r>
      <w:r w:rsidRPr="00A74709">
        <w:rPr>
          <w:rFonts w:ascii="標楷體" w:eastAsia="標楷體" w:hAnsi="標楷體" w:hint="eastAsia"/>
          <w:sz w:val="28"/>
          <w:szCs w:val="28"/>
        </w:rPr>
        <w:t>大體討論完畢，進行逐</w:t>
      </w:r>
      <w:r w:rsidRPr="00D54274">
        <w:rPr>
          <w:rFonts w:ascii="標楷體" w:eastAsia="標楷體" w:hAnsi="標楷體" w:hint="eastAsia"/>
          <w:sz w:val="28"/>
          <w:szCs w:val="28"/>
        </w:rPr>
        <w:t>條審查。</w:t>
      </w:r>
    </w:p>
    <w:p w14:paraId="3711E4CC" w14:textId="77777777" w:rsidR="00421BB5" w:rsidRPr="00A74709" w:rsidRDefault="00421BB5" w:rsidP="00421BB5">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A74709">
        <w:rPr>
          <w:rFonts w:ascii="標楷體" w:eastAsia="標楷體" w:hAnsi="標楷體" w:hint="eastAsia"/>
          <w:sz w:val="28"/>
          <w:szCs w:val="28"/>
        </w:rPr>
        <w:t>第一條</w:t>
      </w:r>
      <w:r>
        <w:rPr>
          <w:rFonts w:ascii="標楷體" w:eastAsia="標楷體" w:hAnsi="標楷體" w:hint="eastAsia"/>
          <w:sz w:val="28"/>
          <w:szCs w:val="28"/>
        </w:rPr>
        <w:t>、</w:t>
      </w:r>
      <w:r w:rsidRPr="00A74709">
        <w:rPr>
          <w:rFonts w:ascii="標楷體" w:eastAsia="標楷體" w:hAnsi="標楷體" w:hint="eastAsia"/>
          <w:sz w:val="28"/>
          <w:szCs w:val="28"/>
        </w:rPr>
        <w:t>第三十三條</w:t>
      </w:r>
      <w:r>
        <w:rPr>
          <w:rFonts w:ascii="標楷體" w:eastAsia="標楷體" w:hAnsi="標楷體" w:hint="eastAsia"/>
          <w:sz w:val="28"/>
          <w:szCs w:val="28"/>
        </w:rPr>
        <w:t>、</w:t>
      </w:r>
      <w:r w:rsidRPr="00A74709">
        <w:rPr>
          <w:rFonts w:ascii="標楷體" w:eastAsia="標楷體" w:hAnsi="標楷體" w:hint="eastAsia"/>
          <w:sz w:val="28"/>
          <w:szCs w:val="28"/>
        </w:rPr>
        <w:t>第五十九條、第六十三條及第九十五條，均照司法院提案通過。</w:t>
      </w:r>
    </w:p>
    <w:p w14:paraId="4483445F" w14:textId="77777777" w:rsidR="00421BB5" w:rsidRDefault="00421BB5" w:rsidP="00421BB5">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lastRenderedPageBreak/>
        <w:t>三、第六條、第八條、第十四條、第十五條、第十八條、第十九條、第二十條、第二十四條、第二十八條、第三十四條、第四十九條、第六十五條及第六十六條，均維持現行條文，不予修正。</w:t>
      </w:r>
    </w:p>
    <w:p w14:paraId="7AE2B751" w14:textId="77777777" w:rsidR="00421BB5" w:rsidRDefault="00421BB5" w:rsidP="00421BB5">
      <w:pPr>
        <w:spacing w:line="360" w:lineRule="exact"/>
        <w:ind w:leftChars="6" w:left="574" w:hangingChars="200" w:hanging="560"/>
        <w:contextualSpacing/>
        <w:jc w:val="both"/>
        <w:rPr>
          <w:rFonts w:ascii="標楷體" w:eastAsia="標楷體" w:hAnsi="標楷體"/>
          <w:kern w:val="0"/>
          <w:sz w:val="28"/>
          <w:szCs w:val="28"/>
        </w:rPr>
      </w:pPr>
      <w:r>
        <w:rPr>
          <w:rFonts w:ascii="標楷體" w:eastAsia="標楷體" w:hAnsi="標楷體" w:hint="eastAsia"/>
          <w:sz w:val="28"/>
          <w:szCs w:val="28"/>
        </w:rPr>
        <w:t>四、增訂第十九條之一、第三十條及</w:t>
      </w:r>
      <w:r w:rsidRPr="00A74709">
        <w:rPr>
          <w:rFonts w:ascii="標楷體" w:eastAsia="標楷體" w:hAnsi="標楷體" w:hint="eastAsia"/>
          <w:sz w:val="28"/>
          <w:szCs w:val="28"/>
        </w:rPr>
        <w:t>第五十三條</w:t>
      </w:r>
      <w:r>
        <w:rPr>
          <w:rFonts w:ascii="標楷體" w:eastAsia="標楷體" w:hAnsi="標楷體" w:hint="eastAsia"/>
          <w:sz w:val="28"/>
          <w:szCs w:val="28"/>
        </w:rPr>
        <w:t>，均保留，</w:t>
      </w:r>
      <w:r w:rsidRPr="005A6813">
        <w:rPr>
          <w:rFonts w:ascii="標楷體" w:eastAsia="標楷體" w:hAnsi="標楷體" w:hint="eastAsia"/>
          <w:kern w:val="0"/>
          <w:sz w:val="28"/>
          <w:szCs w:val="28"/>
        </w:rPr>
        <w:t>送院會處理</w:t>
      </w:r>
      <w:r>
        <w:rPr>
          <w:rFonts w:ascii="標楷體" w:eastAsia="標楷體" w:hAnsi="標楷體" w:hint="eastAsia"/>
          <w:kern w:val="0"/>
          <w:sz w:val="28"/>
          <w:szCs w:val="28"/>
        </w:rPr>
        <w:t>。</w:t>
      </w:r>
    </w:p>
    <w:p w14:paraId="669F9137" w14:textId="77777777" w:rsidR="00421BB5" w:rsidRDefault="00421BB5" w:rsidP="00421BB5">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五、增訂第二十九條之一</w:t>
      </w:r>
      <w:r w:rsidRPr="00D54274">
        <w:rPr>
          <w:rFonts w:ascii="標楷體" w:eastAsia="標楷體" w:hAnsi="標楷體" w:hint="eastAsia"/>
          <w:sz w:val="28"/>
          <w:szCs w:val="28"/>
        </w:rPr>
        <w:t>，</w:t>
      </w:r>
      <w:r>
        <w:rPr>
          <w:rFonts w:ascii="標楷體" w:eastAsia="標楷體" w:hAnsi="標楷體" w:hint="eastAsia"/>
          <w:sz w:val="28"/>
          <w:szCs w:val="28"/>
        </w:rPr>
        <w:t>不予增訂</w:t>
      </w:r>
      <w:r w:rsidRPr="00D54274">
        <w:rPr>
          <w:rFonts w:ascii="標楷體" w:eastAsia="標楷體" w:hAnsi="標楷體" w:hint="eastAsia"/>
          <w:sz w:val="28"/>
          <w:szCs w:val="28"/>
        </w:rPr>
        <w:t>。</w:t>
      </w:r>
    </w:p>
    <w:p w14:paraId="1292CF50" w14:textId="77777777" w:rsidR="00421BB5" w:rsidRPr="00D54274" w:rsidRDefault="00421BB5" w:rsidP="00421BB5">
      <w:pPr>
        <w:spacing w:line="360" w:lineRule="exact"/>
        <w:ind w:leftChars="11" w:left="536" w:hangingChars="182" w:hanging="510"/>
        <w:contextualSpacing/>
        <w:rPr>
          <w:rFonts w:ascii="標楷體" w:eastAsia="標楷體" w:hAnsi="標楷體"/>
          <w:sz w:val="28"/>
          <w:szCs w:val="28"/>
        </w:rPr>
      </w:pPr>
      <w:r>
        <w:rPr>
          <w:rFonts w:ascii="標楷體" w:eastAsia="標楷體" w:hAnsi="標楷體" w:hint="eastAsia"/>
          <w:sz w:val="28"/>
          <w:szCs w:val="28"/>
        </w:rPr>
        <w:t>六、</w:t>
      </w:r>
      <w:r w:rsidRPr="00D54274">
        <w:rPr>
          <w:rFonts w:ascii="標楷體" w:eastAsia="標楷體" w:hAnsi="標楷體" w:hint="eastAsia"/>
          <w:sz w:val="28"/>
          <w:szCs w:val="28"/>
        </w:rPr>
        <w:t>本案審查完竣，擬具審查報告，提請院會公決；</w:t>
      </w:r>
      <w:r w:rsidRPr="00A74709">
        <w:rPr>
          <w:rFonts w:ascii="標楷體" w:eastAsia="標楷體" w:hAnsi="標楷體" w:hint="eastAsia"/>
          <w:sz w:val="28"/>
          <w:szCs w:val="28"/>
        </w:rPr>
        <w:t>須交由黨團協商</w:t>
      </w:r>
      <w:r w:rsidRPr="00D54274">
        <w:rPr>
          <w:rFonts w:ascii="標楷體" w:eastAsia="標楷體" w:hAnsi="標楷體" w:hint="eastAsia"/>
          <w:sz w:val="28"/>
          <w:szCs w:val="28"/>
        </w:rPr>
        <w:t>；院會討論時，由</w:t>
      </w:r>
      <w:r>
        <w:rPr>
          <w:rFonts w:ascii="標楷體" w:eastAsia="標楷體" w:hAnsi="標楷體" w:hint="eastAsia"/>
          <w:sz w:val="28"/>
          <w:szCs w:val="28"/>
        </w:rPr>
        <w:t>陳召集委員歐珀</w:t>
      </w:r>
      <w:r w:rsidRPr="00D54274">
        <w:rPr>
          <w:rFonts w:ascii="標楷體" w:eastAsia="標楷體" w:hAnsi="標楷體" w:hint="eastAsia"/>
          <w:sz w:val="28"/>
          <w:szCs w:val="28"/>
        </w:rPr>
        <w:t>出席說明。</w:t>
      </w:r>
    </w:p>
    <w:p w14:paraId="2527EBDB" w14:textId="77777777" w:rsidR="00421BB5" w:rsidRDefault="00421BB5" w:rsidP="00421BB5">
      <w:pPr>
        <w:spacing w:line="360" w:lineRule="exact"/>
        <w:ind w:leftChars="11" w:left="538" w:hangingChars="183" w:hanging="512"/>
        <w:contextualSpacing/>
        <w:rPr>
          <w:rFonts w:ascii="標楷體" w:eastAsia="標楷體" w:hAnsi="標楷體"/>
          <w:sz w:val="28"/>
          <w:szCs w:val="28"/>
        </w:rPr>
      </w:pPr>
      <w:r>
        <w:rPr>
          <w:rFonts w:ascii="標楷體" w:eastAsia="標楷體" w:hAnsi="標楷體" w:hint="eastAsia"/>
          <w:sz w:val="28"/>
          <w:szCs w:val="28"/>
        </w:rPr>
        <w:t>七、</w:t>
      </w:r>
      <w:r w:rsidRPr="00D54274">
        <w:rPr>
          <w:rFonts w:ascii="標楷體" w:eastAsia="標楷體" w:hAnsi="標楷體" w:hint="eastAsia"/>
          <w:sz w:val="28"/>
          <w:szCs w:val="28"/>
        </w:rPr>
        <w:t>條次、引述條文部分文字及法制用字用語，授權主席及議事人員整理。</w:t>
      </w:r>
    </w:p>
    <w:p w14:paraId="07900874" w14:textId="77777777" w:rsidR="00421BB5" w:rsidRDefault="00421BB5" w:rsidP="00421BB5">
      <w:pPr>
        <w:widowControl/>
        <w:spacing w:line="36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3BA10017" w14:textId="77777777" w:rsidR="00421BB5" w:rsidRDefault="00421BB5" w:rsidP="00421BB5">
      <w:pPr>
        <w:rPr>
          <w:rFonts w:ascii="標楷體" w:eastAsia="標楷體" w:hAnsi="標楷體"/>
          <w:sz w:val="28"/>
          <w:szCs w:val="28"/>
        </w:rPr>
      </w:pPr>
    </w:p>
    <w:p w14:paraId="2A8D43CE" w14:textId="77777777" w:rsidR="00421BB5" w:rsidRPr="00090981" w:rsidRDefault="00421BB5" w:rsidP="00421BB5">
      <w:pPr>
        <w:rPr>
          <w:rFonts w:ascii="標楷體" w:eastAsia="標楷體" w:hAnsi="標楷體"/>
          <w:sz w:val="28"/>
          <w:szCs w:val="28"/>
        </w:rPr>
      </w:pPr>
    </w:p>
    <w:p w14:paraId="086EFA53" w14:textId="77777777" w:rsidR="00421BB5" w:rsidRPr="00F20730" w:rsidRDefault="00421BB5" w:rsidP="00421BB5">
      <w:pPr>
        <w:snapToGrid w:val="0"/>
        <w:spacing w:beforeLines="50" w:before="180" w:afterLines="50" w:after="180" w:line="360" w:lineRule="exact"/>
        <w:jc w:val="distribute"/>
        <w:outlineLvl w:val="2"/>
        <w:rPr>
          <w:rFonts w:ascii="標楷體" w:eastAsia="標楷體" w:hAnsi="標楷體"/>
          <w:b/>
          <w:spacing w:val="-20"/>
          <w:kern w:val="0"/>
          <w:sz w:val="28"/>
          <w:szCs w:val="28"/>
        </w:rPr>
      </w:pPr>
      <w:r>
        <w:rPr>
          <w:rFonts w:ascii="標楷體" w:eastAsia="標楷體" w:hAnsi="標楷體"/>
          <w:sz w:val="28"/>
          <w:szCs w:val="28"/>
        </w:rPr>
        <w:br w:type="page"/>
      </w:r>
      <w:r w:rsidRPr="00F20730">
        <w:rPr>
          <w:rFonts w:ascii="標楷體" w:eastAsia="標楷體" w:hAnsi="標楷體" w:hint="eastAsia"/>
          <w:b/>
          <w:spacing w:val="-20"/>
          <w:kern w:val="0"/>
          <w:sz w:val="28"/>
          <w:szCs w:val="28"/>
        </w:rPr>
        <w:lastRenderedPageBreak/>
        <w:t>立法院第10屆第6會期司法及法制委員會第30次全體委員會議議事錄</w:t>
      </w:r>
    </w:p>
    <w:p w14:paraId="2485F661" w14:textId="77777777" w:rsidR="00421BB5" w:rsidRPr="004E7BB1" w:rsidRDefault="00421BB5" w:rsidP="00421BB5">
      <w:pPr>
        <w:snapToGrid w:val="0"/>
        <w:spacing w:beforeLines="50" w:before="180" w:line="340" w:lineRule="exact"/>
        <w:ind w:left="1456" w:hangingChars="520" w:hanging="1456"/>
        <w:jc w:val="both"/>
        <w:rPr>
          <w:rFonts w:ascii="標楷體" w:eastAsia="標楷體" w:hAnsi="標楷體"/>
          <w:spacing w:val="-14"/>
          <w:sz w:val="28"/>
          <w:szCs w:val="28"/>
        </w:rPr>
      </w:pPr>
      <w:r w:rsidRPr="00B55AF6">
        <w:rPr>
          <w:rFonts w:ascii="標楷體" w:eastAsia="標楷體" w:hAnsi="標楷體" w:hint="eastAsia"/>
          <w:sz w:val="28"/>
          <w:szCs w:val="28"/>
        </w:rPr>
        <w:t>時    間：</w:t>
      </w:r>
      <w:r w:rsidRPr="006B00DA">
        <w:rPr>
          <w:rFonts w:ascii="標楷體" w:eastAsia="標楷體" w:hAnsi="標楷體" w:hint="eastAsia"/>
          <w:spacing w:val="-20"/>
          <w:sz w:val="28"/>
          <w:szCs w:val="28"/>
        </w:rPr>
        <w:t>中華民國</w:t>
      </w:r>
      <w:r>
        <w:rPr>
          <w:rFonts w:ascii="標楷體" w:eastAsia="標楷體" w:hAnsi="標楷體" w:hint="eastAsia"/>
          <w:spacing w:val="-20"/>
          <w:sz w:val="28"/>
          <w:szCs w:val="28"/>
        </w:rPr>
        <w:t>111</w:t>
      </w:r>
      <w:r w:rsidRPr="006B00DA">
        <w:rPr>
          <w:rFonts w:ascii="標楷體" w:eastAsia="標楷體" w:hAnsi="標楷體" w:hint="eastAsia"/>
          <w:spacing w:val="-20"/>
          <w:sz w:val="28"/>
          <w:szCs w:val="28"/>
        </w:rPr>
        <w:t>年</w:t>
      </w:r>
      <w:r>
        <w:rPr>
          <w:rFonts w:ascii="標楷體" w:eastAsia="標楷體" w:hAnsi="標楷體" w:hint="eastAsia"/>
          <w:spacing w:val="-20"/>
          <w:sz w:val="28"/>
          <w:szCs w:val="28"/>
        </w:rPr>
        <w:t>12</w:t>
      </w:r>
      <w:r w:rsidRPr="006B00DA">
        <w:rPr>
          <w:rFonts w:ascii="標楷體" w:eastAsia="標楷體" w:hAnsi="標楷體" w:hint="eastAsia"/>
          <w:spacing w:val="-20"/>
          <w:sz w:val="28"/>
          <w:szCs w:val="28"/>
        </w:rPr>
        <w:t>月</w:t>
      </w:r>
      <w:r>
        <w:rPr>
          <w:rFonts w:ascii="標楷體" w:eastAsia="標楷體" w:hAnsi="標楷體" w:hint="eastAsia"/>
          <w:spacing w:val="-20"/>
          <w:sz w:val="28"/>
          <w:szCs w:val="28"/>
        </w:rPr>
        <w:t>29</w:t>
      </w:r>
      <w:r w:rsidRPr="006B00DA">
        <w:rPr>
          <w:rFonts w:ascii="標楷體" w:eastAsia="標楷體" w:hAnsi="標楷體" w:hint="eastAsia"/>
          <w:spacing w:val="-20"/>
          <w:sz w:val="28"/>
          <w:szCs w:val="28"/>
        </w:rPr>
        <w:t>日（星期四）上午9時</w:t>
      </w:r>
      <w:r>
        <w:rPr>
          <w:rFonts w:ascii="標楷體" w:eastAsia="標楷體" w:hAnsi="標楷體" w:hint="eastAsia"/>
          <w:spacing w:val="-20"/>
          <w:sz w:val="28"/>
          <w:szCs w:val="28"/>
        </w:rPr>
        <w:t>1分</w:t>
      </w:r>
      <w:r w:rsidRPr="006B00DA">
        <w:rPr>
          <w:rFonts w:ascii="標楷體" w:eastAsia="標楷體" w:hAnsi="標楷體" w:hint="eastAsia"/>
          <w:spacing w:val="-20"/>
          <w:sz w:val="28"/>
          <w:szCs w:val="28"/>
        </w:rPr>
        <w:t>至</w:t>
      </w:r>
      <w:r>
        <w:rPr>
          <w:rFonts w:ascii="標楷體" w:eastAsia="標楷體" w:hAnsi="標楷體" w:hint="eastAsia"/>
          <w:spacing w:val="-20"/>
          <w:sz w:val="28"/>
          <w:szCs w:val="28"/>
        </w:rPr>
        <w:t>12時48分</w:t>
      </w:r>
    </w:p>
    <w:p w14:paraId="4249B1DE" w14:textId="77777777" w:rsidR="00421BB5" w:rsidRPr="006631C3" w:rsidRDefault="00421BB5" w:rsidP="00421BB5">
      <w:pPr>
        <w:snapToGrid w:val="0"/>
        <w:spacing w:line="340" w:lineRule="exact"/>
        <w:jc w:val="both"/>
        <w:rPr>
          <w:rFonts w:ascii="標楷體" w:eastAsia="標楷體" w:hAnsi="標楷體"/>
          <w:sz w:val="28"/>
          <w:szCs w:val="28"/>
        </w:rPr>
      </w:pPr>
      <w:r w:rsidRPr="006631C3">
        <w:rPr>
          <w:rFonts w:ascii="標楷體" w:eastAsia="標楷體" w:hAnsi="標楷體" w:hint="eastAsia"/>
          <w:sz w:val="28"/>
          <w:szCs w:val="28"/>
        </w:rPr>
        <w:t>地    點：本院紅樓302會議室</w:t>
      </w:r>
    </w:p>
    <w:p w14:paraId="20396831" w14:textId="77777777" w:rsidR="00421BB5" w:rsidRDefault="00421BB5" w:rsidP="00421BB5">
      <w:pPr>
        <w:pStyle w:val="-9"/>
        <w:spacing w:line="360" w:lineRule="exact"/>
        <w:ind w:left="0" w:firstLineChars="0" w:firstLine="0"/>
        <w:jc w:val="left"/>
        <w:rPr>
          <w:rFonts w:ascii="標楷體" w:hAnsi="標楷體"/>
          <w:sz w:val="28"/>
          <w:szCs w:val="28"/>
        </w:rPr>
      </w:pPr>
      <w:r w:rsidRPr="005E4554">
        <w:rPr>
          <w:rFonts w:ascii="標楷體" w:hAnsi="標楷體"/>
          <w:sz w:val="28"/>
          <w:szCs w:val="28"/>
        </w:rPr>
        <w:t>出席委員</w:t>
      </w:r>
      <w:r w:rsidRPr="005E4554">
        <w:rPr>
          <w:rFonts w:ascii="標楷體" w:hAnsi="標楷體" w:hint="eastAsia"/>
          <w:sz w:val="28"/>
          <w:szCs w:val="28"/>
        </w:rPr>
        <w:t>：</w:t>
      </w:r>
      <w:r>
        <w:rPr>
          <w:rFonts w:ascii="標楷體" w:hAnsi="標楷體" w:hint="eastAsia"/>
          <w:sz w:val="28"/>
          <w:szCs w:val="28"/>
        </w:rPr>
        <w:t>游</w:t>
      </w:r>
      <w:r w:rsidRPr="00FF5A17">
        <w:rPr>
          <w:rFonts w:ascii="標楷體" w:hAnsi="標楷體" w:hint="eastAsia"/>
          <w:sz w:val="28"/>
          <w:szCs w:val="28"/>
        </w:rPr>
        <w:t>毓蘭</w:t>
      </w:r>
      <w:r>
        <w:rPr>
          <w:rFonts w:ascii="標楷體" w:hAnsi="標楷體"/>
          <w:sz w:val="28"/>
          <w:szCs w:val="28"/>
        </w:rPr>
        <w:tab/>
      </w:r>
      <w:r w:rsidRPr="00FF5A17">
        <w:rPr>
          <w:rFonts w:ascii="標楷體" w:hAnsi="標楷體" w:hint="eastAsia"/>
          <w:sz w:val="28"/>
          <w:szCs w:val="28"/>
        </w:rPr>
        <w:t>林思銘</w:t>
      </w:r>
      <w:r>
        <w:rPr>
          <w:rFonts w:ascii="標楷體" w:hAnsi="標楷體"/>
          <w:sz w:val="28"/>
          <w:szCs w:val="28"/>
        </w:rPr>
        <w:tab/>
      </w:r>
      <w:r w:rsidRPr="00FF5A17">
        <w:rPr>
          <w:rFonts w:ascii="標楷體" w:hAnsi="標楷體" w:hint="eastAsia"/>
          <w:sz w:val="28"/>
          <w:szCs w:val="28"/>
        </w:rPr>
        <w:t xml:space="preserve">曾銘宗 </w:t>
      </w:r>
      <w:r w:rsidRPr="00776953">
        <w:rPr>
          <w:rFonts w:ascii="標楷體" w:hAnsi="標楷體" w:hint="eastAsia"/>
          <w:sz w:val="28"/>
          <w:szCs w:val="28"/>
        </w:rPr>
        <w:t>陳歐珀</w:t>
      </w:r>
      <w:r>
        <w:rPr>
          <w:rFonts w:ascii="標楷體" w:hAnsi="標楷體"/>
          <w:sz w:val="28"/>
          <w:szCs w:val="28"/>
        </w:rPr>
        <w:tab/>
      </w:r>
      <w:r w:rsidRPr="00FF5A17">
        <w:rPr>
          <w:rFonts w:ascii="標楷體" w:hAnsi="標楷體" w:hint="eastAsia"/>
          <w:sz w:val="28"/>
          <w:szCs w:val="28"/>
        </w:rPr>
        <w:t>黃世杰</w:t>
      </w:r>
      <w:r>
        <w:rPr>
          <w:rFonts w:ascii="標楷體" w:hAnsi="標楷體"/>
          <w:sz w:val="28"/>
          <w:szCs w:val="28"/>
        </w:rPr>
        <w:tab/>
      </w:r>
      <w:r w:rsidRPr="00384B41">
        <w:rPr>
          <w:rFonts w:ascii="標楷體" w:hAnsi="標楷體" w:hint="eastAsia"/>
          <w:sz w:val="28"/>
          <w:szCs w:val="28"/>
        </w:rPr>
        <w:t>鄭運鵬</w:t>
      </w:r>
      <w:r>
        <w:rPr>
          <w:rFonts w:ascii="標楷體" w:hAnsi="標楷體"/>
          <w:sz w:val="28"/>
          <w:szCs w:val="28"/>
        </w:rPr>
        <w:tab/>
      </w:r>
      <w:r>
        <w:rPr>
          <w:rFonts w:ascii="標楷體" w:hAnsi="標楷體" w:hint="eastAsia"/>
          <w:sz w:val="28"/>
          <w:szCs w:val="28"/>
        </w:rPr>
        <w:t>陳靜敏</w:t>
      </w:r>
    </w:p>
    <w:p w14:paraId="555EF1C5" w14:textId="77777777" w:rsidR="00421BB5" w:rsidRPr="00CB5959" w:rsidRDefault="00421BB5" w:rsidP="00421BB5">
      <w:pPr>
        <w:pStyle w:val="-9"/>
        <w:spacing w:line="360" w:lineRule="exact"/>
        <w:ind w:left="0" w:firstLineChars="500" w:firstLine="1400"/>
        <w:jc w:val="left"/>
        <w:rPr>
          <w:rFonts w:ascii="標楷體" w:hAnsi="標楷體"/>
          <w:sz w:val="28"/>
          <w:szCs w:val="28"/>
        </w:rPr>
      </w:pPr>
      <w:r w:rsidRPr="00161375">
        <w:rPr>
          <w:rFonts w:ascii="標楷體" w:hAnsi="標楷體" w:hint="eastAsia"/>
          <w:sz w:val="28"/>
          <w:szCs w:val="28"/>
        </w:rPr>
        <w:t>陳以信</w:t>
      </w:r>
      <w:r>
        <w:rPr>
          <w:rFonts w:ascii="標楷體" w:hAnsi="標楷體"/>
          <w:sz w:val="28"/>
          <w:szCs w:val="28"/>
        </w:rPr>
        <w:tab/>
      </w:r>
      <w:r w:rsidRPr="00F420A1">
        <w:rPr>
          <w:rFonts w:ascii="標楷體" w:hAnsi="標楷體" w:hint="eastAsia"/>
          <w:sz w:val="28"/>
          <w:szCs w:val="28"/>
        </w:rPr>
        <w:t>江永昌</w:t>
      </w:r>
      <w:r w:rsidRPr="00F420A1">
        <w:rPr>
          <w:rFonts w:ascii="標楷體" w:hAnsi="標楷體"/>
          <w:sz w:val="28"/>
          <w:szCs w:val="28"/>
        </w:rPr>
        <w:tab/>
      </w:r>
      <w:r w:rsidRPr="002F7CD9">
        <w:rPr>
          <w:rFonts w:ascii="標楷體" w:hAnsi="標楷體" w:hint="eastAsia"/>
          <w:sz w:val="28"/>
          <w:szCs w:val="28"/>
        </w:rPr>
        <w:t>陳玉珍</w:t>
      </w:r>
      <w:r>
        <w:rPr>
          <w:rFonts w:ascii="標楷體" w:hAnsi="標楷體"/>
          <w:sz w:val="28"/>
          <w:szCs w:val="28"/>
        </w:rPr>
        <w:tab/>
      </w:r>
      <w:r w:rsidRPr="002D4F5E">
        <w:rPr>
          <w:rFonts w:ascii="標楷體" w:hAnsi="標楷體" w:hint="eastAsia"/>
          <w:sz w:val="28"/>
          <w:szCs w:val="28"/>
        </w:rPr>
        <w:t>劉建國</w:t>
      </w:r>
      <w:r w:rsidRPr="002D4F5E">
        <w:rPr>
          <w:rFonts w:ascii="標楷體" w:hAnsi="標楷體"/>
          <w:sz w:val="28"/>
          <w:szCs w:val="28"/>
        </w:rPr>
        <w:tab/>
      </w:r>
    </w:p>
    <w:p w14:paraId="366E07D5" w14:textId="77777777" w:rsidR="00421BB5" w:rsidRPr="005E4554" w:rsidRDefault="00421BB5" w:rsidP="00421BB5">
      <w:pPr>
        <w:snapToGrid w:val="0"/>
        <w:spacing w:line="360" w:lineRule="exact"/>
        <w:ind w:leftChars="578" w:left="1429" w:hangingChars="15" w:hanging="42"/>
        <w:jc w:val="both"/>
        <w:rPr>
          <w:rFonts w:ascii="標楷體" w:eastAsia="標楷體" w:hAnsi="標楷體"/>
          <w:sz w:val="28"/>
          <w:szCs w:val="28"/>
        </w:rPr>
      </w:pPr>
      <w:r w:rsidRPr="00CB5959">
        <w:rPr>
          <w:rFonts w:ascii="標楷體" w:eastAsia="標楷體" w:hAnsi="標楷體"/>
          <w:sz w:val="28"/>
          <w:szCs w:val="28"/>
        </w:rPr>
        <w:t>委員出席</w:t>
      </w:r>
      <w:r>
        <w:rPr>
          <w:rFonts w:ascii="標楷體" w:eastAsia="標楷體" w:hAnsi="標楷體" w:hint="eastAsia"/>
          <w:sz w:val="28"/>
          <w:szCs w:val="28"/>
        </w:rPr>
        <w:t>11</w:t>
      </w:r>
      <w:r w:rsidRPr="00CB5959">
        <w:rPr>
          <w:rFonts w:ascii="標楷體" w:eastAsia="標楷體" w:hAnsi="標楷體"/>
          <w:sz w:val="28"/>
          <w:szCs w:val="28"/>
        </w:rPr>
        <w:t>人</w:t>
      </w:r>
    </w:p>
    <w:p w14:paraId="362F341F" w14:textId="77777777" w:rsidR="00421BB5" w:rsidRDefault="00421BB5" w:rsidP="00421BB5">
      <w:pPr>
        <w:adjustRightInd w:val="0"/>
        <w:snapToGrid w:val="0"/>
        <w:spacing w:line="360" w:lineRule="exact"/>
        <w:ind w:leftChars="-11" w:left="1402" w:hangingChars="510" w:hanging="1428"/>
        <w:rPr>
          <w:rFonts w:ascii="標楷體" w:eastAsia="標楷體" w:hAnsi="標楷體"/>
          <w:spacing w:val="-20"/>
          <w:sz w:val="28"/>
          <w:szCs w:val="28"/>
        </w:rPr>
      </w:pPr>
      <w:r w:rsidRPr="005E4554">
        <w:rPr>
          <w:rFonts w:ascii="標楷體" w:eastAsia="標楷體" w:hAnsi="標楷體"/>
          <w:kern w:val="0"/>
          <w:sz w:val="28"/>
          <w:szCs w:val="28"/>
        </w:rPr>
        <w:t>列席</w:t>
      </w:r>
      <w:r w:rsidRPr="005E4554">
        <w:rPr>
          <w:rFonts w:ascii="標楷體" w:eastAsia="標楷體" w:hAnsi="標楷體"/>
          <w:sz w:val="28"/>
          <w:szCs w:val="28"/>
        </w:rPr>
        <w:t>委員：</w:t>
      </w:r>
      <w:r>
        <w:rPr>
          <w:rFonts w:ascii="標楷體" w:eastAsia="標楷體" w:hAnsi="標楷體" w:hint="eastAsia"/>
          <w:sz w:val="28"/>
          <w:szCs w:val="28"/>
        </w:rPr>
        <w:t>李貴敏</w:t>
      </w:r>
      <w:r>
        <w:rPr>
          <w:rFonts w:ascii="標楷體" w:eastAsia="標楷體" w:hAnsi="標楷體"/>
          <w:sz w:val="28"/>
          <w:szCs w:val="28"/>
        </w:rPr>
        <w:tab/>
      </w:r>
      <w:r w:rsidRPr="005A4089">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羅明才</w:t>
      </w:r>
      <w:r>
        <w:rPr>
          <w:rFonts w:ascii="標楷體" w:eastAsia="標楷體" w:hAnsi="標楷體" w:hint="eastAsia"/>
          <w:sz w:val="28"/>
          <w:szCs w:val="28"/>
        </w:rPr>
        <w:tab/>
      </w:r>
      <w:r w:rsidRPr="005A4089">
        <w:rPr>
          <w:rFonts w:ascii="標楷體" w:eastAsia="標楷體" w:hAnsi="標楷體" w:hint="eastAsia"/>
          <w:sz w:val="28"/>
          <w:szCs w:val="28"/>
        </w:rPr>
        <w:t>張其祿</w:t>
      </w:r>
      <w:r>
        <w:rPr>
          <w:rFonts w:ascii="標楷體" w:eastAsia="標楷體" w:hAnsi="標楷體"/>
          <w:sz w:val="28"/>
          <w:szCs w:val="28"/>
        </w:rPr>
        <w:tab/>
      </w:r>
      <w:r w:rsidRPr="00C330FC">
        <w:rPr>
          <w:rFonts w:ascii="標楷體" w:eastAsia="標楷體" w:hAnsi="標楷體"/>
          <w:spacing w:val="-20"/>
          <w:w w:val="98"/>
          <w:sz w:val="28"/>
          <w:szCs w:val="28"/>
        </w:rPr>
        <w:t>鄭天財Sra</w:t>
      </w:r>
      <w:r w:rsidRPr="00C330FC">
        <w:rPr>
          <w:rFonts w:ascii="標楷體" w:eastAsia="標楷體" w:hAnsi="標楷體" w:hint="eastAsia"/>
          <w:spacing w:val="-20"/>
          <w:w w:val="98"/>
          <w:sz w:val="28"/>
          <w:szCs w:val="28"/>
        </w:rPr>
        <w:t xml:space="preserve"> </w:t>
      </w:r>
      <w:r w:rsidRPr="00C330FC">
        <w:rPr>
          <w:rFonts w:ascii="標楷體" w:eastAsia="標楷體" w:hAnsi="標楷體"/>
          <w:spacing w:val="-20"/>
          <w:w w:val="98"/>
          <w:sz w:val="28"/>
          <w:szCs w:val="28"/>
        </w:rPr>
        <w:t>Kacaw</w:t>
      </w:r>
      <w:r>
        <w:rPr>
          <w:rFonts w:ascii="標楷體" w:eastAsia="標楷體" w:hAnsi="標楷體"/>
          <w:spacing w:val="-20"/>
          <w:w w:val="98"/>
          <w:sz w:val="28"/>
          <w:szCs w:val="28"/>
        </w:rPr>
        <w:tab/>
      </w:r>
      <w:r w:rsidRPr="00C330FC">
        <w:rPr>
          <w:rFonts w:ascii="標楷體" w:eastAsia="標楷體" w:hAnsi="標楷體"/>
          <w:kern w:val="0"/>
          <w:sz w:val="28"/>
          <w:szCs w:val="28"/>
        </w:rPr>
        <w:t>湯蕙禎</w:t>
      </w:r>
    </w:p>
    <w:p w14:paraId="4BEF5683" w14:textId="77777777" w:rsidR="00421BB5" w:rsidRPr="00A3586D" w:rsidRDefault="00421BB5" w:rsidP="00421BB5">
      <w:pPr>
        <w:adjustRightInd w:val="0"/>
        <w:snapToGrid w:val="0"/>
        <w:spacing w:line="360" w:lineRule="exact"/>
        <w:ind w:leftChars="571" w:left="1398" w:hangingChars="10" w:hanging="28"/>
        <w:rPr>
          <w:rFonts w:ascii="標楷體" w:eastAsia="標楷體" w:hAnsi="標楷體"/>
          <w:color w:val="000000"/>
          <w:sz w:val="28"/>
          <w:szCs w:val="28"/>
        </w:rPr>
      </w:pPr>
      <w:r w:rsidRPr="00BD09B7">
        <w:rPr>
          <w:rFonts w:ascii="標楷體" w:eastAsia="標楷體" w:hAnsi="標楷體" w:hint="eastAsia"/>
          <w:sz w:val="28"/>
          <w:szCs w:val="28"/>
        </w:rPr>
        <w:t>高嘉瑜</w:t>
      </w:r>
      <w:r>
        <w:rPr>
          <w:rFonts w:ascii="標楷體" w:eastAsia="標楷體" w:hAnsi="標楷體"/>
          <w:sz w:val="28"/>
          <w:szCs w:val="28"/>
        </w:rPr>
        <w:tab/>
      </w:r>
      <w:r>
        <w:rPr>
          <w:rFonts w:ascii="標楷體" w:eastAsia="標楷體" w:hAnsi="標楷體" w:hint="eastAsia"/>
          <w:sz w:val="28"/>
          <w:szCs w:val="28"/>
        </w:rPr>
        <w:t>林</w:t>
      </w:r>
      <w:r w:rsidRPr="00BD09B7">
        <w:rPr>
          <w:rFonts w:ascii="標楷體" w:eastAsia="標楷體" w:hAnsi="標楷體" w:hint="eastAsia"/>
          <w:sz w:val="28"/>
          <w:szCs w:val="28"/>
        </w:rPr>
        <w:t>昶佐</w:t>
      </w:r>
      <w:r w:rsidRPr="00BD09B7">
        <w:rPr>
          <w:rFonts w:ascii="標楷體" w:eastAsia="標楷體" w:hAnsi="標楷體"/>
          <w:sz w:val="28"/>
          <w:szCs w:val="28"/>
        </w:rPr>
        <w:tab/>
      </w:r>
      <w:r w:rsidRPr="00BD09B7">
        <w:rPr>
          <w:rFonts w:ascii="標楷體" w:eastAsia="標楷體" w:hAnsi="標楷體" w:hint="eastAsia"/>
          <w:color w:val="000000"/>
          <w:sz w:val="28"/>
          <w:szCs w:val="28"/>
        </w:rPr>
        <w:t>邱顯智</w:t>
      </w:r>
      <w:r w:rsidRPr="00BD09B7">
        <w:rPr>
          <w:rFonts w:eastAsia="標楷體"/>
          <w:sz w:val="28"/>
        </w:rPr>
        <w:tab/>
      </w:r>
      <w:r>
        <w:rPr>
          <w:rFonts w:eastAsia="標楷體" w:hint="eastAsia"/>
          <w:sz w:val="28"/>
        </w:rPr>
        <w:t>楊瓊瓔</w:t>
      </w:r>
      <w:r>
        <w:rPr>
          <w:rFonts w:eastAsia="標楷體"/>
          <w:sz w:val="28"/>
        </w:rPr>
        <w:tab/>
      </w:r>
    </w:p>
    <w:p w14:paraId="37D6C3D8" w14:textId="77777777" w:rsidR="00421BB5" w:rsidRPr="005E4554" w:rsidRDefault="00421BB5" w:rsidP="00421BB5">
      <w:pPr>
        <w:adjustRightInd w:val="0"/>
        <w:snapToGrid w:val="0"/>
        <w:spacing w:line="360" w:lineRule="exact"/>
        <w:ind w:firstLineChars="485" w:firstLine="1358"/>
        <w:jc w:val="both"/>
        <w:rPr>
          <w:rFonts w:ascii="標楷體" w:eastAsia="標楷體" w:hAnsi="標楷體"/>
          <w:sz w:val="28"/>
          <w:szCs w:val="28"/>
        </w:rPr>
      </w:pPr>
      <w:r w:rsidRPr="00A12B79">
        <w:rPr>
          <w:rFonts w:ascii="標楷體" w:eastAsia="標楷體" w:hAnsi="標楷體"/>
          <w:sz w:val="28"/>
          <w:szCs w:val="28"/>
        </w:rPr>
        <w:t>委員列席</w:t>
      </w:r>
      <w:r>
        <w:rPr>
          <w:rFonts w:ascii="標楷體" w:eastAsia="標楷體" w:hAnsi="標楷體" w:hint="eastAsia"/>
          <w:sz w:val="28"/>
          <w:szCs w:val="28"/>
        </w:rPr>
        <w:t>10</w:t>
      </w:r>
      <w:r w:rsidRPr="00A12B79">
        <w:rPr>
          <w:rFonts w:ascii="標楷體" w:eastAsia="標楷體" w:hAnsi="標楷體"/>
          <w:sz w:val="28"/>
          <w:szCs w:val="28"/>
        </w:rPr>
        <w:t>人</w:t>
      </w:r>
    </w:p>
    <w:p w14:paraId="452410A8" w14:textId="77777777" w:rsidR="00421BB5" w:rsidRDefault="00421BB5" w:rsidP="00421BB5">
      <w:pPr>
        <w:pStyle w:val="-9"/>
        <w:spacing w:line="360" w:lineRule="exact"/>
        <w:ind w:left="1361" w:hangingChars="486" w:hanging="1361"/>
        <w:rPr>
          <w:rFonts w:ascii="標楷體" w:hAnsi="標楷體"/>
          <w:sz w:val="28"/>
          <w:szCs w:val="28"/>
        </w:rPr>
      </w:pPr>
      <w:r w:rsidRPr="00C3659F">
        <w:rPr>
          <w:rFonts w:ascii="標楷體" w:hAnsi="標楷體"/>
          <w:sz w:val="28"/>
          <w:szCs w:val="28"/>
        </w:rPr>
        <w:t>列席官員：</w:t>
      </w:r>
      <w:r>
        <w:rPr>
          <w:rFonts w:ascii="標楷體" w:hAnsi="標楷體" w:hint="eastAsia"/>
          <w:sz w:val="28"/>
          <w:szCs w:val="28"/>
        </w:rPr>
        <w:t>考試院秘書長　劉建忻</w:t>
      </w:r>
    </w:p>
    <w:p w14:paraId="139FD90C"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 xml:space="preserve">監察院副秘書長　</w:t>
      </w:r>
      <w:r w:rsidRPr="00B51C93">
        <w:rPr>
          <w:rFonts w:ascii="標楷體" w:hAnsi="標楷體" w:hint="eastAsia"/>
          <w:sz w:val="28"/>
          <w:szCs w:val="28"/>
        </w:rPr>
        <w:t>劉文仕</w:t>
      </w:r>
    </w:p>
    <w:p w14:paraId="765656EE"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 xml:space="preserve">法務部政務次長　</w:t>
      </w:r>
      <w:r w:rsidRPr="00B51C93">
        <w:rPr>
          <w:rFonts w:ascii="標楷體" w:hAnsi="標楷體"/>
          <w:sz w:val="28"/>
          <w:szCs w:val="28"/>
        </w:rPr>
        <w:t>陳明堂</w:t>
      </w:r>
      <w:r>
        <w:rPr>
          <w:rFonts w:ascii="標楷體" w:hAnsi="標楷體" w:hint="eastAsia"/>
          <w:sz w:val="28"/>
          <w:szCs w:val="28"/>
        </w:rPr>
        <w:t>（部長請假）</w:t>
      </w:r>
    </w:p>
    <w:p w14:paraId="6951E3CA"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法務部矯正署署長　黃俊棠</w:t>
      </w:r>
    </w:p>
    <w:p w14:paraId="059CBBFD"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司法院</w:t>
      </w:r>
      <w:r w:rsidRPr="00B51C93">
        <w:rPr>
          <w:rFonts w:ascii="標楷體" w:hAnsi="標楷體" w:hint="eastAsia"/>
          <w:sz w:val="28"/>
          <w:szCs w:val="28"/>
        </w:rPr>
        <w:t>刑事廳法官</w:t>
      </w:r>
      <w:r>
        <w:rPr>
          <w:rFonts w:ascii="標楷體" w:hAnsi="標楷體" w:hint="eastAsia"/>
          <w:sz w:val="28"/>
          <w:szCs w:val="28"/>
        </w:rPr>
        <w:t xml:space="preserve">　</w:t>
      </w:r>
      <w:r w:rsidRPr="00B51C93">
        <w:rPr>
          <w:rFonts w:ascii="標楷體" w:hAnsi="標楷體" w:hint="eastAsia"/>
          <w:sz w:val="28"/>
          <w:szCs w:val="28"/>
        </w:rPr>
        <w:t>朱嘉川</w:t>
      </w:r>
    </w:p>
    <w:p w14:paraId="68E49932"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 xml:space="preserve">銓敘部法規司司長　</w:t>
      </w:r>
      <w:r w:rsidRPr="00B51C93">
        <w:rPr>
          <w:rFonts w:ascii="標楷體" w:hAnsi="標楷體" w:hint="eastAsia"/>
          <w:sz w:val="28"/>
          <w:szCs w:val="28"/>
        </w:rPr>
        <w:t>雷</w:t>
      </w:r>
      <w:r>
        <w:rPr>
          <w:rFonts w:ascii="標楷體" w:hAnsi="標楷體" w:hint="eastAsia"/>
          <w:sz w:val="28"/>
          <w:szCs w:val="28"/>
        </w:rPr>
        <w:t xml:space="preserve">　</w:t>
      </w:r>
      <w:r w:rsidRPr="00B51C93">
        <w:rPr>
          <w:rFonts w:ascii="標楷體" w:hAnsi="標楷體" w:hint="eastAsia"/>
          <w:sz w:val="28"/>
          <w:szCs w:val="28"/>
        </w:rPr>
        <w:t>諶</w:t>
      </w:r>
    </w:p>
    <w:p w14:paraId="24D60D86"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國防部</w:t>
      </w:r>
      <w:r w:rsidRPr="00B51C93">
        <w:rPr>
          <w:rFonts w:ascii="標楷體" w:hAnsi="標楷體" w:hint="eastAsia"/>
          <w:sz w:val="28"/>
          <w:szCs w:val="28"/>
        </w:rPr>
        <w:t>法律事務司法紀調查處副處長</w:t>
      </w:r>
      <w:r>
        <w:rPr>
          <w:rFonts w:ascii="標楷體" w:hAnsi="標楷體" w:hint="eastAsia"/>
          <w:sz w:val="28"/>
          <w:szCs w:val="28"/>
        </w:rPr>
        <w:t xml:space="preserve">　</w:t>
      </w:r>
      <w:r w:rsidRPr="00B51C93">
        <w:rPr>
          <w:rFonts w:ascii="標楷體" w:hAnsi="標楷體" w:hint="eastAsia"/>
          <w:sz w:val="28"/>
          <w:szCs w:val="28"/>
        </w:rPr>
        <w:t>王秉豐</w:t>
      </w:r>
    </w:p>
    <w:p w14:paraId="42D198E8"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教育部</w:t>
      </w:r>
      <w:r w:rsidRPr="00B51C93">
        <w:rPr>
          <w:rFonts w:ascii="標楷體" w:hAnsi="標楷體" w:hint="eastAsia"/>
          <w:sz w:val="28"/>
          <w:szCs w:val="28"/>
        </w:rPr>
        <w:t>學生事務及特殊教育司</w:t>
      </w:r>
      <w:r w:rsidRPr="00A10C71">
        <w:rPr>
          <w:rFonts w:ascii="標楷體" w:hAnsi="標楷體" w:hint="eastAsia"/>
          <w:sz w:val="28"/>
          <w:szCs w:val="28"/>
        </w:rPr>
        <w:t>專門委員</w:t>
      </w:r>
      <w:r>
        <w:rPr>
          <w:rFonts w:ascii="標楷體" w:hAnsi="標楷體" w:hint="eastAsia"/>
          <w:sz w:val="28"/>
          <w:szCs w:val="28"/>
        </w:rPr>
        <w:t xml:space="preserve">　</w:t>
      </w:r>
      <w:r w:rsidRPr="00B51C93">
        <w:rPr>
          <w:rFonts w:ascii="標楷體" w:hAnsi="標楷體" w:hint="eastAsia"/>
          <w:sz w:val="28"/>
          <w:szCs w:val="28"/>
        </w:rPr>
        <w:t>鄭文瑤</w:t>
      </w:r>
    </w:p>
    <w:p w14:paraId="7DE3E434" w14:textId="77777777" w:rsidR="00421BB5" w:rsidRPr="00B51C93" w:rsidRDefault="00421BB5" w:rsidP="00421BB5">
      <w:pPr>
        <w:pStyle w:val="-9"/>
        <w:spacing w:line="360" w:lineRule="exact"/>
        <w:ind w:leftChars="567" w:left="1361" w:firstLineChars="18" w:firstLine="42"/>
        <w:jc w:val="distribute"/>
        <w:rPr>
          <w:rFonts w:ascii="標楷體" w:hAnsi="標楷體"/>
          <w:spacing w:val="-20"/>
          <w:w w:val="98"/>
          <w:sz w:val="28"/>
          <w:szCs w:val="28"/>
        </w:rPr>
      </w:pPr>
      <w:r w:rsidRPr="00B51C93">
        <w:rPr>
          <w:rFonts w:ascii="標楷體" w:hAnsi="標楷體" w:hint="eastAsia"/>
          <w:spacing w:val="-20"/>
          <w:w w:val="98"/>
          <w:sz w:val="28"/>
          <w:szCs w:val="28"/>
        </w:rPr>
        <w:t>勞動部勞動力發展署身心障礙者及特定對象就業組專門委員　王麗雯</w:t>
      </w:r>
    </w:p>
    <w:p w14:paraId="2AB69C9F"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衛生福利部</w:t>
      </w:r>
      <w:r w:rsidRPr="00B51C93">
        <w:rPr>
          <w:rFonts w:ascii="標楷體" w:hAnsi="標楷體" w:hint="eastAsia"/>
          <w:sz w:val="28"/>
          <w:szCs w:val="28"/>
        </w:rPr>
        <w:t>心理健康司專門委員</w:t>
      </w:r>
      <w:r>
        <w:rPr>
          <w:rFonts w:ascii="標楷體" w:hAnsi="標楷體" w:hint="eastAsia"/>
          <w:sz w:val="28"/>
          <w:szCs w:val="28"/>
        </w:rPr>
        <w:t xml:space="preserve">　</w:t>
      </w:r>
      <w:r w:rsidRPr="00B51C93">
        <w:rPr>
          <w:rFonts w:ascii="標楷體" w:hAnsi="標楷體" w:hint="eastAsia"/>
          <w:sz w:val="28"/>
          <w:szCs w:val="28"/>
        </w:rPr>
        <w:t>洪嘉璣</w:t>
      </w:r>
    </w:p>
    <w:p w14:paraId="3AA351CF" w14:textId="77777777" w:rsidR="00421BB5" w:rsidRDefault="00421BB5" w:rsidP="00421BB5">
      <w:pPr>
        <w:pStyle w:val="-9"/>
        <w:spacing w:line="360" w:lineRule="exact"/>
        <w:ind w:leftChars="567" w:left="1361" w:firstLineChars="18" w:firstLine="50"/>
        <w:rPr>
          <w:rFonts w:ascii="標楷體" w:hAnsi="標楷體"/>
          <w:sz w:val="28"/>
          <w:szCs w:val="28"/>
        </w:rPr>
      </w:pPr>
      <w:r w:rsidRPr="00A10C71">
        <w:rPr>
          <w:rFonts w:ascii="標楷體" w:hAnsi="標楷體" w:hint="eastAsia"/>
          <w:sz w:val="28"/>
          <w:szCs w:val="28"/>
        </w:rPr>
        <w:t>國家發展委員會社會發展處專門委員</w:t>
      </w:r>
      <w:r>
        <w:rPr>
          <w:rFonts w:ascii="標楷體" w:hAnsi="標楷體" w:hint="eastAsia"/>
          <w:sz w:val="28"/>
          <w:szCs w:val="28"/>
        </w:rPr>
        <w:t xml:space="preserve">　</w:t>
      </w:r>
      <w:r w:rsidRPr="00B51C93">
        <w:rPr>
          <w:rFonts w:ascii="標楷體" w:hAnsi="標楷體" w:hint="eastAsia"/>
          <w:sz w:val="28"/>
          <w:szCs w:val="28"/>
        </w:rPr>
        <w:t>施乃元</w:t>
      </w:r>
    </w:p>
    <w:p w14:paraId="26864812"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大陸委員會</w:t>
      </w:r>
      <w:r w:rsidRPr="00C95AC1">
        <w:rPr>
          <w:rFonts w:ascii="標楷體" w:hAnsi="標楷體" w:hint="eastAsia"/>
          <w:sz w:val="28"/>
          <w:szCs w:val="28"/>
        </w:rPr>
        <w:t>法政處科長</w:t>
      </w:r>
      <w:r>
        <w:rPr>
          <w:rFonts w:ascii="標楷體" w:hAnsi="標楷體" w:hint="eastAsia"/>
          <w:sz w:val="28"/>
          <w:szCs w:val="28"/>
        </w:rPr>
        <w:t xml:space="preserve">　</w:t>
      </w:r>
      <w:r w:rsidRPr="00C95AC1">
        <w:rPr>
          <w:rFonts w:ascii="標楷體" w:hAnsi="標楷體" w:hint="eastAsia"/>
          <w:sz w:val="28"/>
          <w:szCs w:val="28"/>
        </w:rPr>
        <w:t>曾燕倫</w:t>
      </w:r>
    </w:p>
    <w:p w14:paraId="0887942A" w14:textId="77777777" w:rsidR="00421BB5" w:rsidRDefault="00421BB5" w:rsidP="00421BB5">
      <w:pPr>
        <w:pStyle w:val="-9"/>
        <w:spacing w:line="360" w:lineRule="exact"/>
        <w:ind w:leftChars="567" w:left="1361" w:firstLineChars="18" w:firstLine="50"/>
        <w:rPr>
          <w:rFonts w:ascii="標楷體" w:hAnsi="標楷體"/>
          <w:sz w:val="28"/>
          <w:szCs w:val="28"/>
        </w:rPr>
      </w:pPr>
      <w:r w:rsidRPr="005A4154">
        <w:rPr>
          <w:rFonts w:ascii="標楷體" w:hAnsi="標楷體" w:hint="eastAsia"/>
          <w:sz w:val="28"/>
          <w:szCs w:val="28"/>
        </w:rPr>
        <w:t>行政院主計總處公務預算處</w:t>
      </w:r>
      <w:r w:rsidRPr="00093E21">
        <w:rPr>
          <w:rFonts w:ascii="標楷體" w:hAnsi="標楷體" w:hint="eastAsia"/>
          <w:sz w:val="28"/>
          <w:szCs w:val="28"/>
        </w:rPr>
        <w:t>專門委員</w:t>
      </w:r>
      <w:r>
        <w:rPr>
          <w:rFonts w:ascii="標楷體" w:hAnsi="標楷體" w:hint="eastAsia"/>
          <w:sz w:val="28"/>
          <w:szCs w:val="28"/>
        </w:rPr>
        <w:t xml:space="preserve">　</w:t>
      </w:r>
      <w:r w:rsidRPr="0017084D">
        <w:rPr>
          <w:rFonts w:ascii="標楷體" w:hAnsi="標楷體" w:hint="eastAsia"/>
          <w:sz w:val="28"/>
          <w:szCs w:val="28"/>
        </w:rPr>
        <w:t>廖玉琳</w:t>
      </w:r>
    </w:p>
    <w:p w14:paraId="544BB685" w14:textId="77777777" w:rsidR="00421BB5" w:rsidRDefault="00421BB5" w:rsidP="00421BB5">
      <w:pPr>
        <w:pStyle w:val="-9"/>
        <w:spacing w:line="360" w:lineRule="exact"/>
        <w:ind w:leftChars="567" w:left="1361" w:firstLineChars="18" w:firstLine="50"/>
        <w:rPr>
          <w:rFonts w:ascii="標楷體" w:hAnsi="標楷體"/>
          <w:color w:val="000000"/>
          <w:sz w:val="28"/>
          <w:szCs w:val="28"/>
        </w:rPr>
      </w:pPr>
      <w:r>
        <w:rPr>
          <w:rFonts w:ascii="標楷體" w:hAnsi="標楷體" w:hint="eastAsia"/>
          <w:color w:val="000000"/>
          <w:sz w:val="28"/>
          <w:szCs w:val="28"/>
        </w:rPr>
        <w:t>行政院人事行政總處</w:t>
      </w:r>
      <w:r w:rsidRPr="0017084D">
        <w:rPr>
          <w:rFonts w:ascii="標楷體" w:hAnsi="標楷體" w:hint="eastAsia"/>
          <w:color w:val="000000"/>
          <w:sz w:val="28"/>
          <w:szCs w:val="28"/>
        </w:rPr>
        <w:t>組編人力處專門委員</w:t>
      </w:r>
      <w:r>
        <w:rPr>
          <w:rFonts w:ascii="標楷體" w:hAnsi="標楷體" w:hint="eastAsia"/>
          <w:sz w:val="28"/>
          <w:szCs w:val="28"/>
        </w:rPr>
        <w:t xml:space="preserve">　</w:t>
      </w:r>
      <w:r w:rsidRPr="0017084D">
        <w:rPr>
          <w:rFonts w:ascii="標楷體" w:hAnsi="標楷體" w:hint="eastAsia"/>
          <w:sz w:val="28"/>
          <w:szCs w:val="28"/>
        </w:rPr>
        <w:t>陳美志</w:t>
      </w:r>
    </w:p>
    <w:p w14:paraId="77A5ED0C" w14:textId="77777777" w:rsidR="00421BB5" w:rsidRDefault="00421BB5" w:rsidP="00421BB5">
      <w:pPr>
        <w:pStyle w:val="-9"/>
        <w:spacing w:line="360" w:lineRule="exact"/>
        <w:ind w:leftChars="567" w:left="1361" w:firstLineChars="18" w:firstLine="50"/>
        <w:rPr>
          <w:rFonts w:ascii="標楷體" w:hAnsi="標楷體"/>
          <w:color w:val="000000"/>
          <w:sz w:val="28"/>
          <w:szCs w:val="28"/>
        </w:rPr>
      </w:pPr>
      <w:r>
        <w:rPr>
          <w:rFonts w:ascii="標楷體" w:hAnsi="標楷體" w:hint="eastAsia"/>
          <w:color w:val="000000"/>
          <w:sz w:val="28"/>
          <w:szCs w:val="28"/>
        </w:rPr>
        <w:t>內政部警政署</w:t>
      </w:r>
      <w:r w:rsidRPr="0017084D">
        <w:rPr>
          <w:rFonts w:ascii="標楷體" w:hAnsi="標楷體"/>
          <w:color w:val="000000"/>
          <w:sz w:val="28"/>
          <w:szCs w:val="28"/>
        </w:rPr>
        <w:t>防治組副組長</w:t>
      </w:r>
      <w:r>
        <w:rPr>
          <w:rFonts w:ascii="標楷體" w:hAnsi="標楷體" w:hint="eastAsia"/>
          <w:sz w:val="28"/>
          <w:szCs w:val="28"/>
        </w:rPr>
        <w:t xml:space="preserve">　</w:t>
      </w:r>
      <w:r w:rsidRPr="0017084D">
        <w:rPr>
          <w:rFonts w:ascii="標楷體" w:hAnsi="標楷體" w:hint="eastAsia"/>
          <w:sz w:val="28"/>
          <w:szCs w:val="28"/>
        </w:rPr>
        <w:t>黃柏燊</w:t>
      </w:r>
    </w:p>
    <w:p w14:paraId="3383D24E" w14:textId="77777777" w:rsidR="00421BB5" w:rsidRPr="006F01B3" w:rsidRDefault="00421BB5" w:rsidP="00421BB5">
      <w:pPr>
        <w:pStyle w:val="-9"/>
        <w:spacing w:line="360" w:lineRule="exact"/>
        <w:ind w:leftChars="567" w:left="1361" w:firstLineChars="18" w:firstLine="50"/>
        <w:rPr>
          <w:rFonts w:ascii="標楷體" w:hAnsi="標楷體"/>
          <w:color w:val="000000"/>
          <w:sz w:val="28"/>
          <w:szCs w:val="28"/>
        </w:rPr>
      </w:pPr>
      <w:r w:rsidRPr="006F01B3">
        <w:rPr>
          <w:rFonts w:ascii="標楷體" w:hAnsi="標楷體" w:hint="eastAsia"/>
          <w:color w:val="000000"/>
          <w:sz w:val="28"/>
          <w:szCs w:val="28"/>
        </w:rPr>
        <w:t>內政部移民署</w:t>
      </w:r>
      <w:r w:rsidRPr="0017084D">
        <w:rPr>
          <w:rFonts w:ascii="標楷體" w:hAnsi="標楷體" w:hint="eastAsia"/>
          <w:color w:val="000000"/>
          <w:sz w:val="28"/>
          <w:szCs w:val="28"/>
        </w:rPr>
        <w:t>移民事務組副組長</w:t>
      </w:r>
      <w:r>
        <w:rPr>
          <w:rFonts w:ascii="標楷體" w:hAnsi="標楷體" w:hint="eastAsia"/>
          <w:sz w:val="28"/>
          <w:szCs w:val="28"/>
        </w:rPr>
        <w:t xml:space="preserve">　</w:t>
      </w:r>
      <w:r w:rsidRPr="0017084D">
        <w:rPr>
          <w:rFonts w:ascii="標楷體" w:hAnsi="標楷體" w:hint="eastAsia"/>
          <w:sz w:val="28"/>
          <w:szCs w:val="28"/>
        </w:rPr>
        <w:t>林萬益</w:t>
      </w:r>
    </w:p>
    <w:p w14:paraId="6327D85E" w14:textId="77777777" w:rsidR="00421BB5" w:rsidRPr="00DD3E6B" w:rsidRDefault="00421BB5" w:rsidP="00421BB5">
      <w:pPr>
        <w:adjustRightInd w:val="0"/>
        <w:snapToGrid w:val="0"/>
        <w:ind w:left="1364" w:rightChars="-355" w:right="-852" w:hangingChars="487" w:hanging="1364"/>
        <w:jc w:val="both"/>
        <w:rPr>
          <w:rFonts w:ascii="標楷體" w:eastAsia="標楷體" w:hAnsi="標楷體"/>
          <w:sz w:val="28"/>
          <w:szCs w:val="28"/>
        </w:rPr>
      </w:pPr>
      <w:r w:rsidRPr="00661A03">
        <w:rPr>
          <w:rFonts w:ascii="標楷體" w:eastAsia="標楷體" w:hAnsi="標楷體"/>
          <w:kern w:val="0"/>
          <w:sz w:val="28"/>
          <w:szCs w:val="28"/>
          <w:fitText w:val="1120" w:id="-1394949632"/>
        </w:rPr>
        <w:t>主    席</w:t>
      </w:r>
      <w:r w:rsidRPr="00DD3E6B">
        <w:rPr>
          <w:rFonts w:ascii="標楷體" w:eastAsia="標楷體" w:hAnsi="標楷體"/>
          <w:sz w:val="28"/>
          <w:szCs w:val="28"/>
        </w:rPr>
        <w:t>：</w:t>
      </w:r>
      <w:r>
        <w:rPr>
          <w:rFonts w:ascii="標楷體" w:eastAsia="標楷體" w:hAnsi="標楷體" w:hint="eastAsia"/>
          <w:sz w:val="28"/>
          <w:szCs w:val="28"/>
        </w:rPr>
        <w:t>陳</w:t>
      </w:r>
      <w:r w:rsidRPr="00E009E4">
        <w:rPr>
          <w:rFonts w:ascii="標楷體" w:eastAsia="標楷體" w:hAnsi="標楷體" w:hint="eastAsia"/>
          <w:sz w:val="28"/>
          <w:szCs w:val="28"/>
        </w:rPr>
        <w:t>召集委員</w:t>
      </w:r>
      <w:r>
        <w:rPr>
          <w:rFonts w:ascii="標楷體" w:eastAsia="標楷體" w:hAnsi="標楷體" w:hint="eastAsia"/>
          <w:sz w:val="28"/>
          <w:szCs w:val="28"/>
        </w:rPr>
        <w:t>歐珀</w:t>
      </w:r>
    </w:p>
    <w:p w14:paraId="0AA48CC8" w14:textId="77777777" w:rsidR="00421BB5" w:rsidRDefault="00421BB5" w:rsidP="00421BB5">
      <w:pPr>
        <w:snapToGrid w:val="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梁雯</w:t>
      </w:r>
      <w:r w:rsidRPr="00ED0626">
        <w:rPr>
          <w:rFonts w:ascii="標楷體" w:eastAsia="標楷體" w:hAnsi="標楷體" w:hint="eastAsia"/>
          <w:sz w:val="28"/>
          <w:szCs w:val="28"/>
        </w:rPr>
        <w:t>璍</w:t>
      </w:r>
    </w:p>
    <w:p w14:paraId="65B98715" w14:textId="77777777" w:rsidR="00421BB5" w:rsidRPr="008C1421" w:rsidRDefault="00421BB5" w:rsidP="00421BB5">
      <w:pPr>
        <w:snapToGrid w:val="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198013D6" w14:textId="77777777" w:rsidR="00421BB5" w:rsidRPr="008C1421" w:rsidRDefault="00421BB5" w:rsidP="00421BB5">
      <w:pPr>
        <w:adjustRightInd w:val="0"/>
        <w:snapToGrid w:val="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14:paraId="6185BF19" w14:textId="77777777" w:rsidR="00421BB5" w:rsidRDefault="00421BB5" w:rsidP="00421BB5">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科　　長　鮑夏明</w:t>
      </w:r>
    </w:p>
    <w:p w14:paraId="6301116C" w14:textId="77777777" w:rsidR="00421BB5" w:rsidRDefault="00421BB5" w:rsidP="00421BB5">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專　　員　林宗賢</w:t>
      </w:r>
    </w:p>
    <w:p w14:paraId="3B06594A" w14:textId="77777777" w:rsidR="00421BB5" w:rsidRPr="006E0991" w:rsidRDefault="00421BB5" w:rsidP="00421BB5">
      <w:pPr>
        <w:pStyle w:val="afffff2"/>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7D9C4BCA" w14:textId="77777777" w:rsidR="00421BB5" w:rsidRDefault="00421BB5" w:rsidP="00421BB5">
      <w:pPr>
        <w:pStyle w:val="afffff4"/>
        <w:spacing w:beforeLines="20" w:before="72" w:line="340" w:lineRule="exact"/>
        <w:ind w:left="560" w:hanging="560"/>
        <w:jc w:val="both"/>
        <w:rPr>
          <w:rFonts w:ascii="標楷體" w:hAnsi="標楷體"/>
          <w:snapToGrid w:val="0"/>
          <w:sz w:val="28"/>
          <w:szCs w:val="28"/>
        </w:rPr>
      </w:pPr>
      <w:r w:rsidRPr="00187C3E">
        <w:rPr>
          <w:rFonts w:ascii="標楷體" w:hAnsi="標楷體"/>
          <w:snapToGrid w:val="0"/>
          <w:sz w:val="28"/>
          <w:szCs w:val="28"/>
        </w:rPr>
        <w:t>宣讀上次會議議事錄</w:t>
      </w:r>
      <w:r w:rsidRPr="00187C3E">
        <w:rPr>
          <w:rFonts w:ascii="標楷體" w:hAnsi="標楷體" w:hint="eastAsia"/>
          <w:snapToGrid w:val="0"/>
          <w:sz w:val="28"/>
          <w:szCs w:val="28"/>
        </w:rPr>
        <w:t>。</w:t>
      </w:r>
    </w:p>
    <w:p w14:paraId="70147167" w14:textId="77777777" w:rsidR="00421BB5" w:rsidRDefault="00421BB5" w:rsidP="00421BB5">
      <w:pPr>
        <w:pStyle w:val="afffff4"/>
        <w:spacing w:beforeLines="20" w:before="72" w:line="340" w:lineRule="exact"/>
        <w:ind w:left="560" w:hanging="560"/>
        <w:jc w:val="both"/>
        <w:rPr>
          <w:rFonts w:ascii="標楷體" w:hAnsi="標楷體"/>
          <w:b/>
          <w:sz w:val="28"/>
          <w:szCs w:val="28"/>
        </w:rPr>
      </w:pPr>
      <w:r w:rsidRPr="00187C3E">
        <w:rPr>
          <w:rFonts w:ascii="標楷體" w:hAnsi="標楷體" w:hint="eastAsia"/>
          <w:snapToGrid w:val="0"/>
          <w:sz w:val="28"/>
          <w:szCs w:val="28"/>
        </w:rPr>
        <w:t>決定：確定。</w:t>
      </w:r>
    </w:p>
    <w:p w14:paraId="5B4F6158" w14:textId="77777777" w:rsidR="00421BB5" w:rsidRDefault="00421BB5" w:rsidP="00421BB5">
      <w:pPr>
        <w:snapToGrid w:val="0"/>
        <w:spacing w:beforeLines="50" w:before="180" w:line="340" w:lineRule="exact"/>
        <w:ind w:firstLineChars="395" w:firstLine="1107"/>
        <w:jc w:val="both"/>
        <w:rPr>
          <w:rFonts w:ascii="標楷體" w:eastAsia="標楷體" w:hAnsi="標楷體"/>
          <w:b/>
          <w:sz w:val="28"/>
          <w:szCs w:val="28"/>
        </w:rPr>
      </w:pPr>
      <w:r>
        <w:rPr>
          <w:rFonts w:ascii="標楷體" w:eastAsia="標楷體" w:hAnsi="標楷體" w:hint="eastAsia"/>
          <w:b/>
          <w:sz w:val="28"/>
          <w:szCs w:val="28"/>
        </w:rPr>
        <w:t>討論事項</w:t>
      </w:r>
    </w:p>
    <w:p w14:paraId="0F566096"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一、併案審查</w:t>
      </w:r>
    </w:p>
    <w:p w14:paraId="7FC41861"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（一）行政院函請審議廢止「少年輔育院條例」案。</w:t>
      </w:r>
    </w:p>
    <w:p w14:paraId="20E842CB"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（二）委員許智傑等18人擬廢止「少年輔育院條例」案。</w:t>
      </w:r>
    </w:p>
    <w:p w14:paraId="09571B79"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lastRenderedPageBreak/>
        <w:t>二、併案審查</w:t>
      </w:r>
    </w:p>
    <w:p w14:paraId="6DC5AD7F"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（一）考試院函請審議廢止「考銓處組織條例」案。</w:t>
      </w:r>
    </w:p>
    <w:p w14:paraId="539DD859"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（二）委員江永昌等23人擬廢止「考銓處組織條例」案。</w:t>
      </w:r>
    </w:p>
    <w:p w14:paraId="6981A7DE"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（三）委員林宜瑾等18人擬廢止「考銓處組織條例」案。</w:t>
      </w:r>
    </w:p>
    <w:p w14:paraId="2E11F22D"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三、併案審查</w:t>
      </w:r>
    </w:p>
    <w:p w14:paraId="01846BDD"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（一）台灣民眾黨黨團擬廢止「監察院監察委員行署組織條例」案。</w:t>
      </w:r>
    </w:p>
    <w:p w14:paraId="502AA3A6"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（二）委員邱志偉等18人擬廢止「監察院監察委員行署組織條例」案。</w:t>
      </w:r>
    </w:p>
    <w:p w14:paraId="0ED4F126"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（三）委員鄭運鵬等16人擬廢止「監察院監察委員行署組織條例」案。</w:t>
      </w:r>
    </w:p>
    <w:p w14:paraId="1A33F594"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四、併案審查</w:t>
      </w:r>
    </w:p>
    <w:p w14:paraId="56610023"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（一）委員許智傑等28人擬廢止「竊盜犯贓物犯保安處分條例」案。</w:t>
      </w:r>
    </w:p>
    <w:p w14:paraId="624F2298"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（二）委員吳玉琴等19人擬廢止「竊盜犯贓物犯保安處分條例」案。</w:t>
      </w:r>
    </w:p>
    <w:p w14:paraId="10EEFFEE"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（三）時代力量黨團擬廢止「竊盜犯贓物犯保安處分條例」案。</w:t>
      </w:r>
    </w:p>
    <w:p w14:paraId="3BDD17B7"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五、繼續併案審查</w:t>
      </w:r>
    </w:p>
    <w:p w14:paraId="2BE3A18C"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（一）行政院函請審議「外役監條例部分條文修正草案」案。</w:t>
      </w:r>
    </w:p>
    <w:p w14:paraId="56B93812"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（二）委員林岱樺等16人擬具「外役監條例部分條文修正草案」案。</w:t>
      </w:r>
    </w:p>
    <w:p w14:paraId="1AA8FDEE"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（三）委員洪孟楷等18人擬具「外役監條例第一條、第四條及第十八條條文修正草案」案。</w:t>
      </w:r>
    </w:p>
    <w:p w14:paraId="602262CF" w14:textId="77777777" w:rsidR="00421BB5" w:rsidRPr="005C1990" w:rsidRDefault="00421BB5" w:rsidP="00421BB5">
      <w:pPr>
        <w:snapToGrid w:val="0"/>
        <w:spacing w:beforeLines="50" w:before="180" w:line="340" w:lineRule="exact"/>
        <w:ind w:left="546" w:hangingChars="195" w:hanging="546"/>
        <w:contextualSpacing/>
        <w:jc w:val="both"/>
        <w:rPr>
          <w:rFonts w:ascii="標楷體" w:eastAsia="標楷體" w:hAnsi="標楷體"/>
          <w:sz w:val="28"/>
          <w:szCs w:val="28"/>
        </w:rPr>
      </w:pPr>
      <w:r w:rsidRPr="005C1990">
        <w:rPr>
          <w:rFonts w:ascii="標楷體" w:eastAsia="標楷體" w:hAnsi="標楷體" w:hint="eastAsia"/>
          <w:sz w:val="28"/>
          <w:szCs w:val="28"/>
        </w:rPr>
        <w:t>（四）委員高嘉瑜等17人擬具「外役監條例第四條條文修正草案」案。</w:t>
      </w:r>
    </w:p>
    <w:p w14:paraId="223586C1"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（五）委員廖婉汝等19人擬具「外役監條例第四條及第二十一條條文修正草案」案。</w:t>
      </w:r>
    </w:p>
    <w:p w14:paraId="7A7F4EA3"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（六）國民黨黨團擬具「外役監條例第四條條文修正草案」案。</w:t>
      </w:r>
    </w:p>
    <w:p w14:paraId="00F8A9B9"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（七）委員林思銘等16人擬具「外役監條例第四條條文修正草案」案。</w:t>
      </w:r>
    </w:p>
    <w:p w14:paraId="5E93BDE6"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（八）台灣民眾黨黨團擬具「外役監條例第四條及第二十一條條文修正草案」案。</w:t>
      </w:r>
    </w:p>
    <w:p w14:paraId="64E91A63"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（九）時代力量黨團擬具「外役監條例部分條文修正草案」案。</w:t>
      </w:r>
    </w:p>
    <w:p w14:paraId="5DA63A9B"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（十）委員游毓蘭等18人擬具「外役監條例第一條、第四條及第二十一條條文修正草案」案。</w:t>
      </w:r>
    </w:p>
    <w:p w14:paraId="4D2322B3"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（十一）委員張育美等18人擬具「外役監條例部分條文修正草案」案。</w:t>
      </w:r>
    </w:p>
    <w:p w14:paraId="57F7176D"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（十二）委員鄭天財</w:t>
      </w:r>
      <w:r>
        <w:rPr>
          <w:rFonts w:ascii="標楷體" w:eastAsia="標楷體" w:hAnsi="標楷體" w:hint="eastAsia"/>
          <w:sz w:val="28"/>
          <w:szCs w:val="28"/>
        </w:rPr>
        <w:t xml:space="preserve">Sra </w:t>
      </w:r>
      <w:r w:rsidRPr="005C1990">
        <w:rPr>
          <w:rFonts w:ascii="標楷體" w:eastAsia="標楷體" w:hAnsi="標楷體" w:hint="eastAsia"/>
          <w:sz w:val="28"/>
          <w:szCs w:val="28"/>
        </w:rPr>
        <w:t>Kacaw等19人擬具「外役監條例部分條文修正草案」案。</w:t>
      </w:r>
    </w:p>
    <w:p w14:paraId="3D4A87BD"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（十三）委員楊瓊瓔等17人擬具「外役監條例部分條文修正草案」案。</w:t>
      </w:r>
    </w:p>
    <w:p w14:paraId="6F464103" w14:textId="77777777" w:rsidR="00421BB5" w:rsidRPr="00F04909" w:rsidRDefault="00421BB5" w:rsidP="00421BB5">
      <w:pPr>
        <w:snapToGrid w:val="0"/>
        <w:spacing w:beforeLines="50" w:before="180" w:line="340" w:lineRule="exact"/>
        <w:ind w:left="854" w:hangingChars="305" w:hanging="854"/>
        <w:contextualSpacing/>
        <w:jc w:val="distribute"/>
        <w:rPr>
          <w:rFonts w:ascii="標楷體" w:eastAsia="標楷體" w:hAnsi="標楷體"/>
          <w:sz w:val="28"/>
          <w:szCs w:val="28"/>
        </w:rPr>
      </w:pPr>
      <w:r w:rsidRPr="005C1990">
        <w:rPr>
          <w:rFonts w:ascii="標楷體" w:eastAsia="標楷體" w:hAnsi="標楷體" w:hint="eastAsia"/>
          <w:sz w:val="28"/>
          <w:szCs w:val="28"/>
        </w:rPr>
        <w:t>（十四</w:t>
      </w:r>
      <w:r>
        <w:rPr>
          <w:rFonts w:ascii="標楷體" w:eastAsia="標楷體" w:hAnsi="標楷體"/>
          <w:sz w:val="28"/>
          <w:szCs w:val="28"/>
        </w:rPr>
        <w:t>）</w:t>
      </w:r>
      <w:r w:rsidRPr="005C1990">
        <w:rPr>
          <w:rFonts w:ascii="標楷體" w:eastAsia="標楷體" w:hAnsi="標楷體" w:hint="eastAsia"/>
          <w:sz w:val="28"/>
          <w:szCs w:val="28"/>
        </w:rPr>
        <w:t>委</w:t>
      </w:r>
      <w:r w:rsidRPr="005C1990">
        <w:rPr>
          <w:rFonts w:ascii="標楷體" w:eastAsia="標楷體" w:hAnsi="標楷體" w:hint="eastAsia"/>
          <w:spacing w:val="-20"/>
          <w:sz w:val="28"/>
          <w:szCs w:val="28"/>
        </w:rPr>
        <w:t>員賴瑞隆等22人擬具「外役監條例第四條條文修正草案」案。</w:t>
      </w:r>
    </w:p>
    <w:p w14:paraId="75390ABF"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（十五）委員羅致政等17人擬具「外役監條例部分條文修正草案」案。</w:t>
      </w:r>
    </w:p>
    <w:p w14:paraId="285E2891"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（十六）委員林宜瑾等18人擬具「外役監條例第二十一條條文修正草案」案。</w:t>
      </w:r>
    </w:p>
    <w:p w14:paraId="3F46FACC" w14:textId="77777777" w:rsidR="00421BB5" w:rsidRPr="005C1990" w:rsidRDefault="00421BB5" w:rsidP="00421BB5">
      <w:pPr>
        <w:snapToGrid w:val="0"/>
        <w:spacing w:beforeLines="50" w:before="180" w:line="340" w:lineRule="exact"/>
        <w:ind w:left="854" w:hangingChars="305" w:hanging="854"/>
        <w:contextualSpacing/>
        <w:jc w:val="distribute"/>
        <w:rPr>
          <w:rFonts w:ascii="標楷體" w:eastAsia="標楷體" w:hAnsi="標楷體"/>
          <w:sz w:val="28"/>
          <w:szCs w:val="28"/>
        </w:rPr>
      </w:pPr>
      <w:r w:rsidRPr="005C1990">
        <w:rPr>
          <w:rFonts w:ascii="標楷體" w:eastAsia="標楷體" w:hAnsi="標楷體" w:hint="eastAsia"/>
          <w:sz w:val="28"/>
          <w:szCs w:val="28"/>
        </w:rPr>
        <w:t>（十七）</w:t>
      </w:r>
      <w:r w:rsidRPr="005C1990">
        <w:rPr>
          <w:rFonts w:ascii="標楷體" w:eastAsia="標楷體" w:hAnsi="標楷體" w:hint="eastAsia"/>
          <w:spacing w:val="-20"/>
          <w:sz w:val="28"/>
          <w:szCs w:val="28"/>
        </w:rPr>
        <w:t>委員莊瑞雄等</w:t>
      </w:r>
      <w:r w:rsidRPr="005C1990">
        <w:rPr>
          <w:rFonts w:ascii="標楷體" w:eastAsia="標楷體" w:hAnsi="標楷體"/>
          <w:spacing w:val="-20"/>
          <w:sz w:val="28"/>
          <w:szCs w:val="28"/>
        </w:rPr>
        <w:t>16</w:t>
      </w:r>
      <w:r w:rsidRPr="005C1990">
        <w:rPr>
          <w:rFonts w:ascii="標楷體" w:eastAsia="標楷體" w:hAnsi="標楷體" w:hint="eastAsia"/>
          <w:spacing w:val="-20"/>
          <w:sz w:val="28"/>
          <w:szCs w:val="28"/>
        </w:rPr>
        <w:t>人擬具「外役監條例第四條條文修正草案」案。</w:t>
      </w:r>
    </w:p>
    <w:p w14:paraId="21103FD3"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（十八）委員陳秀寳等</w:t>
      </w:r>
      <w:r w:rsidRPr="005C1990">
        <w:rPr>
          <w:rFonts w:ascii="標楷體" w:eastAsia="標楷體" w:hAnsi="標楷體"/>
          <w:sz w:val="28"/>
          <w:szCs w:val="28"/>
        </w:rPr>
        <w:t>17</w:t>
      </w:r>
      <w:r w:rsidRPr="005C1990">
        <w:rPr>
          <w:rFonts w:ascii="標楷體" w:eastAsia="標楷體" w:hAnsi="標楷體" w:hint="eastAsia"/>
          <w:sz w:val="28"/>
          <w:szCs w:val="28"/>
        </w:rPr>
        <w:t>人擬具「外役監條例部分條文修正草案」案。</w:t>
      </w:r>
    </w:p>
    <w:p w14:paraId="076D41B8"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（十九）委員黃國書等</w:t>
      </w:r>
      <w:r w:rsidRPr="005C1990">
        <w:rPr>
          <w:rFonts w:ascii="標楷體" w:eastAsia="標楷體" w:hAnsi="標楷體"/>
          <w:sz w:val="28"/>
          <w:szCs w:val="28"/>
        </w:rPr>
        <w:t>17</w:t>
      </w:r>
      <w:r w:rsidRPr="005C1990">
        <w:rPr>
          <w:rFonts w:ascii="標楷體" w:eastAsia="標楷體" w:hAnsi="標楷體" w:hint="eastAsia"/>
          <w:sz w:val="28"/>
          <w:szCs w:val="28"/>
        </w:rPr>
        <w:t>人擬具「外役監條例部分條文修正草案」案。</w:t>
      </w:r>
    </w:p>
    <w:p w14:paraId="057EEEF0" w14:textId="77777777" w:rsidR="00421BB5" w:rsidRPr="005C1990" w:rsidRDefault="00421BB5" w:rsidP="00421BB5">
      <w:pPr>
        <w:snapToGrid w:val="0"/>
        <w:spacing w:beforeLines="50" w:before="180" w:line="340" w:lineRule="exact"/>
        <w:ind w:left="854" w:hangingChars="305" w:hanging="854"/>
        <w:contextualSpacing/>
        <w:jc w:val="distribute"/>
        <w:rPr>
          <w:rFonts w:ascii="標楷體" w:eastAsia="標楷體" w:hAnsi="標楷體"/>
          <w:sz w:val="28"/>
          <w:szCs w:val="28"/>
        </w:rPr>
      </w:pPr>
      <w:r w:rsidRPr="005C1990">
        <w:rPr>
          <w:rFonts w:ascii="標楷體" w:eastAsia="標楷體" w:hAnsi="標楷體" w:hint="eastAsia"/>
          <w:sz w:val="28"/>
          <w:szCs w:val="28"/>
        </w:rPr>
        <w:t>（二十）</w:t>
      </w:r>
      <w:r w:rsidRPr="005C1990">
        <w:rPr>
          <w:rFonts w:ascii="標楷體" w:eastAsia="標楷體" w:hAnsi="標楷體" w:hint="eastAsia"/>
          <w:spacing w:val="-20"/>
          <w:sz w:val="28"/>
          <w:szCs w:val="28"/>
        </w:rPr>
        <w:t>委員湯蕙禎等</w:t>
      </w:r>
      <w:r w:rsidRPr="005C1990">
        <w:rPr>
          <w:rFonts w:ascii="標楷體" w:eastAsia="標楷體" w:hAnsi="標楷體"/>
          <w:spacing w:val="-20"/>
          <w:sz w:val="28"/>
          <w:szCs w:val="28"/>
        </w:rPr>
        <w:t>18</w:t>
      </w:r>
      <w:r w:rsidRPr="005C1990">
        <w:rPr>
          <w:rFonts w:ascii="標楷體" w:eastAsia="標楷體" w:hAnsi="標楷體" w:hint="eastAsia"/>
          <w:spacing w:val="-20"/>
          <w:sz w:val="28"/>
          <w:szCs w:val="28"/>
        </w:rPr>
        <w:t>人擬具「外役監條例第四條條文修正草案」案。</w:t>
      </w:r>
    </w:p>
    <w:p w14:paraId="71A11E6A"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（二十一）委員江永昌等</w:t>
      </w:r>
      <w:r w:rsidRPr="005C1990">
        <w:rPr>
          <w:rFonts w:ascii="標楷體" w:eastAsia="標楷體" w:hAnsi="標楷體"/>
          <w:sz w:val="28"/>
          <w:szCs w:val="28"/>
        </w:rPr>
        <w:t>17</w:t>
      </w:r>
      <w:r w:rsidRPr="005C1990">
        <w:rPr>
          <w:rFonts w:ascii="標楷體" w:eastAsia="標楷體" w:hAnsi="標楷體" w:hint="eastAsia"/>
          <w:sz w:val="28"/>
          <w:szCs w:val="28"/>
        </w:rPr>
        <w:t>人擬具「外役監條例第二十一條條文修正草案」案。</w:t>
      </w:r>
    </w:p>
    <w:p w14:paraId="4D18AF4F" w14:textId="77777777" w:rsidR="00421BB5" w:rsidRPr="005C1990" w:rsidRDefault="00421BB5" w:rsidP="00421BB5">
      <w:pPr>
        <w:snapToGrid w:val="0"/>
        <w:spacing w:beforeLines="50" w:before="180" w:line="340" w:lineRule="exact"/>
        <w:ind w:left="854" w:hangingChars="305" w:hanging="854"/>
        <w:contextualSpacing/>
        <w:jc w:val="both"/>
        <w:rPr>
          <w:rFonts w:ascii="標楷體" w:eastAsia="標楷體" w:hAnsi="標楷體"/>
          <w:sz w:val="28"/>
          <w:szCs w:val="28"/>
        </w:rPr>
      </w:pPr>
      <w:r w:rsidRPr="005C1990">
        <w:rPr>
          <w:rFonts w:ascii="標楷體" w:eastAsia="標楷體" w:hAnsi="標楷體" w:hint="eastAsia"/>
          <w:sz w:val="28"/>
          <w:szCs w:val="28"/>
        </w:rPr>
        <w:t>（二十二）委員林昶佐等</w:t>
      </w:r>
      <w:r w:rsidRPr="005C1990">
        <w:rPr>
          <w:rFonts w:ascii="標楷體" w:eastAsia="標楷體" w:hAnsi="標楷體"/>
          <w:sz w:val="28"/>
          <w:szCs w:val="28"/>
        </w:rPr>
        <w:t>16</w:t>
      </w:r>
      <w:r w:rsidRPr="005C1990">
        <w:rPr>
          <w:rFonts w:ascii="標楷體" w:eastAsia="標楷體" w:hAnsi="標楷體" w:hint="eastAsia"/>
          <w:sz w:val="28"/>
          <w:szCs w:val="28"/>
        </w:rPr>
        <w:t>人擬具「外役監條例第四條及第二十一條</w:t>
      </w:r>
      <w:r w:rsidRPr="005C1990">
        <w:rPr>
          <w:rFonts w:ascii="標楷體" w:eastAsia="標楷體" w:hAnsi="標楷體" w:hint="eastAsia"/>
          <w:sz w:val="28"/>
          <w:szCs w:val="28"/>
        </w:rPr>
        <w:lastRenderedPageBreak/>
        <w:t>條文修正草案」案。</w:t>
      </w:r>
    </w:p>
    <w:p w14:paraId="470A4BA1" w14:textId="77777777" w:rsidR="00421BB5" w:rsidRDefault="00421BB5" w:rsidP="00421BB5">
      <w:pPr>
        <w:snapToGrid w:val="0"/>
        <w:spacing w:beforeLines="50" w:before="180" w:line="340" w:lineRule="exact"/>
        <w:ind w:left="854" w:hangingChars="305" w:hanging="854"/>
        <w:contextualSpacing/>
        <w:jc w:val="distribute"/>
        <w:rPr>
          <w:rFonts w:ascii="標楷體" w:eastAsia="標楷體" w:hAnsi="標楷體"/>
          <w:sz w:val="28"/>
          <w:szCs w:val="28"/>
        </w:rPr>
      </w:pPr>
      <w:r w:rsidRPr="005C1990">
        <w:rPr>
          <w:rFonts w:ascii="標楷體" w:eastAsia="標楷體" w:hAnsi="標楷體" w:hint="eastAsia"/>
          <w:sz w:val="28"/>
          <w:szCs w:val="28"/>
        </w:rPr>
        <w:t>（二十三）</w:t>
      </w:r>
      <w:r w:rsidRPr="005C1990">
        <w:rPr>
          <w:rFonts w:ascii="標楷體" w:eastAsia="標楷體" w:hAnsi="標楷體" w:hint="eastAsia"/>
          <w:spacing w:val="-20"/>
          <w:sz w:val="28"/>
          <w:szCs w:val="28"/>
        </w:rPr>
        <w:t>委員王定宇等</w:t>
      </w:r>
      <w:r w:rsidRPr="005C1990">
        <w:rPr>
          <w:rFonts w:ascii="標楷體" w:eastAsia="標楷體" w:hAnsi="標楷體"/>
          <w:spacing w:val="-20"/>
          <w:sz w:val="28"/>
          <w:szCs w:val="28"/>
        </w:rPr>
        <w:t>17</w:t>
      </w:r>
      <w:r w:rsidRPr="005C1990">
        <w:rPr>
          <w:rFonts w:ascii="標楷體" w:eastAsia="標楷體" w:hAnsi="標楷體" w:hint="eastAsia"/>
          <w:spacing w:val="-20"/>
          <w:sz w:val="28"/>
          <w:szCs w:val="28"/>
        </w:rPr>
        <w:t>人擬具「外役監條例部分條文修正草案」案。</w:t>
      </w:r>
    </w:p>
    <w:p w14:paraId="710448D6" w14:textId="77777777" w:rsidR="00421BB5" w:rsidRDefault="00421BB5" w:rsidP="00421BB5">
      <w:pPr>
        <w:overflowPunct w:val="0"/>
        <w:adjustRightInd w:val="0"/>
        <w:snapToGrid w:val="0"/>
        <w:spacing w:line="360" w:lineRule="exact"/>
        <w:ind w:left="560" w:rightChars="-49" w:right="-118" w:hangingChars="200" w:hanging="560"/>
        <w:jc w:val="both"/>
        <w:rPr>
          <w:rFonts w:ascii="標楷體" w:eastAsia="標楷體" w:hAnsi="標楷體"/>
          <w:sz w:val="28"/>
          <w:szCs w:val="28"/>
        </w:rPr>
      </w:pPr>
      <w:r w:rsidRPr="00C0164B">
        <w:rPr>
          <w:rFonts w:ascii="標楷體" w:eastAsia="標楷體" w:hAnsi="標楷體" w:hint="eastAsia"/>
          <w:sz w:val="28"/>
          <w:szCs w:val="28"/>
        </w:rPr>
        <w:t>（</w:t>
      </w:r>
      <w:r w:rsidRPr="005C1990">
        <w:rPr>
          <w:rFonts w:ascii="標楷體" w:eastAsia="標楷體" w:hAnsi="標楷體" w:hint="eastAsia"/>
          <w:sz w:val="28"/>
          <w:szCs w:val="28"/>
        </w:rPr>
        <w:t>本次會議有委員游毓蘭、陳歐珀、黃世杰、鄭運鵬、</w:t>
      </w:r>
      <w:r>
        <w:rPr>
          <w:rFonts w:ascii="標楷體" w:eastAsia="標楷體" w:hAnsi="標楷體" w:hint="eastAsia"/>
          <w:sz w:val="28"/>
          <w:szCs w:val="28"/>
        </w:rPr>
        <w:t>陳靜敏、</w:t>
      </w:r>
      <w:r w:rsidRPr="005C1990">
        <w:rPr>
          <w:rFonts w:ascii="標楷體" w:eastAsia="標楷體" w:hAnsi="標楷體" w:hint="eastAsia"/>
          <w:sz w:val="28"/>
          <w:szCs w:val="28"/>
        </w:rPr>
        <w:t>陳以信</w:t>
      </w:r>
      <w:r>
        <w:rPr>
          <w:rFonts w:ascii="標楷體" w:eastAsia="標楷體" w:hAnsi="標楷體" w:hint="eastAsia"/>
          <w:sz w:val="28"/>
          <w:szCs w:val="28"/>
        </w:rPr>
        <w:t>、</w:t>
      </w:r>
    </w:p>
    <w:p w14:paraId="4C6B226B" w14:textId="77777777" w:rsidR="00421BB5" w:rsidRDefault="00421BB5" w:rsidP="00421BB5">
      <w:pPr>
        <w:overflowPunct w:val="0"/>
        <w:adjustRightInd w:val="0"/>
        <w:snapToGrid w:val="0"/>
        <w:spacing w:line="360" w:lineRule="exact"/>
        <w:ind w:leftChars="60" w:left="558" w:rightChars="-49" w:right="-118" w:hangingChars="148" w:hanging="414"/>
        <w:jc w:val="both"/>
        <w:rPr>
          <w:rFonts w:ascii="標楷體" w:eastAsia="標楷體" w:hAnsi="標楷體"/>
          <w:sz w:val="28"/>
          <w:szCs w:val="28"/>
        </w:rPr>
      </w:pPr>
      <w:r>
        <w:rPr>
          <w:rFonts w:ascii="標楷體" w:eastAsia="標楷體" w:hAnsi="標楷體" w:hint="eastAsia"/>
          <w:sz w:val="28"/>
          <w:szCs w:val="28"/>
        </w:rPr>
        <w:t>江永昌、陳玉珍、曾銘宗、邱顯智</w:t>
      </w:r>
      <w:r w:rsidRPr="005C1990">
        <w:rPr>
          <w:rFonts w:ascii="標楷體" w:eastAsia="標楷體" w:hAnsi="標楷體" w:hint="eastAsia"/>
          <w:sz w:val="28"/>
          <w:szCs w:val="28"/>
        </w:rPr>
        <w:t>、</w:t>
      </w:r>
      <w:r>
        <w:rPr>
          <w:rFonts w:ascii="標楷體" w:eastAsia="標楷體" w:hAnsi="標楷體" w:hint="eastAsia"/>
          <w:sz w:val="28"/>
          <w:szCs w:val="28"/>
        </w:rPr>
        <w:t>楊瓊瓔、</w:t>
      </w:r>
      <w:r w:rsidRPr="00C330FC">
        <w:rPr>
          <w:rFonts w:ascii="標楷體" w:eastAsia="標楷體" w:hAnsi="標楷體"/>
          <w:spacing w:val="-20"/>
          <w:w w:val="98"/>
          <w:sz w:val="28"/>
          <w:szCs w:val="28"/>
        </w:rPr>
        <w:t>鄭天財Sra</w:t>
      </w:r>
      <w:r w:rsidRPr="00C330FC">
        <w:rPr>
          <w:rFonts w:ascii="標楷體" w:eastAsia="標楷體" w:hAnsi="標楷體" w:hint="eastAsia"/>
          <w:spacing w:val="-20"/>
          <w:w w:val="98"/>
          <w:sz w:val="28"/>
          <w:szCs w:val="28"/>
        </w:rPr>
        <w:t xml:space="preserve"> </w:t>
      </w:r>
      <w:r w:rsidRPr="00C330FC">
        <w:rPr>
          <w:rFonts w:ascii="標楷體" w:eastAsia="標楷體" w:hAnsi="標楷體"/>
          <w:spacing w:val="-20"/>
          <w:w w:val="98"/>
          <w:sz w:val="28"/>
          <w:szCs w:val="28"/>
        </w:rPr>
        <w:t>Kacaw</w:t>
      </w:r>
      <w:r>
        <w:rPr>
          <w:rFonts w:ascii="標楷體" w:eastAsia="標楷體" w:hAnsi="標楷體" w:hint="eastAsia"/>
          <w:spacing w:val="-20"/>
          <w:w w:val="98"/>
          <w:sz w:val="28"/>
          <w:szCs w:val="28"/>
        </w:rPr>
        <w:t>、</w:t>
      </w:r>
      <w:r w:rsidRPr="006C64F1">
        <w:rPr>
          <w:rFonts w:ascii="標楷體" w:eastAsia="標楷體" w:hAnsi="標楷體"/>
          <w:sz w:val="28"/>
          <w:szCs w:val="28"/>
        </w:rPr>
        <w:t>湯蕙禎</w:t>
      </w:r>
      <w:r>
        <w:rPr>
          <w:rFonts w:ascii="標楷體" w:eastAsia="標楷體" w:hAnsi="標楷體" w:hint="eastAsia"/>
          <w:sz w:val="28"/>
          <w:szCs w:val="28"/>
        </w:rPr>
        <w:t>、</w:t>
      </w:r>
    </w:p>
    <w:p w14:paraId="45143345" w14:textId="77777777" w:rsidR="00421BB5" w:rsidRPr="00B92048" w:rsidRDefault="00421BB5" w:rsidP="00421BB5">
      <w:pPr>
        <w:overflowPunct w:val="0"/>
        <w:adjustRightInd w:val="0"/>
        <w:snapToGrid w:val="0"/>
        <w:spacing w:line="360" w:lineRule="exact"/>
        <w:ind w:leftChars="59" w:left="559" w:rightChars="-49" w:right="-118" w:hangingChars="149" w:hanging="417"/>
        <w:jc w:val="both"/>
        <w:rPr>
          <w:rFonts w:eastAsia="標楷體"/>
          <w:sz w:val="28"/>
        </w:rPr>
      </w:pPr>
      <w:r w:rsidRPr="005C1990">
        <w:rPr>
          <w:rFonts w:ascii="標楷體" w:eastAsia="標楷體" w:hAnsi="標楷體" w:hint="eastAsia"/>
          <w:sz w:val="28"/>
          <w:szCs w:val="28"/>
        </w:rPr>
        <w:t>陳椒華</w:t>
      </w:r>
      <w:r>
        <w:rPr>
          <w:rFonts w:ascii="標楷體" w:eastAsia="標楷體" w:hAnsi="標楷體" w:hint="eastAsia"/>
          <w:sz w:val="28"/>
          <w:szCs w:val="28"/>
        </w:rPr>
        <w:t>、劉建國</w:t>
      </w:r>
      <w:r w:rsidRPr="005C1990">
        <w:rPr>
          <w:rFonts w:ascii="標楷體" w:eastAsia="標楷體" w:hAnsi="標楷體" w:hint="eastAsia"/>
          <w:sz w:val="28"/>
          <w:szCs w:val="28"/>
        </w:rPr>
        <w:t>提出質詢</w:t>
      </w:r>
      <w:r>
        <w:rPr>
          <w:rFonts w:ascii="標楷體" w:eastAsia="標楷體" w:hAnsi="標楷體" w:hint="eastAsia"/>
          <w:sz w:val="28"/>
          <w:szCs w:val="28"/>
        </w:rPr>
        <w:t>；委員林思銘、楊瓊瓔</w:t>
      </w:r>
      <w:r w:rsidRPr="008159C7">
        <w:rPr>
          <w:rFonts w:ascii="標楷體" w:eastAsia="標楷體" w:hAnsi="標楷體" w:hint="eastAsia"/>
          <w:sz w:val="28"/>
          <w:szCs w:val="28"/>
        </w:rPr>
        <w:t>提</w:t>
      </w:r>
      <w:r>
        <w:rPr>
          <w:rFonts w:ascii="標楷體" w:eastAsia="標楷體" w:hAnsi="標楷體" w:hint="eastAsia"/>
          <w:sz w:val="28"/>
          <w:szCs w:val="28"/>
        </w:rPr>
        <w:t>出書面質詢。</w:t>
      </w:r>
      <w:r w:rsidRPr="00C0164B">
        <w:rPr>
          <w:rFonts w:ascii="標楷體" w:eastAsia="標楷體" w:hAnsi="標楷體" w:hint="eastAsia"/>
          <w:sz w:val="28"/>
          <w:szCs w:val="28"/>
        </w:rPr>
        <w:t>）</w:t>
      </w:r>
    </w:p>
    <w:p w14:paraId="32FFB416" w14:textId="77777777" w:rsidR="00421BB5" w:rsidRDefault="00421BB5" w:rsidP="00421BB5">
      <w:pPr>
        <w:spacing w:line="360" w:lineRule="exact"/>
        <w:contextualSpacing/>
        <w:jc w:val="both"/>
        <w:rPr>
          <w:rFonts w:ascii="標楷體" w:eastAsia="標楷體" w:hAnsi="標楷體"/>
          <w:kern w:val="0"/>
          <w:sz w:val="28"/>
          <w:szCs w:val="28"/>
          <w:lang w:val="x-none"/>
        </w:rPr>
      </w:pPr>
      <w:r w:rsidRPr="00CD5F2E">
        <w:rPr>
          <w:rFonts w:eastAsia="標楷體" w:hint="eastAsia"/>
          <w:kern w:val="0"/>
          <w:sz w:val="28"/>
          <w:szCs w:val="28"/>
        </w:rPr>
        <w:t>決議</w:t>
      </w:r>
      <w:r w:rsidRPr="00CD5F2E">
        <w:rPr>
          <w:rFonts w:ascii="標楷體" w:eastAsia="標楷體" w:hAnsi="標楷體" w:hint="eastAsia"/>
          <w:kern w:val="0"/>
          <w:sz w:val="28"/>
          <w:szCs w:val="28"/>
          <w:lang w:val="x-none"/>
        </w:rPr>
        <w:t>：</w:t>
      </w:r>
    </w:p>
    <w:p w14:paraId="16AC778D" w14:textId="77777777" w:rsidR="00421BB5" w:rsidRDefault="00421BB5" w:rsidP="00421BB5">
      <w:pPr>
        <w:spacing w:line="360" w:lineRule="exact"/>
        <w:contextualSpacing/>
        <w:jc w:val="both"/>
        <w:rPr>
          <w:rFonts w:ascii="標楷體" w:eastAsia="標楷體" w:hAnsi="標楷體"/>
          <w:spacing w:val="-6"/>
          <w:sz w:val="28"/>
          <w:szCs w:val="28"/>
        </w:rPr>
      </w:pPr>
      <w:r>
        <w:rPr>
          <w:rFonts w:ascii="標楷體" w:eastAsia="標楷體" w:hAnsi="標楷體"/>
          <w:sz w:val="28"/>
          <w:szCs w:val="28"/>
        </w:rPr>
        <w:t>一</w:t>
      </w:r>
      <w:r>
        <w:rPr>
          <w:rFonts w:ascii="標楷體" w:eastAsia="標楷體" w:hAnsi="標楷體"/>
          <w:spacing w:val="-6"/>
          <w:sz w:val="28"/>
          <w:szCs w:val="28"/>
        </w:rPr>
        <w:t>、</w:t>
      </w:r>
      <w:r>
        <w:rPr>
          <w:rFonts w:ascii="標楷體" w:eastAsia="標楷體" w:hAnsi="標楷體"/>
          <w:sz w:val="28"/>
          <w:szCs w:val="28"/>
        </w:rPr>
        <w:t>報告</w:t>
      </w:r>
      <w:r>
        <w:rPr>
          <w:rFonts w:ascii="標楷體" w:eastAsia="標楷體" w:hAnsi="標楷體" w:hint="eastAsia"/>
          <w:sz w:val="28"/>
          <w:szCs w:val="28"/>
        </w:rPr>
        <w:t>及</w:t>
      </w:r>
      <w:r>
        <w:rPr>
          <w:rFonts w:ascii="標楷體" w:eastAsia="標楷體" w:hAnsi="標楷體"/>
          <w:sz w:val="28"/>
          <w:szCs w:val="28"/>
        </w:rPr>
        <w:t>詢答完畢</w:t>
      </w:r>
      <w:r>
        <w:rPr>
          <w:rFonts w:ascii="標楷體" w:eastAsia="標楷體" w:hAnsi="標楷體" w:hint="eastAsia"/>
          <w:spacing w:val="-6"/>
          <w:sz w:val="28"/>
          <w:szCs w:val="28"/>
        </w:rPr>
        <w:t>。</w:t>
      </w:r>
    </w:p>
    <w:p w14:paraId="7173219B" w14:textId="77777777" w:rsidR="00421BB5" w:rsidRDefault="00421BB5" w:rsidP="00421BB5">
      <w:pPr>
        <w:spacing w:line="360" w:lineRule="exact"/>
        <w:ind w:left="517" w:hangingChars="193" w:hanging="517"/>
        <w:contextualSpacing/>
        <w:jc w:val="both"/>
        <w:rPr>
          <w:rFonts w:ascii="標楷體" w:eastAsia="標楷體" w:hAnsi="標楷體"/>
          <w:spacing w:val="-6"/>
          <w:sz w:val="28"/>
          <w:szCs w:val="28"/>
        </w:rPr>
      </w:pPr>
      <w:r>
        <w:rPr>
          <w:rFonts w:ascii="標楷體" w:eastAsia="標楷體" w:hAnsi="標楷體" w:hint="eastAsia"/>
          <w:spacing w:val="-6"/>
          <w:sz w:val="28"/>
          <w:szCs w:val="28"/>
        </w:rPr>
        <w:t>二</w:t>
      </w:r>
      <w:r>
        <w:rPr>
          <w:rFonts w:ascii="標楷體" w:eastAsia="標楷體" w:hAnsi="標楷體"/>
          <w:spacing w:val="-6"/>
          <w:sz w:val="28"/>
          <w:szCs w:val="28"/>
        </w:rPr>
        <w:t>、</w:t>
      </w:r>
      <w:r>
        <w:rPr>
          <w:rFonts w:ascii="標楷體" w:eastAsia="標楷體" w:hAnsi="標楷體" w:hint="eastAsia"/>
          <w:spacing w:val="-6"/>
          <w:sz w:val="28"/>
          <w:szCs w:val="28"/>
        </w:rPr>
        <w:t>廢止</w:t>
      </w:r>
      <w:r w:rsidRPr="009C3CD5">
        <w:rPr>
          <w:rFonts w:ascii="標楷體" w:eastAsia="標楷體" w:hAnsi="標楷體" w:hint="eastAsia"/>
          <w:sz w:val="28"/>
          <w:szCs w:val="28"/>
        </w:rPr>
        <w:t>「</w:t>
      </w:r>
      <w:r w:rsidRPr="005C1990">
        <w:rPr>
          <w:rFonts w:ascii="標楷體" w:eastAsia="標楷體" w:hAnsi="標楷體" w:hint="eastAsia"/>
          <w:sz w:val="28"/>
          <w:szCs w:val="28"/>
        </w:rPr>
        <w:t>少年輔育院條例</w:t>
      </w:r>
      <w:r w:rsidRPr="009C3CD5">
        <w:rPr>
          <w:rFonts w:ascii="標楷體" w:eastAsia="標楷體" w:hAnsi="標楷體" w:hint="eastAsia"/>
          <w:sz w:val="28"/>
          <w:szCs w:val="28"/>
        </w:rPr>
        <w:t>」</w:t>
      </w:r>
      <w:r>
        <w:rPr>
          <w:rFonts w:ascii="標楷體" w:eastAsia="標楷體" w:hAnsi="標楷體" w:hint="eastAsia"/>
          <w:sz w:val="28"/>
          <w:szCs w:val="28"/>
        </w:rPr>
        <w:t>等2案</w:t>
      </w:r>
      <w:r w:rsidRPr="002A68D9">
        <w:rPr>
          <w:rFonts w:ascii="標楷體" w:eastAsia="標楷體" w:hAnsi="標楷體" w:hint="eastAsia"/>
          <w:sz w:val="28"/>
          <w:szCs w:val="28"/>
        </w:rPr>
        <w:t>：</w:t>
      </w:r>
      <w:r w:rsidRPr="00B70FC3">
        <w:rPr>
          <w:rFonts w:ascii="標楷體" w:eastAsia="標楷體" w:hAnsi="標楷體" w:hint="eastAsia"/>
          <w:sz w:val="28"/>
          <w:szCs w:val="28"/>
        </w:rPr>
        <w:t>同意予以廢止；審查完竣，擬具審查報告，提請院會公決；不須交由黨團協商；院會討論時，</w:t>
      </w:r>
      <w:r>
        <w:rPr>
          <w:rFonts w:ascii="標楷體" w:eastAsia="標楷體" w:hAnsi="標楷體" w:hint="eastAsia"/>
          <w:sz w:val="28"/>
          <w:szCs w:val="28"/>
        </w:rPr>
        <w:t>由陳召集委員歐珀</w:t>
      </w:r>
      <w:r w:rsidRPr="00B70FC3">
        <w:rPr>
          <w:rFonts w:ascii="標楷體" w:eastAsia="標楷體" w:hAnsi="標楷體" w:hint="eastAsia"/>
          <w:sz w:val="28"/>
          <w:szCs w:val="28"/>
        </w:rPr>
        <w:t>出席說明。</w:t>
      </w:r>
    </w:p>
    <w:p w14:paraId="68DD18CA" w14:textId="77777777" w:rsidR="00421BB5" w:rsidRDefault="00421BB5" w:rsidP="00421BB5">
      <w:pPr>
        <w:spacing w:line="360" w:lineRule="exact"/>
        <w:ind w:left="517" w:hangingChars="193" w:hanging="517"/>
        <w:contextualSpacing/>
        <w:jc w:val="both"/>
        <w:rPr>
          <w:rFonts w:ascii="標楷體" w:eastAsia="標楷體" w:hAnsi="標楷體"/>
          <w:spacing w:val="-6"/>
          <w:sz w:val="28"/>
          <w:szCs w:val="28"/>
        </w:rPr>
      </w:pPr>
      <w:r>
        <w:rPr>
          <w:rFonts w:ascii="標楷體" w:eastAsia="標楷體" w:hAnsi="標楷體" w:hint="eastAsia"/>
          <w:spacing w:val="-6"/>
          <w:sz w:val="28"/>
          <w:szCs w:val="28"/>
        </w:rPr>
        <w:t>三</w:t>
      </w:r>
      <w:r>
        <w:rPr>
          <w:rFonts w:ascii="標楷體" w:eastAsia="標楷體" w:hAnsi="標楷體"/>
          <w:spacing w:val="-6"/>
          <w:sz w:val="28"/>
          <w:szCs w:val="28"/>
        </w:rPr>
        <w:t>、</w:t>
      </w:r>
      <w:r w:rsidRPr="00661A03">
        <w:rPr>
          <w:rFonts w:ascii="標楷體" w:eastAsia="標楷體" w:hAnsi="標楷體" w:hint="eastAsia"/>
          <w:spacing w:val="-6"/>
          <w:sz w:val="28"/>
          <w:szCs w:val="28"/>
        </w:rPr>
        <w:t>廢止「考銓處組織條例」等3案：同意予以廢止；審查完竣，擬具審查報告，提請院會公決；不須交由黨團協商；院會討論時，由</w:t>
      </w:r>
      <w:r>
        <w:rPr>
          <w:rFonts w:ascii="標楷體" w:eastAsia="標楷體" w:hAnsi="標楷體" w:hint="eastAsia"/>
          <w:sz w:val="28"/>
          <w:szCs w:val="28"/>
        </w:rPr>
        <w:t>陳召集委員歐珀</w:t>
      </w:r>
      <w:r w:rsidRPr="00661A03">
        <w:rPr>
          <w:rFonts w:ascii="標楷體" w:eastAsia="標楷體" w:hAnsi="標楷體" w:hint="eastAsia"/>
          <w:spacing w:val="-6"/>
          <w:sz w:val="28"/>
          <w:szCs w:val="28"/>
        </w:rPr>
        <w:t>出席說明。</w:t>
      </w:r>
    </w:p>
    <w:p w14:paraId="050CE35D" w14:textId="77777777" w:rsidR="00421BB5" w:rsidRDefault="00421BB5" w:rsidP="00421BB5">
      <w:pPr>
        <w:spacing w:line="360" w:lineRule="exact"/>
        <w:ind w:left="517" w:hangingChars="193" w:hanging="517"/>
        <w:contextualSpacing/>
        <w:jc w:val="both"/>
        <w:rPr>
          <w:rFonts w:ascii="標楷體" w:eastAsia="標楷體" w:hAnsi="標楷體"/>
          <w:spacing w:val="-6"/>
          <w:sz w:val="28"/>
          <w:szCs w:val="28"/>
        </w:rPr>
      </w:pPr>
      <w:r>
        <w:rPr>
          <w:rFonts w:ascii="標楷體" w:eastAsia="標楷體" w:hAnsi="標楷體" w:hint="eastAsia"/>
          <w:spacing w:val="-6"/>
          <w:sz w:val="28"/>
          <w:szCs w:val="28"/>
        </w:rPr>
        <w:t>四、</w:t>
      </w:r>
      <w:r w:rsidRPr="00661A03">
        <w:rPr>
          <w:rFonts w:ascii="標楷體" w:eastAsia="標楷體" w:hAnsi="標楷體" w:hint="eastAsia"/>
          <w:spacing w:val="-6"/>
          <w:sz w:val="28"/>
          <w:szCs w:val="28"/>
        </w:rPr>
        <w:t>廢止「</w:t>
      </w:r>
      <w:r w:rsidRPr="005C1990">
        <w:rPr>
          <w:rFonts w:ascii="標楷體" w:eastAsia="標楷體" w:hAnsi="標楷體" w:hint="eastAsia"/>
          <w:sz w:val="28"/>
          <w:szCs w:val="28"/>
        </w:rPr>
        <w:t>監察院監察委員行署組織條例</w:t>
      </w:r>
      <w:r w:rsidRPr="00661A03">
        <w:rPr>
          <w:rFonts w:ascii="標楷體" w:eastAsia="標楷體" w:hAnsi="標楷體" w:hint="eastAsia"/>
          <w:spacing w:val="-6"/>
          <w:sz w:val="28"/>
          <w:szCs w:val="28"/>
        </w:rPr>
        <w:t>」等3案：同意予以廢止；審查完竣，擬具審查報告，提請院會公決；不須交由黨團協商；院會討論時，由</w:t>
      </w:r>
      <w:r>
        <w:rPr>
          <w:rFonts w:ascii="標楷體" w:eastAsia="標楷體" w:hAnsi="標楷體" w:hint="eastAsia"/>
          <w:sz w:val="28"/>
          <w:szCs w:val="28"/>
        </w:rPr>
        <w:t>陳召集委員歐珀</w:t>
      </w:r>
      <w:r w:rsidRPr="00661A03">
        <w:rPr>
          <w:rFonts w:ascii="標楷體" w:eastAsia="標楷體" w:hAnsi="標楷體" w:hint="eastAsia"/>
          <w:spacing w:val="-6"/>
          <w:sz w:val="28"/>
          <w:szCs w:val="28"/>
        </w:rPr>
        <w:t>出席說明。</w:t>
      </w:r>
    </w:p>
    <w:p w14:paraId="5A7B226D" w14:textId="77777777" w:rsidR="00421BB5" w:rsidRPr="00661A03" w:rsidRDefault="00421BB5" w:rsidP="00421BB5">
      <w:pPr>
        <w:spacing w:line="360" w:lineRule="exact"/>
        <w:ind w:left="517" w:hangingChars="193" w:hanging="517"/>
        <w:contextualSpacing/>
        <w:jc w:val="both"/>
        <w:rPr>
          <w:rFonts w:ascii="標楷體" w:eastAsia="標楷體" w:hAnsi="標楷體"/>
          <w:spacing w:val="-6"/>
          <w:sz w:val="28"/>
          <w:szCs w:val="28"/>
        </w:rPr>
      </w:pPr>
      <w:r>
        <w:rPr>
          <w:rFonts w:ascii="標楷體" w:eastAsia="標楷體" w:hAnsi="標楷體" w:hint="eastAsia"/>
          <w:spacing w:val="-6"/>
          <w:sz w:val="28"/>
          <w:szCs w:val="28"/>
        </w:rPr>
        <w:t>五、</w:t>
      </w:r>
      <w:r w:rsidRPr="00661A03">
        <w:rPr>
          <w:rFonts w:ascii="標楷體" w:eastAsia="標楷體" w:hAnsi="標楷體" w:hint="eastAsia"/>
          <w:spacing w:val="-6"/>
          <w:sz w:val="28"/>
          <w:szCs w:val="28"/>
        </w:rPr>
        <w:t>廢止「</w:t>
      </w:r>
      <w:r w:rsidRPr="005C1990">
        <w:rPr>
          <w:rFonts w:ascii="標楷體" w:eastAsia="標楷體" w:hAnsi="標楷體" w:hint="eastAsia"/>
          <w:sz w:val="28"/>
          <w:szCs w:val="28"/>
        </w:rPr>
        <w:t>竊盜犯贓物犯保安處分條例</w:t>
      </w:r>
      <w:r w:rsidRPr="00661A03">
        <w:rPr>
          <w:rFonts w:ascii="標楷體" w:eastAsia="標楷體" w:hAnsi="標楷體" w:hint="eastAsia"/>
          <w:spacing w:val="-6"/>
          <w:sz w:val="28"/>
          <w:szCs w:val="28"/>
        </w:rPr>
        <w:t>」等3案：同意予以廢止；審查完竣，擬具審查報告，提請院會公決；不須交由黨團協商；院會討論時，由</w:t>
      </w:r>
      <w:r>
        <w:rPr>
          <w:rFonts w:ascii="標楷體" w:eastAsia="標楷體" w:hAnsi="標楷體" w:hint="eastAsia"/>
          <w:sz w:val="28"/>
          <w:szCs w:val="28"/>
        </w:rPr>
        <w:t>陳召集委員歐珀</w:t>
      </w:r>
      <w:r w:rsidRPr="00661A03">
        <w:rPr>
          <w:rFonts w:ascii="標楷體" w:eastAsia="標楷體" w:hAnsi="標楷體" w:hint="eastAsia"/>
          <w:spacing w:val="-6"/>
          <w:sz w:val="28"/>
          <w:szCs w:val="28"/>
        </w:rPr>
        <w:t>出席說明。</w:t>
      </w:r>
    </w:p>
    <w:p w14:paraId="40E49FEA" w14:textId="77777777" w:rsidR="00421BB5" w:rsidRDefault="00421BB5" w:rsidP="00421BB5">
      <w:pPr>
        <w:spacing w:line="360" w:lineRule="exact"/>
        <w:ind w:leftChars="6" w:left="502" w:hangingChars="182" w:hanging="488"/>
        <w:contextualSpacing/>
        <w:jc w:val="both"/>
        <w:rPr>
          <w:rFonts w:ascii="標楷體" w:eastAsia="標楷體" w:hAnsi="標楷體"/>
          <w:sz w:val="28"/>
          <w:szCs w:val="28"/>
        </w:rPr>
      </w:pPr>
      <w:r>
        <w:rPr>
          <w:rFonts w:ascii="標楷體" w:eastAsia="標楷體" w:hAnsi="標楷體" w:hint="eastAsia"/>
          <w:spacing w:val="-6"/>
          <w:sz w:val="28"/>
          <w:szCs w:val="28"/>
        </w:rPr>
        <w:t>六、</w:t>
      </w:r>
      <w:r w:rsidRPr="009C3CD5">
        <w:rPr>
          <w:rFonts w:ascii="標楷體" w:eastAsia="標楷體" w:hAnsi="標楷體" w:hint="eastAsia"/>
          <w:sz w:val="28"/>
          <w:szCs w:val="28"/>
        </w:rPr>
        <w:t>「</w:t>
      </w:r>
      <w:r w:rsidRPr="005C1990">
        <w:rPr>
          <w:rFonts w:ascii="標楷體" w:eastAsia="標楷體" w:hAnsi="標楷體" w:hint="eastAsia"/>
          <w:sz w:val="28"/>
          <w:szCs w:val="28"/>
        </w:rPr>
        <w:t>外役監條例部分條文修正草案</w:t>
      </w:r>
      <w:r w:rsidRPr="009C3CD5">
        <w:rPr>
          <w:rFonts w:ascii="標楷體" w:eastAsia="標楷體" w:hAnsi="標楷體" w:hint="eastAsia"/>
          <w:sz w:val="28"/>
          <w:szCs w:val="28"/>
        </w:rPr>
        <w:t>」</w:t>
      </w:r>
      <w:r>
        <w:rPr>
          <w:rFonts w:ascii="標楷體" w:eastAsia="標楷體" w:hAnsi="標楷體" w:hint="eastAsia"/>
          <w:sz w:val="28"/>
          <w:szCs w:val="28"/>
        </w:rPr>
        <w:t>等23案：本案另定期繼續審查</w:t>
      </w:r>
      <w:r w:rsidRPr="00A50894">
        <w:rPr>
          <w:rFonts w:ascii="標楷體" w:eastAsia="標楷體" w:hAnsi="標楷體" w:hint="eastAsia"/>
          <w:sz w:val="28"/>
          <w:szCs w:val="28"/>
        </w:rPr>
        <w:t>。（提案條文已宣讀完畢）</w:t>
      </w:r>
    </w:p>
    <w:p w14:paraId="1DD7B890" w14:textId="77777777" w:rsidR="00421BB5" w:rsidRDefault="00421BB5" w:rsidP="00421BB5">
      <w:pPr>
        <w:spacing w:line="360" w:lineRule="exact"/>
        <w:contextualSpacing/>
        <w:jc w:val="distribute"/>
        <w:rPr>
          <w:rFonts w:ascii="標楷體" w:eastAsia="標楷體" w:hAnsi="標楷體"/>
          <w:sz w:val="28"/>
          <w:szCs w:val="28"/>
        </w:rPr>
      </w:pPr>
      <w:r>
        <w:rPr>
          <w:rFonts w:ascii="標楷體" w:eastAsia="標楷體" w:hAnsi="標楷體" w:hint="eastAsia"/>
          <w:sz w:val="28"/>
          <w:szCs w:val="28"/>
        </w:rPr>
        <w:t>七、</w:t>
      </w:r>
      <w:r w:rsidRPr="00803E97">
        <w:rPr>
          <w:rFonts w:ascii="標楷體" w:eastAsia="標楷體" w:hAnsi="標楷體"/>
          <w:sz w:val="28"/>
          <w:szCs w:val="28"/>
        </w:rPr>
        <w:t>委員質詢時，要求提供相關資料或以書面答復者，請相關機關儘</w:t>
      </w:r>
    </w:p>
    <w:p w14:paraId="77D03D02" w14:textId="77777777" w:rsidR="00421BB5" w:rsidRDefault="00421BB5" w:rsidP="00421BB5">
      <w:pPr>
        <w:spacing w:line="360" w:lineRule="exact"/>
        <w:ind w:leftChars="240" w:left="643" w:hangingChars="24" w:hanging="67"/>
        <w:contextualSpacing/>
        <w:jc w:val="both"/>
        <w:rPr>
          <w:rFonts w:ascii="標楷體" w:eastAsia="標楷體" w:hAnsi="標楷體"/>
          <w:sz w:val="28"/>
          <w:szCs w:val="28"/>
        </w:rPr>
      </w:pPr>
      <w:r w:rsidRPr="00803E97">
        <w:rPr>
          <w:rFonts w:ascii="標楷體" w:eastAsia="標楷體" w:hAnsi="標楷體"/>
          <w:sz w:val="28"/>
          <w:szCs w:val="28"/>
        </w:rPr>
        <w:t>速送交個別委員及本會。</w:t>
      </w:r>
    </w:p>
    <w:p w14:paraId="0AC1679F" w14:textId="77777777" w:rsidR="00421BB5" w:rsidRDefault="00421BB5" w:rsidP="00421BB5">
      <w:pPr>
        <w:tabs>
          <w:tab w:val="left" w:pos="-180"/>
        </w:tabs>
        <w:snapToGrid w:val="0"/>
        <w:spacing w:line="360" w:lineRule="exact"/>
        <w:jc w:val="both"/>
        <w:rPr>
          <w:rFonts w:ascii="標楷體" w:eastAsia="標楷體" w:hAnsi="標楷體"/>
          <w:sz w:val="28"/>
          <w:szCs w:val="28"/>
        </w:rPr>
      </w:pPr>
      <w:r>
        <w:rPr>
          <w:rFonts w:ascii="標楷體" w:eastAsia="標楷體" w:hAnsi="標楷體" w:hint="eastAsia"/>
          <w:sz w:val="28"/>
          <w:szCs w:val="28"/>
        </w:rPr>
        <w:t>散會</w:t>
      </w:r>
    </w:p>
    <w:p w14:paraId="38B0F5D6" w14:textId="77777777" w:rsidR="00421BB5" w:rsidRPr="00BD62B6" w:rsidRDefault="00421BB5" w:rsidP="00421BB5">
      <w:pPr>
        <w:pStyle w:val="afffff4"/>
        <w:spacing w:line="340" w:lineRule="exact"/>
        <w:ind w:leftChars="2" w:left="643" w:hangingChars="228" w:hanging="638"/>
        <w:jc w:val="both"/>
        <w:rPr>
          <w:rFonts w:ascii="標楷體" w:hAnsi="標楷體"/>
          <w:sz w:val="28"/>
          <w:szCs w:val="28"/>
        </w:rPr>
      </w:pPr>
    </w:p>
    <w:p w14:paraId="77D3D99F" w14:textId="77777777" w:rsidR="00421BB5" w:rsidRPr="00D65AED" w:rsidRDefault="00421BB5" w:rsidP="00421BB5">
      <w:pPr>
        <w:keepNext/>
        <w:spacing w:beforeLines="100" w:before="360" w:afterLines="100" w:after="360" w:line="500" w:lineRule="exact"/>
        <w:jc w:val="both"/>
        <w:outlineLvl w:val="1"/>
        <w:rPr>
          <w:rFonts w:ascii="標楷體" w:eastAsia="標楷體" w:hAnsi="標楷體"/>
          <w:b/>
          <w:noProof/>
          <w:color w:val="000000"/>
          <w:sz w:val="32"/>
          <w:szCs w:val="32"/>
        </w:rPr>
      </w:pPr>
      <w:r>
        <w:rPr>
          <w:rFonts w:ascii="標楷體" w:eastAsia="標楷體" w:hAnsi="標楷體"/>
          <w:sz w:val="28"/>
          <w:szCs w:val="28"/>
        </w:rPr>
        <w:br w:type="page"/>
      </w:r>
      <w:r w:rsidRPr="00D65AED">
        <w:rPr>
          <w:rFonts w:ascii="標楷體" w:eastAsia="標楷體" w:hAnsi="標楷體" w:hint="eastAsia"/>
          <w:b/>
          <w:noProof/>
          <w:color w:val="000000"/>
          <w:sz w:val="32"/>
          <w:szCs w:val="32"/>
        </w:rPr>
        <w:lastRenderedPageBreak/>
        <w:t>三、本會聯席委員會議議事錄</w:t>
      </w:r>
      <w:bookmarkEnd w:id="529"/>
    </w:p>
    <w:p w14:paraId="1550A286" w14:textId="77777777" w:rsidR="00421BB5" w:rsidRPr="00342B40" w:rsidRDefault="00421BB5" w:rsidP="00421BB5">
      <w:pPr>
        <w:snapToGrid w:val="0"/>
        <w:spacing w:beforeLines="50" w:before="180" w:line="340" w:lineRule="exact"/>
        <w:ind w:left="1361" w:hangingChars="500" w:hanging="1361"/>
        <w:jc w:val="distribute"/>
        <w:rPr>
          <w:rFonts w:ascii="標楷體" w:eastAsia="標楷體" w:hAnsi="標楷體"/>
          <w:b/>
          <w:spacing w:val="-4"/>
          <w:kern w:val="0"/>
          <w:sz w:val="28"/>
          <w:szCs w:val="28"/>
        </w:rPr>
      </w:pPr>
      <w:r w:rsidRPr="00342B40">
        <w:rPr>
          <w:rFonts w:ascii="標楷體" w:eastAsia="標楷體" w:hAnsi="標楷體" w:hint="eastAsia"/>
          <w:b/>
          <w:spacing w:val="-4"/>
          <w:kern w:val="0"/>
          <w:sz w:val="28"/>
          <w:szCs w:val="28"/>
        </w:rPr>
        <w:t>立法院第10屆第</w:t>
      </w:r>
      <w:r w:rsidRPr="00342B40">
        <w:rPr>
          <w:rFonts w:ascii="標楷體" w:eastAsia="標楷體" w:hAnsi="標楷體"/>
          <w:b/>
          <w:spacing w:val="-4"/>
          <w:kern w:val="0"/>
          <w:sz w:val="28"/>
          <w:szCs w:val="28"/>
        </w:rPr>
        <w:t>6</w:t>
      </w:r>
      <w:r w:rsidRPr="00342B40">
        <w:rPr>
          <w:rFonts w:ascii="標楷體" w:eastAsia="標楷體" w:hAnsi="標楷體" w:hint="eastAsia"/>
          <w:b/>
          <w:spacing w:val="-4"/>
          <w:kern w:val="0"/>
          <w:sz w:val="28"/>
          <w:szCs w:val="28"/>
        </w:rPr>
        <w:t>會期司法及法制、經濟委員會第1次聯席會議議事錄</w:t>
      </w:r>
    </w:p>
    <w:p w14:paraId="5177A899" w14:textId="77777777" w:rsidR="00421BB5" w:rsidRPr="004E7BB1" w:rsidRDefault="00421BB5" w:rsidP="00421BB5">
      <w:pPr>
        <w:snapToGrid w:val="0"/>
        <w:spacing w:beforeLines="50" w:before="180" w:line="340" w:lineRule="exact"/>
        <w:ind w:left="1456" w:hangingChars="520" w:hanging="1456"/>
        <w:jc w:val="both"/>
        <w:rPr>
          <w:rFonts w:ascii="標楷體" w:eastAsia="標楷體" w:hAnsi="標楷體"/>
          <w:spacing w:val="-14"/>
          <w:sz w:val="28"/>
          <w:szCs w:val="28"/>
        </w:rPr>
      </w:pPr>
      <w:r w:rsidRPr="00B55AF6">
        <w:rPr>
          <w:rFonts w:ascii="標楷體" w:eastAsia="標楷體" w:hAnsi="標楷體" w:hint="eastAsia"/>
          <w:sz w:val="28"/>
          <w:szCs w:val="28"/>
        </w:rPr>
        <w:t>時    間：</w:t>
      </w:r>
      <w:r w:rsidRPr="006B00DA">
        <w:rPr>
          <w:rFonts w:ascii="標楷體" w:eastAsia="標楷體" w:hAnsi="標楷體" w:hint="eastAsia"/>
          <w:spacing w:val="-20"/>
          <w:sz w:val="28"/>
          <w:szCs w:val="28"/>
        </w:rPr>
        <w:t>中華民國</w:t>
      </w:r>
      <w:r>
        <w:rPr>
          <w:rFonts w:ascii="標楷體" w:eastAsia="標楷體" w:hAnsi="標楷體" w:hint="eastAsia"/>
          <w:spacing w:val="-20"/>
          <w:sz w:val="28"/>
          <w:szCs w:val="28"/>
        </w:rPr>
        <w:t>111</w:t>
      </w:r>
      <w:r w:rsidRPr="006B00DA">
        <w:rPr>
          <w:rFonts w:ascii="標楷體" w:eastAsia="標楷體" w:hAnsi="標楷體" w:hint="eastAsia"/>
          <w:spacing w:val="-20"/>
          <w:sz w:val="28"/>
          <w:szCs w:val="28"/>
        </w:rPr>
        <w:t>年</w:t>
      </w:r>
      <w:r>
        <w:rPr>
          <w:rFonts w:ascii="標楷體" w:eastAsia="標楷體" w:hAnsi="標楷體"/>
          <w:spacing w:val="-20"/>
          <w:sz w:val="28"/>
          <w:szCs w:val="28"/>
        </w:rPr>
        <w:t>10</w:t>
      </w:r>
      <w:r w:rsidRPr="006B00DA">
        <w:rPr>
          <w:rFonts w:ascii="標楷體" w:eastAsia="標楷體" w:hAnsi="標楷體" w:hint="eastAsia"/>
          <w:spacing w:val="-20"/>
          <w:sz w:val="28"/>
          <w:szCs w:val="28"/>
        </w:rPr>
        <w:t>月</w:t>
      </w:r>
      <w:r>
        <w:rPr>
          <w:rFonts w:ascii="標楷體" w:eastAsia="標楷體" w:hAnsi="標楷體"/>
          <w:spacing w:val="-20"/>
          <w:sz w:val="28"/>
          <w:szCs w:val="28"/>
        </w:rPr>
        <w:t>5</w:t>
      </w:r>
      <w:r w:rsidRPr="006B00DA">
        <w:rPr>
          <w:rFonts w:ascii="標楷體" w:eastAsia="標楷體" w:hAnsi="標楷體" w:hint="eastAsia"/>
          <w:spacing w:val="-20"/>
          <w:sz w:val="28"/>
          <w:szCs w:val="28"/>
        </w:rPr>
        <w:t>日（星期</w:t>
      </w:r>
      <w:r>
        <w:rPr>
          <w:rFonts w:ascii="標楷體" w:eastAsia="標楷體" w:hAnsi="標楷體" w:hint="eastAsia"/>
          <w:spacing w:val="-20"/>
          <w:sz w:val="28"/>
          <w:szCs w:val="28"/>
        </w:rPr>
        <w:t>三</w:t>
      </w:r>
      <w:r w:rsidRPr="006B00DA">
        <w:rPr>
          <w:rFonts w:ascii="標楷體" w:eastAsia="標楷體" w:hAnsi="標楷體" w:hint="eastAsia"/>
          <w:spacing w:val="-20"/>
          <w:sz w:val="28"/>
          <w:szCs w:val="28"/>
        </w:rPr>
        <w:t>）上午9時</w:t>
      </w:r>
      <w:r>
        <w:rPr>
          <w:rFonts w:ascii="標楷體" w:eastAsia="標楷體" w:hAnsi="標楷體" w:hint="eastAsia"/>
          <w:spacing w:val="-20"/>
          <w:sz w:val="28"/>
          <w:szCs w:val="28"/>
        </w:rPr>
        <w:t>3分</w:t>
      </w:r>
      <w:r w:rsidRPr="006B00DA">
        <w:rPr>
          <w:rFonts w:ascii="標楷體" w:eastAsia="標楷體" w:hAnsi="標楷體" w:hint="eastAsia"/>
          <w:spacing w:val="-20"/>
          <w:sz w:val="28"/>
          <w:szCs w:val="28"/>
        </w:rPr>
        <w:t>至</w:t>
      </w:r>
      <w:r>
        <w:rPr>
          <w:rFonts w:ascii="標楷體" w:eastAsia="標楷體" w:hAnsi="標楷體" w:hint="eastAsia"/>
          <w:spacing w:val="-20"/>
          <w:sz w:val="28"/>
          <w:szCs w:val="28"/>
        </w:rPr>
        <w:t>11時43分</w:t>
      </w:r>
    </w:p>
    <w:p w14:paraId="768BDF14" w14:textId="77777777" w:rsidR="00421BB5" w:rsidRPr="006631C3" w:rsidRDefault="00421BB5" w:rsidP="00421BB5">
      <w:pPr>
        <w:snapToGrid w:val="0"/>
        <w:spacing w:line="340" w:lineRule="exact"/>
        <w:jc w:val="both"/>
        <w:rPr>
          <w:rFonts w:ascii="標楷體" w:eastAsia="標楷體" w:hAnsi="標楷體"/>
          <w:sz w:val="28"/>
          <w:szCs w:val="28"/>
        </w:rPr>
      </w:pPr>
      <w:r w:rsidRPr="006631C3">
        <w:rPr>
          <w:rFonts w:ascii="標楷體" w:eastAsia="標楷體" w:hAnsi="標楷體" w:hint="eastAsia"/>
          <w:sz w:val="28"/>
          <w:szCs w:val="28"/>
        </w:rPr>
        <w:t>地    點：本院紅樓302會議室</w:t>
      </w:r>
    </w:p>
    <w:p w14:paraId="6EF9F8E0" w14:textId="77777777" w:rsidR="00421BB5" w:rsidRDefault="00421BB5" w:rsidP="00421BB5">
      <w:pPr>
        <w:snapToGrid w:val="0"/>
        <w:spacing w:line="360" w:lineRule="exact"/>
        <w:jc w:val="both"/>
        <w:rPr>
          <w:rFonts w:ascii="標楷體" w:eastAsia="標楷體" w:hAnsi="標楷體"/>
          <w:sz w:val="28"/>
          <w:szCs w:val="28"/>
        </w:rPr>
      </w:pPr>
      <w:r w:rsidRPr="0072741B">
        <w:rPr>
          <w:rFonts w:ascii="標楷體" w:eastAsia="標楷體" w:hAnsi="標楷體"/>
          <w:sz w:val="28"/>
          <w:szCs w:val="28"/>
        </w:rPr>
        <w:t>出席委員</w:t>
      </w:r>
      <w:r w:rsidRPr="0072741B">
        <w:rPr>
          <w:rFonts w:ascii="標楷體" w:eastAsia="標楷體" w:hAnsi="標楷體" w:hint="eastAsia"/>
          <w:sz w:val="28"/>
          <w:szCs w:val="28"/>
        </w:rPr>
        <w:t>：</w:t>
      </w:r>
      <w:r>
        <w:rPr>
          <w:rFonts w:ascii="標楷體" w:eastAsia="標楷體" w:hAnsi="標楷體" w:hint="eastAsia"/>
          <w:sz w:val="28"/>
          <w:szCs w:val="28"/>
        </w:rPr>
        <w:t>陳亭妃</w:t>
      </w:r>
      <w:r>
        <w:rPr>
          <w:rFonts w:ascii="標楷體" w:eastAsia="標楷體" w:hAnsi="標楷體"/>
          <w:sz w:val="28"/>
          <w:szCs w:val="28"/>
        </w:rPr>
        <w:tab/>
      </w:r>
      <w:r>
        <w:rPr>
          <w:rFonts w:ascii="標楷體" w:eastAsia="標楷體" w:hAnsi="標楷體" w:hint="eastAsia"/>
          <w:sz w:val="28"/>
          <w:szCs w:val="28"/>
        </w:rPr>
        <w:t>鄭運鵬</w:t>
      </w:r>
      <w:r>
        <w:rPr>
          <w:rFonts w:ascii="標楷體" w:eastAsia="標楷體" w:hAnsi="標楷體"/>
          <w:sz w:val="28"/>
          <w:szCs w:val="28"/>
        </w:rPr>
        <w:tab/>
      </w:r>
      <w:r>
        <w:rPr>
          <w:rFonts w:ascii="標楷體" w:eastAsia="標楷體" w:hAnsi="標楷體" w:hint="eastAsia"/>
          <w:sz w:val="28"/>
          <w:szCs w:val="28"/>
        </w:rPr>
        <w:t>陳歐珀</w:t>
      </w:r>
      <w:r>
        <w:rPr>
          <w:rFonts w:ascii="標楷體" w:eastAsia="標楷體" w:hAnsi="標楷體"/>
          <w:sz w:val="28"/>
          <w:szCs w:val="28"/>
        </w:rPr>
        <w:tab/>
      </w:r>
      <w:r>
        <w:rPr>
          <w:rFonts w:ascii="標楷體" w:eastAsia="標楷體" w:hAnsi="標楷體" w:hint="eastAsia"/>
          <w:sz w:val="28"/>
          <w:szCs w:val="28"/>
        </w:rPr>
        <w:t>曾銘宗</w:t>
      </w:r>
      <w:r>
        <w:rPr>
          <w:rFonts w:ascii="標楷體" w:eastAsia="標楷體" w:hAnsi="標楷體"/>
          <w:sz w:val="28"/>
          <w:szCs w:val="28"/>
        </w:rPr>
        <w:tab/>
      </w:r>
      <w:r>
        <w:rPr>
          <w:rFonts w:ascii="標楷體" w:eastAsia="標楷體" w:hAnsi="標楷體" w:hint="eastAsia"/>
          <w:sz w:val="28"/>
          <w:szCs w:val="28"/>
        </w:rPr>
        <w:t>陳玉珍</w:t>
      </w:r>
      <w:r>
        <w:rPr>
          <w:rFonts w:ascii="標楷體" w:eastAsia="標楷體" w:hAnsi="標楷體"/>
          <w:sz w:val="28"/>
          <w:szCs w:val="28"/>
        </w:rPr>
        <w:tab/>
      </w:r>
      <w:r>
        <w:rPr>
          <w:rFonts w:ascii="標楷體" w:eastAsia="標楷體" w:hAnsi="標楷體" w:hint="eastAsia"/>
          <w:sz w:val="28"/>
          <w:szCs w:val="28"/>
        </w:rPr>
        <w:t>游毓蘭</w:t>
      </w:r>
      <w:r>
        <w:rPr>
          <w:rFonts w:ascii="標楷體" w:eastAsia="標楷體" w:hAnsi="標楷體"/>
          <w:sz w:val="28"/>
          <w:szCs w:val="28"/>
        </w:rPr>
        <w:tab/>
      </w:r>
      <w:r>
        <w:rPr>
          <w:rFonts w:ascii="標楷體" w:eastAsia="標楷體" w:hAnsi="標楷體" w:hint="eastAsia"/>
          <w:sz w:val="28"/>
          <w:szCs w:val="28"/>
        </w:rPr>
        <w:t>蘇治芬</w:t>
      </w:r>
    </w:p>
    <w:p w14:paraId="06CD97E6" w14:textId="77777777" w:rsidR="00421BB5" w:rsidRDefault="00421BB5" w:rsidP="00421BB5">
      <w:pPr>
        <w:snapToGrid w:val="0"/>
        <w:spacing w:line="360" w:lineRule="exact"/>
        <w:ind w:firstLineChars="495" w:firstLine="1386"/>
        <w:jc w:val="both"/>
        <w:rPr>
          <w:rFonts w:ascii="標楷體" w:eastAsia="標楷體" w:hAnsi="標楷體"/>
          <w:sz w:val="28"/>
          <w:szCs w:val="28"/>
        </w:rPr>
      </w:pPr>
      <w:r>
        <w:rPr>
          <w:rFonts w:ascii="標楷體" w:eastAsia="標楷體" w:hAnsi="標楷體" w:hint="eastAsia"/>
          <w:sz w:val="28"/>
          <w:szCs w:val="28"/>
        </w:rPr>
        <w:t>黃世杰</w:t>
      </w:r>
      <w:r>
        <w:rPr>
          <w:rFonts w:ascii="標楷體" w:eastAsia="標楷體" w:hAnsi="標楷體"/>
          <w:sz w:val="28"/>
          <w:szCs w:val="28"/>
        </w:rPr>
        <w:tab/>
      </w:r>
      <w:r>
        <w:rPr>
          <w:rFonts w:eastAsia="標楷體" w:hint="eastAsia"/>
          <w:sz w:val="28"/>
        </w:rPr>
        <w:t>邱議瑩</w:t>
      </w:r>
      <w:r>
        <w:rPr>
          <w:rFonts w:eastAsia="標楷體"/>
          <w:sz w:val="28"/>
        </w:rPr>
        <w:tab/>
      </w:r>
      <w:r>
        <w:rPr>
          <w:rFonts w:ascii="標楷體" w:eastAsia="標楷體" w:hAnsi="標楷體" w:hint="eastAsia"/>
          <w:sz w:val="28"/>
          <w:szCs w:val="28"/>
        </w:rPr>
        <w:t>林岱樺</w:t>
      </w:r>
      <w:r>
        <w:rPr>
          <w:rFonts w:ascii="標楷體" w:eastAsia="標楷體" w:hAnsi="標楷體"/>
          <w:sz w:val="28"/>
          <w:szCs w:val="28"/>
        </w:rPr>
        <w:tab/>
      </w:r>
      <w:r>
        <w:rPr>
          <w:rFonts w:ascii="標楷體" w:eastAsia="標楷體" w:hAnsi="標楷體" w:hint="eastAsia"/>
          <w:sz w:val="28"/>
          <w:szCs w:val="28"/>
        </w:rPr>
        <w:t>高虹安</w:t>
      </w:r>
      <w:r>
        <w:rPr>
          <w:rFonts w:ascii="標楷體" w:eastAsia="標楷體" w:hAnsi="標楷體"/>
          <w:sz w:val="28"/>
          <w:szCs w:val="28"/>
        </w:rPr>
        <w:tab/>
      </w:r>
      <w:r>
        <w:rPr>
          <w:rFonts w:eastAsia="標楷體" w:hint="eastAsia"/>
          <w:sz w:val="28"/>
        </w:rPr>
        <w:t>邱顯智</w:t>
      </w:r>
      <w:r>
        <w:rPr>
          <w:rFonts w:eastAsia="標楷體"/>
          <w:sz w:val="28"/>
        </w:rPr>
        <w:tab/>
      </w:r>
      <w:r>
        <w:rPr>
          <w:rFonts w:ascii="標楷體" w:eastAsia="標楷體" w:hAnsi="標楷體" w:hint="eastAsia"/>
          <w:sz w:val="28"/>
          <w:szCs w:val="28"/>
        </w:rPr>
        <w:t>楊瓊瓔</w:t>
      </w:r>
      <w:r>
        <w:rPr>
          <w:rFonts w:ascii="標楷體" w:eastAsia="標楷體" w:hAnsi="標楷體"/>
          <w:sz w:val="28"/>
          <w:szCs w:val="28"/>
        </w:rPr>
        <w:tab/>
      </w:r>
      <w:r>
        <w:rPr>
          <w:rFonts w:ascii="標楷體" w:eastAsia="標楷體" w:hAnsi="標楷體" w:hint="eastAsia"/>
          <w:sz w:val="28"/>
          <w:szCs w:val="28"/>
        </w:rPr>
        <w:t>林思銘</w:t>
      </w:r>
    </w:p>
    <w:p w14:paraId="18490309" w14:textId="77777777" w:rsidR="00421BB5" w:rsidRDefault="00421BB5" w:rsidP="00421BB5">
      <w:pPr>
        <w:snapToGrid w:val="0"/>
        <w:spacing w:line="360" w:lineRule="exact"/>
        <w:ind w:firstLineChars="495" w:firstLine="1386"/>
        <w:jc w:val="both"/>
        <w:rPr>
          <w:rFonts w:eastAsia="標楷體"/>
          <w:sz w:val="28"/>
        </w:rPr>
      </w:pPr>
      <w:r>
        <w:rPr>
          <w:rFonts w:ascii="標楷體" w:eastAsia="標楷體" w:hAnsi="標楷體" w:hint="eastAsia"/>
          <w:sz w:val="28"/>
          <w:szCs w:val="28"/>
        </w:rPr>
        <w:t>孔文吉</w:t>
      </w:r>
      <w:r>
        <w:rPr>
          <w:rFonts w:eastAsia="標楷體"/>
          <w:spacing w:val="-20"/>
          <w:w w:val="95"/>
          <w:sz w:val="28"/>
        </w:rPr>
        <w:tab/>
      </w:r>
      <w:r>
        <w:rPr>
          <w:rFonts w:eastAsia="標楷體" w:hint="eastAsia"/>
          <w:sz w:val="28"/>
        </w:rPr>
        <w:t>賴瑞隆</w:t>
      </w:r>
      <w:r>
        <w:rPr>
          <w:rFonts w:ascii="標楷體" w:eastAsia="標楷體" w:hAnsi="標楷體"/>
          <w:sz w:val="28"/>
          <w:szCs w:val="28"/>
        </w:rPr>
        <w:tab/>
      </w:r>
      <w:r>
        <w:rPr>
          <w:rFonts w:ascii="標楷體" w:eastAsia="標楷體" w:hAnsi="標楷體" w:hint="eastAsia"/>
          <w:sz w:val="28"/>
          <w:szCs w:val="28"/>
        </w:rPr>
        <w:t>邱志偉</w:t>
      </w:r>
      <w:r>
        <w:rPr>
          <w:rFonts w:ascii="標楷體" w:eastAsia="標楷體" w:hAnsi="標楷體"/>
          <w:sz w:val="28"/>
          <w:szCs w:val="28"/>
        </w:rPr>
        <w:tab/>
      </w:r>
      <w:r>
        <w:rPr>
          <w:rFonts w:ascii="標楷體" w:eastAsia="標楷體" w:hAnsi="標楷體" w:hint="eastAsia"/>
          <w:sz w:val="28"/>
          <w:szCs w:val="28"/>
        </w:rPr>
        <w:t>蘇震清</w:t>
      </w:r>
      <w:r>
        <w:rPr>
          <w:rFonts w:ascii="標楷體" w:eastAsia="標楷體" w:hAnsi="標楷體"/>
          <w:sz w:val="28"/>
          <w:szCs w:val="28"/>
        </w:rPr>
        <w:tab/>
      </w:r>
      <w:r>
        <w:rPr>
          <w:rFonts w:ascii="標楷體" w:eastAsia="標楷體" w:hAnsi="標楷體" w:hint="eastAsia"/>
          <w:sz w:val="28"/>
          <w:szCs w:val="28"/>
        </w:rPr>
        <w:t>江永昌</w:t>
      </w:r>
      <w:r>
        <w:rPr>
          <w:rFonts w:ascii="標楷體" w:eastAsia="標楷體" w:hAnsi="標楷體"/>
          <w:sz w:val="28"/>
          <w:szCs w:val="28"/>
        </w:rPr>
        <w:tab/>
      </w:r>
      <w:r>
        <w:rPr>
          <w:rFonts w:eastAsia="標楷體" w:hint="eastAsia"/>
          <w:sz w:val="28"/>
        </w:rPr>
        <w:t>謝衣鳯</w:t>
      </w:r>
      <w:r>
        <w:rPr>
          <w:rFonts w:eastAsia="標楷體"/>
          <w:sz w:val="28"/>
        </w:rPr>
        <w:tab/>
      </w:r>
      <w:r>
        <w:rPr>
          <w:rFonts w:ascii="標楷體" w:eastAsia="標楷體" w:hAnsi="標楷體" w:hint="eastAsia"/>
          <w:sz w:val="28"/>
          <w:szCs w:val="28"/>
        </w:rPr>
        <w:t>陳以信</w:t>
      </w:r>
    </w:p>
    <w:p w14:paraId="440637C0" w14:textId="77777777" w:rsidR="00421BB5" w:rsidRDefault="00421BB5" w:rsidP="00421BB5">
      <w:pPr>
        <w:snapToGrid w:val="0"/>
        <w:spacing w:line="360" w:lineRule="exact"/>
        <w:ind w:firstLineChars="495" w:firstLine="1386"/>
        <w:jc w:val="both"/>
        <w:rPr>
          <w:rFonts w:ascii="標楷體" w:eastAsia="標楷體" w:hAnsi="標楷體"/>
          <w:sz w:val="28"/>
          <w:szCs w:val="28"/>
        </w:rPr>
      </w:pPr>
      <w:r w:rsidRPr="00F3664B">
        <w:rPr>
          <w:rFonts w:ascii="標楷體" w:eastAsia="標楷體" w:hAnsi="標楷體" w:hint="eastAsia"/>
          <w:sz w:val="28"/>
          <w:szCs w:val="28"/>
        </w:rPr>
        <w:t>呂玉玲</w:t>
      </w:r>
      <w:r>
        <w:rPr>
          <w:rFonts w:ascii="標楷體" w:eastAsia="標楷體" w:hAnsi="標楷體"/>
          <w:sz w:val="28"/>
          <w:szCs w:val="28"/>
        </w:rPr>
        <w:tab/>
      </w:r>
      <w:r>
        <w:rPr>
          <w:rFonts w:ascii="標楷體" w:eastAsia="標楷體" w:hAnsi="標楷體" w:hint="eastAsia"/>
          <w:sz w:val="28"/>
          <w:szCs w:val="28"/>
        </w:rPr>
        <w:t>陳明文</w:t>
      </w:r>
      <w:r>
        <w:rPr>
          <w:rFonts w:ascii="標楷體" w:eastAsia="標楷體" w:hAnsi="標楷體"/>
          <w:sz w:val="28"/>
          <w:szCs w:val="28"/>
        </w:rPr>
        <w:tab/>
      </w:r>
      <w:r>
        <w:rPr>
          <w:rFonts w:ascii="標楷體" w:eastAsia="標楷體" w:hAnsi="標楷體" w:hint="eastAsia"/>
          <w:sz w:val="28"/>
          <w:szCs w:val="28"/>
        </w:rPr>
        <w:t>柯建銘</w:t>
      </w:r>
      <w:r>
        <w:rPr>
          <w:rFonts w:ascii="標楷體" w:eastAsia="標楷體" w:hAnsi="標楷體"/>
          <w:sz w:val="28"/>
          <w:szCs w:val="28"/>
        </w:rPr>
        <w:tab/>
      </w:r>
      <w:r>
        <w:rPr>
          <w:rFonts w:ascii="標楷體" w:eastAsia="標楷體" w:hAnsi="標楷體" w:hint="eastAsia"/>
          <w:sz w:val="28"/>
          <w:szCs w:val="28"/>
        </w:rPr>
        <w:t>陳超明</w:t>
      </w:r>
      <w:r>
        <w:rPr>
          <w:rFonts w:ascii="標楷體" w:eastAsia="標楷體" w:hAnsi="標楷體"/>
          <w:sz w:val="28"/>
          <w:szCs w:val="28"/>
        </w:rPr>
        <w:tab/>
      </w:r>
      <w:r>
        <w:rPr>
          <w:rFonts w:ascii="標楷體" w:eastAsia="標楷體" w:hAnsi="標楷體" w:hint="eastAsia"/>
          <w:sz w:val="28"/>
          <w:szCs w:val="28"/>
        </w:rPr>
        <w:t>劉建國</w:t>
      </w:r>
    </w:p>
    <w:p w14:paraId="3D95A587" w14:textId="77777777" w:rsidR="00421BB5" w:rsidRPr="005E4554" w:rsidRDefault="00421BB5" w:rsidP="00421BB5">
      <w:pPr>
        <w:snapToGrid w:val="0"/>
        <w:spacing w:line="360" w:lineRule="exact"/>
        <w:ind w:leftChars="578" w:left="1429" w:hangingChars="15" w:hanging="42"/>
        <w:jc w:val="both"/>
        <w:rPr>
          <w:rFonts w:ascii="標楷體" w:eastAsia="標楷體" w:hAnsi="標楷體"/>
          <w:sz w:val="28"/>
          <w:szCs w:val="28"/>
        </w:rPr>
      </w:pPr>
      <w:r w:rsidRPr="0060538B">
        <w:rPr>
          <w:rFonts w:ascii="標楷體" w:eastAsia="標楷體" w:hAnsi="標楷體"/>
          <w:sz w:val="28"/>
          <w:szCs w:val="28"/>
        </w:rPr>
        <w:t>委員出席</w:t>
      </w:r>
      <w:r>
        <w:rPr>
          <w:rFonts w:ascii="標楷體" w:eastAsia="標楷體" w:hAnsi="標楷體" w:hint="eastAsia"/>
          <w:sz w:val="28"/>
          <w:szCs w:val="28"/>
        </w:rPr>
        <w:t>26</w:t>
      </w:r>
      <w:r w:rsidRPr="0060538B">
        <w:rPr>
          <w:rFonts w:ascii="標楷體" w:eastAsia="標楷體" w:hAnsi="標楷體"/>
          <w:sz w:val="28"/>
          <w:szCs w:val="28"/>
        </w:rPr>
        <w:t>人</w:t>
      </w:r>
    </w:p>
    <w:p w14:paraId="30FC11A6" w14:textId="77777777" w:rsidR="00421BB5"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Pr>
          <w:rFonts w:ascii="標楷體" w:eastAsia="標楷體" w:hAnsi="標楷體" w:hint="eastAsia"/>
          <w:color w:val="000000"/>
          <w:sz w:val="28"/>
          <w:szCs w:val="28"/>
        </w:rPr>
        <w:t>李貴敏</w:t>
      </w:r>
      <w:r>
        <w:rPr>
          <w:rFonts w:ascii="標楷體" w:eastAsia="標楷體" w:hAnsi="標楷體"/>
          <w:color w:val="000000"/>
          <w:sz w:val="28"/>
          <w:szCs w:val="28"/>
        </w:rPr>
        <w:tab/>
      </w:r>
      <w:r>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王婉諭</w:t>
      </w:r>
      <w:r>
        <w:rPr>
          <w:rFonts w:ascii="標楷體" w:eastAsia="標楷體" w:hAnsi="標楷體"/>
          <w:sz w:val="28"/>
          <w:szCs w:val="28"/>
        </w:rPr>
        <w:tab/>
      </w:r>
      <w:r>
        <w:rPr>
          <w:rFonts w:ascii="標楷體" w:eastAsia="標楷體" w:hAnsi="標楷體" w:hint="eastAsia"/>
          <w:sz w:val="28"/>
          <w:szCs w:val="28"/>
        </w:rPr>
        <w:t>馬文君</w:t>
      </w:r>
      <w:r>
        <w:rPr>
          <w:rFonts w:ascii="標楷體" w:eastAsia="標楷體" w:hAnsi="標楷體"/>
          <w:sz w:val="28"/>
          <w:szCs w:val="28"/>
        </w:rPr>
        <w:tab/>
      </w:r>
      <w:r w:rsidRPr="004220EA">
        <w:rPr>
          <w:rFonts w:eastAsia="標楷體" w:hint="eastAsia"/>
          <w:sz w:val="28"/>
        </w:rPr>
        <w:t>洪孟楷</w:t>
      </w:r>
      <w:r>
        <w:rPr>
          <w:rFonts w:eastAsia="標楷體"/>
          <w:sz w:val="28"/>
        </w:rPr>
        <w:tab/>
      </w:r>
      <w:r>
        <w:rPr>
          <w:rFonts w:eastAsia="標楷體" w:hint="eastAsia"/>
          <w:sz w:val="28"/>
        </w:rPr>
        <w:t>林德福</w:t>
      </w:r>
      <w:r>
        <w:rPr>
          <w:rFonts w:ascii="標楷體" w:eastAsia="標楷體" w:hAnsi="標楷體"/>
          <w:sz w:val="28"/>
          <w:szCs w:val="28"/>
        </w:rPr>
        <w:tab/>
      </w:r>
      <w:r>
        <w:rPr>
          <w:rFonts w:ascii="標楷體" w:eastAsia="標楷體" w:hAnsi="標楷體" w:hint="eastAsia"/>
          <w:sz w:val="28"/>
          <w:szCs w:val="28"/>
        </w:rPr>
        <w:t>鄭正鈐</w:t>
      </w:r>
    </w:p>
    <w:p w14:paraId="513DCC78" w14:textId="77777777" w:rsidR="00421BB5" w:rsidRDefault="00421BB5" w:rsidP="00421BB5">
      <w:pPr>
        <w:adjustRightInd w:val="0"/>
        <w:snapToGrid w:val="0"/>
        <w:spacing w:line="360" w:lineRule="exact"/>
        <w:ind w:firstLineChars="490" w:firstLine="1372"/>
        <w:jc w:val="both"/>
        <w:rPr>
          <w:rFonts w:ascii="標楷體" w:eastAsia="標楷體" w:hAnsi="標楷體"/>
          <w:color w:val="000000"/>
          <w:sz w:val="28"/>
          <w:szCs w:val="28"/>
        </w:rPr>
      </w:pPr>
      <w:r w:rsidRPr="00361E03">
        <w:rPr>
          <w:rFonts w:ascii="標楷體" w:eastAsia="標楷體" w:hAnsi="標楷體" w:hint="eastAsia"/>
          <w:sz w:val="28"/>
          <w:szCs w:val="28"/>
        </w:rPr>
        <w:t>廖婉汝</w:t>
      </w:r>
      <w:r>
        <w:rPr>
          <w:rFonts w:ascii="標楷體" w:eastAsia="標楷體" w:hAnsi="標楷體"/>
          <w:sz w:val="28"/>
          <w:szCs w:val="28"/>
        </w:rPr>
        <w:tab/>
      </w:r>
      <w:r>
        <w:rPr>
          <w:rFonts w:ascii="標楷體" w:eastAsia="標楷體" w:hAnsi="標楷體" w:hint="eastAsia"/>
          <w:sz w:val="28"/>
          <w:szCs w:val="28"/>
        </w:rPr>
        <w:t>何欣純</w:t>
      </w:r>
      <w:r>
        <w:rPr>
          <w:rFonts w:ascii="標楷體" w:eastAsia="標楷體" w:hAnsi="標楷體"/>
          <w:sz w:val="28"/>
          <w:szCs w:val="28"/>
        </w:rPr>
        <w:tab/>
      </w:r>
      <w:r>
        <w:rPr>
          <w:rFonts w:eastAsia="標楷體" w:hint="eastAsia"/>
          <w:sz w:val="28"/>
        </w:rPr>
        <w:t>莊競程</w:t>
      </w:r>
      <w:r>
        <w:rPr>
          <w:rFonts w:eastAsia="標楷體"/>
          <w:sz w:val="28"/>
        </w:rPr>
        <w:tab/>
      </w:r>
      <w:r>
        <w:rPr>
          <w:rFonts w:eastAsia="標楷體" w:hint="eastAsia"/>
          <w:sz w:val="28"/>
        </w:rPr>
        <w:t>高嘉瑜</w:t>
      </w:r>
      <w:r>
        <w:rPr>
          <w:rFonts w:eastAsia="標楷體"/>
          <w:sz w:val="28"/>
        </w:rPr>
        <w:tab/>
      </w:r>
      <w:r>
        <w:rPr>
          <w:rFonts w:eastAsia="標楷體" w:hint="eastAsia"/>
          <w:sz w:val="28"/>
        </w:rPr>
        <w:t>張育美</w:t>
      </w:r>
      <w:r>
        <w:rPr>
          <w:rFonts w:eastAsia="標楷體"/>
          <w:sz w:val="28"/>
        </w:rPr>
        <w:tab/>
      </w:r>
      <w:r>
        <w:rPr>
          <w:rFonts w:eastAsia="標楷體" w:hint="eastAsia"/>
          <w:sz w:val="28"/>
        </w:rPr>
        <w:t>蔡易餘</w:t>
      </w:r>
    </w:p>
    <w:p w14:paraId="4AD9F627" w14:textId="77777777" w:rsidR="00421BB5" w:rsidRDefault="00421BB5" w:rsidP="00421BB5">
      <w:pPr>
        <w:widowControl/>
        <w:snapToGrid w:val="0"/>
        <w:spacing w:line="356" w:lineRule="exact"/>
        <w:ind w:leftChars="52" w:left="125"/>
        <w:jc w:val="both"/>
        <w:rPr>
          <w:rFonts w:ascii="標楷體" w:eastAsia="標楷體" w:hAnsi="標楷體"/>
          <w:sz w:val="28"/>
          <w:szCs w:val="28"/>
        </w:rPr>
      </w:pPr>
      <w:r w:rsidRPr="00A97A97">
        <w:rPr>
          <w:rFonts w:ascii="標楷體" w:eastAsia="標楷體" w:hAnsi="標楷體" w:hint="eastAsia"/>
          <w:sz w:val="28"/>
          <w:szCs w:val="28"/>
        </w:rPr>
        <w:t xml:space="preserve">   </w:t>
      </w:r>
      <w:r w:rsidRPr="00A97A97">
        <w:rPr>
          <w:rFonts w:ascii="標楷體" w:eastAsia="標楷體" w:hAnsi="標楷體" w:hint="eastAsia"/>
          <w:color w:val="000000"/>
          <w:sz w:val="28"/>
          <w:szCs w:val="28"/>
        </w:rPr>
        <w:t xml:space="preserve">　　　</w:t>
      </w:r>
      <w:r w:rsidRPr="00A97A97">
        <w:rPr>
          <w:rFonts w:ascii="標楷體" w:eastAsia="標楷體" w:hAnsi="標楷體"/>
          <w:sz w:val="28"/>
          <w:szCs w:val="28"/>
        </w:rPr>
        <w:t>委員列席</w:t>
      </w:r>
      <w:r>
        <w:rPr>
          <w:rFonts w:ascii="標楷體" w:eastAsia="標楷體" w:hAnsi="標楷體" w:hint="eastAsia"/>
          <w:sz w:val="28"/>
          <w:szCs w:val="28"/>
        </w:rPr>
        <w:t>13</w:t>
      </w:r>
      <w:r w:rsidRPr="00A97A97">
        <w:rPr>
          <w:rFonts w:ascii="標楷體" w:eastAsia="標楷體" w:hAnsi="標楷體"/>
          <w:sz w:val="28"/>
          <w:szCs w:val="28"/>
        </w:rPr>
        <w:t>人</w:t>
      </w:r>
    </w:p>
    <w:p w14:paraId="26C518DA" w14:textId="77777777" w:rsidR="00421BB5" w:rsidRDefault="00421BB5" w:rsidP="00421BB5">
      <w:pPr>
        <w:snapToGrid w:val="0"/>
        <w:spacing w:line="360" w:lineRule="exact"/>
        <w:jc w:val="both"/>
        <w:rPr>
          <w:rFonts w:ascii="標楷體" w:eastAsia="標楷體" w:hAnsi="標楷體"/>
          <w:sz w:val="28"/>
          <w:szCs w:val="28"/>
        </w:rPr>
      </w:pPr>
      <w:r w:rsidRPr="00016434">
        <w:rPr>
          <w:rFonts w:ascii="標楷體" w:eastAsia="標楷體" w:hAnsi="標楷體" w:hint="eastAsia"/>
          <w:sz w:val="28"/>
          <w:szCs w:val="28"/>
        </w:rPr>
        <w:t>請假委員：</w:t>
      </w:r>
      <w:r>
        <w:rPr>
          <w:rFonts w:ascii="標楷體" w:eastAsia="標楷體" w:hAnsi="標楷體" w:hint="eastAsia"/>
          <w:sz w:val="28"/>
          <w:szCs w:val="28"/>
        </w:rPr>
        <w:t>周春米</w:t>
      </w:r>
    </w:p>
    <w:p w14:paraId="72571F23" w14:textId="77777777" w:rsidR="00421BB5" w:rsidRDefault="00421BB5" w:rsidP="00421BB5">
      <w:pPr>
        <w:snapToGrid w:val="0"/>
        <w:spacing w:line="360" w:lineRule="exact"/>
        <w:ind w:firstLineChars="495" w:firstLine="1386"/>
        <w:jc w:val="both"/>
        <w:rPr>
          <w:rFonts w:ascii="標楷體" w:eastAsia="標楷體" w:hAnsi="標楷體"/>
          <w:sz w:val="28"/>
          <w:szCs w:val="28"/>
        </w:rPr>
      </w:pPr>
      <w:r w:rsidRPr="00016434">
        <w:rPr>
          <w:rFonts w:ascii="標楷體" w:eastAsia="標楷體" w:hAnsi="標楷體"/>
          <w:sz w:val="28"/>
          <w:szCs w:val="28"/>
        </w:rPr>
        <w:t>委員</w:t>
      </w:r>
      <w:r w:rsidRPr="00016434">
        <w:rPr>
          <w:rFonts w:ascii="標楷體" w:eastAsia="標楷體" w:hAnsi="標楷體" w:hint="eastAsia"/>
          <w:sz w:val="28"/>
          <w:szCs w:val="28"/>
        </w:rPr>
        <w:t>請假</w:t>
      </w:r>
      <w:r>
        <w:rPr>
          <w:rFonts w:ascii="標楷體" w:eastAsia="標楷體" w:hAnsi="標楷體"/>
          <w:sz w:val="28"/>
          <w:szCs w:val="28"/>
        </w:rPr>
        <w:t>1</w:t>
      </w:r>
      <w:r w:rsidRPr="00016434">
        <w:rPr>
          <w:rFonts w:ascii="標楷體" w:eastAsia="標楷體" w:hAnsi="標楷體" w:hint="eastAsia"/>
          <w:sz w:val="28"/>
          <w:szCs w:val="28"/>
        </w:rPr>
        <w:t>人</w:t>
      </w:r>
    </w:p>
    <w:p w14:paraId="1352678C" w14:textId="77777777" w:rsidR="00421BB5" w:rsidRDefault="00421BB5" w:rsidP="00421BB5">
      <w:pPr>
        <w:pStyle w:val="-9"/>
        <w:spacing w:line="360" w:lineRule="exact"/>
        <w:ind w:left="1361" w:hangingChars="486" w:hanging="1361"/>
        <w:rPr>
          <w:rFonts w:ascii="標楷體" w:hAnsi="標楷體"/>
          <w:sz w:val="28"/>
          <w:szCs w:val="28"/>
        </w:rPr>
      </w:pPr>
      <w:r w:rsidRPr="00C3659F">
        <w:rPr>
          <w:rFonts w:ascii="標楷體" w:hAnsi="標楷體"/>
          <w:sz w:val="28"/>
          <w:szCs w:val="28"/>
        </w:rPr>
        <w:t>列席官員：</w:t>
      </w:r>
      <w:r>
        <w:rPr>
          <w:rFonts w:ascii="標楷體" w:hAnsi="標楷體" w:hint="eastAsia"/>
          <w:sz w:val="28"/>
          <w:szCs w:val="28"/>
        </w:rPr>
        <w:t xml:space="preserve">國家發展委員會主任委員　</w:t>
      </w:r>
      <w:r w:rsidRPr="00B2655B">
        <w:rPr>
          <w:rFonts w:ascii="標楷體" w:hAnsi="標楷體" w:hint="eastAsia"/>
          <w:sz w:val="28"/>
          <w:szCs w:val="28"/>
        </w:rPr>
        <w:t>龔明鑫</w:t>
      </w:r>
    </w:p>
    <w:p w14:paraId="5B5B13A4" w14:textId="77777777" w:rsidR="00421BB5" w:rsidRDefault="00421BB5" w:rsidP="00421BB5">
      <w:pPr>
        <w:pStyle w:val="-9"/>
        <w:spacing w:line="360" w:lineRule="exact"/>
        <w:ind w:leftChars="567" w:left="1361" w:firstLineChars="8" w:firstLine="22"/>
        <w:rPr>
          <w:rFonts w:ascii="標楷體" w:hAnsi="標楷體"/>
          <w:sz w:val="28"/>
          <w:szCs w:val="28"/>
        </w:rPr>
      </w:pPr>
      <w:r>
        <w:rPr>
          <w:rFonts w:ascii="標楷體" w:hAnsi="標楷體" w:hint="eastAsia"/>
          <w:sz w:val="28"/>
          <w:szCs w:val="28"/>
        </w:rPr>
        <w:t xml:space="preserve">教育部政務次長　</w:t>
      </w:r>
      <w:r w:rsidRPr="00B2655B">
        <w:rPr>
          <w:rFonts w:ascii="標楷體" w:hAnsi="標楷體" w:hint="eastAsia"/>
          <w:sz w:val="28"/>
          <w:szCs w:val="28"/>
        </w:rPr>
        <w:t>蔡清華</w:t>
      </w:r>
    </w:p>
    <w:p w14:paraId="500D53BE" w14:textId="77777777" w:rsidR="00421BB5" w:rsidRPr="004A31B7" w:rsidRDefault="00421BB5" w:rsidP="00421BB5">
      <w:pPr>
        <w:pStyle w:val="-9"/>
        <w:spacing w:line="360" w:lineRule="exact"/>
        <w:ind w:leftChars="567" w:left="1361" w:firstLineChars="18" w:firstLine="50"/>
        <w:rPr>
          <w:rFonts w:ascii="標楷體" w:hAnsi="標楷體"/>
          <w:color w:val="000000"/>
          <w:spacing w:val="-20"/>
          <w:sz w:val="28"/>
          <w:szCs w:val="28"/>
        </w:rPr>
      </w:pPr>
      <w:r>
        <w:rPr>
          <w:rFonts w:ascii="標楷體" w:hAnsi="標楷體" w:hint="eastAsia"/>
          <w:color w:val="000000"/>
          <w:sz w:val="28"/>
          <w:szCs w:val="28"/>
        </w:rPr>
        <w:t xml:space="preserve">行政院人事行政總處副人事長　</w:t>
      </w:r>
      <w:r w:rsidRPr="00B2655B">
        <w:rPr>
          <w:rFonts w:ascii="標楷體" w:hAnsi="標楷體" w:hint="eastAsia"/>
          <w:color w:val="000000"/>
          <w:sz w:val="28"/>
          <w:szCs w:val="28"/>
        </w:rPr>
        <w:t>李秉洲</w:t>
      </w:r>
    </w:p>
    <w:p w14:paraId="2A527FB5"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color w:val="000000"/>
          <w:sz w:val="28"/>
          <w:szCs w:val="28"/>
        </w:rPr>
        <w:t>行政院</w:t>
      </w:r>
      <w:r>
        <w:rPr>
          <w:rFonts w:ascii="標楷體" w:hAnsi="標楷體" w:hint="eastAsia"/>
          <w:sz w:val="28"/>
          <w:szCs w:val="28"/>
        </w:rPr>
        <w:t>教育科學文化處諮</w:t>
      </w:r>
      <w:r w:rsidRPr="00A10C71">
        <w:rPr>
          <w:rFonts w:ascii="標楷體" w:hAnsi="標楷體" w:hint="eastAsia"/>
          <w:sz w:val="28"/>
          <w:szCs w:val="28"/>
        </w:rPr>
        <w:t>議</w:t>
      </w:r>
      <w:r>
        <w:rPr>
          <w:rFonts w:ascii="標楷體" w:hAnsi="標楷體" w:hint="eastAsia"/>
          <w:sz w:val="28"/>
          <w:szCs w:val="28"/>
        </w:rPr>
        <w:t xml:space="preserve">　</w:t>
      </w:r>
      <w:r w:rsidRPr="0079243A">
        <w:rPr>
          <w:rFonts w:ascii="標楷體" w:hAnsi="標楷體" w:hint="eastAsia"/>
          <w:sz w:val="28"/>
          <w:szCs w:val="28"/>
        </w:rPr>
        <w:t>黃富玉</w:t>
      </w:r>
    </w:p>
    <w:p w14:paraId="39FA1ADF"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外交部</w:t>
      </w:r>
      <w:r w:rsidRPr="0079243A">
        <w:rPr>
          <w:rFonts w:ascii="標楷體" w:hAnsi="標楷體" w:hint="eastAsia"/>
          <w:sz w:val="28"/>
          <w:szCs w:val="28"/>
        </w:rPr>
        <w:t>公眾外交協調會科長</w:t>
      </w:r>
      <w:r>
        <w:rPr>
          <w:rFonts w:ascii="標楷體" w:hAnsi="標楷體" w:hint="eastAsia"/>
          <w:sz w:val="28"/>
          <w:szCs w:val="28"/>
        </w:rPr>
        <w:t xml:space="preserve">　</w:t>
      </w:r>
      <w:r w:rsidRPr="0079243A">
        <w:rPr>
          <w:rFonts w:ascii="標楷體" w:hAnsi="標楷體" w:hint="eastAsia"/>
          <w:sz w:val="28"/>
          <w:szCs w:val="28"/>
        </w:rPr>
        <w:t>陳偉玲</w:t>
      </w:r>
    </w:p>
    <w:p w14:paraId="4AE5A7DD" w14:textId="77777777" w:rsidR="00421BB5" w:rsidRDefault="00421BB5" w:rsidP="00421BB5">
      <w:pPr>
        <w:pStyle w:val="-9"/>
        <w:spacing w:line="360" w:lineRule="exact"/>
        <w:ind w:leftChars="567" w:left="1361" w:firstLineChars="18" w:firstLine="50"/>
        <w:rPr>
          <w:rFonts w:ascii="標楷體" w:hAnsi="標楷體"/>
          <w:sz w:val="28"/>
          <w:szCs w:val="28"/>
        </w:rPr>
      </w:pPr>
      <w:r w:rsidRPr="005A4154">
        <w:rPr>
          <w:rFonts w:ascii="標楷體" w:hAnsi="標楷體" w:hint="eastAsia"/>
          <w:sz w:val="28"/>
          <w:szCs w:val="28"/>
        </w:rPr>
        <w:t>法務部</w:t>
      </w:r>
      <w:r w:rsidRPr="0079243A">
        <w:rPr>
          <w:rFonts w:ascii="標楷體" w:hAnsi="標楷體" w:hint="eastAsia"/>
          <w:sz w:val="28"/>
          <w:szCs w:val="28"/>
        </w:rPr>
        <w:t>參事</w:t>
      </w:r>
      <w:r>
        <w:rPr>
          <w:rFonts w:ascii="標楷體" w:hAnsi="標楷體" w:hint="eastAsia"/>
          <w:sz w:val="28"/>
          <w:szCs w:val="28"/>
        </w:rPr>
        <w:t xml:space="preserve">　</w:t>
      </w:r>
      <w:r w:rsidRPr="0079243A">
        <w:rPr>
          <w:rFonts w:ascii="標楷體" w:hAnsi="標楷體" w:hint="eastAsia"/>
          <w:sz w:val="28"/>
          <w:szCs w:val="28"/>
        </w:rPr>
        <w:t>廖江憲</w:t>
      </w:r>
    </w:p>
    <w:p w14:paraId="6765B4BB" w14:textId="77777777" w:rsidR="00421BB5" w:rsidRDefault="00421BB5" w:rsidP="00421BB5">
      <w:pPr>
        <w:pStyle w:val="-9"/>
        <w:spacing w:line="360" w:lineRule="exact"/>
        <w:ind w:leftChars="567" w:left="1361" w:firstLineChars="18" w:firstLine="50"/>
        <w:rPr>
          <w:rFonts w:ascii="標楷體" w:hAnsi="標楷體"/>
          <w:sz w:val="28"/>
          <w:szCs w:val="28"/>
        </w:rPr>
      </w:pPr>
      <w:r>
        <w:rPr>
          <w:rFonts w:ascii="標楷體" w:hAnsi="標楷體" w:hint="eastAsia"/>
          <w:sz w:val="28"/>
          <w:szCs w:val="28"/>
        </w:rPr>
        <w:t>財政部</w:t>
      </w:r>
      <w:r w:rsidRPr="00A10C71">
        <w:rPr>
          <w:rFonts w:ascii="標楷體" w:hAnsi="標楷體" w:hint="eastAsia"/>
          <w:sz w:val="28"/>
          <w:szCs w:val="28"/>
        </w:rPr>
        <w:t>國有財產署專門委員</w:t>
      </w:r>
      <w:r>
        <w:rPr>
          <w:rFonts w:ascii="標楷體" w:hAnsi="標楷體" w:hint="eastAsia"/>
          <w:sz w:val="28"/>
          <w:szCs w:val="28"/>
        </w:rPr>
        <w:t xml:space="preserve">　</w:t>
      </w:r>
      <w:r w:rsidRPr="00A10C71">
        <w:rPr>
          <w:rFonts w:ascii="標楷體" w:hAnsi="標楷體" w:hint="eastAsia"/>
          <w:sz w:val="28"/>
          <w:szCs w:val="28"/>
        </w:rPr>
        <w:t>羅育華</w:t>
      </w:r>
    </w:p>
    <w:p w14:paraId="43D355E8" w14:textId="77777777" w:rsidR="00421BB5" w:rsidRDefault="00421BB5" w:rsidP="00421BB5">
      <w:pPr>
        <w:pStyle w:val="-9"/>
        <w:spacing w:line="360" w:lineRule="exact"/>
        <w:ind w:leftChars="567" w:left="1361" w:firstLineChars="323" w:firstLine="904"/>
        <w:rPr>
          <w:rFonts w:ascii="標楷體" w:hAnsi="標楷體"/>
          <w:sz w:val="28"/>
          <w:szCs w:val="28"/>
        </w:rPr>
      </w:pPr>
      <w:r w:rsidRPr="0079243A">
        <w:rPr>
          <w:rFonts w:ascii="標楷體" w:hAnsi="標楷體" w:hint="eastAsia"/>
          <w:sz w:val="28"/>
          <w:szCs w:val="28"/>
        </w:rPr>
        <w:t>賦稅署專門委員</w:t>
      </w:r>
      <w:r>
        <w:rPr>
          <w:rFonts w:ascii="標楷體" w:hAnsi="標楷體" w:hint="eastAsia"/>
          <w:sz w:val="28"/>
          <w:szCs w:val="28"/>
        </w:rPr>
        <w:t xml:space="preserve">　</w:t>
      </w:r>
      <w:r w:rsidRPr="0079243A">
        <w:rPr>
          <w:rFonts w:ascii="標楷體" w:hAnsi="標楷體" w:hint="eastAsia"/>
          <w:sz w:val="28"/>
          <w:szCs w:val="28"/>
        </w:rPr>
        <w:t>胡仕賢</w:t>
      </w:r>
    </w:p>
    <w:p w14:paraId="1D93754F" w14:textId="77777777" w:rsidR="00421BB5" w:rsidRDefault="00421BB5" w:rsidP="00421BB5">
      <w:pPr>
        <w:pStyle w:val="-9"/>
        <w:spacing w:line="360" w:lineRule="exact"/>
        <w:ind w:leftChars="567" w:left="1361" w:firstLineChars="23" w:firstLine="64"/>
        <w:rPr>
          <w:rFonts w:ascii="標楷體" w:hAnsi="標楷體"/>
          <w:sz w:val="28"/>
          <w:szCs w:val="28"/>
        </w:rPr>
      </w:pPr>
      <w:r w:rsidRPr="005A4154">
        <w:rPr>
          <w:rFonts w:ascii="標楷體" w:hAnsi="標楷體" w:hint="eastAsia"/>
          <w:sz w:val="28"/>
          <w:szCs w:val="28"/>
        </w:rPr>
        <w:t>銓敘部法規司</w:t>
      </w:r>
      <w:r w:rsidRPr="0079243A">
        <w:rPr>
          <w:rFonts w:ascii="標楷體" w:hAnsi="標楷體" w:hint="eastAsia"/>
          <w:sz w:val="28"/>
          <w:szCs w:val="28"/>
        </w:rPr>
        <w:t>簡任視察</w:t>
      </w:r>
      <w:r>
        <w:rPr>
          <w:rFonts w:ascii="標楷體" w:hAnsi="標楷體" w:hint="eastAsia"/>
          <w:sz w:val="28"/>
          <w:szCs w:val="28"/>
        </w:rPr>
        <w:t xml:space="preserve">　</w:t>
      </w:r>
      <w:r w:rsidRPr="0079243A">
        <w:rPr>
          <w:rFonts w:ascii="標楷體" w:hAnsi="標楷體" w:hint="eastAsia"/>
          <w:sz w:val="28"/>
          <w:szCs w:val="28"/>
        </w:rPr>
        <w:t>廖康如</w:t>
      </w:r>
    </w:p>
    <w:p w14:paraId="3D080AE0" w14:textId="77777777" w:rsidR="00421BB5" w:rsidRDefault="00421BB5" w:rsidP="00421BB5">
      <w:pPr>
        <w:pStyle w:val="-9"/>
        <w:spacing w:line="360" w:lineRule="exact"/>
        <w:ind w:leftChars="567" w:left="1361" w:firstLineChars="23" w:firstLine="64"/>
        <w:rPr>
          <w:rFonts w:ascii="標楷體" w:hAnsi="標楷體"/>
          <w:sz w:val="28"/>
          <w:szCs w:val="28"/>
        </w:rPr>
      </w:pPr>
      <w:r w:rsidRPr="00093E21">
        <w:rPr>
          <w:rFonts w:ascii="標楷體" w:hAnsi="標楷體" w:hint="eastAsia"/>
          <w:sz w:val="28"/>
          <w:szCs w:val="28"/>
        </w:rPr>
        <w:t>行政院公共工程委員會企劃處專門委員</w:t>
      </w:r>
      <w:r>
        <w:rPr>
          <w:rFonts w:ascii="標楷體" w:hAnsi="標楷體" w:hint="eastAsia"/>
          <w:sz w:val="28"/>
          <w:szCs w:val="28"/>
        </w:rPr>
        <w:t xml:space="preserve">　</w:t>
      </w:r>
      <w:r w:rsidRPr="00093E21">
        <w:rPr>
          <w:rFonts w:ascii="標楷體" w:hAnsi="標楷體" w:hint="eastAsia"/>
          <w:sz w:val="28"/>
          <w:szCs w:val="28"/>
        </w:rPr>
        <w:t>劉慧君</w:t>
      </w:r>
    </w:p>
    <w:p w14:paraId="78960F89" w14:textId="77777777" w:rsidR="00421BB5" w:rsidRDefault="00421BB5" w:rsidP="00421BB5">
      <w:pPr>
        <w:pStyle w:val="-9"/>
        <w:spacing w:line="360" w:lineRule="exact"/>
        <w:ind w:leftChars="567" w:left="1361" w:firstLineChars="18" w:firstLine="50"/>
        <w:rPr>
          <w:rFonts w:ascii="標楷體" w:hAnsi="標楷體"/>
          <w:sz w:val="28"/>
          <w:szCs w:val="28"/>
        </w:rPr>
      </w:pPr>
      <w:r w:rsidRPr="005A4154">
        <w:rPr>
          <w:rFonts w:ascii="標楷體" w:hAnsi="標楷體" w:hint="eastAsia"/>
          <w:sz w:val="28"/>
          <w:szCs w:val="28"/>
        </w:rPr>
        <w:t>行政院主計總處公務預算處</w:t>
      </w:r>
      <w:r w:rsidRPr="00093E21">
        <w:rPr>
          <w:rFonts w:ascii="標楷體" w:hAnsi="標楷體" w:hint="eastAsia"/>
          <w:sz w:val="28"/>
          <w:szCs w:val="28"/>
        </w:rPr>
        <w:t>專門委員</w:t>
      </w:r>
      <w:r>
        <w:rPr>
          <w:rFonts w:ascii="標楷體" w:hAnsi="標楷體" w:hint="eastAsia"/>
          <w:sz w:val="28"/>
          <w:szCs w:val="28"/>
        </w:rPr>
        <w:t xml:space="preserve">　</w:t>
      </w:r>
      <w:r w:rsidRPr="005A4154">
        <w:rPr>
          <w:rFonts w:ascii="標楷體" w:hAnsi="標楷體" w:hint="eastAsia"/>
          <w:sz w:val="28"/>
          <w:szCs w:val="28"/>
        </w:rPr>
        <w:t>吳銘修</w:t>
      </w:r>
    </w:p>
    <w:p w14:paraId="2FDEE4A5" w14:textId="77777777" w:rsidR="00421BB5" w:rsidRPr="008C1421" w:rsidRDefault="00421BB5" w:rsidP="00421BB5">
      <w:pPr>
        <w:snapToGrid w:val="0"/>
        <w:spacing w:line="340" w:lineRule="exact"/>
        <w:jc w:val="both"/>
        <w:rPr>
          <w:rFonts w:ascii="標楷體" w:eastAsia="標楷體" w:hAnsi="標楷體"/>
          <w:sz w:val="28"/>
          <w:szCs w:val="28"/>
        </w:rPr>
      </w:pPr>
      <w:r w:rsidRPr="008C1421">
        <w:rPr>
          <w:rFonts w:ascii="標楷體" w:eastAsia="標楷體" w:hAnsi="標楷體" w:hint="eastAsia"/>
          <w:sz w:val="28"/>
          <w:szCs w:val="28"/>
        </w:rPr>
        <w:t>主    席：</w:t>
      </w:r>
      <w:r>
        <w:rPr>
          <w:rFonts w:ascii="標楷體" w:eastAsia="標楷體" w:hAnsi="標楷體" w:hint="eastAsia"/>
          <w:sz w:val="28"/>
          <w:szCs w:val="28"/>
        </w:rPr>
        <w:t>陳召集</w:t>
      </w:r>
      <w:r w:rsidRPr="008C1421">
        <w:rPr>
          <w:rFonts w:ascii="標楷體" w:eastAsia="標楷體" w:hAnsi="標楷體" w:hint="eastAsia"/>
          <w:sz w:val="28"/>
          <w:szCs w:val="28"/>
        </w:rPr>
        <w:t>委員</w:t>
      </w:r>
      <w:r>
        <w:rPr>
          <w:rFonts w:ascii="標楷體" w:eastAsia="標楷體" w:hAnsi="標楷體" w:hint="eastAsia"/>
          <w:sz w:val="28"/>
          <w:szCs w:val="28"/>
        </w:rPr>
        <w:t>歐珀</w:t>
      </w:r>
    </w:p>
    <w:p w14:paraId="14F65ABF" w14:textId="77777777" w:rsidR="00421BB5" w:rsidRDefault="00421BB5" w:rsidP="00421BB5">
      <w:pPr>
        <w:snapToGrid w:val="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梁雯</w:t>
      </w:r>
      <w:r w:rsidRPr="00ED0626">
        <w:rPr>
          <w:rFonts w:ascii="標楷體" w:eastAsia="標楷體" w:hAnsi="標楷體" w:hint="eastAsia"/>
          <w:sz w:val="28"/>
          <w:szCs w:val="28"/>
        </w:rPr>
        <w:t>璍</w:t>
      </w:r>
    </w:p>
    <w:p w14:paraId="4A040BD5" w14:textId="77777777" w:rsidR="00421BB5" w:rsidRPr="008C1421" w:rsidRDefault="00421BB5" w:rsidP="00421BB5">
      <w:pPr>
        <w:snapToGrid w:val="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1846B7EF" w14:textId="77777777" w:rsidR="00421BB5" w:rsidRPr="008C1421" w:rsidRDefault="00421BB5" w:rsidP="00421BB5">
      <w:pPr>
        <w:adjustRightInd w:val="0"/>
        <w:snapToGrid w:val="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14:paraId="6C0AFF39" w14:textId="77777777" w:rsidR="00421BB5" w:rsidRPr="008C1421" w:rsidRDefault="00421BB5" w:rsidP="00421BB5">
      <w:pPr>
        <w:adjustRightInd w:val="0"/>
        <w:snapToGrid w:val="0"/>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14:paraId="7CEE1EC5" w14:textId="77777777" w:rsidR="00421BB5" w:rsidRDefault="00421BB5" w:rsidP="00421BB5">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科　　長　鮑夏明</w:t>
      </w:r>
    </w:p>
    <w:p w14:paraId="561F6F84" w14:textId="77777777" w:rsidR="00421BB5" w:rsidRDefault="00421BB5" w:rsidP="00421BB5">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專　　員　林宗賢</w:t>
      </w:r>
    </w:p>
    <w:p w14:paraId="0F05EFDA" w14:textId="77777777" w:rsidR="00421BB5" w:rsidRDefault="00421BB5" w:rsidP="00421BB5">
      <w:pPr>
        <w:snapToGrid w:val="0"/>
        <w:spacing w:beforeLines="50" w:before="180" w:line="340" w:lineRule="exact"/>
        <w:ind w:firstLineChars="300" w:firstLine="841"/>
        <w:jc w:val="both"/>
        <w:rPr>
          <w:rFonts w:ascii="標楷體" w:eastAsia="標楷體" w:hAnsi="標楷體"/>
          <w:b/>
          <w:sz w:val="28"/>
          <w:szCs w:val="28"/>
        </w:rPr>
      </w:pPr>
      <w:r>
        <w:rPr>
          <w:rFonts w:ascii="標楷體" w:eastAsia="標楷體" w:hAnsi="標楷體" w:hint="eastAsia"/>
          <w:b/>
          <w:sz w:val="28"/>
          <w:szCs w:val="28"/>
        </w:rPr>
        <w:t>討論事項</w:t>
      </w:r>
    </w:p>
    <w:p w14:paraId="71CF29F3" w14:textId="77777777" w:rsidR="00421BB5" w:rsidRDefault="00421BB5" w:rsidP="00421BB5">
      <w:pPr>
        <w:snapToGrid w:val="0"/>
        <w:spacing w:beforeLines="50" w:before="180" w:line="340" w:lineRule="exact"/>
        <w:ind w:leftChars="5" w:left="14" w:hanging="2"/>
        <w:contextualSpacing/>
        <w:jc w:val="both"/>
        <w:rPr>
          <w:rFonts w:ascii="標楷體" w:eastAsia="標楷體" w:hAnsi="標楷體"/>
          <w:sz w:val="28"/>
          <w:szCs w:val="28"/>
        </w:rPr>
      </w:pPr>
      <w:r w:rsidRPr="0054526C">
        <w:rPr>
          <w:rFonts w:ascii="標楷體" w:eastAsia="標楷體" w:hAnsi="標楷體" w:hint="eastAsia"/>
          <w:sz w:val="28"/>
          <w:szCs w:val="28"/>
        </w:rPr>
        <w:t>併案審查（一）行政院函請審議、（二）委員蔡易餘等17人、（三）委員何志偉等18人、（四）委員吳思瑤等21人、（五）委員黃國書等17人、（六）委員陳亭妃等18人、（七）台灣民眾黨黨團分別擬具「雙語國家發展中心設置條例草案」及（八）委員蔡易餘等17人擬具「雙語</w:t>
      </w:r>
      <w:r w:rsidRPr="0054526C">
        <w:rPr>
          <w:rFonts w:ascii="標楷體" w:eastAsia="標楷體" w:hAnsi="標楷體" w:hint="eastAsia"/>
          <w:sz w:val="28"/>
          <w:szCs w:val="28"/>
        </w:rPr>
        <w:lastRenderedPageBreak/>
        <w:t>政策發展中心設置條例草案」案。</w:t>
      </w:r>
    </w:p>
    <w:p w14:paraId="3389527A" w14:textId="77777777" w:rsidR="00421BB5" w:rsidRPr="00A60B14" w:rsidRDefault="00421BB5" w:rsidP="00421BB5">
      <w:pPr>
        <w:overflowPunct w:val="0"/>
        <w:adjustRightInd w:val="0"/>
        <w:snapToGrid w:val="0"/>
        <w:spacing w:line="360" w:lineRule="exact"/>
        <w:ind w:leftChars="-35" w:left="-3" w:hangingChars="29" w:hanging="81"/>
        <w:jc w:val="both"/>
        <w:rPr>
          <w:rFonts w:ascii="標楷體" w:eastAsia="標楷體" w:hAnsi="標楷體"/>
          <w:sz w:val="28"/>
          <w:szCs w:val="28"/>
        </w:rPr>
      </w:pPr>
      <w:r w:rsidRPr="00C0164B">
        <w:rPr>
          <w:rFonts w:ascii="標楷體" w:eastAsia="標楷體" w:hAnsi="標楷體" w:hint="eastAsia"/>
          <w:sz w:val="28"/>
          <w:szCs w:val="28"/>
        </w:rPr>
        <w:t>（</w:t>
      </w:r>
      <w:r w:rsidRPr="008159C7">
        <w:rPr>
          <w:rFonts w:ascii="標楷體" w:eastAsia="標楷體" w:hAnsi="標楷體" w:hint="eastAsia"/>
          <w:sz w:val="28"/>
          <w:szCs w:val="28"/>
        </w:rPr>
        <w:t>本次會議有委員</w:t>
      </w:r>
      <w:r>
        <w:rPr>
          <w:rFonts w:ascii="標楷體" w:eastAsia="標楷體" w:hAnsi="標楷體" w:hint="eastAsia"/>
          <w:sz w:val="28"/>
          <w:szCs w:val="28"/>
        </w:rPr>
        <w:t>游毓蘭、陳歐珀、黃世杰</w:t>
      </w:r>
      <w:r>
        <w:rPr>
          <w:rFonts w:eastAsia="標楷體" w:hint="eastAsia"/>
          <w:sz w:val="28"/>
        </w:rPr>
        <w:t>、陳亭妃、</w:t>
      </w:r>
      <w:r>
        <w:rPr>
          <w:rFonts w:ascii="標楷體" w:eastAsia="標楷體" w:hAnsi="標楷體" w:hint="eastAsia"/>
          <w:sz w:val="28"/>
          <w:szCs w:val="28"/>
        </w:rPr>
        <w:t>曾銘宗、</w:t>
      </w:r>
      <w:r>
        <w:rPr>
          <w:rFonts w:eastAsia="標楷體" w:hint="eastAsia"/>
          <w:sz w:val="28"/>
        </w:rPr>
        <w:t>邱顯智、賴瑞隆、</w:t>
      </w:r>
      <w:r>
        <w:rPr>
          <w:rFonts w:ascii="標楷體" w:eastAsia="標楷體" w:hAnsi="標楷體" w:hint="eastAsia"/>
          <w:sz w:val="28"/>
          <w:szCs w:val="28"/>
        </w:rPr>
        <w:t>楊瓊瓔、林思銘、江永昌、孔文吉、陳以信、陳明文、</w:t>
      </w:r>
      <w:r w:rsidRPr="00B01AA3">
        <w:rPr>
          <w:rFonts w:ascii="標楷體" w:eastAsia="標楷體" w:hAnsi="標楷體" w:hint="eastAsia"/>
          <w:spacing w:val="-20"/>
          <w:sz w:val="28"/>
          <w:szCs w:val="28"/>
        </w:rPr>
        <w:t>陳玉珍</w:t>
      </w:r>
      <w:r>
        <w:rPr>
          <w:rFonts w:ascii="標楷體" w:eastAsia="標楷體" w:hAnsi="標楷體" w:hint="eastAsia"/>
          <w:sz w:val="28"/>
          <w:szCs w:val="28"/>
        </w:rPr>
        <w:t>、王婉諭</w:t>
      </w:r>
      <w:r w:rsidRPr="008159C7">
        <w:rPr>
          <w:rFonts w:ascii="標楷體" w:eastAsia="標楷體" w:hAnsi="標楷體" w:hint="eastAsia"/>
          <w:sz w:val="28"/>
          <w:szCs w:val="28"/>
        </w:rPr>
        <w:t>提出質詢</w:t>
      </w:r>
      <w:r>
        <w:rPr>
          <w:rFonts w:ascii="標楷體" w:eastAsia="標楷體" w:hAnsi="標楷體" w:hint="eastAsia"/>
          <w:sz w:val="28"/>
          <w:szCs w:val="28"/>
        </w:rPr>
        <w:t>；委員周春米、鄭運鵬、陳超明、劉建國、蘇震清、高虹安</w:t>
      </w:r>
      <w:r w:rsidRPr="008159C7">
        <w:rPr>
          <w:rFonts w:ascii="標楷體" w:eastAsia="標楷體" w:hAnsi="標楷體" w:hint="eastAsia"/>
          <w:sz w:val="28"/>
          <w:szCs w:val="28"/>
        </w:rPr>
        <w:t>提</w:t>
      </w:r>
      <w:r>
        <w:rPr>
          <w:rFonts w:ascii="標楷體" w:eastAsia="標楷體" w:hAnsi="標楷體" w:hint="eastAsia"/>
          <w:sz w:val="28"/>
          <w:szCs w:val="28"/>
        </w:rPr>
        <w:t>出書面質詢。</w:t>
      </w:r>
      <w:r w:rsidRPr="00C0164B">
        <w:rPr>
          <w:rFonts w:ascii="標楷體" w:eastAsia="標楷體" w:hAnsi="標楷體" w:hint="eastAsia"/>
          <w:sz w:val="28"/>
          <w:szCs w:val="28"/>
        </w:rPr>
        <w:t>）</w:t>
      </w:r>
    </w:p>
    <w:p w14:paraId="362DEE42" w14:textId="77777777" w:rsidR="00421BB5" w:rsidRDefault="00421BB5" w:rsidP="00421BB5">
      <w:pPr>
        <w:spacing w:line="360" w:lineRule="exact"/>
        <w:contextualSpacing/>
        <w:jc w:val="both"/>
        <w:rPr>
          <w:rFonts w:ascii="標楷體" w:eastAsia="標楷體" w:hAnsi="標楷體"/>
          <w:kern w:val="0"/>
          <w:sz w:val="28"/>
          <w:szCs w:val="28"/>
          <w:lang w:val="x-none"/>
        </w:rPr>
      </w:pPr>
      <w:r w:rsidRPr="00CD5F2E">
        <w:rPr>
          <w:rFonts w:eastAsia="標楷體" w:hint="eastAsia"/>
          <w:kern w:val="0"/>
          <w:sz w:val="28"/>
          <w:szCs w:val="28"/>
        </w:rPr>
        <w:t>決議</w:t>
      </w:r>
      <w:r w:rsidRPr="00CD5F2E">
        <w:rPr>
          <w:rFonts w:ascii="標楷體" w:eastAsia="標楷體" w:hAnsi="標楷體" w:hint="eastAsia"/>
          <w:kern w:val="0"/>
          <w:sz w:val="28"/>
          <w:szCs w:val="28"/>
          <w:lang w:val="x-none"/>
        </w:rPr>
        <w:t>：</w:t>
      </w:r>
    </w:p>
    <w:p w14:paraId="1B1A2EF3" w14:textId="77777777" w:rsidR="00421BB5" w:rsidRDefault="00421BB5" w:rsidP="00421BB5">
      <w:pPr>
        <w:spacing w:line="360" w:lineRule="exact"/>
        <w:contextualSpacing/>
        <w:jc w:val="both"/>
        <w:rPr>
          <w:rFonts w:ascii="標楷體" w:eastAsia="標楷體" w:hAnsi="標楷體"/>
          <w:sz w:val="28"/>
          <w:szCs w:val="28"/>
        </w:rPr>
      </w:pPr>
      <w:r>
        <w:rPr>
          <w:rFonts w:ascii="標楷體" w:eastAsia="標楷體" w:hAnsi="標楷體"/>
          <w:sz w:val="28"/>
          <w:szCs w:val="28"/>
        </w:rPr>
        <w:t>一</w:t>
      </w:r>
      <w:r>
        <w:rPr>
          <w:rFonts w:ascii="標楷體" w:eastAsia="標楷體" w:hAnsi="標楷體"/>
          <w:spacing w:val="-6"/>
          <w:sz w:val="28"/>
          <w:szCs w:val="28"/>
        </w:rPr>
        <w:t>、</w:t>
      </w:r>
      <w:r>
        <w:rPr>
          <w:rFonts w:ascii="標楷體" w:eastAsia="標楷體" w:hAnsi="標楷體"/>
          <w:sz w:val="28"/>
          <w:szCs w:val="28"/>
        </w:rPr>
        <w:t>報告</w:t>
      </w:r>
      <w:r>
        <w:rPr>
          <w:rFonts w:ascii="標楷體" w:eastAsia="標楷體" w:hAnsi="標楷體" w:hint="eastAsia"/>
          <w:sz w:val="28"/>
          <w:szCs w:val="28"/>
        </w:rPr>
        <w:t>及</w:t>
      </w:r>
      <w:r>
        <w:rPr>
          <w:rFonts w:ascii="標楷體" w:eastAsia="標楷體" w:hAnsi="標楷體"/>
          <w:sz w:val="28"/>
          <w:szCs w:val="28"/>
        </w:rPr>
        <w:t>詢答完畢</w:t>
      </w:r>
      <w:r w:rsidRPr="0054526C">
        <w:rPr>
          <w:rFonts w:ascii="標楷體" w:eastAsia="標楷體" w:hAnsi="標楷體" w:hint="eastAsia"/>
          <w:sz w:val="28"/>
          <w:szCs w:val="28"/>
        </w:rPr>
        <w:t>。</w:t>
      </w:r>
    </w:p>
    <w:p w14:paraId="5687D301" w14:textId="77777777" w:rsidR="00421BB5" w:rsidRDefault="00421BB5" w:rsidP="00421BB5">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二、本案另定期繼續審查</w:t>
      </w:r>
      <w:r w:rsidRPr="0054526C">
        <w:rPr>
          <w:rFonts w:ascii="標楷體" w:eastAsia="標楷體" w:hAnsi="標楷體" w:hint="eastAsia"/>
          <w:sz w:val="28"/>
          <w:szCs w:val="28"/>
        </w:rPr>
        <w:t>。</w:t>
      </w:r>
    </w:p>
    <w:p w14:paraId="33B6A614" w14:textId="77777777" w:rsidR="00421BB5" w:rsidRDefault="00421BB5" w:rsidP="00421BB5">
      <w:pPr>
        <w:spacing w:line="360" w:lineRule="exact"/>
        <w:contextualSpacing/>
        <w:jc w:val="distribute"/>
        <w:rPr>
          <w:rFonts w:ascii="標楷體" w:eastAsia="標楷體" w:hAnsi="標楷體"/>
          <w:sz w:val="28"/>
          <w:szCs w:val="28"/>
        </w:rPr>
      </w:pPr>
      <w:r>
        <w:rPr>
          <w:rFonts w:ascii="標楷體" w:eastAsia="標楷體" w:hAnsi="標楷體" w:hint="eastAsia"/>
          <w:sz w:val="28"/>
          <w:szCs w:val="28"/>
        </w:rPr>
        <w:t>三、</w:t>
      </w:r>
      <w:r w:rsidRPr="00803E97">
        <w:rPr>
          <w:rFonts w:ascii="標楷體" w:eastAsia="標楷體" w:hAnsi="標楷體"/>
          <w:sz w:val="28"/>
          <w:szCs w:val="28"/>
        </w:rPr>
        <w:t>委員質詢時，要求提供相關資料或以書面答復者，請相關機關儘</w:t>
      </w:r>
    </w:p>
    <w:p w14:paraId="010E2982" w14:textId="77777777" w:rsidR="00421BB5" w:rsidRDefault="00421BB5" w:rsidP="00421BB5">
      <w:pPr>
        <w:spacing w:line="360" w:lineRule="exact"/>
        <w:ind w:leftChars="240" w:left="643" w:hangingChars="24" w:hanging="67"/>
        <w:contextualSpacing/>
        <w:jc w:val="both"/>
        <w:rPr>
          <w:rFonts w:ascii="標楷體" w:eastAsia="標楷體" w:hAnsi="標楷體"/>
          <w:sz w:val="28"/>
          <w:szCs w:val="28"/>
        </w:rPr>
      </w:pPr>
      <w:r w:rsidRPr="00803E97">
        <w:rPr>
          <w:rFonts w:ascii="標楷體" w:eastAsia="標楷體" w:hAnsi="標楷體"/>
          <w:sz w:val="28"/>
          <w:szCs w:val="28"/>
        </w:rPr>
        <w:t>速送交個別委員及本</w:t>
      </w:r>
      <w:r>
        <w:rPr>
          <w:rFonts w:ascii="標楷體" w:eastAsia="標楷體" w:hAnsi="標楷體" w:hint="eastAsia"/>
          <w:sz w:val="28"/>
          <w:szCs w:val="28"/>
        </w:rPr>
        <w:t>聯席</w:t>
      </w:r>
      <w:r w:rsidRPr="00803E97">
        <w:rPr>
          <w:rFonts w:ascii="標楷體" w:eastAsia="標楷體" w:hAnsi="標楷體"/>
          <w:sz w:val="28"/>
          <w:szCs w:val="28"/>
        </w:rPr>
        <w:t>會。</w:t>
      </w:r>
    </w:p>
    <w:p w14:paraId="175B0458" w14:textId="77777777" w:rsidR="00421BB5" w:rsidRDefault="00421BB5" w:rsidP="00421BB5">
      <w:pPr>
        <w:tabs>
          <w:tab w:val="left" w:pos="-180"/>
        </w:tabs>
        <w:snapToGrid w:val="0"/>
        <w:spacing w:line="360" w:lineRule="exact"/>
        <w:jc w:val="both"/>
        <w:rPr>
          <w:rFonts w:ascii="標楷體" w:eastAsia="標楷體" w:hAnsi="標楷體"/>
          <w:sz w:val="28"/>
          <w:szCs w:val="28"/>
        </w:rPr>
      </w:pPr>
      <w:r>
        <w:rPr>
          <w:rFonts w:ascii="標楷體" w:eastAsia="標楷體" w:hAnsi="標楷體" w:hint="eastAsia"/>
          <w:sz w:val="28"/>
          <w:szCs w:val="28"/>
        </w:rPr>
        <w:t>散會</w:t>
      </w:r>
    </w:p>
    <w:p w14:paraId="19C26C94" w14:textId="77777777" w:rsidR="00421BB5" w:rsidRPr="00BD62B6" w:rsidRDefault="00421BB5" w:rsidP="00421BB5">
      <w:pPr>
        <w:pStyle w:val="afffff4"/>
        <w:spacing w:line="340" w:lineRule="exact"/>
        <w:ind w:leftChars="5" w:left="650" w:hangingChars="228" w:hanging="638"/>
        <w:jc w:val="both"/>
        <w:rPr>
          <w:rFonts w:ascii="標楷體" w:hAnsi="標楷體"/>
          <w:sz w:val="28"/>
          <w:szCs w:val="28"/>
        </w:rPr>
      </w:pPr>
    </w:p>
    <w:p w14:paraId="52CC291E" w14:textId="77777777" w:rsidR="00421BB5" w:rsidRPr="001327CE" w:rsidRDefault="00421BB5" w:rsidP="00421BB5">
      <w:pPr>
        <w:spacing w:beforeLines="50" w:before="180" w:afterLines="50" w:after="180" w:line="400" w:lineRule="exact"/>
        <w:outlineLvl w:val="2"/>
        <w:rPr>
          <w:rFonts w:ascii="標楷體" w:eastAsia="標楷體" w:hAnsi="標楷體"/>
          <w:b/>
          <w:spacing w:val="-20"/>
          <w:kern w:val="0"/>
          <w:sz w:val="28"/>
          <w:szCs w:val="28"/>
        </w:rPr>
      </w:pPr>
      <w:r>
        <w:rPr>
          <w:rFonts w:ascii="標楷體" w:eastAsia="標楷體" w:hAnsi="標楷體"/>
          <w:sz w:val="28"/>
          <w:szCs w:val="28"/>
        </w:rPr>
        <w:br w:type="page"/>
      </w:r>
      <w:r w:rsidRPr="001327CE">
        <w:rPr>
          <w:rFonts w:ascii="標楷體" w:eastAsia="標楷體" w:hAnsi="標楷體" w:hint="eastAsia"/>
          <w:b/>
          <w:spacing w:val="-20"/>
          <w:kern w:val="0"/>
          <w:sz w:val="28"/>
          <w:szCs w:val="28"/>
        </w:rPr>
        <w:lastRenderedPageBreak/>
        <w:t>立法院第10屆第</w:t>
      </w:r>
      <w:r>
        <w:rPr>
          <w:rFonts w:ascii="標楷體" w:eastAsia="標楷體" w:hAnsi="標楷體" w:hint="eastAsia"/>
          <w:b/>
          <w:spacing w:val="-20"/>
          <w:kern w:val="0"/>
          <w:sz w:val="28"/>
          <w:szCs w:val="28"/>
        </w:rPr>
        <w:t>6</w:t>
      </w:r>
      <w:r w:rsidRPr="001327CE">
        <w:rPr>
          <w:rFonts w:ascii="標楷體" w:eastAsia="標楷體" w:hAnsi="標楷體" w:hint="eastAsia"/>
          <w:b/>
          <w:spacing w:val="-20"/>
          <w:kern w:val="0"/>
          <w:sz w:val="28"/>
          <w:szCs w:val="28"/>
        </w:rPr>
        <w:t>會期司法及法制、教育及文化委員會第1次聯席會議議事錄</w:t>
      </w:r>
    </w:p>
    <w:p w14:paraId="7D5240B2" w14:textId="77777777" w:rsidR="00421BB5" w:rsidRPr="004E7BB1" w:rsidRDefault="00421BB5" w:rsidP="00421BB5">
      <w:pPr>
        <w:snapToGrid w:val="0"/>
        <w:spacing w:line="340" w:lineRule="exact"/>
        <w:ind w:left="1456" w:hangingChars="520" w:hanging="1456"/>
        <w:jc w:val="both"/>
        <w:rPr>
          <w:rFonts w:ascii="標楷體" w:eastAsia="標楷體" w:hAnsi="標楷體"/>
          <w:spacing w:val="-14"/>
          <w:sz w:val="28"/>
          <w:szCs w:val="28"/>
        </w:rPr>
      </w:pPr>
      <w:r w:rsidRPr="00B55AF6">
        <w:rPr>
          <w:rFonts w:ascii="標楷體" w:eastAsia="標楷體" w:hAnsi="標楷體" w:hint="eastAsia"/>
          <w:sz w:val="28"/>
          <w:szCs w:val="28"/>
        </w:rPr>
        <w:t>時    間：</w:t>
      </w:r>
      <w:r w:rsidRPr="006B00DA">
        <w:rPr>
          <w:rFonts w:ascii="標楷體" w:eastAsia="標楷體" w:hAnsi="標楷體" w:hint="eastAsia"/>
          <w:spacing w:val="-20"/>
          <w:sz w:val="28"/>
          <w:szCs w:val="28"/>
        </w:rPr>
        <w:t>中華民國</w:t>
      </w:r>
      <w:r>
        <w:rPr>
          <w:rFonts w:ascii="標楷體" w:eastAsia="標楷體" w:hAnsi="標楷體" w:hint="eastAsia"/>
          <w:spacing w:val="-20"/>
          <w:sz w:val="28"/>
          <w:szCs w:val="28"/>
        </w:rPr>
        <w:t>111</w:t>
      </w:r>
      <w:r w:rsidRPr="006B00DA">
        <w:rPr>
          <w:rFonts w:ascii="標楷體" w:eastAsia="標楷體" w:hAnsi="標楷體" w:hint="eastAsia"/>
          <w:spacing w:val="-20"/>
          <w:sz w:val="28"/>
          <w:szCs w:val="28"/>
        </w:rPr>
        <w:t>年</w:t>
      </w:r>
      <w:r>
        <w:rPr>
          <w:rFonts w:ascii="標楷體" w:eastAsia="標楷體" w:hAnsi="標楷體" w:hint="eastAsia"/>
          <w:spacing w:val="-20"/>
          <w:sz w:val="28"/>
          <w:szCs w:val="28"/>
        </w:rPr>
        <w:t>12</w:t>
      </w:r>
      <w:r w:rsidRPr="006B00DA">
        <w:rPr>
          <w:rFonts w:ascii="標楷體" w:eastAsia="標楷體" w:hAnsi="標楷體" w:hint="eastAsia"/>
          <w:spacing w:val="-20"/>
          <w:sz w:val="28"/>
          <w:szCs w:val="28"/>
        </w:rPr>
        <w:t>月</w:t>
      </w:r>
      <w:r>
        <w:rPr>
          <w:rFonts w:ascii="標楷體" w:eastAsia="標楷體" w:hAnsi="標楷體" w:hint="eastAsia"/>
          <w:spacing w:val="-20"/>
          <w:sz w:val="28"/>
          <w:szCs w:val="28"/>
        </w:rPr>
        <w:t>5</w:t>
      </w:r>
      <w:r w:rsidRPr="006B00DA">
        <w:rPr>
          <w:rFonts w:ascii="標楷體" w:eastAsia="標楷體" w:hAnsi="標楷體" w:hint="eastAsia"/>
          <w:spacing w:val="-20"/>
          <w:sz w:val="28"/>
          <w:szCs w:val="28"/>
        </w:rPr>
        <w:t>日（星期</w:t>
      </w:r>
      <w:r>
        <w:rPr>
          <w:rFonts w:ascii="標楷體" w:eastAsia="標楷體" w:hAnsi="標楷體"/>
          <w:spacing w:val="-20"/>
          <w:sz w:val="28"/>
          <w:szCs w:val="28"/>
        </w:rPr>
        <w:t>一</w:t>
      </w:r>
      <w:r w:rsidRPr="006B00DA">
        <w:rPr>
          <w:rFonts w:ascii="標楷體" w:eastAsia="標楷體" w:hAnsi="標楷體" w:hint="eastAsia"/>
          <w:spacing w:val="-20"/>
          <w:sz w:val="28"/>
          <w:szCs w:val="28"/>
        </w:rPr>
        <w:t>）上午</w:t>
      </w:r>
      <w:r w:rsidRPr="00E248A4">
        <w:rPr>
          <w:rFonts w:ascii="標楷體" w:eastAsia="標楷體" w:hAnsi="標楷體" w:hint="eastAsia"/>
          <w:spacing w:val="-20"/>
          <w:sz w:val="28"/>
          <w:szCs w:val="28"/>
        </w:rPr>
        <w:t>9時至下午2時41分</w:t>
      </w:r>
    </w:p>
    <w:p w14:paraId="5788D843" w14:textId="77777777" w:rsidR="00421BB5" w:rsidRPr="006631C3" w:rsidRDefault="00421BB5" w:rsidP="00421BB5">
      <w:pPr>
        <w:snapToGrid w:val="0"/>
        <w:spacing w:line="340" w:lineRule="exact"/>
        <w:jc w:val="both"/>
        <w:rPr>
          <w:rFonts w:ascii="標楷體" w:eastAsia="標楷體" w:hAnsi="標楷體"/>
          <w:sz w:val="28"/>
          <w:szCs w:val="28"/>
        </w:rPr>
      </w:pPr>
      <w:r w:rsidRPr="006631C3">
        <w:rPr>
          <w:rFonts w:ascii="標楷體" w:eastAsia="標楷體" w:hAnsi="標楷體" w:hint="eastAsia"/>
          <w:sz w:val="28"/>
          <w:szCs w:val="28"/>
        </w:rPr>
        <w:t>地    點：本院紅樓302會議室</w:t>
      </w:r>
    </w:p>
    <w:p w14:paraId="37DD55E3" w14:textId="77777777" w:rsidR="00421BB5" w:rsidRDefault="00421BB5" w:rsidP="00421BB5">
      <w:pPr>
        <w:snapToGrid w:val="0"/>
        <w:spacing w:line="360" w:lineRule="exact"/>
        <w:jc w:val="both"/>
        <w:rPr>
          <w:rFonts w:ascii="標楷體" w:eastAsia="標楷體" w:hAnsi="標楷體"/>
          <w:sz w:val="28"/>
          <w:szCs w:val="28"/>
        </w:rPr>
      </w:pPr>
      <w:r w:rsidRPr="0072741B">
        <w:rPr>
          <w:rFonts w:ascii="標楷體" w:eastAsia="標楷體" w:hAnsi="標楷體"/>
          <w:sz w:val="28"/>
          <w:szCs w:val="28"/>
        </w:rPr>
        <w:t>出席委員</w:t>
      </w:r>
      <w:r w:rsidRPr="0072741B">
        <w:rPr>
          <w:rFonts w:ascii="標楷體" w:eastAsia="標楷體" w:hAnsi="標楷體" w:hint="eastAsia"/>
          <w:sz w:val="28"/>
          <w:szCs w:val="28"/>
        </w:rPr>
        <w:t>：</w:t>
      </w:r>
      <w:r>
        <w:rPr>
          <w:rFonts w:ascii="標楷體" w:eastAsia="標楷體" w:hAnsi="標楷體" w:hint="eastAsia"/>
          <w:sz w:val="28"/>
          <w:szCs w:val="28"/>
        </w:rPr>
        <w:t>鄭運鵬</w:t>
      </w:r>
      <w:r>
        <w:rPr>
          <w:rFonts w:ascii="標楷體" w:eastAsia="標楷體" w:hAnsi="標楷體"/>
          <w:sz w:val="28"/>
          <w:szCs w:val="28"/>
        </w:rPr>
        <w:tab/>
      </w:r>
      <w:r>
        <w:rPr>
          <w:rFonts w:eastAsia="標楷體" w:hint="eastAsia"/>
          <w:sz w:val="28"/>
        </w:rPr>
        <w:t>林奕華</w:t>
      </w:r>
      <w:r>
        <w:rPr>
          <w:rFonts w:ascii="標楷體" w:eastAsia="標楷體" w:hAnsi="標楷體"/>
          <w:sz w:val="28"/>
          <w:szCs w:val="28"/>
        </w:rPr>
        <w:tab/>
        <w:t>游</w:t>
      </w:r>
      <w:r>
        <w:rPr>
          <w:rFonts w:ascii="標楷體" w:eastAsia="標楷體" w:hAnsi="標楷體" w:hint="eastAsia"/>
          <w:sz w:val="28"/>
          <w:szCs w:val="28"/>
        </w:rPr>
        <w:t>毓蘭</w:t>
      </w:r>
      <w:r>
        <w:rPr>
          <w:rFonts w:ascii="標楷體" w:eastAsia="標楷體" w:hAnsi="標楷體"/>
          <w:sz w:val="28"/>
          <w:szCs w:val="28"/>
        </w:rPr>
        <w:tab/>
      </w:r>
      <w:r>
        <w:rPr>
          <w:rFonts w:ascii="標楷體" w:eastAsia="標楷體" w:hAnsi="標楷體" w:hint="eastAsia"/>
          <w:sz w:val="28"/>
          <w:szCs w:val="28"/>
        </w:rPr>
        <w:t>曾銘宗</w:t>
      </w:r>
      <w:r>
        <w:rPr>
          <w:rFonts w:ascii="標楷體" w:eastAsia="標楷體" w:hAnsi="標楷體"/>
          <w:sz w:val="28"/>
          <w:szCs w:val="28"/>
        </w:rPr>
        <w:tab/>
      </w:r>
      <w:r>
        <w:rPr>
          <w:rFonts w:eastAsia="標楷體" w:hint="eastAsia"/>
          <w:sz w:val="28"/>
        </w:rPr>
        <w:t>陳秀</w:t>
      </w:r>
      <w:r w:rsidRPr="00C46610">
        <w:rPr>
          <w:rFonts w:eastAsia="標楷體" w:hint="eastAsia"/>
          <w:sz w:val="28"/>
        </w:rPr>
        <w:t>寳</w:t>
      </w:r>
      <w:r>
        <w:rPr>
          <w:rFonts w:eastAsia="標楷體"/>
          <w:sz w:val="28"/>
        </w:rPr>
        <w:tab/>
      </w:r>
      <w:r>
        <w:rPr>
          <w:rFonts w:ascii="標楷體" w:eastAsia="標楷體" w:hAnsi="標楷體" w:hint="eastAsia"/>
          <w:sz w:val="28"/>
          <w:szCs w:val="28"/>
        </w:rPr>
        <w:t>陳歐珀</w:t>
      </w:r>
      <w:r>
        <w:rPr>
          <w:rFonts w:ascii="標楷體" w:eastAsia="標楷體" w:hAnsi="標楷體"/>
          <w:sz w:val="28"/>
          <w:szCs w:val="28"/>
        </w:rPr>
        <w:tab/>
      </w:r>
      <w:r>
        <w:rPr>
          <w:rFonts w:ascii="標楷體" w:eastAsia="標楷體" w:hAnsi="標楷體" w:hint="eastAsia"/>
          <w:sz w:val="28"/>
          <w:szCs w:val="28"/>
        </w:rPr>
        <w:t>王婉諭</w:t>
      </w:r>
      <w:r>
        <w:rPr>
          <w:rFonts w:ascii="標楷體" w:eastAsia="標楷體" w:hAnsi="標楷體"/>
          <w:sz w:val="28"/>
          <w:szCs w:val="28"/>
        </w:rPr>
        <w:tab/>
      </w:r>
    </w:p>
    <w:p w14:paraId="4134AD3F" w14:textId="77777777" w:rsidR="00421BB5" w:rsidRPr="002274C6" w:rsidRDefault="00421BB5" w:rsidP="00421BB5">
      <w:pPr>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陳以信</w:t>
      </w:r>
      <w:r>
        <w:rPr>
          <w:rFonts w:ascii="標楷體" w:eastAsia="標楷體" w:hAnsi="標楷體"/>
          <w:sz w:val="28"/>
          <w:szCs w:val="28"/>
        </w:rPr>
        <w:tab/>
      </w:r>
      <w:r>
        <w:rPr>
          <w:rFonts w:eastAsia="標楷體" w:hint="eastAsia"/>
          <w:sz w:val="28"/>
        </w:rPr>
        <w:t>林宜瑾</w:t>
      </w:r>
      <w:r>
        <w:rPr>
          <w:rFonts w:eastAsia="標楷體"/>
          <w:sz w:val="28"/>
        </w:rPr>
        <w:tab/>
      </w:r>
      <w:r>
        <w:rPr>
          <w:rFonts w:ascii="標楷體" w:eastAsia="標楷體" w:hAnsi="標楷體" w:hint="eastAsia"/>
          <w:sz w:val="28"/>
          <w:szCs w:val="28"/>
        </w:rPr>
        <w:t>黃國書</w:t>
      </w:r>
      <w:r>
        <w:rPr>
          <w:rFonts w:ascii="標楷體" w:eastAsia="標楷體" w:hAnsi="標楷體"/>
          <w:sz w:val="28"/>
          <w:szCs w:val="28"/>
        </w:rPr>
        <w:tab/>
      </w:r>
      <w:r w:rsidRPr="002274C6">
        <w:rPr>
          <w:rFonts w:eastAsia="標楷體" w:hint="eastAsia"/>
          <w:sz w:val="28"/>
        </w:rPr>
        <w:t>賴品妤</w:t>
      </w:r>
      <w:r w:rsidRPr="002274C6">
        <w:rPr>
          <w:rFonts w:eastAsia="標楷體"/>
          <w:sz w:val="28"/>
        </w:rPr>
        <w:tab/>
      </w:r>
      <w:r w:rsidRPr="002274C6">
        <w:rPr>
          <w:rFonts w:ascii="標楷體" w:eastAsia="標楷體" w:hAnsi="標楷體" w:hint="eastAsia"/>
          <w:sz w:val="28"/>
          <w:szCs w:val="28"/>
        </w:rPr>
        <w:t>林思銘</w:t>
      </w:r>
      <w:r w:rsidRPr="002274C6">
        <w:rPr>
          <w:rFonts w:ascii="標楷體" w:eastAsia="標楷體" w:hAnsi="標楷體"/>
          <w:sz w:val="28"/>
          <w:szCs w:val="28"/>
        </w:rPr>
        <w:tab/>
      </w:r>
      <w:r w:rsidRPr="002274C6">
        <w:rPr>
          <w:rFonts w:eastAsia="標楷體" w:hint="eastAsia"/>
          <w:sz w:val="28"/>
        </w:rPr>
        <w:t>鄭正鈐</w:t>
      </w:r>
      <w:r w:rsidRPr="002274C6">
        <w:rPr>
          <w:rFonts w:eastAsia="標楷體"/>
          <w:sz w:val="28"/>
        </w:rPr>
        <w:tab/>
      </w:r>
      <w:r w:rsidRPr="002274C6">
        <w:rPr>
          <w:rFonts w:eastAsia="標楷體" w:hint="eastAsia"/>
          <w:sz w:val="28"/>
        </w:rPr>
        <w:t>萬美玲</w:t>
      </w:r>
      <w:r w:rsidRPr="002274C6">
        <w:rPr>
          <w:rFonts w:ascii="標楷體" w:eastAsia="標楷體" w:hAnsi="標楷體"/>
          <w:sz w:val="28"/>
          <w:szCs w:val="28"/>
        </w:rPr>
        <w:tab/>
      </w:r>
    </w:p>
    <w:p w14:paraId="1CE7242E" w14:textId="77777777" w:rsidR="00421BB5" w:rsidRPr="002274C6" w:rsidRDefault="00421BB5" w:rsidP="00421BB5">
      <w:pPr>
        <w:snapToGrid w:val="0"/>
        <w:spacing w:line="360" w:lineRule="exact"/>
        <w:ind w:firstLineChars="500" w:firstLine="1400"/>
        <w:jc w:val="both"/>
        <w:rPr>
          <w:rFonts w:ascii="標楷體" w:eastAsia="標楷體" w:hAnsi="標楷體"/>
          <w:sz w:val="28"/>
          <w:szCs w:val="28"/>
        </w:rPr>
      </w:pPr>
      <w:r w:rsidRPr="002274C6">
        <w:rPr>
          <w:rFonts w:ascii="標楷體" w:eastAsia="標楷體" w:hAnsi="標楷體" w:hint="eastAsia"/>
          <w:sz w:val="28"/>
          <w:szCs w:val="28"/>
        </w:rPr>
        <w:t>江永昌</w:t>
      </w:r>
      <w:r w:rsidRPr="002274C6">
        <w:rPr>
          <w:rFonts w:ascii="標楷體" w:eastAsia="標楷體" w:hAnsi="標楷體"/>
          <w:sz w:val="28"/>
          <w:szCs w:val="28"/>
        </w:rPr>
        <w:tab/>
      </w:r>
      <w:r w:rsidRPr="002274C6">
        <w:rPr>
          <w:rFonts w:eastAsia="標楷體" w:hint="eastAsia"/>
          <w:sz w:val="28"/>
        </w:rPr>
        <w:t>何欣純</w:t>
      </w:r>
      <w:r w:rsidRPr="002274C6">
        <w:rPr>
          <w:rFonts w:eastAsia="標楷體"/>
          <w:sz w:val="28"/>
        </w:rPr>
        <w:tab/>
      </w:r>
      <w:r w:rsidRPr="002274C6">
        <w:rPr>
          <w:rFonts w:ascii="標楷體" w:eastAsia="標楷體" w:hAnsi="標楷體" w:hint="eastAsia"/>
          <w:sz w:val="28"/>
          <w:szCs w:val="28"/>
        </w:rPr>
        <w:t>黃世杰</w:t>
      </w:r>
      <w:r w:rsidRPr="002274C6">
        <w:rPr>
          <w:rFonts w:ascii="標楷體" w:eastAsia="標楷體" w:hAnsi="標楷體"/>
          <w:sz w:val="28"/>
          <w:szCs w:val="28"/>
        </w:rPr>
        <w:tab/>
      </w:r>
      <w:r w:rsidRPr="002274C6">
        <w:rPr>
          <w:rFonts w:eastAsia="標楷體" w:hint="eastAsia"/>
          <w:sz w:val="28"/>
        </w:rPr>
        <w:t>吳思瑤</w:t>
      </w:r>
      <w:r w:rsidRPr="002274C6">
        <w:rPr>
          <w:rFonts w:eastAsia="標楷體"/>
          <w:sz w:val="28"/>
        </w:rPr>
        <w:tab/>
      </w:r>
      <w:r w:rsidRPr="002274C6">
        <w:rPr>
          <w:rFonts w:eastAsia="標楷體" w:hint="eastAsia"/>
          <w:sz w:val="28"/>
        </w:rPr>
        <w:t>范　雲</w:t>
      </w:r>
      <w:r w:rsidRPr="002274C6">
        <w:rPr>
          <w:rFonts w:eastAsia="標楷體"/>
          <w:sz w:val="28"/>
        </w:rPr>
        <w:tab/>
      </w:r>
      <w:r w:rsidRPr="002274C6">
        <w:rPr>
          <w:rFonts w:eastAsia="標楷體" w:hint="eastAsia"/>
          <w:sz w:val="28"/>
        </w:rPr>
        <w:t>吳怡玎</w:t>
      </w:r>
      <w:r w:rsidRPr="002274C6">
        <w:rPr>
          <w:rFonts w:eastAsia="標楷體"/>
          <w:sz w:val="28"/>
        </w:rPr>
        <w:tab/>
      </w:r>
      <w:r w:rsidRPr="002274C6">
        <w:rPr>
          <w:rFonts w:eastAsia="標楷體" w:hint="eastAsia"/>
          <w:spacing w:val="-20"/>
          <w:w w:val="90"/>
          <w:sz w:val="28"/>
        </w:rPr>
        <w:t>張</w:t>
      </w:r>
      <w:r w:rsidRPr="002274C6">
        <w:rPr>
          <w:rFonts w:ascii="標楷體" w:eastAsia="標楷體" w:hAnsi="標楷體" w:hint="eastAsia"/>
          <w:spacing w:val="-20"/>
          <w:sz w:val="28"/>
          <w:szCs w:val="28"/>
        </w:rPr>
        <w:t>廖萬堅</w:t>
      </w:r>
    </w:p>
    <w:p w14:paraId="6A63A777" w14:textId="77777777" w:rsidR="00421BB5" w:rsidRDefault="00421BB5" w:rsidP="00421BB5">
      <w:pPr>
        <w:snapToGrid w:val="0"/>
        <w:spacing w:line="360" w:lineRule="exact"/>
        <w:ind w:firstLineChars="500" w:firstLine="1400"/>
        <w:jc w:val="both"/>
        <w:rPr>
          <w:rFonts w:ascii="標楷體" w:eastAsia="標楷體" w:hAnsi="標楷體"/>
          <w:sz w:val="28"/>
          <w:szCs w:val="28"/>
        </w:rPr>
      </w:pPr>
      <w:r w:rsidRPr="00E248A4">
        <w:rPr>
          <w:rFonts w:ascii="標楷體" w:eastAsia="標楷體" w:hAnsi="標楷體" w:hint="eastAsia"/>
          <w:sz w:val="28"/>
          <w:szCs w:val="28"/>
        </w:rPr>
        <w:t>劉建國</w:t>
      </w:r>
      <w:r w:rsidRPr="00E248A4">
        <w:rPr>
          <w:rFonts w:ascii="標楷體" w:eastAsia="標楷體" w:hAnsi="標楷體"/>
          <w:sz w:val="28"/>
          <w:szCs w:val="28"/>
        </w:rPr>
        <w:tab/>
      </w:r>
      <w:r w:rsidRPr="00E248A4">
        <w:rPr>
          <w:rFonts w:ascii="標楷體" w:eastAsia="標楷體" w:hAnsi="標楷體" w:hint="eastAsia"/>
          <w:sz w:val="28"/>
          <w:szCs w:val="28"/>
        </w:rPr>
        <w:t>柯建銘</w:t>
      </w:r>
    </w:p>
    <w:p w14:paraId="0C1C6743" w14:textId="77777777" w:rsidR="00421BB5" w:rsidRPr="005E4554" w:rsidRDefault="00421BB5" w:rsidP="00421BB5">
      <w:pPr>
        <w:snapToGrid w:val="0"/>
        <w:spacing w:line="360" w:lineRule="exact"/>
        <w:ind w:leftChars="578" w:left="1429" w:hangingChars="15" w:hanging="42"/>
        <w:jc w:val="both"/>
        <w:rPr>
          <w:rFonts w:ascii="標楷體" w:eastAsia="標楷體" w:hAnsi="標楷體"/>
          <w:sz w:val="28"/>
          <w:szCs w:val="28"/>
        </w:rPr>
      </w:pPr>
      <w:r w:rsidRPr="0060538B">
        <w:rPr>
          <w:rFonts w:ascii="標楷體" w:eastAsia="標楷體" w:hAnsi="標楷體"/>
          <w:sz w:val="28"/>
          <w:szCs w:val="28"/>
        </w:rPr>
        <w:t>委員出席</w:t>
      </w:r>
      <w:r>
        <w:rPr>
          <w:rFonts w:ascii="標楷體" w:eastAsia="標楷體" w:hAnsi="標楷體" w:hint="eastAsia"/>
          <w:sz w:val="28"/>
          <w:szCs w:val="28"/>
        </w:rPr>
        <w:t>23</w:t>
      </w:r>
      <w:r w:rsidRPr="0060538B">
        <w:rPr>
          <w:rFonts w:ascii="標楷體" w:eastAsia="標楷體" w:hAnsi="標楷體"/>
          <w:sz w:val="28"/>
          <w:szCs w:val="28"/>
        </w:rPr>
        <w:t>人</w:t>
      </w:r>
    </w:p>
    <w:p w14:paraId="38B21F73" w14:textId="77777777" w:rsidR="00421BB5" w:rsidRDefault="00421BB5" w:rsidP="00421BB5">
      <w:pPr>
        <w:adjustRightInd w:val="0"/>
        <w:snapToGrid w:val="0"/>
        <w:spacing w:line="360" w:lineRule="exact"/>
        <w:ind w:leftChars="-11" w:left="1402" w:hangingChars="510" w:hanging="1428"/>
        <w:jc w:val="both"/>
        <w:rPr>
          <w:rFonts w:ascii="標楷體" w:eastAsia="標楷體" w:hAnsi="標楷體"/>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Pr>
          <w:rFonts w:ascii="標楷體" w:eastAsia="標楷體" w:hAnsi="標楷體" w:hint="eastAsia"/>
          <w:color w:val="000000"/>
          <w:sz w:val="28"/>
          <w:szCs w:val="28"/>
        </w:rPr>
        <w:t>李貴敏</w:t>
      </w:r>
      <w:r>
        <w:rPr>
          <w:rFonts w:ascii="標楷體" w:eastAsia="標楷體" w:hAnsi="標楷體"/>
          <w:color w:val="000000"/>
          <w:sz w:val="28"/>
          <w:szCs w:val="28"/>
        </w:rPr>
        <w:tab/>
      </w:r>
      <w:r>
        <w:rPr>
          <w:rFonts w:eastAsia="標楷體" w:hint="eastAsia"/>
          <w:sz w:val="28"/>
        </w:rPr>
        <w:t>劉世芳</w:t>
      </w:r>
      <w:r>
        <w:rPr>
          <w:rFonts w:eastAsia="標楷體"/>
          <w:sz w:val="28"/>
        </w:rPr>
        <w:tab/>
      </w:r>
      <w:r w:rsidRPr="00EC3F9D">
        <w:rPr>
          <w:rFonts w:eastAsia="標楷體" w:hint="eastAsia"/>
          <w:sz w:val="28"/>
        </w:rPr>
        <w:t>鍾佳濱</w:t>
      </w:r>
      <w:r>
        <w:rPr>
          <w:rFonts w:eastAsia="標楷體"/>
          <w:sz w:val="28"/>
        </w:rPr>
        <w:tab/>
      </w:r>
      <w:r w:rsidRPr="004220EA">
        <w:rPr>
          <w:rFonts w:eastAsia="標楷體" w:hint="eastAsia"/>
          <w:sz w:val="28"/>
        </w:rPr>
        <w:t>洪孟楷</w:t>
      </w:r>
      <w:r>
        <w:rPr>
          <w:rFonts w:eastAsia="標楷體"/>
          <w:sz w:val="28"/>
        </w:rPr>
        <w:tab/>
      </w:r>
      <w:r>
        <w:rPr>
          <w:rFonts w:eastAsia="標楷體" w:hint="eastAsia"/>
          <w:sz w:val="28"/>
        </w:rPr>
        <w:t>陳明文</w:t>
      </w:r>
      <w:r>
        <w:rPr>
          <w:rFonts w:eastAsia="標楷體"/>
          <w:sz w:val="28"/>
        </w:rPr>
        <w:tab/>
      </w:r>
      <w:r>
        <w:rPr>
          <w:rFonts w:ascii="標楷體" w:eastAsia="標楷體" w:hAnsi="標楷體" w:hint="eastAsia"/>
          <w:sz w:val="28"/>
          <w:szCs w:val="28"/>
        </w:rPr>
        <w:t>陳椒華</w:t>
      </w:r>
      <w:r>
        <w:rPr>
          <w:rFonts w:ascii="標楷體" w:eastAsia="標楷體" w:hAnsi="標楷體"/>
          <w:sz w:val="28"/>
          <w:szCs w:val="28"/>
        </w:rPr>
        <w:tab/>
      </w:r>
      <w:r w:rsidRPr="00AA2DDA">
        <w:rPr>
          <w:rFonts w:ascii="標楷體" w:eastAsia="標楷體" w:hAnsi="標楷體" w:hint="eastAsia"/>
          <w:sz w:val="28"/>
          <w:szCs w:val="28"/>
        </w:rPr>
        <w:t>李德維</w:t>
      </w:r>
    </w:p>
    <w:p w14:paraId="246D5BC4" w14:textId="77777777" w:rsidR="00421BB5" w:rsidRDefault="00421BB5" w:rsidP="00421BB5">
      <w:pPr>
        <w:adjustRightInd w:val="0"/>
        <w:snapToGrid w:val="0"/>
        <w:spacing w:line="360" w:lineRule="exact"/>
        <w:ind w:leftChars="468" w:left="1123" w:firstLineChars="88" w:firstLine="246"/>
        <w:jc w:val="both"/>
        <w:rPr>
          <w:rFonts w:ascii="標楷體" w:eastAsia="標楷體" w:hAnsi="標楷體"/>
          <w:sz w:val="28"/>
          <w:szCs w:val="28"/>
        </w:rPr>
      </w:pPr>
      <w:r w:rsidRPr="00361E03">
        <w:rPr>
          <w:rFonts w:ascii="標楷體" w:eastAsia="標楷體" w:hAnsi="標楷體" w:hint="eastAsia"/>
          <w:sz w:val="28"/>
          <w:szCs w:val="28"/>
        </w:rPr>
        <w:t>廖婉汝</w:t>
      </w:r>
      <w:r w:rsidRPr="00361E03">
        <w:rPr>
          <w:rFonts w:ascii="標楷體" w:eastAsia="標楷體" w:hAnsi="標楷體"/>
          <w:sz w:val="28"/>
          <w:szCs w:val="28"/>
        </w:rPr>
        <w:tab/>
      </w:r>
      <w:r>
        <w:rPr>
          <w:rFonts w:ascii="標楷體" w:eastAsia="標楷體" w:hAnsi="標楷體"/>
          <w:sz w:val="28"/>
          <w:szCs w:val="28"/>
        </w:rPr>
        <w:t>孔文吉</w:t>
      </w:r>
      <w:r>
        <w:rPr>
          <w:rFonts w:ascii="標楷體" w:eastAsia="標楷體" w:hAnsi="標楷體"/>
          <w:sz w:val="28"/>
          <w:szCs w:val="28"/>
        </w:rPr>
        <w:tab/>
      </w:r>
      <w:r w:rsidRPr="002274C6">
        <w:rPr>
          <w:rFonts w:eastAsia="標楷體" w:hint="eastAsia"/>
          <w:sz w:val="28"/>
        </w:rPr>
        <w:t>張其祿</w:t>
      </w:r>
      <w:r w:rsidRPr="002274C6">
        <w:rPr>
          <w:rFonts w:eastAsia="標楷體"/>
          <w:sz w:val="28"/>
        </w:rPr>
        <w:tab/>
      </w:r>
      <w:r w:rsidRPr="002274C6">
        <w:rPr>
          <w:rFonts w:ascii="標楷體" w:eastAsia="標楷體" w:hAnsi="標楷體" w:hint="eastAsia"/>
          <w:sz w:val="28"/>
          <w:szCs w:val="28"/>
        </w:rPr>
        <w:t>高嘉瑜</w:t>
      </w:r>
      <w:r>
        <w:rPr>
          <w:rFonts w:ascii="標楷體" w:eastAsia="標楷體" w:hAnsi="標楷體"/>
          <w:sz w:val="28"/>
          <w:szCs w:val="28"/>
        </w:rPr>
        <w:tab/>
      </w:r>
      <w:r w:rsidRPr="002274C6">
        <w:rPr>
          <w:rFonts w:ascii="標楷體" w:eastAsia="標楷體" w:hAnsi="標楷體" w:hint="eastAsia"/>
          <w:sz w:val="28"/>
          <w:szCs w:val="28"/>
        </w:rPr>
        <w:t>楊瓊瓔</w:t>
      </w:r>
      <w:r w:rsidRPr="002274C6">
        <w:rPr>
          <w:rFonts w:ascii="標楷體" w:eastAsia="標楷體" w:hAnsi="標楷體"/>
          <w:sz w:val="28"/>
          <w:szCs w:val="28"/>
        </w:rPr>
        <w:tab/>
      </w:r>
      <w:r w:rsidRPr="002274C6">
        <w:rPr>
          <w:rFonts w:ascii="標楷體" w:eastAsia="標楷體" w:hAnsi="標楷體" w:hint="eastAsia"/>
          <w:sz w:val="28"/>
          <w:szCs w:val="28"/>
        </w:rPr>
        <w:t>林靜儀</w:t>
      </w:r>
      <w:r>
        <w:rPr>
          <w:rFonts w:ascii="標楷體" w:eastAsia="標楷體" w:hAnsi="標楷體"/>
          <w:sz w:val="28"/>
          <w:szCs w:val="28"/>
        </w:rPr>
        <w:tab/>
      </w:r>
      <w:r w:rsidRPr="00FB0E6A">
        <w:rPr>
          <w:rFonts w:ascii="標楷體" w:eastAsia="標楷體" w:hAnsi="標楷體" w:hint="eastAsia"/>
          <w:color w:val="000000"/>
          <w:sz w:val="28"/>
          <w:szCs w:val="28"/>
        </w:rPr>
        <w:t>呂玉玲</w:t>
      </w:r>
      <w:r>
        <w:rPr>
          <w:rFonts w:ascii="標楷體" w:eastAsia="標楷體" w:hAnsi="標楷體"/>
          <w:color w:val="000000"/>
          <w:sz w:val="28"/>
          <w:szCs w:val="28"/>
        </w:rPr>
        <w:tab/>
      </w:r>
    </w:p>
    <w:p w14:paraId="126631A4" w14:textId="77777777" w:rsidR="00421BB5" w:rsidRDefault="00421BB5" w:rsidP="00421BB5">
      <w:pPr>
        <w:snapToGrid w:val="0"/>
        <w:spacing w:line="360" w:lineRule="exact"/>
        <w:ind w:leftChars="578" w:left="1429" w:hangingChars="15" w:hanging="42"/>
        <w:jc w:val="both"/>
        <w:rPr>
          <w:rFonts w:ascii="標楷體" w:eastAsia="標楷體" w:hAnsi="標楷體"/>
          <w:sz w:val="28"/>
          <w:szCs w:val="28"/>
        </w:rPr>
      </w:pPr>
      <w:r w:rsidRPr="00A97A97">
        <w:rPr>
          <w:rFonts w:ascii="標楷體" w:eastAsia="標楷體" w:hAnsi="標楷體"/>
          <w:sz w:val="28"/>
          <w:szCs w:val="28"/>
        </w:rPr>
        <w:t>委員列席</w:t>
      </w:r>
      <w:r>
        <w:rPr>
          <w:rFonts w:ascii="標楷體" w:eastAsia="標楷體" w:hAnsi="標楷體" w:hint="eastAsia"/>
          <w:sz w:val="28"/>
          <w:szCs w:val="28"/>
        </w:rPr>
        <w:t>14</w:t>
      </w:r>
      <w:r w:rsidRPr="00A97A97">
        <w:rPr>
          <w:rFonts w:ascii="標楷體" w:eastAsia="標楷體" w:hAnsi="標楷體"/>
          <w:sz w:val="28"/>
          <w:szCs w:val="28"/>
        </w:rPr>
        <w:t>人</w:t>
      </w:r>
    </w:p>
    <w:p w14:paraId="758B2655" w14:textId="77777777" w:rsidR="00421BB5" w:rsidRPr="005014AE" w:rsidRDefault="00421BB5" w:rsidP="00421BB5">
      <w:pPr>
        <w:widowControl/>
        <w:snapToGrid w:val="0"/>
        <w:spacing w:line="356" w:lineRule="exact"/>
        <w:jc w:val="both"/>
        <w:rPr>
          <w:rFonts w:ascii="標楷體" w:eastAsia="標楷體" w:hAnsi="標楷體"/>
          <w:sz w:val="28"/>
          <w:szCs w:val="28"/>
        </w:rPr>
      </w:pPr>
      <w:r w:rsidRPr="005014AE">
        <w:rPr>
          <w:rFonts w:ascii="標楷體" w:eastAsia="標楷體" w:hAnsi="標楷體" w:hint="eastAsia"/>
          <w:sz w:val="28"/>
          <w:szCs w:val="28"/>
        </w:rPr>
        <w:t>請假委員：周春米</w:t>
      </w:r>
      <w:r w:rsidRPr="005014AE">
        <w:rPr>
          <w:rFonts w:ascii="標楷體" w:eastAsia="標楷體" w:hAnsi="標楷體" w:hint="eastAsia"/>
          <w:sz w:val="28"/>
          <w:szCs w:val="28"/>
        </w:rPr>
        <w:tab/>
        <w:t>陳玉珍</w:t>
      </w:r>
      <w:r>
        <w:rPr>
          <w:rFonts w:ascii="標楷體" w:eastAsia="標楷體" w:hAnsi="標楷體"/>
          <w:sz w:val="28"/>
          <w:szCs w:val="28"/>
        </w:rPr>
        <w:tab/>
      </w:r>
      <w:r w:rsidRPr="00BB2222">
        <w:rPr>
          <w:rFonts w:ascii="標楷體" w:eastAsia="標楷體" w:hAnsi="標楷體" w:hint="eastAsia"/>
          <w:spacing w:val="-20"/>
          <w:sz w:val="28"/>
          <w:szCs w:val="28"/>
        </w:rPr>
        <w:t>高金素梅</w:t>
      </w:r>
    </w:p>
    <w:p w14:paraId="764A8F33" w14:textId="77777777" w:rsidR="00421BB5" w:rsidRPr="004220EA" w:rsidRDefault="00421BB5" w:rsidP="00421BB5">
      <w:pPr>
        <w:snapToGrid w:val="0"/>
        <w:spacing w:line="360" w:lineRule="exact"/>
        <w:ind w:leftChars="578" w:left="1429" w:hangingChars="15" w:hanging="42"/>
        <w:jc w:val="both"/>
        <w:rPr>
          <w:rFonts w:ascii="標楷體" w:eastAsia="標楷體" w:hAnsi="標楷體"/>
          <w:sz w:val="28"/>
          <w:szCs w:val="28"/>
        </w:rPr>
      </w:pPr>
      <w:r w:rsidRPr="005014AE">
        <w:rPr>
          <w:rFonts w:ascii="標楷體" w:eastAsia="標楷體" w:hAnsi="標楷體" w:hint="eastAsia"/>
          <w:sz w:val="28"/>
          <w:szCs w:val="28"/>
        </w:rPr>
        <w:t>委員請假</w:t>
      </w:r>
      <w:r>
        <w:rPr>
          <w:rFonts w:ascii="標楷體" w:eastAsia="標楷體" w:hAnsi="標楷體" w:hint="eastAsia"/>
          <w:sz w:val="28"/>
          <w:szCs w:val="28"/>
        </w:rPr>
        <w:t>3</w:t>
      </w:r>
      <w:r w:rsidRPr="005014AE">
        <w:rPr>
          <w:rFonts w:ascii="標楷體" w:eastAsia="標楷體" w:hAnsi="標楷體" w:hint="eastAsia"/>
          <w:sz w:val="28"/>
          <w:szCs w:val="28"/>
        </w:rPr>
        <w:t>人</w:t>
      </w:r>
    </w:p>
    <w:p w14:paraId="25648F57" w14:textId="77777777" w:rsidR="00421BB5" w:rsidRPr="00B077A6" w:rsidRDefault="00421BB5" w:rsidP="00421BB5">
      <w:pPr>
        <w:pStyle w:val="-9"/>
        <w:spacing w:line="360" w:lineRule="exact"/>
        <w:ind w:left="1361" w:hangingChars="486" w:hanging="1361"/>
        <w:rPr>
          <w:rFonts w:ascii="標楷體" w:hAnsi="標楷體"/>
          <w:color w:val="000000"/>
          <w:sz w:val="28"/>
          <w:szCs w:val="28"/>
        </w:rPr>
      </w:pPr>
      <w:r w:rsidRPr="00C3659F">
        <w:rPr>
          <w:rFonts w:ascii="標楷體" w:hAnsi="標楷體"/>
          <w:sz w:val="28"/>
          <w:szCs w:val="28"/>
        </w:rPr>
        <w:t>列席官員：</w:t>
      </w:r>
      <w:r w:rsidRPr="00B077A6">
        <w:rPr>
          <w:rFonts w:ascii="標楷體" w:hAnsi="標楷體" w:hint="eastAsia"/>
          <w:color w:val="000000"/>
          <w:sz w:val="28"/>
          <w:szCs w:val="28"/>
        </w:rPr>
        <w:t>教育部部長</w:t>
      </w:r>
      <w:r w:rsidRPr="00747727">
        <w:rPr>
          <w:rFonts w:ascii="標楷體" w:hAnsi="標楷體" w:hint="eastAsia"/>
          <w:sz w:val="28"/>
          <w:szCs w:val="28"/>
        </w:rPr>
        <w:t xml:space="preserve">　</w:t>
      </w:r>
      <w:r w:rsidRPr="00B077A6">
        <w:rPr>
          <w:rFonts w:ascii="標楷體" w:hAnsi="標楷體" w:hint="eastAsia"/>
          <w:color w:val="000000"/>
          <w:sz w:val="28"/>
          <w:szCs w:val="28"/>
        </w:rPr>
        <w:t>潘文忠</w:t>
      </w:r>
    </w:p>
    <w:p w14:paraId="1DDBC12B"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常務次長兼代體育署署長</w:t>
      </w:r>
      <w:r w:rsidRPr="00747727">
        <w:rPr>
          <w:rFonts w:ascii="標楷體" w:hAnsi="標楷體" w:hint="eastAsia"/>
          <w:sz w:val="28"/>
          <w:szCs w:val="28"/>
        </w:rPr>
        <w:t xml:space="preserve">　</w:t>
      </w:r>
      <w:r w:rsidRPr="00B077A6">
        <w:rPr>
          <w:rFonts w:ascii="標楷體" w:hAnsi="標楷體" w:hint="eastAsia"/>
          <w:color w:val="000000"/>
          <w:sz w:val="28"/>
          <w:szCs w:val="28"/>
        </w:rPr>
        <w:t>林騰蛟</w:t>
      </w:r>
    </w:p>
    <w:p w14:paraId="128E49D1"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行政院人事行政總處副人事長</w:t>
      </w:r>
      <w:r w:rsidRPr="00747727">
        <w:rPr>
          <w:rFonts w:ascii="標楷體" w:hAnsi="標楷體" w:hint="eastAsia"/>
          <w:sz w:val="28"/>
          <w:szCs w:val="28"/>
        </w:rPr>
        <w:t xml:space="preserve">　</w:t>
      </w:r>
      <w:r w:rsidRPr="00B077A6">
        <w:rPr>
          <w:rFonts w:ascii="標楷體" w:hAnsi="標楷體" w:hint="eastAsia"/>
          <w:color w:val="000000"/>
          <w:sz w:val="28"/>
          <w:szCs w:val="28"/>
        </w:rPr>
        <w:t>懷敍</w:t>
      </w:r>
    </w:p>
    <w:p w14:paraId="77B29D6E"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銓敘部法規司副司長</w:t>
      </w:r>
      <w:r w:rsidRPr="00747727">
        <w:rPr>
          <w:rFonts w:ascii="標楷體" w:hAnsi="標楷體" w:hint="eastAsia"/>
          <w:sz w:val="28"/>
          <w:szCs w:val="28"/>
        </w:rPr>
        <w:t xml:space="preserve">　</w:t>
      </w:r>
      <w:r w:rsidRPr="00B077A6">
        <w:rPr>
          <w:rFonts w:ascii="標楷體" w:hAnsi="標楷體" w:hint="eastAsia"/>
          <w:color w:val="000000"/>
          <w:sz w:val="28"/>
          <w:szCs w:val="28"/>
        </w:rPr>
        <w:t>謝瀛隆</w:t>
      </w:r>
    </w:p>
    <w:p w14:paraId="1A4E823E"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內政部地政司專門委員</w:t>
      </w:r>
      <w:r w:rsidRPr="00747727">
        <w:rPr>
          <w:rFonts w:ascii="標楷體" w:hAnsi="標楷體" w:hint="eastAsia"/>
          <w:sz w:val="28"/>
          <w:szCs w:val="28"/>
        </w:rPr>
        <w:t xml:space="preserve">　</w:t>
      </w:r>
      <w:r w:rsidRPr="00B077A6">
        <w:rPr>
          <w:rFonts w:ascii="標楷體" w:hAnsi="標楷體" w:hint="eastAsia"/>
          <w:color w:val="000000"/>
          <w:sz w:val="28"/>
          <w:szCs w:val="28"/>
        </w:rPr>
        <w:t>鄭惠月</w:t>
      </w:r>
    </w:p>
    <w:p w14:paraId="50E752F9"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外交部條約法律司科長</w:t>
      </w:r>
      <w:r w:rsidRPr="00747727">
        <w:rPr>
          <w:rFonts w:ascii="標楷體" w:hAnsi="標楷體" w:hint="eastAsia"/>
          <w:sz w:val="28"/>
          <w:szCs w:val="28"/>
        </w:rPr>
        <w:t xml:space="preserve">　</w:t>
      </w:r>
      <w:r w:rsidRPr="00B077A6">
        <w:rPr>
          <w:rFonts w:ascii="標楷體" w:hAnsi="標楷體" w:hint="eastAsia"/>
          <w:color w:val="000000"/>
          <w:sz w:val="28"/>
          <w:szCs w:val="28"/>
        </w:rPr>
        <w:t>洪瑮蓁</w:t>
      </w:r>
    </w:p>
    <w:p w14:paraId="5566FB1D"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財政部國有財產署專門委員</w:t>
      </w:r>
      <w:r w:rsidRPr="00747727">
        <w:rPr>
          <w:rFonts w:ascii="標楷體" w:hAnsi="標楷體" w:hint="eastAsia"/>
          <w:sz w:val="28"/>
          <w:szCs w:val="28"/>
        </w:rPr>
        <w:t xml:space="preserve">　</w:t>
      </w:r>
      <w:r w:rsidRPr="00B077A6">
        <w:rPr>
          <w:rFonts w:ascii="標楷體" w:hAnsi="標楷體" w:hint="eastAsia"/>
          <w:color w:val="000000"/>
          <w:sz w:val="28"/>
          <w:szCs w:val="28"/>
        </w:rPr>
        <w:t>羅育華</w:t>
      </w:r>
    </w:p>
    <w:p w14:paraId="6ABC6D83"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法務部參事</w:t>
      </w:r>
      <w:r w:rsidRPr="00747727">
        <w:rPr>
          <w:rFonts w:ascii="標楷體" w:hAnsi="標楷體" w:hint="eastAsia"/>
          <w:sz w:val="28"/>
          <w:szCs w:val="28"/>
        </w:rPr>
        <w:t xml:space="preserve">　</w:t>
      </w:r>
      <w:r w:rsidRPr="00B077A6">
        <w:rPr>
          <w:rFonts w:ascii="標楷體" w:hAnsi="標楷體" w:hint="eastAsia"/>
          <w:color w:val="000000"/>
          <w:sz w:val="28"/>
          <w:szCs w:val="28"/>
        </w:rPr>
        <w:t>廖江憲</w:t>
      </w:r>
    </w:p>
    <w:p w14:paraId="59C21C98"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衛生福利部護理及健康照護司簡任技正</w:t>
      </w:r>
      <w:r w:rsidRPr="00747727">
        <w:rPr>
          <w:rFonts w:ascii="標楷體" w:hAnsi="標楷體" w:hint="eastAsia"/>
          <w:sz w:val="28"/>
          <w:szCs w:val="28"/>
        </w:rPr>
        <w:t xml:space="preserve">　</w:t>
      </w:r>
      <w:r w:rsidRPr="00B077A6">
        <w:rPr>
          <w:rFonts w:ascii="標楷體" w:hAnsi="標楷體" w:hint="eastAsia"/>
          <w:color w:val="000000"/>
          <w:sz w:val="28"/>
          <w:szCs w:val="28"/>
        </w:rPr>
        <w:t>陳青梅</w:t>
      </w:r>
    </w:p>
    <w:p w14:paraId="06CFE38A"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國家發展委員會社會發展處副處長</w:t>
      </w:r>
      <w:r w:rsidRPr="00747727">
        <w:rPr>
          <w:rFonts w:ascii="標楷體" w:hAnsi="標楷體" w:hint="eastAsia"/>
          <w:sz w:val="28"/>
          <w:szCs w:val="28"/>
        </w:rPr>
        <w:t xml:space="preserve">　</w:t>
      </w:r>
      <w:r w:rsidRPr="00B077A6">
        <w:rPr>
          <w:rFonts w:ascii="標楷體" w:hAnsi="標楷體" w:hint="eastAsia"/>
          <w:color w:val="000000"/>
          <w:sz w:val="28"/>
          <w:szCs w:val="28"/>
        </w:rPr>
        <w:t>賴韻琳</w:t>
      </w:r>
    </w:p>
    <w:p w14:paraId="7058E352" w14:textId="77777777" w:rsidR="00421BB5" w:rsidRPr="00B077A6" w:rsidRDefault="00421BB5" w:rsidP="00421BB5">
      <w:pPr>
        <w:pStyle w:val="-9"/>
        <w:spacing w:line="360" w:lineRule="exact"/>
        <w:ind w:leftChars="567" w:left="1361" w:firstLineChars="18" w:firstLine="43"/>
        <w:rPr>
          <w:rFonts w:ascii="標楷體" w:hAnsi="標楷體"/>
          <w:color w:val="000000"/>
          <w:spacing w:val="-20"/>
          <w:sz w:val="28"/>
          <w:szCs w:val="28"/>
        </w:rPr>
      </w:pPr>
      <w:r w:rsidRPr="00B077A6">
        <w:rPr>
          <w:rFonts w:ascii="標楷體" w:hAnsi="標楷體" w:hint="eastAsia"/>
          <w:color w:val="000000"/>
          <w:spacing w:val="-20"/>
          <w:sz w:val="28"/>
          <w:szCs w:val="28"/>
        </w:rPr>
        <w:t>國家科學及技術委員會人文及社會科學研究發展處副處長</w:t>
      </w:r>
      <w:r w:rsidRPr="00747727">
        <w:rPr>
          <w:rFonts w:ascii="標楷體" w:hAnsi="標楷體" w:hint="eastAsia"/>
          <w:sz w:val="28"/>
          <w:szCs w:val="28"/>
        </w:rPr>
        <w:t xml:space="preserve">　</w:t>
      </w:r>
      <w:r w:rsidRPr="00B077A6">
        <w:rPr>
          <w:rFonts w:ascii="標楷體" w:hAnsi="標楷體" w:hint="eastAsia"/>
          <w:color w:val="000000"/>
          <w:spacing w:val="-20"/>
          <w:sz w:val="28"/>
          <w:szCs w:val="28"/>
        </w:rPr>
        <w:t>賴瀅宇</w:t>
      </w:r>
    </w:p>
    <w:p w14:paraId="1D15B7DA" w14:textId="77777777" w:rsidR="00421BB5" w:rsidRPr="00B077A6"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行政院公共工程委員會企劃處專門委員</w:t>
      </w:r>
      <w:r w:rsidRPr="00747727">
        <w:rPr>
          <w:rFonts w:ascii="標楷體" w:hAnsi="標楷體" w:hint="eastAsia"/>
          <w:sz w:val="28"/>
          <w:szCs w:val="28"/>
        </w:rPr>
        <w:t xml:space="preserve">　</w:t>
      </w:r>
      <w:r w:rsidRPr="00B077A6">
        <w:rPr>
          <w:rFonts w:ascii="標楷體" w:hAnsi="標楷體" w:hint="eastAsia"/>
          <w:color w:val="000000"/>
          <w:sz w:val="28"/>
          <w:szCs w:val="28"/>
        </w:rPr>
        <w:t>劉慧君</w:t>
      </w:r>
    </w:p>
    <w:p w14:paraId="653AF1CC" w14:textId="77777777" w:rsidR="00421BB5" w:rsidRDefault="00421BB5" w:rsidP="00421BB5">
      <w:pPr>
        <w:pStyle w:val="-9"/>
        <w:spacing w:line="360" w:lineRule="exact"/>
        <w:ind w:leftChars="567" w:left="1361" w:firstLineChars="18" w:firstLine="50"/>
        <w:rPr>
          <w:rFonts w:ascii="標楷體" w:hAnsi="標楷體"/>
          <w:color w:val="000000"/>
          <w:sz w:val="28"/>
          <w:szCs w:val="28"/>
        </w:rPr>
      </w:pPr>
      <w:r w:rsidRPr="00B077A6">
        <w:rPr>
          <w:rFonts w:ascii="標楷體" w:hAnsi="標楷體" w:hint="eastAsia"/>
          <w:color w:val="000000"/>
          <w:sz w:val="28"/>
          <w:szCs w:val="28"/>
        </w:rPr>
        <w:t>行政院主計總處公務預算處專門委員</w:t>
      </w:r>
      <w:r w:rsidRPr="00747727">
        <w:rPr>
          <w:rFonts w:ascii="標楷體" w:hAnsi="標楷體" w:hint="eastAsia"/>
          <w:sz w:val="28"/>
          <w:szCs w:val="28"/>
        </w:rPr>
        <w:t xml:space="preserve">　</w:t>
      </w:r>
      <w:r w:rsidRPr="00B077A6">
        <w:rPr>
          <w:rFonts w:ascii="標楷體" w:hAnsi="標楷體" w:hint="eastAsia"/>
          <w:color w:val="000000"/>
          <w:sz w:val="28"/>
          <w:szCs w:val="28"/>
        </w:rPr>
        <w:t>黃子菡</w:t>
      </w:r>
    </w:p>
    <w:p w14:paraId="215B0384" w14:textId="77777777" w:rsidR="00421BB5" w:rsidRPr="001A66F7" w:rsidRDefault="00421BB5" w:rsidP="00421BB5">
      <w:pPr>
        <w:adjustRightInd w:val="0"/>
        <w:snapToGrid w:val="0"/>
        <w:spacing w:line="360" w:lineRule="exact"/>
        <w:ind w:left="1361" w:hangingChars="486" w:hanging="1361"/>
        <w:jc w:val="both"/>
        <w:rPr>
          <w:rFonts w:ascii="標楷體" w:eastAsia="標楷體" w:hAnsi="標楷體"/>
          <w:kern w:val="0"/>
          <w:sz w:val="28"/>
          <w:szCs w:val="28"/>
          <w:lang w:val="x-none" w:eastAsia="x-none"/>
        </w:rPr>
      </w:pPr>
      <w:r w:rsidRPr="001A66F7">
        <w:rPr>
          <w:rFonts w:ascii="標楷體" w:eastAsia="標楷體" w:hAnsi="標楷體" w:hint="eastAsia"/>
          <w:kern w:val="0"/>
          <w:sz w:val="28"/>
          <w:szCs w:val="28"/>
          <w:lang w:val="x-none" w:eastAsia="x-none"/>
        </w:rPr>
        <w:t xml:space="preserve">主    </w:t>
      </w:r>
      <w:r>
        <w:rPr>
          <w:rFonts w:ascii="標楷體" w:eastAsia="標楷體" w:hAnsi="標楷體" w:hint="eastAsia"/>
          <w:kern w:val="0"/>
          <w:sz w:val="28"/>
          <w:szCs w:val="28"/>
          <w:lang w:val="x-none" w:eastAsia="x-none"/>
        </w:rPr>
        <w:t>席：陳</w:t>
      </w:r>
      <w:r w:rsidRPr="001A66F7">
        <w:rPr>
          <w:rFonts w:ascii="標楷體" w:eastAsia="標楷體" w:hAnsi="標楷體" w:hint="eastAsia"/>
          <w:kern w:val="0"/>
          <w:sz w:val="28"/>
          <w:szCs w:val="28"/>
          <w:lang w:val="x-none" w:eastAsia="x-none"/>
        </w:rPr>
        <w:t>召集委員</w:t>
      </w:r>
      <w:r>
        <w:rPr>
          <w:rFonts w:ascii="標楷體" w:eastAsia="標楷體" w:hAnsi="標楷體" w:hint="eastAsia"/>
          <w:kern w:val="0"/>
          <w:sz w:val="28"/>
          <w:szCs w:val="28"/>
          <w:lang w:val="x-none" w:eastAsia="x-none"/>
        </w:rPr>
        <w:t>歐珀</w:t>
      </w:r>
    </w:p>
    <w:p w14:paraId="3BA2A1B7" w14:textId="77777777" w:rsidR="00421BB5" w:rsidRPr="001A66F7" w:rsidRDefault="00421BB5" w:rsidP="00421BB5">
      <w:pPr>
        <w:adjustRightInd w:val="0"/>
        <w:snapToGrid w:val="0"/>
        <w:spacing w:line="360" w:lineRule="exact"/>
        <w:ind w:left="1361" w:hangingChars="486" w:hanging="1361"/>
        <w:jc w:val="both"/>
        <w:rPr>
          <w:rFonts w:ascii="標楷體" w:eastAsia="標楷體" w:hAnsi="標楷體"/>
          <w:kern w:val="0"/>
          <w:sz w:val="28"/>
          <w:szCs w:val="28"/>
          <w:lang w:val="x-none" w:eastAsia="x-none"/>
        </w:rPr>
      </w:pPr>
      <w:r w:rsidRPr="001A66F7">
        <w:rPr>
          <w:rFonts w:ascii="標楷體" w:eastAsia="標楷體" w:hAnsi="標楷體" w:hint="eastAsia"/>
          <w:kern w:val="0"/>
          <w:sz w:val="28"/>
          <w:szCs w:val="28"/>
          <w:lang w:val="x-none" w:eastAsia="x-none"/>
        </w:rPr>
        <w:t>專門委員：梁雯璍</w:t>
      </w:r>
    </w:p>
    <w:p w14:paraId="6922BD40" w14:textId="77777777" w:rsidR="00421BB5" w:rsidRPr="001A66F7" w:rsidRDefault="00421BB5" w:rsidP="00421BB5">
      <w:pPr>
        <w:adjustRightInd w:val="0"/>
        <w:snapToGrid w:val="0"/>
        <w:spacing w:line="360" w:lineRule="exact"/>
        <w:ind w:left="1361" w:hangingChars="486" w:hanging="1361"/>
        <w:jc w:val="both"/>
        <w:rPr>
          <w:rFonts w:ascii="標楷體" w:eastAsia="標楷體" w:hAnsi="標楷體"/>
          <w:kern w:val="0"/>
          <w:sz w:val="28"/>
          <w:szCs w:val="28"/>
          <w:lang w:val="x-none" w:eastAsia="x-none"/>
        </w:rPr>
      </w:pPr>
      <w:r w:rsidRPr="001A66F7">
        <w:rPr>
          <w:rFonts w:ascii="標楷體" w:eastAsia="標楷體" w:hAnsi="標楷體" w:hint="eastAsia"/>
          <w:kern w:val="0"/>
          <w:sz w:val="28"/>
          <w:szCs w:val="28"/>
          <w:lang w:val="x-none" w:eastAsia="x-none"/>
        </w:rPr>
        <w:t>主任秘書：張智為</w:t>
      </w:r>
    </w:p>
    <w:p w14:paraId="74C31CEF" w14:textId="77777777" w:rsidR="00421BB5" w:rsidRPr="008C1421" w:rsidRDefault="00421BB5" w:rsidP="00421BB5">
      <w:pPr>
        <w:snapToGrid w:val="0"/>
        <w:spacing w:line="340" w:lineRule="exact"/>
        <w:jc w:val="both"/>
        <w:rPr>
          <w:rFonts w:ascii="標楷體" w:eastAsia="標楷體" w:hAnsi="標楷體"/>
          <w:sz w:val="28"/>
          <w:szCs w:val="28"/>
        </w:rPr>
      </w:pPr>
      <w:r w:rsidRPr="008C1421">
        <w:rPr>
          <w:rFonts w:ascii="標楷體" w:eastAsia="標楷體" w:hAnsi="標楷體" w:hint="eastAsia"/>
          <w:sz w:val="28"/>
          <w:szCs w:val="28"/>
        </w:rPr>
        <w:t xml:space="preserve">紀    錄：簡任秘書  </w:t>
      </w:r>
      <w:r>
        <w:rPr>
          <w:rFonts w:ascii="標楷體" w:eastAsia="標楷體" w:hAnsi="標楷體" w:hint="eastAsia"/>
          <w:sz w:val="28"/>
          <w:szCs w:val="28"/>
        </w:rPr>
        <w:t>陳杏枝</w:t>
      </w:r>
    </w:p>
    <w:p w14:paraId="7C39F11C" w14:textId="77777777" w:rsidR="00421BB5" w:rsidRPr="008C1421" w:rsidRDefault="00421BB5" w:rsidP="00421BB5">
      <w:pPr>
        <w:snapToGrid w:val="0"/>
        <w:spacing w:line="340" w:lineRule="exact"/>
        <w:ind w:leftChars="590" w:left="1441" w:hangingChars="9" w:hanging="25"/>
        <w:jc w:val="both"/>
        <w:rPr>
          <w:rFonts w:ascii="標楷體" w:eastAsia="標楷體" w:hAnsi="標楷體"/>
          <w:sz w:val="28"/>
          <w:szCs w:val="28"/>
        </w:rPr>
      </w:pPr>
      <w:r w:rsidRPr="008C1421">
        <w:rPr>
          <w:rFonts w:ascii="標楷體" w:eastAsia="標楷體" w:hAnsi="標楷體" w:hint="eastAsia"/>
          <w:sz w:val="28"/>
          <w:szCs w:val="28"/>
        </w:rPr>
        <w:t xml:space="preserve">簡任編審  </w:t>
      </w:r>
      <w:r>
        <w:rPr>
          <w:rFonts w:ascii="標楷體" w:eastAsia="標楷體" w:hAnsi="標楷體" w:hint="eastAsia"/>
          <w:sz w:val="28"/>
          <w:szCs w:val="28"/>
        </w:rPr>
        <w:t>薛復寧</w:t>
      </w:r>
    </w:p>
    <w:p w14:paraId="55E3BBC7" w14:textId="77777777" w:rsidR="00421BB5" w:rsidRDefault="00421BB5" w:rsidP="00421BB5">
      <w:pPr>
        <w:snapToGrid w:val="0"/>
        <w:spacing w:line="340" w:lineRule="exact"/>
        <w:ind w:leftChars="590" w:left="1441" w:hangingChars="9" w:hanging="25"/>
        <w:jc w:val="both"/>
        <w:rPr>
          <w:rFonts w:ascii="標楷體" w:eastAsia="標楷體" w:hAnsi="標楷體"/>
          <w:sz w:val="28"/>
          <w:szCs w:val="28"/>
        </w:rPr>
      </w:pPr>
      <w:r w:rsidRPr="008C1421">
        <w:rPr>
          <w:rFonts w:ascii="標楷體" w:eastAsia="標楷體" w:hAnsi="標楷體" w:hint="eastAsia"/>
          <w:sz w:val="28"/>
          <w:szCs w:val="28"/>
        </w:rPr>
        <w:t xml:space="preserve">科　　長　</w:t>
      </w:r>
      <w:r>
        <w:rPr>
          <w:rFonts w:ascii="標楷體" w:eastAsia="標楷體" w:hAnsi="標楷體" w:hint="eastAsia"/>
          <w:sz w:val="28"/>
          <w:szCs w:val="28"/>
        </w:rPr>
        <w:t>鮑夏明</w:t>
      </w:r>
    </w:p>
    <w:p w14:paraId="1CA79DD5" w14:textId="77777777" w:rsidR="00421BB5" w:rsidRDefault="00421BB5" w:rsidP="00421BB5">
      <w:pPr>
        <w:snapToGrid w:val="0"/>
        <w:spacing w:beforeLines="20" w:before="72" w:line="340" w:lineRule="exact"/>
        <w:ind w:firstLineChars="300" w:firstLine="841"/>
        <w:jc w:val="both"/>
        <w:rPr>
          <w:rFonts w:ascii="標楷體" w:eastAsia="標楷體" w:hAnsi="標楷體"/>
          <w:b/>
          <w:sz w:val="28"/>
          <w:szCs w:val="28"/>
        </w:rPr>
      </w:pPr>
      <w:r>
        <w:rPr>
          <w:rFonts w:ascii="標楷體" w:eastAsia="標楷體" w:hAnsi="標楷體" w:hint="eastAsia"/>
          <w:b/>
          <w:sz w:val="28"/>
          <w:szCs w:val="28"/>
        </w:rPr>
        <w:t>討論事項</w:t>
      </w:r>
    </w:p>
    <w:p w14:paraId="655EB45E" w14:textId="77777777" w:rsidR="00421BB5" w:rsidRDefault="00421BB5" w:rsidP="00421BB5">
      <w:pPr>
        <w:snapToGrid w:val="0"/>
        <w:spacing w:line="340" w:lineRule="exact"/>
        <w:jc w:val="both"/>
        <w:rPr>
          <w:rFonts w:ascii="標楷體" w:eastAsia="標楷體" w:hAnsi="標楷體"/>
          <w:sz w:val="28"/>
          <w:szCs w:val="28"/>
        </w:rPr>
      </w:pPr>
      <w:r w:rsidRPr="008C3DB4">
        <w:rPr>
          <w:rFonts w:ascii="標楷體" w:eastAsia="標楷體" w:hAnsi="標楷體" w:hint="eastAsia"/>
          <w:sz w:val="28"/>
          <w:szCs w:val="28"/>
        </w:rPr>
        <w:t>併案審查（一）行政院函請審議、（二）台灣民眾黨黨團、（三）委員黃國書等19人、（四）委員林宜瑾等20人及（五）委員張廖萬堅等21人分別擬具「國家運動科學中心設置條例草案」案。</w:t>
      </w:r>
    </w:p>
    <w:p w14:paraId="7D3A58A1" w14:textId="77777777" w:rsidR="00421BB5" w:rsidRDefault="00421BB5" w:rsidP="00421BB5">
      <w:pPr>
        <w:overflowPunct w:val="0"/>
        <w:adjustRightInd w:val="0"/>
        <w:snapToGrid w:val="0"/>
        <w:spacing w:line="360" w:lineRule="exact"/>
        <w:ind w:left="283" w:hangingChars="101" w:hanging="283"/>
        <w:rPr>
          <w:rFonts w:ascii="標楷體" w:eastAsia="標楷體" w:hAnsi="標楷體"/>
          <w:spacing w:val="-10"/>
          <w:sz w:val="28"/>
          <w:szCs w:val="28"/>
        </w:rPr>
      </w:pPr>
      <w:r w:rsidRPr="00C0164B">
        <w:rPr>
          <w:rFonts w:ascii="標楷體" w:eastAsia="標楷體" w:hAnsi="標楷體" w:hint="eastAsia"/>
          <w:sz w:val="28"/>
          <w:szCs w:val="28"/>
        </w:rPr>
        <w:t>（</w:t>
      </w:r>
      <w:r w:rsidRPr="008159C7">
        <w:rPr>
          <w:rFonts w:ascii="標楷體" w:eastAsia="標楷體" w:hAnsi="標楷體" w:hint="eastAsia"/>
          <w:sz w:val="28"/>
          <w:szCs w:val="28"/>
        </w:rPr>
        <w:t>本次會議有委員</w:t>
      </w:r>
      <w:r w:rsidRPr="00FB0E6A">
        <w:rPr>
          <w:rFonts w:eastAsia="標楷體" w:hint="eastAsia"/>
          <w:spacing w:val="-10"/>
          <w:sz w:val="28"/>
        </w:rPr>
        <w:t>林奕華、</w:t>
      </w:r>
      <w:r w:rsidRPr="00FB0E6A">
        <w:rPr>
          <w:rFonts w:ascii="標楷體" w:eastAsia="標楷體" w:hAnsi="標楷體" w:hint="eastAsia"/>
          <w:spacing w:val="-10"/>
          <w:sz w:val="28"/>
          <w:szCs w:val="28"/>
        </w:rPr>
        <w:t>游毓蘭、</w:t>
      </w:r>
      <w:r w:rsidRPr="00FB0E6A">
        <w:rPr>
          <w:rFonts w:eastAsia="標楷體" w:hint="eastAsia"/>
          <w:spacing w:val="-10"/>
          <w:sz w:val="28"/>
        </w:rPr>
        <w:t>陳秀寳</w:t>
      </w:r>
      <w:r w:rsidRPr="00FB0E6A">
        <w:rPr>
          <w:rFonts w:ascii="標楷體" w:eastAsia="標楷體" w:hAnsi="標楷體" w:hint="eastAsia"/>
          <w:spacing w:val="-10"/>
          <w:sz w:val="28"/>
          <w:szCs w:val="28"/>
        </w:rPr>
        <w:t>、曾銘宗、鄭運鵬、萬美玲、</w:t>
      </w:r>
    </w:p>
    <w:p w14:paraId="42671A90" w14:textId="77777777" w:rsidR="00421BB5" w:rsidRDefault="00421BB5" w:rsidP="00421BB5">
      <w:pPr>
        <w:overflowPunct w:val="0"/>
        <w:adjustRightInd w:val="0"/>
        <w:snapToGrid w:val="0"/>
        <w:spacing w:line="360" w:lineRule="exact"/>
        <w:ind w:leftChars="116" w:left="281" w:hangingChars="1" w:hanging="3"/>
        <w:jc w:val="distribute"/>
        <w:rPr>
          <w:rFonts w:eastAsia="標楷體"/>
          <w:sz w:val="28"/>
        </w:rPr>
      </w:pPr>
      <w:r w:rsidRPr="00AA63F7">
        <w:rPr>
          <w:rFonts w:ascii="標楷體" w:eastAsia="標楷體" w:hAnsi="標楷體" w:hint="eastAsia"/>
          <w:sz w:val="28"/>
          <w:szCs w:val="28"/>
        </w:rPr>
        <w:t>王婉諭、</w:t>
      </w:r>
      <w:r w:rsidRPr="003B7943">
        <w:rPr>
          <w:rFonts w:ascii="標楷體" w:eastAsia="標楷體" w:hAnsi="標楷體" w:hint="eastAsia"/>
          <w:sz w:val="28"/>
          <w:szCs w:val="28"/>
        </w:rPr>
        <w:t>陳以信、</w:t>
      </w:r>
      <w:r w:rsidRPr="003B7943">
        <w:rPr>
          <w:rFonts w:eastAsia="標楷體" w:hint="eastAsia"/>
          <w:sz w:val="28"/>
        </w:rPr>
        <w:t>林宜瑾、</w:t>
      </w:r>
      <w:r>
        <w:rPr>
          <w:rFonts w:ascii="標楷體" w:eastAsia="標楷體" w:hAnsi="標楷體" w:hint="eastAsia"/>
          <w:sz w:val="28"/>
          <w:szCs w:val="28"/>
        </w:rPr>
        <w:t>黃國書、</w:t>
      </w:r>
      <w:r>
        <w:rPr>
          <w:rFonts w:eastAsia="標楷體" w:hint="eastAsia"/>
          <w:sz w:val="28"/>
        </w:rPr>
        <w:t>賴品妤、</w:t>
      </w:r>
      <w:r w:rsidRPr="003B7943">
        <w:rPr>
          <w:rFonts w:ascii="標楷體" w:eastAsia="標楷體" w:hAnsi="標楷體" w:hint="eastAsia"/>
          <w:sz w:val="28"/>
          <w:szCs w:val="28"/>
        </w:rPr>
        <w:t>林思銘、</w:t>
      </w:r>
      <w:r w:rsidRPr="0092138B">
        <w:rPr>
          <w:rFonts w:eastAsia="標楷體" w:hint="eastAsia"/>
          <w:sz w:val="28"/>
        </w:rPr>
        <w:t>吳怡玎、</w:t>
      </w:r>
    </w:p>
    <w:p w14:paraId="0872ECBE" w14:textId="77777777" w:rsidR="00421BB5" w:rsidRDefault="00421BB5" w:rsidP="00421BB5">
      <w:pPr>
        <w:overflowPunct w:val="0"/>
        <w:adjustRightInd w:val="0"/>
        <w:snapToGrid w:val="0"/>
        <w:spacing w:line="360" w:lineRule="exact"/>
        <w:ind w:leftChars="116" w:left="281" w:hangingChars="1" w:hanging="3"/>
        <w:jc w:val="distribute"/>
        <w:rPr>
          <w:rFonts w:eastAsia="標楷體"/>
          <w:sz w:val="28"/>
          <w:highlight w:val="yellow"/>
        </w:rPr>
      </w:pPr>
      <w:r w:rsidRPr="00AA63F7">
        <w:rPr>
          <w:rFonts w:ascii="標楷體" w:eastAsia="標楷體" w:hAnsi="標楷體" w:hint="eastAsia"/>
          <w:sz w:val="28"/>
          <w:szCs w:val="28"/>
        </w:rPr>
        <w:t>黃世杰</w:t>
      </w:r>
      <w:r w:rsidRPr="00A73FD1">
        <w:rPr>
          <w:rFonts w:eastAsia="標楷體" w:hint="eastAsia"/>
          <w:sz w:val="28"/>
        </w:rPr>
        <w:t>、范雲、</w:t>
      </w:r>
      <w:r w:rsidRPr="00A73FD1">
        <w:rPr>
          <w:rFonts w:ascii="標楷體" w:eastAsia="標楷體" w:hAnsi="標楷體" w:hint="eastAsia"/>
          <w:sz w:val="28"/>
          <w:szCs w:val="28"/>
        </w:rPr>
        <w:t>何欣純</w:t>
      </w:r>
      <w:r w:rsidRPr="00A73FD1">
        <w:rPr>
          <w:rFonts w:eastAsia="標楷體" w:hint="eastAsia"/>
          <w:sz w:val="28"/>
        </w:rPr>
        <w:t>、</w:t>
      </w:r>
      <w:r w:rsidRPr="00A73FD1">
        <w:rPr>
          <w:rFonts w:ascii="標楷體" w:eastAsia="標楷體" w:hAnsi="標楷體" w:hint="eastAsia"/>
          <w:sz w:val="28"/>
          <w:szCs w:val="28"/>
        </w:rPr>
        <w:t>張廖萬堅、</w:t>
      </w:r>
      <w:r w:rsidRPr="00A73FD1">
        <w:rPr>
          <w:rFonts w:eastAsia="標楷體" w:hint="eastAsia"/>
          <w:sz w:val="28"/>
        </w:rPr>
        <w:t>吳思瑤、</w:t>
      </w:r>
      <w:r w:rsidRPr="00A73FD1">
        <w:rPr>
          <w:rFonts w:ascii="標楷體" w:eastAsia="標楷體" w:hAnsi="標楷體" w:hint="eastAsia"/>
          <w:sz w:val="28"/>
          <w:szCs w:val="28"/>
        </w:rPr>
        <w:t>江永昌</w:t>
      </w:r>
      <w:r w:rsidRPr="00AB671C">
        <w:rPr>
          <w:rFonts w:ascii="標楷體" w:eastAsia="標楷體" w:hAnsi="標楷體" w:hint="eastAsia"/>
          <w:sz w:val="28"/>
          <w:szCs w:val="28"/>
        </w:rPr>
        <w:t>、陳歐珀、</w:t>
      </w:r>
    </w:p>
    <w:p w14:paraId="3BF0F41D" w14:textId="77777777" w:rsidR="00421BB5" w:rsidRPr="00B92048" w:rsidRDefault="00421BB5" w:rsidP="00421BB5">
      <w:pPr>
        <w:overflowPunct w:val="0"/>
        <w:adjustRightInd w:val="0"/>
        <w:snapToGrid w:val="0"/>
        <w:spacing w:line="340" w:lineRule="exact"/>
        <w:ind w:leftChars="117" w:left="281" w:firstLine="1"/>
        <w:rPr>
          <w:rFonts w:eastAsia="標楷體"/>
          <w:sz w:val="28"/>
        </w:rPr>
      </w:pPr>
      <w:r w:rsidRPr="006427B4">
        <w:rPr>
          <w:rFonts w:ascii="標楷體" w:eastAsia="標楷體" w:hAnsi="標楷體" w:hint="eastAsia"/>
          <w:sz w:val="28"/>
          <w:szCs w:val="28"/>
        </w:rPr>
        <w:lastRenderedPageBreak/>
        <w:t>陳椒華</w:t>
      </w:r>
      <w:r w:rsidRPr="006427B4">
        <w:rPr>
          <w:rFonts w:ascii="標楷體" w:eastAsia="標楷體" w:hAnsi="標楷體"/>
          <w:sz w:val="28"/>
          <w:szCs w:val="28"/>
        </w:rPr>
        <w:t>、</w:t>
      </w:r>
      <w:r w:rsidRPr="006427B4">
        <w:rPr>
          <w:rFonts w:ascii="標楷體" w:eastAsia="標楷體" w:hAnsi="標楷體" w:hint="eastAsia"/>
          <w:sz w:val="28"/>
          <w:szCs w:val="28"/>
        </w:rPr>
        <w:t>劉建國</w:t>
      </w:r>
      <w:r w:rsidRPr="008159C7">
        <w:rPr>
          <w:rFonts w:ascii="標楷體" w:eastAsia="標楷體" w:hAnsi="標楷體" w:hint="eastAsia"/>
          <w:sz w:val="28"/>
          <w:szCs w:val="28"/>
        </w:rPr>
        <w:t>提出質詢</w:t>
      </w:r>
      <w:r>
        <w:rPr>
          <w:rFonts w:ascii="標楷體" w:eastAsia="標楷體" w:hAnsi="標楷體" w:hint="eastAsia"/>
          <w:sz w:val="28"/>
          <w:szCs w:val="28"/>
        </w:rPr>
        <w:t>；委員周春米、林思銘、楊瓊瓔、</w:t>
      </w:r>
      <w:r w:rsidRPr="006214BA">
        <w:rPr>
          <w:rFonts w:ascii="標楷體" w:eastAsia="標楷體" w:hAnsi="標楷體" w:hint="eastAsia"/>
          <w:sz w:val="28"/>
          <w:szCs w:val="28"/>
        </w:rPr>
        <w:t>鄭正鈐</w:t>
      </w:r>
      <w:r w:rsidRPr="008159C7">
        <w:rPr>
          <w:rFonts w:ascii="標楷體" w:eastAsia="標楷體" w:hAnsi="標楷體" w:hint="eastAsia"/>
          <w:sz w:val="28"/>
          <w:szCs w:val="28"/>
        </w:rPr>
        <w:t>提</w:t>
      </w:r>
      <w:r>
        <w:rPr>
          <w:rFonts w:ascii="標楷體" w:eastAsia="標楷體" w:hAnsi="標楷體" w:hint="eastAsia"/>
          <w:sz w:val="28"/>
          <w:szCs w:val="28"/>
        </w:rPr>
        <w:t>出書面質詢。</w:t>
      </w:r>
      <w:r w:rsidRPr="00C0164B">
        <w:rPr>
          <w:rFonts w:ascii="標楷體" w:eastAsia="標楷體" w:hAnsi="標楷體" w:hint="eastAsia"/>
          <w:sz w:val="28"/>
          <w:szCs w:val="28"/>
        </w:rPr>
        <w:t>）</w:t>
      </w:r>
    </w:p>
    <w:p w14:paraId="25D1D421" w14:textId="77777777" w:rsidR="00421BB5" w:rsidRPr="00F9088F" w:rsidRDefault="00421BB5" w:rsidP="00421BB5">
      <w:pPr>
        <w:spacing w:line="340" w:lineRule="exact"/>
        <w:contextualSpacing/>
        <w:jc w:val="both"/>
        <w:rPr>
          <w:rFonts w:ascii="標楷體" w:eastAsia="標楷體" w:hAnsi="標楷體"/>
          <w:b/>
          <w:kern w:val="0"/>
          <w:sz w:val="28"/>
          <w:szCs w:val="28"/>
          <w:lang w:val="x-none"/>
        </w:rPr>
      </w:pPr>
      <w:r w:rsidRPr="00F9088F">
        <w:rPr>
          <w:rFonts w:eastAsia="標楷體" w:hint="eastAsia"/>
          <w:b/>
          <w:kern w:val="0"/>
          <w:sz w:val="28"/>
          <w:szCs w:val="28"/>
        </w:rPr>
        <w:t>決議</w:t>
      </w:r>
      <w:r w:rsidRPr="00F9088F">
        <w:rPr>
          <w:rFonts w:ascii="標楷體" w:eastAsia="標楷體" w:hAnsi="標楷體" w:hint="eastAsia"/>
          <w:b/>
          <w:kern w:val="0"/>
          <w:sz w:val="28"/>
          <w:szCs w:val="28"/>
          <w:lang w:val="x-none"/>
        </w:rPr>
        <w:t>：</w:t>
      </w:r>
    </w:p>
    <w:p w14:paraId="7DC3B66C" w14:textId="77777777" w:rsidR="00421BB5" w:rsidRPr="004C15B7" w:rsidRDefault="00421BB5" w:rsidP="007015C7">
      <w:pPr>
        <w:numPr>
          <w:ilvl w:val="0"/>
          <w:numId w:val="25"/>
        </w:numPr>
        <w:spacing w:line="340" w:lineRule="exact"/>
        <w:contextualSpacing/>
        <w:jc w:val="both"/>
        <w:rPr>
          <w:rFonts w:ascii="標楷體" w:eastAsia="標楷體" w:hAnsi="標楷體"/>
          <w:sz w:val="28"/>
          <w:szCs w:val="28"/>
        </w:rPr>
      </w:pPr>
      <w:r>
        <w:rPr>
          <w:rFonts w:ascii="標楷體" w:eastAsia="標楷體" w:hAnsi="標楷體"/>
          <w:sz w:val="28"/>
          <w:szCs w:val="28"/>
        </w:rPr>
        <w:t>報告</w:t>
      </w:r>
      <w:r>
        <w:rPr>
          <w:rFonts w:ascii="標楷體" w:eastAsia="標楷體" w:hAnsi="標楷體" w:hint="eastAsia"/>
          <w:sz w:val="28"/>
          <w:szCs w:val="28"/>
        </w:rPr>
        <w:t>及</w:t>
      </w:r>
      <w:r>
        <w:rPr>
          <w:rFonts w:ascii="標楷體" w:eastAsia="標楷體" w:hAnsi="標楷體"/>
          <w:sz w:val="28"/>
          <w:szCs w:val="28"/>
        </w:rPr>
        <w:t>詢答完畢</w:t>
      </w:r>
      <w:r>
        <w:rPr>
          <w:rFonts w:ascii="標楷體" w:eastAsia="標楷體" w:hAnsi="標楷體" w:hint="eastAsia"/>
          <w:spacing w:val="-6"/>
          <w:sz w:val="28"/>
          <w:szCs w:val="28"/>
        </w:rPr>
        <w:t>。</w:t>
      </w:r>
    </w:p>
    <w:p w14:paraId="583A5587" w14:textId="77777777" w:rsidR="00421BB5" w:rsidRPr="00DE0893" w:rsidRDefault="00421BB5" w:rsidP="007015C7">
      <w:pPr>
        <w:numPr>
          <w:ilvl w:val="0"/>
          <w:numId w:val="25"/>
        </w:numPr>
        <w:spacing w:line="340" w:lineRule="exact"/>
        <w:contextualSpacing/>
        <w:jc w:val="both"/>
        <w:rPr>
          <w:rFonts w:ascii="標楷體" w:eastAsia="標楷體" w:hAnsi="標楷體"/>
          <w:sz w:val="28"/>
          <w:szCs w:val="28"/>
        </w:rPr>
      </w:pPr>
      <w:r w:rsidRPr="00DE0893">
        <w:rPr>
          <w:rFonts w:ascii="標楷體" w:eastAsia="標楷體" w:hAnsi="標楷體" w:hint="eastAsia"/>
          <w:sz w:val="28"/>
          <w:szCs w:val="28"/>
        </w:rPr>
        <w:t>逕行逐條審查。</w:t>
      </w:r>
    </w:p>
    <w:p w14:paraId="50F00577" w14:textId="77777777" w:rsidR="00421BB5" w:rsidRDefault="00421BB5" w:rsidP="00421BB5">
      <w:pPr>
        <w:spacing w:line="340" w:lineRule="exact"/>
        <w:ind w:leftChars="-3" w:left="529" w:hangingChars="200" w:hanging="536"/>
        <w:contextualSpacing/>
        <w:jc w:val="both"/>
        <w:rPr>
          <w:rFonts w:ascii="標楷體" w:eastAsia="標楷體" w:hAnsi="標楷體"/>
          <w:spacing w:val="-6"/>
          <w:sz w:val="28"/>
          <w:szCs w:val="28"/>
        </w:rPr>
      </w:pPr>
      <w:r>
        <w:rPr>
          <w:rFonts w:ascii="標楷體" w:eastAsia="標楷體" w:hAnsi="標楷體" w:hint="eastAsia"/>
          <w:spacing w:val="-6"/>
          <w:sz w:val="28"/>
          <w:szCs w:val="28"/>
        </w:rPr>
        <w:t>三、名稱、第一章章名、第一條、第二條、</w:t>
      </w:r>
      <w:r w:rsidRPr="0006210C">
        <w:rPr>
          <w:rFonts w:ascii="標楷體" w:eastAsia="標楷體" w:hAnsi="標楷體" w:hint="eastAsia"/>
          <w:spacing w:val="-6"/>
          <w:sz w:val="28"/>
          <w:szCs w:val="28"/>
        </w:rPr>
        <w:t>第四條、</w:t>
      </w:r>
      <w:r>
        <w:rPr>
          <w:rFonts w:ascii="標楷體" w:eastAsia="標楷體" w:hAnsi="標楷體" w:hint="eastAsia"/>
          <w:spacing w:val="-6"/>
          <w:sz w:val="28"/>
          <w:szCs w:val="28"/>
        </w:rPr>
        <w:t>第五條、第二章章名、第七條至第十九條、第三章章名、第二十條、第二十一條、第四章章名、第二十三條至第三十條、第五章章名、第三十一條至第三十三條，均照行政院提案通過。</w:t>
      </w:r>
    </w:p>
    <w:p w14:paraId="230E95E0" w14:textId="77777777" w:rsidR="00421BB5" w:rsidRDefault="00421BB5" w:rsidP="00421BB5">
      <w:pPr>
        <w:spacing w:line="340" w:lineRule="exact"/>
        <w:contextualSpacing/>
        <w:jc w:val="both"/>
        <w:rPr>
          <w:rFonts w:ascii="標楷體" w:eastAsia="標楷體" w:hAnsi="標楷體"/>
          <w:spacing w:val="-6"/>
          <w:sz w:val="28"/>
          <w:szCs w:val="28"/>
        </w:rPr>
      </w:pPr>
      <w:r>
        <w:rPr>
          <w:rFonts w:ascii="標楷體" w:eastAsia="標楷體" w:hAnsi="標楷體" w:hint="eastAsia"/>
          <w:spacing w:val="-6"/>
          <w:sz w:val="28"/>
          <w:szCs w:val="28"/>
        </w:rPr>
        <w:t>四</w:t>
      </w:r>
      <w:r>
        <w:rPr>
          <w:rFonts w:ascii="標楷體" w:eastAsia="標楷體" w:hAnsi="標楷體"/>
          <w:spacing w:val="-6"/>
          <w:sz w:val="28"/>
          <w:szCs w:val="28"/>
        </w:rPr>
        <w:t>、</w:t>
      </w:r>
      <w:r>
        <w:rPr>
          <w:rFonts w:ascii="標楷體" w:eastAsia="標楷體" w:hAnsi="標楷體" w:hint="eastAsia"/>
          <w:spacing w:val="-6"/>
          <w:sz w:val="28"/>
          <w:szCs w:val="28"/>
        </w:rPr>
        <w:t>第三條，修正如下：</w:t>
      </w:r>
    </w:p>
    <w:p w14:paraId="01987E95" w14:textId="77777777" w:rsidR="00421BB5" w:rsidRPr="009746CD" w:rsidRDefault="00421BB5" w:rsidP="00421BB5">
      <w:pPr>
        <w:spacing w:line="340" w:lineRule="exact"/>
        <w:ind w:firstLineChars="203" w:firstLine="544"/>
        <w:contextualSpacing/>
        <w:jc w:val="both"/>
        <w:rPr>
          <w:rFonts w:ascii="標楷體" w:eastAsia="標楷體" w:hAnsi="標楷體"/>
          <w:bCs/>
          <w:spacing w:val="-6"/>
          <w:sz w:val="28"/>
          <w:szCs w:val="28"/>
        </w:rPr>
      </w:pPr>
      <w:r w:rsidRPr="009746CD">
        <w:rPr>
          <w:rFonts w:ascii="標楷體" w:eastAsia="標楷體" w:hAnsi="標楷體" w:hint="eastAsia"/>
          <w:bCs/>
          <w:spacing w:val="-6"/>
          <w:sz w:val="28"/>
          <w:szCs w:val="28"/>
        </w:rPr>
        <w:t>第三條  本中心之業務範圍如下：</w:t>
      </w:r>
    </w:p>
    <w:p w14:paraId="523CC330" w14:textId="77777777" w:rsidR="00421BB5" w:rsidRPr="009746CD" w:rsidRDefault="00421BB5" w:rsidP="00421BB5">
      <w:pPr>
        <w:spacing w:line="340" w:lineRule="exact"/>
        <w:ind w:leftChars="332" w:left="1333" w:hangingChars="200" w:hanging="536"/>
        <w:contextualSpacing/>
        <w:jc w:val="both"/>
        <w:rPr>
          <w:rFonts w:ascii="標楷體" w:eastAsia="標楷體" w:hAnsi="標楷體"/>
          <w:bCs/>
          <w:spacing w:val="-6"/>
          <w:sz w:val="28"/>
          <w:szCs w:val="28"/>
        </w:rPr>
      </w:pPr>
      <w:r w:rsidRPr="009746CD">
        <w:rPr>
          <w:rFonts w:ascii="標楷體" w:eastAsia="標楷體" w:hAnsi="標楷體" w:hint="eastAsia"/>
          <w:bCs/>
          <w:spacing w:val="-6"/>
          <w:sz w:val="28"/>
          <w:szCs w:val="28"/>
        </w:rPr>
        <w:t>一、辦理國家優秀運動選手培訓、參賽所需之運動科學支援服務</w:t>
      </w:r>
      <w:r w:rsidRPr="009746CD">
        <w:rPr>
          <w:rFonts w:ascii="標楷體" w:eastAsia="標楷體" w:hAnsi="標楷體" w:hint="eastAsia"/>
          <w:bCs/>
          <w:spacing w:val="-6"/>
          <w:sz w:val="28"/>
          <w:szCs w:val="28"/>
          <w:u w:val="single"/>
        </w:rPr>
        <w:t>、健康管理及醫療照護</w:t>
      </w:r>
      <w:r w:rsidRPr="009746CD">
        <w:rPr>
          <w:rFonts w:ascii="標楷體" w:eastAsia="標楷體" w:hAnsi="標楷體"/>
          <w:bCs/>
          <w:spacing w:val="-6"/>
          <w:sz w:val="28"/>
          <w:szCs w:val="28"/>
        </w:rPr>
        <w:t>。</w:t>
      </w:r>
    </w:p>
    <w:p w14:paraId="0018F6F6" w14:textId="77777777" w:rsidR="00421BB5" w:rsidRPr="009746CD" w:rsidRDefault="00421BB5" w:rsidP="00421BB5">
      <w:pPr>
        <w:spacing w:line="340" w:lineRule="exact"/>
        <w:ind w:left="-106" w:firstLineChars="347" w:firstLine="930"/>
        <w:contextualSpacing/>
        <w:jc w:val="both"/>
        <w:rPr>
          <w:rFonts w:ascii="標楷體" w:eastAsia="標楷體" w:hAnsi="標楷體"/>
          <w:bCs/>
          <w:spacing w:val="-6"/>
          <w:sz w:val="28"/>
          <w:szCs w:val="28"/>
          <w:u w:val="single"/>
        </w:rPr>
      </w:pPr>
      <w:r w:rsidRPr="009746CD">
        <w:rPr>
          <w:rFonts w:ascii="標楷體" w:eastAsia="標楷體" w:hAnsi="標楷體" w:hint="eastAsia"/>
          <w:bCs/>
          <w:spacing w:val="-6"/>
          <w:sz w:val="28"/>
          <w:szCs w:val="28"/>
          <w:u w:val="single"/>
        </w:rPr>
        <w:t>二、辦理國際運動賽事資訊之蒐集、分析及支援。</w:t>
      </w:r>
    </w:p>
    <w:p w14:paraId="58C6F73C" w14:textId="77777777" w:rsidR="00421BB5" w:rsidRPr="009746CD" w:rsidRDefault="00421BB5" w:rsidP="00421BB5">
      <w:pPr>
        <w:spacing w:line="340" w:lineRule="exact"/>
        <w:ind w:left="-106" w:firstLineChars="347" w:firstLine="930"/>
        <w:contextualSpacing/>
        <w:jc w:val="both"/>
        <w:rPr>
          <w:rFonts w:ascii="標楷體" w:eastAsia="標楷體" w:hAnsi="標楷體"/>
          <w:bCs/>
          <w:spacing w:val="-6"/>
          <w:sz w:val="28"/>
          <w:szCs w:val="28"/>
        </w:rPr>
      </w:pPr>
      <w:r w:rsidRPr="009746CD">
        <w:rPr>
          <w:rFonts w:ascii="標楷體" w:eastAsia="標楷體" w:hAnsi="標楷體" w:hint="eastAsia"/>
          <w:bCs/>
          <w:spacing w:val="-6"/>
          <w:sz w:val="28"/>
          <w:szCs w:val="28"/>
          <w:u w:val="single"/>
        </w:rPr>
        <w:t>三</w:t>
      </w:r>
      <w:r w:rsidRPr="009746CD">
        <w:rPr>
          <w:rFonts w:ascii="標楷體" w:eastAsia="標楷體" w:hAnsi="標楷體" w:hint="eastAsia"/>
          <w:bCs/>
          <w:spacing w:val="-6"/>
          <w:sz w:val="28"/>
          <w:szCs w:val="28"/>
        </w:rPr>
        <w:t>、推動運動科學之研究。</w:t>
      </w:r>
    </w:p>
    <w:p w14:paraId="640797A8" w14:textId="77777777" w:rsidR="00421BB5" w:rsidRPr="009A0A29" w:rsidRDefault="00421BB5" w:rsidP="00421BB5">
      <w:pPr>
        <w:spacing w:line="340" w:lineRule="exact"/>
        <w:ind w:left="-106" w:firstLineChars="347" w:firstLine="930"/>
        <w:contextualSpacing/>
        <w:jc w:val="both"/>
        <w:rPr>
          <w:rFonts w:ascii="標楷體" w:eastAsia="標楷體" w:hAnsi="標楷體"/>
          <w:bCs/>
          <w:spacing w:val="-6"/>
          <w:sz w:val="28"/>
          <w:szCs w:val="28"/>
          <w:u w:val="single"/>
        </w:rPr>
      </w:pPr>
      <w:r w:rsidRPr="006A70AA">
        <w:rPr>
          <w:rFonts w:ascii="標楷體" w:eastAsia="標楷體" w:hAnsi="標楷體" w:hint="eastAsia"/>
          <w:bCs/>
          <w:spacing w:val="-6"/>
          <w:sz w:val="28"/>
          <w:szCs w:val="28"/>
          <w:u w:val="single"/>
        </w:rPr>
        <w:t>四</w:t>
      </w:r>
      <w:r w:rsidRPr="00AB5198">
        <w:rPr>
          <w:rFonts w:ascii="標楷體" w:eastAsia="標楷體" w:hAnsi="標楷體" w:hint="eastAsia"/>
          <w:bCs/>
          <w:spacing w:val="-6"/>
          <w:sz w:val="28"/>
          <w:szCs w:val="28"/>
        </w:rPr>
        <w:t>、</w:t>
      </w:r>
      <w:r w:rsidRPr="009746CD">
        <w:rPr>
          <w:rFonts w:ascii="標楷體" w:eastAsia="標楷體" w:hAnsi="標楷體" w:hint="eastAsia"/>
          <w:bCs/>
          <w:spacing w:val="-6"/>
          <w:sz w:val="28"/>
          <w:szCs w:val="28"/>
          <w:u w:val="single"/>
        </w:rPr>
        <w:t>進行運動科技之研發、技術移</w:t>
      </w:r>
      <w:r w:rsidRPr="00AC3B0B">
        <w:rPr>
          <w:rFonts w:ascii="標楷體" w:eastAsia="標楷體" w:hAnsi="標楷體" w:hint="eastAsia"/>
          <w:bCs/>
          <w:spacing w:val="-6"/>
          <w:sz w:val="28"/>
          <w:szCs w:val="28"/>
          <w:u w:val="single"/>
        </w:rPr>
        <w:t>轉</w:t>
      </w:r>
      <w:r w:rsidRPr="00AB5198">
        <w:rPr>
          <w:rFonts w:ascii="標楷體" w:eastAsia="標楷體" w:hAnsi="標楷體" w:hint="eastAsia"/>
          <w:bCs/>
          <w:spacing w:val="-6"/>
          <w:sz w:val="28"/>
          <w:szCs w:val="28"/>
        </w:rPr>
        <w:t>及</w:t>
      </w:r>
      <w:r w:rsidRPr="009746CD">
        <w:rPr>
          <w:rFonts w:ascii="標楷體" w:eastAsia="標楷體" w:hAnsi="標楷體" w:hint="eastAsia"/>
          <w:bCs/>
          <w:spacing w:val="-6"/>
          <w:sz w:val="28"/>
          <w:szCs w:val="28"/>
          <w:u w:val="single"/>
        </w:rPr>
        <w:t>加</w:t>
      </w:r>
      <w:r w:rsidRPr="009A0A29">
        <w:rPr>
          <w:rFonts w:ascii="標楷體" w:eastAsia="標楷體" w:hAnsi="標楷體" w:hint="eastAsia"/>
          <w:bCs/>
          <w:spacing w:val="-6"/>
          <w:sz w:val="28"/>
          <w:szCs w:val="28"/>
          <w:u w:val="single"/>
        </w:rPr>
        <w:t>值</w:t>
      </w:r>
      <w:r w:rsidRPr="00AB5198">
        <w:rPr>
          <w:rFonts w:ascii="標楷體" w:eastAsia="標楷體" w:hAnsi="標楷體" w:hint="eastAsia"/>
          <w:bCs/>
          <w:spacing w:val="-6"/>
          <w:sz w:val="28"/>
          <w:szCs w:val="28"/>
        </w:rPr>
        <w:t>應用。</w:t>
      </w:r>
    </w:p>
    <w:p w14:paraId="1251EDDD" w14:textId="77777777" w:rsidR="00421BB5" w:rsidRPr="009746CD" w:rsidRDefault="00421BB5" w:rsidP="00421BB5">
      <w:pPr>
        <w:spacing w:line="340" w:lineRule="exact"/>
        <w:ind w:left="-106" w:firstLineChars="347" w:firstLine="930"/>
        <w:contextualSpacing/>
        <w:jc w:val="both"/>
        <w:rPr>
          <w:rFonts w:ascii="標楷體" w:eastAsia="標楷體" w:hAnsi="標楷體"/>
          <w:bCs/>
          <w:spacing w:val="-6"/>
          <w:sz w:val="28"/>
          <w:szCs w:val="28"/>
        </w:rPr>
      </w:pPr>
      <w:r w:rsidRPr="009746CD">
        <w:rPr>
          <w:rFonts w:ascii="標楷體" w:eastAsia="標楷體" w:hAnsi="標楷體" w:hint="eastAsia"/>
          <w:bCs/>
          <w:spacing w:val="-6"/>
          <w:sz w:val="28"/>
          <w:szCs w:val="28"/>
          <w:u w:val="single"/>
        </w:rPr>
        <w:t>五</w:t>
      </w:r>
      <w:r w:rsidRPr="009746CD">
        <w:rPr>
          <w:rFonts w:ascii="標楷體" w:eastAsia="標楷體" w:hAnsi="標楷體" w:hint="eastAsia"/>
          <w:bCs/>
          <w:spacing w:val="-6"/>
          <w:sz w:val="28"/>
          <w:szCs w:val="28"/>
        </w:rPr>
        <w:t>、促進國內外運動科學研究機構之合作交流。</w:t>
      </w:r>
    </w:p>
    <w:p w14:paraId="6C1EE4FD" w14:textId="77777777" w:rsidR="00421BB5" w:rsidRPr="009746CD" w:rsidRDefault="00421BB5" w:rsidP="00421BB5">
      <w:pPr>
        <w:spacing w:line="340" w:lineRule="exact"/>
        <w:ind w:left="-106" w:firstLineChars="347" w:firstLine="930"/>
        <w:contextualSpacing/>
        <w:jc w:val="both"/>
        <w:rPr>
          <w:rFonts w:ascii="標楷體" w:eastAsia="標楷體" w:hAnsi="標楷體"/>
          <w:bCs/>
          <w:spacing w:val="-6"/>
          <w:sz w:val="28"/>
          <w:szCs w:val="28"/>
        </w:rPr>
      </w:pPr>
      <w:r w:rsidRPr="009746CD">
        <w:rPr>
          <w:rFonts w:ascii="標楷體" w:eastAsia="標楷體" w:hAnsi="標楷體" w:hint="eastAsia"/>
          <w:bCs/>
          <w:spacing w:val="-6"/>
          <w:sz w:val="28"/>
          <w:szCs w:val="28"/>
          <w:u w:val="single"/>
        </w:rPr>
        <w:t>六</w:t>
      </w:r>
      <w:r w:rsidRPr="009746CD">
        <w:rPr>
          <w:rFonts w:ascii="標楷體" w:eastAsia="標楷體" w:hAnsi="標楷體" w:hint="eastAsia"/>
          <w:bCs/>
          <w:spacing w:val="-6"/>
          <w:sz w:val="28"/>
          <w:szCs w:val="28"/>
        </w:rPr>
        <w:t>、協助規劃及培育運動科學專業人才。</w:t>
      </w:r>
    </w:p>
    <w:p w14:paraId="7843B677" w14:textId="77777777" w:rsidR="00421BB5" w:rsidRDefault="00421BB5" w:rsidP="00421BB5">
      <w:pPr>
        <w:spacing w:line="340" w:lineRule="exact"/>
        <w:ind w:left="-106" w:firstLineChars="347" w:firstLine="930"/>
        <w:contextualSpacing/>
        <w:jc w:val="both"/>
        <w:rPr>
          <w:rFonts w:ascii="標楷體" w:eastAsia="標楷體" w:hAnsi="標楷體"/>
          <w:bCs/>
          <w:spacing w:val="-6"/>
          <w:sz w:val="28"/>
          <w:szCs w:val="28"/>
        </w:rPr>
      </w:pPr>
      <w:r w:rsidRPr="009746CD">
        <w:rPr>
          <w:rFonts w:ascii="標楷體" w:eastAsia="標楷體" w:hAnsi="標楷體" w:hint="eastAsia"/>
          <w:bCs/>
          <w:spacing w:val="-6"/>
          <w:sz w:val="28"/>
          <w:szCs w:val="28"/>
          <w:u w:val="single"/>
        </w:rPr>
        <w:t>七</w:t>
      </w:r>
      <w:r w:rsidRPr="009746CD">
        <w:rPr>
          <w:rFonts w:ascii="標楷體" w:eastAsia="標楷體" w:hAnsi="標楷體" w:hint="eastAsia"/>
          <w:bCs/>
          <w:spacing w:val="-6"/>
          <w:sz w:val="28"/>
          <w:szCs w:val="28"/>
        </w:rPr>
        <w:t>、</w:t>
      </w:r>
      <w:r w:rsidRPr="009746CD">
        <w:rPr>
          <w:rFonts w:ascii="標楷體" w:eastAsia="標楷體" w:hAnsi="標楷體"/>
          <w:bCs/>
          <w:spacing w:val="-6"/>
          <w:sz w:val="28"/>
          <w:szCs w:val="28"/>
        </w:rPr>
        <w:t>其他與運動科學相關之業務</w:t>
      </w:r>
      <w:r w:rsidRPr="009746CD">
        <w:rPr>
          <w:rFonts w:ascii="標楷體" w:eastAsia="標楷體" w:hAnsi="標楷體" w:hint="eastAsia"/>
          <w:bCs/>
          <w:spacing w:val="-6"/>
          <w:sz w:val="28"/>
          <w:szCs w:val="28"/>
        </w:rPr>
        <w:t>。</w:t>
      </w:r>
    </w:p>
    <w:p w14:paraId="58BBFD79" w14:textId="77777777" w:rsidR="00421BB5" w:rsidRPr="00B43CD8" w:rsidRDefault="00421BB5" w:rsidP="00421BB5">
      <w:pPr>
        <w:spacing w:line="340" w:lineRule="exact"/>
        <w:ind w:left="536" w:hangingChars="200" w:hanging="536"/>
        <w:jc w:val="both"/>
        <w:rPr>
          <w:rFonts w:ascii="標楷體" w:eastAsia="標楷體" w:hAnsi="標楷體"/>
          <w:bCs/>
          <w:spacing w:val="-6"/>
          <w:sz w:val="28"/>
          <w:szCs w:val="28"/>
        </w:rPr>
      </w:pPr>
      <w:r>
        <w:rPr>
          <w:rFonts w:ascii="標楷體" w:eastAsia="標楷體" w:hAnsi="標楷體"/>
          <w:spacing w:val="-6"/>
          <w:sz w:val="28"/>
          <w:szCs w:val="28"/>
        </w:rPr>
        <w:t>五、</w:t>
      </w:r>
      <w:r>
        <w:rPr>
          <w:rFonts w:ascii="標楷體" w:eastAsia="標楷體" w:hAnsi="標楷體" w:hint="eastAsia"/>
          <w:spacing w:val="-6"/>
          <w:sz w:val="28"/>
          <w:szCs w:val="28"/>
        </w:rPr>
        <w:t>第六條，除將第一項序文中第二句</w:t>
      </w:r>
      <w:r>
        <w:rPr>
          <w:rFonts w:ascii="標楷體" w:eastAsia="標楷體" w:hAnsi="標楷體" w:hint="eastAsia"/>
          <w:bCs/>
          <w:spacing w:val="-6"/>
          <w:sz w:val="28"/>
          <w:szCs w:val="28"/>
        </w:rPr>
        <w:t>修正為</w:t>
      </w:r>
      <w:r>
        <w:rPr>
          <w:rFonts w:ascii="標楷體" w:eastAsia="標楷體" w:hAnsi="標楷體" w:hint="eastAsia"/>
          <w:spacing w:val="-6"/>
          <w:sz w:val="28"/>
          <w:szCs w:val="28"/>
        </w:rPr>
        <w:t>「</w:t>
      </w:r>
      <w:r w:rsidRPr="00B43CD8">
        <w:rPr>
          <w:rFonts w:ascii="標楷體" w:eastAsia="標楷體" w:hAnsi="標楷體" w:hint="eastAsia"/>
          <w:bCs/>
          <w:spacing w:val="-6"/>
          <w:sz w:val="28"/>
          <w:szCs w:val="28"/>
        </w:rPr>
        <w:t>置董事</w:t>
      </w:r>
      <w:r w:rsidRPr="00B43CD8">
        <w:rPr>
          <w:rFonts w:ascii="標楷體" w:eastAsia="標楷體" w:hAnsi="標楷體" w:hint="eastAsia"/>
          <w:bCs/>
          <w:spacing w:val="-6"/>
          <w:sz w:val="28"/>
          <w:szCs w:val="28"/>
          <w:u w:val="single"/>
        </w:rPr>
        <w:t>十一</w:t>
      </w:r>
      <w:r w:rsidRPr="00B43CD8">
        <w:rPr>
          <w:rFonts w:ascii="標楷體" w:eastAsia="標楷體" w:hAnsi="標楷體" w:hint="eastAsia"/>
          <w:bCs/>
          <w:spacing w:val="-6"/>
          <w:sz w:val="28"/>
          <w:szCs w:val="28"/>
        </w:rPr>
        <w:t>人至</w:t>
      </w:r>
      <w:r w:rsidRPr="00B43CD8">
        <w:rPr>
          <w:rFonts w:ascii="標楷體" w:eastAsia="標楷體" w:hAnsi="標楷體" w:hint="eastAsia"/>
          <w:bCs/>
          <w:spacing w:val="-6"/>
          <w:sz w:val="28"/>
          <w:szCs w:val="28"/>
          <w:u w:val="single"/>
        </w:rPr>
        <w:t>十五</w:t>
      </w:r>
      <w:r w:rsidRPr="00B43CD8">
        <w:rPr>
          <w:rFonts w:ascii="標楷體" w:eastAsia="標楷體" w:hAnsi="標楷體" w:hint="eastAsia"/>
          <w:bCs/>
          <w:spacing w:val="-6"/>
          <w:sz w:val="28"/>
          <w:szCs w:val="28"/>
        </w:rPr>
        <w:t>人</w:t>
      </w:r>
      <w:r>
        <w:rPr>
          <w:rFonts w:ascii="標楷體" w:eastAsia="標楷體" w:hAnsi="標楷體"/>
          <w:bCs/>
          <w:spacing w:val="-6"/>
          <w:sz w:val="28"/>
          <w:szCs w:val="28"/>
        </w:rPr>
        <w:t>」</w:t>
      </w:r>
      <w:r>
        <w:rPr>
          <w:rFonts w:ascii="標楷體" w:eastAsia="標楷體" w:hAnsi="標楷體" w:hint="eastAsia"/>
          <w:bCs/>
          <w:spacing w:val="-6"/>
          <w:sz w:val="28"/>
          <w:szCs w:val="28"/>
        </w:rPr>
        <w:t>及第三款修正為</w:t>
      </w:r>
      <w:r>
        <w:rPr>
          <w:rFonts w:ascii="標楷體" w:eastAsia="標楷體" w:hAnsi="標楷體" w:hint="eastAsia"/>
          <w:spacing w:val="-6"/>
          <w:sz w:val="28"/>
          <w:szCs w:val="28"/>
        </w:rPr>
        <w:t>「三、</w:t>
      </w:r>
      <w:r w:rsidRPr="00B43CD8">
        <w:rPr>
          <w:rFonts w:ascii="標楷體" w:eastAsia="標楷體" w:hAnsi="標楷體" w:hint="eastAsia"/>
          <w:bCs/>
          <w:spacing w:val="-6"/>
          <w:sz w:val="28"/>
          <w:szCs w:val="28"/>
          <w:u w:val="single"/>
        </w:rPr>
        <w:t>民間企業經營、管理專家及</w:t>
      </w:r>
      <w:r w:rsidRPr="00B43CD8">
        <w:rPr>
          <w:rFonts w:ascii="標楷體" w:eastAsia="標楷體" w:hAnsi="標楷體" w:hint="eastAsia"/>
          <w:bCs/>
          <w:spacing w:val="-6"/>
          <w:sz w:val="28"/>
          <w:szCs w:val="28"/>
        </w:rPr>
        <w:t>對國家體育運動有重大貢獻之社會人士。</w:t>
      </w:r>
      <w:r>
        <w:rPr>
          <w:rFonts w:ascii="標楷體" w:eastAsia="標楷體" w:hAnsi="標楷體"/>
          <w:bCs/>
          <w:spacing w:val="-6"/>
          <w:sz w:val="28"/>
          <w:szCs w:val="28"/>
        </w:rPr>
        <w:t>」</w:t>
      </w:r>
      <w:r>
        <w:rPr>
          <w:rFonts w:ascii="標楷體" w:eastAsia="標楷體" w:hAnsi="標楷體" w:hint="eastAsia"/>
          <w:bCs/>
          <w:spacing w:val="-6"/>
          <w:sz w:val="28"/>
          <w:szCs w:val="28"/>
        </w:rPr>
        <w:t>外，餘照行政院提案通過。</w:t>
      </w:r>
    </w:p>
    <w:p w14:paraId="3EF7E9BE" w14:textId="77777777" w:rsidR="00421BB5" w:rsidRDefault="00421BB5" w:rsidP="00421BB5">
      <w:pPr>
        <w:spacing w:line="340" w:lineRule="exact"/>
        <w:ind w:left="536" w:hangingChars="200" w:hanging="536"/>
        <w:jc w:val="both"/>
        <w:rPr>
          <w:rFonts w:ascii="標楷體" w:eastAsia="標楷體" w:hAnsi="標楷體"/>
          <w:spacing w:val="-6"/>
          <w:sz w:val="28"/>
          <w:szCs w:val="28"/>
        </w:rPr>
      </w:pPr>
      <w:r>
        <w:rPr>
          <w:rFonts w:ascii="標楷體" w:eastAsia="標楷體" w:hAnsi="標楷體"/>
          <w:spacing w:val="-6"/>
          <w:sz w:val="28"/>
          <w:szCs w:val="28"/>
        </w:rPr>
        <w:t>六、</w:t>
      </w:r>
      <w:r>
        <w:rPr>
          <w:rFonts w:ascii="標楷體" w:eastAsia="標楷體" w:hAnsi="標楷體" w:hint="eastAsia"/>
          <w:spacing w:val="-6"/>
          <w:sz w:val="28"/>
          <w:szCs w:val="28"/>
        </w:rPr>
        <w:t>第二十二條，除將第三項修正為「</w:t>
      </w:r>
      <w:r w:rsidRPr="005238DB">
        <w:rPr>
          <w:rFonts w:ascii="標楷體" w:eastAsia="標楷體" w:hAnsi="標楷體"/>
          <w:sz w:val="26"/>
          <w:szCs w:val="26"/>
        </w:rPr>
        <w:t>第一項績效評鑑之</w:t>
      </w:r>
      <w:r w:rsidRPr="005238DB">
        <w:rPr>
          <w:rFonts w:ascii="標楷體" w:eastAsia="標楷體" w:hAnsi="標楷體" w:hint="eastAsia"/>
          <w:sz w:val="26"/>
          <w:szCs w:val="26"/>
          <w:u w:val="single"/>
        </w:rPr>
        <w:t>成員資格條件、遴</w:t>
      </w:r>
      <w:r w:rsidRPr="005238DB">
        <w:rPr>
          <w:rFonts w:ascii="標楷體" w:eastAsia="標楷體" w:hAnsi="標楷體" w:hint="eastAsia"/>
          <w:color w:val="000000"/>
          <w:sz w:val="26"/>
          <w:szCs w:val="26"/>
          <w:u w:val="single"/>
        </w:rPr>
        <w:t>聘程序</w:t>
      </w:r>
      <w:r w:rsidRPr="005238DB">
        <w:rPr>
          <w:rFonts w:ascii="標楷體" w:eastAsia="標楷體" w:hAnsi="標楷體" w:hint="eastAsia"/>
          <w:sz w:val="26"/>
          <w:szCs w:val="26"/>
          <w:u w:val="single"/>
        </w:rPr>
        <w:t>、績效評鑑之</w:t>
      </w:r>
      <w:r w:rsidRPr="005238DB">
        <w:rPr>
          <w:rFonts w:ascii="標楷體" w:eastAsia="標楷體" w:hAnsi="標楷體"/>
          <w:sz w:val="26"/>
          <w:szCs w:val="26"/>
        </w:rPr>
        <w:t>方式、程序及其他相關事項之辦法，由監督機關定之。</w:t>
      </w:r>
      <w:r>
        <w:rPr>
          <w:rFonts w:ascii="標楷體" w:eastAsia="標楷體" w:hAnsi="標楷體" w:hint="eastAsia"/>
          <w:spacing w:val="-6"/>
          <w:sz w:val="28"/>
          <w:szCs w:val="28"/>
        </w:rPr>
        <w:t>」外，餘照行政院提案通過。</w:t>
      </w:r>
    </w:p>
    <w:p w14:paraId="47CEEF3F" w14:textId="77777777" w:rsidR="00421BB5" w:rsidRDefault="00421BB5" w:rsidP="00421BB5">
      <w:pPr>
        <w:spacing w:line="340" w:lineRule="exact"/>
        <w:ind w:leftChars="-11" w:left="534" w:hangingChars="200" w:hanging="560"/>
        <w:contextualSpacing/>
        <w:jc w:val="both"/>
        <w:rPr>
          <w:rFonts w:ascii="標楷體" w:eastAsia="標楷體" w:hAnsi="標楷體"/>
          <w:sz w:val="28"/>
          <w:szCs w:val="28"/>
        </w:rPr>
      </w:pPr>
      <w:r>
        <w:rPr>
          <w:rFonts w:ascii="標楷體" w:eastAsia="標楷體" w:hAnsi="標楷體" w:hint="eastAsia"/>
          <w:sz w:val="28"/>
          <w:szCs w:val="28"/>
        </w:rPr>
        <w:t>七、本案審查完竣，擬具審查報告，提請院會公決；</w:t>
      </w:r>
      <w:r w:rsidRPr="005218FC">
        <w:rPr>
          <w:rFonts w:ascii="標楷體" w:eastAsia="標楷體" w:hAnsi="標楷體" w:hint="eastAsia"/>
          <w:sz w:val="28"/>
          <w:szCs w:val="28"/>
        </w:rPr>
        <w:t>須交由黨團協商；院會討論時，由</w:t>
      </w:r>
      <w:r>
        <w:rPr>
          <w:rFonts w:ascii="標楷體" w:eastAsia="標楷體" w:hAnsi="標楷體" w:hint="eastAsia"/>
          <w:sz w:val="28"/>
          <w:szCs w:val="28"/>
        </w:rPr>
        <w:t>陳</w:t>
      </w:r>
      <w:r w:rsidRPr="005218FC">
        <w:rPr>
          <w:rFonts w:ascii="標楷體" w:eastAsia="標楷體" w:hAnsi="標楷體" w:hint="eastAsia"/>
          <w:sz w:val="28"/>
          <w:szCs w:val="28"/>
        </w:rPr>
        <w:t>召集委員</w:t>
      </w:r>
      <w:r>
        <w:rPr>
          <w:rFonts w:ascii="標楷體" w:eastAsia="標楷體" w:hAnsi="標楷體" w:hint="eastAsia"/>
          <w:sz w:val="28"/>
          <w:szCs w:val="28"/>
        </w:rPr>
        <w:t>歐珀</w:t>
      </w:r>
      <w:r w:rsidRPr="005218FC">
        <w:rPr>
          <w:rFonts w:ascii="標楷體" w:eastAsia="標楷體" w:hAnsi="標楷體" w:hint="eastAsia"/>
          <w:sz w:val="28"/>
          <w:szCs w:val="28"/>
        </w:rPr>
        <w:t>出席說明。</w:t>
      </w:r>
    </w:p>
    <w:p w14:paraId="68BD19D4" w14:textId="77777777" w:rsidR="00421BB5" w:rsidRPr="00C976D5" w:rsidRDefault="00421BB5" w:rsidP="00421BB5">
      <w:pPr>
        <w:spacing w:line="340" w:lineRule="exact"/>
        <w:ind w:leftChars="-11" w:left="534" w:hangingChars="200" w:hanging="560"/>
        <w:contextualSpacing/>
        <w:rPr>
          <w:rFonts w:ascii="標楷體" w:eastAsia="標楷體" w:hAnsi="標楷體"/>
          <w:sz w:val="28"/>
          <w:szCs w:val="28"/>
        </w:rPr>
      </w:pPr>
      <w:r>
        <w:rPr>
          <w:rFonts w:ascii="標楷體" w:eastAsia="標楷體" w:hAnsi="標楷體" w:hint="eastAsia"/>
          <w:sz w:val="28"/>
          <w:szCs w:val="28"/>
        </w:rPr>
        <w:t>八、</w:t>
      </w:r>
      <w:r w:rsidRPr="005218FC">
        <w:rPr>
          <w:rFonts w:ascii="標楷體" w:eastAsia="標楷體" w:hAnsi="標楷體" w:hint="eastAsia"/>
          <w:sz w:val="28"/>
          <w:szCs w:val="28"/>
        </w:rPr>
        <w:t>條次、引述條文部分文字及法制用字用語，授權主席及議事人員整理。</w:t>
      </w:r>
    </w:p>
    <w:p w14:paraId="3994C0F8" w14:textId="77777777" w:rsidR="00421BB5" w:rsidRDefault="00421BB5" w:rsidP="00421BB5">
      <w:pPr>
        <w:spacing w:line="340" w:lineRule="exact"/>
        <w:ind w:leftChars="-11" w:left="534" w:hangingChars="200" w:hanging="560"/>
        <w:contextualSpacing/>
        <w:rPr>
          <w:rFonts w:ascii="標楷體" w:eastAsia="標楷體" w:hAnsi="標楷體"/>
          <w:sz w:val="28"/>
          <w:szCs w:val="28"/>
        </w:rPr>
      </w:pPr>
      <w:r>
        <w:rPr>
          <w:rFonts w:ascii="標楷體" w:eastAsia="標楷體" w:hAnsi="標楷體" w:hint="eastAsia"/>
          <w:sz w:val="28"/>
          <w:szCs w:val="28"/>
        </w:rPr>
        <w:t>九、</w:t>
      </w:r>
      <w:r w:rsidRPr="00803E97">
        <w:rPr>
          <w:rFonts w:ascii="標楷體" w:eastAsia="標楷體" w:hAnsi="標楷體"/>
          <w:sz w:val="28"/>
          <w:szCs w:val="28"/>
        </w:rPr>
        <w:t>委員質詢時，要求提供相關資料或以書面答復者，請相關機關儘速送交個別委員及本</w:t>
      </w:r>
      <w:r>
        <w:rPr>
          <w:rFonts w:ascii="標楷體" w:eastAsia="標楷體" w:hAnsi="標楷體" w:hint="eastAsia"/>
          <w:sz w:val="28"/>
          <w:szCs w:val="28"/>
        </w:rPr>
        <w:t>聯席</w:t>
      </w:r>
      <w:r w:rsidRPr="00803E97">
        <w:rPr>
          <w:rFonts w:ascii="標楷體" w:eastAsia="標楷體" w:hAnsi="標楷體"/>
          <w:sz w:val="28"/>
          <w:szCs w:val="28"/>
        </w:rPr>
        <w:t>會。</w:t>
      </w:r>
    </w:p>
    <w:p w14:paraId="1ABBB39A" w14:textId="77777777" w:rsidR="00421BB5" w:rsidRPr="00191557" w:rsidRDefault="00421BB5" w:rsidP="00421BB5">
      <w:pPr>
        <w:adjustRightInd w:val="0"/>
        <w:snapToGrid w:val="0"/>
        <w:spacing w:beforeLines="20" w:before="72" w:line="340" w:lineRule="exact"/>
        <w:ind w:firstLineChars="398" w:firstLine="1115"/>
        <w:jc w:val="both"/>
        <w:rPr>
          <w:rFonts w:ascii="標楷體" w:eastAsia="標楷體" w:hAnsi="標楷體"/>
          <w:b/>
          <w:kern w:val="0"/>
          <w:sz w:val="28"/>
          <w:szCs w:val="28"/>
          <w:lang w:val="x-none"/>
        </w:rPr>
      </w:pPr>
      <w:r w:rsidRPr="00191557">
        <w:rPr>
          <w:rFonts w:ascii="標楷體" w:eastAsia="標楷體" w:hAnsi="標楷體" w:hint="eastAsia"/>
          <w:b/>
          <w:kern w:val="0"/>
          <w:sz w:val="28"/>
          <w:szCs w:val="28"/>
          <w:lang w:val="x-none"/>
        </w:rPr>
        <w:t>提    案</w:t>
      </w:r>
    </w:p>
    <w:p w14:paraId="2DE5D5B1" w14:textId="77777777" w:rsidR="00421BB5" w:rsidRPr="00191557" w:rsidRDefault="00421BB5" w:rsidP="00421BB5">
      <w:pPr>
        <w:kinsoku w:val="0"/>
        <w:spacing w:line="340" w:lineRule="exact"/>
        <w:ind w:left="462" w:hangingChars="165" w:hanging="462"/>
        <w:contextualSpacing/>
        <w:jc w:val="both"/>
        <w:rPr>
          <w:rFonts w:ascii="標楷體" w:eastAsia="標楷體" w:hAnsi="標楷體"/>
          <w:sz w:val="28"/>
          <w:szCs w:val="28"/>
        </w:rPr>
      </w:pPr>
      <w:r w:rsidRPr="00191557">
        <w:rPr>
          <w:rFonts w:ascii="標楷體" w:eastAsia="標楷體" w:hAnsi="標楷體" w:hint="eastAsia"/>
          <w:sz w:val="28"/>
          <w:szCs w:val="28"/>
        </w:rPr>
        <w:t>一、鑑於</w:t>
      </w:r>
      <w:r>
        <w:rPr>
          <w:rFonts w:ascii="標楷體" w:eastAsia="標楷體" w:hAnsi="標楷體" w:hint="eastAsia"/>
          <w:sz w:val="28"/>
          <w:szCs w:val="28"/>
        </w:rPr>
        <w:t>近來部分大學教授所指導博碩士學生之學位論文，均因違反學術倫理規範而遭撤銷，引起國人關注。請教育部依所頒「專科以上學校學術倫理案件處理原則」第1</w:t>
      </w:r>
      <w:r>
        <w:rPr>
          <w:rFonts w:ascii="標楷體" w:eastAsia="標楷體" w:hAnsi="標楷體"/>
          <w:sz w:val="28"/>
          <w:szCs w:val="28"/>
        </w:rPr>
        <w:t>0</w:t>
      </w:r>
      <w:r>
        <w:rPr>
          <w:rFonts w:ascii="標楷體" w:eastAsia="標楷體" w:hAnsi="標楷體" w:hint="eastAsia"/>
          <w:sz w:val="28"/>
          <w:szCs w:val="28"/>
        </w:rPr>
        <w:t>項規定：「違反學術倫理者，本部得要求被檢舉人所屬學校或機關（構）提出說明，檢討問題癥結，提出改進方案」。教育部應立即與各大學校院協進會檢討問題癥結，並於1</w:t>
      </w:r>
      <w:r>
        <w:rPr>
          <w:rFonts w:ascii="標楷體" w:eastAsia="標楷體" w:hAnsi="標楷體"/>
          <w:sz w:val="28"/>
          <w:szCs w:val="28"/>
        </w:rPr>
        <w:t>12</w:t>
      </w:r>
      <w:r>
        <w:rPr>
          <w:rFonts w:ascii="標楷體" w:eastAsia="標楷體" w:hAnsi="標楷體" w:hint="eastAsia"/>
          <w:sz w:val="28"/>
          <w:szCs w:val="28"/>
        </w:rPr>
        <w:t>年1月底前提出改進方案</w:t>
      </w:r>
      <w:r w:rsidRPr="00191557">
        <w:rPr>
          <w:rFonts w:ascii="標楷體" w:eastAsia="標楷體" w:hAnsi="標楷體" w:hint="eastAsia"/>
          <w:sz w:val="28"/>
          <w:szCs w:val="28"/>
        </w:rPr>
        <w:t>。</w:t>
      </w:r>
    </w:p>
    <w:p w14:paraId="6543AA5C" w14:textId="77777777" w:rsidR="00421BB5" w:rsidRPr="00191557" w:rsidRDefault="00421BB5" w:rsidP="00421BB5">
      <w:pPr>
        <w:widowControl/>
        <w:spacing w:line="340" w:lineRule="exact"/>
        <w:ind w:leftChars="175" w:left="420" w:firstLineChars="1014" w:firstLine="2839"/>
        <w:contextualSpacing/>
        <w:rPr>
          <w:rFonts w:ascii="標楷體" w:eastAsia="標楷體" w:hAnsi="標楷體"/>
          <w:sz w:val="28"/>
          <w:szCs w:val="28"/>
        </w:rPr>
      </w:pPr>
      <w:r w:rsidRPr="00191557">
        <w:rPr>
          <w:rFonts w:ascii="標楷體" w:eastAsia="標楷體" w:hAnsi="標楷體"/>
          <w:sz w:val="28"/>
          <w:szCs w:val="28"/>
        </w:rPr>
        <w:t>提案人：</w:t>
      </w:r>
      <w:r>
        <w:rPr>
          <w:rFonts w:ascii="標楷體" w:eastAsia="標楷體" w:hAnsi="標楷體" w:hint="eastAsia"/>
          <w:sz w:val="28"/>
          <w:szCs w:val="28"/>
        </w:rPr>
        <w:t xml:space="preserve">陳以信 萬美玲 曾銘宗 </w:t>
      </w:r>
      <w:r w:rsidRPr="00D16CB0">
        <w:rPr>
          <w:rFonts w:ascii="標楷體" w:eastAsia="標楷體" w:hAnsi="標楷體" w:hint="eastAsia"/>
          <w:sz w:val="28"/>
          <w:szCs w:val="28"/>
        </w:rPr>
        <w:t>游</w:t>
      </w:r>
      <w:r w:rsidRPr="00D16CB0">
        <w:rPr>
          <w:rFonts w:ascii="標楷體" w:eastAsia="標楷體" w:hAnsi="標楷體"/>
          <w:sz w:val="28"/>
          <w:szCs w:val="28"/>
        </w:rPr>
        <w:t>毓蘭</w:t>
      </w:r>
      <w:r w:rsidRPr="00191557">
        <w:rPr>
          <w:rFonts w:ascii="標楷體" w:eastAsia="標楷體" w:hAnsi="標楷體" w:hint="eastAsia"/>
          <w:sz w:val="28"/>
          <w:szCs w:val="28"/>
        </w:rPr>
        <w:t xml:space="preserve"> </w:t>
      </w:r>
    </w:p>
    <w:p w14:paraId="6FEB7B10" w14:textId="77777777" w:rsidR="00421BB5" w:rsidRPr="00191557" w:rsidRDefault="00421BB5" w:rsidP="00421BB5">
      <w:pPr>
        <w:widowControl/>
        <w:spacing w:line="340" w:lineRule="exact"/>
        <w:ind w:left="420" w:hangingChars="150" w:hanging="420"/>
        <w:contextualSpacing/>
        <w:rPr>
          <w:rFonts w:ascii="標楷體" w:eastAsia="標楷體" w:hAnsi="標楷體"/>
          <w:sz w:val="28"/>
          <w:szCs w:val="28"/>
        </w:rPr>
      </w:pPr>
      <w:r w:rsidRPr="00191557">
        <w:rPr>
          <w:rFonts w:ascii="標楷體" w:eastAsia="標楷體" w:hAnsi="標楷體" w:hint="eastAsia"/>
          <w:sz w:val="28"/>
          <w:szCs w:val="28"/>
        </w:rPr>
        <w:t>決議：照案通過。</w:t>
      </w:r>
    </w:p>
    <w:p w14:paraId="37DD0761" w14:textId="77777777" w:rsidR="00421BB5" w:rsidRPr="00191557" w:rsidRDefault="00421BB5" w:rsidP="00421BB5">
      <w:pPr>
        <w:widowControl/>
        <w:spacing w:line="340" w:lineRule="exact"/>
        <w:ind w:left="619" w:hangingChars="221" w:hanging="619"/>
        <w:contextualSpacing/>
        <w:jc w:val="both"/>
        <w:rPr>
          <w:rFonts w:ascii="標楷體" w:eastAsia="標楷體" w:hAnsi="標楷體"/>
          <w:sz w:val="28"/>
          <w:szCs w:val="28"/>
        </w:rPr>
      </w:pPr>
      <w:r w:rsidRPr="00191557">
        <w:rPr>
          <w:rFonts w:ascii="標楷體" w:eastAsia="標楷體" w:hAnsi="標楷體"/>
          <w:sz w:val="28"/>
          <w:szCs w:val="28"/>
        </w:rPr>
        <w:t>散會</w:t>
      </w:r>
    </w:p>
    <w:p w14:paraId="3570E3BD" w14:textId="77777777" w:rsidR="00421BB5" w:rsidRPr="00191557" w:rsidRDefault="00421BB5" w:rsidP="00421BB5">
      <w:pPr>
        <w:widowControl/>
        <w:spacing w:line="340" w:lineRule="exact"/>
        <w:ind w:left="619" w:hangingChars="221" w:hanging="619"/>
        <w:contextualSpacing/>
        <w:jc w:val="both"/>
        <w:rPr>
          <w:rFonts w:ascii="標楷體" w:eastAsia="標楷體" w:hAnsi="標楷體"/>
          <w:sz w:val="28"/>
          <w:szCs w:val="28"/>
        </w:rPr>
      </w:pPr>
    </w:p>
    <w:p w14:paraId="46DD98C9" w14:textId="39700AEF" w:rsidR="00E261BF" w:rsidRPr="00D95CE4" w:rsidRDefault="00421BB5" w:rsidP="00E261BF">
      <w:pPr>
        <w:snapToGrid w:val="0"/>
        <w:spacing w:beforeLines="50" w:before="180" w:line="340" w:lineRule="exact"/>
        <w:ind w:left="1400" w:hangingChars="500" w:hanging="1400"/>
        <w:jc w:val="distribute"/>
        <w:outlineLvl w:val="2"/>
        <w:rPr>
          <w:rFonts w:ascii="標楷體" w:eastAsia="標楷體" w:hAnsi="標楷體"/>
          <w:b/>
          <w:spacing w:val="-20"/>
          <w:kern w:val="0"/>
          <w:sz w:val="28"/>
          <w:szCs w:val="28"/>
        </w:rPr>
      </w:pPr>
      <w:r>
        <w:rPr>
          <w:rFonts w:ascii="標楷體" w:eastAsia="標楷體" w:hAnsi="標楷體"/>
          <w:sz w:val="28"/>
          <w:szCs w:val="28"/>
        </w:rPr>
        <w:lastRenderedPageBreak/>
        <w:br w:type="page"/>
      </w:r>
    </w:p>
    <w:p w14:paraId="37ED7E8F" w14:textId="648F3EAE" w:rsidR="00421BB5" w:rsidRPr="00D95CE4" w:rsidRDefault="00421BB5" w:rsidP="00D95CE4">
      <w:pPr>
        <w:snapToGrid w:val="0"/>
        <w:spacing w:beforeLines="50" w:before="180" w:line="340" w:lineRule="exact"/>
        <w:ind w:left="1201" w:hangingChars="500" w:hanging="1201"/>
        <w:jc w:val="distribute"/>
        <w:outlineLvl w:val="2"/>
        <w:rPr>
          <w:rFonts w:ascii="標楷體" w:eastAsia="標楷體" w:hAnsi="標楷體"/>
          <w:b/>
          <w:spacing w:val="-20"/>
          <w:kern w:val="0"/>
          <w:sz w:val="28"/>
          <w:szCs w:val="28"/>
        </w:rPr>
      </w:pPr>
      <w:r w:rsidRPr="00D95CE4">
        <w:rPr>
          <w:rFonts w:ascii="標楷體" w:eastAsia="標楷體" w:hAnsi="標楷體"/>
          <w:b/>
          <w:spacing w:val="-20"/>
          <w:kern w:val="0"/>
          <w:sz w:val="28"/>
          <w:szCs w:val="28"/>
        </w:rPr>
        <w:lastRenderedPageBreak/>
        <w:t>立法院第</w:t>
      </w:r>
      <w:r w:rsidRPr="00D95CE4">
        <w:rPr>
          <w:rFonts w:ascii="標楷體" w:eastAsia="標楷體" w:hAnsi="標楷體" w:hint="eastAsia"/>
          <w:b/>
          <w:spacing w:val="-20"/>
          <w:kern w:val="0"/>
          <w:sz w:val="28"/>
          <w:szCs w:val="28"/>
        </w:rPr>
        <w:t>10</w:t>
      </w:r>
      <w:r w:rsidRPr="00D95CE4">
        <w:rPr>
          <w:rFonts w:ascii="標楷體" w:eastAsia="標楷體" w:hAnsi="標楷體"/>
          <w:b/>
          <w:spacing w:val="-20"/>
          <w:kern w:val="0"/>
          <w:sz w:val="28"/>
          <w:szCs w:val="28"/>
        </w:rPr>
        <w:t>屆第</w:t>
      </w:r>
      <w:r w:rsidRPr="00D95CE4">
        <w:rPr>
          <w:rFonts w:ascii="標楷體" w:eastAsia="標楷體" w:hAnsi="標楷體" w:hint="eastAsia"/>
          <w:b/>
          <w:spacing w:val="-20"/>
          <w:kern w:val="0"/>
          <w:sz w:val="28"/>
          <w:szCs w:val="28"/>
        </w:rPr>
        <w:t>6</w:t>
      </w:r>
      <w:r w:rsidRPr="00D95CE4">
        <w:rPr>
          <w:rFonts w:ascii="標楷體" w:eastAsia="標楷體" w:hAnsi="標楷體"/>
          <w:b/>
          <w:spacing w:val="-20"/>
          <w:kern w:val="0"/>
          <w:sz w:val="28"/>
          <w:szCs w:val="28"/>
        </w:rPr>
        <w:t>會期司法及法制</w:t>
      </w:r>
      <w:r w:rsidRPr="00D95CE4">
        <w:rPr>
          <w:rFonts w:ascii="標楷體" w:eastAsia="標楷體" w:hAnsi="標楷體" w:hint="eastAsia"/>
          <w:b/>
          <w:spacing w:val="-20"/>
          <w:kern w:val="0"/>
          <w:sz w:val="28"/>
          <w:szCs w:val="28"/>
        </w:rPr>
        <w:t>、經濟</w:t>
      </w:r>
      <w:r w:rsidRPr="00D95CE4">
        <w:rPr>
          <w:rFonts w:ascii="標楷體" w:eastAsia="標楷體" w:hAnsi="標楷體"/>
          <w:b/>
          <w:spacing w:val="-20"/>
          <w:kern w:val="0"/>
          <w:sz w:val="28"/>
          <w:szCs w:val="28"/>
        </w:rPr>
        <w:t>委員會第2次</w:t>
      </w:r>
      <w:r w:rsidRPr="00D95CE4">
        <w:rPr>
          <w:rFonts w:ascii="標楷體" w:eastAsia="標楷體" w:hAnsi="標楷體" w:hint="eastAsia"/>
          <w:b/>
          <w:spacing w:val="-20"/>
          <w:kern w:val="0"/>
          <w:sz w:val="28"/>
          <w:szCs w:val="28"/>
        </w:rPr>
        <w:t>聯席</w:t>
      </w:r>
      <w:r w:rsidRPr="00D95CE4">
        <w:rPr>
          <w:rFonts w:ascii="標楷體" w:eastAsia="標楷體" w:hAnsi="標楷體"/>
          <w:b/>
          <w:spacing w:val="-20"/>
          <w:kern w:val="0"/>
          <w:sz w:val="28"/>
          <w:szCs w:val="28"/>
        </w:rPr>
        <w:t>會議議事錄</w:t>
      </w:r>
    </w:p>
    <w:p w14:paraId="2D1D1788" w14:textId="77777777" w:rsidR="00421BB5" w:rsidRPr="00D95CE4" w:rsidRDefault="00421BB5" w:rsidP="00A6465D">
      <w:pPr>
        <w:snapToGrid w:val="0"/>
        <w:spacing w:beforeLines="50" w:before="180" w:line="340" w:lineRule="exact"/>
        <w:ind w:left="1200" w:hangingChars="500" w:hanging="1200"/>
        <w:jc w:val="distribute"/>
        <w:rPr>
          <w:rFonts w:ascii="標楷體" w:eastAsia="標楷體" w:hAnsi="標楷體"/>
          <w:spacing w:val="-20"/>
          <w:kern w:val="0"/>
          <w:sz w:val="28"/>
          <w:szCs w:val="28"/>
        </w:rPr>
      </w:pPr>
      <w:r w:rsidRPr="00D95CE4">
        <w:rPr>
          <w:rFonts w:ascii="標楷體" w:eastAsia="標楷體" w:hAnsi="標楷體"/>
          <w:spacing w:val="-20"/>
          <w:kern w:val="0"/>
          <w:sz w:val="28"/>
          <w:szCs w:val="28"/>
        </w:rPr>
        <w:t>時    間：中華民國1</w:t>
      </w:r>
      <w:r w:rsidRPr="00D95CE4">
        <w:rPr>
          <w:rFonts w:ascii="標楷體" w:eastAsia="標楷體" w:hAnsi="標楷體" w:hint="eastAsia"/>
          <w:spacing w:val="-20"/>
          <w:kern w:val="0"/>
          <w:sz w:val="28"/>
          <w:szCs w:val="28"/>
        </w:rPr>
        <w:t>11</w:t>
      </w:r>
      <w:r w:rsidRPr="00D95CE4">
        <w:rPr>
          <w:rFonts w:ascii="標楷體" w:eastAsia="標楷體" w:hAnsi="標楷體"/>
          <w:spacing w:val="-20"/>
          <w:kern w:val="0"/>
          <w:sz w:val="28"/>
          <w:szCs w:val="28"/>
        </w:rPr>
        <w:t>年</w:t>
      </w:r>
      <w:r w:rsidRPr="00D95CE4">
        <w:rPr>
          <w:rFonts w:ascii="標楷體" w:eastAsia="標楷體" w:hAnsi="標楷體" w:hint="eastAsia"/>
          <w:spacing w:val="-20"/>
          <w:kern w:val="0"/>
          <w:sz w:val="28"/>
          <w:szCs w:val="28"/>
        </w:rPr>
        <w:t>12</w:t>
      </w:r>
      <w:r w:rsidRPr="00D95CE4">
        <w:rPr>
          <w:rFonts w:ascii="標楷體" w:eastAsia="標楷體" w:hAnsi="標楷體"/>
          <w:spacing w:val="-20"/>
          <w:kern w:val="0"/>
          <w:sz w:val="28"/>
          <w:szCs w:val="28"/>
        </w:rPr>
        <w:t>月21日（星期</w:t>
      </w:r>
      <w:r w:rsidRPr="00D95CE4">
        <w:rPr>
          <w:rFonts w:ascii="標楷體" w:eastAsia="標楷體" w:hAnsi="標楷體" w:hint="eastAsia"/>
          <w:spacing w:val="-20"/>
          <w:kern w:val="0"/>
          <w:sz w:val="28"/>
          <w:szCs w:val="28"/>
        </w:rPr>
        <w:t>三</w:t>
      </w:r>
      <w:r w:rsidRPr="00D95CE4">
        <w:rPr>
          <w:rFonts w:ascii="標楷體" w:eastAsia="標楷體" w:hAnsi="標楷體"/>
          <w:spacing w:val="-20"/>
          <w:kern w:val="0"/>
          <w:sz w:val="28"/>
          <w:szCs w:val="28"/>
        </w:rPr>
        <w:t>）上午9時</w:t>
      </w:r>
      <w:r w:rsidRPr="00D95CE4">
        <w:rPr>
          <w:rFonts w:ascii="標楷體" w:eastAsia="標楷體" w:hAnsi="標楷體" w:hint="eastAsia"/>
          <w:spacing w:val="-20"/>
          <w:kern w:val="0"/>
          <w:sz w:val="28"/>
          <w:szCs w:val="28"/>
        </w:rPr>
        <w:t>1</w:t>
      </w:r>
      <w:r w:rsidRPr="00D95CE4">
        <w:rPr>
          <w:rFonts w:ascii="標楷體" w:eastAsia="標楷體" w:hAnsi="標楷體"/>
          <w:spacing w:val="-20"/>
          <w:kern w:val="0"/>
          <w:sz w:val="28"/>
          <w:szCs w:val="28"/>
        </w:rPr>
        <w:t>分至</w:t>
      </w:r>
      <w:r w:rsidRPr="00D95CE4">
        <w:rPr>
          <w:rFonts w:ascii="標楷體" w:eastAsia="標楷體" w:hAnsi="標楷體" w:hint="eastAsia"/>
          <w:spacing w:val="-20"/>
          <w:kern w:val="0"/>
          <w:sz w:val="28"/>
          <w:szCs w:val="28"/>
        </w:rPr>
        <w:t>11</w:t>
      </w:r>
      <w:r w:rsidRPr="00D95CE4">
        <w:rPr>
          <w:rFonts w:ascii="標楷體" w:eastAsia="標楷體" w:hAnsi="標楷體"/>
          <w:spacing w:val="-20"/>
          <w:kern w:val="0"/>
          <w:sz w:val="28"/>
          <w:szCs w:val="28"/>
        </w:rPr>
        <w:t>時</w:t>
      </w:r>
      <w:r w:rsidRPr="00D95CE4">
        <w:rPr>
          <w:rFonts w:ascii="標楷體" w:eastAsia="標楷體" w:hAnsi="標楷體" w:hint="eastAsia"/>
          <w:spacing w:val="-20"/>
          <w:kern w:val="0"/>
          <w:sz w:val="28"/>
          <w:szCs w:val="28"/>
        </w:rPr>
        <w:t>50</w:t>
      </w:r>
      <w:r w:rsidRPr="00D95CE4">
        <w:rPr>
          <w:rFonts w:ascii="標楷體" w:eastAsia="標楷體" w:hAnsi="標楷體"/>
          <w:spacing w:val="-20"/>
          <w:kern w:val="0"/>
          <w:sz w:val="28"/>
          <w:szCs w:val="28"/>
        </w:rPr>
        <w:t>分</w:t>
      </w:r>
    </w:p>
    <w:p w14:paraId="501C7F3E" w14:textId="77777777" w:rsidR="00421BB5" w:rsidRDefault="00421BB5" w:rsidP="00421BB5">
      <w:pPr>
        <w:pStyle w:val="-9"/>
        <w:spacing w:line="340" w:lineRule="exact"/>
        <w:ind w:left="1364" w:hanging="1364"/>
        <w:rPr>
          <w:rFonts w:ascii="標楷體" w:hAnsi="標楷體"/>
          <w:sz w:val="28"/>
          <w:szCs w:val="28"/>
        </w:rPr>
      </w:pPr>
      <w:r w:rsidRPr="00C44672">
        <w:rPr>
          <w:rFonts w:ascii="標楷體" w:hAnsi="標楷體"/>
          <w:sz w:val="28"/>
          <w:szCs w:val="28"/>
          <w:fitText w:val="1120" w:id="972279808"/>
        </w:rPr>
        <w:t>地    點</w:t>
      </w:r>
      <w:r w:rsidRPr="00DD3E6B">
        <w:rPr>
          <w:rFonts w:ascii="標楷體" w:hAnsi="標楷體"/>
          <w:sz w:val="28"/>
          <w:szCs w:val="28"/>
        </w:rPr>
        <w:t>：本院紅樓302會議室</w:t>
      </w:r>
    </w:p>
    <w:p w14:paraId="704A4842" w14:textId="77777777" w:rsidR="00421BB5" w:rsidRDefault="00421BB5" w:rsidP="00421BB5">
      <w:pPr>
        <w:snapToGrid w:val="0"/>
        <w:spacing w:line="340" w:lineRule="exact"/>
        <w:rPr>
          <w:rFonts w:ascii="標楷體" w:eastAsia="標楷體" w:hAnsi="標楷體"/>
          <w:sz w:val="28"/>
          <w:szCs w:val="28"/>
        </w:rPr>
      </w:pPr>
      <w:r w:rsidRPr="0003693C">
        <w:rPr>
          <w:rFonts w:ascii="標楷體" w:eastAsia="標楷體" w:hAnsi="標楷體"/>
          <w:kern w:val="0"/>
          <w:sz w:val="28"/>
          <w:szCs w:val="28"/>
          <w:lang w:val="x-none" w:eastAsia="x-none"/>
        </w:rPr>
        <w:t>出席委員</w:t>
      </w:r>
      <w:r w:rsidRPr="0003693C">
        <w:rPr>
          <w:rFonts w:ascii="標楷體" w:eastAsia="標楷體" w:hAnsi="標楷體" w:hint="eastAsia"/>
          <w:kern w:val="0"/>
          <w:sz w:val="28"/>
          <w:szCs w:val="28"/>
          <w:lang w:val="x-none" w:eastAsia="x-none"/>
        </w:rPr>
        <w:t>：</w:t>
      </w:r>
      <w:r>
        <w:rPr>
          <w:rFonts w:ascii="標楷體" w:eastAsia="標楷體" w:hAnsi="標楷體" w:hint="eastAsia"/>
          <w:sz w:val="28"/>
          <w:szCs w:val="28"/>
        </w:rPr>
        <w:t>游毓蘭</w:t>
      </w:r>
      <w:r>
        <w:rPr>
          <w:rFonts w:ascii="標楷體" w:eastAsia="標楷體" w:hAnsi="標楷體"/>
          <w:sz w:val="28"/>
          <w:szCs w:val="28"/>
        </w:rPr>
        <w:tab/>
      </w:r>
      <w:r>
        <w:rPr>
          <w:rFonts w:eastAsia="標楷體" w:hint="eastAsia"/>
          <w:sz w:val="28"/>
        </w:rPr>
        <w:t>邱顯智</w:t>
      </w:r>
      <w:r>
        <w:rPr>
          <w:rFonts w:eastAsia="標楷體"/>
          <w:sz w:val="28"/>
        </w:rPr>
        <w:tab/>
      </w:r>
      <w:r>
        <w:rPr>
          <w:rFonts w:ascii="標楷體" w:eastAsia="標楷體" w:hAnsi="標楷體" w:hint="eastAsia"/>
          <w:sz w:val="28"/>
          <w:szCs w:val="28"/>
        </w:rPr>
        <w:t>曾銘宗</w:t>
      </w:r>
      <w:r>
        <w:rPr>
          <w:rFonts w:ascii="標楷體" w:eastAsia="標楷體" w:hAnsi="標楷體"/>
          <w:sz w:val="28"/>
          <w:szCs w:val="28"/>
        </w:rPr>
        <w:tab/>
      </w:r>
      <w:r>
        <w:rPr>
          <w:rFonts w:ascii="標楷體" w:eastAsia="標楷體" w:hAnsi="標楷體" w:hint="eastAsia"/>
          <w:sz w:val="28"/>
          <w:szCs w:val="28"/>
        </w:rPr>
        <w:t>陳歐珀</w:t>
      </w:r>
      <w:r>
        <w:rPr>
          <w:rFonts w:ascii="標楷體" w:eastAsia="標楷體" w:hAnsi="標楷體"/>
          <w:sz w:val="28"/>
          <w:szCs w:val="28"/>
        </w:rPr>
        <w:tab/>
      </w:r>
      <w:r>
        <w:rPr>
          <w:rFonts w:ascii="標楷體" w:eastAsia="標楷體" w:hAnsi="標楷體" w:hint="eastAsia"/>
          <w:sz w:val="28"/>
          <w:szCs w:val="28"/>
        </w:rPr>
        <w:t>陳以信</w:t>
      </w:r>
      <w:r>
        <w:rPr>
          <w:rFonts w:ascii="標楷體" w:eastAsia="標楷體" w:hAnsi="標楷體"/>
          <w:sz w:val="28"/>
          <w:szCs w:val="28"/>
        </w:rPr>
        <w:tab/>
      </w:r>
      <w:r>
        <w:rPr>
          <w:rFonts w:ascii="標楷體" w:eastAsia="標楷體" w:hAnsi="標楷體" w:hint="eastAsia"/>
          <w:sz w:val="28"/>
          <w:szCs w:val="28"/>
        </w:rPr>
        <w:t>黃世杰</w:t>
      </w:r>
      <w:r>
        <w:rPr>
          <w:rFonts w:ascii="標楷體" w:eastAsia="標楷體" w:hAnsi="標楷體"/>
          <w:sz w:val="28"/>
          <w:szCs w:val="28"/>
        </w:rPr>
        <w:tab/>
      </w:r>
      <w:r>
        <w:rPr>
          <w:rFonts w:ascii="標楷體" w:eastAsia="標楷體" w:hAnsi="標楷體" w:hint="eastAsia"/>
          <w:sz w:val="28"/>
          <w:szCs w:val="28"/>
        </w:rPr>
        <w:t>林思銘</w:t>
      </w:r>
    </w:p>
    <w:p w14:paraId="6CC30AE7" w14:textId="77777777" w:rsidR="00421BB5" w:rsidRPr="001741B2" w:rsidRDefault="00421BB5" w:rsidP="00421BB5">
      <w:pPr>
        <w:snapToGrid w:val="0"/>
        <w:spacing w:line="340" w:lineRule="exact"/>
        <w:ind w:firstLineChars="505" w:firstLine="1414"/>
        <w:rPr>
          <w:rFonts w:ascii="標楷體" w:eastAsia="標楷體" w:hAnsi="標楷體"/>
          <w:sz w:val="28"/>
          <w:szCs w:val="28"/>
          <w:highlight w:val="yellow"/>
        </w:rPr>
      </w:pPr>
      <w:r>
        <w:rPr>
          <w:rFonts w:ascii="標楷體" w:eastAsia="標楷體" w:hAnsi="標楷體" w:hint="eastAsia"/>
          <w:sz w:val="28"/>
          <w:szCs w:val="28"/>
        </w:rPr>
        <w:t>陳玉珍</w:t>
      </w:r>
      <w:r>
        <w:rPr>
          <w:rFonts w:ascii="標楷體" w:eastAsia="標楷體" w:hAnsi="標楷體"/>
          <w:sz w:val="28"/>
          <w:szCs w:val="28"/>
        </w:rPr>
        <w:tab/>
      </w:r>
      <w:r>
        <w:rPr>
          <w:rFonts w:ascii="標楷體" w:eastAsia="標楷體" w:hAnsi="標楷體" w:hint="eastAsia"/>
          <w:sz w:val="28"/>
          <w:szCs w:val="28"/>
        </w:rPr>
        <w:t>鄭運鵬</w:t>
      </w:r>
      <w:r>
        <w:rPr>
          <w:rFonts w:ascii="標楷體" w:eastAsia="標楷體" w:hAnsi="標楷體"/>
          <w:sz w:val="28"/>
          <w:szCs w:val="28"/>
        </w:rPr>
        <w:tab/>
      </w:r>
      <w:r>
        <w:rPr>
          <w:rFonts w:ascii="標楷體" w:eastAsia="標楷體" w:hAnsi="標楷體" w:hint="eastAsia"/>
          <w:sz w:val="28"/>
          <w:szCs w:val="28"/>
        </w:rPr>
        <w:t>江永昌</w:t>
      </w:r>
      <w:r>
        <w:rPr>
          <w:rFonts w:ascii="標楷體" w:eastAsia="標楷體" w:hAnsi="標楷體"/>
          <w:sz w:val="28"/>
          <w:szCs w:val="28"/>
        </w:rPr>
        <w:tab/>
      </w:r>
      <w:r>
        <w:rPr>
          <w:rFonts w:eastAsia="標楷體" w:hint="eastAsia"/>
          <w:sz w:val="28"/>
        </w:rPr>
        <w:t>賴瑞隆</w:t>
      </w:r>
      <w:r>
        <w:rPr>
          <w:rFonts w:eastAsia="標楷體"/>
          <w:sz w:val="28"/>
        </w:rPr>
        <w:tab/>
      </w:r>
      <w:r w:rsidRPr="00A4620A">
        <w:rPr>
          <w:rFonts w:ascii="標楷體" w:eastAsia="標楷體" w:hAnsi="標楷體" w:hint="eastAsia"/>
          <w:sz w:val="28"/>
          <w:szCs w:val="28"/>
        </w:rPr>
        <w:t>楊瓊瓔</w:t>
      </w:r>
      <w:r w:rsidRPr="00A4620A">
        <w:rPr>
          <w:rFonts w:ascii="標楷體" w:eastAsia="標楷體" w:hAnsi="標楷體"/>
          <w:sz w:val="28"/>
          <w:szCs w:val="28"/>
        </w:rPr>
        <w:tab/>
      </w:r>
      <w:r w:rsidRPr="00EA6F3F">
        <w:rPr>
          <w:rFonts w:ascii="標楷體" w:eastAsia="標楷體" w:hAnsi="標楷體" w:hint="eastAsia"/>
          <w:sz w:val="28"/>
          <w:szCs w:val="28"/>
        </w:rPr>
        <w:t>蘇治芬</w:t>
      </w:r>
      <w:r w:rsidRPr="00EA6F3F">
        <w:rPr>
          <w:rFonts w:ascii="標楷體" w:eastAsia="標楷體" w:hAnsi="標楷體"/>
          <w:sz w:val="28"/>
          <w:szCs w:val="28"/>
        </w:rPr>
        <w:tab/>
      </w:r>
      <w:r w:rsidRPr="00EA6F3F">
        <w:rPr>
          <w:rFonts w:ascii="標楷體" w:eastAsia="標楷體" w:hAnsi="標楷體" w:hint="eastAsia"/>
          <w:sz w:val="28"/>
          <w:szCs w:val="28"/>
        </w:rPr>
        <w:t>孔文吉</w:t>
      </w:r>
    </w:p>
    <w:p w14:paraId="118634BC" w14:textId="77777777" w:rsidR="00421BB5" w:rsidRDefault="00421BB5" w:rsidP="00421BB5">
      <w:pPr>
        <w:snapToGrid w:val="0"/>
        <w:spacing w:line="340" w:lineRule="exact"/>
        <w:ind w:firstLineChars="510" w:firstLine="1428"/>
        <w:rPr>
          <w:rFonts w:ascii="標楷體" w:eastAsia="標楷體" w:hAnsi="標楷體"/>
          <w:sz w:val="28"/>
          <w:szCs w:val="28"/>
        </w:rPr>
      </w:pPr>
      <w:r w:rsidRPr="00D73CA1">
        <w:rPr>
          <w:rFonts w:ascii="標楷體" w:eastAsia="標楷體" w:hAnsi="標楷體" w:hint="eastAsia"/>
          <w:sz w:val="28"/>
          <w:szCs w:val="28"/>
        </w:rPr>
        <w:t>邱志偉</w:t>
      </w:r>
      <w:r>
        <w:rPr>
          <w:rFonts w:ascii="標楷體" w:eastAsia="標楷體" w:hAnsi="標楷體"/>
          <w:sz w:val="28"/>
          <w:szCs w:val="28"/>
        </w:rPr>
        <w:tab/>
      </w:r>
      <w:r w:rsidRPr="00866EFF">
        <w:rPr>
          <w:rFonts w:eastAsia="標楷體" w:hint="eastAsia"/>
          <w:sz w:val="28"/>
        </w:rPr>
        <w:t>邱議瑩</w:t>
      </w:r>
      <w:r w:rsidRPr="00866EFF">
        <w:rPr>
          <w:rFonts w:eastAsia="標楷體"/>
          <w:sz w:val="28"/>
        </w:rPr>
        <w:tab/>
      </w:r>
      <w:r w:rsidRPr="00866EFF">
        <w:rPr>
          <w:rFonts w:ascii="標楷體" w:eastAsia="標楷體" w:hAnsi="標楷體" w:hint="eastAsia"/>
          <w:sz w:val="28"/>
          <w:szCs w:val="28"/>
        </w:rPr>
        <w:t>劉建</w:t>
      </w:r>
      <w:r w:rsidRPr="00A06752">
        <w:rPr>
          <w:rFonts w:ascii="標楷體" w:eastAsia="標楷體" w:hAnsi="標楷體" w:hint="eastAsia"/>
          <w:sz w:val="28"/>
          <w:szCs w:val="28"/>
        </w:rPr>
        <w:t>國</w:t>
      </w:r>
      <w:r w:rsidRPr="00A06752">
        <w:rPr>
          <w:rFonts w:ascii="標楷體" w:eastAsia="標楷體" w:hAnsi="標楷體"/>
          <w:sz w:val="28"/>
          <w:szCs w:val="28"/>
        </w:rPr>
        <w:tab/>
      </w:r>
      <w:r>
        <w:rPr>
          <w:rFonts w:ascii="標楷體" w:eastAsia="標楷體" w:hAnsi="標楷體" w:hint="eastAsia"/>
          <w:sz w:val="28"/>
          <w:szCs w:val="28"/>
        </w:rPr>
        <w:t>陳明文</w:t>
      </w:r>
      <w:r>
        <w:rPr>
          <w:rFonts w:ascii="標楷體" w:eastAsia="標楷體" w:hAnsi="標楷體"/>
          <w:sz w:val="28"/>
          <w:szCs w:val="28"/>
        </w:rPr>
        <w:tab/>
      </w:r>
      <w:r>
        <w:rPr>
          <w:rFonts w:ascii="標楷體" w:eastAsia="標楷體" w:hAnsi="標楷體" w:hint="eastAsia"/>
          <w:sz w:val="28"/>
          <w:szCs w:val="28"/>
        </w:rPr>
        <w:t>呂玉玲</w:t>
      </w:r>
      <w:r>
        <w:rPr>
          <w:rFonts w:ascii="標楷體" w:eastAsia="標楷體" w:hAnsi="標楷體"/>
          <w:sz w:val="28"/>
          <w:szCs w:val="28"/>
        </w:rPr>
        <w:tab/>
      </w:r>
      <w:r>
        <w:rPr>
          <w:rFonts w:ascii="標楷體" w:eastAsia="標楷體" w:hAnsi="標楷體" w:hint="eastAsia"/>
          <w:sz w:val="28"/>
          <w:szCs w:val="28"/>
        </w:rPr>
        <w:t>陳超明</w:t>
      </w:r>
      <w:r>
        <w:rPr>
          <w:rFonts w:ascii="標楷體" w:eastAsia="標楷體" w:hAnsi="標楷體"/>
          <w:sz w:val="28"/>
          <w:szCs w:val="28"/>
        </w:rPr>
        <w:tab/>
      </w:r>
      <w:r>
        <w:rPr>
          <w:rFonts w:ascii="標楷體" w:eastAsia="標楷體" w:hAnsi="標楷體" w:hint="eastAsia"/>
          <w:sz w:val="28"/>
          <w:szCs w:val="28"/>
        </w:rPr>
        <w:t>陳亭妃</w:t>
      </w:r>
    </w:p>
    <w:p w14:paraId="64A1CAAA" w14:textId="77777777" w:rsidR="00421BB5" w:rsidRDefault="00421BB5" w:rsidP="00421BB5">
      <w:pPr>
        <w:pStyle w:val="-9"/>
        <w:spacing w:line="340" w:lineRule="exact"/>
        <w:ind w:leftChars="577" w:left="1427" w:hangingChars="15" w:hanging="42"/>
        <w:jc w:val="left"/>
        <w:rPr>
          <w:rFonts w:ascii="標楷體" w:hAnsi="標楷體"/>
          <w:sz w:val="28"/>
          <w:szCs w:val="28"/>
        </w:rPr>
      </w:pPr>
      <w:r>
        <w:rPr>
          <w:rFonts w:ascii="標楷體" w:hAnsi="標楷體" w:hint="eastAsia"/>
          <w:sz w:val="28"/>
          <w:szCs w:val="28"/>
        </w:rPr>
        <w:t>柯建銘</w:t>
      </w:r>
    </w:p>
    <w:p w14:paraId="2DE8C8B4" w14:textId="77777777" w:rsidR="00421BB5" w:rsidRDefault="00421BB5" w:rsidP="00421BB5">
      <w:pPr>
        <w:pStyle w:val="-9"/>
        <w:spacing w:line="340" w:lineRule="exact"/>
        <w:ind w:leftChars="577" w:left="1427" w:hangingChars="15" w:hanging="42"/>
        <w:jc w:val="left"/>
        <w:rPr>
          <w:rFonts w:ascii="標楷體" w:hAnsi="標楷體"/>
          <w:sz w:val="28"/>
          <w:szCs w:val="28"/>
        </w:rPr>
      </w:pPr>
      <w:r w:rsidRPr="0060538B">
        <w:rPr>
          <w:rFonts w:ascii="標楷體" w:hAnsi="標楷體"/>
          <w:sz w:val="28"/>
          <w:szCs w:val="28"/>
        </w:rPr>
        <w:t>委員出席</w:t>
      </w:r>
      <w:r>
        <w:rPr>
          <w:rFonts w:ascii="標楷體" w:hAnsi="標楷體" w:hint="eastAsia"/>
          <w:sz w:val="28"/>
          <w:szCs w:val="28"/>
        </w:rPr>
        <w:t>22</w:t>
      </w:r>
      <w:r w:rsidRPr="0060538B">
        <w:rPr>
          <w:rFonts w:ascii="標楷體" w:hAnsi="標楷體"/>
          <w:sz w:val="28"/>
          <w:szCs w:val="28"/>
        </w:rPr>
        <w:t>人</w:t>
      </w:r>
    </w:p>
    <w:p w14:paraId="56687F46" w14:textId="77777777" w:rsidR="00421BB5" w:rsidRPr="0003693C" w:rsidRDefault="00421BB5" w:rsidP="00421BB5">
      <w:pPr>
        <w:adjustRightInd w:val="0"/>
        <w:snapToGrid w:val="0"/>
        <w:spacing w:line="340" w:lineRule="exact"/>
        <w:ind w:leftChars="-11" w:left="1402" w:hangingChars="510" w:hanging="1428"/>
        <w:rPr>
          <w:rFonts w:ascii="標楷體" w:eastAsia="標楷體" w:hAnsi="標楷體"/>
          <w:sz w:val="28"/>
          <w:szCs w:val="28"/>
        </w:rPr>
      </w:pPr>
      <w:r w:rsidRPr="005E4554">
        <w:rPr>
          <w:rFonts w:ascii="標楷體" w:eastAsia="標楷體" w:hAnsi="標楷體"/>
          <w:kern w:val="0"/>
          <w:sz w:val="28"/>
          <w:szCs w:val="28"/>
        </w:rPr>
        <w:t>列席</w:t>
      </w:r>
      <w:r w:rsidRPr="005E4554">
        <w:rPr>
          <w:rFonts w:ascii="標楷體" w:eastAsia="標楷體" w:hAnsi="標楷體"/>
          <w:sz w:val="28"/>
          <w:szCs w:val="28"/>
        </w:rPr>
        <w:t>委員：</w:t>
      </w:r>
      <w:r w:rsidRPr="0003693C">
        <w:rPr>
          <w:rFonts w:ascii="標楷體" w:eastAsia="標楷體" w:hAnsi="標楷體" w:hint="eastAsia"/>
          <w:sz w:val="28"/>
          <w:szCs w:val="28"/>
        </w:rPr>
        <w:t>洪孟楷</w:t>
      </w:r>
      <w:r>
        <w:rPr>
          <w:rFonts w:ascii="標楷體" w:eastAsia="標楷體" w:hAnsi="標楷體"/>
          <w:sz w:val="28"/>
          <w:szCs w:val="28"/>
        </w:rPr>
        <w:tab/>
      </w:r>
      <w:r w:rsidRPr="0003693C">
        <w:rPr>
          <w:rFonts w:ascii="標楷體" w:eastAsia="標楷體" w:hAnsi="標楷體" w:hint="eastAsia"/>
          <w:sz w:val="28"/>
          <w:szCs w:val="28"/>
        </w:rPr>
        <w:t>陳椒華</w:t>
      </w:r>
      <w:r w:rsidRPr="0003693C">
        <w:rPr>
          <w:rFonts w:ascii="標楷體" w:eastAsia="標楷體" w:hAnsi="標楷體"/>
          <w:sz w:val="28"/>
          <w:szCs w:val="28"/>
        </w:rPr>
        <w:tab/>
      </w:r>
      <w:r>
        <w:rPr>
          <w:rFonts w:ascii="標楷體" w:eastAsia="標楷體" w:hAnsi="標楷體" w:hint="eastAsia"/>
          <w:sz w:val="28"/>
          <w:szCs w:val="28"/>
        </w:rPr>
        <w:t>劉世芳</w:t>
      </w:r>
      <w:r>
        <w:rPr>
          <w:rFonts w:ascii="標楷體" w:eastAsia="標楷體" w:hAnsi="標楷體"/>
          <w:sz w:val="28"/>
          <w:szCs w:val="28"/>
        </w:rPr>
        <w:tab/>
      </w:r>
      <w:r>
        <w:rPr>
          <w:rFonts w:ascii="標楷體" w:eastAsia="標楷體" w:hAnsi="標楷體" w:hint="eastAsia"/>
          <w:sz w:val="28"/>
          <w:szCs w:val="28"/>
        </w:rPr>
        <w:t>李德維</w:t>
      </w:r>
      <w:r>
        <w:rPr>
          <w:rFonts w:ascii="標楷體" w:eastAsia="標楷體" w:hAnsi="標楷體"/>
          <w:sz w:val="28"/>
          <w:szCs w:val="28"/>
        </w:rPr>
        <w:tab/>
      </w:r>
      <w:r>
        <w:rPr>
          <w:rFonts w:ascii="標楷體" w:eastAsia="標楷體" w:hAnsi="標楷體" w:hint="eastAsia"/>
          <w:sz w:val="28"/>
          <w:szCs w:val="28"/>
        </w:rPr>
        <w:t>李貴敏</w:t>
      </w:r>
      <w:r w:rsidRPr="00A4620A">
        <w:rPr>
          <w:rFonts w:ascii="標楷體" w:eastAsia="標楷體" w:hAnsi="標楷體"/>
          <w:sz w:val="28"/>
          <w:szCs w:val="28"/>
        </w:rPr>
        <w:tab/>
      </w:r>
      <w:r w:rsidRPr="00A4620A">
        <w:rPr>
          <w:rFonts w:ascii="標楷體" w:eastAsia="標楷體" w:hAnsi="標楷體" w:hint="eastAsia"/>
          <w:sz w:val="28"/>
          <w:szCs w:val="28"/>
        </w:rPr>
        <w:t>張其祿</w:t>
      </w:r>
      <w:r w:rsidRPr="00A4620A">
        <w:rPr>
          <w:rFonts w:ascii="標楷體" w:eastAsia="標楷體" w:hAnsi="標楷體"/>
          <w:sz w:val="28"/>
          <w:szCs w:val="28"/>
        </w:rPr>
        <w:tab/>
      </w:r>
      <w:r>
        <w:rPr>
          <w:rFonts w:ascii="標楷體" w:eastAsia="標楷體" w:hAnsi="標楷體" w:hint="eastAsia"/>
          <w:sz w:val="28"/>
          <w:szCs w:val="28"/>
        </w:rPr>
        <w:t>廖婉汝</w:t>
      </w:r>
    </w:p>
    <w:p w14:paraId="01E79120" w14:textId="77777777" w:rsidR="00421BB5" w:rsidRDefault="00421BB5" w:rsidP="00421BB5">
      <w:pPr>
        <w:adjustRightInd w:val="0"/>
        <w:snapToGrid w:val="0"/>
        <w:spacing w:line="340" w:lineRule="exact"/>
        <w:ind w:leftChars="584" w:left="1402" w:firstLineChars="5" w:firstLine="14"/>
        <w:rPr>
          <w:rFonts w:ascii="標楷體" w:eastAsia="標楷體" w:hAnsi="標楷體"/>
          <w:sz w:val="28"/>
          <w:szCs w:val="28"/>
        </w:rPr>
      </w:pPr>
      <w:r w:rsidRPr="0003693C">
        <w:rPr>
          <w:rFonts w:ascii="標楷體" w:eastAsia="標楷體" w:hAnsi="標楷體"/>
          <w:sz w:val="28"/>
          <w:szCs w:val="28"/>
        </w:rPr>
        <w:t>委員列席</w:t>
      </w:r>
      <w:r>
        <w:rPr>
          <w:rFonts w:ascii="標楷體" w:eastAsia="標楷體" w:hAnsi="標楷體" w:hint="eastAsia"/>
          <w:sz w:val="28"/>
          <w:szCs w:val="28"/>
        </w:rPr>
        <w:t>7</w:t>
      </w:r>
      <w:r w:rsidRPr="0003693C">
        <w:rPr>
          <w:rFonts w:ascii="標楷體" w:eastAsia="標楷體" w:hAnsi="標楷體"/>
          <w:sz w:val="28"/>
          <w:szCs w:val="28"/>
        </w:rPr>
        <w:t>人</w:t>
      </w:r>
    </w:p>
    <w:p w14:paraId="2BB7334C" w14:textId="77777777" w:rsidR="00421BB5" w:rsidRDefault="00421BB5" w:rsidP="00421BB5">
      <w:pPr>
        <w:snapToGrid w:val="0"/>
        <w:spacing w:line="340" w:lineRule="exact"/>
        <w:jc w:val="both"/>
        <w:rPr>
          <w:rFonts w:ascii="標楷體" w:eastAsia="標楷體" w:hAnsi="標楷體"/>
          <w:sz w:val="28"/>
          <w:szCs w:val="28"/>
        </w:rPr>
      </w:pPr>
      <w:r w:rsidRPr="00016434">
        <w:rPr>
          <w:rFonts w:ascii="標楷體" w:eastAsia="標楷體" w:hAnsi="標楷體" w:hint="eastAsia"/>
          <w:sz w:val="28"/>
          <w:szCs w:val="28"/>
        </w:rPr>
        <w:t>請假委員：</w:t>
      </w:r>
      <w:r>
        <w:rPr>
          <w:rFonts w:ascii="標楷體" w:eastAsia="標楷體" w:hAnsi="標楷體" w:hint="eastAsia"/>
          <w:sz w:val="28"/>
          <w:szCs w:val="28"/>
        </w:rPr>
        <w:t>林岱樺</w:t>
      </w:r>
    </w:p>
    <w:p w14:paraId="2E37A6B5" w14:textId="77777777" w:rsidR="00421BB5" w:rsidRPr="0003693C" w:rsidRDefault="00421BB5" w:rsidP="00421BB5">
      <w:pPr>
        <w:adjustRightInd w:val="0"/>
        <w:snapToGrid w:val="0"/>
        <w:spacing w:line="340" w:lineRule="exact"/>
        <w:ind w:firstLineChars="490" w:firstLine="1372"/>
        <w:rPr>
          <w:rFonts w:ascii="標楷體" w:eastAsia="標楷體" w:hAnsi="標楷體"/>
          <w:sz w:val="28"/>
          <w:szCs w:val="28"/>
        </w:rPr>
      </w:pPr>
      <w:r w:rsidRPr="00016434">
        <w:rPr>
          <w:rFonts w:ascii="標楷體" w:eastAsia="標楷體" w:hAnsi="標楷體"/>
          <w:sz w:val="28"/>
          <w:szCs w:val="28"/>
        </w:rPr>
        <w:t>委員</w:t>
      </w:r>
      <w:r w:rsidRPr="00016434">
        <w:rPr>
          <w:rFonts w:ascii="標楷體" w:eastAsia="標楷體" w:hAnsi="標楷體" w:hint="eastAsia"/>
          <w:sz w:val="28"/>
          <w:szCs w:val="28"/>
        </w:rPr>
        <w:t>請假</w:t>
      </w:r>
      <w:r>
        <w:rPr>
          <w:rFonts w:ascii="標楷體" w:eastAsia="標楷體" w:hAnsi="標楷體"/>
          <w:sz w:val="28"/>
          <w:szCs w:val="28"/>
        </w:rPr>
        <w:t>1</w:t>
      </w:r>
      <w:r w:rsidRPr="00016434">
        <w:rPr>
          <w:rFonts w:ascii="標楷體" w:eastAsia="標楷體" w:hAnsi="標楷體" w:hint="eastAsia"/>
          <w:sz w:val="28"/>
          <w:szCs w:val="28"/>
        </w:rPr>
        <w:t>人</w:t>
      </w:r>
    </w:p>
    <w:p w14:paraId="28032BCC" w14:textId="77777777" w:rsidR="00421BB5" w:rsidRPr="0003693C" w:rsidRDefault="00421BB5" w:rsidP="00421BB5">
      <w:pPr>
        <w:adjustRightInd w:val="0"/>
        <w:snapToGrid w:val="0"/>
        <w:spacing w:line="340" w:lineRule="exact"/>
        <w:ind w:leftChars="-11" w:left="1402" w:hangingChars="510" w:hanging="1428"/>
        <w:rPr>
          <w:rFonts w:ascii="標楷體" w:eastAsia="標楷體" w:hAnsi="標楷體"/>
          <w:sz w:val="28"/>
          <w:szCs w:val="28"/>
        </w:rPr>
      </w:pPr>
      <w:r w:rsidRPr="0003693C">
        <w:rPr>
          <w:rFonts w:ascii="標楷體" w:eastAsia="標楷體" w:hAnsi="標楷體"/>
          <w:sz w:val="28"/>
          <w:szCs w:val="28"/>
        </w:rPr>
        <w:t>列席官員：</w:t>
      </w:r>
      <w:r w:rsidRPr="0003693C">
        <w:rPr>
          <w:rFonts w:ascii="標楷體" w:eastAsia="標楷體" w:hAnsi="標楷體" w:hint="eastAsia"/>
          <w:sz w:val="28"/>
          <w:szCs w:val="28"/>
        </w:rPr>
        <w:t>司法院秘書長　林輝煌</w:t>
      </w:r>
    </w:p>
    <w:p w14:paraId="1CB3F3DF" w14:textId="77777777" w:rsidR="00421BB5" w:rsidRDefault="00421BB5" w:rsidP="00421BB5">
      <w:pPr>
        <w:pStyle w:val="-9"/>
        <w:spacing w:line="340" w:lineRule="exact"/>
        <w:ind w:leftChars="567" w:left="1361" w:firstLineChars="23" w:firstLine="64"/>
        <w:rPr>
          <w:rFonts w:ascii="標楷體" w:hAnsi="標楷體"/>
          <w:sz w:val="28"/>
          <w:szCs w:val="28"/>
        </w:rPr>
      </w:pPr>
      <w:r>
        <w:rPr>
          <w:rFonts w:ascii="標楷體" w:hAnsi="標楷體" w:hint="eastAsia"/>
          <w:sz w:val="28"/>
          <w:szCs w:val="28"/>
        </w:rPr>
        <w:t>法務部政務次</w:t>
      </w:r>
      <w:r w:rsidRPr="0006704A">
        <w:rPr>
          <w:rFonts w:ascii="標楷體" w:hAnsi="標楷體" w:hint="eastAsia"/>
          <w:sz w:val="28"/>
          <w:szCs w:val="28"/>
        </w:rPr>
        <w:t>長　蔡碧仲</w:t>
      </w:r>
    </w:p>
    <w:p w14:paraId="3E9F85C8" w14:textId="77777777" w:rsidR="00421BB5" w:rsidRDefault="00421BB5" w:rsidP="00421BB5">
      <w:pPr>
        <w:pStyle w:val="-9"/>
        <w:spacing w:line="340" w:lineRule="exact"/>
        <w:ind w:leftChars="567" w:left="1361" w:firstLineChars="23" w:firstLine="64"/>
        <w:rPr>
          <w:rFonts w:ascii="標楷體" w:hAnsi="標楷體"/>
          <w:sz w:val="28"/>
          <w:szCs w:val="28"/>
        </w:rPr>
      </w:pPr>
      <w:r>
        <w:rPr>
          <w:rFonts w:ascii="標楷體" w:hAnsi="標楷體" w:hint="eastAsia"/>
          <w:sz w:val="28"/>
          <w:szCs w:val="28"/>
        </w:rPr>
        <w:t>經濟部智慧財產局法務室主任　何燦成</w:t>
      </w:r>
    </w:p>
    <w:p w14:paraId="08DC2659" w14:textId="77777777" w:rsidR="00421BB5" w:rsidRPr="0006704A" w:rsidRDefault="00421BB5" w:rsidP="00421BB5">
      <w:pPr>
        <w:pStyle w:val="-9"/>
        <w:spacing w:line="340" w:lineRule="exact"/>
        <w:ind w:leftChars="567" w:left="1361" w:firstLineChars="23" w:firstLine="64"/>
        <w:rPr>
          <w:rFonts w:ascii="標楷體" w:hAnsi="標楷體"/>
          <w:sz w:val="28"/>
          <w:szCs w:val="28"/>
        </w:rPr>
      </w:pPr>
      <w:r>
        <w:rPr>
          <w:rFonts w:ascii="標楷體" w:hAnsi="標楷體" w:hint="eastAsia"/>
          <w:sz w:val="28"/>
          <w:szCs w:val="28"/>
        </w:rPr>
        <w:t>行政院農業委員會農糧署簡任技正　傅立忠</w:t>
      </w:r>
    </w:p>
    <w:p w14:paraId="00B7CBE6" w14:textId="77777777" w:rsidR="00421BB5" w:rsidRPr="00DD3E6B" w:rsidRDefault="00421BB5" w:rsidP="00421BB5">
      <w:pPr>
        <w:adjustRightInd w:val="0"/>
        <w:snapToGrid w:val="0"/>
        <w:spacing w:line="340" w:lineRule="exact"/>
        <w:ind w:left="1364" w:rightChars="-355" w:right="-852" w:hangingChars="487" w:hanging="1364"/>
        <w:jc w:val="both"/>
        <w:rPr>
          <w:rFonts w:ascii="標楷體" w:eastAsia="標楷體" w:hAnsi="標楷體"/>
          <w:sz w:val="28"/>
          <w:szCs w:val="28"/>
        </w:rPr>
      </w:pPr>
      <w:r w:rsidRPr="006C1001">
        <w:rPr>
          <w:rFonts w:ascii="標楷體" w:eastAsia="標楷體" w:hAnsi="標楷體"/>
          <w:kern w:val="0"/>
          <w:sz w:val="28"/>
          <w:szCs w:val="28"/>
          <w:fitText w:val="1120" w:id="-1433690880"/>
        </w:rPr>
        <w:t>主    席</w:t>
      </w:r>
      <w:r w:rsidRPr="00DD3E6B">
        <w:rPr>
          <w:rFonts w:ascii="標楷體" w:eastAsia="標楷體" w:hAnsi="標楷體"/>
          <w:sz w:val="28"/>
          <w:szCs w:val="28"/>
        </w:rPr>
        <w:t>：</w:t>
      </w:r>
      <w:r>
        <w:rPr>
          <w:rFonts w:ascii="標楷體" w:eastAsia="標楷體" w:hAnsi="標楷體" w:hint="eastAsia"/>
          <w:sz w:val="28"/>
          <w:szCs w:val="28"/>
        </w:rPr>
        <w:t>陳</w:t>
      </w:r>
      <w:r w:rsidRPr="00E009E4">
        <w:rPr>
          <w:rFonts w:ascii="標楷體" w:eastAsia="標楷體" w:hAnsi="標楷體" w:hint="eastAsia"/>
          <w:sz w:val="28"/>
          <w:szCs w:val="28"/>
        </w:rPr>
        <w:t>召集委員</w:t>
      </w:r>
      <w:r>
        <w:rPr>
          <w:rFonts w:ascii="標楷體" w:eastAsia="標楷體" w:hAnsi="標楷體" w:hint="eastAsia"/>
          <w:sz w:val="28"/>
          <w:szCs w:val="28"/>
        </w:rPr>
        <w:t>歐珀</w:t>
      </w:r>
    </w:p>
    <w:p w14:paraId="2615E670" w14:textId="77777777" w:rsidR="00421BB5" w:rsidRDefault="00421BB5" w:rsidP="00421BB5">
      <w:pPr>
        <w:snapToGrid w:val="0"/>
        <w:spacing w:line="340" w:lineRule="exact"/>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梁雯</w:t>
      </w:r>
      <w:r w:rsidRPr="00ED0626">
        <w:rPr>
          <w:rFonts w:ascii="標楷體" w:eastAsia="標楷體" w:hAnsi="標楷體" w:hint="eastAsia"/>
          <w:sz w:val="28"/>
          <w:szCs w:val="28"/>
        </w:rPr>
        <w:t>璍</w:t>
      </w:r>
    </w:p>
    <w:p w14:paraId="31360CCA" w14:textId="77777777" w:rsidR="00421BB5" w:rsidRPr="008C1421" w:rsidRDefault="00421BB5" w:rsidP="00421BB5">
      <w:pPr>
        <w:snapToGrid w:val="0"/>
        <w:spacing w:line="340" w:lineRule="exact"/>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019565E9" w14:textId="77777777" w:rsidR="00421BB5" w:rsidRPr="008C1421" w:rsidRDefault="00421BB5" w:rsidP="00421BB5">
      <w:pPr>
        <w:adjustRightInd w:val="0"/>
        <w:snapToGrid w:val="0"/>
        <w:spacing w:line="340" w:lineRule="exact"/>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14:paraId="5B73402C" w14:textId="77777777" w:rsidR="00421BB5" w:rsidRPr="008C1421" w:rsidRDefault="00421BB5" w:rsidP="00421BB5">
      <w:pPr>
        <w:adjustRightInd w:val="0"/>
        <w:snapToGrid w:val="0"/>
        <w:spacing w:line="340" w:lineRule="exact"/>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14:paraId="6F71B3BC" w14:textId="77777777" w:rsidR="00421BB5" w:rsidRDefault="00421BB5" w:rsidP="00421BB5">
      <w:pPr>
        <w:adjustRightInd w:val="0"/>
        <w:snapToGrid w:val="0"/>
        <w:spacing w:line="340" w:lineRule="exact"/>
        <w:ind w:firstLineChars="500" w:firstLine="1400"/>
        <w:jc w:val="both"/>
        <w:rPr>
          <w:rFonts w:ascii="標楷體" w:eastAsia="標楷體" w:hAnsi="標楷體"/>
          <w:sz w:val="28"/>
          <w:szCs w:val="28"/>
        </w:rPr>
      </w:pPr>
      <w:r>
        <w:rPr>
          <w:rFonts w:ascii="標楷體" w:eastAsia="標楷體" w:hAnsi="標楷體" w:hint="eastAsia"/>
          <w:sz w:val="28"/>
          <w:szCs w:val="28"/>
        </w:rPr>
        <w:t>科　　長　鮑夏明</w:t>
      </w:r>
    </w:p>
    <w:p w14:paraId="78091586" w14:textId="77777777" w:rsidR="00421BB5" w:rsidRDefault="00421BB5" w:rsidP="00421BB5">
      <w:pPr>
        <w:adjustRightInd w:val="0"/>
        <w:snapToGrid w:val="0"/>
        <w:spacing w:line="34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專　　員　林宗賢</w:t>
      </w:r>
    </w:p>
    <w:p w14:paraId="0F8BBAFB" w14:textId="77777777" w:rsidR="00421BB5" w:rsidRPr="006E0991" w:rsidRDefault="00421BB5" w:rsidP="00421BB5">
      <w:pPr>
        <w:pStyle w:val="afffff2"/>
        <w:spacing w:beforeLines="50" w:before="180" w:line="34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7E90E80D" w14:textId="77777777" w:rsidR="00421BB5" w:rsidRPr="0008139C" w:rsidRDefault="00421BB5" w:rsidP="00421BB5">
      <w:pPr>
        <w:adjustRightInd w:val="0"/>
        <w:snapToGrid w:val="0"/>
        <w:spacing w:line="340" w:lineRule="exact"/>
        <w:jc w:val="both"/>
        <w:rPr>
          <w:rFonts w:ascii="標楷體" w:eastAsia="標楷體" w:hAnsi="標楷體"/>
          <w:sz w:val="28"/>
          <w:szCs w:val="28"/>
        </w:rPr>
      </w:pPr>
      <w:r w:rsidRPr="0008139C">
        <w:rPr>
          <w:rFonts w:ascii="標楷體" w:eastAsia="標楷體" w:hAnsi="標楷體"/>
          <w:sz w:val="28"/>
          <w:szCs w:val="28"/>
        </w:rPr>
        <w:t>宣讀上次會議議事錄。</w:t>
      </w:r>
    </w:p>
    <w:p w14:paraId="182335C2" w14:textId="77777777" w:rsidR="00421BB5" w:rsidRDefault="00421BB5" w:rsidP="00421BB5">
      <w:pPr>
        <w:pStyle w:val="afffff2"/>
        <w:spacing w:line="340" w:lineRule="exact"/>
        <w:ind w:leftChars="0" w:left="840" w:rightChars="0" w:right="0" w:hanging="840"/>
        <w:jc w:val="both"/>
        <w:rPr>
          <w:rFonts w:ascii="標楷體" w:hAnsi="標楷體"/>
          <w:sz w:val="28"/>
          <w:szCs w:val="28"/>
        </w:rPr>
      </w:pPr>
      <w:r w:rsidRPr="00987251">
        <w:rPr>
          <w:rFonts w:ascii="標楷體" w:hAnsi="標楷體"/>
          <w:sz w:val="28"/>
          <w:szCs w:val="28"/>
        </w:rPr>
        <w:t>決定：確定。</w:t>
      </w:r>
    </w:p>
    <w:p w14:paraId="19D210D8" w14:textId="77777777" w:rsidR="00421BB5" w:rsidRPr="00977B73" w:rsidRDefault="00421BB5" w:rsidP="00421BB5">
      <w:pPr>
        <w:pStyle w:val="afffff2"/>
        <w:spacing w:beforeLines="50" w:before="180" w:line="34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2ADCFF3E" w14:textId="77777777" w:rsidR="00421BB5" w:rsidRDefault="00421BB5" w:rsidP="00421BB5">
      <w:pPr>
        <w:adjustRightInd w:val="0"/>
        <w:snapToGrid w:val="0"/>
        <w:spacing w:line="340" w:lineRule="exact"/>
        <w:ind w:left="283" w:hangingChars="101" w:hanging="283"/>
        <w:jc w:val="both"/>
        <w:rPr>
          <w:rFonts w:ascii="標楷體" w:eastAsia="標楷體" w:hAnsi="標楷體"/>
          <w:sz w:val="28"/>
          <w:szCs w:val="28"/>
        </w:rPr>
      </w:pPr>
      <w:r w:rsidRPr="0003693C">
        <w:rPr>
          <w:rFonts w:ascii="標楷體" w:eastAsia="標楷體" w:hAnsi="標楷體" w:hint="eastAsia"/>
          <w:sz w:val="28"/>
          <w:szCs w:val="28"/>
        </w:rPr>
        <w:t>審查司法院、行政院函請審議「智慧財產案件審理法修正草案」案。</w:t>
      </w:r>
    </w:p>
    <w:p w14:paraId="7B38C004" w14:textId="77777777" w:rsidR="00421BB5" w:rsidRPr="00AD699B" w:rsidRDefault="00421BB5" w:rsidP="00421BB5">
      <w:pPr>
        <w:adjustRightInd w:val="0"/>
        <w:snapToGrid w:val="0"/>
        <w:spacing w:line="340" w:lineRule="exact"/>
        <w:ind w:leftChars="-99" w:left="-143" w:rightChars="-38" w:right="-91" w:hangingChars="34" w:hanging="95"/>
        <w:jc w:val="both"/>
        <w:rPr>
          <w:rFonts w:ascii="標楷體" w:hAnsi="標楷體"/>
          <w:sz w:val="28"/>
          <w:szCs w:val="28"/>
        </w:rPr>
      </w:pPr>
      <w:r w:rsidRPr="00C0164B">
        <w:rPr>
          <w:rFonts w:ascii="標楷體" w:eastAsia="標楷體" w:hAnsi="標楷體" w:hint="eastAsia"/>
          <w:sz w:val="28"/>
          <w:szCs w:val="28"/>
        </w:rPr>
        <w:t>（</w:t>
      </w:r>
      <w:r w:rsidRPr="008159C7">
        <w:rPr>
          <w:rFonts w:ascii="標楷體" w:eastAsia="標楷體" w:hAnsi="標楷體" w:hint="eastAsia"/>
          <w:sz w:val="28"/>
          <w:szCs w:val="28"/>
        </w:rPr>
        <w:t>本次會議有委員</w:t>
      </w:r>
      <w:r>
        <w:rPr>
          <w:rFonts w:ascii="標楷體" w:eastAsia="標楷體" w:hAnsi="標楷體" w:hint="eastAsia"/>
          <w:sz w:val="28"/>
          <w:szCs w:val="28"/>
        </w:rPr>
        <w:t>游毓蘭、</w:t>
      </w:r>
      <w:r>
        <w:rPr>
          <w:rFonts w:eastAsia="標楷體" w:hint="eastAsia"/>
          <w:sz w:val="28"/>
        </w:rPr>
        <w:t>邱顯智、</w:t>
      </w:r>
      <w:r>
        <w:rPr>
          <w:rFonts w:ascii="標楷體" w:eastAsia="標楷體" w:hAnsi="標楷體" w:hint="eastAsia"/>
          <w:sz w:val="28"/>
          <w:szCs w:val="28"/>
        </w:rPr>
        <w:t>陳歐珀、</w:t>
      </w:r>
      <w:r w:rsidRPr="005659F7">
        <w:rPr>
          <w:rFonts w:ascii="標楷體" w:eastAsia="標楷體" w:hAnsi="標楷體" w:hint="eastAsia"/>
          <w:sz w:val="28"/>
          <w:szCs w:val="28"/>
        </w:rPr>
        <w:t>陳玉珍</w:t>
      </w:r>
      <w:r>
        <w:rPr>
          <w:rFonts w:ascii="標楷體" w:eastAsia="標楷體" w:hAnsi="標楷體" w:hint="eastAsia"/>
          <w:sz w:val="28"/>
          <w:szCs w:val="28"/>
        </w:rPr>
        <w:t>、黃世杰</w:t>
      </w:r>
      <w:r>
        <w:rPr>
          <w:rFonts w:eastAsia="標楷體" w:hint="eastAsia"/>
          <w:sz w:val="28"/>
        </w:rPr>
        <w:t>、</w:t>
      </w:r>
      <w:r>
        <w:rPr>
          <w:rFonts w:ascii="標楷體" w:eastAsia="標楷體" w:hAnsi="標楷體" w:hint="eastAsia"/>
          <w:sz w:val="28"/>
          <w:szCs w:val="28"/>
        </w:rPr>
        <w:t>曾銘宗、林思銘</w:t>
      </w:r>
      <w:r>
        <w:rPr>
          <w:rFonts w:ascii="標楷體" w:eastAsia="標楷體" w:hAnsi="標楷體" w:hint="eastAsia"/>
          <w:spacing w:val="-20"/>
          <w:sz w:val="28"/>
          <w:szCs w:val="28"/>
        </w:rPr>
        <w:t>、</w:t>
      </w:r>
      <w:r>
        <w:rPr>
          <w:rFonts w:ascii="標楷體" w:eastAsia="標楷體" w:hAnsi="標楷體" w:hint="eastAsia"/>
          <w:sz w:val="28"/>
          <w:szCs w:val="28"/>
        </w:rPr>
        <w:t>鄭運鵬、江永昌、</w:t>
      </w:r>
      <w:r>
        <w:rPr>
          <w:rFonts w:eastAsia="標楷體" w:hint="eastAsia"/>
          <w:sz w:val="28"/>
        </w:rPr>
        <w:t>賴瑞隆、</w:t>
      </w:r>
      <w:r w:rsidRPr="0003693C">
        <w:rPr>
          <w:rFonts w:ascii="標楷體" w:eastAsia="標楷體" w:hAnsi="標楷體" w:hint="eastAsia"/>
          <w:sz w:val="28"/>
          <w:szCs w:val="28"/>
        </w:rPr>
        <w:t>陳椒華</w:t>
      </w:r>
      <w:r>
        <w:rPr>
          <w:rFonts w:ascii="標楷體" w:eastAsia="標楷體" w:hAnsi="標楷體" w:hint="eastAsia"/>
          <w:sz w:val="28"/>
          <w:szCs w:val="28"/>
        </w:rPr>
        <w:t>、楊瓊瓔、</w:t>
      </w:r>
      <w:r w:rsidRPr="00D73CA1">
        <w:rPr>
          <w:rFonts w:ascii="標楷體" w:eastAsia="標楷體" w:hAnsi="標楷體" w:hint="eastAsia"/>
          <w:sz w:val="28"/>
          <w:szCs w:val="28"/>
        </w:rPr>
        <w:t>邱志偉</w:t>
      </w:r>
      <w:r>
        <w:rPr>
          <w:rFonts w:ascii="標楷體" w:eastAsia="標楷體" w:hAnsi="標楷體" w:hint="eastAsia"/>
          <w:sz w:val="28"/>
          <w:szCs w:val="28"/>
        </w:rPr>
        <w:t>、劉建國</w:t>
      </w:r>
      <w:r w:rsidRPr="008159C7">
        <w:rPr>
          <w:rFonts w:ascii="標楷體" w:eastAsia="標楷體" w:hAnsi="標楷體" w:hint="eastAsia"/>
          <w:sz w:val="28"/>
          <w:szCs w:val="28"/>
        </w:rPr>
        <w:t>提出質詢</w:t>
      </w:r>
      <w:r>
        <w:rPr>
          <w:rFonts w:ascii="標楷體" w:eastAsia="標楷體" w:hAnsi="標楷體" w:hint="eastAsia"/>
          <w:sz w:val="28"/>
          <w:szCs w:val="28"/>
        </w:rPr>
        <w:t>；委員林岱樺、陳以信、蘇治芬、陳亭妃</w:t>
      </w:r>
      <w:r w:rsidRPr="008159C7">
        <w:rPr>
          <w:rFonts w:ascii="標楷體" w:eastAsia="標楷體" w:hAnsi="標楷體" w:hint="eastAsia"/>
          <w:sz w:val="28"/>
          <w:szCs w:val="28"/>
        </w:rPr>
        <w:t>提</w:t>
      </w:r>
      <w:r>
        <w:rPr>
          <w:rFonts w:ascii="標楷體" w:eastAsia="標楷體" w:hAnsi="標楷體" w:hint="eastAsia"/>
          <w:sz w:val="28"/>
          <w:szCs w:val="28"/>
        </w:rPr>
        <w:t>出書面質詢。</w:t>
      </w:r>
      <w:r w:rsidRPr="00C0164B">
        <w:rPr>
          <w:rFonts w:ascii="標楷體" w:eastAsia="標楷體" w:hAnsi="標楷體" w:hint="eastAsia"/>
          <w:sz w:val="28"/>
          <w:szCs w:val="28"/>
        </w:rPr>
        <w:t>）</w:t>
      </w:r>
    </w:p>
    <w:p w14:paraId="4B2B5921" w14:textId="77777777" w:rsidR="00421BB5" w:rsidRDefault="00421BB5" w:rsidP="00421BB5">
      <w:pPr>
        <w:spacing w:line="340" w:lineRule="exact"/>
        <w:ind w:left="493" w:hangingChars="176" w:hanging="493"/>
        <w:contextualSpacing/>
        <w:jc w:val="both"/>
        <w:rPr>
          <w:rFonts w:ascii="標楷體" w:eastAsia="標楷體" w:hAnsi="標楷體"/>
          <w:bCs/>
          <w:sz w:val="28"/>
          <w:szCs w:val="28"/>
        </w:rPr>
      </w:pPr>
      <w:r w:rsidRPr="009C73CA">
        <w:rPr>
          <w:rFonts w:ascii="標楷體" w:eastAsia="標楷體" w:hAnsi="標楷體"/>
          <w:bCs/>
          <w:sz w:val="28"/>
          <w:szCs w:val="28"/>
        </w:rPr>
        <w:t>決</w:t>
      </w:r>
      <w:r w:rsidRPr="009C73CA">
        <w:rPr>
          <w:rFonts w:ascii="標楷體" w:eastAsia="標楷體" w:hAnsi="標楷體" w:hint="eastAsia"/>
          <w:bCs/>
          <w:sz w:val="28"/>
          <w:szCs w:val="28"/>
        </w:rPr>
        <w:t>議</w:t>
      </w:r>
      <w:r w:rsidRPr="009C73CA">
        <w:rPr>
          <w:rFonts w:ascii="標楷體" w:eastAsia="標楷體" w:hAnsi="標楷體"/>
          <w:bCs/>
          <w:sz w:val="28"/>
          <w:szCs w:val="28"/>
        </w:rPr>
        <w:t>：</w:t>
      </w:r>
    </w:p>
    <w:p w14:paraId="5907349B" w14:textId="77777777" w:rsidR="00421BB5" w:rsidRDefault="00421BB5" w:rsidP="00421BB5">
      <w:pPr>
        <w:spacing w:line="340" w:lineRule="exact"/>
        <w:contextualSpacing/>
        <w:jc w:val="both"/>
        <w:rPr>
          <w:rFonts w:ascii="標楷體" w:eastAsia="標楷體" w:hAnsi="標楷體"/>
          <w:sz w:val="28"/>
          <w:szCs w:val="28"/>
        </w:rPr>
      </w:pPr>
      <w:r>
        <w:rPr>
          <w:rFonts w:ascii="標楷體" w:eastAsia="標楷體" w:hAnsi="標楷體" w:hint="eastAsia"/>
          <w:sz w:val="28"/>
          <w:szCs w:val="28"/>
        </w:rPr>
        <w:t>一、</w:t>
      </w:r>
      <w:r>
        <w:rPr>
          <w:rFonts w:ascii="標楷體" w:eastAsia="標楷體" w:hAnsi="標楷體"/>
          <w:sz w:val="28"/>
          <w:szCs w:val="28"/>
        </w:rPr>
        <w:t>報告及詢答完畢</w:t>
      </w:r>
      <w:r>
        <w:rPr>
          <w:rFonts w:ascii="標楷體" w:eastAsia="標楷體" w:hAnsi="標楷體" w:hint="eastAsia"/>
          <w:sz w:val="28"/>
          <w:szCs w:val="28"/>
        </w:rPr>
        <w:t>。</w:t>
      </w:r>
    </w:p>
    <w:p w14:paraId="047A148D" w14:textId="77777777" w:rsidR="00421BB5" w:rsidRPr="00143FA1" w:rsidRDefault="00421BB5" w:rsidP="00421BB5">
      <w:pPr>
        <w:spacing w:line="340" w:lineRule="exact"/>
        <w:contextualSpacing/>
        <w:jc w:val="both"/>
        <w:rPr>
          <w:rFonts w:ascii="標楷體" w:eastAsia="標楷體" w:hAnsi="標楷體"/>
          <w:bCs/>
          <w:sz w:val="28"/>
          <w:szCs w:val="28"/>
        </w:rPr>
      </w:pPr>
      <w:r>
        <w:rPr>
          <w:rFonts w:ascii="標楷體" w:eastAsia="標楷體" w:hAnsi="標楷體" w:hint="eastAsia"/>
          <w:bCs/>
          <w:sz w:val="28"/>
          <w:szCs w:val="28"/>
        </w:rPr>
        <w:t>二、本案另定期繼續審查。</w:t>
      </w:r>
    </w:p>
    <w:p w14:paraId="5A730A76" w14:textId="77777777" w:rsidR="00421BB5" w:rsidRPr="00690C0F" w:rsidRDefault="00421BB5" w:rsidP="00421BB5">
      <w:pPr>
        <w:kinsoku w:val="0"/>
        <w:spacing w:line="340" w:lineRule="exact"/>
        <w:ind w:leftChars="6" w:left="543" w:hangingChars="189" w:hanging="529"/>
        <w:contextualSpacing/>
        <w:jc w:val="both"/>
        <w:rPr>
          <w:rFonts w:ascii="標楷體" w:eastAsia="標楷體" w:hAnsi="標楷體"/>
          <w:sz w:val="28"/>
          <w:szCs w:val="28"/>
        </w:rPr>
      </w:pPr>
      <w:r>
        <w:rPr>
          <w:rFonts w:ascii="標楷體" w:eastAsia="標楷體" w:hAnsi="標楷體" w:hint="eastAsia"/>
          <w:sz w:val="28"/>
          <w:szCs w:val="28"/>
        </w:rPr>
        <w:t>三、</w:t>
      </w:r>
      <w:r w:rsidRPr="00690C0F">
        <w:rPr>
          <w:rFonts w:ascii="標楷體" w:eastAsia="標楷體" w:hAnsi="標楷體"/>
          <w:sz w:val="28"/>
          <w:szCs w:val="28"/>
        </w:rPr>
        <w:t>委員質詢時，要求提供相關資料或以書面答復者，請相關機關儘</w:t>
      </w:r>
    </w:p>
    <w:p w14:paraId="0A653546" w14:textId="77777777" w:rsidR="00421BB5" w:rsidRDefault="00421BB5" w:rsidP="00421BB5">
      <w:pPr>
        <w:kinsoku w:val="0"/>
        <w:spacing w:line="340" w:lineRule="exact"/>
        <w:ind w:leftChars="221" w:left="538" w:hangingChars="3" w:hanging="8"/>
        <w:contextualSpacing/>
        <w:jc w:val="both"/>
        <w:rPr>
          <w:rFonts w:ascii="標楷體" w:eastAsia="標楷體" w:hAnsi="標楷體"/>
          <w:sz w:val="28"/>
          <w:szCs w:val="28"/>
        </w:rPr>
      </w:pPr>
      <w:r w:rsidRPr="00690C0F">
        <w:rPr>
          <w:rFonts w:ascii="標楷體" w:eastAsia="標楷體" w:hAnsi="標楷體"/>
          <w:sz w:val="28"/>
          <w:szCs w:val="28"/>
        </w:rPr>
        <w:t>速送交個別委員及本</w:t>
      </w:r>
      <w:r w:rsidRPr="00690C0F">
        <w:rPr>
          <w:rFonts w:ascii="標楷體" w:eastAsia="標楷體" w:hAnsi="標楷體" w:hint="eastAsia"/>
          <w:sz w:val="28"/>
          <w:szCs w:val="28"/>
        </w:rPr>
        <w:t>聯席</w:t>
      </w:r>
      <w:r w:rsidRPr="00690C0F">
        <w:rPr>
          <w:rFonts w:ascii="標楷體" w:eastAsia="標楷體" w:hAnsi="標楷體"/>
          <w:sz w:val="28"/>
          <w:szCs w:val="28"/>
        </w:rPr>
        <w:t>會。</w:t>
      </w:r>
    </w:p>
    <w:p w14:paraId="67B98130" w14:textId="77777777" w:rsidR="00421BB5" w:rsidRPr="00090981" w:rsidRDefault="00421BB5" w:rsidP="00421BB5">
      <w:pPr>
        <w:widowControl/>
        <w:spacing w:line="34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529E0892" w14:textId="77777777" w:rsidR="00421BB5" w:rsidRPr="00D95CE4" w:rsidRDefault="00421BB5" w:rsidP="00D95CE4">
      <w:pPr>
        <w:snapToGrid w:val="0"/>
        <w:spacing w:beforeLines="50" w:before="180" w:line="340" w:lineRule="exact"/>
        <w:ind w:left="1400" w:hangingChars="500" w:hanging="1400"/>
        <w:jc w:val="distribute"/>
        <w:outlineLvl w:val="2"/>
        <w:rPr>
          <w:rFonts w:ascii="標楷體" w:eastAsia="標楷體" w:hAnsi="標楷體"/>
          <w:b/>
          <w:spacing w:val="-20"/>
          <w:kern w:val="0"/>
          <w:sz w:val="28"/>
          <w:szCs w:val="28"/>
        </w:rPr>
      </w:pPr>
      <w:r>
        <w:rPr>
          <w:rFonts w:ascii="標楷體" w:eastAsia="標楷體" w:hAnsi="標楷體"/>
          <w:sz w:val="28"/>
          <w:szCs w:val="28"/>
        </w:rPr>
        <w:br w:type="page"/>
      </w:r>
      <w:r w:rsidRPr="00D95CE4">
        <w:rPr>
          <w:rFonts w:ascii="標楷體" w:eastAsia="標楷體" w:hAnsi="標楷體"/>
          <w:b/>
          <w:spacing w:val="-20"/>
          <w:kern w:val="0"/>
          <w:sz w:val="28"/>
          <w:szCs w:val="28"/>
        </w:rPr>
        <w:lastRenderedPageBreak/>
        <w:t>立法院第</w:t>
      </w:r>
      <w:r w:rsidRPr="00D95CE4">
        <w:rPr>
          <w:rFonts w:ascii="標楷體" w:eastAsia="標楷體" w:hAnsi="標楷體" w:hint="eastAsia"/>
          <w:b/>
          <w:spacing w:val="-20"/>
          <w:kern w:val="0"/>
          <w:sz w:val="28"/>
          <w:szCs w:val="28"/>
        </w:rPr>
        <w:t>10</w:t>
      </w:r>
      <w:r w:rsidRPr="00D95CE4">
        <w:rPr>
          <w:rFonts w:ascii="標楷體" w:eastAsia="標楷體" w:hAnsi="標楷體"/>
          <w:b/>
          <w:spacing w:val="-20"/>
          <w:kern w:val="0"/>
          <w:sz w:val="28"/>
          <w:szCs w:val="28"/>
        </w:rPr>
        <w:t>屆第</w:t>
      </w:r>
      <w:r w:rsidRPr="00D95CE4">
        <w:rPr>
          <w:rFonts w:ascii="標楷體" w:eastAsia="標楷體" w:hAnsi="標楷體" w:hint="eastAsia"/>
          <w:b/>
          <w:spacing w:val="-20"/>
          <w:kern w:val="0"/>
          <w:sz w:val="28"/>
          <w:szCs w:val="28"/>
        </w:rPr>
        <w:t>6</w:t>
      </w:r>
      <w:r w:rsidRPr="00D95CE4">
        <w:rPr>
          <w:rFonts w:ascii="標楷體" w:eastAsia="標楷體" w:hAnsi="標楷體"/>
          <w:b/>
          <w:spacing w:val="-20"/>
          <w:kern w:val="0"/>
          <w:sz w:val="28"/>
          <w:szCs w:val="28"/>
        </w:rPr>
        <w:t>會期司法及法制</w:t>
      </w:r>
      <w:r w:rsidRPr="00D95CE4">
        <w:rPr>
          <w:rFonts w:ascii="標楷體" w:eastAsia="標楷體" w:hAnsi="標楷體" w:hint="eastAsia"/>
          <w:b/>
          <w:spacing w:val="-20"/>
          <w:kern w:val="0"/>
          <w:sz w:val="28"/>
          <w:szCs w:val="28"/>
        </w:rPr>
        <w:t>、經濟</w:t>
      </w:r>
      <w:r w:rsidRPr="00D95CE4">
        <w:rPr>
          <w:rFonts w:ascii="標楷體" w:eastAsia="標楷體" w:hAnsi="標楷體"/>
          <w:b/>
          <w:spacing w:val="-20"/>
          <w:kern w:val="0"/>
          <w:sz w:val="28"/>
          <w:szCs w:val="28"/>
        </w:rPr>
        <w:t>委員會第3次</w:t>
      </w:r>
      <w:r w:rsidRPr="00D95CE4">
        <w:rPr>
          <w:rFonts w:ascii="標楷體" w:eastAsia="標楷體" w:hAnsi="標楷體" w:hint="eastAsia"/>
          <w:b/>
          <w:spacing w:val="-20"/>
          <w:kern w:val="0"/>
          <w:sz w:val="28"/>
          <w:szCs w:val="28"/>
        </w:rPr>
        <w:t>聯席</w:t>
      </w:r>
      <w:r w:rsidRPr="00D95CE4">
        <w:rPr>
          <w:rFonts w:ascii="標楷體" w:eastAsia="標楷體" w:hAnsi="標楷體"/>
          <w:b/>
          <w:spacing w:val="-20"/>
          <w:kern w:val="0"/>
          <w:sz w:val="28"/>
          <w:szCs w:val="28"/>
        </w:rPr>
        <w:t>會議議事錄</w:t>
      </w:r>
    </w:p>
    <w:p w14:paraId="13BBA5BA" w14:textId="77777777" w:rsidR="00421BB5" w:rsidRPr="00D95CE4" w:rsidRDefault="00421BB5" w:rsidP="00D95CE4">
      <w:pPr>
        <w:snapToGrid w:val="0"/>
        <w:spacing w:beforeLines="50" w:before="180" w:line="340" w:lineRule="exact"/>
        <w:ind w:left="1200" w:hangingChars="500" w:hanging="1200"/>
        <w:jc w:val="distribute"/>
        <w:rPr>
          <w:rFonts w:ascii="標楷體" w:eastAsia="標楷體" w:hAnsi="標楷體"/>
          <w:spacing w:val="-20"/>
          <w:kern w:val="0"/>
          <w:sz w:val="28"/>
          <w:szCs w:val="28"/>
        </w:rPr>
      </w:pPr>
      <w:r w:rsidRPr="00D95CE4">
        <w:rPr>
          <w:rFonts w:ascii="標楷體" w:eastAsia="標楷體" w:hAnsi="標楷體"/>
          <w:spacing w:val="-20"/>
          <w:kern w:val="0"/>
          <w:sz w:val="28"/>
          <w:szCs w:val="28"/>
        </w:rPr>
        <w:t>時    間：中華民國1</w:t>
      </w:r>
      <w:r w:rsidRPr="00D95CE4">
        <w:rPr>
          <w:rFonts w:ascii="標楷體" w:eastAsia="標楷體" w:hAnsi="標楷體" w:hint="eastAsia"/>
          <w:spacing w:val="-20"/>
          <w:kern w:val="0"/>
          <w:sz w:val="28"/>
          <w:szCs w:val="28"/>
        </w:rPr>
        <w:t>11</w:t>
      </w:r>
      <w:r w:rsidRPr="00D95CE4">
        <w:rPr>
          <w:rFonts w:ascii="標楷體" w:eastAsia="標楷體" w:hAnsi="標楷體"/>
          <w:spacing w:val="-20"/>
          <w:kern w:val="0"/>
          <w:sz w:val="28"/>
          <w:szCs w:val="28"/>
        </w:rPr>
        <w:t>年</w:t>
      </w:r>
      <w:r w:rsidRPr="00D95CE4">
        <w:rPr>
          <w:rFonts w:ascii="標楷體" w:eastAsia="標楷體" w:hAnsi="標楷體" w:hint="eastAsia"/>
          <w:spacing w:val="-20"/>
          <w:kern w:val="0"/>
          <w:sz w:val="28"/>
          <w:szCs w:val="28"/>
        </w:rPr>
        <w:t>12</w:t>
      </w:r>
      <w:r w:rsidRPr="00D95CE4">
        <w:rPr>
          <w:rFonts w:ascii="標楷體" w:eastAsia="標楷體" w:hAnsi="標楷體"/>
          <w:spacing w:val="-20"/>
          <w:kern w:val="0"/>
          <w:sz w:val="28"/>
          <w:szCs w:val="28"/>
        </w:rPr>
        <w:t>月26日（星期</w:t>
      </w:r>
      <w:r w:rsidRPr="00D95CE4">
        <w:rPr>
          <w:rFonts w:ascii="標楷體" w:eastAsia="標楷體" w:hAnsi="標楷體" w:hint="eastAsia"/>
          <w:spacing w:val="-20"/>
          <w:kern w:val="0"/>
          <w:sz w:val="28"/>
          <w:szCs w:val="28"/>
        </w:rPr>
        <w:t>一</w:t>
      </w:r>
      <w:r w:rsidRPr="00D95CE4">
        <w:rPr>
          <w:rFonts w:ascii="標楷體" w:eastAsia="標楷體" w:hAnsi="標楷體"/>
          <w:spacing w:val="-20"/>
          <w:kern w:val="0"/>
          <w:sz w:val="28"/>
          <w:szCs w:val="28"/>
        </w:rPr>
        <w:t>）上午9時</w:t>
      </w:r>
      <w:r w:rsidRPr="00D95CE4">
        <w:rPr>
          <w:rFonts w:ascii="標楷體" w:eastAsia="標楷體" w:hAnsi="標楷體" w:hint="eastAsia"/>
          <w:spacing w:val="-20"/>
          <w:kern w:val="0"/>
          <w:sz w:val="28"/>
          <w:szCs w:val="28"/>
        </w:rPr>
        <w:t>19</w:t>
      </w:r>
      <w:r w:rsidRPr="00D95CE4">
        <w:rPr>
          <w:rFonts w:ascii="標楷體" w:eastAsia="標楷體" w:hAnsi="標楷體"/>
          <w:spacing w:val="-20"/>
          <w:kern w:val="0"/>
          <w:sz w:val="28"/>
          <w:szCs w:val="28"/>
        </w:rPr>
        <w:t>分至</w:t>
      </w:r>
      <w:r w:rsidRPr="00D95CE4">
        <w:rPr>
          <w:rFonts w:ascii="標楷體" w:eastAsia="標楷體" w:hAnsi="標楷體" w:hint="eastAsia"/>
          <w:spacing w:val="-20"/>
          <w:kern w:val="0"/>
          <w:sz w:val="28"/>
          <w:szCs w:val="28"/>
        </w:rPr>
        <w:t>11</w:t>
      </w:r>
      <w:r w:rsidRPr="00D95CE4">
        <w:rPr>
          <w:rFonts w:ascii="標楷體" w:eastAsia="標楷體" w:hAnsi="標楷體"/>
          <w:spacing w:val="-20"/>
          <w:kern w:val="0"/>
          <w:sz w:val="28"/>
          <w:szCs w:val="28"/>
        </w:rPr>
        <w:t>時</w:t>
      </w:r>
      <w:r w:rsidRPr="00D95CE4">
        <w:rPr>
          <w:rFonts w:ascii="標楷體" w:eastAsia="標楷體" w:hAnsi="標楷體" w:hint="eastAsia"/>
          <w:spacing w:val="-20"/>
          <w:kern w:val="0"/>
          <w:sz w:val="28"/>
          <w:szCs w:val="28"/>
        </w:rPr>
        <w:t>32</w:t>
      </w:r>
      <w:r w:rsidRPr="00D95CE4">
        <w:rPr>
          <w:rFonts w:ascii="標楷體" w:eastAsia="標楷體" w:hAnsi="標楷體"/>
          <w:spacing w:val="-20"/>
          <w:kern w:val="0"/>
          <w:sz w:val="28"/>
          <w:szCs w:val="28"/>
        </w:rPr>
        <w:t>分</w:t>
      </w:r>
    </w:p>
    <w:p w14:paraId="20D19E7F" w14:textId="77777777" w:rsidR="00421BB5" w:rsidRPr="00055838" w:rsidRDefault="00421BB5" w:rsidP="00421BB5">
      <w:pPr>
        <w:pStyle w:val="-9"/>
        <w:spacing w:line="340" w:lineRule="exact"/>
        <w:ind w:left="1364" w:hanging="1364"/>
        <w:rPr>
          <w:rFonts w:ascii="標楷體" w:hAnsi="標楷體"/>
          <w:sz w:val="28"/>
          <w:szCs w:val="28"/>
        </w:rPr>
      </w:pPr>
      <w:r w:rsidRPr="00055838">
        <w:rPr>
          <w:rFonts w:ascii="標楷體" w:hAnsi="標楷體"/>
          <w:sz w:val="28"/>
          <w:szCs w:val="28"/>
          <w:fitText w:val="1120" w:id="972279808"/>
        </w:rPr>
        <w:t>地    點</w:t>
      </w:r>
      <w:r w:rsidRPr="00055838">
        <w:rPr>
          <w:rFonts w:ascii="標楷體" w:hAnsi="標楷體"/>
          <w:sz w:val="28"/>
          <w:szCs w:val="28"/>
        </w:rPr>
        <w:t>：本院紅樓302會議室</w:t>
      </w:r>
    </w:p>
    <w:p w14:paraId="24BA4462" w14:textId="77777777" w:rsidR="00421BB5" w:rsidRPr="00055838" w:rsidRDefault="00421BB5" w:rsidP="00421BB5">
      <w:pPr>
        <w:snapToGrid w:val="0"/>
        <w:spacing w:line="340" w:lineRule="exact"/>
        <w:rPr>
          <w:rFonts w:ascii="標楷體" w:eastAsia="標楷體" w:hAnsi="標楷體"/>
          <w:sz w:val="28"/>
          <w:szCs w:val="28"/>
        </w:rPr>
      </w:pPr>
      <w:r w:rsidRPr="00055838">
        <w:rPr>
          <w:rFonts w:ascii="標楷體" w:eastAsia="標楷體" w:hAnsi="標楷體"/>
          <w:kern w:val="0"/>
          <w:sz w:val="28"/>
          <w:szCs w:val="28"/>
          <w:lang w:val="x-none" w:eastAsia="x-none"/>
        </w:rPr>
        <w:t>出席委員</w:t>
      </w:r>
      <w:r w:rsidRPr="00055838">
        <w:rPr>
          <w:rFonts w:ascii="標楷體" w:eastAsia="標楷體" w:hAnsi="標楷體" w:hint="eastAsia"/>
          <w:kern w:val="0"/>
          <w:sz w:val="28"/>
          <w:szCs w:val="28"/>
          <w:lang w:val="x-none" w:eastAsia="x-none"/>
        </w:rPr>
        <w:t>：</w:t>
      </w:r>
      <w:r w:rsidRPr="00055838">
        <w:rPr>
          <w:rFonts w:ascii="標楷體" w:eastAsia="標楷體" w:hAnsi="標楷體" w:hint="eastAsia"/>
          <w:sz w:val="28"/>
          <w:szCs w:val="28"/>
        </w:rPr>
        <w:t>陳玉珍</w:t>
      </w:r>
      <w:r w:rsidRPr="00055838">
        <w:rPr>
          <w:rFonts w:ascii="標楷體" w:eastAsia="標楷體" w:hAnsi="標楷體"/>
          <w:sz w:val="28"/>
          <w:szCs w:val="28"/>
        </w:rPr>
        <w:tab/>
      </w:r>
      <w:r w:rsidRPr="00055838">
        <w:rPr>
          <w:rFonts w:ascii="標楷體" w:eastAsia="標楷體" w:hAnsi="標楷體" w:hint="eastAsia"/>
          <w:sz w:val="28"/>
          <w:szCs w:val="28"/>
        </w:rPr>
        <w:t>陳歐珀</w:t>
      </w:r>
      <w:r w:rsidRPr="00055838">
        <w:rPr>
          <w:rFonts w:ascii="標楷體" w:eastAsia="標楷體" w:hAnsi="標楷體"/>
          <w:sz w:val="28"/>
          <w:szCs w:val="28"/>
        </w:rPr>
        <w:tab/>
      </w:r>
      <w:r w:rsidRPr="00055838">
        <w:rPr>
          <w:rFonts w:ascii="標楷體" w:eastAsia="標楷體" w:hAnsi="標楷體" w:hint="eastAsia"/>
          <w:sz w:val="28"/>
          <w:szCs w:val="28"/>
        </w:rPr>
        <w:t>游毓蘭</w:t>
      </w:r>
      <w:r w:rsidRPr="00055838">
        <w:rPr>
          <w:rFonts w:ascii="標楷體" w:eastAsia="標楷體" w:hAnsi="標楷體"/>
          <w:sz w:val="28"/>
          <w:szCs w:val="28"/>
        </w:rPr>
        <w:tab/>
      </w:r>
      <w:r w:rsidRPr="00055838">
        <w:rPr>
          <w:rFonts w:ascii="標楷體" w:eastAsia="標楷體" w:hAnsi="標楷體" w:hint="eastAsia"/>
          <w:sz w:val="28"/>
          <w:szCs w:val="28"/>
        </w:rPr>
        <w:t>楊瓊瓔</w:t>
      </w:r>
      <w:r w:rsidRPr="00055838">
        <w:rPr>
          <w:rFonts w:ascii="標楷體" w:eastAsia="標楷體" w:hAnsi="標楷體"/>
          <w:sz w:val="28"/>
          <w:szCs w:val="28"/>
        </w:rPr>
        <w:tab/>
      </w:r>
      <w:r w:rsidRPr="00055838">
        <w:rPr>
          <w:rFonts w:ascii="標楷體" w:eastAsia="標楷體" w:hAnsi="標楷體" w:hint="eastAsia"/>
          <w:sz w:val="28"/>
          <w:szCs w:val="28"/>
        </w:rPr>
        <w:t>林思銘</w:t>
      </w:r>
      <w:r w:rsidRPr="00055838">
        <w:rPr>
          <w:rFonts w:ascii="標楷體" w:eastAsia="標楷體" w:hAnsi="標楷體"/>
          <w:sz w:val="28"/>
          <w:szCs w:val="28"/>
        </w:rPr>
        <w:tab/>
      </w:r>
      <w:r w:rsidRPr="00055838">
        <w:rPr>
          <w:rFonts w:eastAsia="標楷體" w:hint="eastAsia"/>
          <w:sz w:val="28"/>
        </w:rPr>
        <w:t>賴瑞隆</w:t>
      </w:r>
      <w:r w:rsidRPr="00055838">
        <w:rPr>
          <w:rFonts w:eastAsia="標楷體"/>
          <w:sz w:val="28"/>
        </w:rPr>
        <w:tab/>
      </w:r>
      <w:r w:rsidRPr="00055838">
        <w:rPr>
          <w:rFonts w:ascii="標楷體" w:eastAsia="標楷體" w:hAnsi="標楷體" w:hint="eastAsia"/>
          <w:sz w:val="28"/>
          <w:szCs w:val="28"/>
        </w:rPr>
        <w:t>陳以信</w:t>
      </w:r>
    </w:p>
    <w:p w14:paraId="18DE19B4"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謝衣鳯</w:t>
      </w:r>
      <w:r w:rsidRPr="00055838">
        <w:rPr>
          <w:rFonts w:ascii="標楷體" w:hAnsi="標楷體"/>
          <w:sz w:val="28"/>
          <w:szCs w:val="28"/>
        </w:rPr>
        <w:tab/>
      </w:r>
      <w:r w:rsidRPr="00055838">
        <w:rPr>
          <w:rFonts w:ascii="標楷體" w:hAnsi="標楷體" w:hint="eastAsia"/>
          <w:sz w:val="28"/>
          <w:szCs w:val="28"/>
        </w:rPr>
        <w:t>江永昌</w:t>
      </w:r>
      <w:r w:rsidRPr="00055838">
        <w:rPr>
          <w:rFonts w:ascii="標楷體" w:hAnsi="標楷體"/>
          <w:sz w:val="28"/>
          <w:szCs w:val="28"/>
        </w:rPr>
        <w:tab/>
      </w:r>
      <w:r w:rsidRPr="00055838">
        <w:rPr>
          <w:rFonts w:hint="eastAsia"/>
          <w:sz w:val="28"/>
        </w:rPr>
        <w:t>邱顯智</w:t>
      </w:r>
      <w:r w:rsidRPr="00055838">
        <w:rPr>
          <w:sz w:val="28"/>
        </w:rPr>
        <w:tab/>
      </w:r>
      <w:r w:rsidRPr="00055838">
        <w:rPr>
          <w:rFonts w:ascii="標楷體" w:hAnsi="標楷體" w:hint="eastAsia"/>
          <w:sz w:val="28"/>
          <w:szCs w:val="28"/>
        </w:rPr>
        <w:t>蘇震清</w:t>
      </w:r>
      <w:r w:rsidRPr="00055838">
        <w:rPr>
          <w:rFonts w:ascii="標楷體" w:hAnsi="標楷體"/>
          <w:sz w:val="28"/>
          <w:szCs w:val="28"/>
        </w:rPr>
        <w:tab/>
      </w:r>
      <w:r w:rsidRPr="00055838">
        <w:rPr>
          <w:rFonts w:hint="eastAsia"/>
          <w:sz w:val="28"/>
        </w:rPr>
        <w:t>邱議瑩</w:t>
      </w:r>
      <w:r w:rsidRPr="00055838">
        <w:rPr>
          <w:sz w:val="28"/>
        </w:rPr>
        <w:tab/>
      </w:r>
      <w:r w:rsidRPr="00055838">
        <w:rPr>
          <w:rFonts w:ascii="標楷體" w:hAnsi="標楷體" w:hint="eastAsia"/>
          <w:sz w:val="28"/>
          <w:szCs w:val="28"/>
        </w:rPr>
        <w:t>陳明文</w:t>
      </w:r>
      <w:r w:rsidRPr="00055838">
        <w:rPr>
          <w:rFonts w:ascii="標楷體" w:hAnsi="標楷體"/>
          <w:sz w:val="28"/>
          <w:szCs w:val="28"/>
        </w:rPr>
        <w:tab/>
      </w:r>
      <w:r w:rsidRPr="00055838">
        <w:rPr>
          <w:rFonts w:ascii="標楷體" w:hAnsi="標楷體" w:hint="eastAsia"/>
          <w:sz w:val="28"/>
          <w:szCs w:val="28"/>
        </w:rPr>
        <w:t>邱志偉</w:t>
      </w:r>
      <w:r w:rsidRPr="00055838">
        <w:rPr>
          <w:rFonts w:ascii="標楷體" w:hAnsi="標楷體"/>
          <w:sz w:val="28"/>
          <w:szCs w:val="28"/>
        </w:rPr>
        <w:tab/>
      </w:r>
    </w:p>
    <w:p w14:paraId="1B8CC76A"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陳亭妃</w:t>
      </w:r>
      <w:r w:rsidRPr="00055838">
        <w:rPr>
          <w:rFonts w:ascii="標楷體" w:hAnsi="標楷體"/>
          <w:sz w:val="28"/>
          <w:szCs w:val="28"/>
        </w:rPr>
        <w:tab/>
      </w:r>
      <w:r w:rsidRPr="00055838">
        <w:rPr>
          <w:rFonts w:ascii="標楷體" w:hAnsi="標楷體" w:hint="eastAsia"/>
          <w:sz w:val="28"/>
          <w:szCs w:val="28"/>
        </w:rPr>
        <w:t>黃世杰</w:t>
      </w:r>
      <w:r w:rsidRPr="00055838">
        <w:rPr>
          <w:rFonts w:ascii="標楷體" w:hAnsi="標楷體"/>
          <w:sz w:val="28"/>
          <w:szCs w:val="28"/>
        </w:rPr>
        <w:tab/>
      </w:r>
      <w:r w:rsidRPr="00055838">
        <w:rPr>
          <w:rFonts w:ascii="標楷體" w:hAnsi="標楷體" w:hint="eastAsia"/>
          <w:sz w:val="28"/>
          <w:szCs w:val="28"/>
        </w:rPr>
        <w:t>曾銘宗</w:t>
      </w:r>
      <w:r w:rsidRPr="00055838">
        <w:rPr>
          <w:rFonts w:ascii="標楷體" w:hAnsi="標楷體"/>
          <w:sz w:val="28"/>
          <w:szCs w:val="28"/>
        </w:rPr>
        <w:tab/>
      </w:r>
      <w:r w:rsidRPr="00055838">
        <w:rPr>
          <w:rFonts w:ascii="標楷體" w:hAnsi="標楷體" w:hint="eastAsia"/>
          <w:sz w:val="28"/>
          <w:szCs w:val="28"/>
        </w:rPr>
        <w:t>鄭運鵬</w:t>
      </w:r>
      <w:r w:rsidRPr="00055838">
        <w:rPr>
          <w:rFonts w:ascii="標楷體" w:hAnsi="標楷體"/>
          <w:sz w:val="28"/>
          <w:szCs w:val="28"/>
        </w:rPr>
        <w:tab/>
      </w:r>
      <w:r w:rsidRPr="00055838">
        <w:rPr>
          <w:rFonts w:ascii="標楷體" w:hAnsi="標楷體" w:hint="eastAsia"/>
          <w:sz w:val="28"/>
          <w:szCs w:val="28"/>
        </w:rPr>
        <w:t>柯建銘</w:t>
      </w:r>
      <w:r w:rsidRPr="00055838">
        <w:rPr>
          <w:rFonts w:ascii="標楷體" w:hAnsi="標楷體"/>
          <w:sz w:val="28"/>
          <w:szCs w:val="28"/>
        </w:rPr>
        <w:tab/>
      </w:r>
      <w:r w:rsidRPr="00055838">
        <w:rPr>
          <w:rFonts w:ascii="標楷體" w:hAnsi="標楷體" w:hint="eastAsia"/>
          <w:sz w:val="28"/>
          <w:szCs w:val="28"/>
        </w:rPr>
        <w:t>呂玉玲</w:t>
      </w:r>
      <w:r w:rsidRPr="00055838">
        <w:rPr>
          <w:rFonts w:ascii="標楷體" w:hAnsi="標楷體"/>
          <w:sz w:val="28"/>
          <w:szCs w:val="28"/>
        </w:rPr>
        <w:tab/>
      </w:r>
      <w:r w:rsidRPr="00055838">
        <w:rPr>
          <w:rFonts w:ascii="標楷體" w:hAnsi="標楷體" w:hint="eastAsia"/>
          <w:sz w:val="28"/>
          <w:szCs w:val="28"/>
        </w:rPr>
        <w:t>蘇治芬</w:t>
      </w:r>
    </w:p>
    <w:p w14:paraId="02CAE9C1"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陳超明</w:t>
      </w:r>
      <w:r w:rsidRPr="00055838">
        <w:rPr>
          <w:rFonts w:ascii="標楷體" w:hAnsi="標楷體"/>
          <w:sz w:val="28"/>
          <w:szCs w:val="28"/>
        </w:rPr>
        <w:tab/>
      </w:r>
      <w:r w:rsidRPr="00055838">
        <w:rPr>
          <w:rFonts w:ascii="標楷體" w:hAnsi="標楷體" w:hint="eastAsia"/>
          <w:sz w:val="28"/>
          <w:szCs w:val="28"/>
        </w:rPr>
        <w:t>劉建國</w:t>
      </w:r>
    </w:p>
    <w:p w14:paraId="3D764617"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sz w:val="28"/>
          <w:szCs w:val="28"/>
        </w:rPr>
        <w:t>委員出席</w:t>
      </w:r>
      <w:r w:rsidRPr="00055838">
        <w:rPr>
          <w:rFonts w:ascii="標楷體" w:hAnsi="標楷體" w:hint="eastAsia"/>
          <w:sz w:val="28"/>
          <w:szCs w:val="28"/>
        </w:rPr>
        <w:t>23</w:t>
      </w:r>
      <w:r w:rsidRPr="00055838">
        <w:rPr>
          <w:rFonts w:ascii="標楷體" w:hAnsi="標楷體"/>
          <w:sz w:val="28"/>
          <w:szCs w:val="28"/>
        </w:rPr>
        <w:t>人</w:t>
      </w:r>
    </w:p>
    <w:p w14:paraId="7D6BA3F1" w14:textId="77777777" w:rsidR="00421BB5" w:rsidRPr="00055838" w:rsidRDefault="00421BB5" w:rsidP="00421BB5">
      <w:pPr>
        <w:adjustRightInd w:val="0"/>
        <w:snapToGrid w:val="0"/>
        <w:spacing w:line="340" w:lineRule="exact"/>
        <w:ind w:leftChars="-11" w:left="1402" w:hangingChars="510" w:hanging="1428"/>
        <w:rPr>
          <w:rFonts w:ascii="標楷體" w:eastAsia="標楷體" w:hAnsi="標楷體"/>
          <w:sz w:val="28"/>
          <w:szCs w:val="28"/>
        </w:rPr>
      </w:pPr>
      <w:r w:rsidRPr="00055838">
        <w:rPr>
          <w:rFonts w:ascii="標楷體" w:eastAsia="標楷體" w:hAnsi="標楷體"/>
          <w:kern w:val="0"/>
          <w:sz w:val="28"/>
          <w:szCs w:val="28"/>
        </w:rPr>
        <w:t>列席</w:t>
      </w:r>
      <w:r w:rsidRPr="00055838">
        <w:rPr>
          <w:rFonts w:ascii="標楷體" w:eastAsia="標楷體" w:hAnsi="標楷體"/>
          <w:sz w:val="28"/>
          <w:szCs w:val="28"/>
        </w:rPr>
        <w:t>委員：</w:t>
      </w:r>
      <w:r w:rsidRPr="00055838">
        <w:rPr>
          <w:rFonts w:ascii="標楷體" w:eastAsia="標楷體" w:hAnsi="標楷體" w:hint="eastAsia"/>
          <w:sz w:val="28"/>
          <w:szCs w:val="28"/>
        </w:rPr>
        <w:t>李貴敏</w:t>
      </w:r>
      <w:r w:rsidRPr="00055838">
        <w:rPr>
          <w:rFonts w:ascii="標楷體" w:eastAsia="標楷體" w:hAnsi="標楷體"/>
          <w:sz w:val="28"/>
          <w:szCs w:val="28"/>
        </w:rPr>
        <w:tab/>
      </w:r>
      <w:r w:rsidRPr="00055838">
        <w:rPr>
          <w:rFonts w:ascii="標楷體" w:eastAsia="標楷體" w:hAnsi="標楷體" w:hint="eastAsia"/>
          <w:sz w:val="28"/>
          <w:szCs w:val="28"/>
        </w:rPr>
        <w:t>劉世芳</w:t>
      </w:r>
      <w:r w:rsidRPr="00055838">
        <w:rPr>
          <w:rFonts w:ascii="標楷體" w:eastAsia="標楷體" w:hAnsi="標楷體"/>
          <w:sz w:val="28"/>
          <w:szCs w:val="28"/>
        </w:rPr>
        <w:tab/>
      </w:r>
      <w:r w:rsidRPr="00055838">
        <w:rPr>
          <w:rFonts w:ascii="標楷體" w:eastAsia="標楷體" w:hAnsi="標楷體" w:hint="eastAsia"/>
          <w:sz w:val="28"/>
          <w:szCs w:val="28"/>
        </w:rPr>
        <w:t>陳椒華</w:t>
      </w:r>
      <w:r w:rsidRPr="00055838">
        <w:rPr>
          <w:rFonts w:ascii="標楷體" w:eastAsia="標楷體" w:hAnsi="標楷體"/>
          <w:sz w:val="28"/>
          <w:szCs w:val="28"/>
        </w:rPr>
        <w:tab/>
      </w:r>
      <w:r w:rsidRPr="00055838">
        <w:rPr>
          <w:rFonts w:ascii="標楷體" w:eastAsia="標楷體" w:hAnsi="標楷體" w:hint="eastAsia"/>
          <w:sz w:val="28"/>
          <w:szCs w:val="28"/>
        </w:rPr>
        <w:t>洪孟楷</w:t>
      </w:r>
      <w:r w:rsidRPr="00055838">
        <w:rPr>
          <w:rFonts w:ascii="標楷體" w:eastAsia="標楷體" w:hAnsi="標楷體"/>
          <w:sz w:val="28"/>
          <w:szCs w:val="28"/>
        </w:rPr>
        <w:tab/>
      </w:r>
      <w:r w:rsidRPr="00055838">
        <w:rPr>
          <w:rFonts w:eastAsia="標楷體" w:hint="eastAsia"/>
          <w:sz w:val="28"/>
        </w:rPr>
        <w:t>林德福</w:t>
      </w:r>
      <w:r w:rsidRPr="00055838">
        <w:rPr>
          <w:rFonts w:ascii="標楷體" w:eastAsia="標楷體" w:hAnsi="標楷體"/>
          <w:sz w:val="28"/>
          <w:szCs w:val="28"/>
        </w:rPr>
        <w:tab/>
      </w:r>
      <w:r w:rsidRPr="00055838">
        <w:rPr>
          <w:rFonts w:eastAsia="標楷體" w:hint="eastAsia"/>
          <w:sz w:val="28"/>
        </w:rPr>
        <w:t>高嘉瑜</w:t>
      </w:r>
      <w:r w:rsidRPr="00055838">
        <w:rPr>
          <w:rFonts w:eastAsia="標楷體"/>
          <w:sz w:val="28"/>
        </w:rPr>
        <w:tab/>
      </w:r>
      <w:r w:rsidRPr="00055838">
        <w:rPr>
          <w:rFonts w:ascii="標楷體" w:eastAsia="標楷體" w:hAnsi="標楷體" w:hint="eastAsia"/>
          <w:sz w:val="28"/>
          <w:szCs w:val="28"/>
        </w:rPr>
        <w:t>張其祿</w:t>
      </w:r>
    </w:p>
    <w:p w14:paraId="257D3F40"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邱臣遠</w:t>
      </w:r>
      <w:r w:rsidRPr="00055838">
        <w:rPr>
          <w:rFonts w:ascii="標楷體" w:hAnsi="標楷體"/>
          <w:sz w:val="28"/>
          <w:szCs w:val="28"/>
        </w:rPr>
        <w:tab/>
      </w:r>
      <w:r w:rsidRPr="00055838">
        <w:rPr>
          <w:rFonts w:ascii="標楷體" w:hAnsi="標楷體" w:hint="eastAsia"/>
          <w:sz w:val="28"/>
          <w:szCs w:val="28"/>
        </w:rPr>
        <w:t>廖婉汝</w:t>
      </w:r>
      <w:r w:rsidRPr="00055838">
        <w:rPr>
          <w:rFonts w:ascii="標楷體" w:hAnsi="標楷體"/>
          <w:sz w:val="28"/>
          <w:szCs w:val="28"/>
        </w:rPr>
        <w:tab/>
      </w:r>
      <w:r w:rsidRPr="00055838">
        <w:rPr>
          <w:rFonts w:ascii="標楷體" w:hAnsi="標楷體" w:hint="eastAsia"/>
          <w:sz w:val="28"/>
          <w:szCs w:val="28"/>
        </w:rPr>
        <w:t>何欣純</w:t>
      </w:r>
      <w:r w:rsidRPr="00055838">
        <w:rPr>
          <w:rFonts w:ascii="標楷體" w:hAnsi="標楷體"/>
          <w:sz w:val="28"/>
          <w:szCs w:val="28"/>
        </w:rPr>
        <w:tab/>
      </w:r>
      <w:r w:rsidRPr="00055838">
        <w:rPr>
          <w:rFonts w:ascii="標楷體" w:hAnsi="標楷體" w:hint="eastAsia"/>
          <w:sz w:val="28"/>
          <w:szCs w:val="28"/>
        </w:rPr>
        <w:t>羅明才</w:t>
      </w:r>
    </w:p>
    <w:p w14:paraId="50F046E7"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sz w:val="28"/>
          <w:szCs w:val="28"/>
        </w:rPr>
        <w:t>委員列席</w:t>
      </w:r>
      <w:r w:rsidRPr="00055838">
        <w:rPr>
          <w:rFonts w:ascii="標楷體" w:hAnsi="標楷體" w:hint="eastAsia"/>
          <w:sz w:val="28"/>
          <w:szCs w:val="28"/>
        </w:rPr>
        <w:t>11</w:t>
      </w:r>
      <w:r w:rsidRPr="00055838">
        <w:rPr>
          <w:rFonts w:ascii="標楷體" w:hAnsi="標楷體"/>
          <w:sz w:val="28"/>
          <w:szCs w:val="28"/>
        </w:rPr>
        <w:t>人</w:t>
      </w:r>
    </w:p>
    <w:p w14:paraId="2CDCDECA" w14:textId="77777777" w:rsidR="00421BB5" w:rsidRPr="00055838" w:rsidRDefault="00421BB5" w:rsidP="00421BB5">
      <w:pPr>
        <w:adjustRightInd w:val="0"/>
        <w:snapToGrid w:val="0"/>
        <w:spacing w:line="340" w:lineRule="exact"/>
        <w:ind w:leftChars="-11" w:left="1402" w:hangingChars="510" w:hanging="1428"/>
        <w:rPr>
          <w:rFonts w:ascii="標楷體" w:eastAsia="標楷體" w:hAnsi="標楷體"/>
          <w:sz w:val="28"/>
          <w:szCs w:val="28"/>
        </w:rPr>
      </w:pPr>
      <w:r w:rsidRPr="00055838">
        <w:rPr>
          <w:rFonts w:ascii="標楷體" w:eastAsia="標楷體" w:hAnsi="標楷體"/>
          <w:sz w:val="28"/>
          <w:szCs w:val="28"/>
        </w:rPr>
        <w:t>列席官員：</w:t>
      </w:r>
      <w:r w:rsidRPr="00055838">
        <w:rPr>
          <w:rFonts w:ascii="標楷體" w:eastAsia="標楷體" w:hAnsi="標楷體" w:hint="eastAsia"/>
          <w:sz w:val="28"/>
          <w:szCs w:val="28"/>
        </w:rPr>
        <w:t>司法院秘書長　林輝煌</w:t>
      </w:r>
    </w:p>
    <w:p w14:paraId="305BC12D"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法務部常務次長　林錦村</w:t>
      </w:r>
    </w:p>
    <w:p w14:paraId="4B0EB45D"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經濟部智慧財產局法務室主任　何燦成</w:t>
      </w:r>
    </w:p>
    <w:p w14:paraId="0E2A2589"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行政院農業委員會科技處副處長　陳瑞榮</w:t>
      </w:r>
    </w:p>
    <w:p w14:paraId="01EEB2C5" w14:textId="77777777" w:rsidR="00421BB5" w:rsidRPr="00055838" w:rsidRDefault="00421BB5" w:rsidP="00421BB5">
      <w:pPr>
        <w:adjustRightInd w:val="0"/>
        <w:snapToGrid w:val="0"/>
        <w:spacing w:line="340" w:lineRule="exact"/>
        <w:ind w:left="1364" w:rightChars="-355" w:right="-852" w:hangingChars="487" w:hanging="1364"/>
        <w:jc w:val="both"/>
        <w:rPr>
          <w:rFonts w:ascii="標楷體" w:eastAsia="標楷體" w:hAnsi="標楷體"/>
          <w:sz w:val="28"/>
          <w:szCs w:val="28"/>
        </w:rPr>
      </w:pPr>
      <w:r w:rsidRPr="00055838">
        <w:rPr>
          <w:rFonts w:ascii="標楷體" w:eastAsia="標楷體" w:hAnsi="標楷體"/>
          <w:kern w:val="0"/>
          <w:sz w:val="28"/>
          <w:szCs w:val="28"/>
          <w:fitText w:val="1120" w:id="-1433690880"/>
        </w:rPr>
        <w:t>主    席</w:t>
      </w:r>
      <w:r w:rsidRPr="00055838">
        <w:rPr>
          <w:rFonts w:ascii="標楷體" w:eastAsia="標楷體" w:hAnsi="標楷體"/>
          <w:sz w:val="28"/>
          <w:szCs w:val="28"/>
        </w:rPr>
        <w:t>：</w:t>
      </w:r>
      <w:r w:rsidRPr="00055838">
        <w:rPr>
          <w:rFonts w:ascii="標楷體" w:eastAsia="標楷體" w:hAnsi="標楷體" w:hint="eastAsia"/>
          <w:sz w:val="28"/>
          <w:szCs w:val="28"/>
        </w:rPr>
        <w:t>陳召集委員歐珀</w:t>
      </w:r>
    </w:p>
    <w:p w14:paraId="3D4CD34F" w14:textId="77777777" w:rsidR="00421BB5" w:rsidRPr="00055838" w:rsidRDefault="00421BB5" w:rsidP="00421BB5">
      <w:pPr>
        <w:snapToGrid w:val="0"/>
        <w:spacing w:line="340" w:lineRule="exact"/>
        <w:jc w:val="both"/>
        <w:rPr>
          <w:rFonts w:ascii="標楷體" w:eastAsia="標楷體" w:hAnsi="標楷體"/>
          <w:sz w:val="28"/>
          <w:szCs w:val="28"/>
        </w:rPr>
      </w:pPr>
      <w:r w:rsidRPr="00055838">
        <w:rPr>
          <w:rFonts w:ascii="標楷體" w:eastAsia="標楷體" w:hAnsi="標楷體" w:hint="eastAsia"/>
          <w:sz w:val="28"/>
          <w:szCs w:val="28"/>
        </w:rPr>
        <w:t>專門委員：梁雯璍</w:t>
      </w:r>
    </w:p>
    <w:p w14:paraId="475349D4" w14:textId="77777777" w:rsidR="00421BB5" w:rsidRPr="00055838" w:rsidRDefault="00421BB5" w:rsidP="00421BB5">
      <w:pPr>
        <w:snapToGrid w:val="0"/>
        <w:spacing w:line="340" w:lineRule="exact"/>
        <w:jc w:val="both"/>
        <w:rPr>
          <w:rFonts w:ascii="標楷體" w:eastAsia="標楷體" w:hAnsi="標楷體"/>
          <w:sz w:val="28"/>
          <w:szCs w:val="28"/>
        </w:rPr>
      </w:pPr>
      <w:r w:rsidRPr="00055838">
        <w:rPr>
          <w:rFonts w:ascii="標楷體" w:eastAsia="標楷體" w:hAnsi="標楷體" w:hint="eastAsia"/>
          <w:sz w:val="28"/>
          <w:szCs w:val="28"/>
        </w:rPr>
        <w:t>主任秘書：張智為</w:t>
      </w:r>
    </w:p>
    <w:p w14:paraId="61442979" w14:textId="77777777" w:rsidR="00421BB5" w:rsidRPr="00055838" w:rsidRDefault="00421BB5" w:rsidP="00421BB5">
      <w:pPr>
        <w:adjustRightInd w:val="0"/>
        <w:snapToGrid w:val="0"/>
        <w:spacing w:line="340" w:lineRule="exact"/>
        <w:rPr>
          <w:rFonts w:ascii="標楷體" w:eastAsia="標楷體" w:hAnsi="標楷體"/>
          <w:sz w:val="28"/>
          <w:szCs w:val="28"/>
        </w:rPr>
      </w:pPr>
      <w:r w:rsidRPr="00055838">
        <w:rPr>
          <w:rFonts w:ascii="標楷體" w:eastAsia="標楷體" w:hAnsi="標楷體" w:hint="eastAsia"/>
          <w:sz w:val="28"/>
          <w:szCs w:val="28"/>
        </w:rPr>
        <w:t>紀    錄：簡任秘書　陳杏枝</w:t>
      </w:r>
    </w:p>
    <w:p w14:paraId="0EF7F089"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簡任編審　薛復寧</w:t>
      </w:r>
    </w:p>
    <w:p w14:paraId="58D3689F" w14:textId="77777777" w:rsidR="00421BB5" w:rsidRPr="00055838" w:rsidRDefault="00421BB5" w:rsidP="00421BB5">
      <w:pPr>
        <w:pStyle w:val="-9"/>
        <w:spacing w:line="340" w:lineRule="exact"/>
        <w:ind w:leftChars="577" w:left="1427" w:hangingChars="15" w:hanging="42"/>
        <w:jc w:val="left"/>
        <w:rPr>
          <w:rFonts w:ascii="標楷體" w:hAnsi="標楷體"/>
          <w:sz w:val="28"/>
          <w:szCs w:val="28"/>
        </w:rPr>
      </w:pPr>
      <w:r w:rsidRPr="00055838">
        <w:rPr>
          <w:rFonts w:ascii="標楷體" w:hAnsi="標楷體" w:hint="eastAsia"/>
          <w:sz w:val="28"/>
          <w:szCs w:val="28"/>
        </w:rPr>
        <w:t>科　　長　鮑夏明</w:t>
      </w:r>
    </w:p>
    <w:p w14:paraId="41618616" w14:textId="77777777" w:rsidR="00421BB5" w:rsidRPr="00055838" w:rsidRDefault="00421BB5" w:rsidP="00421BB5">
      <w:pPr>
        <w:pStyle w:val="afffff2"/>
        <w:spacing w:beforeLines="50" w:before="180" w:line="340" w:lineRule="exact"/>
        <w:ind w:leftChars="0" w:left="0" w:rightChars="0" w:right="0" w:firstLineChars="398" w:firstLine="1115"/>
        <w:jc w:val="both"/>
        <w:rPr>
          <w:rFonts w:ascii="標楷體" w:hAnsi="標楷體"/>
          <w:b/>
          <w:sz w:val="28"/>
          <w:szCs w:val="28"/>
        </w:rPr>
      </w:pPr>
      <w:r w:rsidRPr="00055838">
        <w:rPr>
          <w:rFonts w:ascii="標楷體" w:hAnsi="標楷體"/>
          <w:b/>
          <w:sz w:val="28"/>
          <w:szCs w:val="28"/>
        </w:rPr>
        <w:t>報告事項</w:t>
      </w:r>
    </w:p>
    <w:p w14:paraId="5561CA2A" w14:textId="77777777" w:rsidR="00421BB5" w:rsidRPr="00055838" w:rsidRDefault="00421BB5" w:rsidP="00421BB5">
      <w:pPr>
        <w:adjustRightInd w:val="0"/>
        <w:snapToGrid w:val="0"/>
        <w:spacing w:line="340" w:lineRule="exact"/>
        <w:jc w:val="both"/>
        <w:rPr>
          <w:rFonts w:ascii="標楷體" w:eastAsia="標楷體" w:hAnsi="標楷體"/>
          <w:sz w:val="28"/>
          <w:szCs w:val="28"/>
        </w:rPr>
      </w:pPr>
      <w:r w:rsidRPr="00055838">
        <w:rPr>
          <w:rFonts w:ascii="標楷體" w:eastAsia="標楷體" w:hAnsi="標楷體"/>
          <w:sz w:val="28"/>
          <w:szCs w:val="28"/>
        </w:rPr>
        <w:t>宣讀上次會議議事錄。</w:t>
      </w:r>
    </w:p>
    <w:p w14:paraId="239594BC" w14:textId="77777777" w:rsidR="00421BB5" w:rsidRPr="00055838" w:rsidRDefault="00421BB5" w:rsidP="00421BB5">
      <w:pPr>
        <w:pStyle w:val="afffff2"/>
        <w:spacing w:line="340" w:lineRule="exact"/>
        <w:ind w:leftChars="0" w:left="840" w:rightChars="0" w:right="0" w:hanging="840"/>
        <w:jc w:val="both"/>
        <w:rPr>
          <w:rFonts w:ascii="標楷體" w:hAnsi="標楷體"/>
          <w:sz w:val="28"/>
          <w:szCs w:val="28"/>
        </w:rPr>
      </w:pPr>
      <w:r w:rsidRPr="00055838">
        <w:rPr>
          <w:rFonts w:ascii="標楷體" w:hAnsi="標楷體"/>
          <w:sz w:val="28"/>
          <w:szCs w:val="28"/>
        </w:rPr>
        <w:t>決定：確定。</w:t>
      </w:r>
    </w:p>
    <w:p w14:paraId="3C77C438" w14:textId="77777777" w:rsidR="00421BB5" w:rsidRPr="00055838" w:rsidRDefault="00421BB5" w:rsidP="00421BB5">
      <w:pPr>
        <w:pStyle w:val="afffff2"/>
        <w:spacing w:beforeLines="50" w:before="180" w:line="340" w:lineRule="exact"/>
        <w:ind w:leftChars="0" w:left="0" w:rightChars="0" w:right="0" w:firstLineChars="398" w:firstLine="1115"/>
        <w:jc w:val="both"/>
        <w:rPr>
          <w:rFonts w:ascii="標楷體" w:hAnsi="標楷體"/>
          <w:b/>
          <w:sz w:val="28"/>
          <w:szCs w:val="28"/>
        </w:rPr>
      </w:pPr>
      <w:r w:rsidRPr="00055838">
        <w:rPr>
          <w:rFonts w:ascii="標楷體" w:hAnsi="標楷體"/>
          <w:b/>
          <w:sz w:val="28"/>
          <w:szCs w:val="28"/>
        </w:rPr>
        <w:t>討論事項</w:t>
      </w:r>
    </w:p>
    <w:p w14:paraId="59AF5C9A" w14:textId="77777777" w:rsidR="00421BB5" w:rsidRPr="00055838" w:rsidRDefault="00421BB5" w:rsidP="00421BB5">
      <w:pPr>
        <w:adjustRightInd w:val="0"/>
        <w:snapToGrid w:val="0"/>
        <w:spacing w:line="340" w:lineRule="exact"/>
        <w:jc w:val="both"/>
        <w:rPr>
          <w:rFonts w:ascii="標楷體" w:eastAsia="標楷體" w:hAnsi="標楷體"/>
          <w:sz w:val="28"/>
          <w:szCs w:val="28"/>
        </w:rPr>
      </w:pPr>
      <w:r w:rsidRPr="00055838">
        <w:rPr>
          <w:rFonts w:ascii="標楷體" w:eastAsia="標楷體" w:hAnsi="標楷體" w:hint="eastAsia"/>
          <w:sz w:val="28"/>
          <w:szCs w:val="28"/>
        </w:rPr>
        <w:t>繼續審查司法院、行政院函請審議「智慧財產案件審理法修正草案」案。</w:t>
      </w:r>
    </w:p>
    <w:p w14:paraId="37806BFE" w14:textId="77777777" w:rsidR="00421BB5" w:rsidRPr="00055838" w:rsidRDefault="00421BB5" w:rsidP="00421BB5">
      <w:pPr>
        <w:spacing w:line="340" w:lineRule="exact"/>
        <w:ind w:left="493" w:hangingChars="176" w:hanging="493"/>
        <w:contextualSpacing/>
        <w:jc w:val="both"/>
        <w:rPr>
          <w:rFonts w:ascii="標楷體" w:eastAsia="標楷體" w:hAnsi="標楷體"/>
          <w:bCs/>
          <w:sz w:val="28"/>
          <w:szCs w:val="28"/>
        </w:rPr>
      </w:pPr>
      <w:r w:rsidRPr="00055838">
        <w:rPr>
          <w:rFonts w:ascii="標楷體" w:eastAsia="標楷體" w:hAnsi="標楷體"/>
          <w:bCs/>
          <w:sz w:val="28"/>
          <w:szCs w:val="28"/>
        </w:rPr>
        <w:t>決</w:t>
      </w:r>
      <w:r w:rsidRPr="00055838">
        <w:rPr>
          <w:rFonts w:ascii="標楷體" w:eastAsia="標楷體" w:hAnsi="標楷體" w:hint="eastAsia"/>
          <w:bCs/>
          <w:sz w:val="28"/>
          <w:szCs w:val="28"/>
        </w:rPr>
        <w:t>議</w:t>
      </w:r>
      <w:r w:rsidRPr="00055838">
        <w:rPr>
          <w:rFonts w:ascii="標楷體" w:eastAsia="標楷體" w:hAnsi="標楷體"/>
          <w:bCs/>
          <w:sz w:val="28"/>
          <w:szCs w:val="28"/>
        </w:rPr>
        <w:t>：</w:t>
      </w:r>
    </w:p>
    <w:p w14:paraId="54BBC644" w14:textId="77777777" w:rsidR="00421BB5" w:rsidRPr="00055838" w:rsidRDefault="00421BB5" w:rsidP="007015C7">
      <w:pPr>
        <w:numPr>
          <w:ilvl w:val="0"/>
          <w:numId w:val="27"/>
        </w:numPr>
        <w:spacing w:line="340" w:lineRule="exact"/>
        <w:contextualSpacing/>
        <w:jc w:val="both"/>
        <w:rPr>
          <w:rFonts w:ascii="標楷體" w:eastAsia="標楷體" w:hAnsi="標楷體"/>
          <w:sz w:val="28"/>
          <w:szCs w:val="28"/>
        </w:rPr>
      </w:pPr>
      <w:r w:rsidRPr="00055838">
        <w:rPr>
          <w:rFonts w:ascii="標楷體" w:eastAsia="標楷體" w:hAnsi="標楷體" w:hint="eastAsia"/>
          <w:sz w:val="28"/>
          <w:szCs w:val="28"/>
        </w:rPr>
        <w:t>逕行逐條審查。</w:t>
      </w:r>
    </w:p>
    <w:p w14:paraId="42B1F41F" w14:textId="77777777" w:rsidR="00421BB5" w:rsidRPr="00055838" w:rsidRDefault="00421BB5" w:rsidP="007015C7">
      <w:pPr>
        <w:numPr>
          <w:ilvl w:val="0"/>
          <w:numId w:val="27"/>
        </w:numPr>
        <w:adjustRightInd w:val="0"/>
        <w:snapToGrid w:val="0"/>
        <w:spacing w:line="360" w:lineRule="exact"/>
        <w:ind w:left="567" w:hanging="567"/>
        <w:contextualSpacing/>
        <w:jc w:val="both"/>
        <w:rPr>
          <w:rFonts w:ascii="標楷體" w:eastAsia="標楷體" w:hAnsi="標楷體"/>
          <w:bCs/>
          <w:sz w:val="28"/>
          <w:szCs w:val="28"/>
        </w:rPr>
      </w:pPr>
      <w:r w:rsidRPr="00055838">
        <w:rPr>
          <w:rFonts w:ascii="標楷體" w:eastAsia="標楷體" w:hAnsi="標楷體" w:hint="eastAsia"/>
          <w:sz w:val="28"/>
          <w:szCs w:val="28"/>
        </w:rPr>
        <w:t>第一章章名、第一條、第四條至第七條、第二章章名、第八條、第十條至第十六條、第十八條、第十九條，第二十一條至第二十八條，均照案通過。</w:t>
      </w:r>
    </w:p>
    <w:p w14:paraId="3FEF25CC" w14:textId="77777777" w:rsidR="00421BB5" w:rsidRPr="00055838" w:rsidRDefault="00421BB5" w:rsidP="007015C7">
      <w:pPr>
        <w:numPr>
          <w:ilvl w:val="0"/>
          <w:numId w:val="27"/>
        </w:numPr>
        <w:kinsoku w:val="0"/>
        <w:spacing w:line="360" w:lineRule="exact"/>
        <w:contextualSpacing/>
        <w:jc w:val="both"/>
        <w:rPr>
          <w:rFonts w:ascii="標楷體" w:eastAsia="標楷體" w:hAnsi="標楷體"/>
          <w:sz w:val="28"/>
          <w:szCs w:val="28"/>
        </w:rPr>
      </w:pPr>
      <w:bookmarkStart w:id="530" w:name="_Hlk122897551"/>
      <w:r w:rsidRPr="00055838">
        <w:rPr>
          <w:rFonts w:ascii="標楷體" w:eastAsia="標楷體" w:hAnsi="標楷體" w:hint="eastAsia"/>
          <w:bCs/>
          <w:sz w:val="28"/>
          <w:szCs w:val="28"/>
        </w:rPr>
        <w:t>第二條，修</w:t>
      </w:r>
      <w:r w:rsidRPr="00055838">
        <w:rPr>
          <w:rFonts w:ascii="標楷體" w:eastAsia="標楷體" w:hAnsi="標楷體" w:hint="eastAsia"/>
          <w:sz w:val="28"/>
          <w:szCs w:val="28"/>
        </w:rPr>
        <w:t>正如下：</w:t>
      </w:r>
    </w:p>
    <w:p w14:paraId="5489E976" w14:textId="77777777" w:rsidR="00421BB5" w:rsidRPr="00055838" w:rsidRDefault="00421BB5" w:rsidP="00421BB5">
      <w:pPr>
        <w:pStyle w:val="3-"/>
        <w:ind w:leftChars="239" w:left="854" w:hangingChars="100" w:hanging="280"/>
      </w:pPr>
      <w:r w:rsidRPr="00055838">
        <w:rPr>
          <w:rFonts w:hint="eastAsia"/>
        </w:rPr>
        <w:t>第二條  智慧財產案件之審理</w:t>
      </w:r>
      <w:r w:rsidRPr="00055838">
        <w:rPr>
          <w:rFonts w:hint="eastAsia"/>
          <w:u w:val="single"/>
        </w:rPr>
        <w:t>，</w:t>
      </w:r>
      <w:r w:rsidRPr="00055838">
        <w:rPr>
          <w:rFonts w:hint="eastAsia"/>
        </w:rPr>
        <w:t>依本法之規定；本法未規定者，分別依民事</w:t>
      </w:r>
      <w:r w:rsidRPr="00055838">
        <w:rPr>
          <w:rFonts w:hint="eastAsia"/>
          <w:u w:val="single"/>
        </w:rPr>
        <w:t>訴訟</w:t>
      </w:r>
      <w:r w:rsidRPr="00055838">
        <w:rPr>
          <w:rFonts w:hint="eastAsia"/>
        </w:rPr>
        <w:t>、刑事</w:t>
      </w:r>
      <w:r w:rsidRPr="00055838">
        <w:rPr>
          <w:rFonts w:hint="eastAsia"/>
          <w:u w:val="single"/>
        </w:rPr>
        <w:t>訴訟</w:t>
      </w:r>
      <w:r w:rsidRPr="00055838">
        <w:rPr>
          <w:rFonts w:hint="eastAsia"/>
        </w:rPr>
        <w:t>或行政訴訟程序應適用之法律。</w:t>
      </w:r>
    </w:p>
    <w:bookmarkEnd w:id="530"/>
    <w:p w14:paraId="49CE325A" w14:textId="77777777" w:rsidR="00421BB5" w:rsidRPr="00055838" w:rsidRDefault="00421BB5" w:rsidP="00421BB5">
      <w:pPr>
        <w:kinsoku w:val="0"/>
        <w:spacing w:line="360" w:lineRule="exact"/>
        <w:contextualSpacing/>
        <w:jc w:val="both"/>
        <w:rPr>
          <w:rFonts w:ascii="標楷體" w:eastAsia="標楷體" w:hAnsi="標楷體"/>
          <w:sz w:val="28"/>
          <w:szCs w:val="28"/>
        </w:rPr>
      </w:pPr>
      <w:r w:rsidRPr="00055838">
        <w:rPr>
          <w:rFonts w:ascii="標楷體" w:eastAsia="標楷體" w:hAnsi="標楷體" w:hint="eastAsia"/>
          <w:bCs/>
          <w:sz w:val="28"/>
          <w:szCs w:val="28"/>
        </w:rPr>
        <w:t>四、第三條，修</w:t>
      </w:r>
      <w:r w:rsidRPr="00055838">
        <w:rPr>
          <w:rFonts w:ascii="標楷體" w:eastAsia="標楷體" w:hAnsi="標楷體" w:hint="eastAsia"/>
          <w:sz w:val="28"/>
          <w:szCs w:val="28"/>
        </w:rPr>
        <w:t>正如下：</w:t>
      </w:r>
    </w:p>
    <w:p w14:paraId="066E8269" w14:textId="77777777" w:rsidR="00421BB5" w:rsidRPr="00055838" w:rsidRDefault="00421BB5" w:rsidP="00421BB5">
      <w:pPr>
        <w:pStyle w:val="3-"/>
        <w:ind w:leftChars="239" w:left="854" w:hangingChars="100" w:hanging="280"/>
      </w:pPr>
      <w:r w:rsidRPr="00055838">
        <w:rPr>
          <w:rFonts w:hint="eastAsia"/>
        </w:rPr>
        <w:t>第三條  本法所稱智慧財產法院，指智慧財產及商業法院；所稱智慧財產法庭、商業法庭，指智慧財產法院之智慧財產法庭、商業法庭。</w:t>
      </w:r>
    </w:p>
    <w:p w14:paraId="588DB635" w14:textId="77777777" w:rsidR="00421BB5" w:rsidRPr="00055838" w:rsidRDefault="00421BB5" w:rsidP="00421BB5">
      <w:pPr>
        <w:pStyle w:val="3-"/>
        <w:ind w:leftChars="339" w:left="814"/>
      </w:pPr>
      <w:r w:rsidRPr="00055838">
        <w:rPr>
          <w:rFonts w:hint="eastAsia"/>
        </w:rPr>
        <w:lastRenderedPageBreak/>
        <w:t xml:space="preserve">　　本法所稱智慧財產案件，指下列各款案件：</w:t>
      </w:r>
    </w:p>
    <w:p w14:paraId="4F93F4B5" w14:textId="77777777" w:rsidR="00421BB5" w:rsidRPr="00055838" w:rsidRDefault="00421BB5" w:rsidP="00421BB5">
      <w:pPr>
        <w:pStyle w:val="3-"/>
        <w:ind w:leftChars="355" w:left="852"/>
      </w:pPr>
      <w:r w:rsidRPr="00055838">
        <w:rPr>
          <w:rFonts w:hint="eastAsia"/>
        </w:rPr>
        <w:t>一、智慧財產民事事件。</w:t>
      </w:r>
    </w:p>
    <w:p w14:paraId="7A1F9B58" w14:textId="77777777" w:rsidR="00421BB5" w:rsidRPr="00055838" w:rsidRDefault="00421BB5" w:rsidP="00421BB5">
      <w:pPr>
        <w:pStyle w:val="3-"/>
        <w:ind w:leftChars="355" w:left="852"/>
      </w:pPr>
      <w:r w:rsidRPr="00055838">
        <w:rPr>
          <w:rFonts w:hint="eastAsia"/>
        </w:rPr>
        <w:t>二、智慧財產刑事案件。</w:t>
      </w:r>
    </w:p>
    <w:p w14:paraId="299765C6" w14:textId="77777777" w:rsidR="00421BB5" w:rsidRPr="00055838" w:rsidRDefault="00421BB5" w:rsidP="00421BB5">
      <w:pPr>
        <w:pStyle w:val="3-"/>
        <w:ind w:leftChars="355" w:left="852"/>
      </w:pPr>
      <w:r w:rsidRPr="00055838">
        <w:rPr>
          <w:rFonts w:hint="eastAsia"/>
        </w:rPr>
        <w:t>三、智慧財產行政事件。</w:t>
      </w:r>
    </w:p>
    <w:p w14:paraId="30281880" w14:textId="77777777" w:rsidR="00421BB5" w:rsidRPr="00055838" w:rsidRDefault="00421BB5" w:rsidP="00421BB5">
      <w:pPr>
        <w:pStyle w:val="3-"/>
        <w:ind w:leftChars="355" w:left="852"/>
      </w:pPr>
      <w:r w:rsidRPr="00055838">
        <w:rPr>
          <w:rFonts w:hint="eastAsia"/>
        </w:rPr>
        <w:t>四、其他依法律規定或司法院指定由智慧財產法院管轄之案件。</w:t>
      </w:r>
    </w:p>
    <w:p w14:paraId="0D40A97D"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bCs/>
          <w:sz w:val="28"/>
          <w:szCs w:val="28"/>
        </w:rPr>
        <w:t>五、第九條，除將第一項中「</w:t>
      </w:r>
      <w:r w:rsidRPr="00055838">
        <w:rPr>
          <w:rFonts w:ascii="標楷體" w:eastAsia="標楷體" w:hAnsi="標楷體" w:hint="eastAsia"/>
          <w:sz w:val="28"/>
          <w:szCs w:val="28"/>
        </w:rPr>
        <w:t>第五款」</w:t>
      </w:r>
      <w:r w:rsidRPr="00055838">
        <w:rPr>
          <w:rFonts w:ascii="標楷體" w:eastAsia="標楷體" w:hAnsi="標楷體" w:hint="eastAsia"/>
          <w:bCs/>
          <w:sz w:val="28"/>
          <w:szCs w:val="28"/>
        </w:rPr>
        <w:t>修</w:t>
      </w:r>
      <w:r w:rsidRPr="00055838">
        <w:rPr>
          <w:rFonts w:ascii="標楷體" w:eastAsia="標楷體" w:hAnsi="標楷體" w:hint="eastAsia"/>
          <w:sz w:val="28"/>
          <w:szCs w:val="28"/>
        </w:rPr>
        <w:t>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第</w:t>
      </w:r>
      <w:r w:rsidRPr="00055838">
        <w:rPr>
          <w:rFonts w:ascii="標楷體" w:eastAsia="標楷體" w:hAnsi="標楷體" w:hint="eastAsia"/>
          <w:b/>
          <w:sz w:val="28"/>
          <w:szCs w:val="28"/>
          <w:u w:val="single"/>
        </w:rPr>
        <w:t>四</w:t>
      </w:r>
      <w:r w:rsidRPr="00055838">
        <w:rPr>
          <w:rFonts w:ascii="標楷體" w:eastAsia="標楷體" w:hAnsi="標楷體" w:hint="eastAsia"/>
          <w:sz w:val="28"/>
          <w:szCs w:val="28"/>
        </w:rPr>
        <w:t>款」外，餘照案通過。</w:t>
      </w:r>
    </w:p>
    <w:p w14:paraId="04B2E2BA"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bCs/>
          <w:sz w:val="28"/>
          <w:szCs w:val="28"/>
        </w:rPr>
        <w:t>六</w:t>
      </w:r>
      <w:r w:rsidRPr="00055838">
        <w:rPr>
          <w:rFonts w:ascii="標楷體" w:eastAsia="標楷體" w:hAnsi="標楷體"/>
          <w:sz w:val="28"/>
          <w:szCs w:val="28"/>
        </w:rPr>
        <w:t>、第十七條，除將第一項</w:t>
      </w:r>
      <w:r w:rsidRPr="00055838">
        <w:rPr>
          <w:rFonts w:ascii="標楷體" w:eastAsia="標楷體" w:hAnsi="標楷體" w:hint="eastAsia"/>
          <w:sz w:val="28"/>
          <w:szCs w:val="28"/>
        </w:rPr>
        <w:t>中</w:t>
      </w:r>
      <w:r w:rsidRPr="00055838">
        <w:rPr>
          <w:rFonts w:ascii="標楷體" w:eastAsia="標楷體" w:hAnsi="標楷體" w:hint="eastAsia"/>
          <w:bCs/>
          <w:sz w:val="28"/>
          <w:szCs w:val="28"/>
        </w:rPr>
        <w:t>「……</w:t>
      </w:r>
      <w:r w:rsidRPr="00055838">
        <w:rPr>
          <w:rFonts w:ascii="標楷體" w:eastAsia="標楷體" w:hAnsi="標楷體" w:hint="eastAsia"/>
          <w:bCs/>
          <w:sz w:val="28"/>
          <w:szCs w:val="28"/>
          <w:u w:val="single"/>
        </w:rPr>
        <w:t>之</w:t>
      </w:r>
      <w:r w:rsidRPr="00055838">
        <w:rPr>
          <w:rFonts w:ascii="標楷體" w:eastAsia="標楷體" w:hAnsi="標楷體" w:hint="eastAsia"/>
          <w:sz w:val="28"/>
          <w:szCs w:val="28"/>
        </w:rPr>
        <w:t>規定，</w:t>
      </w:r>
      <w:r w:rsidRPr="00055838">
        <w:rPr>
          <w:rFonts w:ascii="標楷體" w:eastAsia="標楷體" w:hAnsi="標楷體" w:hint="eastAsia"/>
          <w:bCs/>
          <w:sz w:val="28"/>
          <w:szCs w:val="28"/>
        </w:rPr>
        <w:t>……</w:t>
      </w:r>
      <w:r w:rsidRPr="00055838">
        <w:rPr>
          <w:rFonts w:ascii="標楷體" w:eastAsia="標楷體" w:hAnsi="標楷體" w:hint="eastAsia"/>
          <w:sz w:val="28"/>
          <w:szCs w:val="28"/>
        </w:rPr>
        <w:t>」</w:t>
      </w:r>
      <w:r w:rsidRPr="00055838">
        <w:rPr>
          <w:rFonts w:ascii="標楷體" w:eastAsia="標楷體" w:hAnsi="標楷體"/>
          <w:sz w:val="28"/>
          <w:szCs w:val="28"/>
        </w:rPr>
        <w:t>修正為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規定，</w:t>
      </w:r>
      <w:r w:rsidRPr="00055838">
        <w:rPr>
          <w:rFonts w:ascii="標楷體" w:eastAsia="標楷體" w:hAnsi="標楷體" w:hint="eastAsia"/>
          <w:bCs/>
          <w:sz w:val="28"/>
          <w:szCs w:val="28"/>
        </w:rPr>
        <w:t>……</w:t>
      </w:r>
      <w:r w:rsidRPr="00055838">
        <w:rPr>
          <w:rFonts w:ascii="標楷體" w:eastAsia="標楷體" w:hAnsi="標楷體" w:hint="eastAsia"/>
          <w:sz w:val="28"/>
          <w:szCs w:val="28"/>
        </w:rPr>
        <w:t>」外，餘照案通過。</w:t>
      </w:r>
    </w:p>
    <w:p w14:paraId="5DB0A387"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sz w:val="28"/>
          <w:szCs w:val="28"/>
        </w:rPr>
        <w:t>七、</w:t>
      </w:r>
      <w:r w:rsidRPr="00055838">
        <w:rPr>
          <w:rFonts w:ascii="標楷體" w:eastAsia="標楷體" w:hAnsi="標楷體" w:hint="eastAsia"/>
          <w:sz w:val="28"/>
          <w:szCs w:val="28"/>
        </w:rPr>
        <w:t>第二十條，</w:t>
      </w:r>
      <w:r w:rsidRPr="00055838">
        <w:rPr>
          <w:rFonts w:ascii="標楷體" w:eastAsia="標楷體" w:hAnsi="標楷體"/>
          <w:sz w:val="28"/>
          <w:szCs w:val="28"/>
        </w:rPr>
        <w:t>除將第</w:t>
      </w:r>
      <w:r w:rsidRPr="00055838">
        <w:rPr>
          <w:rFonts w:ascii="標楷體" w:eastAsia="標楷體" w:hAnsi="標楷體" w:hint="eastAsia"/>
          <w:sz w:val="28"/>
          <w:szCs w:val="28"/>
        </w:rPr>
        <w:t>三</w:t>
      </w:r>
      <w:r w:rsidRPr="00055838">
        <w:rPr>
          <w:rFonts w:ascii="標楷體" w:eastAsia="標楷體" w:hAnsi="標楷體"/>
          <w:sz w:val="28"/>
          <w:szCs w:val="28"/>
        </w:rPr>
        <w:t>項</w:t>
      </w:r>
      <w:r w:rsidRPr="00055838">
        <w:rPr>
          <w:rFonts w:ascii="標楷體" w:eastAsia="標楷體" w:hAnsi="標楷體" w:hint="eastAsia"/>
          <w:sz w:val="28"/>
          <w:szCs w:val="28"/>
        </w:rPr>
        <w:t>末句</w:t>
      </w:r>
      <w:r w:rsidRPr="00055838">
        <w:rPr>
          <w:rFonts w:ascii="標楷體" w:eastAsia="標楷體" w:hAnsi="標楷體" w:hint="eastAsia"/>
          <w:bCs/>
          <w:sz w:val="28"/>
          <w:szCs w:val="28"/>
        </w:rPr>
        <w:t>「……</w:t>
      </w:r>
      <w:r w:rsidRPr="00055838">
        <w:rPr>
          <w:rFonts w:ascii="標楷體" w:eastAsia="標楷體" w:hAnsi="標楷體" w:hint="eastAsia"/>
          <w:bCs/>
          <w:sz w:val="28"/>
          <w:szCs w:val="28"/>
          <w:u w:val="single"/>
        </w:rPr>
        <w:t>之</w:t>
      </w:r>
      <w:r w:rsidRPr="00055838">
        <w:rPr>
          <w:rFonts w:ascii="標楷體" w:eastAsia="標楷體" w:hAnsi="標楷體" w:hint="eastAsia"/>
          <w:sz w:val="28"/>
          <w:szCs w:val="28"/>
        </w:rPr>
        <w:t>規定。」</w:t>
      </w:r>
      <w:r w:rsidRPr="00055838">
        <w:rPr>
          <w:rFonts w:ascii="標楷體" w:eastAsia="標楷體" w:hAnsi="標楷體"/>
          <w:sz w:val="28"/>
          <w:szCs w:val="28"/>
        </w:rPr>
        <w:t>修正為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規定。」外，餘照案通過。</w:t>
      </w:r>
    </w:p>
    <w:p w14:paraId="5C7E6774"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sz w:val="28"/>
          <w:szCs w:val="28"/>
        </w:rPr>
        <w:t>八、第二十九條、第三章章名、</w:t>
      </w:r>
      <w:r w:rsidRPr="00055838">
        <w:rPr>
          <w:rFonts w:ascii="標楷體" w:eastAsia="標楷體" w:hAnsi="標楷體" w:hint="eastAsia"/>
          <w:bCs/>
          <w:sz w:val="28"/>
          <w:szCs w:val="28"/>
        </w:rPr>
        <w:t>第五十五條、第五十七條及第五十八條，均</w:t>
      </w:r>
      <w:r w:rsidRPr="00055838">
        <w:rPr>
          <w:rFonts w:ascii="標楷體" w:eastAsia="標楷體" w:hAnsi="標楷體" w:hint="eastAsia"/>
          <w:sz w:val="28"/>
          <w:szCs w:val="28"/>
        </w:rPr>
        <w:t>不予增訂。</w:t>
      </w:r>
    </w:p>
    <w:p w14:paraId="7853BF2E" w14:textId="77777777" w:rsidR="00421BB5" w:rsidRPr="00055838" w:rsidRDefault="00421BB5" w:rsidP="00421BB5">
      <w:pPr>
        <w:pStyle w:val="3-"/>
        <w:ind w:leftChars="0" w:left="560" w:hangingChars="200" w:hanging="560"/>
      </w:pPr>
      <w:r w:rsidRPr="00055838">
        <w:rPr>
          <w:rFonts w:hint="eastAsia"/>
        </w:rPr>
        <w:t>九、第三十條至第三十八條、第四十二條、第四十三條、第四十六條、第四十八條、第四十九條、第五十二條至第五十四條、</w:t>
      </w:r>
      <w:r w:rsidRPr="00055838">
        <w:rPr>
          <w:rFonts w:hint="eastAsia"/>
          <w:bCs/>
        </w:rPr>
        <w:t>第四章章名、</w:t>
      </w:r>
      <w:r w:rsidRPr="00055838">
        <w:rPr>
          <w:rFonts w:hint="eastAsia"/>
        </w:rPr>
        <w:t>第六</w:t>
      </w:r>
      <w:r w:rsidRPr="00055838">
        <w:rPr>
          <w:rFonts w:hint="eastAsia"/>
          <w:bCs/>
        </w:rPr>
        <w:t>十</w:t>
      </w:r>
      <w:r w:rsidRPr="00055838">
        <w:rPr>
          <w:rFonts w:hint="eastAsia"/>
        </w:rPr>
        <w:t>條、第六</w:t>
      </w:r>
      <w:r w:rsidRPr="00055838">
        <w:rPr>
          <w:rFonts w:hint="eastAsia"/>
          <w:bCs/>
        </w:rPr>
        <w:t>十一</w:t>
      </w:r>
      <w:r w:rsidRPr="00055838">
        <w:rPr>
          <w:rFonts w:hint="eastAsia"/>
        </w:rPr>
        <w:t>條、第六</w:t>
      </w:r>
      <w:r w:rsidRPr="00055838">
        <w:rPr>
          <w:rFonts w:hint="eastAsia"/>
          <w:bCs/>
        </w:rPr>
        <w:t>十四</w:t>
      </w:r>
      <w:r w:rsidRPr="00055838">
        <w:rPr>
          <w:rFonts w:hint="eastAsia"/>
        </w:rPr>
        <w:t>條、第六</w:t>
      </w:r>
      <w:r w:rsidRPr="00055838">
        <w:rPr>
          <w:rFonts w:hint="eastAsia"/>
          <w:bCs/>
        </w:rPr>
        <w:t>十五</w:t>
      </w:r>
      <w:r w:rsidRPr="00055838">
        <w:rPr>
          <w:rFonts w:hint="eastAsia"/>
        </w:rPr>
        <w:t>條、第六</w:t>
      </w:r>
      <w:r w:rsidRPr="00055838">
        <w:rPr>
          <w:rFonts w:hint="eastAsia"/>
          <w:bCs/>
        </w:rPr>
        <w:t>十七</w:t>
      </w:r>
      <w:r w:rsidRPr="00055838">
        <w:rPr>
          <w:rFonts w:hint="eastAsia"/>
        </w:rPr>
        <w:t>條、</w:t>
      </w:r>
      <w:r w:rsidRPr="00055838">
        <w:rPr>
          <w:rFonts w:hint="eastAsia"/>
          <w:bCs/>
        </w:rPr>
        <w:t>第五章章名、第七十二</w:t>
      </w:r>
      <w:r w:rsidRPr="00055838">
        <w:rPr>
          <w:rFonts w:hint="eastAsia"/>
        </w:rPr>
        <w:t>條、</w:t>
      </w:r>
      <w:r w:rsidRPr="00055838">
        <w:rPr>
          <w:rFonts w:hint="eastAsia"/>
          <w:bCs/>
        </w:rPr>
        <w:t>第七十四</w:t>
      </w:r>
      <w:r w:rsidRPr="00055838">
        <w:rPr>
          <w:rFonts w:hint="eastAsia"/>
        </w:rPr>
        <w:t>條、</w:t>
      </w:r>
      <w:r w:rsidRPr="00055838">
        <w:rPr>
          <w:rFonts w:hint="eastAsia"/>
          <w:bCs/>
        </w:rPr>
        <w:t>第六章章名、第七十六</w:t>
      </w:r>
      <w:r w:rsidRPr="00055838">
        <w:rPr>
          <w:rFonts w:hint="eastAsia"/>
        </w:rPr>
        <w:t>條至第七十八條、</w:t>
      </w:r>
      <w:r w:rsidRPr="00055838">
        <w:rPr>
          <w:rFonts w:hint="eastAsia"/>
          <w:bCs/>
        </w:rPr>
        <w:t>第七章章名、</w:t>
      </w:r>
      <w:r w:rsidRPr="00055838">
        <w:rPr>
          <w:rFonts w:hint="eastAsia"/>
        </w:rPr>
        <w:t>第八十條、第八十一條</w:t>
      </w:r>
      <w:r w:rsidRPr="00055838">
        <w:rPr>
          <w:rFonts w:hint="eastAsia"/>
          <w:bCs/>
        </w:rPr>
        <w:t>，</w:t>
      </w:r>
      <w:r w:rsidRPr="00055838">
        <w:rPr>
          <w:rFonts w:hint="eastAsia"/>
        </w:rPr>
        <w:t>除將</w:t>
      </w:r>
      <w:r w:rsidRPr="00055838">
        <w:rPr>
          <w:rFonts w:hint="eastAsia"/>
          <w:bCs/>
        </w:rPr>
        <w:t>章次、</w:t>
      </w:r>
      <w:r w:rsidRPr="00055838">
        <w:rPr>
          <w:rFonts w:hint="eastAsia"/>
        </w:rPr>
        <w:t>條次分別修正為第二十九條至第三十七條、第四十一條、第四十二條、第四十五條、第四十七條、第四十八條、第五十一條至第五十三條、</w:t>
      </w:r>
      <w:r w:rsidRPr="00055838">
        <w:rPr>
          <w:rFonts w:hint="eastAsia"/>
          <w:bCs/>
        </w:rPr>
        <w:t>第三章、第五十五條、五十六條、第五十九條、第六十條、第六十二條、第四章、第六十七條、第六十九條、第五章、第七十二條至</w:t>
      </w:r>
      <w:r w:rsidRPr="00055838">
        <w:rPr>
          <w:rFonts w:hint="eastAsia"/>
        </w:rPr>
        <w:t>第七十四條、第六章、第七十六條、</w:t>
      </w:r>
      <w:r w:rsidRPr="00055838">
        <w:rPr>
          <w:rFonts w:hint="eastAsia"/>
          <w:bCs/>
        </w:rPr>
        <w:t>第七十七</w:t>
      </w:r>
      <w:r w:rsidRPr="00055838">
        <w:rPr>
          <w:rFonts w:hint="eastAsia"/>
        </w:rPr>
        <w:t>條外，餘均照案通過。</w:t>
      </w:r>
    </w:p>
    <w:p w14:paraId="3FDA3315"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sz w:val="28"/>
          <w:szCs w:val="28"/>
        </w:rPr>
        <w:t>十</w:t>
      </w:r>
      <w:r w:rsidRPr="00055838">
        <w:rPr>
          <w:rFonts w:ascii="標楷體" w:eastAsia="標楷體" w:hAnsi="標楷體"/>
          <w:sz w:val="28"/>
          <w:szCs w:val="28"/>
        </w:rPr>
        <w:t>、</w:t>
      </w:r>
      <w:r w:rsidRPr="00055838">
        <w:rPr>
          <w:rFonts w:ascii="標楷體" w:eastAsia="標楷體" w:hAnsi="標楷體" w:hint="eastAsia"/>
          <w:sz w:val="28"/>
          <w:szCs w:val="28"/>
        </w:rPr>
        <w:t>第三十九條，</w:t>
      </w:r>
      <w:r w:rsidRPr="00055838">
        <w:rPr>
          <w:rFonts w:ascii="標楷體" w:eastAsia="標楷體" w:hAnsi="標楷體" w:hint="eastAsia"/>
          <w:bCs/>
          <w:sz w:val="28"/>
          <w:szCs w:val="28"/>
        </w:rPr>
        <w:t>除將條次修正為第三十八條，另第二項中「</w:t>
      </w:r>
      <w:r w:rsidRPr="00055838">
        <w:rPr>
          <w:rFonts w:ascii="標楷體" w:eastAsia="標楷體" w:hAnsi="標楷體" w:hint="eastAsia"/>
          <w:sz w:val="28"/>
          <w:szCs w:val="28"/>
        </w:rPr>
        <w:t>第三十七條」</w:t>
      </w:r>
      <w:r w:rsidRPr="00055838">
        <w:rPr>
          <w:rFonts w:ascii="標楷體" w:eastAsia="標楷體" w:hAnsi="標楷體" w:hint="eastAsia"/>
          <w:bCs/>
          <w:sz w:val="28"/>
          <w:szCs w:val="28"/>
        </w:rPr>
        <w:t>修</w:t>
      </w:r>
      <w:r w:rsidRPr="00055838">
        <w:rPr>
          <w:rFonts w:ascii="標楷體" w:eastAsia="標楷體" w:hAnsi="標楷體" w:hint="eastAsia"/>
          <w:sz w:val="28"/>
          <w:szCs w:val="28"/>
        </w:rPr>
        <w:t>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第三十</w:t>
      </w:r>
      <w:r w:rsidRPr="00055838">
        <w:rPr>
          <w:rFonts w:ascii="標楷體" w:eastAsia="標楷體" w:hAnsi="標楷體" w:hint="eastAsia"/>
          <w:b/>
          <w:sz w:val="28"/>
          <w:szCs w:val="28"/>
          <w:u w:val="single"/>
        </w:rPr>
        <w:t>六</w:t>
      </w:r>
      <w:r w:rsidRPr="00055838">
        <w:rPr>
          <w:rFonts w:ascii="標楷體" w:eastAsia="標楷體" w:hAnsi="標楷體" w:hint="eastAsia"/>
          <w:sz w:val="28"/>
          <w:szCs w:val="28"/>
        </w:rPr>
        <w:t>條」外，餘照案通過。</w:t>
      </w:r>
    </w:p>
    <w:p w14:paraId="30E691B5"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sz w:val="28"/>
          <w:szCs w:val="28"/>
        </w:rPr>
        <w:t>十一、</w:t>
      </w:r>
      <w:r w:rsidRPr="00055838">
        <w:rPr>
          <w:rFonts w:ascii="標楷體" w:eastAsia="標楷體" w:hAnsi="標楷體"/>
          <w:sz w:val="28"/>
          <w:szCs w:val="28"/>
        </w:rPr>
        <w:t>第四十條，除</w:t>
      </w:r>
      <w:r w:rsidRPr="00055838">
        <w:rPr>
          <w:rFonts w:ascii="標楷體" w:eastAsia="標楷體" w:hAnsi="標楷體" w:hint="eastAsia"/>
          <w:bCs/>
          <w:sz w:val="28"/>
          <w:szCs w:val="28"/>
        </w:rPr>
        <w:t>將條次修正為第三十九條，另第二項、第三項中「</w:t>
      </w:r>
      <w:r w:rsidRPr="00055838">
        <w:rPr>
          <w:rFonts w:ascii="標楷體" w:eastAsia="標楷體" w:hAnsi="標楷體" w:hint="eastAsia"/>
          <w:sz w:val="28"/>
          <w:szCs w:val="28"/>
        </w:rPr>
        <w:t>第三十七條」均</w:t>
      </w:r>
      <w:r w:rsidRPr="00055838">
        <w:rPr>
          <w:rFonts w:ascii="標楷體" w:eastAsia="標楷體" w:hAnsi="標楷體" w:hint="eastAsia"/>
          <w:bCs/>
          <w:sz w:val="28"/>
          <w:szCs w:val="28"/>
        </w:rPr>
        <w:t>修</w:t>
      </w:r>
      <w:r w:rsidRPr="00055838">
        <w:rPr>
          <w:rFonts w:ascii="標楷體" w:eastAsia="標楷體" w:hAnsi="標楷體" w:hint="eastAsia"/>
          <w:sz w:val="28"/>
          <w:szCs w:val="28"/>
        </w:rPr>
        <w:t>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第三十</w:t>
      </w:r>
      <w:r w:rsidRPr="00055838">
        <w:rPr>
          <w:rFonts w:ascii="標楷體" w:eastAsia="標楷體" w:hAnsi="標楷體" w:hint="eastAsia"/>
          <w:b/>
          <w:sz w:val="28"/>
          <w:szCs w:val="28"/>
          <w:u w:val="single"/>
        </w:rPr>
        <w:t>六</w:t>
      </w:r>
      <w:r w:rsidRPr="00055838">
        <w:rPr>
          <w:rFonts w:ascii="標楷體" w:eastAsia="標楷體" w:hAnsi="標楷體" w:hint="eastAsia"/>
          <w:sz w:val="28"/>
          <w:szCs w:val="28"/>
        </w:rPr>
        <w:t>條」及</w:t>
      </w:r>
      <w:r w:rsidRPr="00055838">
        <w:rPr>
          <w:rFonts w:ascii="標楷體" w:eastAsia="標楷體" w:hAnsi="標楷體"/>
          <w:sz w:val="28"/>
          <w:szCs w:val="28"/>
        </w:rPr>
        <w:t>第</w:t>
      </w:r>
      <w:r w:rsidRPr="00055838">
        <w:rPr>
          <w:rFonts w:ascii="標楷體" w:eastAsia="標楷體" w:hAnsi="標楷體" w:hint="eastAsia"/>
          <w:sz w:val="28"/>
          <w:szCs w:val="28"/>
        </w:rPr>
        <w:t>五</w:t>
      </w:r>
      <w:r w:rsidRPr="00055838">
        <w:rPr>
          <w:rFonts w:ascii="標楷體" w:eastAsia="標楷體" w:hAnsi="標楷體"/>
          <w:sz w:val="28"/>
          <w:szCs w:val="28"/>
        </w:rPr>
        <w:t>項修正為</w:t>
      </w:r>
      <w:r w:rsidRPr="00055838">
        <w:rPr>
          <w:rFonts w:ascii="標楷體" w:eastAsia="標楷體" w:hAnsi="標楷體" w:hint="eastAsia"/>
          <w:bCs/>
          <w:sz w:val="28"/>
          <w:szCs w:val="28"/>
        </w:rPr>
        <w:t>「</w:t>
      </w:r>
      <w:r w:rsidRPr="00055838">
        <w:rPr>
          <w:rFonts w:ascii="標楷體" w:eastAsia="標楷體" w:hAnsi="標楷體" w:hint="eastAsia"/>
          <w:b/>
          <w:bCs/>
          <w:sz w:val="28"/>
          <w:szCs w:val="28"/>
          <w:u w:val="single"/>
        </w:rPr>
        <w:t>關於聲請或請求</w:t>
      </w:r>
      <w:r w:rsidRPr="00055838">
        <w:rPr>
          <w:rFonts w:ascii="標楷體" w:eastAsia="標楷體" w:hAnsi="標楷體" w:hint="eastAsia"/>
          <w:sz w:val="28"/>
          <w:szCs w:val="28"/>
        </w:rPr>
        <w:t>撤銷秘密保持命令之裁定，應送達於聲請人及相對人。」外，餘照案通過。</w:t>
      </w:r>
    </w:p>
    <w:p w14:paraId="1870A7DF"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sz w:val="28"/>
          <w:szCs w:val="28"/>
        </w:rPr>
        <w:t>十二、第四十一條，</w:t>
      </w:r>
      <w:r w:rsidRPr="00055838">
        <w:rPr>
          <w:rFonts w:ascii="標楷體" w:eastAsia="標楷體" w:hAnsi="標楷體"/>
          <w:sz w:val="28"/>
          <w:szCs w:val="28"/>
        </w:rPr>
        <w:t>除</w:t>
      </w:r>
      <w:r w:rsidRPr="00055838">
        <w:rPr>
          <w:rFonts w:ascii="標楷體" w:eastAsia="標楷體" w:hAnsi="標楷體" w:hint="eastAsia"/>
          <w:bCs/>
          <w:sz w:val="28"/>
          <w:szCs w:val="28"/>
        </w:rPr>
        <w:t>將條次修正為</w:t>
      </w:r>
      <w:r w:rsidRPr="00055838">
        <w:rPr>
          <w:rFonts w:ascii="標楷體" w:eastAsia="標楷體" w:hAnsi="標楷體"/>
          <w:sz w:val="28"/>
          <w:szCs w:val="28"/>
        </w:rPr>
        <w:t>第四十條</w:t>
      </w:r>
      <w:r w:rsidRPr="00055838">
        <w:rPr>
          <w:rFonts w:ascii="標楷體" w:eastAsia="標楷體" w:hAnsi="標楷體" w:hint="eastAsia"/>
          <w:bCs/>
          <w:sz w:val="28"/>
          <w:szCs w:val="28"/>
        </w:rPr>
        <w:t>，另第一項中「</w:t>
      </w:r>
      <w:r w:rsidRPr="00055838">
        <w:rPr>
          <w:rFonts w:ascii="標楷體" w:eastAsia="標楷體" w:hAnsi="標楷體" w:hint="eastAsia"/>
          <w:sz w:val="28"/>
          <w:szCs w:val="28"/>
        </w:rPr>
        <w:t>第三十七條」</w:t>
      </w:r>
      <w:r w:rsidRPr="00055838">
        <w:rPr>
          <w:rFonts w:ascii="標楷體" w:eastAsia="標楷體" w:hAnsi="標楷體" w:hint="eastAsia"/>
          <w:bCs/>
          <w:sz w:val="28"/>
          <w:szCs w:val="28"/>
        </w:rPr>
        <w:t>修</w:t>
      </w:r>
      <w:r w:rsidRPr="00055838">
        <w:rPr>
          <w:rFonts w:ascii="標楷體" w:eastAsia="標楷體" w:hAnsi="標楷體" w:hint="eastAsia"/>
          <w:sz w:val="28"/>
          <w:szCs w:val="28"/>
        </w:rPr>
        <w:t>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第三十</w:t>
      </w:r>
      <w:r w:rsidRPr="00055838">
        <w:rPr>
          <w:rFonts w:ascii="標楷體" w:eastAsia="標楷體" w:hAnsi="標楷體" w:hint="eastAsia"/>
          <w:b/>
          <w:sz w:val="28"/>
          <w:szCs w:val="28"/>
          <w:u w:val="single"/>
        </w:rPr>
        <w:t>六</w:t>
      </w:r>
      <w:r w:rsidRPr="00055838">
        <w:rPr>
          <w:rFonts w:ascii="標楷體" w:eastAsia="標楷體" w:hAnsi="標楷體" w:hint="eastAsia"/>
          <w:sz w:val="28"/>
          <w:szCs w:val="28"/>
        </w:rPr>
        <w:t>條」外，餘照案通過。</w:t>
      </w:r>
    </w:p>
    <w:p w14:paraId="34E4C4B1"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sz w:val="28"/>
          <w:szCs w:val="28"/>
        </w:rPr>
        <w:t>十三、第四十四條，</w:t>
      </w:r>
      <w:r w:rsidRPr="00055838">
        <w:rPr>
          <w:rFonts w:ascii="標楷體" w:eastAsia="標楷體" w:hAnsi="標楷體"/>
          <w:sz w:val="28"/>
          <w:szCs w:val="28"/>
        </w:rPr>
        <w:t>除</w:t>
      </w:r>
      <w:r w:rsidRPr="00055838">
        <w:rPr>
          <w:rFonts w:ascii="標楷體" w:eastAsia="標楷體" w:hAnsi="標楷體" w:hint="eastAsia"/>
          <w:bCs/>
          <w:sz w:val="28"/>
          <w:szCs w:val="28"/>
        </w:rPr>
        <w:t>將條次修正為</w:t>
      </w:r>
      <w:r w:rsidRPr="00055838">
        <w:rPr>
          <w:rFonts w:ascii="標楷體" w:eastAsia="標楷體" w:hAnsi="標楷體"/>
          <w:sz w:val="28"/>
          <w:szCs w:val="28"/>
        </w:rPr>
        <w:t>第四十</w:t>
      </w:r>
      <w:r w:rsidRPr="00055838">
        <w:rPr>
          <w:rFonts w:ascii="標楷體" w:eastAsia="標楷體" w:hAnsi="標楷體" w:hint="eastAsia"/>
          <w:sz w:val="28"/>
          <w:szCs w:val="28"/>
        </w:rPr>
        <w:t>三</w:t>
      </w:r>
      <w:r w:rsidRPr="00055838">
        <w:rPr>
          <w:rFonts w:ascii="標楷體" w:eastAsia="標楷體" w:hAnsi="標楷體"/>
          <w:sz w:val="28"/>
          <w:szCs w:val="28"/>
        </w:rPr>
        <w:t>條</w:t>
      </w:r>
      <w:r w:rsidRPr="00055838">
        <w:rPr>
          <w:rFonts w:ascii="標楷體" w:eastAsia="標楷體" w:hAnsi="標楷體" w:hint="eastAsia"/>
          <w:bCs/>
          <w:sz w:val="28"/>
          <w:szCs w:val="28"/>
        </w:rPr>
        <w:t>，另第一項中「</w:t>
      </w:r>
      <w:r w:rsidRPr="00055838">
        <w:rPr>
          <w:rFonts w:ascii="標楷體" w:eastAsia="標楷體" w:hAnsi="標楷體" w:hint="eastAsia"/>
          <w:sz w:val="28"/>
          <w:szCs w:val="28"/>
        </w:rPr>
        <w:t>第四十二條」</w:t>
      </w:r>
      <w:r w:rsidRPr="00055838">
        <w:rPr>
          <w:rFonts w:ascii="標楷體" w:eastAsia="標楷體" w:hAnsi="標楷體" w:hint="eastAsia"/>
          <w:bCs/>
          <w:sz w:val="28"/>
          <w:szCs w:val="28"/>
        </w:rPr>
        <w:t>修</w:t>
      </w:r>
      <w:r w:rsidRPr="00055838">
        <w:rPr>
          <w:rFonts w:ascii="標楷體" w:eastAsia="標楷體" w:hAnsi="標楷體" w:hint="eastAsia"/>
          <w:sz w:val="28"/>
          <w:szCs w:val="28"/>
        </w:rPr>
        <w:t>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第四十</w:t>
      </w:r>
      <w:r w:rsidRPr="00055838">
        <w:rPr>
          <w:rFonts w:ascii="標楷體" w:eastAsia="標楷體" w:hAnsi="標楷體" w:hint="eastAsia"/>
          <w:b/>
          <w:sz w:val="28"/>
          <w:szCs w:val="28"/>
          <w:u w:val="single"/>
        </w:rPr>
        <w:t>一</w:t>
      </w:r>
      <w:r w:rsidRPr="00055838">
        <w:rPr>
          <w:rFonts w:ascii="標楷體" w:eastAsia="標楷體" w:hAnsi="標楷體" w:hint="eastAsia"/>
          <w:sz w:val="28"/>
          <w:szCs w:val="28"/>
        </w:rPr>
        <w:t>條」外，餘照案通過。</w:t>
      </w:r>
    </w:p>
    <w:p w14:paraId="475A9A5C"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sz w:val="28"/>
          <w:szCs w:val="28"/>
        </w:rPr>
        <w:t>十四、第四十五條，</w:t>
      </w:r>
      <w:r w:rsidRPr="00055838">
        <w:rPr>
          <w:rFonts w:ascii="標楷體" w:eastAsia="標楷體" w:hAnsi="標楷體"/>
          <w:sz w:val="28"/>
          <w:szCs w:val="28"/>
        </w:rPr>
        <w:t>除</w:t>
      </w:r>
      <w:r w:rsidRPr="00055838">
        <w:rPr>
          <w:rFonts w:ascii="標楷體" w:eastAsia="標楷體" w:hAnsi="標楷體" w:hint="eastAsia"/>
          <w:bCs/>
          <w:sz w:val="28"/>
          <w:szCs w:val="28"/>
        </w:rPr>
        <w:t>將條次修正為</w:t>
      </w:r>
      <w:r w:rsidRPr="00055838">
        <w:rPr>
          <w:rFonts w:ascii="標楷體" w:eastAsia="標楷體" w:hAnsi="標楷體"/>
          <w:sz w:val="28"/>
          <w:szCs w:val="28"/>
        </w:rPr>
        <w:t>第四十</w:t>
      </w:r>
      <w:r w:rsidRPr="00055838">
        <w:rPr>
          <w:rFonts w:ascii="標楷體" w:eastAsia="標楷體" w:hAnsi="標楷體" w:hint="eastAsia"/>
          <w:sz w:val="28"/>
          <w:szCs w:val="28"/>
        </w:rPr>
        <w:t>四</w:t>
      </w:r>
      <w:r w:rsidRPr="00055838">
        <w:rPr>
          <w:rFonts w:ascii="標楷體" w:eastAsia="標楷體" w:hAnsi="標楷體"/>
          <w:sz w:val="28"/>
          <w:szCs w:val="28"/>
        </w:rPr>
        <w:t>條</w:t>
      </w:r>
      <w:r w:rsidRPr="00055838">
        <w:rPr>
          <w:rFonts w:ascii="標楷體" w:eastAsia="標楷體" w:hAnsi="標楷體" w:hint="eastAsia"/>
          <w:bCs/>
          <w:sz w:val="28"/>
          <w:szCs w:val="28"/>
        </w:rPr>
        <w:t>，另第一項中「</w:t>
      </w:r>
      <w:r w:rsidRPr="00055838">
        <w:rPr>
          <w:rFonts w:ascii="標楷體" w:eastAsia="標楷體" w:hAnsi="標楷體" w:hint="eastAsia"/>
          <w:sz w:val="28"/>
          <w:szCs w:val="28"/>
        </w:rPr>
        <w:t>第四十二條」</w:t>
      </w:r>
      <w:r w:rsidRPr="00055838">
        <w:rPr>
          <w:rFonts w:ascii="標楷體" w:eastAsia="標楷體" w:hAnsi="標楷體" w:hint="eastAsia"/>
          <w:bCs/>
          <w:sz w:val="28"/>
          <w:szCs w:val="28"/>
        </w:rPr>
        <w:t>修</w:t>
      </w:r>
      <w:r w:rsidRPr="00055838">
        <w:rPr>
          <w:rFonts w:ascii="標楷體" w:eastAsia="標楷體" w:hAnsi="標楷體" w:hint="eastAsia"/>
          <w:sz w:val="28"/>
          <w:szCs w:val="28"/>
        </w:rPr>
        <w:t>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第四十</w:t>
      </w:r>
      <w:r w:rsidRPr="00055838">
        <w:rPr>
          <w:rFonts w:ascii="標楷體" w:eastAsia="標楷體" w:hAnsi="標楷體" w:hint="eastAsia"/>
          <w:b/>
          <w:sz w:val="28"/>
          <w:szCs w:val="28"/>
          <w:u w:val="single"/>
        </w:rPr>
        <w:t>一</w:t>
      </w:r>
      <w:r w:rsidRPr="00055838">
        <w:rPr>
          <w:rFonts w:ascii="標楷體" w:eastAsia="標楷體" w:hAnsi="標楷體" w:hint="eastAsia"/>
          <w:sz w:val="28"/>
          <w:szCs w:val="28"/>
        </w:rPr>
        <w:t>條」外，餘照案通過。</w:t>
      </w:r>
    </w:p>
    <w:p w14:paraId="79E09003" w14:textId="77777777" w:rsidR="00421BB5" w:rsidRPr="00055838" w:rsidRDefault="00421BB5" w:rsidP="00421BB5">
      <w:pPr>
        <w:kinsoku w:val="0"/>
        <w:spacing w:line="360" w:lineRule="exact"/>
        <w:ind w:left="560" w:hangingChars="200" w:hanging="560"/>
        <w:contextualSpacing/>
        <w:jc w:val="both"/>
        <w:rPr>
          <w:rFonts w:ascii="標楷體" w:eastAsia="標楷體" w:hAnsi="標楷體"/>
          <w:sz w:val="28"/>
          <w:szCs w:val="28"/>
        </w:rPr>
      </w:pPr>
      <w:r w:rsidRPr="00055838">
        <w:rPr>
          <w:rFonts w:ascii="標楷體" w:eastAsia="標楷體" w:hAnsi="標楷體" w:hint="eastAsia"/>
          <w:sz w:val="28"/>
          <w:szCs w:val="28"/>
        </w:rPr>
        <w:t>十五</w:t>
      </w:r>
      <w:r w:rsidRPr="00055838">
        <w:rPr>
          <w:rFonts w:ascii="標楷體" w:eastAsia="標楷體" w:hAnsi="標楷體" w:hint="eastAsia"/>
          <w:bCs/>
          <w:sz w:val="28"/>
          <w:szCs w:val="28"/>
        </w:rPr>
        <w:t>、</w:t>
      </w:r>
      <w:r w:rsidRPr="00055838">
        <w:rPr>
          <w:rFonts w:ascii="標楷體" w:eastAsia="標楷體" w:hAnsi="標楷體" w:hint="eastAsia"/>
          <w:sz w:val="28"/>
          <w:szCs w:val="28"/>
        </w:rPr>
        <w:t>第四十七條，</w:t>
      </w:r>
      <w:r w:rsidRPr="00055838">
        <w:rPr>
          <w:rFonts w:ascii="標楷體" w:eastAsia="標楷體" w:hAnsi="標楷體"/>
          <w:sz w:val="28"/>
          <w:szCs w:val="28"/>
        </w:rPr>
        <w:t>除將</w:t>
      </w:r>
      <w:r w:rsidRPr="00055838">
        <w:rPr>
          <w:rFonts w:ascii="標楷體" w:eastAsia="標楷體" w:hAnsi="標楷體" w:hint="eastAsia"/>
          <w:bCs/>
          <w:sz w:val="28"/>
          <w:szCs w:val="28"/>
        </w:rPr>
        <w:t>條次修正為</w:t>
      </w:r>
      <w:r w:rsidRPr="00055838">
        <w:rPr>
          <w:rFonts w:ascii="標楷體" w:eastAsia="標楷體" w:hAnsi="標楷體"/>
          <w:sz w:val="28"/>
          <w:szCs w:val="28"/>
        </w:rPr>
        <w:t>第四十</w:t>
      </w:r>
      <w:r w:rsidRPr="00055838">
        <w:rPr>
          <w:rFonts w:ascii="標楷體" w:eastAsia="標楷體" w:hAnsi="標楷體" w:hint="eastAsia"/>
          <w:sz w:val="28"/>
          <w:szCs w:val="28"/>
        </w:rPr>
        <w:t>六</w:t>
      </w:r>
      <w:r w:rsidRPr="00055838">
        <w:rPr>
          <w:rFonts w:ascii="標楷體" w:eastAsia="標楷體" w:hAnsi="標楷體"/>
          <w:sz w:val="28"/>
          <w:szCs w:val="28"/>
        </w:rPr>
        <w:t>條</w:t>
      </w:r>
      <w:r w:rsidRPr="00055838">
        <w:rPr>
          <w:rFonts w:ascii="標楷體" w:eastAsia="標楷體" w:hAnsi="標楷體" w:hint="eastAsia"/>
          <w:sz w:val="28"/>
          <w:szCs w:val="28"/>
        </w:rPr>
        <w:t>，另</w:t>
      </w:r>
      <w:r w:rsidRPr="00055838">
        <w:rPr>
          <w:rFonts w:ascii="標楷體" w:eastAsia="標楷體" w:hAnsi="標楷體"/>
          <w:sz w:val="28"/>
          <w:szCs w:val="28"/>
        </w:rPr>
        <w:t>第</w:t>
      </w:r>
      <w:r w:rsidRPr="00055838">
        <w:rPr>
          <w:rFonts w:ascii="標楷體" w:eastAsia="標楷體" w:hAnsi="標楷體" w:hint="eastAsia"/>
          <w:sz w:val="28"/>
          <w:szCs w:val="28"/>
        </w:rPr>
        <w:t>六</w:t>
      </w:r>
      <w:r w:rsidRPr="00055838">
        <w:rPr>
          <w:rFonts w:ascii="標楷體" w:eastAsia="標楷體" w:hAnsi="標楷體"/>
          <w:sz w:val="28"/>
          <w:szCs w:val="28"/>
        </w:rPr>
        <w:t>項</w:t>
      </w:r>
      <w:r w:rsidRPr="00055838">
        <w:rPr>
          <w:rFonts w:ascii="標楷體" w:eastAsia="標楷體" w:hAnsi="標楷體" w:hint="eastAsia"/>
          <w:sz w:val="28"/>
          <w:szCs w:val="28"/>
        </w:rPr>
        <w:t>第二句修正為</w:t>
      </w:r>
      <w:r w:rsidRPr="00055838">
        <w:rPr>
          <w:rFonts w:ascii="標楷體" w:eastAsia="標楷體" w:hAnsi="標楷體" w:hint="eastAsia"/>
          <w:bCs/>
          <w:sz w:val="28"/>
          <w:szCs w:val="28"/>
        </w:rPr>
        <w:t>「準用</w:t>
      </w:r>
      <w:r w:rsidRPr="00055838">
        <w:rPr>
          <w:rFonts w:ascii="標楷體" w:eastAsia="標楷體" w:hAnsi="標楷體" w:hint="eastAsia"/>
          <w:sz w:val="28"/>
          <w:szCs w:val="28"/>
        </w:rPr>
        <w:t>第三十</w:t>
      </w:r>
      <w:r w:rsidRPr="00055838">
        <w:rPr>
          <w:rFonts w:ascii="標楷體" w:eastAsia="標楷體" w:hAnsi="標楷體" w:hint="eastAsia"/>
          <w:b/>
          <w:sz w:val="28"/>
          <w:szCs w:val="28"/>
          <w:u w:val="single"/>
        </w:rPr>
        <w:t>六</w:t>
      </w:r>
      <w:r w:rsidRPr="00055838">
        <w:rPr>
          <w:rFonts w:ascii="標楷體" w:eastAsia="標楷體" w:hAnsi="標楷體" w:hint="eastAsia"/>
          <w:sz w:val="28"/>
          <w:szCs w:val="28"/>
        </w:rPr>
        <w:t>條至第四十條規定」及第七項末句</w:t>
      </w:r>
      <w:r w:rsidRPr="00055838">
        <w:rPr>
          <w:rFonts w:ascii="標楷體" w:eastAsia="標楷體" w:hAnsi="標楷體" w:hint="eastAsia"/>
          <w:bCs/>
          <w:sz w:val="28"/>
          <w:szCs w:val="28"/>
        </w:rPr>
        <w:t>「……</w:t>
      </w:r>
      <w:r w:rsidRPr="00055838">
        <w:rPr>
          <w:rFonts w:ascii="標楷體" w:eastAsia="標楷體" w:hAnsi="標楷體" w:hint="eastAsia"/>
          <w:bCs/>
          <w:sz w:val="28"/>
          <w:szCs w:val="28"/>
          <w:u w:val="single"/>
        </w:rPr>
        <w:t>之</w:t>
      </w:r>
      <w:r w:rsidRPr="00055838">
        <w:rPr>
          <w:rFonts w:ascii="標楷體" w:eastAsia="標楷體" w:hAnsi="標楷體" w:hint="eastAsia"/>
          <w:sz w:val="28"/>
          <w:szCs w:val="28"/>
        </w:rPr>
        <w:t>規定。」</w:t>
      </w:r>
      <w:r w:rsidRPr="00055838">
        <w:rPr>
          <w:rFonts w:ascii="標楷體" w:eastAsia="標楷體" w:hAnsi="標楷體"/>
          <w:sz w:val="28"/>
          <w:szCs w:val="28"/>
        </w:rPr>
        <w:t>修正為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規定。」外，餘照案通過。</w:t>
      </w:r>
    </w:p>
    <w:p w14:paraId="3701C611" w14:textId="77777777" w:rsidR="00421BB5" w:rsidRPr="00055838" w:rsidRDefault="00421BB5" w:rsidP="00421BB5">
      <w:pPr>
        <w:kinsoku w:val="0"/>
        <w:spacing w:line="360" w:lineRule="exact"/>
        <w:contextualSpacing/>
        <w:jc w:val="both"/>
        <w:rPr>
          <w:rFonts w:ascii="標楷體" w:eastAsia="標楷體" w:hAnsi="標楷體"/>
          <w:sz w:val="28"/>
          <w:szCs w:val="28"/>
        </w:rPr>
      </w:pPr>
      <w:r w:rsidRPr="00055838">
        <w:rPr>
          <w:rFonts w:ascii="標楷體" w:eastAsia="標楷體" w:hAnsi="標楷體" w:hint="eastAsia"/>
          <w:bCs/>
          <w:sz w:val="28"/>
          <w:szCs w:val="28"/>
        </w:rPr>
        <w:lastRenderedPageBreak/>
        <w:t>十六</w:t>
      </w:r>
      <w:r w:rsidRPr="00055838">
        <w:rPr>
          <w:rFonts w:ascii="標楷體" w:eastAsia="標楷體" w:hAnsi="標楷體"/>
          <w:sz w:val="28"/>
          <w:szCs w:val="28"/>
        </w:rPr>
        <w:t>、</w:t>
      </w:r>
      <w:r w:rsidRPr="00055838">
        <w:rPr>
          <w:rFonts w:ascii="標楷體" w:eastAsia="標楷體" w:hAnsi="標楷體" w:hint="eastAsia"/>
          <w:bCs/>
          <w:sz w:val="28"/>
          <w:szCs w:val="28"/>
        </w:rPr>
        <w:t>第五十條，</w:t>
      </w:r>
      <w:r w:rsidRPr="00055838">
        <w:rPr>
          <w:rFonts w:ascii="標楷體" w:eastAsia="標楷體" w:hAnsi="標楷體"/>
          <w:sz w:val="28"/>
          <w:szCs w:val="28"/>
        </w:rPr>
        <w:t>將</w:t>
      </w:r>
      <w:r w:rsidRPr="00055838">
        <w:rPr>
          <w:rFonts w:ascii="標楷體" w:eastAsia="標楷體" w:hAnsi="標楷體" w:hint="eastAsia"/>
          <w:bCs/>
          <w:sz w:val="28"/>
          <w:szCs w:val="28"/>
        </w:rPr>
        <w:t>條次修正為</w:t>
      </w:r>
      <w:r w:rsidRPr="00055838">
        <w:rPr>
          <w:rFonts w:ascii="標楷體" w:eastAsia="標楷體" w:hAnsi="標楷體"/>
          <w:sz w:val="28"/>
          <w:szCs w:val="28"/>
        </w:rPr>
        <w:t>第四十</w:t>
      </w:r>
      <w:r w:rsidRPr="00055838">
        <w:rPr>
          <w:rFonts w:ascii="標楷體" w:eastAsia="標楷體" w:hAnsi="標楷體" w:hint="eastAsia"/>
          <w:sz w:val="28"/>
          <w:szCs w:val="28"/>
        </w:rPr>
        <w:t>九</w:t>
      </w:r>
      <w:r w:rsidRPr="00055838">
        <w:rPr>
          <w:rFonts w:ascii="標楷體" w:eastAsia="標楷體" w:hAnsi="標楷體"/>
          <w:sz w:val="28"/>
          <w:szCs w:val="28"/>
        </w:rPr>
        <w:t>條</w:t>
      </w:r>
      <w:r w:rsidRPr="00055838">
        <w:rPr>
          <w:rFonts w:ascii="標楷體" w:eastAsia="標楷體" w:hAnsi="標楷體" w:hint="eastAsia"/>
          <w:sz w:val="28"/>
          <w:szCs w:val="28"/>
        </w:rPr>
        <w:t>，</w:t>
      </w:r>
      <w:r w:rsidRPr="00055838">
        <w:rPr>
          <w:rFonts w:ascii="標楷體" w:eastAsia="標楷體" w:hAnsi="標楷體" w:hint="eastAsia"/>
          <w:bCs/>
          <w:sz w:val="28"/>
          <w:szCs w:val="28"/>
        </w:rPr>
        <w:t>修</w:t>
      </w:r>
      <w:r w:rsidRPr="00055838">
        <w:rPr>
          <w:rFonts w:ascii="標楷體" w:eastAsia="標楷體" w:hAnsi="標楷體" w:hint="eastAsia"/>
          <w:sz w:val="28"/>
          <w:szCs w:val="28"/>
        </w:rPr>
        <w:t>正如下：</w:t>
      </w:r>
    </w:p>
    <w:p w14:paraId="5A184122" w14:textId="77777777" w:rsidR="00421BB5" w:rsidRPr="00055838" w:rsidRDefault="00421BB5" w:rsidP="00421BB5">
      <w:pPr>
        <w:pStyle w:val="3-"/>
        <w:ind w:leftChars="239" w:left="854" w:hangingChars="100" w:hanging="280"/>
      </w:pPr>
      <w:r w:rsidRPr="00055838">
        <w:rPr>
          <w:rFonts w:hint="eastAsia"/>
        </w:rPr>
        <w:t>第</w:t>
      </w:r>
      <w:r w:rsidRPr="00661944">
        <w:rPr>
          <w:rFonts w:hint="eastAsia"/>
          <w:b/>
          <w:u w:val="single"/>
        </w:rPr>
        <w:t>四十九</w:t>
      </w:r>
      <w:r w:rsidRPr="00055838">
        <w:rPr>
          <w:rFonts w:hint="eastAsia"/>
        </w:rPr>
        <w:t>條  下列各款之</w:t>
      </w:r>
      <w:r w:rsidRPr="00661944">
        <w:rPr>
          <w:rFonts w:hint="eastAsia"/>
          <w:b/>
          <w:u w:val="single"/>
        </w:rPr>
        <w:t>處分</w:t>
      </w:r>
      <w:r w:rsidRPr="00055838">
        <w:rPr>
          <w:rFonts w:hint="eastAsia"/>
        </w:rPr>
        <w:t>確定時，當事人不得依民事訴訟法第四百九十六條第一項第十一款規定，對於專利權、商標權、品種權侵害事件之確定終局判決提起再審之訴：</w:t>
      </w:r>
    </w:p>
    <w:p w14:paraId="6F878FB6" w14:textId="77777777" w:rsidR="00421BB5" w:rsidRPr="00055838" w:rsidRDefault="00421BB5" w:rsidP="00421BB5">
      <w:pPr>
        <w:pStyle w:val="3-"/>
        <w:ind w:leftChars="355" w:left="1412" w:hangingChars="200" w:hanging="560"/>
      </w:pPr>
      <w:r w:rsidRPr="00055838">
        <w:rPr>
          <w:rFonts w:hint="eastAsia"/>
        </w:rPr>
        <w:t>一、專利權舉發、商標權評定或廢止、品種權撤銷或廢止成立之</w:t>
      </w:r>
      <w:r w:rsidRPr="00055838">
        <w:rPr>
          <w:rFonts w:hint="eastAsia"/>
          <w:b/>
          <w:color w:val="000000"/>
          <w:u w:val="single"/>
        </w:rPr>
        <w:t>處分</w:t>
      </w:r>
      <w:r w:rsidRPr="00055838">
        <w:rPr>
          <w:rFonts w:hint="eastAsia"/>
        </w:rPr>
        <w:t>。</w:t>
      </w:r>
    </w:p>
    <w:p w14:paraId="3EA13B91" w14:textId="77777777" w:rsidR="00421BB5" w:rsidRPr="00055838" w:rsidRDefault="00421BB5" w:rsidP="00421BB5">
      <w:pPr>
        <w:pStyle w:val="3-"/>
        <w:ind w:leftChars="355" w:left="852"/>
      </w:pPr>
      <w:r w:rsidRPr="00055838">
        <w:rPr>
          <w:rFonts w:hint="eastAsia"/>
        </w:rPr>
        <w:t>二、延長發明專利權期間舉發成立之</w:t>
      </w:r>
      <w:r w:rsidRPr="00055838">
        <w:rPr>
          <w:rFonts w:hint="eastAsia"/>
          <w:b/>
          <w:u w:val="single"/>
        </w:rPr>
        <w:t>審定</w:t>
      </w:r>
      <w:r w:rsidRPr="00055838">
        <w:rPr>
          <w:rFonts w:hint="eastAsia"/>
        </w:rPr>
        <w:t>。</w:t>
      </w:r>
    </w:p>
    <w:p w14:paraId="4A770CA8" w14:textId="77777777" w:rsidR="00421BB5" w:rsidRPr="00055838" w:rsidRDefault="00421BB5" w:rsidP="00421BB5">
      <w:pPr>
        <w:pStyle w:val="3-"/>
        <w:ind w:leftChars="355" w:left="1412" w:hangingChars="200" w:hanging="560"/>
      </w:pPr>
      <w:r w:rsidRPr="00055838">
        <w:rPr>
          <w:rFonts w:hint="eastAsia"/>
        </w:rPr>
        <w:t>三、核准更正專利說明書、申請專利範圍或圖式之</w:t>
      </w:r>
      <w:r w:rsidRPr="00055838">
        <w:rPr>
          <w:rFonts w:hint="eastAsia"/>
          <w:b/>
          <w:u w:val="single"/>
        </w:rPr>
        <w:t>審定</w:t>
      </w:r>
      <w:r w:rsidRPr="00055838">
        <w:rPr>
          <w:rFonts w:hint="eastAsia"/>
        </w:rPr>
        <w:t>。</w:t>
      </w:r>
    </w:p>
    <w:p w14:paraId="542D60D9" w14:textId="77777777" w:rsidR="00421BB5" w:rsidRPr="00055838" w:rsidRDefault="00421BB5" w:rsidP="00421BB5">
      <w:pPr>
        <w:pStyle w:val="3-"/>
        <w:ind w:leftChars="355" w:left="852" w:firstLineChars="200" w:firstLine="560"/>
      </w:pPr>
      <w:r w:rsidRPr="00055838">
        <w:rPr>
          <w:rFonts w:hint="eastAsia"/>
        </w:rPr>
        <w:t>前項情形，假扣押、假處分或定暫時狀態處分事件之相對人，不得向聲請人請求賠償因假扣押、假處分或定暫時狀態處分所受之損害。</w:t>
      </w:r>
    </w:p>
    <w:p w14:paraId="6BE93A2C" w14:textId="77777777" w:rsidR="00421BB5" w:rsidRPr="00055838" w:rsidRDefault="00421BB5" w:rsidP="00421BB5">
      <w:pPr>
        <w:kinsoku w:val="0"/>
        <w:spacing w:line="360" w:lineRule="exact"/>
        <w:ind w:left="560" w:hangingChars="200" w:hanging="560"/>
        <w:contextualSpacing/>
        <w:jc w:val="both"/>
      </w:pPr>
      <w:r w:rsidRPr="00055838">
        <w:rPr>
          <w:rFonts w:ascii="標楷體" w:eastAsia="標楷體" w:hAnsi="標楷體" w:hint="eastAsia"/>
          <w:sz w:val="28"/>
          <w:szCs w:val="28"/>
        </w:rPr>
        <w:t>十七、</w:t>
      </w:r>
      <w:r w:rsidRPr="00055838">
        <w:rPr>
          <w:rFonts w:ascii="標楷體" w:eastAsia="標楷體" w:hAnsi="標楷體"/>
          <w:sz w:val="28"/>
          <w:szCs w:val="28"/>
        </w:rPr>
        <w:t>第</w:t>
      </w:r>
      <w:r w:rsidRPr="00055838">
        <w:rPr>
          <w:rFonts w:ascii="標楷體" w:eastAsia="標楷體" w:hAnsi="標楷體" w:hint="eastAsia"/>
          <w:sz w:val="28"/>
          <w:szCs w:val="28"/>
        </w:rPr>
        <w:t>五十一</w:t>
      </w:r>
      <w:r w:rsidRPr="00055838">
        <w:rPr>
          <w:rFonts w:ascii="標楷體" w:eastAsia="標楷體" w:hAnsi="標楷體"/>
          <w:sz w:val="28"/>
          <w:szCs w:val="28"/>
        </w:rPr>
        <w:t>條，</w:t>
      </w:r>
      <w:r>
        <w:rPr>
          <w:rFonts w:ascii="標楷體" w:eastAsia="標楷體" w:hAnsi="標楷體" w:hint="eastAsia"/>
          <w:sz w:val="28"/>
          <w:szCs w:val="28"/>
        </w:rPr>
        <w:t>除</w:t>
      </w:r>
      <w:r w:rsidRPr="00055838">
        <w:rPr>
          <w:rFonts w:ascii="標楷體" w:eastAsia="標楷體" w:hAnsi="標楷體"/>
          <w:sz w:val="28"/>
          <w:szCs w:val="28"/>
        </w:rPr>
        <w:t>將</w:t>
      </w:r>
      <w:r w:rsidRPr="00055838">
        <w:rPr>
          <w:rFonts w:ascii="標楷體" w:eastAsia="標楷體" w:hAnsi="標楷體" w:hint="eastAsia"/>
          <w:bCs/>
          <w:sz w:val="28"/>
          <w:szCs w:val="28"/>
        </w:rPr>
        <w:t>條次修正為</w:t>
      </w:r>
      <w:r w:rsidRPr="00055838">
        <w:rPr>
          <w:rFonts w:ascii="標楷體" w:eastAsia="標楷體" w:hAnsi="標楷體"/>
          <w:sz w:val="28"/>
          <w:szCs w:val="28"/>
        </w:rPr>
        <w:t>第</w:t>
      </w:r>
      <w:r w:rsidRPr="00055838">
        <w:rPr>
          <w:rFonts w:ascii="標楷體" w:eastAsia="標楷體" w:hAnsi="標楷體" w:hint="eastAsia"/>
          <w:sz w:val="28"/>
          <w:szCs w:val="28"/>
        </w:rPr>
        <w:t>五</w:t>
      </w:r>
      <w:r w:rsidRPr="00055838">
        <w:rPr>
          <w:rFonts w:ascii="標楷體" w:eastAsia="標楷體" w:hAnsi="標楷體"/>
          <w:sz w:val="28"/>
          <w:szCs w:val="28"/>
        </w:rPr>
        <w:t>十條</w:t>
      </w:r>
      <w:r w:rsidRPr="00055838">
        <w:rPr>
          <w:rFonts w:ascii="標楷體" w:eastAsia="標楷體" w:hAnsi="標楷體" w:hint="eastAsia"/>
          <w:sz w:val="28"/>
          <w:szCs w:val="28"/>
        </w:rPr>
        <w:t>，另</w:t>
      </w:r>
      <w:r w:rsidRPr="00055838">
        <w:rPr>
          <w:rFonts w:ascii="標楷體" w:eastAsia="標楷體" w:hAnsi="標楷體"/>
          <w:sz w:val="28"/>
          <w:szCs w:val="28"/>
        </w:rPr>
        <w:t>第</w:t>
      </w:r>
      <w:r w:rsidRPr="00055838">
        <w:rPr>
          <w:rFonts w:ascii="標楷體" w:eastAsia="標楷體" w:hAnsi="標楷體" w:hint="eastAsia"/>
          <w:sz w:val="28"/>
          <w:szCs w:val="28"/>
        </w:rPr>
        <w:t>一</w:t>
      </w:r>
      <w:r w:rsidRPr="00055838">
        <w:rPr>
          <w:rFonts w:ascii="標楷體" w:eastAsia="標楷體" w:hAnsi="標楷體"/>
          <w:sz w:val="28"/>
          <w:szCs w:val="28"/>
        </w:rPr>
        <w:t>項</w:t>
      </w:r>
      <w:r w:rsidRPr="00055838">
        <w:rPr>
          <w:rFonts w:ascii="標楷體" w:eastAsia="標楷體" w:hAnsi="標楷體" w:hint="eastAsia"/>
          <w:sz w:val="28"/>
          <w:szCs w:val="28"/>
        </w:rPr>
        <w:t>中</w:t>
      </w:r>
      <w:r w:rsidRPr="00055838">
        <w:rPr>
          <w:rFonts w:ascii="標楷體" w:eastAsia="標楷體" w:hAnsi="標楷體" w:hint="eastAsia"/>
          <w:bCs/>
          <w:sz w:val="28"/>
          <w:szCs w:val="28"/>
        </w:rPr>
        <w:t>「……</w:t>
      </w:r>
      <w:r w:rsidRPr="00055838">
        <w:rPr>
          <w:rFonts w:ascii="標楷體" w:eastAsia="標楷體" w:hAnsi="標楷體" w:hint="eastAsia"/>
          <w:bCs/>
          <w:sz w:val="28"/>
          <w:szCs w:val="28"/>
          <w:u w:val="single"/>
        </w:rPr>
        <w:t>之</w:t>
      </w:r>
      <w:r w:rsidRPr="00055838">
        <w:rPr>
          <w:rFonts w:ascii="標楷體" w:eastAsia="標楷體" w:hAnsi="標楷體" w:hint="eastAsia"/>
          <w:sz w:val="28"/>
          <w:szCs w:val="28"/>
        </w:rPr>
        <w:t>規定。」</w:t>
      </w:r>
      <w:r w:rsidRPr="00055838">
        <w:rPr>
          <w:rFonts w:ascii="標楷體" w:eastAsia="標楷體" w:hAnsi="標楷體"/>
          <w:sz w:val="28"/>
          <w:szCs w:val="28"/>
        </w:rPr>
        <w:t>修正為</w:t>
      </w:r>
      <w:r w:rsidRPr="00055838">
        <w:rPr>
          <w:rFonts w:ascii="標楷體" w:eastAsia="標楷體" w:hAnsi="標楷體" w:hint="eastAsia"/>
          <w:bCs/>
          <w:sz w:val="28"/>
          <w:szCs w:val="28"/>
        </w:rPr>
        <w:t>「……</w:t>
      </w:r>
      <w:r w:rsidRPr="00055838">
        <w:rPr>
          <w:rFonts w:ascii="標楷體" w:eastAsia="標楷體" w:hAnsi="標楷體" w:hint="eastAsia"/>
          <w:sz w:val="28"/>
          <w:szCs w:val="28"/>
        </w:rPr>
        <w:t>規定。」外，餘照案通過。</w:t>
      </w:r>
    </w:p>
    <w:p w14:paraId="6D69A5EA" w14:textId="77777777" w:rsidR="00421BB5" w:rsidRPr="00055838" w:rsidRDefault="00421BB5" w:rsidP="00421BB5">
      <w:pPr>
        <w:pStyle w:val="3-"/>
        <w:ind w:leftChars="0" w:left="560" w:hangingChars="200" w:hanging="560"/>
        <w:rPr>
          <w:bCs/>
        </w:rPr>
      </w:pPr>
      <w:r w:rsidRPr="00055838">
        <w:rPr>
          <w:rFonts w:hint="eastAsia"/>
        </w:rPr>
        <w:t>十八</w:t>
      </w:r>
      <w:r w:rsidRPr="00055838">
        <w:rPr>
          <w:rFonts w:hint="eastAsia"/>
          <w:bCs/>
        </w:rPr>
        <w:t>、第五十六條，將條次修正為第七十條，修正如下：</w:t>
      </w:r>
    </w:p>
    <w:p w14:paraId="090EECA2" w14:textId="77777777" w:rsidR="00421BB5" w:rsidRPr="00055838" w:rsidRDefault="00421BB5" w:rsidP="00421BB5">
      <w:pPr>
        <w:pStyle w:val="3-"/>
        <w:ind w:leftChars="239" w:left="854" w:hangingChars="100" w:hanging="280"/>
      </w:pPr>
      <w:r w:rsidRPr="0006302E">
        <w:rPr>
          <w:rFonts w:hint="eastAsia"/>
        </w:rPr>
        <w:t>第</w:t>
      </w:r>
      <w:r w:rsidRPr="0006302E">
        <w:rPr>
          <w:rFonts w:hint="eastAsia"/>
          <w:b/>
          <w:u w:val="single"/>
        </w:rPr>
        <w:t>七十</w:t>
      </w:r>
      <w:r w:rsidRPr="00055838">
        <w:rPr>
          <w:rFonts w:hint="eastAsia"/>
        </w:rPr>
        <w:t>條　關於撤銷、廢止商標註冊或撤銷專利權之行政訴訟中，當事人於言詞辯論終結前，就同一撤銷或廢止理由提出之新證據，智慧財產法院仍應審酌之。</w:t>
      </w:r>
    </w:p>
    <w:p w14:paraId="1C98C89D" w14:textId="77777777" w:rsidR="00421BB5" w:rsidRPr="00055838" w:rsidRDefault="00421BB5" w:rsidP="00421BB5">
      <w:pPr>
        <w:pStyle w:val="3-"/>
        <w:ind w:leftChars="349" w:left="866" w:hangingChars="10" w:hanging="28"/>
      </w:pPr>
      <w:r w:rsidRPr="00055838">
        <w:rPr>
          <w:rFonts w:hint="eastAsia"/>
        </w:rPr>
        <w:t xml:space="preserve">　　智慧財產專責機關就前項新證據應提出答辯書狀，表明他造關於該證據之主張有無理由。</w:t>
      </w:r>
    </w:p>
    <w:p w14:paraId="2C54E6A2" w14:textId="77777777" w:rsidR="00421BB5" w:rsidRPr="00055838" w:rsidRDefault="00421BB5" w:rsidP="00421BB5">
      <w:pPr>
        <w:pStyle w:val="3-"/>
        <w:ind w:leftChars="0" w:left="560" w:hangingChars="200" w:hanging="560"/>
        <w:rPr>
          <w:bCs/>
        </w:rPr>
      </w:pPr>
      <w:r w:rsidRPr="00055838">
        <w:rPr>
          <w:rFonts w:hint="eastAsia"/>
          <w:bCs/>
        </w:rPr>
        <w:t>十九、第五十九</w:t>
      </w:r>
      <w:r w:rsidRPr="00055838">
        <w:rPr>
          <w:rFonts w:hint="eastAsia"/>
        </w:rPr>
        <w:t>條</w:t>
      </w:r>
      <w:r w:rsidRPr="00055838">
        <w:rPr>
          <w:rFonts w:hint="eastAsia"/>
          <w:bCs/>
        </w:rPr>
        <w:t>，除將條次修正為第五十四條，另第一項中「</w:t>
      </w:r>
      <w:r w:rsidRPr="00055838">
        <w:rPr>
          <w:rFonts w:hint="eastAsia"/>
        </w:rPr>
        <w:t>第三條三款本文、第五款」</w:t>
      </w:r>
      <w:r w:rsidRPr="00055838">
        <w:rPr>
          <w:rFonts w:hint="eastAsia"/>
          <w:bCs/>
        </w:rPr>
        <w:t>修</w:t>
      </w:r>
      <w:r w:rsidRPr="00055838">
        <w:rPr>
          <w:rFonts w:hint="eastAsia"/>
        </w:rPr>
        <w:t>正為</w:t>
      </w:r>
      <w:r w:rsidRPr="00055838">
        <w:rPr>
          <w:rFonts w:hint="eastAsia"/>
          <w:bCs/>
        </w:rPr>
        <w:t>「</w:t>
      </w:r>
      <w:bookmarkStart w:id="531" w:name="_Hlk122900241"/>
      <w:r w:rsidRPr="00055838">
        <w:rPr>
          <w:rFonts w:hint="eastAsia"/>
        </w:rPr>
        <w:t>第三條第</w:t>
      </w:r>
      <w:r w:rsidRPr="00055838">
        <w:rPr>
          <w:rFonts w:hint="eastAsia"/>
          <w:b/>
          <w:u w:val="single"/>
        </w:rPr>
        <w:t>二</w:t>
      </w:r>
      <w:r w:rsidRPr="00055838">
        <w:rPr>
          <w:rFonts w:hint="eastAsia"/>
        </w:rPr>
        <w:t>款本文、第</w:t>
      </w:r>
      <w:r w:rsidRPr="00055838">
        <w:rPr>
          <w:rFonts w:hint="eastAsia"/>
          <w:b/>
          <w:u w:val="single"/>
        </w:rPr>
        <w:t>四</w:t>
      </w:r>
      <w:r w:rsidRPr="00055838">
        <w:rPr>
          <w:rFonts w:hint="eastAsia"/>
        </w:rPr>
        <w:t>款</w:t>
      </w:r>
      <w:bookmarkEnd w:id="531"/>
      <w:r w:rsidRPr="00055838">
        <w:rPr>
          <w:rFonts w:hint="eastAsia"/>
        </w:rPr>
        <w:t>」外，餘照案通過。</w:t>
      </w:r>
    </w:p>
    <w:p w14:paraId="5020A626" w14:textId="77777777" w:rsidR="00421BB5" w:rsidRPr="00055838" w:rsidRDefault="00421BB5" w:rsidP="00421BB5">
      <w:pPr>
        <w:pStyle w:val="3-"/>
        <w:ind w:leftChars="0" w:left="560" w:hangingChars="200" w:hanging="560"/>
      </w:pPr>
      <w:r w:rsidRPr="00055838">
        <w:rPr>
          <w:rFonts w:hint="eastAsia"/>
          <w:bCs/>
        </w:rPr>
        <w:t>二十、</w:t>
      </w:r>
      <w:r w:rsidRPr="00055838">
        <w:rPr>
          <w:rFonts w:hint="eastAsia"/>
        </w:rPr>
        <w:t>第六</w:t>
      </w:r>
      <w:r w:rsidRPr="00055838">
        <w:rPr>
          <w:rFonts w:hint="eastAsia"/>
          <w:bCs/>
        </w:rPr>
        <w:t>十二</w:t>
      </w:r>
      <w:r w:rsidRPr="00055838">
        <w:rPr>
          <w:rFonts w:hint="eastAsia"/>
        </w:rPr>
        <w:t>條</w:t>
      </w:r>
      <w:r w:rsidRPr="00055838">
        <w:rPr>
          <w:rFonts w:hint="eastAsia"/>
          <w:bCs/>
        </w:rPr>
        <w:t>，除將條次修正為第五十七條，另第一項中「</w:t>
      </w:r>
      <w:r w:rsidRPr="00055838">
        <w:rPr>
          <w:rFonts w:hint="eastAsia"/>
        </w:rPr>
        <w:t>第五十九條」</w:t>
      </w:r>
      <w:r w:rsidRPr="00055838">
        <w:rPr>
          <w:rFonts w:hint="eastAsia"/>
          <w:bCs/>
        </w:rPr>
        <w:t>修</w:t>
      </w:r>
      <w:r w:rsidRPr="00055838">
        <w:rPr>
          <w:rFonts w:hint="eastAsia"/>
        </w:rPr>
        <w:t>正為</w:t>
      </w:r>
      <w:r w:rsidRPr="00055838">
        <w:rPr>
          <w:rFonts w:hint="eastAsia"/>
          <w:bCs/>
        </w:rPr>
        <w:t>「</w:t>
      </w:r>
      <w:r w:rsidRPr="00055838">
        <w:rPr>
          <w:rFonts w:hint="eastAsia"/>
        </w:rPr>
        <w:t>第五十</w:t>
      </w:r>
      <w:r w:rsidRPr="00055838">
        <w:rPr>
          <w:rFonts w:hint="eastAsia"/>
          <w:b/>
          <w:u w:val="single"/>
        </w:rPr>
        <w:t>四</w:t>
      </w:r>
      <w:r w:rsidRPr="00055838">
        <w:rPr>
          <w:rFonts w:hint="eastAsia"/>
        </w:rPr>
        <w:t>條」外，餘照案通過。</w:t>
      </w:r>
    </w:p>
    <w:p w14:paraId="0F92DCB8" w14:textId="77777777" w:rsidR="00421BB5" w:rsidRPr="00055838" w:rsidRDefault="00421BB5" w:rsidP="00421BB5">
      <w:pPr>
        <w:pStyle w:val="3-"/>
        <w:ind w:leftChars="0" w:left="560" w:hangingChars="200" w:hanging="560"/>
      </w:pPr>
      <w:r w:rsidRPr="00055838">
        <w:rPr>
          <w:rFonts w:hint="eastAsia"/>
          <w:bCs/>
        </w:rPr>
        <w:t>二十一、</w:t>
      </w:r>
      <w:r w:rsidRPr="00055838">
        <w:rPr>
          <w:rFonts w:hint="eastAsia"/>
        </w:rPr>
        <w:t>第六十三條</w:t>
      </w:r>
      <w:r w:rsidRPr="00055838">
        <w:rPr>
          <w:rFonts w:hint="eastAsia"/>
          <w:bCs/>
        </w:rPr>
        <w:t>，除將條次修正為第五十八條，另第一項、第二項中「</w:t>
      </w:r>
      <w:r w:rsidRPr="00055838">
        <w:rPr>
          <w:rFonts w:hint="eastAsia"/>
        </w:rPr>
        <w:t>第五十九條」均</w:t>
      </w:r>
      <w:r w:rsidRPr="00055838">
        <w:rPr>
          <w:rFonts w:hint="eastAsia"/>
          <w:bCs/>
        </w:rPr>
        <w:t>修</w:t>
      </w:r>
      <w:r w:rsidRPr="00055838">
        <w:rPr>
          <w:rFonts w:hint="eastAsia"/>
        </w:rPr>
        <w:t>正為</w:t>
      </w:r>
      <w:r w:rsidRPr="00055838">
        <w:rPr>
          <w:rFonts w:hint="eastAsia"/>
          <w:bCs/>
        </w:rPr>
        <w:t>「</w:t>
      </w:r>
      <w:r w:rsidRPr="00055838">
        <w:rPr>
          <w:rFonts w:hint="eastAsia"/>
        </w:rPr>
        <w:t>第五十</w:t>
      </w:r>
      <w:r w:rsidRPr="00055838">
        <w:rPr>
          <w:rFonts w:hint="eastAsia"/>
          <w:b/>
          <w:u w:val="single"/>
        </w:rPr>
        <w:t>四</w:t>
      </w:r>
      <w:r w:rsidRPr="00055838">
        <w:rPr>
          <w:rFonts w:hint="eastAsia"/>
        </w:rPr>
        <w:t>條」外，餘照案通過。</w:t>
      </w:r>
    </w:p>
    <w:p w14:paraId="102A3B50" w14:textId="77777777" w:rsidR="00421BB5" w:rsidRPr="00055838" w:rsidRDefault="00421BB5" w:rsidP="00421BB5">
      <w:pPr>
        <w:pStyle w:val="3-"/>
        <w:ind w:leftChars="0" w:left="560" w:hangingChars="200" w:hanging="560"/>
      </w:pPr>
      <w:bookmarkStart w:id="532" w:name="_Hlk122900582"/>
      <w:r w:rsidRPr="00055838">
        <w:rPr>
          <w:rFonts w:hint="eastAsia"/>
          <w:bCs/>
        </w:rPr>
        <w:t>二十二</w:t>
      </w:r>
      <w:r w:rsidRPr="00055838">
        <w:rPr>
          <w:rFonts w:hint="eastAsia"/>
        </w:rPr>
        <w:t>、</w:t>
      </w:r>
      <w:bookmarkEnd w:id="532"/>
      <w:r w:rsidRPr="00055838">
        <w:rPr>
          <w:rFonts w:hint="eastAsia"/>
        </w:rPr>
        <w:t>第六</w:t>
      </w:r>
      <w:r w:rsidRPr="00055838">
        <w:rPr>
          <w:rFonts w:hint="eastAsia"/>
          <w:bCs/>
        </w:rPr>
        <w:t>十六</w:t>
      </w:r>
      <w:r w:rsidRPr="00055838">
        <w:rPr>
          <w:rFonts w:hint="eastAsia"/>
        </w:rPr>
        <w:t>條</w:t>
      </w:r>
      <w:r w:rsidRPr="00055838">
        <w:rPr>
          <w:rFonts w:hint="eastAsia"/>
          <w:bCs/>
        </w:rPr>
        <w:t>，除將條次修正為第六十一條，另第一項中「</w:t>
      </w:r>
      <w:r w:rsidRPr="00055838">
        <w:rPr>
          <w:rFonts w:hint="eastAsia"/>
        </w:rPr>
        <w:t>第六十四條」</w:t>
      </w:r>
      <w:r w:rsidRPr="00055838">
        <w:rPr>
          <w:rFonts w:hint="eastAsia"/>
          <w:bCs/>
        </w:rPr>
        <w:t>修</w:t>
      </w:r>
      <w:r w:rsidRPr="00055838">
        <w:rPr>
          <w:rFonts w:hint="eastAsia"/>
        </w:rPr>
        <w:t>正為</w:t>
      </w:r>
      <w:r w:rsidRPr="00055838">
        <w:rPr>
          <w:rFonts w:hint="eastAsia"/>
          <w:bCs/>
        </w:rPr>
        <w:t>「</w:t>
      </w:r>
      <w:r w:rsidRPr="00055838">
        <w:rPr>
          <w:rFonts w:hint="eastAsia"/>
        </w:rPr>
        <w:t>第</w:t>
      </w:r>
      <w:r w:rsidRPr="00055838">
        <w:rPr>
          <w:rFonts w:hint="eastAsia"/>
          <w:b/>
          <w:u w:val="single"/>
        </w:rPr>
        <w:t>五十九</w:t>
      </w:r>
      <w:r w:rsidRPr="00055838">
        <w:rPr>
          <w:rFonts w:hint="eastAsia"/>
        </w:rPr>
        <w:t>條」外，餘照案通過。</w:t>
      </w:r>
    </w:p>
    <w:p w14:paraId="3F3235F1" w14:textId="77777777" w:rsidR="00421BB5" w:rsidRPr="00055838" w:rsidRDefault="00421BB5" w:rsidP="00421BB5">
      <w:pPr>
        <w:pStyle w:val="3-"/>
        <w:ind w:leftChars="0" w:left="560" w:hangingChars="200" w:hanging="560"/>
      </w:pPr>
      <w:r w:rsidRPr="00055838">
        <w:rPr>
          <w:rFonts w:hint="eastAsia"/>
          <w:bCs/>
        </w:rPr>
        <w:t>二十三、</w:t>
      </w:r>
      <w:r w:rsidRPr="00055838">
        <w:rPr>
          <w:rFonts w:hint="eastAsia"/>
        </w:rPr>
        <w:t>第六十八條</w:t>
      </w:r>
      <w:r w:rsidRPr="00055838">
        <w:rPr>
          <w:rFonts w:hint="eastAsia"/>
          <w:bCs/>
        </w:rPr>
        <w:t>，除將條次修正為第六十三條，另第一項、第二項中「</w:t>
      </w:r>
      <w:r w:rsidRPr="00055838">
        <w:rPr>
          <w:rFonts w:hint="eastAsia"/>
        </w:rPr>
        <w:t>第五十九條」均</w:t>
      </w:r>
      <w:r w:rsidRPr="00055838">
        <w:rPr>
          <w:rFonts w:hint="eastAsia"/>
          <w:bCs/>
        </w:rPr>
        <w:t>修</w:t>
      </w:r>
      <w:r w:rsidRPr="00055838">
        <w:rPr>
          <w:rFonts w:hint="eastAsia"/>
        </w:rPr>
        <w:t>正為</w:t>
      </w:r>
      <w:r w:rsidRPr="00055838">
        <w:rPr>
          <w:rFonts w:hint="eastAsia"/>
          <w:bCs/>
        </w:rPr>
        <w:t>「</w:t>
      </w:r>
      <w:r w:rsidRPr="00055838">
        <w:rPr>
          <w:rFonts w:hint="eastAsia"/>
        </w:rPr>
        <w:t>第五十</w:t>
      </w:r>
      <w:r w:rsidRPr="00055838">
        <w:rPr>
          <w:rFonts w:hint="eastAsia"/>
          <w:b/>
          <w:u w:val="single"/>
        </w:rPr>
        <w:t>四</w:t>
      </w:r>
      <w:r w:rsidRPr="00055838">
        <w:rPr>
          <w:rFonts w:hint="eastAsia"/>
        </w:rPr>
        <w:t>條」及第一項、第二項、第五項中</w:t>
      </w:r>
      <w:r w:rsidRPr="00055838">
        <w:rPr>
          <w:rFonts w:hint="eastAsia"/>
          <w:bCs/>
        </w:rPr>
        <w:t>「……</w:t>
      </w:r>
      <w:r w:rsidRPr="00055838">
        <w:rPr>
          <w:rFonts w:hint="eastAsia"/>
          <w:bCs/>
          <w:u w:val="single"/>
        </w:rPr>
        <w:t>之</w:t>
      </w:r>
      <w:r w:rsidRPr="00055838">
        <w:rPr>
          <w:rFonts w:hint="eastAsia"/>
        </w:rPr>
        <w:t>規定」均</w:t>
      </w:r>
      <w:r w:rsidRPr="00055838">
        <w:t>修正為</w:t>
      </w:r>
      <w:r w:rsidRPr="00055838">
        <w:rPr>
          <w:rFonts w:hint="eastAsia"/>
          <w:bCs/>
        </w:rPr>
        <w:t>「……</w:t>
      </w:r>
      <w:r w:rsidRPr="00055838">
        <w:rPr>
          <w:rFonts w:hint="eastAsia"/>
        </w:rPr>
        <w:t>規定」外，餘照案通過。</w:t>
      </w:r>
    </w:p>
    <w:p w14:paraId="044C3C24" w14:textId="77777777" w:rsidR="00421BB5" w:rsidRPr="00055838" w:rsidRDefault="00421BB5" w:rsidP="00421BB5">
      <w:pPr>
        <w:pStyle w:val="3-"/>
        <w:spacing w:line="340" w:lineRule="exact"/>
        <w:ind w:leftChars="0" w:left="560" w:hangingChars="200" w:hanging="560"/>
      </w:pPr>
      <w:bookmarkStart w:id="533" w:name="_Hlk122902308"/>
      <w:r w:rsidRPr="00055838">
        <w:rPr>
          <w:rFonts w:hint="eastAsia"/>
          <w:bCs/>
        </w:rPr>
        <w:t>二十四、</w:t>
      </w:r>
      <w:r w:rsidRPr="00055838">
        <w:rPr>
          <w:rFonts w:hint="eastAsia"/>
        </w:rPr>
        <w:t>第六十九條</w:t>
      </w:r>
      <w:r w:rsidRPr="00055838">
        <w:rPr>
          <w:rFonts w:hint="eastAsia"/>
          <w:bCs/>
        </w:rPr>
        <w:t>，除將條次修正為第六十四條，另第一項、第二項中「</w:t>
      </w:r>
      <w:r w:rsidRPr="00055838">
        <w:rPr>
          <w:rFonts w:hint="eastAsia"/>
        </w:rPr>
        <w:t>第五十九條」均</w:t>
      </w:r>
      <w:r w:rsidRPr="00055838">
        <w:rPr>
          <w:rFonts w:hint="eastAsia"/>
          <w:bCs/>
        </w:rPr>
        <w:t>修</w:t>
      </w:r>
      <w:r w:rsidRPr="00055838">
        <w:rPr>
          <w:rFonts w:hint="eastAsia"/>
        </w:rPr>
        <w:t>正為</w:t>
      </w:r>
      <w:r w:rsidRPr="00055838">
        <w:rPr>
          <w:rFonts w:hint="eastAsia"/>
          <w:bCs/>
        </w:rPr>
        <w:t>「</w:t>
      </w:r>
      <w:r w:rsidRPr="00055838">
        <w:rPr>
          <w:rFonts w:hint="eastAsia"/>
        </w:rPr>
        <w:t>第五十</w:t>
      </w:r>
      <w:r w:rsidRPr="00055838">
        <w:rPr>
          <w:rFonts w:hint="eastAsia"/>
          <w:b/>
          <w:u w:val="single"/>
        </w:rPr>
        <w:t>四</w:t>
      </w:r>
      <w:r w:rsidRPr="00055838">
        <w:rPr>
          <w:rFonts w:hint="eastAsia"/>
        </w:rPr>
        <w:t>條」及第四項中</w:t>
      </w:r>
      <w:r w:rsidRPr="00055838">
        <w:rPr>
          <w:rFonts w:hint="eastAsia"/>
          <w:bCs/>
        </w:rPr>
        <w:t>「</w:t>
      </w:r>
      <w:r w:rsidRPr="00055838">
        <w:rPr>
          <w:rFonts w:hint="eastAsia"/>
        </w:rPr>
        <w:t>第四十九條」</w:t>
      </w:r>
      <w:r w:rsidRPr="00055838">
        <w:rPr>
          <w:rFonts w:hint="eastAsia"/>
          <w:bCs/>
        </w:rPr>
        <w:t>修</w:t>
      </w:r>
      <w:r w:rsidRPr="00055838">
        <w:rPr>
          <w:rFonts w:hint="eastAsia"/>
        </w:rPr>
        <w:t>正為</w:t>
      </w:r>
      <w:r w:rsidRPr="00055838">
        <w:rPr>
          <w:rFonts w:hint="eastAsia"/>
          <w:bCs/>
        </w:rPr>
        <w:t>「</w:t>
      </w:r>
      <w:r w:rsidRPr="00055838">
        <w:rPr>
          <w:rFonts w:hint="eastAsia"/>
        </w:rPr>
        <w:t>第四十</w:t>
      </w:r>
      <w:r w:rsidRPr="00055838">
        <w:rPr>
          <w:rFonts w:hint="eastAsia"/>
          <w:b/>
          <w:u w:val="single"/>
        </w:rPr>
        <w:t>八</w:t>
      </w:r>
      <w:r w:rsidRPr="00055838">
        <w:rPr>
          <w:rFonts w:hint="eastAsia"/>
        </w:rPr>
        <w:t>條」外，餘照案通過。</w:t>
      </w:r>
    </w:p>
    <w:bookmarkEnd w:id="533"/>
    <w:p w14:paraId="7BABDF88" w14:textId="77777777" w:rsidR="00421BB5" w:rsidRPr="00055838" w:rsidRDefault="00421BB5" w:rsidP="00421BB5">
      <w:pPr>
        <w:pStyle w:val="3-"/>
        <w:spacing w:line="340" w:lineRule="exact"/>
        <w:ind w:leftChars="0" w:left="560" w:hangingChars="200" w:hanging="560"/>
      </w:pPr>
      <w:r w:rsidRPr="00055838">
        <w:rPr>
          <w:rFonts w:hint="eastAsia"/>
        </w:rPr>
        <w:t>二十五、</w:t>
      </w:r>
      <w:r w:rsidRPr="00055838">
        <w:rPr>
          <w:rFonts w:hint="eastAsia"/>
          <w:bCs/>
        </w:rPr>
        <w:t>第七十</w:t>
      </w:r>
      <w:r w:rsidRPr="00055838">
        <w:rPr>
          <w:rFonts w:hint="eastAsia"/>
        </w:rPr>
        <w:t>條</w:t>
      </w:r>
      <w:r w:rsidRPr="00055838">
        <w:rPr>
          <w:rFonts w:hint="eastAsia"/>
          <w:bCs/>
        </w:rPr>
        <w:t>，除將條次修正為第六十五條，另第一項中「</w:t>
      </w:r>
      <w:r w:rsidRPr="00055838">
        <w:rPr>
          <w:rFonts w:hint="eastAsia"/>
        </w:rPr>
        <w:t>第五十九條」</w:t>
      </w:r>
      <w:r w:rsidRPr="00055838">
        <w:rPr>
          <w:rFonts w:hint="eastAsia"/>
          <w:bCs/>
        </w:rPr>
        <w:t>修</w:t>
      </w:r>
      <w:r w:rsidRPr="00055838">
        <w:rPr>
          <w:rFonts w:hint="eastAsia"/>
        </w:rPr>
        <w:t>正為</w:t>
      </w:r>
      <w:r w:rsidRPr="00055838">
        <w:rPr>
          <w:rFonts w:hint="eastAsia"/>
          <w:bCs/>
        </w:rPr>
        <w:t>「</w:t>
      </w:r>
      <w:r w:rsidRPr="00055838">
        <w:rPr>
          <w:rFonts w:hint="eastAsia"/>
        </w:rPr>
        <w:t>第五十</w:t>
      </w:r>
      <w:r w:rsidRPr="00055838">
        <w:rPr>
          <w:rFonts w:hint="eastAsia"/>
          <w:b/>
          <w:u w:val="single"/>
        </w:rPr>
        <w:t>四</w:t>
      </w:r>
      <w:r w:rsidRPr="00055838">
        <w:rPr>
          <w:rFonts w:hint="eastAsia"/>
        </w:rPr>
        <w:t>條」及第二項末句</w:t>
      </w:r>
      <w:r w:rsidRPr="00055838">
        <w:rPr>
          <w:rFonts w:hint="eastAsia"/>
          <w:bCs/>
        </w:rPr>
        <w:t>「……</w:t>
      </w:r>
      <w:r w:rsidRPr="00055838">
        <w:rPr>
          <w:rFonts w:hint="eastAsia"/>
          <w:bCs/>
          <w:u w:val="single"/>
        </w:rPr>
        <w:t>之</w:t>
      </w:r>
      <w:r w:rsidRPr="00055838">
        <w:rPr>
          <w:rFonts w:hint="eastAsia"/>
        </w:rPr>
        <w:t>規定。」</w:t>
      </w:r>
      <w:r w:rsidRPr="00055838">
        <w:t>修正為</w:t>
      </w:r>
      <w:r w:rsidRPr="00055838">
        <w:rPr>
          <w:rFonts w:hint="eastAsia"/>
          <w:bCs/>
        </w:rPr>
        <w:t>「……</w:t>
      </w:r>
      <w:r w:rsidRPr="00055838">
        <w:rPr>
          <w:rFonts w:hint="eastAsia"/>
        </w:rPr>
        <w:t>規定。」外，餘照案通過。</w:t>
      </w:r>
    </w:p>
    <w:p w14:paraId="0BAB55ED" w14:textId="77777777" w:rsidR="00421BB5" w:rsidRPr="00055838" w:rsidRDefault="00421BB5" w:rsidP="00421BB5">
      <w:pPr>
        <w:pStyle w:val="3-"/>
        <w:spacing w:line="340" w:lineRule="exact"/>
        <w:ind w:leftChars="0" w:left="560" w:hangingChars="200" w:hanging="560"/>
        <w:rPr>
          <w:bCs/>
        </w:rPr>
      </w:pPr>
      <w:r w:rsidRPr="00055838">
        <w:rPr>
          <w:rFonts w:hint="eastAsia"/>
          <w:bCs/>
        </w:rPr>
        <w:t>二十六、第七十一</w:t>
      </w:r>
      <w:r w:rsidRPr="00055838">
        <w:rPr>
          <w:rFonts w:hint="eastAsia"/>
        </w:rPr>
        <w:t>條</w:t>
      </w:r>
      <w:r w:rsidRPr="00055838">
        <w:rPr>
          <w:rFonts w:hint="eastAsia"/>
          <w:bCs/>
        </w:rPr>
        <w:t>，將條次修正為第六十六條，修正如下：</w:t>
      </w:r>
    </w:p>
    <w:p w14:paraId="470C1FC4" w14:textId="77777777" w:rsidR="00421BB5" w:rsidRPr="00055838" w:rsidRDefault="00421BB5" w:rsidP="00421BB5">
      <w:pPr>
        <w:pStyle w:val="3-"/>
        <w:spacing w:line="340" w:lineRule="exact"/>
        <w:ind w:leftChars="239" w:left="854" w:hangingChars="100" w:hanging="280"/>
        <w:rPr>
          <w:bCs/>
        </w:rPr>
      </w:pPr>
      <w:r w:rsidRPr="00055838">
        <w:rPr>
          <w:rFonts w:hint="eastAsia"/>
          <w:bCs/>
        </w:rPr>
        <w:t>第</w:t>
      </w:r>
      <w:r w:rsidRPr="00055838">
        <w:rPr>
          <w:rFonts w:hint="eastAsia"/>
          <w:b/>
          <w:bCs/>
          <w:u w:val="single"/>
        </w:rPr>
        <w:t>六十六</w:t>
      </w:r>
      <w:r w:rsidRPr="00055838">
        <w:rPr>
          <w:rFonts w:hint="eastAsia"/>
        </w:rPr>
        <w:t xml:space="preserve">條　</w:t>
      </w:r>
      <w:r w:rsidRPr="00055838">
        <w:rPr>
          <w:rFonts w:hint="eastAsia"/>
          <w:bCs/>
        </w:rPr>
        <w:t>第</w:t>
      </w:r>
      <w:r w:rsidRPr="00055838">
        <w:rPr>
          <w:rFonts w:hint="eastAsia"/>
          <w:b/>
          <w:bCs/>
          <w:u w:val="single"/>
        </w:rPr>
        <w:t>二十九</w:t>
      </w:r>
      <w:r w:rsidRPr="00055838">
        <w:rPr>
          <w:rFonts w:hint="eastAsia"/>
          <w:bCs/>
        </w:rPr>
        <w:t>條第一項、第三十</w:t>
      </w:r>
      <w:r w:rsidRPr="00055838">
        <w:rPr>
          <w:rFonts w:hint="eastAsia"/>
          <w:b/>
          <w:bCs/>
          <w:u w:val="single"/>
        </w:rPr>
        <w:t>六</w:t>
      </w:r>
      <w:r w:rsidRPr="00055838">
        <w:rPr>
          <w:rFonts w:hint="eastAsia"/>
          <w:bCs/>
        </w:rPr>
        <w:t>條至第</w:t>
      </w:r>
      <w:r w:rsidRPr="00055838">
        <w:rPr>
          <w:rFonts w:hint="eastAsia"/>
          <w:b/>
          <w:bCs/>
        </w:rPr>
        <w:t>四十</w:t>
      </w:r>
      <w:r w:rsidRPr="00055838">
        <w:rPr>
          <w:rFonts w:hint="eastAsia"/>
          <w:bCs/>
        </w:rPr>
        <w:t>條、第四十</w:t>
      </w:r>
      <w:r w:rsidRPr="00055838">
        <w:rPr>
          <w:rFonts w:hint="eastAsia"/>
          <w:b/>
          <w:bCs/>
          <w:u w:val="single"/>
        </w:rPr>
        <w:t>一</w:t>
      </w:r>
      <w:r w:rsidRPr="00055838">
        <w:rPr>
          <w:rFonts w:hint="eastAsia"/>
          <w:bCs/>
        </w:rPr>
        <w:t>條第一項及第五十</w:t>
      </w:r>
      <w:r w:rsidRPr="00055838">
        <w:rPr>
          <w:rFonts w:hint="eastAsia"/>
          <w:b/>
          <w:bCs/>
          <w:u w:val="single"/>
        </w:rPr>
        <w:t>三</w:t>
      </w:r>
      <w:r w:rsidRPr="00055838">
        <w:rPr>
          <w:rFonts w:hint="eastAsia"/>
          <w:bCs/>
        </w:rPr>
        <w:t>條規定，於審理第五十</w:t>
      </w:r>
      <w:r w:rsidRPr="00055838">
        <w:rPr>
          <w:rFonts w:hint="eastAsia"/>
          <w:b/>
          <w:bCs/>
          <w:u w:val="single"/>
        </w:rPr>
        <w:t>四</w:t>
      </w:r>
      <w:r w:rsidRPr="00055838">
        <w:rPr>
          <w:rFonts w:hint="eastAsia"/>
          <w:bCs/>
        </w:rPr>
        <w:t>條第一項及</w:t>
      </w:r>
      <w:r w:rsidRPr="00055838">
        <w:rPr>
          <w:rFonts w:hint="eastAsia"/>
          <w:bCs/>
        </w:rPr>
        <w:lastRenderedPageBreak/>
        <w:t>第二項案件或其附帶民事訴訟時，準用之。</w:t>
      </w:r>
    </w:p>
    <w:p w14:paraId="372B84A9" w14:textId="77777777" w:rsidR="00421BB5" w:rsidRPr="00055838" w:rsidRDefault="00421BB5" w:rsidP="00421BB5">
      <w:pPr>
        <w:pStyle w:val="3-"/>
        <w:spacing w:line="340" w:lineRule="exact"/>
        <w:ind w:leftChars="349" w:left="866" w:hangingChars="10" w:hanging="28"/>
        <w:rPr>
          <w:bCs/>
        </w:rPr>
      </w:pPr>
      <w:r w:rsidRPr="00055838">
        <w:rPr>
          <w:rFonts w:hint="eastAsia"/>
        </w:rPr>
        <w:t xml:space="preserve">　　</w:t>
      </w:r>
      <w:r w:rsidRPr="00055838">
        <w:rPr>
          <w:rFonts w:hint="eastAsia"/>
          <w:bCs/>
        </w:rPr>
        <w:t>第</w:t>
      </w:r>
      <w:r w:rsidRPr="00055838">
        <w:rPr>
          <w:rFonts w:hint="eastAsia"/>
          <w:b/>
          <w:bCs/>
          <w:u w:val="single"/>
        </w:rPr>
        <w:t>四十九</w:t>
      </w:r>
      <w:r w:rsidRPr="00055838">
        <w:rPr>
          <w:rFonts w:hint="eastAsia"/>
          <w:bCs/>
        </w:rPr>
        <w:t>條規定，於審理違反商標法案件而提起之附帶民事訴訟時，準用之。</w:t>
      </w:r>
    </w:p>
    <w:p w14:paraId="1B8D14CC" w14:textId="77777777" w:rsidR="00421BB5" w:rsidRPr="00055838" w:rsidRDefault="00421BB5" w:rsidP="00421BB5">
      <w:pPr>
        <w:pStyle w:val="3-"/>
        <w:spacing w:line="340" w:lineRule="exact"/>
        <w:ind w:leftChars="349" w:left="866" w:hangingChars="10" w:hanging="28"/>
        <w:rPr>
          <w:bCs/>
        </w:rPr>
      </w:pPr>
      <w:r w:rsidRPr="00055838">
        <w:rPr>
          <w:rFonts w:hint="eastAsia"/>
        </w:rPr>
        <w:t xml:space="preserve">　　</w:t>
      </w:r>
      <w:r w:rsidRPr="00055838">
        <w:rPr>
          <w:rFonts w:hint="eastAsia"/>
          <w:bCs/>
        </w:rPr>
        <w:t>第五十</w:t>
      </w:r>
      <w:r w:rsidRPr="00055838">
        <w:rPr>
          <w:rFonts w:hint="eastAsia"/>
          <w:b/>
          <w:bCs/>
          <w:u w:val="single"/>
        </w:rPr>
        <w:t>四</w:t>
      </w:r>
      <w:r w:rsidRPr="00055838">
        <w:rPr>
          <w:rFonts w:hint="eastAsia"/>
          <w:bCs/>
        </w:rPr>
        <w:t>條第一項及第二項案件，準用刑事訴訟法關於被害人訴訟參與之規定。</w:t>
      </w:r>
    </w:p>
    <w:p w14:paraId="0E63A1F1" w14:textId="77777777" w:rsidR="00421BB5" w:rsidRPr="00055838" w:rsidRDefault="00421BB5" w:rsidP="00421BB5">
      <w:pPr>
        <w:pStyle w:val="3-"/>
        <w:spacing w:line="340" w:lineRule="exact"/>
        <w:ind w:leftChars="0" w:left="560" w:hangingChars="200" w:hanging="560"/>
      </w:pPr>
      <w:r w:rsidRPr="00055838">
        <w:rPr>
          <w:rFonts w:hint="eastAsia"/>
          <w:bCs/>
        </w:rPr>
        <w:t>二十七、第七十三</w:t>
      </w:r>
      <w:r w:rsidRPr="00055838">
        <w:rPr>
          <w:rFonts w:hint="eastAsia"/>
        </w:rPr>
        <w:t>條</w:t>
      </w:r>
      <w:r w:rsidRPr="00055838">
        <w:rPr>
          <w:rFonts w:hint="eastAsia"/>
          <w:bCs/>
        </w:rPr>
        <w:t>，除將條次修正為第六十八條，另第一項中「第三條</w:t>
      </w:r>
      <w:r w:rsidRPr="00055838">
        <w:rPr>
          <w:rFonts w:hint="eastAsia"/>
        </w:rPr>
        <w:t>第四款、第五款」</w:t>
      </w:r>
      <w:r w:rsidRPr="00055838">
        <w:rPr>
          <w:rFonts w:hint="eastAsia"/>
          <w:bCs/>
        </w:rPr>
        <w:t>修</w:t>
      </w:r>
      <w:r w:rsidRPr="00055838">
        <w:rPr>
          <w:rFonts w:hint="eastAsia"/>
        </w:rPr>
        <w:t>正為</w:t>
      </w:r>
      <w:r w:rsidRPr="00055838">
        <w:rPr>
          <w:rFonts w:hint="eastAsia"/>
          <w:bCs/>
        </w:rPr>
        <w:t>「第三條</w:t>
      </w:r>
      <w:r w:rsidRPr="00055838">
        <w:rPr>
          <w:rFonts w:hint="eastAsia"/>
        </w:rPr>
        <w:t>第</w:t>
      </w:r>
      <w:r w:rsidRPr="00055838">
        <w:rPr>
          <w:rFonts w:hint="eastAsia"/>
          <w:b/>
          <w:u w:val="single"/>
        </w:rPr>
        <w:t>三</w:t>
      </w:r>
      <w:r w:rsidRPr="00055838">
        <w:rPr>
          <w:rFonts w:hint="eastAsia"/>
        </w:rPr>
        <w:t>款、第</w:t>
      </w:r>
      <w:r w:rsidRPr="00055838">
        <w:rPr>
          <w:rFonts w:hint="eastAsia"/>
          <w:b/>
          <w:u w:val="single"/>
        </w:rPr>
        <w:t>四</w:t>
      </w:r>
      <w:r w:rsidRPr="00055838">
        <w:rPr>
          <w:rFonts w:hint="eastAsia"/>
        </w:rPr>
        <w:t>款」外，餘照案通過。</w:t>
      </w:r>
    </w:p>
    <w:p w14:paraId="1F484723" w14:textId="77777777" w:rsidR="00421BB5" w:rsidRPr="00055838" w:rsidRDefault="00421BB5" w:rsidP="00421BB5">
      <w:pPr>
        <w:pStyle w:val="3-"/>
        <w:spacing w:line="340" w:lineRule="exact"/>
        <w:ind w:leftChars="0" w:left="0"/>
        <w:rPr>
          <w:bCs/>
        </w:rPr>
      </w:pPr>
      <w:r w:rsidRPr="00055838">
        <w:rPr>
          <w:rFonts w:hint="eastAsia"/>
          <w:bCs/>
        </w:rPr>
        <w:t>二十八、第七十五</w:t>
      </w:r>
      <w:r w:rsidRPr="00055838">
        <w:rPr>
          <w:rFonts w:hint="eastAsia"/>
        </w:rPr>
        <w:t>條</w:t>
      </w:r>
      <w:r w:rsidRPr="00055838">
        <w:rPr>
          <w:rFonts w:hint="eastAsia"/>
          <w:bCs/>
        </w:rPr>
        <w:t>，將條次修正為第七十一條，修正如下：</w:t>
      </w:r>
    </w:p>
    <w:p w14:paraId="32DDC01D" w14:textId="77777777" w:rsidR="00421BB5" w:rsidRPr="00055838" w:rsidRDefault="00421BB5" w:rsidP="00421BB5">
      <w:pPr>
        <w:pStyle w:val="3-"/>
        <w:spacing w:line="340" w:lineRule="exact"/>
        <w:ind w:leftChars="239" w:left="854" w:hangingChars="100" w:hanging="280"/>
        <w:rPr>
          <w:bCs/>
        </w:rPr>
      </w:pPr>
      <w:r w:rsidRPr="00055838">
        <w:rPr>
          <w:rFonts w:hint="eastAsia"/>
          <w:bCs/>
        </w:rPr>
        <w:t>第</w:t>
      </w:r>
      <w:r w:rsidRPr="00055838">
        <w:rPr>
          <w:rFonts w:hint="eastAsia"/>
          <w:b/>
          <w:bCs/>
          <w:u w:val="single"/>
        </w:rPr>
        <w:t>七十一</w:t>
      </w:r>
      <w:r w:rsidRPr="00055838">
        <w:rPr>
          <w:rFonts w:hint="eastAsia"/>
          <w:bCs/>
        </w:rPr>
        <w:t>條　第</w:t>
      </w:r>
      <w:r w:rsidRPr="00055838">
        <w:rPr>
          <w:rFonts w:hint="eastAsia"/>
          <w:b/>
          <w:bCs/>
          <w:u w:val="single"/>
        </w:rPr>
        <w:t>二十九</w:t>
      </w:r>
      <w:r w:rsidRPr="00055838">
        <w:rPr>
          <w:rFonts w:hint="eastAsia"/>
          <w:bCs/>
        </w:rPr>
        <w:t>條至第四十條、第四十</w:t>
      </w:r>
      <w:r w:rsidRPr="00055838">
        <w:rPr>
          <w:rFonts w:hint="eastAsia"/>
          <w:b/>
          <w:bCs/>
          <w:u w:val="single"/>
        </w:rPr>
        <w:t>六</w:t>
      </w:r>
      <w:r w:rsidRPr="00055838">
        <w:rPr>
          <w:rFonts w:hint="eastAsia"/>
          <w:bCs/>
        </w:rPr>
        <w:t>條、第五十</w:t>
      </w:r>
      <w:r w:rsidRPr="00055838">
        <w:rPr>
          <w:rFonts w:hint="eastAsia"/>
          <w:bCs/>
          <w:u w:val="single"/>
        </w:rPr>
        <w:t>一</w:t>
      </w:r>
      <w:r w:rsidRPr="00055838">
        <w:rPr>
          <w:rFonts w:hint="eastAsia"/>
          <w:bCs/>
        </w:rPr>
        <w:t>條及第五十</w:t>
      </w:r>
      <w:r w:rsidRPr="00055838">
        <w:rPr>
          <w:rFonts w:hint="eastAsia"/>
          <w:b/>
          <w:bCs/>
          <w:u w:val="single"/>
        </w:rPr>
        <w:t>二</w:t>
      </w:r>
      <w:r w:rsidRPr="00055838">
        <w:rPr>
          <w:rFonts w:hint="eastAsia"/>
          <w:bCs/>
        </w:rPr>
        <w:t>條規定，於有關智慧財產行政事件，準用之。</w:t>
      </w:r>
    </w:p>
    <w:p w14:paraId="001FED6F" w14:textId="77777777" w:rsidR="00421BB5" w:rsidRPr="00055838" w:rsidRDefault="00421BB5" w:rsidP="00421BB5">
      <w:pPr>
        <w:pStyle w:val="3-"/>
        <w:spacing w:line="340" w:lineRule="exact"/>
        <w:ind w:leftChars="349" w:left="866" w:hangingChars="10" w:hanging="28"/>
        <w:rPr>
          <w:bCs/>
        </w:rPr>
      </w:pPr>
      <w:r w:rsidRPr="00055838">
        <w:rPr>
          <w:rFonts w:hint="eastAsia"/>
        </w:rPr>
        <w:t xml:space="preserve">　　</w:t>
      </w:r>
      <w:r w:rsidRPr="00055838">
        <w:rPr>
          <w:rFonts w:hint="eastAsia"/>
          <w:bCs/>
        </w:rPr>
        <w:t>辦理智慧財產民事事件或刑事案件之法官，得參與就該事件或案件相牽涉之智慧財產行政事件之審判，不適用行政訴訟法第十九條第三款規定。</w:t>
      </w:r>
    </w:p>
    <w:p w14:paraId="63E46715" w14:textId="77777777" w:rsidR="00421BB5" w:rsidRPr="00055838" w:rsidRDefault="00421BB5" w:rsidP="00421BB5">
      <w:pPr>
        <w:pStyle w:val="3-"/>
        <w:spacing w:line="340" w:lineRule="exact"/>
        <w:ind w:leftChars="0" w:left="560" w:hangingChars="200" w:hanging="560"/>
        <w:rPr>
          <w:bCs/>
        </w:rPr>
      </w:pPr>
      <w:r w:rsidRPr="00055838">
        <w:rPr>
          <w:rFonts w:hint="eastAsia"/>
        </w:rPr>
        <w:t>二十九、第七十九條，將條次修正為第七十五條，</w:t>
      </w:r>
      <w:r w:rsidRPr="00055838">
        <w:rPr>
          <w:rFonts w:hint="eastAsia"/>
          <w:bCs/>
        </w:rPr>
        <w:t>修正如下：</w:t>
      </w:r>
    </w:p>
    <w:p w14:paraId="4C536D77" w14:textId="77777777" w:rsidR="00421BB5" w:rsidRPr="00055838" w:rsidRDefault="00421BB5" w:rsidP="00421BB5">
      <w:pPr>
        <w:pStyle w:val="3-"/>
        <w:spacing w:line="340" w:lineRule="exact"/>
        <w:ind w:leftChars="239" w:left="854" w:hangingChars="100" w:hanging="280"/>
        <w:rPr>
          <w:bCs/>
        </w:rPr>
      </w:pPr>
      <w:r w:rsidRPr="00055838">
        <w:rPr>
          <w:rFonts w:hint="eastAsia"/>
          <w:bCs/>
        </w:rPr>
        <w:t>第</w:t>
      </w:r>
      <w:r w:rsidRPr="00055838">
        <w:rPr>
          <w:rFonts w:hint="eastAsia"/>
          <w:b/>
          <w:bCs/>
          <w:u w:val="single"/>
        </w:rPr>
        <w:t>七十五</w:t>
      </w:r>
      <w:r w:rsidRPr="00055838">
        <w:rPr>
          <w:rFonts w:hint="eastAsia"/>
          <w:bCs/>
        </w:rPr>
        <w:t>條　本法中華民國○年○月○日修正之條文施行前，已繫屬於法院之智慧財產民事事件，適用本法修正施行前之規定。但經當事人合意適用修正施行後之第十八條至第四十條、第四十</w:t>
      </w:r>
      <w:r w:rsidRPr="00055838">
        <w:rPr>
          <w:rFonts w:hint="eastAsia"/>
          <w:b/>
          <w:bCs/>
          <w:u w:val="single"/>
        </w:rPr>
        <w:t>二</w:t>
      </w:r>
      <w:r w:rsidRPr="00055838">
        <w:rPr>
          <w:rFonts w:hint="eastAsia"/>
          <w:bCs/>
        </w:rPr>
        <w:t>條、第四十</w:t>
      </w:r>
      <w:r w:rsidRPr="00055838">
        <w:rPr>
          <w:rFonts w:hint="eastAsia"/>
          <w:b/>
          <w:bCs/>
          <w:u w:val="single"/>
        </w:rPr>
        <w:t>四</w:t>
      </w:r>
      <w:r w:rsidRPr="00055838">
        <w:rPr>
          <w:rFonts w:hint="eastAsia"/>
          <w:bCs/>
        </w:rPr>
        <w:t>條、第四十</w:t>
      </w:r>
      <w:r w:rsidRPr="00055838">
        <w:rPr>
          <w:rFonts w:hint="eastAsia"/>
          <w:b/>
          <w:bCs/>
          <w:u w:val="single"/>
        </w:rPr>
        <w:t>五</w:t>
      </w:r>
      <w:r w:rsidRPr="00055838">
        <w:rPr>
          <w:rFonts w:hint="eastAsia"/>
          <w:bCs/>
        </w:rPr>
        <w:t>條及第五十</w:t>
      </w:r>
      <w:r w:rsidRPr="00055838">
        <w:rPr>
          <w:rFonts w:hint="eastAsia"/>
          <w:b/>
          <w:bCs/>
          <w:u w:val="single"/>
        </w:rPr>
        <w:t>三</w:t>
      </w:r>
      <w:r w:rsidRPr="00055838">
        <w:rPr>
          <w:rFonts w:hint="eastAsia"/>
          <w:bCs/>
        </w:rPr>
        <w:t>條規定者，不在此限。</w:t>
      </w:r>
    </w:p>
    <w:p w14:paraId="379B587B" w14:textId="77777777" w:rsidR="00421BB5" w:rsidRPr="00055838" w:rsidRDefault="00421BB5" w:rsidP="00421BB5">
      <w:pPr>
        <w:pStyle w:val="3-"/>
        <w:spacing w:line="340" w:lineRule="exact"/>
        <w:ind w:leftChars="349" w:left="866" w:hangingChars="10" w:hanging="28"/>
        <w:rPr>
          <w:bCs/>
        </w:rPr>
      </w:pPr>
      <w:r w:rsidRPr="00055838">
        <w:rPr>
          <w:rFonts w:hint="eastAsia"/>
        </w:rPr>
        <w:t xml:space="preserve">　　</w:t>
      </w:r>
      <w:r w:rsidRPr="00055838">
        <w:rPr>
          <w:rFonts w:hint="eastAsia"/>
          <w:bCs/>
        </w:rPr>
        <w:t>本法中華民國○年○月○日修正之條文施行前，已繫屬於法院之智慧財產刑事案件及其附帶民事訴訟，適用本法修正施行前之規定。</w:t>
      </w:r>
    </w:p>
    <w:p w14:paraId="5D9E2FE3" w14:textId="77777777" w:rsidR="00421BB5" w:rsidRPr="00055838" w:rsidRDefault="00421BB5" w:rsidP="00421BB5">
      <w:pPr>
        <w:pStyle w:val="3-"/>
        <w:spacing w:line="340" w:lineRule="exact"/>
        <w:ind w:leftChars="349" w:left="866" w:hangingChars="10" w:hanging="28"/>
        <w:rPr>
          <w:bCs/>
        </w:rPr>
      </w:pPr>
      <w:r w:rsidRPr="00055838">
        <w:rPr>
          <w:rFonts w:hint="eastAsia"/>
        </w:rPr>
        <w:t xml:space="preserve">　　</w:t>
      </w:r>
      <w:r w:rsidRPr="00055838">
        <w:rPr>
          <w:rFonts w:hint="eastAsia"/>
          <w:bCs/>
        </w:rPr>
        <w:t>本法中華民國○年○月○日修正之條文施行前，已繫屬於法院之智慧財產行政事件，適用本法修正施行前之規定。</w:t>
      </w:r>
    </w:p>
    <w:p w14:paraId="18A00311" w14:textId="77777777" w:rsidR="00421BB5" w:rsidRPr="00055838" w:rsidRDefault="00421BB5" w:rsidP="00421BB5">
      <w:pPr>
        <w:pStyle w:val="3-"/>
        <w:spacing w:line="340" w:lineRule="exact"/>
        <w:ind w:leftChars="0" w:left="560" w:hangingChars="200" w:hanging="560"/>
      </w:pPr>
      <w:r w:rsidRPr="00055838">
        <w:rPr>
          <w:rFonts w:hint="eastAsia"/>
          <w:bCs/>
        </w:rPr>
        <w:t>三十、</w:t>
      </w:r>
      <w:r w:rsidRPr="00055838">
        <w:rPr>
          <w:rFonts w:hint="eastAsia"/>
        </w:rPr>
        <w:t>本案審查完竣，擬具審查報告，提請院會公決；不須交由黨團協商；院會討論時，由陳召集委員歐珀出席說明。</w:t>
      </w:r>
    </w:p>
    <w:p w14:paraId="4DA2505B" w14:textId="77777777" w:rsidR="00421BB5" w:rsidRPr="00055838" w:rsidRDefault="00421BB5" w:rsidP="00421BB5">
      <w:pPr>
        <w:pStyle w:val="3-"/>
        <w:spacing w:line="340" w:lineRule="exact"/>
        <w:ind w:leftChars="0" w:left="560" w:hangingChars="200" w:hanging="560"/>
        <w:rPr>
          <w:bCs/>
        </w:rPr>
      </w:pPr>
      <w:r w:rsidRPr="00055838">
        <w:rPr>
          <w:rFonts w:hint="eastAsia"/>
          <w:bCs/>
        </w:rPr>
        <w:t>三十一、條次、引述條文部分文字及法制用字用語，授權主席及議事人員整理。</w:t>
      </w:r>
    </w:p>
    <w:p w14:paraId="66F1A133" w14:textId="77777777" w:rsidR="00421BB5" w:rsidRPr="00055838" w:rsidRDefault="00421BB5" w:rsidP="00421BB5">
      <w:pPr>
        <w:widowControl/>
        <w:spacing w:line="340" w:lineRule="exact"/>
        <w:ind w:left="619" w:hangingChars="221" w:hanging="619"/>
        <w:contextualSpacing/>
        <w:jc w:val="both"/>
        <w:rPr>
          <w:rFonts w:ascii="標楷體" w:eastAsia="標楷體" w:hAnsi="標楷體"/>
          <w:sz w:val="28"/>
          <w:szCs w:val="28"/>
        </w:rPr>
      </w:pPr>
      <w:r w:rsidRPr="00055838">
        <w:rPr>
          <w:rFonts w:ascii="標楷體" w:eastAsia="標楷體" w:hAnsi="標楷體"/>
          <w:sz w:val="28"/>
          <w:szCs w:val="28"/>
        </w:rPr>
        <w:t>散會</w:t>
      </w:r>
    </w:p>
    <w:p w14:paraId="5EC2222D" w14:textId="77777777" w:rsidR="00421BB5" w:rsidRPr="00090981" w:rsidRDefault="00421BB5" w:rsidP="00421BB5">
      <w:pPr>
        <w:widowControl/>
        <w:spacing w:line="340" w:lineRule="exact"/>
        <w:ind w:left="619" w:hangingChars="221" w:hanging="619"/>
        <w:contextualSpacing/>
        <w:jc w:val="both"/>
        <w:rPr>
          <w:rFonts w:ascii="標楷體" w:eastAsia="標楷體" w:hAnsi="標楷體"/>
          <w:sz w:val="28"/>
          <w:szCs w:val="28"/>
        </w:rPr>
      </w:pPr>
    </w:p>
    <w:p w14:paraId="58A613D4" w14:textId="77777777" w:rsidR="00421BB5" w:rsidRPr="00A65A88" w:rsidRDefault="00421BB5" w:rsidP="00421BB5">
      <w:pPr>
        <w:keepNext/>
        <w:topLinePunct/>
        <w:spacing w:beforeLines="100" w:before="360" w:afterLines="100" w:after="360" w:line="500" w:lineRule="exact"/>
        <w:jc w:val="both"/>
        <w:outlineLvl w:val="0"/>
        <w:rPr>
          <w:rFonts w:ascii="標楷體" w:eastAsia="標楷體" w:hAnsi="標楷體"/>
          <w:b/>
          <w:bCs/>
          <w:noProof/>
          <w:color w:val="000000"/>
          <w:kern w:val="52"/>
          <w:sz w:val="32"/>
          <w:szCs w:val="32"/>
        </w:rPr>
      </w:pPr>
      <w:r>
        <w:rPr>
          <w:rFonts w:ascii="標楷體" w:eastAsia="標楷體" w:hAnsi="標楷體"/>
          <w:sz w:val="28"/>
          <w:szCs w:val="28"/>
        </w:rPr>
        <w:br w:type="page"/>
      </w:r>
      <w:bookmarkStart w:id="534" w:name="_Toc96350591"/>
      <w:r w:rsidRPr="00A65A88">
        <w:rPr>
          <w:rFonts w:ascii="標楷體" w:eastAsia="標楷體" w:hAnsi="標楷體"/>
          <w:b/>
          <w:bCs/>
          <w:noProof/>
          <w:color w:val="000000"/>
          <w:kern w:val="52"/>
          <w:sz w:val="32"/>
          <w:szCs w:val="32"/>
        </w:rPr>
        <w:lastRenderedPageBreak/>
        <w:t>附錄</w:t>
      </w:r>
      <w:r w:rsidRPr="00A65A88">
        <w:rPr>
          <w:rFonts w:ascii="標楷體" w:eastAsia="標楷體" w:hAnsi="標楷體" w:hint="eastAsia"/>
          <w:b/>
          <w:bCs/>
          <w:noProof/>
          <w:color w:val="000000"/>
          <w:kern w:val="52"/>
          <w:sz w:val="32"/>
          <w:szCs w:val="32"/>
        </w:rPr>
        <w:t>［貳］本會期考察(參訪)活動紀錄</w:t>
      </w:r>
      <w:bookmarkEnd w:id="534"/>
    </w:p>
    <w:p w14:paraId="7653930A" w14:textId="77777777" w:rsidR="00421BB5" w:rsidRPr="00A65A88" w:rsidRDefault="00421BB5" w:rsidP="00421BB5">
      <w:pPr>
        <w:topLinePunct/>
        <w:spacing w:afterLines="50" w:after="180"/>
        <w:jc w:val="center"/>
        <w:outlineLvl w:val="1"/>
        <w:rPr>
          <w:rFonts w:ascii="標楷體" w:eastAsia="標楷體" w:hAnsi="標楷體"/>
          <w:b/>
          <w:color w:val="000000"/>
          <w:sz w:val="32"/>
          <w:szCs w:val="32"/>
        </w:rPr>
      </w:pPr>
      <w:r w:rsidRPr="00A65A88">
        <w:rPr>
          <w:rFonts w:ascii="標楷體" w:eastAsia="標楷體" w:hAnsi="標楷體" w:hint="eastAsia"/>
          <w:b/>
          <w:color w:val="000000"/>
          <w:sz w:val="32"/>
          <w:szCs w:val="32"/>
        </w:rPr>
        <w:t>第10屆第6</w:t>
      </w:r>
      <w:r w:rsidRPr="00A65A88">
        <w:rPr>
          <w:rFonts w:ascii="標楷體" w:eastAsia="標楷體" w:hint="eastAsia"/>
          <w:b/>
          <w:bCs/>
          <w:color w:val="000000"/>
          <w:sz w:val="32"/>
          <w:szCs w:val="32"/>
        </w:rPr>
        <w:t>會期</w:t>
      </w:r>
      <w:r w:rsidRPr="00A65A88">
        <w:rPr>
          <w:rFonts w:ascii="標楷體" w:eastAsia="標楷體" w:hAnsi="標楷體" w:hint="eastAsia"/>
          <w:b/>
          <w:color w:val="000000"/>
          <w:sz w:val="32"/>
          <w:szCs w:val="32"/>
        </w:rPr>
        <w:t>考察(參訪)</w:t>
      </w:r>
      <w:hyperlink r:id="rId16" w:history="1">
        <w:r w:rsidRPr="00A65A88">
          <w:rPr>
            <w:rFonts w:ascii="標楷體" w:eastAsia="標楷體" w:hAnsi="標楷體" w:hint="eastAsia"/>
            <w:b/>
            <w:color w:val="000000"/>
            <w:sz w:val="32"/>
            <w:szCs w:val="32"/>
          </w:rPr>
          <w:t>活</w:t>
        </w:r>
      </w:hyperlink>
      <w:r w:rsidRPr="00A65A88">
        <w:rPr>
          <w:rFonts w:ascii="標楷體" w:eastAsia="標楷體" w:hAnsi="標楷體" w:hint="eastAsia"/>
          <w:b/>
          <w:color w:val="000000"/>
          <w:sz w:val="32"/>
          <w:szCs w:val="32"/>
        </w:rPr>
        <w:t>動紀錄</w:t>
      </w:r>
    </w:p>
    <w:tbl>
      <w:tblPr>
        <w:tblW w:w="9041" w:type="dxa"/>
        <w:jc w:val="center"/>
        <w:tblBorders>
          <w:top w:val="single" w:sz="18" w:space="0" w:color="auto"/>
          <w:left w:val="single" w:sz="18" w:space="0" w:color="auto"/>
          <w:bottom w:val="single" w:sz="18" w:space="0" w:color="auto"/>
          <w:right w:val="single" w:sz="18" w:space="0" w:color="auto"/>
          <w:insideH w:val="single" w:sz="8" w:space="0" w:color="auto"/>
          <w:insideV w:val="single" w:sz="4" w:space="0" w:color="auto"/>
        </w:tblBorders>
        <w:tblLook w:val="01E0" w:firstRow="1" w:lastRow="1" w:firstColumn="1" w:lastColumn="1" w:noHBand="0" w:noVBand="0"/>
      </w:tblPr>
      <w:tblGrid>
        <w:gridCol w:w="538"/>
        <w:gridCol w:w="1999"/>
        <w:gridCol w:w="1560"/>
        <w:gridCol w:w="3401"/>
        <w:gridCol w:w="1543"/>
      </w:tblGrid>
      <w:tr w:rsidR="00421BB5" w:rsidRPr="006C2C24" w14:paraId="2FA6B67D" w14:textId="77777777" w:rsidTr="00421BB5">
        <w:trPr>
          <w:trHeight w:val="647"/>
          <w:jc w:val="center"/>
        </w:trPr>
        <w:tc>
          <w:tcPr>
            <w:tcW w:w="538" w:type="dxa"/>
            <w:tcBorders>
              <w:top w:val="single" w:sz="18" w:space="0" w:color="auto"/>
              <w:bottom w:val="single" w:sz="8" w:space="0" w:color="auto"/>
            </w:tcBorders>
            <w:vAlign w:val="center"/>
          </w:tcPr>
          <w:p w14:paraId="7F3CDD77" w14:textId="77777777" w:rsidR="00421BB5" w:rsidRPr="006C2C24" w:rsidRDefault="00421BB5" w:rsidP="00421BB5">
            <w:pPr>
              <w:topLinePunct/>
              <w:spacing w:line="360" w:lineRule="exact"/>
              <w:jc w:val="center"/>
              <w:rPr>
                <w:rFonts w:ascii="標楷體" w:eastAsia="標楷體" w:hAnsi="標楷體"/>
                <w:sz w:val="28"/>
              </w:rPr>
            </w:pPr>
            <w:r w:rsidRPr="006C2C24">
              <w:rPr>
                <w:rFonts w:ascii="標楷體" w:eastAsia="標楷體" w:hAnsi="標楷體" w:hint="eastAsia"/>
                <w:sz w:val="28"/>
              </w:rPr>
              <w:t>序號</w:t>
            </w:r>
          </w:p>
        </w:tc>
        <w:tc>
          <w:tcPr>
            <w:tcW w:w="1999" w:type="dxa"/>
            <w:tcBorders>
              <w:top w:val="single" w:sz="18" w:space="0" w:color="auto"/>
              <w:bottom w:val="single" w:sz="8" w:space="0" w:color="auto"/>
            </w:tcBorders>
            <w:vAlign w:val="center"/>
          </w:tcPr>
          <w:p w14:paraId="5D0921BA" w14:textId="77777777" w:rsidR="00421BB5" w:rsidRPr="006C2C24" w:rsidRDefault="00421BB5" w:rsidP="00421BB5">
            <w:pPr>
              <w:topLinePunct/>
              <w:spacing w:line="360" w:lineRule="exact"/>
              <w:jc w:val="center"/>
              <w:rPr>
                <w:rFonts w:ascii="標楷體" w:eastAsia="標楷體" w:hAnsi="標楷體"/>
                <w:sz w:val="28"/>
              </w:rPr>
            </w:pPr>
            <w:r w:rsidRPr="006C2C24">
              <w:rPr>
                <w:rFonts w:ascii="標楷體" w:eastAsia="標楷體" w:hAnsi="標楷體" w:hint="eastAsia"/>
                <w:sz w:val="28"/>
              </w:rPr>
              <w:t>日   期</w:t>
            </w:r>
          </w:p>
        </w:tc>
        <w:tc>
          <w:tcPr>
            <w:tcW w:w="1560" w:type="dxa"/>
            <w:tcBorders>
              <w:top w:val="single" w:sz="18" w:space="0" w:color="auto"/>
              <w:bottom w:val="single" w:sz="8" w:space="0" w:color="auto"/>
            </w:tcBorders>
            <w:vAlign w:val="center"/>
          </w:tcPr>
          <w:p w14:paraId="71637815" w14:textId="0F37A4D4" w:rsidR="00421BB5" w:rsidRPr="006C2C24" w:rsidRDefault="00421BB5" w:rsidP="00421BB5">
            <w:pPr>
              <w:topLinePunct/>
              <w:spacing w:line="320" w:lineRule="exact"/>
              <w:ind w:left="561" w:hanging="561"/>
              <w:jc w:val="center"/>
              <w:rPr>
                <w:rFonts w:ascii="標楷體" w:eastAsia="標楷體" w:hAnsi="標楷體"/>
                <w:sz w:val="28"/>
              </w:rPr>
            </w:pPr>
            <w:r w:rsidRPr="006C2C24">
              <w:rPr>
                <w:rFonts w:ascii="標楷體" w:eastAsia="標楷體" w:hAnsi="標楷體" w:hint="eastAsia"/>
                <w:sz w:val="28"/>
              </w:rPr>
              <w:t>召集委員</w:t>
            </w:r>
          </w:p>
          <w:p w14:paraId="1002BE95" w14:textId="77777777" w:rsidR="00421BB5" w:rsidRPr="006C2C24" w:rsidRDefault="00421BB5" w:rsidP="00421BB5">
            <w:pPr>
              <w:topLinePunct/>
              <w:spacing w:line="320" w:lineRule="exact"/>
              <w:ind w:left="561" w:hanging="561"/>
              <w:jc w:val="center"/>
              <w:rPr>
                <w:rFonts w:ascii="標楷體" w:eastAsia="標楷體" w:hAnsi="標楷體"/>
                <w:sz w:val="28"/>
              </w:rPr>
            </w:pPr>
            <w:r w:rsidRPr="006C2C24">
              <w:rPr>
                <w:rFonts w:ascii="標楷體" w:eastAsia="標楷體" w:hAnsi="標楷體" w:hint="eastAsia"/>
                <w:sz w:val="28"/>
              </w:rPr>
              <w:t>(領隊)</w:t>
            </w:r>
          </w:p>
        </w:tc>
        <w:tc>
          <w:tcPr>
            <w:tcW w:w="3401" w:type="dxa"/>
            <w:tcBorders>
              <w:top w:val="single" w:sz="18" w:space="0" w:color="auto"/>
              <w:bottom w:val="single" w:sz="8" w:space="0" w:color="auto"/>
            </w:tcBorders>
            <w:vAlign w:val="center"/>
          </w:tcPr>
          <w:p w14:paraId="545624D5" w14:textId="77777777" w:rsidR="00421BB5" w:rsidRPr="006C2C24" w:rsidRDefault="00421BB5" w:rsidP="00421BB5">
            <w:pPr>
              <w:topLinePunct/>
              <w:spacing w:line="360" w:lineRule="exact"/>
              <w:ind w:left="561" w:hanging="561"/>
              <w:jc w:val="center"/>
              <w:rPr>
                <w:rFonts w:ascii="標楷體" w:eastAsia="標楷體" w:hAnsi="標楷體"/>
                <w:sz w:val="28"/>
              </w:rPr>
            </w:pPr>
            <w:r w:rsidRPr="006C2C24">
              <w:rPr>
                <w:rFonts w:ascii="標楷體" w:eastAsia="標楷體" w:hAnsi="標楷體" w:hint="eastAsia"/>
                <w:sz w:val="28"/>
              </w:rPr>
              <w:t>內    容</w:t>
            </w:r>
          </w:p>
        </w:tc>
        <w:tc>
          <w:tcPr>
            <w:tcW w:w="1543" w:type="dxa"/>
            <w:tcBorders>
              <w:top w:val="single" w:sz="18" w:space="0" w:color="auto"/>
              <w:bottom w:val="single" w:sz="8" w:space="0" w:color="auto"/>
            </w:tcBorders>
            <w:vAlign w:val="center"/>
          </w:tcPr>
          <w:p w14:paraId="07CFDCE5" w14:textId="77777777" w:rsidR="00421BB5" w:rsidRPr="00443A13" w:rsidRDefault="00421BB5" w:rsidP="00421BB5">
            <w:pPr>
              <w:topLinePunct/>
              <w:spacing w:line="320" w:lineRule="exact"/>
              <w:ind w:left="561" w:rightChars="-48" w:right="-115" w:hanging="561"/>
              <w:jc w:val="center"/>
              <w:rPr>
                <w:rFonts w:ascii="標楷體" w:eastAsia="標楷體" w:hAnsi="標楷體"/>
                <w:sz w:val="28"/>
                <w:szCs w:val="28"/>
              </w:rPr>
            </w:pPr>
            <w:r w:rsidRPr="00443A13">
              <w:rPr>
                <w:rFonts w:ascii="標楷體" w:eastAsia="標楷體" w:hAnsi="標楷體" w:hint="eastAsia"/>
                <w:sz w:val="28"/>
                <w:szCs w:val="28"/>
              </w:rPr>
              <w:t>考察/參訪</w:t>
            </w:r>
          </w:p>
          <w:p w14:paraId="4C59E4AE" w14:textId="77777777" w:rsidR="00421BB5" w:rsidRPr="00443A13" w:rsidRDefault="00421BB5" w:rsidP="00421BB5">
            <w:pPr>
              <w:topLinePunct/>
              <w:spacing w:line="320" w:lineRule="exact"/>
              <w:ind w:left="561" w:hanging="561"/>
              <w:jc w:val="center"/>
              <w:rPr>
                <w:rFonts w:ascii="標楷體" w:eastAsia="標楷體" w:hAnsi="標楷體"/>
                <w:sz w:val="28"/>
                <w:szCs w:val="28"/>
              </w:rPr>
            </w:pPr>
            <w:r w:rsidRPr="00443A13">
              <w:rPr>
                <w:rFonts w:ascii="標楷體" w:eastAsia="標楷體" w:hAnsi="標楷體" w:hint="eastAsia"/>
                <w:sz w:val="28"/>
                <w:szCs w:val="28"/>
              </w:rPr>
              <w:t>紀錄</w:t>
            </w:r>
          </w:p>
        </w:tc>
      </w:tr>
      <w:tr w:rsidR="00421BB5" w:rsidRPr="00C0703C" w14:paraId="589B9C18" w14:textId="77777777" w:rsidTr="00421BB5">
        <w:trPr>
          <w:trHeight w:val="1136"/>
          <w:jc w:val="center"/>
        </w:trPr>
        <w:tc>
          <w:tcPr>
            <w:tcW w:w="538" w:type="dxa"/>
            <w:tcBorders>
              <w:top w:val="single" w:sz="8" w:space="0" w:color="auto"/>
              <w:bottom w:val="single" w:sz="8" w:space="0" w:color="auto"/>
            </w:tcBorders>
          </w:tcPr>
          <w:p w14:paraId="29B393A2" w14:textId="77777777" w:rsidR="00421BB5" w:rsidRPr="00C0703C" w:rsidRDefault="00421BB5" w:rsidP="009A7576">
            <w:pPr>
              <w:topLinePunct/>
              <w:spacing w:line="360" w:lineRule="exact"/>
              <w:jc w:val="center"/>
              <w:rPr>
                <w:rFonts w:ascii="標楷體" w:eastAsia="標楷體" w:hAnsi="標楷體"/>
                <w:sz w:val="28"/>
                <w:szCs w:val="28"/>
              </w:rPr>
            </w:pPr>
            <w:r w:rsidRPr="00C0703C">
              <w:rPr>
                <w:rFonts w:ascii="標楷體" w:eastAsia="標楷體" w:hAnsi="標楷體" w:hint="eastAsia"/>
                <w:sz w:val="28"/>
                <w:szCs w:val="28"/>
              </w:rPr>
              <w:t>1</w:t>
            </w:r>
          </w:p>
        </w:tc>
        <w:tc>
          <w:tcPr>
            <w:tcW w:w="1999" w:type="dxa"/>
            <w:tcBorders>
              <w:top w:val="single" w:sz="8" w:space="0" w:color="auto"/>
              <w:bottom w:val="single" w:sz="8" w:space="0" w:color="auto"/>
            </w:tcBorders>
          </w:tcPr>
          <w:p w14:paraId="6933667F" w14:textId="77777777" w:rsidR="00421BB5" w:rsidRDefault="00421BB5" w:rsidP="00421BB5">
            <w:pPr>
              <w:topLinePunct/>
              <w:spacing w:line="360" w:lineRule="exact"/>
              <w:ind w:leftChars="-29" w:left="-70" w:rightChars="-36" w:right="-86"/>
              <w:jc w:val="center"/>
              <w:rPr>
                <w:rFonts w:ascii="標楷體" w:eastAsia="標楷體" w:hAnsi="標楷體"/>
                <w:spacing w:val="-20"/>
                <w:sz w:val="28"/>
                <w:szCs w:val="28"/>
              </w:rPr>
            </w:pPr>
            <w:r w:rsidRPr="00C0703C">
              <w:rPr>
                <w:rFonts w:ascii="標楷體" w:eastAsia="標楷體" w:hAnsi="標楷體" w:hint="eastAsia"/>
                <w:spacing w:val="-20"/>
                <w:sz w:val="28"/>
                <w:szCs w:val="28"/>
              </w:rPr>
              <w:t>111年</w:t>
            </w:r>
            <w:r w:rsidRPr="00C0703C">
              <w:rPr>
                <w:rFonts w:ascii="標楷體" w:eastAsia="標楷體" w:hAnsi="標楷體"/>
                <w:spacing w:val="-20"/>
                <w:sz w:val="28"/>
                <w:szCs w:val="28"/>
              </w:rPr>
              <w:t>10</w:t>
            </w:r>
            <w:r w:rsidRPr="00C0703C">
              <w:rPr>
                <w:rFonts w:ascii="標楷體" w:eastAsia="標楷體" w:hAnsi="標楷體" w:hint="eastAsia"/>
                <w:spacing w:val="-20"/>
                <w:sz w:val="28"/>
                <w:szCs w:val="28"/>
              </w:rPr>
              <w:t>月</w:t>
            </w:r>
            <w:r w:rsidRPr="00C0703C">
              <w:rPr>
                <w:rFonts w:ascii="標楷體" w:eastAsia="標楷體" w:hAnsi="標楷體"/>
                <w:spacing w:val="-20"/>
                <w:sz w:val="28"/>
                <w:szCs w:val="28"/>
              </w:rPr>
              <w:t>17</w:t>
            </w:r>
            <w:r w:rsidRPr="00C0703C">
              <w:rPr>
                <w:rFonts w:ascii="標楷體" w:eastAsia="標楷體" w:hAnsi="標楷體" w:hint="eastAsia"/>
                <w:spacing w:val="-20"/>
                <w:sz w:val="28"/>
                <w:szCs w:val="28"/>
              </w:rPr>
              <w:t>日</w:t>
            </w:r>
          </w:p>
          <w:p w14:paraId="73EFFC43" w14:textId="77777777" w:rsidR="00421BB5" w:rsidRPr="00C0703C" w:rsidRDefault="00421BB5" w:rsidP="00421BB5">
            <w:pPr>
              <w:topLinePunct/>
              <w:spacing w:line="360" w:lineRule="exact"/>
              <w:ind w:leftChars="-29" w:left="-70" w:rightChars="-36" w:right="-86"/>
              <w:jc w:val="center"/>
              <w:rPr>
                <w:rFonts w:ascii="標楷體" w:eastAsia="標楷體" w:hAnsi="標楷體"/>
                <w:spacing w:val="-20"/>
                <w:sz w:val="28"/>
                <w:szCs w:val="28"/>
              </w:rPr>
            </w:pPr>
            <w:r w:rsidRPr="00C0703C">
              <w:rPr>
                <w:rFonts w:ascii="標楷體" w:eastAsia="標楷體" w:hAnsi="標楷體" w:hint="eastAsia"/>
                <w:spacing w:val="-20"/>
                <w:sz w:val="28"/>
                <w:szCs w:val="28"/>
              </w:rPr>
              <w:t>（星期一）</w:t>
            </w:r>
          </w:p>
        </w:tc>
        <w:tc>
          <w:tcPr>
            <w:tcW w:w="1560" w:type="dxa"/>
            <w:tcBorders>
              <w:top w:val="single" w:sz="8" w:space="0" w:color="auto"/>
              <w:bottom w:val="single" w:sz="8" w:space="0" w:color="auto"/>
            </w:tcBorders>
          </w:tcPr>
          <w:p w14:paraId="58AD8648" w14:textId="77777777" w:rsidR="00421BB5" w:rsidRPr="00C0703C" w:rsidRDefault="00421BB5" w:rsidP="00421BB5">
            <w:pPr>
              <w:topLinePunct/>
              <w:spacing w:line="360" w:lineRule="exact"/>
              <w:ind w:leftChars="-29" w:left="-70" w:rightChars="-36" w:right="-86"/>
              <w:jc w:val="both"/>
              <w:rPr>
                <w:rFonts w:ascii="標楷體" w:eastAsia="標楷體" w:hAnsi="標楷體"/>
                <w:sz w:val="28"/>
                <w:szCs w:val="28"/>
              </w:rPr>
            </w:pPr>
            <w:r w:rsidRPr="00C0703C">
              <w:rPr>
                <w:rFonts w:ascii="標楷體" w:eastAsia="標楷體" w:hAnsi="標楷體" w:hint="eastAsia"/>
                <w:sz w:val="28"/>
                <w:szCs w:val="28"/>
              </w:rPr>
              <w:t>陳委員歐珀（</w:t>
            </w:r>
            <w:r w:rsidRPr="00114EF9">
              <w:rPr>
                <w:rFonts w:ascii="標楷體" w:eastAsia="標楷體" w:hAnsi="標楷體" w:hint="eastAsia"/>
                <w:spacing w:val="-20"/>
                <w:sz w:val="28"/>
                <w:szCs w:val="28"/>
              </w:rPr>
              <w:t>黃委員世杰</w:t>
            </w:r>
            <w:r w:rsidRPr="00C0703C">
              <w:rPr>
                <w:rFonts w:ascii="標楷體" w:eastAsia="標楷體" w:hAnsi="標楷體" w:hint="eastAsia"/>
                <w:sz w:val="28"/>
                <w:szCs w:val="28"/>
              </w:rPr>
              <w:t>）</w:t>
            </w:r>
          </w:p>
        </w:tc>
        <w:tc>
          <w:tcPr>
            <w:tcW w:w="3401" w:type="dxa"/>
            <w:tcBorders>
              <w:top w:val="single" w:sz="8" w:space="0" w:color="auto"/>
              <w:bottom w:val="single" w:sz="8" w:space="0" w:color="auto"/>
            </w:tcBorders>
          </w:tcPr>
          <w:p w14:paraId="14056062" w14:textId="77777777" w:rsidR="00421BB5" w:rsidRPr="00C0703C" w:rsidRDefault="00421BB5" w:rsidP="00421BB5">
            <w:pPr>
              <w:topLinePunct/>
              <w:spacing w:line="360" w:lineRule="exact"/>
              <w:jc w:val="both"/>
              <w:rPr>
                <w:rFonts w:ascii="標楷體" w:eastAsia="標楷體" w:hAnsi="標楷體"/>
                <w:sz w:val="28"/>
                <w:szCs w:val="28"/>
              </w:rPr>
            </w:pPr>
            <w:r w:rsidRPr="00C0703C">
              <w:rPr>
                <w:rFonts w:ascii="標楷體" w:eastAsia="標楷體" w:hAnsi="標楷體" w:hint="eastAsia"/>
                <w:sz w:val="28"/>
                <w:szCs w:val="28"/>
              </w:rPr>
              <w:t>參訪臺灣桃園地方法院及考察臺灣桃園地方檢察署業務概況。</w:t>
            </w:r>
          </w:p>
        </w:tc>
        <w:tc>
          <w:tcPr>
            <w:tcW w:w="1543" w:type="dxa"/>
            <w:tcBorders>
              <w:top w:val="single" w:sz="8" w:space="0" w:color="auto"/>
              <w:bottom w:val="single" w:sz="8" w:space="0" w:color="auto"/>
            </w:tcBorders>
          </w:tcPr>
          <w:p w14:paraId="2D4F5C7B" w14:textId="77777777" w:rsidR="00421BB5" w:rsidRPr="00421BB5" w:rsidRDefault="0075245C" w:rsidP="00AA2B77">
            <w:pPr>
              <w:topLinePunct/>
              <w:spacing w:line="360" w:lineRule="exact"/>
              <w:rPr>
                <w:rFonts w:ascii="標楷體" w:eastAsia="標楷體" w:hAnsi="標楷體"/>
                <w:color w:val="000000" w:themeColor="text1"/>
                <w:sz w:val="28"/>
                <w:szCs w:val="28"/>
              </w:rPr>
            </w:pPr>
            <w:hyperlink w:anchor="桃園地院地檢" w:history="1">
              <w:r w:rsidR="00421BB5" w:rsidRPr="00421BB5">
                <w:rPr>
                  <w:rStyle w:val="af1"/>
                  <w:rFonts w:ascii="標楷體" w:eastAsia="標楷體" w:hAnsi="標楷體" w:hint="eastAsia"/>
                  <w:color w:val="000000" w:themeColor="text1"/>
                  <w:sz w:val="28"/>
                  <w:szCs w:val="28"/>
                  <w:u w:val="none"/>
                </w:rPr>
                <w:t>臺灣桃園地方法院及臺灣桃園地方檢察署</w:t>
              </w:r>
            </w:hyperlink>
          </w:p>
        </w:tc>
      </w:tr>
      <w:tr w:rsidR="00421BB5" w:rsidRPr="00C0703C" w14:paraId="4E752177" w14:textId="77777777" w:rsidTr="00421BB5">
        <w:trPr>
          <w:trHeight w:val="2416"/>
          <w:jc w:val="center"/>
        </w:trPr>
        <w:tc>
          <w:tcPr>
            <w:tcW w:w="538" w:type="dxa"/>
            <w:tcBorders>
              <w:top w:val="single" w:sz="8" w:space="0" w:color="auto"/>
              <w:bottom w:val="single" w:sz="8" w:space="0" w:color="auto"/>
            </w:tcBorders>
          </w:tcPr>
          <w:p w14:paraId="64C03483" w14:textId="77777777" w:rsidR="00421BB5" w:rsidRPr="00C0703C" w:rsidRDefault="00421BB5" w:rsidP="009A7576">
            <w:pPr>
              <w:topLinePunct/>
              <w:spacing w:line="360" w:lineRule="exact"/>
              <w:jc w:val="center"/>
              <w:rPr>
                <w:rFonts w:ascii="標楷體" w:eastAsia="標楷體" w:hAnsi="標楷體"/>
                <w:sz w:val="28"/>
                <w:szCs w:val="28"/>
              </w:rPr>
            </w:pPr>
            <w:r w:rsidRPr="00C0703C">
              <w:rPr>
                <w:rFonts w:ascii="標楷體" w:eastAsia="標楷體" w:hAnsi="標楷體" w:hint="eastAsia"/>
                <w:sz w:val="28"/>
                <w:szCs w:val="28"/>
              </w:rPr>
              <w:t>2</w:t>
            </w:r>
          </w:p>
        </w:tc>
        <w:tc>
          <w:tcPr>
            <w:tcW w:w="1999" w:type="dxa"/>
            <w:tcBorders>
              <w:top w:val="single" w:sz="8" w:space="0" w:color="auto"/>
              <w:bottom w:val="single" w:sz="8" w:space="0" w:color="auto"/>
            </w:tcBorders>
          </w:tcPr>
          <w:p w14:paraId="3CAB5FBB" w14:textId="77777777" w:rsidR="00421BB5" w:rsidRDefault="00421BB5" w:rsidP="00421BB5">
            <w:pPr>
              <w:topLinePunct/>
              <w:spacing w:line="360" w:lineRule="exact"/>
              <w:ind w:leftChars="-29" w:left="-70" w:rightChars="-36" w:right="-86"/>
              <w:jc w:val="center"/>
              <w:rPr>
                <w:rFonts w:ascii="標楷體" w:eastAsia="標楷體" w:hAnsi="標楷體"/>
                <w:spacing w:val="-20"/>
                <w:sz w:val="28"/>
                <w:szCs w:val="28"/>
              </w:rPr>
            </w:pPr>
            <w:r w:rsidRPr="00C0703C">
              <w:rPr>
                <w:rFonts w:ascii="標楷體" w:eastAsia="標楷體" w:hAnsi="標楷體" w:hint="eastAsia"/>
                <w:spacing w:val="-20"/>
                <w:sz w:val="28"/>
                <w:szCs w:val="28"/>
              </w:rPr>
              <w:t>111年</w:t>
            </w:r>
            <w:r w:rsidRPr="00C0703C">
              <w:rPr>
                <w:rFonts w:ascii="標楷體" w:eastAsia="標楷體" w:hAnsi="標楷體"/>
                <w:spacing w:val="-20"/>
                <w:sz w:val="28"/>
                <w:szCs w:val="28"/>
              </w:rPr>
              <w:t>10</w:t>
            </w:r>
            <w:r w:rsidRPr="00C0703C">
              <w:rPr>
                <w:rFonts w:ascii="標楷體" w:eastAsia="標楷體" w:hAnsi="標楷體" w:hint="eastAsia"/>
                <w:spacing w:val="-20"/>
                <w:sz w:val="28"/>
                <w:szCs w:val="28"/>
              </w:rPr>
              <w:t>月</w:t>
            </w:r>
            <w:r w:rsidRPr="00C0703C">
              <w:rPr>
                <w:rFonts w:ascii="標楷體" w:eastAsia="標楷體" w:hAnsi="標楷體"/>
                <w:spacing w:val="-20"/>
                <w:sz w:val="28"/>
                <w:szCs w:val="28"/>
              </w:rPr>
              <w:t>27</w:t>
            </w:r>
            <w:r w:rsidRPr="00C0703C">
              <w:rPr>
                <w:rFonts w:ascii="標楷體" w:eastAsia="標楷體" w:hAnsi="標楷體" w:hint="eastAsia"/>
                <w:spacing w:val="-20"/>
                <w:sz w:val="28"/>
                <w:szCs w:val="28"/>
              </w:rPr>
              <w:t>日</w:t>
            </w:r>
          </w:p>
          <w:p w14:paraId="1584501E" w14:textId="77777777" w:rsidR="00421BB5" w:rsidRPr="00C0703C" w:rsidRDefault="00421BB5" w:rsidP="00421BB5">
            <w:pPr>
              <w:topLinePunct/>
              <w:spacing w:line="360" w:lineRule="exact"/>
              <w:ind w:leftChars="-29" w:left="-70" w:rightChars="-36" w:right="-86"/>
              <w:jc w:val="center"/>
              <w:rPr>
                <w:rFonts w:ascii="標楷體" w:eastAsia="標楷體" w:hAnsi="標楷體"/>
                <w:spacing w:val="-20"/>
                <w:sz w:val="28"/>
                <w:szCs w:val="28"/>
              </w:rPr>
            </w:pPr>
            <w:r w:rsidRPr="00C0703C">
              <w:rPr>
                <w:rFonts w:ascii="標楷體" w:eastAsia="標楷體" w:hAnsi="標楷體" w:hint="eastAsia"/>
                <w:spacing w:val="-20"/>
                <w:sz w:val="28"/>
                <w:szCs w:val="28"/>
              </w:rPr>
              <w:t>（星期四）</w:t>
            </w:r>
          </w:p>
        </w:tc>
        <w:tc>
          <w:tcPr>
            <w:tcW w:w="1560" w:type="dxa"/>
            <w:tcBorders>
              <w:top w:val="single" w:sz="8" w:space="0" w:color="auto"/>
              <w:bottom w:val="single" w:sz="8" w:space="0" w:color="auto"/>
            </w:tcBorders>
          </w:tcPr>
          <w:p w14:paraId="100257CF" w14:textId="77777777" w:rsidR="00421BB5" w:rsidRPr="00C0703C" w:rsidRDefault="00421BB5" w:rsidP="00421BB5">
            <w:pPr>
              <w:topLinePunct/>
              <w:spacing w:line="360" w:lineRule="exact"/>
              <w:ind w:leftChars="-29" w:left="-70" w:rightChars="-36" w:right="-86"/>
              <w:jc w:val="both"/>
              <w:rPr>
                <w:rFonts w:ascii="標楷體" w:eastAsia="標楷體" w:hAnsi="標楷體"/>
                <w:sz w:val="28"/>
                <w:szCs w:val="28"/>
              </w:rPr>
            </w:pPr>
            <w:r w:rsidRPr="00C0703C">
              <w:rPr>
                <w:rFonts w:ascii="標楷體" w:eastAsia="標楷體" w:hAnsi="標楷體" w:hint="eastAsia"/>
                <w:sz w:val="28"/>
                <w:szCs w:val="28"/>
              </w:rPr>
              <w:t>林委員思銘</w:t>
            </w:r>
          </w:p>
        </w:tc>
        <w:tc>
          <w:tcPr>
            <w:tcW w:w="3401" w:type="dxa"/>
            <w:tcBorders>
              <w:top w:val="single" w:sz="8" w:space="0" w:color="auto"/>
              <w:bottom w:val="single" w:sz="8" w:space="0" w:color="auto"/>
            </w:tcBorders>
          </w:tcPr>
          <w:p w14:paraId="44EF498F" w14:textId="77777777" w:rsidR="00421BB5" w:rsidRPr="00C0703C" w:rsidRDefault="00421BB5" w:rsidP="00421BB5">
            <w:pPr>
              <w:topLinePunct/>
              <w:spacing w:line="360" w:lineRule="exact"/>
              <w:jc w:val="both"/>
              <w:rPr>
                <w:rFonts w:ascii="標楷體" w:eastAsia="標楷體" w:hAnsi="標楷體"/>
                <w:sz w:val="28"/>
                <w:szCs w:val="28"/>
              </w:rPr>
            </w:pPr>
            <w:r w:rsidRPr="00C0703C">
              <w:rPr>
                <w:rFonts w:ascii="標楷體" w:eastAsia="標楷體" w:hAnsi="標楷體" w:hint="eastAsia"/>
                <w:sz w:val="28"/>
                <w:szCs w:val="28"/>
              </w:rPr>
              <w:t>參訪臺灣新竹地方法院及考察臺灣新竹地方檢察署業務概況</w:t>
            </w:r>
            <w:r w:rsidRPr="00C0703C">
              <w:rPr>
                <w:rFonts w:ascii="標楷體" w:eastAsia="標楷體" w:hAnsi="標楷體"/>
                <w:sz w:val="28"/>
                <w:szCs w:val="28"/>
              </w:rPr>
              <w:t>，</w:t>
            </w:r>
            <w:r w:rsidRPr="00C0703C">
              <w:rPr>
                <w:rFonts w:ascii="標楷體" w:eastAsia="標楷體" w:hAnsi="標楷體" w:hint="eastAsia"/>
                <w:sz w:val="28"/>
                <w:szCs w:val="28"/>
              </w:rPr>
              <w:t>並針對112年起施行之國民法官制度，進行參訪國民法官法庭之整備狀況及相關實際模擬演練。</w:t>
            </w:r>
          </w:p>
        </w:tc>
        <w:tc>
          <w:tcPr>
            <w:tcW w:w="1543" w:type="dxa"/>
            <w:tcBorders>
              <w:top w:val="single" w:sz="8" w:space="0" w:color="auto"/>
              <w:bottom w:val="single" w:sz="8" w:space="0" w:color="auto"/>
            </w:tcBorders>
          </w:tcPr>
          <w:p w14:paraId="2AE5D6FB" w14:textId="77777777" w:rsidR="00421BB5" w:rsidRPr="00421BB5" w:rsidRDefault="0075245C" w:rsidP="00AA2B77">
            <w:pPr>
              <w:topLinePunct/>
              <w:spacing w:line="360" w:lineRule="exact"/>
              <w:rPr>
                <w:rFonts w:ascii="標楷體" w:eastAsia="標楷體" w:hAnsi="標楷體"/>
                <w:color w:val="000000" w:themeColor="text1"/>
                <w:sz w:val="28"/>
                <w:szCs w:val="28"/>
              </w:rPr>
            </w:pPr>
            <w:hyperlink w:anchor="新竹地院地檢" w:history="1">
              <w:r w:rsidR="00421BB5" w:rsidRPr="00421BB5">
                <w:rPr>
                  <w:rStyle w:val="af1"/>
                  <w:rFonts w:ascii="標楷體" w:eastAsia="標楷體" w:hAnsi="標楷體" w:hint="eastAsia"/>
                  <w:color w:val="000000" w:themeColor="text1"/>
                  <w:sz w:val="28"/>
                  <w:szCs w:val="28"/>
                  <w:u w:val="none"/>
                </w:rPr>
                <w:t>臺灣新竹地方法院及臺灣新竹地方檢察署</w:t>
              </w:r>
            </w:hyperlink>
          </w:p>
        </w:tc>
      </w:tr>
      <w:tr w:rsidR="00421BB5" w:rsidRPr="00C0703C" w14:paraId="66EF13F7" w14:textId="77777777" w:rsidTr="00421BB5">
        <w:trPr>
          <w:trHeight w:val="1545"/>
          <w:jc w:val="center"/>
        </w:trPr>
        <w:tc>
          <w:tcPr>
            <w:tcW w:w="538" w:type="dxa"/>
            <w:tcBorders>
              <w:top w:val="single" w:sz="8" w:space="0" w:color="auto"/>
              <w:bottom w:val="single" w:sz="8" w:space="0" w:color="auto"/>
            </w:tcBorders>
          </w:tcPr>
          <w:p w14:paraId="7E91BA9A" w14:textId="77777777" w:rsidR="00421BB5" w:rsidRPr="00C0703C" w:rsidRDefault="00421BB5" w:rsidP="009A7576">
            <w:pPr>
              <w:topLinePunct/>
              <w:spacing w:line="360" w:lineRule="exact"/>
              <w:jc w:val="center"/>
              <w:rPr>
                <w:rFonts w:ascii="標楷體" w:eastAsia="標楷體" w:hAnsi="標楷體"/>
                <w:sz w:val="28"/>
                <w:szCs w:val="28"/>
              </w:rPr>
            </w:pPr>
            <w:r w:rsidRPr="00C0703C">
              <w:rPr>
                <w:rFonts w:ascii="標楷體" w:eastAsia="標楷體" w:hAnsi="標楷體" w:hint="eastAsia"/>
                <w:sz w:val="28"/>
                <w:szCs w:val="28"/>
              </w:rPr>
              <w:t>3</w:t>
            </w:r>
          </w:p>
        </w:tc>
        <w:tc>
          <w:tcPr>
            <w:tcW w:w="1999" w:type="dxa"/>
            <w:tcBorders>
              <w:top w:val="single" w:sz="8" w:space="0" w:color="auto"/>
              <w:bottom w:val="single" w:sz="8" w:space="0" w:color="auto"/>
            </w:tcBorders>
          </w:tcPr>
          <w:p w14:paraId="37B0A71F" w14:textId="77777777" w:rsidR="00421BB5" w:rsidRDefault="00421BB5" w:rsidP="00421BB5">
            <w:pPr>
              <w:topLinePunct/>
              <w:spacing w:line="360" w:lineRule="exact"/>
              <w:ind w:leftChars="-29" w:left="-70" w:rightChars="-36" w:right="-86"/>
              <w:jc w:val="center"/>
              <w:rPr>
                <w:rFonts w:ascii="標楷體" w:eastAsia="標楷體" w:hAnsi="標楷體"/>
                <w:spacing w:val="-20"/>
                <w:sz w:val="28"/>
                <w:szCs w:val="28"/>
              </w:rPr>
            </w:pPr>
            <w:r w:rsidRPr="00C0703C">
              <w:rPr>
                <w:rFonts w:ascii="標楷體" w:eastAsia="標楷體" w:hAnsi="標楷體" w:hint="eastAsia"/>
                <w:spacing w:val="-20"/>
                <w:sz w:val="28"/>
                <w:szCs w:val="28"/>
              </w:rPr>
              <w:t>111年</w:t>
            </w:r>
            <w:r w:rsidRPr="00C0703C">
              <w:rPr>
                <w:rFonts w:ascii="標楷體" w:eastAsia="標楷體" w:hAnsi="標楷體"/>
                <w:spacing w:val="-20"/>
                <w:sz w:val="28"/>
                <w:szCs w:val="28"/>
              </w:rPr>
              <w:t>10</w:t>
            </w:r>
            <w:r w:rsidRPr="00C0703C">
              <w:rPr>
                <w:rFonts w:ascii="標楷體" w:eastAsia="標楷體" w:hAnsi="標楷體" w:hint="eastAsia"/>
                <w:spacing w:val="-20"/>
                <w:sz w:val="28"/>
                <w:szCs w:val="28"/>
              </w:rPr>
              <w:t>月</w:t>
            </w:r>
            <w:r w:rsidRPr="00C0703C">
              <w:rPr>
                <w:rFonts w:ascii="標楷體" w:eastAsia="標楷體" w:hAnsi="標楷體"/>
                <w:spacing w:val="-20"/>
                <w:sz w:val="28"/>
                <w:szCs w:val="28"/>
              </w:rPr>
              <w:t>31</w:t>
            </w:r>
            <w:r w:rsidRPr="00C0703C">
              <w:rPr>
                <w:rFonts w:ascii="標楷體" w:eastAsia="標楷體" w:hAnsi="標楷體" w:hint="eastAsia"/>
                <w:spacing w:val="-20"/>
                <w:sz w:val="28"/>
                <w:szCs w:val="28"/>
              </w:rPr>
              <w:t>日</w:t>
            </w:r>
          </w:p>
          <w:p w14:paraId="0F082FCC" w14:textId="77777777" w:rsidR="00421BB5" w:rsidRPr="00C0703C" w:rsidRDefault="00421BB5" w:rsidP="00421BB5">
            <w:pPr>
              <w:topLinePunct/>
              <w:spacing w:line="360" w:lineRule="exact"/>
              <w:ind w:leftChars="-29" w:left="-70" w:rightChars="-36" w:right="-86"/>
              <w:jc w:val="center"/>
              <w:rPr>
                <w:rFonts w:ascii="標楷體" w:eastAsia="標楷體" w:hAnsi="標楷體"/>
                <w:spacing w:val="-20"/>
                <w:sz w:val="28"/>
                <w:szCs w:val="28"/>
              </w:rPr>
            </w:pPr>
            <w:r w:rsidRPr="00C0703C">
              <w:rPr>
                <w:rFonts w:ascii="標楷體" w:eastAsia="標楷體" w:hAnsi="標楷體" w:hint="eastAsia"/>
                <w:spacing w:val="-20"/>
                <w:sz w:val="28"/>
                <w:szCs w:val="28"/>
              </w:rPr>
              <w:t>（星期一）</w:t>
            </w:r>
          </w:p>
        </w:tc>
        <w:tc>
          <w:tcPr>
            <w:tcW w:w="1560" w:type="dxa"/>
            <w:tcBorders>
              <w:top w:val="single" w:sz="8" w:space="0" w:color="auto"/>
              <w:bottom w:val="single" w:sz="8" w:space="0" w:color="auto"/>
            </w:tcBorders>
          </w:tcPr>
          <w:p w14:paraId="481E6F4A" w14:textId="77777777" w:rsidR="00421BB5" w:rsidRPr="00C0703C" w:rsidRDefault="00421BB5" w:rsidP="00421BB5">
            <w:pPr>
              <w:topLinePunct/>
              <w:spacing w:line="360" w:lineRule="exact"/>
              <w:ind w:leftChars="-29" w:left="-70" w:rightChars="-36" w:right="-86"/>
              <w:jc w:val="both"/>
              <w:rPr>
                <w:rFonts w:ascii="標楷體" w:eastAsia="標楷體" w:hAnsi="標楷體"/>
                <w:sz w:val="28"/>
                <w:szCs w:val="28"/>
              </w:rPr>
            </w:pPr>
            <w:r w:rsidRPr="00C0703C">
              <w:rPr>
                <w:rFonts w:ascii="標楷體" w:eastAsia="標楷體" w:hAnsi="標楷體" w:hint="eastAsia"/>
                <w:sz w:val="28"/>
                <w:szCs w:val="28"/>
              </w:rPr>
              <w:t>陳委員歐珀</w:t>
            </w:r>
          </w:p>
        </w:tc>
        <w:tc>
          <w:tcPr>
            <w:tcW w:w="3401" w:type="dxa"/>
            <w:tcBorders>
              <w:top w:val="single" w:sz="8" w:space="0" w:color="auto"/>
              <w:bottom w:val="single" w:sz="8" w:space="0" w:color="auto"/>
            </w:tcBorders>
          </w:tcPr>
          <w:p w14:paraId="52A03CFA" w14:textId="7632573A" w:rsidR="00421BB5" w:rsidRPr="00C0703C" w:rsidRDefault="00421BB5" w:rsidP="00421BB5">
            <w:pPr>
              <w:topLinePunct/>
              <w:spacing w:line="360" w:lineRule="exact"/>
              <w:jc w:val="both"/>
              <w:rPr>
                <w:rFonts w:ascii="標楷體" w:eastAsia="標楷體" w:hAnsi="標楷體"/>
                <w:sz w:val="28"/>
                <w:szCs w:val="28"/>
              </w:rPr>
            </w:pPr>
            <w:r w:rsidRPr="00C0703C">
              <w:rPr>
                <w:rFonts w:ascii="標楷體" w:eastAsia="標楷體" w:hAnsi="標楷體" w:hint="eastAsia"/>
                <w:sz w:val="28"/>
                <w:szCs w:val="28"/>
              </w:rPr>
              <w:t>考察法務部矯正署臺北監獄及八德外役監獄，比較監獄行刑與中間性處遇之差異</w:t>
            </w:r>
            <w:r w:rsidR="00544CB2">
              <w:rPr>
                <w:rFonts w:ascii="標楷體" w:eastAsia="標楷體" w:hAnsi="標楷體" w:hint="eastAsia"/>
                <w:sz w:val="28"/>
                <w:szCs w:val="28"/>
              </w:rPr>
              <w:t>。</w:t>
            </w:r>
          </w:p>
        </w:tc>
        <w:tc>
          <w:tcPr>
            <w:tcW w:w="1543" w:type="dxa"/>
            <w:tcBorders>
              <w:top w:val="single" w:sz="8" w:space="0" w:color="auto"/>
              <w:bottom w:val="single" w:sz="8" w:space="0" w:color="auto"/>
            </w:tcBorders>
          </w:tcPr>
          <w:p w14:paraId="68502D84" w14:textId="77777777" w:rsidR="00421BB5" w:rsidRPr="00421BB5" w:rsidRDefault="0075245C" w:rsidP="00AA2B77">
            <w:pPr>
              <w:topLinePunct/>
              <w:spacing w:line="360" w:lineRule="exact"/>
              <w:rPr>
                <w:rFonts w:ascii="標楷體" w:eastAsia="標楷體" w:hAnsi="標楷體"/>
                <w:color w:val="000000" w:themeColor="text1"/>
                <w:sz w:val="28"/>
                <w:szCs w:val="28"/>
              </w:rPr>
            </w:pPr>
            <w:hyperlink w:anchor="北監、八德外役監" w:history="1">
              <w:r w:rsidR="00421BB5" w:rsidRPr="00421BB5">
                <w:rPr>
                  <w:rStyle w:val="af1"/>
                  <w:rFonts w:ascii="標楷體" w:eastAsia="標楷體" w:hAnsi="標楷體" w:hint="eastAsia"/>
                  <w:color w:val="000000" w:themeColor="text1"/>
                  <w:sz w:val="28"/>
                  <w:szCs w:val="28"/>
                  <w:u w:val="none"/>
                </w:rPr>
                <w:t>臺北監獄及八德外役監獄</w:t>
              </w:r>
            </w:hyperlink>
          </w:p>
        </w:tc>
      </w:tr>
      <w:tr w:rsidR="00421BB5" w:rsidRPr="006C2C24" w14:paraId="55D8A512" w14:textId="77777777" w:rsidTr="00421BB5">
        <w:trPr>
          <w:trHeight w:val="1545"/>
          <w:jc w:val="center"/>
        </w:trPr>
        <w:tc>
          <w:tcPr>
            <w:tcW w:w="538" w:type="dxa"/>
            <w:tcBorders>
              <w:top w:val="single" w:sz="8" w:space="0" w:color="auto"/>
              <w:left w:val="single" w:sz="18" w:space="0" w:color="auto"/>
              <w:bottom w:val="single" w:sz="18" w:space="0" w:color="auto"/>
              <w:right w:val="single" w:sz="8" w:space="0" w:color="auto"/>
            </w:tcBorders>
          </w:tcPr>
          <w:p w14:paraId="7CDDE3F6" w14:textId="77777777" w:rsidR="00421BB5" w:rsidRPr="00443A13" w:rsidRDefault="00421BB5" w:rsidP="009A7576">
            <w:pPr>
              <w:topLinePunct/>
              <w:spacing w:line="360" w:lineRule="exact"/>
              <w:jc w:val="center"/>
              <w:rPr>
                <w:rFonts w:ascii="標楷體" w:eastAsia="標楷體" w:hAnsi="標楷體"/>
                <w:sz w:val="28"/>
                <w:szCs w:val="28"/>
              </w:rPr>
            </w:pPr>
            <w:r w:rsidRPr="00443A13">
              <w:rPr>
                <w:rFonts w:ascii="標楷體" w:eastAsia="標楷體" w:hAnsi="標楷體" w:hint="eastAsia"/>
                <w:sz w:val="28"/>
                <w:szCs w:val="28"/>
              </w:rPr>
              <w:t>4</w:t>
            </w:r>
          </w:p>
        </w:tc>
        <w:tc>
          <w:tcPr>
            <w:tcW w:w="1999" w:type="dxa"/>
            <w:tcBorders>
              <w:top w:val="single" w:sz="8" w:space="0" w:color="auto"/>
              <w:left w:val="single" w:sz="4" w:space="0" w:color="auto"/>
              <w:bottom w:val="single" w:sz="18" w:space="0" w:color="auto"/>
              <w:right w:val="single" w:sz="8" w:space="0" w:color="auto"/>
            </w:tcBorders>
          </w:tcPr>
          <w:p w14:paraId="677F5085" w14:textId="77777777" w:rsidR="00421BB5" w:rsidRPr="00443A13" w:rsidRDefault="00421BB5" w:rsidP="00421BB5">
            <w:pPr>
              <w:topLinePunct/>
              <w:spacing w:line="360" w:lineRule="exact"/>
              <w:ind w:leftChars="-29" w:left="-70" w:rightChars="-36" w:right="-86"/>
              <w:jc w:val="center"/>
              <w:rPr>
                <w:rFonts w:ascii="標楷體" w:eastAsia="標楷體" w:hAnsi="標楷體"/>
                <w:spacing w:val="-20"/>
                <w:sz w:val="28"/>
                <w:szCs w:val="28"/>
              </w:rPr>
            </w:pPr>
            <w:r w:rsidRPr="00443A13">
              <w:rPr>
                <w:rFonts w:ascii="標楷體" w:eastAsia="標楷體" w:hAnsi="標楷體" w:hint="eastAsia"/>
                <w:spacing w:val="-20"/>
                <w:sz w:val="28"/>
                <w:szCs w:val="28"/>
              </w:rPr>
              <w:t>111年</w:t>
            </w:r>
            <w:r w:rsidRPr="00443A13">
              <w:rPr>
                <w:rFonts w:ascii="標楷體" w:eastAsia="標楷體" w:hAnsi="標楷體"/>
                <w:spacing w:val="-20"/>
                <w:sz w:val="28"/>
                <w:szCs w:val="28"/>
              </w:rPr>
              <w:t>12</w:t>
            </w:r>
            <w:r w:rsidRPr="00443A13">
              <w:rPr>
                <w:rFonts w:ascii="標楷體" w:eastAsia="標楷體" w:hAnsi="標楷體" w:hint="eastAsia"/>
                <w:spacing w:val="-20"/>
                <w:sz w:val="28"/>
                <w:szCs w:val="28"/>
              </w:rPr>
              <w:t>月</w:t>
            </w:r>
            <w:r w:rsidRPr="00443A13">
              <w:rPr>
                <w:rFonts w:ascii="標楷體" w:eastAsia="標楷體" w:hAnsi="標楷體"/>
                <w:spacing w:val="-20"/>
                <w:sz w:val="28"/>
                <w:szCs w:val="28"/>
              </w:rPr>
              <w:t>19</w:t>
            </w:r>
            <w:r w:rsidRPr="00443A13">
              <w:rPr>
                <w:rFonts w:ascii="標楷體" w:eastAsia="標楷體" w:hAnsi="標楷體" w:hint="eastAsia"/>
                <w:spacing w:val="-20"/>
                <w:sz w:val="28"/>
                <w:szCs w:val="28"/>
              </w:rPr>
              <w:t>日（星期一）</w:t>
            </w:r>
          </w:p>
        </w:tc>
        <w:tc>
          <w:tcPr>
            <w:tcW w:w="1560" w:type="dxa"/>
            <w:tcBorders>
              <w:top w:val="single" w:sz="8" w:space="0" w:color="auto"/>
              <w:left w:val="single" w:sz="4" w:space="0" w:color="auto"/>
              <w:bottom w:val="single" w:sz="18" w:space="0" w:color="auto"/>
              <w:right w:val="single" w:sz="8" w:space="0" w:color="auto"/>
            </w:tcBorders>
          </w:tcPr>
          <w:p w14:paraId="1A40FDC6" w14:textId="77777777" w:rsidR="00421BB5" w:rsidRPr="00443A13" w:rsidRDefault="00421BB5" w:rsidP="00421BB5">
            <w:pPr>
              <w:topLinePunct/>
              <w:spacing w:line="360" w:lineRule="exact"/>
              <w:ind w:leftChars="-29" w:left="-70" w:rightChars="-36" w:right="-86"/>
              <w:jc w:val="both"/>
              <w:rPr>
                <w:rFonts w:ascii="標楷體" w:eastAsia="標楷體" w:hAnsi="標楷體"/>
                <w:sz w:val="28"/>
                <w:szCs w:val="28"/>
              </w:rPr>
            </w:pPr>
            <w:r w:rsidRPr="00443A13">
              <w:rPr>
                <w:rFonts w:ascii="標楷體" w:eastAsia="標楷體" w:hAnsi="標楷體" w:hint="eastAsia"/>
                <w:sz w:val="28"/>
                <w:szCs w:val="28"/>
              </w:rPr>
              <w:t>林委員思銘</w:t>
            </w:r>
          </w:p>
        </w:tc>
        <w:tc>
          <w:tcPr>
            <w:tcW w:w="3401" w:type="dxa"/>
            <w:tcBorders>
              <w:top w:val="single" w:sz="8" w:space="0" w:color="auto"/>
              <w:left w:val="single" w:sz="4" w:space="0" w:color="auto"/>
              <w:bottom w:val="single" w:sz="18" w:space="0" w:color="auto"/>
              <w:right w:val="single" w:sz="8" w:space="0" w:color="auto"/>
            </w:tcBorders>
          </w:tcPr>
          <w:p w14:paraId="4A544748" w14:textId="7BF50447" w:rsidR="00421BB5" w:rsidRPr="00443A13" w:rsidRDefault="00421BB5" w:rsidP="00421BB5">
            <w:pPr>
              <w:topLinePunct/>
              <w:spacing w:line="360" w:lineRule="exact"/>
              <w:jc w:val="both"/>
              <w:rPr>
                <w:rFonts w:ascii="標楷體" w:eastAsia="標楷體" w:hAnsi="標楷體"/>
                <w:sz w:val="28"/>
                <w:szCs w:val="28"/>
              </w:rPr>
            </w:pPr>
            <w:r w:rsidRPr="00443A13">
              <w:rPr>
                <w:rFonts w:ascii="標楷體" w:eastAsia="標楷體" w:hAnsi="標楷體" w:hint="eastAsia"/>
                <w:sz w:val="28"/>
                <w:szCs w:val="28"/>
              </w:rPr>
              <w:t>考察財政部關務署基隆關「有關毒品防制及查緝相關部分，在海運快遞及雜貨櫃通關業務之執行情形」</w:t>
            </w:r>
            <w:r w:rsidR="00B9699B">
              <w:rPr>
                <w:rFonts w:ascii="標楷體" w:eastAsia="標楷體" w:hAnsi="標楷體" w:hint="eastAsia"/>
                <w:sz w:val="28"/>
                <w:szCs w:val="28"/>
              </w:rPr>
              <w:t>。</w:t>
            </w:r>
          </w:p>
        </w:tc>
        <w:tc>
          <w:tcPr>
            <w:tcW w:w="1543" w:type="dxa"/>
            <w:tcBorders>
              <w:top w:val="single" w:sz="8" w:space="0" w:color="auto"/>
              <w:left w:val="single" w:sz="4" w:space="0" w:color="auto"/>
              <w:bottom w:val="single" w:sz="18" w:space="0" w:color="auto"/>
              <w:right w:val="single" w:sz="18" w:space="0" w:color="auto"/>
            </w:tcBorders>
          </w:tcPr>
          <w:p w14:paraId="1E3F7165" w14:textId="77777777" w:rsidR="00421BB5" w:rsidRPr="00421BB5" w:rsidRDefault="0075245C" w:rsidP="00AA2B77">
            <w:pPr>
              <w:topLinePunct/>
              <w:spacing w:line="360" w:lineRule="exact"/>
              <w:rPr>
                <w:rFonts w:ascii="標楷體" w:eastAsia="標楷體" w:hAnsi="標楷體"/>
                <w:color w:val="000000" w:themeColor="text1"/>
                <w:sz w:val="28"/>
                <w:szCs w:val="28"/>
              </w:rPr>
            </w:pPr>
            <w:hyperlink w:anchor="財政部關務署" w:history="1">
              <w:r w:rsidR="00421BB5" w:rsidRPr="00421BB5">
                <w:rPr>
                  <w:rStyle w:val="af1"/>
                  <w:rFonts w:ascii="標楷體" w:eastAsia="標楷體" w:hAnsi="標楷體" w:hint="eastAsia"/>
                  <w:color w:val="000000" w:themeColor="text1"/>
                  <w:sz w:val="28"/>
                  <w:szCs w:val="28"/>
                  <w:u w:val="none"/>
                </w:rPr>
                <w:t>1.財政部關務署</w:t>
              </w:r>
            </w:hyperlink>
          </w:p>
          <w:p w14:paraId="02EDFA2D" w14:textId="77777777" w:rsidR="00421BB5" w:rsidRPr="00421BB5" w:rsidRDefault="0075245C" w:rsidP="00AA2B77">
            <w:pPr>
              <w:topLinePunct/>
              <w:spacing w:line="360" w:lineRule="exact"/>
              <w:rPr>
                <w:rFonts w:ascii="標楷體" w:eastAsia="標楷體" w:hAnsi="標楷體"/>
                <w:color w:val="000000" w:themeColor="text1"/>
                <w:sz w:val="28"/>
                <w:szCs w:val="28"/>
              </w:rPr>
            </w:pPr>
            <w:hyperlink w:anchor="法務部" w:history="1">
              <w:r w:rsidR="00421BB5" w:rsidRPr="00421BB5">
                <w:rPr>
                  <w:rStyle w:val="af1"/>
                  <w:rFonts w:ascii="標楷體" w:eastAsia="標楷體" w:hAnsi="標楷體" w:hint="eastAsia"/>
                  <w:color w:val="000000" w:themeColor="text1"/>
                  <w:sz w:val="28"/>
                  <w:szCs w:val="28"/>
                  <w:u w:val="none"/>
                </w:rPr>
                <w:t>2.法務部</w:t>
              </w:r>
            </w:hyperlink>
          </w:p>
          <w:p w14:paraId="7EA33296" w14:textId="77777777" w:rsidR="00421BB5" w:rsidRPr="00421BB5" w:rsidRDefault="0075245C" w:rsidP="00AA2B77">
            <w:pPr>
              <w:topLinePunct/>
              <w:spacing w:line="360" w:lineRule="exact"/>
              <w:rPr>
                <w:rFonts w:ascii="標楷體" w:eastAsia="標楷體" w:hAnsi="標楷體"/>
                <w:color w:val="000000" w:themeColor="text1"/>
                <w:sz w:val="28"/>
                <w:szCs w:val="28"/>
              </w:rPr>
            </w:pPr>
            <w:hyperlink w:anchor="法務部調查局" w:history="1">
              <w:r w:rsidR="00421BB5" w:rsidRPr="00421BB5">
                <w:rPr>
                  <w:rStyle w:val="af1"/>
                  <w:rFonts w:ascii="標楷體" w:eastAsia="標楷體" w:hAnsi="標楷體" w:hint="eastAsia"/>
                  <w:color w:val="000000" w:themeColor="text1"/>
                  <w:sz w:val="28"/>
                  <w:szCs w:val="28"/>
                  <w:u w:val="none"/>
                </w:rPr>
                <w:t>3.</w:t>
              </w:r>
              <w:r w:rsidR="00421BB5" w:rsidRPr="00421BB5">
                <w:rPr>
                  <w:rStyle w:val="af1"/>
                  <w:rFonts w:ascii="標楷體" w:eastAsia="標楷體" w:hAnsi="標楷體"/>
                  <w:color w:val="000000" w:themeColor="text1"/>
                  <w:sz w:val="28"/>
                  <w:szCs w:val="28"/>
                  <w:u w:val="none"/>
                </w:rPr>
                <w:t>法務部調查局</w:t>
              </w:r>
            </w:hyperlink>
          </w:p>
        </w:tc>
      </w:tr>
    </w:tbl>
    <w:p w14:paraId="1C47B131" w14:textId="77777777" w:rsidR="008A1F10" w:rsidRDefault="00421BB5" w:rsidP="00421BB5">
      <w:pPr>
        <w:tabs>
          <w:tab w:val="left" w:pos="1134"/>
          <w:tab w:val="left" w:pos="1902"/>
        </w:tabs>
        <w:topLinePunct/>
        <w:spacing w:line="500" w:lineRule="exact"/>
        <w:jc w:val="distribute"/>
        <w:outlineLvl w:val="2"/>
        <w:rPr>
          <w:rFonts w:ascii="標楷體" w:eastAsia="標楷體" w:hAnsi="標楷體" w:cs="BiauKai"/>
          <w:b/>
          <w:color w:val="000000"/>
          <w:sz w:val="32"/>
          <w:szCs w:val="40"/>
        </w:rPr>
      </w:pPr>
      <w:r w:rsidRPr="00A65A88">
        <w:rPr>
          <w:rFonts w:ascii="標楷體" w:eastAsia="標楷體" w:hAnsi="標楷體" w:cs="BiauKai"/>
          <w:b/>
          <w:color w:val="000000"/>
          <w:sz w:val="32"/>
          <w:szCs w:val="40"/>
        </w:rPr>
        <w:br w:type="page"/>
      </w:r>
      <w:bookmarkStart w:id="535" w:name="桃園地院地檢"/>
      <w:bookmarkStart w:id="536" w:name="臺北地院"/>
    </w:p>
    <w:p w14:paraId="3F8D4C0A" w14:textId="7FB24DC2" w:rsidR="008A1F10" w:rsidRDefault="008A1F10" w:rsidP="006A099A">
      <w:pPr>
        <w:spacing w:afterLines="50" w:after="180" w:line="500" w:lineRule="exact"/>
        <w:outlineLvl w:val="2"/>
        <w:rPr>
          <w:rFonts w:ascii="標楷體" w:eastAsia="標楷體" w:hAnsi="標楷體"/>
          <w:b/>
          <w:sz w:val="36"/>
          <w:szCs w:val="36"/>
        </w:rPr>
      </w:pPr>
      <w:r>
        <w:rPr>
          <w:rFonts w:ascii="標楷體" w:eastAsia="標楷體" w:hAnsi="標楷體" w:hint="eastAsia"/>
          <w:b/>
          <w:sz w:val="36"/>
          <w:szCs w:val="36"/>
        </w:rPr>
        <w:lastRenderedPageBreak/>
        <w:t>立法院司法及法制委員會參訪臺灣桃園地方法院及</w:t>
      </w:r>
      <w:r w:rsidR="004A4BB5">
        <w:rPr>
          <w:rFonts w:ascii="標楷體" w:eastAsia="標楷體" w:hAnsi="標楷體" w:hint="eastAsia"/>
          <w:b/>
          <w:sz w:val="36"/>
          <w:szCs w:val="36"/>
        </w:rPr>
        <w:t>考察</w:t>
      </w:r>
      <w:r>
        <w:rPr>
          <w:rFonts w:ascii="標楷體" w:eastAsia="標楷體" w:hAnsi="標楷體" w:hint="eastAsia"/>
          <w:b/>
          <w:sz w:val="36"/>
          <w:szCs w:val="36"/>
        </w:rPr>
        <w:t>臺灣桃園地方檢察署會議紀錄</w:t>
      </w:r>
    </w:p>
    <w:bookmarkEnd w:id="535"/>
    <w:p w14:paraId="17FE7A91" w14:textId="77777777" w:rsidR="00421BB5" w:rsidRPr="00A777B5" w:rsidRDefault="00421BB5" w:rsidP="00421BB5">
      <w:pPr>
        <w:topLinePunct/>
        <w:spacing w:line="440" w:lineRule="exact"/>
        <w:jc w:val="both"/>
        <w:rPr>
          <w:rFonts w:ascii="標楷體" w:eastAsia="標楷體" w:hAnsi="標楷體"/>
          <w:sz w:val="28"/>
          <w:szCs w:val="28"/>
        </w:rPr>
      </w:pPr>
      <w:r w:rsidRPr="00A777B5">
        <w:rPr>
          <w:rFonts w:ascii="標楷體" w:eastAsia="標楷體" w:hAnsi="標楷體" w:hint="eastAsia"/>
          <w:sz w:val="28"/>
          <w:szCs w:val="28"/>
        </w:rPr>
        <w:t>時</w:t>
      </w:r>
      <w:r>
        <w:rPr>
          <w:rFonts w:ascii="標楷體" w:eastAsia="標楷體" w:hAnsi="標楷體" w:hint="eastAsia"/>
          <w:sz w:val="28"/>
          <w:szCs w:val="28"/>
        </w:rPr>
        <w:t xml:space="preserve">    </w:t>
      </w:r>
      <w:r w:rsidRPr="00A777B5">
        <w:rPr>
          <w:rFonts w:ascii="標楷體" w:eastAsia="標楷體" w:hAnsi="標楷體" w:hint="eastAsia"/>
          <w:sz w:val="28"/>
          <w:szCs w:val="28"/>
        </w:rPr>
        <w:t>間：111年10月17日10時3</w:t>
      </w:r>
      <w:r w:rsidRPr="00A777B5">
        <w:rPr>
          <w:rFonts w:ascii="標楷體" w:eastAsia="標楷體" w:hAnsi="標楷體"/>
          <w:sz w:val="28"/>
          <w:szCs w:val="28"/>
        </w:rPr>
        <w:t>0</w:t>
      </w:r>
      <w:r w:rsidRPr="00A777B5">
        <w:rPr>
          <w:rFonts w:ascii="標楷體" w:eastAsia="標楷體" w:hAnsi="標楷體" w:hint="eastAsia"/>
          <w:sz w:val="28"/>
          <w:szCs w:val="28"/>
        </w:rPr>
        <w:t>分</w:t>
      </w:r>
    </w:p>
    <w:p w14:paraId="18B0D50F" w14:textId="77777777" w:rsidR="00421BB5" w:rsidRPr="00A777B5" w:rsidRDefault="00421BB5" w:rsidP="00421BB5">
      <w:pPr>
        <w:topLinePunct/>
        <w:spacing w:line="440" w:lineRule="exact"/>
        <w:jc w:val="both"/>
        <w:rPr>
          <w:rFonts w:ascii="標楷體" w:eastAsia="標楷體" w:hAnsi="標楷體"/>
          <w:sz w:val="28"/>
          <w:szCs w:val="28"/>
        </w:rPr>
      </w:pPr>
      <w:r w:rsidRPr="00A777B5">
        <w:rPr>
          <w:rFonts w:ascii="標楷體" w:eastAsia="標楷體" w:hAnsi="標楷體" w:hint="eastAsia"/>
          <w:sz w:val="28"/>
          <w:szCs w:val="28"/>
        </w:rPr>
        <w:t>地</w:t>
      </w:r>
      <w:r>
        <w:rPr>
          <w:rFonts w:ascii="標楷體" w:eastAsia="標楷體" w:hAnsi="標楷體" w:hint="eastAsia"/>
          <w:sz w:val="28"/>
          <w:szCs w:val="28"/>
        </w:rPr>
        <w:t xml:space="preserve">    </w:t>
      </w:r>
      <w:r w:rsidRPr="00A777B5">
        <w:rPr>
          <w:rFonts w:ascii="標楷體" w:eastAsia="標楷體" w:hAnsi="標楷體" w:hint="eastAsia"/>
          <w:sz w:val="28"/>
          <w:szCs w:val="28"/>
        </w:rPr>
        <w:t>點：臺灣桃園地方法院8樓會議室</w:t>
      </w:r>
    </w:p>
    <w:p w14:paraId="52EA65C2" w14:textId="77777777" w:rsidR="00421BB5" w:rsidRDefault="00421BB5" w:rsidP="00421BB5">
      <w:pPr>
        <w:topLinePunct/>
        <w:spacing w:line="440" w:lineRule="exact"/>
        <w:jc w:val="both"/>
        <w:rPr>
          <w:rFonts w:ascii="標楷體" w:eastAsia="標楷體" w:hAnsi="標楷體"/>
          <w:sz w:val="28"/>
          <w:szCs w:val="28"/>
        </w:rPr>
      </w:pPr>
      <w:r>
        <w:rPr>
          <w:rFonts w:ascii="標楷體" w:eastAsia="標楷體" w:hAnsi="標楷體" w:hint="eastAsia"/>
          <w:sz w:val="28"/>
          <w:szCs w:val="28"/>
        </w:rPr>
        <w:t>◎立法院出席人員：</w:t>
      </w:r>
    </w:p>
    <w:p w14:paraId="054E9DFE" w14:textId="77777777" w:rsidR="00421BB5" w:rsidRPr="001A6E0F" w:rsidRDefault="00421BB5" w:rsidP="00421BB5">
      <w:pPr>
        <w:topLinePunct/>
        <w:spacing w:line="440" w:lineRule="exact"/>
        <w:ind w:leftChars="128" w:left="307"/>
        <w:jc w:val="both"/>
        <w:rPr>
          <w:rFonts w:ascii="標楷體" w:eastAsia="標楷體" w:hAnsi="標楷體"/>
          <w:sz w:val="28"/>
          <w:szCs w:val="28"/>
        </w:rPr>
      </w:pPr>
      <w:r>
        <w:rPr>
          <w:rFonts w:ascii="標楷體" w:eastAsia="標楷體" w:hAnsi="標楷體" w:hint="eastAsia"/>
          <w:sz w:val="28"/>
          <w:szCs w:val="28"/>
        </w:rPr>
        <w:t>黃立法委員世杰、林立法委員思銘、陳立法委員玉珍、司</w:t>
      </w:r>
      <w:r w:rsidRPr="001A6E0F">
        <w:rPr>
          <w:rFonts w:ascii="標楷體" w:eastAsia="標楷體" w:hAnsi="標楷體" w:hint="eastAsia"/>
          <w:sz w:val="28"/>
          <w:szCs w:val="28"/>
        </w:rPr>
        <w:t>法及法制委員會</w:t>
      </w:r>
      <w:r>
        <w:rPr>
          <w:rFonts w:ascii="標楷體" w:eastAsia="標楷體" w:hAnsi="標楷體" w:hint="eastAsia"/>
          <w:sz w:val="28"/>
          <w:szCs w:val="28"/>
        </w:rPr>
        <w:t>梁</w:t>
      </w:r>
      <w:r w:rsidRPr="001A6E0F">
        <w:rPr>
          <w:rFonts w:ascii="標楷體" w:eastAsia="標楷體" w:hAnsi="標楷體" w:hint="eastAsia"/>
          <w:sz w:val="28"/>
          <w:szCs w:val="28"/>
        </w:rPr>
        <w:t>專門委員雯璍</w:t>
      </w:r>
      <w:r>
        <w:rPr>
          <w:rFonts w:ascii="標楷體" w:eastAsia="標楷體" w:hAnsi="標楷體" w:hint="eastAsia"/>
          <w:sz w:val="28"/>
          <w:szCs w:val="28"/>
        </w:rPr>
        <w:t>、陳</w:t>
      </w:r>
      <w:r w:rsidRPr="001A6E0F">
        <w:rPr>
          <w:rFonts w:ascii="標楷體" w:eastAsia="標楷體" w:hAnsi="標楷體" w:hint="eastAsia"/>
          <w:sz w:val="28"/>
          <w:szCs w:val="28"/>
        </w:rPr>
        <w:t>薦任科員亭妤</w:t>
      </w:r>
      <w:r>
        <w:rPr>
          <w:rFonts w:ascii="標楷體" w:eastAsia="標楷體" w:hAnsi="標楷體" w:hint="eastAsia"/>
          <w:sz w:val="28"/>
          <w:szCs w:val="28"/>
        </w:rPr>
        <w:t>、黃</w:t>
      </w:r>
      <w:r w:rsidRPr="001A6E0F">
        <w:rPr>
          <w:rFonts w:ascii="標楷體" w:eastAsia="標楷體" w:hAnsi="標楷體" w:hint="eastAsia"/>
          <w:sz w:val="28"/>
          <w:szCs w:val="28"/>
        </w:rPr>
        <w:t>世杰委員研究室</w:t>
      </w:r>
      <w:r>
        <w:rPr>
          <w:rFonts w:ascii="標楷體" w:eastAsia="標楷體" w:hAnsi="標楷體" w:hint="eastAsia"/>
          <w:sz w:val="28"/>
          <w:szCs w:val="28"/>
        </w:rPr>
        <w:t>江</w:t>
      </w:r>
      <w:r w:rsidRPr="001A6E0F">
        <w:rPr>
          <w:rFonts w:ascii="標楷體" w:eastAsia="標楷體" w:hAnsi="標楷體" w:hint="eastAsia"/>
          <w:sz w:val="28"/>
          <w:szCs w:val="28"/>
        </w:rPr>
        <w:t>助理明澔</w:t>
      </w:r>
      <w:r>
        <w:rPr>
          <w:rFonts w:ascii="標楷體" w:eastAsia="標楷體" w:hAnsi="標楷體" w:hint="eastAsia"/>
          <w:sz w:val="28"/>
          <w:szCs w:val="28"/>
        </w:rPr>
        <w:t>、</w:t>
      </w:r>
      <w:r w:rsidRPr="001A6E0F">
        <w:rPr>
          <w:rFonts w:ascii="標楷體" w:eastAsia="標楷體" w:hAnsi="標楷體" w:hint="eastAsia"/>
          <w:sz w:val="28"/>
          <w:szCs w:val="28"/>
        </w:rPr>
        <w:t>徐</w:t>
      </w:r>
      <w:r>
        <w:rPr>
          <w:rFonts w:ascii="標楷體" w:eastAsia="標楷體" w:hAnsi="標楷體" w:hint="eastAsia"/>
          <w:sz w:val="28"/>
          <w:szCs w:val="28"/>
        </w:rPr>
        <w:t>助理</w:t>
      </w:r>
      <w:r w:rsidRPr="001A6E0F">
        <w:rPr>
          <w:rFonts w:ascii="標楷體" w:eastAsia="標楷體" w:hAnsi="標楷體" w:hint="eastAsia"/>
          <w:sz w:val="28"/>
          <w:szCs w:val="28"/>
        </w:rPr>
        <w:t>浩文</w:t>
      </w:r>
      <w:r>
        <w:rPr>
          <w:rFonts w:ascii="標楷體" w:eastAsia="標楷體" w:hAnsi="標楷體" w:hint="eastAsia"/>
          <w:sz w:val="28"/>
          <w:szCs w:val="28"/>
        </w:rPr>
        <w:t>、</w:t>
      </w:r>
      <w:r w:rsidRPr="001A6E0F">
        <w:rPr>
          <w:rFonts w:ascii="標楷體" w:eastAsia="標楷體" w:hAnsi="標楷體" w:hint="eastAsia"/>
          <w:sz w:val="28"/>
          <w:szCs w:val="28"/>
        </w:rPr>
        <w:t>林思銘委員研究室</w:t>
      </w:r>
      <w:r>
        <w:rPr>
          <w:rFonts w:ascii="標楷體" w:eastAsia="標楷體" w:hAnsi="標楷體" w:hint="eastAsia"/>
          <w:sz w:val="28"/>
          <w:szCs w:val="28"/>
        </w:rPr>
        <w:t>李</w:t>
      </w:r>
      <w:r w:rsidRPr="001A6E0F">
        <w:rPr>
          <w:rFonts w:ascii="標楷體" w:eastAsia="標楷體" w:hAnsi="標楷體" w:hint="eastAsia"/>
          <w:sz w:val="28"/>
          <w:szCs w:val="28"/>
        </w:rPr>
        <w:t>主任永誠</w:t>
      </w:r>
      <w:r>
        <w:rPr>
          <w:rFonts w:ascii="標楷體" w:eastAsia="標楷體" w:hAnsi="標楷體" w:hint="eastAsia"/>
          <w:sz w:val="28"/>
          <w:szCs w:val="28"/>
        </w:rPr>
        <w:t>、</w:t>
      </w:r>
      <w:r w:rsidRPr="001A6E0F">
        <w:rPr>
          <w:rFonts w:ascii="標楷體" w:eastAsia="標楷體" w:hAnsi="標楷體" w:hint="eastAsia"/>
          <w:sz w:val="28"/>
          <w:szCs w:val="28"/>
        </w:rPr>
        <w:t>陳玉珍委員研究室</w:t>
      </w:r>
      <w:r>
        <w:rPr>
          <w:rFonts w:ascii="標楷體" w:eastAsia="標楷體" w:hAnsi="標楷體" w:hint="eastAsia"/>
          <w:sz w:val="28"/>
          <w:szCs w:val="28"/>
        </w:rPr>
        <w:t>董</w:t>
      </w:r>
      <w:r w:rsidRPr="001A6E0F">
        <w:rPr>
          <w:rFonts w:ascii="標楷體" w:eastAsia="標楷體" w:hAnsi="標楷體" w:hint="eastAsia"/>
          <w:sz w:val="28"/>
          <w:szCs w:val="28"/>
        </w:rPr>
        <w:t>助理配姿</w:t>
      </w:r>
      <w:r>
        <w:rPr>
          <w:rFonts w:ascii="標楷體" w:eastAsia="標楷體" w:hAnsi="標楷體" w:hint="eastAsia"/>
          <w:sz w:val="28"/>
          <w:szCs w:val="28"/>
        </w:rPr>
        <w:t>、魯</w:t>
      </w:r>
      <w:r w:rsidRPr="001A6E0F">
        <w:rPr>
          <w:rFonts w:ascii="標楷體" w:eastAsia="標楷體" w:hAnsi="標楷體" w:hint="eastAsia"/>
          <w:sz w:val="28"/>
          <w:szCs w:val="28"/>
        </w:rPr>
        <w:t>明哲委員研究室</w:t>
      </w:r>
      <w:r>
        <w:rPr>
          <w:rFonts w:ascii="標楷體" w:eastAsia="標楷體" w:hAnsi="標楷體" w:hint="eastAsia"/>
          <w:sz w:val="28"/>
          <w:szCs w:val="28"/>
        </w:rPr>
        <w:t>鄭</w:t>
      </w:r>
      <w:r w:rsidRPr="001A6E0F">
        <w:rPr>
          <w:rFonts w:ascii="標楷體" w:eastAsia="標楷體" w:hAnsi="標楷體" w:hint="eastAsia"/>
          <w:sz w:val="28"/>
          <w:szCs w:val="28"/>
        </w:rPr>
        <w:t>主任滄杰</w:t>
      </w:r>
      <w:r>
        <w:rPr>
          <w:rFonts w:ascii="標楷體" w:eastAsia="標楷體" w:hAnsi="標楷體" w:hint="eastAsia"/>
          <w:sz w:val="28"/>
          <w:szCs w:val="28"/>
        </w:rPr>
        <w:t>、鍾</w:t>
      </w:r>
      <w:r w:rsidRPr="00317B53">
        <w:rPr>
          <w:rFonts w:ascii="標楷體" w:eastAsia="標楷體" w:hAnsi="標楷體" w:hint="eastAsia"/>
          <w:spacing w:val="-20"/>
          <w:sz w:val="28"/>
          <w:szCs w:val="28"/>
        </w:rPr>
        <w:t>副主任育欣</w:t>
      </w:r>
      <w:r>
        <w:rPr>
          <w:rFonts w:ascii="標楷體" w:eastAsia="標楷體" w:hAnsi="標楷體" w:hint="eastAsia"/>
          <w:sz w:val="28"/>
          <w:szCs w:val="28"/>
        </w:rPr>
        <w:t>、魯</w:t>
      </w:r>
      <w:r w:rsidRPr="001A6E0F">
        <w:rPr>
          <w:rFonts w:ascii="標楷體" w:eastAsia="標楷體" w:hAnsi="標楷體" w:hint="eastAsia"/>
          <w:sz w:val="28"/>
          <w:szCs w:val="28"/>
        </w:rPr>
        <w:t>副主任志麟</w:t>
      </w:r>
      <w:r>
        <w:rPr>
          <w:rFonts w:ascii="標楷體" w:eastAsia="標楷體" w:hAnsi="標楷體" w:hint="eastAsia"/>
          <w:sz w:val="28"/>
          <w:szCs w:val="28"/>
        </w:rPr>
        <w:t>、</w:t>
      </w:r>
      <w:r w:rsidRPr="001A6E0F">
        <w:rPr>
          <w:rFonts w:ascii="標楷體" w:eastAsia="標楷體" w:hAnsi="標楷體" w:hint="eastAsia"/>
          <w:sz w:val="28"/>
          <w:szCs w:val="28"/>
        </w:rPr>
        <w:t>湯蕙禎委員</w:t>
      </w:r>
      <w:r>
        <w:rPr>
          <w:rFonts w:ascii="標楷體" w:eastAsia="標楷體" w:hAnsi="標楷體" w:hint="eastAsia"/>
          <w:sz w:val="28"/>
          <w:szCs w:val="28"/>
        </w:rPr>
        <w:t>李</w:t>
      </w:r>
      <w:r w:rsidRPr="001A6E0F">
        <w:rPr>
          <w:rFonts w:ascii="標楷體" w:eastAsia="標楷體" w:hAnsi="標楷體" w:hint="eastAsia"/>
          <w:sz w:val="28"/>
          <w:szCs w:val="28"/>
        </w:rPr>
        <w:t>顧問鎮楠</w:t>
      </w:r>
      <w:r>
        <w:rPr>
          <w:rFonts w:ascii="標楷體" w:eastAsia="標楷體" w:hAnsi="標楷體" w:hint="eastAsia"/>
          <w:sz w:val="28"/>
          <w:szCs w:val="28"/>
        </w:rPr>
        <w:t>、研</w:t>
      </w:r>
      <w:r w:rsidRPr="001A6E0F">
        <w:rPr>
          <w:rFonts w:ascii="標楷體" w:eastAsia="標楷體" w:hAnsi="標楷體" w:hint="eastAsia"/>
          <w:sz w:val="28"/>
          <w:szCs w:val="28"/>
        </w:rPr>
        <w:t>究室</w:t>
      </w:r>
      <w:r>
        <w:rPr>
          <w:rFonts w:ascii="標楷體" w:eastAsia="標楷體" w:hAnsi="標楷體" w:hint="eastAsia"/>
          <w:sz w:val="28"/>
          <w:szCs w:val="28"/>
        </w:rPr>
        <w:t>馮</w:t>
      </w:r>
      <w:r w:rsidRPr="001A6E0F">
        <w:rPr>
          <w:rFonts w:ascii="標楷體" w:eastAsia="標楷體" w:hAnsi="標楷體" w:hint="eastAsia"/>
          <w:sz w:val="28"/>
          <w:szCs w:val="28"/>
        </w:rPr>
        <w:t>助理泓彬</w:t>
      </w:r>
      <w:r>
        <w:rPr>
          <w:rFonts w:ascii="標楷體" w:eastAsia="標楷體" w:hAnsi="標楷體" w:hint="eastAsia"/>
          <w:sz w:val="28"/>
          <w:szCs w:val="28"/>
        </w:rPr>
        <w:t>、賴</w:t>
      </w:r>
      <w:r w:rsidRPr="001A6E0F">
        <w:rPr>
          <w:rFonts w:ascii="標楷體" w:eastAsia="標楷體" w:hAnsi="標楷體" w:hint="eastAsia"/>
          <w:sz w:val="28"/>
          <w:szCs w:val="28"/>
        </w:rPr>
        <w:t>助理稚文</w:t>
      </w:r>
    </w:p>
    <w:p w14:paraId="340FDCEF" w14:textId="77777777" w:rsidR="00421BB5" w:rsidRDefault="00421BB5" w:rsidP="00421BB5">
      <w:pPr>
        <w:topLinePunct/>
        <w:spacing w:line="440" w:lineRule="exact"/>
        <w:jc w:val="both"/>
        <w:rPr>
          <w:rFonts w:ascii="標楷體" w:eastAsia="標楷體" w:hAnsi="標楷體"/>
          <w:sz w:val="28"/>
          <w:szCs w:val="28"/>
        </w:rPr>
      </w:pPr>
      <w:r>
        <w:rPr>
          <w:rFonts w:ascii="標楷體" w:eastAsia="標楷體" w:hAnsi="標楷體" w:hint="eastAsia"/>
          <w:sz w:val="28"/>
          <w:szCs w:val="28"/>
        </w:rPr>
        <w:t>◎考察機關出席人員：</w:t>
      </w:r>
    </w:p>
    <w:p w14:paraId="5F9B977C" w14:textId="77777777" w:rsidR="00421BB5" w:rsidRDefault="00421BB5" w:rsidP="00421BB5">
      <w:pPr>
        <w:topLinePunct/>
        <w:spacing w:line="440" w:lineRule="exact"/>
        <w:ind w:rightChars="58" w:right="139"/>
        <w:jc w:val="both"/>
        <w:rPr>
          <w:rFonts w:ascii="標楷體" w:eastAsia="標楷體" w:hAnsi="標楷體"/>
          <w:sz w:val="28"/>
          <w:szCs w:val="28"/>
        </w:rPr>
      </w:pPr>
      <w:r>
        <w:rPr>
          <w:rFonts w:ascii="標楷體" w:eastAsia="標楷體" w:hAnsi="標楷體" w:hint="eastAsia"/>
          <w:sz w:val="28"/>
          <w:szCs w:val="28"/>
        </w:rPr>
        <w:t xml:space="preserve">  </w:t>
      </w:r>
      <w:r w:rsidRPr="001A6E0F">
        <w:rPr>
          <w:rFonts w:ascii="標楷體" w:eastAsia="標楷體" w:hAnsi="標楷體" w:hint="eastAsia"/>
          <w:sz w:val="28"/>
          <w:szCs w:val="28"/>
        </w:rPr>
        <w:t>司法院</w:t>
      </w:r>
      <w:r>
        <w:rPr>
          <w:rFonts w:ascii="標楷體" w:eastAsia="標楷體" w:hAnsi="標楷體" w:hint="eastAsia"/>
          <w:sz w:val="28"/>
          <w:szCs w:val="28"/>
        </w:rPr>
        <w:t>黃</w:t>
      </w:r>
      <w:r w:rsidRPr="001A6E0F">
        <w:rPr>
          <w:rFonts w:ascii="標楷體" w:eastAsia="標楷體" w:hAnsi="標楷體" w:hint="eastAsia"/>
          <w:sz w:val="28"/>
          <w:szCs w:val="28"/>
        </w:rPr>
        <w:t>副秘書長麟倫</w:t>
      </w:r>
      <w:r>
        <w:rPr>
          <w:rFonts w:ascii="標楷體" w:eastAsia="標楷體" w:hAnsi="標楷體" w:hint="eastAsia"/>
          <w:sz w:val="28"/>
          <w:szCs w:val="28"/>
        </w:rPr>
        <w:t>、</w:t>
      </w:r>
      <w:r w:rsidRPr="001A6E0F">
        <w:rPr>
          <w:rFonts w:ascii="標楷體" w:eastAsia="標楷體" w:hAnsi="標楷體" w:hint="eastAsia"/>
          <w:sz w:val="28"/>
          <w:szCs w:val="28"/>
        </w:rPr>
        <w:t>法務部</w:t>
      </w:r>
      <w:r>
        <w:rPr>
          <w:rFonts w:ascii="標楷體" w:eastAsia="標楷體" w:hAnsi="標楷體" w:hint="eastAsia"/>
          <w:sz w:val="28"/>
          <w:szCs w:val="28"/>
        </w:rPr>
        <w:t>陳</w:t>
      </w:r>
      <w:r w:rsidRPr="001A6E0F">
        <w:rPr>
          <w:rFonts w:ascii="標楷體" w:eastAsia="標楷體" w:hAnsi="標楷體" w:hint="eastAsia"/>
          <w:sz w:val="28"/>
          <w:szCs w:val="28"/>
        </w:rPr>
        <w:t>政務次長明堂</w:t>
      </w:r>
      <w:r>
        <w:rPr>
          <w:rFonts w:ascii="標楷體" w:eastAsia="標楷體" w:hAnsi="標楷體" w:hint="eastAsia"/>
          <w:sz w:val="28"/>
          <w:szCs w:val="28"/>
        </w:rPr>
        <w:t>、</w:t>
      </w:r>
      <w:r w:rsidRPr="001A6E0F">
        <w:rPr>
          <w:rFonts w:ascii="標楷體" w:eastAsia="標楷體" w:hAnsi="標楷體" w:hint="eastAsia"/>
          <w:sz w:val="28"/>
          <w:szCs w:val="28"/>
        </w:rPr>
        <w:t>臺灣桃園地方</w:t>
      </w:r>
      <w:r>
        <w:rPr>
          <w:rFonts w:ascii="標楷體" w:eastAsia="標楷體" w:hAnsi="標楷體"/>
          <w:sz w:val="28"/>
          <w:szCs w:val="28"/>
        </w:rPr>
        <w:br/>
      </w:r>
      <w:r>
        <w:rPr>
          <w:rFonts w:ascii="標楷體" w:eastAsia="標楷體" w:hAnsi="標楷體" w:hint="eastAsia"/>
          <w:sz w:val="28"/>
          <w:szCs w:val="28"/>
        </w:rPr>
        <w:t xml:space="preserve">  </w:t>
      </w:r>
      <w:r w:rsidRPr="001A6E0F">
        <w:rPr>
          <w:rFonts w:ascii="標楷體" w:eastAsia="標楷體" w:hAnsi="標楷體" w:hint="eastAsia"/>
          <w:sz w:val="28"/>
          <w:szCs w:val="28"/>
        </w:rPr>
        <w:t>法院</w:t>
      </w:r>
      <w:r>
        <w:rPr>
          <w:rFonts w:ascii="標楷體" w:eastAsia="標楷體" w:hAnsi="標楷體" w:hint="eastAsia"/>
          <w:sz w:val="28"/>
          <w:szCs w:val="28"/>
        </w:rPr>
        <w:t>李</w:t>
      </w:r>
      <w:r w:rsidRPr="001A6E0F">
        <w:rPr>
          <w:rFonts w:ascii="標楷體" w:eastAsia="標楷體" w:hAnsi="標楷體" w:hint="eastAsia"/>
          <w:sz w:val="28"/>
          <w:szCs w:val="28"/>
        </w:rPr>
        <w:t>院長國增</w:t>
      </w:r>
      <w:r>
        <w:rPr>
          <w:rFonts w:ascii="標楷體" w:eastAsia="標楷體" w:hAnsi="標楷體" w:hint="eastAsia"/>
          <w:sz w:val="28"/>
          <w:szCs w:val="28"/>
        </w:rPr>
        <w:t>、</w:t>
      </w:r>
      <w:r w:rsidRPr="001A6E0F">
        <w:rPr>
          <w:rFonts w:ascii="標楷體" w:eastAsia="標楷體" w:hAnsi="標楷體" w:hint="eastAsia"/>
          <w:sz w:val="28"/>
          <w:szCs w:val="28"/>
        </w:rPr>
        <w:t>臺灣桃園地方檢察署</w:t>
      </w:r>
      <w:r>
        <w:rPr>
          <w:rFonts w:ascii="標楷體" w:eastAsia="標楷體" w:hAnsi="標楷體" w:hint="eastAsia"/>
          <w:sz w:val="28"/>
          <w:szCs w:val="28"/>
        </w:rPr>
        <w:t>俞</w:t>
      </w:r>
      <w:r w:rsidRPr="001A6E0F">
        <w:rPr>
          <w:rFonts w:ascii="標楷體" w:eastAsia="標楷體" w:hAnsi="標楷體" w:hint="eastAsia"/>
          <w:sz w:val="28"/>
          <w:szCs w:val="28"/>
        </w:rPr>
        <w:t>檢察長秀端</w:t>
      </w:r>
      <w:r>
        <w:rPr>
          <w:rFonts w:ascii="標楷體" w:eastAsia="標楷體" w:hAnsi="標楷體" w:hint="eastAsia"/>
          <w:sz w:val="28"/>
          <w:szCs w:val="28"/>
        </w:rPr>
        <w:t xml:space="preserve"> </w:t>
      </w:r>
    </w:p>
    <w:p w14:paraId="6F0F6801" w14:textId="77777777" w:rsidR="00421BB5" w:rsidRPr="00FA6827" w:rsidRDefault="00421BB5" w:rsidP="00421BB5">
      <w:pPr>
        <w:topLinePunct/>
        <w:spacing w:line="440" w:lineRule="exact"/>
        <w:ind w:rightChars="-142" w:right="-341"/>
        <w:jc w:val="both"/>
        <w:rPr>
          <w:rFonts w:ascii="標楷體" w:eastAsia="標楷體" w:hAnsi="標楷體"/>
          <w:sz w:val="28"/>
          <w:szCs w:val="28"/>
        </w:rPr>
      </w:pPr>
      <w:r w:rsidRPr="00FA6827">
        <w:rPr>
          <w:rFonts w:ascii="標楷體" w:eastAsia="標楷體" w:hAnsi="標楷體" w:hint="eastAsia"/>
          <w:sz w:val="28"/>
          <w:szCs w:val="28"/>
        </w:rPr>
        <w:t>記</w:t>
      </w:r>
      <w:r>
        <w:rPr>
          <w:rFonts w:ascii="標楷體" w:eastAsia="標楷體" w:hAnsi="標楷體" w:hint="eastAsia"/>
          <w:sz w:val="28"/>
          <w:szCs w:val="28"/>
        </w:rPr>
        <w:t xml:space="preserve">    </w:t>
      </w:r>
      <w:r w:rsidRPr="00FA6827">
        <w:rPr>
          <w:rFonts w:ascii="標楷體" w:eastAsia="標楷體" w:hAnsi="標楷體" w:hint="eastAsia"/>
          <w:sz w:val="28"/>
          <w:szCs w:val="28"/>
        </w:rPr>
        <w:t xml:space="preserve">錄：陳芳平   </w:t>
      </w:r>
    </w:p>
    <w:p w14:paraId="3D15E726" w14:textId="77777777" w:rsidR="00421BB5" w:rsidRPr="00FC5073" w:rsidRDefault="00421BB5" w:rsidP="00421BB5">
      <w:pPr>
        <w:topLinePunct/>
        <w:spacing w:line="520" w:lineRule="exact"/>
        <w:jc w:val="both"/>
        <w:rPr>
          <w:rFonts w:ascii="標楷體" w:eastAsia="標楷體" w:hAnsi="標楷體"/>
          <w:sz w:val="28"/>
          <w:szCs w:val="28"/>
        </w:rPr>
      </w:pPr>
      <w:r>
        <w:rPr>
          <w:rFonts w:ascii="標楷體" w:eastAsia="標楷體" w:hAnsi="標楷體" w:hint="eastAsia"/>
          <w:b/>
          <w:sz w:val="28"/>
          <w:szCs w:val="28"/>
        </w:rPr>
        <w:t>壹、臺灣桃園地方法院國民法官法庭、調解中心等參訪：</w:t>
      </w:r>
      <w:r w:rsidRPr="00FC5073">
        <w:rPr>
          <w:rFonts w:ascii="標楷體" w:eastAsia="標楷體" w:hAnsi="標楷體" w:hint="eastAsia"/>
          <w:sz w:val="28"/>
          <w:szCs w:val="28"/>
        </w:rPr>
        <w:t>略。</w:t>
      </w:r>
    </w:p>
    <w:p w14:paraId="0C516F28" w14:textId="77777777" w:rsidR="00421BB5" w:rsidRDefault="00421BB5" w:rsidP="00421BB5">
      <w:pPr>
        <w:topLinePunct/>
        <w:spacing w:line="520" w:lineRule="exact"/>
        <w:jc w:val="both"/>
        <w:rPr>
          <w:rFonts w:ascii="標楷體" w:eastAsia="標楷體" w:hAnsi="標楷體"/>
          <w:b/>
          <w:sz w:val="28"/>
          <w:szCs w:val="28"/>
        </w:rPr>
      </w:pPr>
      <w:r>
        <w:rPr>
          <w:rFonts w:ascii="標楷體" w:eastAsia="標楷體" w:hAnsi="標楷體" w:hint="eastAsia"/>
          <w:b/>
          <w:sz w:val="28"/>
          <w:szCs w:val="28"/>
        </w:rPr>
        <w:t>貳、各單位業務概況報告</w:t>
      </w:r>
      <w:r w:rsidRPr="003C5960">
        <w:rPr>
          <w:rFonts w:ascii="標楷體" w:eastAsia="標楷體" w:hAnsi="標楷體" w:hint="eastAsia"/>
          <w:b/>
          <w:sz w:val="28"/>
          <w:szCs w:val="28"/>
        </w:rPr>
        <w:t>：</w:t>
      </w:r>
    </w:p>
    <w:p w14:paraId="2B21F68C" w14:textId="77777777" w:rsidR="00421BB5" w:rsidRPr="001F139D" w:rsidRDefault="00421BB5" w:rsidP="00421BB5">
      <w:pPr>
        <w:topLinePunct/>
        <w:spacing w:line="520" w:lineRule="exact"/>
        <w:jc w:val="both"/>
        <w:rPr>
          <w:rFonts w:ascii="標楷體" w:eastAsia="標楷體" w:hAnsi="標楷體"/>
          <w:sz w:val="28"/>
          <w:szCs w:val="28"/>
        </w:rPr>
      </w:pPr>
      <w:r>
        <w:rPr>
          <w:rFonts w:ascii="標楷體" w:eastAsia="標楷體" w:hAnsi="標楷體" w:hint="eastAsia"/>
          <w:b/>
          <w:sz w:val="28"/>
          <w:szCs w:val="28"/>
        </w:rPr>
        <w:t xml:space="preserve"> </w:t>
      </w:r>
      <w:r w:rsidRPr="001F139D">
        <w:rPr>
          <w:rFonts w:ascii="標楷體" w:eastAsia="標楷體" w:hAnsi="標楷體" w:hint="eastAsia"/>
          <w:sz w:val="28"/>
          <w:szCs w:val="28"/>
        </w:rPr>
        <w:t xml:space="preserve"> 一、臺灣桃園地方法院業務報告：如附件一。</w:t>
      </w:r>
    </w:p>
    <w:p w14:paraId="50FC285C" w14:textId="77777777" w:rsidR="00421BB5" w:rsidRPr="001F139D" w:rsidRDefault="00421BB5" w:rsidP="00421BB5">
      <w:pPr>
        <w:topLinePunct/>
        <w:spacing w:line="520" w:lineRule="exact"/>
        <w:jc w:val="both"/>
        <w:rPr>
          <w:rFonts w:ascii="標楷體" w:eastAsia="標楷體" w:hAnsi="標楷體"/>
          <w:sz w:val="28"/>
          <w:szCs w:val="28"/>
        </w:rPr>
      </w:pPr>
      <w:r w:rsidRPr="001F139D">
        <w:rPr>
          <w:rFonts w:ascii="標楷體" w:eastAsia="標楷體" w:hAnsi="標楷體" w:hint="eastAsia"/>
          <w:sz w:val="28"/>
          <w:szCs w:val="28"/>
        </w:rPr>
        <w:t xml:space="preserve">  二、臺灣桃園地方檢察署業務報告：如附件二。</w:t>
      </w:r>
    </w:p>
    <w:p w14:paraId="74A5208B" w14:textId="77777777" w:rsidR="00421BB5" w:rsidRPr="0094660B" w:rsidRDefault="00421BB5" w:rsidP="00421BB5">
      <w:pPr>
        <w:topLinePunct/>
        <w:spacing w:line="520" w:lineRule="exact"/>
        <w:jc w:val="both"/>
        <w:rPr>
          <w:rFonts w:ascii="標楷體" w:eastAsia="標楷體" w:hAnsi="標楷體"/>
          <w:b/>
          <w:sz w:val="28"/>
          <w:szCs w:val="28"/>
        </w:rPr>
      </w:pPr>
      <w:r w:rsidRPr="0094660B">
        <w:rPr>
          <w:rFonts w:ascii="標楷體" w:eastAsia="標楷體" w:hAnsi="標楷體" w:hint="eastAsia"/>
          <w:b/>
          <w:sz w:val="28"/>
          <w:szCs w:val="28"/>
        </w:rPr>
        <w:t>參、綜合座談</w:t>
      </w:r>
      <w:r w:rsidRPr="003C5960">
        <w:rPr>
          <w:rFonts w:ascii="標楷體" w:eastAsia="標楷體" w:hAnsi="標楷體" w:hint="eastAsia"/>
          <w:b/>
          <w:sz w:val="28"/>
          <w:szCs w:val="28"/>
        </w:rPr>
        <w:t>：</w:t>
      </w:r>
    </w:p>
    <w:p w14:paraId="7DDE6D80" w14:textId="77777777" w:rsidR="00421BB5" w:rsidRDefault="00421BB5" w:rsidP="00421BB5">
      <w:pPr>
        <w:topLinePunct/>
        <w:spacing w:line="520" w:lineRule="exact"/>
        <w:jc w:val="both"/>
        <w:rPr>
          <w:rFonts w:ascii="標楷體" w:eastAsia="標楷體" w:hAnsi="標楷體"/>
          <w:sz w:val="28"/>
          <w:szCs w:val="28"/>
        </w:rPr>
      </w:pPr>
      <w:r>
        <w:rPr>
          <w:rFonts w:ascii="標楷體" w:eastAsia="標楷體" w:hAnsi="標楷體" w:hint="eastAsia"/>
          <w:sz w:val="28"/>
          <w:szCs w:val="28"/>
        </w:rPr>
        <w:t xml:space="preserve">  一</w:t>
      </w:r>
      <w:r w:rsidRPr="0094660B">
        <w:rPr>
          <w:rFonts w:ascii="標楷體" w:eastAsia="標楷體" w:hAnsi="標楷體" w:hint="eastAsia"/>
          <w:sz w:val="28"/>
          <w:szCs w:val="28"/>
        </w:rPr>
        <w:t>、黃立法委員</w:t>
      </w:r>
      <w:r>
        <w:rPr>
          <w:rFonts w:ascii="標楷體" w:eastAsia="標楷體" w:hAnsi="標楷體" w:hint="eastAsia"/>
          <w:sz w:val="28"/>
          <w:szCs w:val="28"/>
        </w:rPr>
        <w:t>世杰</w:t>
      </w:r>
      <w:r w:rsidRPr="0094660B">
        <w:rPr>
          <w:rFonts w:ascii="標楷體" w:eastAsia="標楷體" w:hAnsi="標楷體" w:hint="eastAsia"/>
          <w:sz w:val="28"/>
          <w:szCs w:val="28"/>
        </w:rPr>
        <w:t>：</w:t>
      </w:r>
    </w:p>
    <w:p w14:paraId="591BD530" w14:textId="77777777" w:rsidR="00421BB5" w:rsidRPr="007D2E1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(一)因轄區人口數、案件量龐大，目前各界都積極</w:t>
      </w:r>
      <w:r w:rsidRPr="007D2E15">
        <w:rPr>
          <w:rFonts w:ascii="標楷體" w:eastAsia="標楷體" w:hAnsi="標楷體" w:hint="eastAsia"/>
          <w:sz w:val="28"/>
          <w:szCs w:val="28"/>
        </w:rPr>
        <w:t>爭取</w:t>
      </w:r>
      <w:r>
        <w:rPr>
          <w:rFonts w:ascii="標楷體" w:eastAsia="標楷體" w:hAnsi="標楷體" w:hint="eastAsia"/>
          <w:sz w:val="28"/>
          <w:szCs w:val="28"/>
        </w:rPr>
        <w:t>新</w:t>
      </w:r>
      <w:r w:rsidRPr="007D2E15">
        <w:rPr>
          <w:rFonts w:ascii="標楷體" w:eastAsia="標楷體" w:hAnsi="標楷體" w:hint="eastAsia"/>
          <w:sz w:val="28"/>
          <w:szCs w:val="28"/>
        </w:rPr>
        <w:t>設</w:t>
      </w:r>
      <w:r>
        <w:rPr>
          <w:rFonts w:ascii="標楷體" w:eastAsia="標楷體" w:hAnsi="標楷體" w:hint="eastAsia"/>
          <w:sz w:val="28"/>
          <w:szCs w:val="28"/>
        </w:rPr>
        <w:t>高分(</w:t>
      </w:r>
      <w:r w:rsidRPr="007D2E15">
        <w:rPr>
          <w:rFonts w:ascii="標楷體" w:eastAsia="標楷體" w:hAnsi="標楷體" w:hint="eastAsia"/>
          <w:sz w:val="28"/>
          <w:szCs w:val="28"/>
        </w:rPr>
        <w:t>檢</w:t>
      </w:r>
      <w:r>
        <w:rPr>
          <w:rFonts w:ascii="標楷體" w:eastAsia="標楷體" w:hAnsi="標楷體" w:hint="eastAsia"/>
          <w:sz w:val="28"/>
          <w:szCs w:val="28"/>
        </w:rPr>
        <w:t>)</w:t>
      </w:r>
      <w:r w:rsidRPr="007D2E15">
        <w:rPr>
          <w:rFonts w:ascii="標楷體" w:eastAsia="標楷體" w:hAnsi="標楷體" w:hint="eastAsia"/>
          <w:sz w:val="28"/>
          <w:szCs w:val="28"/>
        </w:rPr>
        <w:t>，</w:t>
      </w:r>
      <w:r>
        <w:rPr>
          <w:rFonts w:ascii="標楷體" w:eastAsia="標楷體" w:hAnsi="標楷體" w:hint="eastAsia"/>
          <w:sz w:val="28"/>
          <w:szCs w:val="28"/>
        </w:rPr>
        <w:t>除考量民眾就審便利性外，也可提供在</w:t>
      </w:r>
      <w:r w:rsidRPr="007D2E15">
        <w:rPr>
          <w:rFonts w:ascii="標楷體" w:eastAsia="標楷體" w:hAnsi="標楷體" w:hint="eastAsia"/>
          <w:sz w:val="28"/>
          <w:szCs w:val="28"/>
        </w:rPr>
        <w:t>地司法人員升遷</w:t>
      </w:r>
      <w:r>
        <w:rPr>
          <w:rFonts w:ascii="標楷體" w:eastAsia="標楷體" w:hAnsi="標楷體" w:hint="eastAsia"/>
          <w:sz w:val="28"/>
          <w:szCs w:val="28"/>
        </w:rPr>
        <w:t>機會、提高</w:t>
      </w:r>
      <w:r w:rsidRPr="007D2E15">
        <w:rPr>
          <w:rFonts w:ascii="標楷體" w:eastAsia="標楷體" w:hAnsi="標楷體" w:hint="eastAsia"/>
          <w:sz w:val="28"/>
          <w:szCs w:val="28"/>
        </w:rPr>
        <w:t>久</w:t>
      </w:r>
      <w:r>
        <w:rPr>
          <w:rFonts w:ascii="標楷體" w:eastAsia="標楷體" w:hAnsi="標楷體" w:hint="eastAsia"/>
          <w:sz w:val="28"/>
          <w:szCs w:val="28"/>
        </w:rPr>
        <w:t>任意願，惟</w:t>
      </w:r>
      <w:r w:rsidRPr="007D2E15">
        <w:rPr>
          <w:rFonts w:ascii="標楷體" w:eastAsia="標楷體" w:hAnsi="標楷體" w:hint="eastAsia"/>
          <w:sz w:val="28"/>
          <w:szCs w:val="28"/>
        </w:rPr>
        <w:t>用地取得</w:t>
      </w:r>
      <w:r>
        <w:rPr>
          <w:rFonts w:ascii="標楷體" w:eastAsia="標楷體" w:hAnsi="標楷體" w:hint="eastAsia"/>
          <w:sz w:val="28"/>
          <w:szCs w:val="28"/>
        </w:rPr>
        <w:t>、相關預算、工程</w:t>
      </w:r>
      <w:r w:rsidRPr="007D2E15">
        <w:rPr>
          <w:rFonts w:ascii="標楷體" w:eastAsia="標楷體" w:hAnsi="標楷體" w:hint="eastAsia"/>
          <w:sz w:val="28"/>
          <w:szCs w:val="28"/>
        </w:rPr>
        <w:t>蓋</w:t>
      </w:r>
      <w:r>
        <w:rPr>
          <w:rFonts w:ascii="標楷體" w:eastAsia="標楷體" w:hAnsi="標楷體" w:hint="eastAsia"/>
          <w:sz w:val="28"/>
          <w:szCs w:val="28"/>
        </w:rPr>
        <w:t>建、設於桃園或新竹地區</w:t>
      </w:r>
      <w:r>
        <w:rPr>
          <w:rFonts w:ascii="標楷體" w:eastAsia="標楷體" w:hAnsi="標楷體"/>
          <w:sz w:val="28"/>
          <w:szCs w:val="28"/>
        </w:rPr>
        <w:t>…</w:t>
      </w:r>
      <w:r>
        <w:rPr>
          <w:rFonts w:ascii="標楷體" w:eastAsia="標楷體" w:hAnsi="標楷體" w:hint="eastAsia"/>
          <w:sz w:val="28"/>
          <w:szCs w:val="28"/>
        </w:rPr>
        <w:t>等，目前仍在</w:t>
      </w:r>
      <w:r w:rsidRPr="007D2E15">
        <w:rPr>
          <w:rFonts w:ascii="標楷體" w:eastAsia="標楷體" w:hAnsi="標楷體" w:hint="eastAsia"/>
          <w:sz w:val="28"/>
          <w:szCs w:val="28"/>
        </w:rPr>
        <w:t>洽</w:t>
      </w:r>
      <w:r>
        <w:rPr>
          <w:rFonts w:ascii="標楷體" w:eastAsia="標楷體" w:hAnsi="標楷體" w:hint="eastAsia"/>
          <w:sz w:val="28"/>
          <w:szCs w:val="28"/>
        </w:rPr>
        <w:t>商中。</w:t>
      </w:r>
    </w:p>
    <w:p w14:paraId="1BCE7EDC" w14:textId="77777777" w:rsidR="00421BB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(二)打擊</w:t>
      </w:r>
      <w:r w:rsidRPr="007D2E15">
        <w:rPr>
          <w:rFonts w:ascii="標楷體" w:eastAsia="標楷體" w:hAnsi="標楷體" w:hint="eastAsia"/>
          <w:sz w:val="28"/>
          <w:szCs w:val="28"/>
        </w:rPr>
        <w:t>詐欺及查察賄選</w:t>
      </w:r>
      <w:r>
        <w:rPr>
          <w:rFonts w:ascii="標楷體" w:eastAsia="標楷體" w:hAnsi="標楷體" w:hint="eastAsia"/>
          <w:sz w:val="28"/>
          <w:szCs w:val="28"/>
        </w:rPr>
        <w:t>為桃園地檢署2</w:t>
      </w:r>
      <w:r w:rsidRPr="007D2E15">
        <w:rPr>
          <w:rFonts w:ascii="標楷體" w:eastAsia="標楷體" w:hAnsi="標楷體" w:hint="eastAsia"/>
          <w:sz w:val="28"/>
          <w:szCs w:val="28"/>
        </w:rPr>
        <w:t>大重點</w:t>
      </w:r>
      <w:r>
        <w:rPr>
          <w:rFonts w:ascii="標楷體" w:eastAsia="標楷體" w:hAnsi="標楷體" w:hint="eastAsia"/>
          <w:sz w:val="28"/>
          <w:szCs w:val="28"/>
        </w:rPr>
        <w:t>業務</w:t>
      </w:r>
      <w:r w:rsidRPr="007D2E15">
        <w:rPr>
          <w:rFonts w:ascii="標楷體" w:eastAsia="標楷體" w:hAnsi="標楷體" w:hint="eastAsia"/>
          <w:sz w:val="28"/>
          <w:szCs w:val="28"/>
        </w:rPr>
        <w:t>，</w:t>
      </w:r>
      <w:r>
        <w:rPr>
          <w:rFonts w:ascii="標楷體" w:eastAsia="標楷體" w:hAnsi="標楷體" w:hint="eastAsia"/>
          <w:sz w:val="28"/>
          <w:szCs w:val="28"/>
        </w:rPr>
        <w:t>本席相當認同「嚴查賄選就是最好的反賄選！」，目前桃園地檢署有許多選舉案件尚在偵辦中，基於「偵查不公開原則」，也不會施加任何壓力，請桃園地檢署依法偵辦。</w:t>
      </w:r>
    </w:p>
    <w:p w14:paraId="5BE59164" w14:textId="77777777" w:rsidR="00421BB5" w:rsidRPr="0094660B"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lastRenderedPageBreak/>
        <w:t xml:space="preserve">   (三)</w:t>
      </w:r>
      <w:r w:rsidRPr="007D2E15">
        <w:rPr>
          <w:rFonts w:ascii="標楷體" w:eastAsia="標楷體" w:hAnsi="標楷體" w:hint="eastAsia"/>
          <w:sz w:val="28"/>
          <w:szCs w:val="28"/>
        </w:rPr>
        <w:t>詐欺</w:t>
      </w:r>
      <w:r>
        <w:rPr>
          <w:rFonts w:ascii="標楷體" w:eastAsia="標楷體" w:hAnsi="標楷體" w:hint="eastAsia"/>
          <w:sz w:val="28"/>
          <w:szCs w:val="28"/>
        </w:rPr>
        <w:t>案件</w:t>
      </w:r>
      <w:r w:rsidRPr="007D2E15">
        <w:rPr>
          <w:rFonts w:ascii="標楷體" w:eastAsia="標楷體" w:hAnsi="標楷體" w:hint="eastAsia"/>
          <w:sz w:val="28"/>
          <w:szCs w:val="28"/>
        </w:rPr>
        <w:t>背後</w:t>
      </w:r>
      <w:r>
        <w:rPr>
          <w:rFonts w:ascii="標楷體" w:eastAsia="標楷體" w:hAnsi="標楷體" w:hint="eastAsia"/>
          <w:sz w:val="28"/>
          <w:szCs w:val="28"/>
        </w:rPr>
        <w:t>為黑幫</w:t>
      </w:r>
      <w:r w:rsidRPr="007D2E15">
        <w:rPr>
          <w:rFonts w:ascii="標楷體" w:eastAsia="標楷體" w:hAnsi="標楷體" w:hint="eastAsia"/>
          <w:sz w:val="28"/>
          <w:szCs w:val="28"/>
        </w:rPr>
        <w:t>組織問題，</w:t>
      </w:r>
      <w:r>
        <w:rPr>
          <w:rFonts w:ascii="標楷體" w:eastAsia="標楷體" w:hAnsi="標楷體" w:hint="eastAsia"/>
          <w:sz w:val="28"/>
          <w:szCs w:val="28"/>
        </w:rPr>
        <w:t>根本解決之道在於科技上的突破，</w:t>
      </w:r>
      <w:r w:rsidRPr="007D2E15">
        <w:rPr>
          <w:rFonts w:ascii="標楷體" w:eastAsia="標楷體" w:hAnsi="標楷體" w:hint="eastAsia"/>
          <w:sz w:val="28"/>
          <w:szCs w:val="28"/>
        </w:rPr>
        <w:t>尤其</w:t>
      </w:r>
      <w:r>
        <w:rPr>
          <w:rFonts w:ascii="標楷體" w:eastAsia="標楷體" w:hAnsi="標楷體" w:hint="eastAsia"/>
          <w:sz w:val="28"/>
          <w:szCs w:val="28"/>
        </w:rPr>
        <w:t>目前詐欺犯罪集團多利用網路軟體、</w:t>
      </w:r>
      <w:r w:rsidRPr="007D2E15">
        <w:rPr>
          <w:rFonts w:ascii="標楷體" w:eastAsia="標楷體" w:hAnsi="標楷體" w:hint="eastAsia"/>
          <w:sz w:val="28"/>
          <w:szCs w:val="28"/>
        </w:rPr>
        <w:t>社群、區塊</w:t>
      </w:r>
      <w:r>
        <w:rPr>
          <w:rFonts w:ascii="標楷體" w:eastAsia="標楷體" w:hAnsi="標楷體" w:hint="eastAsia"/>
          <w:sz w:val="28"/>
          <w:szCs w:val="28"/>
        </w:rPr>
        <w:t>鍊等方式進行詐騙，但執法人員無法直接扣押外國軟體或</w:t>
      </w:r>
      <w:r w:rsidRPr="007D2E15">
        <w:rPr>
          <w:rFonts w:ascii="標楷體" w:eastAsia="標楷體" w:hAnsi="標楷體" w:hint="eastAsia"/>
          <w:sz w:val="28"/>
          <w:szCs w:val="28"/>
        </w:rPr>
        <w:t>取得</w:t>
      </w:r>
      <w:r>
        <w:rPr>
          <w:rFonts w:ascii="標楷體" w:eastAsia="標楷體" w:hAnsi="標楷體" w:hint="eastAsia"/>
          <w:sz w:val="28"/>
          <w:szCs w:val="28"/>
        </w:rPr>
        <w:t>國外</w:t>
      </w:r>
      <w:r w:rsidRPr="007D2E15">
        <w:rPr>
          <w:rFonts w:ascii="標楷體" w:eastAsia="標楷體" w:hAnsi="標楷體" w:hint="eastAsia"/>
          <w:sz w:val="28"/>
          <w:szCs w:val="28"/>
        </w:rPr>
        <w:t>監聽資料</w:t>
      </w:r>
      <w:r>
        <w:rPr>
          <w:rFonts w:ascii="標楷體" w:eastAsia="標楷體" w:hAnsi="標楷體" w:hint="eastAsia"/>
          <w:sz w:val="28"/>
          <w:szCs w:val="28"/>
        </w:rPr>
        <w:t>，導致偵辦遇到瓶頸。</w:t>
      </w:r>
      <w:r w:rsidRPr="007D2E15">
        <w:rPr>
          <w:rFonts w:ascii="標楷體" w:eastAsia="標楷體" w:hAnsi="標楷體" w:hint="eastAsia"/>
          <w:sz w:val="28"/>
          <w:szCs w:val="28"/>
        </w:rPr>
        <w:t>違法</w:t>
      </w:r>
      <w:r>
        <w:rPr>
          <w:rFonts w:ascii="標楷體" w:eastAsia="標楷體" w:hAnsi="標楷體" w:hint="eastAsia"/>
          <w:sz w:val="28"/>
          <w:szCs w:val="28"/>
        </w:rPr>
        <w:t>之</w:t>
      </w:r>
      <w:r w:rsidRPr="007D2E15">
        <w:rPr>
          <w:rFonts w:ascii="標楷體" w:eastAsia="標楷體" w:hAnsi="標楷體" w:hint="eastAsia"/>
          <w:sz w:val="28"/>
          <w:szCs w:val="28"/>
        </w:rPr>
        <w:t>犯罪行為不能</w:t>
      </w:r>
      <w:r>
        <w:rPr>
          <w:rFonts w:ascii="標楷體" w:eastAsia="標楷體" w:hAnsi="標楷體" w:hint="eastAsia"/>
          <w:sz w:val="28"/>
          <w:szCs w:val="28"/>
        </w:rPr>
        <w:t>以「</w:t>
      </w:r>
      <w:r w:rsidRPr="007D2E15">
        <w:rPr>
          <w:rFonts w:ascii="標楷體" w:eastAsia="標楷體" w:hAnsi="標楷體" w:hint="eastAsia"/>
          <w:sz w:val="28"/>
          <w:szCs w:val="28"/>
        </w:rPr>
        <w:t>言論自由</w:t>
      </w:r>
      <w:r>
        <w:rPr>
          <w:rFonts w:ascii="標楷體" w:eastAsia="標楷體" w:hAnsi="標楷體" w:hint="eastAsia"/>
          <w:sz w:val="28"/>
          <w:szCs w:val="28"/>
        </w:rPr>
        <w:t>」脫罪</w:t>
      </w:r>
      <w:r w:rsidRPr="007D2E15">
        <w:rPr>
          <w:rFonts w:ascii="標楷體" w:eastAsia="標楷體" w:hAnsi="標楷體" w:hint="eastAsia"/>
          <w:sz w:val="28"/>
          <w:szCs w:val="28"/>
        </w:rPr>
        <w:t>，</w:t>
      </w:r>
      <w:r>
        <w:rPr>
          <w:rFonts w:ascii="標楷體" w:eastAsia="標楷體" w:hAnsi="標楷體" w:hint="eastAsia"/>
          <w:sz w:val="28"/>
          <w:szCs w:val="28"/>
        </w:rPr>
        <w:t>調取相關紀錄須以</w:t>
      </w:r>
      <w:r w:rsidRPr="007D2E15">
        <w:rPr>
          <w:rFonts w:ascii="標楷體" w:eastAsia="標楷體" w:hAnsi="標楷體" w:hint="eastAsia"/>
          <w:sz w:val="28"/>
          <w:szCs w:val="28"/>
        </w:rPr>
        <w:t>令狀</w:t>
      </w:r>
      <w:r>
        <w:rPr>
          <w:rFonts w:ascii="標楷體" w:eastAsia="標楷體" w:hAnsi="標楷體" w:hint="eastAsia"/>
          <w:sz w:val="28"/>
          <w:szCs w:val="28"/>
        </w:rPr>
        <w:t>為之</w:t>
      </w:r>
      <w:r w:rsidRPr="007D2E15">
        <w:rPr>
          <w:rFonts w:ascii="標楷體" w:eastAsia="標楷體" w:hAnsi="標楷體" w:hint="eastAsia"/>
          <w:sz w:val="28"/>
          <w:szCs w:val="28"/>
        </w:rPr>
        <w:t>，</w:t>
      </w:r>
      <w:r>
        <w:rPr>
          <w:rFonts w:ascii="標楷體" w:eastAsia="標楷體" w:hAnsi="標楷體" w:hint="eastAsia"/>
          <w:sz w:val="28"/>
          <w:szCs w:val="28"/>
        </w:rPr>
        <w:t>目前立法院</w:t>
      </w:r>
      <w:r w:rsidRPr="00220BB7">
        <w:rPr>
          <w:rFonts w:ascii="標楷體" w:eastAsia="標楷體" w:hAnsi="標楷體" w:hint="eastAsia"/>
          <w:sz w:val="28"/>
          <w:szCs w:val="28"/>
        </w:rPr>
        <w:t>處理「數位服務中介法草案」，即是試圖為執法單位解套，讓機制更加完善。</w:t>
      </w:r>
      <w:r>
        <w:rPr>
          <w:rFonts w:ascii="標楷體" w:eastAsia="標楷體" w:hAnsi="標楷體" w:hint="eastAsia"/>
          <w:sz w:val="28"/>
          <w:szCs w:val="28"/>
        </w:rPr>
        <w:t>過去曾</w:t>
      </w:r>
      <w:r w:rsidRPr="00220BB7">
        <w:rPr>
          <w:rFonts w:ascii="標楷體" w:eastAsia="標楷體" w:hAnsi="標楷體" w:hint="eastAsia"/>
          <w:sz w:val="28"/>
          <w:szCs w:val="28"/>
        </w:rPr>
        <w:t>有討論</w:t>
      </w:r>
      <w:r>
        <w:rPr>
          <w:rFonts w:ascii="標楷體" w:eastAsia="標楷體" w:hAnsi="標楷體" w:hint="eastAsia"/>
          <w:sz w:val="28"/>
          <w:szCs w:val="28"/>
        </w:rPr>
        <w:t>國家是否需</w:t>
      </w:r>
      <w:r w:rsidRPr="00220BB7">
        <w:rPr>
          <w:rFonts w:ascii="標楷體" w:eastAsia="標楷體" w:hAnsi="標楷體" w:hint="eastAsia"/>
          <w:sz w:val="28"/>
          <w:szCs w:val="28"/>
        </w:rPr>
        <w:t>要成立毒品局，但</w:t>
      </w:r>
      <w:r>
        <w:rPr>
          <w:rFonts w:ascii="標楷體" w:eastAsia="標楷體" w:hAnsi="標楷體" w:hint="eastAsia"/>
          <w:sz w:val="28"/>
          <w:szCs w:val="28"/>
        </w:rPr>
        <w:t>似乎未見</w:t>
      </w:r>
      <w:r w:rsidRPr="00220BB7">
        <w:rPr>
          <w:rFonts w:ascii="標楷體" w:eastAsia="標楷體" w:hAnsi="標楷體" w:hint="eastAsia"/>
          <w:sz w:val="28"/>
          <w:szCs w:val="28"/>
        </w:rPr>
        <w:t>行政院</w:t>
      </w:r>
      <w:r>
        <w:rPr>
          <w:rFonts w:ascii="標楷體" w:eastAsia="標楷體" w:hAnsi="標楷體" w:hint="eastAsia"/>
          <w:sz w:val="28"/>
          <w:szCs w:val="28"/>
        </w:rPr>
        <w:t>有相關詐騙</w:t>
      </w:r>
      <w:r w:rsidRPr="00220BB7">
        <w:rPr>
          <w:rFonts w:ascii="標楷體" w:eastAsia="標楷體" w:hAnsi="標楷體" w:hint="eastAsia"/>
          <w:sz w:val="28"/>
          <w:szCs w:val="28"/>
        </w:rPr>
        <w:t>專題報告，惟有整合各單位力量，</w:t>
      </w:r>
      <w:r>
        <w:rPr>
          <w:rFonts w:ascii="標楷體" w:eastAsia="標楷體" w:hAnsi="標楷體" w:hint="eastAsia"/>
          <w:sz w:val="28"/>
          <w:szCs w:val="28"/>
        </w:rPr>
        <w:t>齊力</w:t>
      </w:r>
      <w:r w:rsidRPr="00220BB7">
        <w:rPr>
          <w:rFonts w:ascii="標楷體" w:eastAsia="標楷體" w:hAnsi="標楷體" w:hint="eastAsia"/>
          <w:sz w:val="28"/>
          <w:szCs w:val="28"/>
        </w:rPr>
        <w:t>破獲詐騙組織</w:t>
      </w:r>
      <w:r w:rsidRPr="007D2E15">
        <w:rPr>
          <w:rFonts w:ascii="標楷體" w:eastAsia="標楷體" w:hAnsi="標楷體" w:hint="eastAsia"/>
          <w:sz w:val="28"/>
          <w:szCs w:val="28"/>
        </w:rPr>
        <w:t>源頭，</w:t>
      </w:r>
      <w:r>
        <w:rPr>
          <w:rFonts w:ascii="標楷體" w:eastAsia="標楷體" w:hAnsi="標楷體" w:hint="eastAsia"/>
          <w:sz w:val="28"/>
          <w:szCs w:val="28"/>
        </w:rPr>
        <w:t>而非將偵查戰力花在</w:t>
      </w:r>
      <w:r w:rsidRPr="00220BB7">
        <w:rPr>
          <w:rFonts w:ascii="標楷體" w:eastAsia="標楷體" w:hAnsi="標楷體" w:hint="eastAsia"/>
          <w:sz w:val="28"/>
          <w:szCs w:val="28"/>
        </w:rPr>
        <w:t>車</w:t>
      </w:r>
      <w:r>
        <w:rPr>
          <w:rFonts w:ascii="標楷體" w:eastAsia="標楷體" w:hAnsi="標楷體" w:hint="eastAsia"/>
          <w:sz w:val="28"/>
          <w:szCs w:val="28"/>
        </w:rPr>
        <w:t>手</w:t>
      </w:r>
      <w:r w:rsidRPr="00220BB7">
        <w:rPr>
          <w:rFonts w:ascii="標楷體" w:eastAsia="標楷體" w:hAnsi="標楷體" w:hint="eastAsia"/>
          <w:sz w:val="28"/>
          <w:szCs w:val="28"/>
        </w:rPr>
        <w:t>、人頭帳戶</w:t>
      </w:r>
      <w:r>
        <w:rPr>
          <w:rFonts w:ascii="標楷體" w:eastAsia="標楷體" w:hAnsi="標楷體" w:hint="eastAsia"/>
          <w:sz w:val="28"/>
          <w:szCs w:val="28"/>
        </w:rPr>
        <w:t>等細微案件</w:t>
      </w:r>
      <w:r w:rsidRPr="00220BB7">
        <w:rPr>
          <w:rFonts w:ascii="標楷體" w:eastAsia="標楷體" w:hAnsi="標楷體" w:hint="eastAsia"/>
          <w:sz w:val="28"/>
          <w:szCs w:val="28"/>
        </w:rPr>
        <w:t>，</w:t>
      </w:r>
      <w:r>
        <w:rPr>
          <w:rFonts w:ascii="標楷體" w:eastAsia="標楷體" w:hAnsi="標楷體" w:hint="eastAsia"/>
          <w:sz w:val="28"/>
          <w:szCs w:val="28"/>
        </w:rPr>
        <w:t>才能有效解決民怨，</w:t>
      </w:r>
      <w:r w:rsidRPr="007D2E15">
        <w:rPr>
          <w:rFonts w:ascii="標楷體" w:eastAsia="標楷體" w:hAnsi="標楷體" w:hint="eastAsia"/>
          <w:sz w:val="28"/>
          <w:szCs w:val="28"/>
        </w:rPr>
        <w:t>希望</w:t>
      </w:r>
      <w:r>
        <w:rPr>
          <w:rFonts w:ascii="標楷體" w:eastAsia="標楷體" w:hAnsi="標楷體" w:hint="eastAsia"/>
          <w:sz w:val="28"/>
          <w:szCs w:val="28"/>
        </w:rPr>
        <w:t>政府及</w:t>
      </w:r>
      <w:r w:rsidRPr="007D2E15">
        <w:rPr>
          <w:rFonts w:ascii="標楷體" w:eastAsia="標楷體" w:hAnsi="標楷體" w:hint="eastAsia"/>
          <w:sz w:val="28"/>
          <w:szCs w:val="28"/>
        </w:rPr>
        <w:t>法務部更重</w:t>
      </w:r>
      <w:r>
        <w:rPr>
          <w:rFonts w:ascii="標楷體" w:eastAsia="標楷體" w:hAnsi="標楷體" w:hint="eastAsia"/>
          <w:sz w:val="28"/>
          <w:szCs w:val="28"/>
        </w:rPr>
        <w:t>視此一問題</w:t>
      </w:r>
      <w:r w:rsidRPr="007D2E15">
        <w:rPr>
          <w:rFonts w:ascii="標楷體" w:eastAsia="標楷體" w:hAnsi="標楷體" w:hint="eastAsia"/>
          <w:sz w:val="28"/>
          <w:szCs w:val="28"/>
        </w:rPr>
        <w:t>。</w:t>
      </w:r>
    </w:p>
    <w:p w14:paraId="11079082" w14:textId="77777777" w:rsidR="00421BB5" w:rsidRDefault="00421BB5" w:rsidP="00421BB5">
      <w:pPr>
        <w:topLinePunct/>
        <w:spacing w:line="520" w:lineRule="exact"/>
        <w:jc w:val="both"/>
        <w:rPr>
          <w:rFonts w:ascii="標楷體" w:eastAsia="標楷體" w:hAnsi="標楷體"/>
          <w:sz w:val="28"/>
          <w:szCs w:val="28"/>
        </w:rPr>
      </w:pPr>
      <w:r w:rsidRPr="0094660B">
        <w:rPr>
          <w:rFonts w:ascii="標楷體" w:eastAsia="標楷體" w:hAnsi="標楷體" w:hint="eastAsia"/>
          <w:sz w:val="28"/>
          <w:szCs w:val="28"/>
        </w:rPr>
        <w:t xml:space="preserve">  二、林立法委員</w:t>
      </w:r>
      <w:r>
        <w:rPr>
          <w:rFonts w:ascii="標楷體" w:eastAsia="標楷體" w:hAnsi="標楷體" w:hint="eastAsia"/>
          <w:sz w:val="28"/>
          <w:szCs w:val="28"/>
        </w:rPr>
        <w:t>思銘</w:t>
      </w:r>
      <w:r w:rsidRPr="0094660B">
        <w:rPr>
          <w:rFonts w:ascii="標楷體" w:eastAsia="標楷體" w:hAnsi="標楷體" w:hint="eastAsia"/>
          <w:sz w:val="28"/>
          <w:szCs w:val="28"/>
        </w:rPr>
        <w:t>：</w:t>
      </w:r>
    </w:p>
    <w:p w14:paraId="6A3F8345" w14:textId="77777777" w:rsidR="00421BB5" w:rsidRPr="007D2E1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(一)</w:t>
      </w:r>
      <w:r w:rsidRPr="007D2E15">
        <w:rPr>
          <w:rFonts w:ascii="標楷體" w:eastAsia="標楷體" w:hAnsi="標楷體" w:hint="eastAsia"/>
          <w:sz w:val="28"/>
          <w:szCs w:val="28"/>
        </w:rPr>
        <w:t>桃園</w:t>
      </w:r>
      <w:r>
        <w:rPr>
          <w:rFonts w:ascii="標楷體" w:eastAsia="標楷體" w:hAnsi="標楷體" w:hint="eastAsia"/>
          <w:sz w:val="28"/>
          <w:szCs w:val="28"/>
        </w:rPr>
        <w:t>地院</w:t>
      </w:r>
      <w:r w:rsidRPr="007D2E15">
        <w:rPr>
          <w:rFonts w:ascii="標楷體" w:eastAsia="標楷體" w:hAnsi="標楷體" w:hint="eastAsia"/>
          <w:sz w:val="28"/>
          <w:szCs w:val="28"/>
        </w:rPr>
        <w:t>硬體</w:t>
      </w:r>
      <w:r>
        <w:rPr>
          <w:rFonts w:ascii="標楷體" w:eastAsia="標楷體" w:hAnsi="標楷體" w:hint="eastAsia"/>
          <w:sz w:val="28"/>
          <w:szCs w:val="28"/>
        </w:rPr>
        <w:t>設施完善，規劃動線良好，</w:t>
      </w:r>
      <w:r w:rsidRPr="007D2E15">
        <w:rPr>
          <w:rFonts w:ascii="標楷體" w:eastAsia="標楷體" w:hAnsi="標楷體" w:hint="eastAsia"/>
          <w:sz w:val="28"/>
          <w:szCs w:val="28"/>
        </w:rPr>
        <w:t>值得</w:t>
      </w:r>
      <w:r>
        <w:rPr>
          <w:rFonts w:ascii="標楷體" w:eastAsia="標楷體" w:hAnsi="標楷體" w:hint="eastAsia"/>
          <w:sz w:val="28"/>
          <w:szCs w:val="28"/>
        </w:rPr>
        <w:t>其他機關</w:t>
      </w:r>
      <w:r w:rsidRPr="007D2E15">
        <w:rPr>
          <w:rFonts w:ascii="標楷體" w:eastAsia="標楷體" w:hAnsi="標楷體" w:hint="eastAsia"/>
          <w:sz w:val="28"/>
          <w:szCs w:val="28"/>
        </w:rPr>
        <w:t>借鏡</w:t>
      </w:r>
      <w:r>
        <w:rPr>
          <w:rFonts w:ascii="標楷體" w:eastAsia="標楷體" w:hAnsi="標楷體" w:hint="eastAsia"/>
          <w:sz w:val="28"/>
          <w:szCs w:val="28"/>
        </w:rPr>
        <w:t>。</w:t>
      </w:r>
      <w:r w:rsidRPr="007D2E15">
        <w:rPr>
          <w:rFonts w:ascii="標楷體" w:eastAsia="標楷體" w:hAnsi="標楷體" w:hint="eastAsia"/>
          <w:sz w:val="28"/>
          <w:szCs w:val="28"/>
        </w:rPr>
        <w:t>今</w:t>
      </w:r>
      <w:r>
        <w:rPr>
          <w:rFonts w:ascii="標楷體" w:eastAsia="標楷體" w:hAnsi="標楷體" w:hint="eastAsia"/>
          <w:sz w:val="28"/>
          <w:szCs w:val="28"/>
        </w:rPr>
        <w:t>日</w:t>
      </w:r>
      <w:r w:rsidRPr="007D2E15">
        <w:rPr>
          <w:rFonts w:ascii="標楷體" w:eastAsia="標楷體" w:hAnsi="標楷體" w:hint="eastAsia"/>
          <w:sz w:val="28"/>
          <w:szCs w:val="28"/>
        </w:rPr>
        <w:t>聽</w:t>
      </w:r>
      <w:r>
        <w:rPr>
          <w:rFonts w:ascii="標楷體" w:eastAsia="標楷體" w:hAnsi="標楷體" w:hint="eastAsia"/>
          <w:sz w:val="28"/>
          <w:szCs w:val="28"/>
        </w:rPr>
        <w:t>取</w:t>
      </w:r>
      <w:r w:rsidRPr="007D2E15">
        <w:rPr>
          <w:rFonts w:ascii="標楷體" w:eastAsia="標楷體" w:hAnsi="標楷體" w:hint="eastAsia"/>
          <w:sz w:val="28"/>
          <w:szCs w:val="28"/>
        </w:rPr>
        <w:t>院</w:t>
      </w:r>
      <w:r>
        <w:rPr>
          <w:rFonts w:ascii="標楷體" w:eastAsia="標楷體" w:hAnsi="標楷體" w:hint="eastAsia"/>
          <w:sz w:val="28"/>
          <w:szCs w:val="28"/>
        </w:rPr>
        <w:t>檢首長</w:t>
      </w:r>
      <w:r w:rsidRPr="007D2E15">
        <w:rPr>
          <w:rFonts w:ascii="標楷體" w:eastAsia="標楷體" w:hAnsi="標楷體" w:hint="eastAsia"/>
          <w:sz w:val="28"/>
          <w:szCs w:val="28"/>
        </w:rPr>
        <w:t>業務報告</w:t>
      </w:r>
      <w:r>
        <w:rPr>
          <w:rFonts w:ascii="標楷體" w:eastAsia="標楷體" w:hAnsi="標楷體" w:hint="eastAsia"/>
          <w:sz w:val="28"/>
          <w:szCs w:val="28"/>
        </w:rPr>
        <w:t>，</w:t>
      </w:r>
      <w:r w:rsidRPr="007D2E15">
        <w:rPr>
          <w:rFonts w:ascii="標楷體" w:eastAsia="標楷體" w:hAnsi="標楷體" w:hint="eastAsia"/>
          <w:sz w:val="28"/>
          <w:szCs w:val="28"/>
        </w:rPr>
        <w:t>收穫良多</w:t>
      </w:r>
      <w:r>
        <w:rPr>
          <w:rFonts w:ascii="標楷體" w:eastAsia="標楷體" w:hAnsi="標楷體" w:hint="eastAsia"/>
          <w:sz w:val="28"/>
          <w:szCs w:val="28"/>
        </w:rPr>
        <w:t>，</w:t>
      </w:r>
      <w:r w:rsidRPr="007D2E15">
        <w:rPr>
          <w:rFonts w:ascii="標楷體" w:eastAsia="標楷體" w:hAnsi="標楷體" w:hint="eastAsia"/>
          <w:sz w:val="28"/>
          <w:szCs w:val="28"/>
        </w:rPr>
        <w:t>院方報告主軸</w:t>
      </w:r>
      <w:r>
        <w:rPr>
          <w:rFonts w:ascii="標楷體" w:eastAsia="標楷體" w:hAnsi="標楷體" w:hint="eastAsia"/>
          <w:sz w:val="28"/>
          <w:szCs w:val="28"/>
        </w:rPr>
        <w:t>強調建立調解制度、加強</w:t>
      </w:r>
      <w:r w:rsidRPr="007D2E15">
        <w:rPr>
          <w:rFonts w:ascii="標楷體" w:eastAsia="標楷體" w:hAnsi="標楷體" w:hint="eastAsia"/>
          <w:sz w:val="28"/>
          <w:szCs w:val="28"/>
        </w:rPr>
        <w:t>修復</w:t>
      </w:r>
      <w:r>
        <w:rPr>
          <w:rFonts w:ascii="標楷體" w:eastAsia="標楷體" w:hAnsi="標楷體" w:hint="eastAsia"/>
          <w:sz w:val="28"/>
          <w:szCs w:val="28"/>
        </w:rPr>
        <w:t>式</w:t>
      </w:r>
      <w:r w:rsidRPr="007D2E15">
        <w:rPr>
          <w:rFonts w:ascii="標楷體" w:eastAsia="標楷體" w:hAnsi="標楷體" w:hint="eastAsia"/>
          <w:sz w:val="28"/>
          <w:szCs w:val="28"/>
        </w:rPr>
        <w:t>司法</w:t>
      </w:r>
      <w:r>
        <w:rPr>
          <w:rFonts w:ascii="標楷體" w:eastAsia="標楷體" w:hAnsi="標楷體" w:hint="eastAsia"/>
          <w:sz w:val="28"/>
          <w:szCs w:val="28"/>
        </w:rPr>
        <w:t>，都</w:t>
      </w:r>
      <w:r w:rsidRPr="007D2E15">
        <w:rPr>
          <w:rFonts w:ascii="標楷體" w:eastAsia="標楷體" w:hAnsi="標楷體" w:hint="eastAsia"/>
          <w:sz w:val="28"/>
          <w:szCs w:val="28"/>
        </w:rPr>
        <w:t>值得全國法院學習</w:t>
      </w:r>
      <w:r>
        <w:rPr>
          <w:rFonts w:ascii="標楷體" w:eastAsia="標楷體" w:hAnsi="標楷體" w:hint="eastAsia"/>
          <w:sz w:val="28"/>
          <w:szCs w:val="28"/>
        </w:rPr>
        <w:t>；而辦理擴建計畫、塑造新司法建築意象、</w:t>
      </w:r>
      <w:r w:rsidRPr="007D2E15">
        <w:rPr>
          <w:rFonts w:ascii="標楷體" w:eastAsia="標楷體" w:hAnsi="標楷體" w:hint="eastAsia"/>
          <w:sz w:val="28"/>
          <w:szCs w:val="28"/>
        </w:rPr>
        <w:t>營造友善司法環境，</w:t>
      </w:r>
      <w:r>
        <w:rPr>
          <w:rFonts w:ascii="標楷體" w:eastAsia="標楷體" w:hAnsi="標楷體" w:hint="eastAsia"/>
          <w:sz w:val="28"/>
          <w:szCs w:val="28"/>
        </w:rPr>
        <w:t>桃園地院都作</w:t>
      </w:r>
      <w:r w:rsidRPr="007D2E15">
        <w:rPr>
          <w:rFonts w:ascii="標楷體" w:eastAsia="標楷體" w:hAnsi="標楷體" w:hint="eastAsia"/>
          <w:sz w:val="28"/>
          <w:szCs w:val="28"/>
        </w:rPr>
        <w:t>得</w:t>
      </w:r>
      <w:r>
        <w:rPr>
          <w:rFonts w:ascii="標楷體" w:eastAsia="標楷體" w:hAnsi="標楷體" w:hint="eastAsia"/>
          <w:sz w:val="28"/>
          <w:szCs w:val="28"/>
        </w:rPr>
        <w:t>相當好</w:t>
      </w:r>
      <w:r w:rsidRPr="007D2E15">
        <w:rPr>
          <w:rFonts w:ascii="標楷體" w:eastAsia="標楷體" w:hAnsi="標楷體" w:hint="eastAsia"/>
          <w:sz w:val="28"/>
          <w:szCs w:val="28"/>
        </w:rPr>
        <w:t>，</w:t>
      </w:r>
      <w:r>
        <w:rPr>
          <w:rFonts w:ascii="標楷體" w:eastAsia="標楷體" w:hAnsi="標楷體" w:hint="eastAsia"/>
          <w:sz w:val="28"/>
          <w:szCs w:val="28"/>
        </w:rPr>
        <w:t>讓民眾進入</w:t>
      </w:r>
      <w:r w:rsidRPr="007D2E15">
        <w:rPr>
          <w:rFonts w:ascii="標楷體" w:eastAsia="標楷體" w:hAnsi="標楷體" w:hint="eastAsia"/>
          <w:sz w:val="28"/>
          <w:szCs w:val="28"/>
        </w:rPr>
        <w:t>到法院</w:t>
      </w:r>
      <w:r>
        <w:rPr>
          <w:rFonts w:ascii="標楷體" w:eastAsia="標楷體" w:hAnsi="標楷體" w:hint="eastAsia"/>
          <w:sz w:val="28"/>
          <w:szCs w:val="28"/>
        </w:rPr>
        <w:t>，就產生</w:t>
      </w:r>
      <w:r w:rsidRPr="007D2E15">
        <w:rPr>
          <w:rFonts w:ascii="標楷體" w:eastAsia="標楷體" w:hAnsi="標楷體" w:hint="eastAsia"/>
          <w:sz w:val="28"/>
          <w:szCs w:val="28"/>
        </w:rPr>
        <w:t>莊嚴肅穆</w:t>
      </w:r>
      <w:r>
        <w:rPr>
          <w:rFonts w:ascii="標楷體" w:eastAsia="標楷體" w:hAnsi="標楷體" w:hint="eastAsia"/>
          <w:sz w:val="28"/>
          <w:szCs w:val="28"/>
        </w:rPr>
        <w:t>、</w:t>
      </w:r>
      <w:r w:rsidRPr="007D2E15">
        <w:rPr>
          <w:rFonts w:ascii="標楷體" w:eastAsia="標楷體" w:hAnsi="標楷體" w:hint="eastAsia"/>
          <w:sz w:val="28"/>
          <w:szCs w:val="28"/>
        </w:rPr>
        <w:t>公平正義</w:t>
      </w:r>
      <w:r>
        <w:rPr>
          <w:rFonts w:ascii="標楷體" w:eastAsia="標楷體" w:hAnsi="標楷體" w:hint="eastAsia"/>
          <w:sz w:val="28"/>
          <w:szCs w:val="28"/>
        </w:rPr>
        <w:t>的感覺</w:t>
      </w:r>
      <w:r w:rsidRPr="007D2E15">
        <w:rPr>
          <w:rFonts w:ascii="標楷體" w:eastAsia="標楷體" w:hAnsi="標楷體" w:hint="eastAsia"/>
          <w:sz w:val="28"/>
          <w:szCs w:val="28"/>
        </w:rPr>
        <w:t>。</w:t>
      </w:r>
    </w:p>
    <w:p w14:paraId="219BE92D" w14:textId="77777777" w:rsidR="00421BB5" w:rsidRPr="007D2E1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(二)桃園</w:t>
      </w:r>
      <w:r w:rsidRPr="007D2E15">
        <w:rPr>
          <w:rFonts w:ascii="標楷體" w:eastAsia="標楷體" w:hAnsi="標楷體" w:hint="eastAsia"/>
          <w:sz w:val="28"/>
          <w:szCs w:val="28"/>
        </w:rPr>
        <w:t>地檢</w:t>
      </w:r>
      <w:r>
        <w:rPr>
          <w:rFonts w:ascii="標楷體" w:eastAsia="標楷體" w:hAnsi="標楷體" w:hint="eastAsia"/>
          <w:sz w:val="28"/>
          <w:szCs w:val="28"/>
        </w:rPr>
        <w:t>業務</w:t>
      </w:r>
      <w:r w:rsidRPr="007D2E15">
        <w:rPr>
          <w:rFonts w:ascii="標楷體" w:eastAsia="標楷體" w:hAnsi="標楷體" w:hint="eastAsia"/>
          <w:sz w:val="28"/>
          <w:szCs w:val="28"/>
        </w:rPr>
        <w:t>報告</w:t>
      </w:r>
      <w:r>
        <w:rPr>
          <w:rFonts w:ascii="標楷體" w:eastAsia="標楷體" w:hAnsi="標楷體" w:hint="eastAsia"/>
          <w:sz w:val="28"/>
          <w:szCs w:val="28"/>
        </w:rPr>
        <w:t>作</w:t>
      </w:r>
      <w:r w:rsidRPr="007D2E15">
        <w:rPr>
          <w:rFonts w:ascii="標楷體" w:eastAsia="標楷體" w:hAnsi="標楷體" w:hint="eastAsia"/>
          <w:sz w:val="28"/>
          <w:szCs w:val="28"/>
        </w:rPr>
        <w:t>得非常好，</w:t>
      </w:r>
      <w:r>
        <w:rPr>
          <w:rFonts w:ascii="標楷體" w:eastAsia="標楷體" w:hAnsi="標楷體" w:hint="eastAsia"/>
          <w:sz w:val="28"/>
          <w:szCs w:val="28"/>
        </w:rPr>
        <w:t>讓委員們</w:t>
      </w:r>
      <w:r w:rsidRPr="007D2E15">
        <w:rPr>
          <w:rFonts w:ascii="標楷體" w:eastAsia="標楷體" w:hAnsi="標楷體" w:hint="eastAsia"/>
          <w:sz w:val="28"/>
          <w:szCs w:val="28"/>
        </w:rPr>
        <w:t>對</w:t>
      </w:r>
      <w:r>
        <w:rPr>
          <w:rFonts w:ascii="標楷體" w:eastAsia="標楷體" w:hAnsi="標楷體" w:hint="eastAsia"/>
          <w:sz w:val="28"/>
          <w:szCs w:val="28"/>
        </w:rPr>
        <w:t>於檢察</w:t>
      </w:r>
      <w:r w:rsidRPr="007D2E15">
        <w:rPr>
          <w:rFonts w:ascii="標楷體" w:eastAsia="標楷體" w:hAnsi="標楷體" w:hint="eastAsia"/>
          <w:sz w:val="28"/>
          <w:szCs w:val="28"/>
        </w:rPr>
        <w:t>業務瞭解</w:t>
      </w:r>
      <w:r>
        <w:rPr>
          <w:rFonts w:ascii="標楷體" w:eastAsia="標楷體" w:hAnsi="標楷體" w:hint="eastAsia"/>
          <w:sz w:val="28"/>
          <w:szCs w:val="28"/>
        </w:rPr>
        <w:t>得</w:t>
      </w:r>
      <w:r w:rsidRPr="007D2E15">
        <w:rPr>
          <w:rFonts w:ascii="標楷體" w:eastAsia="標楷體" w:hAnsi="標楷體" w:hint="eastAsia"/>
          <w:sz w:val="28"/>
          <w:szCs w:val="28"/>
        </w:rPr>
        <w:t>更</w:t>
      </w:r>
      <w:r>
        <w:rPr>
          <w:rFonts w:ascii="標楷體" w:eastAsia="標楷體" w:hAnsi="標楷體" w:hint="eastAsia"/>
          <w:sz w:val="28"/>
          <w:szCs w:val="28"/>
        </w:rPr>
        <w:t>加</w:t>
      </w:r>
      <w:r w:rsidRPr="007D2E15">
        <w:rPr>
          <w:rFonts w:ascii="標楷體" w:eastAsia="標楷體" w:hAnsi="標楷體" w:hint="eastAsia"/>
          <w:sz w:val="28"/>
          <w:szCs w:val="28"/>
        </w:rPr>
        <w:t>透徹，在立</w:t>
      </w:r>
      <w:r>
        <w:rPr>
          <w:rFonts w:ascii="標楷體" w:eastAsia="標楷體" w:hAnsi="標楷體" w:hint="eastAsia"/>
          <w:sz w:val="28"/>
          <w:szCs w:val="28"/>
        </w:rPr>
        <w:t>法</w:t>
      </w:r>
      <w:r w:rsidRPr="007D2E15">
        <w:rPr>
          <w:rFonts w:ascii="標楷體" w:eastAsia="標楷體" w:hAnsi="標楷體" w:hint="eastAsia"/>
          <w:sz w:val="28"/>
          <w:szCs w:val="28"/>
        </w:rPr>
        <w:t>院如</w:t>
      </w:r>
      <w:r>
        <w:rPr>
          <w:rFonts w:ascii="標楷體" w:eastAsia="標楷體" w:hAnsi="標楷體" w:hint="eastAsia"/>
          <w:sz w:val="28"/>
          <w:szCs w:val="28"/>
        </w:rPr>
        <w:t>有</w:t>
      </w:r>
      <w:r w:rsidRPr="007D2E15">
        <w:rPr>
          <w:rFonts w:ascii="標楷體" w:eastAsia="標楷體" w:hAnsi="標楷體" w:hint="eastAsia"/>
          <w:sz w:val="28"/>
          <w:szCs w:val="28"/>
        </w:rPr>
        <w:t>需</w:t>
      </w:r>
      <w:r>
        <w:rPr>
          <w:rFonts w:ascii="標楷體" w:eastAsia="標楷體" w:hAnsi="標楷體" w:hint="eastAsia"/>
          <w:sz w:val="28"/>
          <w:szCs w:val="28"/>
        </w:rPr>
        <w:t>要各項</w:t>
      </w:r>
      <w:r w:rsidRPr="007D2E15">
        <w:rPr>
          <w:rFonts w:ascii="標楷體" w:eastAsia="標楷體" w:hAnsi="標楷體" w:hint="eastAsia"/>
          <w:sz w:val="28"/>
          <w:szCs w:val="28"/>
        </w:rPr>
        <w:t>協助，</w:t>
      </w:r>
      <w:r>
        <w:rPr>
          <w:rFonts w:ascii="標楷體" w:eastAsia="標楷體" w:hAnsi="標楷體" w:hint="eastAsia"/>
          <w:sz w:val="28"/>
          <w:szCs w:val="28"/>
        </w:rPr>
        <w:t>無論是</w:t>
      </w:r>
      <w:r w:rsidRPr="007D2E15">
        <w:rPr>
          <w:rFonts w:ascii="標楷體" w:eastAsia="標楷體" w:hAnsi="標楷體" w:hint="eastAsia"/>
          <w:sz w:val="28"/>
          <w:szCs w:val="28"/>
        </w:rPr>
        <w:t>預算編列</w:t>
      </w:r>
      <w:r>
        <w:rPr>
          <w:rFonts w:ascii="標楷體" w:eastAsia="標楷體" w:hAnsi="標楷體" w:hint="eastAsia"/>
          <w:sz w:val="28"/>
          <w:szCs w:val="28"/>
        </w:rPr>
        <w:t>、人力補充等</w:t>
      </w:r>
      <w:r w:rsidRPr="007D2E15">
        <w:rPr>
          <w:rFonts w:ascii="標楷體" w:eastAsia="標楷體" w:hAnsi="標楷體" w:hint="eastAsia"/>
          <w:sz w:val="28"/>
          <w:szCs w:val="28"/>
        </w:rPr>
        <w:t>，</w:t>
      </w:r>
      <w:r>
        <w:rPr>
          <w:rFonts w:ascii="標楷體" w:eastAsia="標楷體" w:hAnsi="標楷體" w:hint="eastAsia"/>
          <w:sz w:val="28"/>
          <w:szCs w:val="28"/>
        </w:rPr>
        <w:t>只要是實踐</w:t>
      </w:r>
      <w:r w:rsidRPr="007D2E15">
        <w:rPr>
          <w:rFonts w:ascii="標楷體" w:eastAsia="標楷體" w:hAnsi="標楷體" w:hint="eastAsia"/>
          <w:sz w:val="28"/>
          <w:szCs w:val="28"/>
        </w:rPr>
        <w:t>公平正義</w:t>
      </w:r>
      <w:r>
        <w:rPr>
          <w:rFonts w:ascii="標楷體" w:eastAsia="標楷體" w:hAnsi="標楷體" w:hint="eastAsia"/>
          <w:sz w:val="28"/>
          <w:szCs w:val="28"/>
        </w:rPr>
        <w:t>之項目</w:t>
      </w:r>
      <w:r w:rsidRPr="007D2E15">
        <w:rPr>
          <w:rFonts w:ascii="標楷體" w:eastAsia="標楷體" w:hAnsi="標楷體" w:hint="eastAsia"/>
          <w:sz w:val="28"/>
          <w:szCs w:val="28"/>
        </w:rPr>
        <w:t>，</w:t>
      </w:r>
      <w:r>
        <w:rPr>
          <w:rFonts w:ascii="標楷體" w:eastAsia="標楷體" w:hAnsi="標楷體" w:hint="eastAsia"/>
          <w:sz w:val="28"/>
          <w:szCs w:val="28"/>
        </w:rPr>
        <w:t>本席</w:t>
      </w:r>
      <w:r w:rsidRPr="007D2E15">
        <w:rPr>
          <w:rFonts w:ascii="標楷體" w:eastAsia="標楷體" w:hAnsi="標楷體" w:hint="eastAsia"/>
          <w:sz w:val="28"/>
          <w:szCs w:val="28"/>
        </w:rPr>
        <w:t>都願意支持</w:t>
      </w:r>
      <w:r>
        <w:rPr>
          <w:rFonts w:ascii="標楷體" w:eastAsia="標楷體" w:hAnsi="標楷體" w:hint="eastAsia"/>
          <w:sz w:val="28"/>
          <w:szCs w:val="28"/>
        </w:rPr>
        <w:t>！</w:t>
      </w:r>
    </w:p>
    <w:p w14:paraId="754D2788" w14:textId="77777777" w:rsidR="00421BB5" w:rsidRPr="007D2E1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(三)歷年來各部門透過新聞</w:t>
      </w:r>
      <w:r w:rsidRPr="007D2E15">
        <w:rPr>
          <w:rFonts w:ascii="標楷體" w:eastAsia="標楷體" w:hAnsi="標楷體" w:hint="eastAsia"/>
          <w:sz w:val="28"/>
          <w:szCs w:val="28"/>
        </w:rPr>
        <w:t>媒體</w:t>
      </w:r>
      <w:r>
        <w:rPr>
          <w:rFonts w:ascii="標楷體" w:eastAsia="標楷體" w:hAnsi="標楷體" w:hint="eastAsia"/>
          <w:sz w:val="28"/>
          <w:szCs w:val="28"/>
        </w:rPr>
        <w:t>積極</w:t>
      </w:r>
      <w:r w:rsidRPr="007D2E15">
        <w:rPr>
          <w:rFonts w:ascii="標楷體" w:eastAsia="標楷體" w:hAnsi="標楷體" w:hint="eastAsia"/>
          <w:sz w:val="28"/>
          <w:szCs w:val="28"/>
        </w:rPr>
        <w:t>宣</w:t>
      </w:r>
      <w:r>
        <w:rPr>
          <w:rFonts w:ascii="標楷體" w:eastAsia="標楷體" w:hAnsi="標楷體" w:hint="eastAsia"/>
          <w:sz w:val="28"/>
          <w:szCs w:val="28"/>
        </w:rPr>
        <w:t>導各種詐騙集團手法</w:t>
      </w:r>
      <w:r w:rsidRPr="007D2E15">
        <w:rPr>
          <w:rFonts w:ascii="標楷體" w:eastAsia="標楷體" w:hAnsi="標楷體" w:hint="eastAsia"/>
          <w:sz w:val="28"/>
          <w:szCs w:val="28"/>
        </w:rPr>
        <w:t>，但</w:t>
      </w:r>
      <w:r>
        <w:rPr>
          <w:rFonts w:ascii="標楷體" w:eastAsia="標楷體" w:hAnsi="標楷體" w:hint="eastAsia"/>
          <w:sz w:val="28"/>
          <w:szCs w:val="28"/>
        </w:rPr>
        <w:t>民眾</w:t>
      </w:r>
      <w:r w:rsidRPr="007D2E15">
        <w:rPr>
          <w:rFonts w:ascii="標楷體" w:eastAsia="標楷體" w:hAnsi="標楷體" w:hint="eastAsia"/>
          <w:sz w:val="28"/>
          <w:szCs w:val="28"/>
        </w:rPr>
        <w:t>接到電話</w:t>
      </w:r>
      <w:r>
        <w:rPr>
          <w:rFonts w:ascii="標楷體" w:eastAsia="標楷體" w:hAnsi="標楷體" w:hint="eastAsia"/>
          <w:sz w:val="28"/>
          <w:szCs w:val="28"/>
        </w:rPr>
        <w:t>卻仍然</w:t>
      </w:r>
      <w:r w:rsidRPr="007D2E15">
        <w:rPr>
          <w:rFonts w:ascii="標楷體" w:eastAsia="標楷體" w:hAnsi="標楷體" w:hint="eastAsia"/>
          <w:sz w:val="28"/>
          <w:szCs w:val="28"/>
        </w:rPr>
        <w:t>還是會</w:t>
      </w:r>
      <w:r>
        <w:rPr>
          <w:rFonts w:ascii="標楷體" w:eastAsia="標楷體" w:hAnsi="標楷體" w:hint="eastAsia"/>
          <w:sz w:val="28"/>
          <w:szCs w:val="28"/>
        </w:rPr>
        <w:t>受</w:t>
      </w:r>
      <w:r w:rsidRPr="007D2E15">
        <w:rPr>
          <w:rFonts w:ascii="標楷體" w:eastAsia="標楷體" w:hAnsi="標楷體" w:hint="eastAsia"/>
          <w:sz w:val="28"/>
          <w:szCs w:val="28"/>
        </w:rPr>
        <w:t>騙，</w:t>
      </w:r>
      <w:r>
        <w:rPr>
          <w:rFonts w:ascii="標楷體" w:eastAsia="標楷體" w:hAnsi="標楷體" w:hint="eastAsia"/>
          <w:sz w:val="28"/>
          <w:szCs w:val="28"/>
        </w:rPr>
        <w:t>顯見跨部會教育民眾相當重</w:t>
      </w:r>
      <w:r w:rsidRPr="007D2E15">
        <w:rPr>
          <w:rFonts w:ascii="標楷體" w:eastAsia="標楷體" w:hAnsi="標楷體" w:hint="eastAsia"/>
          <w:sz w:val="28"/>
          <w:szCs w:val="28"/>
        </w:rPr>
        <w:t>要，</w:t>
      </w:r>
      <w:r>
        <w:rPr>
          <w:rFonts w:ascii="標楷體" w:eastAsia="標楷體" w:hAnsi="標楷體" w:hint="eastAsia"/>
          <w:sz w:val="28"/>
          <w:szCs w:val="28"/>
        </w:rPr>
        <w:t>也請</w:t>
      </w:r>
      <w:r w:rsidRPr="007D2E15">
        <w:rPr>
          <w:rFonts w:ascii="標楷體" w:eastAsia="標楷體" w:hAnsi="標楷體" w:hint="eastAsia"/>
          <w:sz w:val="28"/>
          <w:szCs w:val="28"/>
        </w:rPr>
        <w:t>檢警</w:t>
      </w:r>
      <w:r>
        <w:rPr>
          <w:rFonts w:ascii="標楷體" w:eastAsia="標楷體" w:hAnsi="標楷體" w:hint="eastAsia"/>
          <w:sz w:val="28"/>
          <w:szCs w:val="28"/>
        </w:rPr>
        <w:t>機關作好</w:t>
      </w:r>
      <w:r w:rsidRPr="007D2E15">
        <w:rPr>
          <w:rFonts w:ascii="標楷體" w:eastAsia="標楷體" w:hAnsi="標楷體" w:hint="eastAsia"/>
          <w:sz w:val="28"/>
          <w:szCs w:val="28"/>
        </w:rPr>
        <w:t>橫向聯繫</w:t>
      </w:r>
      <w:r>
        <w:rPr>
          <w:rFonts w:ascii="標楷體" w:eastAsia="標楷體" w:hAnsi="標楷體" w:hint="eastAsia"/>
          <w:sz w:val="28"/>
          <w:szCs w:val="28"/>
        </w:rPr>
        <w:t>工作</w:t>
      </w:r>
      <w:r w:rsidRPr="007D2E15">
        <w:rPr>
          <w:rFonts w:ascii="標楷體" w:eastAsia="標楷體" w:hAnsi="標楷體" w:hint="eastAsia"/>
          <w:sz w:val="28"/>
          <w:szCs w:val="28"/>
        </w:rPr>
        <w:t>。</w:t>
      </w:r>
    </w:p>
    <w:p w14:paraId="2BF2717C" w14:textId="77777777" w:rsidR="00421BB5" w:rsidRPr="007D2E15" w:rsidRDefault="00421BB5" w:rsidP="00421BB5">
      <w:pPr>
        <w:topLinePunct/>
        <w:spacing w:line="520" w:lineRule="exact"/>
        <w:ind w:leftChars="43" w:left="1007" w:hangingChars="323" w:hanging="904"/>
        <w:jc w:val="both"/>
        <w:rPr>
          <w:rFonts w:ascii="標楷體" w:eastAsia="標楷體" w:hAnsi="標楷體"/>
          <w:sz w:val="28"/>
          <w:szCs w:val="28"/>
        </w:rPr>
      </w:pPr>
      <w:r>
        <w:rPr>
          <w:rFonts w:ascii="標楷體" w:eastAsia="標楷體" w:hAnsi="標楷體" w:hint="eastAsia"/>
          <w:sz w:val="28"/>
          <w:szCs w:val="28"/>
        </w:rPr>
        <w:t xml:space="preserve">    (四)檢察機關</w:t>
      </w:r>
      <w:r w:rsidRPr="007D2E15">
        <w:rPr>
          <w:rFonts w:ascii="標楷體" w:eastAsia="標楷體" w:hAnsi="標楷體" w:hint="eastAsia"/>
          <w:sz w:val="28"/>
          <w:szCs w:val="28"/>
        </w:rPr>
        <w:t>查察賄選</w:t>
      </w:r>
      <w:r>
        <w:rPr>
          <w:rFonts w:ascii="標楷體" w:eastAsia="標楷體" w:hAnsi="標楷體" w:hint="eastAsia"/>
          <w:sz w:val="28"/>
          <w:szCs w:val="28"/>
        </w:rPr>
        <w:t>面臨2個</w:t>
      </w:r>
      <w:r w:rsidRPr="007D2E15">
        <w:rPr>
          <w:rFonts w:ascii="標楷體" w:eastAsia="標楷體" w:hAnsi="標楷體" w:hint="eastAsia"/>
          <w:sz w:val="28"/>
          <w:szCs w:val="28"/>
        </w:rPr>
        <w:t>問題</w:t>
      </w:r>
      <w:r>
        <w:rPr>
          <w:rFonts w:ascii="標楷體" w:eastAsia="標楷體" w:hAnsi="標楷體" w:hint="eastAsia"/>
          <w:sz w:val="28"/>
          <w:szCs w:val="28"/>
        </w:rPr>
        <w:t>：</w:t>
      </w:r>
    </w:p>
    <w:p w14:paraId="0EF87D3D" w14:textId="77777777" w:rsidR="00421BB5" w:rsidRPr="007D2E1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1、</w:t>
      </w:r>
      <w:r w:rsidRPr="007D2E15">
        <w:rPr>
          <w:rFonts w:ascii="標楷體" w:eastAsia="標楷體" w:hAnsi="標楷體" w:hint="eastAsia"/>
          <w:sz w:val="28"/>
          <w:szCs w:val="28"/>
        </w:rPr>
        <w:t>整</w:t>
      </w:r>
      <w:r>
        <w:rPr>
          <w:rFonts w:ascii="標楷體" w:eastAsia="標楷體" w:hAnsi="標楷體" w:hint="eastAsia"/>
          <w:sz w:val="28"/>
          <w:szCs w:val="28"/>
        </w:rPr>
        <w:t>體</w:t>
      </w:r>
      <w:r w:rsidRPr="007D2E15">
        <w:rPr>
          <w:rFonts w:ascii="標楷體" w:eastAsia="標楷體" w:hAnsi="標楷體" w:hint="eastAsia"/>
          <w:sz w:val="28"/>
          <w:szCs w:val="28"/>
        </w:rPr>
        <w:t>查賄標準要清楚</w:t>
      </w:r>
      <w:r>
        <w:rPr>
          <w:rFonts w:ascii="標楷體" w:eastAsia="標楷體" w:hAnsi="標楷體" w:hint="eastAsia"/>
          <w:sz w:val="28"/>
          <w:szCs w:val="28"/>
        </w:rPr>
        <w:t>：</w:t>
      </w:r>
    </w:p>
    <w:p w14:paraId="6DE942CE" w14:textId="77777777" w:rsidR="00421BB5" w:rsidRDefault="00421BB5" w:rsidP="00421BB5">
      <w:pPr>
        <w:topLinePunct/>
        <w:spacing w:line="520" w:lineRule="exact"/>
        <w:ind w:leftChars="650" w:left="1560"/>
        <w:jc w:val="both"/>
        <w:rPr>
          <w:rFonts w:ascii="標楷體" w:eastAsia="標楷體" w:hAnsi="標楷體"/>
          <w:sz w:val="28"/>
          <w:szCs w:val="28"/>
        </w:rPr>
      </w:pPr>
      <w:r>
        <w:rPr>
          <w:rFonts w:ascii="標楷體" w:eastAsia="標楷體" w:hAnsi="標楷體" w:hint="eastAsia"/>
          <w:sz w:val="28"/>
          <w:szCs w:val="28"/>
        </w:rPr>
        <w:t xml:space="preserve">  過去訂有30</w:t>
      </w:r>
      <w:r w:rsidRPr="007D2E15">
        <w:rPr>
          <w:rFonts w:ascii="標楷體" w:eastAsia="標楷體" w:hAnsi="標楷體" w:hint="eastAsia"/>
          <w:sz w:val="28"/>
          <w:szCs w:val="28"/>
        </w:rPr>
        <w:t>元</w:t>
      </w:r>
      <w:r>
        <w:rPr>
          <w:rFonts w:ascii="標楷體" w:eastAsia="標楷體" w:hAnsi="標楷體" w:hint="eastAsia"/>
          <w:sz w:val="28"/>
          <w:szCs w:val="28"/>
        </w:rPr>
        <w:t>查賄標準，然此標準過於</w:t>
      </w:r>
      <w:r w:rsidRPr="007D2E15">
        <w:rPr>
          <w:rFonts w:ascii="標楷體" w:eastAsia="標楷體" w:hAnsi="標楷體" w:hint="eastAsia"/>
          <w:sz w:val="28"/>
          <w:szCs w:val="28"/>
        </w:rPr>
        <w:t>保守，</w:t>
      </w:r>
      <w:r>
        <w:rPr>
          <w:rFonts w:ascii="標楷體" w:eastAsia="標楷體" w:hAnsi="標楷體" w:hint="eastAsia"/>
          <w:sz w:val="28"/>
          <w:szCs w:val="28"/>
        </w:rPr>
        <w:t>以現今物價水準，30元如何能影響選民意圖？需要浪費檢察官人</w:t>
      </w:r>
      <w:r>
        <w:rPr>
          <w:rFonts w:ascii="標楷體" w:eastAsia="標楷體" w:hAnsi="標楷體" w:hint="eastAsia"/>
          <w:sz w:val="28"/>
          <w:szCs w:val="28"/>
        </w:rPr>
        <w:lastRenderedPageBreak/>
        <w:t>力進行追查嗎？不無思考餘地。</w:t>
      </w:r>
    </w:p>
    <w:p w14:paraId="28B4DB23" w14:textId="77777777" w:rsidR="00421BB5" w:rsidRPr="0094660B" w:rsidRDefault="00421BB5" w:rsidP="00421BB5">
      <w:pPr>
        <w:topLinePunct/>
        <w:spacing w:line="520" w:lineRule="exact"/>
        <w:ind w:leftChars="467" w:left="1561" w:hangingChars="157" w:hanging="440"/>
        <w:jc w:val="both"/>
        <w:rPr>
          <w:rFonts w:ascii="標楷體" w:eastAsia="標楷體" w:hAnsi="標楷體"/>
          <w:sz w:val="28"/>
          <w:szCs w:val="28"/>
        </w:rPr>
      </w:pPr>
      <w:r>
        <w:rPr>
          <w:rFonts w:ascii="標楷體" w:eastAsia="標楷體" w:hAnsi="標楷體" w:hint="eastAsia"/>
          <w:sz w:val="28"/>
          <w:szCs w:val="28"/>
        </w:rPr>
        <w:t>2、建議與各鄉鎮市活動結合辦理反賄選政令宣導，務必</w:t>
      </w:r>
      <w:r w:rsidRPr="007D2E15">
        <w:rPr>
          <w:rFonts w:ascii="標楷體" w:eastAsia="標楷體" w:hAnsi="標楷體" w:hint="eastAsia"/>
          <w:sz w:val="28"/>
          <w:szCs w:val="28"/>
        </w:rPr>
        <w:t>讓</w:t>
      </w:r>
      <w:r>
        <w:rPr>
          <w:rFonts w:ascii="標楷體" w:eastAsia="標楷體" w:hAnsi="標楷體" w:hint="eastAsia"/>
          <w:sz w:val="28"/>
          <w:szCs w:val="28"/>
        </w:rPr>
        <w:t>民眾瞭解政府查賄之</w:t>
      </w:r>
      <w:r w:rsidRPr="007D2E15">
        <w:rPr>
          <w:rFonts w:ascii="標楷體" w:eastAsia="標楷體" w:hAnsi="標楷體" w:hint="eastAsia"/>
          <w:sz w:val="28"/>
          <w:szCs w:val="28"/>
        </w:rPr>
        <w:t>決心。</w:t>
      </w:r>
    </w:p>
    <w:p w14:paraId="3D47A2C2" w14:textId="77777777" w:rsidR="00421BB5" w:rsidRPr="0094660B" w:rsidRDefault="00421BB5" w:rsidP="00421BB5">
      <w:pPr>
        <w:topLinePunct/>
        <w:spacing w:line="520" w:lineRule="exact"/>
        <w:jc w:val="both"/>
        <w:rPr>
          <w:rFonts w:ascii="標楷體" w:eastAsia="標楷體" w:hAnsi="標楷體"/>
          <w:sz w:val="28"/>
          <w:szCs w:val="28"/>
        </w:rPr>
      </w:pPr>
      <w:r w:rsidRPr="0094660B">
        <w:rPr>
          <w:rFonts w:ascii="標楷體" w:eastAsia="標楷體" w:hAnsi="標楷體" w:hint="eastAsia"/>
          <w:sz w:val="28"/>
          <w:szCs w:val="28"/>
        </w:rPr>
        <w:t xml:space="preserve">  三、陳立法委員</w:t>
      </w:r>
      <w:r>
        <w:rPr>
          <w:rFonts w:ascii="標楷體" w:eastAsia="標楷體" w:hAnsi="標楷體" w:hint="eastAsia"/>
          <w:sz w:val="28"/>
          <w:szCs w:val="28"/>
        </w:rPr>
        <w:t>玉珍</w:t>
      </w:r>
      <w:r w:rsidRPr="0094660B">
        <w:rPr>
          <w:rFonts w:ascii="標楷體" w:eastAsia="標楷體" w:hAnsi="標楷體" w:hint="eastAsia"/>
          <w:sz w:val="28"/>
          <w:szCs w:val="28"/>
        </w:rPr>
        <w:t>：</w:t>
      </w:r>
    </w:p>
    <w:p w14:paraId="003BCC8A" w14:textId="77777777" w:rsidR="00421BB5" w:rsidRPr="007D2E1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(一)</w:t>
      </w:r>
      <w:r w:rsidRPr="007D2E15">
        <w:rPr>
          <w:rFonts w:ascii="標楷體" w:eastAsia="標楷體" w:hAnsi="標楷體" w:hint="eastAsia"/>
          <w:sz w:val="28"/>
          <w:szCs w:val="28"/>
        </w:rPr>
        <w:t>桃園</w:t>
      </w:r>
      <w:r>
        <w:rPr>
          <w:rFonts w:ascii="標楷體" w:eastAsia="標楷體" w:hAnsi="標楷體" w:hint="eastAsia"/>
          <w:sz w:val="28"/>
          <w:szCs w:val="28"/>
        </w:rPr>
        <w:t>地檢署檢察官、檢事官、書記官等各項</w:t>
      </w:r>
      <w:r w:rsidRPr="007D2E15">
        <w:rPr>
          <w:rFonts w:ascii="標楷體" w:eastAsia="標楷體" w:hAnsi="標楷體" w:hint="eastAsia"/>
          <w:sz w:val="28"/>
          <w:szCs w:val="28"/>
        </w:rPr>
        <w:t>人力遲未補</w:t>
      </w:r>
      <w:r>
        <w:rPr>
          <w:rFonts w:ascii="標楷體" w:eastAsia="標楷體" w:hAnsi="標楷體" w:hint="eastAsia"/>
          <w:sz w:val="28"/>
          <w:szCs w:val="28"/>
        </w:rPr>
        <w:t>足，業務運作相當艱辛，建議</w:t>
      </w:r>
      <w:r w:rsidRPr="007D2E15">
        <w:rPr>
          <w:rFonts w:ascii="標楷體" w:eastAsia="標楷體" w:hAnsi="標楷體" w:hint="eastAsia"/>
          <w:sz w:val="28"/>
          <w:szCs w:val="28"/>
        </w:rPr>
        <w:t>法務部優先協助</w:t>
      </w:r>
      <w:r>
        <w:rPr>
          <w:rFonts w:ascii="標楷體" w:eastAsia="標楷體" w:hAnsi="標楷體" w:hint="eastAsia"/>
          <w:sz w:val="28"/>
          <w:szCs w:val="28"/>
        </w:rPr>
        <w:t>補足人力。</w:t>
      </w:r>
    </w:p>
    <w:p w14:paraId="1122785E" w14:textId="77777777" w:rsidR="00421BB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(二)桃園地檢收案以</w:t>
      </w:r>
      <w:r w:rsidRPr="007D2E15">
        <w:rPr>
          <w:rFonts w:ascii="標楷體" w:eastAsia="標楷體" w:hAnsi="標楷體" w:hint="eastAsia"/>
          <w:sz w:val="28"/>
          <w:szCs w:val="28"/>
        </w:rPr>
        <w:t>詐欺</w:t>
      </w:r>
      <w:r>
        <w:rPr>
          <w:rFonts w:ascii="標楷體" w:eastAsia="標楷體" w:hAnsi="標楷體" w:hint="eastAsia"/>
          <w:sz w:val="28"/>
          <w:szCs w:val="28"/>
        </w:rPr>
        <w:t>案件居首位</w:t>
      </w:r>
      <w:r w:rsidRPr="007D2E15">
        <w:rPr>
          <w:rFonts w:ascii="標楷體" w:eastAsia="標楷體" w:hAnsi="標楷體" w:hint="eastAsia"/>
          <w:sz w:val="28"/>
          <w:szCs w:val="28"/>
        </w:rPr>
        <w:t>，</w:t>
      </w:r>
      <w:r>
        <w:rPr>
          <w:rFonts w:ascii="標楷體" w:eastAsia="標楷體" w:hAnsi="標楷體" w:hint="eastAsia"/>
          <w:sz w:val="28"/>
          <w:szCs w:val="28"/>
        </w:rPr>
        <w:t>接到詐騙電話更是民眾普遍</w:t>
      </w:r>
      <w:r w:rsidRPr="007D2E15">
        <w:rPr>
          <w:rFonts w:ascii="標楷體" w:eastAsia="標楷體" w:hAnsi="標楷體" w:hint="eastAsia"/>
          <w:sz w:val="28"/>
          <w:szCs w:val="28"/>
        </w:rPr>
        <w:t>的生活經驗，建議</w:t>
      </w:r>
      <w:r>
        <w:rPr>
          <w:rFonts w:ascii="標楷體" w:eastAsia="標楷體" w:hAnsi="標楷體" w:hint="eastAsia"/>
          <w:sz w:val="28"/>
          <w:szCs w:val="28"/>
        </w:rPr>
        <w:t>修法讓法官可將</w:t>
      </w:r>
      <w:r w:rsidRPr="007D2E15">
        <w:rPr>
          <w:rFonts w:ascii="標楷體" w:eastAsia="標楷體" w:hAnsi="標楷體" w:hint="eastAsia"/>
          <w:sz w:val="28"/>
          <w:szCs w:val="28"/>
        </w:rPr>
        <w:t>車</w:t>
      </w:r>
      <w:r>
        <w:rPr>
          <w:rFonts w:ascii="標楷體" w:eastAsia="標楷體" w:hAnsi="標楷體" w:hint="eastAsia"/>
          <w:sz w:val="28"/>
          <w:szCs w:val="28"/>
        </w:rPr>
        <w:t>手予以</w:t>
      </w:r>
      <w:r w:rsidRPr="007D2E15">
        <w:rPr>
          <w:rFonts w:ascii="標楷體" w:eastAsia="標楷體" w:hAnsi="標楷體" w:hint="eastAsia"/>
          <w:sz w:val="28"/>
          <w:szCs w:val="28"/>
        </w:rPr>
        <w:t>重</w:t>
      </w:r>
      <w:r>
        <w:rPr>
          <w:rFonts w:ascii="標楷體" w:eastAsia="標楷體" w:hAnsi="標楷體" w:hint="eastAsia"/>
          <w:sz w:val="28"/>
          <w:szCs w:val="28"/>
        </w:rPr>
        <w:t>判、重罰。</w:t>
      </w:r>
    </w:p>
    <w:p w14:paraId="72706465" w14:textId="77777777" w:rsidR="00421BB5" w:rsidRPr="007D2E15" w:rsidRDefault="00421BB5" w:rsidP="00421BB5">
      <w:pPr>
        <w:topLinePunct/>
        <w:spacing w:line="520" w:lineRule="exact"/>
        <w:ind w:leftChars="43" w:left="1083" w:hangingChars="350" w:hanging="980"/>
        <w:jc w:val="both"/>
        <w:rPr>
          <w:rFonts w:ascii="標楷體" w:eastAsia="標楷體" w:hAnsi="標楷體"/>
          <w:sz w:val="28"/>
          <w:szCs w:val="28"/>
        </w:rPr>
      </w:pPr>
      <w:r>
        <w:rPr>
          <w:rFonts w:ascii="標楷體" w:eastAsia="標楷體" w:hAnsi="標楷體" w:hint="eastAsia"/>
          <w:sz w:val="28"/>
          <w:szCs w:val="28"/>
        </w:rPr>
        <w:t xml:space="preserve">    (三)桃園地</w:t>
      </w:r>
      <w:r w:rsidRPr="007D2E15">
        <w:rPr>
          <w:rFonts w:ascii="標楷體" w:eastAsia="標楷體" w:hAnsi="標楷體" w:hint="eastAsia"/>
          <w:sz w:val="28"/>
          <w:szCs w:val="28"/>
        </w:rPr>
        <w:t>檢</w:t>
      </w:r>
      <w:r>
        <w:rPr>
          <w:rFonts w:ascii="標楷體" w:eastAsia="標楷體" w:hAnsi="標楷體" w:hint="eastAsia"/>
          <w:sz w:val="28"/>
          <w:szCs w:val="28"/>
        </w:rPr>
        <w:t>勵行</w:t>
      </w:r>
      <w:r w:rsidRPr="007D2E15">
        <w:rPr>
          <w:rFonts w:ascii="標楷體" w:eastAsia="標楷體" w:hAnsi="標楷體" w:hint="eastAsia"/>
          <w:sz w:val="28"/>
          <w:szCs w:val="28"/>
        </w:rPr>
        <w:t>簡化</w:t>
      </w:r>
      <w:r>
        <w:rPr>
          <w:rFonts w:ascii="標楷體" w:eastAsia="標楷體" w:hAnsi="標楷體" w:hint="eastAsia"/>
          <w:sz w:val="28"/>
          <w:szCs w:val="28"/>
        </w:rPr>
        <w:t>行政流程</w:t>
      </w:r>
      <w:r w:rsidRPr="007D2E15">
        <w:rPr>
          <w:rFonts w:ascii="標楷體" w:eastAsia="標楷體" w:hAnsi="標楷體" w:hint="eastAsia"/>
          <w:sz w:val="28"/>
          <w:szCs w:val="28"/>
        </w:rPr>
        <w:t>，</w:t>
      </w:r>
      <w:r>
        <w:rPr>
          <w:rFonts w:ascii="標楷體" w:eastAsia="標楷體" w:hAnsi="標楷體" w:hint="eastAsia"/>
          <w:sz w:val="28"/>
          <w:szCs w:val="28"/>
        </w:rPr>
        <w:t>桃園地院將律師</w:t>
      </w:r>
      <w:r w:rsidRPr="007D2E15">
        <w:rPr>
          <w:rFonts w:ascii="標楷體" w:eastAsia="標楷體" w:hAnsi="標楷體" w:hint="eastAsia"/>
          <w:sz w:val="28"/>
          <w:szCs w:val="28"/>
        </w:rPr>
        <w:t>閱卷電子</w:t>
      </w:r>
      <w:r>
        <w:rPr>
          <w:rFonts w:ascii="標楷體" w:eastAsia="標楷體" w:hAnsi="標楷體" w:hint="eastAsia"/>
          <w:sz w:val="28"/>
          <w:szCs w:val="28"/>
        </w:rPr>
        <w:t>化、增加線上聲請</w:t>
      </w:r>
      <w:r w:rsidRPr="007D2E15">
        <w:rPr>
          <w:rFonts w:ascii="標楷體" w:eastAsia="標楷體" w:hAnsi="標楷體" w:hint="eastAsia"/>
          <w:sz w:val="28"/>
          <w:szCs w:val="28"/>
        </w:rPr>
        <w:t>，減少律師到庭、紙張浪費</w:t>
      </w:r>
      <w:r>
        <w:rPr>
          <w:rFonts w:ascii="標楷體" w:eastAsia="標楷體" w:hAnsi="標楷體" w:hint="eastAsia"/>
          <w:sz w:val="28"/>
          <w:szCs w:val="28"/>
        </w:rPr>
        <w:t>等，皆是時代進步的象徵</w:t>
      </w:r>
      <w:r w:rsidRPr="007D2E15">
        <w:rPr>
          <w:rFonts w:ascii="標楷體" w:eastAsia="標楷體" w:hAnsi="標楷體" w:hint="eastAsia"/>
          <w:sz w:val="28"/>
          <w:szCs w:val="28"/>
        </w:rPr>
        <w:t>。</w:t>
      </w:r>
    </w:p>
    <w:p w14:paraId="5CC87261" w14:textId="77777777" w:rsidR="00421BB5" w:rsidRDefault="00421BB5" w:rsidP="00421BB5">
      <w:pPr>
        <w:topLinePunct/>
        <w:spacing w:line="520" w:lineRule="exact"/>
        <w:jc w:val="both"/>
        <w:rPr>
          <w:rFonts w:ascii="標楷體" w:eastAsia="標楷體" w:hAnsi="標楷體"/>
          <w:sz w:val="28"/>
          <w:szCs w:val="28"/>
        </w:rPr>
      </w:pPr>
      <w:r>
        <w:rPr>
          <w:rFonts w:ascii="標楷體" w:eastAsia="標楷體" w:hAnsi="標楷體" w:hint="eastAsia"/>
          <w:sz w:val="28"/>
          <w:szCs w:val="28"/>
        </w:rPr>
        <w:t xml:space="preserve">  四、法務部陳政務</w:t>
      </w:r>
      <w:r w:rsidRPr="007D2E15">
        <w:rPr>
          <w:rFonts w:ascii="標楷體" w:eastAsia="標楷體" w:hAnsi="標楷體" w:hint="eastAsia"/>
          <w:sz w:val="28"/>
          <w:szCs w:val="28"/>
        </w:rPr>
        <w:t>次長</w:t>
      </w:r>
      <w:r>
        <w:rPr>
          <w:rFonts w:ascii="標楷體" w:eastAsia="標楷體" w:hAnsi="標楷體" w:hint="eastAsia"/>
          <w:sz w:val="28"/>
          <w:szCs w:val="28"/>
        </w:rPr>
        <w:t>明堂：</w:t>
      </w:r>
    </w:p>
    <w:p w14:paraId="10D8D0AD" w14:textId="77777777" w:rsidR="00421BB5" w:rsidRPr="007D2E15" w:rsidRDefault="00421BB5" w:rsidP="00421BB5">
      <w:pPr>
        <w:topLinePunct/>
        <w:spacing w:line="520" w:lineRule="exact"/>
        <w:ind w:leftChars="373" w:left="895"/>
        <w:jc w:val="both"/>
        <w:rPr>
          <w:rFonts w:ascii="標楷體" w:eastAsia="標楷體" w:hAnsi="標楷體"/>
          <w:sz w:val="28"/>
          <w:szCs w:val="28"/>
        </w:rPr>
      </w:pPr>
      <w:r>
        <w:rPr>
          <w:rFonts w:ascii="標楷體" w:eastAsia="標楷體" w:hAnsi="標楷體" w:hint="eastAsia"/>
          <w:sz w:val="28"/>
          <w:szCs w:val="28"/>
        </w:rPr>
        <w:t xml:space="preserve">    行</w:t>
      </w:r>
      <w:r w:rsidRPr="00220BB7">
        <w:rPr>
          <w:rFonts w:ascii="標楷體" w:eastAsia="標楷體" w:hAnsi="標楷體" w:hint="eastAsia"/>
          <w:sz w:val="28"/>
          <w:szCs w:val="28"/>
        </w:rPr>
        <w:t>政院針對</w:t>
      </w:r>
      <w:r>
        <w:rPr>
          <w:rFonts w:ascii="標楷體" w:eastAsia="標楷體" w:hAnsi="標楷體" w:hint="eastAsia"/>
          <w:sz w:val="28"/>
          <w:szCs w:val="28"/>
        </w:rPr>
        <w:t>「</w:t>
      </w:r>
      <w:r w:rsidRPr="00220BB7">
        <w:rPr>
          <w:rFonts w:ascii="標楷體" w:eastAsia="標楷體" w:hAnsi="標楷體"/>
          <w:sz w:val="28"/>
          <w:szCs w:val="28"/>
        </w:rPr>
        <w:t>新世代打擊詐欺策略行動綱領</w:t>
      </w:r>
      <w:r>
        <w:rPr>
          <w:rFonts w:ascii="標楷體" w:eastAsia="標楷體" w:hAnsi="標楷體" w:hint="eastAsia"/>
          <w:sz w:val="28"/>
          <w:szCs w:val="28"/>
        </w:rPr>
        <w:t>」已組織跨部會之</w:t>
      </w:r>
      <w:r w:rsidRPr="00220BB7">
        <w:rPr>
          <w:rFonts w:ascii="標楷體" w:eastAsia="標楷體" w:hAnsi="標楷體" w:hint="eastAsia"/>
          <w:sz w:val="28"/>
          <w:szCs w:val="28"/>
        </w:rPr>
        <w:t>國家隊，法務部、高檢署</w:t>
      </w:r>
      <w:r>
        <w:rPr>
          <w:rFonts w:ascii="標楷體" w:eastAsia="標楷體" w:hAnsi="標楷體" w:hint="eastAsia"/>
          <w:sz w:val="28"/>
          <w:szCs w:val="28"/>
        </w:rPr>
        <w:t>均為國家隊成員，未來將更積極投入打擊詐欺工作。</w:t>
      </w:r>
    </w:p>
    <w:p w14:paraId="68CA43BA" w14:textId="77777777" w:rsidR="00421BB5" w:rsidRDefault="00421BB5" w:rsidP="00421BB5">
      <w:pPr>
        <w:topLinePunct/>
        <w:spacing w:line="520" w:lineRule="exact"/>
        <w:jc w:val="both"/>
        <w:rPr>
          <w:rFonts w:ascii="標楷體" w:eastAsia="標楷體" w:hAnsi="標楷體"/>
          <w:sz w:val="28"/>
          <w:szCs w:val="28"/>
        </w:rPr>
      </w:pPr>
      <w:r>
        <w:rPr>
          <w:rFonts w:ascii="標楷體" w:eastAsia="標楷體" w:hAnsi="標楷體" w:hint="eastAsia"/>
          <w:sz w:val="28"/>
          <w:szCs w:val="28"/>
        </w:rPr>
        <w:t xml:space="preserve">  五、湯立法委員蕙禎辦公室李顧問</w:t>
      </w:r>
      <w:r w:rsidRPr="007D2E15">
        <w:rPr>
          <w:rFonts w:ascii="標楷體" w:eastAsia="標楷體" w:hAnsi="標楷體" w:hint="eastAsia"/>
          <w:sz w:val="28"/>
          <w:szCs w:val="28"/>
        </w:rPr>
        <w:t>鎮楠</w:t>
      </w:r>
      <w:r>
        <w:rPr>
          <w:rFonts w:ascii="標楷體" w:eastAsia="標楷體" w:hAnsi="標楷體" w:hint="eastAsia"/>
          <w:sz w:val="28"/>
          <w:szCs w:val="28"/>
        </w:rPr>
        <w:t>：</w:t>
      </w:r>
    </w:p>
    <w:p w14:paraId="32953054" w14:textId="77777777" w:rsidR="00421BB5" w:rsidRDefault="00421BB5" w:rsidP="00421BB5">
      <w:pPr>
        <w:topLinePunct/>
        <w:spacing w:line="520" w:lineRule="exact"/>
        <w:ind w:leftChars="373" w:left="895"/>
        <w:jc w:val="both"/>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檢察官問案態度不佳</w:t>
      </w:r>
      <w:r>
        <w:rPr>
          <w:rFonts w:ascii="標楷體" w:eastAsia="標楷體" w:hAnsi="標楷體" w:hint="eastAsia"/>
          <w:sz w:val="28"/>
          <w:szCs w:val="28"/>
        </w:rPr>
        <w:t>，請多加注意改善，並建議多下鄉進行反賄選宣導。</w:t>
      </w:r>
    </w:p>
    <w:p w14:paraId="206BE6BA" w14:textId="77777777" w:rsidR="00421BB5" w:rsidRDefault="00421BB5" w:rsidP="00421BB5">
      <w:pPr>
        <w:topLinePunct/>
        <w:spacing w:line="520" w:lineRule="exact"/>
        <w:jc w:val="both"/>
        <w:rPr>
          <w:rFonts w:ascii="標楷體" w:eastAsia="標楷體" w:hAnsi="標楷體"/>
          <w:sz w:val="28"/>
          <w:szCs w:val="28"/>
        </w:rPr>
      </w:pPr>
      <w:r w:rsidRPr="00FB5D30">
        <w:rPr>
          <w:rFonts w:ascii="標楷體" w:eastAsia="標楷體" w:hAnsi="標楷體" w:hint="eastAsia"/>
          <w:b/>
          <w:sz w:val="28"/>
          <w:szCs w:val="28"/>
        </w:rPr>
        <w:t>肆、散會</w:t>
      </w:r>
      <w:r>
        <w:rPr>
          <w:rFonts w:ascii="標楷體" w:eastAsia="標楷體" w:hAnsi="標楷體" w:hint="eastAsia"/>
          <w:sz w:val="28"/>
          <w:szCs w:val="28"/>
        </w:rPr>
        <w:t>(12時30分)</w:t>
      </w:r>
    </w:p>
    <w:p w14:paraId="0876304F" w14:textId="77777777" w:rsidR="0054733F" w:rsidRDefault="00421BB5" w:rsidP="00421BB5">
      <w:pPr>
        <w:widowControl/>
        <w:topLinePunct/>
        <w:jc w:val="distribute"/>
        <w:outlineLvl w:val="2"/>
        <w:rPr>
          <w:rFonts w:ascii="標楷體" w:eastAsia="標楷體" w:hAnsi="標楷體"/>
          <w:sz w:val="28"/>
          <w:szCs w:val="28"/>
        </w:rPr>
      </w:pPr>
      <w:r>
        <w:rPr>
          <w:rFonts w:ascii="標楷體" w:eastAsia="標楷體" w:hAnsi="標楷體"/>
          <w:sz w:val="28"/>
          <w:szCs w:val="28"/>
        </w:rPr>
        <w:br w:type="page"/>
      </w:r>
      <w:bookmarkStart w:id="537" w:name="新竹地院地檢"/>
    </w:p>
    <w:p w14:paraId="2F3034C1" w14:textId="1A595C21" w:rsidR="0054733F" w:rsidRPr="00C363F0" w:rsidRDefault="0054733F" w:rsidP="00AB6781">
      <w:pPr>
        <w:autoSpaceDE w:val="0"/>
        <w:autoSpaceDN w:val="0"/>
        <w:adjustRightInd w:val="0"/>
        <w:spacing w:afterLines="50" w:after="180" w:line="500" w:lineRule="exact"/>
        <w:outlineLvl w:val="2"/>
        <w:rPr>
          <w:rFonts w:ascii="標楷體" w:eastAsia="標楷體" w:cs="標楷體"/>
          <w:b/>
          <w:color w:val="000000"/>
          <w:kern w:val="0"/>
          <w:sz w:val="36"/>
          <w:szCs w:val="36"/>
        </w:rPr>
      </w:pPr>
      <w:r w:rsidRPr="00C363F0">
        <w:rPr>
          <w:rFonts w:ascii="標楷體" w:eastAsia="標楷體" w:cs="標楷體" w:hint="eastAsia"/>
          <w:b/>
          <w:color w:val="000000"/>
          <w:kern w:val="0"/>
          <w:sz w:val="36"/>
          <w:szCs w:val="36"/>
        </w:rPr>
        <w:lastRenderedPageBreak/>
        <w:t>立法院司法及法制委員會參訪臺灣新竹地方法院及</w:t>
      </w:r>
      <w:r w:rsidR="00ED561E" w:rsidRPr="00C363F0">
        <w:rPr>
          <w:rFonts w:ascii="標楷體" w:eastAsia="標楷體" w:cs="標楷體" w:hint="eastAsia"/>
          <w:b/>
          <w:color w:val="000000"/>
          <w:kern w:val="0"/>
          <w:sz w:val="36"/>
          <w:szCs w:val="36"/>
        </w:rPr>
        <w:t>考察</w:t>
      </w:r>
      <w:r w:rsidRPr="00C363F0">
        <w:rPr>
          <w:rFonts w:ascii="標楷體" w:eastAsia="標楷體" w:cs="標楷體" w:hint="eastAsia"/>
          <w:b/>
          <w:color w:val="000000"/>
          <w:kern w:val="0"/>
          <w:sz w:val="36"/>
          <w:szCs w:val="36"/>
        </w:rPr>
        <w:t>臺灣新竹地方檢察署會議紀錄</w:t>
      </w:r>
    </w:p>
    <w:bookmarkEnd w:id="537"/>
    <w:p w14:paraId="06E7569E" w14:textId="77777777" w:rsidR="00421BB5" w:rsidRPr="00C363F0" w:rsidRDefault="00421BB5" w:rsidP="00421BB5">
      <w:pPr>
        <w:topLinePunct/>
        <w:spacing w:line="500" w:lineRule="exact"/>
        <w:jc w:val="both"/>
        <w:rPr>
          <w:rFonts w:ascii="標楷體" w:eastAsia="標楷體" w:hAnsi="標楷體"/>
          <w:sz w:val="28"/>
          <w:szCs w:val="28"/>
        </w:rPr>
      </w:pPr>
      <w:r w:rsidRPr="00C363F0">
        <w:rPr>
          <w:rFonts w:ascii="標楷體" w:eastAsia="標楷體" w:hAnsi="標楷體" w:hint="eastAsia"/>
          <w:b/>
          <w:sz w:val="28"/>
          <w:szCs w:val="28"/>
        </w:rPr>
        <w:t xml:space="preserve">時  </w:t>
      </w:r>
      <w:r>
        <w:rPr>
          <w:rFonts w:ascii="標楷體" w:eastAsia="標楷體" w:hAnsi="標楷體" w:hint="eastAsia"/>
          <w:b/>
          <w:sz w:val="28"/>
          <w:szCs w:val="28"/>
        </w:rPr>
        <w:t xml:space="preserve">  </w:t>
      </w:r>
      <w:r w:rsidRPr="00C363F0">
        <w:rPr>
          <w:rFonts w:ascii="標楷體" w:eastAsia="標楷體" w:hAnsi="標楷體" w:hint="eastAsia"/>
          <w:b/>
          <w:sz w:val="28"/>
          <w:szCs w:val="28"/>
        </w:rPr>
        <w:t>間：</w:t>
      </w:r>
      <w:r w:rsidRPr="00C363F0">
        <w:rPr>
          <w:rFonts w:ascii="標楷體" w:eastAsia="標楷體" w:hAnsi="標楷體" w:hint="eastAsia"/>
          <w:sz w:val="28"/>
          <w:szCs w:val="28"/>
        </w:rPr>
        <w:t>中華民國111年1</w:t>
      </w:r>
      <w:r w:rsidRPr="00C363F0">
        <w:rPr>
          <w:rFonts w:ascii="標楷體" w:eastAsia="標楷體" w:hAnsi="標楷體"/>
          <w:sz w:val="28"/>
          <w:szCs w:val="28"/>
        </w:rPr>
        <w:t>0</w:t>
      </w:r>
      <w:r w:rsidRPr="00C363F0">
        <w:rPr>
          <w:rFonts w:ascii="標楷體" w:eastAsia="標楷體" w:hAnsi="標楷體" w:hint="eastAsia"/>
          <w:sz w:val="28"/>
          <w:szCs w:val="28"/>
        </w:rPr>
        <w:t>月27日 (星期四)上午10時</w:t>
      </w:r>
    </w:p>
    <w:p w14:paraId="73F2985A" w14:textId="77777777" w:rsidR="00421BB5" w:rsidRPr="00C363F0" w:rsidRDefault="00421BB5" w:rsidP="00421BB5">
      <w:pPr>
        <w:topLinePunct/>
        <w:spacing w:line="500" w:lineRule="exact"/>
        <w:jc w:val="both"/>
        <w:rPr>
          <w:rFonts w:ascii="標楷體" w:eastAsia="標楷體" w:hAnsi="標楷體"/>
          <w:sz w:val="28"/>
          <w:szCs w:val="28"/>
        </w:rPr>
      </w:pPr>
      <w:r w:rsidRPr="00C363F0">
        <w:rPr>
          <w:rFonts w:ascii="標楷體" w:eastAsia="標楷體" w:hAnsi="標楷體" w:hint="eastAsia"/>
          <w:b/>
          <w:sz w:val="28"/>
          <w:szCs w:val="28"/>
        </w:rPr>
        <w:t>地</w:t>
      </w:r>
      <w:r w:rsidRPr="00C363F0">
        <w:rPr>
          <w:rFonts w:ascii="標楷體" w:eastAsia="標楷體" w:hAnsi="標楷體"/>
          <w:b/>
          <w:sz w:val="28"/>
          <w:szCs w:val="28"/>
        </w:rPr>
        <w:t xml:space="preserve">  </w:t>
      </w:r>
      <w:r>
        <w:rPr>
          <w:rFonts w:ascii="標楷體" w:eastAsia="標楷體" w:hAnsi="標楷體" w:hint="eastAsia"/>
          <w:b/>
          <w:sz w:val="28"/>
          <w:szCs w:val="28"/>
        </w:rPr>
        <w:t xml:space="preserve">  </w:t>
      </w:r>
      <w:r w:rsidRPr="00C363F0">
        <w:rPr>
          <w:rFonts w:ascii="標楷體" w:eastAsia="標楷體" w:hAnsi="標楷體" w:hint="eastAsia"/>
          <w:b/>
          <w:sz w:val="28"/>
          <w:szCs w:val="28"/>
        </w:rPr>
        <w:t>點：</w:t>
      </w:r>
      <w:r w:rsidRPr="00C363F0">
        <w:rPr>
          <w:rFonts w:ascii="標楷體" w:eastAsia="標楷體" w:hAnsi="標楷體" w:hint="eastAsia"/>
          <w:sz w:val="28"/>
          <w:szCs w:val="28"/>
        </w:rPr>
        <w:t>臺灣新竹地方法院6樓國際會議廳</w:t>
      </w:r>
    </w:p>
    <w:p w14:paraId="3CCBB44C" w14:textId="77777777" w:rsidR="00421BB5" w:rsidRPr="00C363F0" w:rsidRDefault="00421BB5" w:rsidP="00421BB5">
      <w:pPr>
        <w:topLinePunct/>
        <w:spacing w:line="500" w:lineRule="exact"/>
        <w:jc w:val="both"/>
        <w:rPr>
          <w:rFonts w:ascii="標楷體" w:eastAsia="標楷體" w:hAnsi="標楷體"/>
          <w:sz w:val="28"/>
          <w:szCs w:val="28"/>
        </w:rPr>
      </w:pPr>
      <w:r w:rsidRPr="00C363F0">
        <w:rPr>
          <w:rFonts w:ascii="標楷體" w:eastAsia="標楷體" w:hAnsi="標楷體" w:hint="eastAsia"/>
          <w:b/>
          <w:sz w:val="28"/>
          <w:szCs w:val="28"/>
        </w:rPr>
        <w:t>出席人員</w:t>
      </w:r>
      <w:r w:rsidRPr="00C363F0">
        <w:rPr>
          <w:rFonts w:ascii="標楷體" w:eastAsia="標楷體" w:hAnsi="標楷體" w:hint="eastAsia"/>
          <w:sz w:val="28"/>
          <w:szCs w:val="28"/>
        </w:rPr>
        <w:t>：</w:t>
      </w:r>
    </w:p>
    <w:p w14:paraId="6DD0AE55" w14:textId="77777777" w:rsidR="00421BB5" w:rsidRPr="00C363F0" w:rsidRDefault="00421BB5" w:rsidP="00421BB5">
      <w:pPr>
        <w:topLinePunct/>
        <w:adjustRightInd w:val="0"/>
        <w:spacing w:line="500" w:lineRule="exact"/>
        <w:jc w:val="both"/>
        <w:rPr>
          <w:rFonts w:ascii="標楷體" w:eastAsia="標楷體" w:hAnsi="標楷體"/>
          <w:b/>
          <w:sz w:val="28"/>
          <w:szCs w:val="28"/>
        </w:rPr>
      </w:pPr>
      <w:r w:rsidRPr="00C363F0">
        <w:rPr>
          <w:rFonts w:ascii="標楷體" w:eastAsia="標楷體" w:hAnsi="標楷體" w:hint="eastAsia"/>
          <w:b/>
          <w:sz w:val="28"/>
          <w:szCs w:val="28"/>
        </w:rPr>
        <w:t>◎立法院：</w:t>
      </w:r>
    </w:p>
    <w:p w14:paraId="79BCF434" w14:textId="77777777" w:rsidR="00421BB5" w:rsidRPr="00C363F0" w:rsidRDefault="00421BB5" w:rsidP="00421BB5">
      <w:pPr>
        <w:topLinePunct/>
        <w:adjustRightInd w:val="0"/>
        <w:spacing w:line="500" w:lineRule="exact"/>
        <w:jc w:val="both"/>
        <w:rPr>
          <w:rFonts w:hAnsi="標楷體"/>
          <w:sz w:val="28"/>
          <w:szCs w:val="28"/>
        </w:rPr>
      </w:pPr>
      <w:r w:rsidRPr="000D429D">
        <w:rPr>
          <w:rFonts w:ascii="標楷體" w:eastAsia="標楷體" w:hAnsi="標楷體" w:cs="標楷體" w:hint="eastAsia"/>
          <w:color w:val="000000"/>
          <w:spacing w:val="-8"/>
          <w:kern w:val="0"/>
          <w:sz w:val="28"/>
          <w:szCs w:val="28"/>
        </w:rPr>
        <w:t>林立法委員思銘、陳立法委員歐珀、陳立法委員玉珍、游立法委員毓蘭</w:t>
      </w:r>
      <w:r w:rsidRPr="00C363F0">
        <w:rPr>
          <w:rFonts w:ascii="標楷體" w:eastAsia="標楷體" w:hAnsi="標楷體" w:cs="標楷體" w:hint="eastAsia"/>
          <w:color w:val="000000"/>
          <w:kern w:val="0"/>
          <w:sz w:val="28"/>
          <w:szCs w:val="28"/>
        </w:rPr>
        <w:t>、司法及法制委員會陳簡任秘書杏枝、高薦任科員念祖、林思銘委員研究室李</w:t>
      </w:r>
      <w:r w:rsidRPr="00C363F0">
        <w:rPr>
          <w:rFonts w:ascii="標楷體" w:eastAsia="標楷體" w:hAnsi="標楷體" w:hint="eastAsia"/>
          <w:sz w:val="28"/>
          <w:szCs w:val="28"/>
        </w:rPr>
        <w:t>主任永誠、林思銘委員研究室王助理嘉茲、游毓蘭委員研究室陳副主任盈利、陳玉珍委員研究室鍾助理恢韻。</w:t>
      </w:r>
    </w:p>
    <w:p w14:paraId="60F15C82" w14:textId="77777777" w:rsidR="00421BB5" w:rsidRPr="00C363F0" w:rsidRDefault="00421BB5" w:rsidP="00421BB5">
      <w:pPr>
        <w:topLinePunct/>
        <w:adjustRightInd w:val="0"/>
        <w:spacing w:line="500" w:lineRule="exact"/>
        <w:jc w:val="both"/>
        <w:rPr>
          <w:rFonts w:ascii="標楷體" w:eastAsia="標楷體" w:hAnsi="標楷體"/>
          <w:b/>
          <w:sz w:val="28"/>
          <w:szCs w:val="28"/>
        </w:rPr>
      </w:pPr>
      <w:r w:rsidRPr="00C363F0">
        <w:rPr>
          <w:rFonts w:ascii="標楷體" w:eastAsia="標楷體" w:hAnsi="標楷體" w:hint="eastAsia"/>
          <w:b/>
          <w:sz w:val="28"/>
          <w:szCs w:val="28"/>
        </w:rPr>
        <w:t>◎考察機關：</w:t>
      </w:r>
    </w:p>
    <w:p w14:paraId="2676DD8A" w14:textId="77777777" w:rsidR="00421BB5" w:rsidRPr="00C363F0" w:rsidRDefault="00421BB5" w:rsidP="00421BB5">
      <w:pPr>
        <w:topLinePunct/>
        <w:spacing w:line="500" w:lineRule="exact"/>
        <w:jc w:val="both"/>
        <w:rPr>
          <w:rFonts w:ascii="標楷體" w:eastAsia="標楷體" w:hAnsi="標楷體"/>
          <w:sz w:val="28"/>
          <w:szCs w:val="28"/>
        </w:rPr>
      </w:pPr>
      <w:r w:rsidRPr="00337B1E">
        <w:rPr>
          <w:rFonts w:ascii="標楷體" w:eastAsia="標楷體" w:hAnsi="標楷體" w:hint="eastAsia"/>
          <w:spacing w:val="-10"/>
          <w:sz w:val="28"/>
          <w:szCs w:val="28"/>
        </w:rPr>
        <w:t>司法院黃副秘書長麟倫、法務部蔡政務次長碧仲、法務部檢察司黃司長謀信</w:t>
      </w:r>
      <w:r w:rsidRPr="00C363F0">
        <w:rPr>
          <w:rFonts w:ascii="標楷體" w:eastAsia="標楷體" w:hAnsi="標楷體" w:hint="eastAsia"/>
          <w:sz w:val="28"/>
          <w:szCs w:val="28"/>
        </w:rPr>
        <w:t>、臺灣新竹地方法院梁院長玉芬、臺灣新竹地方檢察署張檢察長介欽</w:t>
      </w:r>
    </w:p>
    <w:p w14:paraId="391DC9B4" w14:textId="77777777" w:rsidR="00421BB5" w:rsidRPr="00C363F0" w:rsidRDefault="00421BB5" w:rsidP="00421BB5">
      <w:pPr>
        <w:topLinePunct/>
        <w:spacing w:line="500" w:lineRule="exact"/>
        <w:jc w:val="both"/>
        <w:rPr>
          <w:rFonts w:ascii="標楷體" w:eastAsia="標楷體" w:hAnsi="標楷體"/>
          <w:sz w:val="28"/>
          <w:szCs w:val="28"/>
        </w:rPr>
      </w:pPr>
      <w:r w:rsidRPr="00C363F0">
        <w:rPr>
          <w:rFonts w:ascii="標楷體" w:eastAsia="標楷體" w:hAnsi="標楷體" w:hint="eastAsia"/>
          <w:b/>
          <w:bCs/>
          <w:sz w:val="28"/>
          <w:szCs w:val="28"/>
        </w:rPr>
        <w:t>紀  錄：吳得愷</w:t>
      </w:r>
    </w:p>
    <w:p w14:paraId="46CFDEAC" w14:textId="77777777" w:rsidR="00421BB5" w:rsidRPr="00C363F0" w:rsidRDefault="00421BB5" w:rsidP="007015C7">
      <w:pPr>
        <w:numPr>
          <w:ilvl w:val="0"/>
          <w:numId w:val="28"/>
        </w:numPr>
        <w:topLinePunct/>
        <w:spacing w:line="500" w:lineRule="exact"/>
        <w:ind w:left="616" w:hanging="602"/>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臺灣新竹地方法院國民法官法庭、評議室、院史館等（紀錄如附件一）。</w:t>
      </w:r>
    </w:p>
    <w:p w14:paraId="2F9E55FC" w14:textId="77777777" w:rsidR="00421BB5" w:rsidRPr="00C363F0" w:rsidRDefault="00421BB5" w:rsidP="007015C7">
      <w:pPr>
        <w:numPr>
          <w:ilvl w:val="0"/>
          <w:numId w:val="28"/>
        </w:numPr>
        <w:topLinePunct/>
        <w:spacing w:beforeLines="50" w:before="180" w:line="500" w:lineRule="exac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各單位業務概況報告：</w:t>
      </w:r>
    </w:p>
    <w:p w14:paraId="685574CB" w14:textId="77777777" w:rsidR="00421BB5" w:rsidRPr="00C363F0" w:rsidRDefault="00421BB5" w:rsidP="007015C7">
      <w:pPr>
        <w:numPr>
          <w:ilvl w:val="1"/>
          <w:numId w:val="28"/>
        </w:numPr>
        <w:topLinePunct/>
        <w:spacing w:beforeLines="50" w:before="180" w:line="500" w:lineRule="exact"/>
        <w:ind w:hanging="251"/>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臺灣新竹地方法院：報告資料如附件二。</w:t>
      </w:r>
    </w:p>
    <w:p w14:paraId="316E7E31" w14:textId="77777777" w:rsidR="00421BB5" w:rsidRPr="00C363F0" w:rsidRDefault="00421BB5" w:rsidP="00421BB5">
      <w:pPr>
        <w:topLinePunct/>
        <w:spacing w:beforeLines="50" w:before="180" w:line="500" w:lineRule="exact"/>
        <w:ind w:left="709"/>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陳立法委員歐珀（因公務行程關係先行離開）</w:t>
      </w:r>
    </w:p>
    <w:p w14:paraId="76EBED99"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今天非常高興透過本委員會召集委員的安排，讓我們有機會進到莊嚴神聖的法治殿堂。事實上，相信大家都跟我一樣，對於法院、地檢署有相當高的期待，畢竟這二個機關都是維護人民權利的最後一道關卡。因此，不論司法改革也好，或者對於司法制度的完善建立，本委員會向來在立法院都是有相當廣泛的討論。</w:t>
      </w:r>
    </w:p>
    <w:p w14:paraId="5406F194" w14:textId="77777777" w:rsidR="00421BB5" w:rsidRPr="00C363F0" w:rsidRDefault="00421BB5" w:rsidP="00421BB5">
      <w:pPr>
        <w:topLinePunct/>
        <w:spacing w:beforeLines="50" w:before="180" w:line="500" w:lineRule="exact"/>
        <w:ind w:left="1274" w:firstLineChars="182" w:firstLine="510"/>
        <w:jc w:val="both"/>
        <w:rPr>
          <w:rFonts w:ascii="標楷體" w:eastAsia="標楷體" w:hAnsi="標楷體"/>
          <w:color w:val="000000"/>
          <w:sz w:val="28"/>
          <w:szCs w:val="28"/>
        </w:rPr>
      </w:pPr>
      <w:r w:rsidRPr="00C363F0">
        <w:rPr>
          <w:rFonts w:ascii="標楷體" w:eastAsia="標楷體" w:hAnsi="標楷體" w:hint="eastAsia"/>
          <w:color w:val="000000"/>
          <w:sz w:val="28"/>
          <w:szCs w:val="28"/>
        </w:rPr>
        <w:t>方才經由臺灣新竹地方法院梁院長的業務報告，幾點意</w:t>
      </w:r>
      <w:r w:rsidRPr="00C363F0">
        <w:rPr>
          <w:rFonts w:ascii="標楷體" w:eastAsia="標楷體" w:hAnsi="標楷體" w:hint="eastAsia"/>
          <w:color w:val="000000"/>
          <w:sz w:val="28"/>
          <w:szCs w:val="28"/>
        </w:rPr>
        <w:lastRenderedPageBreak/>
        <w:t>見說明如下：</w:t>
      </w:r>
    </w:p>
    <w:p w14:paraId="296EA34B" w14:textId="77777777" w:rsidR="00421BB5" w:rsidRPr="00C363F0" w:rsidRDefault="00421BB5" w:rsidP="007015C7">
      <w:pPr>
        <w:numPr>
          <w:ilvl w:val="0"/>
          <w:numId w:val="29"/>
        </w:numPr>
        <w:topLinePunct/>
        <w:spacing w:beforeLines="50" w:before="180"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針對疏解訟源方面，在認罪協商這個區塊的排名為全國地方法院之冠，本席表示肯定。</w:t>
      </w:r>
    </w:p>
    <w:p w14:paraId="147B36A3" w14:textId="77777777" w:rsidR="00421BB5" w:rsidRPr="00C363F0" w:rsidRDefault="00421BB5" w:rsidP="007015C7">
      <w:pPr>
        <w:numPr>
          <w:ilvl w:val="0"/>
          <w:numId w:val="29"/>
        </w:numPr>
        <w:topLinePunct/>
        <w:spacing w:beforeLines="50" w:before="180"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調解案件的績效非常好，本席這邊也提供一些看法讓大家參考。目前公共工程委員會在協調工程糾紛方面，成立的比例高達85％，這是過去不曾有過的情形。可見人民的態度並非一定要與政府機關對簿公堂，只是因為過往政府機關的態度、或者制度面的使然，政府機關往往與人民在紛爭事件上堅持到最後，不肯退讓，這都是非常不好的狀況。</w:t>
      </w:r>
    </w:p>
    <w:p w14:paraId="55EBBC24" w14:textId="77777777" w:rsidR="00421BB5" w:rsidRPr="00C363F0" w:rsidRDefault="00421BB5" w:rsidP="007015C7">
      <w:pPr>
        <w:numPr>
          <w:ilvl w:val="0"/>
          <w:numId w:val="29"/>
        </w:numPr>
        <w:topLinePunct/>
        <w:spacing w:beforeLines="50" w:before="180"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事實上，本委員會在開會時也經常提到，有許多的案件歷經數年之久都尚未終結，今日恰逢法務部蔡政務次長一同與會，也請蔡政務次長參考法院辦理調解方面的成效，很多案件應該可以積極的推動協調，才可以有效的運用寶貴的司法資源。</w:t>
      </w:r>
    </w:p>
    <w:p w14:paraId="4F9DA25E" w14:textId="77777777" w:rsidR="00421BB5" w:rsidRPr="00C363F0" w:rsidRDefault="00421BB5" w:rsidP="007015C7">
      <w:pPr>
        <w:numPr>
          <w:ilvl w:val="0"/>
          <w:numId w:val="29"/>
        </w:numPr>
        <w:topLinePunct/>
        <w:spacing w:beforeLines="50" w:before="180"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針對臺灣新竹地方法院梁院長報告中提到目前面臨的困境，本席也在此呼籲司法院必須謹慎嚴肅的看待各地方法院合理的人力配置，唯有如此才能讓各地方法院推動、提供更完善的司法服務。相對的，也要通盤檢討各地方法院當中，有無人力配置過多的情況，避免造成人力與業務量分配不均的情形產生，針對這一點，請司法院審慎妥善的處理。</w:t>
      </w:r>
    </w:p>
    <w:p w14:paraId="6D6AE290" w14:textId="77777777" w:rsidR="00421BB5" w:rsidRPr="00C363F0" w:rsidRDefault="00421BB5" w:rsidP="007015C7">
      <w:pPr>
        <w:numPr>
          <w:ilvl w:val="0"/>
          <w:numId w:val="29"/>
        </w:numPr>
        <w:topLinePunct/>
        <w:spacing w:beforeLines="50" w:before="180"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同時，今日的考察行程，本席的目的是在觀摩，因為宜蘭地區的司法機關也有必要辦理一次考察行程。主要是因為選舉將至，而先前司法院秘書長林輝煌也曾提到，查察賄選的工作，不論是檢方、院方，大家都有責任，滅絕賄選、杜絕賄選更是大家</w:t>
      </w:r>
      <w:r w:rsidRPr="00C363F0">
        <w:rPr>
          <w:rFonts w:ascii="標楷體" w:eastAsia="標楷體" w:hAnsi="標楷體" w:hint="eastAsia"/>
          <w:color w:val="000000"/>
          <w:sz w:val="28"/>
          <w:szCs w:val="28"/>
        </w:rPr>
        <w:lastRenderedPageBreak/>
        <w:t>的責任。許多賄選的案件，在檢方的努力之下提起公訴，甚至法院第一審也已經判決有罪，但卻在第二審時逆轉改判無罪，這樣的比例非常的高，這些在第二審獲判無罪的候選人，仍會重返選舉戰場，不同的是賄選的技巧卻更加提升了，同時憑藉著無罪判決，更加有恃無恐。因此，本席呼籲司法院在審判賄選的案件時，不應該閉門造車，而與社會生活事實脫節，讓賄選的候選人抱著僥倖的心態，導致整個社會風氣都會受到影響。</w:t>
      </w:r>
    </w:p>
    <w:p w14:paraId="3882962A" w14:textId="77777777" w:rsidR="00421BB5" w:rsidRPr="00C363F0" w:rsidRDefault="00421BB5" w:rsidP="007015C7">
      <w:pPr>
        <w:numPr>
          <w:ilvl w:val="0"/>
          <w:numId w:val="29"/>
        </w:numPr>
        <w:topLinePunct/>
        <w:spacing w:beforeLines="50" w:before="180"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針對查察賄選方面，法務部在今年已經更加的強化力道，同時也已經進行專案報告。對於司法院方面，本席再次呼籲，不但應該速審速結，更應該嚴格的檢視，不應輕縱賄選的候選人。臺灣若讓賄選的候選人當選，不難預見會變成貪瀆之國。</w:t>
      </w:r>
    </w:p>
    <w:p w14:paraId="04C799CF" w14:textId="77777777" w:rsidR="00421BB5" w:rsidRPr="00C363F0" w:rsidRDefault="00421BB5" w:rsidP="007015C7">
      <w:pPr>
        <w:numPr>
          <w:ilvl w:val="0"/>
          <w:numId w:val="29"/>
        </w:numPr>
        <w:topLinePunct/>
        <w:spacing w:beforeLines="50" w:before="180"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最後，非常謝謝本委員會召集委員讓我先發表一些個人意見，因為個人行程安排的關係，至此先行離席，謝謝各位。</w:t>
      </w:r>
    </w:p>
    <w:p w14:paraId="786457CA" w14:textId="77777777" w:rsidR="00421BB5" w:rsidRPr="00C363F0" w:rsidRDefault="00421BB5" w:rsidP="007015C7">
      <w:pPr>
        <w:numPr>
          <w:ilvl w:val="1"/>
          <w:numId w:val="28"/>
        </w:numPr>
        <w:topLinePunct/>
        <w:spacing w:beforeLines="50" w:before="180" w:line="500" w:lineRule="exact"/>
        <w:ind w:hanging="251"/>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臺灣新竹地方檢察署：報告資料如附件三。</w:t>
      </w:r>
    </w:p>
    <w:p w14:paraId="3C88C610" w14:textId="77777777" w:rsidR="00421BB5" w:rsidRPr="00C363F0" w:rsidRDefault="00421BB5" w:rsidP="007015C7">
      <w:pPr>
        <w:numPr>
          <w:ilvl w:val="0"/>
          <w:numId w:val="28"/>
        </w:numPr>
        <w:topLinePunct/>
        <w:spacing w:beforeLines="50" w:before="180" w:line="500" w:lineRule="exac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綜合座談：</w:t>
      </w:r>
    </w:p>
    <w:p w14:paraId="66231A05"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6BAA1339"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謝謝臺灣新竹地方法院梁院長、臺灣新竹地方檢察署張檢察長詳盡的報告，本委員會的委員應該有許多的問題需要瞭解，接著請本委員會陳玉珍委員先提出她的問題。</w:t>
      </w:r>
    </w:p>
    <w:p w14:paraId="76B050A3"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651282CF"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法務部蔡政務次長、司法院黃副秘書長、本委員會召集委員及今日與會的各位先進，大家好。今天是以會議的方式來討論，接著我會提出一些問題，也請今日與會的各機關代</w:t>
      </w:r>
      <w:r w:rsidRPr="00C363F0">
        <w:rPr>
          <w:rFonts w:ascii="標楷體" w:eastAsia="標楷體" w:hAnsi="標楷體" w:hint="eastAsia"/>
          <w:color w:val="000000"/>
          <w:sz w:val="28"/>
          <w:szCs w:val="28"/>
        </w:rPr>
        <w:lastRenderedPageBreak/>
        <w:t>表針對我的問題提出說明。</w:t>
      </w:r>
    </w:p>
    <w:p w14:paraId="12313A4F"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首先，在聽取法院、檢察署二位首長的報告之後，第一個請教地方法院梁院長，目前法院配置上有幾位庭長，主要是看到梁院長及今日為我們簡介的庭長都是女性，讓我覺得非常的光榮。</w:t>
      </w:r>
    </w:p>
    <w:p w14:paraId="0596ACE3"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另外，利用今日司法院黃副秘書長也與會的同時，梁院長剛剛在業務報告中所提到的需求，是否已經將需求編列在預算當中。再者，針對業務報告方面，有幾點是我比較無法理解的地方，包括：</w:t>
      </w:r>
    </w:p>
    <w:p w14:paraId="00733F2F" w14:textId="77777777" w:rsidR="00421BB5" w:rsidRPr="00C363F0" w:rsidRDefault="00421BB5" w:rsidP="007015C7">
      <w:pPr>
        <w:numPr>
          <w:ilvl w:val="0"/>
          <w:numId w:val="30"/>
        </w:numPr>
        <w:topLinePunct/>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認罪協商比例較高的原因，是否因為新竹地區科技人居多，因此有比較高的認罪協商比例。若不是，也請說明認罪協商比例相比其他地方法院為高的原因。</w:t>
      </w:r>
    </w:p>
    <w:p w14:paraId="604BA2D2" w14:textId="77777777" w:rsidR="00421BB5" w:rsidRPr="00C363F0" w:rsidRDefault="00421BB5" w:rsidP="007015C7">
      <w:pPr>
        <w:numPr>
          <w:ilvl w:val="0"/>
          <w:numId w:val="30"/>
        </w:numPr>
        <w:topLinePunct/>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新竹地方法院的平均收案數量，相較於其他地方法院來說，數量高出太多，新竹地方法院平均每位法官收案件數為109件，相較其他地方法院平均收案數69件，相比之下，新竹地方法院的平均數相當的高。這是否因為新竹地方法院員額方面問題所形成的現象，或者是其他原因導致，如體制、制度方面等。本委員會也考察過其他的地方法院，但新竹地方法院平均每位法官的收案件數，確實相比其他地方法院來得高出許多，從前述的數據來看，相差已經接近2倍之多，這個現象請司法院黃副秘書長說明。</w:t>
      </w:r>
    </w:p>
    <w:p w14:paraId="50B24DB2"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臺灣新竹地方法院梁院長玉芬</w:t>
      </w:r>
    </w:p>
    <w:p w14:paraId="635B912F"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本院目前庭長有5位，本院相較於其他法院有幾個特色，其中一點就是女性同仁居多數。</w:t>
      </w:r>
    </w:p>
    <w:p w14:paraId="4ADDAB04"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 xml:space="preserve">司法院黃副秘書長麟倫 </w:t>
      </w:r>
    </w:p>
    <w:p w14:paraId="34F6845B"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lastRenderedPageBreak/>
        <w:t>謝謝陳委員。首先，司法院針對各地方法院的收案數，長期以來都一直在關注中。新竹地方法院可能是因為大新竹地區科技業發達、社會發展迅速，因此案件量相對來說比較高。同時，本院也會搭配各地方法院的案件量，進行法官數量的調控。針對新竹地方法院在法官數與案件數方面的落差，是否因為員額不足所導致，本院將在會後進行檢討、檢視。</w:t>
      </w:r>
    </w:p>
    <w:p w14:paraId="704070F8"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同時，也必須向陳委員及與會各位委員報告，法官人力的引進並非一蹴可幾，一位法官的培訓，從招考、培訓至撥配機關服務，需要三年的時間才能完成。</w:t>
      </w:r>
    </w:p>
    <w:p w14:paraId="733AD918"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33A7696D"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依照司法院黃副秘書長的說明，新竹地方法院從109年開始，平均收案量就有大幅度的提升，如若依照剛剛黃副秘書長的說明，培訓一位法官需要3年的時間，司法院方面是否已經開始啟動對於新竹地方法院員額不足的需求規劃人力配置。</w:t>
      </w:r>
    </w:p>
    <w:p w14:paraId="3884503E"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 xml:space="preserve">司法院黃副秘書長麟倫 </w:t>
      </w:r>
    </w:p>
    <w:p w14:paraId="4707259A"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謝謝陳委員，因為目前我還未有詳盡的評估資訊，是否容請陳委員讓我在會後針對此一問題進行詳盡的規劃之後，再向陳委員進行完整的報告。</w:t>
      </w:r>
    </w:p>
    <w:p w14:paraId="783A5EEE"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7258D66E"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黃副秘書長，我也請本委員會召集委員將前述這個議題加入討論的範圍，畢竟新竹地方法院收案數增加，是從109年即開始有的現象，針對法官員額不足以及相關的原因，都應該請司法院檢討並且提出需求與改進方法。</w:t>
      </w:r>
    </w:p>
    <w:p w14:paraId="55273178"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接著，我請教新竹地方法院梁院長，在業務報告當中提到的判決折服率，意義為何。</w:t>
      </w:r>
    </w:p>
    <w:p w14:paraId="5BA1BE01"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臺灣新竹地方法院梁院長玉芬</w:t>
      </w:r>
    </w:p>
    <w:p w14:paraId="67031E67"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向陳委員說明，折服率是指案件當事人在本院判決之後</w:t>
      </w:r>
      <w:r w:rsidRPr="00C363F0">
        <w:rPr>
          <w:rFonts w:ascii="標楷體" w:eastAsia="標楷體" w:hAnsi="標楷體" w:hint="eastAsia"/>
          <w:color w:val="000000"/>
          <w:sz w:val="28"/>
          <w:szCs w:val="28"/>
        </w:rPr>
        <w:lastRenderedPageBreak/>
        <w:t>即不再上訴之意，換言之，當事人接受本院判決結果並且不再提出上訴。</w:t>
      </w:r>
    </w:p>
    <w:p w14:paraId="7DB240C9" w14:textId="77777777" w:rsidR="00421BB5" w:rsidRPr="00C363F0" w:rsidRDefault="00421BB5" w:rsidP="00421BB5">
      <w:pPr>
        <w:topLinePunct/>
        <w:spacing w:line="500" w:lineRule="exact"/>
        <w:ind w:left="720"/>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3A6C6A63"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謝謝梁院長的說明，依照梁院長提出的數據來看，新竹地法院判決折服率也是相當的高。</w:t>
      </w:r>
    </w:p>
    <w:p w14:paraId="6C3A2C1B"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接著，請教法務部蔡政務次長、檢察司黃司長。從新竹地方檢察署張檢察長提出的業務報告中，發現幾處問題。</w:t>
      </w:r>
    </w:p>
    <w:p w14:paraId="0EBB0757" w14:textId="77777777" w:rsidR="00421BB5" w:rsidRPr="00C363F0" w:rsidRDefault="00421BB5" w:rsidP="007015C7">
      <w:pPr>
        <w:numPr>
          <w:ilvl w:val="0"/>
          <w:numId w:val="31"/>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新竹地方檢察署前五名的犯罪，詐欺罪高居首位，與本委員會上週考察桃園地方檢察署的情況相同。事實上，目前全國都有這樣的情況，詐欺犯罪已經成為一個非常嚴重的犯罪類型。會形成這樣的情況，是否因為詐騙集團的首腦或核心人物不易查獲，實際上查獲的詐欺罪犯，都是一些底層的人員，例如：車手等。針對這樣的情況，法務部是否應該研議相應的對策，針對這些底層的詐欺罪犯，應該要提高刑度。因為，如果車手刑度提高，詐騙集團犯罪首腦要覓得車手相對來說會比較不容易，詐騙集團相對也就不容易形成。否則，目前實務上詐騙集團首腦查獲不易，法務部是否應該思考從底層的詐欺罪犯著手，從刑度加重方面或者其他因應之道，進行研究、改進。我認為從底層詐欺罪犯刑度加重來著手，應該是相對來說比較務實有效的作法。目前政府機關在宣導方面，已經是非常的廣泛，但詐騙案件還是層出不窮，詐欺罪犯更是抓不勝抓。換句話說，詐騙犯罪已經影響到全國民眾，本席個人就經常接到詐騙的訊息、電話，我想在座的各位都與本席有相同的經歷。因此，請將這個議題列入今日會議紀</w:t>
      </w:r>
      <w:r w:rsidRPr="00C363F0">
        <w:rPr>
          <w:rFonts w:ascii="標楷體" w:eastAsia="標楷體" w:hAnsi="標楷體" w:hint="eastAsia"/>
          <w:color w:val="000000"/>
          <w:sz w:val="28"/>
          <w:szCs w:val="28"/>
        </w:rPr>
        <w:lastRenderedPageBreak/>
        <w:t>錄，請法務部會後審慎評估、檢討這個問題，考慮是否從刑度提高方面著手，才能夠有效嚇阻詐騙犯罪的歪風。畢竟，從詐騙集團的底層人員，如：車手等。將其刑度加重，實際上等同將詐騙集團的手腳斬斷，詐騙集團覓得底層犯罪人員不易的情況下，犯罪組織就不容易成立。</w:t>
      </w:r>
    </w:p>
    <w:p w14:paraId="38154E14" w14:textId="77777777" w:rsidR="00421BB5" w:rsidRPr="00C363F0" w:rsidRDefault="00421BB5" w:rsidP="007015C7">
      <w:pPr>
        <w:numPr>
          <w:ilvl w:val="0"/>
          <w:numId w:val="31"/>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如同新竹地方法院一樣的問題，新竹地方檢察署的員額配置中，檢察官缺額3名，檢察事務官缺額11名，書記官5位，缺額相當多。造成這樣的現象原因為何，是體制方面問題，或者是法務部分配的問題。</w:t>
      </w:r>
    </w:p>
    <w:p w14:paraId="3B6DBD9E"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法務部檢察司黃司長謀信</w:t>
      </w:r>
    </w:p>
    <w:p w14:paraId="7C101C3A"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謝謝陳委員的說明，針對前述的問題，扼要說明如下：</w:t>
      </w:r>
    </w:p>
    <w:p w14:paraId="1117E85D" w14:textId="77777777" w:rsidR="00421BB5" w:rsidRPr="00C363F0" w:rsidRDefault="00421BB5" w:rsidP="007015C7">
      <w:pPr>
        <w:numPr>
          <w:ilvl w:val="0"/>
          <w:numId w:val="32"/>
        </w:numPr>
        <w:topLinePunct/>
        <w:adjustRightInd w:val="0"/>
        <w:spacing w:line="500" w:lineRule="exact"/>
        <w:ind w:left="2694" w:hanging="853"/>
        <w:jc w:val="both"/>
        <w:rPr>
          <w:rFonts w:ascii="標楷體" w:eastAsia="標楷體" w:hAnsi="標楷體"/>
          <w:color w:val="000000"/>
          <w:sz w:val="28"/>
          <w:szCs w:val="28"/>
        </w:rPr>
      </w:pPr>
      <w:r w:rsidRPr="00C363F0">
        <w:rPr>
          <w:rFonts w:ascii="標楷體" w:eastAsia="標楷體" w:hAnsi="標楷體" w:hint="eastAsia"/>
          <w:color w:val="000000"/>
          <w:sz w:val="28"/>
          <w:szCs w:val="28"/>
        </w:rPr>
        <w:t>詐騙車手刑度提高方面，涉及到法律修正的程序與問題。實際上，目前本部正在研議洗錢防制法，將詐騙車手這個犯罪類型獨立出來，刑度也有相應的檢討，在草案公布之後，本部認為這樣的修正不夠周全、不夠全面，因此再度加開4至5場的會議進行討論，研修洗錢防制法施行細則，以及對於詐騙車手的法律效果等，結論完竣之後，將會透過行政院提交至立法院來進行後續法律修正的處理。</w:t>
      </w:r>
    </w:p>
    <w:p w14:paraId="5D3A0509" w14:textId="77777777" w:rsidR="00421BB5" w:rsidRPr="00C363F0" w:rsidRDefault="00421BB5" w:rsidP="007015C7">
      <w:pPr>
        <w:numPr>
          <w:ilvl w:val="0"/>
          <w:numId w:val="32"/>
        </w:numPr>
        <w:topLinePunct/>
        <w:adjustRightInd w:val="0"/>
        <w:spacing w:line="500" w:lineRule="exact"/>
        <w:ind w:left="2694" w:hanging="853"/>
        <w:jc w:val="both"/>
        <w:rPr>
          <w:rFonts w:ascii="標楷體" w:eastAsia="標楷體" w:hAnsi="標楷體"/>
          <w:color w:val="000000"/>
          <w:sz w:val="28"/>
          <w:szCs w:val="28"/>
        </w:rPr>
      </w:pPr>
      <w:r w:rsidRPr="00C363F0">
        <w:rPr>
          <w:rFonts w:ascii="標楷體" w:eastAsia="標楷體" w:hAnsi="標楷體" w:hint="eastAsia"/>
          <w:color w:val="000000"/>
          <w:sz w:val="28"/>
          <w:szCs w:val="28"/>
        </w:rPr>
        <w:t>檢察事務官缺額數高的原因，主要是法務部長規劃四年內補足600名的人力缺口，其中檢察事務官所佔比例為250名。但人力的補充無法如此迅速。從招考、培訓都需要時間，因此預算員額雖然已經增加，但人力補實還無法即刻到位。因此，接下來幾年會逐漸將檢察事務官的人力補足，如：</w:t>
      </w:r>
      <w:r w:rsidRPr="00C363F0">
        <w:rPr>
          <w:rFonts w:ascii="標楷體" w:eastAsia="標楷體" w:hAnsi="標楷體" w:hint="eastAsia"/>
          <w:color w:val="000000"/>
          <w:sz w:val="28"/>
          <w:szCs w:val="28"/>
        </w:rPr>
        <w:lastRenderedPageBreak/>
        <w:t>今年預計會分撥的檢察事務官人力將近50餘名，明年底預計會分撥的檢察事務官有80餘名。簡要來說，檢察事務官的人力會逐年的分撥補實，在此之前，各地檢署的人力就會呈現未補足的情況。當然，會有這樣的情況，主要也是因為人力爭取相當不容易，必須先經過人事行政總處審核通過之後，才能夠接續去處理員額增加的程序。</w:t>
      </w:r>
    </w:p>
    <w:p w14:paraId="15E00E87"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4F9A05DE"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法務部檢察司黃司長的說明，對於各地檢署人力不足的問題，應該要更及早未雨綢繆。事實上，從上週考察桃園地方法院、檢察署，乃至於今日考察新竹地方法院等，本席發現在硬體設施方面都非常完善，可是人力都是呈現不足的狀態，而實際上會影響整體司法效能的關鍵，還是在於人力的補實。因為，不管是裁判品質，或者偵查效能，人力不足的情況下，都會受到影響；同時，沉重的工作負擔下，也會影響到法官、檢察官以及其他司法人員的生活品質，這方面請司法院、法務部要多加重視。</w:t>
      </w:r>
    </w:p>
    <w:p w14:paraId="62DFF1A9"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接著，新竹地方檢察署張檢察長報告當中提到職務宿舍的需求，令我比較驚訝的是，檢察長宿舍是一棟屋齡70年的屋舍，本席不解為何會讓地方檢察署的首長居住在這麼老舊的宿舍。</w:t>
      </w:r>
    </w:p>
    <w:p w14:paraId="4446BC55"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臺灣新竹地方檢察署張檢察長介欽</w:t>
      </w:r>
    </w:p>
    <w:p w14:paraId="68B3DDD8"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陳委員，我也向委員報告。本署廳舍旁現有土地一筆，原定規劃是讓法務部行政執行署新竹分署（下稱新竹分署）興建辦公廳舍使用，不過後來新竹分署變更計畫，改至新竹地方法院舊址興建。接著內政部營建署規劃將前述的土地收回，預計要興建社會住宅。本署因為有檢察官職務宿舍的需求，因此希望可以將興建社會住宅的計畫暫緩，也與相</w:t>
      </w:r>
      <w:r w:rsidRPr="00C363F0">
        <w:rPr>
          <w:rFonts w:ascii="標楷體" w:eastAsia="標楷體" w:hAnsi="標楷體" w:hint="eastAsia"/>
          <w:color w:val="000000"/>
          <w:sz w:val="28"/>
          <w:szCs w:val="28"/>
        </w:rPr>
        <w:lastRenderedPageBreak/>
        <w:t>關機關、人員洽談中，主要是希望未來在規劃上，可以採用合建的方式處理，一方面興建社會住宅，同時也提供一部份來進行檢察官職務宿舍的興建，但這方面的規劃才剛起步而已，未來還是需要相當的時間，才能夠有比較明確的結果。</w:t>
      </w:r>
    </w:p>
    <w:p w14:paraId="5752A6EC"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18DA8474"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謝謝張檢察長說明。確實檢察官職務宿舍是需要比較長遠的規劃，同時，剛剛張檢察長的報告當中，有幾點我非常認同。</w:t>
      </w:r>
    </w:p>
    <w:p w14:paraId="12180C04" w14:textId="77777777" w:rsidR="00421BB5" w:rsidRPr="00C363F0" w:rsidRDefault="00421BB5" w:rsidP="007015C7">
      <w:pPr>
        <w:numPr>
          <w:ilvl w:val="0"/>
          <w:numId w:val="33"/>
        </w:numPr>
        <w:topLinePunct/>
        <w:adjustRightInd w:val="0"/>
        <w:spacing w:line="500" w:lineRule="exact"/>
        <w:ind w:leftChars="707" w:left="2551" w:hangingChars="305" w:hanging="854"/>
        <w:jc w:val="both"/>
        <w:rPr>
          <w:rFonts w:ascii="標楷體" w:eastAsia="標楷體" w:hAnsi="標楷體"/>
          <w:color w:val="000000"/>
          <w:sz w:val="28"/>
          <w:szCs w:val="28"/>
        </w:rPr>
      </w:pPr>
      <w:r w:rsidRPr="00C363F0">
        <w:rPr>
          <w:rFonts w:ascii="標楷體" w:eastAsia="標楷體" w:hAnsi="標楷體" w:hint="eastAsia"/>
          <w:color w:val="000000"/>
          <w:sz w:val="28"/>
          <w:szCs w:val="28"/>
        </w:rPr>
        <w:t>檢察官的工作性質、人身安全非常需要被重視，畢竟打擊犯罪的同時，人身安全也相對會受到影響，必須要提供一個穩固安全的工作環境。</w:t>
      </w:r>
    </w:p>
    <w:p w14:paraId="3F91BFEF" w14:textId="77777777" w:rsidR="00421BB5" w:rsidRPr="00C363F0" w:rsidRDefault="00421BB5" w:rsidP="007015C7">
      <w:pPr>
        <w:numPr>
          <w:ilvl w:val="0"/>
          <w:numId w:val="33"/>
        </w:numPr>
        <w:topLinePunct/>
        <w:adjustRightInd w:val="0"/>
        <w:spacing w:line="500" w:lineRule="exact"/>
        <w:ind w:leftChars="707" w:left="2551" w:hangingChars="305" w:hanging="854"/>
        <w:jc w:val="both"/>
        <w:rPr>
          <w:rFonts w:ascii="標楷體" w:eastAsia="標楷體" w:hAnsi="標楷體"/>
          <w:color w:val="000000"/>
          <w:sz w:val="28"/>
          <w:szCs w:val="28"/>
        </w:rPr>
      </w:pPr>
      <w:r w:rsidRPr="00C363F0">
        <w:rPr>
          <w:rFonts w:ascii="標楷體" w:eastAsia="標楷體" w:hAnsi="標楷體" w:hint="eastAsia"/>
          <w:color w:val="000000"/>
          <w:sz w:val="28"/>
          <w:szCs w:val="28"/>
        </w:rPr>
        <w:t>檢察官往返職務宿舍的路途遠近，也是一個非常需要重視的地方，尤其是檢察官經常需要加班至很晚的時候，交通距離遠近，連帶的也會影響到人身安全問題。</w:t>
      </w:r>
    </w:p>
    <w:p w14:paraId="557CFC6E" w14:textId="77777777" w:rsidR="00421BB5" w:rsidRPr="00C363F0" w:rsidRDefault="00421BB5" w:rsidP="007015C7">
      <w:pPr>
        <w:numPr>
          <w:ilvl w:val="0"/>
          <w:numId w:val="33"/>
        </w:numPr>
        <w:topLinePunct/>
        <w:adjustRightInd w:val="0"/>
        <w:spacing w:line="500" w:lineRule="exact"/>
        <w:ind w:leftChars="707" w:left="2551" w:hangingChars="305" w:hanging="854"/>
        <w:jc w:val="both"/>
        <w:rPr>
          <w:rFonts w:ascii="標楷體" w:eastAsia="標楷體" w:hAnsi="標楷體"/>
          <w:color w:val="000000"/>
          <w:sz w:val="28"/>
          <w:szCs w:val="28"/>
        </w:rPr>
      </w:pPr>
      <w:r w:rsidRPr="00C363F0">
        <w:rPr>
          <w:rFonts w:ascii="標楷體" w:eastAsia="標楷體" w:hAnsi="標楷體" w:hint="eastAsia"/>
          <w:color w:val="000000"/>
          <w:sz w:val="28"/>
          <w:szCs w:val="28"/>
        </w:rPr>
        <w:t>在短期的規劃上，應該可以考慮在竹北市租用房屋作為檢察官職務宿舍使用，竹北市地區有許多新穎的建物，若承租作為檢察官職務宿舍使用，是否有執行上的困難。或者是在預算上有困難。因為，如果職務宿舍距離檢察署較近，無論人身安全的維護、工作效率等，各方面的成效應該都是比較高的；相對來說，職務宿舍距離檢察署較遠，檢察官不但往返的時間長，工作效率可能打折扣不說，一旦檢察官人身安全受到威脅，對於整個社會來說，都不是大家所樂見的。</w:t>
      </w:r>
    </w:p>
    <w:p w14:paraId="36ECE22D" w14:textId="77777777" w:rsidR="00421BB5" w:rsidRPr="00C363F0" w:rsidRDefault="00421BB5" w:rsidP="007015C7">
      <w:pPr>
        <w:numPr>
          <w:ilvl w:val="0"/>
          <w:numId w:val="33"/>
        </w:numPr>
        <w:topLinePunct/>
        <w:adjustRightInd w:val="0"/>
        <w:spacing w:line="500" w:lineRule="exact"/>
        <w:ind w:leftChars="707" w:left="2551" w:hangingChars="305" w:hanging="854"/>
        <w:jc w:val="both"/>
        <w:rPr>
          <w:rFonts w:ascii="標楷體" w:eastAsia="標楷體" w:hAnsi="標楷體"/>
          <w:color w:val="000000"/>
          <w:sz w:val="28"/>
          <w:szCs w:val="28"/>
        </w:rPr>
      </w:pPr>
      <w:r w:rsidRPr="00C363F0">
        <w:rPr>
          <w:rFonts w:ascii="標楷體" w:eastAsia="標楷體" w:hAnsi="標楷體" w:hint="eastAsia"/>
          <w:color w:val="000000"/>
          <w:sz w:val="28"/>
          <w:szCs w:val="28"/>
        </w:rPr>
        <w:t>如果規劃用警力巡邏檢察官職務宿舍的方式，或者可能可以提升檢察官人身安全的維護，但相對的就會增加警察人員的負擔，對整個國家安全結</w:t>
      </w:r>
      <w:r w:rsidRPr="00C363F0">
        <w:rPr>
          <w:rFonts w:ascii="標楷體" w:eastAsia="標楷體" w:hAnsi="標楷體" w:hint="eastAsia"/>
          <w:color w:val="000000"/>
          <w:sz w:val="28"/>
          <w:szCs w:val="28"/>
        </w:rPr>
        <w:lastRenderedPageBreak/>
        <w:t>構來說，也是一種負擔的增加。</w:t>
      </w:r>
    </w:p>
    <w:p w14:paraId="38ADA680" w14:textId="77777777" w:rsidR="00421BB5" w:rsidRPr="00C363F0" w:rsidRDefault="00421BB5" w:rsidP="007015C7">
      <w:pPr>
        <w:numPr>
          <w:ilvl w:val="0"/>
          <w:numId w:val="33"/>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因此，檢察官職務宿舍在結論上，短期規劃上應該要在鄰近地區租用，是比較務實的作法。因此，在實務上是否對於檢察官職務宿舍設有租金上限；再者，對於老舊的職務宿舍若維修費用過高，應該要考慮已租用代替修繕，在經費的運用上應該是更為經濟才是。</w:t>
      </w:r>
    </w:p>
    <w:p w14:paraId="78D94148"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臺灣新竹地方檢察署張檢察長介欽</w:t>
      </w:r>
    </w:p>
    <w:p w14:paraId="41AA5D9E"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陳委員，租用宿舍方面，目前在經費上有一定的限制，而竹北地區的房價相當的高，目前本署租用檢察官職務宿舍的經費，每戶每年可支付的租金是（新臺幣，以下同）30萬元，但竹北地區的房價居高不下，30萬元的租金預算無法在本署廳舍附近租到房舍，因此檢察官職務宿舍即便承租，也只能在新竹市地區才有辦法用前述的預算金額租到屋舍作為檢察官職務宿舍使用。</w:t>
      </w:r>
    </w:p>
    <w:p w14:paraId="3FD656FB"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臺灣新竹地方檢察署楊書記官長美溶</w:t>
      </w:r>
    </w:p>
    <w:p w14:paraId="1CD3BA32"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謝謝陳委員，在此也特別向陳委員報告，本署檢察官職務宿舍的租金預算，近20年來都維持不變。</w:t>
      </w:r>
    </w:p>
    <w:p w14:paraId="019ACFEF"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2B27A70B" w14:textId="77777777" w:rsidR="00421BB5" w:rsidRPr="00C363F0" w:rsidRDefault="00421BB5" w:rsidP="00421BB5">
      <w:pPr>
        <w:topLinePunct/>
        <w:adjustRightInd w:val="0"/>
        <w:spacing w:line="500" w:lineRule="exact"/>
        <w:ind w:left="1701"/>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謝謝張檢察長的說明，本席對於這個問題具體建議如下：</w:t>
      </w:r>
    </w:p>
    <w:p w14:paraId="2B4012B6" w14:textId="77777777" w:rsidR="00421BB5" w:rsidRPr="00C363F0" w:rsidRDefault="00421BB5" w:rsidP="007015C7">
      <w:pPr>
        <w:numPr>
          <w:ilvl w:val="0"/>
          <w:numId w:val="34"/>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檢察官職務宿舍租金額度2萬5,000元的上限，是否屬機關內部限制，或者是法令上有所限制。一般來說，這類屬技術性、執行面的規範，應該不太可能透過法律來限制。如若是機關內部的規範，就要檢討規範的合理性，若是預算上的限制，應該要在本期會期當中提出討論，透過本委員會審查時附帶決議的方式來處理，針對檢察官職務</w:t>
      </w:r>
      <w:r w:rsidRPr="00C363F0">
        <w:rPr>
          <w:rFonts w:ascii="標楷體" w:eastAsia="標楷體" w:hAnsi="標楷體" w:hint="eastAsia"/>
          <w:color w:val="000000"/>
          <w:sz w:val="28"/>
          <w:szCs w:val="28"/>
        </w:rPr>
        <w:lastRenderedPageBreak/>
        <w:t>宿舍的租金費用，以及考量物價上揚的程度，適度來進行額度上限的調整。</w:t>
      </w:r>
    </w:p>
    <w:p w14:paraId="541A9A8F" w14:textId="77777777" w:rsidR="00421BB5" w:rsidRPr="00C363F0" w:rsidRDefault="00421BB5" w:rsidP="007015C7">
      <w:pPr>
        <w:numPr>
          <w:ilvl w:val="0"/>
          <w:numId w:val="34"/>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老舊職務宿舍修繕的費用，累計是否已經超過租用宿舍的費用，這一點要確實的檢討並且提出數據，評估修繕與租用宿舍在經費上的差異，同時提出詳細的報告與本委員會。</w:t>
      </w:r>
    </w:p>
    <w:p w14:paraId="1BA83841" w14:textId="77777777" w:rsidR="00421BB5" w:rsidRPr="00C363F0" w:rsidRDefault="00421BB5" w:rsidP="00421BB5">
      <w:pPr>
        <w:topLinePunct/>
        <w:spacing w:line="500" w:lineRule="exact"/>
        <w:ind w:leftChars="295" w:left="708"/>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1F82DEBF"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陳委員的建議與說明，本次會議針對新竹地方檢察署檢察官職務宿舍的議題，決議請法務部針對此一問題研議興建檢察官職務宿舍的可行性。同時，短期規劃上，應否針對新竹地方檢察署租用檢察官職務宿舍租金上限，通盤考量地區物價指數等因素，酌量調高，也請法務部一併研議後，向本委員會提出說明與規劃內容。</w:t>
      </w:r>
    </w:p>
    <w:p w14:paraId="7AA803A6"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非常謝謝陳委員的建議，接著請本委員會游毓蘭委員提問。</w:t>
      </w:r>
    </w:p>
    <w:p w14:paraId="1AA0F556" w14:textId="77777777" w:rsidR="00421BB5" w:rsidRPr="00C363F0" w:rsidRDefault="00421BB5" w:rsidP="00421BB5">
      <w:pPr>
        <w:topLinePunct/>
        <w:spacing w:line="500" w:lineRule="exact"/>
        <w:ind w:leftChars="295" w:left="708"/>
        <w:jc w:val="both"/>
        <w:rPr>
          <w:rFonts w:ascii="標楷體" w:eastAsia="標楷體" w:hAnsi="標楷體"/>
          <w:b/>
          <w:sz w:val="28"/>
          <w:szCs w:val="28"/>
        </w:rPr>
      </w:pPr>
      <w:r w:rsidRPr="00C363F0">
        <w:rPr>
          <w:rFonts w:ascii="標楷體" w:eastAsia="標楷體" w:hAnsi="標楷體" w:hint="eastAsia"/>
          <w:b/>
          <w:sz w:val="28"/>
          <w:szCs w:val="28"/>
        </w:rPr>
        <w:t>游立法委員毓蘭</w:t>
      </w:r>
    </w:p>
    <w:p w14:paraId="2BF0ABCD"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謝謝林委員，我的問題會盡量精簡，主要是有一些我所關心的問題，剛剛陳委員都已經幫我詢問了。</w:t>
      </w:r>
    </w:p>
    <w:p w14:paraId="4AFB9CDB"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首先，我非常感謝臺灣新竹地方法院、以及檢察署，透過二位首長的業務報告，讓我瞭解到二個機關的績效的非常的良好。同時，針對新竹地方法院的報告數據當中，裁判的折服率方面，在行政訴訟、民事訴訟這二個區塊，折服率是低於全國地方法院的平均值，不過上訴之後維持一審判決結果的數據上，比例上還是相當的高，代表新竹地方法院裁判的品質是很不錯的，因此，有幾點問題提出來討論。</w:t>
      </w:r>
    </w:p>
    <w:p w14:paraId="31BD5F0B"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本席認為在刑事案件上，固然有許多疏減訟源的方式，處理的也非常恰當。因此，反應在行政訴訟、民事訴訟的案件上，是否也可以有相應的作</w:t>
      </w:r>
      <w:r w:rsidRPr="00C363F0">
        <w:rPr>
          <w:rFonts w:ascii="標楷體" w:eastAsia="標楷體" w:hAnsi="標楷體" w:hint="eastAsia"/>
          <w:color w:val="000000"/>
          <w:sz w:val="28"/>
          <w:szCs w:val="28"/>
        </w:rPr>
        <w:lastRenderedPageBreak/>
        <w:t>法，讓案件的當事人瞭解訴訟並非解決問題的唯一途徑。目前，在法院組織法修正之後，二位司法事務官以上的員額，就可以設一名主任，因此，若可以善加運用法院組織法修正後的編制，增加一些相對應的人力來處理，或許可以讓法院在人力負擔上，獲得一定程度的緩解。</w:t>
      </w:r>
    </w:p>
    <w:p w14:paraId="48F3E889"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剛剛考察過國民法官的法庭，在硬體的規劃上，本席認為應該是相當的完整，在今天的考察之前，我已經參觀過許多地方法院的國民法官法庭，當中包括如：臺北地方法院，其中讓我印象最為深刻的，則是雲林地方法院、金門地方法院。本席認為針對法庭的硬體規劃上，司法院應該要有一個完整、全面的規劃，讓參與審判的國民法官，保有一定程度、最起碼的裁判者尊嚴才是。</w:t>
      </w:r>
    </w:p>
    <w:p w14:paraId="502CAACF"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科技始終來自於人性」，剛剛參觀過新竹地方法院國民法官法庭，有許多新穎的科技設備，而這些設備的建置，都是為了服務民眾、保障人權而設置，有了這些設備讓審判更加公開、透明，也會讓人民對於司法裁判更信心。因此，我也建議在執行面上，可以去思考有哪些工作可以利用科技設備來取代，以此方式舒緩法官、司法人員的工作負擔。目前行政院設有數位發展部，或許可以考慮將一些法院的工作數位化，減少同仁的負擔。</w:t>
      </w:r>
    </w:p>
    <w:p w14:paraId="5CA19546"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誠如剛剛新竹地方法院梁院長提到的，雙掛號的郵資費用非常高，這讓我聯想到過往服務的經驗，當時我還是亞洲警大協會會長，平信信件郵費從5元調漲至8元，就有擔任國道警察的學生告訴我，</w:t>
      </w:r>
      <w:r w:rsidRPr="00C363F0">
        <w:rPr>
          <w:rFonts w:ascii="標楷體" w:eastAsia="標楷體" w:hAnsi="標楷體" w:hint="eastAsia"/>
          <w:color w:val="000000"/>
          <w:sz w:val="28"/>
          <w:szCs w:val="28"/>
        </w:rPr>
        <w:lastRenderedPageBreak/>
        <w:t>過往針對超速10公里的違規車輛就必須開單告發，因為郵資調漲的關係，目前必須要超速30公里才會開單告發。我想這是一個玩笑話，但也是本席認為應該正視的事實。未來應該要思考利用電子傳送或者更加便利、經濟的方式來解決這方面的問題，一方面維護人民的權利，一方面又不失法律程序的正當性。本席認為，法律存在的目的，應該是服務人民的工具，而非成為機關五花大綁的絆腳石。</w:t>
      </w:r>
    </w:p>
    <w:p w14:paraId="3DE8829C"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另外，我也特別關心新竹地方檢察署張檢察長的業務報告。在報告數據當中，定罪率固然維持在90％左右，但相比日本來說，仍有進步的空間。同樣的，在國土保育的案件上，檢察官起訴的人數並不多；而且在法院判決確定的刑事案件中，或許有許多是屬於輕判、甚至是可以易科罰金的判決，這些當然也會被統計至定罪率的數據當中。因此如同剛剛陳委員的建議當中也提到，針對詐欺犯罪的車手等，甚至已經是慣犯的這些涉案人員，司法系統似乎對這些人是毫無辦法一般，本席以為應該要整體來做思考、規劃，提出一個有效的辦法來應對。</w:t>
      </w:r>
    </w:p>
    <w:p w14:paraId="1BE76EE5"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其中，我更掛念的是新竹地方檢察署張檢察長書面資料第</w:t>
      </w:r>
      <w:r w:rsidRPr="00C363F0">
        <w:rPr>
          <w:rFonts w:ascii="標楷體" w:eastAsia="標楷體" w:hAnsi="標楷體"/>
          <w:color w:val="000000"/>
          <w:sz w:val="28"/>
          <w:szCs w:val="28"/>
        </w:rPr>
        <w:t>8</w:t>
      </w:r>
      <w:r w:rsidRPr="00C363F0">
        <w:rPr>
          <w:rFonts w:ascii="標楷體" w:eastAsia="標楷體" w:hAnsi="標楷體" w:hint="eastAsia"/>
          <w:color w:val="000000"/>
          <w:sz w:val="28"/>
          <w:szCs w:val="28"/>
        </w:rPr>
        <w:t>頁，婦幼案件的統計數據。婦幼案件起訴的人數非常低，且起訴之後又有多少被告獲致相稱的刑度，在資料上並沒有顯示，也許也可能有一部分是屬於得易科罰金的判決也非不可能。因此，這方面也應該要多加的思考。</w:t>
      </w:r>
    </w:p>
    <w:p w14:paraId="189600F7"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新竹地方檢察署張檢察長，曾經在連江、屏東等</w:t>
      </w:r>
      <w:r w:rsidRPr="00C363F0">
        <w:rPr>
          <w:rFonts w:ascii="標楷體" w:eastAsia="標楷體" w:hAnsi="標楷體" w:hint="eastAsia"/>
          <w:color w:val="000000"/>
          <w:sz w:val="28"/>
          <w:szCs w:val="28"/>
        </w:rPr>
        <w:lastRenderedPageBreak/>
        <w:t>地擔任檢察署檢察長，也應該要思考在歷經這些檢察署當中，新竹地方檢察署是否最為忙碌、人力最為不足的；以及本委員會這邊可以提供的協助有哪些，或者對於現階段的流程上，有哪些地方可以改進的；乃至於可以利用科技設備解決一部份的問題，本席以為都是張檢察長可以思考的地方。</w:t>
      </w:r>
    </w:p>
    <w:p w14:paraId="4DAFB8EE"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本席曾經在警察大學擔任許多不同單位的主管，其中一個職務是擔任圖書館長。當時大家都認為我佔了一個好缺，但我反思自己在美國求學時，美國大學的圖書館一定是學校最好、設備最進步的地方，也是大家都嚮往的位置。當時我在警察大學圖書館擔任館長時，僅僅做了一個簡單的改變，就讓圖書館在各種業務檢查時，都獲得了評鑑第一的成績。當時我在圖書館還書的櫃臺，設置了一個雙面的螢幕。在20年前，螢幕是非常昂貴的物品，不像現在已經是非常便宜、普及的電子器材。但在當時，在圖書館還書櫃臺設置一個雙面螢幕，可以增加整個流程的透明度之外，還可以提高彼此的信任度。如同剛剛參觀國民法官法庭時，我也詢問到庭訊過程中，是否能夠將筆錄製作的過程等等投放出來，效果是類似的。事實上，很多程序的進行，浪費了太多時間在彼此的不信任上，不過，其實只要再增加一些構想，添購一些設備，就可以避免這些無謂的不信任。</w:t>
      </w:r>
    </w:p>
    <w:p w14:paraId="69565AF3"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本席雖然是在野黨，但並不會因此立場有所不同，一樣都感受到司法人員的辛苦與辛勞。本席在司法及法制委員會服務的時間，目前已經是第二年</w:t>
      </w:r>
      <w:r w:rsidRPr="00C363F0">
        <w:rPr>
          <w:rFonts w:ascii="標楷體" w:eastAsia="標楷體" w:hAnsi="標楷體" w:hint="eastAsia"/>
          <w:color w:val="000000"/>
          <w:sz w:val="28"/>
          <w:szCs w:val="28"/>
        </w:rPr>
        <w:lastRenderedPageBreak/>
        <w:t>了，明年我還會繼續的留在這邊為大家服務，我更希望可以成為大家的後盾，只要本席可以為大家作的、為大家爭取的，本席都會克盡全力去完成。畢竟，不論是法院、檢察署，如此辛苦的工作、辛勞的付出，如若讓全國人民對司法人員的信任度依舊無法提高，我認為這是非常沒有道理的。</w:t>
      </w:r>
    </w:p>
    <w:p w14:paraId="30EC09F9" w14:textId="77777777" w:rsidR="00421BB5" w:rsidRPr="00C363F0" w:rsidRDefault="00421BB5" w:rsidP="007015C7">
      <w:pPr>
        <w:numPr>
          <w:ilvl w:val="0"/>
          <w:numId w:val="35"/>
        </w:numPr>
        <w:topLinePunct/>
        <w:adjustRightInd w:val="0"/>
        <w:spacing w:line="500" w:lineRule="exact"/>
        <w:ind w:left="2552" w:hanging="851"/>
        <w:jc w:val="both"/>
        <w:rPr>
          <w:rFonts w:ascii="標楷體" w:eastAsia="標楷體" w:hAnsi="標楷體"/>
          <w:color w:val="000000"/>
          <w:sz w:val="28"/>
          <w:szCs w:val="28"/>
        </w:rPr>
      </w:pPr>
      <w:r w:rsidRPr="00C363F0">
        <w:rPr>
          <w:rFonts w:ascii="標楷體" w:eastAsia="標楷體" w:hAnsi="標楷體" w:hint="eastAsia"/>
          <w:color w:val="000000"/>
          <w:sz w:val="28"/>
          <w:szCs w:val="28"/>
        </w:rPr>
        <w:t>結論上，我的目標是希望讓民眾都感受到，司法制度的設計，是為他們服務的，讓全國民眾都能夠感同身受的認同司法人員。</w:t>
      </w:r>
    </w:p>
    <w:p w14:paraId="6A476C4C"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以上幾點，謝謝各位。另外強調，剛剛陳委員提到要支持的幾點，本席也深表贊同，一樣全力的來支持。</w:t>
      </w:r>
    </w:p>
    <w:p w14:paraId="4FC97FEB"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003D3FFA"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謝謝游委員的建議與說明。我想至此我也進行幾點結論，並請司法院黃副秘書長、法務部蔡政務次長提出回應。</w:t>
      </w:r>
    </w:p>
    <w:p w14:paraId="48CC18FC" w14:textId="77777777" w:rsidR="00421BB5" w:rsidRPr="00C363F0" w:rsidRDefault="00421BB5" w:rsidP="007015C7">
      <w:pPr>
        <w:numPr>
          <w:ilvl w:val="0"/>
          <w:numId w:val="36"/>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針對新竹地方法院、檢察署在法定員額的數量上，確實都有明顯的不足之處。未來，不論是司法院或者是法務部，請就員額不足的地方，應該如何規劃、補充，讓新竹地方法院、檢察署，不論在法官、檢察官以及其他司法人員的人力上獲得補充，不至於讓工作的負擔過於沉重，畢竟案件量過重，一定會影響法官、檢察官的心情與健康。同樣的，案件負擔過重的情況下，是否也可能造成法官、檢察官的流動率過高的情況，或者是分發時，新進的法官、檢察官都不願意到新竹來服務。</w:t>
      </w:r>
    </w:p>
    <w:p w14:paraId="58E75A1B" w14:textId="77777777" w:rsidR="00421BB5" w:rsidRPr="00C363F0" w:rsidRDefault="00421BB5" w:rsidP="007015C7">
      <w:pPr>
        <w:numPr>
          <w:ilvl w:val="0"/>
          <w:numId w:val="36"/>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針對詐欺犯的刑度，法務部檢察司黃司長已經說明正在研議修法的階段，詐欺車手已經不再透過</w:t>
      </w:r>
      <w:r w:rsidRPr="00C363F0">
        <w:rPr>
          <w:rFonts w:ascii="標楷體" w:eastAsia="標楷體" w:hAnsi="標楷體" w:hint="eastAsia"/>
          <w:color w:val="000000"/>
          <w:sz w:val="28"/>
          <w:szCs w:val="28"/>
        </w:rPr>
        <w:lastRenderedPageBreak/>
        <w:t>刑法的普通詐欺罪處理，而是改由洗錢防制法來作為起訴依據，刑度方面也相應的提高，用以杜絕詐騙集團底層犯罪份子的僥倖心態，讓詐騙集團無法覓得底層犯罪份子，使詐騙集團不容易成立、存在。</w:t>
      </w:r>
    </w:p>
    <w:p w14:paraId="3E78AEE0" w14:textId="77777777" w:rsidR="00421BB5" w:rsidRPr="00C363F0" w:rsidRDefault="00421BB5" w:rsidP="007015C7">
      <w:pPr>
        <w:numPr>
          <w:ilvl w:val="0"/>
          <w:numId w:val="36"/>
        </w:numPr>
        <w:topLinePunct/>
        <w:adjustRightInd w:val="0"/>
        <w:spacing w:line="500" w:lineRule="exact"/>
        <w:jc w:val="both"/>
        <w:rPr>
          <w:rFonts w:ascii="標楷體" w:eastAsia="標楷體" w:hAnsi="標楷體"/>
          <w:color w:val="000000"/>
          <w:sz w:val="28"/>
          <w:szCs w:val="28"/>
        </w:rPr>
      </w:pPr>
      <w:r w:rsidRPr="00C363F0">
        <w:rPr>
          <w:rFonts w:ascii="標楷體" w:eastAsia="標楷體" w:hAnsi="標楷體" w:hint="eastAsia"/>
          <w:color w:val="000000"/>
          <w:sz w:val="28"/>
          <w:szCs w:val="28"/>
        </w:rPr>
        <w:t>職務宿舍方面，新竹地方法院目前宿舍是坐落在竹北市，數量上也還足夠使用。新竹地方檢察署方面，除了老舊之外，還有數量不足的問題。就此部分，也必須請法務部正視新竹地方檢察署的需要。</w:t>
      </w:r>
    </w:p>
    <w:p w14:paraId="36D9A4E3"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法務部蔡政務次長碧仲</w:t>
      </w:r>
    </w:p>
    <w:p w14:paraId="56976650"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林委員對檢察同仁的關心，恰好今天司法院及新竹地方法院的同仁也都在場，我也表示對於司法院提供法官完善的硬體設施表示欽佩與肯定。司法院與本部在預算的規劃上、法制面上都有不同之處，司法院的預算是獨立的，與本部還必須經過行政院同意後才能提出至立法院審議，在基礎上並不一樣。</w:t>
      </w:r>
    </w:p>
    <w:p w14:paraId="093D00B4"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當然，剛剛各位委員也非常支持檢察署的需求，不論是在檢察官職務宿舍上，或者對於詐欺車手加重刑度上等議題，都表示支持與肯定。而在預算方面，本部受制於行政院審查總預算的限制，在增加上或許不若司法院般容易，但本部仍會努力的來向上級為檢察官爭取。</w:t>
      </w:r>
    </w:p>
    <w:p w14:paraId="0450B39D"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職務宿舍的費用上，並非是法務部或者檢察署自行限制承租金額的上限，如同我剛剛提到的，如果增加了承租宿舍的費用，其他的業務費用就必須減縮，畢竟法務部的預算在送審時，是整體送審，並非是單一項目的審核。</w:t>
      </w:r>
    </w:p>
    <w:p w14:paraId="270746AF"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在此我也非常感謝各位委員的苦心與支持，不過本部確</w:t>
      </w:r>
      <w:r w:rsidRPr="00C363F0">
        <w:rPr>
          <w:rFonts w:ascii="標楷體" w:eastAsia="標楷體" w:hAnsi="標楷體" w:hint="eastAsia"/>
          <w:color w:val="000000"/>
          <w:sz w:val="28"/>
          <w:szCs w:val="28"/>
        </w:rPr>
        <w:lastRenderedPageBreak/>
        <w:t>實在預算的審核上與司法院有根本上的不同，即便如此，本部還是會努力來爭取。</w:t>
      </w:r>
    </w:p>
    <w:p w14:paraId="5D2F6756"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陳立法委員玉珍</w:t>
      </w:r>
    </w:p>
    <w:p w14:paraId="7E9C3E2E"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蔡政務次長的說明，我認為檢察官職務宿舍的租金，並非是單一個案的問題，應該要著手去作整體性的規劃，乃至於從規範面上著手，例如設計一套規範或者要點，讓職務宿舍的租金能有一個合理的承租價格存在。甚至是將這個要點納入法定支出的項目之一。總結來說，我提出的建議是，如果承租宿舍租金的限制是來自於法務部內部的限制，那在要點的規範上就應該要改變；若租金的限制是來自於法令或者更高層次的位階，就必須要提出修正的議案來討論。</w:t>
      </w:r>
    </w:p>
    <w:p w14:paraId="4B0A7926"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我想今天在新竹地方檢察署遇到這樣的問題，其他檢察署應該也有相同的問題存在，因此這應該是一個整體性的問題。如同近期我在國外考察房補津貼，也發現到房補津貼過低的問題。回過來職務宿舍的問題，竹北市鄰近新竹科學園區，且這邊的房舍應該都很新穎，因此在地檢署附近承租適合的房舍作為職務宿舍使用，不但距離近且屋況也相對良好許多，至於租金方面的問題，究竟是法制面上、或者預算上遭遇的困難，就是需要法務部這邊將問題癥結點找出來，讓我們來處理，如果需要跨部會協調才能處理，我們在溝通上也會比較容易。</w:t>
      </w:r>
    </w:p>
    <w:p w14:paraId="6BD68C2E"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20CCB7B3"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謝謝陳委員的建議，針對職務宿舍這個議題，請法務部在會後將整個問題及相關資料彙整後提供給我們，最終的目標，應該還是要支持新竹地方檢察署合力的可以興建檢察官職務宿舍。</w:t>
      </w:r>
    </w:p>
    <w:p w14:paraId="68B01296"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法務部蔡政務次長碧仲</w:t>
      </w:r>
    </w:p>
    <w:p w14:paraId="45C5E60C"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謝謝林委員、陳委員的對於本部基層同仁的支持。但在</w:t>
      </w:r>
      <w:r w:rsidRPr="00C363F0">
        <w:rPr>
          <w:rFonts w:ascii="標楷體" w:eastAsia="標楷體" w:hAnsi="標楷體" w:hint="eastAsia"/>
          <w:color w:val="000000"/>
          <w:sz w:val="28"/>
          <w:szCs w:val="28"/>
        </w:rPr>
        <w:lastRenderedPageBreak/>
        <w:t>總預算的規劃上，本部被要求必須逐年降低，如本部在律師訓練的經費上，也是如此，但為了維護律師養成的品質，本部仍舊不敢輕易的把律師訓練的經費裁減。</w:t>
      </w:r>
    </w:p>
    <w:p w14:paraId="5417473B"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1C14795A"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蔡政務次長所述的，應該是在預算編列上的問題，因此也必須檢討是否在編列預算上有所不足，是不是有許多應該執行的事項卻沒有編入預算當中。因此，這個議題應該回到審查預算時再來進行更深入的討論，但法務部仍應該將今天討論的議題，將相關的資料彙整完以後，提交至本委員會來說明、討論。</w:t>
      </w:r>
    </w:p>
    <w:p w14:paraId="58804025" w14:textId="77777777" w:rsidR="00421BB5" w:rsidRPr="00C363F0" w:rsidRDefault="00421BB5" w:rsidP="00421BB5">
      <w:pPr>
        <w:topLinePunct/>
        <w:adjustRightInd w:val="0"/>
        <w:spacing w:line="500" w:lineRule="exact"/>
        <w:ind w:left="709" w:firstLineChars="354" w:firstLine="991"/>
        <w:jc w:val="both"/>
        <w:rPr>
          <w:rFonts w:ascii="標楷體" w:eastAsia="標楷體" w:hAnsi="標楷體"/>
          <w:color w:val="000000"/>
          <w:sz w:val="28"/>
          <w:szCs w:val="28"/>
        </w:rPr>
      </w:pPr>
      <w:r w:rsidRPr="00C363F0">
        <w:rPr>
          <w:rFonts w:ascii="標楷體" w:eastAsia="標楷體" w:hAnsi="標楷體" w:hint="eastAsia"/>
          <w:color w:val="000000"/>
          <w:sz w:val="28"/>
          <w:szCs w:val="28"/>
        </w:rPr>
        <w:t>接著，請司法院黃副秘書長針對今日的議題回應。</w:t>
      </w:r>
    </w:p>
    <w:p w14:paraId="4B29AC19"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司法院黃副秘書長麟倫</w:t>
      </w:r>
    </w:p>
    <w:p w14:paraId="18BC2110"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林委員、法務部蔡政務次長，其實針對宿舍的問題，我想應該是全國都有類似的情況，但在新竹地方法院這邊，目前的使用情況還算足夠。但即便司法預算是獨立的，依照我過往的經驗，如：編列高等法院的宿舍預算就非常的不容易。主要是司法院即便將預算編入以後，立法院的概算中心，以及行政院主計總處等，都會加註相關的意見，因而若無委員的支持時，其實在概算中心時，這筆預算就會被刪掉。因此，在宿舍方面的預算需求，仍然需要各位委員的支持。</w:t>
      </w:r>
    </w:p>
    <w:p w14:paraId="044D1E76"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再者，針對員額方面的問題，也非預算可以處理，因為受制於總員額的規定，即便司法院的預算獨立，仍舊跨不出總員額法的框架限制。目前，司法院的總員額已經是滿編的情況，未來也希望可以透過鬆綁總員額的限制，讓員額的上限可以提升，而目前的情況下，也僅能夠從既有的員額當中去調整。</w:t>
      </w:r>
    </w:p>
    <w:p w14:paraId="1D963876"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2700C50F"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謝謝黃副秘書長的說明，針對總員額方面的問題，我認</w:t>
      </w:r>
      <w:r w:rsidRPr="00C363F0">
        <w:rPr>
          <w:rFonts w:ascii="標楷體" w:eastAsia="標楷體" w:hAnsi="標楷體" w:hint="eastAsia"/>
          <w:color w:val="000000"/>
          <w:sz w:val="28"/>
          <w:szCs w:val="28"/>
        </w:rPr>
        <w:lastRenderedPageBreak/>
        <w:t>為只要能夠合理的說明員額增加的需要，本委員會向來都是支持的立場，加上今天考察看到法院、檢察署的負擔確實不輕，如果不支持也說不過去，但司法院本身還是要提出具體的數據與說明，否則本委員會即便想要支持，也沒有適當的施力點，這一點也請司法院能更加努力提出對應的資料說明。</w:t>
      </w:r>
    </w:p>
    <w:p w14:paraId="6394A125"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最後一點，目前正值選舉期間，先行離席的陳歐珀委員也是相當關心這方面的議題，剛剛在看完檢察署的簡報之後，確實在反賄選宣導上，也進行了很多場次，方法也很多元，包括：有線電視、廣播、甚至是偏鄉地區的反賄選活動等等。不過，是否邀請參與選舉的候選人，統一的進行反賄選的宣導，這一點請檢察署張檢察長說明。</w:t>
      </w:r>
    </w:p>
    <w:p w14:paraId="57F6FA55"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臺灣新竹地方檢察署張檢察長介欽</w:t>
      </w:r>
    </w:p>
    <w:p w14:paraId="38EE6C51"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謝謝林委員的指導，本署各項反賄選活動當中，舉辦過反賄選的記者會，當時即是邀請新竹市地區的候選人一起來參加，同一時地進行反賄選的宣導。至於新竹縣方面，則還沒舉辦類似的活動。</w:t>
      </w:r>
    </w:p>
    <w:p w14:paraId="2DBE264F"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72D07817"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張檢察長的說明，在我的印象當中，往年的選舉時期，鄒茂瑜主任檢察官就曾經對於候選人進行反賄選的宣導，當時也向候選人提供了幾個非常具體的說明，如查辦賄選的標準為何、文宣品的價值計算等。同時，候選人們也會提出有關的問題，彼此之間相互討論、互動。或許，直接對候選人來進行反賄選宣導，會有更好的效果。固然對民眾進行反賄選有其必要，但對於候選人本身更應該去進行反賄選的宣導，因此，我建議檢察署不妨對於參選的候選人進行反賄選的宣導，會讓整個反賄選的效果更加有效。</w:t>
      </w:r>
    </w:p>
    <w:p w14:paraId="429C10ED"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臺灣新竹地方檢察署張檢察長介欽</w:t>
      </w:r>
    </w:p>
    <w:p w14:paraId="784236A0" w14:textId="77777777" w:rsidR="00421BB5" w:rsidRPr="00C363F0" w:rsidRDefault="00421BB5" w:rsidP="00F441CC">
      <w:pPr>
        <w:topLinePunct/>
        <w:spacing w:line="500" w:lineRule="exact"/>
        <w:ind w:left="1276" w:firstLineChars="190" w:firstLine="532"/>
        <w:jc w:val="both"/>
        <w:rPr>
          <w:rFonts w:ascii="標楷體" w:eastAsia="標楷體" w:hAnsi="標楷體"/>
          <w:b/>
          <w:sz w:val="28"/>
          <w:szCs w:val="28"/>
        </w:rPr>
      </w:pPr>
      <w:r w:rsidRPr="00C363F0">
        <w:rPr>
          <w:rFonts w:ascii="標楷體" w:eastAsia="標楷體" w:hAnsi="標楷體" w:hint="eastAsia"/>
          <w:color w:val="000000"/>
          <w:sz w:val="28"/>
          <w:szCs w:val="28"/>
        </w:rPr>
        <w:lastRenderedPageBreak/>
        <w:t>謝謝林委員的指導，本署會依照委員今日的建議，儘快辦理候選人的反賄選宣導。</w:t>
      </w:r>
    </w:p>
    <w:p w14:paraId="1F3692DC"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黃副秘書長麟倫</w:t>
      </w:r>
    </w:p>
    <w:p w14:paraId="0BACC9C8"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林委員，最後我特別補充一點，回應剛剛游委員提到科技司法的議題。對於個別的訴訟程序，郵費高昂的問題，目前司法院初步正在研議，對於委任律師為訴訟代理人的案件，只要當事人同意，或許可以考慮不以紙本方式來送達。因為送達主要會涉及法定效力方面的問題，與一般的郵件目的僅在通知，二者效果並不相同。因此，若是在當事人都同意的情況下，可以透過紙本以外的方式來完成送達的程序，相信對於郵費的支出是可以改善的，而目前有關的法令，司法院也正積極的研議當中，當然也牽涉到很多不同層面的問題，這些司法院也都在想辦法克服當中。</w:t>
      </w:r>
    </w:p>
    <w:p w14:paraId="7EC5B88C"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至於員額人數不足的問題，我想不管是法院、檢察署都面臨著相同的問題，新竹地方法院的法官數不足，但流動率相對的不高，主要是法院女性同仁比例居多，而另一半多在新竹科學園區服務，因此即便工作辛苦也不容易調動，新竹地方檢察署也是類似的情況。不過，也因為法院女性同仁比例居多的關係，經常需要請長假而有職務上的空缺，如：育嬰假。但整體來說，針對新竹地方法院的員額缺口，司法院這邊會來調整、規劃，重新檢討及思考。</w:t>
      </w:r>
    </w:p>
    <w:p w14:paraId="0245CA39"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以上二點，是司法院在今天會後會盡快彙整有關資料向委員為報告的內容，謝謝林委員讓我有補充說明的機會。</w:t>
      </w:r>
    </w:p>
    <w:p w14:paraId="4A6BADD2"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游立法委員毓蘭</w:t>
      </w:r>
    </w:p>
    <w:p w14:paraId="1FF82537"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新竹地區不論是法院、檢察署，既然有這麼多眷屬都是新竹科學園區的員工，本席建議院檢可以合作辦理一個聯誼會或者類似的活動，讓在園區服務的眷屬一起集思廣益，或許透過不同層面的思考，可以有助於改善我們很多的問題，</w:t>
      </w:r>
      <w:r w:rsidRPr="00C363F0">
        <w:rPr>
          <w:rFonts w:ascii="標楷體" w:eastAsia="標楷體" w:hAnsi="標楷體" w:hint="eastAsia"/>
          <w:color w:val="000000"/>
          <w:sz w:val="28"/>
          <w:szCs w:val="28"/>
        </w:rPr>
        <w:lastRenderedPageBreak/>
        <w:t>透過跳脫框架的方式來思考問題，或許會讓大家在司法的領域上有不同的斬獲。</w:t>
      </w:r>
    </w:p>
    <w:p w14:paraId="0DB863E2" w14:textId="77777777" w:rsidR="00421BB5" w:rsidRPr="00C363F0" w:rsidRDefault="00421BB5" w:rsidP="00421BB5">
      <w:pPr>
        <w:topLinePunct/>
        <w:adjustRightInd w:val="0"/>
        <w:spacing w:line="500" w:lineRule="exact"/>
        <w:ind w:left="709" w:firstLineChars="354" w:firstLine="991"/>
        <w:jc w:val="both"/>
        <w:rPr>
          <w:rFonts w:ascii="標楷體" w:eastAsia="標楷體" w:hAnsi="標楷體"/>
          <w:color w:val="000000"/>
          <w:sz w:val="28"/>
          <w:szCs w:val="28"/>
        </w:rPr>
      </w:pPr>
      <w:r w:rsidRPr="00C363F0">
        <w:rPr>
          <w:rFonts w:ascii="標楷體" w:eastAsia="標楷體" w:hAnsi="標楷體" w:hint="eastAsia"/>
          <w:color w:val="000000"/>
          <w:sz w:val="28"/>
          <w:szCs w:val="28"/>
        </w:rPr>
        <w:t>以上一點建議，謝謝各位。</w:t>
      </w:r>
    </w:p>
    <w:p w14:paraId="75DC91B7"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29CF17A9"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謝謝游委員的建議，最後請法務部蔡政務次長做最後的補充。</w:t>
      </w:r>
    </w:p>
    <w:p w14:paraId="0289BF3B"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法務部蔡政務次長碧仲</w:t>
      </w:r>
    </w:p>
    <w:p w14:paraId="7979FE8A"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林委員，我個人非常感謝各位委員的鼎力支持，也都是追隨各位委員的腳步，隨著委員考察的行程，幫我們發現了各地方檢察署的問題，尤其今天在新竹這一趟考察，幫我們發現了不管是法院、檢察署都有著人員嚴重短缺的問題。</w:t>
      </w:r>
    </w:p>
    <w:p w14:paraId="5826F89B"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檢察署方面，因為有特殊的困境，行政院特別提供給我們比較多的員額，不過因為人員的招考、訓練乃至於分發、進用等等都需要時間，本部會盡快的透過各種管道來加速流程的進行。</w:t>
      </w:r>
    </w:p>
    <w:p w14:paraId="6A1C489E"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同時，我也要強調，剛剛在提到預算方面時，我以司法院做比較，並非強調司法院有更多的預算可以運用，而是要說明法院、檢察署都是不足的狀態，只不過法院的情況稍較檢察署好一點而已，結論上不論法院、或者檢察署，都是不足的。</w:t>
      </w:r>
    </w:p>
    <w:p w14:paraId="5A1ACE55"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但是，今天非常幸運的是，司法及法制委員會的召集委員及各位委員蒞臨，也確實的發現到上述問題的存在，我個人除了非常感謝之外，爾後在立法院說明時，也毋須再刻意強調這些需求的迫切性、與重要性。這一點，我由衷的感激，也再次向召集委員跟各位委員道謝。</w:t>
      </w:r>
    </w:p>
    <w:p w14:paraId="516A7329"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檢察官的工作，確實是非常的辛苦，但相對於司法院來</w:t>
      </w:r>
      <w:r w:rsidRPr="00C363F0">
        <w:rPr>
          <w:rFonts w:ascii="標楷體" w:eastAsia="標楷體" w:hAnsi="標楷體" w:hint="eastAsia"/>
          <w:color w:val="000000"/>
          <w:sz w:val="28"/>
          <w:szCs w:val="28"/>
        </w:rPr>
        <w:lastRenderedPageBreak/>
        <w:t>說，硬體的設施上還有很多的不足，有賴各位委員的支持，我們才有機會幫檢察官發聲、爭取。今天也非常榮幸可以與新竹地方檢察署的檢察官們一起來法院這邊參加考察的座談會，相信在各位委員的支持之下，未來檢察署也會有如同今日座談會使用的空間一般，設施優良且完善的會議空間。</w:t>
      </w:r>
    </w:p>
    <w:p w14:paraId="7BD0D564" w14:textId="77777777" w:rsidR="00421BB5" w:rsidRPr="00C363F0" w:rsidRDefault="00421BB5" w:rsidP="00421BB5">
      <w:pPr>
        <w:topLinePunct/>
        <w:spacing w:beforeLines="50" w:before="180" w:line="500" w:lineRule="exact"/>
        <w:ind w:left="1274"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最後，打擊詐欺犯罪是目前法務部之外，各部會都通力合作的一個重要的區塊，也是非常重要的重點工作，透過跨部會的合作，不論是宣傳、預防等等，都是非常積極的在辦理，當然對於整體法制面上的規劃，本部一定會更加努力來完成。而在反賄選方面，我個人非常有經驗，各地方檢察署檢察長，在選舉開始之前，都會禮貌性拜訪縣市首長，並且強調、宣示反賄選的各種觀念，這些委員重視的地方，也是我們所重視的工作內容。當然，做的不足夠的地方，我們肯定會加強力道，繼續努力，至於應該彙整給委員會的書面資料，會後一定會詳盡的整理給各位委員參閱。</w:t>
      </w:r>
    </w:p>
    <w:p w14:paraId="159753F1" w14:textId="77777777" w:rsidR="00421BB5" w:rsidRPr="00C363F0" w:rsidRDefault="00421BB5" w:rsidP="00421BB5">
      <w:pPr>
        <w:topLinePunct/>
        <w:adjustRightInd w:val="0"/>
        <w:spacing w:line="500" w:lineRule="exact"/>
        <w:ind w:left="709" w:firstLineChars="354" w:firstLine="991"/>
        <w:jc w:val="both"/>
        <w:rPr>
          <w:rFonts w:ascii="標楷體" w:eastAsia="標楷體" w:hAnsi="標楷體"/>
          <w:color w:val="000000"/>
          <w:sz w:val="28"/>
          <w:szCs w:val="28"/>
        </w:rPr>
      </w:pPr>
      <w:r w:rsidRPr="00C363F0">
        <w:rPr>
          <w:rFonts w:ascii="標楷體" w:eastAsia="標楷體" w:hAnsi="標楷體" w:hint="eastAsia"/>
          <w:color w:val="000000"/>
          <w:sz w:val="28"/>
          <w:szCs w:val="28"/>
        </w:rPr>
        <w:t>以上幾點報告，謝謝各位。</w:t>
      </w:r>
    </w:p>
    <w:p w14:paraId="697C0CB4" w14:textId="77777777" w:rsidR="00421BB5" w:rsidRPr="00C363F0" w:rsidRDefault="00421BB5" w:rsidP="00421BB5">
      <w:pPr>
        <w:topLinePunct/>
        <w:spacing w:line="500" w:lineRule="exact"/>
        <w:ind w:firstLineChars="253" w:firstLine="709"/>
        <w:jc w:val="both"/>
        <w:rPr>
          <w:rFonts w:ascii="標楷體" w:eastAsia="標楷體" w:hAnsi="標楷體"/>
          <w:b/>
          <w:sz w:val="28"/>
          <w:szCs w:val="28"/>
        </w:rPr>
      </w:pPr>
      <w:r w:rsidRPr="00C363F0">
        <w:rPr>
          <w:rFonts w:ascii="標楷體" w:eastAsia="標楷體" w:hAnsi="標楷體" w:hint="eastAsia"/>
          <w:b/>
          <w:sz w:val="28"/>
          <w:szCs w:val="28"/>
        </w:rPr>
        <w:t>林立法委員思銘</w:t>
      </w:r>
    </w:p>
    <w:p w14:paraId="57005285" w14:textId="77777777" w:rsidR="00421BB5" w:rsidRPr="00C363F0" w:rsidRDefault="00421BB5" w:rsidP="00F441CC">
      <w:pPr>
        <w:topLinePunct/>
        <w:spacing w:line="500" w:lineRule="exact"/>
        <w:ind w:left="1276" w:firstLineChars="190" w:firstLine="532"/>
        <w:jc w:val="both"/>
        <w:rPr>
          <w:rFonts w:ascii="標楷體" w:eastAsia="標楷體" w:hAnsi="標楷體"/>
          <w:color w:val="000000"/>
          <w:sz w:val="28"/>
          <w:szCs w:val="28"/>
        </w:rPr>
      </w:pPr>
      <w:r w:rsidRPr="00C363F0">
        <w:rPr>
          <w:rFonts w:ascii="標楷體" w:eastAsia="標楷體" w:hAnsi="標楷體" w:hint="eastAsia"/>
          <w:color w:val="000000"/>
          <w:sz w:val="28"/>
          <w:szCs w:val="28"/>
        </w:rPr>
        <w:t>謝謝蔡政務次長，今天時間也超過相當多，也非常感謝大家今天的參與，本委員會今日的考察至此結束，再次感謝各位的參與，謝謝大家。</w:t>
      </w:r>
    </w:p>
    <w:p w14:paraId="426A9F31" w14:textId="77777777" w:rsidR="00421BB5" w:rsidRPr="00C363F0" w:rsidRDefault="00421BB5" w:rsidP="00421BB5">
      <w:pPr>
        <w:topLinePunct/>
        <w:adjustRightInd w:val="0"/>
        <w:spacing w:line="500" w:lineRule="exac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肆、散會（下午12時40分）</w:t>
      </w:r>
    </w:p>
    <w:p w14:paraId="0F6A03B4" w14:textId="77777777" w:rsidR="00421BB5" w:rsidRPr="00C363F0" w:rsidRDefault="00421BB5" w:rsidP="00421BB5">
      <w:pPr>
        <w:topLinePunct/>
        <w:adjustRightInd w:val="0"/>
        <w:spacing w:line="500" w:lineRule="exact"/>
        <w:jc w:val="both"/>
        <w:rPr>
          <w:rFonts w:ascii="標楷體" w:eastAsia="標楷體" w:hAnsi="標楷體"/>
          <w:b/>
          <w:color w:val="000000"/>
          <w:sz w:val="28"/>
          <w:szCs w:val="28"/>
        </w:rPr>
      </w:pPr>
    </w:p>
    <w:p w14:paraId="711CCF41" w14:textId="77777777" w:rsidR="00421BB5" w:rsidRPr="00C363F0" w:rsidRDefault="00421BB5" w:rsidP="00421BB5">
      <w:pPr>
        <w:topLinePunct/>
        <w:adjustRightInd w:val="0"/>
        <w:spacing w:line="500" w:lineRule="exact"/>
        <w:jc w:val="both"/>
        <w:rPr>
          <w:rFonts w:ascii="標楷體" w:eastAsia="標楷體" w:hAnsi="標楷體"/>
          <w:b/>
          <w:color w:val="000000"/>
          <w:sz w:val="28"/>
          <w:szCs w:val="28"/>
        </w:rPr>
      </w:pPr>
    </w:p>
    <w:p w14:paraId="7947D9A9" w14:textId="77777777" w:rsidR="00421BB5" w:rsidRPr="00C363F0" w:rsidRDefault="00421BB5" w:rsidP="00421BB5">
      <w:pPr>
        <w:topLinePunct/>
        <w:adjustRightInd w:val="0"/>
        <w:spacing w:line="500" w:lineRule="exact"/>
        <w:jc w:val="both"/>
        <w:rPr>
          <w:rFonts w:ascii="標楷體" w:eastAsia="標楷體" w:hAnsi="標楷體"/>
          <w:b/>
          <w:color w:val="000000"/>
          <w:sz w:val="28"/>
          <w:szCs w:val="28"/>
        </w:rPr>
      </w:pPr>
    </w:p>
    <w:p w14:paraId="54761BB5" w14:textId="77777777" w:rsidR="00421BB5" w:rsidRPr="00C363F0" w:rsidRDefault="00421BB5" w:rsidP="00421BB5">
      <w:pPr>
        <w:topLinePunct/>
        <w:adjustRightInd w:val="0"/>
        <w:spacing w:line="500" w:lineRule="exact"/>
        <w:jc w:val="both"/>
        <w:rPr>
          <w:rFonts w:ascii="標楷體" w:eastAsia="標楷體" w:hAnsi="標楷體"/>
          <w:b/>
          <w:color w:val="000000"/>
          <w:sz w:val="28"/>
          <w:szCs w:val="28"/>
        </w:rPr>
      </w:pPr>
    </w:p>
    <w:p w14:paraId="5211DD92" w14:textId="77777777" w:rsidR="00421BB5" w:rsidRPr="00C363F0" w:rsidRDefault="00421BB5" w:rsidP="00421BB5">
      <w:pPr>
        <w:topLinePunct/>
        <w:adjustRightInd w:val="0"/>
        <w:spacing w:line="500" w:lineRule="exact"/>
        <w:ind w:left="1416" w:hangingChars="393" w:hanging="1416"/>
        <w:jc w:val="both"/>
        <w:rPr>
          <w:rFonts w:ascii="標楷體" w:eastAsia="標楷體" w:hAnsi="標楷體"/>
          <w:b/>
          <w:color w:val="000000"/>
          <w:sz w:val="36"/>
          <w:szCs w:val="36"/>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720"/>
      </w:tblGrid>
      <w:tr w:rsidR="00421BB5" w:rsidRPr="00C363F0" w14:paraId="254F159B" w14:textId="77777777" w:rsidTr="00AD4E82">
        <w:tc>
          <w:tcPr>
            <w:tcW w:w="8474" w:type="dxa"/>
            <w:shd w:val="clear" w:color="auto" w:fill="auto"/>
          </w:tcPr>
          <w:p w14:paraId="126E1CAF"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noProof/>
              </w:rPr>
              <w:lastRenderedPageBreak/>
              <w:pict w14:anchorId="6C26B6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6" o:spid="_x0000_s1026" type="#_x0000_t75" alt="20221027_101304" style="position:absolute;left:0;text-align:left;margin-left:0;margin-top:0;width:440.65pt;height:207.65pt;z-index:251661312;visibility:visible;mso-position-horizontal:center;mso-position-horizontal-relative:margin;mso-position-vertical:center;mso-position-vertical-relative:margin">
                  <v:imagedata r:id="rId17" o:title="20221027_101304"/>
                  <w10:wrap type="square" anchorx="margin" anchory="margin"/>
                </v:shape>
              </w:pict>
            </w:r>
            <w:r w:rsidR="00421BB5" w:rsidRPr="00C363F0">
              <w:rPr>
                <w:rFonts w:ascii="標楷體" w:eastAsia="標楷體" w:hAnsi="標楷體" w:hint="eastAsia"/>
                <w:b/>
                <w:color w:val="000000"/>
                <w:sz w:val="28"/>
                <w:szCs w:val="28"/>
              </w:rPr>
              <w:t>圖一、院史館環境簡介</w:t>
            </w:r>
          </w:p>
        </w:tc>
      </w:tr>
      <w:tr w:rsidR="00421BB5" w:rsidRPr="00C363F0" w14:paraId="064B7788" w14:textId="77777777" w:rsidTr="00AD4E82">
        <w:tc>
          <w:tcPr>
            <w:tcW w:w="8474" w:type="dxa"/>
            <w:shd w:val="clear" w:color="auto" w:fill="auto"/>
          </w:tcPr>
          <w:p w14:paraId="65FC9F57"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2948A58A">
                <v:shape id="圖片 15" o:spid="_x0000_i1025" type="#_x0000_t75" alt="20221027_101327" style="width:442.15pt;height:207.45pt;visibility:visible">
                  <v:imagedata r:id="rId18" o:title="20221027_101327"/>
                </v:shape>
              </w:pict>
            </w:r>
          </w:p>
          <w:p w14:paraId="2779CA1D"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圖二（上）圖三（下）、院史館硬體設計與使用說明</w:t>
            </w:r>
          </w:p>
        </w:tc>
      </w:tr>
      <w:tr w:rsidR="00421BB5" w:rsidRPr="00C363F0" w14:paraId="4F71AC58" w14:textId="77777777" w:rsidTr="00AD4E82">
        <w:tc>
          <w:tcPr>
            <w:tcW w:w="8474" w:type="dxa"/>
            <w:tcBorders>
              <w:bottom w:val="single" w:sz="12" w:space="0" w:color="auto"/>
            </w:tcBorders>
            <w:shd w:val="clear" w:color="auto" w:fill="auto"/>
          </w:tcPr>
          <w:p w14:paraId="18354A57"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630366D6">
                <v:shape id="圖片 14" o:spid="_x0000_i1026" type="#_x0000_t75" alt="20221027_101336" style="width:442.15pt;height:207.45pt;visibility:visible">
                  <v:imagedata r:id="rId19" o:title="20221027_101336"/>
                </v:shape>
              </w:pict>
            </w:r>
          </w:p>
        </w:tc>
      </w:tr>
      <w:tr w:rsidR="00421BB5" w:rsidRPr="00C363F0" w14:paraId="09C032E7" w14:textId="77777777" w:rsidTr="00AD4E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474" w:type="dxa"/>
            <w:tcBorders>
              <w:top w:val="single" w:sz="12" w:space="0" w:color="auto"/>
              <w:left w:val="single" w:sz="12" w:space="0" w:color="auto"/>
              <w:bottom w:val="single" w:sz="12" w:space="0" w:color="auto"/>
              <w:right w:val="single" w:sz="12" w:space="0" w:color="auto"/>
            </w:tcBorders>
            <w:shd w:val="clear" w:color="auto" w:fill="auto"/>
          </w:tcPr>
          <w:p w14:paraId="56ED8369"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lastRenderedPageBreak/>
              <w:pict w14:anchorId="148D196E">
                <v:shape id="圖片 13" o:spid="_x0000_i1027" type="#_x0000_t75" alt="20221027_102053" style="width:453.85pt;height:214.95pt;visibility:visible">
                  <v:imagedata r:id="rId20" o:title="20221027_102053"/>
                </v:shape>
              </w:pict>
            </w:r>
          </w:p>
          <w:p w14:paraId="70D72C02"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圖四、國民法官法庭環境介紹</w:t>
            </w:r>
          </w:p>
        </w:tc>
      </w:tr>
      <w:tr w:rsidR="00421BB5" w:rsidRPr="00C363F0" w14:paraId="28B4E687" w14:textId="77777777" w:rsidTr="00AD4E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474" w:type="dxa"/>
            <w:tcBorders>
              <w:top w:val="single" w:sz="12" w:space="0" w:color="auto"/>
              <w:left w:val="single" w:sz="12" w:space="0" w:color="auto"/>
              <w:bottom w:val="single" w:sz="12" w:space="0" w:color="auto"/>
              <w:right w:val="single" w:sz="12" w:space="0" w:color="auto"/>
            </w:tcBorders>
            <w:shd w:val="clear" w:color="auto" w:fill="auto"/>
          </w:tcPr>
          <w:p w14:paraId="2D6D8A3B"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041543D7">
                <v:shape id="圖片 12" o:spid="_x0000_i1028" type="#_x0000_t75" alt="20221027_102158" style="width:454.4pt;height:213.85pt;visibility:visible">
                  <v:imagedata r:id="rId21" o:title="20221027_102158"/>
                </v:shape>
              </w:pict>
            </w:r>
          </w:p>
          <w:p w14:paraId="5E5CC9C1"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圖五、法庭同步顯示系統操作與說明</w:t>
            </w:r>
          </w:p>
        </w:tc>
      </w:tr>
      <w:tr w:rsidR="00421BB5" w:rsidRPr="00C363F0" w14:paraId="55131CFC" w14:textId="77777777" w:rsidTr="00AD4E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474" w:type="dxa"/>
            <w:tcBorders>
              <w:top w:val="single" w:sz="12" w:space="0" w:color="auto"/>
              <w:left w:val="single" w:sz="12" w:space="0" w:color="auto"/>
              <w:bottom w:val="single" w:sz="12" w:space="0" w:color="auto"/>
              <w:right w:val="single" w:sz="12" w:space="0" w:color="auto"/>
            </w:tcBorders>
            <w:shd w:val="clear" w:color="auto" w:fill="auto"/>
          </w:tcPr>
          <w:p w14:paraId="3EFC94B9"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3ED84F65">
                <v:shape id="圖片 11" o:spid="_x0000_i1029" type="#_x0000_t75" alt="20221027_102742" style="width:456.55pt;height:214.95pt;visibility:visible">
                  <v:imagedata r:id="rId22" o:title="20221027_102742"/>
                </v:shape>
              </w:pict>
            </w:r>
          </w:p>
          <w:p w14:paraId="7AE24236"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圖六、實際考察國民法庭法官席次安排與規劃</w:t>
            </w:r>
          </w:p>
        </w:tc>
      </w:tr>
      <w:tr w:rsidR="00421BB5" w:rsidRPr="00C363F0" w14:paraId="6FEEB31F" w14:textId="77777777" w:rsidTr="00AD4E82">
        <w:tc>
          <w:tcPr>
            <w:tcW w:w="8474" w:type="dxa"/>
            <w:shd w:val="clear" w:color="auto" w:fill="auto"/>
          </w:tcPr>
          <w:p w14:paraId="4A9F3677"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lastRenderedPageBreak/>
              <w:pict w14:anchorId="0B6AA9B1">
                <v:shape id="圖片 10" o:spid="_x0000_i1030" type="#_x0000_t75" alt="20221027_103105" style="width:438.4pt;height:214.95pt;visibility:visible">
                  <v:imagedata r:id="rId23" o:title="20221027_103105"/>
                </v:shape>
              </w:pict>
            </w:r>
          </w:p>
          <w:p w14:paraId="58F952EA"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圖七、國民法官評議室介紹</w:t>
            </w:r>
          </w:p>
        </w:tc>
      </w:tr>
      <w:tr w:rsidR="00421BB5" w:rsidRPr="00C363F0" w14:paraId="7222F70B" w14:textId="77777777" w:rsidTr="00AD4E82">
        <w:tc>
          <w:tcPr>
            <w:tcW w:w="8474" w:type="dxa"/>
            <w:shd w:val="clear" w:color="auto" w:fill="auto"/>
          </w:tcPr>
          <w:p w14:paraId="335A9D7B"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15FC902B">
                <v:shape id="圖片 9" o:spid="_x0000_i1031" type="#_x0000_t75" alt="20221027_103119" style="width:438.4pt;height:214.95pt;visibility:visible">
                  <v:imagedata r:id="rId24" o:title="20221027_103119"/>
                </v:shape>
              </w:pict>
            </w:r>
          </w:p>
          <w:p w14:paraId="36583CD8"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圖八、評議室硬體設計、規劃說明</w:t>
            </w:r>
          </w:p>
        </w:tc>
      </w:tr>
      <w:tr w:rsidR="00421BB5" w:rsidRPr="00C363F0" w14:paraId="6596751F" w14:textId="77777777" w:rsidTr="00AD4E82">
        <w:tc>
          <w:tcPr>
            <w:tcW w:w="8474" w:type="dxa"/>
            <w:shd w:val="clear" w:color="auto" w:fill="auto"/>
          </w:tcPr>
          <w:p w14:paraId="426C5343"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15338330">
                <v:shape id="圖片 8" o:spid="_x0000_i1032" type="#_x0000_t75" alt="20221027_103812" style="width:439.45pt;height:213.85pt;visibility:visible">
                  <v:imagedata r:id="rId25" o:title="20221027_103812"/>
                </v:shape>
              </w:pict>
            </w:r>
          </w:p>
          <w:p w14:paraId="50C30B54"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圖九、新竹地院庭長與委員互動、討論</w:t>
            </w:r>
          </w:p>
        </w:tc>
      </w:tr>
      <w:tr w:rsidR="00421BB5" w:rsidRPr="00C363F0" w14:paraId="36339C68" w14:textId="77777777" w:rsidTr="00F441CC">
        <w:tc>
          <w:tcPr>
            <w:tcW w:w="8474" w:type="dxa"/>
            <w:shd w:val="clear" w:color="auto" w:fill="auto"/>
          </w:tcPr>
          <w:p w14:paraId="303B03E8"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lastRenderedPageBreak/>
              <w:pict w14:anchorId="743C7970">
                <v:shape id="圖片 7" o:spid="_x0000_i1033" type="#_x0000_t75" alt="20221027_104944" style="width:438.4pt;height:214.95pt;visibility:visible">
                  <v:imagedata r:id="rId26" o:title="20221027_104944"/>
                </v:shape>
              </w:pict>
            </w:r>
          </w:p>
          <w:p w14:paraId="63119FFD"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圖十、綜合座談會（林立法委員思銘致詞）</w:t>
            </w:r>
          </w:p>
        </w:tc>
      </w:tr>
      <w:tr w:rsidR="00421BB5" w:rsidRPr="00C363F0" w14:paraId="6FDB6819" w14:textId="77777777" w:rsidTr="00F441CC">
        <w:tc>
          <w:tcPr>
            <w:tcW w:w="8474" w:type="dxa"/>
            <w:shd w:val="clear" w:color="auto" w:fill="auto"/>
          </w:tcPr>
          <w:p w14:paraId="7504000B"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4F0BB5F2">
                <v:shape id="圖片 6" o:spid="_x0000_i1034" type="#_x0000_t75" alt="20221027_105542" style="width:439.45pt;height:213.85pt;visibility:visible">
                  <v:imagedata r:id="rId27" o:title="20221027_105542"/>
                </v:shape>
              </w:pict>
            </w:r>
          </w:p>
          <w:p w14:paraId="3582A407"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圖十一、綜合座談會（新竹地院梁院長玉芬業務報告）</w:t>
            </w:r>
          </w:p>
        </w:tc>
      </w:tr>
      <w:tr w:rsidR="00421BB5" w:rsidRPr="00C363F0" w14:paraId="4F227DC8" w14:textId="77777777" w:rsidTr="00F441CC">
        <w:tc>
          <w:tcPr>
            <w:tcW w:w="8474" w:type="dxa"/>
            <w:shd w:val="clear" w:color="auto" w:fill="auto"/>
          </w:tcPr>
          <w:p w14:paraId="4F3572D4"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0F4FF349">
                <v:shape id="圖片 5" o:spid="_x0000_i1035" type="#_x0000_t75" alt="20221027_112215" style="width:438.4pt;height:214.95pt;visibility:visible">
                  <v:imagedata r:id="rId28" o:title="20221027_112215"/>
                </v:shape>
              </w:pict>
            </w:r>
          </w:p>
          <w:p w14:paraId="508310A6" w14:textId="77777777"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圖十二、綜合座談會（新竹地檢署張檢察長介欽業務報告）</w:t>
            </w:r>
          </w:p>
        </w:tc>
      </w:tr>
      <w:tr w:rsidR="00421BB5" w:rsidRPr="00C363F0" w14:paraId="2A912A06" w14:textId="77777777" w:rsidTr="00F441CC">
        <w:tc>
          <w:tcPr>
            <w:tcW w:w="8474" w:type="dxa"/>
            <w:shd w:val="clear" w:color="auto" w:fill="auto"/>
          </w:tcPr>
          <w:p w14:paraId="2F2914F7"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lastRenderedPageBreak/>
              <w:pict w14:anchorId="0935005A">
                <v:shape id="圖片 4" o:spid="_x0000_i1036" type="#_x0000_t75" alt="20221027_115518" style="width:439.45pt;height:213.85pt;visibility:visible">
                  <v:imagedata r:id="rId29" o:title="20221027_115518"/>
                </v:shape>
              </w:pict>
            </w:r>
          </w:p>
          <w:p w14:paraId="561624DE" w14:textId="2ACC469D" w:rsidR="00421BB5" w:rsidRPr="00C363F0" w:rsidRDefault="00421BB5" w:rsidP="00421BB5">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圖十</w:t>
            </w:r>
            <w:r w:rsidR="00AD4E82">
              <w:rPr>
                <w:rFonts w:ascii="標楷體" w:eastAsia="標楷體" w:hAnsi="標楷體" w:hint="eastAsia"/>
                <w:b/>
                <w:color w:val="000000"/>
                <w:sz w:val="28"/>
                <w:szCs w:val="28"/>
              </w:rPr>
              <w:t>三</w:t>
            </w:r>
            <w:r w:rsidRPr="00C363F0">
              <w:rPr>
                <w:rFonts w:ascii="標楷體" w:eastAsia="標楷體" w:hAnsi="標楷體" w:hint="eastAsia"/>
                <w:b/>
                <w:color w:val="000000"/>
                <w:sz w:val="28"/>
                <w:szCs w:val="28"/>
              </w:rPr>
              <w:t>、綜合座談會（陳立法委員玉珍與業務單位與談）</w:t>
            </w:r>
          </w:p>
        </w:tc>
      </w:tr>
      <w:tr w:rsidR="00421BB5" w:rsidRPr="00C363F0" w14:paraId="1ECC7922" w14:textId="77777777" w:rsidTr="00F441CC">
        <w:tc>
          <w:tcPr>
            <w:tcW w:w="8474" w:type="dxa"/>
            <w:shd w:val="clear" w:color="auto" w:fill="auto"/>
          </w:tcPr>
          <w:p w14:paraId="1E05E5B3"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515B4573">
                <v:shape id="圖片 3" o:spid="_x0000_i1037" type="#_x0000_t75" alt="20221027_115855" style="width:439.45pt;height:213.85pt;visibility:visible">
                  <v:imagedata r:id="rId30" o:title="20221027_115855"/>
                </v:shape>
              </w:pict>
            </w:r>
          </w:p>
          <w:p w14:paraId="6349BC5F" w14:textId="6EBB8F6B" w:rsidR="00421BB5" w:rsidRPr="00C363F0" w:rsidRDefault="00AD4E82"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hint="eastAsia"/>
                <w:b/>
                <w:color w:val="000000"/>
                <w:sz w:val="28"/>
                <w:szCs w:val="28"/>
              </w:rPr>
              <w:t>圖十四</w:t>
            </w:r>
            <w:r w:rsidR="00421BB5" w:rsidRPr="00C363F0">
              <w:rPr>
                <w:rFonts w:ascii="標楷體" w:eastAsia="標楷體" w:hAnsi="標楷體" w:hint="eastAsia"/>
                <w:b/>
                <w:color w:val="000000"/>
                <w:sz w:val="28"/>
                <w:szCs w:val="28"/>
              </w:rPr>
              <w:t>、綜合座談會（游立法委員毓蘭與業務單位與談）</w:t>
            </w:r>
          </w:p>
        </w:tc>
      </w:tr>
      <w:tr w:rsidR="00421BB5" w:rsidRPr="00C363F0" w14:paraId="4FCEB500" w14:textId="77777777" w:rsidTr="00F441CC">
        <w:tc>
          <w:tcPr>
            <w:tcW w:w="8474" w:type="dxa"/>
            <w:shd w:val="clear" w:color="auto" w:fill="auto"/>
          </w:tcPr>
          <w:p w14:paraId="254FC10E"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pict w14:anchorId="358434EE">
                <v:shape id="圖片 2" o:spid="_x0000_i1038" type="#_x0000_t75" alt="20221027_122514" style="width:439.45pt;height:213.85pt;visibility:visible">
                  <v:imagedata r:id="rId31" o:title="20221027_122514"/>
                </v:shape>
              </w:pict>
            </w:r>
          </w:p>
          <w:p w14:paraId="7FADF64C" w14:textId="7ABD935C" w:rsidR="00421BB5" w:rsidRPr="00C363F0" w:rsidRDefault="00421BB5" w:rsidP="00AD4E82">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圖十</w:t>
            </w:r>
            <w:r w:rsidR="00AD4E82">
              <w:rPr>
                <w:rFonts w:ascii="標楷體" w:eastAsia="標楷體" w:hAnsi="標楷體" w:hint="eastAsia"/>
                <w:b/>
                <w:color w:val="000000"/>
                <w:sz w:val="28"/>
                <w:szCs w:val="28"/>
              </w:rPr>
              <w:t>五</w:t>
            </w:r>
            <w:r w:rsidRPr="00C363F0">
              <w:rPr>
                <w:rFonts w:ascii="標楷體" w:eastAsia="標楷體" w:hAnsi="標楷體" w:hint="eastAsia"/>
                <w:b/>
                <w:color w:val="000000"/>
                <w:sz w:val="28"/>
                <w:szCs w:val="28"/>
              </w:rPr>
              <w:t>、綜合座談會（法務部蔡政務次長碧仲與委員互動）</w:t>
            </w:r>
          </w:p>
        </w:tc>
      </w:tr>
      <w:tr w:rsidR="00421BB5" w:rsidRPr="00C363F0" w14:paraId="2CAB5D6A" w14:textId="77777777" w:rsidTr="00AD4E82">
        <w:tc>
          <w:tcPr>
            <w:tcW w:w="8474" w:type="dxa"/>
            <w:shd w:val="clear" w:color="auto" w:fill="auto"/>
          </w:tcPr>
          <w:p w14:paraId="25688DE3" w14:textId="77777777" w:rsidR="00421BB5" w:rsidRPr="00C363F0" w:rsidRDefault="0075245C" w:rsidP="00421BB5">
            <w:pPr>
              <w:topLinePunct/>
              <w:adjustRightInd w:val="0"/>
              <w:spacing w:line="0" w:lineRule="atLeast"/>
              <w:jc w:val="both"/>
              <w:rPr>
                <w:rFonts w:ascii="標楷體" w:eastAsia="標楷體" w:hAnsi="標楷體"/>
                <w:b/>
                <w:color w:val="000000"/>
                <w:sz w:val="28"/>
                <w:szCs w:val="28"/>
              </w:rPr>
            </w:pPr>
            <w:r>
              <w:rPr>
                <w:rFonts w:ascii="標楷體" w:eastAsia="標楷體" w:hAnsi="標楷體"/>
                <w:b/>
                <w:noProof/>
                <w:color w:val="000000"/>
                <w:sz w:val="28"/>
                <w:szCs w:val="28"/>
              </w:rPr>
              <w:lastRenderedPageBreak/>
              <w:pict w14:anchorId="2BEF545F">
                <v:shape id="圖片 1" o:spid="_x0000_i1039" type="#_x0000_t75" alt="20221027_121914" style="width:439.45pt;height:213.85pt;visibility:visible">
                  <v:imagedata r:id="rId32" o:title="20221027_121914"/>
                </v:shape>
              </w:pict>
            </w:r>
          </w:p>
          <w:p w14:paraId="3717F1FE" w14:textId="029FE9C0" w:rsidR="00421BB5" w:rsidRPr="00C363F0" w:rsidRDefault="00421BB5" w:rsidP="00AD4E82">
            <w:pPr>
              <w:topLinePunct/>
              <w:adjustRightInd w:val="0"/>
              <w:spacing w:line="0" w:lineRule="atLeast"/>
              <w:jc w:val="both"/>
              <w:rPr>
                <w:rFonts w:ascii="標楷體" w:eastAsia="標楷體" w:hAnsi="標楷體"/>
                <w:b/>
                <w:color w:val="000000"/>
                <w:sz w:val="28"/>
                <w:szCs w:val="28"/>
              </w:rPr>
            </w:pPr>
            <w:r w:rsidRPr="00C363F0">
              <w:rPr>
                <w:rFonts w:ascii="標楷體" w:eastAsia="標楷體" w:hAnsi="標楷體" w:hint="eastAsia"/>
                <w:b/>
                <w:color w:val="000000"/>
                <w:sz w:val="28"/>
                <w:szCs w:val="28"/>
              </w:rPr>
              <w:t>圖十</w:t>
            </w:r>
            <w:r w:rsidR="00AD4E82">
              <w:rPr>
                <w:rFonts w:ascii="標楷體" w:eastAsia="標楷體" w:hAnsi="標楷體" w:hint="eastAsia"/>
                <w:b/>
                <w:color w:val="000000"/>
                <w:sz w:val="28"/>
                <w:szCs w:val="28"/>
              </w:rPr>
              <w:t>六</w:t>
            </w:r>
            <w:r w:rsidRPr="00C363F0">
              <w:rPr>
                <w:rFonts w:ascii="標楷體" w:eastAsia="標楷體" w:hAnsi="標楷體" w:hint="eastAsia"/>
                <w:b/>
                <w:color w:val="000000"/>
                <w:sz w:val="28"/>
                <w:szCs w:val="28"/>
              </w:rPr>
              <w:t>、綜合座談會（司法院黃副秘書長麟倫與委員互動）</w:t>
            </w:r>
          </w:p>
        </w:tc>
      </w:tr>
    </w:tbl>
    <w:p w14:paraId="5DDCA8CE" w14:textId="77777777" w:rsidR="00421BB5" w:rsidRPr="00A94A92" w:rsidRDefault="00421BB5" w:rsidP="004A4BB5">
      <w:pPr>
        <w:topLinePunct/>
        <w:spacing w:afterLines="50" w:after="180" w:line="500" w:lineRule="exact"/>
        <w:outlineLvl w:val="2"/>
        <w:rPr>
          <w:rFonts w:ascii="標楷體" w:eastAsia="標楷體" w:hAnsi="標楷體"/>
          <w:b/>
          <w:spacing w:val="-20"/>
          <w:sz w:val="36"/>
          <w:szCs w:val="36"/>
        </w:rPr>
      </w:pPr>
      <w:bookmarkStart w:id="538" w:name="北監、八德外役監"/>
      <w:r w:rsidRPr="00A94A92">
        <w:rPr>
          <w:rFonts w:ascii="標楷體" w:eastAsia="標楷體" w:hAnsi="標楷體" w:hint="eastAsia"/>
          <w:b/>
          <w:spacing w:val="-20"/>
          <w:sz w:val="36"/>
          <w:szCs w:val="36"/>
        </w:rPr>
        <w:t>立法院司法及法制委員會考察法務部矯正署臺北監獄及八德外役監獄比較監獄行刑與中間性處遇之差異書面紀錄</w:t>
      </w:r>
      <w:bookmarkEnd w:id="538"/>
    </w:p>
    <w:p w14:paraId="7544E1F1" w14:textId="77777777" w:rsidR="00421BB5" w:rsidRPr="00C363F0" w:rsidRDefault="00421BB5" w:rsidP="00421BB5">
      <w:pPr>
        <w:tabs>
          <w:tab w:val="left" w:pos="3252"/>
        </w:tabs>
        <w:topLinePunct/>
        <w:spacing w:line="400" w:lineRule="exact"/>
        <w:jc w:val="both"/>
        <w:rPr>
          <w:rFonts w:ascii="標楷體" w:eastAsia="標楷體" w:hAnsi="標楷體" w:cs="標楷體"/>
          <w:color w:val="000000"/>
          <w:sz w:val="32"/>
          <w:szCs w:val="32"/>
          <w:lang w:val="zh-TW"/>
        </w:rPr>
      </w:pPr>
      <w:r w:rsidRPr="00C363F0">
        <w:rPr>
          <w:rFonts w:ascii="標楷體" w:eastAsia="標楷體" w:hAnsi="標楷體" w:cs="標楷體" w:hint="eastAsia"/>
          <w:color w:val="000000"/>
          <w:sz w:val="32"/>
          <w:szCs w:val="32"/>
          <w:lang w:val="zh-TW"/>
        </w:rPr>
        <w:t>時間：</w:t>
      </w:r>
      <w:r w:rsidRPr="00C363F0">
        <w:rPr>
          <w:rFonts w:ascii="標楷體" w:eastAsia="標楷體" w:hAnsi="標楷體" w:hint="eastAsia"/>
          <w:iCs/>
          <w:color w:val="000000"/>
          <w:sz w:val="32"/>
          <w:szCs w:val="32"/>
          <w:lang w:val="zh-TW" w:eastAsia="x-none"/>
        </w:rPr>
        <w:t>111</w:t>
      </w:r>
      <w:r w:rsidRPr="00C363F0">
        <w:rPr>
          <w:rFonts w:ascii="標楷體" w:eastAsia="標楷體" w:hAnsi="標楷體" w:cs="標楷體" w:hint="eastAsia"/>
          <w:color w:val="000000"/>
          <w:sz w:val="32"/>
          <w:szCs w:val="32"/>
          <w:lang w:val="zh-TW"/>
        </w:rPr>
        <w:t>年10月31日（星期四）9時50分</w:t>
      </w:r>
    </w:p>
    <w:p w14:paraId="6E9CC519" w14:textId="77777777" w:rsidR="00421BB5" w:rsidRPr="00C363F0" w:rsidRDefault="00421BB5" w:rsidP="00421BB5">
      <w:pPr>
        <w:topLinePunct/>
        <w:spacing w:line="560" w:lineRule="exact"/>
        <w:jc w:val="both"/>
        <w:rPr>
          <w:rFonts w:ascii="標楷體" w:eastAsia="標楷體" w:hAnsi="標楷體" w:cs="標楷體"/>
          <w:color w:val="000000"/>
          <w:sz w:val="32"/>
          <w:szCs w:val="32"/>
          <w:lang w:val="zh-TW"/>
        </w:rPr>
      </w:pPr>
      <w:r w:rsidRPr="00C363F0">
        <w:rPr>
          <w:rFonts w:ascii="標楷體" w:eastAsia="標楷體" w:hAnsi="標楷體" w:cs="標楷體" w:hint="eastAsia"/>
          <w:color w:val="000000"/>
          <w:sz w:val="32"/>
          <w:szCs w:val="32"/>
          <w:lang w:val="zh-TW"/>
        </w:rPr>
        <w:t>地點：臺北監獄行政大樓2樓會議室</w:t>
      </w:r>
    </w:p>
    <w:p w14:paraId="0F423550" w14:textId="77777777" w:rsidR="00421BB5" w:rsidRPr="00C363F0" w:rsidRDefault="00421BB5" w:rsidP="00421BB5">
      <w:pPr>
        <w:topLinePunct/>
        <w:spacing w:line="560" w:lineRule="exact"/>
        <w:jc w:val="both"/>
        <w:rPr>
          <w:rFonts w:ascii="標楷體" w:eastAsia="標楷體" w:hAnsi="標楷體" w:cs="標楷體"/>
          <w:color w:val="000000"/>
          <w:sz w:val="32"/>
          <w:szCs w:val="32"/>
          <w:lang w:val="zh-TW"/>
        </w:rPr>
      </w:pPr>
      <w:r w:rsidRPr="00C363F0">
        <w:rPr>
          <w:rFonts w:ascii="標楷體" w:eastAsia="標楷體" w:hAnsi="標楷體" w:cs="標楷體" w:hint="eastAsia"/>
          <w:color w:val="000000"/>
          <w:sz w:val="32"/>
          <w:szCs w:val="32"/>
          <w:lang w:val="zh-TW"/>
        </w:rPr>
        <w:t>主席：陳召集委員歐珀                  紀錄：郭俊丁</w:t>
      </w:r>
      <w:r w:rsidRPr="00C363F0">
        <w:rPr>
          <w:rFonts w:ascii="標楷體" w:eastAsia="標楷體" w:hAnsi="標楷體" w:cs="標楷體"/>
          <w:color w:val="000000"/>
          <w:sz w:val="32"/>
          <w:szCs w:val="32"/>
          <w:lang w:val="zh-TW"/>
        </w:rPr>
        <w:t xml:space="preserve"> </w:t>
      </w:r>
    </w:p>
    <w:p w14:paraId="7A0400D2" w14:textId="77777777" w:rsidR="00421BB5" w:rsidRPr="00C363F0" w:rsidRDefault="00421BB5" w:rsidP="00421BB5">
      <w:pPr>
        <w:topLinePunct/>
        <w:spacing w:line="370" w:lineRule="exact"/>
        <w:jc w:val="both"/>
        <w:rPr>
          <w:rFonts w:eastAsia="標楷體"/>
          <w:color w:val="000000"/>
          <w:sz w:val="32"/>
          <w:szCs w:val="32"/>
        </w:rPr>
      </w:pPr>
      <w:r w:rsidRPr="00C363F0">
        <w:rPr>
          <w:rFonts w:ascii="標楷體" w:eastAsia="標楷體" w:hAnsi="標楷體" w:cs="標楷體" w:hint="eastAsia"/>
          <w:color w:val="000000"/>
          <w:sz w:val="32"/>
          <w:szCs w:val="32"/>
          <w:lang w:val="zh-TW"/>
        </w:rPr>
        <w:t>出席人員：</w:t>
      </w:r>
      <w:r w:rsidRPr="00C363F0">
        <w:rPr>
          <w:rFonts w:eastAsia="標楷體" w:hint="eastAsia"/>
          <w:color w:val="000000"/>
          <w:sz w:val="32"/>
          <w:szCs w:val="32"/>
        </w:rPr>
        <w:t>立法院司法及法制委員會</w:t>
      </w:r>
      <w:r w:rsidRPr="00C363F0">
        <w:rPr>
          <w:rFonts w:eastAsia="標楷體" w:hint="eastAsia"/>
          <w:color w:val="000000"/>
          <w:sz w:val="32"/>
          <w:szCs w:val="32"/>
        </w:rPr>
        <w:t xml:space="preserve"> </w:t>
      </w:r>
      <w:r w:rsidRPr="00C363F0">
        <w:rPr>
          <w:rFonts w:eastAsia="標楷體" w:hint="eastAsia"/>
          <w:color w:val="000000"/>
          <w:sz w:val="32"/>
          <w:szCs w:val="32"/>
        </w:rPr>
        <w:t>薛簡任編審復寧</w:t>
      </w:r>
    </w:p>
    <w:p w14:paraId="06A0726D"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立法院司法及法制委員會</w:t>
      </w:r>
      <w:r w:rsidRPr="00C363F0">
        <w:rPr>
          <w:rFonts w:eastAsia="標楷體" w:hint="eastAsia"/>
          <w:color w:val="000000"/>
          <w:sz w:val="32"/>
          <w:szCs w:val="32"/>
        </w:rPr>
        <w:t xml:space="preserve"> </w:t>
      </w:r>
      <w:r w:rsidRPr="00C363F0">
        <w:rPr>
          <w:rFonts w:eastAsia="標楷體" w:hint="eastAsia"/>
          <w:color w:val="000000"/>
          <w:sz w:val="32"/>
          <w:szCs w:val="32"/>
        </w:rPr>
        <w:t>謝科員宜庭</w:t>
      </w:r>
    </w:p>
    <w:p w14:paraId="54527612"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立法院陳歐珀委員</w:t>
      </w:r>
      <w:r w:rsidRPr="00C363F0">
        <w:rPr>
          <w:rFonts w:eastAsia="標楷體" w:hint="eastAsia"/>
          <w:color w:val="000000"/>
          <w:sz w:val="32"/>
          <w:szCs w:val="32"/>
        </w:rPr>
        <w:t xml:space="preserve">       </w:t>
      </w:r>
      <w:r w:rsidRPr="00C363F0">
        <w:rPr>
          <w:rFonts w:eastAsia="標楷體" w:hint="eastAsia"/>
          <w:color w:val="000000"/>
          <w:sz w:val="32"/>
          <w:szCs w:val="32"/>
        </w:rPr>
        <w:t>周研究室顧問德旺</w:t>
      </w:r>
    </w:p>
    <w:p w14:paraId="7A886C66"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立法院陳歐珀委員</w:t>
      </w:r>
      <w:r w:rsidRPr="00C363F0">
        <w:rPr>
          <w:rFonts w:eastAsia="標楷體" w:hint="eastAsia"/>
          <w:color w:val="000000"/>
          <w:sz w:val="32"/>
          <w:szCs w:val="32"/>
        </w:rPr>
        <w:t xml:space="preserve">       </w:t>
      </w:r>
      <w:r w:rsidRPr="00C363F0">
        <w:rPr>
          <w:rFonts w:eastAsia="標楷體" w:hint="eastAsia"/>
          <w:color w:val="000000"/>
          <w:sz w:val="32"/>
          <w:szCs w:val="32"/>
        </w:rPr>
        <w:t>李研究室副主任鈞冠</w:t>
      </w:r>
    </w:p>
    <w:p w14:paraId="5EB3796B"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立法院魯明哲委員</w:t>
      </w:r>
      <w:r w:rsidRPr="00C363F0">
        <w:rPr>
          <w:rFonts w:eastAsia="標楷體" w:hint="eastAsia"/>
          <w:color w:val="000000"/>
          <w:sz w:val="32"/>
          <w:szCs w:val="32"/>
        </w:rPr>
        <w:t xml:space="preserve">       </w:t>
      </w:r>
      <w:r w:rsidRPr="00C363F0">
        <w:rPr>
          <w:rFonts w:eastAsia="標楷體" w:hint="eastAsia"/>
          <w:color w:val="000000"/>
          <w:sz w:val="32"/>
          <w:szCs w:val="32"/>
        </w:rPr>
        <w:t>鄭研究室主任滄杰</w:t>
      </w:r>
    </w:p>
    <w:p w14:paraId="2645DB29"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立法院魯明哲委員</w:t>
      </w:r>
      <w:r w:rsidRPr="00C363F0">
        <w:rPr>
          <w:rFonts w:eastAsia="標楷體" w:hint="eastAsia"/>
          <w:color w:val="000000"/>
          <w:sz w:val="32"/>
          <w:szCs w:val="32"/>
        </w:rPr>
        <w:t xml:space="preserve">       </w:t>
      </w:r>
      <w:r w:rsidRPr="00C363F0">
        <w:rPr>
          <w:rFonts w:eastAsia="標楷體" w:hint="eastAsia"/>
          <w:color w:val="000000"/>
          <w:sz w:val="32"/>
          <w:szCs w:val="32"/>
        </w:rPr>
        <w:t>魯研究室副主任志麟</w:t>
      </w:r>
    </w:p>
    <w:p w14:paraId="60F56CD7"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立法院黃世杰委員</w:t>
      </w:r>
      <w:r w:rsidRPr="00C363F0">
        <w:rPr>
          <w:rFonts w:eastAsia="標楷體" w:hint="eastAsia"/>
          <w:color w:val="000000"/>
          <w:sz w:val="32"/>
          <w:szCs w:val="32"/>
        </w:rPr>
        <w:t xml:space="preserve"> </w:t>
      </w:r>
      <w:r w:rsidRPr="00C363F0">
        <w:rPr>
          <w:rFonts w:eastAsia="標楷體"/>
          <w:color w:val="000000"/>
          <w:sz w:val="32"/>
          <w:szCs w:val="32"/>
        </w:rPr>
        <w:t xml:space="preserve">      </w:t>
      </w:r>
      <w:r w:rsidRPr="00C363F0">
        <w:rPr>
          <w:rFonts w:eastAsia="標楷體" w:hint="eastAsia"/>
          <w:color w:val="000000"/>
          <w:sz w:val="32"/>
          <w:szCs w:val="32"/>
        </w:rPr>
        <w:t>劉研究室助理士賢</w:t>
      </w:r>
    </w:p>
    <w:p w14:paraId="425D4FBE"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立法院黃世杰委員</w:t>
      </w:r>
      <w:r w:rsidRPr="00C363F0">
        <w:rPr>
          <w:rFonts w:eastAsia="標楷體" w:hint="eastAsia"/>
          <w:color w:val="000000"/>
          <w:sz w:val="32"/>
          <w:szCs w:val="32"/>
        </w:rPr>
        <w:t xml:space="preserve">       </w:t>
      </w:r>
      <w:r w:rsidRPr="00C363F0">
        <w:rPr>
          <w:rFonts w:eastAsia="標楷體" w:hint="eastAsia"/>
          <w:color w:val="000000"/>
          <w:sz w:val="32"/>
          <w:szCs w:val="32"/>
        </w:rPr>
        <w:t>盧研究室助理建豪</w:t>
      </w:r>
    </w:p>
    <w:p w14:paraId="10C90B7C" w14:textId="77777777" w:rsidR="00421BB5" w:rsidRPr="00C363F0" w:rsidRDefault="00421BB5" w:rsidP="00421BB5">
      <w:pPr>
        <w:topLinePunct/>
        <w:spacing w:line="370" w:lineRule="exact"/>
        <w:jc w:val="both"/>
        <w:rPr>
          <w:rFonts w:eastAsia="標楷體"/>
          <w:color w:val="000000"/>
          <w:sz w:val="32"/>
          <w:szCs w:val="32"/>
        </w:rPr>
      </w:pPr>
      <w:r w:rsidRPr="00C363F0">
        <w:rPr>
          <w:rFonts w:eastAsia="標楷體" w:hint="eastAsia"/>
          <w:color w:val="000000"/>
          <w:sz w:val="32"/>
          <w:szCs w:val="32"/>
        </w:rPr>
        <w:t xml:space="preserve">          </w:t>
      </w:r>
      <w:r w:rsidRPr="00C363F0">
        <w:rPr>
          <w:rFonts w:eastAsia="標楷體" w:hint="eastAsia"/>
          <w:color w:val="000000"/>
          <w:sz w:val="32"/>
          <w:szCs w:val="32"/>
        </w:rPr>
        <w:t>立法院江永昌委員</w:t>
      </w:r>
      <w:r w:rsidRPr="00C363F0">
        <w:rPr>
          <w:rFonts w:eastAsia="標楷體" w:hint="eastAsia"/>
          <w:color w:val="000000"/>
          <w:sz w:val="32"/>
          <w:szCs w:val="32"/>
        </w:rPr>
        <w:t xml:space="preserve">       </w:t>
      </w:r>
      <w:r w:rsidRPr="00C363F0">
        <w:rPr>
          <w:rFonts w:eastAsia="標楷體" w:hint="eastAsia"/>
          <w:color w:val="000000"/>
          <w:sz w:val="32"/>
          <w:szCs w:val="32"/>
        </w:rPr>
        <w:t>蔡研究室助理興水</w:t>
      </w:r>
    </w:p>
    <w:p w14:paraId="0BCA5743" w14:textId="77777777" w:rsidR="00421BB5" w:rsidRPr="00C363F0" w:rsidRDefault="00421BB5" w:rsidP="00421BB5">
      <w:pPr>
        <w:topLinePunct/>
        <w:spacing w:line="370" w:lineRule="exact"/>
        <w:ind w:firstLineChars="500" w:firstLine="1600"/>
        <w:jc w:val="both"/>
        <w:rPr>
          <w:rFonts w:eastAsia="標楷體"/>
          <w:color w:val="000000"/>
          <w:sz w:val="32"/>
          <w:szCs w:val="32"/>
        </w:rPr>
      </w:pPr>
      <w:r w:rsidRPr="00C363F0">
        <w:rPr>
          <w:rFonts w:eastAsia="標楷體" w:hint="eastAsia"/>
          <w:color w:val="000000"/>
          <w:sz w:val="32"/>
          <w:szCs w:val="32"/>
        </w:rPr>
        <w:t>立法院時代力量黨團</w:t>
      </w:r>
      <w:r w:rsidRPr="00C363F0">
        <w:rPr>
          <w:rFonts w:eastAsia="標楷體" w:hint="eastAsia"/>
          <w:color w:val="000000"/>
          <w:sz w:val="32"/>
          <w:szCs w:val="32"/>
        </w:rPr>
        <w:t xml:space="preserve">     </w:t>
      </w:r>
      <w:r w:rsidRPr="00C363F0">
        <w:rPr>
          <w:rFonts w:eastAsia="標楷體" w:hint="eastAsia"/>
          <w:color w:val="000000"/>
          <w:sz w:val="32"/>
          <w:szCs w:val="32"/>
        </w:rPr>
        <w:t>巫黨團助理馥彤</w:t>
      </w:r>
    </w:p>
    <w:p w14:paraId="6C825631"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eastAsia="標楷體" w:hint="eastAsia"/>
          <w:color w:val="000000"/>
          <w:sz w:val="32"/>
          <w:szCs w:val="32"/>
        </w:rPr>
        <w:t xml:space="preserve">        </w:t>
      </w:r>
      <w:r w:rsidRPr="00C363F0">
        <w:rPr>
          <w:rFonts w:ascii="標楷體" w:eastAsia="標楷體" w:hAnsi="標楷體" w:hint="eastAsia"/>
          <w:color w:val="000000"/>
          <w:sz w:val="32"/>
          <w:szCs w:val="32"/>
        </w:rPr>
        <w:t xml:space="preserve">  法務部                 陳政務次長明堂</w:t>
      </w:r>
    </w:p>
    <w:p w14:paraId="5F31801F"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法務部國會聯絡組       楊科長道昀</w:t>
      </w:r>
    </w:p>
    <w:p w14:paraId="090D1BE0"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法務部國會聯絡組       </w:t>
      </w:r>
      <w:r w:rsidRPr="00C363F0">
        <w:rPr>
          <w:rFonts w:ascii="標楷體" w:eastAsia="標楷體" w:hAnsi="標楷體" w:cs="標楷體" w:hint="eastAsia"/>
          <w:color w:val="000000"/>
          <w:sz w:val="32"/>
          <w:szCs w:val="32"/>
          <w:lang w:val="zh-TW"/>
        </w:rPr>
        <w:t>黃調查專員奕維</w:t>
      </w:r>
    </w:p>
    <w:p w14:paraId="56F32874"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法務部矯正署           黃署長俊棠</w:t>
      </w:r>
    </w:p>
    <w:p w14:paraId="4963E04D"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法務部矯正署           詹組長益鵬</w:t>
      </w:r>
    </w:p>
    <w:p w14:paraId="17A0D4F9"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法務部矯正署           溫簡任視察瑞祥</w:t>
      </w:r>
    </w:p>
    <w:p w14:paraId="1017169F"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法務部矯正署 </w:t>
      </w:r>
      <w:r w:rsidRPr="00C363F0">
        <w:rPr>
          <w:rFonts w:ascii="標楷體" w:eastAsia="標楷體" w:hAnsi="標楷體"/>
          <w:color w:val="000000"/>
          <w:sz w:val="32"/>
          <w:szCs w:val="32"/>
        </w:rPr>
        <w:t xml:space="preserve">          </w:t>
      </w:r>
      <w:r w:rsidRPr="00C363F0">
        <w:rPr>
          <w:rFonts w:ascii="標楷體" w:eastAsia="標楷體" w:hAnsi="標楷體" w:hint="eastAsia"/>
          <w:color w:val="000000"/>
          <w:sz w:val="32"/>
          <w:szCs w:val="32"/>
        </w:rPr>
        <w:t>杜科長讚勳</w:t>
      </w:r>
    </w:p>
    <w:p w14:paraId="60CB9426"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法務部矯正署 </w:t>
      </w:r>
      <w:r w:rsidRPr="00C363F0">
        <w:rPr>
          <w:rFonts w:ascii="標楷體" w:eastAsia="標楷體" w:hAnsi="標楷體"/>
          <w:color w:val="000000"/>
          <w:sz w:val="32"/>
          <w:szCs w:val="32"/>
        </w:rPr>
        <w:t xml:space="preserve">          </w:t>
      </w:r>
      <w:r w:rsidRPr="00C363F0">
        <w:rPr>
          <w:rFonts w:ascii="標楷體" w:eastAsia="標楷體" w:hAnsi="標楷體" w:hint="eastAsia"/>
          <w:color w:val="000000"/>
          <w:sz w:val="32"/>
          <w:szCs w:val="32"/>
        </w:rPr>
        <w:t>林科長震偉</w:t>
      </w:r>
    </w:p>
    <w:p w14:paraId="7CFF4D18"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法務部矯正署           李專員侑穎</w:t>
      </w:r>
    </w:p>
    <w:p w14:paraId="693D8302"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lastRenderedPageBreak/>
        <w:t xml:space="preserve">法務部矯正署 </w:t>
      </w:r>
      <w:r w:rsidRPr="00C363F0">
        <w:rPr>
          <w:rFonts w:ascii="標楷體" w:eastAsia="標楷體" w:hAnsi="標楷體"/>
          <w:color w:val="000000"/>
          <w:sz w:val="32"/>
          <w:szCs w:val="32"/>
        </w:rPr>
        <w:t xml:space="preserve">          </w:t>
      </w:r>
      <w:r w:rsidRPr="00C363F0">
        <w:rPr>
          <w:rFonts w:ascii="標楷體" w:eastAsia="標楷體" w:hAnsi="標楷體" w:hint="eastAsia"/>
          <w:color w:val="000000"/>
          <w:sz w:val="32"/>
          <w:szCs w:val="32"/>
        </w:rPr>
        <w:t>郭專員俊丁</w:t>
      </w:r>
    </w:p>
    <w:p w14:paraId="77D7D624"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臺北監獄     </w:t>
      </w:r>
      <w:r w:rsidRPr="00C363F0">
        <w:rPr>
          <w:rFonts w:ascii="標楷體" w:eastAsia="標楷體" w:hAnsi="標楷體"/>
          <w:color w:val="000000"/>
          <w:sz w:val="32"/>
          <w:szCs w:val="32"/>
        </w:rPr>
        <w:t xml:space="preserve">          </w:t>
      </w:r>
      <w:r w:rsidRPr="00C363F0">
        <w:rPr>
          <w:rFonts w:ascii="標楷體" w:eastAsia="標楷體" w:hAnsi="標楷體" w:hint="eastAsia"/>
          <w:color w:val="000000"/>
          <w:sz w:val="32"/>
          <w:szCs w:val="32"/>
        </w:rPr>
        <w:t>吳典獄長澤生</w:t>
      </w:r>
    </w:p>
    <w:p w14:paraId="2E3F0AEE"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臺北監獄               李副典獄長金德</w:t>
      </w:r>
    </w:p>
    <w:p w14:paraId="43931D02"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臺北監獄               楊秘書垂雄</w:t>
      </w:r>
    </w:p>
    <w:p w14:paraId="7DCCB9AD"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臺北監獄               陳監長素卿</w:t>
      </w:r>
    </w:p>
    <w:p w14:paraId="31FC2DE4"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臺北監獄               謝戒護科長坤展</w:t>
      </w:r>
    </w:p>
    <w:p w14:paraId="32794A09"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臺北監獄               鄭教化科長安凱</w:t>
      </w:r>
    </w:p>
    <w:p w14:paraId="721A1CAC"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臺北監獄 </w:t>
      </w:r>
      <w:r w:rsidRPr="00C363F0">
        <w:rPr>
          <w:rFonts w:ascii="標楷體" w:eastAsia="標楷體" w:hAnsi="標楷體"/>
          <w:color w:val="000000"/>
          <w:sz w:val="32"/>
          <w:szCs w:val="32"/>
        </w:rPr>
        <w:t xml:space="preserve">              </w:t>
      </w:r>
      <w:r w:rsidRPr="00C363F0">
        <w:rPr>
          <w:rFonts w:ascii="標楷體" w:eastAsia="標楷體" w:hAnsi="標楷體" w:hint="eastAsia"/>
          <w:color w:val="000000"/>
          <w:sz w:val="32"/>
          <w:szCs w:val="32"/>
        </w:rPr>
        <w:t>羅總務科長東宏</w:t>
      </w:r>
    </w:p>
    <w:p w14:paraId="6ECAF7C7"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臺北監獄               江衛生科長麗莉</w:t>
      </w:r>
    </w:p>
    <w:p w14:paraId="7B9092E3"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臺北監獄               顏作業科長誌宏</w:t>
      </w:r>
    </w:p>
    <w:p w14:paraId="74600992"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臺北監獄              </w:t>
      </w:r>
      <w:r w:rsidRPr="00C363F0">
        <w:rPr>
          <w:rFonts w:ascii="標楷體" w:eastAsia="標楷體" w:hAnsi="標楷體"/>
          <w:color w:val="000000"/>
          <w:sz w:val="32"/>
          <w:szCs w:val="32"/>
        </w:rPr>
        <w:t xml:space="preserve"> </w:t>
      </w:r>
      <w:r w:rsidRPr="00C363F0">
        <w:rPr>
          <w:rFonts w:ascii="標楷體" w:eastAsia="標楷體" w:hAnsi="標楷體" w:hint="eastAsia"/>
          <w:color w:val="000000"/>
          <w:sz w:val="32"/>
          <w:szCs w:val="32"/>
        </w:rPr>
        <w:t>陳調查科長慈生</w:t>
      </w:r>
    </w:p>
    <w:p w14:paraId="235C10AA"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八德外役監獄 </w:t>
      </w:r>
      <w:r w:rsidRPr="00C363F0">
        <w:rPr>
          <w:rFonts w:ascii="標楷體" w:eastAsia="標楷體" w:hAnsi="標楷體"/>
          <w:color w:val="000000"/>
          <w:sz w:val="32"/>
          <w:szCs w:val="32"/>
        </w:rPr>
        <w:t xml:space="preserve">          </w:t>
      </w:r>
      <w:r w:rsidRPr="00C363F0">
        <w:rPr>
          <w:rFonts w:ascii="標楷體" w:eastAsia="標楷體" w:hAnsi="標楷體" w:hint="eastAsia"/>
          <w:color w:val="000000"/>
          <w:sz w:val="32"/>
          <w:szCs w:val="32"/>
        </w:rPr>
        <w:t>葉典獄長俊宏</w:t>
      </w:r>
    </w:p>
    <w:p w14:paraId="1DF80F85"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八德外役監獄           許副典獄長國賢</w:t>
      </w:r>
    </w:p>
    <w:p w14:paraId="507818EA"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八德外役監獄           林戒護科長璟霖</w:t>
      </w:r>
    </w:p>
    <w:p w14:paraId="2A609A4F"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八德外役監獄           尹作業科長雅鈺</w:t>
      </w:r>
    </w:p>
    <w:p w14:paraId="570C7F3F"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八德外役監獄           林衛生科長冠年</w:t>
      </w:r>
    </w:p>
    <w:p w14:paraId="157A76B8" w14:textId="77777777" w:rsidR="00421BB5" w:rsidRPr="00C363F0" w:rsidRDefault="00421BB5" w:rsidP="00421BB5">
      <w:pPr>
        <w:topLinePunct/>
        <w:spacing w:line="370" w:lineRule="exact"/>
        <w:ind w:firstLineChars="500" w:firstLine="1600"/>
        <w:jc w:val="both"/>
        <w:rPr>
          <w:rFonts w:ascii="標楷體" w:eastAsia="標楷體" w:hAnsi="標楷體"/>
          <w:color w:val="000000"/>
          <w:sz w:val="32"/>
          <w:szCs w:val="32"/>
        </w:rPr>
      </w:pPr>
      <w:r w:rsidRPr="00C363F0">
        <w:rPr>
          <w:rFonts w:ascii="標楷體" w:eastAsia="標楷體" w:hAnsi="標楷體" w:hint="eastAsia"/>
          <w:color w:val="000000"/>
          <w:sz w:val="32"/>
          <w:szCs w:val="32"/>
        </w:rPr>
        <w:t>八德外役監獄           夏總務科長陳禹</w:t>
      </w:r>
    </w:p>
    <w:p w14:paraId="16293ABA"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八德外役監獄           謝教化科長秉睿</w:t>
      </w:r>
    </w:p>
    <w:p w14:paraId="46BEA8CB" w14:textId="77777777" w:rsidR="00421BB5" w:rsidRPr="00C363F0" w:rsidRDefault="00421BB5" w:rsidP="00421BB5">
      <w:pPr>
        <w:topLinePunct/>
        <w:spacing w:line="370" w:lineRule="exact"/>
        <w:jc w:val="both"/>
        <w:rPr>
          <w:rFonts w:ascii="標楷體" w:eastAsia="標楷體" w:hAnsi="標楷體"/>
          <w:color w:val="000000"/>
          <w:sz w:val="32"/>
          <w:szCs w:val="32"/>
        </w:rPr>
      </w:pPr>
      <w:r w:rsidRPr="00C363F0">
        <w:rPr>
          <w:rFonts w:ascii="標楷體" w:eastAsia="標楷體" w:hAnsi="標楷體" w:hint="eastAsia"/>
          <w:color w:val="000000"/>
          <w:sz w:val="32"/>
          <w:szCs w:val="32"/>
        </w:rPr>
        <w:t xml:space="preserve">          八德外役監獄           蔡科員宜樺</w:t>
      </w:r>
    </w:p>
    <w:p w14:paraId="1B5E4891" w14:textId="77777777" w:rsidR="00421BB5" w:rsidRPr="00C363F0" w:rsidRDefault="00421BB5" w:rsidP="007015C7">
      <w:pPr>
        <w:numPr>
          <w:ilvl w:val="0"/>
          <w:numId w:val="38"/>
        </w:numPr>
        <w:topLinePunct/>
        <w:spacing w:line="520" w:lineRule="exact"/>
        <w:ind w:hanging="2420"/>
        <w:jc w:val="both"/>
        <w:rPr>
          <w:rFonts w:ascii="標楷體" w:eastAsia="標楷體" w:hAnsi="標楷體"/>
          <w:b/>
          <w:color w:val="000000"/>
          <w:sz w:val="32"/>
          <w:szCs w:val="32"/>
        </w:rPr>
      </w:pPr>
      <w:r w:rsidRPr="00C363F0">
        <w:rPr>
          <w:rFonts w:ascii="標楷體" w:eastAsia="標楷體" w:hAnsi="標楷體" w:hint="eastAsia"/>
          <w:b/>
          <w:color w:val="000000"/>
          <w:sz w:val="32"/>
          <w:szCs w:val="32"/>
        </w:rPr>
        <w:t>立法委員實地考察八德外役監獄</w:t>
      </w:r>
    </w:p>
    <w:p w14:paraId="0B12ADD5" w14:textId="77777777" w:rsidR="00421BB5" w:rsidRPr="00C363F0" w:rsidRDefault="00421BB5" w:rsidP="007015C7">
      <w:pPr>
        <w:numPr>
          <w:ilvl w:val="0"/>
          <w:numId w:val="38"/>
        </w:numPr>
        <w:topLinePunct/>
        <w:spacing w:line="520" w:lineRule="exact"/>
        <w:ind w:hanging="2392"/>
        <w:jc w:val="both"/>
        <w:rPr>
          <w:rFonts w:ascii="標楷體" w:eastAsia="標楷體" w:hAnsi="標楷體"/>
          <w:b/>
          <w:color w:val="000000"/>
          <w:sz w:val="32"/>
          <w:szCs w:val="32"/>
        </w:rPr>
      </w:pPr>
      <w:r w:rsidRPr="00C363F0">
        <w:rPr>
          <w:rFonts w:ascii="標楷體" w:eastAsia="標楷體" w:hAnsi="標楷體" w:hint="eastAsia"/>
          <w:b/>
          <w:color w:val="000000"/>
          <w:sz w:val="32"/>
          <w:szCs w:val="32"/>
        </w:rPr>
        <w:t>陳主席歐珀致詞</w:t>
      </w:r>
    </w:p>
    <w:p w14:paraId="66A37EF9"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t>感</w:t>
      </w:r>
      <w:r w:rsidRPr="00C363F0">
        <w:rPr>
          <w:rFonts w:ascii="標楷體" w:eastAsia="標楷體" w:hAnsi="標楷體"/>
          <w:sz w:val="32"/>
          <w:szCs w:val="32"/>
        </w:rPr>
        <w:t>謝</w:t>
      </w:r>
      <w:r w:rsidRPr="00C363F0">
        <w:rPr>
          <w:rFonts w:ascii="標楷體" w:eastAsia="標楷體" w:hAnsi="標楷體" w:hint="eastAsia"/>
          <w:sz w:val="32"/>
          <w:szCs w:val="32"/>
        </w:rPr>
        <w:t>在座各位悉</w:t>
      </w:r>
      <w:r w:rsidRPr="00C363F0">
        <w:rPr>
          <w:rFonts w:ascii="標楷體" w:eastAsia="標楷體" w:hAnsi="標楷體"/>
          <w:sz w:val="32"/>
          <w:szCs w:val="32"/>
        </w:rPr>
        <w:t>心安排</w:t>
      </w:r>
      <w:r w:rsidRPr="00C363F0">
        <w:rPr>
          <w:rFonts w:ascii="標楷體" w:eastAsia="標楷體" w:hAnsi="標楷體" w:hint="eastAsia"/>
          <w:sz w:val="32"/>
          <w:szCs w:val="32"/>
        </w:rPr>
        <w:t>，本</w:t>
      </w:r>
      <w:r w:rsidRPr="00C363F0">
        <w:rPr>
          <w:rFonts w:ascii="標楷體" w:eastAsia="標楷體" w:hAnsi="標楷體"/>
          <w:sz w:val="32"/>
          <w:szCs w:val="32"/>
        </w:rPr>
        <w:t>次考</w:t>
      </w:r>
      <w:r w:rsidRPr="00C363F0">
        <w:rPr>
          <w:rFonts w:ascii="標楷體" w:eastAsia="標楷體" w:hAnsi="標楷體" w:hint="eastAsia"/>
          <w:sz w:val="32"/>
          <w:szCs w:val="32"/>
        </w:rPr>
        <w:t>察重</w:t>
      </w:r>
      <w:r w:rsidRPr="00C363F0">
        <w:rPr>
          <w:rFonts w:ascii="標楷體" w:eastAsia="標楷體" w:hAnsi="標楷體"/>
          <w:sz w:val="32"/>
          <w:szCs w:val="32"/>
        </w:rPr>
        <w:t>點在於外役監與一般監獄的</w:t>
      </w:r>
      <w:r w:rsidRPr="00C363F0">
        <w:rPr>
          <w:rFonts w:ascii="標楷體" w:eastAsia="標楷體" w:hAnsi="標楷體" w:hint="eastAsia"/>
          <w:sz w:val="32"/>
          <w:szCs w:val="32"/>
        </w:rPr>
        <w:t>制</w:t>
      </w:r>
      <w:r w:rsidRPr="00C363F0">
        <w:rPr>
          <w:rFonts w:ascii="標楷體" w:eastAsia="標楷體" w:hAnsi="標楷體"/>
          <w:sz w:val="32"/>
          <w:szCs w:val="32"/>
        </w:rPr>
        <w:t>度比較</w:t>
      </w:r>
      <w:r w:rsidRPr="00C363F0">
        <w:rPr>
          <w:rFonts w:ascii="標楷體" w:eastAsia="標楷體" w:hAnsi="標楷體" w:hint="eastAsia"/>
          <w:sz w:val="32"/>
          <w:szCs w:val="32"/>
        </w:rPr>
        <w:t>。回應外</w:t>
      </w:r>
      <w:r w:rsidRPr="00C363F0">
        <w:rPr>
          <w:rFonts w:ascii="標楷體" w:eastAsia="標楷體" w:hAnsi="標楷體"/>
          <w:sz w:val="32"/>
          <w:szCs w:val="32"/>
        </w:rPr>
        <w:t>界</w:t>
      </w:r>
      <w:r w:rsidRPr="00C363F0">
        <w:rPr>
          <w:rFonts w:ascii="標楷體" w:eastAsia="標楷體" w:hAnsi="標楷體" w:hint="eastAsia"/>
          <w:sz w:val="32"/>
          <w:szCs w:val="32"/>
        </w:rPr>
        <w:t>改</w:t>
      </w:r>
      <w:r w:rsidRPr="00C363F0">
        <w:rPr>
          <w:rFonts w:ascii="標楷體" w:eastAsia="標楷體" w:hAnsi="標楷體"/>
          <w:sz w:val="32"/>
          <w:szCs w:val="32"/>
        </w:rPr>
        <w:t>革聲浪</w:t>
      </w:r>
      <w:r w:rsidRPr="00C363F0">
        <w:rPr>
          <w:rFonts w:ascii="標楷體" w:eastAsia="標楷體" w:hAnsi="標楷體" w:hint="eastAsia"/>
          <w:sz w:val="32"/>
          <w:szCs w:val="32"/>
        </w:rPr>
        <w:t>，外役</w:t>
      </w:r>
      <w:r w:rsidRPr="00C363F0">
        <w:rPr>
          <w:rFonts w:ascii="標楷體" w:eastAsia="標楷體" w:hAnsi="標楷體"/>
          <w:sz w:val="32"/>
          <w:szCs w:val="32"/>
        </w:rPr>
        <w:t>監修法具</w:t>
      </w:r>
      <w:r w:rsidRPr="00C363F0">
        <w:rPr>
          <w:rFonts w:ascii="標楷體" w:eastAsia="標楷體" w:hAnsi="標楷體" w:hint="eastAsia"/>
          <w:sz w:val="32"/>
          <w:szCs w:val="32"/>
        </w:rPr>
        <w:t>有</w:t>
      </w:r>
      <w:r w:rsidRPr="00C363F0">
        <w:rPr>
          <w:rFonts w:ascii="標楷體" w:eastAsia="標楷體" w:hAnsi="標楷體"/>
          <w:sz w:val="32"/>
          <w:szCs w:val="32"/>
        </w:rPr>
        <w:t>急迫性，</w:t>
      </w:r>
      <w:r w:rsidRPr="00C363F0">
        <w:rPr>
          <w:rFonts w:ascii="標楷體" w:eastAsia="標楷體" w:hAnsi="標楷體" w:hint="eastAsia"/>
          <w:sz w:val="32"/>
          <w:szCs w:val="32"/>
        </w:rPr>
        <w:t>在</w:t>
      </w:r>
      <w:r w:rsidRPr="00C363F0">
        <w:rPr>
          <w:rFonts w:ascii="標楷體" w:eastAsia="標楷體" w:hAnsi="標楷體"/>
          <w:sz w:val="32"/>
          <w:szCs w:val="32"/>
        </w:rPr>
        <w:t>這個會期</w:t>
      </w:r>
      <w:r w:rsidRPr="00C363F0">
        <w:rPr>
          <w:rFonts w:ascii="標楷體" w:eastAsia="標楷體" w:hAnsi="標楷體" w:hint="eastAsia"/>
          <w:sz w:val="32"/>
          <w:szCs w:val="32"/>
        </w:rPr>
        <w:t>（10-6）</w:t>
      </w:r>
      <w:r w:rsidRPr="00C363F0">
        <w:rPr>
          <w:rFonts w:ascii="標楷體" w:eastAsia="標楷體" w:hAnsi="標楷體"/>
          <w:sz w:val="32"/>
          <w:szCs w:val="32"/>
        </w:rPr>
        <w:t>一定要完成</w:t>
      </w:r>
      <w:r w:rsidRPr="00C363F0">
        <w:rPr>
          <w:rFonts w:ascii="標楷體" w:eastAsia="標楷體" w:hAnsi="標楷體" w:hint="eastAsia"/>
          <w:sz w:val="32"/>
          <w:szCs w:val="32"/>
        </w:rPr>
        <w:t>；</w:t>
      </w:r>
      <w:r w:rsidRPr="00C363F0">
        <w:rPr>
          <w:rFonts w:ascii="標楷體" w:eastAsia="標楷體" w:hAnsi="標楷體"/>
          <w:sz w:val="32"/>
          <w:szCs w:val="32"/>
        </w:rPr>
        <w:t>然</w:t>
      </w:r>
      <w:r w:rsidRPr="00C363F0">
        <w:rPr>
          <w:rFonts w:ascii="標楷體" w:eastAsia="標楷體" w:hAnsi="標楷體" w:hint="eastAsia"/>
          <w:sz w:val="32"/>
          <w:szCs w:val="32"/>
        </w:rPr>
        <w:t>而</w:t>
      </w:r>
      <w:r w:rsidRPr="00C363F0">
        <w:rPr>
          <w:rFonts w:ascii="標楷體" w:eastAsia="標楷體" w:hAnsi="標楷體"/>
          <w:sz w:val="32"/>
          <w:szCs w:val="32"/>
        </w:rPr>
        <w:t>立法院</w:t>
      </w:r>
      <w:r w:rsidRPr="00C363F0">
        <w:rPr>
          <w:rFonts w:ascii="標楷體" w:eastAsia="標楷體" w:hAnsi="標楷體" w:hint="eastAsia"/>
          <w:sz w:val="32"/>
          <w:szCs w:val="32"/>
        </w:rPr>
        <w:t>委</w:t>
      </w:r>
      <w:r w:rsidRPr="00C363F0">
        <w:rPr>
          <w:rFonts w:ascii="標楷體" w:eastAsia="標楷體" w:hAnsi="標楷體"/>
          <w:sz w:val="32"/>
          <w:szCs w:val="32"/>
        </w:rPr>
        <w:t>員間</w:t>
      </w:r>
      <w:r w:rsidRPr="00C363F0">
        <w:rPr>
          <w:rFonts w:ascii="標楷體" w:eastAsia="標楷體" w:hAnsi="標楷體" w:hint="eastAsia"/>
          <w:sz w:val="32"/>
          <w:szCs w:val="32"/>
        </w:rPr>
        <w:t>與</w:t>
      </w:r>
      <w:r w:rsidRPr="00C363F0">
        <w:rPr>
          <w:rFonts w:ascii="標楷體" w:eastAsia="標楷體" w:hAnsi="標楷體"/>
          <w:sz w:val="32"/>
          <w:szCs w:val="32"/>
        </w:rPr>
        <w:t>專家學者</w:t>
      </w:r>
      <w:r w:rsidRPr="00C363F0">
        <w:rPr>
          <w:rFonts w:ascii="標楷體" w:eastAsia="標楷體" w:hAnsi="標楷體" w:hint="eastAsia"/>
          <w:sz w:val="32"/>
          <w:szCs w:val="32"/>
        </w:rPr>
        <w:t>持</w:t>
      </w:r>
      <w:r w:rsidRPr="00C363F0">
        <w:rPr>
          <w:rFonts w:ascii="標楷體" w:eastAsia="標楷體" w:hAnsi="標楷體"/>
          <w:sz w:val="32"/>
          <w:szCs w:val="32"/>
        </w:rPr>
        <w:t>有不同意見</w:t>
      </w:r>
      <w:r w:rsidRPr="00C363F0">
        <w:rPr>
          <w:rFonts w:ascii="標楷體" w:eastAsia="標楷體" w:hAnsi="標楷體" w:hint="eastAsia"/>
          <w:sz w:val="32"/>
          <w:szCs w:val="32"/>
        </w:rPr>
        <w:t>，有提</w:t>
      </w:r>
      <w:r w:rsidRPr="00C363F0">
        <w:rPr>
          <w:rFonts w:ascii="標楷體" w:eastAsia="標楷體" w:hAnsi="標楷體"/>
          <w:sz w:val="32"/>
          <w:szCs w:val="32"/>
        </w:rPr>
        <w:t>出大</w:t>
      </w:r>
      <w:r w:rsidRPr="00C363F0">
        <w:rPr>
          <w:rFonts w:ascii="標楷體" w:eastAsia="標楷體" w:hAnsi="標楷體" w:hint="eastAsia"/>
          <w:sz w:val="32"/>
          <w:szCs w:val="32"/>
        </w:rPr>
        <w:t>幅</w:t>
      </w:r>
      <w:r w:rsidRPr="00C363F0">
        <w:rPr>
          <w:rFonts w:ascii="標楷體" w:eastAsia="標楷體" w:hAnsi="標楷體"/>
          <w:sz w:val="32"/>
          <w:szCs w:val="32"/>
        </w:rPr>
        <w:t>修正</w:t>
      </w:r>
      <w:r w:rsidRPr="00C363F0">
        <w:rPr>
          <w:rFonts w:ascii="標楷體" w:eastAsia="標楷體" w:hAnsi="標楷體" w:hint="eastAsia"/>
          <w:sz w:val="32"/>
          <w:szCs w:val="32"/>
        </w:rPr>
        <w:t>、</w:t>
      </w:r>
      <w:r w:rsidRPr="00C363F0">
        <w:rPr>
          <w:rFonts w:ascii="標楷體" w:eastAsia="標楷體" w:hAnsi="標楷體"/>
          <w:sz w:val="32"/>
          <w:szCs w:val="32"/>
        </w:rPr>
        <w:t>也</w:t>
      </w:r>
      <w:r w:rsidRPr="00C363F0">
        <w:rPr>
          <w:rFonts w:ascii="標楷體" w:eastAsia="標楷體" w:hAnsi="標楷體" w:hint="eastAsia"/>
          <w:sz w:val="32"/>
          <w:szCs w:val="32"/>
        </w:rPr>
        <w:t>有</w:t>
      </w:r>
      <w:r w:rsidRPr="00C363F0">
        <w:rPr>
          <w:rFonts w:ascii="標楷體" w:eastAsia="標楷體" w:hAnsi="標楷體"/>
          <w:sz w:val="32"/>
          <w:szCs w:val="32"/>
        </w:rPr>
        <w:t>提出重點</w:t>
      </w:r>
      <w:r w:rsidRPr="00C363F0">
        <w:rPr>
          <w:rFonts w:ascii="標楷體" w:eastAsia="標楷體" w:hAnsi="標楷體" w:hint="eastAsia"/>
          <w:sz w:val="32"/>
          <w:szCs w:val="32"/>
        </w:rPr>
        <w:t>式</w:t>
      </w:r>
      <w:r w:rsidRPr="00C363F0">
        <w:rPr>
          <w:rFonts w:ascii="標楷體" w:eastAsia="標楷體" w:hAnsi="標楷體"/>
          <w:sz w:val="32"/>
          <w:szCs w:val="32"/>
        </w:rPr>
        <w:t>修正等</w:t>
      </w:r>
      <w:r w:rsidRPr="00C363F0">
        <w:rPr>
          <w:rFonts w:ascii="標楷體" w:eastAsia="標楷體" w:hAnsi="標楷體" w:hint="eastAsia"/>
          <w:sz w:val="32"/>
          <w:szCs w:val="32"/>
        </w:rPr>
        <w:t>。</w:t>
      </w:r>
      <w:r w:rsidRPr="00C363F0">
        <w:rPr>
          <w:rFonts w:ascii="標楷體" w:eastAsia="標楷體" w:hAnsi="標楷體"/>
          <w:sz w:val="32"/>
          <w:szCs w:val="32"/>
        </w:rPr>
        <w:t>爰藉本次參訪</w:t>
      </w:r>
      <w:r w:rsidRPr="00C363F0">
        <w:rPr>
          <w:rFonts w:ascii="標楷體" w:eastAsia="標楷體" w:hAnsi="標楷體" w:hint="eastAsia"/>
          <w:sz w:val="32"/>
          <w:szCs w:val="32"/>
        </w:rPr>
        <w:t>深</w:t>
      </w:r>
      <w:r w:rsidRPr="00C363F0">
        <w:rPr>
          <w:rFonts w:ascii="標楷體" w:eastAsia="標楷體" w:hAnsi="標楷體"/>
          <w:sz w:val="32"/>
          <w:szCs w:val="32"/>
        </w:rPr>
        <w:t>入瞭解</w:t>
      </w:r>
      <w:r w:rsidRPr="00C363F0">
        <w:rPr>
          <w:rFonts w:ascii="標楷體" w:eastAsia="標楷體" w:hAnsi="標楷體" w:hint="eastAsia"/>
          <w:sz w:val="32"/>
          <w:szCs w:val="32"/>
        </w:rPr>
        <w:t>制</w:t>
      </w:r>
      <w:r w:rsidRPr="00C363F0">
        <w:rPr>
          <w:rFonts w:ascii="標楷體" w:eastAsia="標楷體" w:hAnsi="標楷體"/>
          <w:sz w:val="32"/>
          <w:szCs w:val="32"/>
        </w:rPr>
        <w:t>度差</w:t>
      </w:r>
      <w:r w:rsidRPr="00C363F0">
        <w:rPr>
          <w:rFonts w:ascii="標楷體" w:eastAsia="標楷體" w:hAnsi="標楷體" w:hint="eastAsia"/>
          <w:sz w:val="32"/>
          <w:szCs w:val="32"/>
        </w:rPr>
        <w:t>異</w:t>
      </w:r>
      <w:r w:rsidRPr="00C363F0">
        <w:rPr>
          <w:rFonts w:ascii="標楷體" w:eastAsia="標楷體" w:hAnsi="標楷體"/>
          <w:sz w:val="32"/>
          <w:szCs w:val="32"/>
        </w:rPr>
        <w:t>，</w:t>
      </w:r>
      <w:r w:rsidRPr="00C363F0">
        <w:rPr>
          <w:rFonts w:ascii="標楷體" w:eastAsia="標楷體" w:hAnsi="標楷體" w:hint="eastAsia"/>
          <w:sz w:val="32"/>
          <w:szCs w:val="32"/>
        </w:rPr>
        <w:t>並作</w:t>
      </w:r>
      <w:r w:rsidRPr="00C363F0">
        <w:rPr>
          <w:rFonts w:ascii="標楷體" w:eastAsia="標楷體" w:hAnsi="標楷體"/>
          <w:sz w:val="32"/>
          <w:szCs w:val="32"/>
        </w:rPr>
        <w:t>為未來辦理公</w:t>
      </w:r>
      <w:r w:rsidRPr="00C363F0">
        <w:rPr>
          <w:rFonts w:ascii="標楷體" w:eastAsia="標楷體" w:hAnsi="標楷體" w:hint="eastAsia"/>
          <w:sz w:val="32"/>
          <w:szCs w:val="32"/>
        </w:rPr>
        <w:t>聽</w:t>
      </w:r>
      <w:r w:rsidRPr="00C363F0">
        <w:rPr>
          <w:rFonts w:ascii="標楷體" w:eastAsia="標楷體" w:hAnsi="標楷體"/>
          <w:sz w:val="32"/>
          <w:szCs w:val="32"/>
        </w:rPr>
        <w:t>會</w:t>
      </w:r>
      <w:r w:rsidRPr="00C363F0">
        <w:rPr>
          <w:rFonts w:ascii="標楷體" w:eastAsia="標楷體" w:hAnsi="標楷體" w:hint="eastAsia"/>
          <w:sz w:val="32"/>
          <w:szCs w:val="32"/>
        </w:rPr>
        <w:t>的參</w:t>
      </w:r>
      <w:r w:rsidRPr="00C363F0">
        <w:rPr>
          <w:rFonts w:ascii="標楷體" w:eastAsia="標楷體" w:hAnsi="標楷體"/>
          <w:sz w:val="32"/>
          <w:szCs w:val="32"/>
        </w:rPr>
        <w:t>考</w:t>
      </w:r>
      <w:r w:rsidRPr="00C363F0">
        <w:rPr>
          <w:rFonts w:ascii="標楷體" w:eastAsia="標楷體" w:hAnsi="標楷體" w:hint="eastAsia"/>
          <w:sz w:val="32"/>
          <w:szCs w:val="32"/>
        </w:rPr>
        <w:t>資</w:t>
      </w:r>
      <w:r w:rsidRPr="00C363F0">
        <w:rPr>
          <w:rFonts w:ascii="標楷體" w:eastAsia="標楷體" w:hAnsi="標楷體"/>
          <w:sz w:val="32"/>
          <w:szCs w:val="32"/>
        </w:rPr>
        <w:t>料。</w:t>
      </w:r>
    </w:p>
    <w:p w14:paraId="294AF1F2"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t>外役</w:t>
      </w:r>
      <w:r w:rsidRPr="00C363F0">
        <w:rPr>
          <w:rFonts w:ascii="標楷體" w:eastAsia="標楷體" w:hAnsi="標楷體"/>
          <w:sz w:val="32"/>
          <w:szCs w:val="32"/>
        </w:rPr>
        <w:t>監管理，</w:t>
      </w:r>
      <w:r w:rsidRPr="00C363F0">
        <w:rPr>
          <w:rFonts w:ascii="標楷體" w:eastAsia="標楷體" w:hAnsi="標楷體" w:hint="eastAsia"/>
          <w:sz w:val="32"/>
          <w:szCs w:val="32"/>
        </w:rPr>
        <w:t>從</w:t>
      </w:r>
      <w:r w:rsidRPr="00C363F0">
        <w:rPr>
          <w:rFonts w:ascii="標楷體" w:eastAsia="標楷體" w:hAnsi="標楷體"/>
          <w:sz w:val="32"/>
          <w:szCs w:val="32"/>
        </w:rPr>
        <w:t>源頭矯正署</w:t>
      </w:r>
      <w:r w:rsidRPr="00C363F0">
        <w:rPr>
          <w:rFonts w:ascii="標楷體" w:eastAsia="標楷體" w:hAnsi="標楷體" w:hint="eastAsia"/>
          <w:sz w:val="32"/>
          <w:szCs w:val="32"/>
        </w:rPr>
        <w:t>要</w:t>
      </w:r>
      <w:r w:rsidRPr="00C363F0">
        <w:rPr>
          <w:rFonts w:ascii="標楷體" w:eastAsia="標楷體" w:hAnsi="標楷體"/>
          <w:sz w:val="32"/>
          <w:szCs w:val="32"/>
        </w:rPr>
        <w:t>負很</w:t>
      </w:r>
      <w:r w:rsidRPr="00C363F0">
        <w:rPr>
          <w:rFonts w:ascii="標楷體" w:eastAsia="標楷體" w:hAnsi="標楷體" w:hint="eastAsia"/>
          <w:sz w:val="32"/>
          <w:szCs w:val="32"/>
        </w:rPr>
        <w:t>大</w:t>
      </w:r>
      <w:r w:rsidRPr="00C363F0">
        <w:rPr>
          <w:rFonts w:ascii="標楷體" w:eastAsia="標楷體" w:hAnsi="標楷體"/>
          <w:sz w:val="32"/>
          <w:szCs w:val="32"/>
        </w:rPr>
        <w:t>的責任，</w:t>
      </w:r>
      <w:r w:rsidRPr="00C363F0">
        <w:rPr>
          <w:rFonts w:ascii="標楷體" w:eastAsia="標楷體" w:hAnsi="標楷體" w:hint="eastAsia"/>
          <w:sz w:val="32"/>
          <w:szCs w:val="32"/>
        </w:rPr>
        <w:t>並由</w:t>
      </w:r>
      <w:r w:rsidRPr="00C363F0">
        <w:rPr>
          <w:rFonts w:ascii="標楷體" w:eastAsia="標楷體" w:hAnsi="標楷體"/>
          <w:sz w:val="32"/>
          <w:szCs w:val="32"/>
        </w:rPr>
        <w:t>各</w:t>
      </w:r>
      <w:r w:rsidRPr="00C363F0">
        <w:rPr>
          <w:rFonts w:ascii="標楷體" w:eastAsia="標楷體" w:hAnsi="標楷體" w:hint="eastAsia"/>
          <w:sz w:val="32"/>
          <w:szCs w:val="32"/>
        </w:rPr>
        <w:t>個</w:t>
      </w:r>
      <w:r w:rsidRPr="00C363F0">
        <w:rPr>
          <w:rFonts w:ascii="標楷體" w:eastAsia="標楷體" w:hAnsi="標楷體"/>
          <w:sz w:val="32"/>
          <w:szCs w:val="32"/>
        </w:rPr>
        <w:t>外役監時</w:t>
      </w:r>
      <w:r w:rsidRPr="00C363F0">
        <w:rPr>
          <w:rFonts w:ascii="標楷體" w:eastAsia="標楷體" w:hAnsi="標楷體" w:hint="eastAsia"/>
          <w:sz w:val="32"/>
          <w:szCs w:val="32"/>
        </w:rPr>
        <w:t>落</w:t>
      </w:r>
      <w:r w:rsidRPr="00C363F0">
        <w:rPr>
          <w:rFonts w:ascii="標楷體" w:eastAsia="標楷體" w:hAnsi="標楷體"/>
          <w:sz w:val="32"/>
          <w:szCs w:val="32"/>
        </w:rPr>
        <w:t>實執行</w:t>
      </w:r>
      <w:r w:rsidRPr="00C363F0">
        <w:rPr>
          <w:rFonts w:ascii="標楷體" w:eastAsia="標楷體" w:hAnsi="標楷體" w:hint="eastAsia"/>
          <w:sz w:val="32"/>
          <w:szCs w:val="32"/>
        </w:rPr>
        <w:t>。而外</w:t>
      </w:r>
      <w:r w:rsidRPr="00C363F0">
        <w:rPr>
          <w:rFonts w:ascii="標楷體" w:eastAsia="標楷體" w:hAnsi="標楷體"/>
          <w:sz w:val="32"/>
          <w:szCs w:val="32"/>
        </w:rPr>
        <w:t>界對於重刑處遇的期待</w:t>
      </w:r>
      <w:r w:rsidRPr="00C363F0">
        <w:rPr>
          <w:rFonts w:ascii="標楷體" w:eastAsia="標楷體" w:hAnsi="標楷體" w:hint="eastAsia"/>
          <w:sz w:val="32"/>
          <w:szCs w:val="32"/>
        </w:rPr>
        <w:t>及外役</w:t>
      </w:r>
      <w:r w:rsidRPr="00C363F0">
        <w:rPr>
          <w:rFonts w:ascii="標楷體" w:eastAsia="標楷體" w:hAnsi="標楷體"/>
          <w:sz w:val="32"/>
          <w:szCs w:val="32"/>
        </w:rPr>
        <w:t>監</w:t>
      </w:r>
      <w:r w:rsidRPr="00C363F0">
        <w:rPr>
          <w:rFonts w:ascii="標楷體" w:eastAsia="標楷體" w:hAnsi="標楷體" w:hint="eastAsia"/>
          <w:sz w:val="32"/>
          <w:szCs w:val="32"/>
        </w:rPr>
        <w:t>管</w:t>
      </w:r>
      <w:r w:rsidRPr="00C363F0">
        <w:rPr>
          <w:rFonts w:ascii="標楷體" w:eastAsia="標楷體" w:hAnsi="標楷體"/>
          <w:sz w:val="32"/>
          <w:szCs w:val="32"/>
        </w:rPr>
        <w:t>理的批</w:t>
      </w:r>
      <w:r w:rsidRPr="00C363F0">
        <w:rPr>
          <w:rFonts w:ascii="標楷體" w:eastAsia="標楷體" w:hAnsi="標楷體" w:hint="eastAsia"/>
          <w:sz w:val="32"/>
          <w:szCs w:val="32"/>
        </w:rPr>
        <w:t>評</w:t>
      </w:r>
      <w:r w:rsidRPr="00C363F0">
        <w:rPr>
          <w:rFonts w:ascii="標楷體" w:eastAsia="標楷體" w:hAnsi="標楷體"/>
          <w:sz w:val="32"/>
          <w:szCs w:val="32"/>
        </w:rPr>
        <w:t>聲浪，</w:t>
      </w:r>
      <w:r w:rsidRPr="00C363F0">
        <w:rPr>
          <w:rFonts w:ascii="標楷體" w:eastAsia="標楷體" w:hAnsi="標楷體" w:hint="eastAsia"/>
          <w:sz w:val="32"/>
          <w:szCs w:val="32"/>
        </w:rPr>
        <w:t>需</w:t>
      </w:r>
      <w:r w:rsidRPr="00C363F0">
        <w:rPr>
          <w:rFonts w:ascii="標楷體" w:eastAsia="標楷體" w:hAnsi="標楷體"/>
          <w:sz w:val="32"/>
          <w:szCs w:val="32"/>
        </w:rPr>
        <w:t>要嚴</w:t>
      </w:r>
      <w:r w:rsidRPr="00C363F0">
        <w:rPr>
          <w:rFonts w:ascii="標楷體" w:eastAsia="標楷體" w:hAnsi="標楷體" w:hint="eastAsia"/>
          <w:sz w:val="32"/>
          <w:szCs w:val="32"/>
        </w:rPr>
        <w:t>肅面</w:t>
      </w:r>
      <w:r w:rsidRPr="00C363F0">
        <w:rPr>
          <w:rFonts w:ascii="標楷體" w:eastAsia="標楷體" w:hAnsi="標楷體"/>
          <w:sz w:val="32"/>
          <w:szCs w:val="32"/>
        </w:rPr>
        <w:t>對，不希望</w:t>
      </w:r>
      <w:r w:rsidRPr="00C363F0">
        <w:rPr>
          <w:rFonts w:ascii="標楷體" w:eastAsia="標楷體" w:hAnsi="標楷體" w:hint="eastAsia"/>
          <w:sz w:val="32"/>
          <w:szCs w:val="32"/>
        </w:rPr>
        <w:t>再</w:t>
      </w:r>
      <w:r w:rsidRPr="00C363F0">
        <w:rPr>
          <w:rFonts w:ascii="標楷體" w:eastAsia="標楷體" w:hAnsi="標楷體"/>
          <w:sz w:val="32"/>
          <w:szCs w:val="32"/>
        </w:rPr>
        <w:t>發生逃逸</w:t>
      </w:r>
      <w:r w:rsidRPr="00C363F0">
        <w:rPr>
          <w:rFonts w:ascii="標楷體" w:eastAsia="標楷體" w:hAnsi="標楷體" w:hint="eastAsia"/>
          <w:sz w:val="32"/>
          <w:szCs w:val="32"/>
        </w:rPr>
        <w:t>、</w:t>
      </w:r>
      <w:r w:rsidRPr="00C363F0">
        <w:rPr>
          <w:rFonts w:ascii="標楷體" w:eastAsia="標楷體" w:hAnsi="標楷體"/>
          <w:sz w:val="32"/>
          <w:szCs w:val="32"/>
        </w:rPr>
        <w:t>甚至傷害人民的情形</w:t>
      </w:r>
      <w:r w:rsidRPr="00C363F0">
        <w:rPr>
          <w:rFonts w:ascii="標楷體" w:eastAsia="標楷體" w:hAnsi="標楷體" w:hint="eastAsia"/>
          <w:sz w:val="32"/>
          <w:szCs w:val="32"/>
        </w:rPr>
        <w:t>。</w:t>
      </w:r>
    </w:p>
    <w:p w14:paraId="3B30A270" w14:textId="77777777" w:rsidR="00421BB5" w:rsidRPr="00C363F0" w:rsidRDefault="00421BB5" w:rsidP="00421BB5">
      <w:pPr>
        <w:topLinePunct/>
        <w:spacing w:line="520" w:lineRule="exact"/>
        <w:ind w:left="720" w:firstLineChars="200" w:firstLine="640"/>
        <w:jc w:val="both"/>
        <w:rPr>
          <w:rFonts w:ascii="標楷體" w:eastAsia="標楷體" w:hAnsi="標楷體"/>
          <w:b/>
          <w:color w:val="000000"/>
          <w:sz w:val="32"/>
          <w:szCs w:val="32"/>
        </w:rPr>
      </w:pPr>
      <w:r w:rsidRPr="00C363F0">
        <w:rPr>
          <w:rFonts w:ascii="標楷體" w:eastAsia="標楷體" w:hAnsi="標楷體" w:hint="eastAsia"/>
          <w:sz w:val="32"/>
          <w:szCs w:val="32"/>
        </w:rPr>
        <w:t>躋身進</w:t>
      </w:r>
      <w:r w:rsidRPr="00C363F0">
        <w:rPr>
          <w:rFonts w:ascii="標楷體" w:eastAsia="標楷體" w:hAnsi="標楷體"/>
          <w:sz w:val="32"/>
          <w:szCs w:val="32"/>
        </w:rPr>
        <w:t>步國家，</w:t>
      </w:r>
      <w:r w:rsidRPr="00C363F0">
        <w:rPr>
          <w:rFonts w:ascii="標楷體" w:eastAsia="標楷體" w:hAnsi="標楷體" w:hint="eastAsia"/>
          <w:sz w:val="32"/>
          <w:szCs w:val="32"/>
        </w:rPr>
        <w:t>監</w:t>
      </w:r>
      <w:r w:rsidRPr="00C363F0">
        <w:rPr>
          <w:rFonts w:ascii="標楷體" w:eastAsia="標楷體" w:hAnsi="標楷體"/>
          <w:sz w:val="32"/>
          <w:szCs w:val="32"/>
        </w:rPr>
        <w:t>獄管理應與時</w:t>
      </w:r>
      <w:r w:rsidRPr="00C363F0">
        <w:rPr>
          <w:rFonts w:ascii="標楷體" w:eastAsia="標楷體" w:hAnsi="標楷體" w:hint="eastAsia"/>
          <w:sz w:val="32"/>
          <w:szCs w:val="32"/>
        </w:rPr>
        <w:t>俱</w:t>
      </w:r>
      <w:r w:rsidRPr="00C363F0">
        <w:rPr>
          <w:rFonts w:ascii="標楷體" w:eastAsia="標楷體" w:hAnsi="標楷體"/>
          <w:sz w:val="32"/>
          <w:szCs w:val="32"/>
        </w:rPr>
        <w:t>進</w:t>
      </w:r>
      <w:r w:rsidRPr="00C363F0">
        <w:rPr>
          <w:rFonts w:ascii="標楷體" w:eastAsia="標楷體" w:hAnsi="標楷體" w:hint="eastAsia"/>
          <w:sz w:val="32"/>
          <w:szCs w:val="32"/>
        </w:rPr>
        <w:t>，</w:t>
      </w:r>
      <w:r w:rsidRPr="00C363F0">
        <w:rPr>
          <w:rFonts w:ascii="標楷體" w:eastAsia="標楷體" w:hAnsi="標楷體"/>
          <w:sz w:val="32"/>
          <w:szCs w:val="32"/>
        </w:rPr>
        <w:t>並與國</w:t>
      </w:r>
      <w:r w:rsidRPr="00C363F0">
        <w:rPr>
          <w:rFonts w:ascii="標楷體" w:eastAsia="標楷體" w:hAnsi="標楷體" w:hint="eastAsia"/>
          <w:sz w:val="32"/>
          <w:szCs w:val="32"/>
        </w:rPr>
        <w:t>際</w:t>
      </w:r>
      <w:r w:rsidRPr="00C363F0">
        <w:rPr>
          <w:rFonts w:ascii="標楷體" w:eastAsia="標楷體" w:hAnsi="標楷體"/>
          <w:sz w:val="32"/>
          <w:szCs w:val="32"/>
        </w:rPr>
        <w:t>接</w:t>
      </w:r>
      <w:r w:rsidRPr="00C363F0">
        <w:rPr>
          <w:rFonts w:ascii="標楷體" w:eastAsia="標楷體" w:hAnsi="標楷體" w:hint="eastAsia"/>
          <w:sz w:val="32"/>
          <w:szCs w:val="32"/>
        </w:rPr>
        <w:t>軌，</w:t>
      </w:r>
      <w:r w:rsidRPr="00C363F0">
        <w:rPr>
          <w:rFonts w:ascii="標楷體" w:eastAsia="標楷體" w:hAnsi="標楷體"/>
          <w:sz w:val="32"/>
          <w:szCs w:val="32"/>
        </w:rPr>
        <w:t>兼</w:t>
      </w:r>
      <w:r w:rsidRPr="00C363F0">
        <w:rPr>
          <w:rFonts w:ascii="標楷體" w:eastAsia="標楷體" w:hAnsi="標楷體" w:hint="eastAsia"/>
          <w:sz w:val="32"/>
          <w:szCs w:val="32"/>
        </w:rPr>
        <w:t>顧</w:t>
      </w:r>
      <w:r w:rsidRPr="00C363F0">
        <w:rPr>
          <w:rFonts w:ascii="標楷體" w:eastAsia="標楷體" w:hAnsi="標楷體"/>
          <w:sz w:val="32"/>
          <w:szCs w:val="32"/>
        </w:rPr>
        <w:t>公平與人權</w:t>
      </w:r>
      <w:r w:rsidRPr="00C363F0">
        <w:rPr>
          <w:rFonts w:ascii="標楷體" w:eastAsia="標楷體" w:hAnsi="標楷體" w:hint="eastAsia"/>
          <w:sz w:val="32"/>
          <w:szCs w:val="32"/>
        </w:rPr>
        <w:t>；</w:t>
      </w:r>
      <w:r w:rsidRPr="00C363F0">
        <w:rPr>
          <w:rFonts w:ascii="標楷體" w:eastAsia="標楷體" w:hAnsi="標楷體"/>
          <w:sz w:val="32"/>
          <w:szCs w:val="32"/>
        </w:rPr>
        <w:t>無論監</w:t>
      </w:r>
      <w:r w:rsidRPr="00C363F0">
        <w:rPr>
          <w:rFonts w:ascii="標楷體" w:eastAsia="標楷體" w:hAnsi="標楷體" w:hint="eastAsia"/>
          <w:sz w:val="32"/>
          <w:szCs w:val="32"/>
        </w:rPr>
        <w:t>、</w:t>
      </w:r>
      <w:r w:rsidRPr="00C363F0">
        <w:rPr>
          <w:rFonts w:ascii="標楷體" w:eastAsia="標楷體" w:hAnsi="標楷體"/>
          <w:sz w:val="32"/>
          <w:szCs w:val="32"/>
        </w:rPr>
        <w:t>所</w:t>
      </w:r>
      <w:r w:rsidRPr="00C363F0">
        <w:rPr>
          <w:rFonts w:ascii="標楷體" w:eastAsia="標楷體" w:hAnsi="標楷體" w:hint="eastAsia"/>
          <w:sz w:val="32"/>
          <w:szCs w:val="32"/>
        </w:rPr>
        <w:t>、</w:t>
      </w:r>
      <w:r w:rsidRPr="00C363F0">
        <w:rPr>
          <w:rFonts w:ascii="標楷體" w:eastAsia="標楷體" w:hAnsi="標楷體"/>
          <w:sz w:val="32"/>
          <w:szCs w:val="32"/>
        </w:rPr>
        <w:t>校</w:t>
      </w:r>
      <w:r w:rsidRPr="00C363F0">
        <w:rPr>
          <w:rFonts w:ascii="標楷體" w:eastAsia="標楷體" w:hAnsi="標楷體" w:hint="eastAsia"/>
          <w:sz w:val="32"/>
          <w:szCs w:val="32"/>
        </w:rPr>
        <w:t>等51所矯</w:t>
      </w:r>
      <w:r w:rsidRPr="00C363F0">
        <w:rPr>
          <w:rFonts w:ascii="標楷體" w:eastAsia="標楷體" w:hAnsi="標楷體"/>
          <w:sz w:val="32"/>
          <w:szCs w:val="32"/>
        </w:rPr>
        <w:t>正機關</w:t>
      </w:r>
      <w:r w:rsidRPr="00C363F0">
        <w:rPr>
          <w:rFonts w:ascii="標楷體" w:eastAsia="標楷體" w:hAnsi="標楷體" w:hint="eastAsia"/>
          <w:sz w:val="32"/>
          <w:szCs w:val="32"/>
        </w:rPr>
        <w:t>，</w:t>
      </w:r>
      <w:r w:rsidRPr="00C363F0">
        <w:rPr>
          <w:rFonts w:ascii="標楷體" w:eastAsia="標楷體" w:hAnsi="標楷體" w:hint="eastAsia"/>
          <w:sz w:val="32"/>
          <w:szCs w:val="32"/>
        </w:rPr>
        <w:lastRenderedPageBreak/>
        <w:t>希</w:t>
      </w:r>
      <w:r w:rsidRPr="00C363F0">
        <w:rPr>
          <w:rFonts w:ascii="標楷體" w:eastAsia="標楷體" w:hAnsi="標楷體"/>
          <w:sz w:val="32"/>
          <w:szCs w:val="32"/>
        </w:rPr>
        <w:t>望能朝這個目</w:t>
      </w:r>
      <w:r w:rsidRPr="00C363F0">
        <w:rPr>
          <w:rFonts w:ascii="標楷體" w:eastAsia="標楷體" w:hAnsi="標楷體" w:hint="eastAsia"/>
          <w:sz w:val="32"/>
          <w:szCs w:val="32"/>
        </w:rPr>
        <w:t>標</w:t>
      </w:r>
      <w:r w:rsidRPr="00C363F0">
        <w:rPr>
          <w:rFonts w:ascii="標楷體" w:eastAsia="標楷體" w:hAnsi="標楷體"/>
          <w:sz w:val="32"/>
          <w:szCs w:val="32"/>
        </w:rPr>
        <w:t>，大</w:t>
      </w:r>
      <w:r w:rsidRPr="00C363F0">
        <w:rPr>
          <w:rFonts w:ascii="標楷體" w:eastAsia="標楷體" w:hAnsi="標楷體" w:hint="eastAsia"/>
          <w:sz w:val="32"/>
          <w:szCs w:val="32"/>
        </w:rPr>
        <w:t>幅</w:t>
      </w:r>
      <w:r w:rsidRPr="00C363F0">
        <w:rPr>
          <w:rFonts w:ascii="標楷體" w:eastAsia="標楷體" w:hAnsi="標楷體"/>
          <w:sz w:val="32"/>
          <w:szCs w:val="32"/>
        </w:rPr>
        <w:t>改善管理制</w:t>
      </w:r>
      <w:r w:rsidRPr="00C363F0">
        <w:rPr>
          <w:rFonts w:ascii="標楷體" w:eastAsia="標楷體" w:hAnsi="標楷體" w:hint="eastAsia"/>
          <w:sz w:val="32"/>
          <w:szCs w:val="32"/>
        </w:rPr>
        <w:t>度</w:t>
      </w:r>
      <w:r w:rsidRPr="00C363F0">
        <w:rPr>
          <w:rFonts w:ascii="標楷體" w:eastAsia="標楷體" w:hAnsi="標楷體"/>
          <w:sz w:val="32"/>
          <w:szCs w:val="32"/>
        </w:rPr>
        <w:t>。</w:t>
      </w:r>
    </w:p>
    <w:p w14:paraId="53D46E24" w14:textId="77777777" w:rsidR="00421BB5" w:rsidRPr="00C363F0" w:rsidRDefault="00421BB5" w:rsidP="007015C7">
      <w:pPr>
        <w:numPr>
          <w:ilvl w:val="0"/>
          <w:numId w:val="38"/>
        </w:numPr>
        <w:topLinePunct/>
        <w:spacing w:line="520" w:lineRule="exact"/>
        <w:ind w:hanging="2392"/>
        <w:jc w:val="both"/>
        <w:rPr>
          <w:rFonts w:ascii="標楷體" w:eastAsia="標楷體" w:hAnsi="標楷體"/>
          <w:b/>
          <w:color w:val="000000"/>
          <w:sz w:val="32"/>
          <w:szCs w:val="32"/>
        </w:rPr>
      </w:pPr>
      <w:r w:rsidRPr="00C363F0">
        <w:rPr>
          <w:rFonts w:ascii="標楷體" w:eastAsia="標楷體" w:hAnsi="標楷體" w:hint="eastAsia"/>
          <w:b/>
          <w:color w:val="000000"/>
          <w:sz w:val="32"/>
          <w:szCs w:val="32"/>
        </w:rPr>
        <w:t>業務簡報</w:t>
      </w:r>
    </w:p>
    <w:p w14:paraId="1792318C" w14:textId="77777777" w:rsidR="00421BB5" w:rsidRPr="00C363F0" w:rsidRDefault="00421BB5" w:rsidP="00421BB5">
      <w:pPr>
        <w:topLinePunct/>
        <w:spacing w:line="520" w:lineRule="exact"/>
        <w:ind w:left="720"/>
        <w:jc w:val="both"/>
        <w:rPr>
          <w:rFonts w:ascii="標楷體" w:eastAsia="標楷體" w:hAnsi="標楷體"/>
          <w:sz w:val="32"/>
          <w:szCs w:val="32"/>
        </w:rPr>
      </w:pPr>
      <w:r w:rsidRPr="00C363F0">
        <w:rPr>
          <w:rFonts w:ascii="標楷體" w:eastAsia="標楷體" w:hAnsi="標楷體" w:hint="eastAsia"/>
          <w:b/>
          <w:color w:val="000000"/>
          <w:sz w:val="32"/>
          <w:szCs w:val="32"/>
        </w:rPr>
        <w:t>外</w:t>
      </w:r>
      <w:r w:rsidRPr="00C363F0">
        <w:rPr>
          <w:rFonts w:ascii="標楷體" w:eastAsia="標楷體" w:hAnsi="標楷體"/>
          <w:b/>
          <w:color w:val="000000"/>
          <w:sz w:val="32"/>
          <w:szCs w:val="32"/>
        </w:rPr>
        <w:t>役監與一</w:t>
      </w:r>
      <w:r w:rsidRPr="00C363F0">
        <w:rPr>
          <w:rFonts w:ascii="標楷體" w:eastAsia="標楷體" w:hAnsi="標楷體" w:hint="eastAsia"/>
          <w:b/>
          <w:color w:val="000000"/>
          <w:sz w:val="32"/>
          <w:szCs w:val="32"/>
        </w:rPr>
        <w:t>般</w:t>
      </w:r>
      <w:r w:rsidRPr="00C363F0">
        <w:rPr>
          <w:rFonts w:ascii="標楷體" w:eastAsia="標楷體" w:hAnsi="標楷體"/>
          <w:b/>
          <w:color w:val="000000"/>
          <w:sz w:val="32"/>
          <w:szCs w:val="32"/>
        </w:rPr>
        <w:t>監處遇比較</w:t>
      </w:r>
      <w:r w:rsidRPr="00C363F0">
        <w:rPr>
          <w:rFonts w:ascii="標楷體" w:eastAsia="標楷體" w:hAnsi="標楷體"/>
          <w:sz w:val="32"/>
          <w:szCs w:val="32"/>
        </w:rPr>
        <w:t>（</w:t>
      </w:r>
      <w:r w:rsidRPr="00C363F0">
        <w:rPr>
          <w:rFonts w:ascii="標楷體" w:eastAsia="標楷體" w:hAnsi="標楷體" w:hint="eastAsia"/>
          <w:sz w:val="32"/>
          <w:szCs w:val="32"/>
        </w:rPr>
        <w:t>葉典獄長</w:t>
      </w:r>
      <w:r w:rsidRPr="00C363F0">
        <w:rPr>
          <w:rFonts w:ascii="標楷體" w:eastAsia="標楷體" w:hAnsi="標楷體"/>
          <w:sz w:val="32"/>
          <w:szCs w:val="32"/>
        </w:rPr>
        <w:t>俊宏</w:t>
      </w:r>
      <w:r w:rsidRPr="00C363F0">
        <w:rPr>
          <w:rFonts w:ascii="標楷體" w:eastAsia="標楷體" w:hAnsi="標楷體" w:hint="eastAsia"/>
          <w:sz w:val="32"/>
          <w:szCs w:val="32"/>
        </w:rPr>
        <w:t>報告如附件</w:t>
      </w:r>
      <w:r w:rsidRPr="00C363F0">
        <w:rPr>
          <w:rFonts w:ascii="標楷體" w:eastAsia="標楷體" w:hAnsi="標楷體"/>
          <w:sz w:val="32"/>
          <w:szCs w:val="32"/>
        </w:rPr>
        <w:t>1）</w:t>
      </w:r>
    </w:p>
    <w:p w14:paraId="5E8392DC" w14:textId="77777777" w:rsidR="00421BB5" w:rsidRPr="00C363F0" w:rsidRDefault="00421BB5" w:rsidP="00421BB5">
      <w:pPr>
        <w:topLinePunct/>
        <w:spacing w:line="520" w:lineRule="exact"/>
        <w:ind w:left="720"/>
        <w:jc w:val="both"/>
        <w:rPr>
          <w:rFonts w:ascii="標楷體" w:eastAsia="標楷體" w:hAnsi="標楷體"/>
          <w:sz w:val="32"/>
          <w:szCs w:val="32"/>
        </w:rPr>
      </w:pPr>
      <w:r w:rsidRPr="00C363F0">
        <w:rPr>
          <w:rFonts w:ascii="標楷體" w:eastAsia="標楷體" w:hAnsi="標楷體" w:hint="eastAsia"/>
          <w:b/>
          <w:color w:val="000000"/>
          <w:sz w:val="32"/>
          <w:szCs w:val="32"/>
        </w:rPr>
        <w:t>臺北監獄業務簡報</w:t>
      </w:r>
      <w:r w:rsidRPr="00C363F0">
        <w:rPr>
          <w:rFonts w:ascii="標楷體" w:eastAsia="標楷體" w:hAnsi="標楷體"/>
          <w:sz w:val="32"/>
          <w:szCs w:val="32"/>
        </w:rPr>
        <w:t>（</w:t>
      </w:r>
      <w:r w:rsidRPr="00C363F0">
        <w:rPr>
          <w:rFonts w:ascii="標楷體" w:eastAsia="標楷體" w:hAnsi="標楷體" w:hint="eastAsia"/>
          <w:sz w:val="32"/>
          <w:szCs w:val="32"/>
        </w:rPr>
        <w:t>吳典獄長澤生報告如附件2</w:t>
      </w:r>
      <w:r w:rsidRPr="00C363F0">
        <w:rPr>
          <w:rFonts w:ascii="標楷體" w:eastAsia="標楷體" w:hAnsi="標楷體"/>
          <w:sz w:val="32"/>
          <w:szCs w:val="32"/>
        </w:rPr>
        <w:t>）</w:t>
      </w:r>
    </w:p>
    <w:p w14:paraId="78A5FB4D" w14:textId="77777777" w:rsidR="00421BB5" w:rsidRPr="00C363F0" w:rsidRDefault="00421BB5" w:rsidP="007015C7">
      <w:pPr>
        <w:numPr>
          <w:ilvl w:val="0"/>
          <w:numId w:val="38"/>
        </w:numPr>
        <w:topLinePunct/>
        <w:spacing w:line="520" w:lineRule="exact"/>
        <w:ind w:hanging="2392"/>
        <w:jc w:val="both"/>
        <w:rPr>
          <w:rFonts w:ascii="標楷體" w:eastAsia="標楷體" w:hAnsi="標楷體"/>
          <w:sz w:val="32"/>
          <w:szCs w:val="32"/>
        </w:rPr>
      </w:pPr>
      <w:r w:rsidRPr="00C363F0">
        <w:rPr>
          <w:rFonts w:ascii="標楷體" w:eastAsia="標楷體" w:hAnsi="標楷體" w:hint="eastAsia"/>
          <w:b/>
          <w:color w:val="000000"/>
          <w:sz w:val="32"/>
        </w:rPr>
        <w:t>意見交流與座談</w:t>
      </w:r>
    </w:p>
    <w:p w14:paraId="12A6C312"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立法院陳召集委員歐</w:t>
      </w:r>
      <w:r w:rsidRPr="00C363F0">
        <w:rPr>
          <w:rFonts w:ascii="標楷體" w:eastAsia="標楷體" w:hAnsi="標楷體"/>
          <w:b/>
          <w:sz w:val="32"/>
          <w:szCs w:val="32"/>
        </w:rPr>
        <w:t>珀：</w:t>
      </w:r>
    </w:p>
    <w:p w14:paraId="22963407"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t>感</w:t>
      </w:r>
      <w:r w:rsidRPr="00C363F0">
        <w:rPr>
          <w:rFonts w:ascii="標楷體" w:eastAsia="標楷體" w:hAnsi="標楷體"/>
          <w:sz w:val="32"/>
          <w:szCs w:val="32"/>
        </w:rPr>
        <w:t>謝</w:t>
      </w:r>
      <w:r w:rsidRPr="00C363F0">
        <w:rPr>
          <w:rFonts w:ascii="標楷體" w:eastAsia="標楷體" w:hAnsi="標楷體" w:hint="eastAsia"/>
          <w:sz w:val="32"/>
          <w:szCs w:val="32"/>
        </w:rPr>
        <w:t>2位典</w:t>
      </w:r>
      <w:r w:rsidRPr="00C363F0">
        <w:rPr>
          <w:rFonts w:ascii="標楷體" w:eastAsia="標楷體" w:hAnsi="標楷體"/>
          <w:sz w:val="32"/>
          <w:szCs w:val="32"/>
        </w:rPr>
        <w:t>獄長的簡報，</w:t>
      </w:r>
      <w:r w:rsidRPr="00C363F0">
        <w:rPr>
          <w:rFonts w:ascii="標楷體" w:eastAsia="標楷體" w:hAnsi="標楷體" w:hint="eastAsia"/>
          <w:sz w:val="32"/>
          <w:szCs w:val="32"/>
        </w:rPr>
        <w:t>現</w:t>
      </w:r>
      <w:r w:rsidRPr="00C363F0">
        <w:rPr>
          <w:rFonts w:ascii="標楷體" w:eastAsia="標楷體" w:hAnsi="標楷體"/>
          <w:sz w:val="32"/>
          <w:szCs w:val="32"/>
        </w:rPr>
        <w:t>在進入綜合座談時間，</w:t>
      </w:r>
      <w:r w:rsidRPr="00C363F0">
        <w:rPr>
          <w:rFonts w:ascii="標楷體" w:eastAsia="標楷體" w:hAnsi="標楷體" w:hint="eastAsia"/>
          <w:sz w:val="32"/>
          <w:szCs w:val="32"/>
        </w:rPr>
        <w:t>各</w:t>
      </w:r>
      <w:r w:rsidRPr="00C363F0">
        <w:rPr>
          <w:rFonts w:ascii="標楷體" w:eastAsia="標楷體" w:hAnsi="標楷體"/>
          <w:sz w:val="32"/>
          <w:szCs w:val="32"/>
        </w:rPr>
        <w:t>位</w:t>
      </w:r>
      <w:r w:rsidRPr="00C363F0">
        <w:rPr>
          <w:rFonts w:ascii="標楷體" w:eastAsia="標楷體" w:hAnsi="標楷體" w:hint="eastAsia"/>
          <w:sz w:val="32"/>
          <w:szCs w:val="32"/>
        </w:rPr>
        <w:t>委</w:t>
      </w:r>
      <w:r w:rsidRPr="00C363F0">
        <w:rPr>
          <w:rFonts w:ascii="標楷體" w:eastAsia="標楷體" w:hAnsi="標楷體"/>
          <w:sz w:val="32"/>
          <w:szCs w:val="32"/>
        </w:rPr>
        <w:t>員辦公室主任及</w:t>
      </w:r>
      <w:r w:rsidRPr="00C363F0">
        <w:rPr>
          <w:rFonts w:ascii="標楷體" w:eastAsia="標楷體" w:hAnsi="標楷體" w:hint="eastAsia"/>
          <w:sz w:val="32"/>
          <w:szCs w:val="32"/>
        </w:rPr>
        <w:t>助</w:t>
      </w:r>
      <w:r w:rsidRPr="00C363F0">
        <w:rPr>
          <w:rFonts w:ascii="標楷體" w:eastAsia="標楷體" w:hAnsi="標楷體"/>
          <w:sz w:val="32"/>
          <w:szCs w:val="32"/>
        </w:rPr>
        <w:t>理</w:t>
      </w:r>
      <w:r w:rsidRPr="00C363F0">
        <w:rPr>
          <w:rFonts w:ascii="標楷體" w:eastAsia="標楷體" w:hAnsi="標楷體" w:hint="eastAsia"/>
          <w:sz w:val="32"/>
          <w:szCs w:val="32"/>
        </w:rPr>
        <w:t>不</w:t>
      </w:r>
      <w:r w:rsidRPr="00C363F0">
        <w:rPr>
          <w:rFonts w:ascii="標楷體" w:eastAsia="標楷體" w:hAnsi="標楷體"/>
          <w:sz w:val="32"/>
          <w:szCs w:val="32"/>
        </w:rPr>
        <w:t>要客氣，</w:t>
      </w:r>
      <w:r w:rsidRPr="00C363F0">
        <w:rPr>
          <w:rFonts w:ascii="標楷體" w:eastAsia="標楷體" w:hAnsi="標楷體" w:hint="eastAsia"/>
          <w:sz w:val="32"/>
          <w:szCs w:val="32"/>
        </w:rPr>
        <w:t>可</w:t>
      </w:r>
      <w:r w:rsidRPr="00C363F0">
        <w:rPr>
          <w:rFonts w:ascii="標楷體" w:eastAsia="標楷體" w:hAnsi="標楷體"/>
          <w:sz w:val="32"/>
          <w:szCs w:val="32"/>
        </w:rPr>
        <w:t>以代表委員</w:t>
      </w:r>
      <w:r w:rsidRPr="00C363F0">
        <w:rPr>
          <w:rFonts w:ascii="標楷體" w:eastAsia="標楷體" w:hAnsi="標楷體" w:hint="eastAsia"/>
          <w:sz w:val="32"/>
          <w:szCs w:val="32"/>
        </w:rPr>
        <w:t>發</w:t>
      </w:r>
      <w:r w:rsidRPr="00C363F0">
        <w:rPr>
          <w:rFonts w:ascii="標楷體" w:eastAsia="標楷體" w:hAnsi="標楷體"/>
          <w:sz w:val="32"/>
          <w:szCs w:val="32"/>
        </w:rPr>
        <w:t>言</w:t>
      </w:r>
      <w:r w:rsidRPr="00C363F0">
        <w:rPr>
          <w:rFonts w:ascii="標楷體" w:eastAsia="標楷體" w:hAnsi="標楷體" w:hint="eastAsia"/>
          <w:sz w:val="32"/>
          <w:szCs w:val="32"/>
        </w:rPr>
        <w:t>或提</w:t>
      </w:r>
      <w:r w:rsidRPr="00C363F0">
        <w:rPr>
          <w:rFonts w:ascii="標楷體" w:eastAsia="標楷體" w:hAnsi="標楷體"/>
          <w:sz w:val="32"/>
          <w:szCs w:val="32"/>
        </w:rPr>
        <w:t>出</w:t>
      </w:r>
      <w:r w:rsidRPr="00C363F0">
        <w:rPr>
          <w:rFonts w:ascii="標楷體" w:eastAsia="標楷體" w:hAnsi="標楷體" w:hint="eastAsia"/>
          <w:sz w:val="32"/>
          <w:szCs w:val="32"/>
        </w:rPr>
        <w:t>建議</w:t>
      </w:r>
      <w:r w:rsidRPr="00C363F0">
        <w:rPr>
          <w:rFonts w:ascii="標楷體" w:eastAsia="標楷體" w:hAnsi="標楷體"/>
          <w:sz w:val="32"/>
          <w:szCs w:val="32"/>
        </w:rPr>
        <w:t>。</w:t>
      </w:r>
    </w:p>
    <w:p w14:paraId="7756A3A4"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立法院陳歐珀委</w:t>
      </w:r>
      <w:r w:rsidRPr="00C363F0">
        <w:rPr>
          <w:rFonts w:ascii="標楷體" w:eastAsia="標楷體" w:hAnsi="標楷體"/>
          <w:b/>
          <w:sz w:val="32"/>
          <w:szCs w:val="32"/>
        </w:rPr>
        <w:t>員</w:t>
      </w:r>
      <w:r w:rsidRPr="00C363F0">
        <w:rPr>
          <w:rFonts w:ascii="標楷體" w:eastAsia="標楷體" w:hAnsi="標楷體" w:hint="eastAsia"/>
          <w:b/>
          <w:sz w:val="32"/>
          <w:szCs w:val="32"/>
        </w:rPr>
        <w:t>周研究室</w:t>
      </w:r>
      <w:r w:rsidRPr="00C363F0">
        <w:rPr>
          <w:rFonts w:ascii="標楷體" w:eastAsia="標楷體" w:hAnsi="標楷體"/>
          <w:b/>
          <w:sz w:val="32"/>
          <w:szCs w:val="32"/>
        </w:rPr>
        <w:t>顧問德旺：</w:t>
      </w:r>
    </w:p>
    <w:p w14:paraId="51D0C622"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t>肇</w:t>
      </w:r>
      <w:r w:rsidRPr="00C363F0">
        <w:rPr>
          <w:rFonts w:ascii="標楷體" w:eastAsia="標楷體" w:hAnsi="標楷體"/>
          <w:sz w:val="32"/>
          <w:szCs w:val="32"/>
        </w:rPr>
        <w:t>於</w:t>
      </w:r>
      <w:r w:rsidRPr="00C363F0">
        <w:rPr>
          <w:rFonts w:ascii="標楷體" w:eastAsia="標楷體" w:hAnsi="標楷體" w:hint="eastAsia"/>
          <w:sz w:val="32"/>
          <w:szCs w:val="32"/>
        </w:rPr>
        <w:t>2名</w:t>
      </w:r>
      <w:r w:rsidRPr="00C363F0">
        <w:rPr>
          <w:rFonts w:ascii="標楷體" w:eastAsia="標楷體" w:hAnsi="標楷體"/>
          <w:sz w:val="32"/>
          <w:szCs w:val="32"/>
        </w:rPr>
        <w:t>員警</w:t>
      </w:r>
      <w:r w:rsidRPr="00C363F0">
        <w:rPr>
          <w:rFonts w:ascii="標楷體" w:eastAsia="標楷體" w:hAnsi="標楷體" w:hint="eastAsia"/>
          <w:sz w:val="32"/>
          <w:szCs w:val="32"/>
        </w:rPr>
        <w:t>遇</w:t>
      </w:r>
      <w:r w:rsidRPr="00C363F0">
        <w:rPr>
          <w:rFonts w:ascii="標楷體" w:eastAsia="標楷體" w:hAnsi="標楷體"/>
          <w:sz w:val="32"/>
          <w:szCs w:val="32"/>
        </w:rPr>
        <w:t>害</w:t>
      </w:r>
      <w:r w:rsidRPr="00C363F0">
        <w:rPr>
          <w:rFonts w:ascii="標楷體" w:eastAsia="標楷體" w:hAnsi="標楷體" w:hint="eastAsia"/>
          <w:sz w:val="32"/>
          <w:szCs w:val="32"/>
        </w:rPr>
        <w:t>，立</w:t>
      </w:r>
      <w:r w:rsidRPr="00C363F0">
        <w:rPr>
          <w:rFonts w:ascii="標楷體" w:eastAsia="標楷體" w:hAnsi="標楷體"/>
          <w:sz w:val="32"/>
          <w:szCs w:val="32"/>
        </w:rPr>
        <w:t>法院相當關切外役監修法的議題</w:t>
      </w:r>
      <w:r w:rsidRPr="00C363F0">
        <w:rPr>
          <w:rFonts w:ascii="標楷體" w:eastAsia="標楷體" w:hAnsi="標楷體" w:hint="eastAsia"/>
          <w:sz w:val="32"/>
          <w:szCs w:val="32"/>
        </w:rPr>
        <w:t>。</w:t>
      </w:r>
      <w:r w:rsidRPr="00C363F0">
        <w:rPr>
          <w:rFonts w:ascii="標楷體" w:eastAsia="標楷體" w:hAnsi="標楷體"/>
          <w:sz w:val="32"/>
          <w:szCs w:val="32"/>
        </w:rPr>
        <w:t>陳歐珀委員</w:t>
      </w:r>
      <w:r w:rsidRPr="00C363F0">
        <w:rPr>
          <w:rFonts w:ascii="標楷體" w:eastAsia="標楷體" w:hAnsi="標楷體" w:hint="eastAsia"/>
          <w:sz w:val="32"/>
          <w:szCs w:val="32"/>
        </w:rPr>
        <w:t>也</w:t>
      </w:r>
      <w:r w:rsidRPr="00C363F0">
        <w:rPr>
          <w:rFonts w:ascii="標楷體" w:eastAsia="標楷體" w:hAnsi="標楷體"/>
          <w:sz w:val="32"/>
          <w:szCs w:val="32"/>
        </w:rPr>
        <w:t>相</w:t>
      </w:r>
      <w:r w:rsidRPr="00C363F0">
        <w:rPr>
          <w:rFonts w:ascii="標楷體" w:eastAsia="標楷體" w:hAnsi="標楷體" w:hint="eastAsia"/>
          <w:sz w:val="32"/>
          <w:szCs w:val="32"/>
        </w:rPr>
        <w:t>當</w:t>
      </w:r>
      <w:r w:rsidRPr="00C363F0">
        <w:rPr>
          <w:rFonts w:ascii="標楷體" w:eastAsia="標楷體" w:hAnsi="標楷體"/>
          <w:sz w:val="32"/>
          <w:szCs w:val="32"/>
        </w:rPr>
        <w:t>關</w:t>
      </w:r>
      <w:r w:rsidRPr="00C363F0">
        <w:rPr>
          <w:rFonts w:ascii="標楷體" w:eastAsia="標楷體" w:hAnsi="標楷體" w:hint="eastAsia"/>
          <w:sz w:val="32"/>
          <w:szCs w:val="32"/>
        </w:rPr>
        <w:t>心</w:t>
      </w:r>
      <w:r w:rsidRPr="00C363F0">
        <w:rPr>
          <w:rFonts w:ascii="標楷體" w:eastAsia="標楷體" w:hAnsi="標楷體"/>
          <w:sz w:val="32"/>
          <w:szCs w:val="32"/>
        </w:rPr>
        <w:t>修法</w:t>
      </w:r>
      <w:r w:rsidRPr="00C363F0">
        <w:rPr>
          <w:rFonts w:ascii="標楷體" w:eastAsia="標楷體" w:hAnsi="標楷體" w:hint="eastAsia"/>
          <w:sz w:val="32"/>
          <w:szCs w:val="32"/>
        </w:rPr>
        <w:t>前，</w:t>
      </w:r>
      <w:r w:rsidRPr="00C363F0">
        <w:rPr>
          <w:rFonts w:ascii="標楷體" w:eastAsia="標楷體" w:hAnsi="標楷體"/>
          <w:sz w:val="32"/>
          <w:szCs w:val="32"/>
        </w:rPr>
        <w:t>行政作為</w:t>
      </w:r>
      <w:r w:rsidRPr="00C363F0">
        <w:rPr>
          <w:rFonts w:ascii="標楷體" w:eastAsia="標楷體" w:hAnsi="標楷體" w:hint="eastAsia"/>
          <w:sz w:val="32"/>
          <w:szCs w:val="32"/>
        </w:rPr>
        <w:t>的</w:t>
      </w:r>
      <w:r w:rsidRPr="00C363F0">
        <w:rPr>
          <w:rFonts w:ascii="標楷體" w:eastAsia="標楷體" w:hAnsi="標楷體"/>
          <w:sz w:val="32"/>
          <w:szCs w:val="32"/>
        </w:rPr>
        <w:t>改變</w:t>
      </w:r>
      <w:r w:rsidRPr="00C363F0">
        <w:rPr>
          <w:rFonts w:ascii="標楷體" w:eastAsia="標楷體" w:hAnsi="標楷體" w:hint="eastAsia"/>
          <w:sz w:val="32"/>
          <w:szCs w:val="32"/>
        </w:rPr>
        <w:t>，</w:t>
      </w:r>
      <w:r w:rsidRPr="00C363F0">
        <w:rPr>
          <w:rFonts w:ascii="標楷體" w:eastAsia="標楷體" w:hAnsi="標楷體"/>
          <w:sz w:val="32"/>
          <w:szCs w:val="32"/>
        </w:rPr>
        <w:t>尤其在</w:t>
      </w:r>
      <w:r w:rsidRPr="00C363F0">
        <w:rPr>
          <w:rFonts w:ascii="標楷體" w:eastAsia="標楷體" w:hAnsi="標楷體" w:hint="eastAsia"/>
          <w:sz w:val="32"/>
          <w:szCs w:val="32"/>
        </w:rPr>
        <w:t>「</w:t>
      </w:r>
      <w:r w:rsidRPr="00C363F0">
        <w:rPr>
          <w:rFonts w:ascii="標楷體" w:eastAsia="標楷體" w:hAnsi="標楷體"/>
          <w:sz w:val="32"/>
          <w:szCs w:val="32"/>
        </w:rPr>
        <w:t>逾假未</w:t>
      </w:r>
      <w:r w:rsidRPr="00C363F0">
        <w:rPr>
          <w:rFonts w:ascii="標楷體" w:eastAsia="標楷體" w:hAnsi="標楷體" w:hint="eastAsia"/>
          <w:sz w:val="32"/>
          <w:szCs w:val="32"/>
        </w:rPr>
        <w:t>歸通</w:t>
      </w:r>
      <w:r w:rsidRPr="00C363F0">
        <w:rPr>
          <w:rFonts w:ascii="標楷體" w:eastAsia="標楷體" w:hAnsi="標楷體"/>
          <w:sz w:val="32"/>
          <w:szCs w:val="32"/>
        </w:rPr>
        <w:t>報程</w:t>
      </w:r>
      <w:r w:rsidRPr="00C363F0">
        <w:rPr>
          <w:rFonts w:ascii="標楷體" w:eastAsia="標楷體" w:hAnsi="標楷體" w:hint="eastAsia"/>
          <w:sz w:val="32"/>
          <w:szCs w:val="32"/>
        </w:rPr>
        <w:t>序」</w:t>
      </w:r>
      <w:r w:rsidRPr="00C363F0">
        <w:rPr>
          <w:rFonts w:ascii="標楷體" w:eastAsia="標楷體" w:hAnsi="標楷體"/>
          <w:sz w:val="32"/>
          <w:szCs w:val="32"/>
        </w:rPr>
        <w:t>獄方</w:t>
      </w:r>
      <w:r w:rsidRPr="00C363F0">
        <w:rPr>
          <w:rFonts w:ascii="標楷體" w:eastAsia="標楷體" w:hAnsi="標楷體" w:hint="eastAsia"/>
          <w:sz w:val="32"/>
          <w:szCs w:val="32"/>
        </w:rPr>
        <w:t>和</w:t>
      </w:r>
      <w:r w:rsidRPr="00C363F0">
        <w:rPr>
          <w:rFonts w:ascii="標楷體" w:eastAsia="標楷體" w:hAnsi="標楷體"/>
          <w:sz w:val="32"/>
          <w:szCs w:val="32"/>
        </w:rPr>
        <w:t>檢</w:t>
      </w:r>
      <w:r w:rsidRPr="00C363F0">
        <w:rPr>
          <w:rFonts w:ascii="標楷體" w:eastAsia="標楷體" w:hAnsi="標楷體" w:hint="eastAsia"/>
          <w:sz w:val="32"/>
          <w:szCs w:val="32"/>
        </w:rPr>
        <w:t>方如何修</w:t>
      </w:r>
      <w:r w:rsidRPr="00C363F0">
        <w:rPr>
          <w:rFonts w:ascii="標楷體" w:eastAsia="標楷體" w:hAnsi="標楷體"/>
          <w:sz w:val="32"/>
          <w:szCs w:val="32"/>
        </w:rPr>
        <w:t>正？</w:t>
      </w:r>
      <w:r w:rsidRPr="00C363F0">
        <w:rPr>
          <w:rFonts w:ascii="標楷體" w:eastAsia="標楷體" w:hAnsi="標楷體" w:hint="eastAsia"/>
          <w:sz w:val="32"/>
          <w:szCs w:val="32"/>
        </w:rPr>
        <w:t>當</w:t>
      </w:r>
      <w:r w:rsidRPr="00C363F0">
        <w:rPr>
          <w:rFonts w:ascii="標楷體" w:eastAsia="標楷體" w:hAnsi="標楷體"/>
          <w:sz w:val="32"/>
          <w:szCs w:val="32"/>
        </w:rPr>
        <w:t>時社會氛圍對於「逾假未歸</w:t>
      </w:r>
      <w:r w:rsidRPr="00C363F0">
        <w:rPr>
          <w:rFonts w:ascii="標楷體" w:eastAsia="標楷體" w:hAnsi="標楷體" w:hint="eastAsia"/>
          <w:sz w:val="32"/>
          <w:szCs w:val="32"/>
        </w:rPr>
        <w:t>」一詞</w:t>
      </w:r>
      <w:r w:rsidRPr="00C363F0">
        <w:rPr>
          <w:rFonts w:ascii="標楷體" w:eastAsia="標楷體" w:hAnsi="標楷體"/>
          <w:sz w:val="32"/>
          <w:szCs w:val="32"/>
        </w:rPr>
        <w:t>反感</w:t>
      </w:r>
      <w:r w:rsidRPr="00C363F0">
        <w:rPr>
          <w:rFonts w:ascii="標楷體" w:eastAsia="標楷體" w:hAnsi="標楷體" w:hint="eastAsia"/>
          <w:sz w:val="32"/>
          <w:szCs w:val="32"/>
        </w:rPr>
        <w:t>，覺</w:t>
      </w:r>
      <w:r w:rsidRPr="00C363F0">
        <w:rPr>
          <w:rFonts w:ascii="標楷體" w:eastAsia="標楷體" w:hAnsi="標楷體"/>
          <w:sz w:val="32"/>
          <w:szCs w:val="32"/>
        </w:rPr>
        <w:t>得這個說法避重就輕</w:t>
      </w:r>
      <w:r w:rsidRPr="00C363F0">
        <w:rPr>
          <w:rFonts w:ascii="標楷體" w:eastAsia="標楷體" w:hAnsi="標楷體" w:hint="eastAsia"/>
          <w:sz w:val="32"/>
          <w:szCs w:val="32"/>
        </w:rPr>
        <w:t>，</w:t>
      </w:r>
      <w:r w:rsidRPr="00C363F0">
        <w:rPr>
          <w:rFonts w:ascii="標楷體" w:eastAsia="標楷體" w:hAnsi="標楷體"/>
          <w:sz w:val="32"/>
          <w:szCs w:val="32"/>
        </w:rPr>
        <w:t>再者雖然</w:t>
      </w:r>
      <w:r w:rsidRPr="00C363F0">
        <w:rPr>
          <w:rFonts w:ascii="標楷體" w:eastAsia="標楷體" w:hAnsi="標楷體" w:hint="eastAsia"/>
          <w:sz w:val="32"/>
          <w:szCs w:val="32"/>
        </w:rPr>
        <w:t>建</w:t>
      </w:r>
      <w:r w:rsidRPr="00C363F0">
        <w:rPr>
          <w:rFonts w:ascii="標楷體" w:eastAsia="標楷體" w:hAnsi="標楷體"/>
          <w:sz w:val="32"/>
          <w:szCs w:val="32"/>
        </w:rPr>
        <w:t>立</w:t>
      </w:r>
      <w:r w:rsidRPr="00C363F0">
        <w:rPr>
          <w:rFonts w:ascii="標楷體" w:eastAsia="標楷體" w:hAnsi="標楷體" w:hint="eastAsia"/>
          <w:sz w:val="32"/>
          <w:szCs w:val="32"/>
        </w:rPr>
        <w:t>有</w:t>
      </w:r>
      <w:r w:rsidRPr="00C363F0">
        <w:rPr>
          <w:rFonts w:ascii="標楷體" w:eastAsia="標楷體" w:hAnsi="標楷體"/>
          <w:sz w:val="32"/>
          <w:szCs w:val="32"/>
        </w:rPr>
        <w:t>通報</w:t>
      </w:r>
      <w:r w:rsidRPr="00C363F0">
        <w:rPr>
          <w:rFonts w:ascii="標楷體" w:eastAsia="標楷體" w:hAnsi="標楷體" w:hint="eastAsia"/>
          <w:sz w:val="32"/>
          <w:szCs w:val="32"/>
        </w:rPr>
        <w:t>受</w:t>
      </w:r>
      <w:r w:rsidRPr="00C363F0">
        <w:rPr>
          <w:rFonts w:ascii="標楷體" w:eastAsia="標楷體" w:hAnsi="標楷體"/>
          <w:sz w:val="32"/>
          <w:szCs w:val="32"/>
        </w:rPr>
        <w:t>刑人未歸之程序，但後續甚至</w:t>
      </w:r>
      <w:r w:rsidRPr="00C363F0">
        <w:rPr>
          <w:rFonts w:ascii="標楷體" w:eastAsia="標楷體" w:hAnsi="標楷體" w:hint="eastAsia"/>
          <w:sz w:val="32"/>
          <w:szCs w:val="32"/>
        </w:rPr>
        <w:t>要36-48小</w:t>
      </w:r>
      <w:r w:rsidRPr="00C363F0">
        <w:rPr>
          <w:rFonts w:ascii="標楷體" w:eastAsia="標楷體" w:hAnsi="標楷體"/>
          <w:sz w:val="32"/>
          <w:szCs w:val="32"/>
        </w:rPr>
        <w:t>時</w:t>
      </w:r>
      <w:r w:rsidRPr="00C363F0">
        <w:rPr>
          <w:rFonts w:ascii="標楷體" w:eastAsia="標楷體" w:hAnsi="標楷體" w:hint="eastAsia"/>
          <w:sz w:val="32"/>
          <w:szCs w:val="32"/>
        </w:rPr>
        <w:t>才作</w:t>
      </w:r>
      <w:r w:rsidRPr="00C363F0">
        <w:rPr>
          <w:rFonts w:ascii="標楷體" w:eastAsia="標楷體" w:hAnsi="標楷體"/>
          <w:sz w:val="32"/>
          <w:szCs w:val="32"/>
        </w:rPr>
        <w:t>通報</w:t>
      </w:r>
      <w:r w:rsidRPr="00C363F0">
        <w:rPr>
          <w:rFonts w:ascii="標楷體" w:eastAsia="標楷體" w:hAnsi="標楷體" w:hint="eastAsia"/>
          <w:sz w:val="32"/>
          <w:szCs w:val="32"/>
        </w:rPr>
        <w:t>？</w:t>
      </w:r>
      <w:r w:rsidRPr="00C363F0">
        <w:rPr>
          <w:rFonts w:ascii="標楷體" w:eastAsia="標楷體" w:hAnsi="標楷體"/>
          <w:sz w:val="32"/>
          <w:szCs w:val="32"/>
        </w:rPr>
        <w:t>在此詢問獄方</w:t>
      </w:r>
      <w:r w:rsidRPr="00C363F0">
        <w:rPr>
          <w:rFonts w:ascii="標楷體" w:eastAsia="標楷體" w:hAnsi="標楷體" w:hint="eastAsia"/>
          <w:sz w:val="32"/>
          <w:szCs w:val="32"/>
        </w:rPr>
        <w:t>、</w:t>
      </w:r>
      <w:r w:rsidRPr="00C363F0">
        <w:rPr>
          <w:rFonts w:ascii="標楷體" w:eastAsia="標楷體" w:hAnsi="標楷體"/>
          <w:sz w:val="32"/>
          <w:szCs w:val="32"/>
        </w:rPr>
        <w:t>警方及檢方</w:t>
      </w:r>
      <w:r w:rsidRPr="00C363F0">
        <w:rPr>
          <w:rFonts w:ascii="標楷體" w:eastAsia="標楷體" w:hAnsi="標楷體" w:hint="eastAsia"/>
          <w:sz w:val="32"/>
          <w:szCs w:val="32"/>
        </w:rPr>
        <w:t>三</w:t>
      </w:r>
      <w:r w:rsidRPr="00C363F0">
        <w:rPr>
          <w:rFonts w:ascii="標楷體" w:eastAsia="標楷體" w:hAnsi="標楷體"/>
          <w:sz w:val="32"/>
          <w:szCs w:val="32"/>
        </w:rPr>
        <w:t>方</w:t>
      </w:r>
      <w:r w:rsidRPr="00C363F0">
        <w:rPr>
          <w:rFonts w:ascii="標楷體" w:eastAsia="標楷體" w:hAnsi="標楷體" w:hint="eastAsia"/>
          <w:sz w:val="32"/>
          <w:szCs w:val="32"/>
        </w:rPr>
        <w:t>的</w:t>
      </w:r>
      <w:r w:rsidRPr="00C363F0">
        <w:rPr>
          <w:rFonts w:ascii="標楷體" w:eastAsia="標楷體" w:hAnsi="標楷體"/>
          <w:sz w:val="32"/>
          <w:szCs w:val="32"/>
        </w:rPr>
        <w:t>通報程序為何，如何</w:t>
      </w:r>
      <w:r w:rsidRPr="00C363F0">
        <w:rPr>
          <w:rFonts w:ascii="標楷體" w:eastAsia="標楷體" w:hAnsi="標楷體" w:hint="eastAsia"/>
          <w:sz w:val="32"/>
          <w:szCs w:val="32"/>
        </w:rPr>
        <w:t>聯</w:t>
      </w:r>
      <w:r w:rsidRPr="00C363F0">
        <w:rPr>
          <w:rFonts w:ascii="標楷體" w:eastAsia="標楷體" w:hAnsi="標楷體"/>
          <w:sz w:val="32"/>
          <w:szCs w:val="32"/>
        </w:rPr>
        <w:t>繫？</w:t>
      </w:r>
      <w:r w:rsidRPr="00C363F0">
        <w:rPr>
          <w:rFonts w:ascii="標楷體" w:eastAsia="標楷體" w:hAnsi="標楷體" w:hint="eastAsia"/>
          <w:sz w:val="32"/>
          <w:szCs w:val="32"/>
        </w:rPr>
        <w:t>是</w:t>
      </w:r>
      <w:r w:rsidRPr="00C363F0">
        <w:rPr>
          <w:rFonts w:ascii="標楷體" w:eastAsia="標楷體" w:hAnsi="標楷體"/>
          <w:sz w:val="32"/>
          <w:szCs w:val="32"/>
        </w:rPr>
        <w:t>否</w:t>
      </w:r>
      <w:r w:rsidRPr="00C363F0">
        <w:rPr>
          <w:rFonts w:ascii="標楷體" w:eastAsia="標楷體" w:hAnsi="標楷體" w:hint="eastAsia"/>
          <w:sz w:val="32"/>
          <w:szCs w:val="32"/>
        </w:rPr>
        <w:t>已</w:t>
      </w:r>
      <w:r w:rsidRPr="00C363F0">
        <w:rPr>
          <w:rFonts w:ascii="標楷體" w:eastAsia="標楷體" w:hAnsi="標楷體"/>
          <w:sz w:val="32"/>
          <w:szCs w:val="32"/>
        </w:rPr>
        <w:t>有更精進的方式，</w:t>
      </w:r>
      <w:r w:rsidRPr="00C363F0">
        <w:rPr>
          <w:rFonts w:ascii="標楷體" w:eastAsia="標楷體" w:hAnsi="標楷體" w:hint="eastAsia"/>
          <w:sz w:val="32"/>
          <w:szCs w:val="32"/>
        </w:rPr>
        <w:t>讓</w:t>
      </w:r>
      <w:r w:rsidRPr="00C363F0">
        <w:rPr>
          <w:rFonts w:ascii="標楷體" w:eastAsia="標楷體" w:hAnsi="標楷體"/>
          <w:sz w:val="32"/>
          <w:szCs w:val="32"/>
        </w:rPr>
        <w:t>資</w:t>
      </w:r>
      <w:r w:rsidRPr="00C363F0">
        <w:rPr>
          <w:rFonts w:ascii="標楷體" w:eastAsia="標楷體" w:hAnsi="標楷體" w:hint="eastAsia"/>
          <w:sz w:val="32"/>
          <w:szCs w:val="32"/>
        </w:rPr>
        <w:t>訊</w:t>
      </w:r>
      <w:r w:rsidRPr="00C363F0">
        <w:rPr>
          <w:rFonts w:ascii="標楷體" w:eastAsia="標楷體" w:hAnsi="標楷體"/>
          <w:sz w:val="32"/>
          <w:szCs w:val="32"/>
        </w:rPr>
        <w:t>彼此分享</w:t>
      </w:r>
      <w:r w:rsidRPr="00C363F0">
        <w:rPr>
          <w:rFonts w:ascii="標楷體" w:eastAsia="標楷體" w:hAnsi="標楷體" w:hint="eastAsia"/>
          <w:sz w:val="32"/>
          <w:szCs w:val="32"/>
        </w:rPr>
        <w:t>，並</w:t>
      </w:r>
      <w:r w:rsidRPr="00C363F0">
        <w:rPr>
          <w:rFonts w:ascii="標楷體" w:eastAsia="標楷體" w:hAnsi="標楷體"/>
          <w:sz w:val="32"/>
          <w:szCs w:val="32"/>
        </w:rPr>
        <w:t>能即時通報</w:t>
      </w:r>
      <w:r w:rsidRPr="00C363F0">
        <w:rPr>
          <w:rFonts w:ascii="標楷體" w:eastAsia="標楷體" w:hAnsi="標楷體" w:hint="eastAsia"/>
          <w:sz w:val="32"/>
          <w:szCs w:val="32"/>
        </w:rPr>
        <w:t>，</w:t>
      </w:r>
      <w:r w:rsidRPr="00C363F0">
        <w:rPr>
          <w:rFonts w:ascii="標楷體" w:eastAsia="標楷體" w:hAnsi="標楷體"/>
          <w:sz w:val="32"/>
          <w:szCs w:val="32"/>
        </w:rPr>
        <w:t>以</w:t>
      </w:r>
      <w:r w:rsidRPr="00C363F0">
        <w:rPr>
          <w:rFonts w:ascii="標楷體" w:eastAsia="標楷體" w:hAnsi="標楷體" w:hint="eastAsia"/>
          <w:sz w:val="32"/>
          <w:szCs w:val="32"/>
        </w:rPr>
        <w:t>消</w:t>
      </w:r>
      <w:r w:rsidRPr="00C363F0">
        <w:rPr>
          <w:rFonts w:ascii="標楷體" w:eastAsia="標楷體" w:hAnsi="標楷體"/>
          <w:sz w:val="32"/>
          <w:szCs w:val="32"/>
        </w:rPr>
        <w:t>除社會</w:t>
      </w:r>
      <w:r w:rsidRPr="00C363F0">
        <w:rPr>
          <w:rFonts w:ascii="標楷體" w:eastAsia="標楷體" w:hAnsi="標楷體" w:hint="eastAsia"/>
          <w:sz w:val="32"/>
          <w:szCs w:val="32"/>
        </w:rPr>
        <w:t>對</w:t>
      </w:r>
      <w:r w:rsidRPr="00C363F0">
        <w:rPr>
          <w:rFonts w:ascii="標楷體" w:eastAsia="標楷體" w:hAnsi="標楷體"/>
          <w:sz w:val="32"/>
          <w:szCs w:val="32"/>
        </w:rPr>
        <w:t>制度的顧慮。</w:t>
      </w:r>
    </w:p>
    <w:p w14:paraId="514DF46C"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時代力</w:t>
      </w:r>
      <w:r w:rsidRPr="00C363F0">
        <w:rPr>
          <w:rFonts w:ascii="標楷體" w:eastAsia="標楷體" w:hAnsi="標楷體"/>
          <w:b/>
          <w:sz w:val="32"/>
          <w:szCs w:val="32"/>
        </w:rPr>
        <w:t>量</w:t>
      </w:r>
      <w:r w:rsidRPr="00C363F0">
        <w:rPr>
          <w:rFonts w:ascii="標楷體" w:eastAsia="標楷體" w:hAnsi="標楷體" w:hint="eastAsia"/>
          <w:b/>
          <w:sz w:val="32"/>
          <w:szCs w:val="32"/>
        </w:rPr>
        <w:t>黨團巫黨團</w:t>
      </w:r>
      <w:r w:rsidRPr="00C363F0">
        <w:rPr>
          <w:rFonts w:ascii="標楷體" w:eastAsia="標楷體" w:hAnsi="標楷體"/>
          <w:b/>
          <w:sz w:val="32"/>
          <w:szCs w:val="32"/>
        </w:rPr>
        <w:t>助理馥彤：</w:t>
      </w:r>
    </w:p>
    <w:p w14:paraId="36A6A68E"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t>外</w:t>
      </w:r>
      <w:r w:rsidRPr="00C363F0">
        <w:rPr>
          <w:rFonts w:ascii="標楷體" w:eastAsia="標楷體" w:hAnsi="標楷體"/>
          <w:sz w:val="32"/>
          <w:szCs w:val="32"/>
        </w:rPr>
        <w:t>役監</w:t>
      </w:r>
      <w:r w:rsidRPr="00C363F0">
        <w:rPr>
          <w:rFonts w:ascii="標楷體" w:eastAsia="標楷體" w:hAnsi="標楷體" w:hint="eastAsia"/>
          <w:sz w:val="32"/>
          <w:szCs w:val="32"/>
        </w:rPr>
        <w:t>制</w:t>
      </w:r>
      <w:r w:rsidRPr="00C363F0">
        <w:rPr>
          <w:rFonts w:ascii="標楷體" w:eastAsia="標楷體" w:hAnsi="標楷體"/>
          <w:sz w:val="32"/>
          <w:szCs w:val="32"/>
        </w:rPr>
        <w:t>度除了受刑人勞動</w:t>
      </w:r>
      <w:r w:rsidRPr="00C363F0">
        <w:rPr>
          <w:rFonts w:ascii="標楷體" w:eastAsia="標楷體" w:hAnsi="標楷體" w:hint="eastAsia"/>
          <w:sz w:val="32"/>
          <w:szCs w:val="32"/>
        </w:rPr>
        <w:t>外</w:t>
      </w:r>
      <w:r w:rsidRPr="00C363F0">
        <w:rPr>
          <w:rFonts w:ascii="標楷體" w:eastAsia="標楷體" w:hAnsi="標楷體"/>
          <w:sz w:val="32"/>
          <w:szCs w:val="32"/>
        </w:rPr>
        <w:t>，</w:t>
      </w:r>
      <w:r w:rsidRPr="00C363F0">
        <w:rPr>
          <w:rFonts w:ascii="標楷體" w:eastAsia="標楷體" w:hAnsi="標楷體" w:hint="eastAsia"/>
          <w:sz w:val="32"/>
          <w:szCs w:val="32"/>
        </w:rPr>
        <w:t>應</w:t>
      </w:r>
      <w:r w:rsidRPr="00C363F0">
        <w:rPr>
          <w:rFonts w:ascii="標楷體" w:eastAsia="標楷體" w:hAnsi="標楷體"/>
          <w:sz w:val="32"/>
          <w:szCs w:val="32"/>
        </w:rPr>
        <w:t>該</w:t>
      </w:r>
      <w:r w:rsidRPr="00C363F0">
        <w:rPr>
          <w:rFonts w:ascii="標楷體" w:eastAsia="標楷體" w:hAnsi="標楷體" w:hint="eastAsia"/>
          <w:sz w:val="32"/>
          <w:szCs w:val="32"/>
        </w:rPr>
        <w:t>還要著</w:t>
      </w:r>
      <w:r w:rsidRPr="00C363F0">
        <w:rPr>
          <w:rFonts w:ascii="標楷體" w:eastAsia="標楷體" w:hAnsi="標楷體"/>
          <w:sz w:val="32"/>
          <w:szCs w:val="32"/>
        </w:rPr>
        <w:t>重如何協</w:t>
      </w:r>
      <w:r w:rsidRPr="00C363F0">
        <w:rPr>
          <w:rFonts w:ascii="標楷體" w:eastAsia="標楷體" w:hAnsi="標楷體" w:hint="eastAsia"/>
          <w:sz w:val="32"/>
          <w:szCs w:val="32"/>
        </w:rPr>
        <w:t>助</w:t>
      </w:r>
      <w:r w:rsidRPr="00C363F0">
        <w:rPr>
          <w:rFonts w:ascii="標楷體" w:eastAsia="標楷體" w:hAnsi="標楷體"/>
          <w:sz w:val="32"/>
          <w:szCs w:val="32"/>
        </w:rPr>
        <w:t>受刑</w:t>
      </w:r>
      <w:r w:rsidRPr="00C363F0">
        <w:rPr>
          <w:rFonts w:ascii="標楷體" w:eastAsia="標楷體" w:hAnsi="標楷體" w:hint="eastAsia"/>
          <w:sz w:val="32"/>
          <w:szCs w:val="32"/>
        </w:rPr>
        <w:t>人</w:t>
      </w:r>
      <w:r w:rsidRPr="00C363F0">
        <w:rPr>
          <w:rFonts w:ascii="標楷體" w:eastAsia="標楷體" w:hAnsi="標楷體"/>
          <w:sz w:val="32"/>
          <w:szCs w:val="32"/>
        </w:rPr>
        <w:t>復歸轉</w:t>
      </w:r>
      <w:r w:rsidRPr="00C363F0">
        <w:rPr>
          <w:rFonts w:ascii="標楷體" w:eastAsia="標楷體" w:hAnsi="標楷體" w:hint="eastAsia"/>
          <w:sz w:val="32"/>
          <w:szCs w:val="32"/>
        </w:rPr>
        <w:t>銜</w:t>
      </w:r>
      <w:r w:rsidRPr="00C363F0">
        <w:rPr>
          <w:rFonts w:ascii="標楷體" w:eastAsia="標楷體" w:hAnsi="標楷體"/>
          <w:sz w:val="32"/>
          <w:szCs w:val="32"/>
        </w:rPr>
        <w:t>，作</w:t>
      </w:r>
      <w:r w:rsidRPr="00C363F0">
        <w:rPr>
          <w:rFonts w:ascii="標楷體" w:eastAsia="標楷體" w:hAnsi="標楷體" w:hint="eastAsia"/>
          <w:sz w:val="32"/>
          <w:szCs w:val="32"/>
        </w:rPr>
        <w:t>好</w:t>
      </w:r>
      <w:r w:rsidRPr="00C363F0">
        <w:rPr>
          <w:rFonts w:ascii="標楷體" w:eastAsia="標楷體" w:hAnsi="標楷體"/>
          <w:sz w:val="32"/>
          <w:szCs w:val="32"/>
        </w:rPr>
        <w:t>回到</w:t>
      </w:r>
      <w:r w:rsidRPr="00C363F0">
        <w:rPr>
          <w:rFonts w:ascii="標楷體" w:eastAsia="標楷體" w:hAnsi="標楷體" w:hint="eastAsia"/>
          <w:sz w:val="32"/>
          <w:szCs w:val="32"/>
        </w:rPr>
        <w:t>外</w:t>
      </w:r>
      <w:r w:rsidRPr="00C363F0">
        <w:rPr>
          <w:rFonts w:ascii="標楷體" w:eastAsia="標楷體" w:hAnsi="標楷體"/>
          <w:sz w:val="32"/>
          <w:szCs w:val="32"/>
        </w:rPr>
        <w:t>面社會的準備</w:t>
      </w:r>
      <w:r w:rsidRPr="00C363F0">
        <w:rPr>
          <w:rFonts w:ascii="標楷體" w:eastAsia="標楷體" w:hAnsi="標楷體" w:hint="eastAsia"/>
          <w:sz w:val="32"/>
          <w:szCs w:val="32"/>
        </w:rPr>
        <w:t>，</w:t>
      </w:r>
      <w:r w:rsidRPr="00C363F0">
        <w:rPr>
          <w:rFonts w:ascii="標楷體" w:eastAsia="標楷體" w:hAnsi="標楷體"/>
          <w:sz w:val="32"/>
          <w:szCs w:val="32"/>
        </w:rPr>
        <w:t>例如</w:t>
      </w:r>
      <w:r w:rsidRPr="00C363F0">
        <w:rPr>
          <w:rFonts w:ascii="標楷體" w:eastAsia="標楷體" w:hAnsi="標楷體" w:hint="eastAsia"/>
          <w:sz w:val="32"/>
          <w:szCs w:val="32"/>
        </w:rPr>
        <w:t>：</w:t>
      </w:r>
      <w:r w:rsidRPr="00C363F0">
        <w:rPr>
          <w:rFonts w:ascii="標楷體" w:eastAsia="標楷體" w:hAnsi="標楷體"/>
          <w:sz w:val="32"/>
          <w:szCs w:val="32"/>
        </w:rPr>
        <w:t>作業</w:t>
      </w:r>
      <w:r w:rsidRPr="00C363F0">
        <w:rPr>
          <w:rFonts w:ascii="標楷體" w:eastAsia="標楷體" w:hAnsi="標楷體" w:hint="eastAsia"/>
          <w:sz w:val="32"/>
          <w:szCs w:val="32"/>
        </w:rPr>
        <w:t>銜</w:t>
      </w:r>
      <w:r w:rsidRPr="00C363F0">
        <w:rPr>
          <w:rFonts w:ascii="標楷體" w:eastAsia="標楷體" w:hAnsi="標楷體"/>
          <w:sz w:val="32"/>
          <w:szCs w:val="32"/>
        </w:rPr>
        <w:t>接</w:t>
      </w:r>
      <w:r w:rsidRPr="00C363F0">
        <w:rPr>
          <w:rFonts w:ascii="標楷體" w:eastAsia="標楷體" w:hAnsi="標楷體" w:hint="eastAsia"/>
          <w:sz w:val="32"/>
          <w:szCs w:val="32"/>
        </w:rPr>
        <w:t>與</w:t>
      </w:r>
      <w:r w:rsidRPr="00C363F0">
        <w:rPr>
          <w:rFonts w:ascii="標楷體" w:eastAsia="標楷體" w:hAnsi="標楷體"/>
          <w:sz w:val="32"/>
          <w:szCs w:val="32"/>
        </w:rPr>
        <w:t>安</w:t>
      </w:r>
      <w:r w:rsidRPr="00C363F0">
        <w:rPr>
          <w:rFonts w:ascii="標楷體" w:eastAsia="標楷體" w:hAnsi="標楷體" w:hint="eastAsia"/>
          <w:sz w:val="32"/>
          <w:szCs w:val="32"/>
        </w:rPr>
        <w:t>排</w:t>
      </w:r>
      <w:r w:rsidRPr="00C363F0">
        <w:rPr>
          <w:rFonts w:ascii="標楷體" w:eastAsia="標楷體" w:hAnsi="標楷體"/>
          <w:sz w:val="32"/>
          <w:szCs w:val="32"/>
        </w:rPr>
        <w:t>，</w:t>
      </w:r>
      <w:r w:rsidRPr="00C363F0">
        <w:rPr>
          <w:rFonts w:ascii="標楷體" w:eastAsia="標楷體" w:hAnsi="標楷體" w:hint="eastAsia"/>
          <w:sz w:val="32"/>
          <w:szCs w:val="32"/>
        </w:rPr>
        <w:t>若受</w:t>
      </w:r>
      <w:r w:rsidRPr="00C363F0">
        <w:rPr>
          <w:rFonts w:ascii="標楷體" w:eastAsia="標楷體" w:hAnsi="標楷體"/>
          <w:sz w:val="32"/>
          <w:szCs w:val="32"/>
        </w:rPr>
        <w:t>刑人</w:t>
      </w:r>
      <w:r w:rsidRPr="00C363F0">
        <w:rPr>
          <w:rFonts w:ascii="標楷體" w:eastAsia="標楷體" w:hAnsi="標楷體" w:hint="eastAsia"/>
          <w:sz w:val="32"/>
          <w:szCs w:val="32"/>
        </w:rPr>
        <w:t>在</w:t>
      </w:r>
      <w:r w:rsidRPr="00C363F0">
        <w:rPr>
          <w:rFonts w:ascii="標楷體" w:eastAsia="標楷體" w:hAnsi="標楷體"/>
          <w:sz w:val="32"/>
          <w:szCs w:val="32"/>
        </w:rPr>
        <w:t>外役監</w:t>
      </w:r>
      <w:r w:rsidRPr="00C363F0">
        <w:rPr>
          <w:rFonts w:ascii="標楷體" w:eastAsia="標楷體" w:hAnsi="標楷體" w:hint="eastAsia"/>
          <w:sz w:val="32"/>
          <w:szCs w:val="32"/>
        </w:rPr>
        <w:t>主</w:t>
      </w:r>
      <w:r w:rsidRPr="00C363F0">
        <w:rPr>
          <w:rFonts w:ascii="標楷體" w:eastAsia="標楷體" w:hAnsi="標楷體"/>
          <w:sz w:val="32"/>
          <w:szCs w:val="32"/>
        </w:rPr>
        <w:t>要學習農牧</w:t>
      </w:r>
      <w:r w:rsidRPr="00C363F0">
        <w:rPr>
          <w:rFonts w:ascii="標楷體" w:eastAsia="標楷體" w:hAnsi="標楷體" w:hint="eastAsia"/>
          <w:sz w:val="32"/>
          <w:szCs w:val="32"/>
        </w:rPr>
        <w:t>工</w:t>
      </w:r>
      <w:r w:rsidRPr="00C363F0">
        <w:rPr>
          <w:rFonts w:ascii="標楷體" w:eastAsia="標楷體" w:hAnsi="標楷體"/>
          <w:sz w:val="32"/>
          <w:szCs w:val="32"/>
        </w:rPr>
        <w:t>作，而回歸都</w:t>
      </w:r>
      <w:r w:rsidRPr="00C363F0">
        <w:rPr>
          <w:rFonts w:ascii="標楷體" w:eastAsia="標楷體" w:hAnsi="標楷體" w:hint="eastAsia"/>
          <w:sz w:val="32"/>
          <w:szCs w:val="32"/>
        </w:rPr>
        <w:t>市型社</w:t>
      </w:r>
      <w:r w:rsidRPr="00C363F0">
        <w:rPr>
          <w:rFonts w:ascii="標楷體" w:eastAsia="標楷體" w:hAnsi="標楷體"/>
          <w:sz w:val="32"/>
          <w:szCs w:val="32"/>
        </w:rPr>
        <w:t>會時，</w:t>
      </w:r>
      <w:r w:rsidRPr="00C363F0">
        <w:rPr>
          <w:rFonts w:ascii="標楷體" w:eastAsia="標楷體" w:hAnsi="標楷體" w:hint="eastAsia"/>
          <w:sz w:val="32"/>
          <w:szCs w:val="32"/>
        </w:rPr>
        <w:t>技</w:t>
      </w:r>
      <w:r w:rsidRPr="00C363F0">
        <w:rPr>
          <w:rFonts w:ascii="標楷體" w:eastAsia="標楷體" w:hAnsi="標楷體"/>
          <w:sz w:val="32"/>
          <w:szCs w:val="32"/>
        </w:rPr>
        <w:t>能</w:t>
      </w:r>
      <w:r w:rsidRPr="00C363F0">
        <w:rPr>
          <w:rFonts w:ascii="標楷體" w:eastAsia="標楷體" w:hAnsi="標楷體" w:hint="eastAsia"/>
          <w:sz w:val="32"/>
          <w:szCs w:val="32"/>
        </w:rPr>
        <w:t>便</w:t>
      </w:r>
      <w:r w:rsidRPr="00C363F0">
        <w:rPr>
          <w:rFonts w:ascii="標楷體" w:eastAsia="標楷體" w:hAnsi="標楷體"/>
          <w:sz w:val="32"/>
          <w:szCs w:val="32"/>
        </w:rPr>
        <w:t>不</w:t>
      </w:r>
      <w:r w:rsidRPr="00C363F0">
        <w:rPr>
          <w:rFonts w:ascii="標楷體" w:eastAsia="標楷體" w:hAnsi="標楷體" w:hint="eastAsia"/>
          <w:sz w:val="32"/>
          <w:szCs w:val="32"/>
        </w:rPr>
        <w:t>符其所需，</w:t>
      </w:r>
      <w:r w:rsidRPr="00C363F0">
        <w:rPr>
          <w:rFonts w:ascii="標楷體" w:eastAsia="標楷體" w:hAnsi="標楷體"/>
          <w:sz w:val="32"/>
          <w:szCs w:val="32"/>
        </w:rPr>
        <w:t>而不易謀</w:t>
      </w:r>
      <w:r w:rsidRPr="00C363F0">
        <w:rPr>
          <w:rFonts w:ascii="標楷體" w:eastAsia="標楷體" w:hAnsi="標楷體" w:hint="eastAsia"/>
          <w:sz w:val="32"/>
          <w:szCs w:val="32"/>
        </w:rPr>
        <w:t>求</w:t>
      </w:r>
      <w:r w:rsidRPr="00C363F0">
        <w:rPr>
          <w:rFonts w:ascii="標楷體" w:eastAsia="標楷體" w:hAnsi="標楷體"/>
          <w:sz w:val="32"/>
          <w:szCs w:val="32"/>
        </w:rPr>
        <w:t>工作。</w:t>
      </w:r>
      <w:r w:rsidRPr="00C363F0">
        <w:rPr>
          <w:rFonts w:ascii="標楷體" w:eastAsia="標楷體" w:hAnsi="標楷體" w:hint="eastAsia"/>
          <w:sz w:val="32"/>
          <w:szCs w:val="32"/>
        </w:rPr>
        <w:t>此</w:t>
      </w:r>
      <w:r w:rsidRPr="00C363F0">
        <w:rPr>
          <w:rFonts w:ascii="標楷體" w:eastAsia="標楷體" w:hAnsi="標楷體"/>
          <w:sz w:val="32"/>
          <w:szCs w:val="32"/>
        </w:rPr>
        <w:t>外，</w:t>
      </w:r>
      <w:r w:rsidRPr="00C363F0">
        <w:rPr>
          <w:rFonts w:ascii="標楷體" w:eastAsia="標楷體" w:hAnsi="標楷體" w:hint="eastAsia"/>
          <w:sz w:val="32"/>
          <w:szCs w:val="32"/>
        </w:rPr>
        <w:t>受</w:t>
      </w:r>
      <w:r w:rsidRPr="00C363F0">
        <w:rPr>
          <w:rFonts w:ascii="標楷體" w:eastAsia="標楷體" w:hAnsi="標楷體"/>
          <w:sz w:val="32"/>
          <w:szCs w:val="32"/>
        </w:rPr>
        <w:t>刑人</w:t>
      </w:r>
      <w:r w:rsidRPr="00C363F0">
        <w:rPr>
          <w:rFonts w:ascii="標楷體" w:eastAsia="標楷體" w:hAnsi="標楷體" w:hint="eastAsia"/>
          <w:sz w:val="32"/>
          <w:szCs w:val="32"/>
        </w:rPr>
        <w:t>大</w:t>
      </w:r>
      <w:r w:rsidRPr="00C363F0">
        <w:rPr>
          <w:rFonts w:ascii="標楷體" w:eastAsia="標楷體" w:hAnsi="標楷體"/>
          <w:sz w:val="32"/>
          <w:szCs w:val="32"/>
        </w:rPr>
        <w:t>多</w:t>
      </w:r>
      <w:r w:rsidRPr="00C363F0">
        <w:rPr>
          <w:rFonts w:ascii="標楷體" w:eastAsia="標楷體" w:hAnsi="標楷體" w:hint="eastAsia"/>
          <w:sz w:val="32"/>
          <w:szCs w:val="32"/>
        </w:rPr>
        <w:t>需</w:t>
      </w:r>
      <w:r w:rsidRPr="00C363F0">
        <w:rPr>
          <w:rFonts w:ascii="標楷體" w:eastAsia="標楷體" w:hAnsi="標楷體"/>
          <w:sz w:val="32"/>
          <w:szCs w:val="32"/>
        </w:rPr>
        <w:t>要學習</w:t>
      </w:r>
      <w:r w:rsidRPr="00C363F0">
        <w:rPr>
          <w:rFonts w:ascii="標楷體" w:eastAsia="標楷體" w:hAnsi="標楷體" w:hint="eastAsia"/>
          <w:sz w:val="32"/>
          <w:szCs w:val="32"/>
        </w:rPr>
        <w:t>情</w:t>
      </w:r>
      <w:r w:rsidRPr="00C363F0">
        <w:rPr>
          <w:rFonts w:ascii="標楷體" w:eastAsia="標楷體" w:hAnsi="標楷體"/>
          <w:sz w:val="32"/>
          <w:szCs w:val="32"/>
        </w:rPr>
        <w:t>緒控管</w:t>
      </w:r>
      <w:r w:rsidRPr="00C363F0">
        <w:rPr>
          <w:rFonts w:ascii="標楷體" w:eastAsia="標楷體" w:hAnsi="標楷體" w:hint="eastAsia"/>
          <w:sz w:val="32"/>
          <w:szCs w:val="32"/>
        </w:rPr>
        <w:t>及</w:t>
      </w:r>
      <w:r w:rsidRPr="00C363F0">
        <w:rPr>
          <w:rFonts w:ascii="標楷體" w:eastAsia="標楷體" w:hAnsi="標楷體"/>
          <w:sz w:val="32"/>
          <w:szCs w:val="32"/>
        </w:rPr>
        <w:t>壓力</w:t>
      </w:r>
      <w:r w:rsidRPr="00C363F0">
        <w:rPr>
          <w:rFonts w:ascii="標楷體" w:eastAsia="標楷體" w:hAnsi="標楷體" w:hint="eastAsia"/>
          <w:sz w:val="32"/>
          <w:szCs w:val="32"/>
        </w:rPr>
        <w:t>適</w:t>
      </w:r>
      <w:r w:rsidRPr="00C363F0">
        <w:rPr>
          <w:rFonts w:ascii="標楷體" w:eastAsia="標楷體" w:hAnsi="標楷體"/>
          <w:sz w:val="32"/>
          <w:szCs w:val="32"/>
        </w:rPr>
        <w:t>應，</w:t>
      </w:r>
      <w:r w:rsidRPr="00C363F0">
        <w:rPr>
          <w:rFonts w:ascii="標楷體" w:eastAsia="標楷體" w:hAnsi="標楷體" w:hint="eastAsia"/>
          <w:sz w:val="32"/>
          <w:szCs w:val="32"/>
        </w:rPr>
        <w:t>監</w:t>
      </w:r>
      <w:r w:rsidRPr="00C363F0">
        <w:rPr>
          <w:rFonts w:ascii="標楷體" w:eastAsia="標楷體" w:hAnsi="標楷體"/>
          <w:sz w:val="32"/>
          <w:szCs w:val="32"/>
        </w:rPr>
        <w:t>獄是否有安排</w:t>
      </w:r>
      <w:r w:rsidRPr="00C363F0">
        <w:rPr>
          <w:rFonts w:ascii="標楷體" w:eastAsia="標楷體" w:hAnsi="標楷體" w:hint="eastAsia"/>
          <w:sz w:val="32"/>
          <w:szCs w:val="32"/>
        </w:rPr>
        <w:t>相</w:t>
      </w:r>
      <w:r w:rsidRPr="00C363F0">
        <w:rPr>
          <w:rFonts w:ascii="標楷體" w:eastAsia="標楷體" w:hAnsi="標楷體"/>
          <w:sz w:val="32"/>
          <w:szCs w:val="32"/>
        </w:rPr>
        <w:t>關</w:t>
      </w:r>
      <w:r w:rsidRPr="00C363F0">
        <w:rPr>
          <w:rFonts w:ascii="標楷體" w:eastAsia="標楷體" w:hAnsi="標楷體" w:hint="eastAsia"/>
          <w:sz w:val="32"/>
          <w:szCs w:val="32"/>
        </w:rPr>
        <w:t>調</w:t>
      </w:r>
      <w:r w:rsidRPr="00C363F0">
        <w:rPr>
          <w:rFonts w:ascii="標楷體" w:eastAsia="標楷體" w:hAnsi="標楷體"/>
          <w:sz w:val="32"/>
          <w:szCs w:val="32"/>
        </w:rPr>
        <w:t>適</w:t>
      </w:r>
      <w:r w:rsidRPr="00C363F0">
        <w:rPr>
          <w:rFonts w:ascii="標楷體" w:eastAsia="標楷體" w:hAnsi="標楷體" w:hint="eastAsia"/>
          <w:sz w:val="32"/>
          <w:szCs w:val="32"/>
        </w:rPr>
        <w:t>情</w:t>
      </w:r>
      <w:r w:rsidRPr="00C363F0">
        <w:rPr>
          <w:rFonts w:ascii="標楷體" w:eastAsia="標楷體" w:hAnsi="標楷體"/>
          <w:sz w:val="32"/>
          <w:szCs w:val="32"/>
        </w:rPr>
        <w:t>緒的課程</w:t>
      </w:r>
      <w:r w:rsidRPr="00C363F0">
        <w:rPr>
          <w:rFonts w:ascii="標楷體" w:eastAsia="標楷體" w:hAnsi="標楷體" w:hint="eastAsia"/>
          <w:sz w:val="32"/>
          <w:szCs w:val="32"/>
        </w:rPr>
        <w:t>或</w:t>
      </w:r>
      <w:r w:rsidRPr="00C363F0">
        <w:rPr>
          <w:rFonts w:ascii="標楷體" w:eastAsia="標楷體" w:hAnsi="標楷體"/>
          <w:sz w:val="32"/>
          <w:szCs w:val="32"/>
        </w:rPr>
        <w:t>準備</w:t>
      </w:r>
      <w:r w:rsidRPr="00C363F0">
        <w:rPr>
          <w:rFonts w:ascii="標楷體" w:eastAsia="標楷體" w:hAnsi="標楷體" w:hint="eastAsia"/>
          <w:sz w:val="32"/>
          <w:szCs w:val="32"/>
        </w:rPr>
        <w:t>？協</w:t>
      </w:r>
      <w:r w:rsidRPr="00C363F0">
        <w:rPr>
          <w:rFonts w:ascii="標楷體" w:eastAsia="標楷體" w:hAnsi="標楷體"/>
          <w:sz w:val="32"/>
          <w:szCs w:val="32"/>
        </w:rPr>
        <w:t>助受刑人復歸社會時，能降低衝動</w:t>
      </w:r>
      <w:r w:rsidRPr="00C363F0">
        <w:rPr>
          <w:rFonts w:ascii="標楷體" w:eastAsia="標楷體" w:hAnsi="標楷體" w:hint="eastAsia"/>
          <w:sz w:val="32"/>
          <w:szCs w:val="32"/>
        </w:rPr>
        <w:t>避</w:t>
      </w:r>
      <w:r w:rsidRPr="00C363F0">
        <w:rPr>
          <w:rFonts w:ascii="標楷體" w:eastAsia="標楷體" w:hAnsi="標楷體"/>
          <w:sz w:val="32"/>
          <w:szCs w:val="32"/>
        </w:rPr>
        <w:t>免再犯。</w:t>
      </w:r>
    </w:p>
    <w:p w14:paraId="32506ED4"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lastRenderedPageBreak/>
        <w:t>釋</w:t>
      </w:r>
      <w:r w:rsidRPr="00C363F0">
        <w:rPr>
          <w:rFonts w:ascii="標楷體" w:eastAsia="標楷體" w:hAnsi="標楷體"/>
          <w:sz w:val="32"/>
          <w:szCs w:val="32"/>
        </w:rPr>
        <w:t>字</w:t>
      </w:r>
      <w:r w:rsidRPr="00C363F0">
        <w:rPr>
          <w:rFonts w:ascii="標楷體" w:eastAsia="標楷體" w:hAnsi="標楷體" w:hint="eastAsia"/>
          <w:sz w:val="32"/>
          <w:szCs w:val="32"/>
        </w:rPr>
        <w:t>785期限</w:t>
      </w:r>
      <w:r w:rsidRPr="00C363F0">
        <w:rPr>
          <w:rFonts w:ascii="標楷體" w:eastAsia="標楷體" w:hAnsi="標楷體"/>
          <w:sz w:val="32"/>
          <w:szCs w:val="32"/>
        </w:rPr>
        <w:t>將在</w:t>
      </w:r>
      <w:r w:rsidRPr="00C363F0">
        <w:rPr>
          <w:rFonts w:ascii="標楷體" w:eastAsia="標楷體" w:hAnsi="標楷體" w:hint="eastAsia"/>
          <w:sz w:val="32"/>
          <w:szCs w:val="32"/>
        </w:rPr>
        <w:t>本</w:t>
      </w:r>
      <w:r w:rsidRPr="00C363F0">
        <w:rPr>
          <w:rFonts w:ascii="標楷體" w:eastAsia="標楷體" w:hAnsi="標楷體"/>
          <w:sz w:val="32"/>
          <w:szCs w:val="32"/>
        </w:rPr>
        <w:t>（</w:t>
      </w:r>
      <w:r w:rsidRPr="00C363F0">
        <w:rPr>
          <w:rFonts w:ascii="標楷體" w:eastAsia="標楷體" w:hAnsi="標楷體" w:hint="eastAsia"/>
          <w:sz w:val="32"/>
          <w:szCs w:val="32"/>
        </w:rPr>
        <w:t>111）</w:t>
      </w:r>
      <w:r w:rsidRPr="00C363F0">
        <w:rPr>
          <w:rFonts w:ascii="標楷體" w:eastAsia="標楷體" w:hAnsi="標楷體"/>
          <w:sz w:val="32"/>
          <w:szCs w:val="32"/>
        </w:rPr>
        <w:t>年</w:t>
      </w:r>
      <w:r w:rsidRPr="00C363F0">
        <w:rPr>
          <w:rFonts w:ascii="標楷體" w:eastAsia="標楷體" w:hAnsi="標楷體" w:hint="eastAsia"/>
          <w:sz w:val="32"/>
          <w:szCs w:val="32"/>
        </w:rPr>
        <w:t>11月底屆</w:t>
      </w:r>
      <w:r w:rsidRPr="00C363F0">
        <w:rPr>
          <w:rFonts w:ascii="標楷體" w:eastAsia="標楷體" w:hAnsi="標楷體"/>
          <w:sz w:val="32"/>
          <w:szCs w:val="32"/>
        </w:rPr>
        <w:t>滿</w:t>
      </w:r>
      <w:r w:rsidRPr="00C363F0">
        <w:rPr>
          <w:rFonts w:ascii="標楷體" w:eastAsia="標楷體" w:hAnsi="標楷體" w:hint="eastAsia"/>
          <w:sz w:val="32"/>
          <w:szCs w:val="32"/>
        </w:rPr>
        <w:t>，聽</w:t>
      </w:r>
      <w:r w:rsidRPr="00C363F0">
        <w:rPr>
          <w:rFonts w:ascii="標楷體" w:eastAsia="標楷體" w:hAnsi="標楷體"/>
          <w:sz w:val="32"/>
          <w:szCs w:val="32"/>
        </w:rPr>
        <w:t>聞部分</w:t>
      </w:r>
      <w:r w:rsidRPr="00C363F0">
        <w:rPr>
          <w:rFonts w:ascii="標楷體" w:eastAsia="標楷體" w:hAnsi="標楷體" w:hint="eastAsia"/>
          <w:sz w:val="32"/>
          <w:szCs w:val="32"/>
        </w:rPr>
        <w:t>機</w:t>
      </w:r>
      <w:r w:rsidRPr="00C363F0">
        <w:rPr>
          <w:rFonts w:ascii="標楷體" w:eastAsia="標楷體" w:hAnsi="標楷體"/>
          <w:sz w:val="32"/>
          <w:szCs w:val="32"/>
        </w:rPr>
        <w:t>關在</w:t>
      </w:r>
      <w:r w:rsidRPr="00C363F0">
        <w:rPr>
          <w:rFonts w:ascii="標楷體" w:eastAsia="標楷體" w:hAnsi="標楷體" w:hint="eastAsia"/>
          <w:sz w:val="32"/>
          <w:szCs w:val="32"/>
        </w:rPr>
        <w:t>勤</w:t>
      </w:r>
      <w:r w:rsidRPr="00C363F0">
        <w:rPr>
          <w:rFonts w:ascii="標楷體" w:eastAsia="標楷體" w:hAnsi="標楷體"/>
          <w:sz w:val="32"/>
          <w:szCs w:val="32"/>
        </w:rPr>
        <w:t>務制度方面</w:t>
      </w:r>
      <w:r w:rsidRPr="00C363F0">
        <w:rPr>
          <w:rFonts w:ascii="標楷體" w:eastAsia="標楷體" w:hAnsi="標楷體" w:hint="eastAsia"/>
          <w:sz w:val="32"/>
          <w:szCs w:val="32"/>
        </w:rPr>
        <w:t>尚</w:t>
      </w:r>
      <w:r w:rsidRPr="00C363F0">
        <w:rPr>
          <w:rFonts w:ascii="標楷體" w:eastAsia="標楷體" w:hAnsi="標楷體"/>
          <w:sz w:val="32"/>
          <w:szCs w:val="32"/>
        </w:rPr>
        <w:t>實施</w:t>
      </w:r>
      <w:r w:rsidRPr="00C363F0">
        <w:rPr>
          <w:rFonts w:ascii="標楷體" w:eastAsia="標楷體" w:hAnsi="標楷體" w:hint="eastAsia"/>
          <w:sz w:val="32"/>
          <w:szCs w:val="32"/>
        </w:rPr>
        <w:t>凌</w:t>
      </w:r>
      <w:r w:rsidRPr="00C363F0">
        <w:rPr>
          <w:rFonts w:ascii="標楷體" w:eastAsia="標楷體" w:hAnsi="標楷體"/>
          <w:sz w:val="32"/>
          <w:szCs w:val="32"/>
        </w:rPr>
        <w:t>晨</w:t>
      </w:r>
      <w:r w:rsidRPr="00C363F0">
        <w:rPr>
          <w:rFonts w:ascii="標楷體" w:eastAsia="標楷體" w:hAnsi="標楷體" w:hint="eastAsia"/>
          <w:sz w:val="32"/>
          <w:szCs w:val="32"/>
        </w:rPr>
        <w:t>12時</w:t>
      </w:r>
      <w:r w:rsidRPr="00C363F0">
        <w:rPr>
          <w:rFonts w:ascii="標楷體" w:eastAsia="標楷體" w:hAnsi="標楷體"/>
          <w:sz w:val="32"/>
          <w:szCs w:val="32"/>
        </w:rPr>
        <w:t>至</w:t>
      </w:r>
      <w:r w:rsidRPr="00C363F0">
        <w:rPr>
          <w:rFonts w:ascii="標楷體" w:eastAsia="標楷體" w:hAnsi="標楷體" w:hint="eastAsia"/>
          <w:sz w:val="32"/>
          <w:szCs w:val="32"/>
        </w:rPr>
        <w:t>4時休息</w:t>
      </w:r>
      <w:r w:rsidRPr="00C363F0">
        <w:rPr>
          <w:rFonts w:ascii="標楷體" w:eastAsia="標楷體" w:hAnsi="標楷體"/>
          <w:sz w:val="32"/>
          <w:szCs w:val="32"/>
        </w:rPr>
        <w:t>不給薪，</w:t>
      </w:r>
      <w:r w:rsidRPr="00C363F0">
        <w:rPr>
          <w:rFonts w:ascii="標楷體" w:eastAsia="標楷體" w:hAnsi="標楷體" w:hint="eastAsia"/>
          <w:sz w:val="32"/>
          <w:szCs w:val="32"/>
        </w:rPr>
        <w:t>請</w:t>
      </w:r>
      <w:r w:rsidRPr="00C363F0">
        <w:rPr>
          <w:rFonts w:ascii="標楷體" w:eastAsia="標楷體" w:hAnsi="標楷體"/>
          <w:sz w:val="32"/>
          <w:szCs w:val="32"/>
        </w:rPr>
        <w:t>問有哪些機關如此規劃？是</w:t>
      </w:r>
      <w:r w:rsidRPr="00C363F0">
        <w:rPr>
          <w:rFonts w:ascii="標楷體" w:eastAsia="標楷體" w:hAnsi="標楷體" w:hint="eastAsia"/>
          <w:sz w:val="32"/>
          <w:szCs w:val="32"/>
        </w:rPr>
        <w:t>否</w:t>
      </w:r>
      <w:r w:rsidRPr="00C363F0">
        <w:rPr>
          <w:rFonts w:ascii="標楷體" w:eastAsia="標楷體" w:hAnsi="標楷體"/>
          <w:sz w:val="32"/>
          <w:szCs w:val="32"/>
        </w:rPr>
        <w:t>有調</w:t>
      </w:r>
      <w:r w:rsidRPr="00C363F0">
        <w:rPr>
          <w:rFonts w:ascii="標楷體" w:eastAsia="標楷體" w:hAnsi="標楷體" w:hint="eastAsia"/>
          <w:sz w:val="32"/>
          <w:szCs w:val="32"/>
        </w:rPr>
        <w:t>整</w:t>
      </w:r>
      <w:r w:rsidRPr="00C363F0">
        <w:rPr>
          <w:rFonts w:ascii="標楷體" w:eastAsia="標楷體" w:hAnsi="標楷體"/>
          <w:sz w:val="32"/>
          <w:szCs w:val="32"/>
        </w:rPr>
        <w:t>空間？以</w:t>
      </w:r>
      <w:r w:rsidRPr="00C363F0">
        <w:rPr>
          <w:rFonts w:ascii="標楷體" w:eastAsia="標楷體" w:hAnsi="標楷體" w:hint="eastAsia"/>
          <w:sz w:val="32"/>
          <w:szCs w:val="32"/>
        </w:rPr>
        <w:t>充</w:t>
      </w:r>
      <w:r w:rsidRPr="00C363F0">
        <w:rPr>
          <w:rFonts w:ascii="標楷體" w:eastAsia="標楷體" w:hAnsi="標楷體"/>
          <w:sz w:val="32"/>
          <w:szCs w:val="32"/>
        </w:rPr>
        <w:t>分</w:t>
      </w:r>
      <w:r w:rsidRPr="00C363F0">
        <w:rPr>
          <w:rFonts w:ascii="標楷體" w:eastAsia="標楷體" w:hAnsi="標楷體" w:hint="eastAsia"/>
          <w:sz w:val="32"/>
          <w:szCs w:val="32"/>
        </w:rPr>
        <w:t>保</w:t>
      </w:r>
      <w:r w:rsidRPr="00C363F0">
        <w:rPr>
          <w:rFonts w:ascii="標楷體" w:eastAsia="標楷體" w:hAnsi="標楷體"/>
          <w:sz w:val="32"/>
          <w:szCs w:val="32"/>
        </w:rPr>
        <w:t>障</w:t>
      </w:r>
      <w:r w:rsidRPr="00C363F0">
        <w:rPr>
          <w:rFonts w:ascii="標楷體" w:eastAsia="標楷體" w:hAnsi="標楷體" w:hint="eastAsia"/>
          <w:sz w:val="32"/>
          <w:szCs w:val="32"/>
        </w:rPr>
        <w:t>監</w:t>
      </w:r>
      <w:r w:rsidRPr="00C363F0">
        <w:rPr>
          <w:rFonts w:ascii="標楷體" w:eastAsia="標楷體" w:hAnsi="標楷體"/>
          <w:sz w:val="32"/>
          <w:szCs w:val="32"/>
        </w:rPr>
        <w:t>獄職員之</w:t>
      </w:r>
      <w:r w:rsidRPr="00C363F0">
        <w:rPr>
          <w:rFonts w:ascii="標楷體" w:eastAsia="標楷體" w:hAnsi="標楷體" w:hint="eastAsia"/>
          <w:sz w:val="32"/>
          <w:szCs w:val="32"/>
        </w:rPr>
        <w:t>權</w:t>
      </w:r>
      <w:r w:rsidRPr="00C363F0">
        <w:rPr>
          <w:rFonts w:ascii="標楷體" w:eastAsia="標楷體" w:hAnsi="標楷體"/>
          <w:sz w:val="32"/>
          <w:szCs w:val="32"/>
        </w:rPr>
        <w:t>益。</w:t>
      </w:r>
    </w:p>
    <w:p w14:paraId="52B87B4E" w14:textId="77777777" w:rsidR="00421BB5" w:rsidRPr="00C363F0" w:rsidRDefault="00421BB5" w:rsidP="00421BB5">
      <w:pPr>
        <w:topLinePunct/>
        <w:spacing w:line="520" w:lineRule="exact"/>
        <w:ind w:left="720" w:firstLineChars="200" w:firstLine="640"/>
        <w:jc w:val="both"/>
        <w:rPr>
          <w:rFonts w:ascii="標楷體" w:eastAsia="標楷體" w:hAnsi="標楷體"/>
          <w:b/>
          <w:sz w:val="32"/>
          <w:szCs w:val="32"/>
        </w:rPr>
      </w:pPr>
      <w:r w:rsidRPr="00C363F0">
        <w:rPr>
          <w:rFonts w:ascii="標楷體" w:eastAsia="標楷體" w:hAnsi="標楷體" w:hint="eastAsia"/>
          <w:sz w:val="32"/>
          <w:szCs w:val="32"/>
        </w:rPr>
        <w:t>八</w:t>
      </w:r>
      <w:r w:rsidRPr="00C363F0">
        <w:rPr>
          <w:rFonts w:ascii="標楷體" w:eastAsia="標楷體" w:hAnsi="標楷體"/>
          <w:sz w:val="32"/>
          <w:szCs w:val="32"/>
        </w:rPr>
        <w:t>德外役監獄簡報提及，已</w:t>
      </w:r>
      <w:r w:rsidRPr="00C363F0">
        <w:rPr>
          <w:rFonts w:ascii="標楷體" w:eastAsia="標楷體" w:hAnsi="標楷體" w:hint="eastAsia"/>
          <w:sz w:val="32"/>
          <w:szCs w:val="32"/>
        </w:rPr>
        <w:t>實</w:t>
      </w:r>
      <w:r w:rsidRPr="00C363F0">
        <w:rPr>
          <w:rFonts w:ascii="標楷體" w:eastAsia="標楷體" w:hAnsi="標楷體"/>
          <w:sz w:val="32"/>
          <w:szCs w:val="32"/>
        </w:rPr>
        <w:t>施</w:t>
      </w:r>
      <w:r w:rsidRPr="00C363F0">
        <w:rPr>
          <w:rFonts w:ascii="標楷體" w:eastAsia="標楷體" w:hAnsi="標楷體" w:hint="eastAsia"/>
          <w:sz w:val="32"/>
          <w:szCs w:val="32"/>
        </w:rPr>
        <w:t>受</w:t>
      </w:r>
      <w:r w:rsidRPr="00C363F0">
        <w:rPr>
          <w:rFonts w:ascii="標楷體" w:eastAsia="標楷體" w:hAnsi="標楷體"/>
          <w:sz w:val="32"/>
          <w:szCs w:val="32"/>
        </w:rPr>
        <w:t>刑人</w:t>
      </w:r>
      <w:r w:rsidRPr="00C363F0">
        <w:rPr>
          <w:rFonts w:ascii="標楷體" w:eastAsia="標楷體" w:hAnsi="標楷體" w:hint="eastAsia"/>
          <w:sz w:val="32"/>
          <w:szCs w:val="32"/>
        </w:rPr>
        <w:t>服</w:t>
      </w:r>
      <w:r w:rsidRPr="00C363F0">
        <w:rPr>
          <w:rFonts w:ascii="標楷體" w:eastAsia="標楷體" w:hAnsi="標楷體"/>
          <w:sz w:val="32"/>
          <w:szCs w:val="32"/>
        </w:rPr>
        <w:t>藥</w:t>
      </w:r>
      <w:r w:rsidRPr="00C363F0">
        <w:rPr>
          <w:rFonts w:ascii="標楷體" w:eastAsia="標楷體" w:hAnsi="標楷體" w:hint="eastAsia"/>
          <w:sz w:val="32"/>
          <w:szCs w:val="32"/>
        </w:rPr>
        <w:t>由</w:t>
      </w:r>
      <w:r w:rsidRPr="00C363F0">
        <w:rPr>
          <w:rFonts w:ascii="標楷體" w:eastAsia="標楷體" w:hAnsi="標楷體"/>
          <w:sz w:val="32"/>
          <w:szCs w:val="32"/>
        </w:rPr>
        <w:t>其自主健康管理</w:t>
      </w:r>
      <w:r w:rsidRPr="00C363F0">
        <w:rPr>
          <w:rFonts w:ascii="標楷體" w:eastAsia="標楷體" w:hAnsi="標楷體" w:hint="eastAsia"/>
          <w:sz w:val="32"/>
          <w:szCs w:val="32"/>
        </w:rPr>
        <w:t>，而</w:t>
      </w:r>
      <w:r w:rsidRPr="00C363F0">
        <w:rPr>
          <w:rFonts w:ascii="標楷體" w:eastAsia="標楷體" w:hAnsi="標楷體"/>
          <w:sz w:val="32"/>
          <w:szCs w:val="32"/>
        </w:rPr>
        <w:t>臺北監獄</w:t>
      </w:r>
      <w:r w:rsidRPr="00C363F0">
        <w:rPr>
          <w:rFonts w:ascii="標楷體" w:eastAsia="標楷體" w:hAnsi="標楷體" w:hint="eastAsia"/>
          <w:sz w:val="32"/>
          <w:szCs w:val="32"/>
        </w:rPr>
        <w:t>及</w:t>
      </w:r>
      <w:r w:rsidRPr="00C363F0">
        <w:rPr>
          <w:rFonts w:ascii="標楷體" w:eastAsia="標楷體" w:hAnsi="標楷體"/>
          <w:sz w:val="32"/>
          <w:szCs w:val="32"/>
        </w:rPr>
        <w:t>其他監獄是否也併同規</w:t>
      </w:r>
      <w:r w:rsidRPr="00C363F0">
        <w:rPr>
          <w:rFonts w:ascii="標楷體" w:eastAsia="標楷體" w:hAnsi="標楷體" w:hint="eastAsia"/>
          <w:sz w:val="32"/>
          <w:szCs w:val="32"/>
        </w:rPr>
        <w:t>劃</w:t>
      </w:r>
      <w:r w:rsidRPr="00C363F0">
        <w:rPr>
          <w:rFonts w:ascii="標楷體" w:eastAsia="標楷體" w:hAnsi="標楷體"/>
          <w:sz w:val="32"/>
          <w:szCs w:val="32"/>
        </w:rPr>
        <w:t>？</w:t>
      </w:r>
    </w:p>
    <w:p w14:paraId="0A5F3356"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立法院陳歐珀委</w:t>
      </w:r>
      <w:r w:rsidRPr="00C363F0">
        <w:rPr>
          <w:rFonts w:ascii="標楷體" w:eastAsia="標楷體" w:hAnsi="標楷體"/>
          <w:b/>
          <w:sz w:val="32"/>
          <w:szCs w:val="32"/>
        </w:rPr>
        <w:t>員</w:t>
      </w:r>
      <w:r w:rsidRPr="00C363F0">
        <w:rPr>
          <w:rFonts w:ascii="標楷體" w:eastAsia="標楷體" w:hAnsi="標楷體" w:hint="eastAsia"/>
          <w:b/>
          <w:sz w:val="32"/>
          <w:szCs w:val="32"/>
        </w:rPr>
        <w:t>周研究室</w:t>
      </w:r>
      <w:r w:rsidRPr="00C363F0">
        <w:rPr>
          <w:rFonts w:ascii="標楷體" w:eastAsia="標楷體" w:hAnsi="標楷體"/>
          <w:b/>
          <w:sz w:val="32"/>
          <w:szCs w:val="32"/>
        </w:rPr>
        <w:t>顧問德旺：</w:t>
      </w:r>
    </w:p>
    <w:p w14:paraId="01410F1C"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t>八</w:t>
      </w:r>
      <w:r w:rsidRPr="00C363F0">
        <w:rPr>
          <w:rFonts w:ascii="標楷體" w:eastAsia="標楷體" w:hAnsi="標楷體"/>
          <w:sz w:val="32"/>
          <w:szCs w:val="32"/>
        </w:rPr>
        <w:t>德</w:t>
      </w:r>
      <w:r w:rsidRPr="00C363F0">
        <w:rPr>
          <w:rFonts w:ascii="標楷體" w:eastAsia="標楷體" w:hAnsi="標楷體" w:hint="eastAsia"/>
          <w:sz w:val="32"/>
          <w:szCs w:val="32"/>
        </w:rPr>
        <w:t>外</w:t>
      </w:r>
      <w:r w:rsidRPr="00C363F0">
        <w:rPr>
          <w:rFonts w:ascii="標楷體" w:eastAsia="標楷體" w:hAnsi="標楷體"/>
          <w:sz w:val="32"/>
          <w:szCs w:val="32"/>
        </w:rPr>
        <w:t>役監</w:t>
      </w:r>
      <w:r w:rsidRPr="00C363F0">
        <w:rPr>
          <w:rFonts w:ascii="標楷體" w:eastAsia="標楷體" w:hAnsi="標楷體" w:hint="eastAsia"/>
          <w:sz w:val="32"/>
          <w:szCs w:val="32"/>
        </w:rPr>
        <w:t>葉典獄長</w:t>
      </w:r>
      <w:r w:rsidRPr="00C363F0">
        <w:rPr>
          <w:rFonts w:ascii="標楷體" w:eastAsia="標楷體" w:hAnsi="標楷體"/>
          <w:sz w:val="32"/>
          <w:szCs w:val="32"/>
        </w:rPr>
        <w:t>簡報時，</w:t>
      </w:r>
      <w:r w:rsidRPr="00C363F0">
        <w:rPr>
          <w:rFonts w:ascii="標楷體" w:eastAsia="標楷體" w:hAnsi="標楷體" w:hint="eastAsia"/>
          <w:sz w:val="32"/>
          <w:szCs w:val="32"/>
        </w:rPr>
        <w:t>特</w:t>
      </w:r>
      <w:r w:rsidRPr="00C363F0">
        <w:rPr>
          <w:rFonts w:ascii="標楷體" w:eastAsia="標楷體" w:hAnsi="標楷體"/>
          <w:sz w:val="32"/>
          <w:szCs w:val="32"/>
        </w:rPr>
        <w:t>別強調</w:t>
      </w:r>
      <w:r w:rsidRPr="00C363F0">
        <w:rPr>
          <w:rFonts w:ascii="標楷體" w:eastAsia="標楷體" w:hAnsi="標楷體" w:hint="eastAsia"/>
          <w:sz w:val="32"/>
          <w:szCs w:val="32"/>
        </w:rPr>
        <w:t>因</w:t>
      </w:r>
      <w:r w:rsidRPr="00C363F0">
        <w:rPr>
          <w:rFonts w:ascii="標楷體" w:eastAsia="標楷體" w:hAnsi="標楷體"/>
          <w:sz w:val="32"/>
          <w:szCs w:val="32"/>
        </w:rPr>
        <w:t>所在地條件，</w:t>
      </w:r>
      <w:r w:rsidRPr="00C363F0">
        <w:rPr>
          <w:rFonts w:ascii="標楷體" w:eastAsia="標楷體" w:hAnsi="標楷體" w:hint="eastAsia"/>
          <w:sz w:val="32"/>
          <w:szCs w:val="32"/>
        </w:rPr>
        <w:t>該監</w:t>
      </w:r>
      <w:r w:rsidRPr="00C363F0">
        <w:rPr>
          <w:rFonts w:ascii="標楷體" w:eastAsia="標楷體" w:hAnsi="標楷體"/>
          <w:sz w:val="32"/>
          <w:szCs w:val="32"/>
        </w:rPr>
        <w:t>規劃為工業性外役監</w:t>
      </w:r>
      <w:r w:rsidRPr="00C363F0">
        <w:rPr>
          <w:rFonts w:ascii="標楷體" w:eastAsia="標楷體" w:hAnsi="標楷體" w:hint="eastAsia"/>
          <w:sz w:val="32"/>
          <w:szCs w:val="32"/>
        </w:rPr>
        <w:t>，</w:t>
      </w:r>
      <w:r w:rsidRPr="00C363F0">
        <w:rPr>
          <w:rFonts w:ascii="標楷體" w:eastAsia="標楷體" w:hAnsi="標楷體"/>
          <w:sz w:val="32"/>
          <w:szCs w:val="32"/>
        </w:rPr>
        <w:t>安排</w:t>
      </w:r>
      <w:r w:rsidRPr="00C363F0">
        <w:rPr>
          <w:rFonts w:ascii="標楷體" w:eastAsia="標楷體" w:hAnsi="標楷體" w:hint="eastAsia"/>
          <w:sz w:val="32"/>
          <w:szCs w:val="32"/>
        </w:rPr>
        <w:t>15人</w:t>
      </w:r>
      <w:r w:rsidRPr="00C363F0">
        <w:rPr>
          <w:rFonts w:ascii="標楷體" w:eastAsia="標楷體" w:hAnsi="標楷體"/>
          <w:sz w:val="32"/>
          <w:szCs w:val="32"/>
        </w:rPr>
        <w:t>左右為</w:t>
      </w:r>
      <w:r w:rsidRPr="00C363F0">
        <w:rPr>
          <w:rFonts w:ascii="標楷體" w:eastAsia="標楷體" w:hAnsi="標楷體" w:hint="eastAsia"/>
          <w:sz w:val="32"/>
          <w:szCs w:val="32"/>
        </w:rPr>
        <w:t>1單</w:t>
      </w:r>
      <w:r w:rsidRPr="00C363F0">
        <w:rPr>
          <w:rFonts w:ascii="標楷體" w:eastAsia="標楷體" w:hAnsi="標楷體"/>
          <w:sz w:val="32"/>
          <w:szCs w:val="32"/>
        </w:rPr>
        <w:t>位，</w:t>
      </w:r>
      <w:r w:rsidRPr="00C363F0">
        <w:rPr>
          <w:rFonts w:ascii="標楷體" w:eastAsia="標楷體" w:hAnsi="標楷體" w:hint="eastAsia"/>
          <w:sz w:val="32"/>
          <w:szCs w:val="32"/>
        </w:rPr>
        <w:t>白天</w:t>
      </w:r>
      <w:r w:rsidRPr="00C363F0">
        <w:rPr>
          <w:rFonts w:ascii="標楷體" w:eastAsia="標楷體" w:hAnsi="標楷體"/>
          <w:sz w:val="32"/>
          <w:szCs w:val="32"/>
        </w:rPr>
        <w:t>派發至</w:t>
      </w:r>
      <w:r w:rsidRPr="00C363F0">
        <w:rPr>
          <w:rFonts w:ascii="標楷體" w:eastAsia="標楷體" w:hAnsi="標楷體" w:hint="eastAsia"/>
          <w:sz w:val="32"/>
          <w:szCs w:val="32"/>
        </w:rPr>
        <w:t>觀</w:t>
      </w:r>
      <w:r w:rsidRPr="00C363F0">
        <w:rPr>
          <w:rFonts w:ascii="標楷體" w:eastAsia="標楷體" w:hAnsi="標楷體"/>
          <w:sz w:val="32"/>
          <w:szCs w:val="32"/>
        </w:rPr>
        <w:t>音工業區</w:t>
      </w:r>
      <w:r w:rsidRPr="00C363F0">
        <w:rPr>
          <w:rFonts w:ascii="標楷體" w:eastAsia="標楷體" w:hAnsi="標楷體" w:hint="eastAsia"/>
          <w:sz w:val="32"/>
          <w:szCs w:val="32"/>
        </w:rPr>
        <w:t>，但僅</w:t>
      </w:r>
      <w:r w:rsidRPr="00C363F0">
        <w:rPr>
          <w:rFonts w:ascii="標楷體" w:eastAsia="標楷體" w:hAnsi="標楷體"/>
          <w:sz w:val="32"/>
          <w:szCs w:val="32"/>
        </w:rPr>
        <w:t>由1</w:t>
      </w:r>
      <w:r w:rsidRPr="00C363F0">
        <w:rPr>
          <w:rFonts w:ascii="標楷體" w:eastAsia="標楷體" w:hAnsi="標楷體" w:hint="eastAsia"/>
          <w:sz w:val="32"/>
          <w:szCs w:val="32"/>
        </w:rPr>
        <w:t>名同</w:t>
      </w:r>
      <w:r w:rsidRPr="00C363F0">
        <w:rPr>
          <w:rFonts w:ascii="標楷體" w:eastAsia="標楷體" w:hAnsi="標楷體"/>
          <w:sz w:val="32"/>
          <w:szCs w:val="32"/>
        </w:rPr>
        <w:t>仁</w:t>
      </w:r>
      <w:r w:rsidRPr="00C363F0">
        <w:rPr>
          <w:rFonts w:ascii="標楷體" w:eastAsia="標楷體" w:hAnsi="標楷體" w:hint="eastAsia"/>
          <w:sz w:val="32"/>
          <w:szCs w:val="32"/>
        </w:rPr>
        <w:t>帶</w:t>
      </w:r>
      <w:r w:rsidRPr="00C363F0">
        <w:rPr>
          <w:rFonts w:ascii="標楷體" w:eastAsia="標楷體" w:hAnsi="標楷體"/>
          <w:sz w:val="32"/>
          <w:szCs w:val="32"/>
        </w:rPr>
        <w:t>領</w:t>
      </w:r>
      <w:r w:rsidRPr="00C363F0">
        <w:rPr>
          <w:rFonts w:ascii="標楷體" w:eastAsia="標楷體" w:hAnsi="標楷體" w:hint="eastAsia"/>
          <w:sz w:val="32"/>
          <w:szCs w:val="32"/>
        </w:rPr>
        <w:t>；基上，對於受</w:t>
      </w:r>
      <w:r w:rsidRPr="00C363F0">
        <w:rPr>
          <w:rFonts w:ascii="標楷體" w:eastAsia="標楷體" w:hAnsi="標楷體"/>
          <w:sz w:val="32"/>
          <w:szCs w:val="32"/>
        </w:rPr>
        <w:t>刑人外出工作之管理及防逃</w:t>
      </w:r>
      <w:r w:rsidRPr="00C363F0">
        <w:rPr>
          <w:rFonts w:ascii="標楷體" w:eastAsia="標楷體" w:hAnsi="標楷體" w:hint="eastAsia"/>
          <w:sz w:val="32"/>
          <w:szCs w:val="32"/>
        </w:rPr>
        <w:t>機制</w:t>
      </w:r>
      <w:r w:rsidRPr="00C363F0">
        <w:rPr>
          <w:rFonts w:ascii="標楷體" w:eastAsia="標楷體" w:hAnsi="標楷體"/>
          <w:sz w:val="32"/>
          <w:szCs w:val="32"/>
        </w:rPr>
        <w:t>，監獄係如何規劃？</w:t>
      </w:r>
      <w:r w:rsidRPr="00C363F0">
        <w:rPr>
          <w:rFonts w:ascii="標楷體" w:eastAsia="標楷體" w:hAnsi="標楷體" w:hint="eastAsia"/>
          <w:sz w:val="32"/>
          <w:szCs w:val="32"/>
        </w:rPr>
        <w:t>以</w:t>
      </w:r>
      <w:r w:rsidRPr="00C363F0">
        <w:rPr>
          <w:rFonts w:ascii="標楷體" w:eastAsia="標楷體" w:hAnsi="標楷體"/>
          <w:sz w:val="32"/>
          <w:szCs w:val="32"/>
        </w:rPr>
        <w:t>維護陪同</w:t>
      </w:r>
      <w:r w:rsidRPr="00C363F0">
        <w:rPr>
          <w:rFonts w:ascii="標楷體" w:eastAsia="標楷體" w:hAnsi="標楷體" w:hint="eastAsia"/>
          <w:sz w:val="32"/>
          <w:szCs w:val="32"/>
        </w:rPr>
        <w:t>（</w:t>
      </w:r>
      <w:r w:rsidRPr="00C363F0">
        <w:rPr>
          <w:rFonts w:ascii="標楷體" w:eastAsia="標楷體" w:hAnsi="標楷體"/>
          <w:sz w:val="32"/>
          <w:szCs w:val="32"/>
        </w:rPr>
        <w:t>戒護）人員</w:t>
      </w:r>
      <w:r w:rsidRPr="00C363F0">
        <w:rPr>
          <w:rFonts w:ascii="標楷體" w:eastAsia="標楷體" w:hAnsi="標楷體" w:hint="eastAsia"/>
          <w:sz w:val="32"/>
          <w:szCs w:val="32"/>
        </w:rPr>
        <w:t>之</w:t>
      </w:r>
      <w:r w:rsidRPr="00C363F0">
        <w:rPr>
          <w:rFonts w:ascii="標楷體" w:eastAsia="標楷體" w:hAnsi="標楷體"/>
          <w:sz w:val="32"/>
          <w:szCs w:val="32"/>
        </w:rPr>
        <w:t>人身安全</w:t>
      </w:r>
      <w:r w:rsidRPr="00C363F0">
        <w:rPr>
          <w:rFonts w:ascii="標楷體" w:eastAsia="標楷體" w:hAnsi="標楷體" w:hint="eastAsia"/>
          <w:sz w:val="32"/>
          <w:szCs w:val="32"/>
        </w:rPr>
        <w:t>。</w:t>
      </w:r>
      <w:r w:rsidRPr="00C363F0">
        <w:rPr>
          <w:rFonts w:ascii="標楷體" w:eastAsia="標楷體" w:hAnsi="標楷體"/>
          <w:sz w:val="32"/>
          <w:szCs w:val="32"/>
        </w:rPr>
        <w:t xml:space="preserve"> </w:t>
      </w:r>
    </w:p>
    <w:p w14:paraId="37ED66BC"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立法院陳召集委員歐</w:t>
      </w:r>
      <w:r w:rsidRPr="00C363F0">
        <w:rPr>
          <w:rFonts w:ascii="標楷體" w:eastAsia="標楷體" w:hAnsi="標楷體"/>
          <w:b/>
          <w:sz w:val="32"/>
          <w:szCs w:val="32"/>
        </w:rPr>
        <w:t>珀：</w:t>
      </w:r>
    </w:p>
    <w:p w14:paraId="298B11AB" w14:textId="77777777" w:rsidR="00421BB5" w:rsidRPr="00C363F0" w:rsidRDefault="00421BB5" w:rsidP="00421BB5">
      <w:pPr>
        <w:topLinePunct/>
        <w:spacing w:line="520" w:lineRule="exact"/>
        <w:ind w:left="720" w:firstLineChars="200" w:firstLine="640"/>
        <w:jc w:val="both"/>
        <w:rPr>
          <w:rFonts w:ascii="標楷體" w:eastAsia="標楷體" w:hAnsi="標楷體"/>
          <w:b/>
          <w:sz w:val="32"/>
          <w:szCs w:val="32"/>
        </w:rPr>
      </w:pPr>
      <w:r w:rsidRPr="00C363F0">
        <w:rPr>
          <w:rFonts w:ascii="標楷體" w:eastAsia="標楷體" w:hAnsi="標楷體"/>
          <w:sz w:val="32"/>
          <w:szCs w:val="32"/>
        </w:rPr>
        <w:t>在外役監條例修正前，如何增進外役監</w:t>
      </w:r>
      <w:r w:rsidRPr="00C363F0">
        <w:rPr>
          <w:rFonts w:ascii="標楷體" w:eastAsia="標楷體" w:hAnsi="標楷體" w:hint="eastAsia"/>
          <w:sz w:val="32"/>
          <w:szCs w:val="32"/>
        </w:rPr>
        <w:t>受</w:t>
      </w:r>
      <w:r w:rsidRPr="00C363F0">
        <w:rPr>
          <w:rFonts w:ascii="標楷體" w:eastAsia="標楷體" w:hAnsi="標楷體"/>
          <w:sz w:val="32"/>
          <w:szCs w:val="32"/>
        </w:rPr>
        <w:t>刑人</w:t>
      </w:r>
      <w:r w:rsidRPr="00C363F0">
        <w:rPr>
          <w:rFonts w:ascii="標楷體" w:eastAsia="標楷體" w:hAnsi="標楷體" w:hint="eastAsia"/>
          <w:sz w:val="32"/>
          <w:szCs w:val="32"/>
        </w:rPr>
        <w:t>遴</w:t>
      </w:r>
      <w:r w:rsidRPr="00C363F0">
        <w:rPr>
          <w:rFonts w:ascii="標楷體" w:eastAsia="標楷體" w:hAnsi="標楷體"/>
          <w:sz w:val="32"/>
          <w:szCs w:val="32"/>
        </w:rPr>
        <w:t>選</w:t>
      </w:r>
      <w:r w:rsidRPr="00C363F0">
        <w:rPr>
          <w:rFonts w:ascii="標楷體" w:eastAsia="標楷體" w:hAnsi="標楷體" w:hint="eastAsia"/>
          <w:sz w:val="32"/>
          <w:szCs w:val="32"/>
        </w:rPr>
        <w:t>審</w:t>
      </w:r>
      <w:r w:rsidRPr="00C363F0">
        <w:rPr>
          <w:rFonts w:ascii="標楷體" w:eastAsia="標楷體" w:hAnsi="標楷體"/>
          <w:sz w:val="32"/>
          <w:szCs w:val="32"/>
        </w:rPr>
        <w:t>核之</w:t>
      </w:r>
      <w:r w:rsidRPr="00C363F0">
        <w:rPr>
          <w:rFonts w:ascii="標楷體" w:eastAsia="標楷體" w:hAnsi="標楷體" w:hint="eastAsia"/>
          <w:sz w:val="32"/>
          <w:szCs w:val="32"/>
        </w:rPr>
        <w:t>嚴謹程度</w:t>
      </w:r>
      <w:r w:rsidRPr="00C363F0">
        <w:rPr>
          <w:rFonts w:ascii="標楷體" w:eastAsia="標楷體" w:hAnsi="標楷體"/>
          <w:sz w:val="32"/>
          <w:szCs w:val="32"/>
        </w:rPr>
        <w:t>？</w:t>
      </w:r>
      <w:r w:rsidRPr="00C363F0">
        <w:rPr>
          <w:rFonts w:ascii="標楷體" w:eastAsia="標楷體" w:hAnsi="標楷體" w:hint="eastAsia"/>
          <w:sz w:val="32"/>
          <w:szCs w:val="32"/>
        </w:rPr>
        <w:t>若以資</w:t>
      </w:r>
      <w:r w:rsidRPr="00C363F0">
        <w:rPr>
          <w:rFonts w:ascii="標楷體" w:eastAsia="標楷體" w:hAnsi="標楷體"/>
          <w:sz w:val="32"/>
          <w:szCs w:val="32"/>
        </w:rPr>
        <w:t>料分析</w:t>
      </w:r>
      <w:r w:rsidRPr="00C363F0">
        <w:rPr>
          <w:rFonts w:ascii="標楷體" w:eastAsia="標楷體" w:hAnsi="標楷體" w:hint="eastAsia"/>
          <w:sz w:val="32"/>
          <w:szCs w:val="32"/>
        </w:rPr>
        <w:t>，常是</w:t>
      </w:r>
      <w:r w:rsidRPr="00C363F0">
        <w:rPr>
          <w:rFonts w:ascii="標楷體" w:eastAsia="標楷體" w:hAnsi="標楷體"/>
          <w:sz w:val="32"/>
          <w:szCs w:val="32"/>
        </w:rPr>
        <w:t>重傷害</w:t>
      </w:r>
      <w:r w:rsidRPr="00C363F0">
        <w:rPr>
          <w:rFonts w:ascii="標楷體" w:eastAsia="標楷體" w:hAnsi="標楷體" w:hint="eastAsia"/>
          <w:sz w:val="32"/>
          <w:szCs w:val="32"/>
        </w:rPr>
        <w:t>罪等暴</w:t>
      </w:r>
      <w:r w:rsidRPr="00C363F0">
        <w:rPr>
          <w:rFonts w:ascii="標楷體" w:eastAsia="標楷體" w:hAnsi="標楷體"/>
          <w:sz w:val="32"/>
          <w:szCs w:val="32"/>
        </w:rPr>
        <w:t>力刑</w:t>
      </w:r>
      <w:r w:rsidRPr="00C363F0">
        <w:rPr>
          <w:rFonts w:ascii="標楷體" w:eastAsia="標楷體" w:hAnsi="標楷體" w:hint="eastAsia"/>
          <w:sz w:val="32"/>
          <w:szCs w:val="32"/>
        </w:rPr>
        <w:t>犯</w:t>
      </w:r>
      <w:r w:rsidRPr="00C363F0">
        <w:rPr>
          <w:rFonts w:ascii="標楷體" w:eastAsia="標楷體" w:hAnsi="標楷體"/>
          <w:sz w:val="32"/>
          <w:szCs w:val="32"/>
        </w:rPr>
        <w:t>罪容易</w:t>
      </w:r>
      <w:r w:rsidRPr="00C363F0">
        <w:rPr>
          <w:rFonts w:ascii="標楷體" w:eastAsia="標楷體" w:hAnsi="標楷體" w:hint="eastAsia"/>
          <w:sz w:val="32"/>
          <w:szCs w:val="32"/>
        </w:rPr>
        <w:t>有逾</w:t>
      </w:r>
      <w:r w:rsidRPr="00C363F0">
        <w:rPr>
          <w:rFonts w:ascii="標楷體" w:eastAsia="標楷體" w:hAnsi="標楷體"/>
          <w:sz w:val="32"/>
          <w:szCs w:val="32"/>
        </w:rPr>
        <w:t>假未歸</w:t>
      </w:r>
      <w:r w:rsidRPr="00C363F0">
        <w:rPr>
          <w:rFonts w:ascii="標楷體" w:eastAsia="標楷體" w:hAnsi="標楷體" w:hint="eastAsia"/>
          <w:sz w:val="32"/>
          <w:szCs w:val="32"/>
        </w:rPr>
        <w:t>或</w:t>
      </w:r>
      <w:r w:rsidRPr="00C363F0">
        <w:rPr>
          <w:rFonts w:ascii="標楷體" w:eastAsia="標楷體" w:hAnsi="標楷體"/>
          <w:sz w:val="32"/>
          <w:szCs w:val="32"/>
        </w:rPr>
        <w:t>其他違規情事，</w:t>
      </w:r>
      <w:r w:rsidRPr="00C363F0">
        <w:rPr>
          <w:rFonts w:ascii="標楷體" w:eastAsia="標楷體" w:hAnsi="標楷體" w:hint="eastAsia"/>
          <w:sz w:val="32"/>
          <w:szCs w:val="32"/>
        </w:rPr>
        <w:t>對</w:t>
      </w:r>
      <w:r w:rsidRPr="00C363F0">
        <w:rPr>
          <w:rFonts w:ascii="標楷體" w:eastAsia="標楷體" w:hAnsi="標楷體"/>
          <w:sz w:val="32"/>
          <w:szCs w:val="32"/>
        </w:rPr>
        <w:t>於此類受刑人</w:t>
      </w:r>
      <w:r w:rsidRPr="00C363F0">
        <w:rPr>
          <w:rFonts w:ascii="標楷體" w:eastAsia="標楷體" w:hAnsi="標楷體" w:hint="eastAsia"/>
          <w:sz w:val="32"/>
          <w:szCs w:val="32"/>
        </w:rPr>
        <w:t>是</w:t>
      </w:r>
      <w:r w:rsidRPr="00C363F0">
        <w:rPr>
          <w:rFonts w:ascii="標楷體" w:eastAsia="標楷體" w:hAnsi="標楷體"/>
          <w:sz w:val="32"/>
          <w:szCs w:val="32"/>
        </w:rPr>
        <w:t>否</w:t>
      </w:r>
      <w:r w:rsidRPr="00C363F0">
        <w:rPr>
          <w:rFonts w:ascii="標楷體" w:eastAsia="標楷體" w:hAnsi="標楷體" w:hint="eastAsia"/>
          <w:sz w:val="32"/>
          <w:szCs w:val="32"/>
        </w:rPr>
        <w:t>在現</w:t>
      </w:r>
      <w:r w:rsidRPr="00C363F0">
        <w:rPr>
          <w:rFonts w:ascii="標楷體" w:eastAsia="標楷體" w:hAnsi="標楷體"/>
          <w:sz w:val="32"/>
          <w:szCs w:val="32"/>
        </w:rPr>
        <w:t>階段遴選</w:t>
      </w:r>
      <w:r w:rsidRPr="00C363F0">
        <w:rPr>
          <w:rFonts w:ascii="標楷體" w:eastAsia="標楷體" w:hAnsi="標楷體" w:hint="eastAsia"/>
          <w:sz w:val="32"/>
          <w:szCs w:val="32"/>
        </w:rPr>
        <w:t>時更加</w:t>
      </w:r>
      <w:r w:rsidRPr="00C363F0">
        <w:rPr>
          <w:rFonts w:ascii="標楷體" w:eastAsia="標楷體" w:hAnsi="標楷體"/>
          <w:sz w:val="32"/>
          <w:szCs w:val="32"/>
        </w:rPr>
        <w:t>嚴格？</w:t>
      </w:r>
    </w:p>
    <w:p w14:paraId="5731841E"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八德外役監獄葉典獄長俊宏：</w:t>
      </w:r>
    </w:p>
    <w:p w14:paraId="21A6592D" w14:textId="77777777" w:rsidR="00421BB5" w:rsidRPr="00C363F0" w:rsidRDefault="00421BB5" w:rsidP="00E57180">
      <w:pPr>
        <w:numPr>
          <w:ilvl w:val="0"/>
          <w:numId w:val="39"/>
        </w:numPr>
        <w:topLinePunct/>
        <w:spacing w:line="520" w:lineRule="exact"/>
        <w:ind w:leftChars="250" w:left="747" w:hangingChars="46" w:hanging="147"/>
        <w:jc w:val="both"/>
        <w:rPr>
          <w:rFonts w:ascii="標楷體" w:eastAsia="標楷體" w:hAnsi="標楷體"/>
          <w:b/>
          <w:sz w:val="32"/>
          <w:szCs w:val="32"/>
        </w:rPr>
      </w:pPr>
      <w:r w:rsidRPr="00C363F0">
        <w:rPr>
          <w:rFonts w:ascii="標楷體" w:eastAsia="標楷體" w:hAnsi="標楷體"/>
          <w:sz w:val="32"/>
          <w:szCs w:val="32"/>
        </w:rPr>
        <w:t>對於</w:t>
      </w:r>
      <w:r w:rsidRPr="00C363F0">
        <w:rPr>
          <w:rFonts w:ascii="標楷體" w:eastAsia="標楷體" w:hAnsi="標楷體" w:hint="eastAsia"/>
          <w:sz w:val="32"/>
          <w:szCs w:val="32"/>
        </w:rPr>
        <w:t>逾假</w:t>
      </w:r>
      <w:r w:rsidRPr="00C363F0">
        <w:rPr>
          <w:rFonts w:ascii="標楷體" w:eastAsia="標楷體" w:hAnsi="標楷體"/>
          <w:sz w:val="32"/>
          <w:szCs w:val="32"/>
        </w:rPr>
        <w:t>未歸（準脫逃罪），還沒修法前的</w:t>
      </w:r>
      <w:r w:rsidRPr="00C363F0">
        <w:rPr>
          <w:rFonts w:ascii="標楷體" w:eastAsia="標楷體" w:hAnsi="標楷體" w:hint="eastAsia"/>
          <w:sz w:val="32"/>
          <w:szCs w:val="32"/>
        </w:rPr>
        <w:t>行</w:t>
      </w:r>
      <w:r w:rsidRPr="00C363F0">
        <w:rPr>
          <w:rFonts w:ascii="標楷體" w:eastAsia="標楷體" w:hAnsi="標楷體"/>
          <w:sz w:val="32"/>
          <w:szCs w:val="32"/>
        </w:rPr>
        <w:t xml:space="preserve">政程序調整如下： </w:t>
      </w:r>
    </w:p>
    <w:p w14:paraId="05B7EADE" w14:textId="77777777" w:rsidR="00421BB5" w:rsidRPr="00C363F0" w:rsidRDefault="00421BB5" w:rsidP="007015C7">
      <w:pPr>
        <w:numPr>
          <w:ilvl w:val="0"/>
          <w:numId w:val="37"/>
        </w:numPr>
        <w:tabs>
          <w:tab w:val="left" w:pos="3252"/>
        </w:tabs>
        <w:topLinePunct/>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sz w:val="32"/>
          <w:szCs w:val="32"/>
          <w:lang w:eastAsia="zh-CN"/>
        </w:rPr>
        <w:t>申請階段：</w:t>
      </w:r>
      <w:r w:rsidRPr="00C363F0">
        <w:rPr>
          <w:rFonts w:ascii="標楷體" w:eastAsia="標楷體" w:hAnsi="標楷體" w:cs="新細明體" w:hint="eastAsia"/>
          <w:sz w:val="32"/>
          <w:szCs w:val="32"/>
        </w:rPr>
        <w:t>為精進內部控制，現</w:t>
      </w:r>
      <w:r w:rsidRPr="00C363F0">
        <w:rPr>
          <w:rFonts w:ascii="標楷體" w:eastAsia="標楷體" w:hAnsi="標楷體" w:cs="新細明體"/>
          <w:sz w:val="32"/>
          <w:szCs w:val="32"/>
        </w:rPr>
        <w:t>行</w:t>
      </w:r>
      <w:r w:rsidRPr="00C363F0">
        <w:rPr>
          <w:rFonts w:ascii="標楷體" w:eastAsia="標楷體" w:hAnsi="標楷體" w:cs="新細明體" w:hint="eastAsia"/>
          <w:sz w:val="32"/>
          <w:szCs w:val="32"/>
        </w:rPr>
        <w:t>返</w:t>
      </w:r>
      <w:r w:rsidRPr="00C363F0">
        <w:rPr>
          <w:rFonts w:ascii="標楷體" w:eastAsia="標楷體" w:hAnsi="標楷體" w:cs="新細明體"/>
          <w:sz w:val="32"/>
          <w:szCs w:val="32"/>
        </w:rPr>
        <w:t>家探視申請表</w:t>
      </w:r>
      <w:r w:rsidRPr="00C363F0">
        <w:rPr>
          <w:rFonts w:ascii="標楷體" w:eastAsia="標楷體" w:hAnsi="標楷體" w:cs="新細明體" w:hint="eastAsia"/>
          <w:sz w:val="32"/>
          <w:szCs w:val="32"/>
        </w:rPr>
        <w:t>設計</w:t>
      </w:r>
      <w:r w:rsidRPr="00C363F0">
        <w:rPr>
          <w:rFonts w:ascii="標楷體" w:eastAsia="標楷體" w:hAnsi="標楷體" w:cs="新細明體"/>
          <w:sz w:val="32"/>
          <w:szCs w:val="32"/>
        </w:rPr>
        <w:t>，家屬要提供</w:t>
      </w:r>
      <w:r w:rsidRPr="00C363F0">
        <w:rPr>
          <w:rFonts w:ascii="標楷體" w:eastAsia="標楷體" w:hAnsi="標楷體" w:cs="新細明體" w:hint="eastAsia"/>
          <w:sz w:val="32"/>
          <w:szCs w:val="32"/>
        </w:rPr>
        <w:t>相</w:t>
      </w:r>
      <w:r w:rsidRPr="00C363F0">
        <w:rPr>
          <w:rFonts w:ascii="標楷體" w:eastAsia="標楷體" w:hAnsi="標楷體" w:cs="新細明體"/>
          <w:sz w:val="32"/>
          <w:szCs w:val="32"/>
        </w:rPr>
        <w:t>關身分證明資料，還</w:t>
      </w:r>
      <w:r w:rsidRPr="00C363F0">
        <w:rPr>
          <w:rFonts w:ascii="標楷體" w:eastAsia="標楷體" w:hAnsi="標楷體" w:cs="新細明體" w:hint="eastAsia"/>
          <w:sz w:val="32"/>
          <w:szCs w:val="32"/>
        </w:rPr>
        <w:t>需</w:t>
      </w:r>
      <w:r w:rsidRPr="00C363F0">
        <w:rPr>
          <w:rFonts w:ascii="標楷體" w:eastAsia="標楷體" w:hAnsi="標楷體" w:cs="新細明體"/>
          <w:sz w:val="32"/>
          <w:szCs w:val="32"/>
        </w:rPr>
        <w:t>要到返家探視</w:t>
      </w:r>
      <w:r w:rsidRPr="00C363F0">
        <w:rPr>
          <w:rFonts w:ascii="標楷體" w:eastAsia="標楷體" w:hAnsi="標楷體" w:cs="新細明體" w:hint="eastAsia"/>
          <w:sz w:val="32"/>
          <w:szCs w:val="32"/>
        </w:rPr>
        <w:t>地</w:t>
      </w:r>
      <w:r w:rsidRPr="00C363F0">
        <w:rPr>
          <w:rFonts w:ascii="標楷體" w:eastAsia="標楷體" w:hAnsi="標楷體" w:cs="新細明體"/>
          <w:sz w:val="32"/>
          <w:szCs w:val="32"/>
        </w:rPr>
        <w:t>點派出所</w:t>
      </w:r>
      <w:r w:rsidRPr="00C363F0">
        <w:rPr>
          <w:rFonts w:ascii="標楷體" w:eastAsia="標楷體" w:hAnsi="標楷體" w:cs="新細明體" w:hint="eastAsia"/>
          <w:sz w:val="32"/>
          <w:szCs w:val="32"/>
        </w:rPr>
        <w:t>核</w:t>
      </w:r>
      <w:r w:rsidRPr="00C363F0">
        <w:rPr>
          <w:rFonts w:ascii="標楷體" w:eastAsia="標楷體" w:hAnsi="標楷體" w:cs="新細明體"/>
          <w:sz w:val="32"/>
          <w:szCs w:val="32"/>
        </w:rPr>
        <w:t>章</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w:t>
      </w:r>
      <w:r w:rsidRPr="00C363F0">
        <w:rPr>
          <w:rFonts w:ascii="標楷體" w:eastAsia="標楷體" w:hAnsi="標楷體" w:cs="新細明體" w:hint="eastAsia"/>
          <w:sz w:val="32"/>
          <w:szCs w:val="32"/>
        </w:rPr>
        <w:t>確</w:t>
      </w:r>
      <w:r w:rsidRPr="00C363F0">
        <w:rPr>
          <w:rFonts w:ascii="標楷體" w:eastAsia="標楷體" w:hAnsi="標楷體" w:cs="新細明體"/>
          <w:sz w:val="32"/>
          <w:szCs w:val="32"/>
        </w:rPr>
        <w:t>認</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的返</w:t>
      </w:r>
      <w:r w:rsidRPr="00C363F0">
        <w:rPr>
          <w:rFonts w:ascii="標楷體" w:eastAsia="標楷體" w:hAnsi="標楷體" w:cs="新細明體"/>
          <w:sz w:val="32"/>
          <w:szCs w:val="32"/>
        </w:rPr>
        <w:t>家</w:t>
      </w:r>
      <w:r w:rsidRPr="00C363F0">
        <w:rPr>
          <w:rFonts w:ascii="標楷體" w:eastAsia="標楷體" w:hAnsi="標楷體" w:cs="新細明體" w:hint="eastAsia"/>
          <w:sz w:val="32"/>
          <w:szCs w:val="32"/>
        </w:rPr>
        <w:t>時</w:t>
      </w:r>
      <w:r w:rsidRPr="00C363F0">
        <w:rPr>
          <w:rFonts w:ascii="標楷體" w:eastAsia="標楷體" w:hAnsi="標楷體" w:cs="新細明體"/>
          <w:sz w:val="32"/>
          <w:szCs w:val="32"/>
        </w:rPr>
        <w:t>之</w:t>
      </w:r>
      <w:r w:rsidRPr="00C363F0">
        <w:rPr>
          <w:rFonts w:ascii="標楷體" w:eastAsia="標楷體" w:hAnsi="標楷體" w:cs="新細明體" w:hint="eastAsia"/>
          <w:sz w:val="32"/>
          <w:szCs w:val="32"/>
        </w:rPr>
        <w:t>住</w:t>
      </w:r>
      <w:r w:rsidRPr="00C363F0">
        <w:rPr>
          <w:rFonts w:ascii="標楷體" w:eastAsia="標楷體" w:hAnsi="標楷體" w:cs="新細明體"/>
          <w:sz w:val="32"/>
          <w:szCs w:val="32"/>
        </w:rPr>
        <w:t>處</w:t>
      </w:r>
      <w:r w:rsidRPr="00C363F0">
        <w:rPr>
          <w:rFonts w:ascii="標楷體" w:eastAsia="標楷體" w:hAnsi="標楷體" w:cs="新細明體" w:hint="eastAsia"/>
          <w:sz w:val="32"/>
          <w:szCs w:val="32"/>
        </w:rPr>
        <w:t>及</w:t>
      </w:r>
      <w:r w:rsidRPr="00C363F0">
        <w:rPr>
          <w:rFonts w:ascii="標楷體" w:eastAsia="標楷體" w:hAnsi="標楷體" w:cs="新細明體"/>
          <w:sz w:val="32"/>
          <w:szCs w:val="32"/>
        </w:rPr>
        <w:t>轄區</w:t>
      </w:r>
      <w:r w:rsidRPr="00C363F0">
        <w:rPr>
          <w:rFonts w:ascii="標楷體" w:eastAsia="標楷體" w:hAnsi="標楷體" w:cs="新細明體" w:hint="eastAsia"/>
          <w:sz w:val="32"/>
          <w:szCs w:val="32"/>
        </w:rPr>
        <w:t>。</w:t>
      </w:r>
    </w:p>
    <w:p w14:paraId="7BBA001D" w14:textId="77777777" w:rsidR="00421BB5" w:rsidRPr="00C363F0" w:rsidRDefault="00421BB5" w:rsidP="007015C7">
      <w:pPr>
        <w:numPr>
          <w:ilvl w:val="0"/>
          <w:numId w:val="37"/>
        </w:numPr>
        <w:tabs>
          <w:tab w:val="left" w:pos="3252"/>
        </w:tabs>
        <w:topLinePunct/>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hint="eastAsia"/>
          <w:sz w:val="32"/>
          <w:szCs w:val="32"/>
        </w:rPr>
        <w:t>返</w:t>
      </w:r>
      <w:r w:rsidRPr="00C363F0">
        <w:rPr>
          <w:rFonts w:ascii="標楷體" w:eastAsia="標楷體" w:hAnsi="標楷體" w:cs="新細明體"/>
          <w:sz w:val="32"/>
          <w:szCs w:val="32"/>
        </w:rPr>
        <w:t>家探視前</w:t>
      </w:r>
      <w:r w:rsidRPr="00C363F0">
        <w:rPr>
          <w:rFonts w:ascii="標楷體" w:eastAsia="標楷體" w:hAnsi="標楷體" w:cs="新細明體" w:hint="eastAsia"/>
          <w:sz w:val="32"/>
          <w:szCs w:val="32"/>
        </w:rPr>
        <w:t>：加強宣</w:t>
      </w:r>
      <w:r w:rsidRPr="00C363F0">
        <w:rPr>
          <w:rFonts w:ascii="標楷體" w:eastAsia="標楷體" w:hAnsi="標楷體" w:cs="新細明體"/>
          <w:sz w:val="32"/>
          <w:szCs w:val="32"/>
        </w:rPr>
        <w:t>導</w:t>
      </w:r>
      <w:r w:rsidRPr="00C363F0">
        <w:rPr>
          <w:rFonts w:ascii="標楷體" w:eastAsia="標楷體" w:hAnsi="標楷體" w:cs="新細明體" w:hint="eastAsia"/>
          <w:sz w:val="32"/>
          <w:szCs w:val="32"/>
        </w:rPr>
        <w:t>例</w:t>
      </w:r>
      <w:r w:rsidRPr="00C363F0">
        <w:rPr>
          <w:rFonts w:ascii="標楷體" w:eastAsia="標楷體" w:hAnsi="標楷體" w:cs="新細明體"/>
          <w:sz w:val="32"/>
          <w:szCs w:val="32"/>
        </w:rPr>
        <w:t>年來</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刑人返家時常見</w:t>
      </w:r>
      <w:r w:rsidRPr="00C363F0">
        <w:rPr>
          <w:rFonts w:ascii="標楷體" w:eastAsia="標楷體" w:hAnsi="標楷體" w:cs="新細明體" w:hint="eastAsia"/>
          <w:sz w:val="32"/>
          <w:szCs w:val="32"/>
        </w:rPr>
        <w:t>問題</w:t>
      </w:r>
      <w:r w:rsidRPr="00C363F0">
        <w:rPr>
          <w:rFonts w:ascii="標楷體" w:eastAsia="標楷體" w:hAnsi="標楷體" w:cs="新細明體"/>
          <w:sz w:val="32"/>
          <w:szCs w:val="32"/>
        </w:rPr>
        <w:t>及狀況</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並說明因應處理措施跟違規</w:t>
      </w:r>
      <w:r w:rsidRPr="00C363F0">
        <w:rPr>
          <w:rFonts w:ascii="標楷體" w:eastAsia="標楷體" w:hAnsi="標楷體" w:cs="新細明體" w:hint="eastAsia"/>
          <w:sz w:val="32"/>
          <w:szCs w:val="32"/>
        </w:rPr>
        <w:t>後</w:t>
      </w:r>
      <w:r w:rsidRPr="00C363F0">
        <w:rPr>
          <w:rFonts w:ascii="標楷體" w:eastAsia="標楷體" w:hAnsi="標楷體" w:cs="新細明體"/>
          <w:sz w:val="32"/>
          <w:szCs w:val="32"/>
        </w:rPr>
        <w:t>果等：</w:t>
      </w:r>
      <w:r w:rsidRPr="00C363F0">
        <w:rPr>
          <w:rFonts w:ascii="標楷體" w:eastAsia="標楷體" w:hAnsi="標楷體" w:cs="新細明體" w:hint="eastAsia"/>
          <w:sz w:val="32"/>
          <w:szCs w:val="32"/>
        </w:rPr>
        <w:t>另</w:t>
      </w:r>
      <w:r w:rsidRPr="00C363F0">
        <w:rPr>
          <w:rFonts w:ascii="標楷體" w:eastAsia="標楷體" w:hAnsi="標楷體" w:cs="新細明體"/>
          <w:sz w:val="32"/>
          <w:szCs w:val="32"/>
        </w:rPr>
        <w:t>因應時</w:t>
      </w:r>
      <w:r w:rsidRPr="00C363F0">
        <w:rPr>
          <w:rFonts w:ascii="標楷體" w:eastAsia="標楷體" w:hAnsi="標楷體" w:cs="新細明體" w:hint="eastAsia"/>
          <w:sz w:val="32"/>
          <w:szCs w:val="32"/>
        </w:rPr>
        <w:t>事特</w:t>
      </w:r>
      <w:r w:rsidRPr="00C363F0">
        <w:rPr>
          <w:rFonts w:ascii="標楷體" w:eastAsia="標楷體" w:hAnsi="標楷體" w:cs="新細明體"/>
          <w:sz w:val="32"/>
          <w:szCs w:val="32"/>
        </w:rPr>
        <w:t>別</w:t>
      </w:r>
      <w:r w:rsidRPr="00C363F0">
        <w:rPr>
          <w:rFonts w:ascii="標楷體" w:eastAsia="標楷體" w:hAnsi="標楷體" w:cs="新細明體" w:hint="eastAsia"/>
          <w:sz w:val="32"/>
          <w:szCs w:val="32"/>
        </w:rPr>
        <w:t>加強</w:t>
      </w:r>
      <w:r w:rsidRPr="00C363F0">
        <w:rPr>
          <w:rFonts w:ascii="標楷體" w:eastAsia="標楷體" w:hAnsi="標楷體" w:cs="新細明體"/>
          <w:sz w:val="32"/>
          <w:szCs w:val="32"/>
        </w:rPr>
        <w:t>宣導</w:t>
      </w:r>
      <w:r w:rsidRPr="00C363F0">
        <w:rPr>
          <w:rFonts w:ascii="標楷體" w:eastAsia="標楷體" w:hAnsi="標楷體" w:cs="新細明體" w:hint="eastAsia"/>
          <w:sz w:val="32"/>
          <w:szCs w:val="32"/>
        </w:rPr>
        <w:t>，如：選</w:t>
      </w:r>
      <w:r w:rsidRPr="00C363F0">
        <w:rPr>
          <w:rFonts w:ascii="標楷體" w:eastAsia="標楷體" w:hAnsi="標楷體" w:cs="新細明體"/>
          <w:sz w:val="32"/>
          <w:szCs w:val="32"/>
        </w:rPr>
        <w:t>舉已近，</w:t>
      </w:r>
      <w:r w:rsidRPr="00C363F0">
        <w:rPr>
          <w:rFonts w:ascii="標楷體" w:eastAsia="標楷體" w:hAnsi="標楷體" w:cs="新細明體" w:hint="eastAsia"/>
          <w:sz w:val="32"/>
          <w:szCs w:val="32"/>
        </w:rPr>
        <w:t>對於近</w:t>
      </w:r>
      <w:r w:rsidRPr="00C363F0">
        <w:rPr>
          <w:rFonts w:ascii="標楷體" w:eastAsia="標楷體" w:hAnsi="標楷體" w:cs="新細明體"/>
          <w:sz w:val="32"/>
          <w:szCs w:val="32"/>
        </w:rPr>
        <w:t>期返家之</w:t>
      </w:r>
      <w:r w:rsidRPr="00C363F0">
        <w:rPr>
          <w:rFonts w:ascii="標楷體" w:eastAsia="標楷體" w:hAnsi="標楷體" w:cs="新細明體"/>
          <w:sz w:val="32"/>
          <w:szCs w:val="32"/>
        </w:rPr>
        <w:lastRenderedPageBreak/>
        <w:t>受刑人，宣導</w:t>
      </w:r>
      <w:r w:rsidRPr="00C363F0">
        <w:rPr>
          <w:rFonts w:ascii="標楷體" w:eastAsia="標楷體" w:hAnsi="標楷體" w:cs="新細明體" w:hint="eastAsia"/>
          <w:sz w:val="32"/>
          <w:szCs w:val="32"/>
        </w:rPr>
        <w:t>避</w:t>
      </w:r>
      <w:r w:rsidRPr="00C363F0">
        <w:rPr>
          <w:rFonts w:ascii="標楷體" w:eastAsia="標楷體" w:hAnsi="標楷體" w:cs="新細明體"/>
          <w:sz w:val="32"/>
          <w:szCs w:val="32"/>
        </w:rPr>
        <w:t>免參加非必要</w:t>
      </w:r>
      <w:r w:rsidRPr="00C363F0">
        <w:rPr>
          <w:rFonts w:ascii="標楷體" w:eastAsia="標楷體" w:hAnsi="標楷體" w:cs="新細明體" w:hint="eastAsia"/>
          <w:sz w:val="32"/>
          <w:szCs w:val="32"/>
        </w:rPr>
        <w:t>政</w:t>
      </w:r>
      <w:r w:rsidRPr="00C363F0">
        <w:rPr>
          <w:rFonts w:ascii="標楷體" w:eastAsia="標楷體" w:hAnsi="標楷體" w:cs="新細明體"/>
          <w:sz w:val="32"/>
          <w:szCs w:val="32"/>
        </w:rPr>
        <w:t>治</w:t>
      </w:r>
      <w:r w:rsidRPr="00C363F0">
        <w:rPr>
          <w:rFonts w:ascii="標楷體" w:eastAsia="標楷體" w:hAnsi="標楷體" w:cs="新細明體" w:hint="eastAsia"/>
          <w:sz w:val="32"/>
          <w:szCs w:val="32"/>
        </w:rPr>
        <w:t>活</w:t>
      </w:r>
      <w:r w:rsidRPr="00C363F0">
        <w:rPr>
          <w:rFonts w:ascii="標楷體" w:eastAsia="標楷體" w:hAnsi="標楷體" w:cs="新細明體"/>
          <w:sz w:val="32"/>
          <w:szCs w:val="32"/>
        </w:rPr>
        <w:t>動。</w:t>
      </w:r>
      <w:r w:rsidRPr="00C363F0">
        <w:rPr>
          <w:rFonts w:ascii="標楷體" w:eastAsia="標楷體" w:hAnsi="標楷體" w:cs="新細明體" w:hint="eastAsia"/>
          <w:sz w:val="32"/>
          <w:szCs w:val="32"/>
        </w:rPr>
        <w:t>宣</w:t>
      </w:r>
      <w:r w:rsidRPr="00C363F0">
        <w:rPr>
          <w:rFonts w:ascii="標楷體" w:eastAsia="標楷體" w:hAnsi="標楷體" w:cs="新細明體"/>
          <w:sz w:val="32"/>
          <w:szCs w:val="32"/>
        </w:rPr>
        <w:t>導內</w:t>
      </w:r>
      <w:r w:rsidRPr="00C363F0">
        <w:rPr>
          <w:rFonts w:ascii="標楷體" w:eastAsia="標楷體" w:hAnsi="標楷體" w:cs="新細明體" w:hint="eastAsia"/>
          <w:sz w:val="32"/>
          <w:szCs w:val="32"/>
        </w:rPr>
        <w:t>容</w:t>
      </w:r>
      <w:r w:rsidRPr="00C363F0">
        <w:rPr>
          <w:rFonts w:ascii="標楷體" w:eastAsia="標楷體" w:hAnsi="標楷體" w:cs="新細明體"/>
          <w:sz w:val="32"/>
          <w:szCs w:val="32"/>
        </w:rPr>
        <w:t>除作成紀錄外</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也請受刑人簽名確</w:t>
      </w:r>
      <w:r w:rsidRPr="00C363F0">
        <w:rPr>
          <w:rFonts w:ascii="標楷體" w:eastAsia="標楷體" w:hAnsi="標楷體" w:cs="新細明體" w:hint="eastAsia"/>
          <w:sz w:val="32"/>
          <w:szCs w:val="32"/>
        </w:rPr>
        <w:t>認</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善</w:t>
      </w:r>
      <w:r w:rsidRPr="00C363F0">
        <w:rPr>
          <w:rFonts w:ascii="標楷體" w:eastAsia="標楷體" w:hAnsi="標楷體" w:cs="新細明體"/>
          <w:sz w:val="32"/>
          <w:szCs w:val="32"/>
        </w:rPr>
        <w:t>盡告知</w:t>
      </w:r>
      <w:r w:rsidRPr="00C363F0">
        <w:rPr>
          <w:rFonts w:ascii="標楷體" w:eastAsia="標楷體" w:hAnsi="標楷體" w:cs="新細明體" w:hint="eastAsia"/>
          <w:sz w:val="32"/>
          <w:szCs w:val="32"/>
        </w:rPr>
        <w:t>規</w:t>
      </w:r>
      <w:r w:rsidRPr="00C363F0">
        <w:rPr>
          <w:rFonts w:ascii="標楷體" w:eastAsia="標楷體" w:hAnsi="標楷體" w:cs="新細明體"/>
          <w:sz w:val="32"/>
          <w:szCs w:val="32"/>
        </w:rPr>
        <w:t>定事項義務。</w:t>
      </w:r>
    </w:p>
    <w:p w14:paraId="29A364F4" w14:textId="77777777" w:rsidR="00421BB5" w:rsidRPr="00C363F0" w:rsidRDefault="00421BB5" w:rsidP="007015C7">
      <w:pPr>
        <w:numPr>
          <w:ilvl w:val="0"/>
          <w:numId w:val="37"/>
        </w:numPr>
        <w:tabs>
          <w:tab w:val="left" w:pos="3252"/>
        </w:tabs>
        <w:topLinePunct/>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hint="eastAsia"/>
          <w:sz w:val="32"/>
          <w:szCs w:val="32"/>
        </w:rPr>
        <w:t>返</w:t>
      </w:r>
      <w:r w:rsidRPr="00C363F0">
        <w:rPr>
          <w:rFonts w:ascii="標楷體" w:eastAsia="標楷體" w:hAnsi="標楷體" w:cs="新細明體"/>
          <w:sz w:val="32"/>
          <w:szCs w:val="32"/>
        </w:rPr>
        <w:t>家探視過程中</w:t>
      </w:r>
      <w:r w:rsidRPr="00C363F0">
        <w:rPr>
          <w:rFonts w:ascii="標楷體" w:eastAsia="標楷體" w:hAnsi="標楷體" w:cs="新細明體" w:hint="eastAsia"/>
          <w:sz w:val="32"/>
          <w:szCs w:val="32"/>
        </w:rPr>
        <w:t>：原</w:t>
      </w:r>
      <w:r w:rsidRPr="00C363F0">
        <w:rPr>
          <w:rFonts w:ascii="標楷體" w:eastAsia="標楷體" w:hAnsi="標楷體" w:cs="新細明體"/>
          <w:sz w:val="32"/>
          <w:szCs w:val="32"/>
        </w:rPr>
        <w:t>規定僅要求受</w:t>
      </w:r>
      <w:r w:rsidRPr="00C363F0">
        <w:rPr>
          <w:rFonts w:ascii="標楷體" w:eastAsia="標楷體" w:hAnsi="標楷體" w:cs="新細明體" w:hint="eastAsia"/>
          <w:sz w:val="32"/>
          <w:szCs w:val="32"/>
        </w:rPr>
        <w:t>刑</w:t>
      </w:r>
      <w:r w:rsidRPr="00C363F0">
        <w:rPr>
          <w:rFonts w:ascii="標楷體" w:eastAsia="標楷體" w:hAnsi="標楷體" w:cs="新細明體"/>
          <w:sz w:val="32"/>
          <w:szCs w:val="32"/>
        </w:rPr>
        <w:t>人在抵達</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視地點時</w:t>
      </w:r>
      <w:r w:rsidRPr="00C363F0">
        <w:rPr>
          <w:rFonts w:ascii="標楷體" w:eastAsia="標楷體" w:hAnsi="標楷體" w:cs="新細明體" w:hint="eastAsia"/>
          <w:sz w:val="32"/>
          <w:szCs w:val="32"/>
        </w:rPr>
        <w:t>及返回</w:t>
      </w:r>
      <w:r w:rsidRPr="00C363F0">
        <w:rPr>
          <w:rFonts w:ascii="標楷體" w:eastAsia="標楷體" w:hAnsi="標楷體" w:cs="新細明體"/>
          <w:sz w:val="32"/>
          <w:szCs w:val="32"/>
        </w:rPr>
        <w:t>監獄前需回報，</w:t>
      </w:r>
      <w:r w:rsidRPr="00C363F0">
        <w:rPr>
          <w:rFonts w:ascii="標楷體" w:eastAsia="標楷體" w:hAnsi="標楷體" w:cs="新細明體" w:hint="eastAsia"/>
          <w:sz w:val="32"/>
          <w:szCs w:val="32"/>
        </w:rPr>
        <w:t>現</w:t>
      </w:r>
      <w:r w:rsidRPr="00C363F0">
        <w:rPr>
          <w:rFonts w:ascii="標楷體" w:eastAsia="標楷體" w:hAnsi="標楷體" w:cs="新細明體"/>
          <w:sz w:val="32"/>
          <w:szCs w:val="32"/>
        </w:rPr>
        <w:t>已強化</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刑人自主回報機制</w:t>
      </w:r>
      <w:r w:rsidRPr="00C363F0">
        <w:rPr>
          <w:rFonts w:ascii="標楷體" w:eastAsia="標楷體" w:hAnsi="標楷體" w:cs="新細明體" w:hint="eastAsia"/>
          <w:sz w:val="32"/>
          <w:szCs w:val="32"/>
        </w:rPr>
        <w:t>，監</w:t>
      </w:r>
      <w:r w:rsidRPr="00C363F0">
        <w:rPr>
          <w:rFonts w:ascii="標楷體" w:eastAsia="標楷體" w:hAnsi="標楷體" w:cs="新細明體"/>
          <w:sz w:val="32"/>
          <w:szCs w:val="32"/>
        </w:rPr>
        <w:t>方主動</w:t>
      </w:r>
      <w:r w:rsidRPr="00C363F0">
        <w:rPr>
          <w:rFonts w:ascii="標楷體" w:eastAsia="標楷體" w:hAnsi="標楷體" w:cs="新細明體" w:hint="eastAsia"/>
          <w:sz w:val="32"/>
          <w:szCs w:val="32"/>
        </w:rPr>
        <w:t>以</w:t>
      </w:r>
      <w:r w:rsidRPr="00C363F0">
        <w:rPr>
          <w:rFonts w:ascii="標楷體" w:eastAsia="標楷體" w:hAnsi="標楷體" w:cs="新細明體"/>
          <w:sz w:val="32"/>
          <w:szCs w:val="32"/>
        </w:rPr>
        <w:t>視訊</w:t>
      </w:r>
      <w:r w:rsidRPr="00C363F0">
        <w:rPr>
          <w:rFonts w:ascii="標楷體" w:eastAsia="標楷體" w:hAnsi="標楷體" w:cs="新細明體" w:hint="eastAsia"/>
          <w:sz w:val="32"/>
          <w:szCs w:val="32"/>
        </w:rPr>
        <w:t>方</w:t>
      </w:r>
      <w:r w:rsidRPr="00C363F0">
        <w:rPr>
          <w:rFonts w:ascii="標楷體" w:eastAsia="標楷體" w:hAnsi="標楷體" w:cs="新細明體"/>
          <w:sz w:val="32"/>
          <w:szCs w:val="32"/>
        </w:rPr>
        <w:t>式抽查</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以本監為例，每位放假的受刑人，需要進</w:t>
      </w:r>
      <w:r w:rsidRPr="00C363F0">
        <w:rPr>
          <w:rFonts w:ascii="標楷體" w:eastAsia="標楷體" w:hAnsi="標楷體" w:cs="新細明體" w:hint="eastAsia"/>
          <w:sz w:val="32"/>
          <w:szCs w:val="32"/>
        </w:rPr>
        <w:t>入視</w:t>
      </w:r>
      <w:r w:rsidRPr="00C363F0">
        <w:rPr>
          <w:rFonts w:ascii="標楷體" w:eastAsia="標楷體" w:hAnsi="標楷體" w:cs="新細明體"/>
          <w:sz w:val="32"/>
          <w:szCs w:val="32"/>
        </w:rPr>
        <w:t>訊</w:t>
      </w:r>
      <w:r w:rsidRPr="00C363F0">
        <w:rPr>
          <w:rFonts w:ascii="標楷體" w:eastAsia="標楷體" w:hAnsi="標楷體" w:cs="新細明體" w:hint="eastAsia"/>
          <w:sz w:val="32"/>
          <w:szCs w:val="32"/>
        </w:rPr>
        <w:t>軟體</w:t>
      </w:r>
      <w:r w:rsidRPr="00C363F0">
        <w:rPr>
          <w:rFonts w:ascii="標楷體" w:eastAsia="標楷體" w:hAnsi="標楷體" w:cs="新細明體"/>
          <w:sz w:val="32"/>
          <w:szCs w:val="32"/>
        </w:rPr>
        <w:t>中（</w:t>
      </w:r>
      <w:r w:rsidRPr="00C363F0">
        <w:rPr>
          <w:rFonts w:ascii="標楷體" w:eastAsia="標楷體" w:hAnsi="標楷體" w:cs="新細明體" w:hint="eastAsia"/>
          <w:sz w:val="32"/>
          <w:szCs w:val="32"/>
        </w:rPr>
        <w:t>google meeting）， 在</w:t>
      </w:r>
      <w:r w:rsidRPr="00C363F0">
        <w:rPr>
          <w:rFonts w:ascii="標楷體" w:eastAsia="標楷體" w:hAnsi="標楷體" w:cs="新細明體"/>
          <w:sz w:val="32"/>
          <w:szCs w:val="32"/>
        </w:rPr>
        <w:t>畫面中</w:t>
      </w:r>
      <w:r w:rsidRPr="00C363F0">
        <w:rPr>
          <w:rFonts w:ascii="標楷體" w:eastAsia="標楷體" w:hAnsi="標楷體" w:cs="新細明體" w:hint="eastAsia"/>
          <w:sz w:val="32"/>
          <w:szCs w:val="32"/>
        </w:rPr>
        <w:t>呈</w:t>
      </w:r>
      <w:r w:rsidRPr="00C363F0">
        <w:rPr>
          <w:rFonts w:ascii="標楷體" w:eastAsia="標楷體" w:hAnsi="標楷體" w:cs="新細明體"/>
          <w:sz w:val="32"/>
          <w:szCs w:val="32"/>
        </w:rPr>
        <w:t>現</w:t>
      </w:r>
      <w:r w:rsidRPr="00C363F0">
        <w:rPr>
          <w:rFonts w:ascii="標楷體" w:eastAsia="標楷體" w:hAnsi="標楷體" w:cs="新細明體" w:hint="eastAsia"/>
          <w:sz w:val="32"/>
          <w:szCs w:val="32"/>
        </w:rPr>
        <w:t>組別</w:t>
      </w:r>
      <w:r w:rsidRPr="00C363F0">
        <w:rPr>
          <w:rFonts w:ascii="標楷體" w:eastAsia="標楷體" w:hAnsi="標楷體" w:cs="新細明體"/>
          <w:sz w:val="32"/>
          <w:szCs w:val="32"/>
        </w:rPr>
        <w:t>、呼號</w:t>
      </w:r>
      <w:r w:rsidRPr="00C363F0">
        <w:rPr>
          <w:rFonts w:ascii="標楷體" w:eastAsia="標楷體" w:hAnsi="標楷體" w:cs="新細明體" w:hint="eastAsia"/>
          <w:sz w:val="32"/>
          <w:szCs w:val="32"/>
        </w:rPr>
        <w:t>姓</w:t>
      </w:r>
      <w:r w:rsidRPr="00C363F0">
        <w:rPr>
          <w:rFonts w:ascii="標楷體" w:eastAsia="標楷體" w:hAnsi="標楷體" w:cs="新細明體"/>
          <w:sz w:val="32"/>
          <w:szCs w:val="32"/>
        </w:rPr>
        <w:t>名、</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訪視對象及</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屬聯絡簿，</w:t>
      </w:r>
      <w:r w:rsidRPr="00C363F0">
        <w:rPr>
          <w:rFonts w:ascii="標楷體" w:eastAsia="標楷體" w:hAnsi="標楷體" w:cs="新細明體" w:hint="eastAsia"/>
          <w:sz w:val="32"/>
          <w:szCs w:val="32"/>
        </w:rPr>
        <w:t>以</w:t>
      </w:r>
      <w:r w:rsidRPr="00C363F0">
        <w:rPr>
          <w:rFonts w:ascii="標楷體" w:eastAsia="標楷體" w:hAnsi="標楷體" w:cs="新細明體"/>
          <w:sz w:val="32"/>
          <w:szCs w:val="32"/>
        </w:rPr>
        <w:t>利</w:t>
      </w:r>
      <w:r w:rsidRPr="00C363F0">
        <w:rPr>
          <w:rFonts w:ascii="標楷體" w:eastAsia="標楷體" w:hAnsi="標楷體" w:cs="新細明體" w:hint="eastAsia"/>
          <w:sz w:val="32"/>
          <w:szCs w:val="32"/>
        </w:rPr>
        <w:t>獄</w:t>
      </w:r>
      <w:r w:rsidRPr="00C363F0">
        <w:rPr>
          <w:rFonts w:ascii="標楷體" w:eastAsia="標楷體" w:hAnsi="標楷體" w:cs="新細明體"/>
          <w:sz w:val="32"/>
          <w:szCs w:val="32"/>
        </w:rPr>
        <w:t>方掌握</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確實抵達申</w:t>
      </w:r>
      <w:r w:rsidRPr="00C363F0">
        <w:rPr>
          <w:rFonts w:ascii="標楷體" w:eastAsia="標楷體" w:hAnsi="標楷體" w:cs="新細明體"/>
          <w:sz w:val="32"/>
          <w:szCs w:val="32"/>
        </w:rPr>
        <w:t>請探視的地</w:t>
      </w:r>
      <w:r w:rsidRPr="00C363F0">
        <w:rPr>
          <w:rFonts w:ascii="標楷體" w:eastAsia="標楷體" w:hAnsi="標楷體" w:cs="新細明體" w:hint="eastAsia"/>
          <w:sz w:val="32"/>
          <w:szCs w:val="32"/>
        </w:rPr>
        <w:t>點，</w:t>
      </w:r>
      <w:r w:rsidRPr="00C363F0">
        <w:rPr>
          <w:rFonts w:ascii="標楷體" w:eastAsia="標楷體" w:hAnsi="標楷體" w:cs="新細明體"/>
          <w:sz w:val="32"/>
          <w:szCs w:val="32"/>
        </w:rPr>
        <w:t>同時也責請</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屬</w:t>
      </w:r>
      <w:r w:rsidRPr="00C363F0">
        <w:rPr>
          <w:rFonts w:ascii="標楷體" w:eastAsia="標楷體" w:hAnsi="標楷體" w:cs="新細明體" w:hint="eastAsia"/>
          <w:sz w:val="32"/>
          <w:szCs w:val="32"/>
        </w:rPr>
        <w:t>於聯</w:t>
      </w:r>
      <w:r w:rsidRPr="00C363F0">
        <w:rPr>
          <w:rFonts w:ascii="標楷體" w:eastAsia="標楷體" w:hAnsi="標楷體" w:cs="新細明體"/>
          <w:sz w:val="32"/>
          <w:szCs w:val="32"/>
        </w:rPr>
        <w:t>絡簿</w:t>
      </w:r>
      <w:r w:rsidRPr="00C363F0">
        <w:rPr>
          <w:rFonts w:ascii="標楷體" w:eastAsia="標楷體" w:hAnsi="標楷體" w:cs="新細明體" w:hint="eastAsia"/>
          <w:sz w:val="32"/>
          <w:szCs w:val="32"/>
        </w:rPr>
        <w:t>中</w:t>
      </w:r>
      <w:r w:rsidRPr="00C363F0">
        <w:rPr>
          <w:rFonts w:ascii="標楷體" w:eastAsia="標楷體" w:hAnsi="標楷體" w:cs="新細明體"/>
          <w:sz w:val="32"/>
          <w:szCs w:val="32"/>
        </w:rPr>
        <w:t>填載生活動態</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另外，返家</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w:t>
      </w:r>
      <w:r w:rsidRPr="00C363F0">
        <w:rPr>
          <w:rFonts w:ascii="標楷體" w:eastAsia="標楷體" w:hAnsi="標楷體" w:cs="新細明體" w:hint="eastAsia"/>
          <w:sz w:val="32"/>
          <w:szCs w:val="32"/>
        </w:rPr>
        <w:t>前</w:t>
      </w:r>
      <w:r w:rsidRPr="00C363F0">
        <w:rPr>
          <w:rFonts w:ascii="標楷體" w:eastAsia="標楷體" w:hAnsi="標楷體" w:cs="新細明體"/>
          <w:sz w:val="32"/>
          <w:szCs w:val="32"/>
        </w:rPr>
        <w:t>兩週</w:t>
      </w:r>
      <w:r w:rsidRPr="00C363F0">
        <w:rPr>
          <w:rFonts w:ascii="標楷體" w:eastAsia="標楷體" w:hAnsi="標楷體" w:cs="新細明體" w:hint="eastAsia"/>
          <w:sz w:val="32"/>
          <w:szCs w:val="32"/>
        </w:rPr>
        <w:t>獄方</w:t>
      </w:r>
      <w:r w:rsidRPr="00C363F0">
        <w:rPr>
          <w:rFonts w:ascii="標楷體" w:eastAsia="標楷體" w:hAnsi="標楷體" w:cs="新細明體"/>
          <w:sz w:val="32"/>
          <w:szCs w:val="32"/>
        </w:rPr>
        <w:t>會行文返</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探</w:t>
      </w:r>
      <w:r w:rsidRPr="00C363F0">
        <w:rPr>
          <w:rFonts w:ascii="標楷體" w:eastAsia="標楷體" w:hAnsi="標楷體" w:cs="新細明體" w:hint="eastAsia"/>
          <w:sz w:val="32"/>
          <w:szCs w:val="32"/>
        </w:rPr>
        <w:t>視</w:t>
      </w:r>
      <w:r w:rsidRPr="00C363F0">
        <w:rPr>
          <w:rFonts w:ascii="標楷體" w:eastAsia="標楷體" w:hAnsi="標楷體" w:cs="新細明體"/>
          <w:sz w:val="32"/>
          <w:szCs w:val="32"/>
        </w:rPr>
        <w:t>所在地之</w:t>
      </w:r>
      <w:r w:rsidRPr="00C363F0">
        <w:rPr>
          <w:rFonts w:ascii="標楷體" w:eastAsia="標楷體" w:hAnsi="標楷體" w:cs="新細明體" w:hint="eastAsia"/>
          <w:sz w:val="32"/>
          <w:szCs w:val="32"/>
        </w:rPr>
        <w:t>警察</w:t>
      </w:r>
      <w:r w:rsidRPr="00C363F0">
        <w:rPr>
          <w:rFonts w:ascii="標楷體" w:eastAsia="標楷體" w:hAnsi="標楷體" w:cs="新細明體"/>
          <w:sz w:val="32"/>
          <w:szCs w:val="32"/>
        </w:rPr>
        <w:t>分局，再由分局轉文至派</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所，</w:t>
      </w:r>
      <w:r w:rsidRPr="00C363F0">
        <w:rPr>
          <w:rFonts w:ascii="標楷體" w:eastAsia="標楷體" w:hAnsi="標楷體" w:cs="新細明體" w:hint="eastAsia"/>
          <w:sz w:val="32"/>
          <w:szCs w:val="32"/>
        </w:rPr>
        <w:t>獄</w:t>
      </w:r>
      <w:r w:rsidRPr="00C363F0">
        <w:rPr>
          <w:rFonts w:ascii="標楷體" w:eastAsia="標楷體" w:hAnsi="標楷體" w:cs="新細明體"/>
          <w:sz w:val="32"/>
          <w:szCs w:val="32"/>
        </w:rPr>
        <w:t>方也會同時建立</w:t>
      </w:r>
      <w:r w:rsidRPr="00C363F0">
        <w:rPr>
          <w:rFonts w:ascii="標楷體" w:eastAsia="標楷體" w:hAnsi="標楷體" w:cs="新細明體" w:hint="eastAsia"/>
          <w:sz w:val="32"/>
          <w:szCs w:val="32"/>
        </w:rPr>
        <w:t>聯</w:t>
      </w:r>
      <w:r w:rsidRPr="00C363F0">
        <w:rPr>
          <w:rFonts w:ascii="標楷體" w:eastAsia="標楷體" w:hAnsi="標楷體" w:cs="新細明體"/>
          <w:sz w:val="32"/>
          <w:szCs w:val="32"/>
        </w:rPr>
        <w:t>絡總表，</w:t>
      </w:r>
      <w:r w:rsidRPr="00C363F0">
        <w:rPr>
          <w:rFonts w:ascii="標楷體" w:eastAsia="標楷體" w:hAnsi="標楷體" w:cs="新細明體" w:hint="eastAsia"/>
          <w:sz w:val="32"/>
          <w:szCs w:val="32"/>
        </w:rPr>
        <w:t>在</w:t>
      </w:r>
      <w:r w:rsidRPr="00C363F0">
        <w:rPr>
          <w:rFonts w:ascii="標楷體" w:eastAsia="標楷體" w:hAnsi="標楷體" w:cs="新細明體"/>
          <w:sz w:val="32"/>
          <w:szCs w:val="32"/>
        </w:rPr>
        <w:t>受刑人</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視期間</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主</w:t>
      </w:r>
      <w:r w:rsidRPr="00C363F0">
        <w:rPr>
          <w:rFonts w:ascii="標楷體" w:eastAsia="標楷體" w:hAnsi="標楷體" w:cs="新細明體" w:hint="eastAsia"/>
          <w:sz w:val="32"/>
          <w:szCs w:val="32"/>
        </w:rPr>
        <w:t>動</w:t>
      </w:r>
      <w:r w:rsidRPr="00C363F0">
        <w:rPr>
          <w:rFonts w:ascii="標楷體" w:eastAsia="標楷體" w:hAnsi="標楷體" w:cs="新細明體"/>
          <w:sz w:val="32"/>
          <w:szCs w:val="32"/>
        </w:rPr>
        <w:t>致電派出所，</w:t>
      </w:r>
      <w:r w:rsidRPr="00C363F0">
        <w:rPr>
          <w:rFonts w:ascii="標楷體" w:eastAsia="標楷體" w:hAnsi="標楷體" w:cs="新細明體" w:hint="eastAsia"/>
          <w:sz w:val="32"/>
          <w:szCs w:val="32"/>
        </w:rPr>
        <w:t>查</w:t>
      </w:r>
      <w:r w:rsidRPr="00C363F0">
        <w:rPr>
          <w:rFonts w:ascii="標楷體" w:eastAsia="標楷體" w:hAnsi="標楷體" w:cs="新細明體"/>
          <w:sz w:val="32"/>
          <w:szCs w:val="32"/>
        </w:rPr>
        <w:t>察受刑人是否</w:t>
      </w:r>
      <w:r w:rsidRPr="00C363F0">
        <w:rPr>
          <w:rFonts w:ascii="標楷體" w:eastAsia="標楷體" w:hAnsi="標楷體" w:cs="新細明體" w:hint="eastAsia"/>
          <w:sz w:val="32"/>
          <w:szCs w:val="32"/>
        </w:rPr>
        <w:t>回</w:t>
      </w:r>
      <w:r w:rsidRPr="00C363F0">
        <w:rPr>
          <w:rFonts w:ascii="標楷體" w:eastAsia="標楷體" w:hAnsi="標楷體" w:cs="新細明體"/>
          <w:sz w:val="32"/>
          <w:szCs w:val="32"/>
        </w:rPr>
        <w:t>到探視地點，並且</w:t>
      </w:r>
      <w:r w:rsidRPr="00C363F0">
        <w:rPr>
          <w:rFonts w:ascii="標楷體" w:eastAsia="標楷體" w:hAnsi="標楷體" w:cs="新細明體" w:hint="eastAsia"/>
          <w:sz w:val="32"/>
          <w:szCs w:val="32"/>
        </w:rPr>
        <w:t>有</w:t>
      </w:r>
      <w:r w:rsidRPr="00C363F0">
        <w:rPr>
          <w:rFonts w:ascii="標楷體" w:eastAsia="標楷體" w:hAnsi="標楷體" w:cs="新細明體"/>
          <w:sz w:val="32"/>
          <w:szCs w:val="32"/>
        </w:rPr>
        <w:t>每日</w:t>
      </w:r>
      <w:r w:rsidRPr="00C363F0">
        <w:rPr>
          <w:rFonts w:ascii="標楷體" w:eastAsia="標楷體" w:hAnsi="標楷體" w:cs="新細明體" w:hint="eastAsia"/>
          <w:sz w:val="32"/>
          <w:szCs w:val="32"/>
        </w:rPr>
        <w:t>至派出所</w:t>
      </w:r>
      <w:r w:rsidRPr="00C363F0">
        <w:rPr>
          <w:rFonts w:ascii="標楷體" w:eastAsia="標楷體" w:hAnsi="標楷體" w:cs="新細明體"/>
          <w:sz w:val="32"/>
          <w:szCs w:val="32"/>
        </w:rPr>
        <w:t>報到</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報到程序除了核</w:t>
      </w:r>
      <w:r w:rsidRPr="00C363F0">
        <w:rPr>
          <w:rFonts w:ascii="標楷體" w:eastAsia="標楷體" w:hAnsi="標楷體" w:cs="新細明體" w:hint="eastAsia"/>
          <w:sz w:val="32"/>
          <w:szCs w:val="32"/>
        </w:rPr>
        <w:t>派</w:t>
      </w:r>
      <w:r w:rsidRPr="00C363F0">
        <w:rPr>
          <w:rFonts w:ascii="標楷體" w:eastAsia="標楷體" w:hAnsi="標楷體" w:cs="新細明體"/>
          <w:sz w:val="32"/>
          <w:szCs w:val="32"/>
        </w:rPr>
        <w:t>出所的機關</w:t>
      </w:r>
      <w:r w:rsidRPr="00C363F0">
        <w:rPr>
          <w:rFonts w:ascii="標楷體" w:eastAsia="標楷體" w:hAnsi="標楷體" w:cs="新細明體" w:hint="eastAsia"/>
          <w:sz w:val="32"/>
          <w:szCs w:val="32"/>
        </w:rPr>
        <w:t>章，</w:t>
      </w:r>
      <w:r w:rsidRPr="00C363F0">
        <w:rPr>
          <w:rFonts w:ascii="標楷體" w:eastAsia="標楷體" w:hAnsi="標楷體" w:cs="新細明體"/>
          <w:sz w:val="32"/>
          <w:szCs w:val="32"/>
        </w:rPr>
        <w:t>還需要有值班員</w:t>
      </w:r>
      <w:r w:rsidRPr="00C363F0">
        <w:rPr>
          <w:rFonts w:ascii="標楷體" w:eastAsia="標楷體" w:hAnsi="標楷體" w:cs="新細明體" w:hint="eastAsia"/>
          <w:sz w:val="32"/>
          <w:szCs w:val="32"/>
        </w:rPr>
        <w:t>警</w:t>
      </w:r>
      <w:r w:rsidRPr="00C363F0">
        <w:rPr>
          <w:rFonts w:ascii="標楷體" w:eastAsia="標楷體" w:hAnsi="標楷體" w:cs="新細明體"/>
          <w:sz w:val="32"/>
          <w:szCs w:val="32"/>
        </w:rPr>
        <w:t>的職名章，</w:t>
      </w:r>
      <w:r w:rsidRPr="00C363F0">
        <w:rPr>
          <w:rFonts w:ascii="標楷體" w:eastAsia="標楷體" w:hAnsi="標楷體" w:cs="新細明體" w:hint="eastAsia"/>
          <w:sz w:val="32"/>
          <w:szCs w:val="32"/>
        </w:rPr>
        <w:t>以</w:t>
      </w:r>
      <w:r w:rsidRPr="00C363F0">
        <w:rPr>
          <w:rFonts w:ascii="標楷體" w:eastAsia="標楷體" w:hAnsi="標楷體" w:cs="新細明體"/>
          <w:sz w:val="32"/>
          <w:szCs w:val="32"/>
        </w:rPr>
        <w:t>確認每日</w:t>
      </w:r>
      <w:r w:rsidRPr="00C363F0">
        <w:rPr>
          <w:rFonts w:ascii="標楷體" w:eastAsia="標楷體" w:hAnsi="標楷體" w:cs="新細明體" w:hint="eastAsia"/>
          <w:sz w:val="32"/>
          <w:szCs w:val="32"/>
        </w:rPr>
        <w:t>都</w:t>
      </w:r>
      <w:r w:rsidRPr="00C363F0">
        <w:rPr>
          <w:rFonts w:ascii="標楷體" w:eastAsia="標楷體" w:hAnsi="標楷體" w:cs="新細明體"/>
          <w:sz w:val="32"/>
          <w:szCs w:val="32"/>
        </w:rPr>
        <w:t>有報到</w:t>
      </w:r>
      <w:r w:rsidRPr="00C363F0">
        <w:rPr>
          <w:rFonts w:ascii="標楷體" w:eastAsia="標楷體" w:hAnsi="標楷體" w:cs="新細明體" w:hint="eastAsia"/>
          <w:sz w:val="32"/>
          <w:szCs w:val="32"/>
        </w:rPr>
        <w:t>而</w:t>
      </w:r>
      <w:r w:rsidRPr="00C363F0">
        <w:rPr>
          <w:rFonts w:ascii="標楷體" w:eastAsia="標楷體" w:hAnsi="標楷體" w:cs="新細明體"/>
          <w:sz w:val="32"/>
          <w:szCs w:val="32"/>
        </w:rPr>
        <w:t>非僅報到</w:t>
      </w:r>
      <w:r w:rsidRPr="00C363F0">
        <w:rPr>
          <w:rFonts w:ascii="標楷體" w:eastAsia="標楷體" w:hAnsi="標楷體" w:cs="新細明體" w:hint="eastAsia"/>
          <w:sz w:val="32"/>
          <w:szCs w:val="32"/>
        </w:rPr>
        <w:t>1次</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刑人返監後，</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監也</w:t>
      </w:r>
      <w:r w:rsidRPr="00C363F0">
        <w:rPr>
          <w:rFonts w:ascii="標楷體" w:eastAsia="標楷體" w:hAnsi="標楷體" w:cs="新細明體" w:hint="eastAsia"/>
          <w:sz w:val="32"/>
          <w:szCs w:val="32"/>
        </w:rPr>
        <w:t>會蒐</w:t>
      </w:r>
      <w:r w:rsidRPr="00C363F0">
        <w:rPr>
          <w:rFonts w:ascii="標楷體" w:eastAsia="標楷體" w:hAnsi="標楷體" w:cs="新細明體"/>
          <w:sz w:val="32"/>
          <w:szCs w:val="32"/>
        </w:rPr>
        <w:t>集相關資料，以</w:t>
      </w:r>
      <w:r w:rsidRPr="00C363F0">
        <w:rPr>
          <w:rFonts w:ascii="標楷體" w:eastAsia="標楷體" w:hAnsi="標楷體" w:cs="新細明體" w:hint="eastAsia"/>
          <w:sz w:val="32"/>
          <w:szCs w:val="32"/>
        </w:rPr>
        <w:t>檢</w:t>
      </w:r>
      <w:r w:rsidRPr="00C363F0">
        <w:rPr>
          <w:rFonts w:ascii="標楷體" w:eastAsia="標楷體" w:hAnsi="標楷體" w:cs="新細明體"/>
          <w:sz w:val="32"/>
          <w:szCs w:val="32"/>
        </w:rPr>
        <w:t>視</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刑人在外有否違</w:t>
      </w:r>
      <w:r w:rsidRPr="00C363F0">
        <w:rPr>
          <w:rFonts w:ascii="標楷體" w:eastAsia="標楷體" w:hAnsi="標楷體" w:cs="新細明體" w:hint="eastAsia"/>
          <w:sz w:val="32"/>
          <w:szCs w:val="32"/>
        </w:rPr>
        <w:t>反</w:t>
      </w:r>
      <w:r w:rsidRPr="00C363F0">
        <w:rPr>
          <w:rFonts w:ascii="標楷體" w:eastAsia="標楷體" w:hAnsi="標楷體" w:cs="新細明體"/>
          <w:sz w:val="32"/>
          <w:szCs w:val="32"/>
        </w:rPr>
        <w:t>紀</w:t>
      </w:r>
      <w:r w:rsidRPr="00C363F0">
        <w:rPr>
          <w:rFonts w:ascii="標楷體" w:eastAsia="標楷體" w:hAnsi="標楷體" w:cs="新細明體" w:hint="eastAsia"/>
          <w:sz w:val="32"/>
          <w:szCs w:val="32"/>
        </w:rPr>
        <w:t>律規</w:t>
      </w:r>
      <w:r w:rsidRPr="00C363F0">
        <w:rPr>
          <w:rFonts w:ascii="標楷體" w:eastAsia="標楷體" w:hAnsi="標楷體" w:cs="新細明體"/>
          <w:sz w:val="32"/>
          <w:szCs w:val="32"/>
        </w:rPr>
        <w:t>範之情</w:t>
      </w:r>
      <w:r w:rsidRPr="00C363F0">
        <w:rPr>
          <w:rFonts w:ascii="標楷體" w:eastAsia="標楷體" w:hAnsi="標楷體" w:cs="新細明體" w:hint="eastAsia"/>
          <w:sz w:val="32"/>
          <w:szCs w:val="32"/>
        </w:rPr>
        <w:t>事；</w:t>
      </w:r>
      <w:r w:rsidRPr="00C363F0">
        <w:rPr>
          <w:rFonts w:ascii="標楷體" w:eastAsia="標楷體" w:hAnsi="標楷體" w:cs="新細明體"/>
          <w:sz w:val="32"/>
          <w:szCs w:val="32"/>
        </w:rPr>
        <w:t>若有</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則</w:t>
      </w:r>
      <w:r w:rsidRPr="00C363F0">
        <w:rPr>
          <w:rFonts w:ascii="標楷體" w:eastAsia="標楷體" w:hAnsi="標楷體" w:cs="新細明體" w:hint="eastAsia"/>
          <w:sz w:val="32"/>
          <w:szCs w:val="32"/>
        </w:rPr>
        <w:t>依</w:t>
      </w:r>
      <w:r w:rsidRPr="00C363F0">
        <w:rPr>
          <w:rFonts w:ascii="標楷體" w:eastAsia="標楷體" w:hAnsi="標楷體" w:cs="新細明體"/>
          <w:sz w:val="32"/>
          <w:szCs w:val="32"/>
        </w:rPr>
        <w:t>監</w:t>
      </w:r>
      <w:r w:rsidRPr="00C363F0">
        <w:rPr>
          <w:rFonts w:ascii="標楷體" w:eastAsia="標楷體" w:hAnsi="標楷體" w:cs="新細明體" w:hint="eastAsia"/>
          <w:sz w:val="32"/>
          <w:szCs w:val="32"/>
        </w:rPr>
        <w:t>獄</w:t>
      </w:r>
      <w:r w:rsidRPr="00C363F0">
        <w:rPr>
          <w:rFonts w:ascii="標楷體" w:eastAsia="標楷體" w:hAnsi="標楷體" w:cs="新細明體"/>
          <w:sz w:val="32"/>
          <w:szCs w:val="32"/>
        </w:rPr>
        <w:t>行刑法</w:t>
      </w:r>
      <w:r w:rsidRPr="00C363F0">
        <w:rPr>
          <w:rFonts w:ascii="標楷體" w:eastAsia="標楷體" w:hAnsi="標楷體" w:cs="新細明體" w:hint="eastAsia"/>
          <w:sz w:val="32"/>
          <w:szCs w:val="32"/>
        </w:rPr>
        <w:t>及</w:t>
      </w:r>
      <w:r w:rsidRPr="00C363F0">
        <w:rPr>
          <w:rFonts w:ascii="標楷體" w:eastAsia="標楷體" w:hAnsi="標楷體" w:cs="新細明體"/>
          <w:sz w:val="32"/>
          <w:szCs w:val="32"/>
        </w:rPr>
        <w:t>外役監條例等相關規</w:t>
      </w:r>
      <w:r w:rsidRPr="00C363F0">
        <w:rPr>
          <w:rFonts w:ascii="標楷體" w:eastAsia="標楷體" w:hAnsi="標楷體" w:cs="新細明體" w:hint="eastAsia"/>
          <w:sz w:val="32"/>
          <w:szCs w:val="32"/>
        </w:rPr>
        <w:t>定</w:t>
      </w:r>
      <w:r w:rsidRPr="00C363F0">
        <w:rPr>
          <w:rFonts w:ascii="標楷體" w:eastAsia="標楷體" w:hAnsi="標楷體" w:cs="新細明體"/>
          <w:sz w:val="32"/>
          <w:szCs w:val="32"/>
        </w:rPr>
        <w:t>處置。</w:t>
      </w:r>
    </w:p>
    <w:p w14:paraId="7C64A766" w14:textId="77777777" w:rsidR="00421BB5" w:rsidRPr="00C363F0" w:rsidRDefault="00421BB5" w:rsidP="007015C7">
      <w:pPr>
        <w:numPr>
          <w:ilvl w:val="0"/>
          <w:numId w:val="37"/>
        </w:numPr>
        <w:tabs>
          <w:tab w:val="left" w:pos="3252"/>
        </w:tabs>
        <w:topLinePunct/>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hint="eastAsia"/>
          <w:sz w:val="32"/>
          <w:szCs w:val="32"/>
        </w:rPr>
        <w:t>對</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逾</w:t>
      </w:r>
      <w:r w:rsidRPr="00C363F0">
        <w:rPr>
          <w:rFonts w:ascii="標楷體" w:eastAsia="標楷體" w:hAnsi="標楷體" w:cs="新細明體"/>
          <w:sz w:val="32"/>
          <w:szCs w:val="32"/>
        </w:rPr>
        <w:t>期未歸</w:t>
      </w:r>
      <w:r w:rsidRPr="00C363F0">
        <w:rPr>
          <w:rFonts w:ascii="標楷體" w:eastAsia="標楷體" w:hAnsi="標楷體" w:cs="新細明體" w:hint="eastAsia"/>
          <w:sz w:val="32"/>
          <w:szCs w:val="32"/>
        </w:rPr>
        <w:t>及</w:t>
      </w:r>
      <w:r w:rsidRPr="00C363F0">
        <w:rPr>
          <w:rFonts w:ascii="標楷體" w:eastAsia="標楷體" w:hAnsi="標楷體" w:cs="新細明體"/>
          <w:sz w:val="32"/>
          <w:szCs w:val="32"/>
        </w:rPr>
        <w:t>強化通報</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處理：</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監</w:t>
      </w:r>
      <w:r w:rsidRPr="00C363F0">
        <w:rPr>
          <w:rFonts w:ascii="標楷體" w:eastAsia="標楷體" w:hAnsi="標楷體" w:cs="新細明體" w:hint="eastAsia"/>
          <w:sz w:val="32"/>
          <w:szCs w:val="32"/>
        </w:rPr>
        <w:t>與</w:t>
      </w:r>
      <w:r w:rsidRPr="00C363F0">
        <w:rPr>
          <w:rFonts w:ascii="標楷體" w:eastAsia="標楷體" w:hAnsi="標楷體" w:cs="新細明體"/>
          <w:sz w:val="32"/>
          <w:szCs w:val="32"/>
        </w:rPr>
        <w:t>桃園地</w:t>
      </w:r>
      <w:r w:rsidRPr="00C363F0">
        <w:rPr>
          <w:rFonts w:ascii="標楷體" w:eastAsia="標楷體" w:hAnsi="標楷體" w:cs="新細明體" w:hint="eastAsia"/>
          <w:sz w:val="32"/>
          <w:szCs w:val="32"/>
        </w:rPr>
        <w:t>檢</w:t>
      </w:r>
      <w:r w:rsidRPr="00C363F0">
        <w:rPr>
          <w:rFonts w:ascii="標楷體" w:eastAsia="標楷體" w:hAnsi="標楷體" w:cs="新細明體"/>
          <w:sz w:val="32"/>
          <w:szCs w:val="32"/>
        </w:rPr>
        <w:t>署已召開</w:t>
      </w:r>
      <w:r w:rsidRPr="00C363F0">
        <w:rPr>
          <w:rFonts w:ascii="標楷體" w:eastAsia="標楷體" w:hAnsi="標楷體" w:cs="新細明體" w:hint="eastAsia"/>
          <w:sz w:val="32"/>
          <w:szCs w:val="32"/>
        </w:rPr>
        <w:t>聯</w:t>
      </w:r>
      <w:r w:rsidRPr="00C363F0">
        <w:rPr>
          <w:rFonts w:ascii="標楷體" w:eastAsia="標楷體" w:hAnsi="標楷體" w:cs="新細明體"/>
          <w:sz w:val="32"/>
          <w:szCs w:val="32"/>
        </w:rPr>
        <w:t>繫協調會議</w:t>
      </w:r>
      <w:r w:rsidRPr="00C363F0">
        <w:rPr>
          <w:rFonts w:ascii="標楷體" w:eastAsia="標楷體" w:hAnsi="標楷體" w:cs="新細明體" w:hint="eastAsia"/>
          <w:sz w:val="32"/>
          <w:szCs w:val="32"/>
        </w:rPr>
        <w:t>，按</w:t>
      </w:r>
      <w:r w:rsidRPr="00C363F0">
        <w:rPr>
          <w:rFonts w:ascii="標楷體" w:eastAsia="標楷體" w:hAnsi="標楷體" w:cs="新細明體"/>
          <w:sz w:val="32"/>
          <w:szCs w:val="32"/>
        </w:rPr>
        <w:t>現行</w:t>
      </w:r>
      <w:r w:rsidRPr="00C363F0">
        <w:rPr>
          <w:rFonts w:ascii="標楷體" w:eastAsia="標楷體" w:hAnsi="標楷體" w:cs="新細明體" w:hint="eastAsia"/>
          <w:sz w:val="32"/>
          <w:szCs w:val="32"/>
        </w:rPr>
        <w:t>修</w:t>
      </w:r>
      <w:r w:rsidRPr="00C363F0">
        <w:rPr>
          <w:rFonts w:ascii="標楷體" w:eastAsia="標楷體" w:hAnsi="標楷體" w:cs="新細明體"/>
          <w:sz w:val="32"/>
          <w:szCs w:val="32"/>
        </w:rPr>
        <w:t>正規</w:t>
      </w:r>
      <w:r w:rsidRPr="00C363F0">
        <w:rPr>
          <w:rFonts w:ascii="標楷體" w:eastAsia="標楷體" w:hAnsi="標楷體" w:cs="新細明體" w:hint="eastAsia"/>
          <w:sz w:val="32"/>
          <w:szCs w:val="32"/>
        </w:rPr>
        <w:t>定</w:t>
      </w:r>
      <w:r w:rsidRPr="00C363F0">
        <w:rPr>
          <w:rFonts w:ascii="標楷體" w:eastAsia="標楷體" w:hAnsi="標楷體" w:cs="新細明體"/>
          <w:sz w:val="32"/>
          <w:szCs w:val="32"/>
        </w:rPr>
        <w:t>，獄政</w:t>
      </w:r>
      <w:r w:rsidRPr="00C363F0">
        <w:rPr>
          <w:rFonts w:ascii="標楷體" w:eastAsia="標楷體" w:hAnsi="標楷體" w:cs="新細明體" w:hint="eastAsia"/>
          <w:sz w:val="32"/>
          <w:szCs w:val="32"/>
        </w:rPr>
        <w:t>系</w:t>
      </w:r>
      <w:r w:rsidRPr="00C363F0">
        <w:rPr>
          <w:rFonts w:ascii="標楷體" w:eastAsia="標楷體" w:hAnsi="標楷體" w:cs="新細明體"/>
          <w:sz w:val="32"/>
          <w:szCs w:val="32"/>
        </w:rPr>
        <w:t>統已和刑事局</w:t>
      </w:r>
      <w:r w:rsidRPr="00C363F0">
        <w:rPr>
          <w:rFonts w:ascii="標楷體" w:eastAsia="標楷體" w:hAnsi="標楷體" w:cs="新細明體" w:hint="eastAsia"/>
          <w:sz w:val="32"/>
          <w:szCs w:val="32"/>
        </w:rPr>
        <w:t>資</w:t>
      </w:r>
      <w:r w:rsidRPr="00C363F0">
        <w:rPr>
          <w:rFonts w:ascii="標楷體" w:eastAsia="標楷體" w:hAnsi="標楷體" w:cs="新細明體"/>
          <w:sz w:val="32"/>
          <w:szCs w:val="32"/>
        </w:rPr>
        <w:t>料</w:t>
      </w:r>
      <w:r w:rsidRPr="00C363F0">
        <w:rPr>
          <w:rFonts w:ascii="標楷體" w:eastAsia="標楷體" w:hAnsi="標楷體" w:cs="新細明體" w:hint="eastAsia"/>
          <w:sz w:val="32"/>
          <w:szCs w:val="32"/>
        </w:rPr>
        <w:t>庫</w:t>
      </w:r>
      <w:r w:rsidRPr="00C363F0">
        <w:rPr>
          <w:rFonts w:ascii="標楷體" w:eastAsia="標楷體" w:hAnsi="標楷體" w:cs="新細明體"/>
          <w:sz w:val="32"/>
          <w:szCs w:val="32"/>
        </w:rPr>
        <w:t>相連結，</w:t>
      </w:r>
      <w:r w:rsidRPr="00C363F0">
        <w:rPr>
          <w:rFonts w:ascii="標楷體" w:eastAsia="標楷體" w:hAnsi="標楷體" w:cs="新細明體" w:hint="eastAsia"/>
          <w:sz w:val="32"/>
          <w:szCs w:val="32"/>
        </w:rPr>
        <w:t>需</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事</w:t>
      </w:r>
      <w:r w:rsidRPr="00C363F0">
        <w:rPr>
          <w:rFonts w:ascii="標楷體" w:eastAsia="標楷體" w:hAnsi="標楷體" w:cs="新細明體"/>
          <w:sz w:val="32"/>
          <w:szCs w:val="32"/>
        </w:rPr>
        <w:t>件發生</w:t>
      </w:r>
      <w:r w:rsidRPr="00C363F0">
        <w:rPr>
          <w:rFonts w:ascii="標楷體" w:eastAsia="標楷體" w:hAnsi="標楷體" w:cs="新細明體" w:hint="eastAsia"/>
          <w:sz w:val="32"/>
          <w:szCs w:val="32"/>
        </w:rPr>
        <w:t>1小</w:t>
      </w:r>
      <w:r w:rsidRPr="00C363F0">
        <w:rPr>
          <w:rFonts w:ascii="標楷體" w:eastAsia="標楷體" w:hAnsi="標楷體" w:cs="新細明體"/>
          <w:sz w:val="32"/>
          <w:szCs w:val="32"/>
        </w:rPr>
        <w:t>時</w:t>
      </w:r>
      <w:r w:rsidRPr="00C363F0">
        <w:rPr>
          <w:rFonts w:ascii="標楷體" w:eastAsia="標楷體" w:hAnsi="標楷體" w:cs="新細明體" w:hint="eastAsia"/>
          <w:sz w:val="32"/>
          <w:szCs w:val="32"/>
        </w:rPr>
        <w:t>內</w:t>
      </w:r>
      <w:r w:rsidRPr="00C363F0">
        <w:rPr>
          <w:rFonts w:ascii="標楷體" w:eastAsia="標楷體" w:hAnsi="標楷體" w:cs="新細明體"/>
          <w:sz w:val="32"/>
          <w:szCs w:val="32"/>
        </w:rPr>
        <w:t>通報</w:t>
      </w:r>
      <w:r w:rsidRPr="00C363F0">
        <w:rPr>
          <w:rFonts w:ascii="標楷體" w:eastAsia="標楷體" w:hAnsi="標楷體" w:cs="新細明體" w:hint="eastAsia"/>
          <w:sz w:val="32"/>
          <w:szCs w:val="32"/>
        </w:rPr>
        <w:t>警</w:t>
      </w:r>
      <w:r w:rsidRPr="00C363F0">
        <w:rPr>
          <w:rFonts w:ascii="標楷體" w:eastAsia="標楷體" w:hAnsi="標楷體" w:cs="新細明體"/>
          <w:sz w:val="32"/>
          <w:szCs w:val="32"/>
        </w:rPr>
        <w:t>方，</w:t>
      </w:r>
      <w:r w:rsidRPr="00C363F0">
        <w:rPr>
          <w:rFonts w:ascii="標楷體" w:eastAsia="標楷體" w:hAnsi="標楷體" w:cs="新細明體" w:hint="eastAsia"/>
          <w:sz w:val="32"/>
          <w:szCs w:val="32"/>
        </w:rPr>
        <w:t>經</w:t>
      </w:r>
      <w:r w:rsidRPr="00C363F0">
        <w:rPr>
          <w:rFonts w:ascii="標楷體" w:eastAsia="標楷體" w:hAnsi="標楷體" w:cs="新細明體"/>
          <w:sz w:val="32"/>
          <w:szCs w:val="32"/>
        </w:rPr>
        <w:t>資料擷</w:t>
      </w:r>
      <w:r w:rsidRPr="00C363F0">
        <w:rPr>
          <w:rFonts w:ascii="標楷體" w:eastAsia="標楷體" w:hAnsi="標楷體" w:cs="新細明體" w:hint="eastAsia"/>
          <w:sz w:val="32"/>
          <w:szCs w:val="32"/>
        </w:rPr>
        <w:t>轉</w:t>
      </w:r>
      <w:r w:rsidRPr="00C363F0">
        <w:rPr>
          <w:rFonts w:ascii="標楷體" w:eastAsia="標楷體" w:hAnsi="標楷體" w:cs="新細明體"/>
          <w:sz w:val="32"/>
          <w:szCs w:val="32"/>
        </w:rPr>
        <w:t>半小時就會進入</w:t>
      </w:r>
      <w:r w:rsidRPr="00C363F0">
        <w:rPr>
          <w:rFonts w:ascii="標楷體" w:eastAsia="標楷體" w:hAnsi="標楷體" w:cs="新細明體" w:hint="eastAsia"/>
          <w:sz w:val="32"/>
          <w:szCs w:val="32"/>
        </w:rPr>
        <w:t>m</w:t>
      </w:r>
      <w:r w:rsidRPr="00C363F0">
        <w:rPr>
          <w:rFonts w:ascii="標楷體" w:eastAsia="標楷體" w:hAnsi="標楷體" w:cs="新細明體"/>
          <w:sz w:val="32"/>
          <w:szCs w:val="32"/>
        </w:rPr>
        <w:t>-police</w:t>
      </w:r>
      <w:r w:rsidRPr="00C363F0">
        <w:rPr>
          <w:rFonts w:ascii="標楷體" w:eastAsia="標楷體" w:hAnsi="標楷體" w:cs="新細明體" w:hint="eastAsia"/>
          <w:sz w:val="32"/>
          <w:szCs w:val="32"/>
        </w:rPr>
        <w:t>系</w:t>
      </w:r>
      <w:r w:rsidRPr="00C363F0">
        <w:rPr>
          <w:rFonts w:ascii="標楷體" w:eastAsia="標楷體" w:hAnsi="標楷體" w:cs="新細明體"/>
          <w:sz w:val="32"/>
          <w:szCs w:val="32"/>
        </w:rPr>
        <w:t>統</w:t>
      </w:r>
      <w:r w:rsidRPr="00C363F0">
        <w:rPr>
          <w:rFonts w:ascii="標楷體" w:eastAsia="標楷體" w:hAnsi="標楷體" w:cs="新細明體" w:hint="eastAsia"/>
          <w:sz w:val="32"/>
          <w:szCs w:val="32"/>
        </w:rPr>
        <w:t>，供全</w:t>
      </w:r>
      <w:r w:rsidRPr="00C363F0">
        <w:rPr>
          <w:rFonts w:ascii="標楷體" w:eastAsia="標楷體" w:hAnsi="標楷體" w:cs="新細明體"/>
          <w:sz w:val="32"/>
          <w:szCs w:val="32"/>
        </w:rPr>
        <w:t>國警察</w:t>
      </w:r>
      <w:r w:rsidRPr="00C363F0">
        <w:rPr>
          <w:rFonts w:ascii="標楷體" w:eastAsia="標楷體" w:hAnsi="標楷體" w:cs="新細明體" w:hint="eastAsia"/>
          <w:sz w:val="32"/>
          <w:szCs w:val="32"/>
        </w:rPr>
        <w:t>協尋</w:t>
      </w:r>
      <w:r w:rsidRPr="00C363F0">
        <w:rPr>
          <w:rFonts w:ascii="標楷體" w:eastAsia="標楷體" w:hAnsi="標楷體" w:cs="新細明體"/>
          <w:sz w:val="32"/>
          <w:szCs w:val="32"/>
        </w:rPr>
        <w:t>、查緝</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另</w:t>
      </w:r>
      <w:r w:rsidRPr="00C363F0">
        <w:rPr>
          <w:rFonts w:ascii="標楷體" w:eastAsia="標楷體" w:hAnsi="標楷體" w:cs="新細明體" w:hint="eastAsia"/>
          <w:sz w:val="32"/>
          <w:szCs w:val="32"/>
        </w:rPr>
        <w:t>經</w:t>
      </w:r>
      <w:r w:rsidRPr="00C363F0">
        <w:rPr>
          <w:rFonts w:ascii="標楷體" w:eastAsia="標楷體" w:hAnsi="標楷體" w:cs="新細明體"/>
          <w:sz w:val="32"/>
          <w:szCs w:val="32"/>
        </w:rPr>
        <w:t>協調</w:t>
      </w:r>
      <w:r w:rsidRPr="00C363F0">
        <w:rPr>
          <w:rFonts w:ascii="標楷體" w:eastAsia="標楷體" w:hAnsi="標楷體" w:cs="新細明體" w:hint="eastAsia"/>
          <w:sz w:val="32"/>
          <w:szCs w:val="32"/>
        </w:rPr>
        <w:t>會</w:t>
      </w:r>
      <w:r w:rsidRPr="00C363F0">
        <w:rPr>
          <w:rFonts w:ascii="標楷體" w:eastAsia="標楷體" w:hAnsi="標楷體" w:cs="新細明體"/>
          <w:sz w:val="32"/>
          <w:szCs w:val="32"/>
        </w:rPr>
        <w:t>議決議，</w:t>
      </w:r>
      <w:r w:rsidRPr="00C363F0">
        <w:rPr>
          <w:rFonts w:ascii="標楷體" w:eastAsia="標楷體" w:hAnsi="標楷體" w:cs="新細明體" w:hint="eastAsia"/>
          <w:sz w:val="32"/>
          <w:szCs w:val="32"/>
        </w:rPr>
        <w:t>對</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監所有受刑人收假時間</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統</w:t>
      </w:r>
      <w:r w:rsidRPr="00C363F0">
        <w:rPr>
          <w:rFonts w:ascii="標楷體" w:eastAsia="標楷體" w:hAnsi="標楷體" w:cs="新細明體" w:hint="eastAsia"/>
          <w:sz w:val="32"/>
          <w:szCs w:val="32"/>
        </w:rPr>
        <w:t>一提</w:t>
      </w:r>
      <w:r w:rsidRPr="00C363F0">
        <w:rPr>
          <w:rFonts w:ascii="標楷體" w:eastAsia="標楷體" w:hAnsi="標楷體" w:cs="新細明體"/>
          <w:sz w:val="32"/>
          <w:szCs w:val="32"/>
        </w:rPr>
        <w:t>早</w:t>
      </w:r>
      <w:r w:rsidRPr="00C363F0">
        <w:rPr>
          <w:rFonts w:ascii="標楷體" w:eastAsia="標楷體" w:hAnsi="標楷體" w:cs="新細明體" w:hint="eastAsia"/>
          <w:sz w:val="32"/>
          <w:szCs w:val="32"/>
        </w:rPr>
        <w:t>至</w:t>
      </w:r>
      <w:r w:rsidRPr="00C363F0">
        <w:rPr>
          <w:rFonts w:ascii="標楷體" w:eastAsia="標楷體" w:hAnsi="標楷體" w:cs="新細明體"/>
          <w:sz w:val="32"/>
          <w:szCs w:val="32"/>
        </w:rPr>
        <w:t>下午</w:t>
      </w:r>
      <w:r w:rsidRPr="00C363F0">
        <w:rPr>
          <w:rFonts w:ascii="標楷體" w:eastAsia="標楷體" w:hAnsi="標楷體" w:cs="新細明體" w:hint="eastAsia"/>
          <w:sz w:val="32"/>
          <w:szCs w:val="32"/>
        </w:rPr>
        <w:t>4時，若</w:t>
      </w:r>
      <w:r w:rsidRPr="00C363F0">
        <w:rPr>
          <w:rFonts w:ascii="標楷體" w:eastAsia="標楷體" w:hAnsi="標楷體" w:cs="新細明體"/>
          <w:sz w:val="32"/>
          <w:szCs w:val="32"/>
        </w:rPr>
        <w:t>發生問題，均可以</w:t>
      </w:r>
      <w:r w:rsidRPr="00C363F0">
        <w:rPr>
          <w:rFonts w:ascii="標楷體" w:eastAsia="標楷體" w:hAnsi="標楷體" w:cs="新細明體" w:hint="eastAsia"/>
          <w:sz w:val="32"/>
          <w:szCs w:val="32"/>
        </w:rPr>
        <w:t>在</w:t>
      </w:r>
      <w:r w:rsidRPr="00C363F0">
        <w:rPr>
          <w:rFonts w:ascii="標楷體" w:eastAsia="標楷體" w:hAnsi="標楷體" w:cs="新細明體"/>
          <w:sz w:val="32"/>
          <w:szCs w:val="32"/>
        </w:rPr>
        <w:t>上</w:t>
      </w:r>
      <w:r w:rsidRPr="00C363F0">
        <w:rPr>
          <w:rFonts w:ascii="標楷體" w:eastAsia="標楷體" w:hAnsi="標楷體" w:cs="新細明體" w:hint="eastAsia"/>
          <w:sz w:val="32"/>
          <w:szCs w:val="32"/>
        </w:rPr>
        <w:t>班</w:t>
      </w:r>
      <w:r w:rsidRPr="00C363F0">
        <w:rPr>
          <w:rFonts w:ascii="標楷體" w:eastAsia="標楷體" w:hAnsi="標楷體" w:cs="新細明體"/>
          <w:sz w:val="32"/>
          <w:szCs w:val="32"/>
        </w:rPr>
        <w:t>期間完成通報</w:t>
      </w:r>
      <w:r w:rsidRPr="00C363F0">
        <w:rPr>
          <w:rFonts w:ascii="標楷體" w:eastAsia="標楷體" w:hAnsi="標楷體" w:cs="新細明體" w:hint="eastAsia"/>
          <w:sz w:val="32"/>
          <w:szCs w:val="32"/>
        </w:rPr>
        <w:t>程</w:t>
      </w:r>
      <w:r w:rsidRPr="00C363F0">
        <w:rPr>
          <w:rFonts w:ascii="標楷體" w:eastAsia="標楷體" w:hAnsi="標楷體" w:cs="新細明體"/>
          <w:sz w:val="32"/>
          <w:szCs w:val="32"/>
        </w:rPr>
        <w:t>序。</w:t>
      </w:r>
    </w:p>
    <w:p w14:paraId="3C76EE30" w14:textId="77777777" w:rsidR="00421BB5" w:rsidRPr="00C363F0" w:rsidRDefault="00421BB5" w:rsidP="00E57180">
      <w:pPr>
        <w:numPr>
          <w:ilvl w:val="0"/>
          <w:numId w:val="39"/>
        </w:numPr>
        <w:topLinePunct/>
        <w:spacing w:line="520" w:lineRule="exact"/>
        <w:ind w:leftChars="250" w:left="747" w:hangingChars="46" w:hanging="147"/>
        <w:jc w:val="both"/>
        <w:rPr>
          <w:rFonts w:ascii="標楷體" w:eastAsia="標楷體" w:hAnsi="標楷體" w:cs="新細明體"/>
          <w:sz w:val="32"/>
          <w:szCs w:val="32"/>
        </w:rPr>
      </w:pPr>
      <w:r w:rsidRPr="00C363F0">
        <w:rPr>
          <w:rFonts w:ascii="標楷體" w:eastAsia="標楷體" w:hAnsi="標楷體" w:cs="新細明體" w:hint="eastAsia"/>
          <w:sz w:val="32"/>
          <w:szCs w:val="32"/>
        </w:rPr>
        <w:t>外僱</w:t>
      </w:r>
      <w:r w:rsidRPr="00C363F0">
        <w:rPr>
          <w:rFonts w:ascii="標楷體" w:eastAsia="標楷體" w:hAnsi="標楷體" w:cs="新細明體"/>
          <w:sz w:val="32"/>
          <w:szCs w:val="32"/>
        </w:rPr>
        <w:t>受刑人監外作業</w:t>
      </w:r>
      <w:r w:rsidRPr="00C363F0">
        <w:rPr>
          <w:rFonts w:ascii="標楷體" w:eastAsia="標楷體" w:hAnsi="標楷體" w:cs="新細明體" w:hint="eastAsia"/>
          <w:sz w:val="32"/>
          <w:szCs w:val="32"/>
        </w:rPr>
        <w:t>管</w:t>
      </w:r>
      <w:r w:rsidRPr="00C363F0">
        <w:rPr>
          <w:rFonts w:ascii="標楷體" w:eastAsia="標楷體" w:hAnsi="標楷體" w:cs="新細明體"/>
          <w:sz w:val="32"/>
          <w:szCs w:val="32"/>
        </w:rPr>
        <w:t>理</w:t>
      </w:r>
      <w:r w:rsidRPr="00C363F0">
        <w:rPr>
          <w:rFonts w:ascii="標楷體" w:eastAsia="標楷體" w:hAnsi="標楷體" w:cs="新細明體" w:hint="eastAsia"/>
          <w:sz w:val="32"/>
          <w:szCs w:val="32"/>
        </w:rPr>
        <w:t>作</w:t>
      </w:r>
      <w:r w:rsidRPr="00C363F0">
        <w:rPr>
          <w:rFonts w:ascii="標楷體" w:eastAsia="標楷體" w:hAnsi="標楷體" w:cs="新細明體"/>
          <w:sz w:val="32"/>
          <w:szCs w:val="32"/>
        </w:rPr>
        <w:t>為：</w:t>
      </w:r>
    </w:p>
    <w:p w14:paraId="399C8446" w14:textId="77777777" w:rsidR="00421BB5" w:rsidRPr="00C363F0" w:rsidRDefault="00421BB5" w:rsidP="00E45804">
      <w:pPr>
        <w:topLinePunct/>
        <w:spacing w:line="520" w:lineRule="exact"/>
        <w:ind w:left="994" w:firstLineChars="8" w:firstLine="26"/>
        <w:jc w:val="both"/>
        <w:rPr>
          <w:rFonts w:ascii="標楷體" w:eastAsia="標楷體" w:hAnsi="標楷體"/>
          <w:sz w:val="32"/>
          <w:szCs w:val="32"/>
        </w:rPr>
      </w:pPr>
      <w:r w:rsidRPr="00C363F0">
        <w:rPr>
          <w:rFonts w:ascii="標楷體" w:eastAsia="標楷體" w:hAnsi="標楷體" w:hint="eastAsia"/>
          <w:sz w:val="32"/>
          <w:szCs w:val="32"/>
        </w:rPr>
        <w:lastRenderedPageBreak/>
        <w:t>陪</w:t>
      </w:r>
      <w:r w:rsidRPr="00C363F0">
        <w:rPr>
          <w:rFonts w:ascii="標楷體" w:eastAsia="標楷體" w:hAnsi="標楷體"/>
          <w:sz w:val="32"/>
          <w:szCs w:val="32"/>
        </w:rPr>
        <w:t>同</w:t>
      </w:r>
      <w:r w:rsidRPr="00C363F0">
        <w:rPr>
          <w:rFonts w:ascii="標楷體" w:eastAsia="標楷體" w:hAnsi="標楷體" w:hint="eastAsia"/>
          <w:sz w:val="32"/>
          <w:szCs w:val="32"/>
        </w:rPr>
        <w:t>戒</w:t>
      </w:r>
      <w:r w:rsidRPr="00C363F0">
        <w:rPr>
          <w:rFonts w:ascii="標楷體" w:eastAsia="標楷體" w:hAnsi="標楷體"/>
          <w:sz w:val="32"/>
          <w:szCs w:val="32"/>
        </w:rPr>
        <w:t>護人員</w:t>
      </w:r>
      <w:r w:rsidRPr="00C363F0">
        <w:rPr>
          <w:rFonts w:ascii="標楷體" w:eastAsia="標楷體" w:hAnsi="標楷體" w:hint="eastAsia"/>
          <w:sz w:val="32"/>
          <w:szCs w:val="32"/>
        </w:rPr>
        <w:t>配</w:t>
      </w:r>
      <w:r w:rsidRPr="00C363F0">
        <w:rPr>
          <w:rFonts w:ascii="標楷體" w:eastAsia="標楷體" w:hAnsi="標楷體"/>
          <w:sz w:val="32"/>
          <w:szCs w:val="32"/>
        </w:rPr>
        <w:t>備有</w:t>
      </w:r>
      <w:r w:rsidRPr="00C363F0">
        <w:rPr>
          <w:rFonts w:ascii="標楷體" w:eastAsia="標楷體" w:hAnsi="標楷體" w:hint="eastAsia"/>
          <w:sz w:val="32"/>
          <w:szCs w:val="32"/>
        </w:rPr>
        <w:t>辣</w:t>
      </w:r>
      <w:r w:rsidRPr="00C363F0">
        <w:rPr>
          <w:rFonts w:ascii="標楷體" w:eastAsia="標楷體" w:hAnsi="標楷體"/>
          <w:sz w:val="32"/>
          <w:szCs w:val="32"/>
        </w:rPr>
        <w:t>椒水</w:t>
      </w:r>
      <w:r w:rsidRPr="00C363F0">
        <w:rPr>
          <w:rFonts w:ascii="標楷體" w:eastAsia="標楷體" w:hAnsi="標楷體" w:hint="eastAsia"/>
          <w:sz w:val="32"/>
          <w:szCs w:val="32"/>
        </w:rPr>
        <w:t>及</w:t>
      </w:r>
      <w:r w:rsidRPr="00C363F0">
        <w:rPr>
          <w:rFonts w:ascii="標楷體" w:eastAsia="標楷體" w:hAnsi="標楷體"/>
          <w:sz w:val="32"/>
          <w:szCs w:val="32"/>
        </w:rPr>
        <w:t>手機</w:t>
      </w:r>
      <w:r w:rsidRPr="00C363F0">
        <w:rPr>
          <w:rFonts w:ascii="標楷體" w:eastAsia="標楷體" w:hAnsi="標楷體" w:hint="eastAsia"/>
          <w:sz w:val="32"/>
          <w:szCs w:val="32"/>
        </w:rPr>
        <w:t>，並</w:t>
      </w:r>
      <w:r w:rsidRPr="00C363F0">
        <w:rPr>
          <w:rFonts w:ascii="標楷體" w:eastAsia="標楷體" w:hAnsi="標楷體"/>
          <w:sz w:val="32"/>
          <w:szCs w:val="32"/>
        </w:rPr>
        <w:t>且固定每</w:t>
      </w:r>
      <w:r w:rsidRPr="00C363F0">
        <w:rPr>
          <w:rFonts w:ascii="標楷體" w:eastAsia="標楷體" w:hAnsi="標楷體" w:hint="eastAsia"/>
          <w:sz w:val="32"/>
          <w:szCs w:val="32"/>
        </w:rPr>
        <w:t>小</w:t>
      </w:r>
      <w:r w:rsidRPr="00C363F0">
        <w:rPr>
          <w:rFonts w:ascii="標楷體" w:eastAsia="標楷體" w:hAnsi="標楷體"/>
          <w:sz w:val="32"/>
          <w:szCs w:val="32"/>
        </w:rPr>
        <w:t>時回報</w:t>
      </w:r>
      <w:r w:rsidRPr="00C363F0">
        <w:rPr>
          <w:rFonts w:ascii="標楷體" w:eastAsia="標楷體" w:hAnsi="標楷體" w:hint="eastAsia"/>
          <w:sz w:val="32"/>
          <w:szCs w:val="32"/>
        </w:rPr>
        <w:t>本</w:t>
      </w:r>
      <w:r w:rsidRPr="00C363F0">
        <w:rPr>
          <w:rFonts w:ascii="標楷體" w:eastAsia="標楷體" w:hAnsi="標楷體"/>
          <w:sz w:val="32"/>
          <w:szCs w:val="32"/>
        </w:rPr>
        <w:t>監中央</w:t>
      </w:r>
      <w:r w:rsidRPr="00C363F0">
        <w:rPr>
          <w:rFonts w:ascii="標楷體" w:eastAsia="標楷體" w:hAnsi="標楷體" w:hint="eastAsia"/>
          <w:sz w:val="32"/>
          <w:szCs w:val="32"/>
        </w:rPr>
        <w:t>台執勤</w:t>
      </w:r>
      <w:r w:rsidRPr="00C363F0">
        <w:rPr>
          <w:rFonts w:ascii="標楷體" w:eastAsia="標楷體" w:hAnsi="標楷體"/>
          <w:sz w:val="32"/>
          <w:szCs w:val="32"/>
        </w:rPr>
        <w:t>狀況</w:t>
      </w:r>
      <w:r w:rsidRPr="00C363F0">
        <w:rPr>
          <w:rFonts w:ascii="標楷體" w:eastAsia="標楷體" w:hAnsi="標楷體" w:hint="eastAsia"/>
          <w:sz w:val="32"/>
          <w:szCs w:val="32"/>
        </w:rPr>
        <w:t>。此</w:t>
      </w:r>
      <w:r w:rsidRPr="00C363F0">
        <w:rPr>
          <w:rFonts w:ascii="標楷體" w:eastAsia="標楷體" w:hAnsi="標楷體"/>
          <w:sz w:val="32"/>
          <w:szCs w:val="32"/>
        </w:rPr>
        <w:t>外，本監與當地派出所建立</w:t>
      </w:r>
      <w:r w:rsidRPr="00C363F0">
        <w:rPr>
          <w:rFonts w:ascii="標楷體" w:eastAsia="標楷體" w:hAnsi="標楷體" w:hint="eastAsia"/>
          <w:sz w:val="32"/>
          <w:szCs w:val="32"/>
        </w:rPr>
        <w:t>警</w:t>
      </w:r>
      <w:r w:rsidRPr="00C363F0">
        <w:rPr>
          <w:rFonts w:ascii="標楷體" w:eastAsia="標楷體" w:hAnsi="標楷體"/>
          <w:sz w:val="32"/>
          <w:szCs w:val="32"/>
        </w:rPr>
        <w:t>民</w:t>
      </w:r>
      <w:r w:rsidRPr="00C363F0">
        <w:rPr>
          <w:rFonts w:ascii="標楷體" w:eastAsia="標楷體" w:hAnsi="標楷體" w:hint="eastAsia"/>
          <w:sz w:val="32"/>
          <w:szCs w:val="32"/>
        </w:rPr>
        <w:t>連</w:t>
      </w:r>
      <w:r w:rsidRPr="00C363F0">
        <w:rPr>
          <w:rFonts w:ascii="標楷體" w:eastAsia="標楷體" w:hAnsi="標楷體"/>
          <w:sz w:val="32"/>
          <w:szCs w:val="32"/>
        </w:rPr>
        <w:t>線</w:t>
      </w:r>
      <w:r w:rsidRPr="00C363F0">
        <w:rPr>
          <w:rFonts w:ascii="標楷體" w:eastAsia="標楷體" w:hAnsi="標楷體" w:hint="eastAsia"/>
          <w:sz w:val="32"/>
          <w:szCs w:val="32"/>
        </w:rPr>
        <w:t>，</w:t>
      </w:r>
      <w:r w:rsidRPr="00C363F0">
        <w:rPr>
          <w:rFonts w:ascii="標楷體" w:eastAsia="標楷體" w:hAnsi="標楷體"/>
          <w:sz w:val="32"/>
          <w:szCs w:val="32"/>
        </w:rPr>
        <w:t>並建立各外</w:t>
      </w:r>
      <w:r w:rsidRPr="00C363F0">
        <w:rPr>
          <w:rFonts w:ascii="標楷體" w:eastAsia="標楷體" w:hAnsi="標楷體" w:hint="eastAsia"/>
          <w:sz w:val="32"/>
          <w:szCs w:val="32"/>
        </w:rPr>
        <w:t>僱</w:t>
      </w:r>
      <w:r w:rsidRPr="00C363F0">
        <w:rPr>
          <w:rFonts w:ascii="標楷體" w:eastAsia="標楷體" w:hAnsi="標楷體"/>
          <w:sz w:val="32"/>
          <w:szCs w:val="32"/>
        </w:rPr>
        <w:t>工</w:t>
      </w:r>
      <w:r w:rsidRPr="00C363F0">
        <w:rPr>
          <w:rFonts w:ascii="標楷體" w:eastAsia="標楷體" w:hAnsi="標楷體" w:hint="eastAsia"/>
          <w:sz w:val="32"/>
          <w:szCs w:val="32"/>
        </w:rPr>
        <w:t>廠所</w:t>
      </w:r>
      <w:r w:rsidRPr="00C363F0">
        <w:rPr>
          <w:rFonts w:ascii="標楷體" w:eastAsia="標楷體" w:hAnsi="標楷體"/>
          <w:sz w:val="32"/>
          <w:szCs w:val="32"/>
        </w:rPr>
        <w:t>在地之派出所及</w:t>
      </w:r>
      <w:r w:rsidRPr="00C363F0">
        <w:rPr>
          <w:rFonts w:ascii="標楷體" w:eastAsia="標楷體" w:hAnsi="標楷體" w:hint="eastAsia"/>
          <w:sz w:val="32"/>
          <w:szCs w:val="32"/>
        </w:rPr>
        <w:t>醫</w:t>
      </w:r>
      <w:r w:rsidRPr="00C363F0">
        <w:rPr>
          <w:rFonts w:ascii="標楷體" w:eastAsia="標楷體" w:hAnsi="標楷體"/>
          <w:sz w:val="32"/>
          <w:szCs w:val="32"/>
        </w:rPr>
        <w:t>院之</w:t>
      </w:r>
      <w:r w:rsidRPr="00C363F0">
        <w:rPr>
          <w:rFonts w:ascii="標楷體" w:eastAsia="標楷體" w:hAnsi="標楷體" w:hint="eastAsia"/>
          <w:sz w:val="32"/>
          <w:szCs w:val="32"/>
        </w:rPr>
        <w:t>聯</w:t>
      </w:r>
      <w:r w:rsidRPr="00C363F0">
        <w:rPr>
          <w:rFonts w:ascii="標楷體" w:eastAsia="標楷體" w:hAnsi="標楷體"/>
          <w:sz w:val="32"/>
          <w:szCs w:val="32"/>
        </w:rPr>
        <w:t>絡表</w:t>
      </w:r>
      <w:r w:rsidRPr="00C363F0">
        <w:rPr>
          <w:rFonts w:ascii="標楷體" w:eastAsia="標楷體" w:hAnsi="標楷體" w:hint="eastAsia"/>
          <w:sz w:val="32"/>
          <w:szCs w:val="32"/>
        </w:rPr>
        <w:t>。源</w:t>
      </w:r>
      <w:r w:rsidRPr="00C363F0">
        <w:rPr>
          <w:rFonts w:ascii="標楷體" w:eastAsia="標楷體" w:hAnsi="標楷體"/>
          <w:sz w:val="32"/>
          <w:szCs w:val="32"/>
        </w:rPr>
        <w:t>頭管理部分，</w:t>
      </w:r>
      <w:r w:rsidRPr="00C363F0">
        <w:rPr>
          <w:rFonts w:ascii="標楷體" w:eastAsia="標楷體" w:hAnsi="標楷體" w:hint="eastAsia"/>
          <w:sz w:val="32"/>
          <w:szCs w:val="32"/>
        </w:rPr>
        <w:t>確實</w:t>
      </w:r>
      <w:r w:rsidRPr="00C363F0">
        <w:rPr>
          <w:rFonts w:ascii="標楷體" w:eastAsia="標楷體" w:hAnsi="標楷體"/>
          <w:sz w:val="32"/>
          <w:szCs w:val="32"/>
        </w:rPr>
        <w:t>掌</w:t>
      </w:r>
      <w:r w:rsidRPr="00C363F0">
        <w:rPr>
          <w:rFonts w:ascii="標楷體" w:eastAsia="標楷體" w:hAnsi="標楷體" w:hint="eastAsia"/>
          <w:sz w:val="32"/>
          <w:szCs w:val="32"/>
        </w:rPr>
        <w:t>握受</w:t>
      </w:r>
      <w:r w:rsidRPr="00C363F0">
        <w:rPr>
          <w:rFonts w:ascii="標楷體" w:eastAsia="標楷體" w:hAnsi="標楷體"/>
          <w:sz w:val="32"/>
          <w:szCs w:val="32"/>
        </w:rPr>
        <w:t>刑人</w:t>
      </w:r>
      <w:r w:rsidRPr="00C363F0">
        <w:rPr>
          <w:rFonts w:ascii="標楷體" w:eastAsia="標楷體" w:hAnsi="標楷體" w:hint="eastAsia"/>
          <w:sz w:val="32"/>
          <w:szCs w:val="32"/>
        </w:rPr>
        <w:t>囚</w:t>
      </w:r>
      <w:r w:rsidRPr="00C363F0">
        <w:rPr>
          <w:rFonts w:ascii="標楷體" w:eastAsia="標楷體" w:hAnsi="標楷體"/>
          <w:sz w:val="32"/>
          <w:szCs w:val="32"/>
        </w:rPr>
        <w:t>情動態</w:t>
      </w:r>
      <w:r w:rsidRPr="00C363F0">
        <w:rPr>
          <w:rFonts w:ascii="標楷體" w:eastAsia="標楷體" w:hAnsi="標楷體" w:hint="eastAsia"/>
          <w:sz w:val="32"/>
          <w:szCs w:val="32"/>
        </w:rPr>
        <w:t>、</w:t>
      </w:r>
      <w:r w:rsidRPr="00C363F0">
        <w:rPr>
          <w:rFonts w:ascii="標楷體" w:eastAsia="標楷體" w:hAnsi="標楷體"/>
          <w:sz w:val="32"/>
          <w:szCs w:val="32"/>
        </w:rPr>
        <w:t>有無異狀，</w:t>
      </w:r>
      <w:r w:rsidRPr="00C363F0">
        <w:rPr>
          <w:rFonts w:ascii="標楷體" w:eastAsia="標楷體" w:hAnsi="標楷體" w:hint="eastAsia"/>
          <w:sz w:val="32"/>
          <w:szCs w:val="32"/>
        </w:rPr>
        <w:t>並加</w:t>
      </w:r>
      <w:r w:rsidRPr="00C363F0">
        <w:rPr>
          <w:rFonts w:ascii="標楷體" w:eastAsia="標楷體" w:hAnsi="標楷體"/>
          <w:sz w:val="32"/>
          <w:szCs w:val="32"/>
        </w:rPr>
        <w:t>強考核跟輔導</w:t>
      </w:r>
      <w:r w:rsidRPr="00C363F0">
        <w:rPr>
          <w:rFonts w:ascii="標楷體" w:eastAsia="標楷體" w:hAnsi="標楷體" w:hint="eastAsia"/>
          <w:sz w:val="32"/>
          <w:szCs w:val="32"/>
        </w:rPr>
        <w:t>；實</w:t>
      </w:r>
      <w:r w:rsidRPr="00C363F0">
        <w:rPr>
          <w:rFonts w:ascii="標楷體" w:eastAsia="標楷體" w:hAnsi="標楷體"/>
          <w:sz w:val="32"/>
          <w:szCs w:val="32"/>
        </w:rPr>
        <w:t>務上，針對一個月以上</w:t>
      </w:r>
      <w:r w:rsidRPr="00C363F0">
        <w:rPr>
          <w:rFonts w:ascii="標楷體" w:eastAsia="標楷體" w:hAnsi="標楷體" w:hint="eastAsia"/>
          <w:sz w:val="32"/>
          <w:szCs w:val="32"/>
        </w:rPr>
        <w:t>無</w:t>
      </w:r>
      <w:r w:rsidRPr="00C363F0">
        <w:rPr>
          <w:rFonts w:ascii="標楷體" w:eastAsia="標楷體" w:hAnsi="標楷體"/>
          <w:sz w:val="32"/>
          <w:szCs w:val="32"/>
        </w:rPr>
        <w:t>人接見</w:t>
      </w:r>
      <w:r w:rsidRPr="00C363F0">
        <w:rPr>
          <w:rFonts w:ascii="標楷體" w:eastAsia="標楷體" w:hAnsi="標楷體" w:hint="eastAsia"/>
          <w:sz w:val="32"/>
          <w:szCs w:val="32"/>
        </w:rPr>
        <w:t>、</w:t>
      </w:r>
      <w:r w:rsidRPr="00C363F0">
        <w:rPr>
          <w:rFonts w:ascii="標楷體" w:eastAsia="標楷體" w:hAnsi="標楷體"/>
          <w:sz w:val="32"/>
          <w:szCs w:val="32"/>
        </w:rPr>
        <w:t>通信之受刑人，</w:t>
      </w:r>
      <w:r w:rsidRPr="00C363F0">
        <w:rPr>
          <w:rFonts w:ascii="標楷體" w:eastAsia="標楷體" w:hAnsi="標楷體" w:hint="eastAsia"/>
          <w:sz w:val="32"/>
          <w:szCs w:val="32"/>
        </w:rPr>
        <w:t>請</w:t>
      </w:r>
      <w:r w:rsidRPr="00C363F0">
        <w:rPr>
          <w:rFonts w:ascii="標楷體" w:eastAsia="標楷體" w:hAnsi="標楷體"/>
          <w:sz w:val="32"/>
          <w:szCs w:val="32"/>
        </w:rPr>
        <w:t>心理師、社工師</w:t>
      </w:r>
      <w:r w:rsidRPr="00C363F0">
        <w:rPr>
          <w:rFonts w:ascii="標楷體" w:eastAsia="標楷體" w:hAnsi="標楷體" w:hint="eastAsia"/>
          <w:sz w:val="32"/>
          <w:szCs w:val="32"/>
        </w:rPr>
        <w:t>特</w:t>
      </w:r>
      <w:r w:rsidRPr="00C363F0">
        <w:rPr>
          <w:rFonts w:ascii="標楷體" w:eastAsia="標楷體" w:hAnsi="標楷體"/>
          <w:sz w:val="32"/>
          <w:szCs w:val="32"/>
        </w:rPr>
        <w:t>別輔</w:t>
      </w:r>
      <w:r w:rsidRPr="00C363F0">
        <w:rPr>
          <w:rFonts w:ascii="標楷體" w:eastAsia="標楷體" w:hAnsi="標楷體" w:hint="eastAsia"/>
          <w:sz w:val="32"/>
          <w:szCs w:val="32"/>
        </w:rPr>
        <w:t>導。另為降</w:t>
      </w:r>
      <w:r w:rsidRPr="00C363F0">
        <w:rPr>
          <w:rFonts w:ascii="標楷體" w:eastAsia="標楷體" w:hAnsi="標楷體"/>
          <w:sz w:val="32"/>
          <w:szCs w:val="32"/>
        </w:rPr>
        <w:t>低戒</w:t>
      </w:r>
      <w:r w:rsidRPr="00C363F0">
        <w:rPr>
          <w:rFonts w:ascii="標楷體" w:eastAsia="標楷體" w:hAnsi="標楷體" w:hint="eastAsia"/>
          <w:sz w:val="32"/>
          <w:szCs w:val="32"/>
        </w:rPr>
        <w:t>護風險</w:t>
      </w:r>
      <w:r w:rsidRPr="00C363F0">
        <w:rPr>
          <w:rFonts w:ascii="標楷體" w:eastAsia="標楷體" w:hAnsi="標楷體"/>
          <w:sz w:val="32"/>
          <w:szCs w:val="32"/>
        </w:rPr>
        <w:t>，</w:t>
      </w:r>
      <w:r w:rsidRPr="00C363F0">
        <w:rPr>
          <w:rFonts w:ascii="標楷體" w:eastAsia="標楷體" w:hAnsi="標楷體" w:hint="eastAsia"/>
          <w:sz w:val="32"/>
          <w:szCs w:val="32"/>
        </w:rPr>
        <w:t>主</w:t>
      </w:r>
      <w:r w:rsidRPr="00C363F0">
        <w:rPr>
          <w:rFonts w:ascii="標楷體" w:eastAsia="標楷體" w:hAnsi="標楷體"/>
          <w:sz w:val="32"/>
          <w:szCs w:val="32"/>
        </w:rPr>
        <w:t>要由外</w:t>
      </w:r>
      <w:r w:rsidRPr="00C363F0">
        <w:rPr>
          <w:rFonts w:ascii="標楷體" w:eastAsia="標楷體" w:hAnsi="標楷體" w:hint="eastAsia"/>
          <w:sz w:val="32"/>
          <w:szCs w:val="32"/>
        </w:rPr>
        <w:t>僱</w:t>
      </w:r>
      <w:r w:rsidRPr="00C363F0">
        <w:rPr>
          <w:rFonts w:ascii="標楷體" w:eastAsia="標楷體" w:hAnsi="標楷體"/>
          <w:sz w:val="32"/>
          <w:szCs w:val="32"/>
        </w:rPr>
        <w:t>主管密</w:t>
      </w:r>
      <w:r w:rsidRPr="00C363F0">
        <w:rPr>
          <w:rFonts w:ascii="標楷體" w:eastAsia="標楷體" w:hAnsi="標楷體" w:hint="eastAsia"/>
          <w:sz w:val="32"/>
          <w:szCs w:val="32"/>
        </w:rPr>
        <w:t>切</w:t>
      </w:r>
      <w:r w:rsidRPr="00C363F0">
        <w:rPr>
          <w:rFonts w:ascii="標楷體" w:eastAsia="標楷體" w:hAnsi="標楷體"/>
          <w:sz w:val="32"/>
          <w:szCs w:val="32"/>
        </w:rPr>
        <w:t>掌握</w:t>
      </w:r>
      <w:r w:rsidRPr="00C363F0">
        <w:rPr>
          <w:rFonts w:ascii="標楷體" w:eastAsia="標楷體" w:hAnsi="標楷體" w:hint="eastAsia"/>
          <w:sz w:val="32"/>
          <w:szCs w:val="32"/>
        </w:rPr>
        <w:t>受</w:t>
      </w:r>
      <w:r w:rsidRPr="00C363F0">
        <w:rPr>
          <w:rFonts w:ascii="標楷體" w:eastAsia="標楷體" w:hAnsi="標楷體"/>
          <w:sz w:val="32"/>
          <w:szCs w:val="32"/>
        </w:rPr>
        <w:t>刑人生活動態</w:t>
      </w:r>
      <w:r w:rsidRPr="00C363F0">
        <w:rPr>
          <w:rFonts w:ascii="標楷體" w:eastAsia="標楷體" w:hAnsi="標楷體" w:hint="eastAsia"/>
          <w:sz w:val="32"/>
          <w:szCs w:val="32"/>
        </w:rPr>
        <w:t>，</w:t>
      </w:r>
      <w:r w:rsidRPr="00C363F0">
        <w:rPr>
          <w:rFonts w:ascii="標楷體" w:eastAsia="標楷體" w:hAnsi="標楷體"/>
          <w:sz w:val="32"/>
          <w:szCs w:val="32"/>
        </w:rPr>
        <w:t>因此在</w:t>
      </w:r>
      <w:r w:rsidRPr="00C363F0">
        <w:rPr>
          <w:rFonts w:ascii="標楷體" w:eastAsia="標楷體" w:hAnsi="標楷體" w:hint="eastAsia"/>
          <w:sz w:val="32"/>
          <w:szCs w:val="32"/>
        </w:rPr>
        <w:t>人</w:t>
      </w:r>
      <w:r w:rsidRPr="00C363F0">
        <w:rPr>
          <w:rFonts w:ascii="標楷體" w:eastAsia="標楷體" w:hAnsi="標楷體"/>
          <w:sz w:val="32"/>
          <w:szCs w:val="32"/>
        </w:rPr>
        <w:t>力配</w:t>
      </w:r>
      <w:r w:rsidRPr="00C363F0">
        <w:rPr>
          <w:rFonts w:ascii="標楷體" w:eastAsia="標楷體" w:hAnsi="標楷體" w:hint="eastAsia"/>
          <w:sz w:val="32"/>
          <w:szCs w:val="32"/>
        </w:rPr>
        <w:t>置</w:t>
      </w:r>
      <w:r w:rsidRPr="00C363F0">
        <w:rPr>
          <w:rFonts w:ascii="標楷體" w:eastAsia="標楷體" w:hAnsi="標楷體"/>
          <w:sz w:val="32"/>
          <w:szCs w:val="32"/>
        </w:rPr>
        <w:t>上，</w:t>
      </w:r>
      <w:r w:rsidRPr="00C363F0">
        <w:rPr>
          <w:rFonts w:ascii="標楷體" w:eastAsia="標楷體" w:hAnsi="標楷體" w:hint="eastAsia"/>
          <w:sz w:val="32"/>
          <w:szCs w:val="32"/>
        </w:rPr>
        <w:t>1名外</w:t>
      </w:r>
      <w:r w:rsidRPr="00C363F0">
        <w:rPr>
          <w:rFonts w:ascii="標楷體" w:eastAsia="標楷體" w:hAnsi="標楷體"/>
          <w:sz w:val="32"/>
          <w:szCs w:val="32"/>
        </w:rPr>
        <w:t>僱工作主管</w:t>
      </w:r>
      <w:r w:rsidRPr="00C363F0">
        <w:rPr>
          <w:rFonts w:ascii="標楷體" w:eastAsia="標楷體" w:hAnsi="標楷體" w:hint="eastAsia"/>
          <w:sz w:val="32"/>
          <w:szCs w:val="32"/>
        </w:rPr>
        <w:t>只</w:t>
      </w:r>
      <w:r w:rsidRPr="00C363F0">
        <w:rPr>
          <w:rFonts w:ascii="標楷體" w:eastAsia="標楷體" w:hAnsi="標楷體"/>
          <w:sz w:val="32"/>
          <w:szCs w:val="32"/>
        </w:rPr>
        <w:t>能帶</w:t>
      </w:r>
      <w:r w:rsidRPr="00C363F0">
        <w:rPr>
          <w:rFonts w:ascii="標楷體" w:eastAsia="標楷體" w:hAnsi="標楷體" w:hint="eastAsia"/>
          <w:sz w:val="32"/>
          <w:szCs w:val="32"/>
        </w:rPr>
        <w:t>15名</w:t>
      </w:r>
      <w:r w:rsidRPr="00C363F0">
        <w:rPr>
          <w:rFonts w:ascii="標楷體" w:eastAsia="標楷體" w:hAnsi="標楷體"/>
          <w:sz w:val="32"/>
          <w:szCs w:val="32"/>
        </w:rPr>
        <w:t>左</w:t>
      </w:r>
      <w:r w:rsidRPr="00C363F0">
        <w:rPr>
          <w:rFonts w:ascii="標楷體" w:eastAsia="標楷體" w:hAnsi="標楷體" w:hint="eastAsia"/>
          <w:sz w:val="32"/>
          <w:szCs w:val="32"/>
        </w:rPr>
        <w:t>右</w:t>
      </w:r>
      <w:r w:rsidRPr="00C363F0">
        <w:rPr>
          <w:rFonts w:ascii="標楷體" w:eastAsia="標楷體" w:hAnsi="標楷體"/>
          <w:sz w:val="32"/>
          <w:szCs w:val="32"/>
        </w:rPr>
        <w:t>之受刑人</w:t>
      </w:r>
      <w:r w:rsidRPr="00C363F0">
        <w:rPr>
          <w:rFonts w:ascii="標楷體" w:eastAsia="標楷體" w:hAnsi="標楷體" w:hint="eastAsia"/>
          <w:sz w:val="32"/>
          <w:szCs w:val="32"/>
        </w:rPr>
        <w:t>，</w:t>
      </w:r>
      <w:r w:rsidRPr="00C363F0">
        <w:rPr>
          <w:rFonts w:ascii="標楷體" w:eastAsia="標楷體" w:hAnsi="標楷體"/>
          <w:sz w:val="32"/>
          <w:szCs w:val="32"/>
        </w:rPr>
        <w:t>以避免無法</w:t>
      </w:r>
      <w:r w:rsidRPr="00C363F0">
        <w:rPr>
          <w:rFonts w:ascii="標楷體" w:eastAsia="標楷體" w:hAnsi="標楷體" w:hint="eastAsia"/>
          <w:sz w:val="32"/>
          <w:szCs w:val="32"/>
        </w:rPr>
        <w:t>深</w:t>
      </w:r>
      <w:r w:rsidRPr="00C363F0">
        <w:rPr>
          <w:rFonts w:ascii="標楷體" w:eastAsia="標楷體" w:hAnsi="標楷體"/>
          <w:sz w:val="32"/>
          <w:szCs w:val="32"/>
        </w:rPr>
        <w:t>入瞭解受刑人</w:t>
      </w:r>
      <w:r w:rsidRPr="00C363F0">
        <w:rPr>
          <w:rFonts w:ascii="標楷體" w:eastAsia="標楷體" w:hAnsi="標楷體" w:hint="eastAsia"/>
          <w:sz w:val="32"/>
          <w:szCs w:val="32"/>
        </w:rPr>
        <w:t>情</w:t>
      </w:r>
      <w:r w:rsidRPr="00C363F0">
        <w:rPr>
          <w:rFonts w:ascii="標楷體" w:eastAsia="標楷體" w:hAnsi="標楷體"/>
          <w:sz w:val="32"/>
          <w:szCs w:val="32"/>
        </w:rPr>
        <w:t>狀。</w:t>
      </w:r>
    </w:p>
    <w:p w14:paraId="448B4D4B" w14:textId="77777777" w:rsidR="00421BB5" w:rsidRPr="00C363F0" w:rsidRDefault="00421BB5" w:rsidP="00E45804">
      <w:pPr>
        <w:numPr>
          <w:ilvl w:val="0"/>
          <w:numId w:val="39"/>
        </w:numPr>
        <w:topLinePunct/>
        <w:spacing w:line="520" w:lineRule="exact"/>
        <w:ind w:leftChars="250" w:left="747" w:hangingChars="46" w:hanging="147"/>
        <w:jc w:val="both"/>
        <w:rPr>
          <w:rFonts w:ascii="標楷體" w:eastAsia="標楷體" w:hAnsi="標楷體" w:cs="新細明體"/>
          <w:sz w:val="32"/>
          <w:szCs w:val="32"/>
        </w:rPr>
      </w:pPr>
      <w:r w:rsidRPr="00C363F0">
        <w:rPr>
          <w:rFonts w:ascii="標楷體" w:eastAsia="標楷體" w:hAnsi="標楷體" w:cs="新細明體" w:hint="eastAsia"/>
          <w:sz w:val="32"/>
          <w:szCs w:val="32"/>
        </w:rPr>
        <w:t>社</w:t>
      </w:r>
      <w:r w:rsidRPr="00C363F0">
        <w:rPr>
          <w:rFonts w:ascii="標楷體" w:eastAsia="標楷體" w:hAnsi="標楷體" w:cs="新細明體"/>
          <w:sz w:val="32"/>
          <w:szCs w:val="32"/>
        </w:rPr>
        <w:t>會復歸轉</w:t>
      </w:r>
      <w:r w:rsidRPr="00C363F0">
        <w:rPr>
          <w:rFonts w:ascii="標楷體" w:eastAsia="標楷體" w:hAnsi="標楷體" w:cs="新細明體" w:hint="eastAsia"/>
          <w:sz w:val="32"/>
          <w:szCs w:val="32"/>
        </w:rPr>
        <w:t>銜部</w:t>
      </w:r>
      <w:r w:rsidRPr="00C363F0">
        <w:rPr>
          <w:rFonts w:ascii="標楷體" w:eastAsia="標楷體" w:hAnsi="標楷體" w:cs="新細明體"/>
          <w:sz w:val="32"/>
          <w:szCs w:val="32"/>
        </w:rPr>
        <w:t>分：</w:t>
      </w:r>
    </w:p>
    <w:p w14:paraId="2F21043F" w14:textId="77777777" w:rsidR="00421BB5" w:rsidRPr="00C363F0" w:rsidRDefault="00421BB5" w:rsidP="00E45804">
      <w:pPr>
        <w:topLinePunct/>
        <w:spacing w:line="520" w:lineRule="exact"/>
        <w:ind w:left="994" w:firstLineChars="8" w:firstLine="26"/>
        <w:jc w:val="both"/>
        <w:rPr>
          <w:rFonts w:ascii="標楷體" w:eastAsia="標楷體" w:hAnsi="標楷體" w:cs="新細明體"/>
          <w:sz w:val="32"/>
          <w:szCs w:val="32"/>
        </w:rPr>
      </w:pPr>
      <w:r w:rsidRPr="00C363F0">
        <w:rPr>
          <w:rFonts w:ascii="標楷體" w:eastAsia="標楷體" w:hAnsi="標楷體" w:cs="新細明體" w:hint="eastAsia"/>
          <w:sz w:val="32"/>
          <w:szCs w:val="32"/>
        </w:rPr>
        <w:t>目</w:t>
      </w:r>
      <w:r w:rsidRPr="00C363F0">
        <w:rPr>
          <w:rFonts w:ascii="標楷體" w:eastAsia="標楷體" w:hAnsi="標楷體" w:cs="新細明體"/>
          <w:sz w:val="32"/>
          <w:szCs w:val="32"/>
        </w:rPr>
        <w:t>前各監</w:t>
      </w:r>
      <w:r w:rsidRPr="00C363F0">
        <w:rPr>
          <w:rFonts w:ascii="標楷體" w:eastAsia="標楷體" w:hAnsi="標楷體" w:cs="新細明體" w:hint="eastAsia"/>
          <w:sz w:val="32"/>
          <w:szCs w:val="32"/>
        </w:rPr>
        <w:t>普</w:t>
      </w:r>
      <w:r w:rsidRPr="00C363F0">
        <w:rPr>
          <w:rFonts w:ascii="標楷體" w:eastAsia="標楷體" w:hAnsi="標楷體" w:cs="新細明體"/>
          <w:sz w:val="32"/>
          <w:szCs w:val="32"/>
        </w:rPr>
        <w:t>遍作法</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係由</w:t>
      </w:r>
      <w:r w:rsidRPr="00C363F0">
        <w:rPr>
          <w:rFonts w:ascii="標楷體" w:eastAsia="標楷體" w:hAnsi="標楷體" w:cs="新細明體" w:hint="eastAsia"/>
          <w:sz w:val="32"/>
          <w:szCs w:val="32"/>
        </w:rPr>
        <w:t>更生</w:t>
      </w:r>
      <w:r w:rsidRPr="00C363F0">
        <w:rPr>
          <w:rFonts w:ascii="標楷體" w:eastAsia="標楷體" w:hAnsi="標楷體" w:cs="新細明體"/>
          <w:sz w:val="32"/>
          <w:szCs w:val="32"/>
        </w:rPr>
        <w:t>保</w:t>
      </w:r>
      <w:r w:rsidRPr="00C363F0">
        <w:rPr>
          <w:rFonts w:ascii="標楷體" w:eastAsia="標楷體" w:hAnsi="標楷體" w:cs="新細明體" w:hint="eastAsia"/>
          <w:sz w:val="32"/>
          <w:szCs w:val="32"/>
        </w:rPr>
        <w:t>護</w:t>
      </w:r>
      <w:r w:rsidRPr="00C363F0">
        <w:rPr>
          <w:rFonts w:ascii="標楷體" w:eastAsia="標楷體" w:hAnsi="標楷體" w:cs="新細明體"/>
          <w:sz w:val="32"/>
          <w:szCs w:val="32"/>
        </w:rPr>
        <w:t>協會</w:t>
      </w:r>
      <w:r w:rsidRPr="00C363F0">
        <w:rPr>
          <w:rFonts w:ascii="標楷體" w:eastAsia="標楷體" w:hAnsi="標楷體" w:cs="新細明體" w:hint="eastAsia"/>
          <w:sz w:val="32"/>
          <w:szCs w:val="32"/>
        </w:rPr>
        <w:t>於</w:t>
      </w:r>
      <w:r w:rsidRPr="00C363F0">
        <w:rPr>
          <w:rFonts w:ascii="標楷體" w:eastAsia="標楷體" w:hAnsi="標楷體" w:cs="新細明體"/>
          <w:sz w:val="32"/>
          <w:szCs w:val="32"/>
        </w:rPr>
        <w:t>受刑人在</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監前三個月</w:t>
      </w:r>
      <w:r w:rsidRPr="00C363F0">
        <w:rPr>
          <w:rFonts w:ascii="標楷體" w:eastAsia="標楷體" w:hAnsi="標楷體" w:cs="新細明體" w:hint="eastAsia"/>
          <w:sz w:val="32"/>
          <w:szCs w:val="32"/>
        </w:rPr>
        <w:t>事</w:t>
      </w:r>
      <w:r w:rsidRPr="00C363F0">
        <w:rPr>
          <w:rFonts w:ascii="標楷體" w:eastAsia="標楷體" w:hAnsi="標楷體" w:cs="新細明體"/>
          <w:sz w:val="32"/>
          <w:szCs w:val="32"/>
        </w:rPr>
        <w:t>先</w:t>
      </w:r>
      <w:r w:rsidRPr="00C363F0">
        <w:rPr>
          <w:rFonts w:ascii="標楷體" w:eastAsia="標楷體" w:hAnsi="標楷體" w:cs="新細明體" w:hint="eastAsia"/>
          <w:sz w:val="32"/>
          <w:szCs w:val="32"/>
        </w:rPr>
        <w:t>介</w:t>
      </w:r>
      <w:r w:rsidRPr="00C363F0">
        <w:rPr>
          <w:rFonts w:ascii="標楷體" w:eastAsia="標楷體" w:hAnsi="標楷體" w:cs="新細明體"/>
          <w:sz w:val="32"/>
          <w:szCs w:val="32"/>
        </w:rPr>
        <w:t>入，</w:t>
      </w:r>
      <w:r w:rsidRPr="00C363F0">
        <w:rPr>
          <w:rFonts w:ascii="標楷體" w:eastAsia="標楷體" w:hAnsi="標楷體" w:cs="新細明體" w:hint="eastAsia"/>
          <w:sz w:val="32"/>
          <w:szCs w:val="32"/>
        </w:rPr>
        <w:t>規</w:t>
      </w:r>
      <w:r w:rsidRPr="00C363F0">
        <w:rPr>
          <w:rFonts w:ascii="標楷體" w:eastAsia="標楷體" w:hAnsi="標楷體" w:cs="新細明體"/>
          <w:sz w:val="32"/>
          <w:szCs w:val="32"/>
        </w:rPr>
        <w:t>劃</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緊急）協助項目（如：車資補助</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未來居住</w:t>
      </w:r>
      <w:r w:rsidRPr="00C363F0">
        <w:rPr>
          <w:rFonts w:ascii="標楷體" w:eastAsia="標楷體" w:hAnsi="標楷體" w:cs="新細明體" w:hint="eastAsia"/>
          <w:sz w:val="32"/>
          <w:szCs w:val="32"/>
        </w:rPr>
        <w:t>處</w:t>
      </w:r>
      <w:r w:rsidRPr="00C363F0">
        <w:rPr>
          <w:rFonts w:ascii="標楷體" w:eastAsia="標楷體" w:hAnsi="標楷體" w:cs="新細明體"/>
          <w:sz w:val="32"/>
          <w:szCs w:val="32"/>
        </w:rPr>
        <w:t>安排</w:t>
      </w:r>
      <w:r w:rsidRPr="00C363F0">
        <w:rPr>
          <w:rFonts w:ascii="標楷體" w:eastAsia="標楷體" w:hAnsi="標楷體" w:cs="新細明體" w:hint="eastAsia"/>
          <w:sz w:val="32"/>
          <w:szCs w:val="32"/>
        </w:rPr>
        <w:t>及協</w:t>
      </w:r>
      <w:r w:rsidRPr="00C363F0">
        <w:rPr>
          <w:rFonts w:ascii="標楷體" w:eastAsia="標楷體" w:hAnsi="標楷體" w:cs="新細明體"/>
          <w:sz w:val="32"/>
          <w:szCs w:val="32"/>
        </w:rPr>
        <w:t>助</w:t>
      </w:r>
      <w:r w:rsidRPr="00C363F0">
        <w:rPr>
          <w:rFonts w:ascii="標楷體" w:eastAsia="標楷體" w:hAnsi="標楷體" w:cs="新細明體" w:hint="eastAsia"/>
          <w:sz w:val="32"/>
          <w:szCs w:val="32"/>
        </w:rPr>
        <w:t>就業等</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若受刑人</w:t>
      </w:r>
      <w:r w:rsidRPr="00C363F0">
        <w:rPr>
          <w:rFonts w:ascii="標楷體" w:eastAsia="標楷體" w:hAnsi="標楷體" w:cs="新細明體" w:hint="eastAsia"/>
          <w:sz w:val="32"/>
          <w:szCs w:val="32"/>
        </w:rPr>
        <w:t>有</w:t>
      </w:r>
      <w:r w:rsidRPr="00C363F0">
        <w:rPr>
          <w:rFonts w:ascii="標楷體" w:eastAsia="標楷體" w:hAnsi="標楷體" w:cs="新細明體"/>
          <w:sz w:val="32"/>
          <w:szCs w:val="32"/>
        </w:rPr>
        <w:t>需求，會建立就業</w:t>
      </w:r>
      <w:r w:rsidRPr="00C363F0">
        <w:rPr>
          <w:rFonts w:ascii="標楷體" w:eastAsia="標楷體" w:hAnsi="標楷體" w:cs="新細明體" w:hint="eastAsia"/>
          <w:sz w:val="32"/>
          <w:szCs w:val="32"/>
        </w:rPr>
        <w:t>轉</w:t>
      </w:r>
      <w:r w:rsidRPr="00C363F0">
        <w:rPr>
          <w:rFonts w:ascii="標楷體" w:eastAsia="標楷體" w:hAnsi="標楷體" w:cs="新細明體"/>
          <w:sz w:val="32"/>
          <w:szCs w:val="32"/>
        </w:rPr>
        <w:t>銜單，</w:t>
      </w:r>
      <w:r w:rsidRPr="00C363F0">
        <w:rPr>
          <w:rFonts w:ascii="標楷體" w:eastAsia="標楷體" w:hAnsi="標楷體" w:cs="新細明體" w:hint="eastAsia"/>
          <w:sz w:val="32"/>
          <w:szCs w:val="32"/>
        </w:rPr>
        <w:t>相</w:t>
      </w:r>
      <w:r w:rsidRPr="00C363F0">
        <w:rPr>
          <w:rFonts w:ascii="標楷體" w:eastAsia="標楷體" w:hAnsi="標楷體" w:cs="新細明體"/>
          <w:sz w:val="32"/>
          <w:szCs w:val="32"/>
        </w:rPr>
        <w:t>關資料提供</w:t>
      </w:r>
      <w:r w:rsidRPr="00C363F0">
        <w:rPr>
          <w:rFonts w:ascii="標楷體" w:eastAsia="標楷體" w:hAnsi="標楷體" w:cs="新細明體" w:hint="eastAsia"/>
          <w:sz w:val="32"/>
          <w:szCs w:val="32"/>
        </w:rPr>
        <w:t>受刑人未</w:t>
      </w:r>
      <w:r w:rsidRPr="00C363F0">
        <w:rPr>
          <w:rFonts w:ascii="標楷體" w:eastAsia="標楷體" w:hAnsi="標楷體" w:cs="新細明體"/>
          <w:sz w:val="32"/>
          <w:szCs w:val="32"/>
        </w:rPr>
        <w:t>來出監居</w:t>
      </w:r>
      <w:r w:rsidRPr="00C363F0">
        <w:rPr>
          <w:rFonts w:ascii="標楷體" w:eastAsia="標楷體" w:hAnsi="標楷體" w:cs="新細明體" w:hint="eastAsia"/>
          <w:sz w:val="32"/>
          <w:szCs w:val="32"/>
        </w:rPr>
        <w:t>住</w:t>
      </w:r>
      <w:r w:rsidRPr="00C363F0">
        <w:rPr>
          <w:rFonts w:ascii="標楷體" w:eastAsia="標楷體" w:hAnsi="標楷體" w:cs="新細明體"/>
          <w:sz w:val="32"/>
          <w:szCs w:val="32"/>
        </w:rPr>
        <w:t>所所</w:t>
      </w:r>
      <w:r w:rsidRPr="00C363F0">
        <w:rPr>
          <w:rFonts w:ascii="標楷體" w:eastAsia="標楷體" w:hAnsi="標楷體" w:cs="新細明體" w:hint="eastAsia"/>
          <w:sz w:val="32"/>
          <w:szCs w:val="32"/>
        </w:rPr>
        <w:t>在</w:t>
      </w:r>
      <w:r w:rsidRPr="00C363F0">
        <w:rPr>
          <w:rFonts w:ascii="標楷體" w:eastAsia="標楷體" w:hAnsi="標楷體" w:cs="新細明體"/>
          <w:sz w:val="32"/>
          <w:szCs w:val="32"/>
        </w:rPr>
        <w:t>地之</w:t>
      </w:r>
      <w:r w:rsidRPr="00C363F0">
        <w:rPr>
          <w:rFonts w:ascii="標楷體" w:eastAsia="標楷體" w:hAnsi="標楷體" w:cs="新細明體" w:hint="eastAsia"/>
          <w:sz w:val="32"/>
          <w:szCs w:val="32"/>
        </w:rPr>
        <w:t>勞</w:t>
      </w:r>
      <w:r w:rsidRPr="00C363F0">
        <w:rPr>
          <w:rFonts w:ascii="標楷體" w:eastAsia="標楷體" w:hAnsi="標楷體" w:cs="新細明體"/>
          <w:sz w:val="32"/>
          <w:szCs w:val="32"/>
        </w:rPr>
        <w:t>動力發展分</w:t>
      </w:r>
      <w:r w:rsidRPr="00C363F0">
        <w:rPr>
          <w:rFonts w:ascii="標楷體" w:eastAsia="標楷體" w:hAnsi="標楷體" w:cs="新細明體" w:hint="eastAsia"/>
          <w:sz w:val="32"/>
          <w:szCs w:val="32"/>
        </w:rPr>
        <w:t>署</w:t>
      </w:r>
      <w:r w:rsidRPr="00C363F0">
        <w:rPr>
          <w:rFonts w:ascii="標楷體" w:eastAsia="標楷體" w:hAnsi="標楷體" w:cs="新細明體"/>
          <w:sz w:val="32"/>
          <w:szCs w:val="32"/>
        </w:rPr>
        <w:t>，指派</w:t>
      </w:r>
      <w:r w:rsidRPr="00C363F0">
        <w:rPr>
          <w:rFonts w:ascii="標楷體" w:eastAsia="標楷體" w:hAnsi="標楷體" w:cs="新細明體" w:hint="eastAsia"/>
          <w:sz w:val="32"/>
          <w:szCs w:val="32"/>
        </w:rPr>
        <w:t>專</w:t>
      </w:r>
      <w:r w:rsidRPr="00C363F0">
        <w:rPr>
          <w:rFonts w:ascii="標楷體" w:eastAsia="標楷體" w:hAnsi="標楷體" w:cs="新細明體"/>
          <w:sz w:val="32"/>
          <w:szCs w:val="32"/>
        </w:rPr>
        <w:t>人</w:t>
      </w:r>
      <w:r w:rsidRPr="00C363F0">
        <w:rPr>
          <w:rFonts w:ascii="標楷體" w:eastAsia="標楷體" w:hAnsi="標楷體" w:cs="新細明體" w:hint="eastAsia"/>
          <w:sz w:val="32"/>
          <w:szCs w:val="32"/>
        </w:rPr>
        <w:t>開案</w:t>
      </w:r>
      <w:r w:rsidRPr="00C363F0">
        <w:rPr>
          <w:rFonts w:ascii="標楷體" w:eastAsia="標楷體" w:hAnsi="標楷體" w:cs="新細明體"/>
          <w:sz w:val="32"/>
          <w:szCs w:val="32"/>
        </w:rPr>
        <w:t>，並</w:t>
      </w:r>
      <w:r w:rsidRPr="00C363F0">
        <w:rPr>
          <w:rFonts w:ascii="標楷體" w:eastAsia="標楷體" w:hAnsi="標楷體" w:cs="新細明體" w:hint="eastAsia"/>
          <w:sz w:val="32"/>
          <w:szCs w:val="32"/>
        </w:rPr>
        <w:t>聯</w:t>
      </w:r>
      <w:r w:rsidRPr="00C363F0">
        <w:rPr>
          <w:rFonts w:ascii="標楷體" w:eastAsia="標楷體" w:hAnsi="標楷體" w:cs="新細明體"/>
          <w:sz w:val="32"/>
          <w:szCs w:val="32"/>
        </w:rPr>
        <w:t>絡提供</w:t>
      </w:r>
      <w:r w:rsidRPr="00C363F0">
        <w:rPr>
          <w:rFonts w:ascii="標楷體" w:eastAsia="標楷體" w:hAnsi="標楷體" w:cs="新細明體" w:hint="eastAsia"/>
          <w:sz w:val="32"/>
          <w:szCs w:val="32"/>
        </w:rPr>
        <w:t>就</w:t>
      </w:r>
      <w:r w:rsidRPr="00C363F0">
        <w:rPr>
          <w:rFonts w:ascii="標楷體" w:eastAsia="標楷體" w:hAnsi="標楷體" w:cs="新細明體"/>
          <w:sz w:val="32"/>
          <w:szCs w:val="32"/>
        </w:rPr>
        <w:t>業機會</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資</w:t>
      </w:r>
      <w:r w:rsidRPr="00C363F0">
        <w:rPr>
          <w:rFonts w:ascii="標楷體" w:eastAsia="標楷體" w:hAnsi="標楷體" w:cs="新細明體" w:hint="eastAsia"/>
          <w:sz w:val="32"/>
          <w:szCs w:val="32"/>
        </w:rPr>
        <w:t>訊</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而</w:t>
      </w:r>
      <w:r w:rsidRPr="00C363F0">
        <w:rPr>
          <w:rFonts w:ascii="標楷體" w:eastAsia="標楷體" w:hAnsi="標楷體" w:cs="新細明體"/>
          <w:sz w:val="32"/>
          <w:szCs w:val="32"/>
        </w:rPr>
        <w:t>以本監為例，</w:t>
      </w:r>
      <w:r w:rsidRPr="00C363F0">
        <w:rPr>
          <w:rFonts w:ascii="標楷體" w:eastAsia="標楷體" w:hAnsi="標楷體" w:cs="新細明體" w:hint="eastAsia"/>
          <w:sz w:val="32"/>
          <w:szCs w:val="32"/>
        </w:rPr>
        <w:t>在評核</w:t>
      </w:r>
      <w:r w:rsidRPr="00C363F0">
        <w:rPr>
          <w:rFonts w:ascii="標楷體" w:eastAsia="標楷體" w:hAnsi="標楷體" w:cs="新細明體"/>
          <w:sz w:val="32"/>
          <w:szCs w:val="32"/>
        </w:rPr>
        <w:t>合作廠</w:t>
      </w:r>
      <w:r w:rsidRPr="00C363F0">
        <w:rPr>
          <w:rFonts w:ascii="標楷體" w:eastAsia="標楷體" w:hAnsi="標楷體" w:cs="新細明體" w:hint="eastAsia"/>
          <w:sz w:val="32"/>
          <w:szCs w:val="32"/>
        </w:rPr>
        <w:t>商</w:t>
      </w:r>
      <w:r w:rsidRPr="00C363F0">
        <w:rPr>
          <w:rFonts w:ascii="標楷體" w:eastAsia="標楷體" w:hAnsi="標楷體" w:cs="新細明體"/>
          <w:sz w:val="32"/>
          <w:szCs w:val="32"/>
        </w:rPr>
        <w:t>時會考量</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監時</w:t>
      </w:r>
      <w:r w:rsidRPr="00C363F0">
        <w:rPr>
          <w:rFonts w:ascii="標楷體" w:eastAsia="標楷體" w:hAnsi="標楷體" w:cs="新細明體" w:hint="eastAsia"/>
          <w:sz w:val="32"/>
          <w:szCs w:val="32"/>
        </w:rPr>
        <w:t>就</w:t>
      </w:r>
      <w:r w:rsidRPr="00C363F0">
        <w:rPr>
          <w:rFonts w:ascii="標楷體" w:eastAsia="標楷體" w:hAnsi="標楷體" w:cs="新細明體"/>
          <w:sz w:val="32"/>
          <w:szCs w:val="32"/>
        </w:rPr>
        <w:t>業之可近性，</w:t>
      </w:r>
      <w:r w:rsidRPr="00C363F0">
        <w:rPr>
          <w:rFonts w:ascii="標楷體" w:eastAsia="標楷體" w:hAnsi="標楷體" w:cs="新細明體" w:hint="eastAsia"/>
          <w:sz w:val="32"/>
          <w:szCs w:val="32"/>
        </w:rPr>
        <w:t>如</w:t>
      </w:r>
      <w:r w:rsidRPr="00C363F0">
        <w:rPr>
          <w:rFonts w:ascii="標楷體" w:eastAsia="標楷體" w:hAnsi="標楷體" w:cs="新細明體"/>
          <w:sz w:val="32"/>
          <w:szCs w:val="32"/>
        </w:rPr>
        <w:t>挑選</w:t>
      </w:r>
      <w:r w:rsidRPr="00C363F0">
        <w:rPr>
          <w:rFonts w:ascii="標楷體" w:eastAsia="標楷體" w:hAnsi="標楷體" w:cs="新細明體" w:hint="eastAsia"/>
          <w:sz w:val="32"/>
          <w:szCs w:val="32"/>
        </w:rPr>
        <w:t>全</w:t>
      </w:r>
      <w:r w:rsidRPr="00C363F0">
        <w:rPr>
          <w:rFonts w:ascii="標楷體" w:eastAsia="標楷體" w:hAnsi="標楷體" w:cs="新細明體"/>
          <w:sz w:val="32"/>
          <w:szCs w:val="32"/>
        </w:rPr>
        <w:t>國性</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優良廠商</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w:t>
      </w:r>
      <w:r w:rsidRPr="00C363F0">
        <w:rPr>
          <w:rFonts w:ascii="標楷體" w:eastAsia="標楷體" w:hAnsi="標楷體" w:cs="新細明體" w:hint="eastAsia"/>
          <w:sz w:val="32"/>
          <w:szCs w:val="32"/>
        </w:rPr>
        <w:t>提</w:t>
      </w:r>
      <w:r w:rsidRPr="00C363F0">
        <w:rPr>
          <w:rFonts w:ascii="標楷體" w:eastAsia="標楷體" w:hAnsi="標楷體" w:cs="新細明體"/>
          <w:sz w:val="32"/>
          <w:szCs w:val="32"/>
        </w:rPr>
        <w:t>升</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刑人出監後就業轉</w:t>
      </w:r>
      <w:r w:rsidRPr="00C363F0">
        <w:rPr>
          <w:rFonts w:ascii="標楷體" w:eastAsia="標楷體" w:hAnsi="標楷體" w:cs="新細明體" w:hint="eastAsia"/>
          <w:sz w:val="32"/>
          <w:szCs w:val="32"/>
        </w:rPr>
        <w:t>銜</w:t>
      </w:r>
      <w:r w:rsidRPr="00C363F0">
        <w:rPr>
          <w:rFonts w:ascii="標楷體" w:eastAsia="標楷體" w:hAnsi="標楷體" w:cs="新細明體"/>
          <w:sz w:val="32"/>
          <w:szCs w:val="32"/>
        </w:rPr>
        <w:t>之機會。</w:t>
      </w:r>
    </w:p>
    <w:p w14:paraId="20ACC21A"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法務部陳政務次長明堂：</w:t>
      </w:r>
    </w:p>
    <w:p w14:paraId="1E9F116D" w14:textId="6B8BFD4A" w:rsidR="00421BB5" w:rsidRPr="00C944F9" w:rsidRDefault="00C944F9" w:rsidP="00E45804">
      <w:pPr>
        <w:topLinePunct/>
        <w:spacing w:line="520" w:lineRule="exact"/>
        <w:ind w:leftChars="239" w:left="849" w:hangingChars="86" w:hanging="275"/>
        <w:jc w:val="both"/>
        <w:rPr>
          <w:rFonts w:ascii="標楷體" w:eastAsia="標楷體" w:hAnsi="標楷體" w:cs="新細明體"/>
          <w:sz w:val="32"/>
          <w:szCs w:val="32"/>
        </w:rPr>
      </w:pPr>
      <w:r>
        <w:rPr>
          <w:rFonts w:ascii="標楷體" w:eastAsia="標楷體" w:hAnsi="標楷體" w:cs="新細明體"/>
          <w:sz w:val="32"/>
          <w:szCs w:val="32"/>
        </w:rPr>
        <w:t>1</w:t>
      </w:r>
      <w:r w:rsidR="00421BB5" w:rsidRPr="00C944F9">
        <w:rPr>
          <w:rFonts w:ascii="標楷體" w:eastAsia="標楷體" w:hAnsi="標楷體" w:cs="新細明體" w:hint="eastAsia"/>
          <w:sz w:val="32"/>
          <w:szCs w:val="32"/>
        </w:rPr>
        <w:t>.補</w:t>
      </w:r>
      <w:r w:rsidR="00421BB5" w:rsidRPr="00C944F9">
        <w:rPr>
          <w:rFonts w:ascii="標楷體" w:eastAsia="標楷體" w:hAnsi="標楷體" w:cs="新細明體"/>
          <w:sz w:val="32"/>
          <w:szCs w:val="32"/>
        </w:rPr>
        <w:t>充回應，</w:t>
      </w:r>
      <w:r w:rsidR="00421BB5" w:rsidRPr="00C944F9">
        <w:rPr>
          <w:rFonts w:ascii="標楷體" w:eastAsia="標楷體" w:hAnsi="標楷體" w:cs="新細明體" w:hint="eastAsia"/>
          <w:sz w:val="32"/>
          <w:szCs w:val="32"/>
        </w:rPr>
        <w:t>周</w:t>
      </w:r>
      <w:r w:rsidR="00421BB5" w:rsidRPr="00C944F9">
        <w:rPr>
          <w:rFonts w:ascii="標楷體" w:eastAsia="標楷體" w:hAnsi="標楷體" w:cs="新細明體"/>
          <w:sz w:val="32"/>
          <w:szCs w:val="32"/>
        </w:rPr>
        <w:t>顧問所提</w:t>
      </w:r>
      <w:r w:rsidR="00421BB5" w:rsidRPr="00C944F9">
        <w:rPr>
          <w:rFonts w:ascii="標楷體" w:eastAsia="標楷體" w:hAnsi="標楷體" w:cs="新細明體" w:hint="eastAsia"/>
          <w:sz w:val="32"/>
          <w:szCs w:val="32"/>
        </w:rPr>
        <w:t>36-48小</w:t>
      </w:r>
      <w:r w:rsidR="00421BB5" w:rsidRPr="00C944F9">
        <w:rPr>
          <w:rFonts w:ascii="標楷體" w:eastAsia="標楷體" w:hAnsi="標楷體" w:cs="新細明體"/>
          <w:sz w:val="32"/>
          <w:szCs w:val="32"/>
        </w:rPr>
        <w:t>時的通報時間</w:t>
      </w:r>
      <w:r w:rsidR="00421BB5" w:rsidRPr="00C944F9">
        <w:rPr>
          <w:rFonts w:ascii="標楷體" w:eastAsia="標楷體" w:hAnsi="標楷體" w:cs="新細明體" w:hint="eastAsia"/>
          <w:sz w:val="32"/>
          <w:szCs w:val="32"/>
        </w:rPr>
        <w:t>已</w:t>
      </w:r>
      <w:r w:rsidR="00421BB5" w:rsidRPr="00C944F9">
        <w:rPr>
          <w:rFonts w:ascii="標楷體" w:eastAsia="標楷體" w:hAnsi="標楷體" w:cs="新細明體"/>
          <w:sz w:val="32"/>
          <w:szCs w:val="32"/>
        </w:rPr>
        <w:t>經改善</w:t>
      </w:r>
      <w:r w:rsidR="00421BB5" w:rsidRPr="00C944F9">
        <w:rPr>
          <w:rFonts w:ascii="標楷體" w:eastAsia="標楷體" w:hAnsi="標楷體" w:cs="新細明體" w:hint="eastAsia"/>
          <w:sz w:val="32"/>
          <w:szCs w:val="32"/>
        </w:rPr>
        <w:t>。8月22日</w:t>
      </w:r>
      <w:r w:rsidR="00421BB5" w:rsidRPr="00C944F9">
        <w:rPr>
          <w:rFonts w:ascii="標楷體" w:eastAsia="標楷體" w:hAnsi="標楷體" w:cs="新細明體"/>
          <w:sz w:val="32"/>
          <w:szCs w:val="32"/>
        </w:rPr>
        <w:t>事件發生，</w:t>
      </w:r>
      <w:r w:rsidR="00421BB5" w:rsidRPr="00C944F9">
        <w:rPr>
          <w:rFonts w:ascii="標楷體" w:eastAsia="標楷體" w:hAnsi="標楷體" w:cs="新細明體" w:hint="eastAsia"/>
          <w:sz w:val="32"/>
          <w:szCs w:val="32"/>
        </w:rPr>
        <w:t>本</w:t>
      </w:r>
      <w:r w:rsidR="00421BB5" w:rsidRPr="00C944F9">
        <w:rPr>
          <w:rFonts w:ascii="標楷體" w:eastAsia="標楷體" w:hAnsi="標楷體" w:cs="新細明體"/>
          <w:sz w:val="32"/>
          <w:szCs w:val="32"/>
        </w:rPr>
        <w:t>部</w:t>
      </w:r>
      <w:r w:rsidR="00421BB5" w:rsidRPr="00C944F9">
        <w:rPr>
          <w:rFonts w:ascii="標楷體" w:eastAsia="標楷體" w:hAnsi="標楷體" w:cs="新細明體" w:hint="eastAsia"/>
          <w:sz w:val="32"/>
          <w:szCs w:val="32"/>
        </w:rPr>
        <w:t>已</w:t>
      </w:r>
      <w:r w:rsidR="00421BB5" w:rsidRPr="00C944F9">
        <w:rPr>
          <w:rFonts w:ascii="標楷體" w:eastAsia="標楷體" w:hAnsi="標楷體" w:cs="新細明體"/>
          <w:sz w:val="32"/>
          <w:szCs w:val="32"/>
        </w:rPr>
        <w:t>於</w:t>
      </w:r>
      <w:r w:rsidR="00421BB5" w:rsidRPr="00C944F9">
        <w:rPr>
          <w:rFonts w:ascii="標楷體" w:eastAsia="標楷體" w:hAnsi="標楷體" w:cs="新細明體" w:hint="eastAsia"/>
          <w:sz w:val="32"/>
          <w:szCs w:val="32"/>
        </w:rPr>
        <w:t>在8月31日前，分</w:t>
      </w:r>
      <w:r w:rsidR="00421BB5" w:rsidRPr="00C944F9">
        <w:rPr>
          <w:rFonts w:ascii="標楷體" w:eastAsia="標楷體" w:hAnsi="標楷體" w:cs="新細明體"/>
          <w:sz w:val="32"/>
          <w:szCs w:val="32"/>
        </w:rPr>
        <w:t>為</w:t>
      </w:r>
      <w:r w:rsidR="00421BB5" w:rsidRPr="00C944F9">
        <w:rPr>
          <w:rFonts w:ascii="標楷體" w:eastAsia="標楷體" w:hAnsi="標楷體" w:cs="新細明體" w:hint="eastAsia"/>
          <w:sz w:val="32"/>
          <w:szCs w:val="32"/>
        </w:rPr>
        <w:t>檢</w:t>
      </w:r>
      <w:r w:rsidR="00421BB5" w:rsidRPr="00C944F9">
        <w:rPr>
          <w:rFonts w:ascii="標楷體" w:eastAsia="標楷體" w:hAnsi="標楷體" w:cs="新細明體"/>
          <w:sz w:val="32"/>
          <w:szCs w:val="32"/>
        </w:rPr>
        <w:t>方與獄方兩大系統</w:t>
      </w:r>
      <w:r w:rsidR="00421BB5" w:rsidRPr="00C944F9">
        <w:rPr>
          <w:rFonts w:ascii="標楷體" w:eastAsia="標楷體" w:hAnsi="標楷體" w:cs="新細明體" w:hint="eastAsia"/>
          <w:sz w:val="32"/>
          <w:szCs w:val="32"/>
        </w:rPr>
        <w:t>提</w:t>
      </w:r>
      <w:r w:rsidR="00421BB5" w:rsidRPr="00C944F9">
        <w:rPr>
          <w:rFonts w:ascii="標楷體" w:eastAsia="標楷體" w:hAnsi="標楷體" w:cs="新細明體"/>
          <w:sz w:val="32"/>
          <w:szCs w:val="32"/>
        </w:rPr>
        <w:t>出精進</w:t>
      </w:r>
      <w:r w:rsidR="00421BB5" w:rsidRPr="00C944F9">
        <w:rPr>
          <w:rFonts w:ascii="標楷體" w:eastAsia="標楷體" w:hAnsi="標楷體" w:cs="新細明體" w:hint="eastAsia"/>
          <w:sz w:val="32"/>
          <w:szCs w:val="32"/>
        </w:rPr>
        <w:t>措</w:t>
      </w:r>
      <w:r w:rsidR="00421BB5" w:rsidRPr="00C944F9">
        <w:rPr>
          <w:rFonts w:ascii="標楷體" w:eastAsia="標楷體" w:hAnsi="標楷體" w:cs="新細明體"/>
          <w:sz w:val="32"/>
          <w:szCs w:val="32"/>
        </w:rPr>
        <w:t>施，</w:t>
      </w:r>
      <w:r w:rsidR="00421BB5" w:rsidRPr="00C944F9">
        <w:rPr>
          <w:rFonts w:ascii="標楷體" w:eastAsia="標楷體" w:hAnsi="標楷體" w:cs="新細明體" w:hint="eastAsia"/>
          <w:sz w:val="32"/>
          <w:szCs w:val="32"/>
        </w:rPr>
        <w:t>改</w:t>
      </w:r>
      <w:r w:rsidR="00421BB5" w:rsidRPr="00C944F9">
        <w:rPr>
          <w:rFonts w:ascii="標楷體" w:eastAsia="標楷體" w:hAnsi="標楷體" w:cs="新細明體"/>
          <w:sz w:val="32"/>
          <w:szCs w:val="32"/>
        </w:rPr>
        <w:t>善通報時間</w:t>
      </w:r>
      <w:r w:rsidR="00421BB5" w:rsidRPr="00C944F9">
        <w:rPr>
          <w:rFonts w:ascii="標楷體" w:eastAsia="標楷體" w:hAnsi="標楷體" w:cs="新細明體" w:hint="eastAsia"/>
          <w:sz w:val="32"/>
          <w:szCs w:val="32"/>
        </w:rPr>
        <w:t>過</w:t>
      </w:r>
      <w:r w:rsidR="00421BB5" w:rsidRPr="00C944F9">
        <w:rPr>
          <w:rFonts w:ascii="標楷體" w:eastAsia="標楷體" w:hAnsi="標楷體" w:cs="新細明體"/>
          <w:sz w:val="32"/>
          <w:szCs w:val="32"/>
        </w:rPr>
        <w:t>長的問題。</w:t>
      </w:r>
      <w:r w:rsidR="00421BB5" w:rsidRPr="00C944F9">
        <w:rPr>
          <w:rFonts w:ascii="標楷體" w:eastAsia="標楷體" w:hAnsi="標楷體" w:cs="新細明體" w:hint="eastAsia"/>
          <w:sz w:val="32"/>
          <w:szCs w:val="32"/>
        </w:rPr>
        <w:t>矯</w:t>
      </w:r>
      <w:r w:rsidR="00421BB5" w:rsidRPr="00C944F9">
        <w:rPr>
          <w:rFonts w:ascii="標楷體" w:eastAsia="標楷體" w:hAnsi="標楷體" w:cs="新細明體"/>
          <w:sz w:val="32"/>
          <w:szCs w:val="32"/>
        </w:rPr>
        <w:t>正</w:t>
      </w:r>
      <w:r w:rsidR="00421BB5" w:rsidRPr="00C944F9">
        <w:rPr>
          <w:rFonts w:ascii="標楷體" w:eastAsia="標楷體" w:hAnsi="標楷體" w:cs="新細明體" w:hint="eastAsia"/>
          <w:sz w:val="32"/>
          <w:szCs w:val="32"/>
        </w:rPr>
        <w:t>體</w:t>
      </w:r>
      <w:r w:rsidR="00421BB5" w:rsidRPr="00C944F9">
        <w:rPr>
          <w:rFonts w:ascii="標楷體" w:eastAsia="標楷體" w:hAnsi="標楷體" w:cs="新細明體"/>
          <w:sz w:val="32"/>
          <w:szCs w:val="32"/>
        </w:rPr>
        <w:t>系</w:t>
      </w:r>
      <w:r w:rsidR="00421BB5" w:rsidRPr="00C944F9">
        <w:rPr>
          <w:rFonts w:ascii="標楷體" w:eastAsia="標楷體" w:hAnsi="標楷體" w:cs="新細明體" w:hint="eastAsia"/>
          <w:sz w:val="32"/>
          <w:szCs w:val="32"/>
        </w:rPr>
        <w:t>部</w:t>
      </w:r>
      <w:r w:rsidR="00421BB5" w:rsidRPr="00C944F9">
        <w:rPr>
          <w:rFonts w:ascii="標楷體" w:eastAsia="標楷體" w:hAnsi="標楷體" w:cs="新細明體"/>
          <w:sz w:val="32"/>
          <w:szCs w:val="32"/>
        </w:rPr>
        <w:t>分已與刑事局</w:t>
      </w:r>
      <w:r w:rsidR="00421BB5" w:rsidRPr="00C944F9">
        <w:rPr>
          <w:rFonts w:ascii="標楷體" w:eastAsia="標楷體" w:hAnsi="標楷體" w:cs="新細明體" w:hint="eastAsia"/>
          <w:sz w:val="32"/>
          <w:szCs w:val="32"/>
        </w:rPr>
        <w:t>開</w:t>
      </w:r>
      <w:r w:rsidR="00421BB5" w:rsidRPr="00C944F9">
        <w:rPr>
          <w:rFonts w:ascii="標楷體" w:eastAsia="標楷體" w:hAnsi="標楷體" w:cs="新細明體"/>
          <w:sz w:val="32"/>
          <w:szCs w:val="32"/>
        </w:rPr>
        <w:t>會</w:t>
      </w:r>
      <w:r w:rsidR="00421BB5" w:rsidRPr="00C944F9">
        <w:rPr>
          <w:rFonts w:ascii="標楷體" w:eastAsia="標楷體" w:hAnsi="標楷體" w:cs="新細明體" w:hint="eastAsia"/>
          <w:sz w:val="32"/>
          <w:szCs w:val="32"/>
        </w:rPr>
        <w:t>決議，</w:t>
      </w:r>
      <w:r w:rsidR="00421BB5" w:rsidRPr="00C944F9">
        <w:rPr>
          <w:rFonts w:ascii="標楷體" w:eastAsia="標楷體" w:hAnsi="標楷體" w:cs="新細明體"/>
          <w:sz w:val="32"/>
          <w:szCs w:val="32"/>
        </w:rPr>
        <w:t>外役監如遇有逾假</w:t>
      </w:r>
      <w:r w:rsidR="00421BB5" w:rsidRPr="00C944F9">
        <w:rPr>
          <w:rFonts w:ascii="標楷體" w:eastAsia="標楷體" w:hAnsi="標楷體" w:cs="新細明體" w:hint="eastAsia"/>
          <w:sz w:val="32"/>
          <w:szCs w:val="32"/>
        </w:rPr>
        <w:t>未</w:t>
      </w:r>
      <w:r w:rsidR="00421BB5" w:rsidRPr="00C944F9">
        <w:rPr>
          <w:rFonts w:ascii="標楷體" w:eastAsia="標楷體" w:hAnsi="標楷體" w:cs="新細明體"/>
          <w:sz w:val="32"/>
          <w:szCs w:val="32"/>
        </w:rPr>
        <w:t>如期返監之情事，除事前</w:t>
      </w:r>
      <w:r w:rsidR="00421BB5" w:rsidRPr="00C944F9">
        <w:rPr>
          <w:rFonts w:ascii="標楷體" w:eastAsia="標楷體" w:hAnsi="標楷體" w:cs="新細明體" w:hint="eastAsia"/>
          <w:sz w:val="32"/>
          <w:szCs w:val="32"/>
        </w:rPr>
        <w:t>報</w:t>
      </w:r>
      <w:r w:rsidR="00421BB5" w:rsidRPr="00C944F9">
        <w:rPr>
          <w:rFonts w:ascii="標楷體" w:eastAsia="標楷體" w:hAnsi="標楷體" w:cs="新細明體"/>
          <w:sz w:val="32"/>
          <w:szCs w:val="32"/>
        </w:rPr>
        <w:t>備有正</w:t>
      </w:r>
      <w:r w:rsidR="00421BB5" w:rsidRPr="00C944F9">
        <w:rPr>
          <w:rFonts w:ascii="標楷體" w:eastAsia="標楷體" w:hAnsi="標楷體" w:cs="新細明體" w:hint="eastAsia"/>
          <w:sz w:val="32"/>
          <w:szCs w:val="32"/>
        </w:rPr>
        <w:t>當</w:t>
      </w:r>
      <w:r w:rsidR="00421BB5" w:rsidRPr="00C944F9">
        <w:rPr>
          <w:rFonts w:ascii="標楷體" w:eastAsia="標楷體" w:hAnsi="標楷體" w:cs="新細明體"/>
          <w:sz w:val="32"/>
          <w:szCs w:val="32"/>
        </w:rPr>
        <w:t>理由外，</w:t>
      </w:r>
      <w:r w:rsidR="00421BB5" w:rsidRPr="00C944F9">
        <w:rPr>
          <w:rFonts w:ascii="標楷體" w:eastAsia="標楷體" w:hAnsi="標楷體" w:cs="新細明體" w:hint="eastAsia"/>
          <w:sz w:val="32"/>
          <w:szCs w:val="32"/>
        </w:rPr>
        <w:t>原</w:t>
      </w:r>
      <w:r w:rsidR="00421BB5" w:rsidRPr="00C944F9">
        <w:rPr>
          <w:rFonts w:ascii="標楷體" w:eastAsia="標楷體" w:hAnsi="標楷體" w:cs="新細明體"/>
          <w:sz w:val="32"/>
          <w:szCs w:val="32"/>
        </w:rPr>
        <w:t>則上即推定</w:t>
      </w:r>
      <w:r w:rsidR="00421BB5" w:rsidRPr="00C944F9">
        <w:rPr>
          <w:rFonts w:ascii="標楷體" w:eastAsia="標楷體" w:hAnsi="標楷體" w:cs="新細明體" w:hint="eastAsia"/>
          <w:sz w:val="32"/>
          <w:szCs w:val="32"/>
        </w:rPr>
        <w:t>係</w:t>
      </w:r>
      <w:r w:rsidR="00421BB5" w:rsidRPr="00C944F9">
        <w:rPr>
          <w:rFonts w:ascii="標楷體" w:eastAsia="標楷體" w:hAnsi="標楷體" w:cs="新細明體"/>
          <w:sz w:val="32"/>
          <w:szCs w:val="32"/>
        </w:rPr>
        <w:t>「脫逃</w:t>
      </w:r>
      <w:r w:rsidR="00421BB5" w:rsidRPr="00C944F9">
        <w:rPr>
          <w:rFonts w:ascii="標楷體" w:eastAsia="標楷體" w:hAnsi="標楷體" w:cs="新細明體" w:hint="eastAsia"/>
          <w:sz w:val="32"/>
          <w:szCs w:val="32"/>
        </w:rPr>
        <w:t>」情事；</w:t>
      </w:r>
      <w:r w:rsidR="00421BB5" w:rsidRPr="00C944F9">
        <w:rPr>
          <w:rFonts w:ascii="標楷體" w:eastAsia="標楷體" w:hAnsi="標楷體" w:cs="新細明體"/>
          <w:sz w:val="32"/>
          <w:szCs w:val="32"/>
        </w:rPr>
        <w:t>並於</w:t>
      </w:r>
      <w:r w:rsidR="00421BB5" w:rsidRPr="00C944F9">
        <w:rPr>
          <w:rFonts w:ascii="標楷體" w:eastAsia="標楷體" w:hAnsi="標楷體" w:cs="新細明體" w:hint="eastAsia"/>
          <w:sz w:val="32"/>
          <w:szCs w:val="32"/>
        </w:rPr>
        <w:t>知</w:t>
      </w:r>
      <w:r w:rsidR="00421BB5" w:rsidRPr="00C944F9">
        <w:rPr>
          <w:rFonts w:ascii="標楷體" w:eastAsia="標楷體" w:hAnsi="標楷體" w:cs="新細明體"/>
          <w:sz w:val="32"/>
          <w:szCs w:val="32"/>
        </w:rPr>
        <w:t>情後</w:t>
      </w:r>
      <w:r w:rsidR="00421BB5" w:rsidRPr="00C944F9">
        <w:rPr>
          <w:rFonts w:ascii="標楷體" w:eastAsia="標楷體" w:hAnsi="標楷體" w:cs="新細明體" w:hint="eastAsia"/>
          <w:sz w:val="32"/>
          <w:szCs w:val="32"/>
        </w:rPr>
        <w:t>2小</w:t>
      </w:r>
      <w:r w:rsidR="00421BB5" w:rsidRPr="00C944F9">
        <w:rPr>
          <w:rFonts w:ascii="標楷體" w:eastAsia="標楷體" w:hAnsi="標楷體" w:cs="新細明體"/>
          <w:sz w:val="32"/>
          <w:szCs w:val="32"/>
        </w:rPr>
        <w:t>時</w:t>
      </w:r>
      <w:r w:rsidR="00421BB5" w:rsidRPr="00C944F9">
        <w:rPr>
          <w:rFonts w:ascii="標楷體" w:eastAsia="標楷體" w:hAnsi="標楷體" w:cs="新細明體" w:hint="eastAsia"/>
          <w:sz w:val="32"/>
          <w:szCs w:val="32"/>
        </w:rPr>
        <w:t>內通</w:t>
      </w:r>
      <w:r w:rsidR="00421BB5" w:rsidRPr="00C944F9">
        <w:rPr>
          <w:rFonts w:ascii="標楷體" w:eastAsia="標楷體" w:hAnsi="標楷體" w:cs="新細明體"/>
          <w:sz w:val="32"/>
          <w:szCs w:val="32"/>
        </w:rPr>
        <w:lastRenderedPageBreak/>
        <w:t>報獄政系統</w:t>
      </w:r>
      <w:r w:rsidR="00421BB5" w:rsidRPr="00C944F9">
        <w:rPr>
          <w:rFonts w:ascii="標楷體" w:eastAsia="標楷體" w:hAnsi="標楷體" w:cs="新細明體" w:hint="eastAsia"/>
          <w:sz w:val="32"/>
          <w:szCs w:val="32"/>
        </w:rPr>
        <w:t>（由</w:t>
      </w:r>
      <w:r w:rsidR="00421BB5" w:rsidRPr="00C944F9">
        <w:rPr>
          <w:rFonts w:ascii="標楷體" w:eastAsia="標楷體" w:hAnsi="標楷體" w:cs="新細明體"/>
          <w:sz w:val="32"/>
          <w:szCs w:val="32"/>
        </w:rPr>
        <w:t>法務</w:t>
      </w:r>
      <w:r w:rsidR="00421BB5" w:rsidRPr="00C944F9">
        <w:rPr>
          <w:rFonts w:ascii="標楷體" w:eastAsia="標楷體" w:hAnsi="標楷體" w:cs="新細明體" w:hint="eastAsia"/>
          <w:sz w:val="32"/>
          <w:szCs w:val="32"/>
        </w:rPr>
        <w:t>部資</w:t>
      </w:r>
      <w:r w:rsidR="00421BB5" w:rsidRPr="00C944F9">
        <w:rPr>
          <w:rFonts w:ascii="標楷體" w:eastAsia="標楷體" w:hAnsi="標楷體" w:cs="新細明體"/>
          <w:sz w:val="32"/>
          <w:szCs w:val="32"/>
        </w:rPr>
        <w:t>訊處</w:t>
      </w:r>
      <w:r w:rsidR="00421BB5" w:rsidRPr="00C944F9">
        <w:rPr>
          <w:rFonts w:ascii="標楷體" w:eastAsia="標楷體" w:hAnsi="標楷體" w:cs="新細明體" w:hint="eastAsia"/>
          <w:sz w:val="32"/>
          <w:szCs w:val="32"/>
        </w:rPr>
        <w:t>管理）</w:t>
      </w:r>
      <w:r w:rsidR="00421BB5" w:rsidRPr="00C944F9">
        <w:rPr>
          <w:rFonts w:ascii="標楷體" w:eastAsia="標楷體" w:hAnsi="標楷體" w:cs="新細明體"/>
          <w:sz w:val="32"/>
          <w:szCs w:val="32"/>
        </w:rPr>
        <w:t>，</w:t>
      </w:r>
      <w:r w:rsidR="00421BB5" w:rsidRPr="00C944F9">
        <w:rPr>
          <w:rFonts w:ascii="標楷體" w:eastAsia="標楷體" w:hAnsi="標楷體" w:cs="新細明體" w:hint="eastAsia"/>
          <w:sz w:val="32"/>
          <w:szCs w:val="32"/>
        </w:rPr>
        <w:t>由矯正機關將脫</w:t>
      </w:r>
      <w:r w:rsidR="00421BB5" w:rsidRPr="00C944F9">
        <w:rPr>
          <w:rFonts w:ascii="標楷體" w:eastAsia="標楷體" w:hAnsi="標楷體" w:cs="新細明體"/>
          <w:sz w:val="32"/>
          <w:szCs w:val="32"/>
        </w:rPr>
        <w:t>逃犯嫌之相關</w:t>
      </w:r>
      <w:r w:rsidR="00421BB5" w:rsidRPr="00C944F9">
        <w:rPr>
          <w:rFonts w:ascii="標楷體" w:eastAsia="標楷體" w:hAnsi="標楷體" w:cs="新細明體" w:hint="eastAsia"/>
          <w:sz w:val="32"/>
          <w:szCs w:val="32"/>
        </w:rPr>
        <w:t>資</w:t>
      </w:r>
      <w:r w:rsidR="00421BB5" w:rsidRPr="00C944F9">
        <w:rPr>
          <w:rFonts w:ascii="標楷體" w:eastAsia="標楷體" w:hAnsi="標楷體" w:cs="新細明體"/>
          <w:sz w:val="32"/>
          <w:szCs w:val="32"/>
        </w:rPr>
        <w:t>料</w:t>
      </w:r>
      <w:r w:rsidR="00421BB5" w:rsidRPr="00C944F9">
        <w:rPr>
          <w:rFonts w:ascii="標楷體" w:eastAsia="標楷體" w:hAnsi="標楷體" w:cs="新細明體" w:hint="eastAsia"/>
          <w:sz w:val="32"/>
          <w:szCs w:val="32"/>
        </w:rPr>
        <w:t>（</w:t>
      </w:r>
      <w:r w:rsidR="00421BB5" w:rsidRPr="00C944F9">
        <w:rPr>
          <w:rFonts w:ascii="標楷體" w:eastAsia="標楷體" w:hAnsi="標楷體" w:cs="新細明體"/>
          <w:sz w:val="32"/>
          <w:szCs w:val="32"/>
        </w:rPr>
        <w:t>包含照片）</w:t>
      </w:r>
      <w:r w:rsidR="00421BB5" w:rsidRPr="00C944F9">
        <w:rPr>
          <w:rFonts w:ascii="標楷體" w:eastAsia="標楷體" w:hAnsi="標楷體" w:cs="新細明體" w:hint="eastAsia"/>
          <w:sz w:val="32"/>
          <w:szCs w:val="32"/>
        </w:rPr>
        <w:t>均</w:t>
      </w:r>
      <w:r w:rsidR="00421BB5" w:rsidRPr="00C944F9">
        <w:rPr>
          <w:rFonts w:ascii="標楷體" w:eastAsia="標楷體" w:hAnsi="標楷體" w:cs="新細明體"/>
          <w:sz w:val="32"/>
          <w:szCs w:val="32"/>
        </w:rPr>
        <w:t>附上</w:t>
      </w:r>
      <w:r w:rsidR="00421BB5" w:rsidRPr="00C944F9">
        <w:rPr>
          <w:rFonts w:ascii="標楷體" w:eastAsia="標楷體" w:hAnsi="標楷體" w:cs="新細明體" w:hint="eastAsia"/>
          <w:sz w:val="32"/>
          <w:szCs w:val="32"/>
        </w:rPr>
        <w:t>；</w:t>
      </w:r>
      <w:r w:rsidR="00421BB5" w:rsidRPr="00C944F9">
        <w:rPr>
          <w:rFonts w:ascii="標楷體" w:eastAsia="標楷體" w:hAnsi="標楷體" w:cs="新細明體"/>
          <w:sz w:val="32"/>
          <w:szCs w:val="32"/>
        </w:rPr>
        <w:t>並與警政署</w:t>
      </w:r>
      <w:r w:rsidR="00421BB5" w:rsidRPr="00C944F9">
        <w:rPr>
          <w:rFonts w:ascii="標楷體" w:eastAsia="標楷體" w:hAnsi="標楷體" w:cs="新細明體" w:hint="eastAsia"/>
          <w:sz w:val="32"/>
          <w:szCs w:val="32"/>
        </w:rPr>
        <w:t>介接</w:t>
      </w:r>
      <w:r w:rsidR="00421BB5" w:rsidRPr="00C944F9">
        <w:rPr>
          <w:rFonts w:ascii="標楷體" w:eastAsia="標楷體" w:hAnsi="標楷體" w:cs="新細明體"/>
          <w:sz w:val="32"/>
          <w:szCs w:val="32"/>
        </w:rPr>
        <w:t>m-police警政系統</w:t>
      </w:r>
      <w:r w:rsidR="00421BB5" w:rsidRPr="00C944F9">
        <w:rPr>
          <w:rFonts w:ascii="標楷體" w:eastAsia="標楷體" w:hAnsi="標楷體" w:cs="新細明體" w:hint="eastAsia"/>
          <w:sz w:val="32"/>
          <w:szCs w:val="32"/>
        </w:rPr>
        <w:t>（此</w:t>
      </w:r>
      <w:r w:rsidR="00421BB5" w:rsidRPr="00C944F9">
        <w:rPr>
          <w:rFonts w:ascii="標楷體" w:eastAsia="標楷體" w:hAnsi="標楷體" w:cs="新細明體"/>
          <w:sz w:val="32"/>
          <w:szCs w:val="32"/>
        </w:rPr>
        <w:t>類案件</w:t>
      </w:r>
      <w:r w:rsidR="00421BB5" w:rsidRPr="00C944F9">
        <w:rPr>
          <w:rFonts w:ascii="標楷體" w:eastAsia="標楷體" w:hAnsi="標楷體" w:cs="新細明體" w:hint="eastAsia"/>
          <w:sz w:val="32"/>
          <w:szCs w:val="32"/>
        </w:rPr>
        <w:t>每10分</w:t>
      </w:r>
      <w:r w:rsidR="00421BB5" w:rsidRPr="00C944F9">
        <w:rPr>
          <w:rFonts w:ascii="標楷體" w:eastAsia="標楷體" w:hAnsi="標楷體" w:cs="新細明體"/>
          <w:sz w:val="32"/>
          <w:szCs w:val="32"/>
        </w:rPr>
        <w:t>鐘自動</w:t>
      </w:r>
      <w:r w:rsidR="00421BB5" w:rsidRPr="00C944F9">
        <w:rPr>
          <w:rFonts w:ascii="標楷體" w:eastAsia="標楷體" w:hAnsi="標楷體" w:cs="新細明體" w:hint="eastAsia"/>
          <w:sz w:val="32"/>
          <w:szCs w:val="32"/>
        </w:rPr>
        <w:t>介</w:t>
      </w:r>
      <w:r w:rsidR="00421BB5" w:rsidRPr="00C944F9">
        <w:rPr>
          <w:rFonts w:ascii="標楷體" w:eastAsia="標楷體" w:hAnsi="標楷體" w:cs="新細明體"/>
          <w:sz w:val="32"/>
          <w:szCs w:val="32"/>
        </w:rPr>
        <w:t>接資料</w:t>
      </w:r>
      <w:r w:rsidR="00421BB5" w:rsidRPr="00C944F9">
        <w:rPr>
          <w:rFonts w:ascii="標楷體" w:eastAsia="標楷體" w:hAnsi="標楷體" w:cs="新細明體" w:hint="eastAsia"/>
          <w:sz w:val="32"/>
          <w:szCs w:val="32"/>
        </w:rPr>
        <w:t>1次），</w:t>
      </w:r>
      <w:r w:rsidR="00421BB5" w:rsidRPr="00C944F9">
        <w:rPr>
          <w:rFonts w:ascii="標楷體" w:eastAsia="標楷體" w:hAnsi="標楷體" w:cs="新細明體"/>
          <w:sz w:val="32"/>
          <w:szCs w:val="32"/>
        </w:rPr>
        <w:t>並於</w:t>
      </w:r>
      <w:r w:rsidR="00421BB5" w:rsidRPr="00C944F9">
        <w:rPr>
          <w:rFonts w:ascii="標楷體" w:eastAsia="標楷體" w:hAnsi="標楷體" w:cs="新細明體" w:hint="eastAsia"/>
          <w:sz w:val="32"/>
          <w:szCs w:val="32"/>
        </w:rPr>
        <w:t>30分</w:t>
      </w:r>
      <w:r w:rsidR="00421BB5" w:rsidRPr="00C944F9">
        <w:rPr>
          <w:rFonts w:ascii="標楷體" w:eastAsia="標楷體" w:hAnsi="標楷體" w:cs="新細明體"/>
          <w:sz w:val="32"/>
          <w:szCs w:val="32"/>
        </w:rPr>
        <w:t>鐘內將資料傳遞給全國警察（包含派</w:t>
      </w:r>
      <w:r w:rsidR="00421BB5" w:rsidRPr="00C944F9">
        <w:rPr>
          <w:rFonts w:ascii="標楷體" w:eastAsia="標楷體" w:hAnsi="標楷體" w:cs="新細明體" w:hint="eastAsia"/>
          <w:sz w:val="32"/>
          <w:szCs w:val="32"/>
        </w:rPr>
        <w:t>出</w:t>
      </w:r>
      <w:r w:rsidR="00421BB5" w:rsidRPr="00C944F9">
        <w:rPr>
          <w:rFonts w:ascii="標楷體" w:eastAsia="標楷體" w:hAnsi="標楷體" w:cs="新細明體"/>
          <w:sz w:val="32"/>
          <w:szCs w:val="32"/>
        </w:rPr>
        <w:t>所）</w:t>
      </w:r>
      <w:r w:rsidR="00421BB5" w:rsidRPr="00C944F9">
        <w:rPr>
          <w:rFonts w:ascii="標楷體" w:eastAsia="標楷體" w:hAnsi="標楷體" w:cs="新細明體" w:hint="eastAsia"/>
          <w:sz w:val="32"/>
          <w:szCs w:val="32"/>
        </w:rPr>
        <w:t>獲知，警政署原則同意將此類脫逃案件，比照重大刑事追緝人犯方式辦理（含計分）；</w:t>
      </w:r>
      <w:r w:rsidR="00421BB5" w:rsidRPr="00C944F9">
        <w:rPr>
          <w:rFonts w:ascii="標楷體" w:eastAsia="標楷體" w:hAnsi="標楷體" w:cs="新細明體"/>
          <w:sz w:val="32"/>
          <w:szCs w:val="32"/>
        </w:rPr>
        <w:t>這</w:t>
      </w:r>
      <w:r w:rsidR="00421BB5" w:rsidRPr="00C944F9">
        <w:rPr>
          <w:rFonts w:ascii="標楷體" w:eastAsia="標楷體" w:hAnsi="標楷體" w:cs="新細明體" w:hint="eastAsia"/>
          <w:sz w:val="32"/>
          <w:szCs w:val="32"/>
        </w:rPr>
        <w:t>些</w:t>
      </w:r>
      <w:r w:rsidR="00421BB5" w:rsidRPr="00C944F9">
        <w:rPr>
          <w:rFonts w:ascii="標楷體" w:eastAsia="標楷體" w:hAnsi="標楷體" w:cs="新細明體"/>
          <w:sz w:val="32"/>
          <w:szCs w:val="32"/>
        </w:rPr>
        <w:t>精進作為，</w:t>
      </w:r>
      <w:r w:rsidR="00421BB5" w:rsidRPr="00C944F9">
        <w:rPr>
          <w:rFonts w:ascii="標楷體" w:eastAsia="標楷體" w:hAnsi="標楷體" w:cs="新細明體" w:hint="eastAsia"/>
          <w:sz w:val="32"/>
          <w:szCs w:val="32"/>
        </w:rPr>
        <w:t>界</w:t>
      </w:r>
      <w:r w:rsidR="00421BB5" w:rsidRPr="00C944F9">
        <w:rPr>
          <w:rFonts w:ascii="標楷體" w:eastAsia="標楷體" w:hAnsi="標楷體" w:cs="新細明體"/>
          <w:sz w:val="32"/>
          <w:szCs w:val="32"/>
        </w:rPr>
        <w:t>定於行政協</w:t>
      </w:r>
      <w:r w:rsidR="00421BB5" w:rsidRPr="00C944F9">
        <w:rPr>
          <w:rFonts w:ascii="標楷體" w:eastAsia="標楷體" w:hAnsi="標楷體" w:cs="新細明體" w:hint="eastAsia"/>
          <w:sz w:val="32"/>
          <w:szCs w:val="32"/>
        </w:rPr>
        <w:t>助</w:t>
      </w:r>
      <w:r w:rsidR="00421BB5" w:rsidRPr="00C944F9">
        <w:rPr>
          <w:rFonts w:ascii="標楷體" w:eastAsia="標楷體" w:hAnsi="標楷體" w:cs="新細明體"/>
          <w:sz w:val="32"/>
          <w:szCs w:val="32"/>
        </w:rPr>
        <w:t>，</w:t>
      </w:r>
      <w:r w:rsidR="00421BB5" w:rsidRPr="00C944F9">
        <w:rPr>
          <w:rFonts w:ascii="標楷體" w:eastAsia="標楷體" w:hAnsi="標楷體" w:cs="新細明體" w:hint="eastAsia"/>
          <w:sz w:val="32"/>
          <w:szCs w:val="32"/>
        </w:rPr>
        <w:t>在</w:t>
      </w:r>
      <w:r w:rsidR="00421BB5" w:rsidRPr="00C944F9">
        <w:rPr>
          <w:rFonts w:ascii="標楷體" w:eastAsia="標楷體" w:hAnsi="標楷體" w:cs="新細明體"/>
          <w:sz w:val="32"/>
          <w:szCs w:val="32"/>
        </w:rPr>
        <w:t>還沒有</w:t>
      </w:r>
      <w:r w:rsidR="00421BB5" w:rsidRPr="00C944F9">
        <w:rPr>
          <w:rFonts w:ascii="標楷體" w:eastAsia="標楷體" w:hAnsi="標楷體" w:cs="新細明體" w:hint="eastAsia"/>
          <w:sz w:val="32"/>
          <w:szCs w:val="32"/>
        </w:rPr>
        <w:t>發布</w:t>
      </w:r>
      <w:r w:rsidR="00421BB5" w:rsidRPr="00C944F9">
        <w:rPr>
          <w:rFonts w:ascii="標楷體" w:eastAsia="標楷體" w:hAnsi="標楷體" w:cs="新細明體"/>
          <w:sz w:val="32"/>
          <w:szCs w:val="32"/>
        </w:rPr>
        <w:t>通緝</w:t>
      </w:r>
      <w:r w:rsidR="00421BB5" w:rsidRPr="00C944F9">
        <w:rPr>
          <w:rFonts w:ascii="標楷體" w:eastAsia="標楷體" w:hAnsi="標楷體" w:cs="新細明體" w:hint="eastAsia"/>
          <w:sz w:val="32"/>
          <w:szCs w:val="32"/>
        </w:rPr>
        <w:t>之</w:t>
      </w:r>
      <w:r w:rsidR="00421BB5" w:rsidRPr="00C944F9">
        <w:rPr>
          <w:rFonts w:ascii="標楷體" w:eastAsia="標楷體" w:hAnsi="標楷體" w:cs="新細明體"/>
          <w:sz w:val="32"/>
          <w:szCs w:val="32"/>
        </w:rPr>
        <w:t>前</w:t>
      </w:r>
      <w:r w:rsidR="00421BB5" w:rsidRPr="00C944F9">
        <w:rPr>
          <w:rFonts w:ascii="標楷體" w:eastAsia="標楷體" w:hAnsi="標楷體" w:cs="新細明體" w:hint="eastAsia"/>
          <w:sz w:val="32"/>
          <w:szCs w:val="32"/>
        </w:rPr>
        <w:t>的處理</w:t>
      </w:r>
      <w:r w:rsidR="00421BB5" w:rsidRPr="00C944F9">
        <w:rPr>
          <w:rFonts w:ascii="標楷體" w:eastAsia="標楷體" w:hAnsi="標楷體" w:cs="新細明體"/>
          <w:sz w:val="32"/>
          <w:szCs w:val="32"/>
        </w:rPr>
        <w:t>，</w:t>
      </w:r>
      <w:r w:rsidR="00421BB5" w:rsidRPr="00C944F9">
        <w:rPr>
          <w:rFonts w:ascii="標楷體" w:eastAsia="標楷體" w:hAnsi="標楷體" w:cs="新細明體" w:hint="eastAsia"/>
          <w:sz w:val="32"/>
          <w:szCs w:val="32"/>
        </w:rPr>
        <w:t>警方</w:t>
      </w:r>
      <w:r w:rsidR="00421BB5" w:rsidRPr="00C944F9">
        <w:rPr>
          <w:rFonts w:ascii="標楷體" w:eastAsia="標楷體" w:hAnsi="標楷體" w:cs="新細明體"/>
          <w:sz w:val="32"/>
          <w:szCs w:val="32"/>
        </w:rPr>
        <w:t>已可以先行</w:t>
      </w:r>
      <w:r w:rsidR="00421BB5" w:rsidRPr="00C944F9">
        <w:rPr>
          <w:rFonts w:ascii="標楷體" w:eastAsia="標楷體" w:hAnsi="標楷體" w:cs="新細明體" w:hint="eastAsia"/>
          <w:sz w:val="32"/>
          <w:szCs w:val="32"/>
        </w:rPr>
        <w:t>追緝脫逃者</w:t>
      </w:r>
      <w:r w:rsidR="00421BB5" w:rsidRPr="00C944F9">
        <w:rPr>
          <w:rFonts w:ascii="標楷體" w:eastAsia="標楷體" w:hAnsi="標楷體" w:cs="新細明體"/>
          <w:sz w:val="32"/>
          <w:szCs w:val="32"/>
        </w:rPr>
        <w:t>。</w:t>
      </w:r>
      <w:r w:rsidR="00421BB5" w:rsidRPr="00C944F9">
        <w:rPr>
          <w:rFonts w:ascii="標楷體" w:eastAsia="標楷體" w:hAnsi="標楷體" w:cs="新細明體" w:hint="eastAsia"/>
          <w:sz w:val="32"/>
          <w:szCs w:val="32"/>
        </w:rPr>
        <w:t>檢方</w:t>
      </w:r>
      <w:r w:rsidR="00421BB5" w:rsidRPr="00C944F9">
        <w:rPr>
          <w:rFonts w:ascii="標楷體" w:eastAsia="標楷體" w:hAnsi="標楷體" w:cs="新細明體"/>
          <w:sz w:val="32"/>
          <w:szCs w:val="32"/>
        </w:rPr>
        <w:t>部分，外役監</w:t>
      </w:r>
      <w:r w:rsidR="00421BB5" w:rsidRPr="00C944F9">
        <w:rPr>
          <w:rFonts w:ascii="標楷體" w:eastAsia="標楷體" w:hAnsi="標楷體" w:cs="新細明體" w:hint="eastAsia"/>
          <w:sz w:val="32"/>
          <w:szCs w:val="32"/>
        </w:rPr>
        <w:t>對</w:t>
      </w:r>
      <w:r w:rsidR="00421BB5" w:rsidRPr="00C944F9">
        <w:rPr>
          <w:rFonts w:ascii="標楷體" w:eastAsia="標楷體" w:hAnsi="標楷體" w:cs="新細明體"/>
          <w:sz w:val="32"/>
          <w:szCs w:val="32"/>
        </w:rPr>
        <w:t>於</w:t>
      </w:r>
      <w:r w:rsidR="00421BB5" w:rsidRPr="00C944F9">
        <w:rPr>
          <w:rFonts w:ascii="標楷體" w:eastAsia="標楷體" w:hAnsi="標楷體" w:cs="新細明體" w:hint="eastAsia"/>
          <w:sz w:val="32"/>
          <w:szCs w:val="32"/>
        </w:rPr>
        <w:t>脫</w:t>
      </w:r>
      <w:r w:rsidR="00421BB5" w:rsidRPr="00C944F9">
        <w:rPr>
          <w:rFonts w:ascii="標楷體" w:eastAsia="標楷體" w:hAnsi="標楷體" w:cs="新細明體"/>
          <w:sz w:val="32"/>
          <w:szCs w:val="32"/>
        </w:rPr>
        <w:t>逃犯嫌應立即</w:t>
      </w:r>
      <w:r w:rsidR="00421BB5" w:rsidRPr="00C944F9">
        <w:rPr>
          <w:rFonts w:ascii="標楷體" w:eastAsia="標楷體" w:hAnsi="標楷體" w:cs="新細明體" w:hint="eastAsia"/>
          <w:sz w:val="32"/>
          <w:szCs w:val="32"/>
        </w:rPr>
        <w:t>主</w:t>
      </w:r>
      <w:r w:rsidR="00421BB5" w:rsidRPr="00C944F9">
        <w:rPr>
          <w:rFonts w:ascii="標楷體" w:eastAsia="標楷體" w:hAnsi="標楷體" w:cs="新細明體"/>
          <w:sz w:val="32"/>
          <w:szCs w:val="32"/>
        </w:rPr>
        <w:t>動通報</w:t>
      </w:r>
      <w:r w:rsidR="00421BB5" w:rsidRPr="00C944F9">
        <w:rPr>
          <w:rFonts w:ascii="標楷體" w:eastAsia="標楷體" w:hAnsi="標楷體" w:cs="新細明體" w:hint="eastAsia"/>
          <w:sz w:val="32"/>
          <w:szCs w:val="32"/>
        </w:rPr>
        <w:t>給</w:t>
      </w:r>
      <w:r w:rsidR="00421BB5" w:rsidRPr="00C944F9">
        <w:rPr>
          <w:rFonts w:ascii="標楷體" w:eastAsia="標楷體" w:hAnsi="標楷體" w:cs="新細明體"/>
          <w:sz w:val="32"/>
          <w:szCs w:val="32"/>
        </w:rPr>
        <w:t>檢察</w:t>
      </w:r>
      <w:r w:rsidR="00421BB5" w:rsidRPr="00C944F9">
        <w:rPr>
          <w:rFonts w:ascii="標楷體" w:eastAsia="標楷體" w:hAnsi="標楷體" w:cs="新細明體" w:hint="eastAsia"/>
          <w:sz w:val="32"/>
          <w:szCs w:val="32"/>
        </w:rPr>
        <w:t>機</w:t>
      </w:r>
      <w:r w:rsidR="00421BB5" w:rsidRPr="00C944F9">
        <w:rPr>
          <w:rFonts w:ascii="標楷體" w:eastAsia="標楷體" w:hAnsi="標楷體" w:cs="新細明體"/>
          <w:sz w:val="32"/>
          <w:szCs w:val="32"/>
        </w:rPr>
        <w:t>關，</w:t>
      </w:r>
      <w:r w:rsidR="00421BB5" w:rsidRPr="00C944F9">
        <w:rPr>
          <w:rFonts w:ascii="標楷體" w:eastAsia="標楷體" w:hAnsi="標楷體" w:cs="新細明體" w:hint="eastAsia"/>
          <w:sz w:val="32"/>
          <w:szCs w:val="32"/>
        </w:rPr>
        <w:t>除</w:t>
      </w:r>
      <w:r w:rsidR="00421BB5" w:rsidRPr="00C944F9">
        <w:rPr>
          <w:rFonts w:ascii="標楷體" w:eastAsia="標楷體" w:hAnsi="標楷體" w:cs="新細明體"/>
          <w:sz w:val="32"/>
          <w:szCs w:val="32"/>
        </w:rPr>
        <w:t>了執行</w:t>
      </w:r>
      <w:r w:rsidR="00421BB5" w:rsidRPr="00C944F9">
        <w:rPr>
          <w:rFonts w:ascii="標楷體" w:eastAsia="標楷體" w:hAnsi="標楷體" w:cs="新細明體" w:hint="eastAsia"/>
          <w:sz w:val="32"/>
          <w:szCs w:val="32"/>
        </w:rPr>
        <w:t>之地檢署立即辦理</w:t>
      </w:r>
      <w:r w:rsidR="00421BB5" w:rsidRPr="00C944F9">
        <w:rPr>
          <w:rFonts w:ascii="標楷體" w:eastAsia="標楷體" w:hAnsi="標楷體" w:cs="新細明體"/>
          <w:sz w:val="32"/>
          <w:szCs w:val="32"/>
        </w:rPr>
        <w:t>執行</w:t>
      </w:r>
      <w:r w:rsidR="00421BB5" w:rsidRPr="00C944F9">
        <w:rPr>
          <w:rFonts w:ascii="標楷體" w:eastAsia="標楷體" w:hAnsi="標楷體" w:cs="新細明體" w:hint="eastAsia"/>
          <w:sz w:val="32"/>
          <w:szCs w:val="32"/>
        </w:rPr>
        <w:t>通</w:t>
      </w:r>
      <w:r w:rsidR="00421BB5" w:rsidRPr="00C944F9">
        <w:rPr>
          <w:rFonts w:ascii="標楷體" w:eastAsia="標楷體" w:hAnsi="標楷體" w:cs="新細明體"/>
          <w:sz w:val="32"/>
          <w:szCs w:val="32"/>
        </w:rPr>
        <w:t>緝</w:t>
      </w:r>
      <w:r w:rsidR="00421BB5" w:rsidRPr="00C944F9">
        <w:rPr>
          <w:rFonts w:ascii="標楷體" w:eastAsia="標楷體" w:hAnsi="標楷體" w:cs="新細明體" w:hint="eastAsia"/>
          <w:sz w:val="32"/>
          <w:szCs w:val="32"/>
        </w:rPr>
        <w:t>外</w:t>
      </w:r>
      <w:r w:rsidR="00421BB5" w:rsidRPr="00C944F9">
        <w:rPr>
          <w:rFonts w:ascii="標楷體" w:eastAsia="標楷體" w:hAnsi="標楷體" w:cs="新細明體"/>
          <w:sz w:val="32"/>
          <w:szCs w:val="32"/>
        </w:rPr>
        <w:t>，</w:t>
      </w:r>
      <w:r w:rsidR="00421BB5" w:rsidRPr="00C944F9">
        <w:rPr>
          <w:rFonts w:ascii="標楷體" w:eastAsia="標楷體" w:hAnsi="標楷體" w:cs="新細明體" w:hint="eastAsia"/>
          <w:sz w:val="32"/>
          <w:szCs w:val="32"/>
        </w:rPr>
        <w:t>尚</w:t>
      </w:r>
      <w:r w:rsidR="00421BB5" w:rsidRPr="00C944F9">
        <w:rPr>
          <w:rFonts w:ascii="標楷體" w:eastAsia="標楷體" w:hAnsi="標楷體" w:cs="新細明體"/>
          <w:sz w:val="32"/>
          <w:szCs w:val="32"/>
        </w:rPr>
        <w:t>有</w:t>
      </w:r>
      <w:r w:rsidR="00421BB5" w:rsidRPr="00C944F9">
        <w:rPr>
          <w:rFonts w:ascii="標楷體" w:eastAsia="標楷體" w:hAnsi="標楷體" w:cs="新細明體" w:hint="eastAsia"/>
          <w:sz w:val="32"/>
          <w:szCs w:val="32"/>
        </w:rPr>
        <w:t>脫</w:t>
      </w:r>
      <w:r w:rsidR="00421BB5" w:rsidRPr="00C944F9">
        <w:rPr>
          <w:rFonts w:ascii="標楷體" w:eastAsia="標楷體" w:hAnsi="標楷體" w:cs="新細明體"/>
          <w:sz w:val="32"/>
          <w:szCs w:val="32"/>
        </w:rPr>
        <w:t>逃發生地</w:t>
      </w:r>
      <w:r w:rsidR="00421BB5" w:rsidRPr="00C944F9">
        <w:rPr>
          <w:rFonts w:ascii="標楷體" w:eastAsia="標楷體" w:hAnsi="標楷體" w:cs="新細明體" w:hint="eastAsia"/>
          <w:sz w:val="32"/>
          <w:szCs w:val="32"/>
        </w:rPr>
        <w:t>之當</w:t>
      </w:r>
      <w:r w:rsidR="00421BB5" w:rsidRPr="00C944F9">
        <w:rPr>
          <w:rFonts w:ascii="標楷體" w:eastAsia="標楷體" w:hAnsi="標楷體" w:cs="新細明體"/>
          <w:sz w:val="32"/>
          <w:szCs w:val="32"/>
        </w:rPr>
        <w:t>地地檢署啟動偵查</w:t>
      </w:r>
      <w:r w:rsidR="00421BB5" w:rsidRPr="00C944F9">
        <w:rPr>
          <w:rFonts w:ascii="標楷體" w:eastAsia="標楷體" w:hAnsi="標楷體" w:cs="新細明體" w:hint="eastAsia"/>
          <w:sz w:val="32"/>
          <w:szCs w:val="32"/>
        </w:rPr>
        <w:t>脫</w:t>
      </w:r>
      <w:r w:rsidR="00421BB5" w:rsidRPr="00C944F9">
        <w:rPr>
          <w:rFonts w:ascii="標楷體" w:eastAsia="標楷體" w:hAnsi="標楷體" w:cs="新細明體"/>
          <w:sz w:val="32"/>
          <w:szCs w:val="32"/>
        </w:rPr>
        <w:t>逃罪</w:t>
      </w:r>
      <w:r w:rsidR="00421BB5" w:rsidRPr="00C944F9">
        <w:rPr>
          <w:rFonts w:ascii="標楷體" w:eastAsia="標楷體" w:hAnsi="標楷體" w:cs="新細明體" w:hint="eastAsia"/>
          <w:sz w:val="32"/>
          <w:szCs w:val="32"/>
        </w:rPr>
        <w:t>，</w:t>
      </w:r>
      <w:r w:rsidR="00421BB5" w:rsidRPr="00C944F9">
        <w:rPr>
          <w:rFonts w:ascii="標楷體" w:eastAsia="標楷體" w:hAnsi="標楷體" w:cs="新細明體"/>
          <w:sz w:val="32"/>
          <w:szCs w:val="32"/>
        </w:rPr>
        <w:t>因此</w:t>
      </w:r>
      <w:r w:rsidR="00421BB5" w:rsidRPr="00C944F9">
        <w:rPr>
          <w:rFonts w:ascii="標楷體" w:eastAsia="標楷體" w:hAnsi="標楷體" w:cs="新細明體" w:hint="eastAsia"/>
          <w:sz w:val="32"/>
          <w:szCs w:val="32"/>
        </w:rPr>
        <w:t>將</w:t>
      </w:r>
      <w:r w:rsidR="00421BB5" w:rsidRPr="00C944F9">
        <w:rPr>
          <w:rFonts w:ascii="標楷體" w:eastAsia="標楷體" w:hAnsi="標楷體" w:cs="新細明體"/>
          <w:sz w:val="32"/>
          <w:szCs w:val="32"/>
        </w:rPr>
        <w:t>有兩處地檢</w:t>
      </w:r>
      <w:r w:rsidR="00421BB5" w:rsidRPr="00C944F9">
        <w:rPr>
          <w:rFonts w:ascii="標楷體" w:eastAsia="標楷體" w:hAnsi="標楷體" w:cs="新細明體" w:hint="eastAsia"/>
          <w:sz w:val="32"/>
          <w:szCs w:val="32"/>
        </w:rPr>
        <w:t>署進</w:t>
      </w:r>
      <w:r w:rsidR="00421BB5" w:rsidRPr="00C944F9">
        <w:rPr>
          <w:rFonts w:ascii="標楷體" w:eastAsia="標楷體" w:hAnsi="標楷體" w:cs="新細明體"/>
          <w:sz w:val="32"/>
          <w:szCs w:val="32"/>
        </w:rPr>
        <w:t>行通緝</w:t>
      </w:r>
      <w:r w:rsidR="00421BB5" w:rsidRPr="00C944F9">
        <w:rPr>
          <w:rFonts w:ascii="標楷體" w:eastAsia="標楷體" w:hAnsi="標楷體" w:cs="新細明體" w:hint="eastAsia"/>
          <w:sz w:val="32"/>
          <w:szCs w:val="32"/>
        </w:rPr>
        <w:t>，</w:t>
      </w:r>
      <w:r w:rsidR="00421BB5" w:rsidRPr="00C944F9">
        <w:rPr>
          <w:rFonts w:ascii="標楷體" w:eastAsia="標楷體" w:hAnsi="標楷體" w:cs="新細明體"/>
          <w:sz w:val="32"/>
          <w:szCs w:val="32"/>
        </w:rPr>
        <w:t>除權責明確</w:t>
      </w:r>
      <w:r w:rsidR="00421BB5" w:rsidRPr="00C944F9">
        <w:rPr>
          <w:rFonts w:ascii="標楷體" w:eastAsia="標楷體" w:hAnsi="標楷體" w:cs="新細明體" w:hint="eastAsia"/>
          <w:sz w:val="32"/>
          <w:szCs w:val="32"/>
        </w:rPr>
        <w:t>劃</w:t>
      </w:r>
      <w:r w:rsidR="00421BB5" w:rsidRPr="00C944F9">
        <w:rPr>
          <w:rFonts w:ascii="標楷體" w:eastAsia="標楷體" w:hAnsi="標楷體" w:cs="新細明體"/>
          <w:sz w:val="32"/>
          <w:szCs w:val="32"/>
        </w:rPr>
        <w:t>分外，也縮短通報及通緝的時間。</w:t>
      </w:r>
    </w:p>
    <w:p w14:paraId="576C3BFE" w14:textId="77777777" w:rsidR="00421BB5" w:rsidRPr="00C363F0" w:rsidRDefault="00421BB5" w:rsidP="00E45804">
      <w:pPr>
        <w:topLinePunct/>
        <w:spacing w:line="520" w:lineRule="exact"/>
        <w:ind w:leftChars="239" w:left="849" w:hangingChars="86" w:hanging="275"/>
        <w:jc w:val="both"/>
        <w:rPr>
          <w:rFonts w:ascii="標楷體" w:eastAsia="標楷體" w:hAnsi="標楷體" w:cs="新細明體"/>
          <w:sz w:val="32"/>
          <w:szCs w:val="32"/>
        </w:rPr>
      </w:pPr>
      <w:r>
        <w:rPr>
          <w:rFonts w:ascii="標楷體" w:eastAsia="標楷體" w:hAnsi="標楷體" w:cs="新細明體" w:hint="eastAsia"/>
          <w:sz w:val="32"/>
          <w:szCs w:val="32"/>
        </w:rPr>
        <w:t>2.</w:t>
      </w:r>
      <w:r w:rsidRPr="00C363F0">
        <w:rPr>
          <w:rFonts w:ascii="標楷體" w:eastAsia="標楷體" w:hAnsi="標楷體" w:cs="新細明體"/>
          <w:sz w:val="32"/>
          <w:szCs w:val="32"/>
        </w:rPr>
        <w:t>回應時代力量黨團巫助理</w:t>
      </w:r>
      <w:r w:rsidRPr="00C363F0">
        <w:rPr>
          <w:rFonts w:ascii="標楷體" w:eastAsia="標楷體" w:hAnsi="標楷體" w:cs="新細明體" w:hint="eastAsia"/>
          <w:sz w:val="32"/>
          <w:szCs w:val="32"/>
        </w:rPr>
        <w:t>，普</w:t>
      </w:r>
      <w:r w:rsidRPr="00C363F0">
        <w:rPr>
          <w:rFonts w:ascii="標楷體" w:eastAsia="標楷體" w:hAnsi="標楷體" w:cs="新細明體"/>
          <w:sz w:val="32"/>
          <w:szCs w:val="32"/>
        </w:rPr>
        <w:t>通監與</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役監</w:t>
      </w:r>
      <w:r w:rsidRPr="00C363F0">
        <w:rPr>
          <w:rFonts w:ascii="標楷體" w:eastAsia="標楷體" w:hAnsi="標楷體" w:cs="新細明體" w:hint="eastAsia"/>
          <w:sz w:val="32"/>
          <w:szCs w:val="32"/>
        </w:rPr>
        <w:t>都</w:t>
      </w:r>
      <w:r w:rsidRPr="00C363F0">
        <w:rPr>
          <w:rFonts w:ascii="標楷體" w:eastAsia="標楷體" w:hAnsi="標楷體" w:cs="新細明體"/>
          <w:sz w:val="32"/>
          <w:szCs w:val="32"/>
        </w:rPr>
        <w:t>有</w:t>
      </w:r>
      <w:r w:rsidRPr="00C363F0">
        <w:rPr>
          <w:rFonts w:ascii="標楷體" w:eastAsia="標楷體" w:hAnsi="標楷體" w:cs="新細明體" w:hint="eastAsia"/>
          <w:sz w:val="32"/>
          <w:szCs w:val="32"/>
        </w:rPr>
        <w:t>推</w:t>
      </w:r>
      <w:r w:rsidRPr="00C363F0">
        <w:rPr>
          <w:rFonts w:ascii="標楷體" w:eastAsia="標楷體" w:hAnsi="標楷體" w:cs="新細明體"/>
          <w:sz w:val="32"/>
          <w:szCs w:val="32"/>
        </w:rPr>
        <w:t>展監外作業，</w:t>
      </w:r>
      <w:r w:rsidRPr="00C363F0">
        <w:rPr>
          <w:rFonts w:ascii="標楷體" w:eastAsia="標楷體" w:hAnsi="標楷體" w:cs="新細明體" w:hint="eastAsia"/>
          <w:sz w:val="32"/>
          <w:szCs w:val="32"/>
        </w:rPr>
        <w:t>監</w:t>
      </w:r>
      <w:r w:rsidRPr="00C363F0">
        <w:rPr>
          <w:rFonts w:ascii="標楷體" w:eastAsia="標楷體" w:hAnsi="標楷體" w:cs="新細明體"/>
          <w:sz w:val="32"/>
          <w:szCs w:val="32"/>
        </w:rPr>
        <w:t>外</w:t>
      </w:r>
      <w:r w:rsidRPr="00C363F0">
        <w:rPr>
          <w:rFonts w:ascii="標楷體" w:eastAsia="標楷體" w:hAnsi="標楷體" w:cs="新細明體" w:hint="eastAsia"/>
          <w:sz w:val="32"/>
          <w:szCs w:val="32"/>
        </w:rPr>
        <w:t>作</w:t>
      </w:r>
      <w:r w:rsidRPr="00C363F0">
        <w:rPr>
          <w:rFonts w:ascii="標楷體" w:eastAsia="標楷體" w:hAnsi="標楷體" w:cs="新細明體"/>
          <w:sz w:val="32"/>
          <w:szCs w:val="32"/>
        </w:rPr>
        <w:t>業分為</w:t>
      </w:r>
      <w:r w:rsidRPr="00C363F0">
        <w:rPr>
          <w:rFonts w:ascii="標楷體" w:eastAsia="標楷體" w:hAnsi="標楷體" w:cs="新細明體" w:hint="eastAsia"/>
          <w:sz w:val="32"/>
          <w:szCs w:val="32"/>
        </w:rPr>
        <w:t>二類</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一</w:t>
      </w:r>
      <w:r w:rsidRPr="00C363F0">
        <w:rPr>
          <w:rFonts w:ascii="標楷體" w:eastAsia="標楷體" w:hAnsi="標楷體" w:cs="新細明體"/>
          <w:sz w:val="32"/>
          <w:szCs w:val="32"/>
        </w:rPr>
        <w:t>類是</w:t>
      </w:r>
      <w:r w:rsidRPr="00C363F0">
        <w:rPr>
          <w:rFonts w:ascii="標楷體" w:eastAsia="標楷體" w:hAnsi="標楷體" w:cs="新細明體" w:hint="eastAsia"/>
          <w:sz w:val="32"/>
          <w:szCs w:val="32"/>
        </w:rPr>
        <w:t>自</w:t>
      </w:r>
      <w:r w:rsidRPr="00C363F0">
        <w:rPr>
          <w:rFonts w:ascii="標楷體" w:eastAsia="標楷體" w:hAnsi="標楷體" w:cs="新細明體"/>
          <w:sz w:val="32"/>
          <w:szCs w:val="32"/>
        </w:rPr>
        <w:t>主監外作業，全程</w:t>
      </w:r>
      <w:r w:rsidRPr="00C363F0">
        <w:rPr>
          <w:rFonts w:ascii="標楷體" w:eastAsia="標楷體" w:hAnsi="標楷體" w:cs="新細明體" w:hint="eastAsia"/>
          <w:sz w:val="32"/>
          <w:szCs w:val="32"/>
        </w:rPr>
        <w:t>由經</w:t>
      </w:r>
      <w:r w:rsidRPr="00C363F0">
        <w:rPr>
          <w:rFonts w:ascii="標楷體" w:eastAsia="標楷體" w:hAnsi="標楷體" w:cs="新細明體"/>
          <w:sz w:val="32"/>
          <w:szCs w:val="32"/>
        </w:rPr>
        <w:t>遴</w:t>
      </w:r>
      <w:r w:rsidRPr="00C363F0">
        <w:rPr>
          <w:rFonts w:ascii="標楷體" w:eastAsia="標楷體" w:hAnsi="標楷體" w:cs="新細明體" w:hint="eastAsia"/>
          <w:sz w:val="32"/>
          <w:szCs w:val="32"/>
        </w:rPr>
        <w:t>選之</w:t>
      </w:r>
      <w:r w:rsidRPr="00C363F0">
        <w:rPr>
          <w:rFonts w:ascii="標楷體" w:eastAsia="標楷體" w:hAnsi="標楷體" w:cs="新細明體"/>
          <w:sz w:val="32"/>
          <w:szCs w:val="32"/>
        </w:rPr>
        <w:t>收容人</w:t>
      </w:r>
      <w:r w:rsidRPr="00C363F0">
        <w:rPr>
          <w:rFonts w:ascii="標楷體" w:eastAsia="標楷體" w:hAnsi="標楷體" w:cs="新細明體" w:hint="eastAsia"/>
          <w:sz w:val="32"/>
          <w:szCs w:val="32"/>
        </w:rPr>
        <w:t>自</w:t>
      </w:r>
      <w:r w:rsidRPr="00C363F0">
        <w:rPr>
          <w:rFonts w:ascii="標楷體" w:eastAsia="標楷體" w:hAnsi="標楷體" w:cs="新細明體"/>
          <w:sz w:val="32"/>
          <w:szCs w:val="32"/>
        </w:rPr>
        <w:t>主前往工作地</w:t>
      </w:r>
      <w:r w:rsidRPr="00C363F0">
        <w:rPr>
          <w:rFonts w:ascii="標楷體" w:eastAsia="標楷體" w:hAnsi="標楷體" w:cs="新細明體" w:hint="eastAsia"/>
          <w:sz w:val="32"/>
          <w:szCs w:val="32"/>
        </w:rPr>
        <w:t>點</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白</w:t>
      </w:r>
      <w:r w:rsidRPr="00C363F0">
        <w:rPr>
          <w:rFonts w:ascii="標楷體" w:eastAsia="標楷體" w:hAnsi="標楷體" w:cs="新細明體"/>
          <w:sz w:val="32"/>
          <w:szCs w:val="32"/>
        </w:rPr>
        <w:t>天外出</w:t>
      </w:r>
      <w:r w:rsidRPr="00C363F0">
        <w:rPr>
          <w:rFonts w:ascii="標楷體" w:eastAsia="標楷體" w:hAnsi="標楷體" w:cs="新細明體" w:hint="eastAsia"/>
          <w:sz w:val="32"/>
          <w:szCs w:val="32"/>
        </w:rPr>
        <w:t>工</w:t>
      </w:r>
      <w:r w:rsidRPr="00C363F0">
        <w:rPr>
          <w:rFonts w:ascii="標楷體" w:eastAsia="標楷體" w:hAnsi="標楷體" w:cs="新細明體"/>
          <w:sz w:val="32"/>
          <w:szCs w:val="32"/>
        </w:rPr>
        <w:t>作，夜間返監執行</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另一類</w:t>
      </w:r>
      <w:r w:rsidRPr="00C363F0">
        <w:rPr>
          <w:rFonts w:ascii="標楷體" w:eastAsia="標楷體" w:hAnsi="標楷體" w:cs="新細明體" w:hint="eastAsia"/>
          <w:sz w:val="32"/>
          <w:szCs w:val="32"/>
        </w:rPr>
        <w:t>則外</w:t>
      </w:r>
      <w:r w:rsidRPr="00C363F0">
        <w:rPr>
          <w:rFonts w:ascii="標楷體" w:eastAsia="標楷體" w:hAnsi="標楷體" w:cs="新細明體"/>
          <w:sz w:val="32"/>
          <w:szCs w:val="32"/>
        </w:rPr>
        <w:t>出工作</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入均由</w:t>
      </w:r>
      <w:r w:rsidRPr="00C363F0">
        <w:rPr>
          <w:rFonts w:ascii="標楷體" w:eastAsia="標楷體" w:hAnsi="標楷體" w:cs="新細明體" w:hint="eastAsia"/>
          <w:sz w:val="32"/>
          <w:szCs w:val="32"/>
        </w:rPr>
        <w:t>戒</w:t>
      </w:r>
      <w:r w:rsidRPr="00C363F0">
        <w:rPr>
          <w:rFonts w:ascii="標楷體" w:eastAsia="標楷體" w:hAnsi="標楷體" w:cs="新細明體"/>
          <w:sz w:val="32"/>
          <w:szCs w:val="32"/>
        </w:rPr>
        <w:t>護主管帶隊</w:t>
      </w:r>
      <w:r w:rsidRPr="00C363F0">
        <w:rPr>
          <w:rFonts w:ascii="標楷體" w:eastAsia="標楷體" w:hAnsi="標楷體" w:cs="新細明體" w:hint="eastAsia"/>
          <w:sz w:val="32"/>
          <w:szCs w:val="32"/>
        </w:rPr>
        <w:t>。這2類</w:t>
      </w:r>
      <w:r w:rsidRPr="00C363F0">
        <w:rPr>
          <w:rFonts w:ascii="標楷體" w:eastAsia="標楷體" w:hAnsi="標楷體" w:cs="新細明體"/>
          <w:sz w:val="32"/>
          <w:szCs w:val="32"/>
        </w:rPr>
        <w:t>外</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工作</w:t>
      </w:r>
      <w:r w:rsidRPr="00C363F0">
        <w:rPr>
          <w:rFonts w:ascii="標楷體" w:eastAsia="標楷體" w:hAnsi="標楷體" w:cs="新細明體" w:hint="eastAsia"/>
          <w:sz w:val="32"/>
          <w:szCs w:val="32"/>
        </w:rPr>
        <w:t>都</w:t>
      </w:r>
      <w:r w:rsidRPr="00C363F0">
        <w:rPr>
          <w:rFonts w:ascii="標楷體" w:eastAsia="標楷體" w:hAnsi="標楷體" w:cs="新細明體"/>
          <w:sz w:val="32"/>
          <w:szCs w:val="32"/>
        </w:rPr>
        <w:t>有可能脫逃，</w:t>
      </w:r>
      <w:r w:rsidRPr="00C363F0">
        <w:rPr>
          <w:rFonts w:ascii="標楷體" w:eastAsia="標楷體" w:hAnsi="標楷體" w:cs="新細明體" w:hint="eastAsia"/>
          <w:sz w:val="32"/>
          <w:szCs w:val="32"/>
        </w:rPr>
        <w:t>現正研</w:t>
      </w:r>
      <w:r w:rsidRPr="00C363F0">
        <w:rPr>
          <w:rFonts w:ascii="標楷體" w:eastAsia="標楷體" w:hAnsi="標楷體" w:cs="新細明體"/>
          <w:sz w:val="32"/>
          <w:szCs w:val="32"/>
        </w:rPr>
        <w:t>議加強監督</w:t>
      </w:r>
      <w:r w:rsidRPr="00C363F0">
        <w:rPr>
          <w:rFonts w:ascii="標楷體" w:eastAsia="標楷體" w:hAnsi="標楷體" w:cs="新細明體" w:hint="eastAsia"/>
          <w:sz w:val="32"/>
          <w:szCs w:val="32"/>
        </w:rPr>
        <w:t>機</w:t>
      </w:r>
      <w:r w:rsidRPr="00C363F0">
        <w:rPr>
          <w:rFonts w:ascii="標楷體" w:eastAsia="標楷體" w:hAnsi="標楷體" w:cs="新細明體"/>
          <w:sz w:val="32"/>
          <w:szCs w:val="32"/>
        </w:rPr>
        <w:t>制。</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出</w:t>
      </w:r>
      <w:r w:rsidRPr="00C363F0">
        <w:rPr>
          <w:rFonts w:ascii="標楷體" w:eastAsia="標楷體" w:hAnsi="標楷體" w:cs="新細明體" w:hint="eastAsia"/>
          <w:sz w:val="32"/>
          <w:szCs w:val="32"/>
        </w:rPr>
        <w:t>工</w:t>
      </w:r>
      <w:r w:rsidRPr="00C363F0">
        <w:rPr>
          <w:rFonts w:ascii="標楷體" w:eastAsia="標楷體" w:hAnsi="標楷體" w:cs="新細明體"/>
          <w:sz w:val="32"/>
          <w:szCs w:val="32"/>
        </w:rPr>
        <w:t>作時</w:t>
      </w:r>
      <w:r w:rsidRPr="00C363F0">
        <w:rPr>
          <w:rFonts w:ascii="標楷體" w:eastAsia="標楷體" w:hAnsi="標楷體" w:cs="新細明體" w:hint="eastAsia"/>
          <w:sz w:val="32"/>
          <w:szCs w:val="32"/>
        </w:rPr>
        <w:t>並</w:t>
      </w:r>
      <w:r w:rsidRPr="00C363F0">
        <w:rPr>
          <w:rFonts w:ascii="標楷體" w:eastAsia="標楷體" w:hAnsi="標楷體" w:cs="新細明體"/>
          <w:sz w:val="32"/>
          <w:szCs w:val="32"/>
        </w:rPr>
        <w:t>不會</w:t>
      </w:r>
      <w:r w:rsidRPr="00C363F0">
        <w:rPr>
          <w:rFonts w:ascii="標楷體" w:eastAsia="標楷體" w:hAnsi="標楷體" w:cs="新細明體" w:hint="eastAsia"/>
          <w:sz w:val="32"/>
          <w:szCs w:val="32"/>
        </w:rPr>
        <w:t>再</w:t>
      </w:r>
      <w:r w:rsidRPr="00C363F0">
        <w:rPr>
          <w:rFonts w:ascii="標楷體" w:eastAsia="標楷體" w:hAnsi="標楷體" w:cs="新細明體"/>
          <w:sz w:val="32"/>
          <w:szCs w:val="32"/>
        </w:rPr>
        <w:t>課予</w:t>
      </w:r>
      <w:r w:rsidRPr="00C363F0">
        <w:rPr>
          <w:rFonts w:ascii="標楷體" w:eastAsia="標楷體" w:hAnsi="標楷體" w:cs="新細明體" w:hint="eastAsia"/>
          <w:sz w:val="32"/>
          <w:szCs w:val="32"/>
        </w:rPr>
        <w:t>合</w:t>
      </w:r>
      <w:r w:rsidRPr="00C363F0">
        <w:rPr>
          <w:rFonts w:ascii="標楷體" w:eastAsia="標楷體" w:hAnsi="標楷體" w:cs="新細明體"/>
          <w:sz w:val="32"/>
          <w:szCs w:val="32"/>
        </w:rPr>
        <w:t>作廠商</w:t>
      </w:r>
      <w:r w:rsidRPr="00C363F0">
        <w:rPr>
          <w:rFonts w:ascii="標楷體" w:eastAsia="標楷體" w:hAnsi="標楷體" w:cs="新細明體" w:hint="eastAsia"/>
          <w:sz w:val="32"/>
          <w:szCs w:val="32"/>
        </w:rPr>
        <w:t>過</w:t>
      </w:r>
      <w:r w:rsidRPr="00C363F0">
        <w:rPr>
          <w:rFonts w:ascii="標楷體" w:eastAsia="標楷體" w:hAnsi="標楷體" w:cs="新細明體"/>
          <w:sz w:val="32"/>
          <w:szCs w:val="32"/>
        </w:rPr>
        <w:t>多的義務，但</w:t>
      </w:r>
      <w:r w:rsidRPr="00C363F0">
        <w:rPr>
          <w:rFonts w:ascii="標楷體" w:eastAsia="標楷體" w:hAnsi="標楷體" w:cs="新細明體" w:hint="eastAsia"/>
          <w:sz w:val="32"/>
          <w:szCs w:val="32"/>
        </w:rPr>
        <w:t>要求</w:t>
      </w:r>
      <w:r w:rsidRPr="00C363F0">
        <w:rPr>
          <w:rFonts w:ascii="標楷體" w:eastAsia="標楷體" w:hAnsi="標楷體" w:cs="新細明體"/>
          <w:sz w:val="32"/>
          <w:szCs w:val="32"/>
        </w:rPr>
        <w:t>廠商若發</w:t>
      </w:r>
      <w:r w:rsidRPr="00C363F0">
        <w:rPr>
          <w:rFonts w:ascii="標楷體" w:eastAsia="標楷體" w:hAnsi="標楷體" w:cs="新細明體" w:hint="eastAsia"/>
          <w:sz w:val="32"/>
          <w:szCs w:val="32"/>
        </w:rPr>
        <w:t>現工</w:t>
      </w:r>
      <w:r w:rsidRPr="00C363F0">
        <w:rPr>
          <w:rFonts w:ascii="標楷體" w:eastAsia="標楷體" w:hAnsi="標楷體" w:cs="新細明體"/>
          <w:sz w:val="32"/>
          <w:szCs w:val="32"/>
        </w:rPr>
        <w:t>作時間未</w:t>
      </w:r>
      <w:r w:rsidRPr="00C363F0">
        <w:rPr>
          <w:rFonts w:ascii="標楷體" w:eastAsia="標楷體" w:hAnsi="標楷體" w:cs="新細明體" w:hint="eastAsia"/>
          <w:sz w:val="32"/>
          <w:szCs w:val="32"/>
        </w:rPr>
        <w:t>發</w:t>
      </w:r>
      <w:r w:rsidRPr="00C363F0">
        <w:rPr>
          <w:rFonts w:ascii="標楷體" w:eastAsia="標楷體" w:hAnsi="標楷體" w:cs="新細明體"/>
          <w:sz w:val="32"/>
          <w:szCs w:val="32"/>
        </w:rPr>
        <w:t>現受刑人</w:t>
      </w:r>
      <w:r w:rsidRPr="00C363F0">
        <w:rPr>
          <w:rFonts w:ascii="標楷體" w:eastAsia="標楷體" w:hAnsi="標楷體" w:cs="新細明體" w:hint="eastAsia"/>
          <w:sz w:val="32"/>
          <w:szCs w:val="32"/>
        </w:rPr>
        <w:t>報</w:t>
      </w:r>
      <w:r w:rsidRPr="00C363F0">
        <w:rPr>
          <w:rFonts w:ascii="標楷體" w:eastAsia="標楷體" w:hAnsi="標楷體" w:cs="新細明體"/>
          <w:sz w:val="32"/>
          <w:szCs w:val="32"/>
        </w:rPr>
        <w:t>到</w:t>
      </w:r>
      <w:r w:rsidRPr="00C363F0">
        <w:rPr>
          <w:rFonts w:ascii="標楷體" w:eastAsia="標楷體" w:hAnsi="標楷體" w:cs="新細明體" w:hint="eastAsia"/>
          <w:sz w:val="32"/>
          <w:szCs w:val="32"/>
        </w:rPr>
        <w:t>或擅離未返</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應即時</w:t>
      </w:r>
      <w:r w:rsidRPr="00C363F0">
        <w:rPr>
          <w:rFonts w:ascii="標楷體" w:eastAsia="標楷體" w:hAnsi="標楷體" w:cs="新細明體"/>
          <w:sz w:val="32"/>
          <w:szCs w:val="32"/>
        </w:rPr>
        <w:t>通</w:t>
      </w:r>
      <w:r w:rsidRPr="00C363F0">
        <w:rPr>
          <w:rFonts w:ascii="標楷體" w:eastAsia="標楷體" w:hAnsi="標楷體" w:cs="新細明體" w:hint="eastAsia"/>
          <w:sz w:val="32"/>
          <w:szCs w:val="32"/>
        </w:rPr>
        <w:t>報</w:t>
      </w:r>
      <w:r w:rsidRPr="00C363F0">
        <w:rPr>
          <w:rFonts w:ascii="標楷體" w:eastAsia="標楷體" w:hAnsi="標楷體" w:cs="新細明體"/>
          <w:sz w:val="32"/>
          <w:szCs w:val="32"/>
        </w:rPr>
        <w:t>監所。</w:t>
      </w:r>
    </w:p>
    <w:p w14:paraId="6E465E5B" w14:textId="77777777" w:rsidR="00421BB5" w:rsidRPr="00C363F0" w:rsidRDefault="00421BB5" w:rsidP="00E45804">
      <w:pPr>
        <w:topLinePunct/>
        <w:spacing w:line="520" w:lineRule="exact"/>
        <w:ind w:leftChars="239" w:left="849" w:hangingChars="86" w:hanging="275"/>
        <w:jc w:val="both"/>
        <w:rPr>
          <w:rFonts w:ascii="標楷體" w:eastAsia="標楷體" w:hAnsi="標楷體" w:cs="新細明體"/>
          <w:sz w:val="32"/>
          <w:szCs w:val="32"/>
        </w:rPr>
      </w:pPr>
      <w:r>
        <w:rPr>
          <w:rFonts w:ascii="標楷體" w:eastAsia="標楷體" w:hAnsi="標楷體" w:cs="新細明體" w:hint="eastAsia"/>
          <w:sz w:val="32"/>
          <w:szCs w:val="32"/>
        </w:rPr>
        <w:t>3.</w:t>
      </w:r>
      <w:r w:rsidRPr="00C363F0">
        <w:rPr>
          <w:rFonts w:ascii="標楷體" w:eastAsia="標楷體" w:hAnsi="標楷體" w:cs="新細明體" w:hint="eastAsia"/>
          <w:sz w:val="32"/>
          <w:szCs w:val="32"/>
        </w:rPr>
        <w:t>另</w:t>
      </w:r>
      <w:r w:rsidRPr="00C363F0">
        <w:rPr>
          <w:rFonts w:ascii="標楷體" w:eastAsia="標楷體" w:hAnsi="標楷體" w:cs="新細明體"/>
          <w:sz w:val="32"/>
          <w:szCs w:val="32"/>
        </w:rPr>
        <w:t>外，</w:t>
      </w:r>
      <w:r w:rsidRPr="00C363F0">
        <w:rPr>
          <w:rFonts w:ascii="標楷體" w:eastAsia="標楷體" w:hAnsi="標楷體" w:cs="新細明體" w:hint="eastAsia"/>
          <w:sz w:val="32"/>
          <w:szCs w:val="32"/>
        </w:rPr>
        <w:t>科</w:t>
      </w:r>
      <w:r w:rsidRPr="00C363F0">
        <w:rPr>
          <w:rFonts w:ascii="標楷體" w:eastAsia="標楷體" w:hAnsi="標楷體" w:cs="新細明體"/>
          <w:sz w:val="32"/>
          <w:szCs w:val="32"/>
        </w:rPr>
        <w:t>技監控</w:t>
      </w:r>
      <w:r w:rsidRPr="00C363F0">
        <w:rPr>
          <w:rFonts w:ascii="標楷體" w:eastAsia="標楷體" w:hAnsi="標楷體" w:cs="新細明體" w:hint="eastAsia"/>
          <w:sz w:val="32"/>
          <w:szCs w:val="32"/>
        </w:rPr>
        <w:t>部</w:t>
      </w:r>
      <w:r w:rsidRPr="00C363F0">
        <w:rPr>
          <w:rFonts w:ascii="標楷體" w:eastAsia="標楷體" w:hAnsi="標楷體" w:cs="新細明體"/>
          <w:sz w:val="32"/>
          <w:szCs w:val="32"/>
        </w:rPr>
        <w:t>分</w:t>
      </w:r>
      <w:r w:rsidRPr="00C363F0">
        <w:rPr>
          <w:rFonts w:ascii="標楷體" w:eastAsia="標楷體" w:hAnsi="標楷體" w:cs="新細明體" w:hint="eastAsia"/>
          <w:sz w:val="32"/>
          <w:szCs w:val="32"/>
        </w:rPr>
        <w:t>，對</w:t>
      </w:r>
      <w:r w:rsidRPr="00C363F0">
        <w:rPr>
          <w:rFonts w:ascii="標楷體" w:eastAsia="標楷體" w:hAnsi="標楷體" w:cs="新細明體"/>
          <w:sz w:val="32"/>
          <w:szCs w:val="32"/>
        </w:rPr>
        <w:t>於外役監返家</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視者，</w:t>
      </w:r>
      <w:r w:rsidRPr="00C363F0">
        <w:rPr>
          <w:rFonts w:ascii="標楷體" w:eastAsia="標楷體" w:hAnsi="標楷體" w:cs="新細明體" w:hint="eastAsia"/>
          <w:sz w:val="32"/>
          <w:szCs w:val="32"/>
        </w:rPr>
        <w:t>有人建議</w:t>
      </w:r>
      <w:r w:rsidRPr="00C363F0">
        <w:rPr>
          <w:rFonts w:ascii="標楷體" w:eastAsia="標楷體" w:hAnsi="標楷體" w:cs="新細明體"/>
          <w:sz w:val="32"/>
          <w:szCs w:val="32"/>
        </w:rPr>
        <w:t>實施電子腳</w:t>
      </w:r>
      <w:r w:rsidRPr="00C363F0">
        <w:rPr>
          <w:rFonts w:ascii="標楷體" w:eastAsia="標楷體" w:hAnsi="標楷體" w:cs="新細明體" w:hint="eastAsia"/>
          <w:sz w:val="32"/>
          <w:szCs w:val="32"/>
        </w:rPr>
        <w:t>鐐</w:t>
      </w:r>
      <w:r w:rsidRPr="00C363F0">
        <w:rPr>
          <w:rFonts w:ascii="標楷體" w:eastAsia="標楷體" w:hAnsi="標楷體" w:cs="新細明體"/>
          <w:sz w:val="32"/>
          <w:szCs w:val="32"/>
        </w:rPr>
        <w:t>機制，但</w:t>
      </w:r>
      <w:r w:rsidRPr="00C363F0">
        <w:rPr>
          <w:rFonts w:ascii="標楷體" w:eastAsia="標楷體" w:hAnsi="標楷體" w:cs="新細明體" w:hint="eastAsia"/>
          <w:sz w:val="32"/>
          <w:szCs w:val="32"/>
        </w:rPr>
        <w:t>電</w:t>
      </w:r>
      <w:r w:rsidRPr="00C363F0">
        <w:rPr>
          <w:rFonts w:ascii="標楷體" w:eastAsia="標楷體" w:hAnsi="標楷體" w:cs="新細明體"/>
          <w:sz w:val="32"/>
          <w:szCs w:val="32"/>
        </w:rPr>
        <w:t>子腳鐐</w:t>
      </w:r>
      <w:r w:rsidRPr="00C363F0">
        <w:rPr>
          <w:rFonts w:ascii="標楷體" w:eastAsia="標楷體" w:hAnsi="標楷體" w:cs="新細明體" w:hint="eastAsia"/>
          <w:sz w:val="32"/>
          <w:szCs w:val="32"/>
        </w:rPr>
        <w:t>為</w:t>
      </w:r>
      <w:r w:rsidRPr="00C363F0">
        <w:rPr>
          <w:rFonts w:ascii="標楷體" w:eastAsia="標楷體" w:hAnsi="標楷體" w:cs="新細明體"/>
          <w:sz w:val="32"/>
          <w:szCs w:val="32"/>
        </w:rPr>
        <w:t>單次使用，且每副要價</w:t>
      </w:r>
      <w:r w:rsidRPr="00C363F0">
        <w:rPr>
          <w:rFonts w:ascii="標楷體" w:eastAsia="標楷體" w:hAnsi="標楷體" w:cs="新細明體" w:hint="eastAsia"/>
          <w:sz w:val="32"/>
          <w:szCs w:val="32"/>
        </w:rPr>
        <w:t>1至2萬元以上</w:t>
      </w:r>
      <w:r w:rsidRPr="00C363F0">
        <w:rPr>
          <w:rFonts w:ascii="標楷體" w:eastAsia="標楷體" w:hAnsi="標楷體" w:cs="新細明體"/>
          <w:sz w:val="32"/>
          <w:szCs w:val="32"/>
        </w:rPr>
        <w:t>，實不</w:t>
      </w:r>
      <w:r w:rsidRPr="00C363F0">
        <w:rPr>
          <w:rFonts w:ascii="標楷體" w:eastAsia="標楷體" w:hAnsi="標楷體" w:cs="新細明體" w:hint="eastAsia"/>
          <w:sz w:val="32"/>
          <w:szCs w:val="32"/>
        </w:rPr>
        <w:t>符</w:t>
      </w:r>
      <w:r w:rsidRPr="00C363F0">
        <w:rPr>
          <w:rFonts w:ascii="標楷體" w:eastAsia="標楷體" w:hAnsi="標楷體" w:cs="新細明體"/>
          <w:sz w:val="32"/>
          <w:szCs w:val="32"/>
        </w:rPr>
        <w:t>成本</w:t>
      </w:r>
      <w:r w:rsidRPr="00C363F0">
        <w:rPr>
          <w:rFonts w:ascii="標楷體" w:eastAsia="標楷體" w:hAnsi="標楷體" w:cs="新細明體" w:hint="eastAsia"/>
          <w:sz w:val="32"/>
          <w:szCs w:val="32"/>
        </w:rPr>
        <w:t>效益，正研究其他省錢有效方式。現階段先</w:t>
      </w:r>
      <w:r w:rsidRPr="00C363F0">
        <w:rPr>
          <w:rFonts w:ascii="標楷體" w:eastAsia="標楷體" w:hAnsi="標楷體" w:cs="新細明體"/>
          <w:sz w:val="32"/>
          <w:szCs w:val="32"/>
        </w:rPr>
        <w:t>以視訊方式</w:t>
      </w:r>
      <w:r w:rsidRPr="00C363F0">
        <w:rPr>
          <w:rFonts w:ascii="標楷體" w:eastAsia="標楷體" w:hAnsi="標楷體" w:cs="新細明體" w:hint="eastAsia"/>
          <w:sz w:val="32"/>
          <w:szCs w:val="32"/>
        </w:rPr>
        <w:t>為之</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考</w:t>
      </w:r>
      <w:r w:rsidRPr="00C363F0">
        <w:rPr>
          <w:rFonts w:ascii="標楷體" w:eastAsia="標楷體" w:hAnsi="標楷體" w:cs="新細明體"/>
          <w:sz w:val="32"/>
          <w:szCs w:val="32"/>
        </w:rPr>
        <w:t>量</w:t>
      </w:r>
      <w:r w:rsidRPr="00C363F0">
        <w:rPr>
          <w:rFonts w:ascii="標楷體" w:eastAsia="標楷體" w:hAnsi="標楷體" w:cs="新細明體" w:hint="eastAsia"/>
          <w:sz w:val="32"/>
          <w:szCs w:val="32"/>
        </w:rPr>
        <w:t>智</w:t>
      </w:r>
      <w:r w:rsidRPr="00C363F0">
        <w:rPr>
          <w:rFonts w:ascii="標楷體" w:eastAsia="標楷體" w:hAnsi="標楷體" w:cs="新細明體"/>
          <w:sz w:val="32"/>
          <w:szCs w:val="32"/>
        </w:rPr>
        <w:t>慧型手機</w:t>
      </w:r>
      <w:r w:rsidRPr="00C363F0">
        <w:rPr>
          <w:rFonts w:ascii="標楷體" w:eastAsia="標楷體" w:hAnsi="標楷體" w:cs="新細明體" w:hint="eastAsia"/>
          <w:sz w:val="32"/>
          <w:szCs w:val="32"/>
        </w:rPr>
        <w:t>普</w:t>
      </w:r>
      <w:r w:rsidRPr="00C363F0">
        <w:rPr>
          <w:rFonts w:ascii="標楷體" w:eastAsia="標楷體" w:hAnsi="標楷體" w:cs="新細明體"/>
          <w:sz w:val="32"/>
          <w:szCs w:val="32"/>
        </w:rPr>
        <w:t>及性，</w:t>
      </w:r>
      <w:r w:rsidRPr="00C363F0">
        <w:rPr>
          <w:rFonts w:ascii="標楷體" w:eastAsia="標楷體" w:hAnsi="標楷體" w:cs="新細明體" w:hint="eastAsia"/>
          <w:sz w:val="32"/>
          <w:szCs w:val="32"/>
        </w:rPr>
        <w:t>作</w:t>
      </w:r>
      <w:r w:rsidRPr="00C363F0">
        <w:rPr>
          <w:rFonts w:ascii="標楷體" w:eastAsia="標楷體" w:hAnsi="標楷體" w:cs="新細明體"/>
          <w:sz w:val="32"/>
          <w:szCs w:val="32"/>
        </w:rPr>
        <w:t>法</w:t>
      </w:r>
      <w:r w:rsidRPr="00C363F0">
        <w:rPr>
          <w:rFonts w:ascii="標楷體" w:eastAsia="標楷體" w:hAnsi="標楷體" w:cs="新細明體" w:hint="eastAsia"/>
          <w:sz w:val="32"/>
          <w:szCs w:val="32"/>
        </w:rPr>
        <w:t>由</w:t>
      </w:r>
      <w:r w:rsidRPr="00C363F0">
        <w:rPr>
          <w:rFonts w:ascii="標楷體" w:eastAsia="標楷體" w:hAnsi="標楷體" w:cs="新細明體"/>
          <w:sz w:val="32"/>
          <w:szCs w:val="32"/>
        </w:rPr>
        <w:t>受</w:t>
      </w:r>
      <w:r w:rsidRPr="00C363F0">
        <w:rPr>
          <w:rFonts w:ascii="標楷體" w:eastAsia="標楷體" w:hAnsi="標楷體" w:cs="新細明體" w:hint="eastAsia"/>
          <w:sz w:val="32"/>
          <w:szCs w:val="32"/>
        </w:rPr>
        <w:t>刑</w:t>
      </w:r>
      <w:r w:rsidRPr="00C363F0">
        <w:rPr>
          <w:rFonts w:ascii="標楷體" w:eastAsia="標楷體" w:hAnsi="標楷體" w:cs="新細明體"/>
          <w:sz w:val="32"/>
          <w:szCs w:val="32"/>
        </w:rPr>
        <w:t>人登記本人或</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屬手機</w:t>
      </w:r>
      <w:r w:rsidRPr="00C363F0">
        <w:rPr>
          <w:rFonts w:ascii="標楷體" w:eastAsia="標楷體" w:hAnsi="標楷體" w:cs="新細明體" w:hint="eastAsia"/>
          <w:sz w:val="32"/>
          <w:szCs w:val="32"/>
        </w:rPr>
        <w:t>（必</w:t>
      </w:r>
      <w:r w:rsidRPr="00C363F0">
        <w:rPr>
          <w:rFonts w:ascii="標楷體" w:eastAsia="標楷體" w:hAnsi="標楷體" w:cs="新細明體"/>
          <w:sz w:val="32"/>
          <w:szCs w:val="32"/>
        </w:rPr>
        <w:t>要時由監獄</w:t>
      </w:r>
      <w:r w:rsidRPr="00C363F0">
        <w:rPr>
          <w:rFonts w:ascii="標楷體" w:eastAsia="標楷體" w:hAnsi="標楷體" w:cs="新細明體" w:hint="eastAsia"/>
          <w:sz w:val="32"/>
          <w:szCs w:val="32"/>
        </w:rPr>
        <w:t>借</w:t>
      </w:r>
      <w:r w:rsidRPr="00C363F0">
        <w:rPr>
          <w:rFonts w:ascii="標楷體" w:eastAsia="標楷體" w:hAnsi="標楷體" w:cs="新細明體"/>
          <w:sz w:val="32"/>
          <w:szCs w:val="32"/>
        </w:rPr>
        <w:t>用）</w:t>
      </w:r>
      <w:r w:rsidRPr="00C363F0">
        <w:rPr>
          <w:rFonts w:ascii="標楷體" w:eastAsia="標楷體" w:hAnsi="標楷體" w:cs="新細明體" w:hint="eastAsia"/>
          <w:sz w:val="32"/>
          <w:szCs w:val="32"/>
        </w:rPr>
        <w:t>，並在</w:t>
      </w:r>
      <w:r w:rsidRPr="00C363F0">
        <w:rPr>
          <w:rFonts w:ascii="標楷體" w:eastAsia="標楷體" w:hAnsi="標楷體" w:cs="新細明體"/>
          <w:sz w:val="32"/>
          <w:szCs w:val="32"/>
        </w:rPr>
        <w:t>返</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時</w:t>
      </w:r>
      <w:r w:rsidRPr="00C363F0">
        <w:rPr>
          <w:rFonts w:ascii="標楷體" w:eastAsia="標楷體" w:hAnsi="標楷體" w:cs="新細明體" w:hint="eastAsia"/>
          <w:sz w:val="32"/>
          <w:szCs w:val="32"/>
        </w:rPr>
        <w:t>間視</w:t>
      </w:r>
      <w:r w:rsidRPr="00C363F0">
        <w:rPr>
          <w:rFonts w:ascii="標楷體" w:eastAsia="標楷體" w:hAnsi="標楷體" w:cs="新細明體"/>
          <w:sz w:val="32"/>
          <w:szCs w:val="32"/>
        </w:rPr>
        <w:t>訊回報</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以確認</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刑人是否按</w:t>
      </w:r>
      <w:r w:rsidRPr="00C363F0">
        <w:rPr>
          <w:rFonts w:ascii="標楷體" w:eastAsia="標楷體" w:hAnsi="標楷體" w:cs="新細明體" w:hint="eastAsia"/>
          <w:sz w:val="32"/>
          <w:szCs w:val="32"/>
        </w:rPr>
        <w:t>其</w:t>
      </w:r>
      <w:r w:rsidRPr="00C363F0">
        <w:rPr>
          <w:rFonts w:ascii="標楷體" w:eastAsia="標楷體" w:hAnsi="標楷體" w:cs="新細明體"/>
          <w:sz w:val="32"/>
          <w:szCs w:val="32"/>
        </w:rPr>
        <w:t>所申請</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處</w:t>
      </w:r>
      <w:r w:rsidRPr="00C363F0">
        <w:rPr>
          <w:rFonts w:ascii="標楷體" w:eastAsia="標楷體" w:hAnsi="標楷體" w:cs="新細明體" w:hint="eastAsia"/>
          <w:sz w:val="32"/>
          <w:szCs w:val="32"/>
        </w:rPr>
        <w:t>所返家探</w:t>
      </w:r>
      <w:r w:rsidRPr="00C363F0">
        <w:rPr>
          <w:rFonts w:ascii="標楷體" w:eastAsia="標楷體" w:hAnsi="標楷體" w:cs="新細明體"/>
          <w:sz w:val="32"/>
          <w:szCs w:val="32"/>
        </w:rPr>
        <w:t>視</w:t>
      </w:r>
      <w:r w:rsidRPr="00C363F0">
        <w:rPr>
          <w:rFonts w:ascii="標楷體" w:eastAsia="標楷體" w:hAnsi="標楷體" w:cs="新細明體" w:hint="eastAsia"/>
          <w:sz w:val="32"/>
          <w:szCs w:val="32"/>
        </w:rPr>
        <w:t>；作法上也可採是否要</w:t>
      </w:r>
      <w:r w:rsidRPr="00C363F0">
        <w:rPr>
          <w:rFonts w:ascii="標楷體" w:eastAsia="標楷體" w:hAnsi="標楷體" w:cs="新細明體"/>
          <w:sz w:val="32"/>
          <w:szCs w:val="32"/>
        </w:rPr>
        <w:lastRenderedPageBreak/>
        <w:t>讓返家探視地之門牌號同時入鏡以為</w:t>
      </w:r>
      <w:r w:rsidRPr="00C363F0">
        <w:rPr>
          <w:rFonts w:ascii="標楷體" w:eastAsia="標楷體" w:hAnsi="標楷體" w:cs="新細明體" w:hint="eastAsia"/>
          <w:sz w:val="32"/>
          <w:szCs w:val="32"/>
        </w:rPr>
        <w:t>佐證</w:t>
      </w:r>
      <w:r w:rsidRPr="00C363F0">
        <w:rPr>
          <w:rFonts w:ascii="標楷體" w:eastAsia="標楷體" w:hAnsi="標楷體" w:cs="新細明體"/>
          <w:sz w:val="32"/>
          <w:szCs w:val="32"/>
        </w:rPr>
        <w:t>。</w:t>
      </w:r>
    </w:p>
    <w:p w14:paraId="1C9EB628" w14:textId="77777777" w:rsidR="00421BB5" w:rsidRPr="00C363F0" w:rsidRDefault="00421BB5" w:rsidP="00E45804">
      <w:pPr>
        <w:topLinePunct/>
        <w:spacing w:line="520" w:lineRule="exact"/>
        <w:ind w:leftChars="239" w:left="849" w:hangingChars="86" w:hanging="275"/>
        <w:jc w:val="both"/>
        <w:rPr>
          <w:rFonts w:ascii="標楷體" w:eastAsia="標楷體" w:hAnsi="標楷體" w:cs="新細明體"/>
          <w:sz w:val="32"/>
          <w:szCs w:val="32"/>
        </w:rPr>
      </w:pPr>
      <w:r>
        <w:rPr>
          <w:rFonts w:ascii="標楷體" w:eastAsia="標楷體" w:hAnsi="標楷體" w:cs="新細明體" w:hint="eastAsia"/>
          <w:sz w:val="32"/>
          <w:szCs w:val="32"/>
        </w:rPr>
        <w:t>4.</w:t>
      </w:r>
      <w:r w:rsidRPr="00C363F0">
        <w:rPr>
          <w:rFonts w:ascii="標楷體" w:eastAsia="標楷體" w:hAnsi="標楷體" w:cs="新細明體" w:hint="eastAsia"/>
          <w:sz w:val="32"/>
          <w:szCs w:val="32"/>
        </w:rPr>
        <w:t>目前</w:t>
      </w:r>
      <w:r w:rsidRPr="00C363F0">
        <w:rPr>
          <w:rFonts w:ascii="標楷體" w:eastAsia="標楷體" w:hAnsi="標楷體" w:cs="新細明體"/>
          <w:sz w:val="32"/>
          <w:szCs w:val="32"/>
        </w:rPr>
        <w:t>我國</w:t>
      </w:r>
      <w:r w:rsidRPr="00C363F0">
        <w:rPr>
          <w:rFonts w:ascii="標楷體" w:eastAsia="標楷體" w:hAnsi="標楷體" w:cs="新細明體" w:hint="eastAsia"/>
          <w:sz w:val="32"/>
          <w:szCs w:val="32"/>
        </w:rPr>
        <w:t>矯</w:t>
      </w:r>
      <w:r w:rsidRPr="00C363F0">
        <w:rPr>
          <w:rFonts w:ascii="標楷體" w:eastAsia="標楷體" w:hAnsi="標楷體" w:cs="新細明體"/>
          <w:sz w:val="32"/>
          <w:szCs w:val="32"/>
        </w:rPr>
        <w:t>正機關收容人數約</w:t>
      </w:r>
      <w:r w:rsidRPr="00C363F0">
        <w:rPr>
          <w:rFonts w:ascii="標楷體" w:eastAsia="標楷體" w:hAnsi="標楷體" w:cs="新細明體" w:hint="eastAsia"/>
          <w:sz w:val="32"/>
          <w:szCs w:val="32"/>
        </w:rPr>
        <w:t>5萬5千</w:t>
      </w:r>
      <w:r w:rsidRPr="00C363F0">
        <w:rPr>
          <w:rFonts w:ascii="標楷體" w:eastAsia="標楷體" w:hAnsi="標楷體" w:cs="新細明體"/>
          <w:sz w:val="32"/>
          <w:szCs w:val="32"/>
        </w:rPr>
        <w:t>名</w:t>
      </w:r>
      <w:r w:rsidRPr="00C363F0">
        <w:rPr>
          <w:rFonts w:ascii="標楷體" w:eastAsia="標楷體" w:hAnsi="標楷體" w:cs="新細明體" w:hint="eastAsia"/>
          <w:sz w:val="32"/>
          <w:szCs w:val="32"/>
        </w:rPr>
        <w:t>左</w:t>
      </w:r>
      <w:r w:rsidRPr="00C363F0">
        <w:rPr>
          <w:rFonts w:ascii="標楷體" w:eastAsia="標楷體" w:hAnsi="標楷體" w:cs="新細明體"/>
          <w:sz w:val="32"/>
          <w:szCs w:val="32"/>
        </w:rPr>
        <w:t>右，</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刑人約有</w:t>
      </w:r>
      <w:r w:rsidRPr="00C363F0">
        <w:rPr>
          <w:rFonts w:ascii="標楷體" w:eastAsia="標楷體" w:hAnsi="標楷體" w:cs="新細明體" w:hint="eastAsia"/>
          <w:sz w:val="32"/>
          <w:szCs w:val="32"/>
        </w:rPr>
        <w:t>4萬6千</w:t>
      </w:r>
      <w:r w:rsidRPr="00C363F0">
        <w:rPr>
          <w:rFonts w:ascii="標楷體" w:eastAsia="標楷體" w:hAnsi="標楷體" w:cs="新細明體"/>
          <w:sz w:val="32"/>
          <w:szCs w:val="32"/>
        </w:rPr>
        <w:t>至</w:t>
      </w:r>
      <w:r w:rsidRPr="00C363F0">
        <w:rPr>
          <w:rFonts w:ascii="標楷體" w:eastAsia="標楷體" w:hAnsi="標楷體" w:cs="新細明體" w:hint="eastAsia"/>
          <w:sz w:val="32"/>
          <w:szCs w:val="32"/>
        </w:rPr>
        <w:t>4萬7千</w:t>
      </w:r>
      <w:r w:rsidRPr="00C363F0">
        <w:rPr>
          <w:rFonts w:ascii="標楷體" w:eastAsia="標楷體" w:hAnsi="標楷體" w:cs="新細明體"/>
          <w:sz w:val="32"/>
          <w:szCs w:val="32"/>
        </w:rPr>
        <w:t>人，</w:t>
      </w:r>
      <w:r w:rsidRPr="00C363F0">
        <w:rPr>
          <w:rFonts w:ascii="標楷體" w:eastAsia="標楷體" w:hAnsi="標楷體" w:cs="新細明體" w:hint="eastAsia"/>
          <w:sz w:val="32"/>
          <w:szCs w:val="32"/>
        </w:rPr>
        <w:t>若每</w:t>
      </w:r>
      <w:r w:rsidRPr="00C363F0">
        <w:rPr>
          <w:rFonts w:ascii="標楷體" w:eastAsia="標楷體" w:hAnsi="標楷體" w:cs="新細明體"/>
          <w:sz w:val="32"/>
          <w:szCs w:val="32"/>
        </w:rPr>
        <w:t>一位</w:t>
      </w:r>
      <w:r w:rsidRPr="00C363F0">
        <w:rPr>
          <w:rFonts w:ascii="標楷體" w:eastAsia="標楷體" w:hAnsi="標楷體" w:cs="新細明體" w:hint="eastAsia"/>
          <w:sz w:val="32"/>
          <w:szCs w:val="32"/>
        </w:rPr>
        <w:t>受刑</w:t>
      </w:r>
      <w:r w:rsidRPr="00C363F0">
        <w:rPr>
          <w:rFonts w:ascii="標楷體" w:eastAsia="標楷體" w:hAnsi="標楷體" w:cs="新細明體"/>
          <w:sz w:val="32"/>
          <w:szCs w:val="32"/>
        </w:rPr>
        <w:t>人在出監前都要接</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到完整的職業訓練</w:t>
      </w:r>
      <w:r w:rsidRPr="00C363F0">
        <w:rPr>
          <w:rFonts w:ascii="標楷體" w:eastAsia="標楷體" w:hAnsi="標楷體" w:cs="新細明體" w:hint="eastAsia"/>
          <w:sz w:val="32"/>
          <w:szCs w:val="32"/>
        </w:rPr>
        <w:t>，又要確保在其</w:t>
      </w:r>
      <w:r w:rsidRPr="00C363F0">
        <w:rPr>
          <w:rFonts w:ascii="標楷體" w:eastAsia="標楷體" w:hAnsi="標楷體" w:cs="新細明體"/>
          <w:sz w:val="32"/>
          <w:szCs w:val="32"/>
        </w:rPr>
        <w:t>復歸社會時</w:t>
      </w:r>
      <w:r w:rsidRPr="00C363F0">
        <w:rPr>
          <w:rFonts w:ascii="標楷體" w:eastAsia="標楷體" w:hAnsi="標楷體" w:cs="新細明體" w:hint="eastAsia"/>
          <w:sz w:val="32"/>
          <w:szCs w:val="32"/>
        </w:rPr>
        <w:t>能</w:t>
      </w:r>
      <w:r w:rsidRPr="00C363F0">
        <w:rPr>
          <w:rFonts w:ascii="標楷體" w:eastAsia="標楷體" w:hAnsi="標楷體" w:cs="新細明體"/>
          <w:sz w:val="32"/>
          <w:szCs w:val="32"/>
        </w:rPr>
        <w:t>與其在監所</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技</w:t>
      </w:r>
      <w:r w:rsidRPr="00C363F0">
        <w:rPr>
          <w:rFonts w:ascii="標楷體" w:eastAsia="標楷體" w:hAnsi="標楷體" w:cs="新細明體" w:hint="eastAsia"/>
          <w:sz w:val="32"/>
          <w:szCs w:val="32"/>
        </w:rPr>
        <w:t>能</w:t>
      </w:r>
      <w:r w:rsidRPr="00C363F0">
        <w:rPr>
          <w:rFonts w:ascii="標楷體" w:eastAsia="標楷體" w:hAnsi="標楷體" w:cs="新細明體"/>
          <w:sz w:val="32"/>
          <w:szCs w:val="32"/>
        </w:rPr>
        <w:t>訓練相</w:t>
      </w:r>
      <w:r w:rsidRPr="00C363F0">
        <w:rPr>
          <w:rFonts w:ascii="標楷體" w:eastAsia="標楷體" w:hAnsi="標楷體" w:cs="新細明體" w:hint="eastAsia"/>
          <w:sz w:val="32"/>
          <w:szCs w:val="32"/>
        </w:rPr>
        <w:t>同</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無</w:t>
      </w:r>
      <w:r w:rsidRPr="00C363F0">
        <w:rPr>
          <w:rFonts w:ascii="標楷體" w:eastAsia="標楷體" w:hAnsi="標楷體" w:cs="新細明體"/>
          <w:sz w:val="32"/>
          <w:szCs w:val="32"/>
        </w:rPr>
        <w:t>論外役監或普通監，在實務上</w:t>
      </w:r>
      <w:r w:rsidRPr="00C363F0">
        <w:rPr>
          <w:rFonts w:ascii="標楷體" w:eastAsia="標楷體" w:hAnsi="標楷體" w:cs="新細明體" w:hint="eastAsia"/>
          <w:sz w:val="32"/>
          <w:szCs w:val="32"/>
        </w:rPr>
        <w:t>均</w:t>
      </w:r>
      <w:r w:rsidRPr="00C363F0">
        <w:rPr>
          <w:rFonts w:ascii="標楷體" w:eastAsia="標楷體" w:hAnsi="標楷體" w:cs="新細明體"/>
          <w:sz w:val="32"/>
          <w:szCs w:val="32"/>
        </w:rPr>
        <w:t>有其難度</w:t>
      </w:r>
      <w:r w:rsidRPr="00C363F0">
        <w:rPr>
          <w:rFonts w:ascii="標楷體" w:eastAsia="標楷體" w:hAnsi="標楷體" w:cs="新細明體" w:hint="eastAsia"/>
          <w:sz w:val="32"/>
          <w:szCs w:val="32"/>
        </w:rPr>
        <w:t>；但還</w:t>
      </w:r>
      <w:r w:rsidRPr="00C363F0">
        <w:rPr>
          <w:rFonts w:ascii="標楷體" w:eastAsia="標楷體" w:hAnsi="標楷體" w:cs="新細明體"/>
          <w:sz w:val="32"/>
          <w:szCs w:val="32"/>
        </w:rPr>
        <w:t>是會</w:t>
      </w:r>
      <w:r w:rsidRPr="00C363F0">
        <w:rPr>
          <w:rFonts w:ascii="標楷體" w:eastAsia="標楷體" w:hAnsi="標楷體" w:cs="新細明體" w:hint="eastAsia"/>
          <w:sz w:val="32"/>
          <w:szCs w:val="32"/>
        </w:rPr>
        <w:t>持</w:t>
      </w:r>
      <w:r w:rsidRPr="00C363F0">
        <w:rPr>
          <w:rFonts w:ascii="標楷體" w:eastAsia="標楷體" w:hAnsi="標楷體" w:cs="新細明體"/>
          <w:sz w:val="32"/>
          <w:szCs w:val="32"/>
        </w:rPr>
        <w:t>續</w:t>
      </w:r>
      <w:r w:rsidRPr="00C363F0">
        <w:rPr>
          <w:rFonts w:ascii="標楷體" w:eastAsia="標楷體" w:hAnsi="標楷體" w:cs="新細明體" w:hint="eastAsia"/>
          <w:sz w:val="32"/>
          <w:szCs w:val="32"/>
        </w:rPr>
        <w:t>研究儘</w:t>
      </w:r>
      <w:r w:rsidRPr="00C363F0">
        <w:rPr>
          <w:rFonts w:ascii="標楷體" w:eastAsia="標楷體" w:hAnsi="標楷體" w:cs="新細明體"/>
          <w:sz w:val="32"/>
          <w:szCs w:val="32"/>
        </w:rPr>
        <w:t>可能</w:t>
      </w:r>
      <w:r w:rsidRPr="00C363F0">
        <w:rPr>
          <w:rFonts w:ascii="標楷體" w:eastAsia="標楷體" w:hAnsi="標楷體" w:cs="新細明體" w:hint="eastAsia"/>
          <w:sz w:val="32"/>
          <w:szCs w:val="32"/>
        </w:rPr>
        <w:t>依</w:t>
      </w:r>
      <w:r w:rsidRPr="00C363F0">
        <w:rPr>
          <w:rFonts w:ascii="標楷體" w:eastAsia="標楷體" w:hAnsi="標楷體" w:cs="新細明體"/>
          <w:sz w:val="32"/>
          <w:szCs w:val="32"/>
        </w:rPr>
        <w:t>受</w:t>
      </w:r>
      <w:r w:rsidRPr="00C363F0">
        <w:rPr>
          <w:rFonts w:ascii="標楷體" w:eastAsia="標楷體" w:hAnsi="標楷體" w:cs="新細明體" w:hint="eastAsia"/>
          <w:sz w:val="32"/>
          <w:szCs w:val="32"/>
        </w:rPr>
        <w:t>刑</w:t>
      </w:r>
      <w:r w:rsidRPr="00C363F0">
        <w:rPr>
          <w:rFonts w:ascii="標楷體" w:eastAsia="標楷體" w:hAnsi="標楷體" w:cs="新細明體"/>
          <w:sz w:val="32"/>
          <w:szCs w:val="32"/>
        </w:rPr>
        <w:t>人的意</w:t>
      </w:r>
      <w:r w:rsidRPr="00C363F0">
        <w:rPr>
          <w:rFonts w:ascii="標楷體" w:eastAsia="標楷體" w:hAnsi="標楷體" w:cs="新細明體" w:hint="eastAsia"/>
          <w:sz w:val="32"/>
          <w:szCs w:val="32"/>
        </w:rPr>
        <w:t>願</w:t>
      </w:r>
      <w:r w:rsidRPr="00C363F0">
        <w:rPr>
          <w:rFonts w:ascii="標楷體" w:eastAsia="標楷體" w:hAnsi="標楷體" w:cs="新細明體"/>
          <w:sz w:val="32"/>
          <w:szCs w:val="32"/>
        </w:rPr>
        <w:t>，擴大技能訓練的人數及</w:t>
      </w:r>
      <w:r w:rsidRPr="00C363F0">
        <w:rPr>
          <w:rFonts w:ascii="標楷體" w:eastAsia="標楷體" w:hAnsi="標楷體" w:cs="新細明體" w:hint="eastAsia"/>
          <w:sz w:val="32"/>
          <w:szCs w:val="32"/>
        </w:rPr>
        <w:t>範</w:t>
      </w:r>
      <w:r w:rsidRPr="00C363F0">
        <w:rPr>
          <w:rFonts w:ascii="標楷體" w:eastAsia="標楷體" w:hAnsi="標楷體" w:cs="新細明體"/>
          <w:sz w:val="32"/>
          <w:szCs w:val="32"/>
        </w:rPr>
        <w:t>疇，</w:t>
      </w:r>
      <w:r w:rsidRPr="00C363F0">
        <w:rPr>
          <w:rFonts w:ascii="標楷體" w:eastAsia="標楷體" w:hAnsi="標楷體" w:cs="新細明體" w:hint="eastAsia"/>
          <w:sz w:val="32"/>
          <w:szCs w:val="32"/>
        </w:rPr>
        <w:t>盡</w:t>
      </w:r>
      <w:r w:rsidRPr="00C363F0">
        <w:rPr>
          <w:rFonts w:ascii="標楷體" w:eastAsia="標楷體" w:hAnsi="標楷體" w:cs="新細明體"/>
          <w:sz w:val="32"/>
          <w:szCs w:val="32"/>
        </w:rPr>
        <w:t>量</w:t>
      </w:r>
      <w:r w:rsidRPr="00C363F0">
        <w:rPr>
          <w:rFonts w:ascii="標楷體" w:eastAsia="標楷體" w:hAnsi="標楷體" w:cs="新細明體" w:hint="eastAsia"/>
          <w:sz w:val="32"/>
          <w:szCs w:val="32"/>
        </w:rPr>
        <w:t>讓受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出</w:t>
      </w:r>
      <w:r w:rsidRPr="00C363F0">
        <w:rPr>
          <w:rFonts w:ascii="標楷體" w:eastAsia="標楷體" w:hAnsi="標楷體" w:cs="新細明體" w:hint="eastAsia"/>
          <w:sz w:val="32"/>
          <w:szCs w:val="32"/>
        </w:rPr>
        <w:t>時</w:t>
      </w:r>
      <w:r w:rsidRPr="00C363F0">
        <w:rPr>
          <w:rFonts w:ascii="標楷體" w:eastAsia="標楷體" w:hAnsi="標楷體" w:cs="新細明體"/>
          <w:sz w:val="32"/>
          <w:szCs w:val="32"/>
        </w:rPr>
        <w:t>能就業</w:t>
      </w:r>
      <w:r w:rsidRPr="00C363F0">
        <w:rPr>
          <w:rFonts w:ascii="標楷體" w:eastAsia="標楷體" w:hAnsi="標楷體" w:cs="新細明體" w:hint="eastAsia"/>
          <w:sz w:val="32"/>
          <w:szCs w:val="32"/>
        </w:rPr>
        <w:t>順</w:t>
      </w:r>
      <w:r w:rsidRPr="00C363F0">
        <w:rPr>
          <w:rFonts w:ascii="標楷體" w:eastAsia="標楷體" w:hAnsi="標楷體" w:cs="新細明體"/>
          <w:sz w:val="32"/>
          <w:szCs w:val="32"/>
        </w:rPr>
        <w:t>利。</w:t>
      </w:r>
      <w:r w:rsidRPr="00C363F0">
        <w:rPr>
          <w:rFonts w:ascii="標楷體" w:eastAsia="標楷體" w:hAnsi="標楷體" w:cs="新細明體" w:hint="eastAsia"/>
          <w:sz w:val="32"/>
          <w:szCs w:val="32"/>
        </w:rPr>
        <w:t>目</w:t>
      </w:r>
      <w:r w:rsidRPr="00C363F0">
        <w:rPr>
          <w:rFonts w:ascii="標楷體" w:eastAsia="標楷體" w:hAnsi="標楷體" w:cs="新細明體"/>
          <w:sz w:val="32"/>
          <w:szCs w:val="32"/>
        </w:rPr>
        <w:t>前</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部及矯正署要求</w:t>
      </w:r>
      <w:r w:rsidRPr="00C363F0">
        <w:rPr>
          <w:rFonts w:ascii="標楷體" w:eastAsia="標楷體" w:hAnsi="標楷體" w:cs="新細明體" w:hint="eastAsia"/>
          <w:sz w:val="32"/>
          <w:szCs w:val="32"/>
        </w:rPr>
        <w:t>逐</w:t>
      </w:r>
      <w:r w:rsidRPr="00C363F0">
        <w:rPr>
          <w:rFonts w:ascii="標楷體" w:eastAsia="標楷體" w:hAnsi="標楷體" w:cs="新細明體"/>
          <w:sz w:val="32"/>
          <w:szCs w:val="32"/>
        </w:rPr>
        <w:t>步加強</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監前的轉</w:t>
      </w:r>
      <w:r w:rsidRPr="00C363F0">
        <w:rPr>
          <w:rFonts w:ascii="標楷體" w:eastAsia="標楷體" w:hAnsi="標楷體" w:cs="新細明體" w:hint="eastAsia"/>
          <w:sz w:val="32"/>
          <w:szCs w:val="32"/>
        </w:rPr>
        <w:t>銜</w:t>
      </w:r>
      <w:r w:rsidRPr="00C363F0">
        <w:rPr>
          <w:rFonts w:ascii="標楷體" w:eastAsia="標楷體" w:hAnsi="標楷體" w:cs="新細明體"/>
          <w:sz w:val="32"/>
          <w:szCs w:val="32"/>
        </w:rPr>
        <w:t>作業，</w:t>
      </w:r>
      <w:r w:rsidRPr="00C363F0">
        <w:rPr>
          <w:rFonts w:ascii="標楷體" w:eastAsia="標楷體" w:hAnsi="標楷體" w:cs="新細明體" w:hint="eastAsia"/>
          <w:sz w:val="32"/>
          <w:szCs w:val="32"/>
        </w:rPr>
        <w:t>結</w:t>
      </w:r>
      <w:r w:rsidRPr="00C363F0">
        <w:rPr>
          <w:rFonts w:ascii="標楷體" w:eastAsia="標楷體" w:hAnsi="標楷體" w:cs="新細明體"/>
          <w:sz w:val="32"/>
          <w:szCs w:val="32"/>
        </w:rPr>
        <w:t>合勞政、社</w:t>
      </w:r>
      <w:r w:rsidRPr="00C363F0">
        <w:rPr>
          <w:rFonts w:ascii="標楷體" w:eastAsia="標楷體" w:hAnsi="標楷體" w:cs="新細明體" w:hint="eastAsia"/>
          <w:sz w:val="32"/>
          <w:szCs w:val="32"/>
        </w:rPr>
        <w:t>政</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警</w:t>
      </w:r>
      <w:r w:rsidRPr="00C363F0">
        <w:rPr>
          <w:rFonts w:ascii="標楷體" w:eastAsia="標楷體" w:hAnsi="標楷體" w:cs="新細明體"/>
          <w:sz w:val="32"/>
          <w:szCs w:val="32"/>
        </w:rPr>
        <w:t>政、</w:t>
      </w:r>
      <w:r w:rsidRPr="00C363F0">
        <w:rPr>
          <w:rFonts w:ascii="標楷體" w:eastAsia="標楷體" w:hAnsi="標楷體" w:cs="新細明體" w:hint="eastAsia"/>
          <w:sz w:val="32"/>
          <w:szCs w:val="32"/>
        </w:rPr>
        <w:t>衛</w:t>
      </w:r>
      <w:r w:rsidRPr="00C363F0">
        <w:rPr>
          <w:rFonts w:ascii="標楷體" w:eastAsia="標楷體" w:hAnsi="標楷體" w:cs="新細明體"/>
          <w:sz w:val="32"/>
          <w:szCs w:val="32"/>
        </w:rPr>
        <w:t>政</w:t>
      </w:r>
      <w:r w:rsidRPr="00C363F0">
        <w:rPr>
          <w:rFonts w:ascii="標楷體" w:eastAsia="標楷體" w:hAnsi="標楷體" w:cs="新細明體" w:hint="eastAsia"/>
          <w:sz w:val="32"/>
          <w:szCs w:val="32"/>
        </w:rPr>
        <w:t>資源</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協</w:t>
      </w:r>
      <w:r w:rsidRPr="00C363F0">
        <w:rPr>
          <w:rFonts w:ascii="標楷體" w:eastAsia="標楷體" w:hAnsi="標楷體" w:cs="新細明體"/>
          <w:sz w:val="32"/>
          <w:szCs w:val="32"/>
        </w:rPr>
        <w:t>助受刑人復歸社會。</w:t>
      </w:r>
    </w:p>
    <w:p w14:paraId="0FBEE1FE"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矯正署杜科長讚勳：</w:t>
      </w:r>
    </w:p>
    <w:p w14:paraId="28F08F5D" w14:textId="77777777" w:rsidR="00421BB5" w:rsidRPr="00C363F0" w:rsidRDefault="00421BB5" w:rsidP="00421BB5">
      <w:pPr>
        <w:topLinePunct/>
        <w:spacing w:line="520" w:lineRule="exact"/>
        <w:ind w:left="720" w:firstLineChars="200" w:firstLine="640"/>
        <w:jc w:val="both"/>
        <w:rPr>
          <w:rFonts w:ascii="標楷體" w:eastAsia="標楷體" w:hAnsi="標楷體" w:cs="新細明體"/>
          <w:sz w:val="32"/>
          <w:szCs w:val="32"/>
        </w:rPr>
      </w:pPr>
      <w:r w:rsidRPr="00C363F0">
        <w:rPr>
          <w:rFonts w:ascii="標楷體" w:eastAsia="標楷體" w:hAnsi="標楷體" w:cs="新細明體" w:hint="eastAsia"/>
          <w:sz w:val="32"/>
          <w:szCs w:val="32"/>
        </w:rPr>
        <w:t>參照司法院釋字第785號解釋維護健康權之旨意及公務人員保障法等規定，</w:t>
      </w:r>
      <w:r w:rsidRPr="00C363F0">
        <w:rPr>
          <w:rFonts w:ascii="標楷體" w:eastAsia="標楷體" w:hAnsi="標楷體" w:cs="新細明體"/>
          <w:sz w:val="32"/>
          <w:szCs w:val="32"/>
        </w:rPr>
        <w:t>《法務部矯正署及所屬矯正機關人員勤務管理要點》草案</w:t>
      </w:r>
      <w:r w:rsidRPr="00C363F0">
        <w:rPr>
          <w:rFonts w:ascii="標楷體" w:eastAsia="標楷體" w:hAnsi="標楷體" w:cs="新細明體" w:hint="eastAsia"/>
          <w:sz w:val="32"/>
          <w:szCs w:val="32"/>
        </w:rPr>
        <w:t>（下稱草案）設計，機關得依本身特性，選擇合適之勤務制度，例如隔日制、二班制或三班制；惟不論採取何種制度，每次上班之辦公時數連同休息時數，原則均不得逾24小時。機關如採行隔日制（24小時制），日間上班時段之8小時中，至少安排連續1小時休息，而夜間除深夜時段保障之連續4小時休息外，將另安排3小時休息，爰除特別緊急情況外，隔日制每次上班至多工作16小時。</w:t>
      </w:r>
    </w:p>
    <w:p w14:paraId="2FB89E34" w14:textId="77777777" w:rsidR="00421BB5" w:rsidRPr="00C363F0" w:rsidRDefault="00421BB5" w:rsidP="00421BB5">
      <w:pPr>
        <w:topLinePunct/>
        <w:spacing w:line="520" w:lineRule="exact"/>
        <w:ind w:left="720" w:firstLineChars="200" w:firstLine="640"/>
        <w:jc w:val="both"/>
        <w:rPr>
          <w:rFonts w:ascii="標楷體" w:eastAsia="標楷體" w:hAnsi="標楷體" w:cs="新細明體"/>
          <w:sz w:val="32"/>
          <w:szCs w:val="32"/>
        </w:rPr>
      </w:pPr>
      <w:r w:rsidRPr="00C363F0">
        <w:rPr>
          <w:rFonts w:ascii="標楷體" w:eastAsia="標楷體" w:hAnsi="標楷體" w:cs="新細明體" w:hint="eastAsia"/>
          <w:sz w:val="32"/>
          <w:szCs w:val="32"/>
        </w:rPr>
        <w:t>本署已於111年9月8日將草案通函各矯正機關，後續已於10月中旬召集各矯正機關首長、戒護業務主管及基層代表，就草案內容交流意見，並於10月底前函頒勤務編排指引，11月中旬前將請各矯正機關陳報勤務及休假編排方式。</w:t>
      </w:r>
    </w:p>
    <w:p w14:paraId="589A0C4D" w14:textId="77777777" w:rsidR="00421BB5" w:rsidRPr="00C363F0" w:rsidRDefault="00421BB5" w:rsidP="00421BB5">
      <w:pPr>
        <w:topLinePunct/>
        <w:spacing w:line="520" w:lineRule="exact"/>
        <w:ind w:left="720" w:firstLineChars="200" w:firstLine="640"/>
        <w:jc w:val="both"/>
        <w:rPr>
          <w:rFonts w:ascii="標楷體" w:eastAsia="標楷體" w:hAnsi="標楷體"/>
          <w:b/>
          <w:sz w:val="32"/>
          <w:szCs w:val="32"/>
        </w:rPr>
      </w:pPr>
      <w:r w:rsidRPr="00C363F0">
        <w:rPr>
          <w:rFonts w:ascii="標楷體" w:eastAsia="標楷體" w:hAnsi="標楷體" w:cs="新細明體" w:hint="eastAsia"/>
          <w:sz w:val="32"/>
          <w:szCs w:val="32"/>
        </w:rPr>
        <w:t>加班費支給部分，於草案第7點第1款及第2款研</w:t>
      </w:r>
      <w:r w:rsidRPr="00C363F0">
        <w:rPr>
          <w:rFonts w:ascii="標楷體" w:eastAsia="標楷體" w:hAnsi="標楷體" w:cs="新細明體" w:hint="eastAsia"/>
          <w:sz w:val="32"/>
          <w:szCs w:val="32"/>
        </w:rPr>
        <w:lastRenderedPageBreak/>
        <w:t>提「於值勤時間如有執行法定勤務情形，覈實給予加班費或補休假。」、「戒護人員及督勤人員，其待命時數之加班補償，覈實給予加班費或補休假。」加班均以1：1，本俸加上專業加給補償。</w:t>
      </w:r>
    </w:p>
    <w:p w14:paraId="28D6D6E4" w14:textId="77777777" w:rsidR="00421BB5" w:rsidRPr="00C363F0" w:rsidRDefault="00421BB5" w:rsidP="00421BB5">
      <w:pPr>
        <w:topLinePunct/>
        <w:spacing w:line="520" w:lineRule="exact"/>
        <w:ind w:left="720"/>
        <w:jc w:val="both"/>
        <w:rPr>
          <w:rFonts w:ascii="標楷體" w:eastAsia="標楷體" w:hAnsi="標楷體" w:cs="新細明體"/>
          <w:sz w:val="32"/>
          <w:szCs w:val="32"/>
        </w:rPr>
      </w:pPr>
      <w:r w:rsidRPr="00C363F0">
        <w:rPr>
          <w:rFonts w:ascii="標楷體" w:eastAsia="標楷體" w:hAnsi="標楷體" w:hint="eastAsia"/>
          <w:b/>
          <w:sz w:val="32"/>
          <w:szCs w:val="32"/>
        </w:rPr>
        <w:t>臺北監獄吳典獄長澤生：</w:t>
      </w:r>
      <w:r w:rsidRPr="00C363F0">
        <w:rPr>
          <w:rFonts w:ascii="標楷體" w:eastAsia="標楷體" w:hAnsi="標楷體" w:cs="新細明體"/>
          <w:sz w:val="32"/>
          <w:szCs w:val="32"/>
        </w:rPr>
        <w:t xml:space="preserve"> </w:t>
      </w:r>
    </w:p>
    <w:p w14:paraId="54FEB867" w14:textId="77777777" w:rsidR="00421BB5" w:rsidRPr="00C363F0" w:rsidRDefault="00421BB5" w:rsidP="00421BB5">
      <w:pPr>
        <w:topLinePunct/>
        <w:spacing w:line="520" w:lineRule="exact"/>
        <w:ind w:left="720" w:firstLineChars="200" w:firstLine="640"/>
        <w:jc w:val="both"/>
        <w:rPr>
          <w:rFonts w:ascii="標楷體" w:eastAsia="標楷體" w:hAnsi="標楷體" w:cs="新細明體"/>
          <w:sz w:val="32"/>
          <w:szCs w:val="32"/>
        </w:rPr>
      </w:pPr>
      <w:r w:rsidRPr="00C363F0">
        <w:rPr>
          <w:rFonts w:ascii="標楷體" w:eastAsia="標楷體" w:hAnsi="標楷體" w:cs="新細明體" w:hint="eastAsia"/>
          <w:sz w:val="32"/>
          <w:szCs w:val="32"/>
        </w:rPr>
        <w:t>自</w:t>
      </w:r>
      <w:r w:rsidRPr="00C363F0">
        <w:rPr>
          <w:rFonts w:ascii="標楷體" w:eastAsia="標楷體" w:hAnsi="標楷體" w:cs="新細明體"/>
          <w:sz w:val="32"/>
          <w:szCs w:val="32"/>
        </w:rPr>
        <w:t>主</w:t>
      </w:r>
      <w:r w:rsidRPr="00C363F0">
        <w:rPr>
          <w:rFonts w:ascii="標楷體" w:eastAsia="標楷體" w:hAnsi="標楷體" w:cs="新細明體" w:hint="eastAsia"/>
          <w:sz w:val="32"/>
          <w:szCs w:val="32"/>
        </w:rPr>
        <w:t>健</w:t>
      </w:r>
      <w:r w:rsidRPr="00C363F0">
        <w:rPr>
          <w:rFonts w:ascii="標楷體" w:eastAsia="標楷體" w:hAnsi="標楷體" w:cs="新細明體"/>
          <w:sz w:val="32"/>
          <w:szCs w:val="32"/>
        </w:rPr>
        <w:t>康管理</w:t>
      </w:r>
      <w:r w:rsidRPr="00C363F0">
        <w:rPr>
          <w:rFonts w:ascii="標楷體" w:eastAsia="標楷體" w:hAnsi="標楷體" w:cs="新細明體" w:hint="eastAsia"/>
          <w:sz w:val="32"/>
          <w:szCs w:val="32"/>
        </w:rPr>
        <w:t>部分，承</w:t>
      </w:r>
      <w:r w:rsidRPr="00C363F0">
        <w:rPr>
          <w:rFonts w:ascii="標楷體" w:eastAsia="標楷體" w:hAnsi="標楷體" w:cs="新細明體"/>
          <w:sz w:val="32"/>
          <w:szCs w:val="32"/>
        </w:rPr>
        <w:t>如</w:t>
      </w:r>
      <w:r w:rsidRPr="00C363F0">
        <w:rPr>
          <w:rFonts w:ascii="標楷體" w:eastAsia="標楷體" w:hAnsi="標楷體" w:cs="新細明體" w:hint="eastAsia"/>
          <w:sz w:val="32"/>
          <w:szCs w:val="32"/>
        </w:rPr>
        <w:t>八</w:t>
      </w:r>
      <w:r w:rsidRPr="00C363F0">
        <w:rPr>
          <w:rFonts w:ascii="標楷體" w:eastAsia="標楷體" w:hAnsi="標楷體" w:cs="新細明體"/>
          <w:sz w:val="32"/>
          <w:szCs w:val="32"/>
        </w:rPr>
        <w:t>德外役監</w:t>
      </w:r>
      <w:r w:rsidRPr="00C363F0">
        <w:rPr>
          <w:rFonts w:ascii="標楷體" w:eastAsia="標楷體" w:hAnsi="標楷體" w:cs="新細明體" w:hint="eastAsia"/>
          <w:sz w:val="32"/>
          <w:szCs w:val="32"/>
        </w:rPr>
        <w:t>報</w:t>
      </w:r>
      <w:r w:rsidRPr="00C363F0">
        <w:rPr>
          <w:rFonts w:ascii="標楷體" w:eastAsia="標楷體" w:hAnsi="標楷體" w:cs="新細明體"/>
          <w:sz w:val="32"/>
          <w:szCs w:val="32"/>
        </w:rPr>
        <w:t>告情形，</w:t>
      </w:r>
      <w:r w:rsidRPr="00C363F0">
        <w:rPr>
          <w:rFonts w:ascii="標楷體" w:eastAsia="標楷體" w:hAnsi="標楷體" w:cs="新細明體" w:hint="eastAsia"/>
          <w:sz w:val="32"/>
          <w:szCs w:val="32"/>
        </w:rPr>
        <w:t>該</w:t>
      </w:r>
      <w:r w:rsidRPr="00C363F0">
        <w:rPr>
          <w:rFonts w:ascii="標楷體" w:eastAsia="標楷體" w:hAnsi="標楷體" w:cs="新細明體"/>
          <w:sz w:val="32"/>
          <w:szCs w:val="32"/>
        </w:rPr>
        <w:t>監已實施</w:t>
      </w:r>
      <w:r w:rsidRPr="00C363F0">
        <w:rPr>
          <w:rFonts w:ascii="標楷體" w:eastAsia="標楷體" w:hAnsi="標楷體" w:cs="新細明體" w:hint="eastAsia"/>
          <w:sz w:val="32"/>
          <w:szCs w:val="32"/>
        </w:rPr>
        <w:t>收</w:t>
      </w:r>
      <w:r w:rsidRPr="00C363F0">
        <w:rPr>
          <w:rFonts w:ascii="標楷體" w:eastAsia="標楷體" w:hAnsi="標楷體" w:cs="新細明體"/>
          <w:sz w:val="32"/>
          <w:szCs w:val="32"/>
        </w:rPr>
        <w:t>容人</w:t>
      </w:r>
      <w:r w:rsidRPr="00C363F0">
        <w:rPr>
          <w:rFonts w:ascii="標楷體" w:eastAsia="標楷體" w:hAnsi="標楷體" w:cs="新細明體" w:hint="eastAsia"/>
          <w:sz w:val="32"/>
          <w:szCs w:val="32"/>
        </w:rPr>
        <w:t>藥</w:t>
      </w:r>
      <w:r w:rsidRPr="00C363F0">
        <w:rPr>
          <w:rFonts w:ascii="標楷體" w:eastAsia="標楷體" w:hAnsi="標楷體" w:cs="新細明體"/>
          <w:sz w:val="32"/>
          <w:szCs w:val="32"/>
        </w:rPr>
        <w:t>品自主管理</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而</w:t>
      </w:r>
      <w:r w:rsidRPr="00C363F0">
        <w:rPr>
          <w:rFonts w:ascii="標楷體" w:eastAsia="標楷體" w:hAnsi="標楷體" w:cs="新細明體" w:hint="eastAsia"/>
          <w:sz w:val="32"/>
          <w:szCs w:val="32"/>
        </w:rPr>
        <w:t>本監</w:t>
      </w:r>
      <w:r w:rsidRPr="00C363F0">
        <w:rPr>
          <w:rFonts w:ascii="標楷體" w:eastAsia="標楷體" w:hAnsi="標楷體" w:cs="新細明體"/>
          <w:sz w:val="32"/>
          <w:szCs w:val="32"/>
        </w:rPr>
        <w:t>目前蒐集到基</w:t>
      </w:r>
      <w:r w:rsidRPr="00C363F0">
        <w:rPr>
          <w:rFonts w:ascii="標楷體" w:eastAsia="標楷體" w:hAnsi="標楷體" w:cs="新細明體" w:hint="eastAsia"/>
          <w:sz w:val="32"/>
          <w:szCs w:val="32"/>
        </w:rPr>
        <w:t>層</w:t>
      </w:r>
      <w:r w:rsidRPr="00C363F0">
        <w:rPr>
          <w:rFonts w:ascii="標楷體" w:eastAsia="標楷體" w:hAnsi="標楷體" w:cs="新細明體"/>
          <w:sz w:val="32"/>
          <w:szCs w:val="32"/>
        </w:rPr>
        <w:t>同仁意見不一，</w:t>
      </w:r>
      <w:r w:rsidRPr="00C363F0">
        <w:rPr>
          <w:rFonts w:ascii="標楷體" w:eastAsia="標楷體" w:hAnsi="標楷體" w:cs="新細明體" w:hint="eastAsia"/>
          <w:sz w:val="32"/>
          <w:szCs w:val="32"/>
        </w:rPr>
        <w:t>部</w:t>
      </w:r>
      <w:r w:rsidRPr="00C363F0">
        <w:rPr>
          <w:rFonts w:ascii="標楷體" w:eastAsia="標楷體" w:hAnsi="標楷體" w:cs="新細明體"/>
          <w:sz w:val="32"/>
          <w:szCs w:val="32"/>
        </w:rPr>
        <w:t>分</w:t>
      </w:r>
      <w:r w:rsidRPr="00C363F0">
        <w:rPr>
          <w:rFonts w:ascii="標楷體" w:eastAsia="標楷體" w:hAnsi="標楷體" w:cs="新細明體" w:hint="eastAsia"/>
          <w:sz w:val="32"/>
          <w:szCs w:val="32"/>
        </w:rPr>
        <w:t>同</w:t>
      </w:r>
      <w:r w:rsidRPr="00C363F0">
        <w:rPr>
          <w:rFonts w:ascii="標楷體" w:eastAsia="標楷體" w:hAnsi="標楷體" w:cs="新細明體"/>
          <w:sz w:val="32"/>
          <w:szCs w:val="32"/>
        </w:rPr>
        <w:t>仁認為，藥品雖可救命、但若過量亦可能致命，</w:t>
      </w:r>
      <w:r w:rsidRPr="00C363F0">
        <w:rPr>
          <w:rFonts w:ascii="標楷體" w:eastAsia="標楷體" w:hAnsi="標楷體" w:cs="新細明體" w:hint="eastAsia"/>
          <w:sz w:val="32"/>
          <w:szCs w:val="32"/>
        </w:rPr>
        <w:t>目前評估低</w:t>
      </w:r>
      <w:r w:rsidRPr="00C363F0">
        <w:rPr>
          <w:rFonts w:ascii="標楷體" w:eastAsia="標楷體" w:hAnsi="標楷體" w:cs="新細明體"/>
          <w:sz w:val="32"/>
          <w:szCs w:val="32"/>
        </w:rPr>
        <w:t>度管理的收容人優先試辦</w:t>
      </w:r>
      <w:r w:rsidRPr="00C363F0">
        <w:rPr>
          <w:rFonts w:ascii="標楷體" w:eastAsia="標楷體" w:hAnsi="標楷體" w:cs="新細明體" w:hint="eastAsia"/>
          <w:sz w:val="32"/>
          <w:szCs w:val="32"/>
        </w:rPr>
        <w:t>具</w:t>
      </w:r>
      <w:r w:rsidRPr="00C363F0">
        <w:rPr>
          <w:rFonts w:ascii="標楷體" w:eastAsia="標楷體" w:hAnsi="標楷體" w:cs="新細明體"/>
          <w:sz w:val="32"/>
          <w:szCs w:val="32"/>
        </w:rPr>
        <w:t>有高度可行</w:t>
      </w:r>
      <w:r w:rsidRPr="00C363F0">
        <w:rPr>
          <w:rFonts w:ascii="標楷體" w:eastAsia="標楷體" w:hAnsi="標楷體" w:cs="新細明體" w:hint="eastAsia"/>
          <w:sz w:val="32"/>
          <w:szCs w:val="32"/>
        </w:rPr>
        <w:t>性</w:t>
      </w:r>
      <w:r w:rsidRPr="00C363F0">
        <w:rPr>
          <w:rFonts w:ascii="標楷體" w:eastAsia="標楷體" w:hAnsi="標楷體" w:cs="新細明體"/>
          <w:sz w:val="32"/>
          <w:szCs w:val="32"/>
        </w:rPr>
        <w:t>；然而</w:t>
      </w:r>
      <w:r w:rsidRPr="00C363F0">
        <w:rPr>
          <w:rFonts w:ascii="標楷體" w:eastAsia="標楷體" w:hAnsi="標楷體" w:cs="新細明體" w:hint="eastAsia"/>
          <w:sz w:val="32"/>
          <w:szCs w:val="32"/>
        </w:rPr>
        <w:t>需較</w:t>
      </w:r>
      <w:r w:rsidRPr="00C363F0">
        <w:rPr>
          <w:rFonts w:ascii="標楷體" w:eastAsia="標楷體" w:hAnsi="標楷體" w:cs="新細明體"/>
          <w:sz w:val="32"/>
          <w:szCs w:val="32"/>
        </w:rPr>
        <w:t>高強度管</w:t>
      </w:r>
      <w:r w:rsidRPr="00C363F0">
        <w:rPr>
          <w:rFonts w:ascii="標楷體" w:eastAsia="標楷體" w:hAnsi="標楷體" w:cs="新細明體" w:hint="eastAsia"/>
          <w:sz w:val="32"/>
          <w:szCs w:val="32"/>
        </w:rPr>
        <w:t>理或</w:t>
      </w:r>
      <w:r w:rsidRPr="00C363F0">
        <w:rPr>
          <w:rFonts w:ascii="標楷體" w:eastAsia="標楷體" w:hAnsi="標楷體" w:cs="新細明體"/>
          <w:sz w:val="32"/>
          <w:szCs w:val="32"/>
        </w:rPr>
        <w:t>重刑的收容人</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若其自</w:t>
      </w:r>
      <w:r w:rsidRPr="00C363F0">
        <w:rPr>
          <w:rFonts w:ascii="標楷體" w:eastAsia="標楷體" w:hAnsi="標楷體" w:cs="新細明體" w:hint="eastAsia"/>
          <w:sz w:val="32"/>
          <w:szCs w:val="32"/>
        </w:rPr>
        <w:t>制</w:t>
      </w:r>
      <w:r w:rsidRPr="00C363F0">
        <w:rPr>
          <w:rFonts w:ascii="標楷體" w:eastAsia="標楷體" w:hAnsi="標楷體" w:cs="新細明體"/>
          <w:sz w:val="32"/>
          <w:szCs w:val="32"/>
        </w:rPr>
        <w:t>力低落</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或</w:t>
      </w:r>
      <w:r w:rsidRPr="00C363F0">
        <w:rPr>
          <w:rFonts w:ascii="標楷體" w:eastAsia="標楷體" w:hAnsi="標楷體" w:cs="新細明體" w:hint="eastAsia"/>
          <w:sz w:val="32"/>
          <w:szCs w:val="32"/>
        </w:rPr>
        <w:t>具</w:t>
      </w:r>
      <w:r w:rsidRPr="00C363F0">
        <w:rPr>
          <w:rFonts w:ascii="標楷體" w:eastAsia="標楷體" w:hAnsi="標楷體" w:cs="新細明體"/>
          <w:sz w:val="32"/>
          <w:szCs w:val="32"/>
        </w:rPr>
        <w:t>其他事由</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導致用</w:t>
      </w:r>
      <w:r w:rsidRPr="00C363F0">
        <w:rPr>
          <w:rFonts w:ascii="標楷體" w:eastAsia="標楷體" w:hAnsi="標楷體" w:cs="新細明體" w:hint="eastAsia"/>
          <w:sz w:val="32"/>
          <w:szCs w:val="32"/>
        </w:rPr>
        <w:t>藥過</w:t>
      </w:r>
      <w:r w:rsidRPr="00C363F0">
        <w:rPr>
          <w:rFonts w:ascii="標楷體" w:eastAsia="標楷體" w:hAnsi="標楷體" w:cs="新細明體"/>
          <w:sz w:val="32"/>
          <w:szCs w:val="32"/>
        </w:rPr>
        <w:t>量</w:t>
      </w:r>
      <w:r w:rsidRPr="00C363F0">
        <w:rPr>
          <w:rFonts w:ascii="標楷體" w:eastAsia="標楷體" w:hAnsi="標楷體" w:cs="新細明體" w:hint="eastAsia"/>
          <w:sz w:val="32"/>
          <w:szCs w:val="32"/>
        </w:rPr>
        <w:t>而發生</w:t>
      </w:r>
      <w:r w:rsidRPr="00C363F0">
        <w:rPr>
          <w:rFonts w:ascii="標楷體" w:eastAsia="標楷體" w:hAnsi="標楷體" w:cs="新細明體"/>
          <w:sz w:val="32"/>
          <w:szCs w:val="32"/>
        </w:rPr>
        <w:t>事故</w:t>
      </w:r>
      <w:r w:rsidRPr="00C363F0">
        <w:rPr>
          <w:rFonts w:ascii="標楷體" w:eastAsia="標楷體" w:hAnsi="標楷體" w:cs="新細明體" w:hint="eastAsia"/>
          <w:sz w:val="32"/>
          <w:szCs w:val="32"/>
        </w:rPr>
        <w:t>或</w:t>
      </w:r>
      <w:r w:rsidRPr="00C363F0">
        <w:rPr>
          <w:rFonts w:ascii="標楷體" w:eastAsia="標楷體" w:hAnsi="標楷體" w:cs="新細明體"/>
          <w:sz w:val="32"/>
          <w:szCs w:val="32"/>
        </w:rPr>
        <w:t>需</w:t>
      </w:r>
      <w:r w:rsidRPr="00C363F0">
        <w:rPr>
          <w:rFonts w:ascii="標楷體" w:eastAsia="標楷體" w:hAnsi="標楷體" w:cs="新細明體" w:hint="eastAsia"/>
          <w:sz w:val="32"/>
          <w:szCs w:val="32"/>
        </w:rPr>
        <w:t>戒</w:t>
      </w:r>
      <w:r w:rsidRPr="00C363F0">
        <w:rPr>
          <w:rFonts w:ascii="標楷體" w:eastAsia="標楷體" w:hAnsi="標楷體" w:cs="新細明體"/>
          <w:sz w:val="32"/>
          <w:szCs w:val="32"/>
        </w:rPr>
        <w:t>護外醫，</w:t>
      </w:r>
      <w:r w:rsidRPr="00C363F0">
        <w:rPr>
          <w:rFonts w:ascii="標楷體" w:eastAsia="標楷體" w:hAnsi="標楷體" w:cs="新細明體" w:hint="eastAsia"/>
          <w:sz w:val="32"/>
          <w:szCs w:val="32"/>
        </w:rPr>
        <w:t>反</w:t>
      </w:r>
      <w:r w:rsidRPr="00C363F0">
        <w:rPr>
          <w:rFonts w:ascii="標楷體" w:eastAsia="標楷體" w:hAnsi="標楷體" w:cs="新細明體"/>
          <w:sz w:val="32"/>
          <w:szCs w:val="32"/>
        </w:rPr>
        <w:t>而間接加</w:t>
      </w:r>
      <w:r w:rsidRPr="00C363F0">
        <w:rPr>
          <w:rFonts w:ascii="標楷體" w:eastAsia="標楷體" w:hAnsi="標楷體" w:cs="新細明體" w:hint="eastAsia"/>
          <w:sz w:val="32"/>
          <w:szCs w:val="32"/>
        </w:rPr>
        <w:t>重戒</w:t>
      </w:r>
      <w:r w:rsidRPr="00C363F0">
        <w:rPr>
          <w:rFonts w:ascii="標楷體" w:eastAsia="標楷體" w:hAnsi="標楷體" w:cs="新細明體"/>
          <w:sz w:val="32"/>
          <w:szCs w:val="32"/>
        </w:rPr>
        <w:t>護人員負擔</w:t>
      </w:r>
      <w:r w:rsidRPr="00C363F0">
        <w:rPr>
          <w:rFonts w:ascii="標楷體" w:eastAsia="標楷體" w:hAnsi="標楷體" w:cs="新細明體" w:hint="eastAsia"/>
          <w:sz w:val="32"/>
          <w:szCs w:val="32"/>
        </w:rPr>
        <w:t>。綜</w:t>
      </w:r>
      <w:r w:rsidRPr="00C363F0">
        <w:rPr>
          <w:rFonts w:ascii="標楷體" w:eastAsia="標楷體" w:hAnsi="標楷體" w:cs="新細明體"/>
          <w:sz w:val="32"/>
          <w:szCs w:val="32"/>
        </w:rPr>
        <w:t>上，本監目前</w:t>
      </w:r>
      <w:r w:rsidRPr="00C363F0">
        <w:rPr>
          <w:rFonts w:ascii="標楷體" w:eastAsia="標楷體" w:hAnsi="標楷體" w:cs="新細明體" w:hint="eastAsia"/>
          <w:sz w:val="32"/>
          <w:szCs w:val="32"/>
        </w:rPr>
        <w:t>辦</w:t>
      </w:r>
      <w:r w:rsidRPr="00C363F0">
        <w:rPr>
          <w:rFonts w:ascii="標楷體" w:eastAsia="標楷體" w:hAnsi="標楷體" w:cs="新細明體"/>
          <w:sz w:val="32"/>
          <w:szCs w:val="32"/>
        </w:rPr>
        <w:t>理進度，已初步訂定</w:t>
      </w:r>
      <w:r w:rsidRPr="00C363F0">
        <w:rPr>
          <w:rFonts w:ascii="標楷體" w:eastAsia="標楷體" w:hAnsi="標楷體" w:cs="新細明體" w:hint="eastAsia"/>
          <w:sz w:val="32"/>
          <w:szCs w:val="32"/>
        </w:rPr>
        <w:t>收</w:t>
      </w:r>
      <w:r w:rsidRPr="00C363F0">
        <w:rPr>
          <w:rFonts w:ascii="標楷體" w:eastAsia="標楷體" w:hAnsi="標楷體" w:cs="新細明體"/>
          <w:sz w:val="32"/>
          <w:szCs w:val="32"/>
        </w:rPr>
        <w:t>容人</w:t>
      </w:r>
      <w:r w:rsidRPr="00C363F0">
        <w:rPr>
          <w:rFonts w:ascii="標楷體" w:eastAsia="標楷體" w:hAnsi="標楷體" w:cs="新細明體" w:hint="eastAsia"/>
          <w:sz w:val="32"/>
          <w:szCs w:val="32"/>
        </w:rPr>
        <w:t>藥</w:t>
      </w:r>
      <w:r w:rsidRPr="00C363F0">
        <w:rPr>
          <w:rFonts w:ascii="標楷體" w:eastAsia="標楷體" w:hAnsi="標楷體" w:cs="新細明體"/>
          <w:sz w:val="32"/>
          <w:szCs w:val="32"/>
        </w:rPr>
        <w:t>品自主管理要點，</w:t>
      </w:r>
      <w:r w:rsidRPr="00C363F0">
        <w:rPr>
          <w:rFonts w:ascii="標楷體" w:eastAsia="標楷體" w:hAnsi="標楷體" w:cs="新細明體" w:hint="eastAsia"/>
          <w:sz w:val="32"/>
          <w:szCs w:val="32"/>
        </w:rPr>
        <w:t>於112年先從</w:t>
      </w:r>
      <w:r w:rsidRPr="00C363F0">
        <w:rPr>
          <w:rFonts w:ascii="標楷體" w:eastAsia="標楷體" w:hAnsi="標楷體" w:cs="新細明體"/>
          <w:sz w:val="32"/>
          <w:szCs w:val="32"/>
        </w:rPr>
        <w:t>低度管理之外役隊開始試辦</w:t>
      </w:r>
      <w:r w:rsidRPr="00C363F0">
        <w:rPr>
          <w:rFonts w:ascii="標楷體" w:eastAsia="標楷體" w:hAnsi="標楷體" w:cs="新細明體" w:hint="eastAsia"/>
          <w:sz w:val="32"/>
          <w:szCs w:val="32"/>
        </w:rPr>
        <w:t>，並</w:t>
      </w:r>
      <w:r w:rsidRPr="00C363F0">
        <w:rPr>
          <w:rFonts w:ascii="標楷體" w:eastAsia="標楷體" w:hAnsi="標楷體" w:cs="新細明體"/>
          <w:sz w:val="32"/>
          <w:szCs w:val="32"/>
        </w:rPr>
        <w:t>依試辦結果再逐步</w:t>
      </w:r>
      <w:r w:rsidRPr="00C363F0">
        <w:rPr>
          <w:rFonts w:ascii="標楷體" w:eastAsia="標楷體" w:hAnsi="標楷體" w:cs="新細明體" w:hint="eastAsia"/>
          <w:sz w:val="32"/>
          <w:szCs w:val="32"/>
        </w:rPr>
        <w:t>推廣</w:t>
      </w:r>
      <w:r w:rsidRPr="00C363F0">
        <w:rPr>
          <w:rFonts w:ascii="標楷體" w:eastAsia="標楷體" w:hAnsi="標楷體" w:cs="新細明體"/>
          <w:sz w:val="32"/>
          <w:szCs w:val="32"/>
        </w:rPr>
        <w:t>至一般</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w:t>
      </w:r>
      <w:r w:rsidRPr="00C363F0">
        <w:rPr>
          <w:rFonts w:ascii="標楷體" w:eastAsia="標楷體" w:hAnsi="標楷體" w:cs="新細明體" w:hint="eastAsia"/>
          <w:sz w:val="32"/>
          <w:szCs w:val="32"/>
        </w:rPr>
        <w:t>人及</w:t>
      </w:r>
      <w:r w:rsidRPr="00C363F0">
        <w:rPr>
          <w:rFonts w:ascii="標楷體" w:eastAsia="標楷體" w:hAnsi="標楷體" w:cs="新細明體"/>
          <w:sz w:val="32"/>
          <w:szCs w:val="32"/>
        </w:rPr>
        <w:t>重刑</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w:t>
      </w:r>
    </w:p>
    <w:p w14:paraId="4AF51D83"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矯正署黃署長俊棠：</w:t>
      </w:r>
    </w:p>
    <w:p w14:paraId="3879F91E" w14:textId="77777777" w:rsidR="00421BB5" w:rsidRPr="00C363F0" w:rsidRDefault="00421BB5" w:rsidP="00421BB5">
      <w:pPr>
        <w:topLinePunct/>
        <w:spacing w:line="520" w:lineRule="exact"/>
        <w:ind w:left="720" w:firstLineChars="200" w:firstLine="640"/>
        <w:jc w:val="both"/>
        <w:rPr>
          <w:rFonts w:ascii="標楷體" w:eastAsia="標楷體" w:hAnsi="標楷體" w:cs="新細明體"/>
          <w:sz w:val="32"/>
          <w:szCs w:val="32"/>
        </w:rPr>
      </w:pP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署</w:t>
      </w:r>
      <w:r w:rsidRPr="00C363F0">
        <w:rPr>
          <w:rFonts w:ascii="標楷體" w:eastAsia="標楷體" w:hAnsi="標楷體" w:cs="新細明體" w:hint="eastAsia"/>
          <w:sz w:val="32"/>
          <w:szCs w:val="32"/>
        </w:rPr>
        <w:t>刻</w:t>
      </w:r>
      <w:r w:rsidRPr="00C363F0">
        <w:rPr>
          <w:rFonts w:ascii="標楷體" w:eastAsia="標楷體" w:hAnsi="標楷體" w:cs="新細明體"/>
          <w:sz w:val="32"/>
          <w:szCs w:val="32"/>
        </w:rPr>
        <w:t>正推行健康</w:t>
      </w:r>
      <w:r w:rsidRPr="00C363F0">
        <w:rPr>
          <w:rFonts w:ascii="標楷體" w:eastAsia="標楷體" w:hAnsi="標楷體" w:cs="新細明體" w:hint="eastAsia"/>
          <w:sz w:val="32"/>
          <w:szCs w:val="32"/>
        </w:rPr>
        <w:t>監</w:t>
      </w:r>
      <w:r w:rsidRPr="00C363F0">
        <w:rPr>
          <w:rFonts w:ascii="標楷體" w:eastAsia="標楷體" w:hAnsi="標楷體" w:cs="新細明體"/>
          <w:sz w:val="32"/>
          <w:szCs w:val="32"/>
        </w:rPr>
        <w:t>獄</w:t>
      </w:r>
      <w:r w:rsidRPr="00C363F0">
        <w:rPr>
          <w:rFonts w:ascii="標楷體" w:eastAsia="標楷體" w:hAnsi="標楷體" w:cs="新細明體" w:hint="eastAsia"/>
          <w:sz w:val="32"/>
          <w:szCs w:val="32"/>
        </w:rPr>
        <w:t>概</w:t>
      </w:r>
      <w:r w:rsidRPr="00C363F0">
        <w:rPr>
          <w:rFonts w:ascii="標楷體" w:eastAsia="標楷體" w:hAnsi="標楷體" w:cs="新細明體"/>
          <w:sz w:val="32"/>
          <w:szCs w:val="32"/>
        </w:rPr>
        <w:t>念，</w:t>
      </w:r>
      <w:r w:rsidRPr="00C363F0">
        <w:rPr>
          <w:rFonts w:ascii="標楷體" w:eastAsia="標楷體" w:hAnsi="標楷體" w:cs="新細明體" w:hint="eastAsia"/>
          <w:sz w:val="32"/>
          <w:szCs w:val="32"/>
        </w:rPr>
        <w:t>主</w:t>
      </w:r>
      <w:r w:rsidRPr="00C363F0">
        <w:rPr>
          <w:rFonts w:ascii="標楷體" w:eastAsia="標楷體" w:hAnsi="標楷體" w:cs="新細明體"/>
          <w:sz w:val="32"/>
          <w:szCs w:val="32"/>
        </w:rPr>
        <w:t>要</w:t>
      </w:r>
      <w:r w:rsidRPr="00C363F0">
        <w:rPr>
          <w:rFonts w:ascii="標楷體" w:eastAsia="標楷體" w:hAnsi="標楷體" w:cs="新細明體" w:hint="eastAsia"/>
          <w:sz w:val="32"/>
          <w:szCs w:val="32"/>
        </w:rPr>
        <w:t>分</w:t>
      </w:r>
      <w:r w:rsidRPr="00C363F0">
        <w:rPr>
          <w:rFonts w:ascii="標楷體" w:eastAsia="標楷體" w:hAnsi="標楷體" w:cs="新細明體"/>
          <w:sz w:val="32"/>
          <w:szCs w:val="32"/>
        </w:rPr>
        <w:t>為兩個主要部分，</w:t>
      </w:r>
      <w:r w:rsidRPr="00C363F0">
        <w:rPr>
          <w:rFonts w:ascii="標楷體" w:eastAsia="標楷體" w:hAnsi="標楷體" w:cs="新細明體" w:hint="eastAsia"/>
          <w:sz w:val="32"/>
          <w:szCs w:val="32"/>
        </w:rPr>
        <w:t>一</w:t>
      </w:r>
      <w:r w:rsidRPr="00C363F0">
        <w:rPr>
          <w:rFonts w:ascii="標楷體" w:eastAsia="標楷體" w:hAnsi="標楷體" w:cs="新細明體"/>
          <w:sz w:val="32"/>
          <w:szCs w:val="32"/>
        </w:rPr>
        <w:t>是藥品自主健康管理，另一部分是</w:t>
      </w:r>
      <w:r w:rsidRPr="00C363F0">
        <w:rPr>
          <w:rFonts w:ascii="標楷體" w:eastAsia="標楷體" w:hAnsi="標楷體" w:cs="新細明體" w:hint="eastAsia"/>
          <w:sz w:val="32"/>
          <w:szCs w:val="32"/>
        </w:rPr>
        <w:t>皮膚</w:t>
      </w:r>
      <w:r w:rsidRPr="00C363F0">
        <w:rPr>
          <w:rFonts w:ascii="標楷體" w:eastAsia="標楷體" w:hAnsi="標楷體" w:cs="新細明體"/>
          <w:sz w:val="32"/>
          <w:szCs w:val="32"/>
        </w:rPr>
        <w:t>病的預防及治療</w:t>
      </w:r>
      <w:r w:rsidRPr="00C363F0">
        <w:rPr>
          <w:rFonts w:ascii="標楷體" w:eastAsia="標楷體" w:hAnsi="標楷體" w:cs="新細明體" w:hint="eastAsia"/>
          <w:sz w:val="32"/>
          <w:szCs w:val="32"/>
        </w:rPr>
        <w:t>。另近</w:t>
      </w:r>
      <w:r w:rsidRPr="00C363F0">
        <w:rPr>
          <w:rFonts w:ascii="標楷體" w:eastAsia="標楷體" w:hAnsi="標楷體" w:cs="新細明體"/>
          <w:sz w:val="32"/>
          <w:szCs w:val="32"/>
        </w:rPr>
        <w:t>期</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署</w:t>
      </w:r>
      <w:r w:rsidRPr="00C363F0">
        <w:rPr>
          <w:rFonts w:ascii="標楷體" w:eastAsia="標楷體" w:hAnsi="標楷體" w:cs="新細明體" w:hint="eastAsia"/>
          <w:sz w:val="32"/>
          <w:szCs w:val="32"/>
        </w:rPr>
        <w:t>更</w:t>
      </w:r>
      <w:r w:rsidRPr="00C363F0">
        <w:rPr>
          <w:rFonts w:ascii="標楷體" w:eastAsia="標楷體" w:hAnsi="標楷體" w:cs="新細明體"/>
          <w:sz w:val="32"/>
          <w:szCs w:val="32"/>
        </w:rPr>
        <w:t>與</w:t>
      </w:r>
      <w:r w:rsidRPr="00C363F0">
        <w:rPr>
          <w:rFonts w:ascii="標楷體" w:eastAsia="標楷體" w:hAnsi="標楷體" w:cs="新細明體" w:hint="eastAsia"/>
          <w:sz w:val="32"/>
          <w:szCs w:val="32"/>
        </w:rPr>
        <w:t>衛</w:t>
      </w:r>
      <w:r w:rsidRPr="00C363F0">
        <w:rPr>
          <w:rFonts w:ascii="標楷體" w:eastAsia="標楷體" w:hAnsi="標楷體" w:cs="新細明體"/>
          <w:sz w:val="32"/>
          <w:szCs w:val="32"/>
        </w:rPr>
        <w:t>生福利部</w:t>
      </w:r>
      <w:r w:rsidRPr="00C363F0">
        <w:rPr>
          <w:rFonts w:ascii="標楷體" w:eastAsia="標楷體" w:hAnsi="標楷體" w:cs="新細明體" w:hint="eastAsia"/>
          <w:sz w:val="32"/>
          <w:szCs w:val="32"/>
        </w:rPr>
        <w:t>協</w:t>
      </w:r>
      <w:r w:rsidRPr="00C363F0">
        <w:rPr>
          <w:rFonts w:ascii="標楷體" w:eastAsia="標楷體" w:hAnsi="標楷體" w:cs="新細明體"/>
          <w:sz w:val="32"/>
          <w:szCs w:val="32"/>
        </w:rPr>
        <w:t>商合作，</w:t>
      </w:r>
      <w:r w:rsidRPr="00C363F0">
        <w:rPr>
          <w:rFonts w:ascii="標楷體" w:eastAsia="標楷體" w:hAnsi="標楷體" w:cs="新細明體" w:hint="eastAsia"/>
          <w:sz w:val="32"/>
          <w:szCs w:val="32"/>
        </w:rPr>
        <w:t>加</w:t>
      </w:r>
      <w:r w:rsidRPr="00C363F0">
        <w:rPr>
          <w:rFonts w:ascii="標楷體" w:eastAsia="標楷體" w:hAnsi="標楷體" w:cs="新細明體"/>
          <w:sz w:val="32"/>
          <w:szCs w:val="32"/>
        </w:rPr>
        <w:t>強</w:t>
      </w:r>
      <w:r w:rsidRPr="00C363F0">
        <w:rPr>
          <w:rFonts w:ascii="標楷體" w:eastAsia="標楷體" w:hAnsi="標楷體" w:cs="新細明體" w:hint="eastAsia"/>
          <w:sz w:val="32"/>
          <w:szCs w:val="32"/>
        </w:rPr>
        <w:t>受刑</w:t>
      </w:r>
      <w:r w:rsidRPr="00C363F0">
        <w:rPr>
          <w:rFonts w:ascii="標楷體" w:eastAsia="標楷體" w:hAnsi="標楷體" w:cs="新細明體"/>
          <w:sz w:val="32"/>
          <w:szCs w:val="32"/>
        </w:rPr>
        <w:t>人口腔健康維護</w:t>
      </w:r>
      <w:r w:rsidRPr="00C363F0">
        <w:rPr>
          <w:rFonts w:ascii="標楷體" w:eastAsia="標楷體" w:hAnsi="標楷體" w:cs="新細明體" w:hint="eastAsia"/>
          <w:sz w:val="32"/>
          <w:szCs w:val="32"/>
        </w:rPr>
        <w:t>。</w:t>
      </w:r>
    </w:p>
    <w:p w14:paraId="3A56B529" w14:textId="77777777" w:rsidR="00421BB5" w:rsidRPr="00C363F0" w:rsidRDefault="00421BB5" w:rsidP="00421BB5">
      <w:pPr>
        <w:topLinePunct/>
        <w:spacing w:line="520" w:lineRule="exact"/>
        <w:ind w:left="720" w:firstLineChars="200" w:firstLine="640"/>
        <w:jc w:val="both"/>
        <w:rPr>
          <w:rFonts w:ascii="標楷體" w:eastAsia="標楷體" w:hAnsi="標楷體" w:cs="新細明體"/>
          <w:sz w:val="32"/>
          <w:szCs w:val="32"/>
        </w:rPr>
      </w:pPr>
      <w:r w:rsidRPr="00C363F0">
        <w:rPr>
          <w:rFonts w:ascii="標楷體" w:eastAsia="標楷體" w:hAnsi="標楷體" w:cs="新細明體" w:hint="eastAsia"/>
          <w:sz w:val="32"/>
          <w:szCs w:val="32"/>
        </w:rPr>
        <w:t>呼應陳</w:t>
      </w:r>
      <w:r w:rsidRPr="00C363F0">
        <w:rPr>
          <w:rFonts w:ascii="標楷體" w:eastAsia="標楷體" w:hAnsi="標楷體" w:cs="新細明體"/>
          <w:sz w:val="32"/>
          <w:szCs w:val="32"/>
        </w:rPr>
        <w:t>召委</w:t>
      </w:r>
      <w:r w:rsidRPr="00C363F0">
        <w:rPr>
          <w:rFonts w:ascii="標楷體" w:eastAsia="標楷體" w:hAnsi="標楷體" w:cs="新細明體" w:hint="eastAsia"/>
          <w:sz w:val="32"/>
          <w:szCs w:val="32"/>
        </w:rPr>
        <w:t>所</w:t>
      </w:r>
      <w:r w:rsidRPr="00C363F0">
        <w:rPr>
          <w:rFonts w:ascii="標楷體" w:eastAsia="標楷體" w:hAnsi="標楷體" w:cs="新細明體"/>
          <w:sz w:val="32"/>
          <w:szCs w:val="32"/>
        </w:rPr>
        <w:t>提</w:t>
      </w:r>
      <w:r w:rsidRPr="00C363F0">
        <w:rPr>
          <w:rFonts w:ascii="標楷體" w:eastAsia="標楷體" w:hAnsi="標楷體" w:cs="新細明體" w:hint="eastAsia"/>
          <w:sz w:val="32"/>
          <w:szCs w:val="32"/>
        </w:rPr>
        <w:t>加強外役監受刑人遴選管控</w:t>
      </w:r>
      <w:r w:rsidRPr="00C363F0">
        <w:rPr>
          <w:rFonts w:ascii="標楷體" w:eastAsia="標楷體" w:hAnsi="標楷體" w:cs="新細明體"/>
          <w:sz w:val="32"/>
          <w:szCs w:val="32"/>
        </w:rPr>
        <w:t>，在</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役監獄尚未</w:t>
      </w:r>
      <w:r w:rsidRPr="00C363F0">
        <w:rPr>
          <w:rFonts w:ascii="標楷體" w:eastAsia="標楷體" w:hAnsi="標楷體" w:cs="新細明體" w:hint="eastAsia"/>
          <w:sz w:val="32"/>
          <w:szCs w:val="32"/>
        </w:rPr>
        <w:t>修</w:t>
      </w:r>
      <w:r w:rsidRPr="00C363F0">
        <w:rPr>
          <w:rFonts w:ascii="標楷體" w:eastAsia="標楷體" w:hAnsi="標楷體" w:cs="新細明體"/>
          <w:sz w:val="32"/>
          <w:szCs w:val="32"/>
        </w:rPr>
        <w:t>法前</w:t>
      </w:r>
      <w:r w:rsidRPr="00C363F0">
        <w:rPr>
          <w:rFonts w:ascii="標楷體" w:eastAsia="標楷體" w:hAnsi="標楷體" w:cs="新細明體" w:hint="eastAsia"/>
          <w:sz w:val="32"/>
          <w:szCs w:val="32"/>
        </w:rPr>
        <w:t>，本署</w:t>
      </w:r>
      <w:r w:rsidRPr="00C363F0">
        <w:rPr>
          <w:rFonts w:ascii="標楷體" w:eastAsia="標楷體" w:hAnsi="標楷體" w:cs="新細明體"/>
          <w:sz w:val="32"/>
          <w:szCs w:val="32"/>
        </w:rPr>
        <w:t>將</w:t>
      </w:r>
      <w:r w:rsidRPr="00C363F0">
        <w:rPr>
          <w:rFonts w:ascii="標楷體" w:eastAsia="標楷體" w:hAnsi="標楷體" w:cs="新細明體" w:hint="eastAsia"/>
          <w:sz w:val="32"/>
          <w:szCs w:val="32"/>
        </w:rPr>
        <w:t>適</w:t>
      </w:r>
      <w:r w:rsidRPr="00C363F0">
        <w:rPr>
          <w:rFonts w:ascii="標楷體" w:eastAsia="標楷體" w:hAnsi="標楷體" w:cs="新細明體"/>
          <w:sz w:val="32"/>
          <w:szCs w:val="32"/>
        </w:rPr>
        <w:t>當提醒遴選委員嚴</w:t>
      </w:r>
      <w:r w:rsidRPr="00C363F0">
        <w:rPr>
          <w:rFonts w:ascii="標楷體" w:eastAsia="標楷體" w:hAnsi="標楷體" w:cs="新細明體" w:hint="eastAsia"/>
          <w:sz w:val="32"/>
          <w:szCs w:val="32"/>
        </w:rPr>
        <w:t>謹遴</w:t>
      </w:r>
      <w:r w:rsidRPr="00C363F0">
        <w:rPr>
          <w:rFonts w:ascii="標楷體" w:eastAsia="標楷體" w:hAnsi="標楷體" w:cs="新細明體"/>
          <w:sz w:val="32"/>
          <w:szCs w:val="32"/>
        </w:rPr>
        <w:t>選</w:t>
      </w:r>
      <w:r w:rsidRPr="00C363F0">
        <w:rPr>
          <w:rFonts w:ascii="標楷體" w:eastAsia="標楷體" w:hAnsi="標楷體" w:cs="新細明體" w:hint="eastAsia"/>
          <w:sz w:val="32"/>
          <w:szCs w:val="32"/>
        </w:rPr>
        <w:t>合</w:t>
      </w:r>
      <w:r w:rsidRPr="00C363F0">
        <w:rPr>
          <w:rFonts w:ascii="標楷體" w:eastAsia="標楷體" w:hAnsi="標楷體" w:cs="新細明體"/>
          <w:sz w:val="32"/>
          <w:szCs w:val="32"/>
        </w:rPr>
        <w:t>適之受刑人至外役監</w:t>
      </w:r>
      <w:r w:rsidRPr="00C363F0">
        <w:rPr>
          <w:rFonts w:ascii="標楷體" w:eastAsia="標楷體" w:hAnsi="標楷體" w:cs="新細明體" w:hint="eastAsia"/>
          <w:sz w:val="32"/>
          <w:szCs w:val="32"/>
        </w:rPr>
        <w:t>，並尊重遴選委員最後決定</w:t>
      </w:r>
      <w:r w:rsidRPr="00C363F0">
        <w:rPr>
          <w:rFonts w:ascii="標楷體" w:eastAsia="標楷體" w:hAnsi="標楷體" w:cs="新細明體"/>
          <w:sz w:val="32"/>
          <w:szCs w:val="32"/>
        </w:rPr>
        <w:t>。</w:t>
      </w:r>
    </w:p>
    <w:p w14:paraId="2B70C7C1" w14:textId="77777777" w:rsidR="00421BB5" w:rsidRPr="00C363F0" w:rsidRDefault="00421BB5" w:rsidP="00421BB5">
      <w:pPr>
        <w:topLinePunct/>
        <w:spacing w:line="520" w:lineRule="exact"/>
        <w:ind w:left="720"/>
        <w:jc w:val="both"/>
        <w:rPr>
          <w:rFonts w:ascii="標楷體" w:eastAsia="標楷體" w:hAnsi="標楷體"/>
          <w:b/>
          <w:sz w:val="32"/>
          <w:szCs w:val="32"/>
        </w:rPr>
      </w:pPr>
      <w:r w:rsidRPr="00C363F0">
        <w:rPr>
          <w:rFonts w:ascii="標楷體" w:eastAsia="標楷體" w:hAnsi="標楷體" w:hint="eastAsia"/>
          <w:b/>
          <w:sz w:val="32"/>
          <w:szCs w:val="32"/>
        </w:rPr>
        <w:t>立法院陳召集委員歐</w:t>
      </w:r>
      <w:r w:rsidRPr="00C363F0">
        <w:rPr>
          <w:rFonts w:ascii="標楷體" w:eastAsia="標楷體" w:hAnsi="標楷體"/>
          <w:b/>
          <w:sz w:val="32"/>
          <w:szCs w:val="32"/>
        </w:rPr>
        <w:t>珀：</w:t>
      </w:r>
    </w:p>
    <w:p w14:paraId="20ABF322" w14:textId="77777777" w:rsidR="00421BB5" w:rsidRPr="00C363F0" w:rsidRDefault="00421BB5" w:rsidP="00421BB5">
      <w:pPr>
        <w:topLinePunct/>
        <w:spacing w:line="520" w:lineRule="exact"/>
        <w:ind w:left="720" w:firstLineChars="200" w:firstLine="640"/>
        <w:jc w:val="both"/>
        <w:rPr>
          <w:rFonts w:ascii="標楷體" w:eastAsia="標楷體" w:hAnsi="標楷體"/>
          <w:sz w:val="32"/>
          <w:szCs w:val="32"/>
        </w:rPr>
      </w:pPr>
      <w:r w:rsidRPr="00C363F0">
        <w:rPr>
          <w:rFonts w:ascii="標楷體" w:eastAsia="標楷體" w:hAnsi="標楷體" w:hint="eastAsia"/>
          <w:sz w:val="32"/>
          <w:szCs w:val="32"/>
        </w:rPr>
        <w:t>感謝各位本日的參與，再次強調本次考察主要係加深對於實務的瞭解，並作為公聽會的依據，希望能凝聚社會共識，順利在本會期完成外役監條例修正。</w:t>
      </w:r>
    </w:p>
    <w:p w14:paraId="7F9B25C8" w14:textId="77777777" w:rsidR="00421BB5" w:rsidRDefault="00421BB5" w:rsidP="007015C7">
      <w:pPr>
        <w:numPr>
          <w:ilvl w:val="0"/>
          <w:numId w:val="38"/>
        </w:numPr>
        <w:topLinePunct/>
        <w:spacing w:line="520" w:lineRule="exact"/>
        <w:ind w:hanging="2392"/>
        <w:jc w:val="both"/>
        <w:rPr>
          <w:rFonts w:ascii="標楷體" w:eastAsia="標楷體" w:hAnsi="標楷體" w:cs="新細明體"/>
          <w:sz w:val="32"/>
          <w:szCs w:val="32"/>
        </w:rPr>
      </w:pPr>
      <w:r w:rsidRPr="00ED4F2B">
        <w:rPr>
          <w:rFonts w:ascii="標楷體" w:eastAsia="標楷體" w:hAnsi="標楷體" w:hint="eastAsia"/>
          <w:b/>
          <w:color w:val="000000"/>
          <w:sz w:val="32"/>
        </w:rPr>
        <w:lastRenderedPageBreak/>
        <w:t>散會</w:t>
      </w:r>
      <w:r w:rsidRPr="00C363F0">
        <w:rPr>
          <w:rFonts w:ascii="標楷體" w:eastAsia="標楷體" w:hAnsi="標楷體" w:cs="新細明體" w:hint="eastAsia"/>
          <w:sz w:val="32"/>
          <w:szCs w:val="32"/>
        </w:rPr>
        <w:t>（1</w:t>
      </w:r>
      <w:r w:rsidRPr="00C363F0">
        <w:rPr>
          <w:rFonts w:ascii="標楷體" w:eastAsia="標楷體" w:hAnsi="標楷體" w:cs="新細明體"/>
          <w:sz w:val="32"/>
          <w:szCs w:val="32"/>
        </w:rPr>
        <w:t>1</w:t>
      </w:r>
      <w:r w:rsidRPr="00C363F0">
        <w:rPr>
          <w:rFonts w:ascii="標楷體" w:eastAsia="標楷體" w:hAnsi="標楷體" w:cs="新細明體" w:hint="eastAsia"/>
          <w:sz w:val="32"/>
          <w:szCs w:val="32"/>
        </w:rPr>
        <w:t>時3</w:t>
      </w:r>
      <w:r w:rsidRPr="00C363F0">
        <w:rPr>
          <w:rFonts w:ascii="標楷體" w:eastAsia="標楷體" w:hAnsi="標楷體" w:cs="新細明體"/>
          <w:sz w:val="32"/>
          <w:szCs w:val="32"/>
        </w:rPr>
        <w:t>0</w:t>
      </w:r>
      <w:r w:rsidRPr="00C363F0">
        <w:rPr>
          <w:rFonts w:ascii="標楷體" w:eastAsia="標楷體" w:hAnsi="標楷體" w:cs="新細明體" w:hint="eastAsia"/>
          <w:sz w:val="32"/>
          <w:szCs w:val="32"/>
        </w:rPr>
        <w:t>分）</w:t>
      </w:r>
    </w:p>
    <w:p w14:paraId="7E055FF7" w14:textId="77777777" w:rsidR="00421BB5" w:rsidRDefault="00421BB5" w:rsidP="00421BB5">
      <w:pPr>
        <w:topLinePunct/>
        <w:spacing w:line="520" w:lineRule="exact"/>
        <w:jc w:val="both"/>
        <w:rPr>
          <w:rFonts w:ascii="標楷體" w:eastAsia="標楷體" w:hAnsi="標楷體" w:cs="新細明體"/>
          <w:sz w:val="32"/>
          <w:szCs w:val="32"/>
        </w:rPr>
        <w:sectPr w:rsidR="00421BB5" w:rsidSect="00421BB5">
          <w:footerReference w:type="default" r:id="rId33"/>
          <w:pgSz w:w="11906" w:h="16838" w:code="9"/>
          <w:pgMar w:top="993" w:right="1701" w:bottom="1134" w:left="1701" w:header="851" w:footer="992" w:gutter="0"/>
          <w:cols w:space="425"/>
          <w:docGrid w:type="lines" w:linePitch="360"/>
        </w:sectPr>
      </w:pPr>
    </w:p>
    <w:p w14:paraId="32145CFD" w14:textId="28A767EE" w:rsidR="00421BB5" w:rsidRPr="00A94A92" w:rsidRDefault="0075245C" w:rsidP="00A94A92">
      <w:pPr>
        <w:spacing w:afterLines="50" w:after="180" w:line="500" w:lineRule="exact"/>
        <w:outlineLvl w:val="2"/>
        <w:rPr>
          <w:rFonts w:ascii="標楷體" w:eastAsia="標楷體" w:hAnsi="標楷體"/>
          <w:b/>
          <w:bCs/>
          <w:sz w:val="36"/>
          <w:szCs w:val="36"/>
        </w:rPr>
      </w:pPr>
      <w:bookmarkStart w:id="539" w:name="財政部關務署"/>
      <w:r>
        <w:rPr>
          <w:noProof/>
          <w:spacing w:val="-10"/>
          <w:sz w:val="36"/>
          <w:szCs w:val="36"/>
        </w:rPr>
        <w:lastRenderedPageBreak/>
        <w:pict w14:anchorId="2425A9D7">
          <v:shape id="形狀1" o:spid="_x0000_s1027" type="#_x0000_t202" style="position:absolute;margin-left:455.4pt;margin-top:-21.05pt;width:38.2pt;height:24.4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" filled="f" stroked="f">
            <v:textbox inset="0,0,0,0">
              <w:txbxContent>
                <w:p w14:paraId="6F844992" w14:textId="77777777" w:rsidR="0075245C" w:rsidRDefault="0075245C" w:rsidP="00421BB5">
                  <w:pPr>
                    <w:pStyle w:val="Textbody"/>
                  </w:pPr>
                </w:p>
              </w:txbxContent>
            </v:textbox>
          </v:shape>
        </w:pict>
      </w:r>
      <w:r w:rsidR="00421BB5" w:rsidRPr="00A94A92">
        <w:rPr>
          <w:rFonts w:ascii="標楷體" w:eastAsia="標楷體" w:hAnsi="標楷體"/>
          <w:b/>
          <w:bCs/>
          <w:spacing w:val="-10"/>
          <w:sz w:val="36"/>
          <w:szCs w:val="36"/>
        </w:rPr>
        <w:t>立法院司法及法制委員會考察財政部關務署基隆關「有關毒品防制及查緝相關部分，在海運快遞及雜貨櫃通關業務之執行情形」</w:t>
      </w:r>
      <w:r w:rsidR="00421BB5" w:rsidRPr="00A94A92">
        <w:rPr>
          <w:rFonts w:ascii="標楷體" w:eastAsia="標楷體" w:hAnsi="標楷體"/>
          <w:b/>
          <w:bCs/>
          <w:sz w:val="36"/>
          <w:szCs w:val="36"/>
        </w:rPr>
        <w:t>會議紀錄</w:t>
      </w:r>
      <w:bookmarkEnd w:id="539"/>
    </w:p>
    <w:p w14:paraId="52401BE4" w14:textId="77777777" w:rsidR="00421BB5" w:rsidRDefault="00421BB5" w:rsidP="00421BB5">
      <w:pPr>
        <w:pStyle w:val="affffffff2"/>
        <w:spacing w:line="540" w:lineRule="exact"/>
        <w:rPr>
          <w:szCs w:val="32"/>
        </w:rPr>
      </w:pPr>
      <w:r>
        <w:rPr>
          <w:szCs w:val="32"/>
        </w:rPr>
        <w:t>考察時間：111年12月19日（週一）上午9時10分</w:t>
      </w:r>
    </w:p>
    <w:p w14:paraId="007AECB3" w14:textId="77777777" w:rsidR="00421BB5" w:rsidRDefault="00421BB5" w:rsidP="00421BB5">
      <w:pPr>
        <w:pStyle w:val="affffffff2"/>
        <w:spacing w:line="540" w:lineRule="exact"/>
        <w:rPr>
          <w:szCs w:val="32"/>
        </w:rPr>
      </w:pPr>
      <w:r>
        <w:rPr>
          <w:szCs w:val="32"/>
        </w:rPr>
        <w:t>考察地點：臺北港東立快遞專區、中華貨櫃場</w:t>
      </w:r>
    </w:p>
    <w:p w14:paraId="06D72D9A" w14:textId="77777777" w:rsidR="00421BB5" w:rsidRDefault="00421BB5" w:rsidP="00421BB5">
      <w:pPr>
        <w:pStyle w:val="affffffff2"/>
        <w:spacing w:line="540" w:lineRule="exact"/>
        <w:rPr>
          <w:szCs w:val="32"/>
        </w:rPr>
      </w:pPr>
      <w:r>
        <w:rPr>
          <w:szCs w:val="32"/>
        </w:rPr>
        <w:t>意見交流與座談會地點：基隆關4樓大禮堂</w:t>
      </w:r>
    </w:p>
    <w:p w14:paraId="07FD249F" w14:textId="77777777" w:rsidR="00421BB5" w:rsidRDefault="00421BB5" w:rsidP="00421BB5">
      <w:pPr>
        <w:pStyle w:val="affffffff2"/>
        <w:spacing w:line="540" w:lineRule="exact"/>
      </w:pPr>
      <w:r>
        <w:rPr>
          <w:b/>
          <w:szCs w:val="32"/>
        </w:rPr>
        <w:t>壹、主席</w:t>
      </w:r>
      <w:r>
        <w:rPr>
          <w:szCs w:val="32"/>
        </w:rPr>
        <w:t>：林召集委員思銘             紀錄：彭股長智平</w:t>
      </w:r>
    </w:p>
    <w:p w14:paraId="1572A52B" w14:textId="77777777" w:rsidR="00421BB5" w:rsidRDefault="00421BB5" w:rsidP="00421BB5">
      <w:pPr>
        <w:pStyle w:val="affffffff2"/>
        <w:spacing w:line="540" w:lineRule="exact"/>
      </w:pPr>
      <w:r>
        <w:rPr>
          <w:b/>
          <w:szCs w:val="32"/>
        </w:rPr>
        <w:t>貳、出席單位及人員</w:t>
      </w:r>
      <w:r>
        <w:rPr>
          <w:szCs w:val="32"/>
        </w:rPr>
        <w:t xml:space="preserve">：詳出席人員名單                  </w:t>
      </w:r>
    </w:p>
    <w:p w14:paraId="6A3723B2" w14:textId="77777777" w:rsidR="00421BB5" w:rsidRDefault="00421BB5" w:rsidP="00421BB5">
      <w:pPr>
        <w:pStyle w:val="affffffff2"/>
        <w:spacing w:line="540" w:lineRule="exact"/>
        <w:rPr>
          <w:b/>
          <w:szCs w:val="32"/>
        </w:rPr>
      </w:pPr>
      <w:r>
        <w:rPr>
          <w:b/>
          <w:szCs w:val="32"/>
        </w:rPr>
        <w:t>參、意見交流及委員提示事項</w:t>
      </w:r>
    </w:p>
    <w:p w14:paraId="60614748" w14:textId="77777777" w:rsidR="00421BB5" w:rsidRDefault="00421BB5" w:rsidP="00421BB5">
      <w:pPr>
        <w:pStyle w:val="affffffff2"/>
        <w:spacing w:line="540" w:lineRule="exact"/>
        <w:ind w:left="794" w:hanging="510"/>
        <w:jc w:val="both"/>
        <w:rPr>
          <w:szCs w:val="32"/>
        </w:rPr>
      </w:pPr>
      <w:r>
        <w:rPr>
          <w:szCs w:val="32"/>
        </w:rPr>
        <w:t>一、</w:t>
      </w:r>
      <w:r>
        <w:rPr>
          <w:szCs w:val="32"/>
        </w:rPr>
        <w:tab/>
        <w:t>林召集委員思銘：</w:t>
      </w:r>
    </w:p>
    <w:p w14:paraId="0EF86EA0" w14:textId="77777777" w:rsidR="00421BB5" w:rsidRDefault="00421BB5" w:rsidP="00421BB5">
      <w:pPr>
        <w:pStyle w:val="affffffff2"/>
        <w:spacing w:line="540" w:lineRule="exact"/>
        <w:ind w:left="991" w:firstLine="1"/>
        <w:jc w:val="both"/>
        <w:rPr>
          <w:szCs w:val="32"/>
        </w:rPr>
      </w:pPr>
      <w:r>
        <w:rPr>
          <w:szCs w:val="32"/>
        </w:rPr>
        <w:t>雜貨櫃通關方式，漏洞似乎較海運快遞為多，查驗環境也待積極改善。雖然海關查驗甚嚴，市面上毒品案件仍時有所聞，顯見毒品走私仍有黑數。海關於雜貨櫃查獲的危安物品，僅有毒品及毒品先驅物的數據，未有查獲槍枝案件，請海關提供相關數據。另請法務部於3個月內，就現行海運進口雜貨通關方式可能存在缺失，提出改善建議及評估報告。</w:t>
      </w:r>
    </w:p>
    <w:p w14:paraId="6BB89EF4" w14:textId="77777777" w:rsidR="00421BB5" w:rsidRDefault="00421BB5" w:rsidP="00421BB5">
      <w:pPr>
        <w:pStyle w:val="affffffff2"/>
        <w:spacing w:line="540" w:lineRule="exact"/>
        <w:ind w:left="794" w:hanging="510"/>
        <w:jc w:val="both"/>
        <w:rPr>
          <w:szCs w:val="32"/>
        </w:rPr>
      </w:pPr>
      <w:r>
        <w:rPr>
          <w:szCs w:val="32"/>
        </w:rPr>
        <w:t>二、</w:t>
      </w:r>
      <w:r>
        <w:rPr>
          <w:szCs w:val="32"/>
        </w:rPr>
        <w:tab/>
        <w:t>游委員毓蘭：</w:t>
      </w:r>
    </w:p>
    <w:p w14:paraId="24B6E4A3" w14:textId="77777777" w:rsidR="00421BB5" w:rsidRDefault="00421BB5" w:rsidP="00421BB5">
      <w:pPr>
        <w:pStyle w:val="affffffff2"/>
        <w:spacing w:line="540" w:lineRule="exact"/>
        <w:ind w:left="993"/>
        <w:jc w:val="both"/>
        <w:rPr>
          <w:szCs w:val="32"/>
        </w:rPr>
      </w:pPr>
      <w:r>
        <w:rPr>
          <w:szCs w:val="32"/>
        </w:rPr>
        <w:t>雜貨櫃查驗區照明不足，場域老舊，與海運快遞通關環境相去甚遠，應儘可能寬列預算用以改善環境，並增編執行查驗工作同仁驗貨裝備。近聞馬祖海運快遞已開始營運，希望將來其他地區如金門等，也能傳出好消息。對於辛苦工作的同仁，須適時給予鼓勵及注意防弊。</w:t>
      </w:r>
    </w:p>
    <w:p w14:paraId="176E0D92" w14:textId="77777777" w:rsidR="00421BB5" w:rsidRDefault="00421BB5" w:rsidP="00421BB5">
      <w:pPr>
        <w:pStyle w:val="affffffff2"/>
        <w:spacing w:line="540" w:lineRule="exact"/>
        <w:ind w:left="794" w:hanging="510"/>
        <w:jc w:val="both"/>
        <w:rPr>
          <w:szCs w:val="32"/>
        </w:rPr>
      </w:pPr>
      <w:r>
        <w:rPr>
          <w:szCs w:val="32"/>
        </w:rPr>
        <w:t>三、</w:t>
      </w:r>
      <w:r>
        <w:rPr>
          <w:szCs w:val="32"/>
        </w:rPr>
        <w:tab/>
        <w:t>蔡委員適應：</w:t>
      </w:r>
    </w:p>
    <w:p w14:paraId="740B5109" w14:textId="77777777" w:rsidR="00421BB5" w:rsidRDefault="00421BB5" w:rsidP="00421BB5">
      <w:pPr>
        <w:pStyle w:val="affffffff2"/>
        <w:spacing w:line="540" w:lineRule="exact"/>
        <w:ind w:left="991"/>
        <w:jc w:val="both"/>
        <w:rPr>
          <w:szCs w:val="32"/>
        </w:rPr>
      </w:pPr>
      <w:r>
        <w:rPr>
          <w:szCs w:val="32"/>
        </w:rPr>
        <w:t>請海關加速研議放寬海運快遞業者總量管制，並請財</w:t>
      </w:r>
      <w:r>
        <w:rPr>
          <w:szCs w:val="32"/>
        </w:rPr>
        <w:lastRenderedPageBreak/>
        <w:t>政部關務署(下稱關務署)提供辦理進度期程表，於1個月內向財政部提出評估報告。</w:t>
      </w:r>
    </w:p>
    <w:p w14:paraId="7130AC8B" w14:textId="77777777" w:rsidR="00421BB5" w:rsidRDefault="00421BB5" w:rsidP="00421BB5">
      <w:pPr>
        <w:pStyle w:val="affffffff2"/>
        <w:spacing w:line="540" w:lineRule="exact"/>
        <w:ind w:left="794" w:hanging="510"/>
        <w:jc w:val="both"/>
        <w:rPr>
          <w:szCs w:val="32"/>
        </w:rPr>
      </w:pPr>
      <w:r>
        <w:rPr>
          <w:szCs w:val="32"/>
        </w:rPr>
        <w:t>四、</w:t>
      </w:r>
      <w:r>
        <w:rPr>
          <w:szCs w:val="32"/>
        </w:rPr>
        <w:tab/>
        <w:t>林常務次長錦村：</w:t>
      </w:r>
    </w:p>
    <w:p w14:paraId="73584E73" w14:textId="77777777" w:rsidR="00421BB5" w:rsidRDefault="00421BB5" w:rsidP="00421BB5">
      <w:pPr>
        <w:pStyle w:val="affffffff2"/>
        <w:spacing w:line="540" w:lineRule="exact"/>
        <w:ind w:left="991" w:firstLine="2"/>
        <w:jc w:val="both"/>
        <w:rPr>
          <w:szCs w:val="32"/>
        </w:rPr>
      </w:pPr>
      <w:r>
        <w:rPr>
          <w:szCs w:val="32"/>
        </w:rPr>
        <w:t>法務部臺灣高等檢察署(下稱高檢署)藉由關務邊境安全聯繫會報，就貨物通關與關務署進行常態性交流，對海關採納高檢署意見，積極推動實名制及取消併袋等措施表示感謝。</w:t>
      </w:r>
    </w:p>
    <w:p w14:paraId="1DC678A8" w14:textId="77777777" w:rsidR="00421BB5" w:rsidRDefault="00421BB5" w:rsidP="00421BB5">
      <w:pPr>
        <w:pStyle w:val="affffffff2"/>
        <w:spacing w:line="540" w:lineRule="exact"/>
        <w:ind w:left="794" w:hanging="510"/>
        <w:jc w:val="both"/>
        <w:rPr>
          <w:szCs w:val="32"/>
        </w:rPr>
      </w:pPr>
      <w:r>
        <w:rPr>
          <w:szCs w:val="32"/>
        </w:rPr>
        <w:t>五、</w:t>
      </w:r>
      <w:r>
        <w:rPr>
          <w:szCs w:val="32"/>
        </w:rPr>
        <w:tab/>
        <w:t>彭署長英偉：</w:t>
      </w:r>
    </w:p>
    <w:p w14:paraId="620F87A4" w14:textId="77777777" w:rsidR="00421BB5" w:rsidRDefault="00421BB5" w:rsidP="00421BB5">
      <w:pPr>
        <w:pStyle w:val="affffffff2"/>
        <w:spacing w:line="540" w:lineRule="exact"/>
        <w:ind w:left="991" w:firstLine="2"/>
        <w:jc w:val="both"/>
        <w:rPr>
          <w:szCs w:val="32"/>
        </w:rPr>
      </w:pPr>
      <w:r>
        <w:rPr>
          <w:szCs w:val="32"/>
        </w:rPr>
        <w:t>海關幅員廣闊，全國共108個通關點，目前查獲毒品案件以臺北關空運快遞最多，其他通關方式則相對較少，同仁仍應以料敵從寬、禦敵從嚴的態度加強查緝及防範。海關同仁對於毒品查緝非常努力，110年度查獲360餘件中，有95%皆係無密報狀況下緝獲， 111年度海關無密報自行緝獲毒品案件比率也高達85%以上。另近4年僅110年於雜貨櫃中查獲1件危安物品為3級毒品，尚無查獲槍枝案件。</w:t>
      </w:r>
    </w:p>
    <w:p w14:paraId="08D38AC7" w14:textId="77777777" w:rsidR="00421BB5" w:rsidRDefault="00421BB5" w:rsidP="00421BB5">
      <w:pPr>
        <w:pStyle w:val="affffffff2"/>
        <w:spacing w:line="540" w:lineRule="exact"/>
        <w:ind w:left="991" w:firstLine="2"/>
        <w:jc w:val="both"/>
        <w:rPr>
          <w:szCs w:val="32"/>
        </w:rPr>
      </w:pPr>
      <w:r>
        <w:rPr>
          <w:szCs w:val="32"/>
        </w:rPr>
        <w:t>海關對於海運快遞總量管制均持續檢討及評估，以目前海運快遞人力配置來看，開放一條通關線約需8人至9人，一個專區約需20人至30人，若專區設在離島則約需40人，人力不足一直是海運快遞是否開放的重要考量因素。</w:t>
      </w:r>
    </w:p>
    <w:p w14:paraId="367FB2DC" w14:textId="77777777" w:rsidR="00421BB5" w:rsidRDefault="00421BB5" w:rsidP="00421BB5">
      <w:pPr>
        <w:pStyle w:val="affffffff2"/>
        <w:spacing w:line="540" w:lineRule="exact"/>
        <w:ind w:left="991" w:firstLine="2"/>
        <w:jc w:val="both"/>
        <w:rPr>
          <w:szCs w:val="32"/>
        </w:rPr>
      </w:pPr>
      <w:r>
        <w:rPr>
          <w:szCs w:val="32"/>
        </w:rPr>
        <w:t>至於海關的防弊作為，依據「關務人員職期調任互調或輪調辦法」規定，關務人員每3年實施跨課輪調，每5年實施跨組或跨分關輪調，以防止弊端發生。最後感謝委員對海關驗貨同仁的關心與支持，我們將努力改善同仁驗貨環境，此外，經費部分，尚請委員鼎力支</w:t>
      </w:r>
      <w:r>
        <w:rPr>
          <w:szCs w:val="32"/>
        </w:rPr>
        <w:lastRenderedPageBreak/>
        <w:t>持。</w:t>
      </w:r>
    </w:p>
    <w:p w14:paraId="5BFD6F19" w14:textId="77777777" w:rsidR="00421BB5" w:rsidRDefault="00421BB5" w:rsidP="00421BB5">
      <w:pPr>
        <w:pStyle w:val="affffffff2"/>
        <w:spacing w:line="540" w:lineRule="exact"/>
        <w:ind w:left="794" w:hanging="794"/>
        <w:jc w:val="both"/>
        <w:rPr>
          <w:b/>
          <w:szCs w:val="32"/>
        </w:rPr>
      </w:pPr>
      <w:r>
        <w:rPr>
          <w:b/>
          <w:szCs w:val="32"/>
        </w:rPr>
        <w:t>肆、會議結論：</w:t>
      </w:r>
    </w:p>
    <w:p w14:paraId="249BEF5F" w14:textId="77777777" w:rsidR="00421BB5" w:rsidRDefault="00421BB5" w:rsidP="00421BB5">
      <w:pPr>
        <w:pStyle w:val="affffffff2"/>
        <w:spacing w:line="540" w:lineRule="exact"/>
        <w:ind w:left="964" w:hanging="680"/>
        <w:jc w:val="both"/>
        <w:rPr>
          <w:szCs w:val="32"/>
        </w:rPr>
      </w:pPr>
      <w:r>
        <w:rPr>
          <w:szCs w:val="32"/>
        </w:rPr>
        <w:t>一、請關務署於112年2月1日前就研議放寬海運快遞業者總量管制，研提相關評估報告陳報財政部。</w:t>
      </w:r>
    </w:p>
    <w:p w14:paraId="0D3AC876" w14:textId="77777777" w:rsidR="00421BB5" w:rsidRDefault="00421BB5" w:rsidP="00421BB5">
      <w:pPr>
        <w:pStyle w:val="affffffff2"/>
        <w:spacing w:line="540" w:lineRule="exact"/>
        <w:ind w:left="964" w:hanging="680"/>
        <w:jc w:val="both"/>
        <w:rPr>
          <w:szCs w:val="32"/>
        </w:rPr>
      </w:pPr>
      <w:r>
        <w:rPr>
          <w:szCs w:val="32"/>
        </w:rPr>
        <w:t>二、請法務部於3個月內，就現行海運進口雜貨通關方式可能存在缺失，提出改善建議及評估報告。</w:t>
      </w:r>
    </w:p>
    <w:p w14:paraId="23290C25" w14:textId="77777777" w:rsidR="00421BB5" w:rsidRDefault="00421BB5" w:rsidP="00421BB5">
      <w:pPr>
        <w:pStyle w:val="affffffff2"/>
        <w:spacing w:line="540" w:lineRule="exact"/>
        <w:ind w:left="794" w:hanging="794"/>
        <w:jc w:val="both"/>
      </w:pPr>
      <w:r>
        <w:rPr>
          <w:b/>
          <w:szCs w:val="32"/>
        </w:rPr>
        <w:t>伍、散會（下午1時）</w:t>
      </w:r>
    </w:p>
    <w:p w14:paraId="78C3A089" w14:textId="77777777" w:rsidR="00421BB5" w:rsidRPr="00C363F0" w:rsidRDefault="00421BB5" w:rsidP="00421BB5">
      <w:pPr>
        <w:tabs>
          <w:tab w:val="left" w:pos="3252"/>
        </w:tabs>
        <w:spacing w:line="520" w:lineRule="exact"/>
        <w:rPr>
          <w:rFonts w:ascii="標楷體" w:eastAsia="標楷體" w:hAnsi="標楷體" w:cs="新細明體"/>
          <w:sz w:val="32"/>
          <w:szCs w:val="32"/>
        </w:rPr>
      </w:pPr>
    </w:p>
    <w:p w14:paraId="0BBEB444" w14:textId="4331504F" w:rsidR="00421BB5" w:rsidRPr="00A94A92" w:rsidRDefault="00421BB5" w:rsidP="00A94A92">
      <w:pPr>
        <w:widowControl/>
        <w:spacing w:afterLines="50" w:after="180" w:line="500" w:lineRule="exact"/>
        <w:outlineLvl w:val="2"/>
        <w:rPr>
          <w:rFonts w:ascii="標楷體" w:eastAsia="標楷體" w:hAnsi="標楷體"/>
          <w:b/>
          <w:bCs/>
          <w:sz w:val="36"/>
          <w:szCs w:val="36"/>
        </w:rPr>
      </w:pPr>
      <w:r>
        <w:rPr>
          <w:rFonts w:ascii="標楷體" w:eastAsia="標楷體" w:hAnsi="標楷體"/>
          <w:b/>
          <w:sz w:val="32"/>
          <w:szCs w:val="32"/>
        </w:rPr>
        <w:br w:type="page"/>
      </w:r>
      <w:bookmarkStart w:id="540" w:name="法務部"/>
      <w:r w:rsidRPr="00A94A92">
        <w:rPr>
          <w:rFonts w:ascii="標楷體" w:eastAsia="標楷體" w:hAnsi="標楷體" w:hint="eastAsia"/>
          <w:b/>
          <w:bCs/>
          <w:spacing w:val="-10"/>
          <w:sz w:val="36"/>
          <w:szCs w:val="36"/>
        </w:rPr>
        <w:lastRenderedPageBreak/>
        <w:t>立法院司法及法制委員會考察財政部關務署基隆關「有關毒品防制及查緝相關部分，在海運快遞及雜貨櫃通關業務之執行情形」</w:t>
      </w:r>
      <w:bookmarkEnd w:id="540"/>
      <w:r w:rsidRPr="00A94A92">
        <w:rPr>
          <w:rFonts w:ascii="標楷體" w:eastAsia="標楷體" w:hAnsi="標楷體" w:hint="eastAsia"/>
          <w:b/>
          <w:bCs/>
          <w:sz w:val="36"/>
          <w:szCs w:val="36"/>
        </w:rPr>
        <w:t>考察書面紀錄</w:t>
      </w:r>
    </w:p>
    <w:p w14:paraId="2E163945" w14:textId="77777777" w:rsidR="00421BB5" w:rsidRPr="00642BA9" w:rsidRDefault="00421BB5" w:rsidP="00421BB5">
      <w:pPr>
        <w:jc w:val="right"/>
        <w:rPr>
          <w:rFonts w:ascii="標楷體" w:eastAsia="標楷體" w:hAnsi="標楷體"/>
          <w:sz w:val="32"/>
        </w:rPr>
      </w:pPr>
      <w:r w:rsidRPr="00642BA9">
        <w:rPr>
          <w:rFonts w:ascii="標楷體" w:eastAsia="標楷體" w:hAnsi="標楷體" w:hint="eastAsia"/>
          <w:sz w:val="32"/>
        </w:rPr>
        <w:t>日期：民國111年12月19日</w:t>
      </w:r>
    </w:p>
    <w:p w14:paraId="259FD81F" w14:textId="77777777" w:rsidR="00421BB5" w:rsidRPr="00481400" w:rsidRDefault="00421BB5" w:rsidP="007015C7">
      <w:pPr>
        <w:pStyle w:val="affb"/>
        <w:numPr>
          <w:ilvl w:val="0"/>
          <w:numId w:val="41"/>
        </w:numPr>
        <w:ind w:leftChars="0"/>
        <w:rPr>
          <w:rFonts w:ascii="標楷體" w:eastAsia="標楷體" w:hAnsi="標楷體"/>
          <w:b/>
          <w:sz w:val="32"/>
        </w:rPr>
      </w:pPr>
      <w:r w:rsidRPr="00481400">
        <w:rPr>
          <w:rFonts w:ascii="標楷體" w:eastAsia="標楷體" w:hAnsi="標楷體" w:hint="eastAsia"/>
          <w:b/>
          <w:sz w:val="32"/>
        </w:rPr>
        <w:t>前言</w:t>
      </w:r>
    </w:p>
    <w:p w14:paraId="0032DEC1" w14:textId="77777777" w:rsidR="00421BB5" w:rsidRDefault="00421BB5" w:rsidP="004774F7">
      <w:pPr>
        <w:pStyle w:val="Web"/>
        <w:spacing w:before="0" w:beforeAutospacing="0" w:after="0" w:afterAutospacing="0" w:line="700" w:lineRule="exact"/>
        <w:ind w:firstLine="482"/>
        <w:jc w:val="both"/>
        <w:rPr>
          <w:rFonts w:ascii="標楷體" w:eastAsia="標楷體" w:hAnsi="標楷體"/>
          <w:sz w:val="28"/>
        </w:rPr>
      </w:pPr>
      <w:r>
        <w:rPr>
          <w:rFonts w:ascii="標楷體" w:eastAsia="標楷體" w:hAnsi="標楷體" w:hint="eastAsia"/>
          <w:sz w:val="28"/>
        </w:rPr>
        <w:t>第10屆第6會期立法院司法及法制委員會林召集委員思銘、游毓蘭委員、蔡適應委員及司法及法制委員會主任秘書張智為，為瞭解</w:t>
      </w:r>
      <w:r w:rsidRPr="00642BA9">
        <w:rPr>
          <w:rFonts w:ascii="標楷體" w:eastAsia="標楷體" w:hAnsi="標楷體" w:hint="eastAsia"/>
          <w:sz w:val="28"/>
          <w:szCs w:val="22"/>
        </w:rPr>
        <w:t>毒品防制及查緝在海運快遞及雜貨櫃通關業務執行情形</w:t>
      </w:r>
      <w:r w:rsidRPr="00075F8A">
        <w:rPr>
          <w:rFonts w:ascii="標楷體" w:eastAsia="標楷體" w:hAnsi="標楷體" w:hint="eastAsia"/>
          <w:sz w:val="28"/>
          <w:szCs w:val="22"/>
        </w:rPr>
        <w:t>，於民國111年12月19日上午，</w:t>
      </w:r>
      <w:r>
        <w:rPr>
          <w:rFonts w:ascii="標楷體" w:eastAsia="標楷體" w:hAnsi="標楷體" w:hint="eastAsia"/>
          <w:sz w:val="28"/>
          <w:szCs w:val="22"/>
        </w:rPr>
        <w:t>考察財政部關務署(下稱關務署)基隆關，</w:t>
      </w:r>
      <w:r>
        <w:rPr>
          <w:rFonts w:ascii="標楷體" w:eastAsia="標楷體" w:hAnsi="標楷體" w:hint="eastAsia"/>
          <w:sz w:val="28"/>
        </w:rPr>
        <w:t>關務署署長彭英偉及本部常務次長林錦村共同與會進行交流會議，使</w:t>
      </w:r>
      <w:r w:rsidRPr="004E1C78">
        <w:rPr>
          <w:rFonts w:ascii="標楷體" w:eastAsia="標楷體" w:hAnsi="標楷體" w:hint="eastAsia"/>
          <w:sz w:val="28"/>
        </w:rPr>
        <w:t>委員能深入瞭解</w:t>
      </w:r>
      <w:r>
        <w:rPr>
          <w:rFonts w:ascii="標楷體" w:eastAsia="標楷體" w:hAnsi="標楷體" w:hint="eastAsia"/>
          <w:sz w:val="28"/>
        </w:rPr>
        <w:t>邊境毒品查緝之現況、困境及策進方向，作為未來反毒之法制參考，委員們亦給予臺灣高等檢察署及海關邊境緝毒品相關人員鼓勵，期待在提升相關軟硬體設備、環境及檢討法規後，能使我國反毒有成，落實無毒家園之政策目標。</w:t>
      </w:r>
    </w:p>
    <w:p w14:paraId="3A983C26" w14:textId="77777777" w:rsidR="00421BB5" w:rsidRPr="00481400" w:rsidRDefault="00421BB5" w:rsidP="007015C7">
      <w:pPr>
        <w:pStyle w:val="affb"/>
        <w:numPr>
          <w:ilvl w:val="0"/>
          <w:numId w:val="41"/>
        </w:numPr>
        <w:ind w:leftChars="0"/>
        <w:rPr>
          <w:rFonts w:ascii="標楷體" w:eastAsia="標楷體" w:hAnsi="標楷體"/>
          <w:b/>
          <w:sz w:val="32"/>
        </w:rPr>
      </w:pPr>
      <w:r w:rsidRPr="00481400">
        <w:rPr>
          <w:rFonts w:ascii="標楷體" w:eastAsia="標楷體" w:hAnsi="標楷體" w:hint="eastAsia"/>
          <w:b/>
          <w:sz w:val="32"/>
        </w:rPr>
        <w:t>考察行程</w:t>
      </w:r>
    </w:p>
    <w:p w14:paraId="7D4853D2" w14:textId="77777777" w:rsidR="00421BB5" w:rsidRDefault="00421BB5" w:rsidP="004774F7">
      <w:pPr>
        <w:pStyle w:val="affb"/>
        <w:spacing w:line="700" w:lineRule="exact"/>
        <w:ind w:leftChars="0" w:left="0" w:firstLine="482"/>
        <w:jc w:val="both"/>
        <w:rPr>
          <w:rFonts w:ascii="標楷體" w:eastAsia="標楷體" w:hAnsi="標楷體"/>
          <w:sz w:val="28"/>
        </w:rPr>
      </w:pPr>
      <w:r>
        <w:rPr>
          <w:rFonts w:ascii="標楷體" w:eastAsia="標楷體" w:hAnsi="標楷體" w:hint="eastAsia"/>
          <w:sz w:val="28"/>
        </w:rPr>
        <w:t>當日委員關心之主題為邊境</w:t>
      </w:r>
      <w:r w:rsidRPr="00642BA9">
        <w:rPr>
          <w:rFonts w:ascii="標楷體" w:eastAsia="標楷體" w:hAnsi="標楷體" w:hint="eastAsia"/>
          <w:sz w:val="28"/>
        </w:rPr>
        <w:t>毒品防制及查緝在海運快遞及雜貨櫃通關業務之執行情形</w:t>
      </w:r>
      <w:r>
        <w:rPr>
          <w:rFonts w:ascii="標楷體" w:eastAsia="標楷體" w:hAnsi="標楷體" w:hint="eastAsia"/>
          <w:sz w:val="28"/>
        </w:rPr>
        <w:t>，先至臺北港東立海運快遞專區，並由八里分關同仁進行海運快遞之簡報，再至基隆中華貨櫃集散場，由基隆關業務一組同仁進行雜貨櫃查驗之業務簡報，使委員能深切瞭解海運快遞及雜貨櫃之實務操作狀況，詳細行程如下：</w:t>
      </w:r>
    </w:p>
    <w:p w14:paraId="5AC49B98" w14:textId="45719BF5" w:rsidR="00B52769" w:rsidRDefault="0075245C" w:rsidP="00BB1F5F">
      <w:pPr>
        <w:pStyle w:val="affb"/>
        <w:ind w:leftChars="0" w:left="0" w:firstLine="480"/>
        <w:jc w:val="center"/>
        <w:rPr>
          <w:rFonts w:ascii="標楷體" w:eastAsia="標楷體" w:hAnsi="標楷體"/>
          <w:noProof/>
          <w:sz w:val="28"/>
        </w:rPr>
      </w:pPr>
      <w:r>
        <w:rPr>
          <w:noProof/>
        </w:rPr>
        <w:lastRenderedPageBreak/>
        <w:pict w14:anchorId="3CF606DA">
          <v:shape id="圖片 42" o:spid="_x0000_s1052" type="#_x0000_t75" style="position:absolute;left:0;text-align:left;margin-left:51.05pt;margin-top:5.65pt;width:347.4pt;height:583.2pt;z-index:251665408;visibility:visible">
            <v:imagedata r:id="rId34" o:title=""/>
            <w10:wrap type="square"/>
          </v:shape>
        </w:pict>
      </w:r>
    </w:p>
    <w:p w14:paraId="72AC0078" w14:textId="77777777" w:rsidR="00B52769" w:rsidRDefault="00B52769">
      <w:pPr>
        <w:widowControl/>
        <w:rPr>
          <w:rFonts w:ascii="標楷體" w:eastAsia="標楷體" w:hAnsi="標楷體"/>
          <w:noProof/>
          <w:sz w:val="28"/>
          <w:szCs w:val="22"/>
        </w:rPr>
      </w:pPr>
      <w:r>
        <w:rPr>
          <w:rFonts w:ascii="標楷體" w:eastAsia="標楷體" w:hAnsi="標楷體"/>
          <w:noProof/>
          <w:sz w:val="28"/>
        </w:rPr>
        <w:br w:type="page"/>
      </w:r>
    </w:p>
    <w:p w14:paraId="4391FD3F" w14:textId="77777777" w:rsidR="00421BB5" w:rsidRPr="00481400" w:rsidRDefault="00421BB5" w:rsidP="007015C7">
      <w:pPr>
        <w:pStyle w:val="affb"/>
        <w:numPr>
          <w:ilvl w:val="0"/>
          <w:numId w:val="41"/>
        </w:numPr>
        <w:ind w:leftChars="0"/>
        <w:rPr>
          <w:rFonts w:ascii="標楷體" w:eastAsia="標楷體" w:hAnsi="標楷體"/>
          <w:b/>
          <w:sz w:val="32"/>
        </w:rPr>
      </w:pPr>
      <w:r w:rsidRPr="00481400">
        <w:rPr>
          <w:rFonts w:ascii="標楷體" w:eastAsia="標楷體" w:hAnsi="標楷體" w:hint="eastAsia"/>
          <w:b/>
          <w:sz w:val="32"/>
        </w:rPr>
        <w:lastRenderedPageBreak/>
        <w:t>考察過程紀實</w:t>
      </w:r>
    </w:p>
    <w:p w14:paraId="52AD2A5C" w14:textId="75ED37E9" w:rsidR="00421BB5" w:rsidRPr="00642BA9" w:rsidRDefault="00421BB5" w:rsidP="00BB1F5F">
      <w:pPr>
        <w:pStyle w:val="affb"/>
        <w:spacing w:line="480" w:lineRule="auto"/>
        <w:ind w:leftChars="0" w:left="0" w:firstLineChars="55" w:firstLine="154"/>
        <w:jc w:val="center"/>
        <w:rPr>
          <w:rFonts w:ascii="標楷體" w:eastAsia="標楷體" w:hAnsi="標楷體"/>
          <w:sz w:val="28"/>
        </w:rPr>
      </w:pPr>
      <w:r>
        <w:rPr>
          <w:rFonts w:ascii="標楷體" w:eastAsia="標楷體" w:hAnsi="標楷體" w:hint="eastAsia"/>
          <w:sz w:val="28"/>
        </w:rPr>
        <w:t>（一）</w:t>
      </w:r>
      <w:r w:rsidRPr="00B70E2C">
        <w:rPr>
          <w:rFonts w:ascii="標楷體" w:eastAsia="標楷體" w:hAnsi="標楷體" w:hint="eastAsia"/>
          <w:spacing w:val="-20"/>
          <w:sz w:val="28"/>
        </w:rPr>
        <w:t>臺北港東立海運快遞專區聽取簡報後至海運快遞專區進行實地考察。</w:t>
      </w:r>
      <w:r w:rsidR="0075245C">
        <w:rPr>
          <w:rFonts w:ascii="標楷體" w:eastAsia="標楷體" w:hAnsi="標楷體"/>
          <w:noProof/>
          <w:sz w:val="28"/>
        </w:rPr>
        <w:pict w14:anchorId="46792A2B">
          <v:shape id="_x0000_i1040" type="#_x0000_t75" style="width:376.55pt;height:254.95pt;visibility:visible">
            <v:imagedata r:id="rId35" o:title=""/>
          </v:shape>
        </w:pict>
      </w:r>
    </w:p>
    <w:p w14:paraId="583EE868" w14:textId="12DD9B51" w:rsidR="00421BB5" w:rsidRPr="00B70E2C" w:rsidRDefault="00421BB5" w:rsidP="0094228E">
      <w:pPr>
        <w:ind w:leftChars="118" w:left="283" w:firstLineChars="58" w:firstLine="162"/>
        <w:rPr>
          <w:rFonts w:ascii="標楷體" w:eastAsia="標楷體" w:hAnsi="標楷體"/>
          <w:sz w:val="28"/>
        </w:rPr>
      </w:pPr>
    </w:p>
    <w:p w14:paraId="42940397" w14:textId="5A9C3A0E" w:rsidR="00B52769" w:rsidRDefault="0075245C">
      <w:pPr>
        <w:widowControl/>
        <w:rPr>
          <w:rFonts w:ascii="標楷體" w:eastAsia="標楷體" w:hAnsi="標楷體"/>
          <w:sz w:val="28"/>
          <w:szCs w:val="22"/>
        </w:rPr>
      </w:pPr>
      <w:r>
        <w:rPr>
          <w:rFonts w:ascii="標楷體" w:eastAsia="標楷體" w:hAnsi="標楷體"/>
          <w:noProof/>
        </w:rPr>
        <w:pict w14:anchorId="53F16A35">
          <v:shape id="圖片 35" o:spid="_x0000_s1028" type="#_x0000_t75" style="position:absolute;margin-left:18pt;margin-top:34.1pt;width:384pt;height:248.05pt;z-index:251663360;visibility:visible;mso-position-horizontal-relative:margin;mso-width-relative:margin">
            <v:imagedata r:id="rId36" o:title=""/>
            <w10:wrap type="square" anchorx="margin"/>
          </v:shape>
        </w:pict>
      </w:r>
      <w:r w:rsidR="00B52769">
        <w:rPr>
          <w:rFonts w:ascii="標楷體" w:eastAsia="標楷體" w:hAnsi="標楷體"/>
          <w:sz w:val="28"/>
        </w:rPr>
        <w:br w:type="page"/>
      </w:r>
    </w:p>
    <w:p w14:paraId="0066C796" w14:textId="236DB3B6" w:rsidR="00421BB5" w:rsidRPr="00642BA9" w:rsidRDefault="00421BB5" w:rsidP="00421BB5">
      <w:pPr>
        <w:pStyle w:val="affb"/>
        <w:ind w:leftChars="0" w:left="0"/>
        <w:rPr>
          <w:rFonts w:ascii="標楷體" w:eastAsia="標楷體" w:hAnsi="標楷體"/>
          <w:sz w:val="28"/>
        </w:rPr>
      </w:pPr>
      <w:r>
        <w:rPr>
          <w:rFonts w:ascii="標楷體" w:eastAsia="標楷體" w:hAnsi="標楷體" w:hint="eastAsia"/>
          <w:sz w:val="28"/>
        </w:rPr>
        <w:lastRenderedPageBreak/>
        <w:t>（二）基隆中華貨櫃集散場進行實地考察。</w:t>
      </w:r>
    </w:p>
    <w:p w14:paraId="020364E4" w14:textId="7FDB34E6" w:rsidR="00421BB5" w:rsidRDefault="0075245C" w:rsidP="00421BB5">
      <w:pPr>
        <w:pStyle w:val="affb"/>
        <w:ind w:leftChars="0"/>
        <w:jc w:val="center"/>
        <w:rPr>
          <w:rFonts w:ascii="標楷體" w:eastAsia="標楷體" w:hAnsi="標楷體"/>
          <w:sz w:val="28"/>
        </w:rPr>
      </w:pPr>
      <w:r>
        <w:rPr>
          <w:rFonts w:ascii="標楷體" w:eastAsia="標楷體" w:hAnsi="標楷體"/>
          <w:noProof/>
          <w:sz w:val="28"/>
        </w:rPr>
        <w:pict w14:anchorId="31539328">
          <v:shape id="圖片 37" o:spid="_x0000_i1041" type="#_x0000_t75" style="width:359.45pt;height:265.6pt;visibility:visible">
            <v:imagedata r:id="rId37" o:title=""/>
          </v:shape>
        </w:pict>
      </w:r>
    </w:p>
    <w:p w14:paraId="5742366D" w14:textId="77777777" w:rsidR="00421BB5" w:rsidRDefault="00421BB5" w:rsidP="00421BB5">
      <w:pPr>
        <w:pStyle w:val="affb"/>
        <w:ind w:leftChars="0"/>
        <w:rPr>
          <w:rFonts w:ascii="標楷體" w:eastAsia="標楷體" w:hAnsi="標楷體"/>
          <w:sz w:val="28"/>
        </w:rPr>
      </w:pPr>
    </w:p>
    <w:p w14:paraId="222ED346" w14:textId="77777777" w:rsidR="00421BB5" w:rsidRDefault="0075245C" w:rsidP="00421BB5">
      <w:pPr>
        <w:pStyle w:val="affb"/>
        <w:ind w:leftChars="0"/>
        <w:jc w:val="center"/>
        <w:rPr>
          <w:rFonts w:ascii="標楷體" w:eastAsia="標楷體" w:hAnsi="標楷體"/>
          <w:sz w:val="28"/>
        </w:rPr>
      </w:pPr>
      <w:r>
        <w:rPr>
          <w:rFonts w:ascii="標楷體" w:eastAsia="標楷體" w:hAnsi="標楷體"/>
          <w:noProof/>
          <w:sz w:val="28"/>
        </w:rPr>
        <w:pict w14:anchorId="6E412FB5">
          <v:shape id="圖片 38" o:spid="_x0000_i1042" type="#_x0000_t75" style="width:368.55pt;height:276.25pt;visibility:visible">
            <v:imagedata r:id="rId38" o:title=""/>
          </v:shape>
        </w:pict>
      </w:r>
    </w:p>
    <w:p w14:paraId="796BD641" w14:textId="79C9885B" w:rsidR="00421BB5" w:rsidRDefault="0075245C" w:rsidP="00421BB5">
      <w:pPr>
        <w:pStyle w:val="affb"/>
        <w:ind w:leftChars="0"/>
        <w:jc w:val="center"/>
        <w:rPr>
          <w:rFonts w:ascii="標楷體" w:eastAsia="標楷體" w:hAnsi="標楷體"/>
          <w:sz w:val="28"/>
        </w:rPr>
      </w:pPr>
      <w:r>
        <w:rPr>
          <w:rFonts w:ascii="標楷體" w:eastAsia="標楷體" w:hAnsi="標楷體"/>
          <w:noProof/>
          <w:sz w:val="28"/>
        </w:rPr>
        <w:lastRenderedPageBreak/>
        <w:pict w14:anchorId="55D02C36">
          <v:shape id="圖片 39" o:spid="_x0000_i1043" type="#_x0000_t75" style="width:382.95pt;height:276.8pt;visibility:visible">
            <v:imagedata r:id="rId39" o:title="1673249268584"/>
          </v:shape>
        </w:pict>
      </w:r>
    </w:p>
    <w:p w14:paraId="390773CD" w14:textId="77777777" w:rsidR="00421BB5" w:rsidRDefault="00421BB5" w:rsidP="00421BB5">
      <w:pPr>
        <w:pStyle w:val="affb"/>
        <w:ind w:leftChars="0" w:left="0"/>
        <w:rPr>
          <w:rFonts w:ascii="標楷體" w:eastAsia="標楷體" w:hAnsi="標楷體"/>
          <w:sz w:val="28"/>
        </w:rPr>
      </w:pPr>
      <w:r>
        <w:rPr>
          <w:rFonts w:ascii="標楷體" w:eastAsia="標楷體" w:hAnsi="標楷體" w:hint="eastAsia"/>
          <w:sz w:val="28"/>
        </w:rPr>
        <w:t>（三）基隆關大禮堂進行座談</w:t>
      </w:r>
    </w:p>
    <w:p w14:paraId="6DF2406F" w14:textId="475997CA" w:rsidR="00421BB5" w:rsidRPr="00642BA9" w:rsidRDefault="0075245C" w:rsidP="003960B7">
      <w:pPr>
        <w:pStyle w:val="affb"/>
        <w:ind w:leftChars="85" w:left="204"/>
        <w:jc w:val="center"/>
        <w:rPr>
          <w:rFonts w:ascii="標楷體" w:eastAsia="標楷體" w:hAnsi="標楷體"/>
          <w:sz w:val="28"/>
        </w:rPr>
      </w:pPr>
      <w:r>
        <w:rPr>
          <w:rFonts w:ascii="標楷體" w:eastAsia="標楷體" w:hAnsi="標楷體"/>
          <w:noProof/>
          <w:sz w:val="28"/>
        </w:rPr>
        <w:pict w14:anchorId="2E3CFE64">
          <v:shape id="圖片 40" o:spid="_x0000_i1044" type="#_x0000_t75" style="width:386.65pt;height:292.8pt;visibility:visible">
            <v:imagedata r:id="rId40" o:title=""/>
          </v:shape>
        </w:pict>
      </w:r>
    </w:p>
    <w:p w14:paraId="019ECEAD" w14:textId="77777777" w:rsidR="00421BB5" w:rsidRDefault="0075245C" w:rsidP="00421BB5">
      <w:pPr>
        <w:pStyle w:val="affb"/>
        <w:ind w:leftChars="0" w:left="0"/>
        <w:rPr>
          <w:rFonts w:ascii="標楷體" w:eastAsia="標楷體" w:hAnsi="標楷體"/>
          <w:sz w:val="28"/>
        </w:rPr>
      </w:pPr>
      <w:r>
        <w:rPr>
          <w:rFonts w:ascii="標楷體" w:eastAsia="標楷體" w:hAnsi="標楷體"/>
          <w:noProof/>
          <w:sz w:val="28"/>
        </w:rPr>
        <w:lastRenderedPageBreak/>
        <w:pict w14:anchorId="74F815F2">
          <v:shape id="圖片 41" o:spid="_x0000_i1045" type="#_x0000_t75" style="width:418.65pt;height:276.8pt;visibility:visible">
            <v:imagedata r:id="rId41" o:title=""/>
          </v:shape>
        </w:pict>
      </w:r>
    </w:p>
    <w:p w14:paraId="446B6923" w14:textId="77777777" w:rsidR="00421BB5" w:rsidRDefault="00421BB5" w:rsidP="00421BB5">
      <w:pPr>
        <w:pStyle w:val="affb"/>
        <w:ind w:leftChars="0"/>
        <w:rPr>
          <w:rFonts w:ascii="標楷體" w:eastAsia="標楷體" w:hAnsi="標楷體"/>
          <w:sz w:val="28"/>
        </w:rPr>
      </w:pPr>
    </w:p>
    <w:p w14:paraId="67AD3696" w14:textId="77777777" w:rsidR="00421BB5" w:rsidRPr="00481400" w:rsidRDefault="00421BB5" w:rsidP="007015C7">
      <w:pPr>
        <w:pStyle w:val="affb"/>
        <w:numPr>
          <w:ilvl w:val="0"/>
          <w:numId w:val="41"/>
        </w:numPr>
        <w:ind w:leftChars="0"/>
        <w:rPr>
          <w:rFonts w:ascii="標楷體" w:eastAsia="標楷體" w:hAnsi="標楷體"/>
          <w:b/>
          <w:sz w:val="32"/>
        </w:rPr>
      </w:pPr>
      <w:r w:rsidRPr="00481400">
        <w:rPr>
          <w:rFonts w:ascii="標楷體" w:eastAsia="標楷體" w:hAnsi="標楷體" w:hint="eastAsia"/>
          <w:b/>
          <w:sz w:val="32"/>
        </w:rPr>
        <w:t>結論與建議</w:t>
      </w:r>
    </w:p>
    <w:p w14:paraId="7B13F9BF" w14:textId="77777777" w:rsidR="00421BB5" w:rsidRDefault="00421BB5" w:rsidP="00421BB5">
      <w:pPr>
        <w:spacing w:line="500" w:lineRule="exact"/>
        <w:jc w:val="both"/>
        <w:rPr>
          <w:rFonts w:ascii="標楷體" w:eastAsia="標楷體" w:hAnsi="標楷體"/>
          <w:sz w:val="28"/>
        </w:rPr>
      </w:pPr>
      <w:r>
        <w:rPr>
          <w:rFonts w:ascii="標楷體" w:eastAsia="標楷體" w:hAnsi="標楷體" w:hint="eastAsia"/>
          <w:sz w:val="28"/>
        </w:rPr>
        <w:t>委員就當日考察行程結束後，在座談會中除勉勵關務署及各緝毒單位外，並關心第一線同仁工作環境之改善，更進一步提出有關</w:t>
      </w:r>
      <w:r w:rsidRPr="00443D5D">
        <w:rPr>
          <w:rFonts w:ascii="標楷體" w:eastAsia="標楷體" w:hAnsi="標楷體" w:hint="eastAsia"/>
          <w:sz w:val="28"/>
        </w:rPr>
        <w:t>放寬海運快遞業者總量管制</w:t>
      </w:r>
      <w:r>
        <w:rPr>
          <w:rFonts w:ascii="標楷體" w:eastAsia="標楷體" w:hAnsi="標楷體" w:hint="eastAsia"/>
          <w:sz w:val="28"/>
        </w:rPr>
        <w:t>之建議，請</w:t>
      </w:r>
      <w:r w:rsidRPr="00443D5D">
        <w:rPr>
          <w:rFonts w:ascii="標楷體" w:eastAsia="標楷體" w:hAnsi="標楷體" w:hint="eastAsia"/>
          <w:sz w:val="28"/>
        </w:rPr>
        <w:t>關務署於112年2月1日前</w:t>
      </w:r>
      <w:r>
        <w:rPr>
          <w:rFonts w:ascii="標楷體" w:eastAsia="標楷體" w:hAnsi="標楷體" w:hint="eastAsia"/>
          <w:sz w:val="28"/>
        </w:rPr>
        <w:t>研提相關評估報告陳報財政部，另</w:t>
      </w:r>
      <w:r w:rsidRPr="00443D5D">
        <w:rPr>
          <w:rFonts w:ascii="標楷體" w:eastAsia="標楷體" w:hAnsi="標楷體" w:hint="eastAsia"/>
          <w:sz w:val="28"/>
        </w:rPr>
        <w:t>請法務部於3個月內，就現行海運進口雜貨通關方式可能存在缺失，提出改善建議及評估報告。</w:t>
      </w:r>
      <w:r>
        <w:rPr>
          <w:rFonts w:ascii="標楷體" w:eastAsia="標楷體" w:hAnsi="標楷體" w:hint="eastAsia"/>
          <w:sz w:val="28"/>
        </w:rPr>
        <w:t>（詳參後附會議紀錄）</w:t>
      </w:r>
    </w:p>
    <w:p w14:paraId="4A6D545F" w14:textId="77777777" w:rsidR="00E01993" w:rsidRDefault="00421BB5" w:rsidP="001D62D5">
      <w:pPr>
        <w:spacing w:afterLines="50" w:after="180" w:line="500" w:lineRule="exact"/>
        <w:jc w:val="both"/>
        <w:outlineLvl w:val="2"/>
        <w:rPr>
          <w:rFonts w:ascii="標楷體" w:eastAsia="標楷體" w:hAnsi="標楷體"/>
          <w:sz w:val="28"/>
        </w:rPr>
      </w:pPr>
      <w:r>
        <w:rPr>
          <w:rFonts w:ascii="標楷體" w:eastAsia="標楷體" w:hAnsi="標楷體"/>
          <w:sz w:val="28"/>
        </w:rPr>
        <w:br w:type="page"/>
      </w:r>
      <w:bookmarkStart w:id="541" w:name="法務部調查局"/>
    </w:p>
    <w:p w14:paraId="4ED88E0A" w14:textId="6C50615A" w:rsidR="00E01993" w:rsidRDefault="00E01993" w:rsidP="001D62D5">
      <w:pPr>
        <w:spacing w:afterLines="50" w:after="180" w:line="500" w:lineRule="exact"/>
        <w:jc w:val="both"/>
        <w:outlineLvl w:val="2"/>
        <w:rPr>
          <w:rFonts w:ascii="標楷體" w:eastAsia="標楷體" w:hAnsi="標楷體"/>
          <w:sz w:val="28"/>
        </w:rPr>
      </w:pPr>
      <w:r w:rsidRPr="00E01993">
        <w:rPr>
          <w:rFonts w:ascii="標楷體" w:eastAsia="標楷體" w:hAnsi="標楷體" w:hint="eastAsia"/>
          <w:sz w:val="28"/>
          <w:bdr w:val="single" w:sz="4" w:space="0" w:color="auto"/>
        </w:rPr>
        <w:lastRenderedPageBreak/>
        <w:t>附件</w:t>
      </w:r>
    </w:p>
    <w:p w14:paraId="48610BBF" w14:textId="3FD44E9C" w:rsidR="00421BB5" w:rsidRPr="00E01993" w:rsidRDefault="00421BB5" w:rsidP="001D62D5">
      <w:pPr>
        <w:spacing w:afterLines="50" w:after="180" w:line="500" w:lineRule="exact"/>
        <w:jc w:val="both"/>
        <w:outlineLvl w:val="2"/>
        <w:rPr>
          <w:rFonts w:ascii="標楷體" w:eastAsia="標楷體" w:hAnsi="標楷體"/>
          <w:b/>
          <w:bCs/>
          <w:sz w:val="28"/>
          <w:szCs w:val="28"/>
        </w:rPr>
      </w:pPr>
      <w:r w:rsidRPr="00E01993">
        <w:rPr>
          <w:rFonts w:ascii="標楷體" w:eastAsia="標楷體" w:hAnsi="標楷體" w:hint="eastAsia"/>
          <w:b/>
          <w:bCs/>
          <w:sz w:val="28"/>
          <w:szCs w:val="28"/>
        </w:rPr>
        <w:t>立法院司法及法制委員會考察財政部關務署基隆關「有關毒品防制及查緝相關部分，在海運快遞及雜貨櫃通關業務之執行情形」會議紀錄</w:t>
      </w:r>
    </w:p>
    <w:p w14:paraId="4E0C85DD" w14:textId="77777777" w:rsidR="00421BB5" w:rsidRPr="00D03C48" w:rsidRDefault="00421BB5" w:rsidP="00421BB5">
      <w:pPr>
        <w:widowControl/>
        <w:spacing w:line="560" w:lineRule="exact"/>
        <w:rPr>
          <w:rFonts w:ascii="新細明體" w:hAnsi="新細明體" w:cs="新細明體"/>
          <w:kern w:val="0"/>
          <w:sz w:val="22"/>
        </w:rPr>
      </w:pPr>
      <w:r w:rsidRPr="00D03C48">
        <w:rPr>
          <w:rFonts w:ascii="標楷體" w:eastAsia="標楷體" w:hAnsi="標楷體" w:cs="新細明體" w:hint="eastAsia"/>
          <w:kern w:val="0"/>
          <w:sz w:val="28"/>
          <w:szCs w:val="32"/>
        </w:rPr>
        <w:t>考察時間：111年12月19日（週一）上午9時10分</w:t>
      </w:r>
    </w:p>
    <w:p w14:paraId="51784334" w14:textId="77777777" w:rsidR="00421BB5" w:rsidRPr="00D03C48" w:rsidRDefault="00421BB5" w:rsidP="00421BB5">
      <w:pPr>
        <w:widowControl/>
        <w:spacing w:line="560" w:lineRule="exact"/>
        <w:rPr>
          <w:rFonts w:ascii="新細明體" w:hAnsi="新細明體" w:cs="新細明體"/>
          <w:kern w:val="0"/>
          <w:sz w:val="22"/>
        </w:rPr>
      </w:pPr>
      <w:r w:rsidRPr="00D03C48">
        <w:rPr>
          <w:rFonts w:ascii="標楷體" w:eastAsia="標楷體" w:hAnsi="標楷體" w:cs="新細明體" w:hint="eastAsia"/>
          <w:kern w:val="0"/>
          <w:sz w:val="28"/>
          <w:szCs w:val="32"/>
        </w:rPr>
        <w:t>考察地點：臺北港東立快遞專區、中華貨櫃場</w:t>
      </w:r>
    </w:p>
    <w:p w14:paraId="0DB70C84" w14:textId="77777777" w:rsidR="00421BB5" w:rsidRPr="00D03C48" w:rsidRDefault="00421BB5" w:rsidP="00421BB5">
      <w:pPr>
        <w:widowControl/>
        <w:spacing w:line="560" w:lineRule="exact"/>
        <w:rPr>
          <w:rFonts w:ascii="新細明體" w:hAnsi="新細明體" w:cs="新細明體"/>
          <w:kern w:val="0"/>
          <w:sz w:val="22"/>
        </w:rPr>
      </w:pPr>
      <w:r w:rsidRPr="00D03C48">
        <w:rPr>
          <w:rFonts w:ascii="標楷體" w:eastAsia="標楷體" w:hAnsi="標楷體" w:cs="新細明體" w:hint="eastAsia"/>
          <w:kern w:val="0"/>
          <w:sz w:val="28"/>
          <w:szCs w:val="32"/>
        </w:rPr>
        <w:t>意見交流與座談會地點：基隆關4樓大禮堂</w:t>
      </w:r>
    </w:p>
    <w:p w14:paraId="4267E9A3" w14:textId="77777777" w:rsidR="00421BB5" w:rsidRPr="00D03C48" w:rsidRDefault="00421BB5" w:rsidP="00421BB5">
      <w:pPr>
        <w:widowControl/>
        <w:spacing w:line="480" w:lineRule="exact"/>
        <w:rPr>
          <w:rFonts w:ascii="新細明體" w:hAnsi="新細明體" w:cs="新細明體"/>
          <w:kern w:val="0"/>
          <w:sz w:val="22"/>
        </w:rPr>
      </w:pPr>
      <w:r w:rsidRPr="00D03C48">
        <w:rPr>
          <w:rFonts w:ascii="標楷體" w:eastAsia="標楷體" w:hAnsi="標楷體" w:cs="新細明體" w:hint="eastAsia"/>
          <w:b/>
          <w:bCs/>
          <w:kern w:val="0"/>
          <w:sz w:val="28"/>
          <w:szCs w:val="32"/>
        </w:rPr>
        <w:t>壹、主席</w:t>
      </w:r>
      <w:r w:rsidRPr="00D03C48">
        <w:rPr>
          <w:rFonts w:ascii="標楷體" w:eastAsia="標楷體" w:hAnsi="標楷體" w:cs="新細明體" w:hint="eastAsia"/>
          <w:kern w:val="0"/>
          <w:sz w:val="28"/>
          <w:szCs w:val="32"/>
        </w:rPr>
        <w:t>：林召集委員思銘           紀錄：彭股長智平</w:t>
      </w:r>
    </w:p>
    <w:p w14:paraId="277AE935" w14:textId="77777777" w:rsidR="00421BB5" w:rsidRPr="00D03C48" w:rsidRDefault="00421BB5" w:rsidP="00421BB5">
      <w:pPr>
        <w:widowControl/>
        <w:spacing w:line="480" w:lineRule="exact"/>
        <w:rPr>
          <w:rFonts w:ascii="新細明體" w:hAnsi="新細明體" w:cs="新細明體"/>
          <w:kern w:val="0"/>
          <w:sz w:val="22"/>
        </w:rPr>
      </w:pPr>
      <w:r w:rsidRPr="00D03C48">
        <w:rPr>
          <w:rFonts w:ascii="標楷體" w:eastAsia="標楷體" w:hAnsi="標楷體" w:cs="新細明體" w:hint="eastAsia"/>
          <w:b/>
          <w:bCs/>
          <w:kern w:val="0"/>
          <w:sz w:val="28"/>
          <w:szCs w:val="32"/>
        </w:rPr>
        <w:t>貳、出席單位及人員</w:t>
      </w:r>
      <w:r w:rsidRPr="00D03C48">
        <w:rPr>
          <w:rFonts w:ascii="標楷體" w:eastAsia="標楷體" w:hAnsi="標楷體" w:cs="新細明體" w:hint="eastAsia"/>
          <w:kern w:val="0"/>
          <w:sz w:val="28"/>
          <w:szCs w:val="32"/>
        </w:rPr>
        <w:t xml:space="preserve">：(詳出席人員名單) </w:t>
      </w:r>
    </w:p>
    <w:p w14:paraId="31516BAC" w14:textId="77777777" w:rsidR="00421BB5" w:rsidRPr="00D03C48" w:rsidRDefault="00421BB5" w:rsidP="00421BB5">
      <w:pPr>
        <w:widowControl/>
        <w:spacing w:line="480" w:lineRule="exact"/>
        <w:rPr>
          <w:rFonts w:ascii="新細明體" w:hAnsi="新細明體" w:cs="新細明體"/>
          <w:kern w:val="0"/>
          <w:sz w:val="22"/>
        </w:rPr>
      </w:pPr>
      <w:r w:rsidRPr="00D03C48">
        <w:rPr>
          <w:rFonts w:ascii="標楷體" w:eastAsia="標楷體" w:hAnsi="標楷體" w:cs="新細明體" w:hint="eastAsia"/>
          <w:b/>
          <w:bCs/>
          <w:kern w:val="0"/>
          <w:sz w:val="28"/>
          <w:szCs w:val="32"/>
        </w:rPr>
        <w:t>參、意見交流及委員提示事項</w:t>
      </w:r>
    </w:p>
    <w:p w14:paraId="1B9C8206" w14:textId="7430B538" w:rsidR="00421BB5" w:rsidRPr="00D03C48" w:rsidRDefault="00421BB5" w:rsidP="007F3C05">
      <w:pPr>
        <w:widowControl/>
        <w:spacing w:before="100" w:beforeAutospacing="1" w:line="539" w:lineRule="atLeast"/>
        <w:ind w:left="990" w:hanging="510"/>
        <w:jc w:val="both"/>
        <w:rPr>
          <w:rFonts w:ascii="新細明體" w:hAnsi="新細明體" w:cs="新細明體"/>
          <w:kern w:val="0"/>
          <w:sz w:val="22"/>
        </w:rPr>
      </w:pPr>
      <w:r w:rsidRPr="00D03C48">
        <w:rPr>
          <w:rFonts w:ascii="標楷體" w:eastAsia="標楷體" w:hAnsi="標楷體" w:cs="新細明體" w:hint="eastAsia"/>
          <w:kern w:val="0"/>
          <w:sz w:val="28"/>
          <w:szCs w:val="32"/>
        </w:rPr>
        <w:t>一、林委員思銘：雜貨櫃通關方式，漏洞似乎較海運快遞為多，且查驗環境也待積極改善。雖然海關查驗甚嚴，市面上毒品案件仍時有所聞，顯見毒品走私仍有黑數。海關於雜貨櫃查獲的危安物品，僅有毒品及毒品先驅物的數據，未有查獲槍枝案件，請海關提供查獲槍枝之相關數據。另請法務部於3個月內，就現行海運進口雜貨通關方式可能存在缺失，提出改善建議及評估報告。</w:t>
      </w:r>
    </w:p>
    <w:p w14:paraId="5E34E02B" w14:textId="2C092973" w:rsidR="00421BB5" w:rsidRPr="00D03C48" w:rsidRDefault="00421BB5" w:rsidP="007F3C05">
      <w:pPr>
        <w:widowControl/>
        <w:spacing w:before="100" w:beforeAutospacing="1" w:line="539" w:lineRule="atLeast"/>
        <w:ind w:left="990" w:hanging="510"/>
        <w:jc w:val="both"/>
        <w:rPr>
          <w:rFonts w:ascii="新細明體" w:hAnsi="新細明體" w:cs="新細明體"/>
          <w:kern w:val="0"/>
          <w:sz w:val="22"/>
        </w:rPr>
      </w:pPr>
      <w:r w:rsidRPr="00D03C48">
        <w:rPr>
          <w:rFonts w:ascii="標楷體" w:eastAsia="標楷體" w:hAnsi="標楷體" w:cs="新細明體" w:hint="eastAsia"/>
          <w:kern w:val="0"/>
          <w:sz w:val="28"/>
          <w:szCs w:val="32"/>
        </w:rPr>
        <w:t>二、游委員毓蘭：雜貨櫃查驗區照明不足，場域老舊，與海運快遞通關環境相去甚遠，應儘可能寬列預算用以改善環境，並增編執行查驗工作同仁驗貨裝備。近來聽聞馬祖海運快遞已開始營運，希望將來其他地區如金門等，也能傳出好消息。對於辛苦工作的同仁，須適時給予鼓勵及注意防弊。</w:t>
      </w:r>
    </w:p>
    <w:p w14:paraId="2D88B01B" w14:textId="10EF705D" w:rsidR="00421BB5" w:rsidRPr="00D03C48" w:rsidRDefault="00421BB5" w:rsidP="00421BB5">
      <w:pPr>
        <w:widowControl/>
        <w:spacing w:before="100" w:beforeAutospacing="1" w:line="539" w:lineRule="atLeast"/>
        <w:ind w:left="990" w:hanging="510"/>
        <w:rPr>
          <w:rFonts w:ascii="新細明體" w:hAnsi="新細明體" w:cs="新細明體"/>
          <w:kern w:val="0"/>
          <w:sz w:val="22"/>
        </w:rPr>
      </w:pPr>
      <w:r w:rsidRPr="00D03C48">
        <w:rPr>
          <w:rFonts w:ascii="標楷體" w:eastAsia="標楷體" w:hAnsi="標楷體" w:cs="新細明體" w:hint="eastAsia"/>
          <w:kern w:val="0"/>
          <w:sz w:val="28"/>
          <w:szCs w:val="32"/>
        </w:rPr>
        <w:lastRenderedPageBreak/>
        <w:t>三、蔡委員適應：請海關加速研議放寬海運快遞業者總量管制，並請財政部關務署(下稱關務署)提供辦理進度期程表，於1個月內向財政部提出評估報告。</w:t>
      </w:r>
    </w:p>
    <w:p w14:paraId="6FD8D785" w14:textId="659B11B3" w:rsidR="00421BB5" w:rsidRPr="00D03C48" w:rsidRDefault="00421BB5" w:rsidP="007F3C05">
      <w:pPr>
        <w:widowControl/>
        <w:spacing w:before="100" w:beforeAutospacing="1" w:line="539" w:lineRule="atLeast"/>
        <w:ind w:left="990" w:hanging="510"/>
        <w:jc w:val="both"/>
        <w:rPr>
          <w:rFonts w:ascii="新細明體" w:hAnsi="新細明體" w:cs="新細明體"/>
          <w:kern w:val="0"/>
          <w:sz w:val="22"/>
        </w:rPr>
      </w:pPr>
      <w:r w:rsidRPr="00D03C48">
        <w:rPr>
          <w:rFonts w:ascii="標楷體" w:eastAsia="標楷體" w:hAnsi="標楷體" w:cs="新細明體" w:hint="eastAsia"/>
          <w:kern w:val="0"/>
          <w:sz w:val="28"/>
          <w:szCs w:val="32"/>
        </w:rPr>
        <w:t>四、林常務次長錦村：臺灣高等檢察署(下稱高檢署)藉由關務邊境安全聯繫會報，就貨物通關與關務署進行常態性交流，對海關採納高檢署意見，積極推動實名制及取消併袋等措施表示感謝。</w:t>
      </w:r>
    </w:p>
    <w:p w14:paraId="6CD0EFBE" w14:textId="20481075" w:rsidR="00421BB5" w:rsidRPr="00D03C48" w:rsidRDefault="00421BB5" w:rsidP="007F3C05">
      <w:pPr>
        <w:widowControl/>
        <w:spacing w:before="100" w:beforeAutospacing="1" w:line="539" w:lineRule="atLeast"/>
        <w:ind w:left="990" w:hanging="510"/>
        <w:jc w:val="both"/>
        <w:rPr>
          <w:rFonts w:ascii="新細明體" w:hAnsi="新細明體" w:cs="新細明體"/>
          <w:kern w:val="0"/>
          <w:sz w:val="22"/>
        </w:rPr>
      </w:pPr>
      <w:r w:rsidRPr="00D03C48">
        <w:rPr>
          <w:rFonts w:ascii="標楷體" w:eastAsia="標楷體" w:hAnsi="標楷體" w:cs="新細明體" w:hint="eastAsia"/>
          <w:kern w:val="0"/>
          <w:sz w:val="28"/>
          <w:szCs w:val="32"/>
        </w:rPr>
        <w:t>五、彭署長英偉：海關幅員廣闊，全國共108個通關點，目前查獲毒品案件以臺北關空運快遞最多，其他通關方式則相對較少，同仁仍應以料敵從寬、禦敵從嚴的態度加強查緝及防範。海關同仁對於毒品查緝非常努力，110年度查獲360餘件中，有95%皆係無密報狀況下緝獲，111年度海關無密報自行緝獲毒品案件比率也高達85%以上。另近4年僅110年於雜貨櫃中查獲1件危安物品為3級毒品，尚無查獲槍枝案件。</w:t>
      </w:r>
    </w:p>
    <w:p w14:paraId="268A318E" w14:textId="77777777" w:rsidR="00421BB5" w:rsidRPr="00D03C48" w:rsidRDefault="00421BB5" w:rsidP="007F3C05">
      <w:pPr>
        <w:widowControl/>
        <w:spacing w:before="100" w:beforeAutospacing="1" w:line="539" w:lineRule="atLeast"/>
        <w:ind w:left="993"/>
        <w:jc w:val="both"/>
        <w:rPr>
          <w:rFonts w:ascii="新細明體" w:hAnsi="新細明體" w:cs="新細明體"/>
          <w:kern w:val="0"/>
          <w:sz w:val="22"/>
        </w:rPr>
      </w:pPr>
      <w:r w:rsidRPr="00D03C48">
        <w:rPr>
          <w:rFonts w:ascii="標楷體" w:eastAsia="標楷體" w:hAnsi="標楷體" w:cs="新細明體" w:hint="eastAsia"/>
          <w:kern w:val="0"/>
          <w:sz w:val="28"/>
          <w:szCs w:val="32"/>
        </w:rPr>
        <w:t>海關對於海運快遞總量管制均持續檢討及評估，以目前海運快遞人力配置來看，開放一條通關線約需4至6人，一個專區約需20至30人，若專區設在離島則約需40人，人力不足一直是海運快遞是否開放的重要考量因素。</w:t>
      </w:r>
    </w:p>
    <w:p w14:paraId="1E9BCCDC" w14:textId="77777777" w:rsidR="00421BB5" w:rsidRPr="00D03C48" w:rsidRDefault="00421BB5" w:rsidP="007F3C05">
      <w:pPr>
        <w:widowControl/>
        <w:spacing w:before="100" w:beforeAutospacing="1" w:line="539" w:lineRule="atLeast"/>
        <w:ind w:left="851"/>
        <w:jc w:val="both"/>
        <w:rPr>
          <w:rFonts w:ascii="新細明體" w:hAnsi="新細明體" w:cs="新細明體"/>
          <w:kern w:val="0"/>
          <w:sz w:val="22"/>
        </w:rPr>
      </w:pPr>
      <w:r w:rsidRPr="00D03C48">
        <w:rPr>
          <w:rFonts w:ascii="標楷體" w:eastAsia="標楷體" w:hAnsi="標楷體" w:cs="新細明體" w:hint="eastAsia"/>
          <w:kern w:val="0"/>
          <w:sz w:val="28"/>
          <w:szCs w:val="32"/>
        </w:rPr>
        <w:lastRenderedPageBreak/>
        <w:t>至於海關的防弊作為，依據「關務人員職期調任互調或輪調辦法」規定，關務人員每3年實施跨課輪調，每5年實施跨組或跨分關輪調，以防止弊端發生。最後感謝委員對海關驗貨同仁的關心與支持，我們將努力改善同仁驗貨環境，此外，經費部分，尚請委員鼎力支持。</w:t>
      </w:r>
    </w:p>
    <w:p w14:paraId="5A0ED735" w14:textId="77777777" w:rsidR="00421BB5" w:rsidRPr="00D03C48" w:rsidRDefault="00421BB5" w:rsidP="00421BB5">
      <w:pPr>
        <w:widowControl/>
        <w:spacing w:before="100" w:beforeAutospacing="1" w:line="539" w:lineRule="atLeast"/>
        <w:rPr>
          <w:rFonts w:ascii="新細明體" w:hAnsi="新細明體" w:cs="新細明體"/>
          <w:kern w:val="0"/>
          <w:sz w:val="22"/>
        </w:rPr>
      </w:pPr>
      <w:r w:rsidRPr="00D03C48">
        <w:rPr>
          <w:rFonts w:ascii="標楷體" w:eastAsia="標楷體" w:hAnsi="標楷體" w:cs="新細明體" w:hint="eastAsia"/>
          <w:b/>
          <w:bCs/>
          <w:kern w:val="0"/>
          <w:sz w:val="28"/>
          <w:szCs w:val="32"/>
        </w:rPr>
        <w:t>肆、會議結論：</w:t>
      </w:r>
    </w:p>
    <w:p w14:paraId="0662EA71" w14:textId="77777777" w:rsidR="00421BB5" w:rsidRPr="00D03C48" w:rsidRDefault="00421BB5" w:rsidP="007F3C05">
      <w:pPr>
        <w:widowControl/>
        <w:spacing w:before="100" w:beforeAutospacing="1" w:line="539" w:lineRule="atLeast"/>
        <w:ind w:left="993" w:hanging="513"/>
        <w:rPr>
          <w:rFonts w:ascii="新細明體" w:hAnsi="新細明體" w:cs="新細明體"/>
          <w:kern w:val="0"/>
          <w:sz w:val="22"/>
        </w:rPr>
      </w:pPr>
      <w:r w:rsidRPr="00D03C48">
        <w:rPr>
          <w:rFonts w:ascii="標楷體" w:eastAsia="標楷體" w:hAnsi="標楷體" w:cs="新細明體" w:hint="eastAsia"/>
          <w:kern w:val="0"/>
          <w:sz w:val="28"/>
          <w:szCs w:val="32"/>
        </w:rPr>
        <w:t>一、請關務署於112年2月1日前就研議放寬海運快遞業者總量管制，研提相關評估報告陳報財政部。</w:t>
      </w:r>
    </w:p>
    <w:p w14:paraId="1BC8B0E4" w14:textId="77777777" w:rsidR="00421BB5" w:rsidRPr="00D03C48" w:rsidRDefault="00421BB5" w:rsidP="007F3C05">
      <w:pPr>
        <w:widowControl/>
        <w:spacing w:before="100" w:beforeAutospacing="1" w:line="539" w:lineRule="atLeast"/>
        <w:ind w:left="993" w:hanging="513"/>
        <w:rPr>
          <w:rFonts w:ascii="新細明體" w:hAnsi="新細明體" w:cs="新細明體"/>
          <w:kern w:val="0"/>
          <w:sz w:val="22"/>
        </w:rPr>
      </w:pPr>
      <w:r w:rsidRPr="00D03C48">
        <w:rPr>
          <w:rFonts w:ascii="標楷體" w:eastAsia="標楷體" w:hAnsi="標楷體" w:cs="新細明體" w:hint="eastAsia"/>
          <w:kern w:val="0"/>
          <w:sz w:val="28"/>
          <w:szCs w:val="32"/>
        </w:rPr>
        <w:t>二、請法務部於3個月內，就現行海運進口雜貨通關方式可能存在缺失，提出改善建議及評估報告。</w:t>
      </w:r>
    </w:p>
    <w:p w14:paraId="4B65818A" w14:textId="6FB994BB" w:rsidR="00421BB5" w:rsidRPr="006D3CD8" w:rsidRDefault="00421BB5" w:rsidP="00843AD4">
      <w:pPr>
        <w:spacing w:line="500" w:lineRule="exact"/>
        <w:rPr>
          <w:rFonts w:ascii="標楷體" w:eastAsia="標楷體" w:hAnsi="標楷體"/>
          <w:b/>
          <w:bCs/>
          <w:sz w:val="32"/>
          <w:szCs w:val="28"/>
        </w:rPr>
      </w:pPr>
      <w:r w:rsidRPr="00D03C48">
        <w:rPr>
          <w:rFonts w:ascii="標楷體" w:eastAsia="標楷體" w:hAnsi="標楷體" w:hint="eastAsia"/>
          <w:b/>
          <w:bCs/>
          <w:sz w:val="28"/>
          <w:szCs w:val="32"/>
        </w:rPr>
        <w:t>伍、散會（下午1時）</w:t>
      </w:r>
      <w:r>
        <w:rPr>
          <w:rFonts w:ascii="標楷體" w:eastAsia="標楷體" w:hAnsi="標楷體"/>
          <w:sz w:val="28"/>
        </w:rPr>
        <w:br w:type="page"/>
      </w:r>
      <w:r w:rsidRPr="00094FF4">
        <w:rPr>
          <w:rFonts w:ascii="標楷體" w:eastAsia="標楷體" w:hAnsi="標楷體" w:hint="eastAsia"/>
          <w:b/>
          <w:bCs/>
          <w:spacing w:val="-10"/>
          <w:sz w:val="36"/>
          <w:szCs w:val="36"/>
        </w:rPr>
        <w:lastRenderedPageBreak/>
        <w:t>立法院司法及法制委員會考察財政部關務署基隆關「有關毒品防制及查緝相關部分，在海運快遞及雜貨櫃通關業務之執行情形」</w:t>
      </w:r>
      <w:r w:rsidRPr="00094FF4">
        <w:rPr>
          <w:rFonts w:ascii="標楷體" w:eastAsia="標楷體" w:hAnsi="標楷體" w:hint="eastAsia"/>
          <w:b/>
          <w:bCs/>
          <w:sz w:val="36"/>
          <w:szCs w:val="36"/>
        </w:rPr>
        <w:t>座談會會議紀錄</w:t>
      </w:r>
      <w:bookmarkEnd w:id="541"/>
    </w:p>
    <w:p w14:paraId="10275D55" w14:textId="77777777" w:rsidR="00421BB5" w:rsidRPr="006D3CD8" w:rsidRDefault="00421BB5" w:rsidP="007015C7">
      <w:pPr>
        <w:pStyle w:val="affb"/>
        <w:numPr>
          <w:ilvl w:val="0"/>
          <w:numId w:val="40"/>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時間：111 年 12月 19 日上午 11 時 20 分</w:t>
      </w:r>
    </w:p>
    <w:p w14:paraId="51344352" w14:textId="77777777" w:rsidR="00421BB5" w:rsidRPr="006D3CD8" w:rsidRDefault="00421BB5" w:rsidP="007015C7">
      <w:pPr>
        <w:pStyle w:val="affb"/>
        <w:numPr>
          <w:ilvl w:val="0"/>
          <w:numId w:val="40"/>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地點：財政部關務署基隆關4樓大禮堂</w:t>
      </w:r>
    </w:p>
    <w:p w14:paraId="5D077887" w14:textId="77777777" w:rsidR="00421BB5" w:rsidRPr="006D3CD8" w:rsidRDefault="00421BB5" w:rsidP="007015C7">
      <w:pPr>
        <w:pStyle w:val="affb"/>
        <w:numPr>
          <w:ilvl w:val="0"/>
          <w:numId w:val="40"/>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主持人：林召集委員思銘</w:t>
      </w:r>
    </w:p>
    <w:p w14:paraId="02A7C7C9" w14:textId="77777777" w:rsidR="00421BB5" w:rsidRPr="00877E80" w:rsidRDefault="00421BB5" w:rsidP="007015C7">
      <w:pPr>
        <w:pStyle w:val="affb"/>
        <w:numPr>
          <w:ilvl w:val="0"/>
          <w:numId w:val="40"/>
        </w:numPr>
        <w:spacing w:line="500" w:lineRule="exact"/>
        <w:ind w:leftChars="0" w:left="567" w:hanging="567"/>
        <w:jc w:val="both"/>
        <w:rPr>
          <w:rFonts w:ascii="標楷體" w:eastAsia="標楷體" w:hAnsi="標楷體"/>
          <w:color w:val="000000"/>
          <w:sz w:val="28"/>
          <w:szCs w:val="28"/>
        </w:rPr>
      </w:pPr>
      <w:r w:rsidRPr="006D3CD8">
        <w:rPr>
          <w:rFonts w:ascii="標楷體" w:eastAsia="標楷體" w:hAnsi="標楷體" w:hint="eastAsia"/>
          <w:sz w:val="28"/>
          <w:szCs w:val="28"/>
        </w:rPr>
        <w:t>出席委員及機關人員：詳</w:t>
      </w:r>
      <w:r w:rsidRPr="00877E80">
        <w:rPr>
          <w:rFonts w:ascii="標楷體" w:eastAsia="標楷體" w:hAnsi="標楷體" w:hint="eastAsia"/>
          <w:color w:val="000000"/>
          <w:sz w:val="28"/>
          <w:szCs w:val="28"/>
        </w:rPr>
        <w:t>參加人員名單</w:t>
      </w:r>
    </w:p>
    <w:p w14:paraId="79A81D58" w14:textId="77777777" w:rsidR="00421BB5" w:rsidRPr="006D3CD8" w:rsidRDefault="00421BB5" w:rsidP="007015C7">
      <w:pPr>
        <w:pStyle w:val="affb"/>
        <w:numPr>
          <w:ilvl w:val="0"/>
          <w:numId w:val="40"/>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意見交流（出席委員及機關人員發言摘要）：</w:t>
      </w:r>
    </w:p>
    <w:p w14:paraId="417AA312"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林召集委員思銘：本次考察主要目的是希望瞭解海運快遞及雜貨櫃通關的檢驗流程，並就毒品防制及查緝部分檢討有無漏洞，</w:t>
      </w:r>
      <w:r>
        <w:rPr>
          <w:rFonts w:ascii="標楷體" w:eastAsia="標楷體" w:hAnsi="標楷體" w:hint="eastAsia"/>
          <w:sz w:val="28"/>
          <w:szCs w:val="28"/>
        </w:rPr>
        <w:t>故</w:t>
      </w:r>
      <w:r w:rsidRPr="006D3CD8">
        <w:rPr>
          <w:rFonts w:ascii="標楷體" w:eastAsia="標楷體" w:hAnsi="標楷體" w:hint="eastAsia"/>
          <w:sz w:val="28"/>
          <w:szCs w:val="28"/>
        </w:rPr>
        <w:t>這次考察</w:t>
      </w:r>
      <w:r>
        <w:rPr>
          <w:rFonts w:ascii="標楷體" w:eastAsia="標楷體" w:hAnsi="標楷體" w:hint="eastAsia"/>
          <w:sz w:val="28"/>
          <w:szCs w:val="28"/>
        </w:rPr>
        <w:t>相當</w:t>
      </w:r>
      <w:r w:rsidRPr="006D3CD8">
        <w:rPr>
          <w:rFonts w:ascii="標楷體" w:eastAsia="標楷體" w:hAnsi="標楷體" w:hint="eastAsia"/>
          <w:sz w:val="28"/>
          <w:szCs w:val="28"/>
        </w:rPr>
        <w:t>具有意義。</w:t>
      </w:r>
    </w:p>
    <w:p w14:paraId="18CEBBE3"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游委員毓蘭：</w:t>
      </w:r>
    </w:p>
    <w:p w14:paraId="4E0ABED8"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考察通關流程後</w:t>
      </w:r>
      <w:r>
        <w:rPr>
          <w:rFonts w:ascii="標楷體" w:eastAsia="標楷體" w:hAnsi="標楷體" w:hint="eastAsia"/>
          <w:sz w:val="28"/>
          <w:szCs w:val="28"/>
        </w:rPr>
        <w:t>想</w:t>
      </w:r>
      <w:r w:rsidRPr="006D3CD8">
        <w:rPr>
          <w:rFonts w:ascii="標楷體" w:eastAsia="標楷體" w:hAnsi="標楷體" w:hint="eastAsia"/>
          <w:sz w:val="28"/>
          <w:szCs w:val="28"/>
        </w:rPr>
        <w:t>請教關務署，</w:t>
      </w:r>
      <w:r>
        <w:rPr>
          <w:rFonts w:ascii="標楷體" w:eastAsia="標楷體" w:hAnsi="標楷體" w:hint="eastAsia"/>
          <w:sz w:val="28"/>
          <w:szCs w:val="28"/>
        </w:rPr>
        <w:t>未</w:t>
      </w:r>
      <w:r w:rsidRPr="006D3CD8">
        <w:rPr>
          <w:rFonts w:ascii="標楷體" w:eastAsia="標楷體" w:hAnsi="標楷體" w:hint="eastAsia"/>
          <w:sz w:val="28"/>
          <w:szCs w:val="28"/>
        </w:rPr>
        <w:t>來有沒有機會加強中華貨櫃場的工作環境？</w:t>
      </w:r>
    </w:p>
    <w:p w14:paraId="0D4833F9"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連江縣南竿島福澳碼頭有海運快遞通關，關務署可否評估在金門地區亦設置類似的查驗通關機制？</w:t>
      </w:r>
      <w:r w:rsidRPr="006D3CD8">
        <w:rPr>
          <w:rFonts w:ascii="標楷體" w:eastAsia="標楷體" w:hAnsi="標楷體"/>
          <w:sz w:val="28"/>
          <w:szCs w:val="28"/>
        </w:rPr>
        <w:t xml:space="preserve"> </w:t>
      </w:r>
    </w:p>
    <w:p w14:paraId="25FE8038"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海關防弊機制相當</w:t>
      </w:r>
      <w:r w:rsidRPr="006D3CD8">
        <w:rPr>
          <w:rFonts w:ascii="標楷體" w:eastAsia="標楷體" w:hAnsi="標楷體"/>
          <w:sz w:val="28"/>
          <w:szCs w:val="28"/>
        </w:rPr>
        <w:t>重要，在官商勾結部分有沒有</w:t>
      </w:r>
      <w:r w:rsidRPr="006D3CD8">
        <w:rPr>
          <w:rFonts w:ascii="標楷體" w:eastAsia="標楷體" w:hAnsi="標楷體" w:hint="eastAsia"/>
          <w:sz w:val="28"/>
          <w:szCs w:val="28"/>
        </w:rPr>
        <w:t>防弊</w:t>
      </w:r>
      <w:r w:rsidRPr="006D3CD8">
        <w:rPr>
          <w:rFonts w:ascii="標楷體" w:eastAsia="標楷體" w:hAnsi="標楷體"/>
          <w:sz w:val="28"/>
          <w:szCs w:val="28"/>
        </w:rPr>
        <w:t>機制？</w:t>
      </w:r>
      <w:r w:rsidRPr="006D3CD8">
        <w:rPr>
          <w:rFonts w:ascii="標楷體" w:eastAsia="標楷體" w:hAnsi="標楷體" w:hint="eastAsia"/>
          <w:sz w:val="28"/>
          <w:szCs w:val="28"/>
        </w:rPr>
        <w:t>另外請教</w:t>
      </w:r>
      <w:r w:rsidRPr="006D3CD8">
        <w:rPr>
          <w:rFonts w:ascii="標楷體" w:eastAsia="標楷體" w:hAnsi="標楷體"/>
          <w:sz w:val="28"/>
          <w:szCs w:val="28"/>
        </w:rPr>
        <w:t>法務部，</w:t>
      </w:r>
      <w:r w:rsidRPr="006D3CD8">
        <w:rPr>
          <w:rFonts w:ascii="標楷體" w:eastAsia="標楷體" w:hAnsi="標楷體" w:hint="eastAsia"/>
          <w:sz w:val="28"/>
          <w:szCs w:val="28"/>
        </w:rPr>
        <w:t>航業</w:t>
      </w:r>
      <w:r w:rsidRPr="006D3CD8">
        <w:rPr>
          <w:rFonts w:ascii="標楷體" w:eastAsia="標楷體" w:hAnsi="標楷體"/>
          <w:sz w:val="28"/>
          <w:szCs w:val="28"/>
        </w:rPr>
        <w:t>調</w:t>
      </w:r>
      <w:r w:rsidRPr="006D3CD8">
        <w:rPr>
          <w:rFonts w:ascii="標楷體" w:eastAsia="標楷體" w:hAnsi="標楷體" w:hint="eastAsia"/>
          <w:sz w:val="28"/>
          <w:szCs w:val="28"/>
        </w:rPr>
        <w:t>查</w:t>
      </w:r>
      <w:r w:rsidRPr="006D3CD8">
        <w:rPr>
          <w:rFonts w:ascii="標楷體" w:eastAsia="標楷體" w:hAnsi="標楷體"/>
          <w:sz w:val="28"/>
          <w:szCs w:val="28"/>
        </w:rPr>
        <w:t>處基隆站的趙主任也在</w:t>
      </w:r>
      <w:r>
        <w:rPr>
          <w:rFonts w:ascii="標楷體" w:eastAsia="標楷體" w:hAnsi="標楷體" w:hint="eastAsia"/>
          <w:sz w:val="28"/>
          <w:szCs w:val="28"/>
        </w:rPr>
        <w:t>場</w:t>
      </w:r>
      <w:r w:rsidRPr="006D3CD8">
        <w:rPr>
          <w:rFonts w:ascii="標楷體" w:eastAsia="標楷體" w:hAnsi="標楷體"/>
          <w:sz w:val="28"/>
          <w:szCs w:val="28"/>
        </w:rPr>
        <w:t>，我們知道過去這幾年</w:t>
      </w:r>
      <w:r>
        <w:rPr>
          <w:rFonts w:ascii="標楷體" w:eastAsia="標楷體" w:hAnsi="標楷體" w:hint="eastAsia"/>
          <w:sz w:val="28"/>
          <w:szCs w:val="28"/>
        </w:rPr>
        <w:t>有</w:t>
      </w:r>
      <w:r w:rsidRPr="006D3CD8">
        <w:rPr>
          <w:rFonts w:ascii="標楷體" w:eastAsia="標楷體" w:hAnsi="標楷體" w:hint="eastAsia"/>
          <w:sz w:val="28"/>
          <w:szCs w:val="28"/>
        </w:rPr>
        <w:t>毒品</w:t>
      </w:r>
      <w:r>
        <w:rPr>
          <w:rFonts w:ascii="標楷體" w:eastAsia="標楷體" w:hAnsi="標楷體" w:hint="eastAsia"/>
          <w:sz w:val="28"/>
          <w:szCs w:val="28"/>
        </w:rPr>
        <w:t>被</w:t>
      </w:r>
      <w:r w:rsidRPr="006D3CD8">
        <w:rPr>
          <w:rFonts w:ascii="標楷體" w:eastAsia="標楷體" w:hAnsi="標楷體" w:hint="eastAsia"/>
          <w:sz w:val="28"/>
          <w:szCs w:val="28"/>
        </w:rPr>
        <w:t>調包事件，扣押物管理</w:t>
      </w:r>
      <w:r w:rsidRPr="006D3CD8">
        <w:rPr>
          <w:rFonts w:ascii="標楷體" w:eastAsia="標楷體" w:hAnsi="標楷體"/>
          <w:sz w:val="28"/>
          <w:szCs w:val="28"/>
        </w:rPr>
        <w:t>流程是漏洞百出，所以</w:t>
      </w:r>
      <w:r w:rsidRPr="006D3CD8">
        <w:rPr>
          <w:rFonts w:ascii="標楷體" w:eastAsia="標楷體" w:hAnsi="標楷體" w:hint="eastAsia"/>
          <w:sz w:val="28"/>
          <w:szCs w:val="28"/>
        </w:rPr>
        <w:t>毒品</w:t>
      </w:r>
      <w:r w:rsidRPr="006D3CD8">
        <w:rPr>
          <w:rFonts w:ascii="標楷體" w:eastAsia="標楷體" w:hAnsi="標楷體"/>
          <w:sz w:val="28"/>
          <w:szCs w:val="28"/>
        </w:rPr>
        <w:t>送驗</w:t>
      </w:r>
      <w:r w:rsidRPr="006D3CD8">
        <w:rPr>
          <w:rFonts w:ascii="標楷體" w:eastAsia="標楷體" w:hAnsi="標楷體" w:hint="eastAsia"/>
          <w:sz w:val="28"/>
          <w:szCs w:val="28"/>
        </w:rPr>
        <w:t>後</w:t>
      </w:r>
      <w:r w:rsidRPr="006D3CD8">
        <w:rPr>
          <w:rFonts w:ascii="標楷體" w:eastAsia="標楷體" w:hAnsi="標楷體"/>
          <w:sz w:val="28"/>
          <w:szCs w:val="28"/>
        </w:rPr>
        <w:t>還可以</w:t>
      </w:r>
      <w:r w:rsidRPr="006D3CD8">
        <w:rPr>
          <w:rFonts w:ascii="標楷體" w:eastAsia="標楷體" w:hAnsi="標楷體" w:hint="eastAsia"/>
          <w:sz w:val="28"/>
          <w:szCs w:val="28"/>
        </w:rPr>
        <w:t>被調包並</w:t>
      </w:r>
      <w:r w:rsidRPr="006D3CD8">
        <w:rPr>
          <w:rFonts w:ascii="標楷體" w:eastAsia="標楷體" w:hAnsi="標楷體"/>
          <w:sz w:val="28"/>
          <w:szCs w:val="28"/>
        </w:rPr>
        <w:t>牟利，能不能讓我們</w:t>
      </w:r>
      <w:r>
        <w:rPr>
          <w:rFonts w:ascii="標楷體" w:eastAsia="標楷體" w:hAnsi="標楷體" w:hint="eastAsia"/>
          <w:sz w:val="28"/>
          <w:szCs w:val="28"/>
        </w:rPr>
        <w:t>瞭解查緝</w:t>
      </w:r>
      <w:r w:rsidRPr="006D3CD8">
        <w:rPr>
          <w:rFonts w:ascii="標楷體" w:eastAsia="標楷體" w:hAnsi="標楷體"/>
          <w:sz w:val="28"/>
          <w:szCs w:val="28"/>
        </w:rPr>
        <w:t>到</w:t>
      </w:r>
      <w:r w:rsidRPr="006D3CD8">
        <w:rPr>
          <w:rFonts w:ascii="標楷體" w:eastAsia="標楷體" w:hAnsi="標楷體" w:hint="eastAsia"/>
          <w:sz w:val="28"/>
          <w:szCs w:val="28"/>
        </w:rPr>
        <w:t>毒品</w:t>
      </w:r>
      <w:r w:rsidRPr="006D3CD8">
        <w:rPr>
          <w:rFonts w:ascii="標楷體" w:eastAsia="標楷體" w:hAnsi="標楷體"/>
          <w:sz w:val="28"/>
          <w:szCs w:val="28"/>
        </w:rPr>
        <w:t>之後作業流程，有做怎樣的改進措施</w:t>
      </w:r>
      <w:r w:rsidRPr="006D3CD8">
        <w:rPr>
          <w:rFonts w:ascii="標楷體" w:eastAsia="標楷體" w:hAnsi="標楷體" w:hint="eastAsia"/>
          <w:sz w:val="28"/>
          <w:szCs w:val="28"/>
        </w:rPr>
        <w:t>？</w:t>
      </w:r>
      <w:r w:rsidRPr="006D3CD8">
        <w:rPr>
          <w:rFonts w:ascii="標楷體" w:eastAsia="標楷體" w:hAnsi="標楷體"/>
          <w:sz w:val="28"/>
          <w:szCs w:val="28"/>
        </w:rPr>
        <w:t xml:space="preserve"> </w:t>
      </w:r>
    </w:p>
    <w:p w14:paraId="2F89B6FE"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中華</w:t>
      </w:r>
      <w:r w:rsidRPr="006D3CD8">
        <w:rPr>
          <w:rFonts w:ascii="標楷體" w:eastAsia="標楷體" w:hAnsi="標楷體"/>
          <w:sz w:val="28"/>
          <w:szCs w:val="28"/>
        </w:rPr>
        <w:t>貨櫃場光源</w:t>
      </w:r>
      <w:r w:rsidRPr="006D3CD8">
        <w:rPr>
          <w:rFonts w:ascii="標楷體" w:eastAsia="標楷體" w:hAnsi="標楷體" w:hint="eastAsia"/>
          <w:sz w:val="28"/>
          <w:szCs w:val="28"/>
        </w:rPr>
        <w:t>不足，</w:t>
      </w:r>
      <w:r w:rsidRPr="006D3CD8">
        <w:rPr>
          <w:rFonts w:ascii="標楷體" w:eastAsia="標楷體" w:hAnsi="標楷體"/>
          <w:sz w:val="28"/>
          <w:szCs w:val="28"/>
        </w:rPr>
        <w:t>即使有</w:t>
      </w:r>
      <w:r w:rsidRPr="006D3CD8">
        <w:rPr>
          <w:rFonts w:ascii="標楷體" w:eastAsia="標楷體" w:hAnsi="標楷體" w:hint="eastAsia"/>
          <w:sz w:val="28"/>
          <w:szCs w:val="28"/>
        </w:rPr>
        <w:t>監視器</w:t>
      </w:r>
      <w:r w:rsidRPr="006D3CD8">
        <w:rPr>
          <w:rFonts w:ascii="標楷體" w:eastAsia="標楷體" w:hAnsi="標楷體"/>
          <w:sz w:val="28"/>
          <w:szCs w:val="28"/>
        </w:rPr>
        <w:t>全程錄影，</w:t>
      </w:r>
      <w:r w:rsidRPr="006D3CD8">
        <w:rPr>
          <w:rFonts w:ascii="標楷體" w:eastAsia="標楷體" w:hAnsi="標楷體" w:hint="eastAsia"/>
          <w:sz w:val="28"/>
          <w:szCs w:val="28"/>
        </w:rPr>
        <w:t>蒐</w:t>
      </w:r>
      <w:r w:rsidRPr="006D3CD8">
        <w:rPr>
          <w:rFonts w:ascii="標楷體" w:eastAsia="標楷體" w:hAnsi="標楷體"/>
          <w:sz w:val="28"/>
          <w:szCs w:val="28"/>
        </w:rPr>
        <w:t>證影片</w:t>
      </w:r>
      <w:r w:rsidRPr="006D3CD8">
        <w:rPr>
          <w:rFonts w:ascii="標楷體" w:eastAsia="標楷體" w:hAnsi="標楷體" w:hint="eastAsia"/>
          <w:sz w:val="28"/>
          <w:szCs w:val="28"/>
        </w:rPr>
        <w:t>很</w:t>
      </w:r>
      <w:r w:rsidRPr="006D3CD8">
        <w:rPr>
          <w:rFonts w:ascii="標楷體" w:eastAsia="標楷體" w:hAnsi="標楷體"/>
          <w:sz w:val="28"/>
          <w:szCs w:val="28"/>
        </w:rPr>
        <w:t>可能都不</w:t>
      </w:r>
      <w:r w:rsidRPr="006D3CD8">
        <w:rPr>
          <w:rFonts w:ascii="標楷體" w:eastAsia="標楷體" w:hAnsi="標楷體" w:hint="eastAsia"/>
          <w:sz w:val="28"/>
          <w:szCs w:val="28"/>
        </w:rPr>
        <w:t>及格</w:t>
      </w:r>
      <w:r w:rsidRPr="006D3CD8">
        <w:rPr>
          <w:rFonts w:ascii="標楷體" w:eastAsia="標楷體" w:hAnsi="標楷體"/>
          <w:sz w:val="28"/>
          <w:szCs w:val="28"/>
        </w:rPr>
        <w:t>，</w:t>
      </w:r>
      <w:r w:rsidRPr="006D3CD8">
        <w:rPr>
          <w:rFonts w:ascii="標楷體" w:eastAsia="標楷體" w:hAnsi="標楷體" w:hint="eastAsia"/>
          <w:sz w:val="28"/>
          <w:szCs w:val="28"/>
        </w:rPr>
        <w:t>建議</w:t>
      </w:r>
      <w:r w:rsidRPr="006D3CD8">
        <w:rPr>
          <w:rFonts w:ascii="標楷體" w:eastAsia="標楷體" w:hAnsi="標楷體"/>
          <w:sz w:val="28"/>
          <w:szCs w:val="28"/>
        </w:rPr>
        <w:t>財政部</w:t>
      </w:r>
      <w:r w:rsidRPr="006D3CD8">
        <w:rPr>
          <w:rFonts w:ascii="標楷體" w:eastAsia="標楷體" w:hAnsi="標楷體" w:hint="eastAsia"/>
          <w:sz w:val="28"/>
          <w:szCs w:val="28"/>
        </w:rPr>
        <w:t>寬編預算改善。</w:t>
      </w:r>
    </w:p>
    <w:p w14:paraId="513DEF29" w14:textId="77777777" w:rsidR="00421BB5" w:rsidRPr="006D3CD8" w:rsidRDefault="00421BB5" w:rsidP="007015C7">
      <w:pPr>
        <w:pStyle w:val="affb"/>
        <w:numPr>
          <w:ilvl w:val="1"/>
          <w:numId w:val="40"/>
        </w:numPr>
        <w:spacing w:line="500" w:lineRule="exact"/>
        <w:ind w:leftChars="0" w:left="851" w:hanging="709"/>
        <w:rPr>
          <w:rFonts w:ascii="標楷體" w:eastAsia="標楷體" w:hAnsi="標楷體"/>
          <w:sz w:val="28"/>
          <w:szCs w:val="28"/>
        </w:rPr>
      </w:pPr>
      <w:r w:rsidRPr="006D3CD8">
        <w:rPr>
          <w:rFonts w:ascii="標楷體" w:eastAsia="標楷體" w:hAnsi="標楷體" w:hint="eastAsia"/>
          <w:sz w:val="28"/>
          <w:szCs w:val="28"/>
        </w:rPr>
        <w:t>林召集委員思銘：</w:t>
      </w:r>
    </w:p>
    <w:p w14:paraId="500CDD46" w14:textId="77777777" w:rsidR="00421BB5" w:rsidRPr="006D3CD8" w:rsidRDefault="00421BB5" w:rsidP="007015C7">
      <w:pPr>
        <w:pStyle w:val="affb"/>
        <w:numPr>
          <w:ilvl w:val="2"/>
          <w:numId w:val="40"/>
        </w:numPr>
        <w:spacing w:line="500" w:lineRule="exact"/>
        <w:ind w:leftChars="0" w:hanging="873"/>
        <w:rPr>
          <w:rFonts w:ascii="標楷體" w:eastAsia="標楷體" w:hAnsi="標楷體"/>
          <w:sz w:val="28"/>
          <w:szCs w:val="28"/>
        </w:rPr>
      </w:pPr>
      <w:r w:rsidRPr="006D3CD8">
        <w:rPr>
          <w:rFonts w:ascii="標楷體" w:eastAsia="標楷體" w:hAnsi="標楷體"/>
          <w:sz w:val="28"/>
          <w:szCs w:val="28"/>
        </w:rPr>
        <w:t>臺灣</w:t>
      </w:r>
      <w:r w:rsidRPr="006D3CD8">
        <w:rPr>
          <w:rFonts w:ascii="標楷體" w:eastAsia="標楷體" w:hAnsi="標楷體" w:hint="eastAsia"/>
          <w:sz w:val="28"/>
          <w:szCs w:val="28"/>
        </w:rPr>
        <w:t>新興毒品</w:t>
      </w:r>
      <w:r>
        <w:rPr>
          <w:rFonts w:ascii="標楷體" w:eastAsia="標楷體" w:hAnsi="標楷體" w:hint="eastAsia"/>
          <w:sz w:val="28"/>
          <w:szCs w:val="28"/>
        </w:rPr>
        <w:t>及槍枝</w:t>
      </w:r>
      <w:r w:rsidRPr="006D3CD8">
        <w:rPr>
          <w:rFonts w:ascii="標楷體" w:eastAsia="標楷體" w:hAnsi="標楷體" w:hint="eastAsia"/>
          <w:sz w:val="28"/>
          <w:szCs w:val="28"/>
        </w:rPr>
        <w:t>還是很氾濫，請關務署</w:t>
      </w:r>
      <w:r w:rsidRPr="006D3CD8">
        <w:rPr>
          <w:rFonts w:ascii="標楷體" w:eastAsia="標楷體" w:hAnsi="標楷體"/>
          <w:sz w:val="28"/>
          <w:szCs w:val="28"/>
        </w:rPr>
        <w:t>就查緝</w:t>
      </w:r>
      <w:r w:rsidRPr="006D3CD8">
        <w:rPr>
          <w:rFonts w:ascii="標楷體" w:eastAsia="標楷體" w:hAnsi="標楷體" w:hint="eastAsia"/>
          <w:sz w:val="28"/>
          <w:szCs w:val="28"/>
        </w:rPr>
        <w:t>槍枝數量</w:t>
      </w:r>
      <w:r w:rsidRPr="006D3CD8">
        <w:rPr>
          <w:rFonts w:ascii="標楷體" w:eastAsia="標楷體" w:hAnsi="標楷體"/>
          <w:sz w:val="28"/>
          <w:szCs w:val="28"/>
        </w:rPr>
        <w:t>做成</w:t>
      </w:r>
      <w:r w:rsidRPr="006D3CD8">
        <w:rPr>
          <w:rFonts w:ascii="標楷體" w:eastAsia="標楷體" w:hAnsi="標楷體" w:hint="eastAsia"/>
          <w:sz w:val="28"/>
          <w:szCs w:val="28"/>
        </w:rPr>
        <w:t>統計</w:t>
      </w:r>
      <w:r w:rsidRPr="006D3CD8">
        <w:rPr>
          <w:rFonts w:ascii="標楷體" w:eastAsia="標楷體" w:hAnsi="標楷體"/>
          <w:sz w:val="28"/>
          <w:szCs w:val="28"/>
        </w:rPr>
        <w:t>表單，</w:t>
      </w:r>
      <w:r w:rsidRPr="006D3CD8">
        <w:rPr>
          <w:rFonts w:ascii="標楷體" w:eastAsia="標楷體" w:hAnsi="標楷體" w:hint="eastAsia"/>
          <w:sz w:val="28"/>
          <w:szCs w:val="28"/>
        </w:rPr>
        <w:t>後</w:t>
      </w:r>
      <w:r w:rsidRPr="006D3CD8">
        <w:rPr>
          <w:rFonts w:ascii="標楷體" w:eastAsia="標楷體" w:hAnsi="標楷體"/>
          <w:sz w:val="28"/>
          <w:szCs w:val="28"/>
        </w:rPr>
        <w:t>送</w:t>
      </w:r>
      <w:r w:rsidRPr="006D3CD8">
        <w:rPr>
          <w:rFonts w:ascii="標楷體" w:eastAsia="標楷體" w:hAnsi="標楷體" w:hint="eastAsia"/>
          <w:sz w:val="28"/>
          <w:szCs w:val="28"/>
        </w:rPr>
        <w:t>司委會</w:t>
      </w:r>
      <w:r w:rsidRPr="006D3CD8">
        <w:rPr>
          <w:rFonts w:ascii="標楷體" w:eastAsia="標楷體" w:hAnsi="標楷體"/>
          <w:sz w:val="28"/>
          <w:szCs w:val="28"/>
        </w:rPr>
        <w:t>。</w:t>
      </w:r>
    </w:p>
    <w:p w14:paraId="1891970E"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雜貨櫃通關查驗區</w:t>
      </w:r>
      <w:r w:rsidRPr="006D3CD8">
        <w:rPr>
          <w:rFonts w:ascii="標楷體" w:eastAsia="標楷體" w:hAnsi="標楷體"/>
          <w:sz w:val="28"/>
          <w:szCs w:val="28"/>
        </w:rPr>
        <w:t>昏暗</w:t>
      </w:r>
      <w:r w:rsidRPr="006D3CD8">
        <w:rPr>
          <w:rFonts w:ascii="標楷體" w:eastAsia="標楷體" w:hAnsi="標楷體" w:hint="eastAsia"/>
          <w:sz w:val="28"/>
          <w:szCs w:val="28"/>
        </w:rPr>
        <w:t>老舊</w:t>
      </w:r>
      <w:r w:rsidRPr="006D3CD8">
        <w:rPr>
          <w:rFonts w:ascii="標楷體" w:eastAsia="標楷體" w:hAnsi="標楷體"/>
          <w:sz w:val="28"/>
          <w:szCs w:val="28"/>
        </w:rPr>
        <w:t>，</w:t>
      </w:r>
      <w:r>
        <w:rPr>
          <w:rFonts w:ascii="標楷體" w:eastAsia="標楷體" w:hAnsi="標楷體" w:hint="eastAsia"/>
          <w:sz w:val="28"/>
          <w:szCs w:val="28"/>
        </w:rPr>
        <w:t>與</w:t>
      </w:r>
      <w:r w:rsidRPr="006D3CD8">
        <w:rPr>
          <w:rFonts w:ascii="標楷體" w:eastAsia="標楷體" w:hAnsi="標楷體"/>
          <w:sz w:val="28"/>
          <w:szCs w:val="28"/>
        </w:rPr>
        <w:t>海運通關快遞通關的場域</w:t>
      </w:r>
      <w:r>
        <w:rPr>
          <w:rFonts w:ascii="標楷體" w:eastAsia="標楷體" w:hAnsi="標楷體" w:hint="eastAsia"/>
          <w:sz w:val="28"/>
          <w:szCs w:val="28"/>
        </w:rPr>
        <w:lastRenderedPageBreak/>
        <w:t>落差</w:t>
      </w:r>
      <w:r w:rsidRPr="006D3CD8">
        <w:rPr>
          <w:rFonts w:ascii="標楷體" w:eastAsia="標楷體" w:hAnsi="標楷體"/>
          <w:sz w:val="28"/>
          <w:szCs w:val="28"/>
        </w:rPr>
        <w:t>很大</w:t>
      </w:r>
      <w:r w:rsidRPr="006D3CD8">
        <w:rPr>
          <w:rFonts w:ascii="標楷體" w:eastAsia="標楷體" w:hAnsi="標楷體" w:hint="eastAsia"/>
          <w:sz w:val="28"/>
          <w:szCs w:val="28"/>
        </w:rPr>
        <w:t>，</w:t>
      </w:r>
      <w:r w:rsidRPr="006D3CD8">
        <w:rPr>
          <w:rFonts w:ascii="標楷體" w:eastAsia="標楷體" w:hAnsi="標楷體"/>
          <w:sz w:val="28"/>
          <w:szCs w:val="28"/>
        </w:rPr>
        <w:t>希望</w:t>
      </w:r>
      <w:r w:rsidRPr="006D3CD8">
        <w:rPr>
          <w:rFonts w:ascii="標楷體" w:eastAsia="標楷體" w:hAnsi="標楷體" w:hint="eastAsia"/>
          <w:sz w:val="28"/>
          <w:szCs w:val="28"/>
        </w:rPr>
        <w:t>關務署責成貨櫃場</w:t>
      </w:r>
      <w:r w:rsidRPr="006D3CD8">
        <w:rPr>
          <w:rFonts w:ascii="標楷體" w:eastAsia="標楷體" w:hAnsi="標楷體"/>
          <w:sz w:val="28"/>
          <w:szCs w:val="28"/>
        </w:rPr>
        <w:t>檢討改進。</w:t>
      </w:r>
    </w:p>
    <w:p w14:paraId="245CB8A6"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蔡委員適應：今日考察重點是</w:t>
      </w:r>
      <w:r w:rsidRPr="006D3CD8">
        <w:rPr>
          <w:rFonts w:ascii="標楷體" w:eastAsia="標楷體" w:hAnsi="標楷體"/>
          <w:sz w:val="28"/>
          <w:szCs w:val="28"/>
        </w:rPr>
        <w:t>通關效率</w:t>
      </w:r>
      <w:r w:rsidRPr="006D3CD8">
        <w:rPr>
          <w:rFonts w:ascii="標楷體" w:eastAsia="標楷體" w:hAnsi="標楷體" w:hint="eastAsia"/>
          <w:sz w:val="28"/>
          <w:szCs w:val="28"/>
        </w:rPr>
        <w:t>的</w:t>
      </w:r>
      <w:r w:rsidRPr="006D3CD8">
        <w:rPr>
          <w:rFonts w:ascii="標楷體" w:eastAsia="標楷體" w:hAnsi="標楷體"/>
          <w:sz w:val="28"/>
          <w:szCs w:val="28"/>
        </w:rPr>
        <w:t>提升以及防範走私</w:t>
      </w:r>
      <w:r w:rsidRPr="006D3CD8">
        <w:rPr>
          <w:rFonts w:ascii="標楷體" w:eastAsia="標楷體" w:hAnsi="標楷體" w:hint="eastAsia"/>
          <w:sz w:val="28"/>
          <w:szCs w:val="28"/>
        </w:rPr>
        <w:t>，</w:t>
      </w:r>
      <w:r w:rsidRPr="006D3CD8">
        <w:rPr>
          <w:rFonts w:ascii="標楷體" w:eastAsia="標楷體" w:hAnsi="標楷體"/>
          <w:sz w:val="28"/>
          <w:szCs w:val="28"/>
        </w:rPr>
        <w:t>分別是由法務部</w:t>
      </w:r>
      <w:r w:rsidRPr="006D3CD8">
        <w:rPr>
          <w:rFonts w:ascii="標楷體" w:eastAsia="標楷體" w:hAnsi="標楷體" w:hint="eastAsia"/>
          <w:sz w:val="28"/>
          <w:szCs w:val="28"/>
        </w:rPr>
        <w:t>及</w:t>
      </w:r>
      <w:r w:rsidRPr="006D3CD8">
        <w:rPr>
          <w:rFonts w:ascii="標楷體" w:eastAsia="標楷體" w:hAnsi="標楷體"/>
          <w:sz w:val="28"/>
          <w:szCs w:val="28"/>
        </w:rPr>
        <w:t>關</w:t>
      </w:r>
      <w:r>
        <w:rPr>
          <w:rFonts w:ascii="標楷體" w:eastAsia="標楷體" w:hAnsi="標楷體" w:hint="eastAsia"/>
          <w:sz w:val="28"/>
          <w:szCs w:val="28"/>
        </w:rPr>
        <w:t>務</w:t>
      </w:r>
      <w:r w:rsidRPr="006D3CD8">
        <w:rPr>
          <w:rFonts w:ascii="標楷體" w:eastAsia="標楷體" w:hAnsi="標楷體" w:hint="eastAsia"/>
          <w:sz w:val="28"/>
          <w:szCs w:val="28"/>
        </w:rPr>
        <w:t>署</w:t>
      </w:r>
      <w:r w:rsidRPr="006D3CD8">
        <w:rPr>
          <w:rFonts w:ascii="標楷體" w:eastAsia="標楷體" w:hAnsi="標楷體"/>
          <w:sz w:val="28"/>
          <w:szCs w:val="28"/>
        </w:rPr>
        <w:t>負責，</w:t>
      </w:r>
      <w:r>
        <w:rPr>
          <w:rFonts w:ascii="標楷體" w:eastAsia="標楷體" w:hAnsi="標楷體" w:hint="eastAsia"/>
          <w:sz w:val="28"/>
          <w:szCs w:val="28"/>
        </w:rPr>
        <w:t>目的</w:t>
      </w:r>
      <w:r w:rsidRPr="006D3CD8">
        <w:rPr>
          <w:rFonts w:ascii="標楷體" w:eastAsia="標楷體" w:hAnsi="標楷體"/>
          <w:sz w:val="28"/>
          <w:szCs w:val="28"/>
        </w:rPr>
        <w:t>希望貨物通關如何更快速</w:t>
      </w:r>
      <w:r w:rsidRPr="006D3CD8">
        <w:rPr>
          <w:rFonts w:ascii="標楷體" w:eastAsia="標楷體" w:hAnsi="標楷體" w:hint="eastAsia"/>
          <w:sz w:val="28"/>
          <w:szCs w:val="28"/>
        </w:rPr>
        <w:t>，同時也不要營私舞弊</w:t>
      </w:r>
      <w:r w:rsidRPr="006D3CD8">
        <w:rPr>
          <w:rFonts w:ascii="標楷體" w:eastAsia="標楷體" w:hAnsi="標楷體"/>
          <w:sz w:val="28"/>
          <w:szCs w:val="28"/>
        </w:rPr>
        <w:t>發生</w:t>
      </w:r>
      <w:r w:rsidRPr="006D3CD8">
        <w:rPr>
          <w:rFonts w:ascii="標楷體" w:eastAsia="標楷體" w:hAnsi="標楷體" w:hint="eastAsia"/>
          <w:sz w:val="28"/>
          <w:szCs w:val="28"/>
        </w:rPr>
        <w:t>。</w:t>
      </w:r>
      <w:r>
        <w:rPr>
          <w:rFonts w:ascii="標楷體" w:eastAsia="標楷體" w:hAnsi="標楷體" w:hint="eastAsia"/>
          <w:sz w:val="28"/>
          <w:szCs w:val="28"/>
        </w:rPr>
        <w:t>故</w:t>
      </w:r>
      <w:r w:rsidRPr="006D3CD8">
        <w:rPr>
          <w:rFonts w:ascii="標楷體" w:eastAsia="標楷體" w:hAnsi="標楷體" w:hint="eastAsia"/>
          <w:sz w:val="28"/>
          <w:szCs w:val="28"/>
        </w:rPr>
        <w:t>為縮短檢討期間產生的空窗期，</w:t>
      </w:r>
      <w:r w:rsidRPr="006D3CD8">
        <w:rPr>
          <w:rFonts w:ascii="標楷體" w:eastAsia="標楷體" w:hAnsi="標楷體"/>
          <w:sz w:val="28"/>
          <w:szCs w:val="28"/>
        </w:rPr>
        <w:t>會後</w:t>
      </w:r>
      <w:r w:rsidRPr="006D3CD8">
        <w:rPr>
          <w:rFonts w:ascii="標楷體" w:eastAsia="標楷體" w:hAnsi="標楷體" w:hint="eastAsia"/>
          <w:sz w:val="28"/>
          <w:szCs w:val="28"/>
        </w:rPr>
        <w:t>請法務部</w:t>
      </w:r>
      <w:r>
        <w:rPr>
          <w:rFonts w:ascii="標楷體" w:eastAsia="標楷體" w:hAnsi="標楷體" w:hint="eastAsia"/>
          <w:sz w:val="28"/>
          <w:szCs w:val="28"/>
        </w:rPr>
        <w:t>及</w:t>
      </w:r>
      <w:r w:rsidRPr="006D3CD8">
        <w:rPr>
          <w:rFonts w:ascii="標楷體" w:eastAsia="標楷體" w:hAnsi="標楷體"/>
          <w:sz w:val="28"/>
          <w:szCs w:val="28"/>
        </w:rPr>
        <w:t>關務署</w:t>
      </w:r>
      <w:r w:rsidRPr="006D3CD8">
        <w:rPr>
          <w:rFonts w:ascii="標楷體" w:eastAsia="標楷體" w:hAnsi="標楷體" w:hint="eastAsia"/>
          <w:sz w:val="28"/>
          <w:szCs w:val="28"/>
        </w:rPr>
        <w:t>盡快研議</w:t>
      </w:r>
      <w:r w:rsidRPr="006D3CD8">
        <w:rPr>
          <w:rFonts w:ascii="標楷體" w:eastAsia="標楷體" w:hAnsi="標楷體"/>
          <w:sz w:val="28"/>
          <w:szCs w:val="28"/>
        </w:rPr>
        <w:t>工作進度</w:t>
      </w:r>
      <w:r w:rsidRPr="006D3CD8">
        <w:rPr>
          <w:rFonts w:ascii="標楷體" w:eastAsia="標楷體" w:hAnsi="標楷體" w:hint="eastAsia"/>
          <w:sz w:val="28"/>
          <w:szCs w:val="28"/>
        </w:rPr>
        <w:t>時程並</w:t>
      </w:r>
      <w:r w:rsidRPr="006D3CD8">
        <w:rPr>
          <w:rFonts w:ascii="標楷體" w:eastAsia="標楷體" w:hAnsi="標楷體"/>
          <w:sz w:val="28"/>
          <w:szCs w:val="28"/>
        </w:rPr>
        <w:t>提出一</w:t>
      </w:r>
      <w:r w:rsidRPr="006D3CD8">
        <w:rPr>
          <w:rFonts w:ascii="標楷體" w:eastAsia="標楷體" w:hAnsi="標楷體" w:hint="eastAsia"/>
          <w:sz w:val="28"/>
          <w:szCs w:val="28"/>
        </w:rPr>
        <w:t>份工作時程管制表</w:t>
      </w:r>
      <w:r w:rsidRPr="006D3CD8">
        <w:rPr>
          <w:rFonts w:ascii="標楷體" w:eastAsia="標楷體" w:hAnsi="標楷體"/>
          <w:sz w:val="28"/>
          <w:szCs w:val="28"/>
        </w:rPr>
        <w:t>，</w:t>
      </w:r>
      <w:r w:rsidRPr="006D3CD8">
        <w:rPr>
          <w:rFonts w:ascii="標楷體" w:eastAsia="標楷體" w:hAnsi="標楷體" w:hint="eastAsia"/>
          <w:sz w:val="28"/>
          <w:szCs w:val="28"/>
        </w:rPr>
        <w:t>如此</w:t>
      </w:r>
      <w:r w:rsidRPr="006D3CD8">
        <w:rPr>
          <w:rFonts w:ascii="標楷體" w:eastAsia="標楷體" w:hAnsi="標楷體"/>
          <w:sz w:val="28"/>
          <w:szCs w:val="28"/>
        </w:rPr>
        <w:t>才</w:t>
      </w:r>
      <w:r w:rsidRPr="006D3CD8">
        <w:rPr>
          <w:rFonts w:ascii="標楷體" w:eastAsia="標楷體" w:hAnsi="標楷體" w:hint="eastAsia"/>
          <w:sz w:val="28"/>
          <w:szCs w:val="28"/>
        </w:rPr>
        <w:t>能</w:t>
      </w:r>
      <w:r w:rsidRPr="006D3CD8">
        <w:rPr>
          <w:rFonts w:ascii="標楷體" w:eastAsia="標楷體" w:hAnsi="標楷體"/>
          <w:sz w:val="28"/>
          <w:szCs w:val="28"/>
        </w:rPr>
        <w:t>真正解決問題。</w:t>
      </w:r>
    </w:p>
    <w:p w14:paraId="14247380"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彭關務署長英偉：</w:t>
      </w:r>
    </w:p>
    <w:p w14:paraId="556FBC02"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關務署已</w:t>
      </w:r>
      <w:r w:rsidRPr="006D3CD8">
        <w:rPr>
          <w:rFonts w:ascii="標楷體" w:eastAsia="標楷體" w:hAnsi="標楷體"/>
          <w:sz w:val="28"/>
          <w:szCs w:val="28"/>
        </w:rPr>
        <w:t>積極改善工作環境，</w:t>
      </w:r>
      <w:r w:rsidRPr="006D3CD8">
        <w:rPr>
          <w:rFonts w:ascii="標楷體" w:eastAsia="標楷體" w:hAnsi="標楷體" w:hint="eastAsia"/>
          <w:sz w:val="28"/>
          <w:szCs w:val="28"/>
        </w:rPr>
        <w:t>譬如</w:t>
      </w:r>
      <w:r w:rsidRPr="006D3CD8">
        <w:rPr>
          <w:rFonts w:ascii="標楷體" w:eastAsia="標楷體" w:hAnsi="標楷體"/>
          <w:sz w:val="28"/>
          <w:szCs w:val="28"/>
        </w:rPr>
        <w:t>性</w:t>
      </w:r>
      <w:r w:rsidRPr="006D3CD8">
        <w:rPr>
          <w:rFonts w:ascii="標楷體" w:eastAsia="標楷體" w:hAnsi="標楷體" w:hint="eastAsia"/>
          <w:sz w:val="28"/>
          <w:szCs w:val="28"/>
        </w:rPr>
        <w:t>平廁所以及</w:t>
      </w:r>
      <w:r w:rsidRPr="006D3CD8">
        <w:rPr>
          <w:rFonts w:ascii="標楷體" w:eastAsia="標楷體" w:hAnsi="標楷體"/>
          <w:sz w:val="28"/>
          <w:szCs w:val="28"/>
        </w:rPr>
        <w:t>哺乳空間</w:t>
      </w:r>
      <w:r w:rsidRPr="006D3CD8">
        <w:rPr>
          <w:rFonts w:ascii="標楷體" w:eastAsia="標楷體" w:hAnsi="標楷體" w:hint="eastAsia"/>
          <w:sz w:val="28"/>
          <w:szCs w:val="28"/>
        </w:rPr>
        <w:t>等，</w:t>
      </w:r>
      <w:r>
        <w:rPr>
          <w:rFonts w:ascii="標楷體" w:eastAsia="標楷體" w:hAnsi="標楷體" w:hint="eastAsia"/>
          <w:sz w:val="28"/>
          <w:szCs w:val="28"/>
        </w:rPr>
        <w:t>往</w:t>
      </w:r>
      <w:r w:rsidRPr="006D3CD8">
        <w:rPr>
          <w:rFonts w:ascii="標楷體" w:eastAsia="標楷體" w:hAnsi="標楷體" w:hint="eastAsia"/>
          <w:sz w:val="28"/>
          <w:szCs w:val="28"/>
        </w:rPr>
        <w:t>後</w:t>
      </w:r>
      <w:r w:rsidRPr="006D3CD8">
        <w:rPr>
          <w:rFonts w:ascii="標楷體" w:eastAsia="標楷體" w:hAnsi="標楷體"/>
          <w:sz w:val="28"/>
          <w:szCs w:val="28"/>
        </w:rPr>
        <w:t>還</w:t>
      </w:r>
      <w:r w:rsidRPr="006D3CD8">
        <w:rPr>
          <w:rFonts w:ascii="標楷體" w:eastAsia="標楷體" w:hAnsi="標楷體" w:hint="eastAsia"/>
          <w:sz w:val="28"/>
          <w:szCs w:val="28"/>
        </w:rPr>
        <w:t>會陸續改善。</w:t>
      </w:r>
    </w:p>
    <w:p w14:paraId="3A8C6FA5"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毒品查獲</w:t>
      </w:r>
      <w:r w:rsidRPr="006D3CD8">
        <w:rPr>
          <w:rFonts w:ascii="標楷體" w:eastAsia="標楷體" w:hAnsi="標楷體" w:hint="eastAsia"/>
          <w:sz w:val="28"/>
          <w:szCs w:val="28"/>
        </w:rPr>
        <w:t>部分</w:t>
      </w:r>
      <w:r w:rsidRPr="006D3CD8">
        <w:rPr>
          <w:rFonts w:ascii="標楷體" w:eastAsia="標楷體" w:hAnsi="標楷體"/>
          <w:sz w:val="28"/>
          <w:szCs w:val="28"/>
        </w:rPr>
        <w:t>在海運快遞以及雜貨櫃</w:t>
      </w:r>
      <w:r w:rsidRPr="006D3CD8">
        <w:rPr>
          <w:rFonts w:ascii="標楷體" w:eastAsia="標楷體" w:hAnsi="標楷體" w:hint="eastAsia"/>
          <w:sz w:val="28"/>
          <w:szCs w:val="28"/>
        </w:rPr>
        <w:t>通關相較於</w:t>
      </w:r>
      <w:r w:rsidRPr="006D3CD8">
        <w:rPr>
          <w:rFonts w:ascii="標楷體" w:eastAsia="標楷體" w:hAnsi="標楷體"/>
          <w:sz w:val="28"/>
          <w:szCs w:val="28"/>
        </w:rPr>
        <w:t>臺北</w:t>
      </w:r>
      <w:r w:rsidRPr="006D3CD8">
        <w:rPr>
          <w:rFonts w:ascii="標楷體" w:eastAsia="標楷體" w:hAnsi="標楷體" w:hint="eastAsia"/>
          <w:sz w:val="28"/>
          <w:szCs w:val="28"/>
        </w:rPr>
        <w:t>關</w:t>
      </w:r>
      <w:r w:rsidRPr="006D3CD8">
        <w:rPr>
          <w:rFonts w:ascii="標楷體" w:eastAsia="標楷體" w:hAnsi="標楷體"/>
          <w:sz w:val="28"/>
          <w:szCs w:val="28"/>
        </w:rPr>
        <w:t>的空運快遞</w:t>
      </w:r>
      <w:r w:rsidRPr="006D3CD8">
        <w:rPr>
          <w:rFonts w:ascii="標楷體" w:eastAsia="標楷體" w:hAnsi="標楷體" w:hint="eastAsia"/>
          <w:sz w:val="28"/>
          <w:szCs w:val="28"/>
        </w:rPr>
        <w:t>占比較少。另</w:t>
      </w:r>
      <w:r w:rsidRPr="006D3CD8">
        <w:rPr>
          <w:rFonts w:ascii="標楷體" w:eastAsia="標楷體" w:hAnsi="標楷體"/>
          <w:sz w:val="28"/>
          <w:szCs w:val="28"/>
        </w:rPr>
        <w:t>以去</w:t>
      </w:r>
      <w:r w:rsidRPr="006D3CD8">
        <w:rPr>
          <w:rFonts w:ascii="標楷體" w:eastAsia="標楷體" w:hAnsi="標楷體" w:hint="eastAsia"/>
          <w:sz w:val="28"/>
          <w:szCs w:val="28"/>
        </w:rPr>
        <w:t>(</w:t>
      </w:r>
      <w:r w:rsidRPr="006D3CD8">
        <w:rPr>
          <w:rFonts w:ascii="標楷體" w:eastAsia="標楷體" w:hAnsi="標楷體"/>
          <w:sz w:val="28"/>
          <w:szCs w:val="28"/>
        </w:rPr>
        <w:t>110)年為例，</w:t>
      </w:r>
      <w:r>
        <w:rPr>
          <w:rFonts w:ascii="標楷體" w:eastAsia="標楷體" w:hAnsi="標楷體" w:hint="eastAsia"/>
          <w:sz w:val="28"/>
          <w:szCs w:val="28"/>
        </w:rPr>
        <w:t>海關</w:t>
      </w:r>
      <w:r w:rsidRPr="006D3CD8">
        <w:rPr>
          <w:rFonts w:ascii="標楷體" w:eastAsia="標楷體" w:hAnsi="標楷體"/>
          <w:sz w:val="28"/>
          <w:szCs w:val="28"/>
        </w:rPr>
        <w:t>查獲毒品大</w:t>
      </w:r>
      <w:r>
        <w:rPr>
          <w:rFonts w:ascii="標楷體" w:eastAsia="標楷體" w:hAnsi="標楷體" w:hint="eastAsia"/>
          <w:sz w:val="28"/>
          <w:szCs w:val="28"/>
        </w:rPr>
        <w:t>約</w:t>
      </w:r>
      <w:r w:rsidRPr="006D3CD8">
        <w:rPr>
          <w:rFonts w:ascii="標楷體" w:eastAsia="標楷體" w:hAnsi="標楷體" w:hint="eastAsia"/>
          <w:sz w:val="28"/>
          <w:szCs w:val="28"/>
        </w:rPr>
        <w:t>三百六十</w:t>
      </w:r>
      <w:r w:rsidRPr="006D3CD8">
        <w:rPr>
          <w:rFonts w:ascii="標楷體" w:eastAsia="標楷體" w:hAnsi="標楷體"/>
          <w:sz w:val="28"/>
          <w:szCs w:val="28"/>
        </w:rPr>
        <w:t>幾件</w:t>
      </w:r>
      <w:r w:rsidRPr="006D3CD8">
        <w:rPr>
          <w:rFonts w:ascii="標楷體" w:eastAsia="標楷體" w:hAnsi="標楷體" w:hint="eastAsia"/>
          <w:sz w:val="28"/>
          <w:szCs w:val="28"/>
        </w:rPr>
        <w:t>，</w:t>
      </w:r>
      <w:r w:rsidRPr="006D3CD8">
        <w:rPr>
          <w:rFonts w:ascii="標楷體" w:eastAsia="標楷體" w:hAnsi="標楷體"/>
          <w:sz w:val="28"/>
          <w:szCs w:val="28"/>
        </w:rPr>
        <w:t>海關自行</w:t>
      </w:r>
      <w:r w:rsidRPr="006D3CD8">
        <w:rPr>
          <w:rFonts w:ascii="標楷體" w:eastAsia="標楷體" w:hAnsi="標楷體" w:hint="eastAsia"/>
          <w:sz w:val="28"/>
          <w:szCs w:val="28"/>
        </w:rPr>
        <w:t>查獲高達</w:t>
      </w:r>
      <w:r w:rsidRPr="006D3CD8">
        <w:rPr>
          <w:rFonts w:ascii="標楷體" w:eastAsia="標楷體" w:hAnsi="標楷體"/>
          <w:sz w:val="28"/>
          <w:szCs w:val="28"/>
        </w:rPr>
        <w:t>95%，只有5%</w:t>
      </w:r>
      <w:r w:rsidRPr="006D3CD8">
        <w:rPr>
          <w:rFonts w:ascii="標楷體" w:eastAsia="標楷體" w:hAnsi="標楷體" w:hint="eastAsia"/>
          <w:sz w:val="28"/>
          <w:szCs w:val="28"/>
        </w:rPr>
        <w:t>是密報，</w:t>
      </w:r>
      <w:r w:rsidRPr="006D3CD8">
        <w:rPr>
          <w:rFonts w:ascii="標楷體" w:eastAsia="標楷體" w:hAnsi="標楷體"/>
          <w:sz w:val="28"/>
          <w:szCs w:val="28"/>
        </w:rPr>
        <w:t>今年1到11月自行</w:t>
      </w:r>
      <w:r w:rsidRPr="006D3CD8">
        <w:rPr>
          <w:rFonts w:ascii="標楷體" w:eastAsia="標楷體" w:hAnsi="標楷體" w:hint="eastAsia"/>
          <w:sz w:val="28"/>
          <w:szCs w:val="28"/>
        </w:rPr>
        <w:t>查獲</w:t>
      </w:r>
      <w:r w:rsidRPr="006D3CD8">
        <w:rPr>
          <w:rFonts w:ascii="標楷體" w:eastAsia="標楷體" w:hAnsi="標楷體"/>
          <w:sz w:val="28"/>
          <w:szCs w:val="28"/>
        </w:rPr>
        <w:t>比例</w:t>
      </w:r>
      <w:r w:rsidRPr="006D3CD8">
        <w:rPr>
          <w:rFonts w:ascii="標楷體" w:eastAsia="標楷體" w:hAnsi="標楷體" w:hint="eastAsia"/>
          <w:sz w:val="28"/>
          <w:szCs w:val="28"/>
        </w:rPr>
        <w:t>大約</w:t>
      </w:r>
      <w:r w:rsidRPr="006D3CD8">
        <w:rPr>
          <w:rFonts w:ascii="標楷體" w:eastAsia="標楷體" w:hAnsi="標楷體"/>
          <w:sz w:val="28"/>
          <w:szCs w:val="28"/>
        </w:rPr>
        <w:t>85</w:t>
      </w:r>
      <w:r w:rsidRPr="006D3CD8">
        <w:rPr>
          <w:rFonts w:ascii="標楷體" w:eastAsia="標楷體" w:hAnsi="標楷體" w:hint="eastAsia"/>
          <w:sz w:val="28"/>
          <w:szCs w:val="28"/>
        </w:rPr>
        <w:t>%</w:t>
      </w:r>
      <w:r w:rsidRPr="006D3CD8">
        <w:rPr>
          <w:rFonts w:ascii="標楷體" w:eastAsia="標楷體" w:hAnsi="標楷體"/>
          <w:sz w:val="28"/>
          <w:szCs w:val="28"/>
        </w:rPr>
        <w:t>，所以</w:t>
      </w:r>
      <w:r w:rsidRPr="006D3CD8">
        <w:rPr>
          <w:rFonts w:ascii="標楷體" w:eastAsia="標楷體" w:hAnsi="標楷體" w:hint="eastAsia"/>
          <w:sz w:val="28"/>
          <w:szCs w:val="28"/>
        </w:rPr>
        <w:t>海關</w:t>
      </w:r>
      <w:r w:rsidRPr="006D3CD8">
        <w:rPr>
          <w:rFonts w:ascii="標楷體" w:eastAsia="標楷體" w:hAnsi="標楷體"/>
          <w:sz w:val="28"/>
          <w:szCs w:val="28"/>
        </w:rPr>
        <w:t>同仁自行查獲成效</w:t>
      </w:r>
      <w:r w:rsidRPr="006D3CD8">
        <w:rPr>
          <w:rFonts w:ascii="標楷體" w:eastAsia="標楷體" w:hAnsi="標楷體" w:hint="eastAsia"/>
          <w:sz w:val="28"/>
          <w:szCs w:val="28"/>
        </w:rPr>
        <w:t>不錯</w:t>
      </w:r>
      <w:r w:rsidRPr="006D3CD8">
        <w:rPr>
          <w:rFonts w:ascii="標楷體" w:eastAsia="標楷體" w:hAnsi="標楷體"/>
          <w:sz w:val="28"/>
          <w:szCs w:val="28"/>
        </w:rPr>
        <w:t>。</w:t>
      </w:r>
    </w:p>
    <w:p w14:paraId="38A3DB64" w14:textId="77777777"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貨櫃集散</w:t>
      </w:r>
      <w:r w:rsidRPr="006D3CD8">
        <w:rPr>
          <w:rFonts w:ascii="標楷體" w:eastAsia="標楷體" w:hAnsi="標楷體" w:hint="eastAsia"/>
          <w:sz w:val="28"/>
          <w:szCs w:val="28"/>
        </w:rPr>
        <w:t>場光源會</w:t>
      </w:r>
      <w:r>
        <w:rPr>
          <w:rFonts w:ascii="標楷體" w:eastAsia="標楷體" w:hAnsi="標楷體" w:hint="eastAsia"/>
          <w:sz w:val="28"/>
          <w:szCs w:val="28"/>
        </w:rPr>
        <w:t>再</w:t>
      </w:r>
      <w:r w:rsidRPr="006D3CD8">
        <w:rPr>
          <w:rFonts w:ascii="標楷體" w:eastAsia="標楷體" w:hAnsi="標楷體"/>
          <w:sz w:val="28"/>
          <w:szCs w:val="28"/>
        </w:rPr>
        <w:t>請</w:t>
      </w:r>
      <w:r w:rsidRPr="006D3CD8">
        <w:rPr>
          <w:rFonts w:ascii="標楷體" w:eastAsia="標楷體" w:hAnsi="標楷體" w:hint="eastAsia"/>
          <w:sz w:val="28"/>
          <w:szCs w:val="28"/>
        </w:rPr>
        <w:t>貨站</w:t>
      </w:r>
      <w:r w:rsidRPr="006D3CD8">
        <w:rPr>
          <w:rFonts w:ascii="標楷體" w:eastAsia="標楷體" w:hAnsi="標楷體"/>
          <w:sz w:val="28"/>
          <w:szCs w:val="28"/>
        </w:rPr>
        <w:t>改善，但</w:t>
      </w:r>
      <w:r w:rsidRPr="006D3CD8">
        <w:rPr>
          <w:rFonts w:ascii="標楷體" w:eastAsia="標楷體" w:hAnsi="標楷體" w:hint="eastAsia"/>
          <w:sz w:val="28"/>
          <w:szCs w:val="28"/>
        </w:rPr>
        <w:t>貨站</w:t>
      </w:r>
      <w:r w:rsidRPr="006D3CD8">
        <w:rPr>
          <w:rFonts w:ascii="標楷體" w:eastAsia="標楷體" w:hAnsi="標楷體"/>
          <w:sz w:val="28"/>
          <w:szCs w:val="28"/>
        </w:rPr>
        <w:t>都</w:t>
      </w:r>
      <w:r>
        <w:rPr>
          <w:rFonts w:ascii="標楷體" w:eastAsia="標楷體" w:hAnsi="標楷體" w:hint="eastAsia"/>
          <w:sz w:val="28"/>
          <w:szCs w:val="28"/>
        </w:rPr>
        <w:t>有</w:t>
      </w:r>
      <w:r w:rsidRPr="006D3CD8">
        <w:rPr>
          <w:rFonts w:ascii="標楷體" w:eastAsia="標楷體" w:hAnsi="標楷體"/>
          <w:sz w:val="28"/>
          <w:szCs w:val="28"/>
        </w:rPr>
        <w:t>成本</w:t>
      </w:r>
      <w:r w:rsidRPr="006D3CD8">
        <w:rPr>
          <w:rFonts w:ascii="標楷體" w:eastAsia="標楷體" w:hAnsi="標楷體" w:hint="eastAsia"/>
          <w:sz w:val="28"/>
          <w:szCs w:val="28"/>
        </w:rPr>
        <w:t>上</w:t>
      </w:r>
      <w:r w:rsidRPr="006D3CD8">
        <w:rPr>
          <w:rFonts w:ascii="標楷體" w:eastAsia="標楷體" w:hAnsi="標楷體"/>
          <w:sz w:val="28"/>
          <w:szCs w:val="28"/>
        </w:rPr>
        <w:t>的考量</w:t>
      </w:r>
      <w:r w:rsidRPr="006D3CD8">
        <w:rPr>
          <w:rFonts w:ascii="標楷體" w:eastAsia="標楷體" w:hAnsi="標楷體" w:hint="eastAsia"/>
          <w:sz w:val="28"/>
          <w:szCs w:val="28"/>
        </w:rPr>
        <w:t>，</w:t>
      </w:r>
      <w:r w:rsidRPr="006D3CD8">
        <w:rPr>
          <w:rFonts w:ascii="標楷體" w:eastAsia="標楷體" w:hAnsi="標楷體"/>
          <w:sz w:val="28"/>
          <w:szCs w:val="28"/>
        </w:rPr>
        <w:t>也</w:t>
      </w:r>
      <w:r w:rsidRPr="006D3CD8">
        <w:rPr>
          <w:rFonts w:ascii="標楷體" w:eastAsia="標楷體" w:hAnsi="標楷體" w:hint="eastAsia"/>
          <w:sz w:val="28"/>
          <w:szCs w:val="28"/>
        </w:rPr>
        <w:t>請各位委員在</w:t>
      </w:r>
      <w:r w:rsidRPr="006D3CD8">
        <w:rPr>
          <w:rFonts w:ascii="標楷體" w:eastAsia="標楷體" w:hAnsi="標楷體"/>
          <w:sz w:val="28"/>
          <w:szCs w:val="28"/>
        </w:rPr>
        <w:t>財政委員會</w:t>
      </w:r>
      <w:r w:rsidRPr="006D3CD8">
        <w:rPr>
          <w:rFonts w:ascii="標楷體" w:eastAsia="標楷體" w:hAnsi="標楷體" w:hint="eastAsia"/>
          <w:sz w:val="28"/>
          <w:szCs w:val="28"/>
        </w:rPr>
        <w:t>替海關的預算</w:t>
      </w:r>
      <w:r w:rsidRPr="006D3CD8">
        <w:rPr>
          <w:rFonts w:ascii="標楷體" w:eastAsia="標楷體" w:hAnsi="標楷體"/>
          <w:sz w:val="28"/>
          <w:szCs w:val="28"/>
        </w:rPr>
        <w:t>發</w:t>
      </w:r>
      <w:r w:rsidRPr="006D3CD8">
        <w:rPr>
          <w:rFonts w:ascii="標楷體" w:eastAsia="標楷體" w:hAnsi="標楷體" w:hint="eastAsia"/>
          <w:sz w:val="28"/>
          <w:szCs w:val="28"/>
        </w:rPr>
        <w:t>聲。</w:t>
      </w:r>
    </w:p>
    <w:p w14:paraId="01246BFD" w14:textId="77777777" w:rsidR="00421BB5"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工作時程</w:t>
      </w:r>
      <w:r w:rsidRPr="006D3CD8">
        <w:rPr>
          <w:rFonts w:ascii="標楷體" w:eastAsia="標楷體" w:hAnsi="標楷體" w:hint="eastAsia"/>
          <w:sz w:val="28"/>
          <w:szCs w:val="28"/>
        </w:rPr>
        <w:t>管制</w:t>
      </w:r>
      <w:r w:rsidRPr="006D3CD8">
        <w:rPr>
          <w:rFonts w:ascii="標楷體" w:eastAsia="標楷體" w:hAnsi="標楷體"/>
          <w:sz w:val="28"/>
          <w:szCs w:val="28"/>
        </w:rPr>
        <w:t>表</w:t>
      </w:r>
      <w:r w:rsidRPr="006D3CD8">
        <w:rPr>
          <w:rFonts w:ascii="標楷體" w:eastAsia="標楷體" w:hAnsi="標楷體" w:hint="eastAsia"/>
          <w:sz w:val="28"/>
          <w:szCs w:val="28"/>
        </w:rPr>
        <w:t>部分</w:t>
      </w:r>
      <w:r w:rsidRPr="006D3CD8">
        <w:rPr>
          <w:rFonts w:ascii="標楷體" w:eastAsia="標楷體" w:hAnsi="標楷體"/>
          <w:sz w:val="28"/>
          <w:szCs w:val="28"/>
        </w:rPr>
        <w:t>，</w:t>
      </w:r>
      <w:r>
        <w:rPr>
          <w:rFonts w:ascii="標楷體" w:eastAsia="標楷體" w:hAnsi="標楷體" w:hint="eastAsia"/>
          <w:sz w:val="28"/>
          <w:szCs w:val="28"/>
        </w:rPr>
        <w:t>從</w:t>
      </w:r>
      <w:r w:rsidRPr="006D3CD8">
        <w:rPr>
          <w:rFonts w:ascii="標楷體" w:eastAsia="標楷體" w:hAnsi="標楷體"/>
          <w:sz w:val="28"/>
          <w:szCs w:val="28"/>
        </w:rPr>
        <w:t>去年5</w:t>
      </w:r>
      <w:r w:rsidRPr="006D3CD8">
        <w:rPr>
          <w:rFonts w:ascii="標楷體" w:eastAsia="標楷體" w:hAnsi="標楷體" w:hint="eastAsia"/>
          <w:sz w:val="28"/>
          <w:szCs w:val="28"/>
        </w:rPr>
        <w:t>月</w:t>
      </w:r>
      <w:r w:rsidRPr="006D3CD8">
        <w:rPr>
          <w:rFonts w:ascii="標楷體" w:eastAsia="標楷體" w:hAnsi="標楷體"/>
          <w:sz w:val="28"/>
          <w:szCs w:val="28"/>
        </w:rPr>
        <w:t>20</w:t>
      </w:r>
      <w:r w:rsidRPr="006D3CD8">
        <w:rPr>
          <w:rFonts w:ascii="標楷體" w:eastAsia="標楷體" w:hAnsi="標楷體" w:hint="eastAsia"/>
          <w:sz w:val="28"/>
          <w:szCs w:val="28"/>
        </w:rPr>
        <w:t>日起</w:t>
      </w:r>
      <w:r w:rsidRPr="006D3CD8">
        <w:rPr>
          <w:rFonts w:ascii="標楷體" w:eastAsia="標楷體" w:hAnsi="標楷體"/>
          <w:sz w:val="28"/>
          <w:szCs w:val="28"/>
        </w:rPr>
        <w:t>停止新</w:t>
      </w:r>
      <w:r w:rsidRPr="006D3CD8">
        <w:rPr>
          <w:rFonts w:ascii="標楷體" w:eastAsia="標楷體" w:hAnsi="標楷體" w:hint="eastAsia"/>
          <w:sz w:val="28"/>
          <w:szCs w:val="28"/>
        </w:rPr>
        <w:t>設</w:t>
      </w:r>
      <w:r w:rsidRPr="006D3CD8">
        <w:rPr>
          <w:rFonts w:ascii="標楷體" w:eastAsia="標楷體" w:hAnsi="標楷體"/>
          <w:sz w:val="28"/>
          <w:szCs w:val="28"/>
        </w:rPr>
        <w:t>海運快遞專區，但一年多來，</w:t>
      </w:r>
      <w:r w:rsidRPr="006D3CD8">
        <w:rPr>
          <w:rFonts w:ascii="標楷體" w:eastAsia="標楷體" w:hAnsi="標楷體" w:hint="eastAsia"/>
          <w:sz w:val="28"/>
          <w:szCs w:val="28"/>
        </w:rPr>
        <w:t>關務署</w:t>
      </w:r>
      <w:r w:rsidRPr="006D3CD8">
        <w:rPr>
          <w:rFonts w:ascii="標楷體" w:eastAsia="標楷體" w:hAnsi="標楷體"/>
          <w:sz w:val="28"/>
          <w:szCs w:val="28"/>
        </w:rPr>
        <w:t>都有密集檢討，也有請</w:t>
      </w:r>
      <w:r w:rsidRPr="006D3CD8">
        <w:rPr>
          <w:rFonts w:ascii="標楷體" w:eastAsia="標楷體" w:hAnsi="標楷體" w:hint="eastAsia"/>
          <w:sz w:val="28"/>
          <w:szCs w:val="28"/>
        </w:rPr>
        <w:t>各關表達</w:t>
      </w:r>
      <w:r w:rsidRPr="006D3CD8">
        <w:rPr>
          <w:rFonts w:ascii="標楷體" w:eastAsia="標楷體" w:hAnsi="標楷體"/>
          <w:sz w:val="28"/>
          <w:szCs w:val="28"/>
        </w:rPr>
        <w:t>意見，</w:t>
      </w:r>
      <w:r w:rsidRPr="006D3CD8">
        <w:rPr>
          <w:rFonts w:ascii="標楷體" w:eastAsia="標楷體" w:hAnsi="標楷體" w:hint="eastAsia"/>
          <w:sz w:val="28"/>
          <w:szCs w:val="28"/>
        </w:rPr>
        <w:t>但</w:t>
      </w:r>
      <w:r w:rsidRPr="006D3CD8">
        <w:rPr>
          <w:rFonts w:ascii="標楷體" w:eastAsia="標楷體" w:hAnsi="標楷體"/>
          <w:sz w:val="28"/>
          <w:szCs w:val="28"/>
        </w:rPr>
        <w:t>海關現在面臨</w:t>
      </w:r>
      <w:r w:rsidRPr="006D3CD8">
        <w:rPr>
          <w:rFonts w:ascii="標楷體" w:eastAsia="標楷體" w:hAnsi="標楷體" w:hint="eastAsia"/>
          <w:sz w:val="28"/>
          <w:szCs w:val="28"/>
        </w:rPr>
        <w:t>人力</w:t>
      </w:r>
      <w:r>
        <w:rPr>
          <w:rFonts w:ascii="標楷體" w:eastAsia="標楷體" w:hAnsi="標楷體" w:hint="eastAsia"/>
          <w:sz w:val="28"/>
          <w:szCs w:val="28"/>
        </w:rPr>
        <w:t>短缺</w:t>
      </w:r>
      <w:r w:rsidRPr="006D3CD8">
        <w:rPr>
          <w:rFonts w:ascii="標楷體" w:eastAsia="標楷體" w:hAnsi="標楷體"/>
          <w:sz w:val="28"/>
          <w:szCs w:val="28"/>
        </w:rPr>
        <w:t>問題，一條通關線，總人力要20人以上，離島</w:t>
      </w:r>
      <w:r w:rsidRPr="006D3CD8">
        <w:rPr>
          <w:rFonts w:ascii="標楷體" w:eastAsia="標楷體" w:hAnsi="標楷體" w:hint="eastAsia"/>
          <w:sz w:val="28"/>
          <w:szCs w:val="28"/>
        </w:rPr>
        <w:t>的</w:t>
      </w:r>
      <w:r w:rsidRPr="006D3CD8">
        <w:rPr>
          <w:rFonts w:ascii="標楷體" w:eastAsia="標楷體" w:hAnsi="標楷體"/>
          <w:sz w:val="28"/>
          <w:szCs w:val="28"/>
        </w:rPr>
        <w:t>人數會</w:t>
      </w:r>
      <w:r w:rsidRPr="006D3CD8">
        <w:rPr>
          <w:rFonts w:ascii="標楷體" w:eastAsia="標楷體" w:hAnsi="標楷體" w:hint="eastAsia"/>
          <w:sz w:val="28"/>
          <w:szCs w:val="28"/>
        </w:rPr>
        <w:t>倍增到</w:t>
      </w:r>
      <w:r w:rsidRPr="006D3CD8">
        <w:rPr>
          <w:rFonts w:ascii="標楷體" w:eastAsia="標楷體" w:hAnsi="標楷體"/>
          <w:sz w:val="28"/>
          <w:szCs w:val="28"/>
        </w:rPr>
        <w:t>40人，</w:t>
      </w:r>
      <w:r>
        <w:rPr>
          <w:rFonts w:ascii="標楷體" w:eastAsia="標楷體" w:hAnsi="標楷體" w:hint="eastAsia"/>
          <w:sz w:val="28"/>
          <w:szCs w:val="28"/>
        </w:rPr>
        <w:t>關務署</w:t>
      </w:r>
      <w:r w:rsidRPr="006D3CD8">
        <w:rPr>
          <w:rFonts w:ascii="標楷體" w:eastAsia="標楷體" w:hAnsi="標楷體" w:hint="eastAsia"/>
          <w:sz w:val="28"/>
          <w:szCs w:val="28"/>
        </w:rPr>
        <w:t>仍</w:t>
      </w:r>
      <w:r w:rsidRPr="006D3CD8">
        <w:rPr>
          <w:rFonts w:ascii="標楷體" w:eastAsia="標楷體" w:hAnsi="標楷體"/>
          <w:sz w:val="28"/>
          <w:szCs w:val="28"/>
        </w:rPr>
        <w:t>會依照委員的指示</w:t>
      </w:r>
      <w:r w:rsidRPr="006D3CD8">
        <w:rPr>
          <w:rFonts w:ascii="標楷體" w:eastAsia="標楷體" w:hAnsi="標楷體" w:hint="eastAsia"/>
          <w:sz w:val="28"/>
          <w:szCs w:val="28"/>
        </w:rPr>
        <w:t>盡速擬定</w:t>
      </w:r>
      <w:r w:rsidRPr="006D3CD8">
        <w:rPr>
          <w:rFonts w:ascii="標楷體" w:eastAsia="標楷體" w:hAnsi="標楷體"/>
          <w:sz w:val="28"/>
          <w:szCs w:val="28"/>
        </w:rPr>
        <w:t>工作</w:t>
      </w:r>
      <w:r w:rsidRPr="006D3CD8">
        <w:rPr>
          <w:rFonts w:ascii="標楷體" w:eastAsia="標楷體" w:hAnsi="標楷體" w:hint="eastAsia"/>
          <w:sz w:val="28"/>
          <w:szCs w:val="28"/>
        </w:rPr>
        <w:t>時程</w:t>
      </w:r>
      <w:r w:rsidRPr="006D3CD8">
        <w:rPr>
          <w:rFonts w:ascii="標楷體" w:eastAsia="標楷體" w:hAnsi="標楷體"/>
          <w:sz w:val="28"/>
          <w:szCs w:val="28"/>
        </w:rPr>
        <w:t>表，</w:t>
      </w:r>
      <w:r w:rsidRPr="006D3CD8">
        <w:rPr>
          <w:rFonts w:ascii="標楷體" w:eastAsia="標楷體" w:hAnsi="標楷體" w:hint="eastAsia"/>
          <w:sz w:val="28"/>
          <w:szCs w:val="28"/>
        </w:rPr>
        <w:t>並就</w:t>
      </w:r>
      <w:r w:rsidRPr="006D3CD8">
        <w:rPr>
          <w:rFonts w:ascii="標楷體" w:eastAsia="標楷體" w:hAnsi="標楷體"/>
          <w:sz w:val="28"/>
          <w:szCs w:val="28"/>
        </w:rPr>
        <w:t>海運快遞專區到底是不是要再重新開放給其他新設的業者</w:t>
      </w:r>
      <w:r w:rsidRPr="006D3CD8">
        <w:rPr>
          <w:rFonts w:ascii="標楷體" w:eastAsia="標楷體" w:hAnsi="標楷體" w:hint="eastAsia"/>
          <w:sz w:val="28"/>
          <w:szCs w:val="28"/>
        </w:rPr>
        <w:t>問題，盡快</w:t>
      </w:r>
      <w:r w:rsidRPr="006D3CD8">
        <w:rPr>
          <w:rFonts w:ascii="標楷體" w:eastAsia="標楷體" w:hAnsi="標楷體"/>
          <w:sz w:val="28"/>
          <w:szCs w:val="28"/>
        </w:rPr>
        <w:t>提出報告</w:t>
      </w:r>
      <w:r w:rsidRPr="006D3CD8">
        <w:rPr>
          <w:rFonts w:ascii="標楷體" w:eastAsia="標楷體" w:hAnsi="標楷體" w:hint="eastAsia"/>
          <w:sz w:val="28"/>
          <w:szCs w:val="28"/>
        </w:rPr>
        <w:t>。</w:t>
      </w:r>
    </w:p>
    <w:p w14:paraId="6D4F8886" w14:textId="0446F924" w:rsidR="00421BB5" w:rsidRPr="006D3CD8" w:rsidRDefault="00295BA8" w:rsidP="007015C7">
      <w:pPr>
        <w:pStyle w:val="affb"/>
        <w:numPr>
          <w:ilvl w:val="2"/>
          <w:numId w:val="40"/>
        </w:numPr>
        <w:spacing w:line="500" w:lineRule="exact"/>
        <w:ind w:leftChars="0" w:hanging="873"/>
        <w:jc w:val="both"/>
        <w:rPr>
          <w:rFonts w:ascii="標楷體" w:eastAsia="標楷體" w:hAnsi="標楷體"/>
          <w:sz w:val="28"/>
          <w:szCs w:val="28"/>
        </w:rPr>
      </w:pPr>
      <w:r>
        <w:rPr>
          <w:rFonts w:ascii="標楷體" w:eastAsia="標楷體" w:hAnsi="標楷體" w:hint="eastAsia"/>
          <w:sz w:val="28"/>
          <w:szCs w:val="28"/>
        </w:rPr>
        <w:t>原本規劃</w:t>
      </w:r>
      <w:r w:rsidR="00421BB5" w:rsidRPr="006D3CD8">
        <w:rPr>
          <w:rFonts w:ascii="標楷體" w:eastAsia="標楷體" w:hAnsi="標楷體"/>
          <w:sz w:val="28"/>
          <w:szCs w:val="28"/>
        </w:rPr>
        <w:t>3年檢討一次，</w:t>
      </w:r>
      <w:r w:rsidR="00421BB5">
        <w:rPr>
          <w:rFonts w:ascii="標楷體" w:eastAsia="標楷體" w:hAnsi="標楷體" w:hint="eastAsia"/>
          <w:sz w:val="28"/>
          <w:szCs w:val="28"/>
        </w:rPr>
        <w:t>但</w:t>
      </w:r>
      <w:r w:rsidR="00421BB5" w:rsidRPr="006D3CD8">
        <w:rPr>
          <w:rFonts w:ascii="標楷體" w:eastAsia="標楷體" w:hAnsi="標楷體" w:hint="eastAsia"/>
          <w:sz w:val="28"/>
          <w:szCs w:val="28"/>
        </w:rPr>
        <w:t>關務署</w:t>
      </w:r>
      <w:r w:rsidR="00421BB5">
        <w:rPr>
          <w:rFonts w:ascii="標楷體" w:eastAsia="標楷體" w:hAnsi="標楷體" w:hint="eastAsia"/>
          <w:sz w:val="28"/>
          <w:szCs w:val="28"/>
        </w:rPr>
        <w:t>只</w:t>
      </w:r>
      <w:r w:rsidR="00421BB5" w:rsidRPr="006D3CD8">
        <w:rPr>
          <w:rFonts w:ascii="標楷體" w:eastAsia="標楷體" w:hAnsi="標楷體"/>
          <w:sz w:val="28"/>
          <w:szCs w:val="28"/>
        </w:rPr>
        <w:t>經過了一年就已經在檢討</w:t>
      </w:r>
      <w:r w:rsidR="00421BB5" w:rsidRPr="006D3CD8">
        <w:rPr>
          <w:rFonts w:ascii="標楷體" w:eastAsia="標楷體" w:hAnsi="標楷體" w:hint="eastAsia"/>
          <w:sz w:val="28"/>
          <w:szCs w:val="28"/>
        </w:rPr>
        <w:t>並</w:t>
      </w:r>
      <w:r w:rsidR="00421BB5" w:rsidRPr="006D3CD8">
        <w:rPr>
          <w:rFonts w:ascii="標楷體" w:eastAsia="標楷體" w:hAnsi="標楷體"/>
          <w:sz w:val="28"/>
          <w:szCs w:val="28"/>
        </w:rPr>
        <w:t>收集</w:t>
      </w:r>
      <w:r w:rsidR="00421BB5" w:rsidRPr="006D3CD8">
        <w:rPr>
          <w:rFonts w:ascii="標楷體" w:eastAsia="標楷體" w:hAnsi="標楷體" w:hint="eastAsia"/>
          <w:sz w:val="28"/>
          <w:szCs w:val="28"/>
        </w:rPr>
        <w:t>各關</w:t>
      </w:r>
      <w:r w:rsidR="00421BB5" w:rsidRPr="006D3CD8">
        <w:rPr>
          <w:rFonts w:ascii="標楷體" w:eastAsia="標楷體" w:hAnsi="標楷體"/>
          <w:sz w:val="28"/>
          <w:szCs w:val="28"/>
        </w:rPr>
        <w:t>意見，目前各關</w:t>
      </w:r>
      <w:r w:rsidR="00421BB5">
        <w:rPr>
          <w:rFonts w:ascii="標楷體" w:eastAsia="標楷體" w:hAnsi="標楷體" w:hint="eastAsia"/>
          <w:sz w:val="28"/>
          <w:szCs w:val="28"/>
        </w:rPr>
        <w:t>仍因</w:t>
      </w:r>
      <w:r w:rsidR="00421BB5" w:rsidRPr="006D3CD8">
        <w:rPr>
          <w:rFonts w:ascii="標楷體" w:eastAsia="標楷體" w:hAnsi="標楷體"/>
          <w:sz w:val="28"/>
          <w:szCs w:val="28"/>
        </w:rPr>
        <w:t>人力</w:t>
      </w:r>
      <w:r w:rsidR="00421BB5" w:rsidRPr="006D3CD8">
        <w:rPr>
          <w:rFonts w:ascii="標楷體" w:eastAsia="標楷體" w:hAnsi="標楷體" w:hint="eastAsia"/>
          <w:sz w:val="28"/>
          <w:szCs w:val="28"/>
        </w:rPr>
        <w:t>問題</w:t>
      </w:r>
      <w:r w:rsidR="00421BB5" w:rsidRPr="006D3CD8">
        <w:rPr>
          <w:rFonts w:ascii="標楷體" w:eastAsia="標楷體" w:hAnsi="標楷體"/>
          <w:sz w:val="28"/>
          <w:szCs w:val="28"/>
        </w:rPr>
        <w:t>持保留態度。</w:t>
      </w:r>
      <w:r w:rsidR="00421BB5" w:rsidRPr="006D3CD8">
        <w:rPr>
          <w:rFonts w:ascii="標楷體" w:eastAsia="標楷體" w:hAnsi="標楷體" w:hint="eastAsia"/>
          <w:sz w:val="28"/>
          <w:szCs w:val="28"/>
        </w:rPr>
        <w:t>關務署</w:t>
      </w:r>
      <w:r w:rsidR="00421BB5" w:rsidRPr="006D3CD8">
        <w:rPr>
          <w:rFonts w:ascii="標楷體" w:eastAsia="標楷體" w:hAnsi="標楷體"/>
          <w:sz w:val="28"/>
          <w:szCs w:val="28"/>
        </w:rPr>
        <w:t>預計在2個月內</w:t>
      </w:r>
      <w:r w:rsidR="00421BB5" w:rsidRPr="006D3CD8">
        <w:rPr>
          <w:rFonts w:ascii="標楷體" w:eastAsia="標楷體" w:hAnsi="標楷體" w:hint="eastAsia"/>
          <w:sz w:val="28"/>
          <w:szCs w:val="28"/>
        </w:rPr>
        <w:t>對於</w:t>
      </w:r>
      <w:r w:rsidR="00421BB5" w:rsidRPr="006D3CD8">
        <w:rPr>
          <w:rFonts w:ascii="標楷體" w:eastAsia="標楷體" w:hAnsi="標楷體"/>
          <w:sz w:val="28"/>
          <w:szCs w:val="28"/>
        </w:rPr>
        <w:t>海運快遞專區未來重新開放，</w:t>
      </w:r>
      <w:r w:rsidR="00421BB5" w:rsidRPr="006D3CD8">
        <w:rPr>
          <w:rFonts w:ascii="標楷體" w:eastAsia="標楷體" w:hAnsi="標楷體" w:hint="eastAsia"/>
          <w:sz w:val="28"/>
          <w:szCs w:val="28"/>
        </w:rPr>
        <w:t>研擬</w:t>
      </w:r>
      <w:r w:rsidR="00421BB5" w:rsidRPr="006D3CD8">
        <w:rPr>
          <w:rFonts w:ascii="標楷體" w:eastAsia="標楷體" w:hAnsi="標楷體"/>
          <w:sz w:val="28"/>
          <w:szCs w:val="28"/>
        </w:rPr>
        <w:t>配套措施</w:t>
      </w:r>
      <w:r w:rsidR="00421BB5" w:rsidRPr="006D3CD8">
        <w:rPr>
          <w:rFonts w:ascii="標楷體" w:eastAsia="標楷體" w:hAnsi="標楷體" w:hint="eastAsia"/>
          <w:sz w:val="28"/>
          <w:szCs w:val="28"/>
        </w:rPr>
        <w:t>，譬如</w:t>
      </w:r>
      <w:r w:rsidR="00421BB5" w:rsidRPr="006D3CD8">
        <w:rPr>
          <w:rFonts w:ascii="標楷體" w:eastAsia="標楷體" w:hAnsi="標楷體"/>
          <w:sz w:val="28"/>
          <w:szCs w:val="28"/>
        </w:rPr>
        <w:t>設備環境要怎麼樣達到自動化</w:t>
      </w:r>
      <w:r w:rsidR="00421BB5" w:rsidRPr="006D3CD8">
        <w:rPr>
          <w:rFonts w:ascii="標楷體" w:eastAsia="標楷體" w:hAnsi="標楷體" w:hint="eastAsia"/>
          <w:sz w:val="28"/>
          <w:szCs w:val="28"/>
        </w:rPr>
        <w:t>，一併提供</w:t>
      </w:r>
      <w:r w:rsidR="00421BB5">
        <w:rPr>
          <w:rFonts w:ascii="標楷體" w:eastAsia="標楷體" w:hAnsi="標楷體" w:hint="eastAsia"/>
          <w:sz w:val="28"/>
          <w:szCs w:val="28"/>
        </w:rPr>
        <w:t>財政</w:t>
      </w:r>
      <w:r w:rsidR="00421BB5" w:rsidRPr="006D3CD8">
        <w:rPr>
          <w:rFonts w:ascii="標楷體" w:eastAsia="標楷體" w:hAnsi="標楷體" w:hint="eastAsia"/>
          <w:sz w:val="28"/>
          <w:szCs w:val="28"/>
        </w:rPr>
        <w:t>部參考。</w:t>
      </w:r>
    </w:p>
    <w:p w14:paraId="1F355EB0"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lastRenderedPageBreak/>
        <w:t>蔡次長碧仲：在去年羅秉成政委的指示之下，關務署有針對關務邊境安全與我們檢察機關研究查緝毒品走私案件，並進行實務上的精進，藉此兼顧安全並遏止毒品及槍枝入境，這是很重要的課題，在</w:t>
      </w:r>
      <w:r w:rsidRPr="006D3CD8">
        <w:rPr>
          <w:rFonts w:ascii="標楷體" w:eastAsia="標楷體" w:hAnsi="標楷體"/>
          <w:sz w:val="28"/>
          <w:szCs w:val="28"/>
        </w:rPr>
        <w:t>跨部會合作</w:t>
      </w:r>
      <w:r w:rsidRPr="006D3CD8">
        <w:rPr>
          <w:rFonts w:ascii="標楷體" w:eastAsia="標楷體" w:hAnsi="標楷體" w:hint="eastAsia"/>
          <w:sz w:val="28"/>
          <w:szCs w:val="28"/>
        </w:rPr>
        <w:t>上</w:t>
      </w:r>
      <w:r w:rsidRPr="006D3CD8">
        <w:rPr>
          <w:rFonts w:ascii="標楷體" w:eastAsia="標楷體" w:hAnsi="標楷體"/>
          <w:sz w:val="28"/>
          <w:szCs w:val="28"/>
        </w:rPr>
        <w:t>，</w:t>
      </w:r>
      <w:r w:rsidRPr="006D3CD8">
        <w:rPr>
          <w:rFonts w:ascii="標楷體" w:eastAsia="標楷體" w:hAnsi="標楷體" w:hint="eastAsia"/>
          <w:sz w:val="28"/>
          <w:szCs w:val="28"/>
        </w:rPr>
        <w:t>法務部</w:t>
      </w:r>
      <w:r w:rsidRPr="006D3CD8">
        <w:rPr>
          <w:rFonts w:ascii="標楷體" w:eastAsia="標楷體" w:hAnsi="標楷體"/>
          <w:sz w:val="28"/>
          <w:szCs w:val="28"/>
        </w:rPr>
        <w:t>跟關務</w:t>
      </w:r>
      <w:r w:rsidRPr="006D3CD8">
        <w:rPr>
          <w:rFonts w:ascii="標楷體" w:eastAsia="標楷體" w:hAnsi="標楷體" w:hint="eastAsia"/>
          <w:sz w:val="28"/>
          <w:szCs w:val="28"/>
        </w:rPr>
        <w:t>署</w:t>
      </w:r>
      <w:r w:rsidRPr="006D3CD8">
        <w:rPr>
          <w:rFonts w:ascii="標楷體" w:eastAsia="標楷體" w:hAnsi="標楷體"/>
          <w:sz w:val="28"/>
          <w:szCs w:val="28"/>
        </w:rPr>
        <w:t>也會保持</w:t>
      </w:r>
      <w:r w:rsidRPr="006D3CD8">
        <w:rPr>
          <w:rFonts w:ascii="標楷體" w:eastAsia="標楷體" w:hAnsi="標楷體" w:hint="eastAsia"/>
          <w:sz w:val="28"/>
          <w:szCs w:val="28"/>
        </w:rPr>
        <w:t>良好聯繫工作聯繫</w:t>
      </w:r>
      <w:r w:rsidRPr="006D3CD8">
        <w:rPr>
          <w:rFonts w:ascii="標楷體" w:eastAsia="標楷體" w:hAnsi="標楷體"/>
          <w:sz w:val="28"/>
          <w:szCs w:val="28"/>
        </w:rPr>
        <w:t>。</w:t>
      </w:r>
    </w:p>
    <w:p w14:paraId="5D7E5B6E"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蔡委員適應：</w:t>
      </w:r>
      <w:r w:rsidRPr="006D3CD8">
        <w:rPr>
          <w:rFonts w:ascii="標楷體" w:eastAsia="標楷體" w:hAnsi="標楷體"/>
          <w:sz w:val="28"/>
          <w:szCs w:val="28"/>
        </w:rPr>
        <w:t>防範走私邊境安全有</w:t>
      </w:r>
      <w:r w:rsidRPr="006D3CD8">
        <w:rPr>
          <w:rFonts w:ascii="標楷體" w:eastAsia="標楷體" w:hAnsi="標楷體" w:hint="eastAsia"/>
          <w:sz w:val="28"/>
          <w:szCs w:val="28"/>
        </w:rPr>
        <w:t>其</w:t>
      </w:r>
      <w:r w:rsidRPr="006D3CD8">
        <w:rPr>
          <w:rFonts w:ascii="標楷體" w:eastAsia="標楷體" w:hAnsi="標楷體"/>
          <w:sz w:val="28"/>
          <w:szCs w:val="28"/>
        </w:rPr>
        <w:t>必要性，加上之前的會議中</w:t>
      </w:r>
      <w:r w:rsidRPr="006D3CD8">
        <w:rPr>
          <w:rFonts w:ascii="標楷體" w:eastAsia="標楷體" w:hAnsi="標楷體" w:hint="eastAsia"/>
          <w:sz w:val="28"/>
          <w:szCs w:val="28"/>
        </w:rPr>
        <w:t>也</w:t>
      </w:r>
      <w:r w:rsidRPr="006D3CD8">
        <w:rPr>
          <w:rFonts w:ascii="標楷體" w:eastAsia="標楷體" w:hAnsi="標楷體"/>
          <w:sz w:val="28"/>
          <w:szCs w:val="28"/>
        </w:rPr>
        <w:t>有</w:t>
      </w:r>
      <w:r w:rsidRPr="006D3CD8">
        <w:rPr>
          <w:rFonts w:ascii="標楷體" w:eastAsia="標楷體" w:hAnsi="標楷體" w:hint="eastAsia"/>
          <w:sz w:val="28"/>
          <w:szCs w:val="28"/>
        </w:rPr>
        <w:t>指示</w:t>
      </w:r>
      <w:r w:rsidRPr="006D3CD8">
        <w:rPr>
          <w:rFonts w:ascii="標楷體" w:eastAsia="標楷體" w:hAnsi="標楷體"/>
          <w:sz w:val="28"/>
          <w:szCs w:val="28"/>
        </w:rPr>
        <w:t>過，</w:t>
      </w:r>
      <w:r w:rsidRPr="006D3CD8">
        <w:rPr>
          <w:rFonts w:ascii="標楷體" w:eastAsia="標楷體" w:hAnsi="標楷體" w:hint="eastAsia"/>
          <w:sz w:val="28"/>
          <w:szCs w:val="28"/>
        </w:rPr>
        <w:t>關務署也已經開始在做，基於</w:t>
      </w:r>
      <w:r w:rsidRPr="006D3CD8">
        <w:rPr>
          <w:rFonts w:ascii="標楷體" w:eastAsia="標楷體" w:hAnsi="標楷體"/>
          <w:sz w:val="28"/>
          <w:szCs w:val="28"/>
        </w:rPr>
        <w:t>邊境安全不能等待</w:t>
      </w:r>
      <w:r w:rsidRPr="006D3CD8">
        <w:rPr>
          <w:rFonts w:ascii="標楷體" w:eastAsia="標楷體" w:hAnsi="標楷體" w:hint="eastAsia"/>
          <w:sz w:val="28"/>
          <w:szCs w:val="28"/>
        </w:rPr>
        <w:t>，</w:t>
      </w:r>
      <w:r w:rsidRPr="006D3CD8">
        <w:rPr>
          <w:rFonts w:ascii="標楷體" w:eastAsia="標楷體" w:hAnsi="標楷體"/>
          <w:sz w:val="28"/>
          <w:szCs w:val="28"/>
        </w:rPr>
        <w:t>建議</w:t>
      </w:r>
      <w:r w:rsidRPr="006D3CD8">
        <w:rPr>
          <w:rFonts w:ascii="標楷體" w:eastAsia="標楷體" w:hAnsi="標楷體" w:hint="eastAsia"/>
          <w:sz w:val="28"/>
          <w:szCs w:val="28"/>
        </w:rPr>
        <w:t>關務署1</w:t>
      </w:r>
      <w:r w:rsidRPr="006D3CD8">
        <w:rPr>
          <w:rFonts w:ascii="標楷體" w:eastAsia="標楷體" w:hAnsi="標楷體"/>
          <w:sz w:val="28"/>
          <w:szCs w:val="28"/>
        </w:rPr>
        <w:t>個月內</w:t>
      </w:r>
      <w:r w:rsidRPr="006D3CD8">
        <w:rPr>
          <w:rFonts w:ascii="標楷體" w:eastAsia="標楷體" w:hAnsi="標楷體" w:hint="eastAsia"/>
          <w:sz w:val="28"/>
          <w:szCs w:val="28"/>
        </w:rPr>
        <w:t>將報告</w:t>
      </w:r>
      <w:r w:rsidRPr="006D3CD8">
        <w:rPr>
          <w:rFonts w:ascii="標楷體" w:eastAsia="標楷體" w:hAnsi="標楷體"/>
          <w:sz w:val="28"/>
          <w:szCs w:val="28"/>
        </w:rPr>
        <w:t>提到</w:t>
      </w:r>
      <w:r w:rsidRPr="006D3CD8">
        <w:rPr>
          <w:rFonts w:ascii="標楷體" w:eastAsia="標楷體" w:hAnsi="標楷體" w:hint="eastAsia"/>
          <w:sz w:val="28"/>
          <w:szCs w:val="28"/>
        </w:rPr>
        <w:t>財政部</w:t>
      </w:r>
      <w:r w:rsidRPr="006D3CD8">
        <w:rPr>
          <w:rFonts w:ascii="標楷體" w:eastAsia="標楷體" w:hAnsi="標楷體"/>
          <w:sz w:val="28"/>
          <w:szCs w:val="28"/>
        </w:rPr>
        <w:t>決議</w:t>
      </w:r>
      <w:r w:rsidRPr="006D3CD8">
        <w:rPr>
          <w:rFonts w:ascii="標楷體" w:eastAsia="標楷體" w:hAnsi="標楷體" w:hint="eastAsia"/>
          <w:sz w:val="28"/>
          <w:szCs w:val="28"/>
        </w:rPr>
        <w:t>。</w:t>
      </w:r>
    </w:p>
    <w:p w14:paraId="53866E77"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彭關務署長英偉：因海運</w:t>
      </w:r>
      <w:r w:rsidRPr="006D3CD8">
        <w:rPr>
          <w:rFonts w:ascii="標楷體" w:eastAsia="標楷體" w:hAnsi="標楷體"/>
          <w:sz w:val="28"/>
          <w:szCs w:val="28"/>
        </w:rPr>
        <w:t>快遞專區</w:t>
      </w:r>
      <w:r w:rsidRPr="006D3CD8">
        <w:rPr>
          <w:rFonts w:ascii="標楷體" w:eastAsia="標楷體" w:hAnsi="標楷體" w:hint="eastAsia"/>
          <w:sz w:val="28"/>
          <w:szCs w:val="28"/>
        </w:rPr>
        <w:t>是否</w:t>
      </w:r>
      <w:r w:rsidRPr="006D3CD8">
        <w:rPr>
          <w:rFonts w:ascii="標楷體" w:eastAsia="標楷體" w:hAnsi="標楷體"/>
          <w:sz w:val="28"/>
          <w:szCs w:val="28"/>
        </w:rPr>
        <w:t>再重新開放牽涉範圍太廣，通關的安全配套措施都還在跟各</w:t>
      </w:r>
      <w:r w:rsidRPr="006D3CD8">
        <w:rPr>
          <w:rFonts w:ascii="標楷體" w:eastAsia="標楷體" w:hAnsi="標楷體" w:hint="eastAsia"/>
          <w:sz w:val="28"/>
          <w:szCs w:val="28"/>
        </w:rPr>
        <w:t>關</w:t>
      </w:r>
      <w:r w:rsidRPr="006D3CD8">
        <w:rPr>
          <w:rFonts w:ascii="標楷體" w:eastAsia="標楷體" w:hAnsi="標楷體"/>
          <w:sz w:val="28"/>
          <w:szCs w:val="28"/>
        </w:rPr>
        <w:t>協商意見，</w:t>
      </w:r>
      <w:r w:rsidRPr="006D3CD8">
        <w:rPr>
          <w:rFonts w:ascii="標楷體" w:eastAsia="標楷體" w:hAnsi="標楷體" w:hint="eastAsia"/>
          <w:sz w:val="28"/>
          <w:szCs w:val="28"/>
        </w:rPr>
        <w:t>需要</w:t>
      </w:r>
      <w:r w:rsidRPr="006D3CD8">
        <w:rPr>
          <w:rFonts w:ascii="標楷體" w:eastAsia="標楷體" w:hAnsi="標楷體"/>
          <w:sz w:val="28"/>
          <w:szCs w:val="28"/>
        </w:rPr>
        <w:t>多一</w:t>
      </w:r>
      <w:r w:rsidRPr="006D3CD8">
        <w:rPr>
          <w:rFonts w:ascii="標楷體" w:eastAsia="標楷體" w:hAnsi="標楷體" w:hint="eastAsia"/>
          <w:sz w:val="28"/>
          <w:szCs w:val="28"/>
        </w:rPr>
        <w:t>點</w:t>
      </w:r>
      <w:r w:rsidRPr="006D3CD8">
        <w:rPr>
          <w:rFonts w:ascii="標楷體" w:eastAsia="標楷體" w:hAnsi="標楷體"/>
          <w:sz w:val="28"/>
          <w:szCs w:val="28"/>
        </w:rPr>
        <w:t>時間，整體評估妥當後</w:t>
      </w:r>
      <w:r w:rsidRPr="006D3CD8">
        <w:rPr>
          <w:rFonts w:ascii="標楷體" w:eastAsia="標楷體" w:hAnsi="標楷體" w:hint="eastAsia"/>
          <w:sz w:val="28"/>
          <w:szCs w:val="28"/>
        </w:rPr>
        <w:t>再</w:t>
      </w:r>
      <w:r w:rsidRPr="006D3CD8">
        <w:rPr>
          <w:rFonts w:ascii="標楷體" w:eastAsia="標楷體" w:hAnsi="標楷體"/>
          <w:sz w:val="28"/>
          <w:szCs w:val="28"/>
        </w:rPr>
        <w:t>報到</w:t>
      </w:r>
      <w:r w:rsidRPr="006D3CD8">
        <w:rPr>
          <w:rFonts w:ascii="標楷體" w:eastAsia="標楷體" w:hAnsi="標楷體" w:hint="eastAsia"/>
          <w:sz w:val="28"/>
          <w:szCs w:val="28"/>
        </w:rPr>
        <w:t>財政</w:t>
      </w:r>
      <w:r w:rsidRPr="006D3CD8">
        <w:rPr>
          <w:rFonts w:ascii="標楷體" w:eastAsia="標楷體" w:hAnsi="標楷體"/>
          <w:sz w:val="28"/>
          <w:szCs w:val="28"/>
        </w:rPr>
        <w:t>部。</w:t>
      </w:r>
    </w:p>
    <w:p w14:paraId="6748AD76" w14:textId="77777777" w:rsidR="00421BB5" w:rsidRPr="006D3CD8" w:rsidRDefault="00421BB5" w:rsidP="007015C7">
      <w:pPr>
        <w:pStyle w:val="affb"/>
        <w:numPr>
          <w:ilvl w:val="1"/>
          <w:numId w:val="40"/>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游委員毓蘭：建議折衷</w:t>
      </w:r>
      <w:r w:rsidRPr="006D3CD8">
        <w:rPr>
          <w:rFonts w:ascii="標楷體" w:eastAsia="標楷體" w:hAnsi="標楷體"/>
          <w:sz w:val="28"/>
          <w:szCs w:val="28"/>
        </w:rPr>
        <w:t>一下，</w:t>
      </w:r>
      <w:r w:rsidRPr="006D3CD8">
        <w:rPr>
          <w:rFonts w:ascii="標楷體" w:eastAsia="標楷體" w:hAnsi="標楷體" w:hint="eastAsia"/>
          <w:sz w:val="28"/>
          <w:szCs w:val="28"/>
        </w:rPr>
        <w:t>因</w:t>
      </w:r>
      <w:r w:rsidRPr="006D3CD8">
        <w:rPr>
          <w:rFonts w:ascii="標楷體" w:eastAsia="標楷體" w:hAnsi="標楷體"/>
          <w:sz w:val="28"/>
          <w:szCs w:val="28"/>
        </w:rPr>
        <w:t>立法院</w:t>
      </w:r>
      <w:r w:rsidRPr="006D3CD8">
        <w:rPr>
          <w:rFonts w:ascii="標楷體" w:eastAsia="標楷體" w:hAnsi="標楷體" w:hint="eastAsia"/>
          <w:sz w:val="28"/>
          <w:szCs w:val="28"/>
        </w:rPr>
        <w:t>會開</w:t>
      </w:r>
      <w:r>
        <w:rPr>
          <w:rFonts w:ascii="標楷體" w:eastAsia="標楷體" w:hAnsi="標楷體" w:hint="eastAsia"/>
          <w:sz w:val="28"/>
          <w:szCs w:val="28"/>
        </w:rPr>
        <w:t>會</w:t>
      </w:r>
      <w:r w:rsidRPr="006D3CD8">
        <w:rPr>
          <w:rFonts w:ascii="標楷體" w:eastAsia="標楷體" w:hAnsi="標楷體"/>
          <w:sz w:val="28"/>
          <w:szCs w:val="28"/>
        </w:rPr>
        <w:t>到1月13</w:t>
      </w:r>
      <w:r>
        <w:rPr>
          <w:rFonts w:ascii="標楷體" w:eastAsia="標楷體" w:hAnsi="標楷體" w:hint="eastAsia"/>
          <w:sz w:val="28"/>
          <w:szCs w:val="28"/>
        </w:rPr>
        <w:t>日</w:t>
      </w:r>
      <w:r w:rsidRPr="006D3CD8">
        <w:rPr>
          <w:rFonts w:ascii="標楷體" w:eastAsia="標楷體" w:hAnsi="標楷體"/>
          <w:sz w:val="28"/>
          <w:szCs w:val="28"/>
        </w:rPr>
        <w:t>，</w:t>
      </w:r>
      <w:r>
        <w:rPr>
          <w:rFonts w:ascii="標楷體" w:eastAsia="標楷體" w:hAnsi="標楷體" w:hint="eastAsia"/>
          <w:sz w:val="28"/>
          <w:szCs w:val="28"/>
        </w:rPr>
        <w:t>農曆</w:t>
      </w:r>
      <w:r w:rsidRPr="006D3CD8">
        <w:rPr>
          <w:rFonts w:ascii="標楷體" w:eastAsia="標楷體" w:hAnsi="標楷體" w:hint="eastAsia"/>
          <w:sz w:val="28"/>
          <w:szCs w:val="28"/>
        </w:rPr>
        <w:t>年過後</w:t>
      </w:r>
      <w:r w:rsidRPr="006D3CD8">
        <w:rPr>
          <w:rFonts w:ascii="標楷體" w:eastAsia="標楷體" w:hAnsi="標楷體"/>
          <w:sz w:val="28"/>
          <w:szCs w:val="28"/>
        </w:rPr>
        <w:t>立法院</w:t>
      </w:r>
      <w:r w:rsidRPr="006D3CD8">
        <w:rPr>
          <w:rFonts w:ascii="標楷體" w:eastAsia="標楷體" w:hAnsi="標楷體" w:hint="eastAsia"/>
          <w:sz w:val="28"/>
          <w:szCs w:val="28"/>
        </w:rPr>
        <w:t>會</w:t>
      </w:r>
      <w:r w:rsidRPr="006D3CD8">
        <w:rPr>
          <w:rFonts w:ascii="標楷體" w:eastAsia="標楷體" w:hAnsi="標楷體"/>
          <w:sz w:val="28"/>
          <w:szCs w:val="28"/>
        </w:rPr>
        <w:t>在2月1</w:t>
      </w:r>
      <w:r w:rsidRPr="006D3CD8">
        <w:rPr>
          <w:rFonts w:ascii="標楷體" w:eastAsia="標楷體" w:hAnsi="標楷體" w:hint="eastAsia"/>
          <w:sz w:val="28"/>
          <w:szCs w:val="28"/>
        </w:rPr>
        <w:t>日</w:t>
      </w:r>
      <w:r w:rsidRPr="006D3CD8">
        <w:rPr>
          <w:rFonts w:ascii="標楷體" w:eastAsia="標楷體" w:hAnsi="標楷體"/>
          <w:sz w:val="28"/>
          <w:szCs w:val="28"/>
        </w:rPr>
        <w:t>開議，</w:t>
      </w:r>
      <w:r w:rsidRPr="006D3CD8">
        <w:rPr>
          <w:rFonts w:ascii="標楷體" w:eastAsia="標楷體" w:hAnsi="標楷體" w:hint="eastAsia"/>
          <w:sz w:val="28"/>
          <w:szCs w:val="28"/>
        </w:rPr>
        <w:t>請關務署至少在開議前</w:t>
      </w:r>
      <w:r w:rsidRPr="006D3CD8">
        <w:rPr>
          <w:rFonts w:ascii="標楷體" w:eastAsia="標楷體" w:hAnsi="標楷體"/>
          <w:sz w:val="28"/>
          <w:szCs w:val="28"/>
        </w:rPr>
        <w:t>做評估</w:t>
      </w:r>
      <w:r w:rsidRPr="006D3CD8">
        <w:rPr>
          <w:rFonts w:ascii="標楷體" w:eastAsia="標楷體" w:hAnsi="標楷體" w:hint="eastAsia"/>
          <w:sz w:val="28"/>
          <w:szCs w:val="28"/>
        </w:rPr>
        <w:t>報告。</w:t>
      </w:r>
    </w:p>
    <w:p w14:paraId="6A3366B9" w14:textId="77777777" w:rsidR="00421BB5" w:rsidRDefault="00421BB5" w:rsidP="007015C7">
      <w:pPr>
        <w:pStyle w:val="affb"/>
        <w:numPr>
          <w:ilvl w:val="0"/>
          <w:numId w:val="40"/>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主持人結論（林召集委員思銘）：</w:t>
      </w:r>
    </w:p>
    <w:p w14:paraId="50F8C5C3" w14:textId="690492A6" w:rsidR="00421BB5" w:rsidRPr="006D3CD8"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請關務署</w:t>
      </w:r>
      <w:r w:rsidRPr="006D3CD8">
        <w:rPr>
          <w:rFonts w:ascii="標楷體" w:eastAsia="標楷體" w:hAnsi="標楷體"/>
          <w:sz w:val="28"/>
          <w:szCs w:val="28"/>
        </w:rPr>
        <w:t>在2月1</w:t>
      </w:r>
      <w:r w:rsidRPr="006D3CD8">
        <w:rPr>
          <w:rFonts w:ascii="標楷體" w:eastAsia="標楷體" w:hAnsi="標楷體" w:hint="eastAsia"/>
          <w:sz w:val="28"/>
          <w:szCs w:val="28"/>
        </w:rPr>
        <w:t>日前就</w:t>
      </w:r>
      <w:r w:rsidRPr="006D3CD8">
        <w:rPr>
          <w:rFonts w:ascii="標楷體" w:eastAsia="標楷體" w:hAnsi="標楷體"/>
          <w:sz w:val="28"/>
          <w:szCs w:val="28"/>
        </w:rPr>
        <w:t>海</w:t>
      </w:r>
      <w:r w:rsidRPr="006D3CD8">
        <w:rPr>
          <w:rFonts w:ascii="標楷體" w:eastAsia="標楷體" w:hAnsi="標楷體" w:hint="eastAsia"/>
          <w:sz w:val="28"/>
          <w:szCs w:val="28"/>
        </w:rPr>
        <w:t>運</w:t>
      </w:r>
      <w:r w:rsidRPr="006D3CD8">
        <w:rPr>
          <w:rFonts w:ascii="標楷體" w:eastAsia="標楷體" w:hAnsi="標楷體"/>
          <w:sz w:val="28"/>
          <w:szCs w:val="28"/>
        </w:rPr>
        <w:t>快遞專區</w:t>
      </w:r>
      <w:r w:rsidRPr="006D3CD8">
        <w:rPr>
          <w:rFonts w:ascii="標楷體" w:eastAsia="標楷體" w:hAnsi="標楷體" w:hint="eastAsia"/>
          <w:sz w:val="28"/>
          <w:szCs w:val="28"/>
        </w:rPr>
        <w:t>部分，做</w:t>
      </w:r>
      <w:r w:rsidRPr="006D3CD8">
        <w:rPr>
          <w:rFonts w:ascii="標楷體" w:eastAsia="標楷體" w:hAnsi="標楷體"/>
          <w:sz w:val="28"/>
          <w:szCs w:val="28"/>
        </w:rPr>
        <w:t>詳盡</w:t>
      </w:r>
      <w:r w:rsidRPr="006D3CD8">
        <w:rPr>
          <w:rFonts w:ascii="標楷體" w:eastAsia="標楷體" w:hAnsi="標楷體" w:hint="eastAsia"/>
          <w:sz w:val="28"/>
          <w:szCs w:val="28"/>
        </w:rPr>
        <w:t>的</w:t>
      </w:r>
      <w:r w:rsidR="00AB63AF">
        <w:rPr>
          <w:rFonts w:ascii="標楷體" w:eastAsia="標楷體" w:hAnsi="標楷體"/>
          <w:sz w:val="28"/>
          <w:szCs w:val="28"/>
        </w:rPr>
        <w:t>規</w:t>
      </w:r>
      <w:r w:rsidR="00AB63AF">
        <w:rPr>
          <w:rFonts w:ascii="標楷體" w:eastAsia="標楷體" w:hAnsi="標楷體" w:hint="eastAsia"/>
          <w:sz w:val="28"/>
          <w:szCs w:val="28"/>
        </w:rPr>
        <w:t>畫</w:t>
      </w:r>
      <w:r w:rsidRPr="006D3CD8">
        <w:rPr>
          <w:rFonts w:ascii="標楷體" w:eastAsia="標楷體" w:hAnsi="標楷體"/>
          <w:sz w:val="28"/>
          <w:szCs w:val="28"/>
        </w:rPr>
        <w:t>報告。</w:t>
      </w:r>
    </w:p>
    <w:p w14:paraId="72C79BA9" w14:textId="77777777" w:rsidR="00421BB5" w:rsidRPr="001759B4" w:rsidRDefault="00421BB5" w:rsidP="007015C7">
      <w:pPr>
        <w:pStyle w:val="affb"/>
        <w:numPr>
          <w:ilvl w:val="2"/>
          <w:numId w:val="40"/>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市面上</w:t>
      </w:r>
      <w:r w:rsidRPr="006D3CD8">
        <w:rPr>
          <w:rFonts w:ascii="標楷體" w:eastAsia="標楷體" w:hAnsi="標楷體" w:hint="eastAsia"/>
          <w:sz w:val="28"/>
          <w:szCs w:val="28"/>
        </w:rPr>
        <w:t>仍有</w:t>
      </w:r>
      <w:r w:rsidRPr="006D3CD8">
        <w:rPr>
          <w:rFonts w:ascii="標楷體" w:eastAsia="標楷體" w:hAnsi="標楷體"/>
          <w:sz w:val="28"/>
          <w:szCs w:val="28"/>
        </w:rPr>
        <w:t>毒品</w:t>
      </w:r>
      <w:r w:rsidRPr="006D3CD8">
        <w:rPr>
          <w:rFonts w:ascii="標楷體" w:eastAsia="標楷體" w:hAnsi="標楷體" w:hint="eastAsia"/>
          <w:sz w:val="28"/>
          <w:szCs w:val="28"/>
        </w:rPr>
        <w:t>及</w:t>
      </w:r>
      <w:r w:rsidRPr="006D3CD8">
        <w:rPr>
          <w:rFonts w:ascii="標楷體" w:eastAsia="標楷體" w:hAnsi="標楷體"/>
          <w:sz w:val="28"/>
          <w:szCs w:val="28"/>
        </w:rPr>
        <w:t>槍枝氾濫情形</w:t>
      </w:r>
      <w:r w:rsidRPr="006D3CD8">
        <w:rPr>
          <w:rFonts w:ascii="標楷體" w:eastAsia="標楷體" w:hAnsi="標楷體" w:hint="eastAsia"/>
          <w:sz w:val="28"/>
          <w:szCs w:val="28"/>
        </w:rPr>
        <w:t>，</w:t>
      </w:r>
      <w:r w:rsidRPr="006D3CD8">
        <w:rPr>
          <w:rFonts w:ascii="標楷體" w:eastAsia="標楷體" w:hAnsi="標楷體"/>
          <w:sz w:val="28"/>
          <w:szCs w:val="28"/>
        </w:rPr>
        <w:t>雜貨櫃</w:t>
      </w:r>
      <w:r w:rsidRPr="006D3CD8">
        <w:rPr>
          <w:rFonts w:ascii="標楷體" w:eastAsia="標楷體" w:hAnsi="標楷體" w:hint="eastAsia"/>
          <w:sz w:val="28"/>
          <w:szCs w:val="28"/>
        </w:rPr>
        <w:t>通關查</w:t>
      </w:r>
      <w:r w:rsidRPr="006D3CD8">
        <w:rPr>
          <w:rFonts w:ascii="標楷體" w:eastAsia="標楷體" w:hAnsi="標楷體"/>
          <w:sz w:val="28"/>
          <w:szCs w:val="28"/>
        </w:rPr>
        <w:t>驗毒品</w:t>
      </w:r>
      <w:r w:rsidRPr="006D3CD8">
        <w:rPr>
          <w:rFonts w:ascii="標楷體" w:eastAsia="標楷體" w:hAnsi="標楷體" w:hint="eastAsia"/>
          <w:sz w:val="28"/>
          <w:szCs w:val="28"/>
        </w:rPr>
        <w:t>及</w:t>
      </w:r>
      <w:r w:rsidRPr="006D3CD8">
        <w:rPr>
          <w:rFonts w:ascii="標楷體" w:eastAsia="標楷體" w:hAnsi="標楷體"/>
          <w:sz w:val="28"/>
          <w:szCs w:val="28"/>
        </w:rPr>
        <w:t>槍枝</w:t>
      </w:r>
      <w:r w:rsidRPr="006D3CD8">
        <w:rPr>
          <w:rFonts w:ascii="標楷體" w:eastAsia="標楷體" w:hAnsi="標楷體" w:hint="eastAsia"/>
          <w:sz w:val="28"/>
          <w:szCs w:val="28"/>
        </w:rPr>
        <w:t>似有</w:t>
      </w:r>
      <w:r w:rsidRPr="006D3CD8">
        <w:rPr>
          <w:rFonts w:ascii="標楷體" w:eastAsia="標楷體" w:hAnsi="標楷體"/>
          <w:sz w:val="28"/>
          <w:szCs w:val="28"/>
        </w:rPr>
        <w:t>漏洞</w:t>
      </w:r>
      <w:r w:rsidRPr="006D3CD8">
        <w:rPr>
          <w:rFonts w:ascii="標楷體" w:eastAsia="標楷體" w:hAnsi="標楷體" w:hint="eastAsia"/>
          <w:sz w:val="28"/>
          <w:szCs w:val="28"/>
        </w:rPr>
        <w:t>及黑數，請法務部</w:t>
      </w:r>
      <w:r w:rsidRPr="006D3CD8">
        <w:rPr>
          <w:rFonts w:ascii="標楷體" w:eastAsia="標楷體" w:hAnsi="標楷體"/>
          <w:sz w:val="28"/>
          <w:szCs w:val="28"/>
        </w:rPr>
        <w:t>在3個月內做出一</w:t>
      </w:r>
      <w:r w:rsidRPr="006D3CD8">
        <w:rPr>
          <w:rFonts w:ascii="標楷體" w:eastAsia="標楷體" w:hAnsi="標楷體" w:hint="eastAsia"/>
          <w:sz w:val="28"/>
          <w:szCs w:val="28"/>
        </w:rPr>
        <w:t>份檢討精進的</w:t>
      </w:r>
      <w:r w:rsidRPr="006D3CD8">
        <w:rPr>
          <w:rFonts w:ascii="標楷體" w:eastAsia="標楷體" w:hAnsi="標楷體"/>
          <w:sz w:val="28"/>
          <w:szCs w:val="28"/>
        </w:rPr>
        <w:t>評估報告</w:t>
      </w:r>
      <w:r w:rsidRPr="006D3CD8">
        <w:rPr>
          <w:rFonts w:ascii="標楷體" w:eastAsia="標楷體" w:hAnsi="標楷體" w:hint="eastAsia"/>
          <w:sz w:val="28"/>
          <w:szCs w:val="28"/>
        </w:rPr>
        <w:t>。</w:t>
      </w:r>
    </w:p>
    <w:p w14:paraId="6EAB89B8" w14:textId="77777777" w:rsidR="00421BB5" w:rsidRPr="006D3CD8" w:rsidRDefault="00421BB5" w:rsidP="007015C7">
      <w:pPr>
        <w:pStyle w:val="affb"/>
        <w:numPr>
          <w:ilvl w:val="0"/>
          <w:numId w:val="40"/>
        </w:numPr>
        <w:spacing w:line="500" w:lineRule="exact"/>
        <w:ind w:leftChars="0" w:left="567" w:hanging="567"/>
        <w:jc w:val="both"/>
        <w:rPr>
          <w:rFonts w:ascii="標楷體" w:eastAsia="標楷體" w:hAnsi="標楷體"/>
          <w:sz w:val="28"/>
          <w:szCs w:val="28"/>
        </w:rPr>
      </w:pPr>
      <w:r>
        <w:rPr>
          <w:rFonts w:ascii="標楷體" w:eastAsia="標楷體" w:hAnsi="標楷體" w:hint="eastAsia"/>
          <w:sz w:val="28"/>
          <w:szCs w:val="28"/>
        </w:rPr>
        <w:t>散會。</w:t>
      </w:r>
      <w:bookmarkEnd w:id="0"/>
      <w:bookmarkEnd w:id="1"/>
      <w:bookmarkEnd w:id="2"/>
      <w:bookmarkEnd w:id="3"/>
      <w:bookmarkEnd w:id="4"/>
      <w:bookmarkEnd w:id="5"/>
      <w:bookmarkEnd w:id="6"/>
      <w:bookmarkEnd w:id="536"/>
    </w:p>
    <w:sectPr w:rsidR="00421BB5" w:rsidRPr="006D3CD8" w:rsidSect="00EB3514">
      <w:pgSz w:w="11906" w:h="16838" w:code="9"/>
      <w:pgMar w:top="993" w:right="1701"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C6AD21" w14:textId="77777777" w:rsidR="007726DF" w:rsidRDefault="007726DF">
      <w:r>
        <w:separator/>
      </w:r>
    </w:p>
  </w:endnote>
  <w:endnote w:type="continuationSeparator" w:id="0">
    <w:p w14:paraId="1F72DD0A" w14:textId="77777777" w:rsidR="007726DF" w:rsidRDefault="00772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華康楷書體W5">
    <w:panose1 w:val="03000509000000000000"/>
    <w:charset w:val="88"/>
    <w:family w:val="modern"/>
    <w:pitch w:val="fixed"/>
    <w:sig w:usb0="800000A3" w:usb1="38C97878"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1002409000000000000"/>
    <w:charset w:val="88"/>
    <w:family w:val="modern"/>
    <w:pitch w:val="fixed"/>
    <w:sig w:usb0="80000001" w:usb1="28091800" w:usb2="00000016" w:usb3="00000000" w:csb0="00100000" w:csb1="00000000"/>
  </w:font>
  <w:font w:name="華康細明體">
    <w:panose1 w:val="02020309000000000000"/>
    <w:charset w:val="88"/>
    <w:family w:val="modern"/>
    <w:pitch w:val="fixed"/>
    <w:sig w:usb0="800000A3" w:usb1="38C97878"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A3" w:usb1="38C97878" w:usb2="00000016" w:usb3="00000000" w:csb0="001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新細明體, PMingLiU">
    <w:altName w:val="Times New Roman"/>
    <w:charset w:val="00"/>
    <w:family w:val="roman"/>
    <w:pitch w:val="variable"/>
  </w:font>
  <w:font w:name="華康仿宋體W6(P)">
    <w:panose1 w:val="02020600000000000000"/>
    <w:charset w:val="88"/>
    <w:family w:val="roman"/>
    <w:pitch w:val="variable"/>
    <w:sig w:usb0="80000001" w:usb1="28091800" w:usb2="00000016" w:usb3="00000000" w:csb0="00100000"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Mongolian Baiti">
    <w:panose1 w:val="03000500000000000000"/>
    <w:charset w:val="00"/>
    <w:family w:val="script"/>
    <w:pitch w:val="variable"/>
    <w:sig w:usb0="80000023" w:usb1="00000000" w:usb2="00020000" w:usb3="00000000" w:csb0="00000001" w:csb1="00000000"/>
  </w:font>
  <w:font w:name="BiauKai">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56359"/>
      <w:docPartObj>
        <w:docPartGallery w:val="Page Numbers (Bottom of Page)"/>
        <w:docPartUnique/>
      </w:docPartObj>
    </w:sdtPr>
    <w:sdtEndPr>
      <w:rPr>
        <w:sz w:val="24"/>
        <w:szCs w:val="24"/>
      </w:rPr>
    </w:sdtEndPr>
    <w:sdtContent>
      <w:p w14:paraId="7F1724C2" w14:textId="73702C3B" w:rsidR="00F54FA5" w:rsidRPr="00F54FA5" w:rsidRDefault="00F54FA5">
        <w:pPr>
          <w:pStyle w:val="ad"/>
          <w:jc w:val="center"/>
          <w:rPr>
            <w:sz w:val="24"/>
            <w:szCs w:val="24"/>
          </w:rPr>
        </w:pPr>
        <w:r w:rsidRPr="00F54FA5">
          <w:rPr>
            <w:sz w:val="24"/>
            <w:szCs w:val="24"/>
          </w:rPr>
          <w:fldChar w:fldCharType="begin"/>
        </w:r>
        <w:r w:rsidRPr="00F54FA5">
          <w:rPr>
            <w:sz w:val="24"/>
            <w:szCs w:val="24"/>
          </w:rPr>
          <w:instrText>PAGE   \* MERGEFORMAT</w:instrText>
        </w:r>
        <w:r w:rsidRPr="00F54FA5">
          <w:rPr>
            <w:sz w:val="24"/>
            <w:szCs w:val="24"/>
          </w:rPr>
          <w:fldChar w:fldCharType="separate"/>
        </w:r>
        <w:r w:rsidRPr="00F54FA5">
          <w:rPr>
            <w:noProof/>
            <w:sz w:val="24"/>
            <w:szCs w:val="24"/>
            <w:lang w:val="zh-TW"/>
          </w:rPr>
          <w:t>1</w:t>
        </w:r>
        <w:r w:rsidRPr="00F54FA5">
          <w:rPr>
            <w:sz w:val="24"/>
            <w:szCs w:val="24"/>
          </w:rPr>
          <w:fldChar w:fldCharType="end"/>
        </w:r>
      </w:p>
    </w:sdtContent>
  </w:sdt>
  <w:p w14:paraId="74C92427" w14:textId="77777777" w:rsidR="00F54FA5" w:rsidRDefault="00F54FA5">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810727" w14:textId="77777777" w:rsidR="0075245C" w:rsidRDefault="0075245C"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7EFC47DE" w14:textId="77777777" w:rsidR="0075245C" w:rsidRDefault="0075245C">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AE7AA" w14:textId="0127BFB5" w:rsidR="0075245C" w:rsidRPr="008A127B" w:rsidRDefault="0075245C"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F54FA5">
      <w:rPr>
        <w:rStyle w:val="af3"/>
        <w:noProof/>
        <w:sz w:val="24"/>
        <w:szCs w:val="24"/>
      </w:rPr>
      <w:t>1</w:t>
    </w:r>
    <w:r w:rsidRPr="008A127B">
      <w:rPr>
        <w:rStyle w:val="af3"/>
        <w:sz w:val="24"/>
        <w:szCs w:val="24"/>
      </w:rPr>
      <w:fldChar w:fldCharType="end"/>
    </w:r>
  </w:p>
  <w:p w14:paraId="1FA649EA" w14:textId="77777777" w:rsidR="0075245C" w:rsidRDefault="0075245C">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7ADB9" w14:textId="77777777" w:rsidR="0075245C" w:rsidRDefault="0075245C"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separate"/>
    </w:r>
    <w:r>
      <w:rPr>
        <w:rStyle w:val="af3"/>
        <w:noProof/>
      </w:rPr>
      <w:t>145</w:t>
    </w:r>
    <w:r>
      <w:rPr>
        <w:rStyle w:val="af3"/>
      </w:rPr>
      <w:fldChar w:fldCharType="end"/>
    </w:r>
  </w:p>
  <w:p w14:paraId="688052B8" w14:textId="77777777" w:rsidR="0075245C" w:rsidRDefault="0075245C">
    <w:pPr>
      <w:pStyle w:val="ad"/>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7509388"/>
      <w:docPartObj>
        <w:docPartGallery w:val="Page Numbers (Bottom of Page)"/>
        <w:docPartUnique/>
      </w:docPartObj>
    </w:sdtPr>
    <w:sdtContent>
      <w:p w14:paraId="2CAE749D" w14:textId="1A736CF6" w:rsidR="0075245C" w:rsidRDefault="0075245C">
        <w:pPr>
          <w:pStyle w:val="ad"/>
          <w:jc w:val="center"/>
        </w:pPr>
        <w:r>
          <w:fldChar w:fldCharType="begin"/>
        </w:r>
        <w:r>
          <w:instrText>PAGE   \* MERGEFORMAT</w:instrText>
        </w:r>
        <w:r>
          <w:fldChar w:fldCharType="separate"/>
        </w:r>
        <w:r w:rsidR="00F54FA5" w:rsidRPr="00F54FA5">
          <w:rPr>
            <w:noProof/>
            <w:lang w:val="zh-TW"/>
          </w:rPr>
          <w:t>340</w:t>
        </w:r>
        <w:r>
          <w:fldChar w:fldCharType="end"/>
        </w:r>
      </w:p>
    </w:sdtContent>
  </w:sdt>
  <w:p w14:paraId="783AD34C" w14:textId="77777777" w:rsidR="0075245C" w:rsidRDefault="0075245C">
    <w:pPr>
      <w:pStyle w:val="a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7AB840" w14:textId="1A1D0CF5" w:rsidR="0075245C" w:rsidRDefault="0075245C">
    <w:pPr>
      <w:pStyle w:val="ad"/>
      <w:jc w:val="center"/>
    </w:pPr>
    <w:r>
      <w:fldChar w:fldCharType="begin"/>
    </w:r>
    <w:r>
      <w:instrText>PAGE   \* MERGEFORMAT</w:instrText>
    </w:r>
    <w:r>
      <w:fldChar w:fldCharType="separate"/>
    </w:r>
    <w:r w:rsidR="00F54FA5" w:rsidRPr="00F54FA5">
      <w:rPr>
        <w:noProof/>
        <w:lang w:val="zh-TW"/>
      </w:rPr>
      <w:t>600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1F5D5E" w14:textId="77777777" w:rsidR="007726DF" w:rsidRDefault="007726DF">
      <w:r>
        <w:separator/>
      </w:r>
    </w:p>
  </w:footnote>
  <w:footnote w:type="continuationSeparator" w:id="0">
    <w:p w14:paraId="3F53E159" w14:textId="77777777" w:rsidR="007726DF" w:rsidRDefault="007726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2D0A9C0"/>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none"/>
      <w:lvlText w:val="(四）"/>
      <w:lvlJc w:val="left"/>
      <w:pPr>
        <w:tabs>
          <w:tab w:val="num" w:pos="0"/>
        </w:tabs>
        <w:ind w:left="971" w:hanging="971"/>
      </w:pPr>
      <w:rPr>
        <w:rFonts w:hint="eastAsia"/>
        <w:b w:val="0"/>
        <w:sz w:val="32"/>
        <w:szCs w:val="32"/>
      </w:rPr>
    </w:lvl>
    <w:lvl w:ilvl="2">
      <w:start w:val="1"/>
      <w:numFmt w:val="lowerRoman"/>
      <w:lvlText w:val="%3."/>
      <w:lvlJc w:val="right"/>
      <w:pPr>
        <w:tabs>
          <w:tab w:val="num" w:pos="0"/>
        </w:tabs>
        <w:ind w:left="1451" w:hanging="480"/>
      </w:pPr>
      <w:rPr>
        <w:rFonts w:hint="eastAsia"/>
      </w:rPr>
    </w:lvl>
    <w:lvl w:ilvl="3">
      <w:start w:val="1"/>
      <w:numFmt w:val="decimal"/>
      <w:lvlText w:val="%4."/>
      <w:lvlJc w:val="left"/>
      <w:pPr>
        <w:tabs>
          <w:tab w:val="num" w:pos="0"/>
        </w:tabs>
        <w:ind w:left="1931" w:hanging="480"/>
      </w:pPr>
      <w:rPr>
        <w:rFonts w:hint="eastAsia"/>
      </w:rPr>
    </w:lvl>
    <w:lvl w:ilvl="4">
      <w:start w:val="1"/>
      <w:numFmt w:val="ideographTraditional"/>
      <w:lvlText w:val="%5、"/>
      <w:lvlJc w:val="left"/>
      <w:pPr>
        <w:tabs>
          <w:tab w:val="num" w:pos="0"/>
        </w:tabs>
        <w:ind w:left="2411" w:hanging="480"/>
      </w:pPr>
      <w:rPr>
        <w:rFonts w:hint="eastAsia"/>
      </w:rPr>
    </w:lvl>
    <w:lvl w:ilvl="5">
      <w:start w:val="1"/>
      <w:numFmt w:val="lowerRoman"/>
      <w:lvlText w:val="%6."/>
      <w:lvlJc w:val="right"/>
      <w:pPr>
        <w:tabs>
          <w:tab w:val="num" w:pos="0"/>
        </w:tabs>
        <w:ind w:left="2891" w:hanging="480"/>
      </w:pPr>
      <w:rPr>
        <w:rFonts w:hint="eastAsia"/>
      </w:rPr>
    </w:lvl>
    <w:lvl w:ilvl="6">
      <w:start w:val="1"/>
      <w:numFmt w:val="decimal"/>
      <w:lvlText w:val="%7."/>
      <w:lvlJc w:val="left"/>
      <w:pPr>
        <w:tabs>
          <w:tab w:val="num" w:pos="0"/>
        </w:tabs>
        <w:ind w:left="3371" w:hanging="480"/>
      </w:pPr>
      <w:rPr>
        <w:rFonts w:hint="eastAsia"/>
      </w:rPr>
    </w:lvl>
    <w:lvl w:ilvl="7">
      <w:start w:val="1"/>
      <w:numFmt w:val="ideographTraditional"/>
      <w:lvlText w:val="%8、"/>
      <w:lvlJc w:val="left"/>
      <w:pPr>
        <w:tabs>
          <w:tab w:val="num" w:pos="0"/>
        </w:tabs>
        <w:ind w:left="3851" w:hanging="480"/>
      </w:pPr>
      <w:rPr>
        <w:rFonts w:hint="eastAsia"/>
      </w:rPr>
    </w:lvl>
    <w:lvl w:ilvl="8">
      <w:start w:val="1"/>
      <w:numFmt w:val="lowerRoman"/>
      <w:lvlText w:val="%9."/>
      <w:lvlJc w:val="right"/>
      <w:pPr>
        <w:tabs>
          <w:tab w:val="num" w:pos="0"/>
        </w:tabs>
        <w:ind w:left="4331" w:hanging="480"/>
      </w:pPr>
      <w:rPr>
        <w:rFonts w:hint="eastAsia"/>
      </w:rPr>
    </w:lvl>
  </w:abstractNum>
  <w:abstractNum w:abstractNumId="1">
    <w:nsid w:val="00000002"/>
    <w:multiLevelType w:val="singleLevel"/>
    <w:tmpl w:val="72082D00"/>
    <w:name w:val="WW8Num4"/>
    <w:lvl w:ilvl="0">
      <w:start w:val="1"/>
      <w:numFmt w:val="taiwaneseCountingThousand"/>
      <w:suff w:val="nothing"/>
      <w:lvlText w:val="(%1)"/>
      <w:lvlJc w:val="left"/>
      <w:pPr>
        <w:ind w:left="480" w:hanging="480"/>
      </w:pPr>
      <w:rPr>
        <w:rFonts w:hint="eastAsia"/>
        <w:b w:val="0"/>
        <w:sz w:val="32"/>
        <w:szCs w:val="32"/>
      </w:rPr>
    </w:lvl>
  </w:abstractNum>
  <w:abstractNum w:abstractNumId="2">
    <w:nsid w:val="00000003"/>
    <w:multiLevelType w:val="singleLevel"/>
    <w:tmpl w:val="3EB87A08"/>
    <w:name w:val="WW8Num5"/>
    <w:lvl w:ilvl="0">
      <w:start w:val="1"/>
      <w:numFmt w:val="taiwaneseCountingThousand"/>
      <w:suff w:val="nothing"/>
      <w:lvlText w:val="%1、"/>
      <w:lvlJc w:val="left"/>
      <w:pPr>
        <w:ind w:left="480" w:hanging="480"/>
      </w:pPr>
      <w:rPr>
        <w:rFonts w:hint="eastAsia"/>
        <w:b w:val="0"/>
        <w:color w:val="000000"/>
        <w:sz w:val="32"/>
        <w:szCs w:val="32"/>
      </w:rPr>
    </w:lvl>
  </w:abstractNum>
  <w:abstractNum w:abstractNumId="3">
    <w:nsid w:val="00766533"/>
    <w:multiLevelType w:val="multilevel"/>
    <w:tmpl w:val="0409001F"/>
    <w:styleLink w:val="1111112"/>
    <w:lvl w:ilvl="0">
      <w:start w:val="1"/>
      <w:numFmt w:val="decimal"/>
      <w:lvlText w:val="%1."/>
      <w:lvlJc w:val="left"/>
      <w:pPr>
        <w:tabs>
          <w:tab w:val="num" w:pos="2054"/>
        </w:tabs>
        <w:ind w:left="2054" w:hanging="425"/>
      </w:pPr>
    </w:lvl>
    <w:lvl w:ilvl="1">
      <w:start w:val="1"/>
      <w:numFmt w:val="decimal"/>
      <w:lvlText w:val="%1.%2."/>
      <w:lvlJc w:val="left"/>
      <w:pPr>
        <w:tabs>
          <w:tab w:val="num" w:pos="2196"/>
        </w:tabs>
        <w:ind w:left="2196" w:hanging="567"/>
      </w:pPr>
    </w:lvl>
    <w:lvl w:ilvl="2">
      <w:start w:val="1"/>
      <w:numFmt w:val="decimal"/>
      <w:lvlText w:val="%1.%2.%3."/>
      <w:lvlJc w:val="left"/>
      <w:pPr>
        <w:tabs>
          <w:tab w:val="num" w:pos="2338"/>
        </w:tabs>
        <w:ind w:left="2338" w:hanging="709"/>
      </w:pPr>
    </w:lvl>
    <w:lvl w:ilvl="3">
      <w:start w:val="1"/>
      <w:numFmt w:val="decimal"/>
      <w:lvlText w:val="%1.%2.%3.%4."/>
      <w:lvlJc w:val="left"/>
      <w:pPr>
        <w:tabs>
          <w:tab w:val="num" w:pos="2480"/>
        </w:tabs>
        <w:ind w:left="2480" w:hanging="851"/>
      </w:pPr>
    </w:lvl>
    <w:lvl w:ilvl="4">
      <w:start w:val="1"/>
      <w:numFmt w:val="decimal"/>
      <w:lvlText w:val="%1.%2.%3.%4.%5."/>
      <w:lvlJc w:val="left"/>
      <w:pPr>
        <w:tabs>
          <w:tab w:val="num" w:pos="2621"/>
        </w:tabs>
        <w:ind w:left="2621" w:hanging="992"/>
      </w:pPr>
    </w:lvl>
    <w:lvl w:ilvl="5">
      <w:start w:val="1"/>
      <w:numFmt w:val="decimal"/>
      <w:lvlText w:val="%1.%2.%3.%4.%5.%6."/>
      <w:lvlJc w:val="left"/>
      <w:pPr>
        <w:tabs>
          <w:tab w:val="num" w:pos="2763"/>
        </w:tabs>
        <w:ind w:left="2763" w:hanging="1134"/>
      </w:pPr>
    </w:lvl>
    <w:lvl w:ilvl="6">
      <w:start w:val="1"/>
      <w:numFmt w:val="decimal"/>
      <w:lvlText w:val="%1.%2.%3.%4.%5.%6.%7."/>
      <w:lvlJc w:val="left"/>
      <w:pPr>
        <w:tabs>
          <w:tab w:val="num" w:pos="2905"/>
        </w:tabs>
        <w:ind w:left="2905" w:hanging="1276"/>
      </w:pPr>
    </w:lvl>
    <w:lvl w:ilvl="7">
      <w:start w:val="1"/>
      <w:numFmt w:val="decimal"/>
      <w:lvlText w:val="%1.%2.%3.%4.%5.%6.%7.%8."/>
      <w:lvlJc w:val="left"/>
      <w:pPr>
        <w:tabs>
          <w:tab w:val="num" w:pos="3047"/>
        </w:tabs>
        <w:ind w:left="3047" w:hanging="1418"/>
      </w:pPr>
    </w:lvl>
    <w:lvl w:ilvl="8">
      <w:start w:val="1"/>
      <w:numFmt w:val="decimal"/>
      <w:lvlText w:val="%1.%2.%3.%4.%5.%6.%7.%8.%9."/>
      <w:lvlJc w:val="left"/>
      <w:pPr>
        <w:tabs>
          <w:tab w:val="num" w:pos="3188"/>
        </w:tabs>
        <w:ind w:left="3188" w:hanging="1559"/>
      </w:pPr>
    </w:lvl>
  </w:abstractNum>
  <w:abstractNum w:abstractNumId="4">
    <w:nsid w:val="01664D03"/>
    <w:multiLevelType w:val="multilevel"/>
    <w:tmpl w:val="D09C8A96"/>
    <w:styleLink w:val="13"/>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5">
    <w:nsid w:val="048B0B03"/>
    <w:multiLevelType w:val="hybridMultilevel"/>
    <w:tmpl w:val="445A9E44"/>
    <w:lvl w:ilvl="0" w:tplc="0582B3D8">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FAA107A"/>
    <w:multiLevelType w:val="hybridMultilevel"/>
    <w:tmpl w:val="729EA050"/>
    <w:lvl w:ilvl="0" w:tplc="6B423736">
      <w:start w:val="1"/>
      <w:numFmt w:val="taiwaneseCountingThousand"/>
      <w:lvlText w:val="第%1、"/>
      <w:lvlJc w:val="left"/>
      <w:pPr>
        <w:ind w:left="2554" w:hanging="855"/>
      </w:pPr>
      <w:rPr>
        <w:rFonts w:hint="default"/>
      </w:rPr>
    </w:lvl>
    <w:lvl w:ilvl="1" w:tplc="04090019" w:tentative="1">
      <w:start w:val="1"/>
      <w:numFmt w:val="ideographTraditional"/>
      <w:lvlText w:val="%2、"/>
      <w:lvlJc w:val="left"/>
      <w:pPr>
        <w:ind w:left="2659" w:hanging="480"/>
      </w:pPr>
    </w:lvl>
    <w:lvl w:ilvl="2" w:tplc="0409001B" w:tentative="1">
      <w:start w:val="1"/>
      <w:numFmt w:val="lowerRoman"/>
      <w:lvlText w:val="%3."/>
      <w:lvlJc w:val="right"/>
      <w:pPr>
        <w:ind w:left="3139" w:hanging="480"/>
      </w:pPr>
    </w:lvl>
    <w:lvl w:ilvl="3" w:tplc="0409000F" w:tentative="1">
      <w:start w:val="1"/>
      <w:numFmt w:val="decimal"/>
      <w:lvlText w:val="%4."/>
      <w:lvlJc w:val="left"/>
      <w:pPr>
        <w:ind w:left="3619" w:hanging="480"/>
      </w:pPr>
    </w:lvl>
    <w:lvl w:ilvl="4" w:tplc="04090019" w:tentative="1">
      <w:start w:val="1"/>
      <w:numFmt w:val="ideographTraditional"/>
      <w:lvlText w:val="%5、"/>
      <w:lvlJc w:val="left"/>
      <w:pPr>
        <w:ind w:left="4099" w:hanging="480"/>
      </w:pPr>
    </w:lvl>
    <w:lvl w:ilvl="5" w:tplc="0409001B" w:tentative="1">
      <w:start w:val="1"/>
      <w:numFmt w:val="lowerRoman"/>
      <w:lvlText w:val="%6."/>
      <w:lvlJc w:val="right"/>
      <w:pPr>
        <w:ind w:left="4579" w:hanging="480"/>
      </w:pPr>
    </w:lvl>
    <w:lvl w:ilvl="6" w:tplc="0409000F" w:tentative="1">
      <w:start w:val="1"/>
      <w:numFmt w:val="decimal"/>
      <w:lvlText w:val="%7."/>
      <w:lvlJc w:val="left"/>
      <w:pPr>
        <w:ind w:left="5059" w:hanging="480"/>
      </w:pPr>
    </w:lvl>
    <w:lvl w:ilvl="7" w:tplc="04090019" w:tentative="1">
      <w:start w:val="1"/>
      <w:numFmt w:val="ideographTraditional"/>
      <w:lvlText w:val="%8、"/>
      <w:lvlJc w:val="left"/>
      <w:pPr>
        <w:ind w:left="5539" w:hanging="480"/>
      </w:pPr>
    </w:lvl>
    <w:lvl w:ilvl="8" w:tplc="0409001B" w:tentative="1">
      <w:start w:val="1"/>
      <w:numFmt w:val="lowerRoman"/>
      <w:lvlText w:val="%9."/>
      <w:lvlJc w:val="right"/>
      <w:pPr>
        <w:ind w:left="6019" w:hanging="480"/>
      </w:pPr>
    </w:lvl>
  </w:abstractNum>
  <w:abstractNum w:abstractNumId="7">
    <w:nsid w:val="102E55F8"/>
    <w:multiLevelType w:val="hybridMultilevel"/>
    <w:tmpl w:val="AFE2045C"/>
    <w:lvl w:ilvl="0" w:tplc="3F805CC6">
      <w:start w:val="1"/>
      <w:numFmt w:val="taiwaneseCountingThousand"/>
      <w:suff w:val="nothing"/>
      <w:lvlText w:val="%1、"/>
      <w:lvlJc w:val="left"/>
      <w:pPr>
        <w:ind w:left="4832" w:hanging="720"/>
      </w:pPr>
      <w:rPr>
        <w:rFonts w:hint="default"/>
      </w:rPr>
    </w:lvl>
    <w:lvl w:ilvl="1" w:tplc="04090019" w:tentative="1">
      <w:start w:val="1"/>
      <w:numFmt w:val="ideographTraditional"/>
      <w:lvlText w:val="%2、"/>
      <w:lvlJc w:val="left"/>
      <w:pPr>
        <w:ind w:left="5072" w:hanging="480"/>
      </w:pPr>
    </w:lvl>
    <w:lvl w:ilvl="2" w:tplc="0409001B" w:tentative="1">
      <w:start w:val="1"/>
      <w:numFmt w:val="lowerRoman"/>
      <w:lvlText w:val="%3."/>
      <w:lvlJc w:val="right"/>
      <w:pPr>
        <w:ind w:left="5552" w:hanging="480"/>
      </w:pPr>
    </w:lvl>
    <w:lvl w:ilvl="3" w:tplc="0409000F" w:tentative="1">
      <w:start w:val="1"/>
      <w:numFmt w:val="decimal"/>
      <w:lvlText w:val="%4."/>
      <w:lvlJc w:val="left"/>
      <w:pPr>
        <w:ind w:left="6032" w:hanging="480"/>
      </w:pPr>
    </w:lvl>
    <w:lvl w:ilvl="4" w:tplc="04090019" w:tentative="1">
      <w:start w:val="1"/>
      <w:numFmt w:val="ideographTraditional"/>
      <w:lvlText w:val="%5、"/>
      <w:lvlJc w:val="left"/>
      <w:pPr>
        <w:ind w:left="6512" w:hanging="480"/>
      </w:pPr>
    </w:lvl>
    <w:lvl w:ilvl="5" w:tplc="0409001B" w:tentative="1">
      <w:start w:val="1"/>
      <w:numFmt w:val="lowerRoman"/>
      <w:lvlText w:val="%6."/>
      <w:lvlJc w:val="right"/>
      <w:pPr>
        <w:ind w:left="6992" w:hanging="480"/>
      </w:pPr>
    </w:lvl>
    <w:lvl w:ilvl="6" w:tplc="0409000F" w:tentative="1">
      <w:start w:val="1"/>
      <w:numFmt w:val="decimal"/>
      <w:lvlText w:val="%7."/>
      <w:lvlJc w:val="left"/>
      <w:pPr>
        <w:ind w:left="7472" w:hanging="480"/>
      </w:pPr>
    </w:lvl>
    <w:lvl w:ilvl="7" w:tplc="04090019" w:tentative="1">
      <w:start w:val="1"/>
      <w:numFmt w:val="ideographTraditional"/>
      <w:lvlText w:val="%8、"/>
      <w:lvlJc w:val="left"/>
      <w:pPr>
        <w:ind w:left="7952" w:hanging="480"/>
      </w:pPr>
    </w:lvl>
    <w:lvl w:ilvl="8" w:tplc="0409001B" w:tentative="1">
      <w:start w:val="1"/>
      <w:numFmt w:val="lowerRoman"/>
      <w:lvlText w:val="%9."/>
      <w:lvlJc w:val="right"/>
      <w:pPr>
        <w:ind w:left="8432" w:hanging="480"/>
      </w:pPr>
    </w:lvl>
  </w:abstractNum>
  <w:abstractNum w:abstractNumId="8">
    <w:nsid w:val="110804A1"/>
    <w:multiLevelType w:val="hybridMultilevel"/>
    <w:tmpl w:val="B66AA36E"/>
    <w:lvl w:ilvl="0" w:tplc="BD481A78">
      <w:start w:val="1"/>
      <w:numFmt w:val="taiwaneseCountingThousand"/>
      <w:suff w:val="nothing"/>
      <w:lvlText w:val="%1、"/>
      <w:lvlJc w:val="left"/>
      <w:pPr>
        <w:ind w:left="1429" w:hanging="72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9">
    <w:nsid w:val="1C953A2F"/>
    <w:multiLevelType w:val="hybridMultilevel"/>
    <w:tmpl w:val="68C81CE6"/>
    <w:lvl w:ilvl="0" w:tplc="1AD014E8">
      <w:start w:val="1"/>
      <w:numFmt w:val="taiwaneseCountingThousand"/>
      <w:lvlText w:val="第%1、"/>
      <w:lvlJc w:val="left"/>
      <w:pPr>
        <w:ind w:left="2555" w:hanging="855"/>
      </w:pPr>
      <w:rPr>
        <w:rFonts w:hint="default"/>
      </w:rPr>
    </w:lvl>
    <w:lvl w:ilvl="1" w:tplc="04090019" w:tentative="1">
      <w:start w:val="1"/>
      <w:numFmt w:val="ideographTraditional"/>
      <w:lvlText w:val="%2、"/>
      <w:lvlJc w:val="left"/>
      <w:pPr>
        <w:ind w:left="2660" w:hanging="480"/>
      </w:pPr>
    </w:lvl>
    <w:lvl w:ilvl="2" w:tplc="0409001B" w:tentative="1">
      <w:start w:val="1"/>
      <w:numFmt w:val="lowerRoman"/>
      <w:lvlText w:val="%3."/>
      <w:lvlJc w:val="right"/>
      <w:pPr>
        <w:ind w:left="3140" w:hanging="480"/>
      </w:pPr>
    </w:lvl>
    <w:lvl w:ilvl="3" w:tplc="0409000F" w:tentative="1">
      <w:start w:val="1"/>
      <w:numFmt w:val="decimal"/>
      <w:lvlText w:val="%4."/>
      <w:lvlJc w:val="left"/>
      <w:pPr>
        <w:ind w:left="3620" w:hanging="480"/>
      </w:pPr>
    </w:lvl>
    <w:lvl w:ilvl="4" w:tplc="04090019" w:tentative="1">
      <w:start w:val="1"/>
      <w:numFmt w:val="ideographTraditional"/>
      <w:lvlText w:val="%5、"/>
      <w:lvlJc w:val="left"/>
      <w:pPr>
        <w:ind w:left="4100" w:hanging="480"/>
      </w:pPr>
    </w:lvl>
    <w:lvl w:ilvl="5" w:tplc="0409001B" w:tentative="1">
      <w:start w:val="1"/>
      <w:numFmt w:val="lowerRoman"/>
      <w:lvlText w:val="%6."/>
      <w:lvlJc w:val="right"/>
      <w:pPr>
        <w:ind w:left="4580" w:hanging="480"/>
      </w:pPr>
    </w:lvl>
    <w:lvl w:ilvl="6" w:tplc="0409000F" w:tentative="1">
      <w:start w:val="1"/>
      <w:numFmt w:val="decimal"/>
      <w:lvlText w:val="%7."/>
      <w:lvlJc w:val="left"/>
      <w:pPr>
        <w:ind w:left="5060" w:hanging="480"/>
      </w:pPr>
    </w:lvl>
    <w:lvl w:ilvl="7" w:tplc="04090019" w:tentative="1">
      <w:start w:val="1"/>
      <w:numFmt w:val="ideographTraditional"/>
      <w:lvlText w:val="%8、"/>
      <w:lvlJc w:val="left"/>
      <w:pPr>
        <w:ind w:left="5540" w:hanging="480"/>
      </w:pPr>
    </w:lvl>
    <w:lvl w:ilvl="8" w:tplc="0409001B" w:tentative="1">
      <w:start w:val="1"/>
      <w:numFmt w:val="lowerRoman"/>
      <w:lvlText w:val="%9."/>
      <w:lvlJc w:val="right"/>
      <w:pPr>
        <w:ind w:left="6020" w:hanging="480"/>
      </w:pPr>
    </w:lvl>
  </w:abstractNum>
  <w:abstractNum w:abstractNumId="10">
    <w:nsid w:val="20342289"/>
    <w:multiLevelType w:val="hybridMultilevel"/>
    <w:tmpl w:val="70F607E0"/>
    <w:lvl w:ilvl="0" w:tplc="F3521DE6">
      <w:start w:val="1"/>
      <w:numFmt w:val="ideographLegalTraditional"/>
      <w:suff w:val="nothing"/>
      <w:lvlText w:val="%1、"/>
      <w:lvlJc w:val="left"/>
      <w:pPr>
        <w:ind w:left="24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09A7B23"/>
    <w:multiLevelType w:val="hybridMultilevel"/>
    <w:tmpl w:val="5A746BF2"/>
    <w:lvl w:ilvl="0" w:tplc="8A28CB4A">
      <w:start w:val="1"/>
      <w:numFmt w:val="taiwaneseCountingThousand"/>
      <w:suff w:val="nothing"/>
      <w:lvlText w:val="（%1）"/>
      <w:lvlJc w:val="left"/>
      <w:pPr>
        <w:ind w:left="1573" w:hanging="864"/>
      </w:pPr>
      <w:rPr>
        <w:rFonts w:hint="default"/>
      </w:rPr>
    </w:lvl>
    <w:lvl w:ilvl="1" w:tplc="04090019" w:tentative="1">
      <w:start w:val="1"/>
      <w:numFmt w:val="ideographTraditional"/>
      <w:lvlText w:val="%2、"/>
      <w:lvlJc w:val="left"/>
      <w:pPr>
        <w:ind w:left="2025" w:hanging="480"/>
      </w:pPr>
    </w:lvl>
    <w:lvl w:ilvl="2" w:tplc="0409001B" w:tentative="1">
      <w:start w:val="1"/>
      <w:numFmt w:val="lowerRoman"/>
      <w:lvlText w:val="%3."/>
      <w:lvlJc w:val="right"/>
      <w:pPr>
        <w:ind w:left="2505" w:hanging="480"/>
      </w:pPr>
    </w:lvl>
    <w:lvl w:ilvl="3" w:tplc="0409000F" w:tentative="1">
      <w:start w:val="1"/>
      <w:numFmt w:val="decimal"/>
      <w:lvlText w:val="%4."/>
      <w:lvlJc w:val="left"/>
      <w:pPr>
        <w:ind w:left="2985" w:hanging="480"/>
      </w:pPr>
    </w:lvl>
    <w:lvl w:ilvl="4" w:tplc="04090019" w:tentative="1">
      <w:start w:val="1"/>
      <w:numFmt w:val="ideographTraditional"/>
      <w:lvlText w:val="%5、"/>
      <w:lvlJc w:val="left"/>
      <w:pPr>
        <w:ind w:left="3465" w:hanging="480"/>
      </w:pPr>
    </w:lvl>
    <w:lvl w:ilvl="5" w:tplc="0409001B" w:tentative="1">
      <w:start w:val="1"/>
      <w:numFmt w:val="lowerRoman"/>
      <w:lvlText w:val="%6."/>
      <w:lvlJc w:val="right"/>
      <w:pPr>
        <w:ind w:left="3945" w:hanging="480"/>
      </w:pPr>
    </w:lvl>
    <w:lvl w:ilvl="6" w:tplc="0409000F" w:tentative="1">
      <w:start w:val="1"/>
      <w:numFmt w:val="decimal"/>
      <w:lvlText w:val="%7."/>
      <w:lvlJc w:val="left"/>
      <w:pPr>
        <w:ind w:left="4425" w:hanging="480"/>
      </w:pPr>
    </w:lvl>
    <w:lvl w:ilvl="7" w:tplc="04090019" w:tentative="1">
      <w:start w:val="1"/>
      <w:numFmt w:val="ideographTraditional"/>
      <w:lvlText w:val="%8、"/>
      <w:lvlJc w:val="left"/>
      <w:pPr>
        <w:ind w:left="4905" w:hanging="480"/>
      </w:pPr>
    </w:lvl>
    <w:lvl w:ilvl="8" w:tplc="0409001B" w:tentative="1">
      <w:start w:val="1"/>
      <w:numFmt w:val="lowerRoman"/>
      <w:lvlText w:val="%9."/>
      <w:lvlJc w:val="right"/>
      <w:pPr>
        <w:ind w:left="5385" w:hanging="480"/>
      </w:pPr>
    </w:lvl>
  </w:abstractNum>
  <w:abstractNum w:abstractNumId="12">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5E32AC8"/>
    <w:multiLevelType w:val="hybridMultilevel"/>
    <w:tmpl w:val="CEEA7BEE"/>
    <w:lvl w:ilvl="0" w:tplc="04B03B5E">
      <w:start w:val="1"/>
      <w:numFmt w:val="taiwaneseCountingThousand"/>
      <w:lvlText w:val="第%1、"/>
      <w:lvlJc w:val="left"/>
      <w:pPr>
        <w:ind w:left="2555" w:hanging="855"/>
      </w:pPr>
      <w:rPr>
        <w:rFonts w:hint="default"/>
      </w:rPr>
    </w:lvl>
    <w:lvl w:ilvl="1" w:tplc="04090019" w:tentative="1">
      <w:start w:val="1"/>
      <w:numFmt w:val="ideographTraditional"/>
      <w:lvlText w:val="%2、"/>
      <w:lvlJc w:val="left"/>
      <w:pPr>
        <w:ind w:left="2660" w:hanging="480"/>
      </w:pPr>
    </w:lvl>
    <w:lvl w:ilvl="2" w:tplc="0409001B" w:tentative="1">
      <w:start w:val="1"/>
      <w:numFmt w:val="lowerRoman"/>
      <w:lvlText w:val="%3."/>
      <w:lvlJc w:val="right"/>
      <w:pPr>
        <w:ind w:left="3140" w:hanging="480"/>
      </w:pPr>
    </w:lvl>
    <w:lvl w:ilvl="3" w:tplc="0409000F" w:tentative="1">
      <w:start w:val="1"/>
      <w:numFmt w:val="decimal"/>
      <w:lvlText w:val="%4."/>
      <w:lvlJc w:val="left"/>
      <w:pPr>
        <w:ind w:left="3620" w:hanging="480"/>
      </w:pPr>
    </w:lvl>
    <w:lvl w:ilvl="4" w:tplc="04090019" w:tentative="1">
      <w:start w:val="1"/>
      <w:numFmt w:val="ideographTraditional"/>
      <w:lvlText w:val="%5、"/>
      <w:lvlJc w:val="left"/>
      <w:pPr>
        <w:ind w:left="4100" w:hanging="480"/>
      </w:pPr>
    </w:lvl>
    <w:lvl w:ilvl="5" w:tplc="0409001B" w:tentative="1">
      <w:start w:val="1"/>
      <w:numFmt w:val="lowerRoman"/>
      <w:lvlText w:val="%6."/>
      <w:lvlJc w:val="right"/>
      <w:pPr>
        <w:ind w:left="4580" w:hanging="480"/>
      </w:pPr>
    </w:lvl>
    <w:lvl w:ilvl="6" w:tplc="0409000F" w:tentative="1">
      <w:start w:val="1"/>
      <w:numFmt w:val="decimal"/>
      <w:lvlText w:val="%7."/>
      <w:lvlJc w:val="left"/>
      <w:pPr>
        <w:ind w:left="5060" w:hanging="480"/>
      </w:pPr>
    </w:lvl>
    <w:lvl w:ilvl="7" w:tplc="04090019" w:tentative="1">
      <w:start w:val="1"/>
      <w:numFmt w:val="ideographTraditional"/>
      <w:lvlText w:val="%8、"/>
      <w:lvlJc w:val="left"/>
      <w:pPr>
        <w:ind w:left="5540" w:hanging="480"/>
      </w:pPr>
    </w:lvl>
    <w:lvl w:ilvl="8" w:tplc="0409001B" w:tentative="1">
      <w:start w:val="1"/>
      <w:numFmt w:val="lowerRoman"/>
      <w:lvlText w:val="%9."/>
      <w:lvlJc w:val="right"/>
      <w:pPr>
        <w:ind w:left="6020" w:hanging="480"/>
      </w:pPr>
    </w:lvl>
  </w:abstractNum>
  <w:abstractNum w:abstractNumId="14">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5">
    <w:nsid w:val="292F3254"/>
    <w:multiLevelType w:val="hybridMultilevel"/>
    <w:tmpl w:val="99388F34"/>
    <w:lvl w:ilvl="0" w:tplc="00D0700A">
      <w:start w:val="1"/>
      <w:numFmt w:val="ideographLegalTraditional"/>
      <w:lvlText w:val="［%1］"/>
      <w:lvlJc w:val="left"/>
      <w:pPr>
        <w:ind w:left="1464" w:hanging="864"/>
      </w:pPr>
      <w:rPr>
        <w:rFonts w:hint="default"/>
        <w:color w:val="000000" w:themeColor="text1"/>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6">
    <w:nsid w:val="29474F71"/>
    <w:multiLevelType w:val="hybridMultilevel"/>
    <w:tmpl w:val="DF86CD16"/>
    <w:lvl w:ilvl="0" w:tplc="73BEDC44">
      <w:start w:val="1"/>
      <w:numFmt w:val="taiwaneseCountingThousand"/>
      <w:lvlText w:val="第%1、"/>
      <w:lvlJc w:val="left"/>
      <w:pPr>
        <w:ind w:left="2352" w:hanging="795"/>
      </w:pPr>
      <w:rPr>
        <w:rFonts w:hint="default"/>
      </w:rPr>
    </w:lvl>
    <w:lvl w:ilvl="1" w:tplc="04090019" w:tentative="1">
      <w:start w:val="1"/>
      <w:numFmt w:val="ideographTraditional"/>
      <w:lvlText w:val="%2、"/>
      <w:lvlJc w:val="left"/>
      <w:pPr>
        <w:ind w:left="2517" w:hanging="480"/>
      </w:pPr>
    </w:lvl>
    <w:lvl w:ilvl="2" w:tplc="0409001B" w:tentative="1">
      <w:start w:val="1"/>
      <w:numFmt w:val="lowerRoman"/>
      <w:lvlText w:val="%3."/>
      <w:lvlJc w:val="right"/>
      <w:pPr>
        <w:ind w:left="2997" w:hanging="480"/>
      </w:pPr>
    </w:lvl>
    <w:lvl w:ilvl="3" w:tplc="0409000F" w:tentative="1">
      <w:start w:val="1"/>
      <w:numFmt w:val="decimal"/>
      <w:lvlText w:val="%4."/>
      <w:lvlJc w:val="left"/>
      <w:pPr>
        <w:ind w:left="3477" w:hanging="480"/>
      </w:pPr>
    </w:lvl>
    <w:lvl w:ilvl="4" w:tplc="04090019" w:tentative="1">
      <w:start w:val="1"/>
      <w:numFmt w:val="ideographTraditional"/>
      <w:lvlText w:val="%5、"/>
      <w:lvlJc w:val="left"/>
      <w:pPr>
        <w:ind w:left="3957" w:hanging="480"/>
      </w:pPr>
    </w:lvl>
    <w:lvl w:ilvl="5" w:tplc="0409001B" w:tentative="1">
      <w:start w:val="1"/>
      <w:numFmt w:val="lowerRoman"/>
      <w:lvlText w:val="%6."/>
      <w:lvlJc w:val="right"/>
      <w:pPr>
        <w:ind w:left="4437" w:hanging="480"/>
      </w:pPr>
    </w:lvl>
    <w:lvl w:ilvl="6" w:tplc="0409000F" w:tentative="1">
      <w:start w:val="1"/>
      <w:numFmt w:val="decimal"/>
      <w:lvlText w:val="%7."/>
      <w:lvlJc w:val="left"/>
      <w:pPr>
        <w:ind w:left="4917" w:hanging="480"/>
      </w:pPr>
    </w:lvl>
    <w:lvl w:ilvl="7" w:tplc="04090019" w:tentative="1">
      <w:start w:val="1"/>
      <w:numFmt w:val="ideographTraditional"/>
      <w:lvlText w:val="%8、"/>
      <w:lvlJc w:val="left"/>
      <w:pPr>
        <w:ind w:left="5397" w:hanging="480"/>
      </w:pPr>
    </w:lvl>
    <w:lvl w:ilvl="8" w:tplc="0409001B" w:tentative="1">
      <w:start w:val="1"/>
      <w:numFmt w:val="lowerRoman"/>
      <w:lvlText w:val="%9."/>
      <w:lvlJc w:val="right"/>
      <w:pPr>
        <w:ind w:left="5877" w:hanging="480"/>
      </w:pPr>
    </w:lvl>
  </w:abstractNum>
  <w:abstractNum w:abstractNumId="17">
    <w:nsid w:val="29DD435F"/>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20">
    <w:nsid w:val="3206474A"/>
    <w:multiLevelType w:val="hybridMultilevel"/>
    <w:tmpl w:val="8D206FDC"/>
    <w:lvl w:ilvl="0" w:tplc="C106AA16">
      <w:start w:val="1"/>
      <w:numFmt w:val="ideographLegalTraditional"/>
      <w:suff w:val="nothing"/>
      <w:lvlText w:val="［%1］"/>
      <w:lvlJc w:val="left"/>
      <w:pPr>
        <w:ind w:left="1148" w:hanging="864"/>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1">
    <w:nsid w:val="33FD220B"/>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3A273422"/>
    <w:multiLevelType w:val="hybridMultilevel"/>
    <w:tmpl w:val="9008E63C"/>
    <w:lvl w:ilvl="0" w:tplc="3EB4F58C">
      <w:start w:val="1"/>
      <w:numFmt w:val="decimal"/>
      <w:suff w:val="nothing"/>
      <w:lvlText w:val="(%1)"/>
      <w:lvlJc w:val="left"/>
      <w:pPr>
        <w:ind w:left="1080" w:hanging="360"/>
      </w:pPr>
      <w:rPr>
        <w:rFonts w:hint="eastAsia"/>
      </w:rPr>
    </w:lvl>
    <w:lvl w:ilvl="1" w:tplc="4E5ED556">
      <w:start w:val="1"/>
      <w:numFmt w:val="decimal"/>
      <w:lvlText w:val="%2"/>
      <w:lvlJc w:val="left"/>
      <w:pPr>
        <w:ind w:left="2520" w:hanging="360"/>
      </w:pPr>
      <w:rPr>
        <w:rFonts w:hint="default"/>
      </w:rPr>
    </w:lvl>
    <w:lvl w:ilvl="2" w:tplc="0409001B" w:tentative="1">
      <w:start w:val="1"/>
      <w:numFmt w:val="lowerRoman"/>
      <w:lvlText w:val="%3."/>
      <w:lvlJc w:val="right"/>
      <w:pPr>
        <w:ind w:left="3120" w:hanging="480"/>
      </w:pPr>
    </w:lvl>
    <w:lvl w:ilvl="3" w:tplc="0409000F" w:tentative="1">
      <w:start w:val="1"/>
      <w:numFmt w:val="decimal"/>
      <w:lvlText w:val="%4."/>
      <w:lvlJc w:val="left"/>
      <w:pPr>
        <w:ind w:left="3600" w:hanging="480"/>
      </w:pPr>
    </w:lvl>
    <w:lvl w:ilvl="4" w:tplc="04090019" w:tentative="1">
      <w:start w:val="1"/>
      <w:numFmt w:val="ideographTraditional"/>
      <w:lvlText w:val="%5、"/>
      <w:lvlJc w:val="left"/>
      <w:pPr>
        <w:ind w:left="4080" w:hanging="480"/>
      </w:pPr>
    </w:lvl>
    <w:lvl w:ilvl="5" w:tplc="0409001B" w:tentative="1">
      <w:start w:val="1"/>
      <w:numFmt w:val="lowerRoman"/>
      <w:lvlText w:val="%6."/>
      <w:lvlJc w:val="right"/>
      <w:pPr>
        <w:ind w:left="4560" w:hanging="480"/>
      </w:pPr>
    </w:lvl>
    <w:lvl w:ilvl="6" w:tplc="0409000F" w:tentative="1">
      <w:start w:val="1"/>
      <w:numFmt w:val="decimal"/>
      <w:lvlText w:val="%7."/>
      <w:lvlJc w:val="left"/>
      <w:pPr>
        <w:ind w:left="5040" w:hanging="480"/>
      </w:pPr>
    </w:lvl>
    <w:lvl w:ilvl="7" w:tplc="04090019" w:tentative="1">
      <w:start w:val="1"/>
      <w:numFmt w:val="ideographTraditional"/>
      <w:lvlText w:val="%8、"/>
      <w:lvlJc w:val="left"/>
      <w:pPr>
        <w:ind w:left="5520" w:hanging="480"/>
      </w:pPr>
    </w:lvl>
    <w:lvl w:ilvl="8" w:tplc="0409001B" w:tentative="1">
      <w:start w:val="1"/>
      <w:numFmt w:val="lowerRoman"/>
      <w:lvlText w:val="%9."/>
      <w:lvlJc w:val="right"/>
      <w:pPr>
        <w:ind w:left="6000" w:hanging="480"/>
      </w:pPr>
    </w:lvl>
  </w:abstractNum>
  <w:abstractNum w:abstractNumId="23">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41702AB8"/>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20A4D5C"/>
    <w:multiLevelType w:val="hybridMultilevel"/>
    <w:tmpl w:val="6270F722"/>
    <w:lvl w:ilvl="0" w:tplc="022C9F22">
      <w:start w:val="1"/>
      <w:numFmt w:val="taiwaneseCountingThousand"/>
      <w:lvlText w:val="第%1、"/>
      <w:lvlJc w:val="left"/>
      <w:pPr>
        <w:ind w:left="2636" w:hanging="795"/>
      </w:pPr>
      <w:rPr>
        <w:rFonts w:hint="default"/>
      </w:rPr>
    </w:lvl>
    <w:lvl w:ilvl="1" w:tplc="04090019" w:tentative="1">
      <w:start w:val="1"/>
      <w:numFmt w:val="ideographTraditional"/>
      <w:lvlText w:val="%2、"/>
      <w:lvlJc w:val="left"/>
      <w:pPr>
        <w:ind w:left="2801" w:hanging="480"/>
      </w:pPr>
    </w:lvl>
    <w:lvl w:ilvl="2" w:tplc="0409001B" w:tentative="1">
      <w:start w:val="1"/>
      <w:numFmt w:val="lowerRoman"/>
      <w:lvlText w:val="%3."/>
      <w:lvlJc w:val="right"/>
      <w:pPr>
        <w:ind w:left="3281" w:hanging="480"/>
      </w:pPr>
    </w:lvl>
    <w:lvl w:ilvl="3" w:tplc="0409000F" w:tentative="1">
      <w:start w:val="1"/>
      <w:numFmt w:val="decimal"/>
      <w:lvlText w:val="%4."/>
      <w:lvlJc w:val="left"/>
      <w:pPr>
        <w:ind w:left="3761" w:hanging="480"/>
      </w:pPr>
    </w:lvl>
    <w:lvl w:ilvl="4" w:tplc="04090019" w:tentative="1">
      <w:start w:val="1"/>
      <w:numFmt w:val="ideographTraditional"/>
      <w:lvlText w:val="%5、"/>
      <w:lvlJc w:val="left"/>
      <w:pPr>
        <w:ind w:left="4241" w:hanging="480"/>
      </w:pPr>
    </w:lvl>
    <w:lvl w:ilvl="5" w:tplc="0409001B" w:tentative="1">
      <w:start w:val="1"/>
      <w:numFmt w:val="lowerRoman"/>
      <w:lvlText w:val="%6."/>
      <w:lvlJc w:val="right"/>
      <w:pPr>
        <w:ind w:left="4721" w:hanging="480"/>
      </w:pPr>
    </w:lvl>
    <w:lvl w:ilvl="6" w:tplc="0409000F" w:tentative="1">
      <w:start w:val="1"/>
      <w:numFmt w:val="decimal"/>
      <w:lvlText w:val="%7."/>
      <w:lvlJc w:val="left"/>
      <w:pPr>
        <w:ind w:left="5201" w:hanging="480"/>
      </w:pPr>
    </w:lvl>
    <w:lvl w:ilvl="7" w:tplc="04090019" w:tentative="1">
      <w:start w:val="1"/>
      <w:numFmt w:val="ideographTraditional"/>
      <w:lvlText w:val="%8、"/>
      <w:lvlJc w:val="left"/>
      <w:pPr>
        <w:ind w:left="5681" w:hanging="480"/>
      </w:pPr>
    </w:lvl>
    <w:lvl w:ilvl="8" w:tplc="0409001B" w:tentative="1">
      <w:start w:val="1"/>
      <w:numFmt w:val="lowerRoman"/>
      <w:lvlText w:val="%9."/>
      <w:lvlJc w:val="right"/>
      <w:pPr>
        <w:ind w:left="6161" w:hanging="480"/>
      </w:pPr>
    </w:lvl>
  </w:abstractNum>
  <w:abstractNum w:abstractNumId="26">
    <w:nsid w:val="45592C4C"/>
    <w:multiLevelType w:val="hybridMultilevel"/>
    <w:tmpl w:val="B79A03AE"/>
    <w:lvl w:ilvl="0" w:tplc="7578FFAE">
      <w:start w:val="1"/>
      <w:numFmt w:val="ideographLegalTraditional"/>
      <w:suff w:val="nothing"/>
      <w:lvlText w:val="%1、"/>
      <w:lvlJc w:val="left"/>
      <w:pPr>
        <w:ind w:left="720" w:hanging="720"/>
      </w:pPr>
      <w:rPr>
        <w:rFonts w:hint="default"/>
      </w:rPr>
    </w:lvl>
    <w:lvl w:ilvl="1" w:tplc="964EA28E">
      <w:start w:val="1"/>
      <w:numFmt w:val="taiwaneseCountingThousand"/>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4A567DA2"/>
    <w:multiLevelType w:val="hybridMultilevel"/>
    <w:tmpl w:val="EFA2B116"/>
    <w:styleLink w:val="212"/>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4CCB427D"/>
    <w:multiLevelType w:val="hybridMultilevel"/>
    <w:tmpl w:val="617E8D08"/>
    <w:lvl w:ilvl="0" w:tplc="75DCD39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0405EA8"/>
    <w:multiLevelType w:val="hybridMultilevel"/>
    <w:tmpl w:val="33C80C04"/>
    <w:lvl w:ilvl="0" w:tplc="04090017">
      <w:start w:val="1"/>
      <w:numFmt w:val="ideographLegalTraditional"/>
      <w:lvlText w:val="%1、"/>
      <w:lvlJc w:val="left"/>
      <w:pPr>
        <w:ind w:left="480" w:hanging="480"/>
      </w:pPr>
    </w:lvl>
    <w:lvl w:ilvl="1" w:tplc="04090015">
      <w:start w:val="1"/>
      <w:numFmt w:val="taiwaneseCountingThousand"/>
      <w:lvlText w:val="%2、"/>
      <w:lvlJc w:val="left"/>
      <w:pPr>
        <w:ind w:left="960" w:hanging="480"/>
      </w:pPr>
    </w:lvl>
    <w:lvl w:ilvl="2" w:tplc="4210C7A2">
      <w:start w:val="1"/>
      <w:numFmt w:val="taiwaneseCountingThousand"/>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10D250B"/>
    <w:multiLevelType w:val="hybridMultilevel"/>
    <w:tmpl w:val="2CC28896"/>
    <w:lvl w:ilvl="0" w:tplc="96526802">
      <w:start w:val="1"/>
      <w:numFmt w:val="taiwaneseCountingThousand"/>
      <w:suff w:val="nothing"/>
      <w:lvlText w:val="%1、"/>
      <w:lvlJc w:val="left"/>
      <w:pPr>
        <w:ind w:left="720" w:hanging="720"/>
      </w:pPr>
      <w:rPr>
        <w:rFonts w:hint="default"/>
      </w:rPr>
    </w:lvl>
    <w:lvl w:ilvl="1" w:tplc="CDAA6FEC">
      <w:start w:val="1"/>
      <w:numFmt w:val="taiwaneseCountingThousand"/>
      <w:suff w:val="nothing"/>
      <w:lvlText w:val="（%2）"/>
      <w:lvlJc w:val="left"/>
      <w:pPr>
        <w:ind w:left="1308" w:hanging="828"/>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1F61977"/>
    <w:multiLevelType w:val="hybridMultilevel"/>
    <w:tmpl w:val="233CF890"/>
    <w:lvl w:ilvl="0" w:tplc="ED5CA7A6">
      <w:start w:val="1"/>
      <w:numFmt w:val="taiwaneseCountingThousand"/>
      <w:lvlText w:val="第%1、"/>
      <w:lvlJc w:val="left"/>
      <w:pPr>
        <w:ind w:left="2556" w:hanging="855"/>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32">
    <w:nsid w:val="530C379A"/>
    <w:multiLevelType w:val="hybridMultilevel"/>
    <w:tmpl w:val="0A92BFEC"/>
    <w:lvl w:ilvl="0" w:tplc="2C74AF0C">
      <w:start w:val="1"/>
      <w:numFmt w:val="taiwaneseCountingThousand"/>
      <w:lvlText w:val="第%1、"/>
      <w:lvlJc w:val="left"/>
      <w:pPr>
        <w:ind w:left="2466" w:hanging="765"/>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33">
    <w:nsid w:val="54E63B1D"/>
    <w:multiLevelType w:val="hybridMultilevel"/>
    <w:tmpl w:val="857208B2"/>
    <w:lvl w:ilvl="0" w:tplc="18A26ECC">
      <w:start w:val="1"/>
      <w:numFmt w:val="taiwaneseCountingThousand"/>
      <w:lvlText w:val="%1、"/>
      <w:lvlJc w:val="left"/>
      <w:pPr>
        <w:ind w:left="480" w:hanging="4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5D4F60F5"/>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5FA1769B"/>
    <w:multiLevelType w:val="hybridMultilevel"/>
    <w:tmpl w:val="B958D7C6"/>
    <w:lvl w:ilvl="0" w:tplc="3044F9A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61374CBA"/>
    <w:multiLevelType w:val="hybridMultilevel"/>
    <w:tmpl w:val="A83E070E"/>
    <w:lvl w:ilvl="0" w:tplc="DE3A131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17768B1"/>
    <w:multiLevelType w:val="hybridMultilevel"/>
    <w:tmpl w:val="EC7E5720"/>
    <w:lvl w:ilvl="0" w:tplc="CA8A8D1A">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6B3D50F3"/>
    <w:multiLevelType w:val="hybridMultilevel"/>
    <w:tmpl w:val="72907FFE"/>
    <w:lvl w:ilvl="0" w:tplc="679E6E3C">
      <w:start w:val="1"/>
      <w:numFmt w:val="taiwaneseCountingThousand"/>
      <w:lvlText w:val="第%1、"/>
      <w:lvlJc w:val="left"/>
      <w:pPr>
        <w:ind w:left="2556" w:hanging="855"/>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39">
    <w:nsid w:val="711C046D"/>
    <w:multiLevelType w:val="hybridMultilevel"/>
    <w:tmpl w:val="0EA6716A"/>
    <w:lvl w:ilvl="0" w:tplc="FCAA8EEA">
      <w:start w:val="2"/>
      <w:numFmt w:val="ideographLegalTraditional"/>
      <w:lvlText w:val="［%1］"/>
      <w:lvlJc w:val="left"/>
      <w:pPr>
        <w:ind w:left="1148" w:hanging="864"/>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1215C0C"/>
    <w:multiLevelType w:val="multilevel"/>
    <w:tmpl w:val="0409001D"/>
    <w:styleLink w:val="2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41">
    <w:nsid w:val="73CA69DE"/>
    <w:multiLevelType w:val="multilevel"/>
    <w:tmpl w:val="0409001F"/>
    <w:styleLink w:val="3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2">
    <w:nsid w:val="749C50FC"/>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53A72AC"/>
    <w:multiLevelType w:val="hybridMultilevel"/>
    <w:tmpl w:val="541E534A"/>
    <w:styleLink w:val="112"/>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44">
    <w:nsid w:val="756908A1"/>
    <w:multiLevelType w:val="hybridMultilevel"/>
    <w:tmpl w:val="7748A7A4"/>
    <w:styleLink w:val="312"/>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5">
    <w:nsid w:val="79D9555D"/>
    <w:multiLevelType w:val="hybridMultilevel"/>
    <w:tmpl w:val="123CDBB6"/>
    <w:lvl w:ilvl="0" w:tplc="AA760CC4">
      <w:start w:val="1"/>
      <w:numFmt w:val="taiwaneseCountingThousand"/>
      <w:suff w:val="nothing"/>
      <w:lvlText w:val="(%1)"/>
      <w:lvlJc w:val="left"/>
      <w:pPr>
        <w:ind w:left="1430" w:hanging="720"/>
      </w:pPr>
      <w:rPr>
        <w:rFonts w:hint="default"/>
      </w:rPr>
    </w:lvl>
    <w:lvl w:ilvl="1" w:tplc="B9A217F8">
      <w:start w:val="1"/>
      <w:numFmt w:val="decimal"/>
      <w:lvlText w:val="%2、"/>
      <w:lvlJc w:val="left"/>
      <w:pPr>
        <w:ind w:left="-359" w:hanging="720"/>
      </w:pPr>
      <w:rPr>
        <w:rFonts w:hint="default"/>
      </w:rPr>
    </w:lvl>
    <w:lvl w:ilvl="2" w:tplc="0409001B" w:tentative="1">
      <w:start w:val="1"/>
      <w:numFmt w:val="lowerRoman"/>
      <w:lvlText w:val="%3."/>
      <w:lvlJc w:val="right"/>
      <w:pPr>
        <w:ind w:left="-119" w:hanging="480"/>
      </w:pPr>
    </w:lvl>
    <w:lvl w:ilvl="3" w:tplc="0409000F" w:tentative="1">
      <w:start w:val="1"/>
      <w:numFmt w:val="decimal"/>
      <w:lvlText w:val="%4."/>
      <w:lvlJc w:val="left"/>
      <w:pPr>
        <w:ind w:left="361" w:hanging="480"/>
      </w:pPr>
    </w:lvl>
    <w:lvl w:ilvl="4" w:tplc="04090019" w:tentative="1">
      <w:start w:val="1"/>
      <w:numFmt w:val="ideographTraditional"/>
      <w:lvlText w:val="%5、"/>
      <w:lvlJc w:val="left"/>
      <w:pPr>
        <w:ind w:left="841" w:hanging="480"/>
      </w:pPr>
    </w:lvl>
    <w:lvl w:ilvl="5" w:tplc="0409001B" w:tentative="1">
      <w:start w:val="1"/>
      <w:numFmt w:val="lowerRoman"/>
      <w:lvlText w:val="%6."/>
      <w:lvlJc w:val="right"/>
      <w:pPr>
        <w:ind w:left="1321" w:hanging="480"/>
      </w:pPr>
    </w:lvl>
    <w:lvl w:ilvl="6" w:tplc="0409000F" w:tentative="1">
      <w:start w:val="1"/>
      <w:numFmt w:val="decimal"/>
      <w:lvlText w:val="%7."/>
      <w:lvlJc w:val="left"/>
      <w:pPr>
        <w:ind w:left="1801" w:hanging="480"/>
      </w:pPr>
    </w:lvl>
    <w:lvl w:ilvl="7" w:tplc="04090019" w:tentative="1">
      <w:start w:val="1"/>
      <w:numFmt w:val="ideographTraditional"/>
      <w:lvlText w:val="%8、"/>
      <w:lvlJc w:val="left"/>
      <w:pPr>
        <w:ind w:left="2281" w:hanging="480"/>
      </w:pPr>
    </w:lvl>
    <w:lvl w:ilvl="8" w:tplc="0409001B" w:tentative="1">
      <w:start w:val="1"/>
      <w:numFmt w:val="lowerRoman"/>
      <w:lvlText w:val="%9."/>
      <w:lvlJc w:val="right"/>
      <w:pPr>
        <w:ind w:left="2761" w:hanging="480"/>
      </w:pPr>
    </w:lvl>
  </w:abstractNum>
  <w:abstractNum w:abstractNumId="46">
    <w:nsid w:val="7CB44FB2"/>
    <w:multiLevelType w:val="hybridMultilevel"/>
    <w:tmpl w:val="85881318"/>
    <w:lvl w:ilvl="0" w:tplc="E79A8C08">
      <w:start w:val="1"/>
      <w:numFmt w:val="decimal"/>
      <w:suff w:val="nothing"/>
      <w:lvlText w:val="%1."/>
      <w:lvlJc w:val="left"/>
      <w:pPr>
        <w:ind w:left="2180" w:hanging="480"/>
      </w:pPr>
      <w:rPr>
        <w:rFonts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7">
    <w:nsid w:val="7F052D12"/>
    <w:multiLevelType w:val="hybridMultilevel"/>
    <w:tmpl w:val="123CDBB6"/>
    <w:lvl w:ilvl="0" w:tplc="AA760CC4">
      <w:start w:val="1"/>
      <w:numFmt w:val="taiwaneseCountingThousand"/>
      <w:suff w:val="nothing"/>
      <w:lvlText w:val="(%1)"/>
      <w:lvlJc w:val="left"/>
      <w:pPr>
        <w:ind w:left="1430" w:hanging="720"/>
      </w:pPr>
      <w:rPr>
        <w:rFonts w:hint="default"/>
      </w:rPr>
    </w:lvl>
    <w:lvl w:ilvl="1" w:tplc="B9A217F8">
      <w:start w:val="1"/>
      <w:numFmt w:val="decimal"/>
      <w:lvlText w:val="%2、"/>
      <w:lvlJc w:val="left"/>
      <w:pPr>
        <w:ind w:left="-359" w:hanging="720"/>
      </w:pPr>
      <w:rPr>
        <w:rFonts w:hint="default"/>
      </w:rPr>
    </w:lvl>
    <w:lvl w:ilvl="2" w:tplc="0409001B" w:tentative="1">
      <w:start w:val="1"/>
      <w:numFmt w:val="lowerRoman"/>
      <w:lvlText w:val="%3."/>
      <w:lvlJc w:val="right"/>
      <w:pPr>
        <w:ind w:left="-119" w:hanging="480"/>
      </w:pPr>
    </w:lvl>
    <w:lvl w:ilvl="3" w:tplc="0409000F" w:tentative="1">
      <w:start w:val="1"/>
      <w:numFmt w:val="decimal"/>
      <w:lvlText w:val="%4."/>
      <w:lvlJc w:val="left"/>
      <w:pPr>
        <w:ind w:left="361" w:hanging="480"/>
      </w:pPr>
    </w:lvl>
    <w:lvl w:ilvl="4" w:tplc="04090019" w:tentative="1">
      <w:start w:val="1"/>
      <w:numFmt w:val="ideographTraditional"/>
      <w:lvlText w:val="%5、"/>
      <w:lvlJc w:val="left"/>
      <w:pPr>
        <w:ind w:left="841" w:hanging="480"/>
      </w:pPr>
    </w:lvl>
    <w:lvl w:ilvl="5" w:tplc="0409001B" w:tentative="1">
      <w:start w:val="1"/>
      <w:numFmt w:val="lowerRoman"/>
      <w:lvlText w:val="%6."/>
      <w:lvlJc w:val="right"/>
      <w:pPr>
        <w:ind w:left="1321" w:hanging="480"/>
      </w:pPr>
    </w:lvl>
    <w:lvl w:ilvl="6" w:tplc="0409000F" w:tentative="1">
      <w:start w:val="1"/>
      <w:numFmt w:val="decimal"/>
      <w:lvlText w:val="%7."/>
      <w:lvlJc w:val="left"/>
      <w:pPr>
        <w:ind w:left="1801" w:hanging="480"/>
      </w:pPr>
    </w:lvl>
    <w:lvl w:ilvl="7" w:tplc="04090019" w:tentative="1">
      <w:start w:val="1"/>
      <w:numFmt w:val="ideographTraditional"/>
      <w:lvlText w:val="%8、"/>
      <w:lvlJc w:val="left"/>
      <w:pPr>
        <w:ind w:left="2281" w:hanging="480"/>
      </w:pPr>
    </w:lvl>
    <w:lvl w:ilvl="8" w:tplc="0409001B" w:tentative="1">
      <w:start w:val="1"/>
      <w:numFmt w:val="lowerRoman"/>
      <w:lvlText w:val="%9."/>
      <w:lvlJc w:val="right"/>
      <w:pPr>
        <w:ind w:left="2761" w:hanging="480"/>
      </w:pPr>
    </w:lvl>
  </w:abstractNum>
  <w:num w:numId="1">
    <w:abstractNumId w:val="14"/>
  </w:num>
  <w:num w:numId="2">
    <w:abstractNumId w:val="40"/>
  </w:num>
  <w:num w:numId="3">
    <w:abstractNumId w:val="4"/>
  </w:num>
  <w:num w:numId="4">
    <w:abstractNumId w:val="41"/>
  </w:num>
  <w:num w:numId="5">
    <w:abstractNumId w:val="27"/>
  </w:num>
  <w:num w:numId="6">
    <w:abstractNumId w:val="44"/>
  </w:num>
  <w:num w:numId="7">
    <w:abstractNumId w:val="43"/>
  </w:num>
  <w:num w:numId="8">
    <w:abstractNumId w:val="19"/>
  </w:num>
  <w:num w:numId="9">
    <w:abstractNumId w:val="3"/>
  </w:num>
  <w:num w:numId="10">
    <w:abstractNumId w:val="23"/>
  </w:num>
  <w:num w:numId="11">
    <w:abstractNumId w:val="18"/>
  </w:num>
  <w:num w:numId="12">
    <w:abstractNumId w:val="12"/>
  </w:num>
  <w:num w:numId="13">
    <w:abstractNumId w:val="39"/>
  </w:num>
  <w:num w:numId="14">
    <w:abstractNumId w:val="20"/>
  </w:num>
  <w:num w:numId="15">
    <w:abstractNumId w:val="17"/>
  </w:num>
  <w:num w:numId="16">
    <w:abstractNumId w:val="30"/>
  </w:num>
  <w:num w:numId="17">
    <w:abstractNumId w:val="11"/>
  </w:num>
  <w:num w:numId="18">
    <w:abstractNumId w:val="15"/>
  </w:num>
  <w:num w:numId="19">
    <w:abstractNumId w:val="8"/>
  </w:num>
  <w:num w:numId="20">
    <w:abstractNumId w:val="5"/>
  </w:num>
  <w:num w:numId="21">
    <w:abstractNumId w:val="37"/>
  </w:num>
  <w:num w:numId="22">
    <w:abstractNumId w:val="45"/>
  </w:num>
  <w:num w:numId="23">
    <w:abstractNumId w:val="47"/>
  </w:num>
  <w:num w:numId="24">
    <w:abstractNumId w:val="36"/>
  </w:num>
  <w:num w:numId="25">
    <w:abstractNumId w:val="28"/>
  </w:num>
  <w:num w:numId="26">
    <w:abstractNumId w:val="7"/>
  </w:num>
  <w:num w:numId="27">
    <w:abstractNumId w:val="35"/>
  </w:num>
  <w:num w:numId="28">
    <w:abstractNumId w:val="26"/>
  </w:num>
  <w:num w:numId="29">
    <w:abstractNumId w:val="16"/>
  </w:num>
  <w:num w:numId="30">
    <w:abstractNumId w:val="9"/>
  </w:num>
  <w:num w:numId="31">
    <w:abstractNumId w:val="6"/>
  </w:num>
  <w:num w:numId="32">
    <w:abstractNumId w:val="25"/>
  </w:num>
  <w:num w:numId="33">
    <w:abstractNumId w:val="38"/>
  </w:num>
  <w:num w:numId="34">
    <w:abstractNumId w:val="31"/>
  </w:num>
  <w:num w:numId="35">
    <w:abstractNumId w:val="32"/>
  </w:num>
  <w:num w:numId="36">
    <w:abstractNumId w:val="13"/>
  </w:num>
  <w:num w:numId="37">
    <w:abstractNumId w:val="22"/>
  </w:num>
  <w:num w:numId="38">
    <w:abstractNumId w:val="10"/>
  </w:num>
  <w:num w:numId="39">
    <w:abstractNumId w:val="46"/>
  </w:num>
  <w:num w:numId="40">
    <w:abstractNumId w:val="29"/>
  </w:num>
  <w:num w:numId="41">
    <w:abstractNumId w:val="33"/>
  </w:num>
  <w:num w:numId="42">
    <w:abstractNumId w:val="42"/>
  </w:num>
  <w:num w:numId="43">
    <w:abstractNumId w:val="34"/>
  </w:num>
  <w:num w:numId="44">
    <w:abstractNumId w:val="21"/>
  </w:num>
  <w:num w:numId="45">
    <w:abstractNumId w:val="2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1"/>
  <w:mirrorMargin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454"/>
    <w:rsid w:val="00000016"/>
    <w:rsid w:val="000003CF"/>
    <w:rsid w:val="00000A91"/>
    <w:rsid w:val="00000CB1"/>
    <w:rsid w:val="0000108A"/>
    <w:rsid w:val="000012B3"/>
    <w:rsid w:val="000013DA"/>
    <w:rsid w:val="00001875"/>
    <w:rsid w:val="000019A1"/>
    <w:rsid w:val="000020D3"/>
    <w:rsid w:val="00002202"/>
    <w:rsid w:val="000025F1"/>
    <w:rsid w:val="0000263C"/>
    <w:rsid w:val="0000286C"/>
    <w:rsid w:val="00002E6B"/>
    <w:rsid w:val="00003139"/>
    <w:rsid w:val="000035E6"/>
    <w:rsid w:val="000043DF"/>
    <w:rsid w:val="00004B11"/>
    <w:rsid w:val="00005471"/>
    <w:rsid w:val="000057BE"/>
    <w:rsid w:val="00005B7E"/>
    <w:rsid w:val="00005EE8"/>
    <w:rsid w:val="00006383"/>
    <w:rsid w:val="00006557"/>
    <w:rsid w:val="000065A1"/>
    <w:rsid w:val="00006FC2"/>
    <w:rsid w:val="00007145"/>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3836"/>
    <w:rsid w:val="0001389E"/>
    <w:rsid w:val="00013D92"/>
    <w:rsid w:val="00013E0D"/>
    <w:rsid w:val="00013E12"/>
    <w:rsid w:val="00013F53"/>
    <w:rsid w:val="00014949"/>
    <w:rsid w:val="00014EF9"/>
    <w:rsid w:val="0001577F"/>
    <w:rsid w:val="0001587E"/>
    <w:rsid w:val="00015F20"/>
    <w:rsid w:val="00016153"/>
    <w:rsid w:val="00016413"/>
    <w:rsid w:val="000166D3"/>
    <w:rsid w:val="00016E53"/>
    <w:rsid w:val="00016EC1"/>
    <w:rsid w:val="00016F03"/>
    <w:rsid w:val="000174DA"/>
    <w:rsid w:val="00017E5F"/>
    <w:rsid w:val="00020123"/>
    <w:rsid w:val="00020303"/>
    <w:rsid w:val="0002038F"/>
    <w:rsid w:val="00020413"/>
    <w:rsid w:val="000207E6"/>
    <w:rsid w:val="000208D6"/>
    <w:rsid w:val="00020B99"/>
    <w:rsid w:val="00020BC7"/>
    <w:rsid w:val="000210EB"/>
    <w:rsid w:val="000213F1"/>
    <w:rsid w:val="000217A9"/>
    <w:rsid w:val="000218FF"/>
    <w:rsid w:val="00021C80"/>
    <w:rsid w:val="00022422"/>
    <w:rsid w:val="000226E9"/>
    <w:rsid w:val="00023068"/>
    <w:rsid w:val="00023139"/>
    <w:rsid w:val="0002366B"/>
    <w:rsid w:val="00023716"/>
    <w:rsid w:val="0002395D"/>
    <w:rsid w:val="00023DA2"/>
    <w:rsid w:val="00023F7E"/>
    <w:rsid w:val="00024745"/>
    <w:rsid w:val="00024896"/>
    <w:rsid w:val="000249B9"/>
    <w:rsid w:val="00024B94"/>
    <w:rsid w:val="00025C54"/>
    <w:rsid w:val="00026B42"/>
    <w:rsid w:val="00026D8A"/>
    <w:rsid w:val="0002749D"/>
    <w:rsid w:val="0002760A"/>
    <w:rsid w:val="00027679"/>
    <w:rsid w:val="000300B9"/>
    <w:rsid w:val="0003038D"/>
    <w:rsid w:val="000304BB"/>
    <w:rsid w:val="0003087B"/>
    <w:rsid w:val="000308C1"/>
    <w:rsid w:val="00030935"/>
    <w:rsid w:val="00030FF7"/>
    <w:rsid w:val="00031060"/>
    <w:rsid w:val="000318A5"/>
    <w:rsid w:val="00031A8B"/>
    <w:rsid w:val="00031BD7"/>
    <w:rsid w:val="000321AB"/>
    <w:rsid w:val="00032326"/>
    <w:rsid w:val="00032605"/>
    <w:rsid w:val="00032BB0"/>
    <w:rsid w:val="00033064"/>
    <w:rsid w:val="00033321"/>
    <w:rsid w:val="000333A6"/>
    <w:rsid w:val="00033415"/>
    <w:rsid w:val="00033E17"/>
    <w:rsid w:val="00033FB8"/>
    <w:rsid w:val="00034168"/>
    <w:rsid w:val="0003422C"/>
    <w:rsid w:val="00034353"/>
    <w:rsid w:val="0003470C"/>
    <w:rsid w:val="00034C4F"/>
    <w:rsid w:val="000352F8"/>
    <w:rsid w:val="000354B3"/>
    <w:rsid w:val="00035542"/>
    <w:rsid w:val="00036418"/>
    <w:rsid w:val="00036608"/>
    <w:rsid w:val="000368CF"/>
    <w:rsid w:val="00036AF8"/>
    <w:rsid w:val="00036FCF"/>
    <w:rsid w:val="00037A7E"/>
    <w:rsid w:val="00037AB0"/>
    <w:rsid w:val="0004001D"/>
    <w:rsid w:val="0004047C"/>
    <w:rsid w:val="00041366"/>
    <w:rsid w:val="0004192D"/>
    <w:rsid w:val="00042160"/>
    <w:rsid w:val="0004270B"/>
    <w:rsid w:val="0004282F"/>
    <w:rsid w:val="00042B03"/>
    <w:rsid w:val="00042EAF"/>
    <w:rsid w:val="0004362A"/>
    <w:rsid w:val="00043E6B"/>
    <w:rsid w:val="00044072"/>
    <w:rsid w:val="000440D5"/>
    <w:rsid w:val="000442E2"/>
    <w:rsid w:val="00044356"/>
    <w:rsid w:val="00044BE2"/>
    <w:rsid w:val="00044D1E"/>
    <w:rsid w:val="00044D22"/>
    <w:rsid w:val="0004507B"/>
    <w:rsid w:val="000450DD"/>
    <w:rsid w:val="0004542E"/>
    <w:rsid w:val="0004550A"/>
    <w:rsid w:val="00045857"/>
    <w:rsid w:val="00045892"/>
    <w:rsid w:val="00045B3E"/>
    <w:rsid w:val="00045B40"/>
    <w:rsid w:val="0004615C"/>
    <w:rsid w:val="00046170"/>
    <w:rsid w:val="000465BB"/>
    <w:rsid w:val="000466DF"/>
    <w:rsid w:val="00046710"/>
    <w:rsid w:val="00046966"/>
    <w:rsid w:val="00046B1C"/>
    <w:rsid w:val="00046C2E"/>
    <w:rsid w:val="00046D3C"/>
    <w:rsid w:val="00046FDE"/>
    <w:rsid w:val="0004738C"/>
    <w:rsid w:val="000475AF"/>
    <w:rsid w:val="0004787A"/>
    <w:rsid w:val="00047A8D"/>
    <w:rsid w:val="00047BCB"/>
    <w:rsid w:val="00047C16"/>
    <w:rsid w:val="00047E93"/>
    <w:rsid w:val="00050022"/>
    <w:rsid w:val="000503B4"/>
    <w:rsid w:val="00050485"/>
    <w:rsid w:val="00050623"/>
    <w:rsid w:val="0005075A"/>
    <w:rsid w:val="0005080E"/>
    <w:rsid w:val="00050F7E"/>
    <w:rsid w:val="0005145F"/>
    <w:rsid w:val="00051C50"/>
    <w:rsid w:val="00051CE1"/>
    <w:rsid w:val="00051FEE"/>
    <w:rsid w:val="00052044"/>
    <w:rsid w:val="000523F8"/>
    <w:rsid w:val="0005270E"/>
    <w:rsid w:val="00052800"/>
    <w:rsid w:val="00052D8B"/>
    <w:rsid w:val="00052EDC"/>
    <w:rsid w:val="000530DE"/>
    <w:rsid w:val="00053112"/>
    <w:rsid w:val="00053424"/>
    <w:rsid w:val="00053636"/>
    <w:rsid w:val="00053680"/>
    <w:rsid w:val="00053A86"/>
    <w:rsid w:val="00053AB7"/>
    <w:rsid w:val="00054361"/>
    <w:rsid w:val="000549E8"/>
    <w:rsid w:val="00054A79"/>
    <w:rsid w:val="00054CDF"/>
    <w:rsid w:val="00054E59"/>
    <w:rsid w:val="00054E7A"/>
    <w:rsid w:val="0005514C"/>
    <w:rsid w:val="00055B4F"/>
    <w:rsid w:val="00055D82"/>
    <w:rsid w:val="000561FF"/>
    <w:rsid w:val="000562D6"/>
    <w:rsid w:val="00056460"/>
    <w:rsid w:val="0005697A"/>
    <w:rsid w:val="00057363"/>
    <w:rsid w:val="00057474"/>
    <w:rsid w:val="00057515"/>
    <w:rsid w:val="00057633"/>
    <w:rsid w:val="0005765C"/>
    <w:rsid w:val="000577C5"/>
    <w:rsid w:val="00057C79"/>
    <w:rsid w:val="00057C81"/>
    <w:rsid w:val="00057D7F"/>
    <w:rsid w:val="00060944"/>
    <w:rsid w:val="000609C5"/>
    <w:rsid w:val="00060C53"/>
    <w:rsid w:val="00060FB6"/>
    <w:rsid w:val="00061614"/>
    <w:rsid w:val="0006189B"/>
    <w:rsid w:val="00061AEB"/>
    <w:rsid w:val="00062013"/>
    <w:rsid w:val="00062151"/>
    <w:rsid w:val="00062159"/>
    <w:rsid w:val="00062E5B"/>
    <w:rsid w:val="00062E95"/>
    <w:rsid w:val="00063216"/>
    <w:rsid w:val="00063301"/>
    <w:rsid w:val="0006351C"/>
    <w:rsid w:val="000637CD"/>
    <w:rsid w:val="00063C21"/>
    <w:rsid w:val="00063FA4"/>
    <w:rsid w:val="00063FDE"/>
    <w:rsid w:val="0006418F"/>
    <w:rsid w:val="000647BC"/>
    <w:rsid w:val="000649D7"/>
    <w:rsid w:val="00064E5D"/>
    <w:rsid w:val="00065464"/>
    <w:rsid w:val="00065C49"/>
    <w:rsid w:val="00066233"/>
    <w:rsid w:val="000665BE"/>
    <w:rsid w:val="00066CD6"/>
    <w:rsid w:val="00066DBF"/>
    <w:rsid w:val="00067032"/>
    <w:rsid w:val="000670DD"/>
    <w:rsid w:val="000673D3"/>
    <w:rsid w:val="00067424"/>
    <w:rsid w:val="0006751B"/>
    <w:rsid w:val="00067719"/>
    <w:rsid w:val="000678F8"/>
    <w:rsid w:val="00067EF7"/>
    <w:rsid w:val="0007132C"/>
    <w:rsid w:val="000713D6"/>
    <w:rsid w:val="0007178D"/>
    <w:rsid w:val="00071838"/>
    <w:rsid w:val="000718C8"/>
    <w:rsid w:val="00071A57"/>
    <w:rsid w:val="00071F7B"/>
    <w:rsid w:val="00071FFB"/>
    <w:rsid w:val="0007219B"/>
    <w:rsid w:val="0007283C"/>
    <w:rsid w:val="00072A3E"/>
    <w:rsid w:val="00072A61"/>
    <w:rsid w:val="00072A8D"/>
    <w:rsid w:val="00072B04"/>
    <w:rsid w:val="00072CB6"/>
    <w:rsid w:val="00072CD6"/>
    <w:rsid w:val="00072D59"/>
    <w:rsid w:val="00072F23"/>
    <w:rsid w:val="000733A3"/>
    <w:rsid w:val="00073417"/>
    <w:rsid w:val="00073666"/>
    <w:rsid w:val="00073B25"/>
    <w:rsid w:val="00073C03"/>
    <w:rsid w:val="00073CE4"/>
    <w:rsid w:val="00073E92"/>
    <w:rsid w:val="000747B6"/>
    <w:rsid w:val="00074B3A"/>
    <w:rsid w:val="00074C90"/>
    <w:rsid w:val="00074E96"/>
    <w:rsid w:val="00075132"/>
    <w:rsid w:val="000757A5"/>
    <w:rsid w:val="000759F5"/>
    <w:rsid w:val="00075A67"/>
    <w:rsid w:val="00075C81"/>
    <w:rsid w:val="000762AF"/>
    <w:rsid w:val="0007648C"/>
    <w:rsid w:val="000765BE"/>
    <w:rsid w:val="00076963"/>
    <w:rsid w:val="000774DB"/>
    <w:rsid w:val="0007787F"/>
    <w:rsid w:val="00077969"/>
    <w:rsid w:val="00077D6D"/>
    <w:rsid w:val="00077E33"/>
    <w:rsid w:val="00080258"/>
    <w:rsid w:val="00080C4E"/>
    <w:rsid w:val="00080E29"/>
    <w:rsid w:val="000814DD"/>
    <w:rsid w:val="00081695"/>
    <w:rsid w:val="00081AFC"/>
    <w:rsid w:val="00081B2F"/>
    <w:rsid w:val="00081F62"/>
    <w:rsid w:val="00081F89"/>
    <w:rsid w:val="00081FF7"/>
    <w:rsid w:val="00082717"/>
    <w:rsid w:val="00082896"/>
    <w:rsid w:val="00082B43"/>
    <w:rsid w:val="0008353A"/>
    <w:rsid w:val="00083555"/>
    <w:rsid w:val="0008376F"/>
    <w:rsid w:val="00083C08"/>
    <w:rsid w:val="00084149"/>
    <w:rsid w:val="00084385"/>
    <w:rsid w:val="000843E6"/>
    <w:rsid w:val="00084428"/>
    <w:rsid w:val="00084534"/>
    <w:rsid w:val="00084622"/>
    <w:rsid w:val="000848D0"/>
    <w:rsid w:val="00084C47"/>
    <w:rsid w:val="00084D9C"/>
    <w:rsid w:val="000854AD"/>
    <w:rsid w:val="000857E0"/>
    <w:rsid w:val="000860A9"/>
    <w:rsid w:val="000862F6"/>
    <w:rsid w:val="00086690"/>
    <w:rsid w:val="00086B5F"/>
    <w:rsid w:val="00086E4A"/>
    <w:rsid w:val="000874D4"/>
    <w:rsid w:val="000876E4"/>
    <w:rsid w:val="00087BA6"/>
    <w:rsid w:val="00087E38"/>
    <w:rsid w:val="00087EDC"/>
    <w:rsid w:val="00087FD7"/>
    <w:rsid w:val="000906FC"/>
    <w:rsid w:val="0009078A"/>
    <w:rsid w:val="00090CDB"/>
    <w:rsid w:val="00090E1D"/>
    <w:rsid w:val="00090E8A"/>
    <w:rsid w:val="000910C3"/>
    <w:rsid w:val="0009120E"/>
    <w:rsid w:val="00091456"/>
    <w:rsid w:val="0009154A"/>
    <w:rsid w:val="0009165E"/>
    <w:rsid w:val="00091A54"/>
    <w:rsid w:val="00091D2F"/>
    <w:rsid w:val="00091DC1"/>
    <w:rsid w:val="00092025"/>
    <w:rsid w:val="00092155"/>
    <w:rsid w:val="0009287B"/>
    <w:rsid w:val="00092A20"/>
    <w:rsid w:val="00092D31"/>
    <w:rsid w:val="00092E4A"/>
    <w:rsid w:val="00092EE8"/>
    <w:rsid w:val="0009309C"/>
    <w:rsid w:val="00093137"/>
    <w:rsid w:val="000933AC"/>
    <w:rsid w:val="000934F2"/>
    <w:rsid w:val="00093ACD"/>
    <w:rsid w:val="0009405F"/>
    <w:rsid w:val="00094280"/>
    <w:rsid w:val="00094491"/>
    <w:rsid w:val="00094604"/>
    <w:rsid w:val="00094924"/>
    <w:rsid w:val="000949A6"/>
    <w:rsid w:val="00094AA4"/>
    <w:rsid w:val="00094C40"/>
    <w:rsid w:val="00094D37"/>
    <w:rsid w:val="00094FF4"/>
    <w:rsid w:val="0009502C"/>
    <w:rsid w:val="00095372"/>
    <w:rsid w:val="00095CE1"/>
    <w:rsid w:val="00095EB4"/>
    <w:rsid w:val="000966DB"/>
    <w:rsid w:val="000966E1"/>
    <w:rsid w:val="00096930"/>
    <w:rsid w:val="00096C32"/>
    <w:rsid w:val="00097151"/>
    <w:rsid w:val="00097563"/>
    <w:rsid w:val="000975ED"/>
    <w:rsid w:val="000A0393"/>
    <w:rsid w:val="000A0B12"/>
    <w:rsid w:val="000A0C34"/>
    <w:rsid w:val="000A0E07"/>
    <w:rsid w:val="000A0F4A"/>
    <w:rsid w:val="000A1783"/>
    <w:rsid w:val="000A17BE"/>
    <w:rsid w:val="000A1995"/>
    <w:rsid w:val="000A1B7F"/>
    <w:rsid w:val="000A1C7E"/>
    <w:rsid w:val="000A1FFA"/>
    <w:rsid w:val="000A22E1"/>
    <w:rsid w:val="000A2603"/>
    <w:rsid w:val="000A27B5"/>
    <w:rsid w:val="000A29B2"/>
    <w:rsid w:val="000A2A8A"/>
    <w:rsid w:val="000A2C7E"/>
    <w:rsid w:val="000A32DA"/>
    <w:rsid w:val="000A35A2"/>
    <w:rsid w:val="000A39DC"/>
    <w:rsid w:val="000A3C97"/>
    <w:rsid w:val="000A3D6A"/>
    <w:rsid w:val="000A3DDD"/>
    <w:rsid w:val="000A3F9D"/>
    <w:rsid w:val="000A4521"/>
    <w:rsid w:val="000A4918"/>
    <w:rsid w:val="000A4DA1"/>
    <w:rsid w:val="000A55C4"/>
    <w:rsid w:val="000A5666"/>
    <w:rsid w:val="000A5B1D"/>
    <w:rsid w:val="000A5C4C"/>
    <w:rsid w:val="000A5DBB"/>
    <w:rsid w:val="000A6385"/>
    <w:rsid w:val="000A64F6"/>
    <w:rsid w:val="000A675A"/>
    <w:rsid w:val="000A6AE2"/>
    <w:rsid w:val="000A6C05"/>
    <w:rsid w:val="000A6D01"/>
    <w:rsid w:val="000A76F5"/>
    <w:rsid w:val="000A7BC5"/>
    <w:rsid w:val="000A7CC7"/>
    <w:rsid w:val="000B0031"/>
    <w:rsid w:val="000B0421"/>
    <w:rsid w:val="000B0579"/>
    <w:rsid w:val="000B0832"/>
    <w:rsid w:val="000B09C2"/>
    <w:rsid w:val="000B0BAE"/>
    <w:rsid w:val="000B0EA3"/>
    <w:rsid w:val="000B0F20"/>
    <w:rsid w:val="000B0F33"/>
    <w:rsid w:val="000B11EA"/>
    <w:rsid w:val="000B1568"/>
    <w:rsid w:val="000B1642"/>
    <w:rsid w:val="000B1D31"/>
    <w:rsid w:val="000B243C"/>
    <w:rsid w:val="000B284B"/>
    <w:rsid w:val="000B28EE"/>
    <w:rsid w:val="000B32BE"/>
    <w:rsid w:val="000B341A"/>
    <w:rsid w:val="000B3B22"/>
    <w:rsid w:val="000B3DEF"/>
    <w:rsid w:val="000B4391"/>
    <w:rsid w:val="000B4693"/>
    <w:rsid w:val="000B499C"/>
    <w:rsid w:val="000B4B30"/>
    <w:rsid w:val="000B4B5F"/>
    <w:rsid w:val="000B513F"/>
    <w:rsid w:val="000B53F7"/>
    <w:rsid w:val="000B5981"/>
    <w:rsid w:val="000B5C99"/>
    <w:rsid w:val="000B5F90"/>
    <w:rsid w:val="000B65FD"/>
    <w:rsid w:val="000B6671"/>
    <w:rsid w:val="000B69D8"/>
    <w:rsid w:val="000B6C99"/>
    <w:rsid w:val="000B6D7A"/>
    <w:rsid w:val="000B74B6"/>
    <w:rsid w:val="000B78A1"/>
    <w:rsid w:val="000B7B12"/>
    <w:rsid w:val="000B7E7C"/>
    <w:rsid w:val="000C06C0"/>
    <w:rsid w:val="000C09E4"/>
    <w:rsid w:val="000C0BB1"/>
    <w:rsid w:val="000C1522"/>
    <w:rsid w:val="000C1619"/>
    <w:rsid w:val="000C1680"/>
    <w:rsid w:val="000C1C20"/>
    <w:rsid w:val="000C26B9"/>
    <w:rsid w:val="000C36F6"/>
    <w:rsid w:val="000C379F"/>
    <w:rsid w:val="000C3A77"/>
    <w:rsid w:val="000C40C9"/>
    <w:rsid w:val="000C427B"/>
    <w:rsid w:val="000C44FB"/>
    <w:rsid w:val="000C4621"/>
    <w:rsid w:val="000C478D"/>
    <w:rsid w:val="000C4815"/>
    <w:rsid w:val="000C4B61"/>
    <w:rsid w:val="000C4FB8"/>
    <w:rsid w:val="000C506A"/>
    <w:rsid w:val="000C5873"/>
    <w:rsid w:val="000C5FCD"/>
    <w:rsid w:val="000C6050"/>
    <w:rsid w:val="000C6142"/>
    <w:rsid w:val="000C648E"/>
    <w:rsid w:val="000C68F1"/>
    <w:rsid w:val="000C6993"/>
    <w:rsid w:val="000C6A0C"/>
    <w:rsid w:val="000C6C19"/>
    <w:rsid w:val="000C7688"/>
    <w:rsid w:val="000C79AC"/>
    <w:rsid w:val="000C7C32"/>
    <w:rsid w:val="000C7D67"/>
    <w:rsid w:val="000C7ECC"/>
    <w:rsid w:val="000D0085"/>
    <w:rsid w:val="000D0490"/>
    <w:rsid w:val="000D0491"/>
    <w:rsid w:val="000D04BE"/>
    <w:rsid w:val="000D0652"/>
    <w:rsid w:val="000D0980"/>
    <w:rsid w:val="000D0A3C"/>
    <w:rsid w:val="000D0A80"/>
    <w:rsid w:val="000D0CC2"/>
    <w:rsid w:val="000D0EBE"/>
    <w:rsid w:val="000D13FA"/>
    <w:rsid w:val="000D19BB"/>
    <w:rsid w:val="000D1CA9"/>
    <w:rsid w:val="000D20CC"/>
    <w:rsid w:val="000D2150"/>
    <w:rsid w:val="000D2224"/>
    <w:rsid w:val="000D23B3"/>
    <w:rsid w:val="000D23C9"/>
    <w:rsid w:val="000D2729"/>
    <w:rsid w:val="000D2897"/>
    <w:rsid w:val="000D28C3"/>
    <w:rsid w:val="000D2DE3"/>
    <w:rsid w:val="000D32EA"/>
    <w:rsid w:val="000D4007"/>
    <w:rsid w:val="000D44E6"/>
    <w:rsid w:val="000D49B0"/>
    <w:rsid w:val="000D4A85"/>
    <w:rsid w:val="000D4D63"/>
    <w:rsid w:val="000D5245"/>
    <w:rsid w:val="000D536F"/>
    <w:rsid w:val="000D54A2"/>
    <w:rsid w:val="000D56BC"/>
    <w:rsid w:val="000D595E"/>
    <w:rsid w:val="000D5C17"/>
    <w:rsid w:val="000D6135"/>
    <w:rsid w:val="000D658D"/>
    <w:rsid w:val="000D6B17"/>
    <w:rsid w:val="000D6DDC"/>
    <w:rsid w:val="000D6F59"/>
    <w:rsid w:val="000D737F"/>
    <w:rsid w:val="000D75E4"/>
    <w:rsid w:val="000D7D65"/>
    <w:rsid w:val="000E02B2"/>
    <w:rsid w:val="000E033E"/>
    <w:rsid w:val="000E059A"/>
    <w:rsid w:val="000E06F5"/>
    <w:rsid w:val="000E0A91"/>
    <w:rsid w:val="000E0AEE"/>
    <w:rsid w:val="000E1703"/>
    <w:rsid w:val="000E1F81"/>
    <w:rsid w:val="000E20D6"/>
    <w:rsid w:val="000E2479"/>
    <w:rsid w:val="000E25C0"/>
    <w:rsid w:val="000E26E5"/>
    <w:rsid w:val="000E2732"/>
    <w:rsid w:val="000E28C8"/>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5AA4"/>
    <w:rsid w:val="000E6431"/>
    <w:rsid w:val="000E6CC0"/>
    <w:rsid w:val="000E6ED7"/>
    <w:rsid w:val="000E6FE7"/>
    <w:rsid w:val="000E747A"/>
    <w:rsid w:val="000F0351"/>
    <w:rsid w:val="000F09B7"/>
    <w:rsid w:val="000F09F6"/>
    <w:rsid w:val="000F1013"/>
    <w:rsid w:val="000F12BC"/>
    <w:rsid w:val="000F1623"/>
    <w:rsid w:val="000F1B31"/>
    <w:rsid w:val="000F2164"/>
    <w:rsid w:val="000F2ABD"/>
    <w:rsid w:val="000F2D1C"/>
    <w:rsid w:val="000F31CF"/>
    <w:rsid w:val="000F3368"/>
    <w:rsid w:val="000F34F4"/>
    <w:rsid w:val="000F38F0"/>
    <w:rsid w:val="000F3E47"/>
    <w:rsid w:val="000F42C8"/>
    <w:rsid w:val="000F43EA"/>
    <w:rsid w:val="000F4992"/>
    <w:rsid w:val="000F49DD"/>
    <w:rsid w:val="000F4DB2"/>
    <w:rsid w:val="000F4EFF"/>
    <w:rsid w:val="000F56D0"/>
    <w:rsid w:val="000F5B0C"/>
    <w:rsid w:val="000F5B0D"/>
    <w:rsid w:val="000F5C4C"/>
    <w:rsid w:val="000F5EE6"/>
    <w:rsid w:val="000F5F02"/>
    <w:rsid w:val="000F6325"/>
    <w:rsid w:val="000F6AF9"/>
    <w:rsid w:val="000F6C09"/>
    <w:rsid w:val="000F7190"/>
    <w:rsid w:val="000F7D62"/>
    <w:rsid w:val="000F7EFF"/>
    <w:rsid w:val="001001E3"/>
    <w:rsid w:val="0010029C"/>
    <w:rsid w:val="0010037F"/>
    <w:rsid w:val="00100401"/>
    <w:rsid w:val="001007D2"/>
    <w:rsid w:val="00101153"/>
    <w:rsid w:val="00101172"/>
    <w:rsid w:val="0010122B"/>
    <w:rsid w:val="001019B1"/>
    <w:rsid w:val="00101E63"/>
    <w:rsid w:val="00101F60"/>
    <w:rsid w:val="001025CF"/>
    <w:rsid w:val="00102718"/>
    <w:rsid w:val="0010277F"/>
    <w:rsid w:val="00102A9F"/>
    <w:rsid w:val="00102BA9"/>
    <w:rsid w:val="00102F3D"/>
    <w:rsid w:val="00103A26"/>
    <w:rsid w:val="00104438"/>
    <w:rsid w:val="00104700"/>
    <w:rsid w:val="00104854"/>
    <w:rsid w:val="001048A0"/>
    <w:rsid w:val="00104985"/>
    <w:rsid w:val="00104BB9"/>
    <w:rsid w:val="00104C48"/>
    <w:rsid w:val="00104F25"/>
    <w:rsid w:val="001051B2"/>
    <w:rsid w:val="00105243"/>
    <w:rsid w:val="001052E5"/>
    <w:rsid w:val="00105830"/>
    <w:rsid w:val="00105B8D"/>
    <w:rsid w:val="00105E61"/>
    <w:rsid w:val="00105F41"/>
    <w:rsid w:val="00106047"/>
    <w:rsid w:val="00106956"/>
    <w:rsid w:val="00106ADA"/>
    <w:rsid w:val="00106EB5"/>
    <w:rsid w:val="00107171"/>
    <w:rsid w:val="00107332"/>
    <w:rsid w:val="00107D57"/>
    <w:rsid w:val="00110652"/>
    <w:rsid w:val="0011065C"/>
    <w:rsid w:val="00110747"/>
    <w:rsid w:val="00110980"/>
    <w:rsid w:val="00110E08"/>
    <w:rsid w:val="001110B5"/>
    <w:rsid w:val="001111D4"/>
    <w:rsid w:val="0011131B"/>
    <w:rsid w:val="0011157D"/>
    <w:rsid w:val="001119F6"/>
    <w:rsid w:val="00111AE6"/>
    <w:rsid w:val="00111BB9"/>
    <w:rsid w:val="001120EC"/>
    <w:rsid w:val="00112240"/>
    <w:rsid w:val="00112271"/>
    <w:rsid w:val="00112381"/>
    <w:rsid w:val="001124FF"/>
    <w:rsid w:val="00112565"/>
    <w:rsid w:val="00112F01"/>
    <w:rsid w:val="001132E5"/>
    <w:rsid w:val="00113847"/>
    <w:rsid w:val="001138FA"/>
    <w:rsid w:val="00113C44"/>
    <w:rsid w:val="00114FD9"/>
    <w:rsid w:val="00115772"/>
    <w:rsid w:val="00115944"/>
    <w:rsid w:val="00115B04"/>
    <w:rsid w:val="00115BA3"/>
    <w:rsid w:val="00115CB3"/>
    <w:rsid w:val="00115DF5"/>
    <w:rsid w:val="001163A8"/>
    <w:rsid w:val="00116979"/>
    <w:rsid w:val="00116D6F"/>
    <w:rsid w:val="00116E16"/>
    <w:rsid w:val="0011766F"/>
    <w:rsid w:val="001176DE"/>
    <w:rsid w:val="001177A4"/>
    <w:rsid w:val="00117807"/>
    <w:rsid w:val="00117BCC"/>
    <w:rsid w:val="00117F63"/>
    <w:rsid w:val="00120389"/>
    <w:rsid w:val="0012154A"/>
    <w:rsid w:val="00121767"/>
    <w:rsid w:val="001219D5"/>
    <w:rsid w:val="00121BEE"/>
    <w:rsid w:val="00121E48"/>
    <w:rsid w:val="00121FC0"/>
    <w:rsid w:val="00122204"/>
    <w:rsid w:val="001222E7"/>
    <w:rsid w:val="001223F7"/>
    <w:rsid w:val="00122789"/>
    <w:rsid w:val="001228D5"/>
    <w:rsid w:val="00122AF8"/>
    <w:rsid w:val="00122ECA"/>
    <w:rsid w:val="00123081"/>
    <w:rsid w:val="00123270"/>
    <w:rsid w:val="00123544"/>
    <w:rsid w:val="00123680"/>
    <w:rsid w:val="001239DB"/>
    <w:rsid w:val="00123D0C"/>
    <w:rsid w:val="00123D9F"/>
    <w:rsid w:val="00124031"/>
    <w:rsid w:val="00124251"/>
    <w:rsid w:val="00124303"/>
    <w:rsid w:val="00124B8F"/>
    <w:rsid w:val="00124D58"/>
    <w:rsid w:val="00124D59"/>
    <w:rsid w:val="00124DBF"/>
    <w:rsid w:val="001251CA"/>
    <w:rsid w:val="001252FB"/>
    <w:rsid w:val="001254C7"/>
    <w:rsid w:val="0012571C"/>
    <w:rsid w:val="001258C8"/>
    <w:rsid w:val="00125914"/>
    <w:rsid w:val="00125985"/>
    <w:rsid w:val="00125B11"/>
    <w:rsid w:val="00125D8C"/>
    <w:rsid w:val="00125E2C"/>
    <w:rsid w:val="00126033"/>
    <w:rsid w:val="00126194"/>
    <w:rsid w:val="00126216"/>
    <w:rsid w:val="001266D3"/>
    <w:rsid w:val="001268A6"/>
    <w:rsid w:val="00126B82"/>
    <w:rsid w:val="00126F2A"/>
    <w:rsid w:val="00127301"/>
    <w:rsid w:val="001276CB"/>
    <w:rsid w:val="00127829"/>
    <w:rsid w:val="001279FF"/>
    <w:rsid w:val="00130444"/>
    <w:rsid w:val="001304E3"/>
    <w:rsid w:val="00130DE8"/>
    <w:rsid w:val="00130E43"/>
    <w:rsid w:val="00130F17"/>
    <w:rsid w:val="00131330"/>
    <w:rsid w:val="001314FD"/>
    <w:rsid w:val="00131754"/>
    <w:rsid w:val="00131A24"/>
    <w:rsid w:val="00131CF6"/>
    <w:rsid w:val="00131DBF"/>
    <w:rsid w:val="0013207D"/>
    <w:rsid w:val="001320E5"/>
    <w:rsid w:val="0013213A"/>
    <w:rsid w:val="00132D62"/>
    <w:rsid w:val="00132D63"/>
    <w:rsid w:val="00132EBB"/>
    <w:rsid w:val="00133134"/>
    <w:rsid w:val="00133205"/>
    <w:rsid w:val="00133488"/>
    <w:rsid w:val="00133607"/>
    <w:rsid w:val="00133739"/>
    <w:rsid w:val="00133A6C"/>
    <w:rsid w:val="00133B8B"/>
    <w:rsid w:val="001343CC"/>
    <w:rsid w:val="00134753"/>
    <w:rsid w:val="001348BD"/>
    <w:rsid w:val="00134B92"/>
    <w:rsid w:val="00134CB0"/>
    <w:rsid w:val="00134D43"/>
    <w:rsid w:val="00134D59"/>
    <w:rsid w:val="00134EB2"/>
    <w:rsid w:val="00134FF4"/>
    <w:rsid w:val="0013507E"/>
    <w:rsid w:val="00135224"/>
    <w:rsid w:val="001357A5"/>
    <w:rsid w:val="00135916"/>
    <w:rsid w:val="0013591A"/>
    <w:rsid w:val="00135E2D"/>
    <w:rsid w:val="0013613D"/>
    <w:rsid w:val="00136426"/>
    <w:rsid w:val="00136888"/>
    <w:rsid w:val="00136DEF"/>
    <w:rsid w:val="00136F2F"/>
    <w:rsid w:val="00136FAE"/>
    <w:rsid w:val="00137BA5"/>
    <w:rsid w:val="00137C3C"/>
    <w:rsid w:val="001402AC"/>
    <w:rsid w:val="00140322"/>
    <w:rsid w:val="0014043F"/>
    <w:rsid w:val="00140A29"/>
    <w:rsid w:val="00140CE0"/>
    <w:rsid w:val="00140E0D"/>
    <w:rsid w:val="00141165"/>
    <w:rsid w:val="00141495"/>
    <w:rsid w:val="001416DB"/>
    <w:rsid w:val="00141A7B"/>
    <w:rsid w:val="00141A8D"/>
    <w:rsid w:val="00141AED"/>
    <w:rsid w:val="00141B0F"/>
    <w:rsid w:val="00141B61"/>
    <w:rsid w:val="00141C69"/>
    <w:rsid w:val="00141CAC"/>
    <w:rsid w:val="00141E65"/>
    <w:rsid w:val="001423D7"/>
    <w:rsid w:val="001424E4"/>
    <w:rsid w:val="00142601"/>
    <w:rsid w:val="00142960"/>
    <w:rsid w:val="00142A5B"/>
    <w:rsid w:val="00142B0D"/>
    <w:rsid w:val="00142EC5"/>
    <w:rsid w:val="00142FB5"/>
    <w:rsid w:val="00142FC2"/>
    <w:rsid w:val="001432CF"/>
    <w:rsid w:val="001433EE"/>
    <w:rsid w:val="00143439"/>
    <w:rsid w:val="0014364C"/>
    <w:rsid w:val="00143D94"/>
    <w:rsid w:val="00144135"/>
    <w:rsid w:val="00144756"/>
    <w:rsid w:val="0014479F"/>
    <w:rsid w:val="00145520"/>
    <w:rsid w:val="00145746"/>
    <w:rsid w:val="00145987"/>
    <w:rsid w:val="00145ED2"/>
    <w:rsid w:val="00145FDE"/>
    <w:rsid w:val="00146239"/>
    <w:rsid w:val="00146268"/>
    <w:rsid w:val="00146383"/>
    <w:rsid w:val="00146DF8"/>
    <w:rsid w:val="00147315"/>
    <w:rsid w:val="001476EB"/>
    <w:rsid w:val="00147A9E"/>
    <w:rsid w:val="00147EDE"/>
    <w:rsid w:val="00147FC0"/>
    <w:rsid w:val="001504AD"/>
    <w:rsid w:val="00150A62"/>
    <w:rsid w:val="00150A78"/>
    <w:rsid w:val="001517B1"/>
    <w:rsid w:val="00151C5E"/>
    <w:rsid w:val="00151DF1"/>
    <w:rsid w:val="001525D3"/>
    <w:rsid w:val="001526AC"/>
    <w:rsid w:val="0015283F"/>
    <w:rsid w:val="001528B5"/>
    <w:rsid w:val="00152909"/>
    <w:rsid w:val="00152938"/>
    <w:rsid w:val="00152B8D"/>
    <w:rsid w:val="001536D3"/>
    <w:rsid w:val="001538DE"/>
    <w:rsid w:val="001538F3"/>
    <w:rsid w:val="00153D90"/>
    <w:rsid w:val="0015403D"/>
    <w:rsid w:val="0015455D"/>
    <w:rsid w:val="00154603"/>
    <w:rsid w:val="001546AC"/>
    <w:rsid w:val="001548CE"/>
    <w:rsid w:val="001549AF"/>
    <w:rsid w:val="001549D2"/>
    <w:rsid w:val="00154A22"/>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6092D"/>
    <w:rsid w:val="00160A6E"/>
    <w:rsid w:val="00160D62"/>
    <w:rsid w:val="00161486"/>
    <w:rsid w:val="00161B05"/>
    <w:rsid w:val="001620C5"/>
    <w:rsid w:val="00162127"/>
    <w:rsid w:val="0016215B"/>
    <w:rsid w:val="00163C08"/>
    <w:rsid w:val="00163D36"/>
    <w:rsid w:val="00163DB0"/>
    <w:rsid w:val="00163FE3"/>
    <w:rsid w:val="001644D5"/>
    <w:rsid w:val="00164AF2"/>
    <w:rsid w:val="00165BFD"/>
    <w:rsid w:val="00165ECA"/>
    <w:rsid w:val="001662A4"/>
    <w:rsid w:val="0016698B"/>
    <w:rsid w:val="00166B76"/>
    <w:rsid w:val="001671CA"/>
    <w:rsid w:val="0016726A"/>
    <w:rsid w:val="001673C9"/>
    <w:rsid w:val="00167648"/>
    <w:rsid w:val="00167711"/>
    <w:rsid w:val="001677B4"/>
    <w:rsid w:val="001679A7"/>
    <w:rsid w:val="00167AED"/>
    <w:rsid w:val="00167EA3"/>
    <w:rsid w:val="00170214"/>
    <w:rsid w:val="0017048E"/>
    <w:rsid w:val="00170B06"/>
    <w:rsid w:val="00170B14"/>
    <w:rsid w:val="00170C91"/>
    <w:rsid w:val="001722FA"/>
    <w:rsid w:val="00172942"/>
    <w:rsid w:val="00172FF3"/>
    <w:rsid w:val="001737FD"/>
    <w:rsid w:val="00173856"/>
    <w:rsid w:val="0017413D"/>
    <w:rsid w:val="001741CF"/>
    <w:rsid w:val="001748A6"/>
    <w:rsid w:val="00174F63"/>
    <w:rsid w:val="00174F9F"/>
    <w:rsid w:val="00175058"/>
    <w:rsid w:val="00175339"/>
    <w:rsid w:val="00175365"/>
    <w:rsid w:val="001754FE"/>
    <w:rsid w:val="0017559C"/>
    <w:rsid w:val="00175C8A"/>
    <w:rsid w:val="00176247"/>
    <w:rsid w:val="00176500"/>
    <w:rsid w:val="0017689F"/>
    <w:rsid w:val="00177033"/>
    <w:rsid w:val="0017737D"/>
    <w:rsid w:val="0017746A"/>
    <w:rsid w:val="0018003E"/>
    <w:rsid w:val="00180800"/>
    <w:rsid w:val="00180932"/>
    <w:rsid w:val="00180AE8"/>
    <w:rsid w:val="00180C2C"/>
    <w:rsid w:val="00180F90"/>
    <w:rsid w:val="001813C7"/>
    <w:rsid w:val="001815B3"/>
    <w:rsid w:val="001819CC"/>
    <w:rsid w:val="00181E9E"/>
    <w:rsid w:val="00181EF7"/>
    <w:rsid w:val="00181F57"/>
    <w:rsid w:val="0018204B"/>
    <w:rsid w:val="001820E7"/>
    <w:rsid w:val="00182149"/>
    <w:rsid w:val="001821DE"/>
    <w:rsid w:val="0018229A"/>
    <w:rsid w:val="0018273C"/>
    <w:rsid w:val="001827ED"/>
    <w:rsid w:val="0018328A"/>
    <w:rsid w:val="001836B2"/>
    <w:rsid w:val="00183FFF"/>
    <w:rsid w:val="00184779"/>
    <w:rsid w:val="0018482E"/>
    <w:rsid w:val="00184969"/>
    <w:rsid w:val="001853F6"/>
    <w:rsid w:val="00185741"/>
    <w:rsid w:val="00185CD7"/>
    <w:rsid w:val="00185DE2"/>
    <w:rsid w:val="00185FA2"/>
    <w:rsid w:val="00186417"/>
    <w:rsid w:val="0018692B"/>
    <w:rsid w:val="00186BFE"/>
    <w:rsid w:val="0018722F"/>
    <w:rsid w:val="001873A7"/>
    <w:rsid w:val="001873F5"/>
    <w:rsid w:val="001874E6"/>
    <w:rsid w:val="001876E9"/>
    <w:rsid w:val="00187991"/>
    <w:rsid w:val="00187C17"/>
    <w:rsid w:val="00187ECB"/>
    <w:rsid w:val="00187FD8"/>
    <w:rsid w:val="00190221"/>
    <w:rsid w:val="0019042F"/>
    <w:rsid w:val="001906D3"/>
    <w:rsid w:val="0019072E"/>
    <w:rsid w:val="001913B1"/>
    <w:rsid w:val="00191605"/>
    <w:rsid w:val="00191A92"/>
    <w:rsid w:val="00191BAF"/>
    <w:rsid w:val="00191DF8"/>
    <w:rsid w:val="00191F77"/>
    <w:rsid w:val="00192290"/>
    <w:rsid w:val="00192360"/>
    <w:rsid w:val="0019243E"/>
    <w:rsid w:val="001927E6"/>
    <w:rsid w:val="001927F6"/>
    <w:rsid w:val="00192B1C"/>
    <w:rsid w:val="00192B59"/>
    <w:rsid w:val="00192D75"/>
    <w:rsid w:val="001932CF"/>
    <w:rsid w:val="001935B1"/>
    <w:rsid w:val="00193626"/>
    <w:rsid w:val="001938D6"/>
    <w:rsid w:val="00193D4A"/>
    <w:rsid w:val="00193E3A"/>
    <w:rsid w:val="00193F1C"/>
    <w:rsid w:val="001943DE"/>
    <w:rsid w:val="00194444"/>
    <w:rsid w:val="00194606"/>
    <w:rsid w:val="00194C18"/>
    <w:rsid w:val="00194E39"/>
    <w:rsid w:val="00194E3F"/>
    <w:rsid w:val="00194ECE"/>
    <w:rsid w:val="00194F9F"/>
    <w:rsid w:val="0019509B"/>
    <w:rsid w:val="001950AB"/>
    <w:rsid w:val="001950D9"/>
    <w:rsid w:val="0019530F"/>
    <w:rsid w:val="001953B7"/>
    <w:rsid w:val="00195602"/>
    <w:rsid w:val="00195804"/>
    <w:rsid w:val="00195867"/>
    <w:rsid w:val="00195C37"/>
    <w:rsid w:val="001961A0"/>
    <w:rsid w:val="001969B9"/>
    <w:rsid w:val="0019710A"/>
    <w:rsid w:val="001973F8"/>
    <w:rsid w:val="0019743F"/>
    <w:rsid w:val="001977ED"/>
    <w:rsid w:val="00197C15"/>
    <w:rsid w:val="00197E6E"/>
    <w:rsid w:val="001A00E0"/>
    <w:rsid w:val="001A0461"/>
    <w:rsid w:val="001A0A67"/>
    <w:rsid w:val="001A0A72"/>
    <w:rsid w:val="001A10D8"/>
    <w:rsid w:val="001A125B"/>
    <w:rsid w:val="001A151C"/>
    <w:rsid w:val="001A1A69"/>
    <w:rsid w:val="001A1B61"/>
    <w:rsid w:val="001A1E75"/>
    <w:rsid w:val="001A2109"/>
    <w:rsid w:val="001A27BE"/>
    <w:rsid w:val="001A29AF"/>
    <w:rsid w:val="001A2BD4"/>
    <w:rsid w:val="001A46EA"/>
    <w:rsid w:val="001A48A8"/>
    <w:rsid w:val="001A4A15"/>
    <w:rsid w:val="001A4C7B"/>
    <w:rsid w:val="001A572B"/>
    <w:rsid w:val="001A5A28"/>
    <w:rsid w:val="001A5C82"/>
    <w:rsid w:val="001A6057"/>
    <w:rsid w:val="001A6750"/>
    <w:rsid w:val="001A677D"/>
    <w:rsid w:val="001A684C"/>
    <w:rsid w:val="001A6BEB"/>
    <w:rsid w:val="001A6E86"/>
    <w:rsid w:val="001A74BA"/>
    <w:rsid w:val="001A77F1"/>
    <w:rsid w:val="001A7AAC"/>
    <w:rsid w:val="001A7CCE"/>
    <w:rsid w:val="001B030A"/>
    <w:rsid w:val="001B0367"/>
    <w:rsid w:val="001B04B2"/>
    <w:rsid w:val="001B0C0C"/>
    <w:rsid w:val="001B11C2"/>
    <w:rsid w:val="001B1818"/>
    <w:rsid w:val="001B1999"/>
    <w:rsid w:val="001B1AF5"/>
    <w:rsid w:val="001B1DA4"/>
    <w:rsid w:val="001B236C"/>
    <w:rsid w:val="001B236E"/>
    <w:rsid w:val="001B25FA"/>
    <w:rsid w:val="001B2990"/>
    <w:rsid w:val="001B2AEF"/>
    <w:rsid w:val="001B2C14"/>
    <w:rsid w:val="001B2C6E"/>
    <w:rsid w:val="001B2F8E"/>
    <w:rsid w:val="001B3003"/>
    <w:rsid w:val="001B3082"/>
    <w:rsid w:val="001B32A1"/>
    <w:rsid w:val="001B334C"/>
    <w:rsid w:val="001B35E9"/>
    <w:rsid w:val="001B385C"/>
    <w:rsid w:val="001B38BE"/>
    <w:rsid w:val="001B40F2"/>
    <w:rsid w:val="001B4142"/>
    <w:rsid w:val="001B416C"/>
    <w:rsid w:val="001B4267"/>
    <w:rsid w:val="001B49D1"/>
    <w:rsid w:val="001B4A39"/>
    <w:rsid w:val="001B4A71"/>
    <w:rsid w:val="001B4A7B"/>
    <w:rsid w:val="001B4FC0"/>
    <w:rsid w:val="001B5A02"/>
    <w:rsid w:val="001B5C35"/>
    <w:rsid w:val="001B6187"/>
    <w:rsid w:val="001B6293"/>
    <w:rsid w:val="001B6302"/>
    <w:rsid w:val="001B6586"/>
    <w:rsid w:val="001B6A24"/>
    <w:rsid w:val="001B6AC7"/>
    <w:rsid w:val="001B6BB3"/>
    <w:rsid w:val="001B6D31"/>
    <w:rsid w:val="001B705D"/>
    <w:rsid w:val="001B7293"/>
    <w:rsid w:val="001B7369"/>
    <w:rsid w:val="001B7706"/>
    <w:rsid w:val="001B7C75"/>
    <w:rsid w:val="001B7F64"/>
    <w:rsid w:val="001C022B"/>
    <w:rsid w:val="001C0441"/>
    <w:rsid w:val="001C060C"/>
    <w:rsid w:val="001C0914"/>
    <w:rsid w:val="001C0AA3"/>
    <w:rsid w:val="001C0DDF"/>
    <w:rsid w:val="001C0EF7"/>
    <w:rsid w:val="001C10F2"/>
    <w:rsid w:val="001C1A02"/>
    <w:rsid w:val="001C1A5B"/>
    <w:rsid w:val="001C1D83"/>
    <w:rsid w:val="001C20DA"/>
    <w:rsid w:val="001C2470"/>
    <w:rsid w:val="001C24E5"/>
    <w:rsid w:val="001C2918"/>
    <w:rsid w:val="001C3310"/>
    <w:rsid w:val="001C3560"/>
    <w:rsid w:val="001C371E"/>
    <w:rsid w:val="001C383D"/>
    <w:rsid w:val="001C3DDD"/>
    <w:rsid w:val="001C3ED4"/>
    <w:rsid w:val="001C3F6B"/>
    <w:rsid w:val="001C4532"/>
    <w:rsid w:val="001C4862"/>
    <w:rsid w:val="001C490C"/>
    <w:rsid w:val="001C4BBB"/>
    <w:rsid w:val="001C4D87"/>
    <w:rsid w:val="001C4DE8"/>
    <w:rsid w:val="001C5665"/>
    <w:rsid w:val="001C5CF2"/>
    <w:rsid w:val="001C5F60"/>
    <w:rsid w:val="001C6A67"/>
    <w:rsid w:val="001C74DA"/>
    <w:rsid w:val="001C7653"/>
    <w:rsid w:val="001C7839"/>
    <w:rsid w:val="001C793C"/>
    <w:rsid w:val="001D0230"/>
    <w:rsid w:val="001D04A3"/>
    <w:rsid w:val="001D0A47"/>
    <w:rsid w:val="001D0AAE"/>
    <w:rsid w:val="001D0ED4"/>
    <w:rsid w:val="001D0F0D"/>
    <w:rsid w:val="001D0F6C"/>
    <w:rsid w:val="001D1109"/>
    <w:rsid w:val="001D1206"/>
    <w:rsid w:val="001D13EB"/>
    <w:rsid w:val="001D142B"/>
    <w:rsid w:val="001D164D"/>
    <w:rsid w:val="001D175D"/>
    <w:rsid w:val="001D17B0"/>
    <w:rsid w:val="001D17BD"/>
    <w:rsid w:val="001D1810"/>
    <w:rsid w:val="001D1AAA"/>
    <w:rsid w:val="001D1AC1"/>
    <w:rsid w:val="001D1B5D"/>
    <w:rsid w:val="001D219B"/>
    <w:rsid w:val="001D22CE"/>
    <w:rsid w:val="001D291E"/>
    <w:rsid w:val="001D2C3D"/>
    <w:rsid w:val="001D2D60"/>
    <w:rsid w:val="001D2EDC"/>
    <w:rsid w:val="001D32D1"/>
    <w:rsid w:val="001D3936"/>
    <w:rsid w:val="001D3D2E"/>
    <w:rsid w:val="001D41A6"/>
    <w:rsid w:val="001D4A80"/>
    <w:rsid w:val="001D4AC4"/>
    <w:rsid w:val="001D52D1"/>
    <w:rsid w:val="001D53AD"/>
    <w:rsid w:val="001D53C3"/>
    <w:rsid w:val="001D54FA"/>
    <w:rsid w:val="001D5813"/>
    <w:rsid w:val="001D5904"/>
    <w:rsid w:val="001D62D5"/>
    <w:rsid w:val="001D64E9"/>
    <w:rsid w:val="001D6784"/>
    <w:rsid w:val="001D69A1"/>
    <w:rsid w:val="001D6A0E"/>
    <w:rsid w:val="001D6A26"/>
    <w:rsid w:val="001D6BAA"/>
    <w:rsid w:val="001D70B4"/>
    <w:rsid w:val="001D73C2"/>
    <w:rsid w:val="001D73E1"/>
    <w:rsid w:val="001D7425"/>
    <w:rsid w:val="001D7544"/>
    <w:rsid w:val="001D7AC2"/>
    <w:rsid w:val="001E04B1"/>
    <w:rsid w:val="001E0753"/>
    <w:rsid w:val="001E0A9A"/>
    <w:rsid w:val="001E0DE6"/>
    <w:rsid w:val="001E0F2A"/>
    <w:rsid w:val="001E12D2"/>
    <w:rsid w:val="001E1B14"/>
    <w:rsid w:val="001E1D47"/>
    <w:rsid w:val="001E1F2D"/>
    <w:rsid w:val="001E1F2E"/>
    <w:rsid w:val="001E208D"/>
    <w:rsid w:val="001E22FB"/>
    <w:rsid w:val="001E2C10"/>
    <w:rsid w:val="001E3118"/>
    <w:rsid w:val="001E343C"/>
    <w:rsid w:val="001E3524"/>
    <w:rsid w:val="001E370F"/>
    <w:rsid w:val="001E3A25"/>
    <w:rsid w:val="001E3B22"/>
    <w:rsid w:val="001E3B79"/>
    <w:rsid w:val="001E4096"/>
    <w:rsid w:val="001E409E"/>
    <w:rsid w:val="001E4CF6"/>
    <w:rsid w:val="001E57AB"/>
    <w:rsid w:val="001E5A48"/>
    <w:rsid w:val="001E5BF2"/>
    <w:rsid w:val="001E61F7"/>
    <w:rsid w:val="001E64A3"/>
    <w:rsid w:val="001E6669"/>
    <w:rsid w:val="001E6802"/>
    <w:rsid w:val="001E717E"/>
    <w:rsid w:val="001E719A"/>
    <w:rsid w:val="001E7256"/>
    <w:rsid w:val="001E76B2"/>
    <w:rsid w:val="001F0455"/>
    <w:rsid w:val="001F05D2"/>
    <w:rsid w:val="001F0639"/>
    <w:rsid w:val="001F0A09"/>
    <w:rsid w:val="001F1565"/>
    <w:rsid w:val="001F1877"/>
    <w:rsid w:val="001F199C"/>
    <w:rsid w:val="001F19C2"/>
    <w:rsid w:val="001F1D0A"/>
    <w:rsid w:val="001F2772"/>
    <w:rsid w:val="001F27DC"/>
    <w:rsid w:val="001F2F49"/>
    <w:rsid w:val="001F3111"/>
    <w:rsid w:val="001F3216"/>
    <w:rsid w:val="001F3288"/>
    <w:rsid w:val="001F3410"/>
    <w:rsid w:val="001F36EF"/>
    <w:rsid w:val="001F3798"/>
    <w:rsid w:val="001F380A"/>
    <w:rsid w:val="001F3BA6"/>
    <w:rsid w:val="001F435A"/>
    <w:rsid w:val="001F4382"/>
    <w:rsid w:val="001F4424"/>
    <w:rsid w:val="001F44FE"/>
    <w:rsid w:val="001F45C5"/>
    <w:rsid w:val="001F493C"/>
    <w:rsid w:val="001F4C52"/>
    <w:rsid w:val="001F5A91"/>
    <w:rsid w:val="001F71B5"/>
    <w:rsid w:val="001F7403"/>
    <w:rsid w:val="001F75B1"/>
    <w:rsid w:val="001F75FB"/>
    <w:rsid w:val="001F7717"/>
    <w:rsid w:val="001F7A5D"/>
    <w:rsid w:val="002000CE"/>
    <w:rsid w:val="00200343"/>
    <w:rsid w:val="002003C3"/>
    <w:rsid w:val="00200B77"/>
    <w:rsid w:val="00200BAE"/>
    <w:rsid w:val="00200E90"/>
    <w:rsid w:val="00201264"/>
    <w:rsid w:val="0020140A"/>
    <w:rsid w:val="002018ED"/>
    <w:rsid w:val="00201A19"/>
    <w:rsid w:val="002023AF"/>
    <w:rsid w:val="002029C0"/>
    <w:rsid w:val="002029FA"/>
    <w:rsid w:val="00202C51"/>
    <w:rsid w:val="00203163"/>
    <w:rsid w:val="0020379C"/>
    <w:rsid w:val="00203993"/>
    <w:rsid w:val="00203B30"/>
    <w:rsid w:val="00203B57"/>
    <w:rsid w:val="00203DFC"/>
    <w:rsid w:val="0020412D"/>
    <w:rsid w:val="00204818"/>
    <w:rsid w:val="00204825"/>
    <w:rsid w:val="002048AC"/>
    <w:rsid w:val="002049F6"/>
    <w:rsid w:val="00204FE6"/>
    <w:rsid w:val="002052C1"/>
    <w:rsid w:val="00205D84"/>
    <w:rsid w:val="00205E5D"/>
    <w:rsid w:val="00205E7A"/>
    <w:rsid w:val="00205ED0"/>
    <w:rsid w:val="00206010"/>
    <w:rsid w:val="00206097"/>
    <w:rsid w:val="00206135"/>
    <w:rsid w:val="00206764"/>
    <w:rsid w:val="002067C5"/>
    <w:rsid w:val="00206C2F"/>
    <w:rsid w:val="00206CAE"/>
    <w:rsid w:val="00206FEF"/>
    <w:rsid w:val="00207052"/>
    <w:rsid w:val="00207F96"/>
    <w:rsid w:val="0021019A"/>
    <w:rsid w:val="002101DD"/>
    <w:rsid w:val="002102E2"/>
    <w:rsid w:val="00210647"/>
    <w:rsid w:val="002107CE"/>
    <w:rsid w:val="002108C6"/>
    <w:rsid w:val="00210C69"/>
    <w:rsid w:val="00210E53"/>
    <w:rsid w:val="00211A8B"/>
    <w:rsid w:val="00211AD8"/>
    <w:rsid w:val="00211D91"/>
    <w:rsid w:val="00211DAE"/>
    <w:rsid w:val="00211F65"/>
    <w:rsid w:val="002123B0"/>
    <w:rsid w:val="0021246F"/>
    <w:rsid w:val="002124B9"/>
    <w:rsid w:val="002124BC"/>
    <w:rsid w:val="0021254C"/>
    <w:rsid w:val="00212DEB"/>
    <w:rsid w:val="0021391C"/>
    <w:rsid w:val="0021400D"/>
    <w:rsid w:val="00214160"/>
    <w:rsid w:val="0021431E"/>
    <w:rsid w:val="002143E0"/>
    <w:rsid w:val="00214490"/>
    <w:rsid w:val="00214574"/>
    <w:rsid w:val="002146C9"/>
    <w:rsid w:val="002149C5"/>
    <w:rsid w:val="00214CC2"/>
    <w:rsid w:val="00214E6B"/>
    <w:rsid w:val="0021578A"/>
    <w:rsid w:val="00215AAF"/>
    <w:rsid w:val="00215B5E"/>
    <w:rsid w:val="00215D00"/>
    <w:rsid w:val="00215F34"/>
    <w:rsid w:val="00216088"/>
    <w:rsid w:val="002160B4"/>
    <w:rsid w:val="00216185"/>
    <w:rsid w:val="002161F7"/>
    <w:rsid w:val="0021632A"/>
    <w:rsid w:val="002164F3"/>
    <w:rsid w:val="00216745"/>
    <w:rsid w:val="00216B82"/>
    <w:rsid w:val="00216B8D"/>
    <w:rsid w:val="00216C08"/>
    <w:rsid w:val="002170BE"/>
    <w:rsid w:val="00217131"/>
    <w:rsid w:val="0021755F"/>
    <w:rsid w:val="00217891"/>
    <w:rsid w:val="00217A98"/>
    <w:rsid w:val="00217C7F"/>
    <w:rsid w:val="00220183"/>
    <w:rsid w:val="002202A0"/>
    <w:rsid w:val="00220521"/>
    <w:rsid w:val="002206DC"/>
    <w:rsid w:val="002207BF"/>
    <w:rsid w:val="0022087A"/>
    <w:rsid w:val="00220DB6"/>
    <w:rsid w:val="00220F02"/>
    <w:rsid w:val="00221387"/>
    <w:rsid w:val="002214F0"/>
    <w:rsid w:val="00221573"/>
    <w:rsid w:val="00221982"/>
    <w:rsid w:val="002219C2"/>
    <w:rsid w:val="00221CB9"/>
    <w:rsid w:val="00222148"/>
    <w:rsid w:val="00222201"/>
    <w:rsid w:val="00222312"/>
    <w:rsid w:val="002224AA"/>
    <w:rsid w:val="00222805"/>
    <w:rsid w:val="00222D48"/>
    <w:rsid w:val="00222D5D"/>
    <w:rsid w:val="0022346A"/>
    <w:rsid w:val="00223486"/>
    <w:rsid w:val="002236FF"/>
    <w:rsid w:val="00223F94"/>
    <w:rsid w:val="00223FBD"/>
    <w:rsid w:val="002245AC"/>
    <w:rsid w:val="00224689"/>
    <w:rsid w:val="002249BE"/>
    <w:rsid w:val="00224C31"/>
    <w:rsid w:val="00225157"/>
    <w:rsid w:val="0022548F"/>
    <w:rsid w:val="002259BF"/>
    <w:rsid w:val="002259F4"/>
    <w:rsid w:val="00225A65"/>
    <w:rsid w:val="002265C6"/>
    <w:rsid w:val="0022671A"/>
    <w:rsid w:val="00226C10"/>
    <w:rsid w:val="00226D34"/>
    <w:rsid w:val="00226F22"/>
    <w:rsid w:val="00227EBA"/>
    <w:rsid w:val="00230098"/>
    <w:rsid w:val="00230776"/>
    <w:rsid w:val="00230A0F"/>
    <w:rsid w:val="0023112C"/>
    <w:rsid w:val="002313AA"/>
    <w:rsid w:val="0023187E"/>
    <w:rsid w:val="00231A73"/>
    <w:rsid w:val="0023204A"/>
    <w:rsid w:val="002322B1"/>
    <w:rsid w:val="00232313"/>
    <w:rsid w:val="00232673"/>
    <w:rsid w:val="002327C5"/>
    <w:rsid w:val="002329F6"/>
    <w:rsid w:val="00232D7A"/>
    <w:rsid w:val="00233447"/>
    <w:rsid w:val="002334A6"/>
    <w:rsid w:val="002337F4"/>
    <w:rsid w:val="00233C39"/>
    <w:rsid w:val="00234263"/>
    <w:rsid w:val="00234A5A"/>
    <w:rsid w:val="00234BCD"/>
    <w:rsid w:val="00235155"/>
    <w:rsid w:val="002351C8"/>
    <w:rsid w:val="00235A12"/>
    <w:rsid w:val="00235B5E"/>
    <w:rsid w:val="00236826"/>
    <w:rsid w:val="0023691C"/>
    <w:rsid w:val="00236BAD"/>
    <w:rsid w:val="00236C55"/>
    <w:rsid w:val="00236E98"/>
    <w:rsid w:val="00237275"/>
    <w:rsid w:val="002374BD"/>
    <w:rsid w:val="00237614"/>
    <w:rsid w:val="00237C6C"/>
    <w:rsid w:val="0024013C"/>
    <w:rsid w:val="00241440"/>
    <w:rsid w:val="002415EE"/>
    <w:rsid w:val="00241725"/>
    <w:rsid w:val="00241809"/>
    <w:rsid w:val="002418F3"/>
    <w:rsid w:val="00241B9A"/>
    <w:rsid w:val="00241F74"/>
    <w:rsid w:val="00241F89"/>
    <w:rsid w:val="002422B6"/>
    <w:rsid w:val="0024268E"/>
    <w:rsid w:val="00242815"/>
    <w:rsid w:val="00242B56"/>
    <w:rsid w:val="00242CFF"/>
    <w:rsid w:val="002435AE"/>
    <w:rsid w:val="00244173"/>
    <w:rsid w:val="002447F2"/>
    <w:rsid w:val="002450F5"/>
    <w:rsid w:val="00245176"/>
    <w:rsid w:val="002453F7"/>
    <w:rsid w:val="00246353"/>
    <w:rsid w:val="002467D7"/>
    <w:rsid w:val="00246A0D"/>
    <w:rsid w:val="00246A96"/>
    <w:rsid w:val="00246DC5"/>
    <w:rsid w:val="00246E5A"/>
    <w:rsid w:val="002476B8"/>
    <w:rsid w:val="00247880"/>
    <w:rsid w:val="00247957"/>
    <w:rsid w:val="00247EA4"/>
    <w:rsid w:val="00250C65"/>
    <w:rsid w:val="00250E63"/>
    <w:rsid w:val="0025167F"/>
    <w:rsid w:val="002517AD"/>
    <w:rsid w:val="00251CF4"/>
    <w:rsid w:val="0025209A"/>
    <w:rsid w:val="00252180"/>
    <w:rsid w:val="002521EE"/>
    <w:rsid w:val="002522B9"/>
    <w:rsid w:val="00252367"/>
    <w:rsid w:val="00252CDA"/>
    <w:rsid w:val="002543FE"/>
    <w:rsid w:val="00254B24"/>
    <w:rsid w:val="00254F54"/>
    <w:rsid w:val="002554D9"/>
    <w:rsid w:val="0025556B"/>
    <w:rsid w:val="0025581C"/>
    <w:rsid w:val="002560A1"/>
    <w:rsid w:val="002560D1"/>
    <w:rsid w:val="00256380"/>
    <w:rsid w:val="00256A6E"/>
    <w:rsid w:val="00256BB7"/>
    <w:rsid w:val="00256FEE"/>
    <w:rsid w:val="00257213"/>
    <w:rsid w:val="0025729F"/>
    <w:rsid w:val="002579F9"/>
    <w:rsid w:val="00257AE1"/>
    <w:rsid w:val="00257B4A"/>
    <w:rsid w:val="002606A6"/>
    <w:rsid w:val="00260F1E"/>
    <w:rsid w:val="002619A4"/>
    <w:rsid w:val="00261A63"/>
    <w:rsid w:val="00261D23"/>
    <w:rsid w:val="0026237C"/>
    <w:rsid w:val="0026245C"/>
    <w:rsid w:val="0026276E"/>
    <w:rsid w:val="00262D0E"/>
    <w:rsid w:val="002635FC"/>
    <w:rsid w:val="002638F9"/>
    <w:rsid w:val="00263D7F"/>
    <w:rsid w:val="002643C9"/>
    <w:rsid w:val="0026462A"/>
    <w:rsid w:val="00264805"/>
    <w:rsid w:val="00264B08"/>
    <w:rsid w:val="00264F17"/>
    <w:rsid w:val="00265061"/>
    <w:rsid w:val="00265EAE"/>
    <w:rsid w:val="00266329"/>
    <w:rsid w:val="0026685A"/>
    <w:rsid w:val="00266892"/>
    <w:rsid w:val="00266E3D"/>
    <w:rsid w:val="00267218"/>
    <w:rsid w:val="00267DE1"/>
    <w:rsid w:val="00267EAC"/>
    <w:rsid w:val="0027002C"/>
    <w:rsid w:val="002701FF"/>
    <w:rsid w:val="00270C62"/>
    <w:rsid w:val="00270EF3"/>
    <w:rsid w:val="00271480"/>
    <w:rsid w:val="002714AB"/>
    <w:rsid w:val="00271866"/>
    <w:rsid w:val="002719D2"/>
    <w:rsid w:val="00271AC4"/>
    <w:rsid w:val="00271AFE"/>
    <w:rsid w:val="00271C89"/>
    <w:rsid w:val="002721BE"/>
    <w:rsid w:val="00272948"/>
    <w:rsid w:val="00272AC2"/>
    <w:rsid w:val="00272F2A"/>
    <w:rsid w:val="00273887"/>
    <w:rsid w:val="002740DD"/>
    <w:rsid w:val="002743F7"/>
    <w:rsid w:val="00274464"/>
    <w:rsid w:val="00274480"/>
    <w:rsid w:val="002744B5"/>
    <w:rsid w:val="002745E0"/>
    <w:rsid w:val="00274B56"/>
    <w:rsid w:val="00274BDA"/>
    <w:rsid w:val="00274E0C"/>
    <w:rsid w:val="00274EE3"/>
    <w:rsid w:val="00274F4E"/>
    <w:rsid w:val="00275490"/>
    <w:rsid w:val="00275AB2"/>
    <w:rsid w:val="00275CFB"/>
    <w:rsid w:val="00275E0D"/>
    <w:rsid w:val="00276285"/>
    <w:rsid w:val="00276415"/>
    <w:rsid w:val="0027726F"/>
    <w:rsid w:val="0027731C"/>
    <w:rsid w:val="00277336"/>
    <w:rsid w:val="00277543"/>
    <w:rsid w:val="00277B80"/>
    <w:rsid w:val="00280157"/>
    <w:rsid w:val="00280386"/>
    <w:rsid w:val="00280559"/>
    <w:rsid w:val="0028082B"/>
    <w:rsid w:val="00280B87"/>
    <w:rsid w:val="00280C40"/>
    <w:rsid w:val="00280E47"/>
    <w:rsid w:val="00281076"/>
    <w:rsid w:val="002810AD"/>
    <w:rsid w:val="00281414"/>
    <w:rsid w:val="00281D68"/>
    <w:rsid w:val="00281E77"/>
    <w:rsid w:val="00282119"/>
    <w:rsid w:val="00282191"/>
    <w:rsid w:val="00282715"/>
    <w:rsid w:val="00282958"/>
    <w:rsid w:val="002829EA"/>
    <w:rsid w:val="00282B4B"/>
    <w:rsid w:val="00282BC0"/>
    <w:rsid w:val="00282E14"/>
    <w:rsid w:val="00282F4C"/>
    <w:rsid w:val="0028334E"/>
    <w:rsid w:val="002839B6"/>
    <w:rsid w:val="0028437A"/>
    <w:rsid w:val="00284DAA"/>
    <w:rsid w:val="00284DFA"/>
    <w:rsid w:val="0028508D"/>
    <w:rsid w:val="00285382"/>
    <w:rsid w:val="00285466"/>
    <w:rsid w:val="00286014"/>
    <w:rsid w:val="0028653C"/>
    <w:rsid w:val="00286849"/>
    <w:rsid w:val="0028691B"/>
    <w:rsid w:val="002869FA"/>
    <w:rsid w:val="00286BAC"/>
    <w:rsid w:val="00287236"/>
    <w:rsid w:val="00287C7B"/>
    <w:rsid w:val="00287D7E"/>
    <w:rsid w:val="00287E42"/>
    <w:rsid w:val="00287F71"/>
    <w:rsid w:val="00290094"/>
    <w:rsid w:val="002916F5"/>
    <w:rsid w:val="002929F2"/>
    <w:rsid w:val="00292D26"/>
    <w:rsid w:val="00293124"/>
    <w:rsid w:val="002934D1"/>
    <w:rsid w:val="00293D11"/>
    <w:rsid w:val="00294068"/>
    <w:rsid w:val="00294121"/>
    <w:rsid w:val="002943B5"/>
    <w:rsid w:val="002949CF"/>
    <w:rsid w:val="00294CA6"/>
    <w:rsid w:val="00294FEE"/>
    <w:rsid w:val="00295438"/>
    <w:rsid w:val="00295A64"/>
    <w:rsid w:val="00295BA8"/>
    <w:rsid w:val="00295BD2"/>
    <w:rsid w:val="00295F7C"/>
    <w:rsid w:val="00296471"/>
    <w:rsid w:val="0029647F"/>
    <w:rsid w:val="0029661E"/>
    <w:rsid w:val="00296CA0"/>
    <w:rsid w:val="00296E36"/>
    <w:rsid w:val="00296E7A"/>
    <w:rsid w:val="00297244"/>
    <w:rsid w:val="0029736C"/>
    <w:rsid w:val="00297677"/>
    <w:rsid w:val="00297A5C"/>
    <w:rsid w:val="00297B4A"/>
    <w:rsid w:val="00297F61"/>
    <w:rsid w:val="002A009D"/>
    <w:rsid w:val="002A01AB"/>
    <w:rsid w:val="002A0446"/>
    <w:rsid w:val="002A0545"/>
    <w:rsid w:val="002A0C86"/>
    <w:rsid w:val="002A0DDD"/>
    <w:rsid w:val="002A12B6"/>
    <w:rsid w:val="002A1609"/>
    <w:rsid w:val="002A2356"/>
    <w:rsid w:val="002A25BB"/>
    <w:rsid w:val="002A2C22"/>
    <w:rsid w:val="002A2C9E"/>
    <w:rsid w:val="002A2FBF"/>
    <w:rsid w:val="002A3026"/>
    <w:rsid w:val="002A3339"/>
    <w:rsid w:val="002A35C0"/>
    <w:rsid w:val="002A452E"/>
    <w:rsid w:val="002A45FF"/>
    <w:rsid w:val="002A46F5"/>
    <w:rsid w:val="002A5026"/>
    <w:rsid w:val="002A5883"/>
    <w:rsid w:val="002A5953"/>
    <w:rsid w:val="002A5E78"/>
    <w:rsid w:val="002A63F4"/>
    <w:rsid w:val="002A6656"/>
    <w:rsid w:val="002A6855"/>
    <w:rsid w:val="002A72F5"/>
    <w:rsid w:val="002A76F6"/>
    <w:rsid w:val="002A7751"/>
    <w:rsid w:val="002A78A1"/>
    <w:rsid w:val="002A7D22"/>
    <w:rsid w:val="002A7E2C"/>
    <w:rsid w:val="002B0070"/>
    <w:rsid w:val="002B0082"/>
    <w:rsid w:val="002B0362"/>
    <w:rsid w:val="002B03E3"/>
    <w:rsid w:val="002B04AE"/>
    <w:rsid w:val="002B05BB"/>
    <w:rsid w:val="002B0A0D"/>
    <w:rsid w:val="002B0AE9"/>
    <w:rsid w:val="002B0FED"/>
    <w:rsid w:val="002B128D"/>
    <w:rsid w:val="002B18F9"/>
    <w:rsid w:val="002B1FB1"/>
    <w:rsid w:val="002B23A2"/>
    <w:rsid w:val="002B28E8"/>
    <w:rsid w:val="002B2F8B"/>
    <w:rsid w:val="002B35E0"/>
    <w:rsid w:val="002B3CE5"/>
    <w:rsid w:val="002B3E73"/>
    <w:rsid w:val="002B4170"/>
    <w:rsid w:val="002B4198"/>
    <w:rsid w:val="002B425F"/>
    <w:rsid w:val="002B494B"/>
    <w:rsid w:val="002B4B59"/>
    <w:rsid w:val="002B557C"/>
    <w:rsid w:val="002B595E"/>
    <w:rsid w:val="002B5C83"/>
    <w:rsid w:val="002B609D"/>
    <w:rsid w:val="002B60AC"/>
    <w:rsid w:val="002B6790"/>
    <w:rsid w:val="002B71C7"/>
    <w:rsid w:val="002B723A"/>
    <w:rsid w:val="002B784D"/>
    <w:rsid w:val="002B7935"/>
    <w:rsid w:val="002B7CE2"/>
    <w:rsid w:val="002C0156"/>
    <w:rsid w:val="002C022D"/>
    <w:rsid w:val="002C0585"/>
    <w:rsid w:val="002C0F81"/>
    <w:rsid w:val="002C1186"/>
    <w:rsid w:val="002C16C0"/>
    <w:rsid w:val="002C1931"/>
    <w:rsid w:val="002C1C12"/>
    <w:rsid w:val="002C226F"/>
    <w:rsid w:val="002C2422"/>
    <w:rsid w:val="002C26E5"/>
    <w:rsid w:val="002C3225"/>
    <w:rsid w:val="002C3518"/>
    <w:rsid w:val="002C385C"/>
    <w:rsid w:val="002C38FE"/>
    <w:rsid w:val="002C3957"/>
    <w:rsid w:val="002C3B21"/>
    <w:rsid w:val="002C407B"/>
    <w:rsid w:val="002C41FA"/>
    <w:rsid w:val="002C44E6"/>
    <w:rsid w:val="002C4664"/>
    <w:rsid w:val="002C4CBF"/>
    <w:rsid w:val="002C55A2"/>
    <w:rsid w:val="002C563E"/>
    <w:rsid w:val="002C580B"/>
    <w:rsid w:val="002C58E1"/>
    <w:rsid w:val="002C5BEA"/>
    <w:rsid w:val="002C5E85"/>
    <w:rsid w:val="002C6136"/>
    <w:rsid w:val="002C66AA"/>
    <w:rsid w:val="002C675F"/>
    <w:rsid w:val="002C6B43"/>
    <w:rsid w:val="002C6BED"/>
    <w:rsid w:val="002C7406"/>
    <w:rsid w:val="002C78F4"/>
    <w:rsid w:val="002C79D7"/>
    <w:rsid w:val="002C7FCC"/>
    <w:rsid w:val="002D02AD"/>
    <w:rsid w:val="002D0441"/>
    <w:rsid w:val="002D0C1D"/>
    <w:rsid w:val="002D1583"/>
    <w:rsid w:val="002D2059"/>
    <w:rsid w:val="002D2474"/>
    <w:rsid w:val="002D2521"/>
    <w:rsid w:val="002D256B"/>
    <w:rsid w:val="002D2846"/>
    <w:rsid w:val="002D2901"/>
    <w:rsid w:val="002D29F8"/>
    <w:rsid w:val="002D2A81"/>
    <w:rsid w:val="002D2C98"/>
    <w:rsid w:val="002D3C3B"/>
    <w:rsid w:val="002D4E08"/>
    <w:rsid w:val="002D4EA3"/>
    <w:rsid w:val="002D57A5"/>
    <w:rsid w:val="002D5949"/>
    <w:rsid w:val="002D5B9A"/>
    <w:rsid w:val="002D62B8"/>
    <w:rsid w:val="002D630C"/>
    <w:rsid w:val="002D635A"/>
    <w:rsid w:val="002D64F3"/>
    <w:rsid w:val="002D65B4"/>
    <w:rsid w:val="002D6ACB"/>
    <w:rsid w:val="002D6B5A"/>
    <w:rsid w:val="002D6EB5"/>
    <w:rsid w:val="002D736A"/>
    <w:rsid w:val="002D7D25"/>
    <w:rsid w:val="002E0090"/>
    <w:rsid w:val="002E01AC"/>
    <w:rsid w:val="002E0B1B"/>
    <w:rsid w:val="002E0DEA"/>
    <w:rsid w:val="002E0ED8"/>
    <w:rsid w:val="002E1150"/>
    <w:rsid w:val="002E1E8A"/>
    <w:rsid w:val="002E26A8"/>
    <w:rsid w:val="002E29A3"/>
    <w:rsid w:val="002E2C4E"/>
    <w:rsid w:val="002E2D5F"/>
    <w:rsid w:val="002E2DAF"/>
    <w:rsid w:val="002E362B"/>
    <w:rsid w:val="002E37C6"/>
    <w:rsid w:val="002E3BD1"/>
    <w:rsid w:val="002E3F95"/>
    <w:rsid w:val="002E4068"/>
    <w:rsid w:val="002E45CD"/>
    <w:rsid w:val="002E4A69"/>
    <w:rsid w:val="002E5087"/>
    <w:rsid w:val="002E51C8"/>
    <w:rsid w:val="002E537E"/>
    <w:rsid w:val="002E5AE2"/>
    <w:rsid w:val="002E6449"/>
    <w:rsid w:val="002E6766"/>
    <w:rsid w:val="002E689A"/>
    <w:rsid w:val="002E69A4"/>
    <w:rsid w:val="002E6D33"/>
    <w:rsid w:val="002E6EA6"/>
    <w:rsid w:val="002E6EB2"/>
    <w:rsid w:val="002E7118"/>
    <w:rsid w:val="002E7545"/>
    <w:rsid w:val="002E763A"/>
    <w:rsid w:val="002E784B"/>
    <w:rsid w:val="002E7C10"/>
    <w:rsid w:val="002F0037"/>
    <w:rsid w:val="002F0148"/>
    <w:rsid w:val="002F07B4"/>
    <w:rsid w:val="002F07F0"/>
    <w:rsid w:val="002F0B27"/>
    <w:rsid w:val="002F11AA"/>
    <w:rsid w:val="002F1466"/>
    <w:rsid w:val="002F189A"/>
    <w:rsid w:val="002F18F6"/>
    <w:rsid w:val="002F205C"/>
    <w:rsid w:val="002F227A"/>
    <w:rsid w:val="002F22A4"/>
    <w:rsid w:val="002F257F"/>
    <w:rsid w:val="002F3105"/>
    <w:rsid w:val="002F3190"/>
    <w:rsid w:val="002F33B0"/>
    <w:rsid w:val="002F3405"/>
    <w:rsid w:val="002F3432"/>
    <w:rsid w:val="002F361A"/>
    <w:rsid w:val="002F36B6"/>
    <w:rsid w:val="002F3FA2"/>
    <w:rsid w:val="002F402E"/>
    <w:rsid w:val="002F476D"/>
    <w:rsid w:val="002F4DA3"/>
    <w:rsid w:val="002F500F"/>
    <w:rsid w:val="002F51AE"/>
    <w:rsid w:val="002F536D"/>
    <w:rsid w:val="002F566C"/>
    <w:rsid w:val="002F652A"/>
    <w:rsid w:val="002F6629"/>
    <w:rsid w:val="002F68DC"/>
    <w:rsid w:val="002F6B1B"/>
    <w:rsid w:val="002F6DFD"/>
    <w:rsid w:val="002F6EEC"/>
    <w:rsid w:val="002F72C7"/>
    <w:rsid w:val="002F7528"/>
    <w:rsid w:val="002F78B7"/>
    <w:rsid w:val="00300006"/>
    <w:rsid w:val="00300438"/>
    <w:rsid w:val="003004E1"/>
    <w:rsid w:val="00300E43"/>
    <w:rsid w:val="003010A7"/>
    <w:rsid w:val="003015F4"/>
    <w:rsid w:val="00301ED8"/>
    <w:rsid w:val="00302059"/>
    <w:rsid w:val="003026BF"/>
    <w:rsid w:val="00302895"/>
    <w:rsid w:val="003029B6"/>
    <w:rsid w:val="00303388"/>
    <w:rsid w:val="0030376A"/>
    <w:rsid w:val="00303775"/>
    <w:rsid w:val="00304155"/>
    <w:rsid w:val="0030464F"/>
    <w:rsid w:val="0030501C"/>
    <w:rsid w:val="0030503E"/>
    <w:rsid w:val="00305235"/>
    <w:rsid w:val="00305792"/>
    <w:rsid w:val="0030593A"/>
    <w:rsid w:val="00305E2F"/>
    <w:rsid w:val="00305E9F"/>
    <w:rsid w:val="00305F2C"/>
    <w:rsid w:val="00305FD8"/>
    <w:rsid w:val="0030613F"/>
    <w:rsid w:val="003061D5"/>
    <w:rsid w:val="00306275"/>
    <w:rsid w:val="003064EB"/>
    <w:rsid w:val="0030679F"/>
    <w:rsid w:val="00306E32"/>
    <w:rsid w:val="0030769F"/>
    <w:rsid w:val="003079EB"/>
    <w:rsid w:val="00307A7C"/>
    <w:rsid w:val="00307B0A"/>
    <w:rsid w:val="00307E42"/>
    <w:rsid w:val="00307EDB"/>
    <w:rsid w:val="00310571"/>
    <w:rsid w:val="003105F3"/>
    <w:rsid w:val="003109E2"/>
    <w:rsid w:val="00310A89"/>
    <w:rsid w:val="00310B9C"/>
    <w:rsid w:val="00310D66"/>
    <w:rsid w:val="00311023"/>
    <w:rsid w:val="003114AA"/>
    <w:rsid w:val="0031166B"/>
    <w:rsid w:val="003118AC"/>
    <w:rsid w:val="00311D50"/>
    <w:rsid w:val="00311F30"/>
    <w:rsid w:val="0031267D"/>
    <w:rsid w:val="00312A7D"/>
    <w:rsid w:val="00312B81"/>
    <w:rsid w:val="00312BEA"/>
    <w:rsid w:val="00312CFF"/>
    <w:rsid w:val="00312EF7"/>
    <w:rsid w:val="00312FF3"/>
    <w:rsid w:val="00313176"/>
    <w:rsid w:val="003136C7"/>
    <w:rsid w:val="003136FC"/>
    <w:rsid w:val="00313737"/>
    <w:rsid w:val="00313788"/>
    <w:rsid w:val="00313CF7"/>
    <w:rsid w:val="00313DB8"/>
    <w:rsid w:val="00313F30"/>
    <w:rsid w:val="00313F52"/>
    <w:rsid w:val="0031446D"/>
    <w:rsid w:val="003149B0"/>
    <w:rsid w:val="00314A46"/>
    <w:rsid w:val="00314DB9"/>
    <w:rsid w:val="00314EE2"/>
    <w:rsid w:val="003152B3"/>
    <w:rsid w:val="00315547"/>
    <w:rsid w:val="00315AA5"/>
    <w:rsid w:val="00315C72"/>
    <w:rsid w:val="00315F98"/>
    <w:rsid w:val="003160ED"/>
    <w:rsid w:val="00316570"/>
    <w:rsid w:val="00316D06"/>
    <w:rsid w:val="003170C1"/>
    <w:rsid w:val="0031721C"/>
    <w:rsid w:val="0031736C"/>
    <w:rsid w:val="003175E0"/>
    <w:rsid w:val="0031771F"/>
    <w:rsid w:val="00317860"/>
    <w:rsid w:val="003179CD"/>
    <w:rsid w:val="00317D4F"/>
    <w:rsid w:val="0032038C"/>
    <w:rsid w:val="00320EA8"/>
    <w:rsid w:val="00320EF1"/>
    <w:rsid w:val="00321137"/>
    <w:rsid w:val="00321178"/>
    <w:rsid w:val="003211AF"/>
    <w:rsid w:val="00321A1A"/>
    <w:rsid w:val="0032201A"/>
    <w:rsid w:val="00322A34"/>
    <w:rsid w:val="00322E7F"/>
    <w:rsid w:val="0032341F"/>
    <w:rsid w:val="00323494"/>
    <w:rsid w:val="00323863"/>
    <w:rsid w:val="00323CAC"/>
    <w:rsid w:val="00323E8F"/>
    <w:rsid w:val="00324718"/>
    <w:rsid w:val="00324A68"/>
    <w:rsid w:val="00324CEB"/>
    <w:rsid w:val="00324D09"/>
    <w:rsid w:val="0032542F"/>
    <w:rsid w:val="00325430"/>
    <w:rsid w:val="0032556A"/>
    <w:rsid w:val="00325688"/>
    <w:rsid w:val="00325A56"/>
    <w:rsid w:val="00325EE3"/>
    <w:rsid w:val="0032607A"/>
    <w:rsid w:val="003262EB"/>
    <w:rsid w:val="003263A1"/>
    <w:rsid w:val="003268F9"/>
    <w:rsid w:val="003270DF"/>
    <w:rsid w:val="0032716C"/>
    <w:rsid w:val="003271B5"/>
    <w:rsid w:val="003279D0"/>
    <w:rsid w:val="00330274"/>
    <w:rsid w:val="003304DC"/>
    <w:rsid w:val="00330760"/>
    <w:rsid w:val="00330778"/>
    <w:rsid w:val="00330991"/>
    <w:rsid w:val="00330AF6"/>
    <w:rsid w:val="00330E8D"/>
    <w:rsid w:val="00331698"/>
    <w:rsid w:val="003316F4"/>
    <w:rsid w:val="00331710"/>
    <w:rsid w:val="00331B1D"/>
    <w:rsid w:val="00331D4A"/>
    <w:rsid w:val="00331E52"/>
    <w:rsid w:val="003323E6"/>
    <w:rsid w:val="003324F9"/>
    <w:rsid w:val="0033271E"/>
    <w:rsid w:val="003329B0"/>
    <w:rsid w:val="00332AD5"/>
    <w:rsid w:val="00333446"/>
    <w:rsid w:val="003334B2"/>
    <w:rsid w:val="00333726"/>
    <w:rsid w:val="00333A6E"/>
    <w:rsid w:val="003340DD"/>
    <w:rsid w:val="0033411D"/>
    <w:rsid w:val="0033437A"/>
    <w:rsid w:val="00334489"/>
    <w:rsid w:val="00334A8A"/>
    <w:rsid w:val="00334E15"/>
    <w:rsid w:val="00334F31"/>
    <w:rsid w:val="003352CF"/>
    <w:rsid w:val="003353FC"/>
    <w:rsid w:val="00336262"/>
    <w:rsid w:val="00336627"/>
    <w:rsid w:val="00336D1D"/>
    <w:rsid w:val="00336DFA"/>
    <w:rsid w:val="00336ED9"/>
    <w:rsid w:val="003372FE"/>
    <w:rsid w:val="00337397"/>
    <w:rsid w:val="00337508"/>
    <w:rsid w:val="0033794B"/>
    <w:rsid w:val="00337C24"/>
    <w:rsid w:val="00340118"/>
    <w:rsid w:val="003409B1"/>
    <w:rsid w:val="00340C63"/>
    <w:rsid w:val="00340FAE"/>
    <w:rsid w:val="003412B7"/>
    <w:rsid w:val="00341319"/>
    <w:rsid w:val="00341522"/>
    <w:rsid w:val="003416F1"/>
    <w:rsid w:val="0034178E"/>
    <w:rsid w:val="00341885"/>
    <w:rsid w:val="003419BE"/>
    <w:rsid w:val="003419D5"/>
    <w:rsid w:val="00341DFE"/>
    <w:rsid w:val="00341F7F"/>
    <w:rsid w:val="003429EF"/>
    <w:rsid w:val="00342B01"/>
    <w:rsid w:val="00342D67"/>
    <w:rsid w:val="0034318D"/>
    <w:rsid w:val="00343277"/>
    <w:rsid w:val="00343605"/>
    <w:rsid w:val="003436C0"/>
    <w:rsid w:val="003439B4"/>
    <w:rsid w:val="00343D5A"/>
    <w:rsid w:val="0034421A"/>
    <w:rsid w:val="00344350"/>
    <w:rsid w:val="0034437C"/>
    <w:rsid w:val="00344523"/>
    <w:rsid w:val="003449BC"/>
    <w:rsid w:val="00344F2F"/>
    <w:rsid w:val="00345106"/>
    <w:rsid w:val="0034521B"/>
    <w:rsid w:val="003453DB"/>
    <w:rsid w:val="00345452"/>
    <w:rsid w:val="0034547D"/>
    <w:rsid w:val="00345E71"/>
    <w:rsid w:val="0034617E"/>
    <w:rsid w:val="00346738"/>
    <w:rsid w:val="00346A0B"/>
    <w:rsid w:val="00346FBA"/>
    <w:rsid w:val="003470AA"/>
    <w:rsid w:val="0034715D"/>
    <w:rsid w:val="00347391"/>
    <w:rsid w:val="00347576"/>
    <w:rsid w:val="003477D5"/>
    <w:rsid w:val="00347C8C"/>
    <w:rsid w:val="0035053C"/>
    <w:rsid w:val="00350B07"/>
    <w:rsid w:val="00350E5D"/>
    <w:rsid w:val="00351188"/>
    <w:rsid w:val="003515F8"/>
    <w:rsid w:val="00351DDF"/>
    <w:rsid w:val="00351DEC"/>
    <w:rsid w:val="003525EF"/>
    <w:rsid w:val="00352AB5"/>
    <w:rsid w:val="00352DDC"/>
    <w:rsid w:val="0035347D"/>
    <w:rsid w:val="0035355B"/>
    <w:rsid w:val="003535F9"/>
    <w:rsid w:val="00353759"/>
    <w:rsid w:val="003540F8"/>
    <w:rsid w:val="0035428E"/>
    <w:rsid w:val="0035465E"/>
    <w:rsid w:val="00354984"/>
    <w:rsid w:val="00354BBC"/>
    <w:rsid w:val="00354C81"/>
    <w:rsid w:val="00354E9C"/>
    <w:rsid w:val="00355126"/>
    <w:rsid w:val="00355183"/>
    <w:rsid w:val="00355515"/>
    <w:rsid w:val="00355739"/>
    <w:rsid w:val="00355957"/>
    <w:rsid w:val="00355A7C"/>
    <w:rsid w:val="00355ACD"/>
    <w:rsid w:val="0035697A"/>
    <w:rsid w:val="00356A64"/>
    <w:rsid w:val="00357486"/>
    <w:rsid w:val="003574DA"/>
    <w:rsid w:val="0035750F"/>
    <w:rsid w:val="00357741"/>
    <w:rsid w:val="00357ADF"/>
    <w:rsid w:val="00357DEC"/>
    <w:rsid w:val="00360083"/>
    <w:rsid w:val="00360382"/>
    <w:rsid w:val="00360396"/>
    <w:rsid w:val="0036041D"/>
    <w:rsid w:val="0036044E"/>
    <w:rsid w:val="0036054E"/>
    <w:rsid w:val="003605DB"/>
    <w:rsid w:val="00360D57"/>
    <w:rsid w:val="003610F6"/>
    <w:rsid w:val="00361161"/>
    <w:rsid w:val="0036120C"/>
    <w:rsid w:val="003614BF"/>
    <w:rsid w:val="003617FF"/>
    <w:rsid w:val="00361FA7"/>
    <w:rsid w:val="003639D5"/>
    <w:rsid w:val="00363B1E"/>
    <w:rsid w:val="00363D5C"/>
    <w:rsid w:val="003640EC"/>
    <w:rsid w:val="003641AE"/>
    <w:rsid w:val="003643B6"/>
    <w:rsid w:val="003644D8"/>
    <w:rsid w:val="00364C75"/>
    <w:rsid w:val="00364CF9"/>
    <w:rsid w:val="00364FA8"/>
    <w:rsid w:val="0036541C"/>
    <w:rsid w:val="0036592C"/>
    <w:rsid w:val="00365A04"/>
    <w:rsid w:val="00365BF4"/>
    <w:rsid w:val="00365C01"/>
    <w:rsid w:val="00366178"/>
    <w:rsid w:val="00366C14"/>
    <w:rsid w:val="00366CDF"/>
    <w:rsid w:val="0036712C"/>
    <w:rsid w:val="003703D8"/>
    <w:rsid w:val="0037060A"/>
    <w:rsid w:val="003708CC"/>
    <w:rsid w:val="00370C23"/>
    <w:rsid w:val="0037156A"/>
    <w:rsid w:val="00371A3A"/>
    <w:rsid w:val="00371C32"/>
    <w:rsid w:val="00371C8F"/>
    <w:rsid w:val="00372640"/>
    <w:rsid w:val="00372B75"/>
    <w:rsid w:val="00373386"/>
    <w:rsid w:val="003735EA"/>
    <w:rsid w:val="00373644"/>
    <w:rsid w:val="00373720"/>
    <w:rsid w:val="003737E8"/>
    <w:rsid w:val="00373A46"/>
    <w:rsid w:val="003741DD"/>
    <w:rsid w:val="00374396"/>
    <w:rsid w:val="0037456A"/>
    <w:rsid w:val="0037480F"/>
    <w:rsid w:val="0037486E"/>
    <w:rsid w:val="00374CA7"/>
    <w:rsid w:val="00374F05"/>
    <w:rsid w:val="0037570C"/>
    <w:rsid w:val="003758EB"/>
    <w:rsid w:val="00375A3F"/>
    <w:rsid w:val="00375A8A"/>
    <w:rsid w:val="00376067"/>
    <w:rsid w:val="003760E0"/>
    <w:rsid w:val="00376215"/>
    <w:rsid w:val="003766A2"/>
    <w:rsid w:val="00376FCE"/>
    <w:rsid w:val="003771B5"/>
    <w:rsid w:val="0037735D"/>
    <w:rsid w:val="0037740A"/>
    <w:rsid w:val="003775C3"/>
    <w:rsid w:val="00377861"/>
    <w:rsid w:val="00380CCE"/>
    <w:rsid w:val="003810C4"/>
    <w:rsid w:val="00381413"/>
    <w:rsid w:val="003818C6"/>
    <w:rsid w:val="00381D7F"/>
    <w:rsid w:val="0038257A"/>
    <w:rsid w:val="003826C7"/>
    <w:rsid w:val="00382867"/>
    <w:rsid w:val="00382B3F"/>
    <w:rsid w:val="00382ED9"/>
    <w:rsid w:val="00383454"/>
    <w:rsid w:val="003838FC"/>
    <w:rsid w:val="0038390E"/>
    <w:rsid w:val="00383E4D"/>
    <w:rsid w:val="0038415D"/>
    <w:rsid w:val="003841E3"/>
    <w:rsid w:val="00384414"/>
    <w:rsid w:val="00384508"/>
    <w:rsid w:val="00384886"/>
    <w:rsid w:val="00384BA4"/>
    <w:rsid w:val="0038500B"/>
    <w:rsid w:val="00385240"/>
    <w:rsid w:val="00385685"/>
    <w:rsid w:val="00385A72"/>
    <w:rsid w:val="00385D3E"/>
    <w:rsid w:val="00385F09"/>
    <w:rsid w:val="00385F2F"/>
    <w:rsid w:val="00386336"/>
    <w:rsid w:val="003863ED"/>
    <w:rsid w:val="00386710"/>
    <w:rsid w:val="003868E5"/>
    <w:rsid w:val="003871A0"/>
    <w:rsid w:val="003872E9"/>
    <w:rsid w:val="00387593"/>
    <w:rsid w:val="00387699"/>
    <w:rsid w:val="00387846"/>
    <w:rsid w:val="003878DB"/>
    <w:rsid w:val="00387A4E"/>
    <w:rsid w:val="00387AF3"/>
    <w:rsid w:val="00387D33"/>
    <w:rsid w:val="00387EA0"/>
    <w:rsid w:val="00387F12"/>
    <w:rsid w:val="00387F55"/>
    <w:rsid w:val="0039026D"/>
    <w:rsid w:val="00390425"/>
    <w:rsid w:val="00390892"/>
    <w:rsid w:val="00390E5A"/>
    <w:rsid w:val="003910D3"/>
    <w:rsid w:val="003914AA"/>
    <w:rsid w:val="003916F9"/>
    <w:rsid w:val="003917C1"/>
    <w:rsid w:val="00391A59"/>
    <w:rsid w:val="00391BD3"/>
    <w:rsid w:val="003920EE"/>
    <w:rsid w:val="00392C1F"/>
    <w:rsid w:val="00392D1A"/>
    <w:rsid w:val="003936C8"/>
    <w:rsid w:val="00393976"/>
    <w:rsid w:val="00393C91"/>
    <w:rsid w:val="00393ECA"/>
    <w:rsid w:val="00393ECD"/>
    <w:rsid w:val="00393FFF"/>
    <w:rsid w:val="003944B9"/>
    <w:rsid w:val="00394595"/>
    <w:rsid w:val="00394643"/>
    <w:rsid w:val="00394798"/>
    <w:rsid w:val="00394CD1"/>
    <w:rsid w:val="00395537"/>
    <w:rsid w:val="003960B7"/>
    <w:rsid w:val="00396F7F"/>
    <w:rsid w:val="0039736D"/>
    <w:rsid w:val="00397647"/>
    <w:rsid w:val="003A0004"/>
    <w:rsid w:val="003A0F67"/>
    <w:rsid w:val="003A1121"/>
    <w:rsid w:val="003A1AF1"/>
    <w:rsid w:val="003A1B81"/>
    <w:rsid w:val="003A2617"/>
    <w:rsid w:val="003A2A4D"/>
    <w:rsid w:val="003A2D60"/>
    <w:rsid w:val="003A2FD6"/>
    <w:rsid w:val="003A31CA"/>
    <w:rsid w:val="003A3903"/>
    <w:rsid w:val="003A3CCC"/>
    <w:rsid w:val="003A43D6"/>
    <w:rsid w:val="003A446E"/>
    <w:rsid w:val="003A46E3"/>
    <w:rsid w:val="003A4926"/>
    <w:rsid w:val="003A4A62"/>
    <w:rsid w:val="003A5367"/>
    <w:rsid w:val="003A5CD7"/>
    <w:rsid w:val="003A5F97"/>
    <w:rsid w:val="003A601D"/>
    <w:rsid w:val="003A670B"/>
    <w:rsid w:val="003A692F"/>
    <w:rsid w:val="003A70A1"/>
    <w:rsid w:val="003A7329"/>
    <w:rsid w:val="003A7A17"/>
    <w:rsid w:val="003A7E42"/>
    <w:rsid w:val="003A7FBC"/>
    <w:rsid w:val="003B0750"/>
    <w:rsid w:val="003B0A88"/>
    <w:rsid w:val="003B0BEE"/>
    <w:rsid w:val="003B0DC9"/>
    <w:rsid w:val="003B1206"/>
    <w:rsid w:val="003B1240"/>
    <w:rsid w:val="003B1621"/>
    <w:rsid w:val="003B19D9"/>
    <w:rsid w:val="003B2119"/>
    <w:rsid w:val="003B21D0"/>
    <w:rsid w:val="003B22B4"/>
    <w:rsid w:val="003B2370"/>
    <w:rsid w:val="003B254E"/>
    <w:rsid w:val="003B2656"/>
    <w:rsid w:val="003B2889"/>
    <w:rsid w:val="003B2BF1"/>
    <w:rsid w:val="003B2D95"/>
    <w:rsid w:val="003B3263"/>
    <w:rsid w:val="003B3404"/>
    <w:rsid w:val="003B37BA"/>
    <w:rsid w:val="003B3FFF"/>
    <w:rsid w:val="003B468E"/>
    <w:rsid w:val="003B4946"/>
    <w:rsid w:val="003B4A27"/>
    <w:rsid w:val="003B4DDC"/>
    <w:rsid w:val="003B527E"/>
    <w:rsid w:val="003B5BC3"/>
    <w:rsid w:val="003B5C3E"/>
    <w:rsid w:val="003B5CDC"/>
    <w:rsid w:val="003B5F10"/>
    <w:rsid w:val="003B61F8"/>
    <w:rsid w:val="003B6549"/>
    <w:rsid w:val="003B65C1"/>
    <w:rsid w:val="003B6855"/>
    <w:rsid w:val="003B6CEA"/>
    <w:rsid w:val="003B7A83"/>
    <w:rsid w:val="003C061A"/>
    <w:rsid w:val="003C0659"/>
    <w:rsid w:val="003C1582"/>
    <w:rsid w:val="003C16DB"/>
    <w:rsid w:val="003C1ED9"/>
    <w:rsid w:val="003C1F08"/>
    <w:rsid w:val="003C22F9"/>
    <w:rsid w:val="003C23F0"/>
    <w:rsid w:val="003C2910"/>
    <w:rsid w:val="003C33B4"/>
    <w:rsid w:val="003C3422"/>
    <w:rsid w:val="003C35BE"/>
    <w:rsid w:val="003C3995"/>
    <w:rsid w:val="003C3CB5"/>
    <w:rsid w:val="003C3D09"/>
    <w:rsid w:val="003C3F7F"/>
    <w:rsid w:val="003C4031"/>
    <w:rsid w:val="003C43A9"/>
    <w:rsid w:val="003C47F7"/>
    <w:rsid w:val="003C4A5C"/>
    <w:rsid w:val="003C4A91"/>
    <w:rsid w:val="003C4F88"/>
    <w:rsid w:val="003C5249"/>
    <w:rsid w:val="003C55E4"/>
    <w:rsid w:val="003C5A9C"/>
    <w:rsid w:val="003C5D22"/>
    <w:rsid w:val="003C64F7"/>
    <w:rsid w:val="003C66B9"/>
    <w:rsid w:val="003C6A45"/>
    <w:rsid w:val="003C6C96"/>
    <w:rsid w:val="003C7619"/>
    <w:rsid w:val="003C785C"/>
    <w:rsid w:val="003C7929"/>
    <w:rsid w:val="003C7E73"/>
    <w:rsid w:val="003D00E0"/>
    <w:rsid w:val="003D03DA"/>
    <w:rsid w:val="003D04D6"/>
    <w:rsid w:val="003D0669"/>
    <w:rsid w:val="003D0B68"/>
    <w:rsid w:val="003D0CC1"/>
    <w:rsid w:val="003D109C"/>
    <w:rsid w:val="003D12E7"/>
    <w:rsid w:val="003D1910"/>
    <w:rsid w:val="003D1D19"/>
    <w:rsid w:val="003D1D39"/>
    <w:rsid w:val="003D22B7"/>
    <w:rsid w:val="003D2952"/>
    <w:rsid w:val="003D2A35"/>
    <w:rsid w:val="003D2AA8"/>
    <w:rsid w:val="003D2B01"/>
    <w:rsid w:val="003D2CB3"/>
    <w:rsid w:val="003D2DBF"/>
    <w:rsid w:val="003D2E94"/>
    <w:rsid w:val="003D2EF9"/>
    <w:rsid w:val="003D32EA"/>
    <w:rsid w:val="003D335A"/>
    <w:rsid w:val="003D4273"/>
    <w:rsid w:val="003D463B"/>
    <w:rsid w:val="003D4842"/>
    <w:rsid w:val="003D4845"/>
    <w:rsid w:val="003D4C96"/>
    <w:rsid w:val="003D4F40"/>
    <w:rsid w:val="003D4FC1"/>
    <w:rsid w:val="003D5AA2"/>
    <w:rsid w:val="003D5DED"/>
    <w:rsid w:val="003D5F90"/>
    <w:rsid w:val="003D6017"/>
    <w:rsid w:val="003D630D"/>
    <w:rsid w:val="003D6481"/>
    <w:rsid w:val="003D6701"/>
    <w:rsid w:val="003D6A92"/>
    <w:rsid w:val="003D7222"/>
    <w:rsid w:val="003D73BB"/>
    <w:rsid w:val="003D75DD"/>
    <w:rsid w:val="003D7706"/>
    <w:rsid w:val="003D7847"/>
    <w:rsid w:val="003D793D"/>
    <w:rsid w:val="003D7C78"/>
    <w:rsid w:val="003D7D36"/>
    <w:rsid w:val="003E11EE"/>
    <w:rsid w:val="003E12EF"/>
    <w:rsid w:val="003E1939"/>
    <w:rsid w:val="003E1AF5"/>
    <w:rsid w:val="003E1B5B"/>
    <w:rsid w:val="003E1E69"/>
    <w:rsid w:val="003E1EFD"/>
    <w:rsid w:val="003E263F"/>
    <w:rsid w:val="003E2AC6"/>
    <w:rsid w:val="003E2EE9"/>
    <w:rsid w:val="003E40B2"/>
    <w:rsid w:val="003E40FE"/>
    <w:rsid w:val="003E419C"/>
    <w:rsid w:val="003E4257"/>
    <w:rsid w:val="003E4381"/>
    <w:rsid w:val="003E49DB"/>
    <w:rsid w:val="003E4F32"/>
    <w:rsid w:val="003E5106"/>
    <w:rsid w:val="003E51F5"/>
    <w:rsid w:val="003E55D5"/>
    <w:rsid w:val="003E58AD"/>
    <w:rsid w:val="003E5C9D"/>
    <w:rsid w:val="003E5D1C"/>
    <w:rsid w:val="003E5FC7"/>
    <w:rsid w:val="003E60BA"/>
    <w:rsid w:val="003E60BD"/>
    <w:rsid w:val="003E6490"/>
    <w:rsid w:val="003E6536"/>
    <w:rsid w:val="003E65DC"/>
    <w:rsid w:val="003E6B50"/>
    <w:rsid w:val="003E6B81"/>
    <w:rsid w:val="003E707B"/>
    <w:rsid w:val="003E7312"/>
    <w:rsid w:val="003E7365"/>
    <w:rsid w:val="003E7401"/>
    <w:rsid w:val="003E7D96"/>
    <w:rsid w:val="003F0312"/>
    <w:rsid w:val="003F04FB"/>
    <w:rsid w:val="003F057E"/>
    <w:rsid w:val="003F0C95"/>
    <w:rsid w:val="003F0CAE"/>
    <w:rsid w:val="003F0E91"/>
    <w:rsid w:val="003F0FFF"/>
    <w:rsid w:val="003F159A"/>
    <w:rsid w:val="003F15A9"/>
    <w:rsid w:val="003F15CE"/>
    <w:rsid w:val="003F1E15"/>
    <w:rsid w:val="003F21B8"/>
    <w:rsid w:val="003F21D3"/>
    <w:rsid w:val="003F2319"/>
    <w:rsid w:val="003F34E1"/>
    <w:rsid w:val="003F36CF"/>
    <w:rsid w:val="003F3976"/>
    <w:rsid w:val="003F3C02"/>
    <w:rsid w:val="003F3EDD"/>
    <w:rsid w:val="003F4480"/>
    <w:rsid w:val="003F5219"/>
    <w:rsid w:val="003F549B"/>
    <w:rsid w:val="003F56D8"/>
    <w:rsid w:val="003F574A"/>
    <w:rsid w:val="003F5CEB"/>
    <w:rsid w:val="003F62C0"/>
    <w:rsid w:val="003F6716"/>
    <w:rsid w:val="003F69BA"/>
    <w:rsid w:val="003F6BBE"/>
    <w:rsid w:val="003F6FAC"/>
    <w:rsid w:val="003F7C4C"/>
    <w:rsid w:val="003F7DDF"/>
    <w:rsid w:val="004003A1"/>
    <w:rsid w:val="0040080F"/>
    <w:rsid w:val="004008D2"/>
    <w:rsid w:val="004008E3"/>
    <w:rsid w:val="00400F42"/>
    <w:rsid w:val="00401011"/>
    <w:rsid w:val="0040130F"/>
    <w:rsid w:val="00401314"/>
    <w:rsid w:val="0040135F"/>
    <w:rsid w:val="00401A2A"/>
    <w:rsid w:val="00401BCB"/>
    <w:rsid w:val="00401D46"/>
    <w:rsid w:val="00401EE1"/>
    <w:rsid w:val="00401F3B"/>
    <w:rsid w:val="0040206A"/>
    <w:rsid w:val="0040247B"/>
    <w:rsid w:val="00402480"/>
    <w:rsid w:val="00402776"/>
    <w:rsid w:val="00402794"/>
    <w:rsid w:val="00403392"/>
    <w:rsid w:val="004034F8"/>
    <w:rsid w:val="0040351C"/>
    <w:rsid w:val="00403631"/>
    <w:rsid w:val="0040376E"/>
    <w:rsid w:val="00403916"/>
    <w:rsid w:val="00403EA5"/>
    <w:rsid w:val="004042CE"/>
    <w:rsid w:val="00404956"/>
    <w:rsid w:val="00404E27"/>
    <w:rsid w:val="00404FEB"/>
    <w:rsid w:val="00405D31"/>
    <w:rsid w:val="00405F15"/>
    <w:rsid w:val="00405F42"/>
    <w:rsid w:val="004068A4"/>
    <w:rsid w:val="004070C3"/>
    <w:rsid w:val="004073E7"/>
    <w:rsid w:val="00407702"/>
    <w:rsid w:val="00407B95"/>
    <w:rsid w:val="00407E5A"/>
    <w:rsid w:val="0041011F"/>
    <w:rsid w:val="0041034D"/>
    <w:rsid w:val="0041064F"/>
    <w:rsid w:val="004108B5"/>
    <w:rsid w:val="004110DC"/>
    <w:rsid w:val="00411EB4"/>
    <w:rsid w:val="004120A0"/>
    <w:rsid w:val="0041225D"/>
    <w:rsid w:val="0041243E"/>
    <w:rsid w:val="004124FA"/>
    <w:rsid w:val="0041291C"/>
    <w:rsid w:val="004134BF"/>
    <w:rsid w:val="00413586"/>
    <w:rsid w:val="00413A7C"/>
    <w:rsid w:val="00413E49"/>
    <w:rsid w:val="0041416C"/>
    <w:rsid w:val="00414383"/>
    <w:rsid w:val="00414524"/>
    <w:rsid w:val="00415189"/>
    <w:rsid w:val="00415309"/>
    <w:rsid w:val="004159E2"/>
    <w:rsid w:val="00415D96"/>
    <w:rsid w:val="00415EC9"/>
    <w:rsid w:val="0041649B"/>
    <w:rsid w:val="0041655B"/>
    <w:rsid w:val="00416906"/>
    <w:rsid w:val="0041700B"/>
    <w:rsid w:val="004175B1"/>
    <w:rsid w:val="00417FCB"/>
    <w:rsid w:val="00420070"/>
    <w:rsid w:val="004203B8"/>
    <w:rsid w:val="004203F0"/>
    <w:rsid w:val="0042041F"/>
    <w:rsid w:val="00420AFC"/>
    <w:rsid w:val="00420ED3"/>
    <w:rsid w:val="00420F94"/>
    <w:rsid w:val="004210DA"/>
    <w:rsid w:val="0042121B"/>
    <w:rsid w:val="004214B9"/>
    <w:rsid w:val="00421BB5"/>
    <w:rsid w:val="00421E45"/>
    <w:rsid w:val="00421EB0"/>
    <w:rsid w:val="00421FF6"/>
    <w:rsid w:val="0042209A"/>
    <w:rsid w:val="004222EE"/>
    <w:rsid w:val="0042230A"/>
    <w:rsid w:val="0042233C"/>
    <w:rsid w:val="0042246C"/>
    <w:rsid w:val="0042272C"/>
    <w:rsid w:val="00422BC9"/>
    <w:rsid w:val="00422D7C"/>
    <w:rsid w:val="00422E78"/>
    <w:rsid w:val="004236BC"/>
    <w:rsid w:val="00423ADD"/>
    <w:rsid w:val="00423CB4"/>
    <w:rsid w:val="00423DAC"/>
    <w:rsid w:val="00424350"/>
    <w:rsid w:val="00424495"/>
    <w:rsid w:val="004248A3"/>
    <w:rsid w:val="00424E7A"/>
    <w:rsid w:val="004252EE"/>
    <w:rsid w:val="0042550B"/>
    <w:rsid w:val="00425762"/>
    <w:rsid w:val="00425F9F"/>
    <w:rsid w:val="0042608D"/>
    <w:rsid w:val="004260A9"/>
    <w:rsid w:val="004269E3"/>
    <w:rsid w:val="00426B62"/>
    <w:rsid w:val="004270C0"/>
    <w:rsid w:val="004276B6"/>
    <w:rsid w:val="004277AB"/>
    <w:rsid w:val="0042790F"/>
    <w:rsid w:val="0042799E"/>
    <w:rsid w:val="00427AF3"/>
    <w:rsid w:val="004306B7"/>
    <w:rsid w:val="00430778"/>
    <w:rsid w:val="00431111"/>
    <w:rsid w:val="00431567"/>
    <w:rsid w:val="00431F46"/>
    <w:rsid w:val="0043240C"/>
    <w:rsid w:val="00432B94"/>
    <w:rsid w:val="00433A33"/>
    <w:rsid w:val="00433BB8"/>
    <w:rsid w:val="00433D85"/>
    <w:rsid w:val="00434518"/>
    <w:rsid w:val="00434790"/>
    <w:rsid w:val="00434D21"/>
    <w:rsid w:val="00435190"/>
    <w:rsid w:val="0043546D"/>
    <w:rsid w:val="004354F7"/>
    <w:rsid w:val="00435912"/>
    <w:rsid w:val="00435E54"/>
    <w:rsid w:val="00436B40"/>
    <w:rsid w:val="00436E81"/>
    <w:rsid w:val="004374EC"/>
    <w:rsid w:val="004375A2"/>
    <w:rsid w:val="00437C67"/>
    <w:rsid w:val="00437E23"/>
    <w:rsid w:val="00440390"/>
    <w:rsid w:val="004403FE"/>
    <w:rsid w:val="004408FD"/>
    <w:rsid w:val="00440DCA"/>
    <w:rsid w:val="00440DF4"/>
    <w:rsid w:val="00440FC1"/>
    <w:rsid w:val="0044158B"/>
    <w:rsid w:val="00441A92"/>
    <w:rsid w:val="004422B2"/>
    <w:rsid w:val="00442394"/>
    <w:rsid w:val="00442458"/>
    <w:rsid w:val="004428C4"/>
    <w:rsid w:val="004429B9"/>
    <w:rsid w:val="00442A32"/>
    <w:rsid w:val="00442DA2"/>
    <w:rsid w:val="00443A18"/>
    <w:rsid w:val="00444176"/>
    <w:rsid w:val="0044459F"/>
    <w:rsid w:val="00445558"/>
    <w:rsid w:val="00445A20"/>
    <w:rsid w:val="00445BAA"/>
    <w:rsid w:val="0044602B"/>
    <w:rsid w:val="004461B4"/>
    <w:rsid w:val="0044644A"/>
    <w:rsid w:val="004468D6"/>
    <w:rsid w:val="00446929"/>
    <w:rsid w:val="00446DC5"/>
    <w:rsid w:val="00447062"/>
    <w:rsid w:val="00447090"/>
    <w:rsid w:val="0044746A"/>
    <w:rsid w:val="00447751"/>
    <w:rsid w:val="004477FE"/>
    <w:rsid w:val="00447C3F"/>
    <w:rsid w:val="004500FB"/>
    <w:rsid w:val="00450342"/>
    <w:rsid w:val="004504BC"/>
    <w:rsid w:val="0045053F"/>
    <w:rsid w:val="004507CC"/>
    <w:rsid w:val="00450860"/>
    <w:rsid w:val="00450A08"/>
    <w:rsid w:val="00450BAF"/>
    <w:rsid w:val="00450CD5"/>
    <w:rsid w:val="0045119A"/>
    <w:rsid w:val="004515D1"/>
    <w:rsid w:val="004516FA"/>
    <w:rsid w:val="00451991"/>
    <w:rsid w:val="00451A9F"/>
    <w:rsid w:val="00451F3C"/>
    <w:rsid w:val="0045202D"/>
    <w:rsid w:val="0045219F"/>
    <w:rsid w:val="004526FB"/>
    <w:rsid w:val="004527D4"/>
    <w:rsid w:val="00452BC4"/>
    <w:rsid w:val="00452E36"/>
    <w:rsid w:val="00453435"/>
    <w:rsid w:val="004534CD"/>
    <w:rsid w:val="00453AC3"/>
    <w:rsid w:val="00453C07"/>
    <w:rsid w:val="00453CA6"/>
    <w:rsid w:val="00453DC3"/>
    <w:rsid w:val="00454149"/>
    <w:rsid w:val="004544C5"/>
    <w:rsid w:val="0045479C"/>
    <w:rsid w:val="004547A8"/>
    <w:rsid w:val="00454D23"/>
    <w:rsid w:val="0045565C"/>
    <w:rsid w:val="00455969"/>
    <w:rsid w:val="00455AD7"/>
    <w:rsid w:val="00455D64"/>
    <w:rsid w:val="004565DB"/>
    <w:rsid w:val="00456858"/>
    <w:rsid w:val="00456B3C"/>
    <w:rsid w:val="00456F1E"/>
    <w:rsid w:val="0045728B"/>
    <w:rsid w:val="00457366"/>
    <w:rsid w:val="004579BA"/>
    <w:rsid w:val="004601F6"/>
    <w:rsid w:val="004603F9"/>
    <w:rsid w:val="00460813"/>
    <w:rsid w:val="00460D11"/>
    <w:rsid w:val="00460EA0"/>
    <w:rsid w:val="00460EDC"/>
    <w:rsid w:val="00461097"/>
    <w:rsid w:val="004610B2"/>
    <w:rsid w:val="004612F0"/>
    <w:rsid w:val="004612F1"/>
    <w:rsid w:val="0046185E"/>
    <w:rsid w:val="00461C1F"/>
    <w:rsid w:val="00462B78"/>
    <w:rsid w:val="00462FEF"/>
    <w:rsid w:val="00463DCA"/>
    <w:rsid w:val="00463EF3"/>
    <w:rsid w:val="00463EFB"/>
    <w:rsid w:val="00463F21"/>
    <w:rsid w:val="00463F93"/>
    <w:rsid w:val="00464081"/>
    <w:rsid w:val="00464246"/>
    <w:rsid w:val="00464269"/>
    <w:rsid w:val="00464650"/>
    <w:rsid w:val="00465134"/>
    <w:rsid w:val="00465164"/>
    <w:rsid w:val="004651A7"/>
    <w:rsid w:val="004654FA"/>
    <w:rsid w:val="00465F83"/>
    <w:rsid w:val="0046638B"/>
    <w:rsid w:val="00466468"/>
    <w:rsid w:val="00466D9B"/>
    <w:rsid w:val="00467B94"/>
    <w:rsid w:val="00467EF3"/>
    <w:rsid w:val="00467FBE"/>
    <w:rsid w:val="004709BB"/>
    <w:rsid w:val="00470CCC"/>
    <w:rsid w:val="00470E82"/>
    <w:rsid w:val="00470FE1"/>
    <w:rsid w:val="00471125"/>
    <w:rsid w:val="00471153"/>
    <w:rsid w:val="004717C5"/>
    <w:rsid w:val="00471A2D"/>
    <w:rsid w:val="00471E34"/>
    <w:rsid w:val="00471FD7"/>
    <w:rsid w:val="004722D9"/>
    <w:rsid w:val="004723F3"/>
    <w:rsid w:val="004726FC"/>
    <w:rsid w:val="00472D9B"/>
    <w:rsid w:val="00473513"/>
    <w:rsid w:val="0047380E"/>
    <w:rsid w:val="004739B6"/>
    <w:rsid w:val="00474073"/>
    <w:rsid w:val="0047415F"/>
    <w:rsid w:val="004743D0"/>
    <w:rsid w:val="0047469C"/>
    <w:rsid w:val="00474B91"/>
    <w:rsid w:val="0047503A"/>
    <w:rsid w:val="004757E3"/>
    <w:rsid w:val="004759DE"/>
    <w:rsid w:val="00475BB4"/>
    <w:rsid w:val="00476139"/>
    <w:rsid w:val="00476623"/>
    <w:rsid w:val="00476626"/>
    <w:rsid w:val="00476F38"/>
    <w:rsid w:val="00476F9F"/>
    <w:rsid w:val="00476FAF"/>
    <w:rsid w:val="004772CE"/>
    <w:rsid w:val="004773C5"/>
    <w:rsid w:val="004774F7"/>
    <w:rsid w:val="00477899"/>
    <w:rsid w:val="004778DF"/>
    <w:rsid w:val="00477AFC"/>
    <w:rsid w:val="00477C8D"/>
    <w:rsid w:val="00477DB8"/>
    <w:rsid w:val="00477DD2"/>
    <w:rsid w:val="00477F1F"/>
    <w:rsid w:val="0048018A"/>
    <w:rsid w:val="00480506"/>
    <w:rsid w:val="004805BE"/>
    <w:rsid w:val="004807BA"/>
    <w:rsid w:val="00480970"/>
    <w:rsid w:val="0048118E"/>
    <w:rsid w:val="004813D1"/>
    <w:rsid w:val="004816EC"/>
    <w:rsid w:val="00481A27"/>
    <w:rsid w:val="00481A67"/>
    <w:rsid w:val="00481E67"/>
    <w:rsid w:val="0048221C"/>
    <w:rsid w:val="004828F1"/>
    <w:rsid w:val="00482A8A"/>
    <w:rsid w:val="00482E23"/>
    <w:rsid w:val="004832B5"/>
    <w:rsid w:val="00483828"/>
    <w:rsid w:val="0048494C"/>
    <w:rsid w:val="00484DDE"/>
    <w:rsid w:val="00484DFB"/>
    <w:rsid w:val="00484EBA"/>
    <w:rsid w:val="00485ED7"/>
    <w:rsid w:val="00485FD7"/>
    <w:rsid w:val="0048604C"/>
    <w:rsid w:val="00486503"/>
    <w:rsid w:val="004868F2"/>
    <w:rsid w:val="00486AE0"/>
    <w:rsid w:val="00486B2F"/>
    <w:rsid w:val="00486F3B"/>
    <w:rsid w:val="00486F77"/>
    <w:rsid w:val="004875E1"/>
    <w:rsid w:val="00487A73"/>
    <w:rsid w:val="0049026F"/>
    <w:rsid w:val="004902C1"/>
    <w:rsid w:val="00490A95"/>
    <w:rsid w:val="004915C2"/>
    <w:rsid w:val="004917B9"/>
    <w:rsid w:val="00491E58"/>
    <w:rsid w:val="004922AD"/>
    <w:rsid w:val="0049249E"/>
    <w:rsid w:val="00492621"/>
    <w:rsid w:val="00492837"/>
    <w:rsid w:val="00492FF1"/>
    <w:rsid w:val="00493473"/>
    <w:rsid w:val="00493666"/>
    <w:rsid w:val="00493A9F"/>
    <w:rsid w:val="00493BC8"/>
    <w:rsid w:val="00494061"/>
    <w:rsid w:val="0049471D"/>
    <w:rsid w:val="00494D39"/>
    <w:rsid w:val="00494E32"/>
    <w:rsid w:val="00494EDC"/>
    <w:rsid w:val="00494F39"/>
    <w:rsid w:val="00495245"/>
    <w:rsid w:val="004952A0"/>
    <w:rsid w:val="00495454"/>
    <w:rsid w:val="004954C4"/>
    <w:rsid w:val="004963A8"/>
    <w:rsid w:val="00496888"/>
    <w:rsid w:val="0049689C"/>
    <w:rsid w:val="00496FF9"/>
    <w:rsid w:val="00497037"/>
    <w:rsid w:val="00497166"/>
    <w:rsid w:val="004973E0"/>
    <w:rsid w:val="004976B5"/>
    <w:rsid w:val="00497C08"/>
    <w:rsid w:val="00497C88"/>
    <w:rsid w:val="00497CF8"/>
    <w:rsid w:val="004A04F6"/>
    <w:rsid w:val="004A07C8"/>
    <w:rsid w:val="004A0B6B"/>
    <w:rsid w:val="004A0D71"/>
    <w:rsid w:val="004A0DE6"/>
    <w:rsid w:val="004A1088"/>
    <w:rsid w:val="004A11B8"/>
    <w:rsid w:val="004A16FF"/>
    <w:rsid w:val="004A1747"/>
    <w:rsid w:val="004A1C11"/>
    <w:rsid w:val="004A2274"/>
    <w:rsid w:val="004A22E0"/>
    <w:rsid w:val="004A3197"/>
    <w:rsid w:val="004A359F"/>
    <w:rsid w:val="004A36D3"/>
    <w:rsid w:val="004A37BB"/>
    <w:rsid w:val="004A3906"/>
    <w:rsid w:val="004A39F6"/>
    <w:rsid w:val="004A3A23"/>
    <w:rsid w:val="004A3BB1"/>
    <w:rsid w:val="004A3EA5"/>
    <w:rsid w:val="004A40CE"/>
    <w:rsid w:val="004A466D"/>
    <w:rsid w:val="004A4BB5"/>
    <w:rsid w:val="004A4C19"/>
    <w:rsid w:val="004A4F54"/>
    <w:rsid w:val="004A50EF"/>
    <w:rsid w:val="004A5143"/>
    <w:rsid w:val="004A524A"/>
    <w:rsid w:val="004A5459"/>
    <w:rsid w:val="004A5617"/>
    <w:rsid w:val="004A5B4C"/>
    <w:rsid w:val="004A603B"/>
    <w:rsid w:val="004A6379"/>
    <w:rsid w:val="004A63FD"/>
    <w:rsid w:val="004A644A"/>
    <w:rsid w:val="004A654B"/>
    <w:rsid w:val="004A665D"/>
    <w:rsid w:val="004A6972"/>
    <w:rsid w:val="004A71E0"/>
    <w:rsid w:val="004A7262"/>
    <w:rsid w:val="004A745C"/>
    <w:rsid w:val="004A75D3"/>
    <w:rsid w:val="004A7716"/>
    <w:rsid w:val="004A7D4A"/>
    <w:rsid w:val="004B0106"/>
    <w:rsid w:val="004B0C17"/>
    <w:rsid w:val="004B0CE7"/>
    <w:rsid w:val="004B0DD3"/>
    <w:rsid w:val="004B0E21"/>
    <w:rsid w:val="004B0FB1"/>
    <w:rsid w:val="004B1189"/>
    <w:rsid w:val="004B1271"/>
    <w:rsid w:val="004B185D"/>
    <w:rsid w:val="004B1FA1"/>
    <w:rsid w:val="004B2194"/>
    <w:rsid w:val="004B2C55"/>
    <w:rsid w:val="004B2EDC"/>
    <w:rsid w:val="004B3146"/>
    <w:rsid w:val="004B316E"/>
    <w:rsid w:val="004B325D"/>
    <w:rsid w:val="004B34AD"/>
    <w:rsid w:val="004B3521"/>
    <w:rsid w:val="004B3638"/>
    <w:rsid w:val="004B3639"/>
    <w:rsid w:val="004B3FDD"/>
    <w:rsid w:val="004B4019"/>
    <w:rsid w:val="004B42FE"/>
    <w:rsid w:val="004B49C3"/>
    <w:rsid w:val="004B49E4"/>
    <w:rsid w:val="004B49EE"/>
    <w:rsid w:val="004B4A49"/>
    <w:rsid w:val="004B4FB1"/>
    <w:rsid w:val="004B50CA"/>
    <w:rsid w:val="004B5148"/>
    <w:rsid w:val="004B51C2"/>
    <w:rsid w:val="004B565B"/>
    <w:rsid w:val="004B5ACD"/>
    <w:rsid w:val="004B5B8E"/>
    <w:rsid w:val="004B5E47"/>
    <w:rsid w:val="004B64F1"/>
    <w:rsid w:val="004B674A"/>
    <w:rsid w:val="004B6861"/>
    <w:rsid w:val="004B6904"/>
    <w:rsid w:val="004B693C"/>
    <w:rsid w:val="004B71C4"/>
    <w:rsid w:val="004B7208"/>
    <w:rsid w:val="004B7216"/>
    <w:rsid w:val="004B7412"/>
    <w:rsid w:val="004B75C3"/>
    <w:rsid w:val="004B7738"/>
    <w:rsid w:val="004C0279"/>
    <w:rsid w:val="004C07BE"/>
    <w:rsid w:val="004C08F5"/>
    <w:rsid w:val="004C0A69"/>
    <w:rsid w:val="004C0B9D"/>
    <w:rsid w:val="004C16A4"/>
    <w:rsid w:val="004C1B6A"/>
    <w:rsid w:val="004C21CC"/>
    <w:rsid w:val="004C25AB"/>
    <w:rsid w:val="004C2BB9"/>
    <w:rsid w:val="004C3C38"/>
    <w:rsid w:val="004C3DED"/>
    <w:rsid w:val="004C42B7"/>
    <w:rsid w:val="004C4537"/>
    <w:rsid w:val="004C48A1"/>
    <w:rsid w:val="004C49B5"/>
    <w:rsid w:val="004C5547"/>
    <w:rsid w:val="004C557D"/>
    <w:rsid w:val="004C56B0"/>
    <w:rsid w:val="004C56F1"/>
    <w:rsid w:val="004C58B8"/>
    <w:rsid w:val="004C58F7"/>
    <w:rsid w:val="004C5EB5"/>
    <w:rsid w:val="004C5FE5"/>
    <w:rsid w:val="004C6066"/>
    <w:rsid w:val="004C61F6"/>
    <w:rsid w:val="004C652F"/>
    <w:rsid w:val="004C65B9"/>
    <w:rsid w:val="004C67CE"/>
    <w:rsid w:val="004C6C71"/>
    <w:rsid w:val="004C6D3C"/>
    <w:rsid w:val="004C7770"/>
    <w:rsid w:val="004C7963"/>
    <w:rsid w:val="004C7B97"/>
    <w:rsid w:val="004C7E30"/>
    <w:rsid w:val="004D0773"/>
    <w:rsid w:val="004D09A7"/>
    <w:rsid w:val="004D0AB5"/>
    <w:rsid w:val="004D0C43"/>
    <w:rsid w:val="004D151B"/>
    <w:rsid w:val="004D17D1"/>
    <w:rsid w:val="004D17E0"/>
    <w:rsid w:val="004D182C"/>
    <w:rsid w:val="004D1A33"/>
    <w:rsid w:val="004D1D49"/>
    <w:rsid w:val="004D2079"/>
    <w:rsid w:val="004D207B"/>
    <w:rsid w:val="004D2228"/>
    <w:rsid w:val="004D26F2"/>
    <w:rsid w:val="004D270F"/>
    <w:rsid w:val="004D275A"/>
    <w:rsid w:val="004D28C3"/>
    <w:rsid w:val="004D2906"/>
    <w:rsid w:val="004D2B2F"/>
    <w:rsid w:val="004D312A"/>
    <w:rsid w:val="004D341D"/>
    <w:rsid w:val="004D38FA"/>
    <w:rsid w:val="004D3A0C"/>
    <w:rsid w:val="004D3F76"/>
    <w:rsid w:val="004D4121"/>
    <w:rsid w:val="004D425B"/>
    <w:rsid w:val="004D4275"/>
    <w:rsid w:val="004D43C0"/>
    <w:rsid w:val="004D461D"/>
    <w:rsid w:val="004D4635"/>
    <w:rsid w:val="004D4D26"/>
    <w:rsid w:val="004D51D3"/>
    <w:rsid w:val="004D545E"/>
    <w:rsid w:val="004D5BAA"/>
    <w:rsid w:val="004D5CDB"/>
    <w:rsid w:val="004D5D94"/>
    <w:rsid w:val="004D62C2"/>
    <w:rsid w:val="004D655F"/>
    <w:rsid w:val="004D69A6"/>
    <w:rsid w:val="004D7554"/>
    <w:rsid w:val="004D75B5"/>
    <w:rsid w:val="004D7B6A"/>
    <w:rsid w:val="004D7C42"/>
    <w:rsid w:val="004D7F29"/>
    <w:rsid w:val="004E0094"/>
    <w:rsid w:val="004E09B8"/>
    <w:rsid w:val="004E0B00"/>
    <w:rsid w:val="004E0E53"/>
    <w:rsid w:val="004E17B9"/>
    <w:rsid w:val="004E1872"/>
    <w:rsid w:val="004E1C61"/>
    <w:rsid w:val="004E2076"/>
    <w:rsid w:val="004E2B15"/>
    <w:rsid w:val="004E30A2"/>
    <w:rsid w:val="004E3186"/>
    <w:rsid w:val="004E35C3"/>
    <w:rsid w:val="004E37AF"/>
    <w:rsid w:val="004E3EB1"/>
    <w:rsid w:val="004E4411"/>
    <w:rsid w:val="004E4782"/>
    <w:rsid w:val="004E48BC"/>
    <w:rsid w:val="004E5703"/>
    <w:rsid w:val="004E57AB"/>
    <w:rsid w:val="004E5C96"/>
    <w:rsid w:val="004E6085"/>
    <w:rsid w:val="004E62AF"/>
    <w:rsid w:val="004E62D4"/>
    <w:rsid w:val="004E6410"/>
    <w:rsid w:val="004E6426"/>
    <w:rsid w:val="004E6469"/>
    <w:rsid w:val="004E656D"/>
    <w:rsid w:val="004E6F10"/>
    <w:rsid w:val="004E71C0"/>
    <w:rsid w:val="004E728F"/>
    <w:rsid w:val="004E762B"/>
    <w:rsid w:val="004E770A"/>
    <w:rsid w:val="004E7A07"/>
    <w:rsid w:val="004E7E1C"/>
    <w:rsid w:val="004F06C8"/>
    <w:rsid w:val="004F0B03"/>
    <w:rsid w:val="004F0B3F"/>
    <w:rsid w:val="004F0E2D"/>
    <w:rsid w:val="004F0ED2"/>
    <w:rsid w:val="004F0ED7"/>
    <w:rsid w:val="004F10C1"/>
    <w:rsid w:val="004F1153"/>
    <w:rsid w:val="004F149A"/>
    <w:rsid w:val="004F1692"/>
    <w:rsid w:val="004F1E40"/>
    <w:rsid w:val="004F1E9D"/>
    <w:rsid w:val="004F2407"/>
    <w:rsid w:val="004F2598"/>
    <w:rsid w:val="004F3049"/>
    <w:rsid w:val="004F32B2"/>
    <w:rsid w:val="004F3ADD"/>
    <w:rsid w:val="004F47CF"/>
    <w:rsid w:val="004F4B06"/>
    <w:rsid w:val="004F4C14"/>
    <w:rsid w:val="004F512F"/>
    <w:rsid w:val="004F5532"/>
    <w:rsid w:val="004F56CA"/>
    <w:rsid w:val="004F5AF7"/>
    <w:rsid w:val="004F5D7B"/>
    <w:rsid w:val="004F6391"/>
    <w:rsid w:val="004F68E2"/>
    <w:rsid w:val="004F69D7"/>
    <w:rsid w:val="004F6DAB"/>
    <w:rsid w:val="004F6FDA"/>
    <w:rsid w:val="004F71AD"/>
    <w:rsid w:val="004F71ED"/>
    <w:rsid w:val="004F79E7"/>
    <w:rsid w:val="004F7A9B"/>
    <w:rsid w:val="004F7C6C"/>
    <w:rsid w:val="005003BD"/>
    <w:rsid w:val="00500A00"/>
    <w:rsid w:val="005012C8"/>
    <w:rsid w:val="0050141E"/>
    <w:rsid w:val="00501AB7"/>
    <w:rsid w:val="0050200D"/>
    <w:rsid w:val="00502349"/>
    <w:rsid w:val="00502372"/>
    <w:rsid w:val="00502821"/>
    <w:rsid w:val="0050293A"/>
    <w:rsid w:val="00502996"/>
    <w:rsid w:val="005032A9"/>
    <w:rsid w:val="00503325"/>
    <w:rsid w:val="005039A0"/>
    <w:rsid w:val="00503A57"/>
    <w:rsid w:val="00503EBA"/>
    <w:rsid w:val="005042CA"/>
    <w:rsid w:val="005044DE"/>
    <w:rsid w:val="005047FE"/>
    <w:rsid w:val="00504A3B"/>
    <w:rsid w:val="00505167"/>
    <w:rsid w:val="005056AD"/>
    <w:rsid w:val="00505D1C"/>
    <w:rsid w:val="00505DC5"/>
    <w:rsid w:val="0050647E"/>
    <w:rsid w:val="005067F6"/>
    <w:rsid w:val="00506A0A"/>
    <w:rsid w:val="00507234"/>
    <w:rsid w:val="005072A6"/>
    <w:rsid w:val="005072C9"/>
    <w:rsid w:val="00507373"/>
    <w:rsid w:val="005075DA"/>
    <w:rsid w:val="005075F8"/>
    <w:rsid w:val="00507730"/>
    <w:rsid w:val="00507B1E"/>
    <w:rsid w:val="00507E27"/>
    <w:rsid w:val="00507F9E"/>
    <w:rsid w:val="00510493"/>
    <w:rsid w:val="00510ACA"/>
    <w:rsid w:val="00510D70"/>
    <w:rsid w:val="00510F9F"/>
    <w:rsid w:val="00511337"/>
    <w:rsid w:val="005117A5"/>
    <w:rsid w:val="005120EA"/>
    <w:rsid w:val="005123A5"/>
    <w:rsid w:val="005128B9"/>
    <w:rsid w:val="00512E54"/>
    <w:rsid w:val="00512E72"/>
    <w:rsid w:val="00512E9F"/>
    <w:rsid w:val="00513187"/>
    <w:rsid w:val="00513580"/>
    <w:rsid w:val="0051358A"/>
    <w:rsid w:val="00513B94"/>
    <w:rsid w:val="005141EB"/>
    <w:rsid w:val="005143E8"/>
    <w:rsid w:val="00514891"/>
    <w:rsid w:val="00514C98"/>
    <w:rsid w:val="00514D42"/>
    <w:rsid w:val="00514F47"/>
    <w:rsid w:val="0051542D"/>
    <w:rsid w:val="00515472"/>
    <w:rsid w:val="00515875"/>
    <w:rsid w:val="00515C31"/>
    <w:rsid w:val="005161A2"/>
    <w:rsid w:val="00516280"/>
    <w:rsid w:val="005163A5"/>
    <w:rsid w:val="005164FC"/>
    <w:rsid w:val="00516654"/>
    <w:rsid w:val="00516732"/>
    <w:rsid w:val="00516818"/>
    <w:rsid w:val="00516A38"/>
    <w:rsid w:val="00516B4E"/>
    <w:rsid w:val="00516D22"/>
    <w:rsid w:val="00516E2D"/>
    <w:rsid w:val="00516E2E"/>
    <w:rsid w:val="00516FFC"/>
    <w:rsid w:val="005176F2"/>
    <w:rsid w:val="00517BD0"/>
    <w:rsid w:val="005201B9"/>
    <w:rsid w:val="00520755"/>
    <w:rsid w:val="00520970"/>
    <w:rsid w:val="00521066"/>
    <w:rsid w:val="0052134A"/>
    <w:rsid w:val="005217BA"/>
    <w:rsid w:val="00521987"/>
    <w:rsid w:val="00521F29"/>
    <w:rsid w:val="005222C7"/>
    <w:rsid w:val="00522362"/>
    <w:rsid w:val="00522710"/>
    <w:rsid w:val="00522D4D"/>
    <w:rsid w:val="005230B7"/>
    <w:rsid w:val="005233E6"/>
    <w:rsid w:val="00523498"/>
    <w:rsid w:val="0052361B"/>
    <w:rsid w:val="0052367E"/>
    <w:rsid w:val="0052408E"/>
    <w:rsid w:val="005241A9"/>
    <w:rsid w:val="00524C01"/>
    <w:rsid w:val="00524EDD"/>
    <w:rsid w:val="005251D4"/>
    <w:rsid w:val="0052565A"/>
    <w:rsid w:val="00525795"/>
    <w:rsid w:val="005259F8"/>
    <w:rsid w:val="00525B05"/>
    <w:rsid w:val="00525B3E"/>
    <w:rsid w:val="00525F83"/>
    <w:rsid w:val="005264D7"/>
    <w:rsid w:val="005267B8"/>
    <w:rsid w:val="00526E2B"/>
    <w:rsid w:val="00530058"/>
    <w:rsid w:val="00530267"/>
    <w:rsid w:val="005307AD"/>
    <w:rsid w:val="00530905"/>
    <w:rsid w:val="00530ECA"/>
    <w:rsid w:val="0053102A"/>
    <w:rsid w:val="0053108D"/>
    <w:rsid w:val="005313C5"/>
    <w:rsid w:val="00531443"/>
    <w:rsid w:val="0053171C"/>
    <w:rsid w:val="005322A9"/>
    <w:rsid w:val="005327DD"/>
    <w:rsid w:val="00533013"/>
    <w:rsid w:val="00533155"/>
    <w:rsid w:val="00533179"/>
    <w:rsid w:val="0053397A"/>
    <w:rsid w:val="00533C7B"/>
    <w:rsid w:val="00534234"/>
    <w:rsid w:val="0053424D"/>
    <w:rsid w:val="005349F9"/>
    <w:rsid w:val="00534B72"/>
    <w:rsid w:val="00534BE5"/>
    <w:rsid w:val="00535113"/>
    <w:rsid w:val="005358E3"/>
    <w:rsid w:val="00535A5B"/>
    <w:rsid w:val="005361C2"/>
    <w:rsid w:val="0053655B"/>
    <w:rsid w:val="00536C2C"/>
    <w:rsid w:val="00536CB2"/>
    <w:rsid w:val="0053731D"/>
    <w:rsid w:val="00537638"/>
    <w:rsid w:val="00537C84"/>
    <w:rsid w:val="00537F01"/>
    <w:rsid w:val="00537FCB"/>
    <w:rsid w:val="0054040E"/>
    <w:rsid w:val="00540A31"/>
    <w:rsid w:val="005417E4"/>
    <w:rsid w:val="005418EC"/>
    <w:rsid w:val="00541AC5"/>
    <w:rsid w:val="00541BE3"/>
    <w:rsid w:val="0054207A"/>
    <w:rsid w:val="00542087"/>
    <w:rsid w:val="00542227"/>
    <w:rsid w:val="005423D0"/>
    <w:rsid w:val="00542552"/>
    <w:rsid w:val="00542732"/>
    <w:rsid w:val="00543998"/>
    <w:rsid w:val="00543A2A"/>
    <w:rsid w:val="00543BD2"/>
    <w:rsid w:val="00544043"/>
    <w:rsid w:val="005443FC"/>
    <w:rsid w:val="0054447A"/>
    <w:rsid w:val="0054454D"/>
    <w:rsid w:val="00544584"/>
    <w:rsid w:val="00544CB2"/>
    <w:rsid w:val="00544E8C"/>
    <w:rsid w:val="00545116"/>
    <w:rsid w:val="0054518B"/>
    <w:rsid w:val="0054534D"/>
    <w:rsid w:val="005453F6"/>
    <w:rsid w:val="0054565F"/>
    <w:rsid w:val="0054582A"/>
    <w:rsid w:val="00545C9A"/>
    <w:rsid w:val="00545E64"/>
    <w:rsid w:val="0054624A"/>
    <w:rsid w:val="005464DC"/>
    <w:rsid w:val="005465B6"/>
    <w:rsid w:val="00546656"/>
    <w:rsid w:val="005468CF"/>
    <w:rsid w:val="00546BE1"/>
    <w:rsid w:val="0054733F"/>
    <w:rsid w:val="00547E57"/>
    <w:rsid w:val="0055087D"/>
    <w:rsid w:val="00550962"/>
    <w:rsid w:val="005512E3"/>
    <w:rsid w:val="0055163D"/>
    <w:rsid w:val="005525F3"/>
    <w:rsid w:val="00552723"/>
    <w:rsid w:val="00552779"/>
    <w:rsid w:val="005528F0"/>
    <w:rsid w:val="00552CA2"/>
    <w:rsid w:val="005536ED"/>
    <w:rsid w:val="00553969"/>
    <w:rsid w:val="00553CDE"/>
    <w:rsid w:val="00553EA5"/>
    <w:rsid w:val="0055427E"/>
    <w:rsid w:val="00554462"/>
    <w:rsid w:val="00554551"/>
    <w:rsid w:val="005545A2"/>
    <w:rsid w:val="0055468A"/>
    <w:rsid w:val="005549A5"/>
    <w:rsid w:val="00554C0F"/>
    <w:rsid w:val="00555022"/>
    <w:rsid w:val="0055592E"/>
    <w:rsid w:val="00555C64"/>
    <w:rsid w:val="00555CBD"/>
    <w:rsid w:val="00555E75"/>
    <w:rsid w:val="00556091"/>
    <w:rsid w:val="00556230"/>
    <w:rsid w:val="005563BF"/>
    <w:rsid w:val="005564A6"/>
    <w:rsid w:val="0055658D"/>
    <w:rsid w:val="005569CC"/>
    <w:rsid w:val="00556D0F"/>
    <w:rsid w:val="00556D3C"/>
    <w:rsid w:val="005576A5"/>
    <w:rsid w:val="005576CD"/>
    <w:rsid w:val="00557A2E"/>
    <w:rsid w:val="00557B7F"/>
    <w:rsid w:val="00557E72"/>
    <w:rsid w:val="0056021F"/>
    <w:rsid w:val="00560298"/>
    <w:rsid w:val="0056055F"/>
    <w:rsid w:val="005606E0"/>
    <w:rsid w:val="00560BBA"/>
    <w:rsid w:val="00560E83"/>
    <w:rsid w:val="005611A2"/>
    <w:rsid w:val="00562416"/>
    <w:rsid w:val="00563006"/>
    <w:rsid w:val="005631D5"/>
    <w:rsid w:val="00563414"/>
    <w:rsid w:val="00563A72"/>
    <w:rsid w:val="00563B03"/>
    <w:rsid w:val="00563CB0"/>
    <w:rsid w:val="00563E0E"/>
    <w:rsid w:val="0056469B"/>
    <w:rsid w:val="0056502D"/>
    <w:rsid w:val="005652F4"/>
    <w:rsid w:val="005654C1"/>
    <w:rsid w:val="00565608"/>
    <w:rsid w:val="00566054"/>
    <w:rsid w:val="00566268"/>
    <w:rsid w:val="0056697D"/>
    <w:rsid w:val="00566D15"/>
    <w:rsid w:val="00566D95"/>
    <w:rsid w:val="00566E60"/>
    <w:rsid w:val="0056709C"/>
    <w:rsid w:val="00567334"/>
    <w:rsid w:val="00567440"/>
    <w:rsid w:val="00567500"/>
    <w:rsid w:val="00567DDB"/>
    <w:rsid w:val="00567DFC"/>
    <w:rsid w:val="00570067"/>
    <w:rsid w:val="0057098A"/>
    <w:rsid w:val="00570F7E"/>
    <w:rsid w:val="005712E4"/>
    <w:rsid w:val="005717DD"/>
    <w:rsid w:val="00571E3C"/>
    <w:rsid w:val="00571F4E"/>
    <w:rsid w:val="00571F5B"/>
    <w:rsid w:val="00571FC3"/>
    <w:rsid w:val="00572C0B"/>
    <w:rsid w:val="00572F07"/>
    <w:rsid w:val="00573272"/>
    <w:rsid w:val="00573432"/>
    <w:rsid w:val="005736B6"/>
    <w:rsid w:val="005737FC"/>
    <w:rsid w:val="0057384D"/>
    <w:rsid w:val="00573ABF"/>
    <w:rsid w:val="00573BF0"/>
    <w:rsid w:val="00574254"/>
    <w:rsid w:val="005742E0"/>
    <w:rsid w:val="00574476"/>
    <w:rsid w:val="00574996"/>
    <w:rsid w:val="00574DDB"/>
    <w:rsid w:val="00574ED6"/>
    <w:rsid w:val="00574F9E"/>
    <w:rsid w:val="005751EF"/>
    <w:rsid w:val="00575A89"/>
    <w:rsid w:val="00575F5D"/>
    <w:rsid w:val="005761EB"/>
    <w:rsid w:val="00576C22"/>
    <w:rsid w:val="00577187"/>
    <w:rsid w:val="00577367"/>
    <w:rsid w:val="00577A88"/>
    <w:rsid w:val="00577E46"/>
    <w:rsid w:val="00580026"/>
    <w:rsid w:val="00580079"/>
    <w:rsid w:val="0058038E"/>
    <w:rsid w:val="00580876"/>
    <w:rsid w:val="0058093C"/>
    <w:rsid w:val="00580DF2"/>
    <w:rsid w:val="0058133E"/>
    <w:rsid w:val="00581B79"/>
    <w:rsid w:val="005822A3"/>
    <w:rsid w:val="005822DD"/>
    <w:rsid w:val="00582761"/>
    <w:rsid w:val="00582930"/>
    <w:rsid w:val="00582B61"/>
    <w:rsid w:val="00582E2F"/>
    <w:rsid w:val="00582E71"/>
    <w:rsid w:val="00583183"/>
    <w:rsid w:val="005833A3"/>
    <w:rsid w:val="00583639"/>
    <w:rsid w:val="005836F7"/>
    <w:rsid w:val="0058377B"/>
    <w:rsid w:val="00583E4C"/>
    <w:rsid w:val="00584038"/>
    <w:rsid w:val="00584A35"/>
    <w:rsid w:val="00584C03"/>
    <w:rsid w:val="0058517E"/>
    <w:rsid w:val="00585285"/>
    <w:rsid w:val="00585540"/>
    <w:rsid w:val="00585742"/>
    <w:rsid w:val="00585DB0"/>
    <w:rsid w:val="00585FF1"/>
    <w:rsid w:val="005861EC"/>
    <w:rsid w:val="00586401"/>
    <w:rsid w:val="005864FB"/>
    <w:rsid w:val="00586746"/>
    <w:rsid w:val="00586A8F"/>
    <w:rsid w:val="00586C1B"/>
    <w:rsid w:val="00586C97"/>
    <w:rsid w:val="00586F66"/>
    <w:rsid w:val="00587277"/>
    <w:rsid w:val="00587740"/>
    <w:rsid w:val="00587A4C"/>
    <w:rsid w:val="00590216"/>
    <w:rsid w:val="00590644"/>
    <w:rsid w:val="00590A5A"/>
    <w:rsid w:val="00590BD9"/>
    <w:rsid w:val="005910EF"/>
    <w:rsid w:val="00591BBA"/>
    <w:rsid w:val="00591E1E"/>
    <w:rsid w:val="0059293A"/>
    <w:rsid w:val="00592996"/>
    <w:rsid w:val="00592A01"/>
    <w:rsid w:val="00592E06"/>
    <w:rsid w:val="00592E34"/>
    <w:rsid w:val="00592F63"/>
    <w:rsid w:val="00593670"/>
    <w:rsid w:val="005937BF"/>
    <w:rsid w:val="00593C43"/>
    <w:rsid w:val="0059450C"/>
    <w:rsid w:val="00594D3E"/>
    <w:rsid w:val="005950A5"/>
    <w:rsid w:val="00595A06"/>
    <w:rsid w:val="00595FA1"/>
    <w:rsid w:val="0059600B"/>
    <w:rsid w:val="00596254"/>
    <w:rsid w:val="00596E1D"/>
    <w:rsid w:val="005972EA"/>
    <w:rsid w:val="0059797C"/>
    <w:rsid w:val="00597D3A"/>
    <w:rsid w:val="00597D74"/>
    <w:rsid w:val="005A00AD"/>
    <w:rsid w:val="005A07EC"/>
    <w:rsid w:val="005A0D22"/>
    <w:rsid w:val="005A15DB"/>
    <w:rsid w:val="005A169B"/>
    <w:rsid w:val="005A1947"/>
    <w:rsid w:val="005A237E"/>
    <w:rsid w:val="005A242A"/>
    <w:rsid w:val="005A2D0C"/>
    <w:rsid w:val="005A2E14"/>
    <w:rsid w:val="005A2FE3"/>
    <w:rsid w:val="005A31D4"/>
    <w:rsid w:val="005A31D8"/>
    <w:rsid w:val="005A3294"/>
    <w:rsid w:val="005A3318"/>
    <w:rsid w:val="005A33C5"/>
    <w:rsid w:val="005A37BF"/>
    <w:rsid w:val="005A39CE"/>
    <w:rsid w:val="005A431A"/>
    <w:rsid w:val="005A432D"/>
    <w:rsid w:val="005A4331"/>
    <w:rsid w:val="005A46F3"/>
    <w:rsid w:val="005A48DD"/>
    <w:rsid w:val="005A49F2"/>
    <w:rsid w:val="005A4CDF"/>
    <w:rsid w:val="005A5043"/>
    <w:rsid w:val="005A5451"/>
    <w:rsid w:val="005A5792"/>
    <w:rsid w:val="005A59BA"/>
    <w:rsid w:val="005A5B8A"/>
    <w:rsid w:val="005A5CB9"/>
    <w:rsid w:val="005A5F78"/>
    <w:rsid w:val="005A66C6"/>
    <w:rsid w:val="005A6771"/>
    <w:rsid w:val="005A6EDD"/>
    <w:rsid w:val="005A6FAF"/>
    <w:rsid w:val="005A71B1"/>
    <w:rsid w:val="005A728D"/>
    <w:rsid w:val="005A7335"/>
    <w:rsid w:val="005A7E2F"/>
    <w:rsid w:val="005A7FA3"/>
    <w:rsid w:val="005B00CC"/>
    <w:rsid w:val="005B03D5"/>
    <w:rsid w:val="005B0766"/>
    <w:rsid w:val="005B0B6E"/>
    <w:rsid w:val="005B0D88"/>
    <w:rsid w:val="005B15D4"/>
    <w:rsid w:val="005B17A1"/>
    <w:rsid w:val="005B17A8"/>
    <w:rsid w:val="005B19C0"/>
    <w:rsid w:val="005B1A63"/>
    <w:rsid w:val="005B1B28"/>
    <w:rsid w:val="005B1CEA"/>
    <w:rsid w:val="005B1DAF"/>
    <w:rsid w:val="005B2097"/>
    <w:rsid w:val="005B21B2"/>
    <w:rsid w:val="005B2283"/>
    <w:rsid w:val="005B2653"/>
    <w:rsid w:val="005B2AB4"/>
    <w:rsid w:val="005B3429"/>
    <w:rsid w:val="005B381F"/>
    <w:rsid w:val="005B3A9D"/>
    <w:rsid w:val="005B3AD2"/>
    <w:rsid w:val="005B4223"/>
    <w:rsid w:val="005B4AFB"/>
    <w:rsid w:val="005B4F6F"/>
    <w:rsid w:val="005B5002"/>
    <w:rsid w:val="005B5567"/>
    <w:rsid w:val="005B65B4"/>
    <w:rsid w:val="005B6B13"/>
    <w:rsid w:val="005B6DA0"/>
    <w:rsid w:val="005B6E5C"/>
    <w:rsid w:val="005B6F6B"/>
    <w:rsid w:val="005B72C0"/>
    <w:rsid w:val="005B730A"/>
    <w:rsid w:val="005B7B3E"/>
    <w:rsid w:val="005B7D27"/>
    <w:rsid w:val="005C03AA"/>
    <w:rsid w:val="005C0541"/>
    <w:rsid w:val="005C0A11"/>
    <w:rsid w:val="005C0E3C"/>
    <w:rsid w:val="005C110C"/>
    <w:rsid w:val="005C12C6"/>
    <w:rsid w:val="005C1641"/>
    <w:rsid w:val="005C18A6"/>
    <w:rsid w:val="005C2145"/>
    <w:rsid w:val="005C2149"/>
    <w:rsid w:val="005C22CE"/>
    <w:rsid w:val="005C2366"/>
    <w:rsid w:val="005C2461"/>
    <w:rsid w:val="005C2C5F"/>
    <w:rsid w:val="005C31CD"/>
    <w:rsid w:val="005C3288"/>
    <w:rsid w:val="005C3442"/>
    <w:rsid w:val="005C3849"/>
    <w:rsid w:val="005C3A31"/>
    <w:rsid w:val="005C3FBA"/>
    <w:rsid w:val="005C4377"/>
    <w:rsid w:val="005C4F17"/>
    <w:rsid w:val="005C51DC"/>
    <w:rsid w:val="005C5456"/>
    <w:rsid w:val="005C55BB"/>
    <w:rsid w:val="005C58DE"/>
    <w:rsid w:val="005C6578"/>
    <w:rsid w:val="005C67A6"/>
    <w:rsid w:val="005C6A4D"/>
    <w:rsid w:val="005C6D8E"/>
    <w:rsid w:val="005C6E73"/>
    <w:rsid w:val="005C7134"/>
    <w:rsid w:val="005C716C"/>
    <w:rsid w:val="005C7344"/>
    <w:rsid w:val="005C7558"/>
    <w:rsid w:val="005C7C39"/>
    <w:rsid w:val="005D01E2"/>
    <w:rsid w:val="005D038F"/>
    <w:rsid w:val="005D03C2"/>
    <w:rsid w:val="005D097B"/>
    <w:rsid w:val="005D0A6B"/>
    <w:rsid w:val="005D0B2C"/>
    <w:rsid w:val="005D0CFF"/>
    <w:rsid w:val="005D0D0F"/>
    <w:rsid w:val="005D151A"/>
    <w:rsid w:val="005D1658"/>
    <w:rsid w:val="005D1A51"/>
    <w:rsid w:val="005D1C87"/>
    <w:rsid w:val="005D2537"/>
    <w:rsid w:val="005D2651"/>
    <w:rsid w:val="005D2A06"/>
    <w:rsid w:val="005D30E8"/>
    <w:rsid w:val="005D31E4"/>
    <w:rsid w:val="005D3454"/>
    <w:rsid w:val="005D3883"/>
    <w:rsid w:val="005D3D06"/>
    <w:rsid w:val="005D426D"/>
    <w:rsid w:val="005D434F"/>
    <w:rsid w:val="005D463D"/>
    <w:rsid w:val="005D478D"/>
    <w:rsid w:val="005D4AAF"/>
    <w:rsid w:val="005D4DCD"/>
    <w:rsid w:val="005D505B"/>
    <w:rsid w:val="005D50D2"/>
    <w:rsid w:val="005D550D"/>
    <w:rsid w:val="005D552A"/>
    <w:rsid w:val="005D563A"/>
    <w:rsid w:val="005D5867"/>
    <w:rsid w:val="005D5BDD"/>
    <w:rsid w:val="005D5E53"/>
    <w:rsid w:val="005D61EF"/>
    <w:rsid w:val="005D6293"/>
    <w:rsid w:val="005D665B"/>
    <w:rsid w:val="005D6662"/>
    <w:rsid w:val="005D67D0"/>
    <w:rsid w:val="005D6975"/>
    <w:rsid w:val="005D6A3A"/>
    <w:rsid w:val="005D6AD0"/>
    <w:rsid w:val="005D6B93"/>
    <w:rsid w:val="005D6EA9"/>
    <w:rsid w:val="005D73E9"/>
    <w:rsid w:val="005E0141"/>
    <w:rsid w:val="005E0212"/>
    <w:rsid w:val="005E02CE"/>
    <w:rsid w:val="005E0373"/>
    <w:rsid w:val="005E048F"/>
    <w:rsid w:val="005E06C9"/>
    <w:rsid w:val="005E0715"/>
    <w:rsid w:val="005E0C7B"/>
    <w:rsid w:val="005E0CE4"/>
    <w:rsid w:val="005E0DC8"/>
    <w:rsid w:val="005E128A"/>
    <w:rsid w:val="005E15B2"/>
    <w:rsid w:val="005E1791"/>
    <w:rsid w:val="005E1862"/>
    <w:rsid w:val="005E1EBC"/>
    <w:rsid w:val="005E235B"/>
    <w:rsid w:val="005E270C"/>
    <w:rsid w:val="005E2DC0"/>
    <w:rsid w:val="005E3718"/>
    <w:rsid w:val="005E3E8D"/>
    <w:rsid w:val="005E4468"/>
    <w:rsid w:val="005E448C"/>
    <w:rsid w:val="005E44F1"/>
    <w:rsid w:val="005E45E4"/>
    <w:rsid w:val="005E483B"/>
    <w:rsid w:val="005E4CC6"/>
    <w:rsid w:val="005E5233"/>
    <w:rsid w:val="005E5503"/>
    <w:rsid w:val="005E6891"/>
    <w:rsid w:val="005E6E0A"/>
    <w:rsid w:val="005E778C"/>
    <w:rsid w:val="005E7D8C"/>
    <w:rsid w:val="005E7E29"/>
    <w:rsid w:val="005E7F8B"/>
    <w:rsid w:val="005F0338"/>
    <w:rsid w:val="005F0541"/>
    <w:rsid w:val="005F1003"/>
    <w:rsid w:val="005F158A"/>
    <w:rsid w:val="005F16BC"/>
    <w:rsid w:val="005F1CD3"/>
    <w:rsid w:val="005F1EBB"/>
    <w:rsid w:val="005F1FA8"/>
    <w:rsid w:val="005F22F5"/>
    <w:rsid w:val="005F32AF"/>
    <w:rsid w:val="005F34D6"/>
    <w:rsid w:val="005F3AEA"/>
    <w:rsid w:val="005F3EE7"/>
    <w:rsid w:val="005F46B4"/>
    <w:rsid w:val="005F5040"/>
    <w:rsid w:val="005F5284"/>
    <w:rsid w:val="005F5285"/>
    <w:rsid w:val="005F54AF"/>
    <w:rsid w:val="005F56EB"/>
    <w:rsid w:val="005F5D64"/>
    <w:rsid w:val="005F6292"/>
    <w:rsid w:val="005F6667"/>
    <w:rsid w:val="005F67C4"/>
    <w:rsid w:val="005F70CF"/>
    <w:rsid w:val="005F71E6"/>
    <w:rsid w:val="005F7660"/>
    <w:rsid w:val="005F7748"/>
    <w:rsid w:val="005F79BD"/>
    <w:rsid w:val="005F7A0B"/>
    <w:rsid w:val="005F7ACF"/>
    <w:rsid w:val="005F7CC3"/>
    <w:rsid w:val="005F7E8B"/>
    <w:rsid w:val="0060012E"/>
    <w:rsid w:val="00600568"/>
    <w:rsid w:val="00600744"/>
    <w:rsid w:val="00600B18"/>
    <w:rsid w:val="00600CDF"/>
    <w:rsid w:val="006015E5"/>
    <w:rsid w:val="00601B7D"/>
    <w:rsid w:val="00601F2E"/>
    <w:rsid w:val="00602E98"/>
    <w:rsid w:val="00603188"/>
    <w:rsid w:val="00603293"/>
    <w:rsid w:val="00603A1A"/>
    <w:rsid w:val="00603B35"/>
    <w:rsid w:val="006049F0"/>
    <w:rsid w:val="00604BEA"/>
    <w:rsid w:val="00604CC9"/>
    <w:rsid w:val="00605948"/>
    <w:rsid w:val="00605ABF"/>
    <w:rsid w:val="00605D11"/>
    <w:rsid w:val="00605EDC"/>
    <w:rsid w:val="006067B0"/>
    <w:rsid w:val="006067BB"/>
    <w:rsid w:val="00606896"/>
    <w:rsid w:val="006072D6"/>
    <w:rsid w:val="006073E7"/>
    <w:rsid w:val="00607522"/>
    <w:rsid w:val="0060775F"/>
    <w:rsid w:val="00607BFF"/>
    <w:rsid w:val="00610519"/>
    <w:rsid w:val="006105BA"/>
    <w:rsid w:val="00610DBF"/>
    <w:rsid w:val="00610E87"/>
    <w:rsid w:val="00610F8D"/>
    <w:rsid w:val="00611552"/>
    <w:rsid w:val="006118D4"/>
    <w:rsid w:val="0061192E"/>
    <w:rsid w:val="00611CAA"/>
    <w:rsid w:val="00611E74"/>
    <w:rsid w:val="0061209D"/>
    <w:rsid w:val="006123C4"/>
    <w:rsid w:val="00612577"/>
    <w:rsid w:val="00612722"/>
    <w:rsid w:val="00613277"/>
    <w:rsid w:val="006132A7"/>
    <w:rsid w:val="0061371A"/>
    <w:rsid w:val="00613A14"/>
    <w:rsid w:val="00613B9A"/>
    <w:rsid w:val="006144B9"/>
    <w:rsid w:val="00614A38"/>
    <w:rsid w:val="00614BFA"/>
    <w:rsid w:val="00615827"/>
    <w:rsid w:val="00615A49"/>
    <w:rsid w:val="00615A59"/>
    <w:rsid w:val="00615CCB"/>
    <w:rsid w:val="00615F3F"/>
    <w:rsid w:val="00615F73"/>
    <w:rsid w:val="00616283"/>
    <w:rsid w:val="0061636A"/>
    <w:rsid w:val="006163F7"/>
    <w:rsid w:val="0061677A"/>
    <w:rsid w:val="006168E8"/>
    <w:rsid w:val="00616D6F"/>
    <w:rsid w:val="00616ECB"/>
    <w:rsid w:val="00617033"/>
    <w:rsid w:val="0061719E"/>
    <w:rsid w:val="00617328"/>
    <w:rsid w:val="006175CE"/>
    <w:rsid w:val="0061781E"/>
    <w:rsid w:val="00617866"/>
    <w:rsid w:val="00617F90"/>
    <w:rsid w:val="00620039"/>
    <w:rsid w:val="00620215"/>
    <w:rsid w:val="006204C4"/>
    <w:rsid w:val="0062075B"/>
    <w:rsid w:val="006207B4"/>
    <w:rsid w:val="006209B8"/>
    <w:rsid w:val="00621B46"/>
    <w:rsid w:val="00621C8E"/>
    <w:rsid w:val="00622688"/>
    <w:rsid w:val="00622964"/>
    <w:rsid w:val="00622BDA"/>
    <w:rsid w:val="00622BDC"/>
    <w:rsid w:val="00622CEF"/>
    <w:rsid w:val="00622FFF"/>
    <w:rsid w:val="0062341A"/>
    <w:rsid w:val="006236B0"/>
    <w:rsid w:val="0062374F"/>
    <w:rsid w:val="0062378C"/>
    <w:rsid w:val="00623A97"/>
    <w:rsid w:val="00623E5F"/>
    <w:rsid w:val="00624285"/>
    <w:rsid w:val="00624530"/>
    <w:rsid w:val="00624951"/>
    <w:rsid w:val="0062500F"/>
    <w:rsid w:val="0062548B"/>
    <w:rsid w:val="00625756"/>
    <w:rsid w:val="006258E1"/>
    <w:rsid w:val="00625B4A"/>
    <w:rsid w:val="006263B6"/>
    <w:rsid w:val="006267D7"/>
    <w:rsid w:val="006267E8"/>
    <w:rsid w:val="00626AAF"/>
    <w:rsid w:val="00626BD0"/>
    <w:rsid w:val="00626E17"/>
    <w:rsid w:val="00626E90"/>
    <w:rsid w:val="00626F82"/>
    <w:rsid w:val="00626FC1"/>
    <w:rsid w:val="00627148"/>
    <w:rsid w:val="006271BA"/>
    <w:rsid w:val="0062722A"/>
    <w:rsid w:val="0062735E"/>
    <w:rsid w:val="00627607"/>
    <w:rsid w:val="0062775B"/>
    <w:rsid w:val="00627A5D"/>
    <w:rsid w:val="00627A7F"/>
    <w:rsid w:val="00630162"/>
    <w:rsid w:val="006303FF"/>
    <w:rsid w:val="0063051B"/>
    <w:rsid w:val="00630AB6"/>
    <w:rsid w:val="00630EBD"/>
    <w:rsid w:val="00630ED5"/>
    <w:rsid w:val="00630ED7"/>
    <w:rsid w:val="00631E72"/>
    <w:rsid w:val="00632592"/>
    <w:rsid w:val="006325A5"/>
    <w:rsid w:val="006328A2"/>
    <w:rsid w:val="00632A99"/>
    <w:rsid w:val="00632BAC"/>
    <w:rsid w:val="00633309"/>
    <w:rsid w:val="0063347C"/>
    <w:rsid w:val="00633B97"/>
    <w:rsid w:val="00633EAF"/>
    <w:rsid w:val="0063412D"/>
    <w:rsid w:val="00634441"/>
    <w:rsid w:val="00634547"/>
    <w:rsid w:val="0063454C"/>
    <w:rsid w:val="00634AE4"/>
    <w:rsid w:val="00634B47"/>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B60"/>
    <w:rsid w:val="00640FA7"/>
    <w:rsid w:val="006411C1"/>
    <w:rsid w:val="00641695"/>
    <w:rsid w:val="006419CA"/>
    <w:rsid w:val="00641D9D"/>
    <w:rsid w:val="00641FA3"/>
    <w:rsid w:val="00642722"/>
    <w:rsid w:val="00642892"/>
    <w:rsid w:val="0064296D"/>
    <w:rsid w:val="00643073"/>
    <w:rsid w:val="006438D3"/>
    <w:rsid w:val="00643921"/>
    <w:rsid w:val="00643CF2"/>
    <w:rsid w:val="00644B51"/>
    <w:rsid w:val="00644F13"/>
    <w:rsid w:val="006451CF"/>
    <w:rsid w:val="00645C59"/>
    <w:rsid w:val="00645C8C"/>
    <w:rsid w:val="00645D63"/>
    <w:rsid w:val="00646914"/>
    <w:rsid w:val="00646AE1"/>
    <w:rsid w:val="00646F3C"/>
    <w:rsid w:val="00647190"/>
    <w:rsid w:val="006472B1"/>
    <w:rsid w:val="006477F7"/>
    <w:rsid w:val="006479AE"/>
    <w:rsid w:val="00647AD0"/>
    <w:rsid w:val="00647E93"/>
    <w:rsid w:val="006500B3"/>
    <w:rsid w:val="00650613"/>
    <w:rsid w:val="00650E18"/>
    <w:rsid w:val="00650FAC"/>
    <w:rsid w:val="00651051"/>
    <w:rsid w:val="006519E6"/>
    <w:rsid w:val="00651D62"/>
    <w:rsid w:val="00651E44"/>
    <w:rsid w:val="00651E96"/>
    <w:rsid w:val="00651F63"/>
    <w:rsid w:val="00652459"/>
    <w:rsid w:val="00652567"/>
    <w:rsid w:val="0065299E"/>
    <w:rsid w:val="00652A75"/>
    <w:rsid w:val="00652C13"/>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9CC"/>
    <w:rsid w:val="00656223"/>
    <w:rsid w:val="00656EAD"/>
    <w:rsid w:val="006573F0"/>
    <w:rsid w:val="00657F74"/>
    <w:rsid w:val="00660B49"/>
    <w:rsid w:val="00660E73"/>
    <w:rsid w:val="006611B0"/>
    <w:rsid w:val="006612A0"/>
    <w:rsid w:val="0066130B"/>
    <w:rsid w:val="006616CC"/>
    <w:rsid w:val="00661A5C"/>
    <w:rsid w:val="00661F52"/>
    <w:rsid w:val="00662402"/>
    <w:rsid w:val="00662947"/>
    <w:rsid w:val="006630ED"/>
    <w:rsid w:val="006631D1"/>
    <w:rsid w:val="00663786"/>
    <w:rsid w:val="0066427C"/>
    <w:rsid w:val="00664368"/>
    <w:rsid w:val="006647A6"/>
    <w:rsid w:val="006647B7"/>
    <w:rsid w:val="0066518E"/>
    <w:rsid w:val="00665197"/>
    <w:rsid w:val="00665294"/>
    <w:rsid w:val="00665585"/>
    <w:rsid w:val="00665C06"/>
    <w:rsid w:val="00666128"/>
    <w:rsid w:val="00666308"/>
    <w:rsid w:val="00666FE0"/>
    <w:rsid w:val="0066705A"/>
    <w:rsid w:val="006670E4"/>
    <w:rsid w:val="006673C9"/>
    <w:rsid w:val="00667493"/>
    <w:rsid w:val="006676AD"/>
    <w:rsid w:val="00670008"/>
    <w:rsid w:val="00670249"/>
    <w:rsid w:val="0067028E"/>
    <w:rsid w:val="00670398"/>
    <w:rsid w:val="00670526"/>
    <w:rsid w:val="00670E38"/>
    <w:rsid w:val="00670FC6"/>
    <w:rsid w:val="006710AF"/>
    <w:rsid w:val="006712B7"/>
    <w:rsid w:val="0067136D"/>
    <w:rsid w:val="00671440"/>
    <w:rsid w:val="00671648"/>
    <w:rsid w:val="006716CA"/>
    <w:rsid w:val="00671AC0"/>
    <w:rsid w:val="00672005"/>
    <w:rsid w:val="006724B0"/>
    <w:rsid w:val="00672704"/>
    <w:rsid w:val="00672BAC"/>
    <w:rsid w:val="00672BB8"/>
    <w:rsid w:val="00672BFE"/>
    <w:rsid w:val="00673901"/>
    <w:rsid w:val="00673F7D"/>
    <w:rsid w:val="00674001"/>
    <w:rsid w:val="00674859"/>
    <w:rsid w:val="0067485D"/>
    <w:rsid w:val="00674A13"/>
    <w:rsid w:val="00674A39"/>
    <w:rsid w:val="00674AA5"/>
    <w:rsid w:val="00674CFB"/>
    <w:rsid w:val="00674F65"/>
    <w:rsid w:val="0067510B"/>
    <w:rsid w:val="0067561B"/>
    <w:rsid w:val="006756AE"/>
    <w:rsid w:val="00675ABF"/>
    <w:rsid w:val="00676140"/>
    <w:rsid w:val="00676141"/>
    <w:rsid w:val="0067635B"/>
    <w:rsid w:val="006763F1"/>
    <w:rsid w:val="00676528"/>
    <w:rsid w:val="006769C4"/>
    <w:rsid w:val="00676C49"/>
    <w:rsid w:val="00677094"/>
    <w:rsid w:val="006775E8"/>
    <w:rsid w:val="00677671"/>
    <w:rsid w:val="00677750"/>
    <w:rsid w:val="00677A59"/>
    <w:rsid w:val="00677A87"/>
    <w:rsid w:val="00680032"/>
    <w:rsid w:val="006805CB"/>
    <w:rsid w:val="00680BE7"/>
    <w:rsid w:val="00680C9A"/>
    <w:rsid w:val="00681217"/>
    <w:rsid w:val="0068144F"/>
    <w:rsid w:val="00681686"/>
    <w:rsid w:val="00681883"/>
    <w:rsid w:val="00681D33"/>
    <w:rsid w:val="0068257F"/>
    <w:rsid w:val="0068297F"/>
    <w:rsid w:val="00682BC0"/>
    <w:rsid w:val="006830C3"/>
    <w:rsid w:val="0068347B"/>
    <w:rsid w:val="00683845"/>
    <w:rsid w:val="0068407E"/>
    <w:rsid w:val="00684103"/>
    <w:rsid w:val="0068419A"/>
    <w:rsid w:val="00684342"/>
    <w:rsid w:val="0068434A"/>
    <w:rsid w:val="0068464B"/>
    <w:rsid w:val="00684CE2"/>
    <w:rsid w:val="00684CF3"/>
    <w:rsid w:val="00684E06"/>
    <w:rsid w:val="0068501B"/>
    <w:rsid w:val="00685385"/>
    <w:rsid w:val="00685496"/>
    <w:rsid w:val="00685529"/>
    <w:rsid w:val="00685B3D"/>
    <w:rsid w:val="00685CF2"/>
    <w:rsid w:val="006865CB"/>
    <w:rsid w:val="006868E0"/>
    <w:rsid w:val="00686A4F"/>
    <w:rsid w:val="00686E66"/>
    <w:rsid w:val="006871B3"/>
    <w:rsid w:val="0068755F"/>
    <w:rsid w:val="006877E9"/>
    <w:rsid w:val="006901B8"/>
    <w:rsid w:val="006902ED"/>
    <w:rsid w:val="0069030E"/>
    <w:rsid w:val="006906ED"/>
    <w:rsid w:val="006909E5"/>
    <w:rsid w:val="00690C65"/>
    <w:rsid w:val="00690CBB"/>
    <w:rsid w:val="00690DE6"/>
    <w:rsid w:val="0069118B"/>
    <w:rsid w:val="006913CF"/>
    <w:rsid w:val="00691B0A"/>
    <w:rsid w:val="00691B84"/>
    <w:rsid w:val="00691B98"/>
    <w:rsid w:val="006920B3"/>
    <w:rsid w:val="0069225A"/>
    <w:rsid w:val="006929F8"/>
    <w:rsid w:val="00692EAB"/>
    <w:rsid w:val="00692F58"/>
    <w:rsid w:val="00693127"/>
    <w:rsid w:val="0069318A"/>
    <w:rsid w:val="00693BAD"/>
    <w:rsid w:val="00693D98"/>
    <w:rsid w:val="006945F0"/>
    <w:rsid w:val="00694A85"/>
    <w:rsid w:val="00694EE2"/>
    <w:rsid w:val="00695192"/>
    <w:rsid w:val="00695567"/>
    <w:rsid w:val="006956F9"/>
    <w:rsid w:val="00695709"/>
    <w:rsid w:val="00696679"/>
    <w:rsid w:val="006969CE"/>
    <w:rsid w:val="00696E2B"/>
    <w:rsid w:val="00696EC6"/>
    <w:rsid w:val="0069760C"/>
    <w:rsid w:val="0069764A"/>
    <w:rsid w:val="00697672"/>
    <w:rsid w:val="00697741"/>
    <w:rsid w:val="00697E5B"/>
    <w:rsid w:val="00697F97"/>
    <w:rsid w:val="00697FEB"/>
    <w:rsid w:val="006A099A"/>
    <w:rsid w:val="006A09B7"/>
    <w:rsid w:val="006A0D48"/>
    <w:rsid w:val="006A0F80"/>
    <w:rsid w:val="006A169B"/>
    <w:rsid w:val="006A1A1E"/>
    <w:rsid w:val="006A1DC5"/>
    <w:rsid w:val="006A20CB"/>
    <w:rsid w:val="006A249B"/>
    <w:rsid w:val="006A28C7"/>
    <w:rsid w:val="006A2AEA"/>
    <w:rsid w:val="006A2D48"/>
    <w:rsid w:val="006A336C"/>
    <w:rsid w:val="006A35DD"/>
    <w:rsid w:val="006A3AED"/>
    <w:rsid w:val="006A3C16"/>
    <w:rsid w:val="006A3DC7"/>
    <w:rsid w:val="006A3EC7"/>
    <w:rsid w:val="006A4643"/>
    <w:rsid w:val="006A496D"/>
    <w:rsid w:val="006A4C4C"/>
    <w:rsid w:val="006A4D3D"/>
    <w:rsid w:val="006A5052"/>
    <w:rsid w:val="006A5494"/>
    <w:rsid w:val="006A5F37"/>
    <w:rsid w:val="006A67EB"/>
    <w:rsid w:val="006A71ED"/>
    <w:rsid w:val="006A766B"/>
    <w:rsid w:val="006A7872"/>
    <w:rsid w:val="006A7961"/>
    <w:rsid w:val="006A7A28"/>
    <w:rsid w:val="006A7DC5"/>
    <w:rsid w:val="006A7E03"/>
    <w:rsid w:val="006B0012"/>
    <w:rsid w:val="006B10CC"/>
    <w:rsid w:val="006B10EE"/>
    <w:rsid w:val="006B11E1"/>
    <w:rsid w:val="006B176E"/>
    <w:rsid w:val="006B2649"/>
    <w:rsid w:val="006B26A9"/>
    <w:rsid w:val="006B331C"/>
    <w:rsid w:val="006B339D"/>
    <w:rsid w:val="006B34B1"/>
    <w:rsid w:val="006B38BF"/>
    <w:rsid w:val="006B3BDA"/>
    <w:rsid w:val="006B4041"/>
    <w:rsid w:val="006B417D"/>
    <w:rsid w:val="006B4440"/>
    <w:rsid w:val="006B44B0"/>
    <w:rsid w:val="006B4D08"/>
    <w:rsid w:val="006B4DA2"/>
    <w:rsid w:val="006B4F7C"/>
    <w:rsid w:val="006B51E3"/>
    <w:rsid w:val="006B5AE4"/>
    <w:rsid w:val="006B5F1E"/>
    <w:rsid w:val="006B5FB4"/>
    <w:rsid w:val="006B61D0"/>
    <w:rsid w:val="006B6A59"/>
    <w:rsid w:val="006B7021"/>
    <w:rsid w:val="006B7410"/>
    <w:rsid w:val="006B7581"/>
    <w:rsid w:val="006B765C"/>
    <w:rsid w:val="006B793B"/>
    <w:rsid w:val="006B7C42"/>
    <w:rsid w:val="006C02C3"/>
    <w:rsid w:val="006C10EA"/>
    <w:rsid w:val="006C15CF"/>
    <w:rsid w:val="006C1741"/>
    <w:rsid w:val="006C176A"/>
    <w:rsid w:val="006C2065"/>
    <w:rsid w:val="006C2663"/>
    <w:rsid w:val="006C26E5"/>
    <w:rsid w:val="006C2A81"/>
    <w:rsid w:val="006C2CEC"/>
    <w:rsid w:val="006C2F38"/>
    <w:rsid w:val="006C30F9"/>
    <w:rsid w:val="006C397D"/>
    <w:rsid w:val="006C3AF8"/>
    <w:rsid w:val="006C3B34"/>
    <w:rsid w:val="006C3F03"/>
    <w:rsid w:val="006C4DB9"/>
    <w:rsid w:val="006C5C94"/>
    <w:rsid w:val="006C5DE1"/>
    <w:rsid w:val="006C5E59"/>
    <w:rsid w:val="006C66DF"/>
    <w:rsid w:val="006C6994"/>
    <w:rsid w:val="006C69A7"/>
    <w:rsid w:val="006C6E5D"/>
    <w:rsid w:val="006C71FB"/>
    <w:rsid w:val="006C7DE4"/>
    <w:rsid w:val="006C7FF6"/>
    <w:rsid w:val="006D0447"/>
    <w:rsid w:val="006D06CD"/>
    <w:rsid w:val="006D081E"/>
    <w:rsid w:val="006D0DC5"/>
    <w:rsid w:val="006D109C"/>
    <w:rsid w:val="006D10E9"/>
    <w:rsid w:val="006D12F2"/>
    <w:rsid w:val="006D16AD"/>
    <w:rsid w:val="006D1C0E"/>
    <w:rsid w:val="006D2654"/>
    <w:rsid w:val="006D2953"/>
    <w:rsid w:val="006D2CBF"/>
    <w:rsid w:val="006D33B5"/>
    <w:rsid w:val="006D3DDC"/>
    <w:rsid w:val="006D40FE"/>
    <w:rsid w:val="006D4169"/>
    <w:rsid w:val="006D419F"/>
    <w:rsid w:val="006D4519"/>
    <w:rsid w:val="006D4F2D"/>
    <w:rsid w:val="006D505E"/>
    <w:rsid w:val="006D6354"/>
    <w:rsid w:val="006D6477"/>
    <w:rsid w:val="006D697B"/>
    <w:rsid w:val="006D6B99"/>
    <w:rsid w:val="006D6D75"/>
    <w:rsid w:val="006D6F57"/>
    <w:rsid w:val="006D755E"/>
    <w:rsid w:val="006D7E73"/>
    <w:rsid w:val="006E0485"/>
    <w:rsid w:val="006E0B82"/>
    <w:rsid w:val="006E0BD7"/>
    <w:rsid w:val="006E0F3B"/>
    <w:rsid w:val="006E14A5"/>
    <w:rsid w:val="006E152A"/>
    <w:rsid w:val="006E1CFA"/>
    <w:rsid w:val="006E21EE"/>
    <w:rsid w:val="006E23ED"/>
    <w:rsid w:val="006E24BC"/>
    <w:rsid w:val="006E29FB"/>
    <w:rsid w:val="006E2BBE"/>
    <w:rsid w:val="006E2C29"/>
    <w:rsid w:val="006E2CB5"/>
    <w:rsid w:val="006E2DF7"/>
    <w:rsid w:val="006E3399"/>
    <w:rsid w:val="006E341D"/>
    <w:rsid w:val="006E48ED"/>
    <w:rsid w:val="006E49B5"/>
    <w:rsid w:val="006E4A61"/>
    <w:rsid w:val="006E50BB"/>
    <w:rsid w:val="006E50D6"/>
    <w:rsid w:val="006E510A"/>
    <w:rsid w:val="006E51EC"/>
    <w:rsid w:val="006E557A"/>
    <w:rsid w:val="006E5B07"/>
    <w:rsid w:val="006E5E43"/>
    <w:rsid w:val="006E5F28"/>
    <w:rsid w:val="006E6E8F"/>
    <w:rsid w:val="006E7031"/>
    <w:rsid w:val="006E7077"/>
    <w:rsid w:val="006E743A"/>
    <w:rsid w:val="006F050E"/>
    <w:rsid w:val="006F072B"/>
    <w:rsid w:val="006F077D"/>
    <w:rsid w:val="006F0798"/>
    <w:rsid w:val="006F08C2"/>
    <w:rsid w:val="006F08DE"/>
    <w:rsid w:val="006F0AC4"/>
    <w:rsid w:val="006F0B92"/>
    <w:rsid w:val="006F10B1"/>
    <w:rsid w:val="006F1127"/>
    <w:rsid w:val="006F1134"/>
    <w:rsid w:val="006F14DE"/>
    <w:rsid w:val="006F188E"/>
    <w:rsid w:val="006F220B"/>
    <w:rsid w:val="006F2585"/>
    <w:rsid w:val="006F2610"/>
    <w:rsid w:val="006F2634"/>
    <w:rsid w:val="006F2673"/>
    <w:rsid w:val="006F2AF7"/>
    <w:rsid w:val="006F2B74"/>
    <w:rsid w:val="006F2D4B"/>
    <w:rsid w:val="006F2D69"/>
    <w:rsid w:val="006F3159"/>
    <w:rsid w:val="006F3604"/>
    <w:rsid w:val="006F37CE"/>
    <w:rsid w:val="006F3B31"/>
    <w:rsid w:val="006F3F48"/>
    <w:rsid w:val="006F4ED0"/>
    <w:rsid w:val="006F520B"/>
    <w:rsid w:val="006F56C1"/>
    <w:rsid w:val="006F6037"/>
    <w:rsid w:val="006F6D5A"/>
    <w:rsid w:val="006F76CA"/>
    <w:rsid w:val="006F7871"/>
    <w:rsid w:val="006F7A64"/>
    <w:rsid w:val="006F7C52"/>
    <w:rsid w:val="00700188"/>
    <w:rsid w:val="0070035C"/>
    <w:rsid w:val="0070079B"/>
    <w:rsid w:val="0070089E"/>
    <w:rsid w:val="007010D9"/>
    <w:rsid w:val="0070138B"/>
    <w:rsid w:val="007015C7"/>
    <w:rsid w:val="007017FA"/>
    <w:rsid w:val="00701997"/>
    <w:rsid w:val="00701C6D"/>
    <w:rsid w:val="00701F7F"/>
    <w:rsid w:val="007020C2"/>
    <w:rsid w:val="007020F0"/>
    <w:rsid w:val="0070212B"/>
    <w:rsid w:val="007023DA"/>
    <w:rsid w:val="0070249D"/>
    <w:rsid w:val="007025E4"/>
    <w:rsid w:val="00702685"/>
    <w:rsid w:val="00702932"/>
    <w:rsid w:val="00702F79"/>
    <w:rsid w:val="00702FE6"/>
    <w:rsid w:val="00703657"/>
    <w:rsid w:val="007038C8"/>
    <w:rsid w:val="0070440D"/>
    <w:rsid w:val="00704958"/>
    <w:rsid w:val="00704CD7"/>
    <w:rsid w:val="00704F27"/>
    <w:rsid w:val="00705435"/>
    <w:rsid w:val="00705611"/>
    <w:rsid w:val="0070586E"/>
    <w:rsid w:val="00705F00"/>
    <w:rsid w:val="00705F68"/>
    <w:rsid w:val="00705F74"/>
    <w:rsid w:val="00706FA4"/>
    <w:rsid w:val="00707552"/>
    <w:rsid w:val="00707863"/>
    <w:rsid w:val="007100BF"/>
    <w:rsid w:val="0071058D"/>
    <w:rsid w:val="0071079D"/>
    <w:rsid w:val="007108E4"/>
    <w:rsid w:val="00710E2D"/>
    <w:rsid w:val="007115F3"/>
    <w:rsid w:val="00711937"/>
    <w:rsid w:val="0071198E"/>
    <w:rsid w:val="007119DE"/>
    <w:rsid w:val="00711B33"/>
    <w:rsid w:val="00711E71"/>
    <w:rsid w:val="00711E7B"/>
    <w:rsid w:val="00711ED7"/>
    <w:rsid w:val="0071205E"/>
    <w:rsid w:val="007120B4"/>
    <w:rsid w:val="007124C3"/>
    <w:rsid w:val="0071255E"/>
    <w:rsid w:val="007125BD"/>
    <w:rsid w:val="007129C5"/>
    <w:rsid w:val="00712E30"/>
    <w:rsid w:val="00712E79"/>
    <w:rsid w:val="00712EA1"/>
    <w:rsid w:val="00713437"/>
    <w:rsid w:val="0071384B"/>
    <w:rsid w:val="00714193"/>
    <w:rsid w:val="007142ED"/>
    <w:rsid w:val="00714731"/>
    <w:rsid w:val="007147BA"/>
    <w:rsid w:val="00714BA1"/>
    <w:rsid w:val="00714F4E"/>
    <w:rsid w:val="007151D1"/>
    <w:rsid w:val="0071522E"/>
    <w:rsid w:val="00715451"/>
    <w:rsid w:val="00715D72"/>
    <w:rsid w:val="00716006"/>
    <w:rsid w:val="007160AA"/>
    <w:rsid w:val="007163AE"/>
    <w:rsid w:val="00716648"/>
    <w:rsid w:val="00716B6E"/>
    <w:rsid w:val="00717233"/>
    <w:rsid w:val="00717398"/>
    <w:rsid w:val="00717520"/>
    <w:rsid w:val="00717925"/>
    <w:rsid w:val="0072026C"/>
    <w:rsid w:val="007209F7"/>
    <w:rsid w:val="00720BBE"/>
    <w:rsid w:val="00720D5F"/>
    <w:rsid w:val="00720F83"/>
    <w:rsid w:val="0072104B"/>
    <w:rsid w:val="007211FA"/>
    <w:rsid w:val="0072149A"/>
    <w:rsid w:val="00721570"/>
    <w:rsid w:val="00721855"/>
    <w:rsid w:val="00721A42"/>
    <w:rsid w:val="00721A94"/>
    <w:rsid w:val="00721BDF"/>
    <w:rsid w:val="00721CB4"/>
    <w:rsid w:val="00721CFA"/>
    <w:rsid w:val="00721F27"/>
    <w:rsid w:val="00722865"/>
    <w:rsid w:val="00722873"/>
    <w:rsid w:val="00722A9E"/>
    <w:rsid w:val="00722D5C"/>
    <w:rsid w:val="00723565"/>
    <w:rsid w:val="007237BB"/>
    <w:rsid w:val="0072451C"/>
    <w:rsid w:val="0072576C"/>
    <w:rsid w:val="00725933"/>
    <w:rsid w:val="00725A4F"/>
    <w:rsid w:val="00725A78"/>
    <w:rsid w:val="00725FB5"/>
    <w:rsid w:val="00726441"/>
    <w:rsid w:val="0072648E"/>
    <w:rsid w:val="00726A58"/>
    <w:rsid w:val="007278A1"/>
    <w:rsid w:val="00727AA3"/>
    <w:rsid w:val="00727B4C"/>
    <w:rsid w:val="00727C51"/>
    <w:rsid w:val="00727E16"/>
    <w:rsid w:val="007305EC"/>
    <w:rsid w:val="00730682"/>
    <w:rsid w:val="00730891"/>
    <w:rsid w:val="00730D1C"/>
    <w:rsid w:val="007311D4"/>
    <w:rsid w:val="007313CB"/>
    <w:rsid w:val="00731578"/>
    <w:rsid w:val="00731971"/>
    <w:rsid w:val="00731996"/>
    <w:rsid w:val="00731A39"/>
    <w:rsid w:val="0073288F"/>
    <w:rsid w:val="00732B3C"/>
    <w:rsid w:val="00732EDA"/>
    <w:rsid w:val="00733023"/>
    <w:rsid w:val="00733627"/>
    <w:rsid w:val="00733905"/>
    <w:rsid w:val="00733ECF"/>
    <w:rsid w:val="00733ED6"/>
    <w:rsid w:val="007344AB"/>
    <w:rsid w:val="00734605"/>
    <w:rsid w:val="00734B03"/>
    <w:rsid w:val="00734CDF"/>
    <w:rsid w:val="00734E3C"/>
    <w:rsid w:val="0073502E"/>
    <w:rsid w:val="00735340"/>
    <w:rsid w:val="00735458"/>
    <w:rsid w:val="00735487"/>
    <w:rsid w:val="00735BEC"/>
    <w:rsid w:val="00735C7A"/>
    <w:rsid w:val="00735DC1"/>
    <w:rsid w:val="007361AE"/>
    <w:rsid w:val="007363B5"/>
    <w:rsid w:val="0073666E"/>
    <w:rsid w:val="007367BD"/>
    <w:rsid w:val="00736969"/>
    <w:rsid w:val="007370A4"/>
    <w:rsid w:val="00737784"/>
    <w:rsid w:val="007400BB"/>
    <w:rsid w:val="00740559"/>
    <w:rsid w:val="00740574"/>
    <w:rsid w:val="00740790"/>
    <w:rsid w:val="00740949"/>
    <w:rsid w:val="00740AAA"/>
    <w:rsid w:val="00740E8C"/>
    <w:rsid w:val="00741571"/>
    <w:rsid w:val="0074171E"/>
    <w:rsid w:val="007417D7"/>
    <w:rsid w:val="00741D31"/>
    <w:rsid w:val="00742396"/>
    <w:rsid w:val="0074263C"/>
    <w:rsid w:val="007429F3"/>
    <w:rsid w:val="00742ACB"/>
    <w:rsid w:val="00742E49"/>
    <w:rsid w:val="007430EC"/>
    <w:rsid w:val="007432F0"/>
    <w:rsid w:val="0074344C"/>
    <w:rsid w:val="00743741"/>
    <w:rsid w:val="00743988"/>
    <w:rsid w:val="007439EE"/>
    <w:rsid w:val="00743B01"/>
    <w:rsid w:val="00743C7C"/>
    <w:rsid w:val="00743C95"/>
    <w:rsid w:val="00743D0A"/>
    <w:rsid w:val="00743E02"/>
    <w:rsid w:val="00743E31"/>
    <w:rsid w:val="00744386"/>
    <w:rsid w:val="007444CF"/>
    <w:rsid w:val="00744A20"/>
    <w:rsid w:val="00744FBA"/>
    <w:rsid w:val="007450DA"/>
    <w:rsid w:val="0074559B"/>
    <w:rsid w:val="00745A04"/>
    <w:rsid w:val="00745B46"/>
    <w:rsid w:val="007460CF"/>
    <w:rsid w:val="00746229"/>
    <w:rsid w:val="007462D5"/>
    <w:rsid w:val="007469FD"/>
    <w:rsid w:val="00746D5B"/>
    <w:rsid w:val="00746F7F"/>
    <w:rsid w:val="0074757A"/>
    <w:rsid w:val="0074761E"/>
    <w:rsid w:val="00747CA7"/>
    <w:rsid w:val="00747EBD"/>
    <w:rsid w:val="007503B9"/>
    <w:rsid w:val="0075068B"/>
    <w:rsid w:val="00751107"/>
    <w:rsid w:val="007511BD"/>
    <w:rsid w:val="00751526"/>
    <w:rsid w:val="00751728"/>
    <w:rsid w:val="007517B7"/>
    <w:rsid w:val="007518FF"/>
    <w:rsid w:val="00751BCB"/>
    <w:rsid w:val="00752003"/>
    <w:rsid w:val="0075223D"/>
    <w:rsid w:val="00752263"/>
    <w:rsid w:val="0075245C"/>
    <w:rsid w:val="00752528"/>
    <w:rsid w:val="00752608"/>
    <w:rsid w:val="007526C1"/>
    <w:rsid w:val="00752A6D"/>
    <w:rsid w:val="00752C9B"/>
    <w:rsid w:val="007534E6"/>
    <w:rsid w:val="0075364A"/>
    <w:rsid w:val="007539F3"/>
    <w:rsid w:val="00753BDC"/>
    <w:rsid w:val="00754105"/>
    <w:rsid w:val="00755198"/>
    <w:rsid w:val="007558D6"/>
    <w:rsid w:val="007560F9"/>
    <w:rsid w:val="0075627E"/>
    <w:rsid w:val="0075647F"/>
    <w:rsid w:val="00756A57"/>
    <w:rsid w:val="00756CD6"/>
    <w:rsid w:val="00756E56"/>
    <w:rsid w:val="00756ECD"/>
    <w:rsid w:val="00756FF7"/>
    <w:rsid w:val="007575E7"/>
    <w:rsid w:val="00757886"/>
    <w:rsid w:val="00757935"/>
    <w:rsid w:val="00757C8C"/>
    <w:rsid w:val="00757CC8"/>
    <w:rsid w:val="00757D8D"/>
    <w:rsid w:val="00757DAB"/>
    <w:rsid w:val="00760649"/>
    <w:rsid w:val="007607F3"/>
    <w:rsid w:val="00760A91"/>
    <w:rsid w:val="00760DDA"/>
    <w:rsid w:val="00760FE4"/>
    <w:rsid w:val="007626CE"/>
    <w:rsid w:val="007627B0"/>
    <w:rsid w:val="00762821"/>
    <w:rsid w:val="00763624"/>
    <w:rsid w:val="00763783"/>
    <w:rsid w:val="0076419F"/>
    <w:rsid w:val="00764262"/>
    <w:rsid w:val="007644FE"/>
    <w:rsid w:val="00764956"/>
    <w:rsid w:val="00764A15"/>
    <w:rsid w:val="00764F33"/>
    <w:rsid w:val="007652FF"/>
    <w:rsid w:val="00765622"/>
    <w:rsid w:val="00765894"/>
    <w:rsid w:val="00765A2F"/>
    <w:rsid w:val="00765C8C"/>
    <w:rsid w:val="00765D90"/>
    <w:rsid w:val="00765DCA"/>
    <w:rsid w:val="0076634F"/>
    <w:rsid w:val="0076648C"/>
    <w:rsid w:val="0076675B"/>
    <w:rsid w:val="007667A8"/>
    <w:rsid w:val="00766ACF"/>
    <w:rsid w:val="00766C5C"/>
    <w:rsid w:val="00766EE6"/>
    <w:rsid w:val="00767409"/>
    <w:rsid w:val="00767882"/>
    <w:rsid w:val="00767A8D"/>
    <w:rsid w:val="00767BEC"/>
    <w:rsid w:val="00767E08"/>
    <w:rsid w:val="00767EA4"/>
    <w:rsid w:val="00767F24"/>
    <w:rsid w:val="00770190"/>
    <w:rsid w:val="0077064C"/>
    <w:rsid w:val="00770943"/>
    <w:rsid w:val="00770D9D"/>
    <w:rsid w:val="00771296"/>
    <w:rsid w:val="007725E7"/>
    <w:rsid w:val="007726DF"/>
    <w:rsid w:val="00772AC0"/>
    <w:rsid w:val="00772D26"/>
    <w:rsid w:val="00773168"/>
    <w:rsid w:val="007732AE"/>
    <w:rsid w:val="007732C8"/>
    <w:rsid w:val="00773577"/>
    <w:rsid w:val="007738CB"/>
    <w:rsid w:val="007739FE"/>
    <w:rsid w:val="0077472F"/>
    <w:rsid w:val="00774C4A"/>
    <w:rsid w:val="00775526"/>
    <w:rsid w:val="0077554E"/>
    <w:rsid w:val="0077592B"/>
    <w:rsid w:val="00775B10"/>
    <w:rsid w:val="00775D27"/>
    <w:rsid w:val="00775F02"/>
    <w:rsid w:val="00776043"/>
    <w:rsid w:val="007760E6"/>
    <w:rsid w:val="0077614A"/>
    <w:rsid w:val="0077641E"/>
    <w:rsid w:val="00776858"/>
    <w:rsid w:val="00776884"/>
    <w:rsid w:val="007768A9"/>
    <w:rsid w:val="00776C23"/>
    <w:rsid w:val="00776EA0"/>
    <w:rsid w:val="00777298"/>
    <w:rsid w:val="00777523"/>
    <w:rsid w:val="00777552"/>
    <w:rsid w:val="00777774"/>
    <w:rsid w:val="00777A65"/>
    <w:rsid w:val="00777DED"/>
    <w:rsid w:val="00777E14"/>
    <w:rsid w:val="007805C2"/>
    <w:rsid w:val="00780725"/>
    <w:rsid w:val="007807CB"/>
    <w:rsid w:val="00780994"/>
    <w:rsid w:val="00780ECA"/>
    <w:rsid w:val="00781314"/>
    <w:rsid w:val="0078163E"/>
    <w:rsid w:val="00781696"/>
    <w:rsid w:val="007818BA"/>
    <w:rsid w:val="00781A47"/>
    <w:rsid w:val="00782B2F"/>
    <w:rsid w:val="00782C20"/>
    <w:rsid w:val="00782C5E"/>
    <w:rsid w:val="00783058"/>
    <w:rsid w:val="00783232"/>
    <w:rsid w:val="0078362D"/>
    <w:rsid w:val="0078379D"/>
    <w:rsid w:val="007838C8"/>
    <w:rsid w:val="00783E77"/>
    <w:rsid w:val="00784074"/>
    <w:rsid w:val="007840DE"/>
    <w:rsid w:val="00784317"/>
    <w:rsid w:val="0078443E"/>
    <w:rsid w:val="0078490E"/>
    <w:rsid w:val="00784F2E"/>
    <w:rsid w:val="00784F46"/>
    <w:rsid w:val="00785036"/>
    <w:rsid w:val="007853AC"/>
    <w:rsid w:val="007853BD"/>
    <w:rsid w:val="00785829"/>
    <w:rsid w:val="00785A68"/>
    <w:rsid w:val="00785B72"/>
    <w:rsid w:val="00785CDE"/>
    <w:rsid w:val="00786172"/>
    <w:rsid w:val="0078677A"/>
    <w:rsid w:val="007869EB"/>
    <w:rsid w:val="00786BB2"/>
    <w:rsid w:val="00786E38"/>
    <w:rsid w:val="00787155"/>
    <w:rsid w:val="00787412"/>
    <w:rsid w:val="00787975"/>
    <w:rsid w:val="00787B20"/>
    <w:rsid w:val="00787D16"/>
    <w:rsid w:val="00787D7B"/>
    <w:rsid w:val="00790233"/>
    <w:rsid w:val="00790593"/>
    <w:rsid w:val="00790677"/>
    <w:rsid w:val="007909BC"/>
    <w:rsid w:val="00790A4D"/>
    <w:rsid w:val="00790DED"/>
    <w:rsid w:val="00790E5D"/>
    <w:rsid w:val="00791215"/>
    <w:rsid w:val="007913B6"/>
    <w:rsid w:val="007918E6"/>
    <w:rsid w:val="007922F4"/>
    <w:rsid w:val="00792310"/>
    <w:rsid w:val="007932B9"/>
    <w:rsid w:val="00793613"/>
    <w:rsid w:val="00793D46"/>
    <w:rsid w:val="00793DF2"/>
    <w:rsid w:val="00794137"/>
    <w:rsid w:val="007944B7"/>
    <w:rsid w:val="00794848"/>
    <w:rsid w:val="00794C6D"/>
    <w:rsid w:val="00795116"/>
    <w:rsid w:val="007954E0"/>
    <w:rsid w:val="00795ACB"/>
    <w:rsid w:val="00796BB3"/>
    <w:rsid w:val="00796CAE"/>
    <w:rsid w:val="00796D47"/>
    <w:rsid w:val="00796FD4"/>
    <w:rsid w:val="007973E0"/>
    <w:rsid w:val="0079766F"/>
    <w:rsid w:val="007976EA"/>
    <w:rsid w:val="007976EF"/>
    <w:rsid w:val="00797A14"/>
    <w:rsid w:val="00797BED"/>
    <w:rsid w:val="00797C18"/>
    <w:rsid w:val="007A002F"/>
    <w:rsid w:val="007A0039"/>
    <w:rsid w:val="007A012D"/>
    <w:rsid w:val="007A0200"/>
    <w:rsid w:val="007A0961"/>
    <w:rsid w:val="007A0BB7"/>
    <w:rsid w:val="007A0D16"/>
    <w:rsid w:val="007A1AF4"/>
    <w:rsid w:val="007A1C54"/>
    <w:rsid w:val="007A211F"/>
    <w:rsid w:val="007A2135"/>
    <w:rsid w:val="007A24A0"/>
    <w:rsid w:val="007A26E2"/>
    <w:rsid w:val="007A29E3"/>
    <w:rsid w:val="007A2C18"/>
    <w:rsid w:val="007A2FE2"/>
    <w:rsid w:val="007A30A6"/>
    <w:rsid w:val="007A3B17"/>
    <w:rsid w:val="007A3EEE"/>
    <w:rsid w:val="007A3FDE"/>
    <w:rsid w:val="007A45BE"/>
    <w:rsid w:val="007A48B9"/>
    <w:rsid w:val="007A53B0"/>
    <w:rsid w:val="007A5600"/>
    <w:rsid w:val="007A569C"/>
    <w:rsid w:val="007A5892"/>
    <w:rsid w:val="007A58BB"/>
    <w:rsid w:val="007A60DC"/>
    <w:rsid w:val="007A633A"/>
    <w:rsid w:val="007A63AA"/>
    <w:rsid w:val="007A6803"/>
    <w:rsid w:val="007A6B86"/>
    <w:rsid w:val="007A72D1"/>
    <w:rsid w:val="007A7728"/>
    <w:rsid w:val="007A7794"/>
    <w:rsid w:val="007A77F0"/>
    <w:rsid w:val="007A78EA"/>
    <w:rsid w:val="007A78F4"/>
    <w:rsid w:val="007A7BFB"/>
    <w:rsid w:val="007A7C0F"/>
    <w:rsid w:val="007A7F3D"/>
    <w:rsid w:val="007B010C"/>
    <w:rsid w:val="007B01DA"/>
    <w:rsid w:val="007B01E6"/>
    <w:rsid w:val="007B0AAC"/>
    <w:rsid w:val="007B0B54"/>
    <w:rsid w:val="007B0D58"/>
    <w:rsid w:val="007B17E6"/>
    <w:rsid w:val="007B1CCB"/>
    <w:rsid w:val="007B27B0"/>
    <w:rsid w:val="007B2861"/>
    <w:rsid w:val="007B2DDB"/>
    <w:rsid w:val="007B2E8B"/>
    <w:rsid w:val="007B3037"/>
    <w:rsid w:val="007B3303"/>
    <w:rsid w:val="007B330E"/>
    <w:rsid w:val="007B3485"/>
    <w:rsid w:val="007B385D"/>
    <w:rsid w:val="007B3FC7"/>
    <w:rsid w:val="007B3FD2"/>
    <w:rsid w:val="007B425F"/>
    <w:rsid w:val="007B4337"/>
    <w:rsid w:val="007B4678"/>
    <w:rsid w:val="007B4697"/>
    <w:rsid w:val="007B4F06"/>
    <w:rsid w:val="007B528A"/>
    <w:rsid w:val="007B58F6"/>
    <w:rsid w:val="007B5A58"/>
    <w:rsid w:val="007B5C8B"/>
    <w:rsid w:val="007B6145"/>
    <w:rsid w:val="007B6160"/>
    <w:rsid w:val="007B64E7"/>
    <w:rsid w:val="007B664D"/>
    <w:rsid w:val="007B7453"/>
    <w:rsid w:val="007B778A"/>
    <w:rsid w:val="007B7EF8"/>
    <w:rsid w:val="007C026F"/>
    <w:rsid w:val="007C04F2"/>
    <w:rsid w:val="007C07B3"/>
    <w:rsid w:val="007C0C84"/>
    <w:rsid w:val="007C1010"/>
    <w:rsid w:val="007C10EC"/>
    <w:rsid w:val="007C1788"/>
    <w:rsid w:val="007C2256"/>
    <w:rsid w:val="007C3249"/>
    <w:rsid w:val="007C3435"/>
    <w:rsid w:val="007C3D83"/>
    <w:rsid w:val="007C3EC2"/>
    <w:rsid w:val="007C402C"/>
    <w:rsid w:val="007C4617"/>
    <w:rsid w:val="007C495A"/>
    <w:rsid w:val="007C4D29"/>
    <w:rsid w:val="007C4FE5"/>
    <w:rsid w:val="007C5147"/>
    <w:rsid w:val="007C5432"/>
    <w:rsid w:val="007C59C5"/>
    <w:rsid w:val="007C5EB3"/>
    <w:rsid w:val="007C630B"/>
    <w:rsid w:val="007C648D"/>
    <w:rsid w:val="007C67EA"/>
    <w:rsid w:val="007C70A0"/>
    <w:rsid w:val="007C7599"/>
    <w:rsid w:val="007C7A2C"/>
    <w:rsid w:val="007C7BEA"/>
    <w:rsid w:val="007C7D30"/>
    <w:rsid w:val="007C7EB5"/>
    <w:rsid w:val="007C7F04"/>
    <w:rsid w:val="007D03F2"/>
    <w:rsid w:val="007D0647"/>
    <w:rsid w:val="007D0F0D"/>
    <w:rsid w:val="007D101E"/>
    <w:rsid w:val="007D11E8"/>
    <w:rsid w:val="007D1361"/>
    <w:rsid w:val="007D1B2B"/>
    <w:rsid w:val="007D1B5B"/>
    <w:rsid w:val="007D2416"/>
    <w:rsid w:val="007D26E5"/>
    <w:rsid w:val="007D2BB9"/>
    <w:rsid w:val="007D3767"/>
    <w:rsid w:val="007D37A2"/>
    <w:rsid w:val="007D3C79"/>
    <w:rsid w:val="007D4023"/>
    <w:rsid w:val="007D4024"/>
    <w:rsid w:val="007D44DA"/>
    <w:rsid w:val="007D4760"/>
    <w:rsid w:val="007D4956"/>
    <w:rsid w:val="007D4999"/>
    <w:rsid w:val="007D60F4"/>
    <w:rsid w:val="007D6391"/>
    <w:rsid w:val="007D6667"/>
    <w:rsid w:val="007D6F13"/>
    <w:rsid w:val="007D702A"/>
    <w:rsid w:val="007D712C"/>
    <w:rsid w:val="007D75D2"/>
    <w:rsid w:val="007D7B3F"/>
    <w:rsid w:val="007E0094"/>
    <w:rsid w:val="007E0484"/>
    <w:rsid w:val="007E0586"/>
    <w:rsid w:val="007E07BC"/>
    <w:rsid w:val="007E0952"/>
    <w:rsid w:val="007E0AFA"/>
    <w:rsid w:val="007E0C38"/>
    <w:rsid w:val="007E0CF3"/>
    <w:rsid w:val="007E0F7E"/>
    <w:rsid w:val="007E1631"/>
    <w:rsid w:val="007E1764"/>
    <w:rsid w:val="007E1950"/>
    <w:rsid w:val="007E19D6"/>
    <w:rsid w:val="007E1C3F"/>
    <w:rsid w:val="007E3098"/>
    <w:rsid w:val="007E344C"/>
    <w:rsid w:val="007E3557"/>
    <w:rsid w:val="007E3D9B"/>
    <w:rsid w:val="007E3EAB"/>
    <w:rsid w:val="007E3FAC"/>
    <w:rsid w:val="007E4355"/>
    <w:rsid w:val="007E4410"/>
    <w:rsid w:val="007E49C1"/>
    <w:rsid w:val="007E4C3E"/>
    <w:rsid w:val="007E4F7F"/>
    <w:rsid w:val="007E50E5"/>
    <w:rsid w:val="007E51AD"/>
    <w:rsid w:val="007E52ED"/>
    <w:rsid w:val="007E5548"/>
    <w:rsid w:val="007E6627"/>
    <w:rsid w:val="007E6855"/>
    <w:rsid w:val="007E689D"/>
    <w:rsid w:val="007E6AF6"/>
    <w:rsid w:val="007E743D"/>
    <w:rsid w:val="007E7633"/>
    <w:rsid w:val="007E76BA"/>
    <w:rsid w:val="007E7791"/>
    <w:rsid w:val="007F0057"/>
    <w:rsid w:val="007F025F"/>
    <w:rsid w:val="007F07E1"/>
    <w:rsid w:val="007F08C8"/>
    <w:rsid w:val="007F0ED6"/>
    <w:rsid w:val="007F1285"/>
    <w:rsid w:val="007F19D4"/>
    <w:rsid w:val="007F1AF9"/>
    <w:rsid w:val="007F1BC7"/>
    <w:rsid w:val="007F1C26"/>
    <w:rsid w:val="007F2688"/>
    <w:rsid w:val="007F281E"/>
    <w:rsid w:val="007F2D3E"/>
    <w:rsid w:val="007F2D44"/>
    <w:rsid w:val="007F30A4"/>
    <w:rsid w:val="007F3779"/>
    <w:rsid w:val="007F3B56"/>
    <w:rsid w:val="007F3C05"/>
    <w:rsid w:val="007F3D96"/>
    <w:rsid w:val="007F3F7E"/>
    <w:rsid w:val="007F45DA"/>
    <w:rsid w:val="007F4831"/>
    <w:rsid w:val="007F4D32"/>
    <w:rsid w:val="007F50ED"/>
    <w:rsid w:val="007F512A"/>
    <w:rsid w:val="007F5279"/>
    <w:rsid w:val="007F52D4"/>
    <w:rsid w:val="007F52D6"/>
    <w:rsid w:val="007F53B6"/>
    <w:rsid w:val="007F545C"/>
    <w:rsid w:val="007F5841"/>
    <w:rsid w:val="007F5C17"/>
    <w:rsid w:val="007F5D35"/>
    <w:rsid w:val="007F5EF4"/>
    <w:rsid w:val="007F6B5D"/>
    <w:rsid w:val="007F6CA9"/>
    <w:rsid w:val="007F6D02"/>
    <w:rsid w:val="007F70FB"/>
    <w:rsid w:val="007F72EF"/>
    <w:rsid w:val="007F78C1"/>
    <w:rsid w:val="007F7921"/>
    <w:rsid w:val="007F79B7"/>
    <w:rsid w:val="007F7D1D"/>
    <w:rsid w:val="007F7DCB"/>
    <w:rsid w:val="00800109"/>
    <w:rsid w:val="00800157"/>
    <w:rsid w:val="008001D3"/>
    <w:rsid w:val="00800627"/>
    <w:rsid w:val="008009C5"/>
    <w:rsid w:val="00800BA1"/>
    <w:rsid w:val="0080124B"/>
    <w:rsid w:val="008016BA"/>
    <w:rsid w:val="008019FB"/>
    <w:rsid w:val="00801D0C"/>
    <w:rsid w:val="00801D44"/>
    <w:rsid w:val="00801E52"/>
    <w:rsid w:val="008025BE"/>
    <w:rsid w:val="008027D4"/>
    <w:rsid w:val="00802886"/>
    <w:rsid w:val="00802A05"/>
    <w:rsid w:val="00802D27"/>
    <w:rsid w:val="00802E5C"/>
    <w:rsid w:val="00803995"/>
    <w:rsid w:val="00803A87"/>
    <w:rsid w:val="00804294"/>
    <w:rsid w:val="0080439C"/>
    <w:rsid w:val="00804DC4"/>
    <w:rsid w:val="00804DF6"/>
    <w:rsid w:val="00804E20"/>
    <w:rsid w:val="00805167"/>
    <w:rsid w:val="0080574A"/>
    <w:rsid w:val="008058BD"/>
    <w:rsid w:val="00805AAF"/>
    <w:rsid w:val="00805DE0"/>
    <w:rsid w:val="0080618A"/>
    <w:rsid w:val="0080632C"/>
    <w:rsid w:val="00806BCA"/>
    <w:rsid w:val="00806D87"/>
    <w:rsid w:val="00806FAF"/>
    <w:rsid w:val="00807466"/>
    <w:rsid w:val="0080769A"/>
    <w:rsid w:val="00810157"/>
    <w:rsid w:val="0081015B"/>
    <w:rsid w:val="00810A2C"/>
    <w:rsid w:val="008112E7"/>
    <w:rsid w:val="00811B7C"/>
    <w:rsid w:val="00812158"/>
    <w:rsid w:val="00812894"/>
    <w:rsid w:val="00812974"/>
    <w:rsid w:val="008129AE"/>
    <w:rsid w:val="00812A64"/>
    <w:rsid w:val="00812AE1"/>
    <w:rsid w:val="00812BCC"/>
    <w:rsid w:val="00812F2E"/>
    <w:rsid w:val="00813553"/>
    <w:rsid w:val="00813CB5"/>
    <w:rsid w:val="00813CF2"/>
    <w:rsid w:val="00813F99"/>
    <w:rsid w:val="0081415A"/>
    <w:rsid w:val="008144D1"/>
    <w:rsid w:val="008145CC"/>
    <w:rsid w:val="00814761"/>
    <w:rsid w:val="00814AC2"/>
    <w:rsid w:val="00814B6A"/>
    <w:rsid w:val="008150D0"/>
    <w:rsid w:val="008150DE"/>
    <w:rsid w:val="00815392"/>
    <w:rsid w:val="00815453"/>
    <w:rsid w:val="0081549D"/>
    <w:rsid w:val="00815684"/>
    <w:rsid w:val="00815C0C"/>
    <w:rsid w:val="008161CF"/>
    <w:rsid w:val="00816557"/>
    <w:rsid w:val="008167C7"/>
    <w:rsid w:val="00816ADE"/>
    <w:rsid w:val="00816BF1"/>
    <w:rsid w:val="00816EC0"/>
    <w:rsid w:val="0081709C"/>
    <w:rsid w:val="00817467"/>
    <w:rsid w:val="00817FE6"/>
    <w:rsid w:val="008208D7"/>
    <w:rsid w:val="0082091D"/>
    <w:rsid w:val="00820D71"/>
    <w:rsid w:val="00820EFB"/>
    <w:rsid w:val="0082119D"/>
    <w:rsid w:val="0082140A"/>
    <w:rsid w:val="0082151F"/>
    <w:rsid w:val="008216C9"/>
    <w:rsid w:val="008218DC"/>
    <w:rsid w:val="00821A55"/>
    <w:rsid w:val="00822982"/>
    <w:rsid w:val="00823003"/>
    <w:rsid w:val="0082305A"/>
    <w:rsid w:val="00823199"/>
    <w:rsid w:val="00823BE8"/>
    <w:rsid w:val="00823F45"/>
    <w:rsid w:val="008240F8"/>
    <w:rsid w:val="008241AC"/>
    <w:rsid w:val="00824392"/>
    <w:rsid w:val="00824852"/>
    <w:rsid w:val="008248E8"/>
    <w:rsid w:val="0082503F"/>
    <w:rsid w:val="00825126"/>
    <w:rsid w:val="00825372"/>
    <w:rsid w:val="00825507"/>
    <w:rsid w:val="00825D7C"/>
    <w:rsid w:val="00826356"/>
    <w:rsid w:val="00826418"/>
    <w:rsid w:val="008264DD"/>
    <w:rsid w:val="00826D65"/>
    <w:rsid w:val="008270D2"/>
    <w:rsid w:val="008273AB"/>
    <w:rsid w:val="0082763A"/>
    <w:rsid w:val="00830123"/>
    <w:rsid w:val="00830181"/>
    <w:rsid w:val="008305BA"/>
    <w:rsid w:val="008308B8"/>
    <w:rsid w:val="008308D5"/>
    <w:rsid w:val="00830AA2"/>
    <w:rsid w:val="00830C7C"/>
    <w:rsid w:val="00830CB2"/>
    <w:rsid w:val="00830FBF"/>
    <w:rsid w:val="0083129C"/>
    <w:rsid w:val="0083151F"/>
    <w:rsid w:val="00831B86"/>
    <w:rsid w:val="00831D05"/>
    <w:rsid w:val="0083203A"/>
    <w:rsid w:val="008321BD"/>
    <w:rsid w:val="00832699"/>
    <w:rsid w:val="00832CC8"/>
    <w:rsid w:val="00832D53"/>
    <w:rsid w:val="00832DEE"/>
    <w:rsid w:val="00832ECC"/>
    <w:rsid w:val="00832FAF"/>
    <w:rsid w:val="0083316B"/>
    <w:rsid w:val="00833228"/>
    <w:rsid w:val="0083402A"/>
    <w:rsid w:val="00834D24"/>
    <w:rsid w:val="00835EC7"/>
    <w:rsid w:val="008366BB"/>
    <w:rsid w:val="00836730"/>
    <w:rsid w:val="00836A45"/>
    <w:rsid w:val="00836DB3"/>
    <w:rsid w:val="008370A5"/>
    <w:rsid w:val="008374EF"/>
    <w:rsid w:val="0083768B"/>
    <w:rsid w:val="00837D83"/>
    <w:rsid w:val="008405B4"/>
    <w:rsid w:val="008406FD"/>
    <w:rsid w:val="00840A28"/>
    <w:rsid w:val="00840D65"/>
    <w:rsid w:val="008412E1"/>
    <w:rsid w:val="00841467"/>
    <w:rsid w:val="00841A2C"/>
    <w:rsid w:val="00841B09"/>
    <w:rsid w:val="00841B7A"/>
    <w:rsid w:val="00841C04"/>
    <w:rsid w:val="008428DA"/>
    <w:rsid w:val="00843284"/>
    <w:rsid w:val="008436C6"/>
    <w:rsid w:val="008439A4"/>
    <w:rsid w:val="00843A70"/>
    <w:rsid w:val="00843AD4"/>
    <w:rsid w:val="00843AF5"/>
    <w:rsid w:val="00843B32"/>
    <w:rsid w:val="00844276"/>
    <w:rsid w:val="0084494B"/>
    <w:rsid w:val="00844958"/>
    <w:rsid w:val="0084498F"/>
    <w:rsid w:val="0084541A"/>
    <w:rsid w:val="0084585F"/>
    <w:rsid w:val="00845E04"/>
    <w:rsid w:val="00846445"/>
    <w:rsid w:val="00846507"/>
    <w:rsid w:val="0084696E"/>
    <w:rsid w:val="008471A0"/>
    <w:rsid w:val="00847308"/>
    <w:rsid w:val="0084735E"/>
    <w:rsid w:val="0084736F"/>
    <w:rsid w:val="00847696"/>
    <w:rsid w:val="00847A27"/>
    <w:rsid w:val="00847BEB"/>
    <w:rsid w:val="00850828"/>
    <w:rsid w:val="00850A8F"/>
    <w:rsid w:val="0085119F"/>
    <w:rsid w:val="008517F2"/>
    <w:rsid w:val="00851A56"/>
    <w:rsid w:val="00851AE7"/>
    <w:rsid w:val="00851CD7"/>
    <w:rsid w:val="00851D3B"/>
    <w:rsid w:val="00852BF0"/>
    <w:rsid w:val="0085318C"/>
    <w:rsid w:val="008531BF"/>
    <w:rsid w:val="00853610"/>
    <w:rsid w:val="00853D77"/>
    <w:rsid w:val="008542B0"/>
    <w:rsid w:val="008545C8"/>
    <w:rsid w:val="00854AF6"/>
    <w:rsid w:val="008551A7"/>
    <w:rsid w:val="00855409"/>
    <w:rsid w:val="008559B1"/>
    <w:rsid w:val="00855BBD"/>
    <w:rsid w:val="00856B21"/>
    <w:rsid w:val="00856BC1"/>
    <w:rsid w:val="00856BCB"/>
    <w:rsid w:val="008570DB"/>
    <w:rsid w:val="0085734D"/>
    <w:rsid w:val="008575C3"/>
    <w:rsid w:val="00860593"/>
    <w:rsid w:val="00860CB4"/>
    <w:rsid w:val="00860E91"/>
    <w:rsid w:val="00860F82"/>
    <w:rsid w:val="0086112A"/>
    <w:rsid w:val="008613FB"/>
    <w:rsid w:val="0086140A"/>
    <w:rsid w:val="0086152D"/>
    <w:rsid w:val="0086156B"/>
    <w:rsid w:val="0086160F"/>
    <w:rsid w:val="008619B2"/>
    <w:rsid w:val="00861FBE"/>
    <w:rsid w:val="0086263B"/>
    <w:rsid w:val="00862938"/>
    <w:rsid w:val="00862B35"/>
    <w:rsid w:val="00862C30"/>
    <w:rsid w:val="00862E31"/>
    <w:rsid w:val="008633B8"/>
    <w:rsid w:val="00863599"/>
    <w:rsid w:val="00863EF5"/>
    <w:rsid w:val="008640C4"/>
    <w:rsid w:val="0086433E"/>
    <w:rsid w:val="0086460F"/>
    <w:rsid w:val="008648B0"/>
    <w:rsid w:val="00864AD1"/>
    <w:rsid w:val="00864DF2"/>
    <w:rsid w:val="0086523F"/>
    <w:rsid w:val="00865BF6"/>
    <w:rsid w:val="00865E0E"/>
    <w:rsid w:val="00865E41"/>
    <w:rsid w:val="00865EA0"/>
    <w:rsid w:val="0086611F"/>
    <w:rsid w:val="00866658"/>
    <w:rsid w:val="008666BF"/>
    <w:rsid w:val="00866734"/>
    <w:rsid w:val="0086676A"/>
    <w:rsid w:val="0086676F"/>
    <w:rsid w:val="00866909"/>
    <w:rsid w:val="00866B82"/>
    <w:rsid w:val="0086711A"/>
    <w:rsid w:val="008676A5"/>
    <w:rsid w:val="0087002C"/>
    <w:rsid w:val="0087023C"/>
    <w:rsid w:val="00870260"/>
    <w:rsid w:val="0087041D"/>
    <w:rsid w:val="00870866"/>
    <w:rsid w:val="008708CC"/>
    <w:rsid w:val="008708FB"/>
    <w:rsid w:val="00870D21"/>
    <w:rsid w:val="00870D2A"/>
    <w:rsid w:val="00870D66"/>
    <w:rsid w:val="0087107E"/>
    <w:rsid w:val="0087165F"/>
    <w:rsid w:val="00871681"/>
    <w:rsid w:val="00871CB8"/>
    <w:rsid w:val="00871FD8"/>
    <w:rsid w:val="00872268"/>
    <w:rsid w:val="00872879"/>
    <w:rsid w:val="00872A3E"/>
    <w:rsid w:val="00872DC7"/>
    <w:rsid w:val="00872E28"/>
    <w:rsid w:val="00873147"/>
    <w:rsid w:val="008731BE"/>
    <w:rsid w:val="008732F4"/>
    <w:rsid w:val="008735EB"/>
    <w:rsid w:val="008736D6"/>
    <w:rsid w:val="008739C5"/>
    <w:rsid w:val="00873C6F"/>
    <w:rsid w:val="00873EA6"/>
    <w:rsid w:val="0087407F"/>
    <w:rsid w:val="0087431D"/>
    <w:rsid w:val="00874474"/>
    <w:rsid w:val="008744B4"/>
    <w:rsid w:val="008746E5"/>
    <w:rsid w:val="00874769"/>
    <w:rsid w:val="00874C5E"/>
    <w:rsid w:val="00874E5D"/>
    <w:rsid w:val="00875029"/>
    <w:rsid w:val="00875B73"/>
    <w:rsid w:val="00875BF0"/>
    <w:rsid w:val="00875D01"/>
    <w:rsid w:val="00875DB3"/>
    <w:rsid w:val="0087684A"/>
    <w:rsid w:val="00876A3F"/>
    <w:rsid w:val="00876E28"/>
    <w:rsid w:val="00876F1D"/>
    <w:rsid w:val="00877174"/>
    <w:rsid w:val="00877957"/>
    <w:rsid w:val="008779BF"/>
    <w:rsid w:val="00877A42"/>
    <w:rsid w:val="00877E77"/>
    <w:rsid w:val="00880352"/>
    <w:rsid w:val="00880917"/>
    <w:rsid w:val="00880A89"/>
    <w:rsid w:val="00880B19"/>
    <w:rsid w:val="0088116E"/>
    <w:rsid w:val="008812BD"/>
    <w:rsid w:val="00881454"/>
    <w:rsid w:val="00881598"/>
    <w:rsid w:val="008815A9"/>
    <w:rsid w:val="00881D2A"/>
    <w:rsid w:val="00881FBC"/>
    <w:rsid w:val="008823C5"/>
    <w:rsid w:val="008824DF"/>
    <w:rsid w:val="00882626"/>
    <w:rsid w:val="008826D0"/>
    <w:rsid w:val="008829AF"/>
    <w:rsid w:val="00882D94"/>
    <w:rsid w:val="00882FD9"/>
    <w:rsid w:val="00883168"/>
    <w:rsid w:val="008836D9"/>
    <w:rsid w:val="008839DD"/>
    <w:rsid w:val="00883A63"/>
    <w:rsid w:val="00883BAE"/>
    <w:rsid w:val="00884429"/>
    <w:rsid w:val="00884474"/>
    <w:rsid w:val="008849A0"/>
    <w:rsid w:val="0088561B"/>
    <w:rsid w:val="00885908"/>
    <w:rsid w:val="00885C10"/>
    <w:rsid w:val="00885E5A"/>
    <w:rsid w:val="008861C9"/>
    <w:rsid w:val="008861E0"/>
    <w:rsid w:val="00886A50"/>
    <w:rsid w:val="0088763A"/>
    <w:rsid w:val="0088772A"/>
    <w:rsid w:val="00887AFE"/>
    <w:rsid w:val="00887DD6"/>
    <w:rsid w:val="00887FAD"/>
    <w:rsid w:val="0089004C"/>
    <w:rsid w:val="00890900"/>
    <w:rsid w:val="00890983"/>
    <w:rsid w:val="00891076"/>
    <w:rsid w:val="008910FF"/>
    <w:rsid w:val="00891864"/>
    <w:rsid w:val="00891ED4"/>
    <w:rsid w:val="00891EE8"/>
    <w:rsid w:val="00891F7D"/>
    <w:rsid w:val="008925E4"/>
    <w:rsid w:val="00892ABD"/>
    <w:rsid w:val="00892C2A"/>
    <w:rsid w:val="00892C72"/>
    <w:rsid w:val="00893727"/>
    <w:rsid w:val="008937A2"/>
    <w:rsid w:val="008937BC"/>
    <w:rsid w:val="008938A6"/>
    <w:rsid w:val="00893C0F"/>
    <w:rsid w:val="00893C36"/>
    <w:rsid w:val="00893D68"/>
    <w:rsid w:val="00893EE2"/>
    <w:rsid w:val="00894CDD"/>
    <w:rsid w:val="00894CE2"/>
    <w:rsid w:val="00894E7F"/>
    <w:rsid w:val="00894FAF"/>
    <w:rsid w:val="008950C3"/>
    <w:rsid w:val="00895576"/>
    <w:rsid w:val="00896103"/>
    <w:rsid w:val="0089694E"/>
    <w:rsid w:val="008969B0"/>
    <w:rsid w:val="00896BA4"/>
    <w:rsid w:val="00896BDB"/>
    <w:rsid w:val="00896E33"/>
    <w:rsid w:val="00897382"/>
    <w:rsid w:val="00897620"/>
    <w:rsid w:val="00897702"/>
    <w:rsid w:val="0089782A"/>
    <w:rsid w:val="008979C8"/>
    <w:rsid w:val="00897CB9"/>
    <w:rsid w:val="00897CFA"/>
    <w:rsid w:val="008A0208"/>
    <w:rsid w:val="008A0793"/>
    <w:rsid w:val="008A08FC"/>
    <w:rsid w:val="008A0BA1"/>
    <w:rsid w:val="008A0EFF"/>
    <w:rsid w:val="008A117F"/>
    <w:rsid w:val="008A127B"/>
    <w:rsid w:val="008A17B7"/>
    <w:rsid w:val="008A1BF7"/>
    <w:rsid w:val="008A1E65"/>
    <w:rsid w:val="008A1F10"/>
    <w:rsid w:val="008A23D3"/>
    <w:rsid w:val="008A269F"/>
    <w:rsid w:val="008A284A"/>
    <w:rsid w:val="008A2C94"/>
    <w:rsid w:val="008A3345"/>
    <w:rsid w:val="008A3371"/>
    <w:rsid w:val="008A3881"/>
    <w:rsid w:val="008A3E2A"/>
    <w:rsid w:val="008A403F"/>
    <w:rsid w:val="008A4156"/>
    <w:rsid w:val="008A418E"/>
    <w:rsid w:val="008A42D0"/>
    <w:rsid w:val="008A4736"/>
    <w:rsid w:val="008A4E47"/>
    <w:rsid w:val="008A529C"/>
    <w:rsid w:val="008A568E"/>
    <w:rsid w:val="008A57AD"/>
    <w:rsid w:val="008A588A"/>
    <w:rsid w:val="008A5A3A"/>
    <w:rsid w:val="008A5C6E"/>
    <w:rsid w:val="008A5C71"/>
    <w:rsid w:val="008A5FBC"/>
    <w:rsid w:val="008A60C5"/>
    <w:rsid w:val="008A6344"/>
    <w:rsid w:val="008A641E"/>
    <w:rsid w:val="008A67D5"/>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3062"/>
    <w:rsid w:val="008B34C7"/>
    <w:rsid w:val="008B384D"/>
    <w:rsid w:val="008B3A63"/>
    <w:rsid w:val="008B4254"/>
    <w:rsid w:val="008B4596"/>
    <w:rsid w:val="008B4852"/>
    <w:rsid w:val="008B4AD5"/>
    <w:rsid w:val="008B4D15"/>
    <w:rsid w:val="008B58B5"/>
    <w:rsid w:val="008B59D2"/>
    <w:rsid w:val="008B5FB7"/>
    <w:rsid w:val="008B652D"/>
    <w:rsid w:val="008B6C1E"/>
    <w:rsid w:val="008B6C4A"/>
    <w:rsid w:val="008B6D16"/>
    <w:rsid w:val="008B6E8E"/>
    <w:rsid w:val="008B70E2"/>
    <w:rsid w:val="008B73C6"/>
    <w:rsid w:val="008B778E"/>
    <w:rsid w:val="008B7815"/>
    <w:rsid w:val="008B7A5C"/>
    <w:rsid w:val="008C0149"/>
    <w:rsid w:val="008C01F1"/>
    <w:rsid w:val="008C05EF"/>
    <w:rsid w:val="008C0755"/>
    <w:rsid w:val="008C08C0"/>
    <w:rsid w:val="008C0B6B"/>
    <w:rsid w:val="008C0FAC"/>
    <w:rsid w:val="008C1408"/>
    <w:rsid w:val="008C1B40"/>
    <w:rsid w:val="008C1C2E"/>
    <w:rsid w:val="008C1DD5"/>
    <w:rsid w:val="008C25D6"/>
    <w:rsid w:val="008C26AA"/>
    <w:rsid w:val="008C2B56"/>
    <w:rsid w:val="008C3176"/>
    <w:rsid w:val="008C31FA"/>
    <w:rsid w:val="008C35DB"/>
    <w:rsid w:val="008C3BC5"/>
    <w:rsid w:val="008C4234"/>
    <w:rsid w:val="008C47EA"/>
    <w:rsid w:val="008C4A53"/>
    <w:rsid w:val="008C5243"/>
    <w:rsid w:val="008C53DB"/>
    <w:rsid w:val="008C5896"/>
    <w:rsid w:val="008C5C03"/>
    <w:rsid w:val="008C5D63"/>
    <w:rsid w:val="008C5E7A"/>
    <w:rsid w:val="008C696B"/>
    <w:rsid w:val="008C72B1"/>
    <w:rsid w:val="008C7856"/>
    <w:rsid w:val="008C7979"/>
    <w:rsid w:val="008D02DF"/>
    <w:rsid w:val="008D06B1"/>
    <w:rsid w:val="008D11B1"/>
    <w:rsid w:val="008D14A0"/>
    <w:rsid w:val="008D1799"/>
    <w:rsid w:val="008D18FA"/>
    <w:rsid w:val="008D1A66"/>
    <w:rsid w:val="008D1AD3"/>
    <w:rsid w:val="008D1D86"/>
    <w:rsid w:val="008D1F54"/>
    <w:rsid w:val="008D21F9"/>
    <w:rsid w:val="008D26E3"/>
    <w:rsid w:val="008D2827"/>
    <w:rsid w:val="008D285E"/>
    <w:rsid w:val="008D28D5"/>
    <w:rsid w:val="008D2C11"/>
    <w:rsid w:val="008D2C9F"/>
    <w:rsid w:val="008D33FA"/>
    <w:rsid w:val="008D39F6"/>
    <w:rsid w:val="008D3C10"/>
    <w:rsid w:val="008D499F"/>
    <w:rsid w:val="008D49A1"/>
    <w:rsid w:val="008D4B2C"/>
    <w:rsid w:val="008D4BA3"/>
    <w:rsid w:val="008D5173"/>
    <w:rsid w:val="008D51E0"/>
    <w:rsid w:val="008D5408"/>
    <w:rsid w:val="008D5B6E"/>
    <w:rsid w:val="008D5C9A"/>
    <w:rsid w:val="008D5F5B"/>
    <w:rsid w:val="008D622D"/>
    <w:rsid w:val="008D639A"/>
    <w:rsid w:val="008D655D"/>
    <w:rsid w:val="008D666F"/>
    <w:rsid w:val="008D6ABA"/>
    <w:rsid w:val="008D6E0B"/>
    <w:rsid w:val="008D7831"/>
    <w:rsid w:val="008D784A"/>
    <w:rsid w:val="008E021D"/>
    <w:rsid w:val="008E045C"/>
    <w:rsid w:val="008E0496"/>
    <w:rsid w:val="008E1689"/>
    <w:rsid w:val="008E16F9"/>
    <w:rsid w:val="008E1EA9"/>
    <w:rsid w:val="008E2110"/>
    <w:rsid w:val="008E24FB"/>
    <w:rsid w:val="008E2550"/>
    <w:rsid w:val="008E26CC"/>
    <w:rsid w:val="008E27A3"/>
    <w:rsid w:val="008E2B15"/>
    <w:rsid w:val="008E2B94"/>
    <w:rsid w:val="008E2F08"/>
    <w:rsid w:val="008E3138"/>
    <w:rsid w:val="008E3418"/>
    <w:rsid w:val="008E35D3"/>
    <w:rsid w:val="008E37DB"/>
    <w:rsid w:val="008E3D24"/>
    <w:rsid w:val="008E3DF5"/>
    <w:rsid w:val="008E47A4"/>
    <w:rsid w:val="008E4A1A"/>
    <w:rsid w:val="008E4B4A"/>
    <w:rsid w:val="008E4BEC"/>
    <w:rsid w:val="008E4DEA"/>
    <w:rsid w:val="008E52BB"/>
    <w:rsid w:val="008E5457"/>
    <w:rsid w:val="008E5D38"/>
    <w:rsid w:val="008E5D6B"/>
    <w:rsid w:val="008E5E8C"/>
    <w:rsid w:val="008E5EB6"/>
    <w:rsid w:val="008E5F6C"/>
    <w:rsid w:val="008E672A"/>
    <w:rsid w:val="008E6D1B"/>
    <w:rsid w:val="008E6DA7"/>
    <w:rsid w:val="008E6F4F"/>
    <w:rsid w:val="008E70FB"/>
    <w:rsid w:val="008E7171"/>
    <w:rsid w:val="008E75FD"/>
    <w:rsid w:val="008E7963"/>
    <w:rsid w:val="008E796F"/>
    <w:rsid w:val="008F001A"/>
    <w:rsid w:val="008F0307"/>
    <w:rsid w:val="008F10C8"/>
    <w:rsid w:val="008F1456"/>
    <w:rsid w:val="008F16AA"/>
    <w:rsid w:val="008F1B81"/>
    <w:rsid w:val="008F209E"/>
    <w:rsid w:val="008F21CB"/>
    <w:rsid w:val="008F2263"/>
    <w:rsid w:val="008F22CA"/>
    <w:rsid w:val="008F24D1"/>
    <w:rsid w:val="008F2636"/>
    <w:rsid w:val="008F2E6E"/>
    <w:rsid w:val="008F2EFB"/>
    <w:rsid w:val="008F31C4"/>
    <w:rsid w:val="008F32C8"/>
    <w:rsid w:val="008F3579"/>
    <w:rsid w:val="008F3621"/>
    <w:rsid w:val="008F3BDC"/>
    <w:rsid w:val="008F3E4F"/>
    <w:rsid w:val="008F4215"/>
    <w:rsid w:val="008F4399"/>
    <w:rsid w:val="008F450C"/>
    <w:rsid w:val="008F4550"/>
    <w:rsid w:val="008F466C"/>
    <w:rsid w:val="008F558E"/>
    <w:rsid w:val="008F5B0A"/>
    <w:rsid w:val="008F5CDD"/>
    <w:rsid w:val="008F5F21"/>
    <w:rsid w:val="008F6569"/>
    <w:rsid w:val="008F664E"/>
    <w:rsid w:val="008F6B56"/>
    <w:rsid w:val="008F7BF1"/>
    <w:rsid w:val="008F7EF3"/>
    <w:rsid w:val="0090005B"/>
    <w:rsid w:val="00900094"/>
    <w:rsid w:val="0090009D"/>
    <w:rsid w:val="00900757"/>
    <w:rsid w:val="009007C7"/>
    <w:rsid w:val="00900880"/>
    <w:rsid w:val="00900E32"/>
    <w:rsid w:val="00901354"/>
    <w:rsid w:val="009013FC"/>
    <w:rsid w:val="009015C7"/>
    <w:rsid w:val="009016CE"/>
    <w:rsid w:val="00901B08"/>
    <w:rsid w:val="00901B9B"/>
    <w:rsid w:val="00901C05"/>
    <w:rsid w:val="00901CBE"/>
    <w:rsid w:val="00901FFF"/>
    <w:rsid w:val="009021A0"/>
    <w:rsid w:val="009027F4"/>
    <w:rsid w:val="00903E64"/>
    <w:rsid w:val="009041F1"/>
    <w:rsid w:val="009042A6"/>
    <w:rsid w:val="009049CB"/>
    <w:rsid w:val="00904B79"/>
    <w:rsid w:val="00904F25"/>
    <w:rsid w:val="00904FDC"/>
    <w:rsid w:val="009051FC"/>
    <w:rsid w:val="009054A4"/>
    <w:rsid w:val="00905661"/>
    <w:rsid w:val="0090569D"/>
    <w:rsid w:val="009057C0"/>
    <w:rsid w:val="00905CA8"/>
    <w:rsid w:val="00905E38"/>
    <w:rsid w:val="00905F7E"/>
    <w:rsid w:val="0090600E"/>
    <w:rsid w:val="00906759"/>
    <w:rsid w:val="00906D70"/>
    <w:rsid w:val="00907337"/>
    <w:rsid w:val="00907540"/>
    <w:rsid w:val="0090763A"/>
    <w:rsid w:val="00907AE9"/>
    <w:rsid w:val="00907D6F"/>
    <w:rsid w:val="00907DB1"/>
    <w:rsid w:val="0091014E"/>
    <w:rsid w:val="00910403"/>
    <w:rsid w:val="009105F3"/>
    <w:rsid w:val="009109A8"/>
    <w:rsid w:val="00910EFE"/>
    <w:rsid w:val="00910F08"/>
    <w:rsid w:val="009114DF"/>
    <w:rsid w:val="00911659"/>
    <w:rsid w:val="00911D10"/>
    <w:rsid w:val="00911EAE"/>
    <w:rsid w:val="00911EDF"/>
    <w:rsid w:val="009120D0"/>
    <w:rsid w:val="0091228A"/>
    <w:rsid w:val="00912BDD"/>
    <w:rsid w:val="00912E60"/>
    <w:rsid w:val="009132AF"/>
    <w:rsid w:val="0091331A"/>
    <w:rsid w:val="0091349A"/>
    <w:rsid w:val="009139DD"/>
    <w:rsid w:val="00913A7B"/>
    <w:rsid w:val="00914069"/>
    <w:rsid w:val="0091418E"/>
    <w:rsid w:val="009144E3"/>
    <w:rsid w:val="00914549"/>
    <w:rsid w:val="009146D9"/>
    <w:rsid w:val="009150B8"/>
    <w:rsid w:val="0091519F"/>
    <w:rsid w:val="009152FA"/>
    <w:rsid w:val="0091595F"/>
    <w:rsid w:val="0091598E"/>
    <w:rsid w:val="00915CFD"/>
    <w:rsid w:val="00915D39"/>
    <w:rsid w:val="00916238"/>
    <w:rsid w:val="009162CF"/>
    <w:rsid w:val="0091679B"/>
    <w:rsid w:val="009168C9"/>
    <w:rsid w:val="00917397"/>
    <w:rsid w:val="0091759D"/>
    <w:rsid w:val="00917604"/>
    <w:rsid w:val="0091763D"/>
    <w:rsid w:val="00917A3D"/>
    <w:rsid w:val="00917D5B"/>
    <w:rsid w:val="00920079"/>
    <w:rsid w:val="00920178"/>
    <w:rsid w:val="009204DE"/>
    <w:rsid w:val="0092050F"/>
    <w:rsid w:val="0092054E"/>
    <w:rsid w:val="00920B38"/>
    <w:rsid w:val="00920FE3"/>
    <w:rsid w:val="009213A0"/>
    <w:rsid w:val="00921494"/>
    <w:rsid w:val="00921A25"/>
    <w:rsid w:val="00921D9F"/>
    <w:rsid w:val="009220D4"/>
    <w:rsid w:val="00922A48"/>
    <w:rsid w:val="00922D00"/>
    <w:rsid w:val="00922DF8"/>
    <w:rsid w:val="00923193"/>
    <w:rsid w:val="009232DD"/>
    <w:rsid w:val="00923628"/>
    <w:rsid w:val="00923778"/>
    <w:rsid w:val="00923939"/>
    <w:rsid w:val="0092393F"/>
    <w:rsid w:val="00923AC8"/>
    <w:rsid w:val="00923CD5"/>
    <w:rsid w:val="00923F10"/>
    <w:rsid w:val="0092455D"/>
    <w:rsid w:val="009248F5"/>
    <w:rsid w:val="00924E16"/>
    <w:rsid w:val="00925499"/>
    <w:rsid w:val="0092574B"/>
    <w:rsid w:val="00925962"/>
    <w:rsid w:val="00925C3C"/>
    <w:rsid w:val="009261C9"/>
    <w:rsid w:val="00926BC2"/>
    <w:rsid w:val="00926F61"/>
    <w:rsid w:val="009275AC"/>
    <w:rsid w:val="00927A90"/>
    <w:rsid w:val="00927B62"/>
    <w:rsid w:val="009305A9"/>
    <w:rsid w:val="009305FD"/>
    <w:rsid w:val="00930AD0"/>
    <w:rsid w:val="00930DA2"/>
    <w:rsid w:val="00930DEC"/>
    <w:rsid w:val="00931157"/>
    <w:rsid w:val="00931204"/>
    <w:rsid w:val="0093146D"/>
    <w:rsid w:val="00931557"/>
    <w:rsid w:val="0093166C"/>
    <w:rsid w:val="00931BCC"/>
    <w:rsid w:val="00931E3E"/>
    <w:rsid w:val="00931F0F"/>
    <w:rsid w:val="00932539"/>
    <w:rsid w:val="009326A3"/>
    <w:rsid w:val="009328A7"/>
    <w:rsid w:val="00932BD2"/>
    <w:rsid w:val="00932CD2"/>
    <w:rsid w:val="00932EEF"/>
    <w:rsid w:val="00932F69"/>
    <w:rsid w:val="0093364B"/>
    <w:rsid w:val="009339D6"/>
    <w:rsid w:val="00933D90"/>
    <w:rsid w:val="00933FA7"/>
    <w:rsid w:val="00933FE6"/>
    <w:rsid w:val="00934816"/>
    <w:rsid w:val="00934B67"/>
    <w:rsid w:val="009351BF"/>
    <w:rsid w:val="009352B3"/>
    <w:rsid w:val="00935334"/>
    <w:rsid w:val="009356A2"/>
    <w:rsid w:val="009357D7"/>
    <w:rsid w:val="00936174"/>
    <w:rsid w:val="009366A7"/>
    <w:rsid w:val="009369C4"/>
    <w:rsid w:val="009369F8"/>
    <w:rsid w:val="00936C56"/>
    <w:rsid w:val="00936DFD"/>
    <w:rsid w:val="00936F81"/>
    <w:rsid w:val="009370AC"/>
    <w:rsid w:val="0093724F"/>
    <w:rsid w:val="00937307"/>
    <w:rsid w:val="00937A27"/>
    <w:rsid w:val="009400B1"/>
    <w:rsid w:val="00940152"/>
    <w:rsid w:val="0094022D"/>
    <w:rsid w:val="009409C1"/>
    <w:rsid w:val="00940FDE"/>
    <w:rsid w:val="0094181B"/>
    <w:rsid w:val="0094213F"/>
    <w:rsid w:val="0094228E"/>
    <w:rsid w:val="00942418"/>
    <w:rsid w:val="0094287F"/>
    <w:rsid w:val="00942ED2"/>
    <w:rsid w:val="009433CD"/>
    <w:rsid w:val="009434D8"/>
    <w:rsid w:val="00943503"/>
    <w:rsid w:val="009437ED"/>
    <w:rsid w:val="00943A29"/>
    <w:rsid w:val="00943AE7"/>
    <w:rsid w:val="00943AF6"/>
    <w:rsid w:val="0094402D"/>
    <w:rsid w:val="009440AB"/>
    <w:rsid w:val="009441AD"/>
    <w:rsid w:val="009442D1"/>
    <w:rsid w:val="0094439A"/>
    <w:rsid w:val="00944A36"/>
    <w:rsid w:val="00944F4D"/>
    <w:rsid w:val="009450A9"/>
    <w:rsid w:val="009450EA"/>
    <w:rsid w:val="00945518"/>
    <w:rsid w:val="009456B3"/>
    <w:rsid w:val="009457EE"/>
    <w:rsid w:val="00946180"/>
    <w:rsid w:val="00946412"/>
    <w:rsid w:val="009464A9"/>
    <w:rsid w:val="009465D8"/>
    <w:rsid w:val="00946702"/>
    <w:rsid w:val="0094676E"/>
    <w:rsid w:val="00946A10"/>
    <w:rsid w:val="00946B61"/>
    <w:rsid w:val="00946B7A"/>
    <w:rsid w:val="00947089"/>
    <w:rsid w:val="009470B3"/>
    <w:rsid w:val="00947C6A"/>
    <w:rsid w:val="00947DC0"/>
    <w:rsid w:val="009501F5"/>
    <w:rsid w:val="009506CD"/>
    <w:rsid w:val="009507A0"/>
    <w:rsid w:val="00950A71"/>
    <w:rsid w:val="00950BE7"/>
    <w:rsid w:val="00950F46"/>
    <w:rsid w:val="009510C1"/>
    <w:rsid w:val="0095186B"/>
    <w:rsid w:val="00951B97"/>
    <w:rsid w:val="00952335"/>
    <w:rsid w:val="00952828"/>
    <w:rsid w:val="0095345C"/>
    <w:rsid w:val="009535BE"/>
    <w:rsid w:val="00953DF5"/>
    <w:rsid w:val="00954577"/>
    <w:rsid w:val="00954637"/>
    <w:rsid w:val="009547E1"/>
    <w:rsid w:val="0095488A"/>
    <w:rsid w:val="0095498E"/>
    <w:rsid w:val="00954A40"/>
    <w:rsid w:val="00954B20"/>
    <w:rsid w:val="00954EF5"/>
    <w:rsid w:val="009555D3"/>
    <w:rsid w:val="00955976"/>
    <w:rsid w:val="009559F3"/>
    <w:rsid w:val="00955AC6"/>
    <w:rsid w:val="00955BF1"/>
    <w:rsid w:val="009561C6"/>
    <w:rsid w:val="00956919"/>
    <w:rsid w:val="00956E92"/>
    <w:rsid w:val="00956ECD"/>
    <w:rsid w:val="00957313"/>
    <w:rsid w:val="00957409"/>
    <w:rsid w:val="00957669"/>
    <w:rsid w:val="0095793C"/>
    <w:rsid w:val="009579B8"/>
    <w:rsid w:val="00957B35"/>
    <w:rsid w:val="00957E9D"/>
    <w:rsid w:val="0096000D"/>
    <w:rsid w:val="009606F9"/>
    <w:rsid w:val="00960B28"/>
    <w:rsid w:val="00960B78"/>
    <w:rsid w:val="00960C8C"/>
    <w:rsid w:val="00960EB1"/>
    <w:rsid w:val="00960F97"/>
    <w:rsid w:val="00961069"/>
    <w:rsid w:val="0096107E"/>
    <w:rsid w:val="009614F8"/>
    <w:rsid w:val="009618AD"/>
    <w:rsid w:val="00961B33"/>
    <w:rsid w:val="009622FF"/>
    <w:rsid w:val="00962595"/>
    <w:rsid w:val="009628C4"/>
    <w:rsid w:val="009629AD"/>
    <w:rsid w:val="00962DD9"/>
    <w:rsid w:val="00962E6A"/>
    <w:rsid w:val="00962F8E"/>
    <w:rsid w:val="009633E5"/>
    <w:rsid w:val="009635A3"/>
    <w:rsid w:val="009639C8"/>
    <w:rsid w:val="00963DDE"/>
    <w:rsid w:val="00963EE7"/>
    <w:rsid w:val="00964087"/>
    <w:rsid w:val="00964462"/>
    <w:rsid w:val="009645F4"/>
    <w:rsid w:val="009648AD"/>
    <w:rsid w:val="009648F2"/>
    <w:rsid w:val="00964B13"/>
    <w:rsid w:val="00964D4C"/>
    <w:rsid w:val="00964DC2"/>
    <w:rsid w:val="0096511A"/>
    <w:rsid w:val="009651C5"/>
    <w:rsid w:val="009651E2"/>
    <w:rsid w:val="0096546A"/>
    <w:rsid w:val="0096576E"/>
    <w:rsid w:val="00965B71"/>
    <w:rsid w:val="00965D97"/>
    <w:rsid w:val="00966246"/>
    <w:rsid w:val="009663D0"/>
    <w:rsid w:val="00966495"/>
    <w:rsid w:val="0096695B"/>
    <w:rsid w:val="00966DF4"/>
    <w:rsid w:val="00966EC8"/>
    <w:rsid w:val="00966F2B"/>
    <w:rsid w:val="00967BEA"/>
    <w:rsid w:val="00967BFD"/>
    <w:rsid w:val="00967E4D"/>
    <w:rsid w:val="00967E6D"/>
    <w:rsid w:val="009705B8"/>
    <w:rsid w:val="00970656"/>
    <w:rsid w:val="009707F0"/>
    <w:rsid w:val="009708F0"/>
    <w:rsid w:val="00970ADC"/>
    <w:rsid w:val="00971096"/>
    <w:rsid w:val="009716F6"/>
    <w:rsid w:val="009717C5"/>
    <w:rsid w:val="00971BCC"/>
    <w:rsid w:val="00971F8D"/>
    <w:rsid w:val="009728BB"/>
    <w:rsid w:val="009729BE"/>
    <w:rsid w:val="00973067"/>
    <w:rsid w:val="00973367"/>
    <w:rsid w:val="009738A2"/>
    <w:rsid w:val="00973B4D"/>
    <w:rsid w:val="00973D71"/>
    <w:rsid w:val="00973DEF"/>
    <w:rsid w:val="00974176"/>
    <w:rsid w:val="009741DA"/>
    <w:rsid w:val="009741DC"/>
    <w:rsid w:val="00974EC9"/>
    <w:rsid w:val="00974FB5"/>
    <w:rsid w:val="00975429"/>
    <w:rsid w:val="00975AD5"/>
    <w:rsid w:val="00975C22"/>
    <w:rsid w:val="00976056"/>
    <w:rsid w:val="00976519"/>
    <w:rsid w:val="00976A00"/>
    <w:rsid w:val="00976A27"/>
    <w:rsid w:val="00976C08"/>
    <w:rsid w:val="00976D16"/>
    <w:rsid w:val="00976DCA"/>
    <w:rsid w:val="00977226"/>
    <w:rsid w:val="009773A1"/>
    <w:rsid w:val="0097762B"/>
    <w:rsid w:val="00977977"/>
    <w:rsid w:val="00977D29"/>
    <w:rsid w:val="009803DF"/>
    <w:rsid w:val="0098048F"/>
    <w:rsid w:val="009804C4"/>
    <w:rsid w:val="009804D9"/>
    <w:rsid w:val="009808CA"/>
    <w:rsid w:val="00981406"/>
    <w:rsid w:val="00981442"/>
    <w:rsid w:val="00981511"/>
    <w:rsid w:val="00981958"/>
    <w:rsid w:val="009819CC"/>
    <w:rsid w:val="00981ADA"/>
    <w:rsid w:val="00981F59"/>
    <w:rsid w:val="00981F75"/>
    <w:rsid w:val="00982020"/>
    <w:rsid w:val="00982318"/>
    <w:rsid w:val="009824E0"/>
    <w:rsid w:val="00982523"/>
    <w:rsid w:val="00982716"/>
    <w:rsid w:val="00982D52"/>
    <w:rsid w:val="0098307C"/>
    <w:rsid w:val="00983697"/>
    <w:rsid w:val="00983BA3"/>
    <w:rsid w:val="0098461C"/>
    <w:rsid w:val="009852B7"/>
    <w:rsid w:val="009853FA"/>
    <w:rsid w:val="00985890"/>
    <w:rsid w:val="0098594F"/>
    <w:rsid w:val="00985BE7"/>
    <w:rsid w:val="0098646D"/>
    <w:rsid w:val="00986491"/>
    <w:rsid w:val="009867B2"/>
    <w:rsid w:val="00986932"/>
    <w:rsid w:val="00986A5A"/>
    <w:rsid w:val="00986BAF"/>
    <w:rsid w:val="00986CF4"/>
    <w:rsid w:val="00986EAB"/>
    <w:rsid w:val="009904EC"/>
    <w:rsid w:val="0099109E"/>
    <w:rsid w:val="009910AD"/>
    <w:rsid w:val="009912E4"/>
    <w:rsid w:val="00991630"/>
    <w:rsid w:val="009917C5"/>
    <w:rsid w:val="00991B9D"/>
    <w:rsid w:val="00991BB2"/>
    <w:rsid w:val="00991F8A"/>
    <w:rsid w:val="00992116"/>
    <w:rsid w:val="00992351"/>
    <w:rsid w:val="009926C7"/>
    <w:rsid w:val="00992B91"/>
    <w:rsid w:val="00992D0C"/>
    <w:rsid w:val="00993367"/>
    <w:rsid w:val="009933F1"/>
    <w:rsid w:val="00993A7C"/>
    <w:rsid w:val="00993ED0"/>
    <w:rsid w:val="00994278"/>
    <w:rsid w:val="009943DA"/>
    <w:rsid w:val="00994449"/>
    <w:rsid w:val="009944FD"/>
    <w:rsid w:val="00994706"/>
    <w:rsid w:val="00994752"/>
    <w:rsid w:val="00994916"/>
    <w:rsid w:val="00994E2B"/>
    <w:rsid w:val="00995115"/>
    <w:rsid w:val="0099525D"/>
    <w:rsid w:val="009953DB"/>
    <w:rsid w:val="00996107"/>
    <w:rsid w:val="00996308"/>
    <w:rsid w:val="0099636D"/>
    <w:rsid w:val="00996846"/>
    <w:rsid w:val="00996A54"/>
    <w:rsid w:val="00996C61"/>
    <w:rsid w:val="00997758"/>
    <w:rsid w:val="00997B9A"/>
    <w:rsid w:val="00997BA6"/>
    <w:rsid w:val="009A0492"/>
    <w:rsid w:val="009A049E"/>
    <w:rsid w:val="009A09B3"/>
    <w:rsid w:val="009A0C62"/>
    <w:rsid w:val="009A0C99"/>
    <w:rsid w:val="009A16B6"/>
    <w:rsid w:val="009A1CFE"/>
    <w:rsid w:val="009A211F"/>
    <w:rsid w:val="009A24FC"/>
    <w:rsid w:val="009A264A"/>
    <w:rsid w:val="009A2682"/>
    <w:rsid w:val="009A289E"/>
    <w:rsid w:val="009A2D08"/>
    <w:rsid w:val="009A2FC0"/>
    <w:rsid w:val="009A3302"/>
    <w:rsid w:val="009A35B1"/>
    <w:rsid w:val="009A3B83"/>
    <w:rsid w:val="009A3B8D"/>
    <w:rsid w:val="009A415D"/>
    <w:rsid w:val="009A471A"/>
    <w:rsid w:val="009A475C"/>
    <w:rsid w:val="009A4832"/>
    <w:rsid w:val="009A54E8"/>
    <w:rsid w:val="009A5E6A"/>
    <w:rsid w:val="009A601E"/>
    <w:rsid w:val="009A6D5E"/>
    <w:rsid w:val="009A6DD2"/>
    <w:rsid w:val="009A6DD4"/>
    <w:rsid w:val="009A6E55"/>
    <w:rsid w:val="009A70E3"/>
    <w:rsid w:val="009A7576"/>
    <w:rsid w:val="009A78DB"/>
    <w:rsid w:val="009A7F80"/>
    <w:rsid w:val="009B0071"/>
    <w:rsid w:val="009B020B"/>
    <w:rsid w:val="009B0A4C"/>
    <w:rsid w:val="009B1124"/>
    <w:rsid w:val="009B17EE"/>
    <w:rsid w:val="009B1D7C"/>
    <w:rsid w:val="009B2040"/>
    <w:rsid w:val="009B2055"/>
    <w:rsid w:val="009B2256"/>
    <w:rsid w:val="009B22BB"/>
    <w:rsid w:val="009B2D59"/>
    <w:rsid w:val="009B2D79"/>
    <w:rsid w:val="009B2EF0"/>
    <w:rsid w:val="009B2FC4"/>
    <w:rsid w:val="009B3572"/>
    <w:rsid w:val="009B39E4"/>
    <w:rsid w:val="009B4656"/>
    <w:rsid w:val="009B4848"/>
    <w:rsid w:val="009B4969"/>
    <w:rsid w:val="009B4B22"/>
    <w:rsid w:val="009B51EE"/>
    <w:rsid w:val="009B52BF"/>
    <w:rsid w:val="009B5318"/>
    <w:rsid w:val="009B553A"/>
    <w:rsid w:val="009B570D"/>
    <w:rsid w:val="009B5749"/>
    <w:rsid w:val="009B5782"/>
    <w:rsid w:val="009B5822"/>
    <w:rsid w:val="009B59ED"/>
    <w:rsid w:val="009B5DF9"/>
    <w:rsid w:val="009B5EDD"/>
    <w:rsid w:val="009B627F"/>
    <w:rsid w:val="009B6723"/>
    <w:rsid w:val="009B69A8"/>
    <w:rsid w:val="009B70C7"/>
    <w:rsid w:val="009B75D8"/>
    <w:rsid w:val="009B767C"/>
    <w:rsid w:val="009B78CF"/>
    <w:rsid w:val="009B79C1"/>
    <w:rsid w:val="009C0089"/>
    <w:rsid w:val="009C01E6"/>
    <w:rsid w:val="009C08F6"/>
    <w:rsid w:val="009C0A63"/>
    <w:rsid w:val="009C0B68"/>
    <w:rsid w:val="009C0D7F"/>
    <w:rsid w:val="009C0F31"/>
    <w:rsid w:val="009C1071"/>
    <w:rsid w:val="009C158C"/>
    <w:rsid w:val="009C15C0"/>
    <w:rsid w:val="009C15ED"/>
    <w:rsid w:val="009C1974"/>
    <w:rsid w:val="009C21BB"/>
    <w:rsid w:val="009C2253"/>
    <w:rsid w:val="009C225B"/>
    <w:rsid w:val="009C2A09"/>
    <w:rsid w:val="009C320D"/>
    <w:rsid w:val="009C3B18"/>
    <w:rsid w:val="009C4372"/>
    <w:rsid w:val="009C448B"/>
    <w:rsid w:val="009C4636"/>
    <w:rsid w:val="009C48B3"/>
    <w:rsid w:val="009C4B9C"/>
    <w:rsid w:val="009C4BD6"/>
    <w:rsid w:val="009C4D3A"/>
    <w:rsid w:val="009C4F0E"/>
    <w:rsid w:val="009C5769"/>
    <w:rsid w:val="009C5924"/>
    <w:rsid w:val="009C5949"/>
    <w:rsid w:val="009C63A8"/>
    <w:rsid w:val="009C6599"/>
    <w:rsid w:val="009C6648"/>
    <w:rsid w:val="009C6667"/>
    <w:rsid w:val="009C7028"/>
    <w:rsid w:val="009C745A"/>
    <w:rsid w:val="009D01AF"/>
    <w:rsid w:val="009D0E6E"/>
    <w:rsid w:val="009D0F02"/>
    <w:rsid w:val="009D1EA1"/>
    <w:rsid w:val="009D25D2"/>
    <w:rsid w:val="009D3194"/>
    <w:rsid w:val="009D3290"/>
    <w:rsid w:val="009D37DA"/>
    <w:rsid w:val="009D3A4D"/>
    <w:rsid w:val="009D3EBC"/>
    <w:rsid w:val="009D5222"/>
    <w:rsid w:val="009D5228"/>
    <w:rsid w:val="009D522D"/>
    <w:rsid w:val="009D5413"/>
    <w:rsid w:val="009D543A"/>
    <w:rsid w:val="009D57FF"/>
    <w:rsid w:val="009D5934"/>
    <w:rsid w:val="009D5B61"/>
    <w:rsid w:val="009D6006"/>
    <w:rsid w:val="009D6067"/>
    <w:rsid w:val="009D64ED"/>
    <w:rsid w:val="009D6C1D"/>
    <w:rsid w:val="009D6D50"/>
    <w:rsid w:val="009D6DC2"/>
    <w:rsid w:val="009D7110"/>
    <w:rsid w:val="009D766A"/>
    <w:rsid w:val="009D7B8D"/>
    <w:rsid w:val="009D7D41"/>
    <w:rsid w:val="009D7E4E"/>
    <w:rsid w:val="009E0245"/>
    <w:rsid w:val="009E037E"/>
    <w:rsid w:val="009E0A2A"/>
    <w:rsid w:val="009E0C99"/>
    <w:rsid w:val="009E0CDA"/>
    <w:rsid w:val="009E0D28"/>
    <w:rsid w:val="009E145F"/>
    <w:rsid w:val="009E15D5"/>
    <w:rsid w:val="009E16E6"/>
    <w:rsid w:val="009E1851"/>
    <w:rsid w:val="009E1C7C"/>
    <w:rsid w:val="009E223D"/>
    <w:rsid w:val="009E23EF"/>
    <w:rsid w:val="009E2722"/>
    <w:rsid w:val="009E2AAA"/>
    <w:rsid w:val="009E3611"/>
    <w:rsid w:val="009E3845"/>
    <w:rsid w:val="009E3A7B"/>
    <w:rsid w:val="009E3B0E"/>
    <w:rsid w:val="009E3D1B"/>
    <w:rsid w:val="009E3F1F"/>
    <w:rsid w:val="009E40B3"/>
    <w:rsid w:val="009E42B1"/>
    <w:rsid w:val="009E4373"/>
    <w:rsid w:val="009E507F"/>
    <w:rsid w:val="009E5B25"/>
    <w:rsid w:val="009E5DBF"/>
    <w:rsid w:val="009E5E6D"/>
    <w:rsid w:val="009E6689"/>
    <w:rsid w:val="009E6A12"/>
    <w:rsid w:val="009E6EF0"/>
    <w:rsid w:val="009E713A"/>
    <w:rsid w:val="009E71DE"/>
    <w:rsid w:val="009E72BC"/>
    <w:rsid w:val="009E7354"/>
    <w:rsid w:val="009E7496"/>
    <w:rsid w:val="009E75FC"/>
    <w:rsid w:val="009E76F5"/>
    <w:rsid w:val="009E7BF4"/>
    <w:rsid w:val="009E7D37"/>
    <w:rsid w:val="009F00F8"/>
    <w:rsid w:val="009F0168"/>
    <w:rsid w:val="009F045B"/>
    <w:rsid w:val="009F05A4"/>
    <w:rsid w:val="009F0623"/>
    <w:rsid w:val="009F091C"/>
    <w:rsid w:val="009F0D70"/>
    <w:rsid w:val="009F0F10"/>
    <w:rsid w:val="009F143D"/>
    <w:rsid w:val="009F1AEF"/>
    <w:rsid w:val="009F1F42"/>
    <w:rsid w:val="009F2AD1"/>
    <w:rsid w:val="009F2B35"/>
    <w:rsid w:val="009F2DF4"/>
    <w:rsid w:val="009F3404"/>
    <w:rsid w:val="009F354E"/>
    <w:rsid w:val="009F3646"/>
    <w:rsid w:val="009F36C1"/>
    <w:rsid w:val="009F3808"/>
    <w:rsid w:val="009F3862"/>
    <w:rsid w:val="009F3AF0"/>
    <w:rsid w:val="009F3D3F"/>
    <w:rsid w:val="009F3D62"/>
    <w:rsid w:val="009F483F"/>
    <w:rsid w:val="009F4971"/>
    <w:rsid w:val="009F4ADD"/>
    <w:rsid w:val="009F4C77"/>
    <w:rsid w:val="009F4E49"/>
    <w:rsid w:val="009F4F1F"/>
    <w:rsid w:val="009F61A2"/>
    <w:rsid w:val="009F6578"/>
    <w:rsid w:val="009F6817"/>
    <w:rsid w:val="009F6F03"/>
    <w:rsid w:val="009F70E8"/>
    <w:rsid w:val="009F7398"/>
    <w:rsid w:val="009F7B04"/>
    <w:rsid w:val="00A0025D"/>
    <w:rsid w:val="00A008EA"/>
    <w:rsid w:val="00A009BE"/>
    <w:rsid w:val="00A00C87"/>
    <w:rsid w:val="00A0106A"/>
    <w:rsid w:val="00A01113"/>
    <w:rsid w:val="00A01A0C"/>
    <w:rsid w:val="00A01ABB"/>
    <w:rsid w:val="00A01BF6"/>
    <w:rsid w:val="00A01ED2"/>
    <w:rsid w:val="00A01F60"/>
    <w:rsid w:val="00A02082"/>
    <w:rsid w:val="00A0210D"/>
    <w:rsid w:val="00A027D4"/>
    <w:rsid w:val="00A02850"/>
    <w:rsid w:val="00A02B31"/>
    <w:rsid w:val="00A03316"/>
    <w:rsid w:val="00A03344"/>
    <w:rsid w:val="00A03732"/>
    <w:rsid w:val="00A038B1"/>
    <w:rsid w:val="00A04A4D"/>
    <w:rsid w:val="00A04D70"/>
    <w:rsid w:val="00A051B3"/>
    <w:rsid w:val="00A05251"/>
    <w:rsid w:val="00A05C33"/>
    <w:rsid w:val="00A06484"/>
    <w:rsid w:val="00A0680A"/>
    <w:rsid w:val="00A06AD9"/>
    <w:rsid w:val="00A06E23"/>
    <w:rsid w:val="00A07386"/>
    <w:rsid w:val="00A076BD"/>
    <w:rsid w:val="00A0784C"/>
    <w:rsid w:val="00A07A90"/>
    <w:rsid w:val="00A07B74"/>
    <w:rsid w:val="00A1029A"/>
    <w:rsid w:val="00A10439"/>
    <w:rsid w:val="00A10588"/>
    <w:rsid w:val="00A10656"/>
    <w:rsid w:val="00A1078B"/>
    <w:rsid w:val="00A1083D"/>
    <w:rsid w:val="00A10D2A"/>
    <w:rsid w:val="00A10D82"/>
    <w:rsid w:val="00A113A8"/>
    <w:rsid w:val="00A115D6"/>
    <w:rsid w:val="00A11987"/>
    <w:rsid w:val="00A12284"/>
    <w:rsid w:val="00A12676"/>
    <w:rsid w:val="00A13243"/>
    <w:rsid w:val="00A13586"/>
    <w:rsid w:val="00A136E4"/>
    <w:rsid w:val="00A1370F"/>
    <w:rsid w:val="00A13AAA"/>
    <w:rsid w:val="00A13D45"/>
    <w:rsid w:val="00A13FE6"/>
    <w:rsid w:val="00A1484F"/>
    <w:rsid w:val="00A14AA0"/>
    <w:rsid w:val="00A14C0F"/>
    <w:rsid w:val="00A15422"/>
    <w:rsid w:val="00A155D9"/>
    <w:rsid w:val="00A1589F"/>
    <w:rsid w:val="00A15A76"/>
    <w:rsid w:val="00A15C44"/>
    <w:rsid w:val="00A1653C"/>
    <w:rsid w:val="00A166B0"/>
    <w:rsid w:val="00A1696F"/>
    <w:rsid w:val="00A16D95"/>
    <w:rsid w:val="00A16EE7"/>
    <w:rsid w:val="00A17200"/>
    <w:rsid w:val="00A17681"/>
    <w:rsid w:val="00A17743"/>
    <w:rsid w:val="00A17921"/>
    <w:rsid w:val="00A17E60"/>
    <w:rsid w:val="00A17ECD"/>
    <w:rsid w:val="00A17F21"/>
    <w:rsid w:val="00A17FDF"/>
    <w:rsid w:val="00A20167"/>
    <w:rsid w:val="00A20399"/>
    <w:rsid w:val="00A20B74"/>
    <w:rsid w:val="00A20E8E"/>
    <w:rsid w:val="00A20F0B"/>
    <w:rsid w:val="00A213EE"/>
    <w:rsid w:val="00A21B4B"/>
    <w:rsid w:val="00A21B61"/>
    <w:rsid w:val="00A21F61"/>
    <w:rsid w:val="00A21F7D"/>
    <w:rsid w:val="00A22054"/>
    <w:rsid w:val="00A22406"/>
    <w:rsid w:val="00A22408"/>
    <w:rsid w:val="00A2259B"/>
    <w:rsid w:val="00A226C8"/>
    <w:rsid w:val="00A2289E"/>
    <w:rsid w:val="00A22C23"/>
    <w:rsid w:val="00A22C7B"/>
    <w:rsid w:val="00A23413"/>
    <w:rsid w:val="00A23BC4"/>
    <w:rsid w:val="00A23BF6"/>
    <w:rsid w:val="00A247CB"/>
    <w:rsid w:val="00A24851"/>
    <w:rsid w:val="00A24A98"/>
    <w:rsid w:val="00A24BBC"/>
    <w:rsid w:val="00A24C25"/>
    <w:rsid w:val="00A2514F"/>
    <w:rsid w:val="00A25517"/>
    <w:rsid w:val="00A25780"/>
    <w:rsid w:val="00A25BCD"/>
    <w:rsid w:val="00A25D97"/>
    <w:rsid w:val="00A26637"/>
    <w:rsid w:val="00A267F8"/>
    <w:rsid w:val="00A26906"/>
    <w:rsid w:val="00A26965"/>
    <w:rsid w:val="00A27099"/>
    <w:rsid w:val="00A27276"/>
    <w:rsid w:val="00A275A9"/>
    <w:rsid w:val="00A27903"/>
    <w:rsid w:val="00A27B2C"/>
    <w:rsid w:val="00A27FA8"/>
    <w:rsid w:val="00A302FA"/>
    <w:rsid w:val="00A30532"/>
    <w:rsid w:val="00A30AF1"/>
    <w:rsid w:val="00A31047"/>
    <w:rsid w:val="00A3104E"/>
    <w:rsid w:val="00A3180B"/>
    <w:rsid w:val="00A31957"/>
    <w:rsid w:val="00A31B9C"/>
    <w:rsid w:val="00A31ED9"/>
    <w:rsid w:val="00A320F5"/>
    <w:rsid w:val="00A323EB"/>
    <w:rsid w:val="00A329A2"/>
    <w:rsid w:val="00A32BC5"/>
    <w:rsid w:val="00A335E2"/>
    <w:rsid w:val="00A3400B"/>
    <w:rsid w:val="00A34056"/>
    <w:rsid w:val="00A34EE5"/>
    <w:rsid w:val="00A353DE"/>
    <w:rsid w:val="00A35AAC"/>
    <w:rsid w:val="00A3613E"/>
    <w:rsid w:val="00A364DF"/>
    <w:rsid w:val="00A36731"/>
    <w:rsid w:val="00A36790"/>
    <w:rsid w:val="00A36DD4"/>
    <w:rsid w:val="00A3777E"/>
    <w:rsid w:val="00A37DA6"/>
    <w:rsid w:val="00A37F8C"/>
    <w:rsid w:val="00A402EC"/>
    <w:rsid w:val="00A40337"/>
    <w:rsid w:val="00A40386"/>
    <w:rsid w:val="00A40465"/>
    <w:rsid w:val="00A40929"/>
    <w:rsid w:val="00A40B0F"/>
    <w:rsid w:val="00A40DEA"/>
    <w:rsid w:val="00A40F43"/>
    <w:rsid w:val="00A41099"/>
    <w:rsid w:val="00A4116B"/>
    <w:rsid w:val="00A41184"/>
    <w:rsid w:val="00A41BFA"/>
    <w:rsid w:val="00A41D70"/>
    <w:rsid w:val="00A41FA9"/>
    <w:rsid w:val="00A41FF7"/>
    <w:rsid w:val="00A4217A"/>
    <w:rsid w:val="00A42373"/>
    <w:rsid w:val="00A42932"/>
    <w:rsid w:val="00A42AA1"/>
    <w:rsid w:val="00A42CC3"/>
    <w:rsid w:val="00A42D37"/>
    <w:rsid w:val="00A42DA7"/>
    <w:rsid w:val="00A4312C"/>
    <w:rsid w:val="00A4315D"/>
    <w:rsid w:val="00A43444"/>
    <w:rsid w:val="00A43474"/>
    <w:rsid w:val="00A435E9"/>
    <w:rsid w:val="00A43624"/>
    <w:rsid w:val="00A4380F"/>
    <w:rsid w:val="00A438A0"/>
    <w:rsid w:val="00A43BDA"/>
    <w:rsid w:val="00A43C8A"/>
    <w:rsid w:val="00A4404D"/>
    <w:rsid w:val="00A4417B"/>
    <w:rsid w:val="00A4429B"/>
    <w:rsid w:val="00A44A3A"/>
    <w:rsid w:val="00A44E8E"/>
    <w:rsid w:val="00A44EF5"/>
    <w:rsid w:val="00A45104"/>
    <w:rsid w:val="00A45509"/>
    <w:rsid w:val="00A45862"/>
    <w:rsid w:val="00A459E1"/>
    <w:rsid w:val="00A45BAB"/>
    <w:rsid w:val="00A463DB"/>
    <w:rsid w:val="00A4652D"/>
    <w:rsid w:val="00A46531"/>
    <w:rsid w:val="00A468EE"/>
    <w:rsid w:val="00A46B2B"/>
    <w:rsid w:val="00A46D09"/>
    <w:rsid w:val="00A46EBC"/>
    <w:rsid w:val="00A4727D"/>
    <w:rsid w:val="00A47A0C"/>
    <w:rsid w:val="00A47A39"/>
    <w:rsid w:val="00A500A4"/>
    <w:rsid w:val="00A502E7"/>
    <w:rsid w:val="00A50648"/>
    <w:rsid w:val="00A50787"/>
    <w:rsid w:val="00A50B21"/>
    <w:rsid w:val="00A50E08"/>
    <w:rsid w:val="00A51338"/>
    <w:rsid w:val="00A51A34"/>
    <w:rsid w:val="00A51A8B"/>
    <w:rsid w:val="00A51C71"/>
    <w:rsid w:val="00A521A5"/>
    <w:rsid w:val="00A52346"/>
    <w:rsid w:val="00A52AD6"/>
    <w:rsid w:val="00A52F6B"/>
    <w:rsid w:val="00A53276"/>
    <w:rsid w:val="00A53752"/>
    <w:rsid w:val="00A539C3"/>
    <w:rsid w:val="00A53AB8"/>
    <w:rsid w:val="00A53D6F"/>
    <w:rsid w:val="00A53F98"/>
    <w:rsid w:val="00A5427B"/>
    <w:rsid w:val="00A54395"/>
    <w:rsid w:val="00A54537"/>
    <w:rsid w:val="00A54680"/>
    <w:rsid w:val="00A54802"/>
    <w:rsid w:val="00A54C56"/>
    <w:rsid w:val="00A56450"/>
    <w:rsid w:val="00A56566"/>
    <w:rsid w:val="00A566DF"/>
    <w:rsid w:val="00A56DEC"/>
    <w:rsid w:val="00A57008"/>
    <w:rsid w:val="00A571B6"/>
    <w:rsid w:val="00A57378"/>
    <w:rsid w:val="00A5739E"/>
    <w:rsid w:val="00A573E8"/>
    <w:rsid w:val="00A57599"/>
    <w:rsid w:val="00A57ABD"/>
    <w:rsid w:val="00A60216"/>
    <w:rsid w:val="00A604B0"/>
    <w:rsid w:val="00A60EF9"/>
    <w:rsid w:val="00A61912"/>
    <w:rsid w:val="00A619A4"/>
    <w:rsid w:val="00A619F5"/>
    <w:rsid w:val="00A61E2B"/>
    <w:rsid w:val="00A622F8"/>
    <w:rsid w:val="00A627E2"/>
    <w:rsid w:val="00A62E3B"/>
    <w:rsid w:val="00A6307E"/>
    <w:rsid w:val="00A630E4"/>
    <w:rsid w:val="00A6323A"/>
    <w:rsid w:val="00A632F1"/>
    <w:rsid w:val="00A63365"/>
    <w:rsid w:val="00A6338D"/>
    <w:rsid w:val="00A64365"/>
    <w:rsid w:val="00A644F8"/>
    <w:rsid w:val="00A6465D"/>
    <w:rsid w:val="00A64675"/>
    <w:rsid w:val="00A64A12"/>
    <w:rsid w:val="00A65028"/>
    <w:rsid w:val="00A653AE"/>
    <w:rsid w:val="00A65501"/>
    <w:rsid w:val="00A65D3C"/>
    <w:rsid w:val="00A65FD9"/>
    <w:rsid w:val="00A66061"/>
    <w:rsid w:val="00A6689E"/>
    <w:rsid w:val="00A66A98"/>
    <w:rsid w:val="00A66C0D"/>
    <w:rsid w:val="00A66FB4"/>
    <w:rsid w:val="00A67010"/>
    <w:rsid w:val="00A6706F"/>
    <w:rsid w:val="00A677CB"/>
    <w:rsid w:val="00A67C46"/>
    <w:rsid w:val="00A67E45"/>
    <w:rsid w:val="00A7038D"/>
    <w:rsid w:val="00A70855"/>
    <w:rsid w:val="00A70FFD"/>
    <w:rsid w:val="00A711EE"/>
    <w:rsid w:val="00A7137E"/>
    <w:rsid w:val="00A71607"/>
    <w:rsid w:val="00A7178A"/>
    <w:rsid w:val="00A71BBB"/>
    <w:rsid w:val="00A71C21"/>
    <w:rsid w:val="00A7254D"/>
    <w:rsid w:val="00A72AF2"/>
    <w:rsid w:val="00A72C05"/>
    <w:rsid w:val="00A730A8"/>
    <w:rsid w:val="00A73129"/>
    <w:rsid w:val="00A7318B"/>
    <w:rsid w:val="00A738FA"/>
    <w:rsid w:val="00A74395"/>
    <w:rsid w:val="00A74CCD"/>
    <w:rsid w:val="00A75630"/>
    <w:rsid w:val="00A75A20"/>
    <w:rsid w:val="00A75A59"/>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8085B"/>
    <w:rsid w:val="00A809F7"/>
    <w:rsid w:val="00A80A41"/>
    <w:rsid w:val="00A80C68"/>
    <w:rsid w:val="00A81354"/>
    <w:rsid w:val="00A81613"/>
    <w:rsid w:val="00A81820"/>
    <w:rsid w:val="00A81D16"/>
    <w:rsid w:val="00A82114"/>
    <w:rsid w:val="00A82131"/>
    <w:rsid w:val="00A82278"/>
    <w:rsid w:val="00A823B3"/>
    <w:rsid w:val="00A829E6"/>
    <w:rsid w:val="00A82A27"/>
    <w:rsid w:val="00A82BDF"/>
    <w:rsid w:val="00A833E4"/>
    <w:rsid w:val="00A833F0"/>
    <w:rsid w:val="00A83888"/>
    <w:rsid w:val="00A83907"/>
    <w:rsid w:val="00A83DBB"/>
    <w:rsid w:val="00A83DD9"/>
    <w:rsid w:val="00A83E0A"/>
    <w:rsid w:val="00A8401E"/>
    <w:rsid w:val="00A84C74"/>
    <w:rsid w:val="00A84E1C"/>
    <w:rsid w:val="00A85078"/>
    <w:rsid w:val="00A854B8"/>
    <w:rsid w:val="00A85609"/>
    <w:rsid w:val="00A8568A"/>
    <w:rsid w:val="00A8577F"/>
    <w:rsid w:val="00A85827"/>
    <w:rsid w:val="00A8586D"/>
    <w:rsid w:val="00A859D1"/>
    <w:rsid w:val="00A85FDB"/>
    <w:rsid w:val="00A8626C"/>
    <w:rsid w:val="00A862F2"/>
    <w:rsid w:val="00A86BE5"/>
    <w:rsid w:val="00A86C5A"/>
    <w:rsid w:val="00A87243"/>
    <w:rsid w:val="00A87346"/>
    <w:rsid w:val="00A8763F"/>
    <w:rsid w:val="00A877AE"/>
    <w:rsid w:val="00A90BBF"/>
    <w:rsid w:val="00A9161B"/>
    <w:rsid w:val="00A916A4"/>
    <w:rsid w:val="00A917B3"/>
    <w:rsid w:val="00A91D08"/>
    <w:rsid w:val="00A9264C"/>
    <w:rsid w:val="00A92965"/>
    <w:rsid w:val="00A92A71"/>
    <w:rsid w:val="00A92C90"/>
    <w:rsid w:val="00A9300A"/>
    <w:rsid w:val="00A93A70"/>
    <w:rsid w:val="00A93DAD"/>
    <w:rsid w:val="00A9488C"/>
    <w:rsid w:val="00A94A92"/>
    <w:rsid w:val="00A94AB9"/>
    <w:rsid w:val="00A94B29"/>
    <w:rsid w:val="00A94FA9"/>
    <w:rsid w:val="00A9502F"/>
    <w:rsid w:val="00A95145"/>
    <w:rsid w:val="00A9517A"/>
    <w:rsid w:val="00A95338"/>
    <w:rsid w:val="00A957BD"/>
    <w:rsid w:val="00A9585E"/>
    <w:rsid w:val="00A959EB"/>
    <w:rsid w:val="00A96310"/>
    <w:rsid w:val="00A968A8"/>
    <w:rsid w:val="00A968F8"/>
    <w:rsid w:val="00A96A3C"/>
    <w:rsid w:val="00A96BC0"/>
    <w:rsid w:val="00A96D41"/>
    <w:rsid w:val="00A970C0"/>
    <w:rsid w:val="00A97310"/>
    <w:rsid w:val="00A97E22"/>
    <w:rsid w:val="00AA02D7"/>
    <w:rsid w:val="00AA0387"/>
    <w:rsid w:val="00AA0E52"/>
    <w:rsid w:val="00AA1245"/>
    <w:rsid w:val="00AA13A1"/>
    <w:rsid w:val="00AA1627"/>
    <w:rsid w:val="00AA1BD6"/>
    <w:rsid w:val="00AA21AE"/>
    <w:rsid w:val="00AA2779"/>
    <w:rsid w:val="00AA2B77"/>
    <w:rsid w:val="00AA2BE8"/>
    <w:rsid w:val="00AA2C29"/>
    <w:rsid w:val="00AA2D53"/>
    <w:rsid w:val="00AA2D94"/>
    <w:rsid w:val="00AA31C8"/>
    <w:rsid w:val="00AA322B"/>
    <w:rsid w:val="00AA3450"/>
    <w:rsid w:val="00AA3451"/>
    <w:rsid w:val="00AA3CD2"/>
    <w:rsid w:val="00AA4157"/>
    <w:rsid w:val="00AA4D80"/>
    <w:rsid w:val="00AA4EB4"/>
    <w:rsid w:val="00AA54C3"/>
    <w:rsid w:val="00AA5567"/>
    <w:rsid w:val="00AA56BA"/>
    <w:rsid w:val="00AA577D"/>
    <w:rsid w:val="00AA61AA"/>
    <w:rsid w:val="00AA6C3D"/>
    <w:rsid w:val="00AA723F"/>
    <w:rsid w:val="00AA7583"/>
    <w:rsid w:val="00AA7A98"/>
    <w:rsid w:val="00AA7B97"/>
    <w:rsid w:val="00AB0422"/>
    <w:rsid w:val="00AB0461"/>
    <w:rsid w:val="00AB0727"/>
    <w:rsid w:val="00AB0791"/>
    <w:rsid w:val="00AB0AE1"/>
    <w:rsid w:val="00AB0B63"/>
    <w:rsid w:val="00AB14FD"/>
    <w:rsid w:val="00AB17E2"/>
    <w:rsid w:val="00AB1B2B"/>
    <w:rsid w:val="00AB2071"/>
    <w:rsid w:val="00AB21B5"/>
    <w:rsid w:val="00AB261C"/>
    <w:rsid w:val="00AB281B"/>
    <w:rsid w:val="00AB2B7B"/>
    <w:rsid w:val="00AB35A1"/>
    <w:rsid w:val="00AB3AA1"/>
    <w:rsid w:val="00AB3B90"/>
    <w:rsid w:val="00AB5384"/>
    <w:rsid w:val="00AB55AE"/>
    <w:rsid w:val="00AB5715"/>
    <w:rsid w:val="00AB5740"/>
    <w:rsid w:val="00AB575E"/>
    <w:rsid w:val="00AB5785"/>
    <w:rsid w:val="00AB5B97"/>
    <w:rsid w:val="00AB5F03"/>
    <w:rsid w:val="00AB5FA7"/>
    <w:rsid w:val="00AB63AF"/>
    <w:rsid w:val="00AB6781"/>
    <w:rsid w:val="00AB6B23"/>
    <w:rsid w:val="00AB6FA5"/>
    <w:rsid w:val="00AB70A0"/>
    <w:rsid w:val="00AB73E6"/>
    <w:rsid w:val="00AB7789"/>
    <w:rsid w:val="00AB7995"/>
    <w:rsid w:val="00AB7EA1"/>
    <w:rsid w:val="00AC0C97"/>
    <w:rsid w:val="00AC0E47"/>
    <w:rsid w:val="00AC0FCD"/>
    <w:rsid w:val="00AC135C"/>
    <w:rsid w:val="00AC15EF"/>
    <w:rsid w:val="00AC1919"/>
    <w:rsid w:val="00AC1940"/>
    <w:rsid w:val="00AC1A9B"/>
    <w:rsid w:val="00AC1B64"/>
    <w:rsid w:val="00AC1CF0"/>
    <w:rsid w:val="00AC1E8C"/>
    <w:rsid w:val="00AC1F51"/>
    <w:rsid w:val="00AC1FE1"/>
    <w:rsid w:val="00AC251C"/>
    <w:rsid w:val="00AC269A"/>
    <w:rsid w:val="00AC26C5"/>
    <w:rsid w:val="00AC28D1"/>
    <w:rsid w:val="00AC32C5"/>
    <w:rsid w:val="00AC3434"/>
    <w:rsid w:val="00AC34DA"/>
    <w:rsid w:val="00AC3522"/>
    <w:rsid w:val="00AC3562"/>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157"/>
    <w:rsid w:val="00AC6480"/>
    <w:rsid w:val="00AC6C17"/>
    <w:rsid w:val="00AC6D93"/>
    <w:rsid w:val="00AC6DC1"/>
    <w:rsid w:val="00AC6E61"/>
    <w:rsid w:val="00AC705F"/>
    <w:rsid w:val="00AC7322"/>
    <w:rsid w:val="00AC76A4"/>
    <w:rsid w:val="00AC7E69"/>
    <w:rsid w:val="00AD00E8"/>
    <w:rsid w:val="00AD01F9"/>
    <w:rsid w:val="00AD06DA"/>
    <w:rsid w:val="00AD10C2"/>
    <w:rsid w:val="00AD1700"/>
    <w:rsid w:val="00AD183D"/>
    <w:rsid w:val="00AD1A98"/>
    <w:rsid w:val="00AD1F29"/>
    <w:rsid w:val="00AD267F"/>
    <w:rsid w:val="00AD2A05"/>
    <w:rsid w:val="00AD2A9B"/>
    <w:rsid w:val="00AD36E1"/>
    <w:rsid w:val="00AD383B"/>
    <w:rsid w:val="00AD3932"/>
    <w:rsid w:val="00AD40C5"/>
    <w:rsid w:val="00AD40F6"/>
    <w:rsid w:val="00AD4318"/>
    <w:rsid w:val="00AD4455"/>
    <w:rsid w:val="00AD4748"/>
    <w:rsid w:val="00AD4E82"/>
    <w:rsid w:val="00AD4F84"/>
    <w:rsid w:val="00AD4F9C"/>
    <w:rsid w:val="00AD525E"/>
    <w:rsid w:val="00AD5414"/>
    <w:rsid w:val="00AD61DB"/>
    <w:rsid w:val="00AD63C2"/>
    <w:rsid w:val="00AD69B9"/>
    <w:rsid w:val="00AD6B30"/>
    <w:rsid w:val="00AD6C00"/>
    <w:rsid w:val="00AD709B"/>
    <w:rsid w:val="00AD738C"/>
    <w:rsid w:val="00AD7906"/>
    <w:rsid w:val="00AE006B"/>
    <w:rsid w:val="00AE01FC"/>
    <w:rsid w:val="00AE08FB"/>
    <w:rsid w:val="00AE0C3B"/>
    <w:rsid w:val="00AE0E6A"/>
    <w:rsid w:val="00AE0EF3"/>
    <w:rsid w:val="00AE11FC"/>
    <w:rsid w:val="00AE12CD"/>
    <w:rsid w:val="00AE1463"/>
    <w:rsid w:val="00AE1CCC"/>
    <w:rsid w:val="00AE2201"/>
    <w:rsid w:val="00AE285B"/>
    <w:rsid w:val="00AE2874"/>
    <w:rsid w:val="00AE295B"/>
    <w:rsid w:val="00AE2A20"/>
    <w:rsid w:val="00AE2DDF"/>
    <w:rsid w:val="00AE2F9A"/>
    <w:rsid w:val="00AE30E0"/>
    <w:rsid w:val="00AE3683"/>
    <w:rsid w:val="00AE3EB0"/>
    <w:rsid w:val="00AE3EEB"/>
    <w:rsid w:val="00AE3F93"/>
    <w:rsid w:val="00AE44FA"/>
    <w:rsid w:val="00AE4639"/>
    <w:rsid w:val="00AE499F"/>
    <w:rsid w:val="00AE4C1E"/>
    <w:rsid w:val="00AE4D25"/>
    <w:rsid w:val="00AE5220"/>
    <w:rsid w:val="00AE590F"/>
    <w:rsid w:val="00AE5AF0"/>
    <w:rsid w:val="00AE5EDF"/>
    <w:rsid w:val="00AE679D"/>
    <w:rsid w:val="00AE6930"/>
    <w:rsid w:val="00AE6B82"/>
    <w:rsid w:val="00AE6C7A"/>
    <w:rsid w:val="00AE712C"/>
    <w:rsid w:val="00AE72D2"/>
    <w:rsid w:val="00AE74B8"/>
    <w:rsid w:val="00AE7980"/>
    <w:rsid w:val="00AE799B"/>
    <w:rsid w:val="00AE7DE8"/>
    <w:rsid w:val="00AF0365"/>
    <w:rsid w:val="00AF0864"/>
    <w:rsid w:val="00AF0D87"/>
    <w:rsid w:val="00AF0E2E"/>
    <w:rsid w:val="00AF1200"/>
    <w:rsid w:val="00AF1F2E"/>
    <w:rsid w:val="00AF1FC3"/>
    <w:rsid w:val="00AF248E"/>
    <w:rsid w:val="00AF24CF"/>
    <w:rsid w:val="00AF2E90"/>
    <w:rsid w:val="00AF3210"/>
    <w:rsid w:val="00AF33F0"/>
    <w:rsid w:val="00AF3DAB"/>
    <w:rsid w:val="00AF405E"/>
    <w:rsid w:val="00AF4628"/>
    <w:rsid w:val="00AF47BA"/>
    <w:rsid w:val="00AF4B3C"/>
    <w:rsid w:val="00AF4B9D"/>
    <w:rsid w:val="00AF4C8A"/>
    <w:rsid w:val="00AF4DBC"/>
    <w:rsid w:val="00AF4FAA"/>
    <w:rsid w:val="00AF5A3A"/>
    <w:rsid w:val="00AF5CBA"/>
    <w:rsid w:val="00AF6347"/>
    <w:rsid w:val="00AF6699"/>
    <w:rsid w:val="00AF6B0C"/>
    <w:rsid w:val="00AF6D3D"/>
    <w:rsid w:val="00AF6EB8"/>
    <w:rsid w:val="00AF6F0A"/>
    <w:rsid w:val="00AF7177"/>
    <w:rsid w:val="00AF73C9"/>
    <w:rsid w:val="00AF7473"/>
    <w:rsid w:val="00AF75DE"/>
    <w:rsid w:val="00AF7614"/>
    <w:rsid w:val="00AF780F"/>
    <w:rsid w:val="00AF78E2"/>
    <w:rsid w:val="00AF7CF1"/>
    <w:rsid w:val="00AF7D81"/>
    <w:rsid w:val="00B001FC"/>
    <w:rsid w:val="00B0072D"/>
    <w:rsid w:val="00B00C17"/>
    <w:rsid w:val="00B00F8E"/>
    <w:rsid w:val="00B01096"/>
    <w:rsid w:val="00B017A1"/>
    <w:rsid w:val="00B020EA"/>
    <w:rsid w:val="00B021B4"/>
    <w:rsid w:val="00B023FB"/>
    <w:rsid w:val="00B02A33"/>
    <w:rsid w:val="00B032CB"/>
    <w:rsid w:val="00B0337C"/>
    <w:rsid w:val="00B03E14"/>
    <w:rsid w:val="00B04051"/>
    <w:rsid w:val="00B04237"/>
    <w:rsid w:val="00B0461F"/>
    <w:rsid w:val="00B047A3"/>
    <w:rsid w:val="00B04AF5"/>
    <w:rsid w:val="00B04C02"/>
    <w:rsid w:val="00B0505B"/>
    <w:rsid w:val="00B058B5"/>
    <w:rsid w:val="00B05949"/>
    <w:rsid w:val="00B0611E"/>
    <w:rsid w:val="00B061FF"/>
    <w:rsid w:val="00B06224"/>
    <w:rsid w:val="00B06284"/>
    <w:rsid w:val="00B0648F"/>
    <w:rsid w:val="00B06821"/>
    <w:rsid w:val="00B06990"/>
    <w:rsid w:val="00B07289"/>
    <w:rsid w:val="00B075D5"/>
    <w:rsid w:val="00B07A96"/>
    <w:rsid w:val="00B07AFE"/>
    <w:rsid w:val="00B07C84"/>
    <w:rsid w:val="00B07ECB"/>
    <w:rsid w:val="00B10304"/>
    <w:rsid w:val="00B104DC"/>
    <w:rsid w:val="00B10532"/>
    <w:rsid w:val="00B10696"/>
    <w:rsid w:val="00B108DC"/>
    <w:rsid w:val="00B10ABE"/>
    <w:rsid w:val="00B10F0F"/>
    <w:rsid w:val="00B11166"/>
    <w:rsid w:val="00B116C6"/>
    <w:rsid w:val="00B11FCD"/>
    <w:rsid w:val="00B12142"/>
    <w:rsid w:val="00B126C1"/>
    <w:rsid w:val="00B12AFD"/>
    <w:rsid w:val="00B12B3B"/>
    <w:rsid w:val="00B12BD9"/>
    <w:rsid w:val="00B12E52"/>
    <w:rsid w:val="00B13036"/>
    <w:rsid w:val="00B13514"/>
    <w:rsid w:val="00B138C9"/>
    <w:rsid w:val="00B1390E"/>
    <w:rsid w:val="00B13E10"/>
    <w:rsid w:val="00B14080"/>
    <w:rsid w:val="00B14173"/>
    <w:rsid w:val="00B14257"/>
    <w:rsid w:val="00B14BAC"/>
    <w:rsid w:val="00B152E7"/>
    <w:rsid w:val="00B152F5"/>
    <w:rsid w:val="00B1534E"/>
    <w:rsid w:val="00B15353"/>
    <w:rsid w:val="00B1581C"/>
    <w:rsid w:val="00B1597D"/>
    <w:rsid w:val="00B15EFC"/>
    <w:rsid w:val="00B16A23"/>
    <w:rsid w:val="00B16CC0"/>
    <w:rsid w:val="00B16E2D"/>
    <w:rsid w:val="00B17038"/>
    <w:rsid w:val="00B177EA"/>
    <w:rsid w:val="00B17993"/>
    <w:rsid w:val="00B17BBC"/>
    <w:rsid w:val="00B17CB1"/>
    <w:rsid w:val="00B17D24"/>
    <w:rsid w:val="00B17ECA"/>
    <w:rsid w:val="00B2074B"/>
    <w:rsid w:val="00B2111D"/>
    <w:rsid w:val="00B21184"/>
    <w:rsid w:val="00B21609"/>
    <w:rsid w:val="00B216B5"/>
    <w:rsid w:val="00B22358"/>
    <w:rsid w:val="00B224D8"/>
    <w:rsid w:val="00B22623"/>
    <w:rsid w:val="00B22679"/>
    <w:rsid w:val="00B22D7E"/>
    <w:rsid w:val="00B234D3"/>
    <w:rsid w:val="00B23D29"/>
    <w:rsid w:val="00B23F31"/>
    <w:rsid w:val="00B24213"/>
    <w:rsid w:val="00B24B44"/>
    <w:rsid w:val="00B2558B"/>
    <w:rsid w:val="00B25960"/>
    <w:rsid w:val="00B25A08"/>
    <w:rsid w:val="00B25A94"/>
    <w:rsid w:val="00B25AC6"/>
    <w:rsid w:val="00B268BF"/>
    <w:rsid w:val="00B26EA5"/>
    <w:rsid w:val="00B272DE"/>
    <w:rsid w:val="00B2755A"/>
    <w:rsid w:val="00B27878"/>
    <w:rsid w:val="00B278D4"/>
    <w:rsid w:val="00B27DA3"/>
    <w:rsid w:val="00B3035C"/>
    <w:rsid w:val="00B304FD"/>
    <w:rsid w:val="00B30A11"/>
    <w:rsid w:val="00B30A65"/>
    <w:rsid w:val="00B30D1F"/>
    <w:rsid w:val="00B30F29"/>
    <w:rsid w:val="00B30F5D"/>
    <w:rsid w:val="00B30F82"/>
    <w:rsid w:val="00B311D2"/>
    <w:rsid w:val="00B3154C"/>
    <w:rsid w:val="00B31BF9"/>
    <w:rsid w:val="00B31ECD"/>
    <w:rsid w:val="00B322B3"/>
    <w:rsid w:val="00B32B9E"/>
    <w:rsid w:val="00B32E5E"/>
    <w:rsid w:val="00B33095"/>
    <w:rsid w:val="00B3339E"/>
    <w:rsid w:val="00B339A2"/>
    <w:rsid w:val="00B33A15"/>
    <w:rsid w:val="00B33BF5"/>
    <w:rsid w:val="00B34062"/>
    <w:rsid w:val="00B345A0"/>
    <w:rsid w:val="00B34AC0"/>
    <w:rsid w:val="00B34C9E"/>
    <w:rsid w:val="00B34CB7"/>
    <w:rsid w:val="00B34F50"/>
    <w:rsid w:val="00B35A1B"/>
    <w:rsid w:val="00B35ADD"/>
    <w:rsid w:val="00B35F18"/>
    <w:rsid w:val="00B362A2"/>
    <w:rsid w:val="00B364FD"/>
    <w:rsid w:val="00B369DB"/>
    <w:rsid w:val="00B36A33"/>
    <w:rsid w:val="00B36C95"/>
    <w:rsid w:val="00B372C9"/>
    <w:rsid w:val="00B375AE"/>
    <w:rsid w:val="00B376E9"/>
    <w:rsid w:val="00B40059"/>
    <w:rsid w:val="00B40145"/>
    <w:rsid w:val="00B401A8"/>
    <w:rsid w:val="00B40281"/>
    <w:rsid w:val="00B40556"/>
    <w:rsid w:val="00B405A6"/>
    <w:rsid w:val="00B41612"/>
    <w:rsid w:val="00B41AC5"/>
    <w:rsid w:val="00B41ED4"/>
    <w:rsid w:val="00B421C6"/>
    <w:rsid w:val="00B42262"/>
    <w:rsid w:val="00B42A98"/>
    <w:rsid w:val="00B42C75"/>
    <w:rsid w:val="00B42CC1"/>
    <w:rsid w:val="00B42D4E"/>
    <w:rsid w:val="00B42EC8"/>
    <w:rsid w:val="00B43265"/>
    <w:rsid w:val="00B43456"/>
    <w:rsid w:val="00B43520"/>
    <w:rsid w:val="00B435D1"/>
    <w:rsid w:val="00B435F7"/>
    <w:rsid w:val="00B43C03"/>
    <w:rsid w:val="00B43D00"/>
    <w:rsid w:val="00B44561"/>
    <w:rsid w:val="00B4480F"/>
    <w:rsid w:val="00B45197"/>
    <w:rsid w:val="00B451B3"/>
    <w:rsid w:val="00B45255"/>
    <w:rsid w:val="00B45513"/>
    <w:rsid w:val="00B45BB5"/>
    <w:rsid w:val="00B461B5"/>
    <w:rsid w:val="00B461D4"/>
    <w:rsid w:val="00B464BE"/>
    <w:rsid w:val="00B467BB"/>
    <w:rsid w:val="00B468D3"/>
    <w:rsid w:val="00B46CF8"/>
    <w:rsid w:val="00B470DC"/>
    <w:rsid w:val="00B47776"/>
    <w:rsid w:val="00B478DC"/>
    <w:rsid w:val="00B47960"/>
    <w:rsid w:val="00B502FC"/>
    <w:rsid w:val="00B504C0"/>
    <w:rsid w:val="00B50676"/>
    <w:rsid w:val="00B5067E"/>
    <w:rsid w:val="00B50914"/>
    <w:rsid w:val="00B5099A"/>
    <w:rsid w:val="00B50D24"/>
    <w:rsid w:val="00B50E32"/>
    <w:rsid w:val="00B51062"/>
    <w:rsid w:val="00B5127B"/>
    <w:rsid w:val="00B5154D"/>
    <w:rsid w:val="00B5157F"/>
    <w:rsid w:val="00B5249A"/>
    <w:rsid w:val="00B5261B"/>
    <w:rsid w:val="00B5263F"/>
    <w:rsid w:val="00B52769"/>
    <w:rsid w:val="00B529E3"/>
    <w:rsid w:val="00B52B12"/>
    <w:rsid w:val="00B52BB8"/>
    <w:rsid w:val="00B52D7D"/>
    <w:rsid w:val="00B533FB"/>
    <w:rsid w:val="00B537EC"/>
    <w:rsid w:val="00B53832"/>
    <w:rsid w:val="00B538DD"/>
    <w:rsid w:val="00B538E3"/>
    <w:rsid w:val="00B53C2E"/>
    <w:rsid w:val="00B53FEB"/>
    <w:rsid w:val="00B54242"/>
    <w:rsid w:val="00B542D0"/>
    <w:rsid w:val="00B5481B"/>
    <w:rsid w:val="00B54DFA"/>
    <w:rsid w:val="00B54E83"/>
    <w:rsid w:val="00B54F91"/>
    <w:rsid w:val="00B556B1"/>
    <w:rsid w:val="00B55A73"/>
    <w:rsid w:val="00B55B37"/>
    <w:rsid w:val="00B55DB8"/>
    <w:rsid w:val="00B5625C"/>
    <w:rsid w:val="00B563F5"/>
    <w:rsid w:val="00B56473"/>
    <w:rsid w:val="00B56BB3"/>
    <w:rsid w:val="00B56CF7"/>
    <w:rsid w:val="00B56FB0"/>
    <w:rsid w:val="00B575E8"/>
    <w:rsid w:val="00B57F68"/>
    <w:rsid w:val="00B60010"/>
    <w:rsid w:val="00B602BE"/>
    <w:rsid w:val="00B6084B"/>
    <w:rsid w:val="00B610EC"/>
    <w:rsid w:val="00B6115C"/>
    <w:rsid w:val="00B616CB"/>
    <w:rsid w:val="00B61BDA"/>
    <w:rsid w:val="00B61C5F"/>
    <w:rsid w:val="00B61F3F"/>
    <w:rsid w:val="00B62190"/>
    <w:rsid w:val="00B6219D"/>
    <w:rsid w:val="00B62645"/>
    <w:rsid w:val="00B6300A"/>
    <w:rsid w:val="00B63518"/>
    <w:rsid w:val="00B635DE"/>
    <w:rsid w:val="00B638CB"/>
    <w:rsid w:val="00B6392E"/>
    <w:rsid w:val="00B63A30"/>
    <w:rsid w:val="00B64729"/>
    <w:rsid w:val="00B64A75"/>
    <w:rsid w:val="00B64AC9"/>
    <w:rsid w:val="00B64E6A"/>
    <w:rsid w:val="00B64FD4"/>
    <w:rsid w:val="00B6559D"/>
    <w:rsid w:val="00B6569B"/>
    <w:rsid w:val="00B6657B"/>
    <w:rsid w:val="00B66604"/>
    <w:rsid w:val="00B66A0E"/>
    <w:rsid w:val="00B67373"/>
    <w:rsid w:val="00B67425"/>
    <w:rsid w:val="00B6749A"/>
    <w:rsid w:val="00B678AE"/>
    <w:rsid w:val="00B708EF"/>
    <w:rsid w:val="00B709D3"/>
    <w:rsid w:val="00B70A3C"/>
    <w:rsid w:val="00B70A5A"/>
    <w:rsid w:val="00B70C6A"/>
    <w:rsid w:val="00B70D86"/>
    <w:rsid w:val="00B70E8B"/>
    <w:rsid w:val="00B715E8"/>
    <w:rsid w:val="00B71601"/>
    <w:rsid w:val="00B7190A"/>
    <w:rsid w:val="00B71A05"/>
    <w:rsid w:val="00B71B83"/>
    <w:rsid w:val="00B71DC8"/>
    <w:rsid w:val="00B71F81"/>
    <w:rsid w:val="00B72207"/>
    <w:rsid w:val="00B7221E"/>
    <w:rsid w:val="00B7293D"/>
    <w:rsid w:val="00B72B41"/>
    <w:rsid w:val="00B72EE2"/>
    <w:rsid w:val="00B72FC5"/>
    <w:rsid w:val="00B735B4"/>
    <w:rsid w:val="00B73EB8"/>
    <w:rsid w:val="00B74688"/>
    <w:rsid w:val="00B74B3E"/>
    <w:rsid w:val="00B74DEC"/>
    <w:rsid w:val="00B75BBA"/>
    <w:rsid w:val="00B75CC5"/>
    <w:rsid w:val="00B75D39"/>
    <w:rsid w:val="00B75F99"/>
    <w:rsid w:val="00B763BB"/>
    <w:rsid w:val="00B764CA"/>
    <w:rsid w:val="00B7676E"/>
    <w:rsid w:val="00B76C17"/>
    <w:rsid w:val="00B76C5C"/>
    <w:rsid w:val="00B76D67"/>
    <w:rsid w:val="00B76F7E"/>
    <w:rsid w:val="00B771AC"/>
    <w:rsid w:val="00B7778A"/>
    <w:rsid w:val="00B77869"/>
    <w:rsid w:val="00B77CBF"/>
    <w:rsid w:val="00B805D7"/>
    <w:rsid w:val="00B807A6"/>
    <w:rsid w:val="00B80973"/>
    <w:rsid w:val="00B80B15"/>
    <w:rsid w:val="00B80D4E"/>
    <w:rsid w:val="00B8100D"/>
    <w:rsid w:val="00B81AED"/>
    <w:rsid w:val="00B821D0"/>
    <w:rsid w:val="00B823AE"/>
    <w:rsid w:val="00B824E3"/>
    <w:rsid w:val="00B829AD"/>
    <w:rsid w:val="00B82C24"/>
    <w:rsid w:val="00B8323A"/>
    <w:rsid w:val="00B834C1"/>
    <w:rsid w:val="00B834CD"/>
    <w:rsid w:val="00B835A1"/>
    <w:rsid w:val="00B83B7E"/>
    <w:rsid w:val="00B83D0E"/>
    <w:rsid w:val="00B842AD"/>
    <w:rsid w:val="00B843BB"/>
    <w:rsid w:val="00B843DB"/>
    <w:rsid w:val="00B844DA"/>
    <w:rsid w:val="00B847A2"/>
    <w:rsid w:val="00B84ADB"/>
    <w:rsid w:val="00B84B60"/>
    <w:rsid w:val="00B84DC4"/>
    <w:rsid w:val="00B84F31"/>
    <w:rsid w:val="00B852D9"/>
    <w:rsid w:val="00B85495"/>
    <w:rsid w:val="00B85F37"/>
    <w:rsid w:val="00B8672D"/>
    <w:rsid w:val="00B869F0"/>
    <w:rsid w:val="00B86DF7"/>
    <w:rsid w:val="00B872BA"/>
    <w:rsid w:val="00B87573"/>
    <w:rsid w:val="00B875D3"/>
    <w:rsid w:val="00B87751"/>
    <w:rsid w:val="00B877A7"/>
    <w:rsid w:val="00B87F19"/>
    <w:rsid w:val="00B90056"/>
    <w:rsid w:val="00B901A8"/>
    <w:rsid w:val="00B90B0E"/>
    <w:rsid w:val="00B90F22"/>
    <w:rsid w:val="00B91347"/>
    <w:rsid w:val="00B91698"/>
    <w:rsid w:val="00B9196C"/>
    <w:rsid w:val="00B924CB"/>
    <w:rsid w:val="00B927A5"/>
    <w:rsid w:val="00B92ADC"/>
    <w:rsid w:val="00B92E10"/>
    <w:rsid w:val="00B93412"/>
    <w:rsid w:val="00B934F1"/>
    <w:rsid w:val="00B937CF"/>
    <w:rsid w:val="00B9380A"/>
    <w:rsid w:val="00B93881"/>
    <w:rsid w:val="00B939B9"/>
    <w:rsid w:val="00B93FE3"/>
    <w:rsid w:val="00B9412E"/>
    <w:rsid w:val="00B94320"/>
    <w:rsid w:val="00B9474A"/>
    <w:rsid w:val="00B94840"/>
    <w:rsid w:val="00B94909"/>
    <w:rsid w:val="00B94D78"/>
    <w:rsid w:val="00B94D7E"/>
    <w:rsid w:val="00B94EED"/>
    <w:rsid w:val="00B95206"/>
    <w:rsid w:val="00B95A4F"/>
    <w:rsid w:val="00B961E6"/>
    <w:rsid w:val="00B96444"/>
    <w:rsid w:val="00B96485"/>
    <w:rsid w:val="00B96789"/>
    <w:rsid w:val="00B9699B"/>
    <w:rsid w:val="00B9756E"/>
    <w:rsid w:val="00B9781B"/>
    <w:rsid w:val="00B978FC"/>
    <w:rsid w:val="00B97A21"/>
    <w:rsid w:val="00B97E4C"/>
    <w:rsid w:val="00B97F8F"/>
    <w:rsid w:val="00BA06FD"/>
    <w:rsid w:val="00BA0975"/>
    <w:rsid w:val="00BA0D56"/>
    <w:rsid w:val="00BA1D88"/>
    <w:rsid w:val="00BA2116"/>
    <w:rsid w:val="00BA21B3"/>
    <w:rsid w:val="00BA2617"/>
    <w:rsid w:val="00BA2732"/>
    <w:rsid w:val="00BA2886"/>
    <w:rsid w:val="00BA2C63"/>
    <w:rsid w:val="00BA331A"/>
    <w:rsid w:val="00BA3327"/>
    <w:rsid w:val="00BA3980"/>
    <w:rsid w:val="00BA3A0B"/>
    <w:rsid w:val="00BA3E82"/>
    <w:rsid w:val="00BA41C0"/>
    <w:rsid w:val="00BA4782"/>
    <w:rsid w:val="00BA4FDA"/>
    <w:rsid w:val="00BA518F"/>
    <w:rsid w:val="00BA56F0"/>
    <w:rsid w:val="00BA5779"/>
    <w:rsid w:val="00BA57AE"/>
    <w:rsid w:val="00BA57BC"/>
    <w:rsid w:val="00BA59E3"/>
    <w:rsid w:val="00BA6091"/>
    <w:rsid w:val="00BA616C"/>
    <w:rsid w:val="00BA617B"/>
    <w:rsid w:val="00BA687D"/>
    <w:rsid w:val="00BA730A"/>
    <w:rsid w:val="00BA7328"/>
    <w:rsid w:val="00BA75AD"/>
    <w:rsid w:val="00BA765E"/>
    <w:rsid w:val="00BA79F5"/>
    <w:rsid w:val="00BA7C67"/>
    <w:rsid w:val="00BA7E5C"/>
    <w:rsid w:val="00BB0147"/>
    <w:rsid w:val="00BB033F"/>
    <w:rsid w:val="00BB06B2"/>
    <w:rsid w:val="00BB12B5"/>
    <w:rsid w:val="00BB1320"/>
    <w:rsid w:val="00BB189C"/>
    <w:rsid w:val="00BB1CB3"/>
    <w:rsid w:val="00BB1F5F"/>
    <w:rsid w:val="00BB2436"/>
    <w:rsid w:val="00BB25EF"/>
    <w:rsid w:val="00BB2C22"/>
    <w:rsid w:val="00BB2F10"/>
    <w:rsid w:val="00BB2FCF"/>
    <w:rsid w:val="00BB30E8"/>
    <w:rsid w:val="00BB3246"/>
    <w:rsid w:val="00BB33A4"/>
    <w:rsid w:val="00BB3526"/>
    <w:rsid w:val="00BB3688"/>
    <w:rsid w:val="00BB3972"/>
    <w:rsid w:val="00BB419F"/>
    <w:rsid w:val="00BB4749"/>
    <w:rsid w:val="00BB47EC"/>
    <w:rsid w:val="00BB4822"/>
    <w:rsid w:val="00BB49E5"/>
    <w:rsid w:val="00BB4AF0"/>
    <w:rsid w:val="00BB4BBF"/>
    <w:rsid w:val="00BB4E70"/>
    <w:rsid w:val="00BB525F"/>
    <w:rsid w:val="00BB58F8"/>
    <w:rsid w:val="00BB5B74"/>
    <w:rsid w:val="00BB6616"/>
    <w:rsid w:val="00BB663F"/>
    <w:rsid w:val="00BB69CF"/>
    <w:rsid w:val="00BB6A49"/>
    <w:rsid w:val="00BB6A4A"/>
    <w:rsid w:val="00BB6BE5"/>
    <w:rsid w:val="00BB6BEF"/>
    <w:rsid w:val="00BB73A0"/>
    <w:rsid w:val="00BB7570"/>
    <w:rsid w:val="00BB7CA3"/>
    <w:rsid w:val="00BB7D98"/>
    <w:rsid w:val="00BC07C1"/>
    <w:rsid w:val="00BC0CCD"/>
    <w:rsid w:val="00BC1339"/>
    <w:rsid w:val="00BC1626"/>
    <w:rsid w:val="00BC1766"/>
    <w:rsid w:val="00BC261B"/>
    <w:rsid w:val="00BC2646"/>
    <w:rsid w:val="00BC2AA0"/>
    <w:rsid w:val="00BC2DC9"/>
    <w:rsid w:val="00BC3DAA"/>
    <w:rsid w:val="00BC4171"/>
    <w:rsid w:val="00BC49C5"/>
    <w:rsid w:val="00BC4A7B"/>
    <w:rsid w:val="00BC50D8"/>
    <w:rsid w:val="00BC5B96"/>
    <w:rsid w:val="00BC5FB2"/>
    <w:rsid w:val="00BC64E6"/>
    <w:rsid w:val="00BC678C"/>
    <w:rsid w:val="00BC6AD9"/>
    <w:rsid w:val="00BC7585"/>
    <w:rsid w:val="00BC79B9"/>
    <w:rsid w:val="00BC7A69"/>
    <w:rsid w:val="00BC7AE4"/>
    <w:rsid w:val="00BC7E21"/>
    <w:rsid w:val="00BC7F21"/>
    <w:rsid w:val="00BC7F86"/>
    <w:rsid w:val="00BD000C"/>
    <w:rsid w:val="00BD0010"/>
    <w:rsid w:val="00BD0905"/>
    <w:rsid w:val="00BD0D6F"/>
    <w:rsid w:val="00BD13A0"/>
    <w:rsid w:val="00BD174D"/>
    <w:rsid w:val="00BD1A82"/>
    <w:rsid w:val="00BD2495"/>
    <w:rsid w:val="00BD281D"/>
    <w:rsid w:val="00BD28EB"/>
    <w:rsid w:val="00BD2ED4"/>
    <w:rsid w:val="00BD3287"/>
    <w:rsid w:val="00BD35EA"/>
    <w:rsid w:val="00BD3BDA"/>
    <w:rsid w:val="00BD3E47"/>
    <w:rsid w:val="00BD455A"/>
    <w:rsid w:val="00BD4F48"/>
    <w:rsid w:val="00BD5018"/>
    <w:rsid w:val="00BD51F2"/>
    <w:rsid w:val="00BD52F7"/>
    <w:rsid w:val="00BD53E0"/>
    <w:rsid w:val="00BD53EE"/>
    <w:rsid w:val="00BD54DD"/>
    <w:rsid w:val="00BD60F5"/>
    <w:rsid w:val="00BD61A0"/>
    <w:rsid w:val="00BD6530"/>
    <w:rsid w:val="00BD654F"/>
    <w:rsid w:val="00BD6B63"/>
    <w:rsid w:val="00BD702D"/>
    <w:rsid w:val="00BD76DB"/>
    <w:rsid w:val="00BD7BD3"/>
    <w:rsid w:val="00BD7DF2"/>
    <w:rsid w:val="00BE007B"/>
    <w:rsid w:val="00BE00F2"/>
    <w:rsid w:val="00BE0190"/>
    <w:rsid w:val="00BE0322"/>
    <w:rsid w:val="00BE0485"/>
    <w:rsid w:val="00BE05E5"/>
    <w:rsid w:val="00BE0714"/>
    <w:rsid w:val="00BE0B8F"/>
    <w:rsid w:val="00BE0C68"/>
    <w:rsid w:val="00BE0D2F"/>
    <w:rsid w:val="00BE0F01"/>
    <w:rsid w:val="00BE18DC"/>
    <w:rsid w:val="00BE196B"/>
    <w:rsid w:val="00BE1C82"/>
    <w:rsid w:val="00BE1FAB"/>
    <w:rsid w:val="00BE2394"/>
    <w:rsid w:val="00BE244D"/>
    <w:rsid w:val="00BE249D"/>
    <w:rsid w:val="00BE258A"/>
    <w:rsid w:val="00BE2FBE"/>
    <w:rsid w:val="00BE3096"/>
    <w:rsid w:val="00BE309A"/>
    <w:rsid w:val="00BE30A0"/>
    <w:rsid w:val="00BE3228"/>
    <w:rsid w:val="00BE3698"/>
    <w:rsid w:val="00BE3AA2"/>
    <w:rsid w:val="00BE40D0"/>
    <w:rsid w:val="00BE42C8"/>
    <w:rsid w:val="00BE44D1"/>
    <w:rsid w:val="00BE478A"/>
    <w:rsid w:val="00BE4975"/>
    <w:rsid w:val="00BE4C0F"/>
    <w:rsid w:val="00BE4E9F"/>
    <w:rsid w:val="00BE5175"/>
    <w:rsid w:val="00BE5908"/>
    <w:rsid w:val="00BE597D"/>
    <w:rsid w:val="00BE5A72"/>
    <w:rsid w:val="00BE621D"/>
    <w:rsid w:val="00BE66D7"/>
    <w:rsid w:val="00BE671D"/>
    <w:rsid w:val="00BE6895"/>
    <w:rsid w:val="00BE68BA"/>
    <w:rsid w:val="00BE6EDA"/>
    <w:rsid w:val="00BE7403"/>
    <w:rsid w:val="00BE7599"/>
    <w:rsid w:val="00BE780B"/>
    <w:rsid w:val="00BE79F8"/>
    <w:rsid w:val="00BE7BE0"/>
    <w:rsid w:val="00BF0440"/>
    <w:rsid w:val="00BF053A"/>
    <w:rsid w:val="00BF07EA"/>
    <w:rsid w:val="00BF0F89"/>
    <w:rsid w:val="00BF1211"/>
    <w:rsid w:val="00BF1313"/>
    <w:rsid w:val="00BF1390"/>
    <w:rsid w:val="00BF19D7"/>
    <w:rsid w:val="00BF1FF7"/>
    <w:rsid w:val="00BF2CC0"/>
    <w:rsid w:val="00BF2CC7"/>
    <w:rsid w:val="00BF2EB4"/>
    <w:rsid w:val="00BF340B"/>
    <w:rsid w:val="00BF3443"/>
    <w:rsid w:val="00BF3489"/>
    <w:rsid w:val="00BF3519"/>
    <w:rsid w:val="00BF36FF"/>
    <w:rsid w:val="00BF39DA"/>
    <w:rsid w:val="00BF39F5"/>
    <w:rsid w:val="00BF3E60"/>
    <w:rsid w:val="00BF40E3"/>
    <w:rsid w:val="00BF41C4"/>
    <w:rsid w:val="00BF4220"/>
    <w:rsid w:val="00BF422C"/>
    <w:rsid w:val="00BF4B90"/>
    <w:rsid w:val="00BF4E2F"/>
    <w:rsid w:val="00BF5564"/>
    <w:rsid w:val="00BF5664"/>
    <w:rsid w:val="00BF5B4F"/>
    <w:rsid w:val="00BF5B71"/>
    <w:rsid w:val="00BF610E"/>
    <w:rsid w:val="00BF66BB"/>
    <w:rsid w:val="00BF69D2"/>
    <w:rsid w:val="00BF6BA7"/>
    <w:rsid w:val="00BF7B83"/>
    <w:rsid w:val="00BF7DC0"/>
    <w:rsid w:val="00BF7E4B"/>
    <w:rsid w:val="00C0084C"/>
    <w:rsid w:val="00C00998"/>
    <w:rsid w:val="00C00C8D"/>
    <w:rsid w:val="00C00F9A"/>
    <w:rsid w:val="00C00FCE"/>
    <w:rsid w:val="00C011AA"/>
    <w:rsid w:val="00C01579"/>
    <w:rsid w:val="00C01B59"/>
    <w:rsid w:val="00C021B6"/>
    <w:rsid w:val="00C023B8"/>
    <w:rsid w:val="00C024DC"/>
    <w:rsid w:val="00C0271E"/>
    <w:rsid w:val="00C02AA1"/>
    <w:rsid w:val="00C02BDC"/>
    <w:rsid w:val="00C02F6A"/>
    <w:rsid w:val="00C02F6D"/>
    <w:rsid w:val="00C030AF"/>
    <w:rsid w:val="00C030D6"/>
    <w:rsid w:val="00C0321A"/>
    <w:rsid w:val="00C033C8"/>
    <w:rsid w:val="00C039D4"/>
    <w:rsid w:val="00C03FC2"/>
    <w:rsid w:val="00C040DD"/>
    <w:rsid w:val="00C042FD"/>
    <w:rsid w:val="00C0452B"/>
    <w:rsid w:val="00C047A1"/>
    <w:rsid w:val="00C04C02"/>
    <w:rsid w:val="00C04F48"/>
    <w:rsid w:val="00C05280"/>
    <w:rsid w:val="00C0538B"/>
    <w:rsid w:val="00C05561"/>
    <w:rsid w:val="00C058EF"/>
    <w:rsid w:val="00C06149"/>
    <w:rsid w:val="00C061AD"/>
    <w:rsid w:val="00C06941"/>
    <w:rsid w:val="00C06954"/>
    <w:rsid w:val="00C069D7"/>
    <w:rsid w:val="00C0708B"/>
    <w:rsid w:val="00C0752F"/>
    <w:rsid w:val="00C07671"/>
    <w:rsid w:val="00C076BC"/>
    <w:rsid w:val="00C07B16"/>
    <w:rsid w:val="00C07D81"/>
    <w:rsid w:val="00C1008A"/>
    <w:rsid w:val="00C1018D"/>
    <w:rsid w:val="00C106AF"/>
    <w:rsid w:val="00C10740"/>
    <w:rsid w:val="00C10F09"/>
    <w:rsid w:val="00C10F2A"/>
    <w:rsid w:val="00C11425"/>
    <w:rsid w:val="00C114CE"/>
    <w:rsid w:val="00C1160C"/>
    <w:rsid w:val="00C11644"/>
    <w:rsid w:val="00C11698"/>
    <w:rsid w:val="00C116C4"/>
    <w:rsid w:val="00C1173C"/>
    <w:rsid w:val="00C11A2D"/>
    <w:rsid w:val="00C11CF4"/>
    <w:rsid w:val="00C11E63"/>
    <w:rsid w:val="00C12A4B"/>
    <w:rsid w:val="00C12FE4"/>
    <w:rsid w:val="00C130B7"/>
    <w:rsid w:val="00C1326D"/>
    <w:rsid w:val="00C13436"/>
    <w:rsid w:val="00C13721"/>
    <w:rsid w:val="00C13F81"/>
    <w:rsid w:val="00C14157"/>
    <w:rsid w:val="00C14177"/>
    <w:rsid w:val="00C14680"/>
    <w:rsid w:val="00C1491F"/>
    <w:rsid w:val="00C14A9E"/>
    <w:rsid w:val="00C14B3D"/>
    <w:rsid w:val="00C14CCA"/>
    <w:rsid w:val="00C14DA3"/>
    <w:rsid w:val="00C14F66"/>
    <w:rsid w:val="00C159CA"/>
    <w:rsid w:val="00C15A1C"/>
    <w:rsid w:val="00C15F05"/>
    <w:rsid w:val="00C1655C"/>
    <w:rsid w:val="00C1663C"/>
    <w:rsid w:val="00C17018"/>
    <w:rsid w:val="00C17484"/>
    <w:rsid w:val="00C17BF2"/>
    <w:rsid w:val="00C17C50"/>
    <w:rsid w:val="00C2020A"/>
    <w:rsid w:val="00C2095E"/>
    <w:rsid w:val="00C20A49"/>
    <w:rsid w:val="00C20F23"/>
    <w:rsid w:val="00C21750"/>
    <w:rsid w:val="00C21776"/>
    <w:rsid w:val="00C21B83"/>
    <w:rsid w:val="00C21F31"/>
    <w:rsid w:val="00C221FA"/>
    <w:rsid w:val="00C22498"/>
    <w:rsid w:val="00C2294F"/>
    <w:rsid w:val="00C2300E"/>
    <w:rsid w:val="00C234B9"/>
    <w:rsid w:val="00C2354C"/>
    <w:rsid w:val="00C23564"/>
    <w:rsid w:val="00C2388A"/>
    <w:rsid w:val="00C23D73"/>
    <w:rsid w:val="00C23F2F"/>
    <w:rsid w:val="00C24634"/>
    <w:rsid w:val="00C24887"/>
    <w:rsid w:val="00C24947"/>
    <w:rsid w:val="00C249A8"/>
    <w:rsid w:val="00C254F4"/>
    <w:rsid w:val="00C255DA"/>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201D"/>
    <w:rsid w:val="00C3235C"/>
    <w:rsid w:val="00C3250A"/>
    <w:rsid w:val="00C325D6"/>
    <w:rsid w:val="00C327D5"/>
    <w:rsid w:val="00C327D9"/>
    <w:rsid w:val="00C3283B"/>
    <w:rsid w:val="00C32A3A"/>
    <w:rsid w:val="00C32E76"/>
    <w:rsid w:val="00C336F9"/>
    <w:rsid w:val="00C33AEE"/>
    <w:rsid w:val="00C33C45"/>
    <w:rsid w:val="00C33F70"/>
    <w:rsid w:val="00C34186"/>
    <w:rsid w:val="00C3444D"/>
    <w:rsid w:val="00C34726"/>
    <w:rsid w:val="00C35524"/>
    <w:rsid w:val="00C35675"/>
    <w:rsid w:val="00C3588A"/>
    <w:rsid w:val="00C3595C"/>
    <w:rsid w:val="00C35C0D"/>
    <w:rsid w:val="00C35CE5"/>
    <w:rsid w:val="00C369B0"/>
    <w:rsid w:val="00C36D2D"/>
    <w:rsid w:val="00C37230"/>
    <w:rsid w:val="00C37813"/>
    <w:rsid w:val="00C3781E"/>
    <w:rsid w:val="00C37C56"/>
    <w:rsid w:val="00C37E09"/>
    <w:rsid w:val="00C4010B"/>
    <w:rsid w:val="00C40763"/>
    <w:rsid w:val="00C40806"/>
    <w:rsid w:val="00C40919"/>
    <w:rsid w:val="00C40AA5"/>
    <w:rsid w:val="00C40CFC"/>
    <w:rsid w:val="00C414A2"/>
    <w:rsid w:val="00C4156B"/>
    <w:rsid w:val="00C4160B"/>
    <w:rsid w:val="00C416CB"/>
    <w:rsid w:val="00C41AD0"/>
    <w:rsid w:val="00C41DDF"/>
    <w:rsid w:val="00C428E7"/>
    <w:rsid w:val="00C4292A"/>
    <w:rsid w:val="00C42A78"/>
    <w:rsid w:val="00C42B99"/>
    <w:rsid w:val="00C42C62"/>
    <w:rsid w:val="00C42DAF"/>
    <w:rsid w:val="00C437CA"/>
    <w:rsid w:val="00C43FC6"/>
    <w:rsid w:val="00C44683"/>
    <w:rsid w:val="00C44696"/>
    <w:rsid w:val="00C44B95"/>
    <w:rsid w:val="00C44C88"/>
    <w:rsid w:val="00C452C2"/>
    <w:rsid w:val="00C4589E"/>
    <w:rsid w:val="00C458DC"/>
    <w:rsid w:val="00C466EC"/>
    <w:rsid w:val="00C46BCE"/>
    <w:rsid w:val="00C46EE9"/>
    <w:rsid w:val="00C47026"/>
    <w:rsid w:val="00C47359"/>
    <w:rsid w:val="00C474A0"/>
    <w:rsid w:val="00C47605"/>
    <w:rsid w:val="00C47868"/>
    <w:rsid w:val="00C47B97"/>
    <w:rsid w:val="00C47D7F"/>
    <w:rsid w:val="00C47E14"/>
    <w:rsid w:val="00C47F2C"/>
    <w:rsid w:val="00C47F47"/>
    <w:rsid w:val="00C47FF6"/>
    <w:rsid w:val="00C501E7"/>
    <w:rsid w:val="00C50934"/>
    <w:rsid w:val="00C50942"/>
    <w:rsid w:val="00C50D5A"/>
    <w:rsid w:val="00C50DFF"/>
    <w:rsid w:val="00C513C6"/>
    <w:rsid w:val="00C5165C"/>
    <w:rsid w:val="00C518C8"/>
    <w:rsid w:val="00C51B2A"/>
    <w:rsid w:val="00C5201F"/>
    <w:rsid w:val="00C52744"/>
    <w:rsid w:val="00C5296A"/>
    <w:rsid w:val="00C52BD4"/>
    <w:rsid w:val="00C53233"/>
    <w:rsid w:val="00C53B61"/>
    <w:rsid w:val="00C54117"/>
    <w:rsid w:val="00C5418C"/>
    <w:rsid w:val="00C5428F"/>
    <w:rsid w:val="00C542C6"/>
    <w:rsid w:val="00C542E5"/>
    <w:rsid w:val="00C5493B"/>
    <w:rsid w:val="00C549BA"/>
    <w:rsid w:val="00C54D33"/>
    <w:rsid w:val="00C54E37"/>
    <w:rsid w:val="00C54F80"/>
    <w:rsid w:val="00C55672"/>
    <w:rsid w:val="00C55A00"/>
    <w:rsid w:val="00C5653F"/>
    <w:rsid w:val="00C56871"/>
    <w:rsid w:val="00C56DAB"/>
    <w:rsid w:val="00C56FE4"/>
    <w:rsid w:val="00C57B58"/>
    <w:rsid w:val="00C60845"/>
    <w:rsid w:val="00C60E37"/>
    <w:rsid w:val="00C60EEC"/>
    <w:rsid w:val="00C610A8"/>
    <w:rsid w:val="00C6142E"/>
    <w:rsid w:val="00C6146D"/>
    <w:rsid w:val="00C61733"/>
    <w:rsid w:val="00C61CFB"/>
    <w:rsid w:val="00C61E3E"/>
    <w:rsid w:val="00C61E62"/>
    <w:rsid w:val="00C62133"/>
    <w:rsid w:val="00C622F9"/>
    <w:rsid w:val="00C625BA"/>
    <w:rsid w:val="00C62613"/>
    <w:rsid w:val="00C626FF"/>
    <w:rsid w:val="00C62897"/>
    <w:rsid w:val="00C62A35"/>
    <w:rsid w:val="00C63787"/>
    <w:rsid w:val="00C63889"/>
    <w:rsid w:val="00C63A47"/>
    <w:rsid w:val="00C63C26"/>
    <w:rsid w:val="00C63FF7"/>
    <w:rsid w:val="00C64523"/>
    <w:rsid w:val="00C645DD"/>
    <w:rsid w:val="00C646FD"/>
    <w:rsid w:val="00C649B4"/>
    <w:rsid w:val="00C64F79"/>
    <w:rsid w:val="00C656F8"/>
    <w:rsid w:val="00C6584D"/>
    <w:rsid w:val="00C65942"/>
    <w:rsid w:val="00C65C1A"/>
    <w:rsid w:val="00C666D3"/>
    <w:rsid w:val="00C66EB4"/>
    <w:rsid w:val="00C66EC2"/>
    <w:rsid w:val="00C67175"/>
    <w:rsid w:val="00C6780E"/>
    <w:rsid w:val="00C67869"/>
    <w:rsid w:val="00C67A78"/>
    <w:rsid w:val="00C67D4A"/>
    <w:rsid w:val="00C7009D"/>
    <w:rsid w:val="00C70424"/>
    <w:rsid w:val="00C70480"/>
    <w:rsid w:val="00C70992"/>
    <w:rsid w:val="00C70B38"/>
    <w:rsid w:val="00C70CFA"/>
    <w:rsid w:val="00C70D1C"/>
    <w:rsid w:val="00C70F5F"/>
    <w:rsid w:val="00C712FE"/>
    <w:rsid w:val="00C71728"/>
    <w:rsid w:val="00C71DA9"/>
    <w:rsid w:val="00C721E4"/>
    <w:rsid w:val="00C725BA"/>
    <w:rsid w:val="00C7287D"/>
    <w:rsid w:val="00C72994"/>
    <w:rsid w:val="00C72AAB"/>
    <w:rsid w:val="00C72B29"/>
    <w:rsid w:val="00C72B49"/>
    <w:rsid w:val="00C72E24"/>
    <w:rsid w:val="00C731ED"/>
    <w:rsid w:val="00C732B8"/>
    <w:rsid w:val="00C734E5"/>
    <w:rsid w:val="00C74265"/>
    <w:rsid w:val="00C74546"/>
    <w:rsid w:val="00C74F4E"/>
    <w:rsid w:val="00C74FCE"/>
    <w:rsid w:val="00C75091"/>
    <w:rsid w:val="00C75296"/>
    <w:rsid w:val="00C7533F"/>
    <w:rsid w:val="00C75567"/>
    <w:rsid w:val="00C75757"/>
    <w:rsid w:val="00C7581A"/>
    <w:rsid w:val="00C75B93"/>
    <w:rsid w:val="00C75D59"/>
    <w:rsid w:val="00C76050"/>
    <w:rsid w:val="00C76118"/>
    <w:rsid w:val="00C76140"/>
    <w:rsid w:val="00C765B8"/>
    <w:rsid w:val="00C76BC5"/>
    <w:rsid w:val="00C76CD3"/>
    <w:rsid w:val="00C77176"/>
    <w:rsid w:val="00C772B1"/>
    <w:rsid w:val="00C777C5"/>
    <w:rsid w:val="00C77D36"/>
    <w:rsid w:val="00C77E9C"/>
    <w:rsid w:val="00C77F99"/>
    <w:rsid w:val="00C80427"/>
    <w:rsid w:val="00C8059E"/>
    <w:rsid w:val="00C80786"/>
    <w:rsid w:val="00C8089A"/>
    <w:rsid w:val="00C80989"/>
    <w:rsid w:val="00C80B39"/>
    <w:rsid w:val="00C80C0C"/>
    <w:rsid w:val="00C80EC6"/>
    <w:rsid w:val="00C80F09"/>
    <w:rsid w:val="00C81042"/>
    <w:rsid w:val="00C8104A"/>
    <w:rsid w:val="00C810E7"/>
    <w:rsid w:val="00C8114D"/>
    <w:rsid w:val="00C812AC"/>
    <w:rsid w:val="00C813A7"/>
    <w:rsid w:val="00C8154E"/>
    <w:rsid w:val="00C81D6C"/>
    <w:rsid w:val="00C8217A"/>
    <w:rsid w:val="00C8221F"/>
    <w:rsid w:val="00C82425"/>
    <w:rsid w:val="00C828A2"/>
    <w:rsid w:val="00C829A4"/>
    <w:rsid w:val="00C82C27"/>
    <w:rsid w:val="00C82D5D"/>
    <w:rsid w:val="00C834F4"/>
    <w:rsid w:val="00C83711"/>
    <w:rsid w:val="00C838CD"/>
    <w:rsid w:val="00C83ECF"/>
    <w:rsid w:val="00C84846"/>
    <w:rsid w:val="00C84D75"/>
    <w:rsid w:val="00C84D95"/>
    <w:rsid w:val="00C85070"/>
    <w:rsid w:val="00C85100"/>
    <w:rsid w:val="00C854D8"/>
    <w:rsid w:val="00C85E52"/>
    <w:rsid w:val="00C85F28"/>
    <w:rsid w:val="00C85FCD"/>
    <w:rsid w:val="00C862BA"/>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154F"/>
    <w:rsid w:val="00C9185C"/>
    <w:rsid w:val="00C91E13"/>
    <w:rsid w:val="00C91FA7"/>
    <w:rsid w:val="00C92335"/>
    <w:rsid w:val="00C92549"/>
    <w:rsid w:val="00C929A8"/>
    <w:rsid w:val="00C92CD2"/>
    <w:rsid w:val="00C934FB"/>
    <w:rsid w:val="00C939CC"/>
    <w:rsid w:val="00C93D66"/>
    <w:rsid w:val="00C93E4A"/>
    <w:rsid w:val="00C93FAE"/>
    <w:rsid w:val="00C9404D"/>
    <w:rsid w:val="00C94410"/>
    <w:rsid w:val="00C944F9"/>
    <w:rsid w:val="00C9480F"/>
    <w:rsid w:val="00C9491C"/>
    <w:rsid w:val="00C94AFD"/>
    <w:rsid w:val="00C94E7E"/>
    <w:rsid w:val="00C9539C"/>
    <w:rsid w:val="00C95B7C"/>
    <w:rsid w:val="00C95F58"/>
    <w:rsid w:val="00C96240"/>
    <w:rsid w:val="00C96250"/>
    <w:rsid w:val="00C963F2"/>
    <w:rsid w:val="00C9663F"/>
    <w:rsid w:val="00C9678E"/>
    <w:rsid w:val="00C9687F"/>
    <w:rsid w:val="00C96CDC"/>
    <w:rsid w:val="00C96E1A"/>
    <w:rsid w:val="00C97B6D"/>
    <w:rsid w:val="00CA00AE"/>
    <w:rsid w:val="00CA0221"/>
    <w:rsid w:val="00CA08F2"/>
    <w:rsid w:val="00CA0DDD"/>
    <w:rsid w:val="00CA11E6"/>
    <w:rsid w:val="00CA122A"/>
    <w:rsid w:val="00CA1381"/>
    <w:rsid w:val="00CA19C9"/>
    <w:rsid w:val="00CA1C50"/>
    <w:rsid w:val="00CA1C73"/>
    <w:rsid w:val="00CA21FC"/>
    <w:rsid w:val="00CA2701"/>
    <w:rsid w:val="00CA272C"/>
    <w:rsid w:val="00CA2D50"/>
    <w:rsid w:val="00CA2EB6"/>
    <w:rsid w:val="00CA3106"/>
    <w:rsid w:val="00CA3567"/>
    <w:rsid w:val="00CA39EA"/>
    <w:rsid w:val="00CA3BEB"/>
    <w:rsid w:val="00CA41AB"/>
    <w:rsid w:val="00CA41BD"/>
    <w:rsid w:val="00CA41D9"/>
    <w:rsid w:val="00CA4321"/>
    <w:rsid w:val="00CA4AE9"/>
    <w:rsid w:val="00CA4B5F"/>
    <w:rsid w:val="00CA5541"/>
    <w:rsid w:val="00CA5C1B"/>
    <w:rsid w:val="00CA6174"/>
    <w:rsid w:val="00CA61B8"/>
    <w:rsid w:val="00CA6473"/>
    <w:rsid w:val="00CA656F"/>
    <w:rsid w:val="00CA6F6B"/>
    <w:rsid w:val="00CA724F"/>
    <w:rsid w:val="00CA72D2"/>
    <w:rsid w:val="00CA72D5"/>
    <w:rsid w:val="00CA7575"/>
    <w:rsid w:val="00CA76A3"/>
    <w:rsid w:val="00CA7883"/>
    <w:rsid w:val="00CA79C9"/>
    <w:rsid w:val="00CB004C"/>
    <w:rsid w:val="00CB0625"/>
    <w:rsid w:val="00CB0A44"/>
    <w:rsid w:val="00CB0CBC"/>
    <w:rsid w:val="00CB1353"/>
    <w:rsid w:val="00CB15CF"/>
    <w:rsid w:val="00CB167D"/>
    <w:rsid w:val="00CB1C66"/>
    <w:rsid w:val="00CB207B"/>
    <w:rsid w:val="00CB24DF"/>
    <w:rsid w:val="00CB2848"/>
    <w:rsid w:val="00CB28FB"/>
    <w:rsid w:val="00CB2D5E"/>
    <w:rsid w:val="00CB2DCA"/>
    <w:rsid w:val="00CB2E1E"/>
    <w:rsid w:val="00CB2F32"/>
    <w:rsid w:val="00CB39C1"/>
    <w:rsid w:val="00CB3F2D"/>
    <w:rsid w:val="00CB3F6E"/>
    <w:rsid w:val="00CB417E"/>
    <w:rsid w:val="00CB4198"/>
    <w:rsid w:val="00CB43B9"/>
    <w:rsid w:val="00CB466E"/>
    <w:rsid w:val="00CB486C"/>
    <w:rsid w:val="00CB4AEC"/>
    <w:rsid w:val="00CB4B6E"/>
    <w:rsid w:val="00CB4C77"/>
    <w:rsid w:val="00CB5101"/>
    <w:rsid w:val="00CB557F"/>
    <w:rsid w:val="00CB59D6"/>
    <w:rsid w:val="00CB5BC0"/>
    <w:rsid w:val="00CB61EB"/>
    <w:rsid w:val="00CB66B3"/>
    <w:rsid w:val="00CB711E"/>
    <w:rsid w:val="00CB7536"/>
    <w:rsid w:val="00CB77D5"/>
    <w:rsid w:val="00CB78B0"/>
    <w:rsid w:val="00CB7FE0"/>
    <w:rsid w:val="00CC0129"/>
    <w:rsid w:val="00CC06E4"/>
    <w:rsid w:val="00CC0A89"/>
    <w:rsid w:val="00CC0E60"/>
    <w:rsid w:val="00CC10DC"/>
    <w:rsid w:val="00CC16DD"/>
    <w:rsid w:val="00CC1997"/>
    <w:rsid w:val="00CC205A"/>
    <w:rsid w:val="00CC2407"/>
    <w:rsid w:val="00CC28A0"/>
    <w:rsid w:val="00CC291D"/>
    <w:rsid w:val="00CC29E9"/>
    <w:rsid w:val="00CC2C71"/>
    <w:rsid w:val="00CC2D72"/>
    <w:rsid w:val="00CC30D3"/>
    <w:rsid w:val="00CC3756"/>
    <w:rsid w:val="00CC3BBB"/>
    <w:rsid w:val="00CC3CA7"/>
    <w:rsid w:val="00CC40BE"/>
    <w:rsid w:val="00CC480A"/>
    <w:rsid w:val="00CC48EA"/>
    <w:rsid w:val="00CC4952"/>
    <w:rsid w:val="00CC498E"/>
    <w:rsid w:val="00CC4AE7"/>
    <w:rsid w:val="00CC5064"/>
    <w:rsid w:val="00CC5193"/>
    <w:rsid w:val="00CC5DEB"/>
    <w:rsid w:val="00CC60BF"/>
    <w:rsid w:val="00CC624A"/>
    <w:rsid w:val="00CC652D"/>
    <w:rsid w:val="00CC678A"/>
    <w:rsid w:val="00CC6B94"/>
    <w:rsid w:val="00CC6BD4"/>
    <w:rsid w:val="00CC6D87"/>
    <w:rsid w:val="00CC72D3"/>
    <w:rsid w:val="00CC7409"/>
    <w:rsid w:val="00CC75D5"/>
    <w:rsid w:val="00CC76A2"/>
    <w:rsid w:val="00CC79A0"/>
    <w:rsid w:val="00CD0129"/>
    <w:rsid w:val="00CD05F7"/>
    <w:rsid w:val="00CD0A5E"/>
    <w:rsid w:val="00CD0F90"/>
    <w:rsid w:val="00CD0FC3"/>
    <w:rsid w:val="00CD1359"/>
    <w:rsid w:val="00CD19E1"/>
    <w:rsid w:val="00CD1EE7"/>
    <w:rsid w:val="00CD1F52"/>
    <w:rsid w:val="00CD2036"/>
    <w:rsid w:val="00CD20A0"/>
    <w:rsid w:val="00CD22A2"/>
    <w:rsid w:val="00CD256A"/>
    <w:rsid w:val="00CD2DAD"/>
    <w:rsid w:val="00CD3277"/>
    <w:rsid w:val="00CD3454"/>
    <w:rsid w:val="00CD37A9"/>
    <w:rsid w:val="00CD3AA9"/>
    <w:rsid w:val="00CD3BA6"/>
    <w:rsid w:val="00CD3F06"/>
    <w:rsid w:val="00CD3FD6"/>
    <w:rsid w:val="00CD4599"/>
    <w:rsid w:val="00CD4692"/>
    <w:rsid w:val="00CD4ABB"/>
    <w:rsid w:val="00CD5083"/>
    <w:rsid w:val="00CD5156"/>
    <w:rsid w:val="00CD5866"/>
    <w:rsid w:val="00CD5C4E"/>
    <w:rsid w:val="00CD5F31"/>
    <w:rsid w:val="00CD61A8"/>
    <w:rsid w:val="00CD61E1"/>
    <w:rsid w:val="00CD6441"/>
    <w:rsid w:val="00CD65A3"/>
    <w:rsid w:val="00CD6985"/>
    <w:rsid w:val="00CD71D7"/>
    <w:rsid w:val="00CD71EE"/>
    <w:rsid w:val="00CD7CB3"/>
    <w:rsid w:val="00CE012A"/>
    <w:rsid w:val="00CE01F8"/>
    <w:rsid w:val="00CE0957"/>
    <w:rsid w:val="00CE0C77"/>
    <w:rsid w:val="00CE0DD0"/>
    <w:rsid w:val="00CE0E10"/>
    <w:rsid w:val="00CE0E7C"/>
    <w:rsid w:val="00CE1639"/>
    <w:rsid w:val="00CE18AF"/>
    <w:rsid w:val="00CE1C38"/>
    <w:rsid w:val="00CE1D01"/>
    <w:rsid w:val="00CE1D5B"/>
    <w:rsid w:val="00CE1FF7"/>
    <w:rsid w:val="00CE2B44"/>
    <w:rsid w:val="00CE2FB8"/>
    <w:rsid w:val="00CE372B"/>
    <w:rsid w:val="00CE3B27"/>
    <w:rsid w:val="00CE4016"/>
    <w:rsid w:val="00CE4091"/>
    <w:rsid w:val="00CE42B6"/>
    <w:rsid w:val="00CE430C"/>
    <w:rsid w:val="00CE4398"/>
    <w:rsid w:val="00CE4472"/>
    <w:rsid w:val="00CE4817"/>
    <w:rsid w:val="00CE4986"/>
    <w:rsid w:val="00CE4A1E"/>
    <w:rsid w:val="00CE4C82"/>
    <w:rsid w:val="00CE5490"/>
    <w:rsid w:val="00CE5655"/>
    <w:rsid w:val="00CE5DD0"/>
    <w:rsid w:val="00CE620B"/>
    <w:rsid w:val="00CE6210"/>
    <w:rsid w:val="00CE63F0"/>
    <w:rsid w:val="00CE6547"/>
    <w:rsid w:val="00CE666B"/>
    <w:rsid w:val="00CE66D4"/>
    <w:rsid w:val="00CE6769"/>
    <w:rsid w:val="00CE67D1"/>
    <w:rsid w:val="00CE6B0F"/>
    <w:rsid w:val="00CE6B13"/>
    <w:rsid w:val="00CE6C34"/>
    <w:rsid w:val="00CE70BC"/>
    <w:rsid w:val="00CE7270"/>
    <w:rsid w:val="00CE7452"/>
    <w:rsid w:val="00CE75AC"/>
    <w:rsid w:val="00CE762F"/>
    <w:rsid w:val="00CE79E4"/>
    <w:rsid w:val="00CE7D12"/>
    <w:rsid w:val="00CF05C2"/>
    <w:rsid w:val="00CF0813"/>
    <w:rsid w:val="00CF08E2"/>
    <w:rsid w:val="00CF0B84"/>
    <w:rsid w:val="00CF0CCB"/>
    <w:rsid w:val="00CF1571"/>
    <w:rsid w:val="00CF193E"/>
    <w:rsid w:val="00CF1B9A"/>
    <w:rsid w:val="00CF1C36"/>
    <w:rsid w:val="00CF1FD1"/>
    <w:rsid w:val="00CF203A"/>
    <w:rsid w:val="00CF22B7"/>
    <w:rsid w:val="00CF2511"/>
    <w:rsid w:val="00CF280A"/>
    <w:rsid w:val="00CF300C"/>
    <w:rsid w:val="00CF3522"/>
    <w:rsid w:val="00CF356D"/>
    <w:rsid w:val="00CF3845"/>
    <w:rsid w:val="00CF42DA"/>
    <w:rsid w:val="00CF4369"/>
    <w:rsid w:val="00CF4443"/>
    <w:rsid w:val="00CF44E1"/>
    <w:rsid w:val="00CF4735"/>
    <w:rsid w:val="00CF48A3"/>
    <w:rsid w:val="00CF49AC"/>
    <w:rsid w:val="00CF4BF5"/>
    <w:rsid w:val="00CF4E75"/>
    <w:rsid w:val="00CF50C0"/>
    <w:rsid w:val="00CF55AC"/>
    <w:rsid w:val="00CF5A19"/>
    <w:rsid w:val="00CF5AEA"/>
    <w:rsid w:val="00CF5C77"/>
    <w:rsid w:val="00CF5E71"/>
    <w:rsid w:val="00CF657F"/>
    <w:rsid w:val="00CF68E8"/>
    <w:rsid w:val="00CF6991"/>
    <w:rsid w:val="00CF6A9C"/>
    <w:rsid w:val="00CF7564"/>
    <w:rsid w:val="00CF75E5"/>
    <w:rsid w:val="00CF7B2F"/>
    <w:rsid w:val="00CF7C39"/>
    <w:rsid w:val="00CF7C44"/>
    <w:rsid w:val="00CF7DE6"/>
    <w:rsid w:val="00D000A9"/>
    <w:rsid w:val="00D00469"/>
    <w:rsid w:val="00D00608"/>
    <w:rsid w:val="00D006F4"/>
    <w:rsid w:val="00D006FD"/>
    <w:rsid w:val="00D0095C"/>
    <w:rsid w:val="00D00F3F"/>
    <w:rsid w:val="00D010D2"/>
    <w:rsid w:val="00D01579"/>
    <w:rsid w:val="00D01797"/>
    <w:rsid w:val="00D018C1"/>
    <w:rsid w:val="00D018F0"/>
    <w:rsid w:val="00D01934"/>
    <w:rsid w:val="00D01AFA"/>
    <w:rsid w:val="00D01D7D"/>
    <w:rsid w:val="00D01DDC"/>
    <w:rsid w:val="00D01FC8"/>
    <w:rsid w:val="00D020C1"/>
    <w:rsid w:val="00D027E5"/>
    <w:rsid w:val="00D029E8"/>
    <w:rsid w:val="00D02DE9"/>
    <w:rsid w:val="00D02F47"/>
    <w:rsid w:val="00D03241"/>
    <w:rsid w:val="00D03339"/>
    <w:rsid w:val="00D0405C"/>
    <w:rsid w:val="00D04110"/>
    <w:rsid w:val="00D0480D"/>
    <w:rsid w:val="00D04B37"/>
    <w:rsid w:val="00D04EAD"/>
    <w:rsid w:val="00D04ED5"/>
    <w:rsid w:val="00D0522C"/>
    <w:rsid w:val="00D052A1"/>
    <w:rsid w:val="00D05C39"/>
    <w:rsid w:val="00D05DBA"/>
    <w:rsid w:val="00D05F3B"/>
    <w:rsid w:val="00D06DDC"/>
    <w:rsid w:val="00D07024"/>
    <w:rsid w:val="00D071FD"/>
    <w:rsid w:val="00D07497"/>
    <w:rsid w:val="00D079F5"/>
    <w:rsid w:val="00D07A17"/>
    <w:rsid w:val="00D07A61"/>
    <w:rsid w:val="00D07E26"/>
    <w:rsid w:val="00D108FD"/>
    <w:rsid w:val="00D10B1A"/>
    <w:rsid w:val="00D10E35"/>
    <w:rsid w:val="00D10F9B"/>
    <w:rsid w:val="00D11345"/>
    <w:rsid w:val="00D113B7"/>
    <w:rsid w:val="00D119C9"/>
    <w:rsid w:val="00D11AB1"/>
    <w:rsid w:val="00D11B0D"/>
    <w:rsid w:val="00D11CAB"/>
    <w:rsid w:val="00D12262"/>
    <w:rsid w:val="00D12A3F"/>
    <w:rsid w:val="00D12BFF"/>
    <w:rsid w:val="00D12C77"/>
    <w:rsid w:val="00D13341"/>
    <w:rsid w:val="00D13679"/>
    <w:rsid w:val="00D1386F"/>
    <w:rsid w:val="00D13DAB"/>
    <w:rsid w:val="00D13DE8"/>
    <w:rsid w:val="00D142A1"/>
    <w:rsid w:val="00D14397"/>
    <w:rsid w:val="00D1480B"/>
    <w:rsid w:val="00D14989"/>
    <w:rsid w:val="00D1501A"/>
    <w:rsid w:val="00D15052"/>
    <w:rsid w:val="00D151B3"/>
    <w:rsid w:val="00D152BD"/>
    <w:rsid w:val="00D15404"/>
    <w:rsid w:val="00D15648"/>
    <w:rsid w:val="00D16167"/>
    <w:rsid w:val="00D16417"/>
    <w:rsid w:val="00D1698E"/>
    <w:rsid w:val="00D16BA7"/>
    <w:rsid w:val="00D1734D"/>
    <w:rsid w:val="00D17431"/>
    <w:rsid w:val="00D17607"/>
    <w:rsid w:val="00D177D8"/>
    <w:rsid w:val="00D177FC"/>
    <w:rsid w:val="00D17983"/>
    <w:rsid w:val="00D17CBC"/>
    <w:rsid w:val="00D17D5B"/>
    <w:rsid w:val="00D2022B"/>
    <w:rsid w:val="00D204AA"/>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4A25"/>
    <w:rsid w:val="00D24C7B"/>
    <w:rsid w:val="00D2538B"/>
    <w:rsid w:val="00D25720"/>
    <w:rsid w:val="00D258CF"/>
    <w:rsid w:val="00D259B4"/>
    <w:rsid w:val="00D25DF2"/>
    <w:rsid w:val="00D25E6A"/>
    <w:rsid w:val="00D26934"/>
    <w:rsid w:val="00D26A59"/>
    <w:rsid w:val="00D26A84"/>
    <w:rsid w:val="00D26E4E"/>
    <w:rsid w:val="00D26F3D"/>
    <w:rsid w:val="00D278CC"/>
    <w:rsid w:val="00D27BD6"/>
    <w:rsid w:val="00D304FD"/>
    <w:rsid w:val="00D3078A"/>
    <w:rsid w:val="00D31132"/>
    <w:rsid w:val="00D311AD"/>
    <w:rsid w:val="00D31340"/>
    <w:rsid w:val="00D31347"/>
    <w:rsid w:val="00D3227F"/>
    <w:rsid w:val="00D3280D"/>
    <w:rsid w:val="00D32AF5"/>
    <w:rsid w:val="00D32F84"/>
    <w:rsid w:val="00D33799"/>
    <w:rsid w:val="00D33A7C"/>
    <w:rsid w:val="00D33A87"/>
    <w:rsid w:val="00D33B4D"/>
    <w:rsid w:val="00D33D4D"/>
    <w:rsid w:val="00D33FA6"/>
    <w:rsid w:val="00D3406D"/>
    <w:rsid w:val="00D344AA"/>
    <w:rsid w:val="00D3467C"/>
    <w:rsid w:val="00D347B3"/>
    <w:rsid w:val="00D34A64"/>
    <w:rsid w:val="00D34AC7"/>
    <w:rsid w:val="00D34F31"/>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659"/>
    <w:rsid w:val="00D42A3A"/>
    <w:rsid w:val="00D42B63"/>
    <w:rsid w:val="00D42E76"/>
    <w:rsid w:val="00D42FF2"/>
    <w:rsid w:val="00D43081"/>
    <w:rsid w:val="00D437D8"/>
    <w:rsid w:val="00D4396D"/>
    <w:rsid w:val="00D43A11"/>
    <w:rsid w:val="00D4430C"/>
    <w:rsid w:val="00D44A1D"/>
    <w:rsid w:val="00D44CCA"/>
    <w:rsid w:val="00D44F76"/>
    <w:rsid w:val="00D45081"/>
    <w:rsid w:val="00D450F2"/>
    <w:rsid w:val="00D453BD"/>
    <w:rsid w:val="00D4568E"/>
    <w:rsid w:val="00D45B7E"/>
    <w:rsid w:val="00D46277"/>
    <w:rsid w:val="00D46432"/>
    <w:rsid w:val="00D4650E"/>
    <w:rsid w:val="00D46DAC"/>
    <w:rsid w:val="00D46E9A"/>
    <w:rsid w:val="00D46ED5"/>
    <w:rsid w:val="00D4752B"/>
    <w:rsid w:val="00D47FB1"/>
    <w:rsid w:val="00D5045F"/>
    <w:rsid w:val="00D50937"/>
    <w:rsid w:val="00D50A22"/>
    <w:rsid w:val="00D50AB5"/>
    <w:rsid w:val="00D50B97"/>
    <w:rsid w:val="00D50D49"/>
    <w:rsid w:val="00D510E4"/>
    <w:rsid w:val="00D51480"/>
    <w:rsid w:val="00D51793"/>
    <w:rsid w:val="00D51979"/>
    <w:rsid w:val="00D51C9D"/>
    <w:rsid w:val="00D51E40"/>
    <w:rsid w:val="00D51EEF"/>
    <w:rsid w:val="00D52836"/>
    <w:rsid w:val="00D528F7"/>
    <w:rsid w:val="00D52BF5"/>
    <w:rsid w:val="00D53769"/>
    <w:rsid w:val="00D5432B"/>
    <w:rsid w:val="00D55028"/>
    <w:rsid w:val="00D55085"/>
    <w:rsid w:val="00D5546C"/>
    <w:rsid w:val="00D5565B"/>
    <w:rsid w:val="00D558E0"/>
    <w:rsid w:val="00D55B6A"/>
    <w:rsid w:val="00D55D73"/>
    <w:rsid w:val="00D55FE7"/>
    <w:rsid w:val="00D56590"/>
    <w:rsid w:val="00D56620"/>
    <w:rsid w:val="00D56733"/>
    <w:rsid w:val="00D56F54"/>
    <w:rsid w:val="00D57509"/>
    <w:rsid w:val="00D57574"/>
    <w:rsid w:val="00D5762E"/>
    <w:rsid w:val="00D57717"/>
    <w:rsid w:val="00D57875"/>
    <w:rsid w:val="00D57939"/>
    <w:rsid w:val="00D60086"/>
    <w:rsid w:val="00D600DA"/>
    <w:rsid w:val="00D6013F"/>
    <w:rsid w:val="00D60F92"/>
    <w:rsid w:val="00D610FB"/>
    <w:rsid w:val="00D614DA"/>
    <w:rsid w:val="00D61C65"/>
    <w:rsid w:val="00D62562"/>
    <w:rsid w:val="00D626C5"/>
    <w:rsid w:val="00D62D80"/>
    <w:rsid w:val="00D62FC4"/>
    <w:rsid w:val="00D634D5"/>
    <w:rsid w:val="00D63599"/>
    <w:rsid w:val="00D63613"/>
    <w:rsid w:val="00D63CFD"/>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67E16"/>
    <w:rsid w:val="00D7002F"/>
    <w:rsid w:val="00D70159"/>
    <w:rsid w:val="00D7028D"/>
    <w:rsid w:val="00D70503"/>
    <w:rsid w:val="00D706BA"/>
    <w:rsid w:val="00D70AD3"/>
    <w:rsid w:val="00D7134A"/>
    <w:rsid w:val="00D714E6"/>
    <w:rsid w:val="00D71698"/>
    <w:rsid w:val="00D71AFF"/>
    <w:rsid w:val="00D71FF1"/>
    <w:rsid w:val="00D724C4"/>
    <w:rsid w:val="00D72D56"/>
    <w:rsid w:val="00D72D95"/>
    <w:rsid w:val="00D72DCD"/>
    <w:rsid w:val="00D72E09"/>
    <w:rsid w:val="00D72EF7"/>
    <w:rsid w:val="00D72F8F"/>
    <w:rsid w:val="00D7338C"/>
    <w:rsid w:val="00D7338F"/>
    <w:rsid w:val="00D73414"/>
    <w:rsid w:val="00D73D62"/>
    <w:rsid w:val="00D7422E"/>
    <w:rsid w:val="00D74415"/>
    <w:rsid w:val="00D7476E"/>
    <w:rsid w:val="00D749CB"/>
    <w:rsid w:val="00D74B9E"/>
    <w:rsid w:val="00D74FE9"/>
    <w:rsid w:val="00D75474"/>
    <w:rsid w:val="00D754FF"/>
    <w:rsid w:val="00D75693"/>
    <w:rsid w:val="00D758E0"/>
    <w:rsid w:val="00D75DCD"/>
    <w:rsid w:val="00D75E1F"/>
    <w:rsid w:val="00D76056"/>
    <w:rsid w:val="00D762D7"/>
    <w:rsid w:val="00D763B4"/>
    <w:rsid w:val="00D76555"/>
    <w:rsid w:val="00D766CB"/>
    <w:rsid w:val="00D76A92"/>
    <w:rsid w:val="00D770F2"/>
    <w:rsid w:val="00D77682"/>
    <w:rsid w:val="00D77855"/>
    <w:rsid w:val="00D7786A"/>
    <w:rsid w:val="00D77CB1"/>
    <w:rsid w:val="00D8049E"/>
    <w:rsid w:val="00D80761"/>
    <w:rsid w:val="00D8090C"/>
    <w:rsid w:val="00D80B8F"/>
    <w:rsid w:val="00D8100C"/>
    <w:rsid w:val="00D81600"/>
    <w:rsid w:val="00D81627"/>
    <w:rsid w:val="00D8168D"/>
    <w:rsid w:val="00D819B6"/>
    <w:rsid w:val="00D81AAA"/>
    <w:rsid w:val="00D81B21"/>
    <w:rsid w:val="00D81B5D"/>
    <w:rsid w:val="00D81C73"/>
    <w:rsid w:val="00D81D52"/>
    <w:rsid w:val="00D81D57"/>
    <w:rsid w:val="00D8242D"/>
    <w:rsid w:val="00D82589"/>
    <w:rsid w:val="00D82656"/>
    <w:rsid w:val="00D83274"/>
    <w:rsid w:val="00D8357F"/>
    <w:rsid w:val="00D8446A"/>
    <w:rsid w:val="00D84567"/>
    <w:rsid w:val="00D848C8"/>
    <w:rsid w:val="00D848EF"/>
    <w:rsid w:val="00D849A7"/>
    <w:rsid w:val="00D849FF"/>
    <w:rsid w:val="00D84A19"/>
    <w:rsid w:val="00D8564A"/>
    <w:rsid w:val="00D856BE"/>
    <w:rsid w:val="00D859C8"/>
    <w:rsid w:val="00D85B60"/>
    <w:rsid w:val="00D85C1A"/>
    <w:rsid w:val="00D8607B"/>
    <w:rsid w:val="00D86243"/>
    <w:rsid w:val="00D86346"/>
    <w:rsid w:val="00D86664"/>
    <w:rsid w:val="00D86672"/>
    <w:rsid w:val="00D866B1"/>
    <w:rsid w:val="00D86812"/>
    <w:rsid w:val="00D86993"/>
    <w:rsid w:val="00D86C7D"/>
    <w:rsid w:val="00D86D8A"/>
    <w:rsid w:val="00D87110"/>
    <w:rsid w:val="00D873BD"/>
    <w:rsid w:val="00D8748A"/>
    <w:rsid w:val="00D875A3"/>
    <w:rsid w:val="00D87876"/>
    <w:rsid w:val="00D87A61"/>
    <w:rsid w:val="00D87AE1"/>
    <w:rsid w:val="00D901B5"/>
    <w:rsid w:val="00D90232"/>
    <w:rsid w:val="00D905FE"/>
    <w:rsid w:val="00D907F9"/>
    <w:rsid w:val="00D90C36"/>
    <w:rsid w:val="00D90CB3"/>
    <w:rsid w:val="00D90D86"/>
    <w:rsid w:val="00D916B8"/>
    <w:rsid w:val="00D91798"/>
    <w:rsid w:val="00D9180B"/>
    <w:rsid w:val="00D918DC"/>
    <w:rsid w:val="00D9266C"/>
    <w:rsid w:val="00D9342E"/>
    <w:rsid w:val="00D9474D"/>
    <w:rsid w:val="00D948CC"/>
    <w:rsid w:val="00D94930"/>
    <w:rsid w:val="00D94A20"/>
    <w:rsid w:val="00D94B6A"/>
    <w:rsid w:val="00D94F2E"/>
    <w:rsid w:val="00D95314"/>
    <w:rsid w:val="00D95521"/>
    <w:rsid w:val="00D95654"/>
    <w:rsid w:val="00D95A36"/>
    <w:rsid w:val="00D95CE4"/>
    <w:rsid w:val="00D96730"/>
    <w:rsid w:val="00D96A3D"/>
    <w:rsid w:val="00D96CB1"/>
    <w:rsid w:val="00D96D01"/>
    <w:rsid w:val="00D96DD5"/>
    <w:rsid w:val="00D97039"/>
    <w:rsid w:val="00D97131"/>
    <w:rsid w:val="00D97891"/>
    <w:rsid w:val="00DA03F9"/>
    <w:rsid w:val="00DA0710"/>
    <w:rsid w:val="00DA0950"/>
    <w:rsid w:val="00DA09B5"/>
    <w:rsid w:val="00DA0C53"/>
    <w:rsid w:val="00DA1243"/>
    <w:rsid w:val="00DA1314"/>
    <w:rsid w:val="00DA18F8"/>
    <w:rsid w:val="00DA1920"/>
    <w:rsid w:val="00DA193C"/>
    <w:rsid w:val="00DA1A6E"/>
    <w:rsid w:val="00DA1B7A"/>
    <w:rsid w:val="00DA20CC"/>
    <w:rsid w:val="00DA21F4"/>
    <w:rsid w:val="00DA2476"/>
    <w:rsid w:val="00DA28B0"/>
    <w:rsid w:val="00DA2B19"/>
    <w:rsid w:val="00DA2CDD"/>
    <w:rsid w:val="00DA2DC2"/>
    <w:rsid w:val="00DA32FA"/>
    <w:rsid w:val="00DA33C8"/>
    <w:rsid w:val="00DA36D6"/>
    <w:rsid w:val="00DA38E5"/>
    <w:rsid w:val="00DA3973"/>
    <w:rsid w:val="00DA3A28"/>
    <w:rsid w:val="00DA3C99"/>
    <w:rsid w:val="00DA43A4"/>
    <w:rsid w:val="00DA43AE"/>
    <w:rsid w:val="00DA45EF"/>
    <w:rsid w:val="00DA4A03"/>
    <w:rsid w:val="00DA4E4B"/>
    <w:rsid w:val="00DA4E71"/>
    <w:rsid w:val="00DA4F80"/>
    <w:rsid w:val="00DA4FA0"/>
    <w:rsid w:val="00DA56AF"/>
    <w:rsid w:val="00DA5903"/>
    <w:rsid w:val="00DA5BBA"/>
    <w:rsid w:val="00DA602B"/>
    <w:rsid w:val="00DA6279"/>
    <w:rsid w:val="00DA6523"/>
    <w:rsid w:val="00DA7027"/>
    <w:rsid w:val="00DA75D8"/>
    <w:rsid w:val="00DA769F"/>
    <w:rsid w:val="00DA7C01"/>
    <w:rsid w:val="00DA7C28"/>
    <w:rsid w:val="00DB0406"/>
    <w:rsid w:val="00DB0A16"/>
    <w:rsid w:val="00DB0D4D"/>
    <w:rsid w:val="00DB0DFF"/>
    <w:rsid w:val="00DB0E90"/>
    <w:rsid w:val="00DB13E8"/>
    <w:rsid w:val="00DB17C2"/>
    <w:rsid w:val="00DB19D7"/>
    <w:rsid w:val="00DB1C62"/>
    <w:rsid w:val="00DB1D51"/>
    <w:rsid w:val="00DB257A"/>
    <w:rsid w:val="00DB266C"/>
    <w:rsid w:val="00DB2716"/>
    <w:rsid w:val="00DB2B48"/>
    <w:rsid w:val="00DB2B67"/>
    <w:rsid w:val="00DB332F"/>
    <w:rsid w:val="00DB3B0D"/>
    <w:rsid w:val="00DB3F5A"/>
    <w:rsid w:val="00DB4330"/>
    <w:rsid w:val="00DB48DB"/>
    <w:rsid w:val="00DB4EC0"/>
    <w:rsid w:val="00DB5597"/>
    <w:rsid w:val="00DB584B"/>
    <w:rsid w:val="00DB58BE"/>
    <w:rsid w:val="00DB5B29"/>
    <w:rsid w:val="00DB606C"/>
    <w:rsid w:val="00DB61A0"/>
    <w:rsid w:val="00DB678C"/>
    <w:rsid w:val="00DB73B6"/>
    <w:rsid w:val="00DB7A4E"/>
    <w:rsid w:val="00DB7ED1"/>
    <w:rsid w:val="00DC00E6"/>
    <w:rsid w:val="00DC0299"/>
    <w:rsid w:val="00DC0302"/>
    <w:rsid w:val="00DC07A6"/>
    <w:rsid w:val="00DC09AB"/>
    <w:rsid w:val="00DC09F3"/>
    <w:rsid w:val="00DC0D04"/>
    <w:rsid w:val="00DC0F40"/>
    <w:rsid w:val="00DC124D"/>
    <w:rsid w:val="00DC1310"/>
    <w:rsid w:val="00DC1815"/>
    <w:rsid w:val="00DC18A6"/>
    <w:rsid w:val="00DC1A6D"/>
    <w:rsid w:val="00DC202F"/>
    <w:rsid w:val="00DC24B6"/>
    <w:rsid w:val="00DC2A69"/>
    <w:rsid w:val="00DC2B31"/>
    <w:rsid w:val="00DC2C88"/>
    <w:rsid w:val="00DC3164"/>
    <w:rsid w:val="00DC33AF"/>
    <w:rsid w:val="00DC3561"/>
    <w:rsid w:val="00DC3B6B"/>
    <w:rsid w:val="00DC4082"/>
    <w:rsid w:val="00DC417F"/>
    <w:rsid w:val="00DC4616"/>
    <w:rsid w:val="00DC4901"/>
    <w:rsid w:val="00DC4E33"/>
    <w:rsid w:val="00DC4F7B"/>
    <w:rsid w:val="00DC53E0"/>
    <w:rsid w:val="00DC5DD0"/>
    <w:rsid w:val="00DC5F47"/>
    <w:rsid w:val="00DC6109"/>
    <w:rsid w:val="00DC6256"/>
    <w:rsid w:val="00DC6BCA"/>
    <w:rsid w:val="00DC71DA"/>
    <w:rsid w:val="00DC7E74"/>
    <w:rsid w:val="00DD0154"/>
    <w:rsid w:val="00DD03CC"/>
    <w:rsid w:val="00DD0518"/>
    <w:rsid w:val="00DD0A59"/>
    <w:rsid w:val="00DD0B1F"/>
    <w:rsid w:val="00DD0F3D"/>
    <w:rsid w:val="00DD105C"/>
    <w:rsid w:val="00DD1380"/>
    <w:rsid w:val="00DD1431"/>
    <w:rsid w:val="00DD173C"/>
    <w:rsid w:val="00DD1792"/>
    <w:rsid w:val="00DD17C9"/>
    <w:rsid w:val="00DD1830"/>
    <w:rsid w:val="00DD1C63"/>
    <w:rsid w:val="00DD2B54"/>
    <w:rsid w:val="00DD2CF3"/>
    <w:rsid w:val="00DD313A"/>
    <w:rsid w:val="00DD33EA"/>
    <w:rsid w:val="00DD355B"/>
    <w:rsid w:val="00DD35D5"/>
    <w:rsid w:val="00DD3DC5"/>
    <w:rsid w:val="00DD45BC"/>
    <w:rsid w:val="00DD47DF"/>
    <w:rsid w:val="00DD48F1"/>
    <w:rsid w:val="00DD4A04"/>
    <w:rsid w:val="00DD51F3"/>
    <w:rsid w:val="00DD5393"/>
    <w:rsid w:val="00DD565A"/>
    <w:rsid w:val="00DD57D8"/>
    <w:rsid w:val="00DD64E7"/>
    <w:rsid w:val="00DD6739"/>
    <w:rsid w:val="00DD68EC"/>
    <w:rsid w:val="00DD6913"/>
    <w:rsid w:val="00DD6CBC"/>
    <w:rsid w:val="00DD6D04"/>
    <w:rsid w:val="00DD6DC6"/>
    <w:rsid w:val="00DD6E44"/>
    <w:rsid w:val="00DD711A"/>
    <w:rsid w:val="00DD7255"/>
    <w:rsid w:val="00DD7CBA"/>
    <w:rsid w:val="00DD7CFA"/>
    <w:rsid w:val="00DD7F07"/>
    <w:rsid w:val="00DE03D3"/>
    <w:rsid w:val="00DE049D"/>
    <w:rsid w:val="00DE0741"/>
    <w:rsid w:val="00DE082D"/>
    <w:rsid w:val="00DE0916"/>
    <w:rsid w:val="00DE0CD8"/>
    <w:rsid w:val="00DE0F87"/>
    <w:rsid w:val="00DE0FED"/>
    <w:rsid w:val="00DE1295"/>
    <w:rsid w:val="00DE13ED"/>
    <w:rsid w:val="00DE19C4"/>
    <w:rsid w:val="00DE1A2A"/>
    <w:rsid w:val="00DE1DEF"/>
    <w:rsid w:val="00DE27B8"/>
    <w:rsid w:val="00DE2A84"/>
    <w:rsid w:val="00DE2A92"/>
    <w:rsid w:val="00DE2D73"/>
    <w:rsid w:val="00DE30FC"/>
    <w:rsid w:val="00DE316B"/>
    <w:rsid w:val="00DE3259"/>
    <w:rsid w:val="00DE3411"/>
    <w:rsid w:val="00DE3A4F"/>
    <w:rsid w:val="00DE406A"/>
    <w:rsid w:val="00DE4D38"/>
    <w:rsid w:val="00DE5393"/>
    <w:rsid w:val="00DE562F"/>
    <w:rsid w:val="00DE63E4"/>
    <w:rsid w:val="00DE73DA"/>
    <w:rsid w:val="00DE7402"/>
    <w:rsid w:val="00DE75FE"/>
    <w:rsid w:val="00DF03FD"/>
    <w:rsid w:val="00DF0596"/>
    <w:rsid w:val="00DF1057"/>
    <w:rsid w:val="00DF12D6"/>
    <w:rsid w:val="00DF14EE"/>
    <w:rsid w:val="00DF187E"/>
    <w:rsid w:val="00DF19FA"/>
    <w:rsid w:val="00DF2102"/>
    <w:rsid w:val="00DF21B4"/>
    <w:rsid w:val="00DF2448"/>
    <w:rsid w:val="00DF2536"/>
    <w:rsid w:val="00DF25A4"/>
    <w:rsid w:val="00DF2847"/>
    <w:rsid w:val="00DF2942"/>
    <w:rsid w:val="00DF2AE5"/>
    <w:rsid w:val="00DF2D49"/>
    <w:rsid w:val="00DF30D2"/>
    <w:rsid w:val="00DF3EF1"/>
    <w:rsid w:val="00DF3F13"/>
    <w:rsid w:val="00DF4016"/>
    <w:rsid w:val="00DF4083"/>
    <w:rsid w:val="00DF4101"/>
    <w:rsid w:val="00DF46F8"/>
    <w:rsid w:val="00DF4A67"/>
    <w:rsid w:val="00DF4D10"/>
    <w:rsid w:val="00DF4FEB"/>
    <w:rsid w:val="00DF500B"/>
    <w:rsid w:val="00DF515E"/>
    <w:rsid w:val="00DF5565"/>
    <w:rsid w:val="00DF57CC"/>
    <w:rsid w:val="00DF5C9D"/>
    <w:rsid w:val="00DF5F58"/>
    <w:rsid w:val="00DF661C"/>
    <w:rsid w:val="00DF6982"/>
    <w:rsid w:val="00DF69B0"/>
    <w:rsid w:val="00DF6F88"/>
    <w:rsid w:val="00DF7060"/>
    <w:rsid w:val="00DF7227"/>
    <w:rsid w:val="00DF7ACC"/>
    <w:rsid w:val="00DF7BCA"/>
    <w:rsid w:val="00DF7E9C"/>
    <w:rsid w:val="00DF7F8C"/>
    <w:rsid w:val="00DF7F99"/>
    <w:rsid w:val="00DF7FE6"/>
    <w:rsid w:val="00E002C1"/>
    <w:rsid w:val="00E0041F"/>
    <w:rsid w:val="00E00432"/>
    <w:rsid w:val="00E0065F"/>
    <w:rsid w:val="00E00C24"/>
    <w:rsid w:val="00E01368"/>
    <w:rsid w:val="00E01993"/>
    <w:rsid w:val="00E019F8"/>
    <w:rsid w:val="00E01F60"/>
    <w:rsid w:val="00E023EF"/>
    <w:rsid w:val="00E02445"/>
    <w:rsid w:val="00E02AD1"/>
    <w:rsid w:val="00E02F45"/>
    <w:rsid w:val="00E0326E"/>
    <w:rsid w:val="00E03A2C"/>
    <w:rsid w:val="00E03C05"/>
    <w:rsid w:val="00E0470C"/>
    <w:rsid w:val="00E04969"/>
    <w:rsid w:val="00E04B89"/>
    <w:rsid w:val="00E04CD7"/>
    <w:rsid w:val="00E04D9D"/>
    <w:rsid w:val="00E04E57"/>
    <w:rsid w:val="00E04E7D"/>
    <w:rsid w:val="00E04EDC"/>
    <w:rsid w:val="00E05019"/>
    <w:rsid w:val="00E05197"/>
    <w:rsid w:val="00E053CE"/>
    <w:rsid w:val="00E059A2"/>
    <w:rsid w:val="00E06233"/>
    <w:rsid w:val="00E0660D"/>
    <w:rsid w:val="00E06D55"/>
    <w:rsid w:val="00E06E1E"/>
    <w:rsid w:val="00E0711C"/>
    <w:rsid w:val="00E10AF3"/>
    <w:rsid w:val="00E10CC4"/>
    <w:rsid w:val="00E10F1B"/>
    <w:rsid w:val="00E11040"/>
    <w:rsid w:val="00E11B99"/>
    <w:rsid w:val="00E11DEA"/>
    <w:rsid w:val="00E11F6A"/>
    <w:rsid w:val="00E12338"/>
    <w:rsid w:val="00E125A2"/>
    <w:rsid w:val="00E12869"/>
    <w:rsid w:val="00E12882"/>
    <w:rsid w:val="00E12904"/>
    <w:rsid w:val="00E1312A"/>
    <w:rsid w:val="00E1319D"/>
    <w:rsid w:val="00E131FD"/>
    <w:rsid w:val="00E13449"/>
    <w:rsid w:val="00E13570"/>
    <w:rsid w:val="00E13B35"/>
    <w:rsid w:val="00E13CC6"/>
    <w:rsid w:val="00E14100"/>
    <w:rsid w:val="00E144F9"/>
    <w:rsid w:val="00E146F8"/>
    <w:rsid w:val="00E14AB4"/>
    <w:rsid w:val="00E14B5D"/>
    <w:rsid w:val="00E15B44"/>
    <w:rsid w:val="00E15BAC"/>
    <w:rsid w:val="00E15C98"/>
    <w:rsid w:val="00E15CE9"/>
    <w:rsid w:val="00E15D83"/>
    <w:rsid w:val="00E162A1"/>
    <w:rsid w:val="00E16391"/>
    <w:rsid w:val="00E1643E"/>
    <w:rsid w:val="00E16D05"/>
    <w:rsid w:val="00E16FAE"/>
    <w:rsid w:val="00E173D0"/>
    <w:rsid w:val="00E17765"/>
    <w:rsid w:val="00E17AA5"/>
    <w:rsid w:val="00E17D32"/>
    <w:rsid w:val="00E2041F"/>
    <w:rsid w:val="00E20AC2"/>
    <w:rsid w:val="00E20E57"/>
    <w:rsid w:val="00E21120"/>
    <w:rsid w:val="00E2119A"/>
    <w:rsid w:val="00E21A75"/>
    <w:rsid w:val="00E21AD0"/>
    <w:rsid w:val="00E21B09"/>
    <w:rsid w:val="00E21B53"/>
    <w:rsid w:val="00E21C8E"/>
    <w:rsid w:val="00E21DC0"/>
    <w:rsid w:val="00E21F97"/>
    <w:rsid w:val="00E2240A"/>
    <w:rsid w:val="00E22499"/>
    <w:rsid w:val="00E22BEA"/>
    <w:rsid w:val="00E22CC0"/>
    <w:rsid w:val="00E22E8E"/>
    <w:rsid w:val="00E22F60"/>
    <w:rsid w:val="00E230B9"/>
    <w:rsid w:val="00E23259"/>
    <w:rsid w:val="00E23D18"/>
    <w:rsid w:val="00E23E05"/>
    <w:rsid w:val="00E2404F"/>
    <w:rsid w:val="00E25253"/>
    <w:rsid w:val="00E25301"/>
    <w:rsid w:val="00E25530"/>
    <w:rsid w:val="00E256BE"/>
    <w:rsid w:val="00E258C7"/>
    <w:rsid w:val="00E259CA"/>
    <w:rsid w:val="00E26097"/>
    <w:rsid w:val="00E261BF"/>
    <w:rsid w:val="00E2628A"/>
    <w:rsid w:val="00E26424"/>
    <w:rsid w:val="00E265E0"/>
    <w:rsid w:val="00E26B63"/>
    <w:rsid w:val="00E27325"/>
    <w:rsid w:val="00E275C2"/>
    <w:rsid w:val="00E27773"/>
    <w:rsid w:val="00E27B61"/>
    <w:rsid w:val="00E27C33"/>
    <w:rsid w:val="00E27FC1"/>
    <w:rsid w:val="00E3046F"/>
    <w:rsid w:val="00E3047F"/>
    <w:rsid w:val="00E3084C"/>
    <w:rsid w:val="00E30A7A"/>
    <w:rsid w:val="00E30BC5"/>
    <w:rsid w:val="00E30D6A"/>
    <w:rsid w:val="00E3104C"/>
    <w:rsid w:val="00E310C9"/>
    <w:rsid w:val="00E3152C"/>
    <w:rsid w:val="00E319FF"/>
    <w:rsid w:val="00E31DB4"/>
    <w:rsid w:val="00E3236B"/>
    <w:rsid w:val="00E32505"/>
    <w:rsid w:val="00E3290C"/>
    <w:rsid w:val="00E32F33"/>
    <w:rsid w:val="00E3318B"/>
    <w:rsid w:val="00E33528"/>
    <w:rsid w:val="00E33553"/>
    <w:rsid w:val="00E337FC"/>
    <w:rsid w:val="00E33BC4"/>
    <w:rsid w:val="00E33F98"/>
    <w:rsid w:val="00E34293"/>
    <w:rsid w:val="00E34736"/>
    <w:rsid w:val="00E34784"/>
    <w:rsid w:val="00E34B89"/>
    <w:rsid w:val="00E34BE1"/>
    <w:rsid w:val="00E34F39"/>
    <w:rsid w:val="00E35381"/>
    <w:rsid w:val="00E35795"/>
    <w:rsid w:val="00E35804"/>
    <w:rsid w:val="00E35E76"/>
    <w:rsid w:val="00E35EEF"/>
    <w:rsid w:val="00E363A4"/>
    <w:rsid w:val="00E364B6"/>
    <w:rsid w:val="00E366C3"/>
    <w:rsid w:val="00E36A27"/>
    <w:rsid w:val="00E37550"/>
    <w:rsid w:val="00E379C5"/>
    <w:rsid w:val="00E37DBD"/>
    <w:rsid w:val="00E40014"/>
    <w:rsid w:val="00E401D7"/>
    <w:rsid w:val="00E40704"/>
    <w:rsid w:val="00E41992"/>
    <w:rsid w:val="00E41AEC"/>
    <w:rsid w:val="00E41BF8"/>
    <w:rsid w:val="00E41DB5"/>
    <w:rsid w:val="00E41E70"/>
    <w:rsid w:val="00E41F5F"/>
    <w:rsid w:val="00E4229D"/>
    <w:rsid w:val="00E428C2"/>
    <w:rsid w:val="00E42912"/>
    <w:rsid w:val="00E42D06"/>
    <w:rsid w:val="00E42D4F"/>
    <w:rsid w:val="00E431A5"/>
    <w:rsid w:val="00E43344"/>
    <w:rsid w:val="00E434C5"/>
    <w:rsid w:val="00E438C3"/>
    <w:rsid w:val="00E43DAE"/>
    <w:rsid w:val="00E43E60"/>
    <w:rsid w:val="00E44175"/>
    <w:rsid w:val="00E44295"/>
    <w:rsid w:val="00E4464A"/>
    <w:rsid w:val="00E44711"/>
    <w:rsid w:val="00E44910"/>
    <w:rsid w:val="00E44F4F"/>
    <w:rsid w:val="00E44F75"/>
    <w:rsid w:val="00E45027"/>
    <w:rsid w:val="00E4551D"/>
    <w:rsid w:val="00E456DD"/>
    <w:rsid w:val="00E45804"/>
    <w:rsid w:val="00E45876"/>
    <w:rsid w:val="00E45AFF"/>
    <w:rsid w:val="00E45DD1"/>
    <w:rsid w:val="00E45DD4"/>
    <w:rsid w:val="00E4613E"/>
    <w:rsid w:val="00E4620D"/>
    <w:rsid w:val="00E46630"/>
    <w:rsid w:val="00E466F2"/>
    <w:rsid w:val="00E470B6"/>
    <w:rsid w:val="00E471D0"/>
    <w:rsid w:val="00E47661"/>
    <w:rsid w:val="00E477A3"/>
    <w:rsid w:val="00E47D3B"/>
    <w:rsid w:val="00E50A8F"/>
    <w:rsid w:val="00E50C05"/>
    <w:rsid w:val="00E50DD0"/>
    <w:rsid w:val="00E5131E"/>
    <w:rsid w:val="00E51772"/>
    <w:rsid w:val="00E517CD"/>
    <w:rsid w:val="00E51A50"/>
    <w:rsid w:val="00E51B17"/>
    <w:rsid w:val="00E51B40"/>
    <w:rsid w:val="00E51B5F"/>
    <w:rsid w:val="00E51D22"/>
    <w:rsid w:val="00E51EE0"/>
    <w:rsid w:val="00E523BF"/>
    <w:rsid w:val="00E523DC"/>
    <w:rsid w:val="00E524F0"/>
    <w:rsid w:val="00E52B5E"/>
    <w:rsid w:val="00E52CFD"/>
    <w:rsid w:val="00E53416"/>
    <w:rsid w:val="00E53673"/>
    <w:rsid w:val="00E53D1E"/>
    <w:rsid w:val="00E53F87"/>
    <w:rsid w:val="00E54673"/>
    <w:rsid w:val="00E54AE0"/>
    <w:rsid w:val="00E5500A"/>
    <w:rsid w:val="00E55097"/>
    <w:rsid w:val="00E55267"/>
    <w:rsid w:val="00E55819"/>
    <w:rsid w:val="00E56411"/>
    <w:rsid w:val="00E568A1"/>
    <w:rsid w:val="00E56979"/>
    <w:rsid w:val="00E569B6"/>
    <w:rsid w:val="00E569FF"/>
    <w:rsid w:val="00E56E63"/>
    <w:rsid w:val="00E570C8"/>
    <w:rsid w:val="00E57180"/>
    <w:rsid w:val="00E572B1"/>
    <w:rsid w:val="00E57558"/>
    <w:rsid w:val="00E57600"/>
    <w:rsid w:val="00E578B9"/>
    <w:rsid w:val="00E601E7"/>
    <w:rsid w:val="00E60523"/>
    <w:rsid w:val="00E61576"/>
    <w:rsid w:val="00E617F2"/>
    <w:rsid w:val="00E61894"/>
    <w:rsid w:val="00E61A2C"/>
    <w:rsid w:val="00E61D4F"/>
    <w:rsid w:val="00E61DED"/>
    <w:rsid w:val="00E61E00"/>
    <w:rsid w:val="00E62037"/>
    <w:rsid w:val="00E6220C"/>
    <w:rsid w:val="00E6322D"/>
    <w:rsid w:val="00E63483"/>
    <w:rsid w:val="00E6359B"/>
    <w:rsid w:val="00E6372F"/>
    <w:rsid w:val="00E63CF5"/>
    <w:rsid w:val="00E63D60"/>
    <w:rsid w:val="00E63F03"/>
    <w:rsid w:val="00E64282"/>
    <w:rsid w:val="00E64A9B"/>
    <w:rsid w:val="00E64BA8"/>
    <w:rsid w:val="00E64DA2"/>
    <w:rsid w:val="00E64EA9"/>
    <w:rsid w:val="00E64F81"/>
    <w:rsid w:val="00E65947"/>
    <w:rsid w:val="00E65FA0"/>
    <w:rsid w:val="00E6626C"/>
    <w:rsid w:val="00E66423"/>
    <w:rsid w:val="00E66688"/>
    <w:rsid w:val="00E66CC1"/>
    <w:rsid w:val="00E671E0"/>
    <w:rsid w:val="00E67256"/>
    <w:rsid w:val="00E67C07"/>
    <w:rsid w:val="00E67D1A"/>
    <w:rsid w:val="00E704E6"/>
    <w:rsid w:val="00E70B96"/>
    <w:rsid w:val="00E71013"/>
    <w:rsid w:val="00E716E1"/>
    <w:rsid w:val="00E72260"/>
    <w:rsid w:val="00E725FF"/>
    <w:rsid w:val="00E729E3"/>
    <w:rsid w:val="00E73195"/>
    <w:rsid w:val="00E731F8"/>
    <w:rsid w:val="00E737CB"/>
    <w:rsid w:val="00E73B07"/>
    <w:rsid w:val="00E73F91"/>
    <w:rsid w:val="00E73FF7"/>
    <w:rsid w:val="00E7414C"/>
    <w:rsid w:val="00E742D9"/>
    <w:rsid w:val="00E7497A"/>
    <w:rsid w:val="00E74D6D"/>
    <w:rsid w:val="00E74DB3"/>
    <w:rsid w:val="00E752D2"/>
    <w:rsid w:val="00E753D9"/>
    <w:rsid w:val="00E7540A"/>
    <w:rsid w:val="00E75AE5"/>
    <w:rsid w:val="00E75C26"/>
    <w:rsid w:val="00E75EFC"/>
    <w:rsid w:val="00E7622C"/>
    <w:rsid w:val="00E76785"/>
    <w:rsid w:val="00E76B9E"/>
    <w:rsid w:val="00E76EA9"/>
    <w:rsid w:val="00E7745C"/>
    <w:rsid w:val="00E776B0"/>
    <w:rsid w:val="00E77748"/>
    <w:rsid w:val="00E77B57"/>
    <w:rsid w:val="00E803AD"/>
    <w:rsid w:val="00E804A4"/>
    <w:rsid w:val="00E80A53"/>
    <w:rsid w:val="00E80E87"/>
    <w:rsid w:val="00E80F97"/>
    <w:rsid w:val="00E81A4A"/>
    <w:rsid w:val="00E82153"/>
    <w:rsid w:val="00E8223E"/>
    <w:rsid w:val="00E828AF"/>
    <w:rsid w:val="00E8360B"/>
    <w:rsid w:val="00E8372A"/>
    <w:rsid w:val="00E83C36"/>
    <w:rsid w:val="00E83ED9"/>
    <w:rsid w:val="00E845BC"/>
    <w:rsid w:val="00E8477E"/>
    <w:rsid w:val="00E8483D"/>
    <w:rsid w:val="00E85061"/>
    <w:rsid w:val="00E85228"/>
    <w:rsid w:val="00E853A6"/>
    <w:rsid w:val="00E855FB"/>
    <w:rsid w:val="00E858FE"/>
    <w:rsid w:val="00E85A18"/>
    <w:rsid w:val="00E86247"/>
    <w:rsid w:val="00E865BB"/>
    <w:rsid w:val="00E8687B"/>
    <w:rsid w:val="00E86899"/>
    <w:rsid w:val="00E868E6"/>
    <w:rsid w:val="00E868EA"/>
    <w:rsid w:val="00E869A4"/>
    <w:rsid w:val="00E86A09"/>
    <w:rsid w:val="00E86E92"/>
    <w:rsid w:val="00E86EF9"/>
    <w:rsid w:val="00E87074"/>
    <w:rsid w:val="00E878DA"/>
    <w:rsid w:val="00E87B70"/>
    <w:rsid w:val="00E87EE4"/>
    <w:rsid w:val="00E87FF8"/>
    <w:rsid w:val="00E9025D"/>
    <w:rsid w:val="00E902E4"/>
    <w:rsid w:val="00E90562"/>
    <w:rsid w:val="00E90A5C"/>
    <w:rsid w:val="00E91101"/>
    <w:rsid w:val="00E911C0"/>
    <w:rsid w:val="00E91201"/>
    <w:rsid w:val="00E915FA"/>
    <w:rsid w:val="00E919FA"/>
    <w:rsid w:val="00E91CE4"/>
    <w:rsid w:val="00E91E34"/>
    <w:rsid w:val="00E9249B"/>
    <w:rsid w:val="00E92646"/>
    <w:rsid w:val="00E92795"/>
    <w:rsid w:val="00E92A28"/>
    <w:rsid w:val="00E92DAA"/>
    <w:rsid w:val="00E92DBF"/>
    <w:rsid w:val="00E934B5"/>
    <w:rsid w:val="00E93740"/>
    <w:rsid w:val="00E9395A"/>
    <w:rsid w:val="00E93AFE"/>
    <w:rsid w:val="00E940A0"/>
    <w:rsid w:val="00E9419B"/>
    <w:rsid w:val="00E9436B"/>
    <w:rsid w:val="00E94ADC"/>
    <w:rsid w:val="00E9500F"/>
    <w:rsid w:val="00E953CE"/>
    <w:rsid w:val="00E955F2"/>
    <w:rsid w:val="00E95761"/>
    <w:rsid w:val="00E959A9"/>
    <w:rsid w:val="00E95A52"/>
    <w:rsid w:val="00E9602D"/>
    <w:rsid w:val="00E96345"/>
    <w:rsid w:val="00E96969"/>
    <w:rsid w:val="00E96B11"/>
    <w:rsid w:val="00E979F9"/>
    <w:rsid w:val="00E97B82"/>
    <w:rsid w:val="00E97D5B"/>
    <w:rsid w:val="00E97F65"/>
    <w:rsid w:val="00EA010C"/>
    <w:rsid w:val="00EA031F"/>
    <w:rsid w:val="00EA05F6"/>
    <w:rsid w:val="00EA0955"/>
    <w:rsid w:val="00EA0A1F"/>
    <w:rsid w:val="00EA0BCC"/>
    <w:rsid w:val="00EA0F19"/>
    <w:rsid w:val="00EA1432"/>
    <w:rsid w:val="00EA17F9"/>
    <w:rsid w:val="00EA1808"/>
    <w:rsid w:val="00EA1F42"/>
    <w:rsid w:val="00EA25C7"/>
    <w:rsid w:val="00EA29DD"/>
    <w:rsid w:val="00EA2C5E"/>
    <w:rsid w:val="00EA2E32"/>
    <w:rsid w:val="00EA2E60"/>
    <w:rsid w:val="00EA2E62"/>
    <w:rsid w:val="00EA3433"/>
    <w:rsid w:val="00EA354A"/>
    <w:rsid w:val="00EA3BB7"/>
    <w:rsid w:val="00EA4162"/>
    <w:rsid w:val="00EA41AA"/>
    <w:rsid w:val="00EA47E9"/>
    <w:rsid w:val="00EA4885"/>
    <w:rsid w:val="00EA551E"/>
    <w:rsid w:val="00EA5A27"/>
    <w:rsid w:val="00EA5A6A"/>
    <w:rsid w:val="00EA61AC"/>
    <w:rsid w:val="00EA63D3"/>
    <w:rsid w:val="00EA6750"/>
    <w:rsid w:val="00EA688E"/>
    <w:rsid w:val="00EA6A7A"/>
    <w:rsid w:val="00EA6B92"/>
    <w:rsid w:val="00EA6BE2"/>
    <w:rsid w:val="00EA7901"/>
    <w:rsid w:val="00EB0679"/>
    <w:rsid w:val="00EB068D"/>
    <w:rsid w:val="00EB0ABC"/>
    <w:rsid w:val="00EB137A"/>
    <w:rsid w:val="00EB148D"/>
    <w:rsid w:val="00EB150B"/>
    <w:rsid w:val="00EB1B48"/>
    <w:rsid w:val="00EB1B71"/>
    <w:rsid w:val="00EB1E54"/>
    <w:rsid w:val="00EB1F54"/>
    <w:rsid w:val="00EB235F"/>
    <w:rsid w:val="00EB238A"/>
    <w:rsid w:val="00EB260C"/>
    <w:rsid w:val="00EB2951"/>
    <w:rsid w:val="00EB2B33"/>
    <w:rsid w:val="00EB2E70"/>
    <w:rsid w:val="00EB2FDA"/>
    <w:rsid w:val="00EB30AB"/>
    <w:rsid w:val="00EB3514"/>
    <w:rsid w:val="00EB38C7"/>
    <w:rsid w:val="00EB39D5"/>
    <w:rsid w:val="00EB39F7"/>
    <w:rsid w:val="00EB3C6C"/>
    <w:rsid w:val="00EB3D1B"/>
    <w:rsid w:val="00EB3D81"/>
    <w:rsid w:val="00EB41EA"/>
    <w:rsid w:val="00EB42E4"/>
    <w:rsid w:val="00EB4571"/>
    <w:rsid w:val="00EB4575"/>
    <w:rsid w:val="00EB4682"/>
    <w:rsid w:val="00EB48E9"/>
    <w:rsid w:val="00EB4E95"/>
    <w:rsid w:val="00EB5265"/>
    <w:rsid w:val="00EB5A19"/>
    <w:rsid w:val="00EB5EE9"/>
    <w:rsid w:val="00EB6091"/>
    <w:rsid w:val="00EB6EDE"/>
    <w:rsid w:val="00EB7152"/>
    <w:rsid w:val="00EB7159"/>
    <w:rsid w:val="00EB726D"/>
    <w:rsid w:val="00EB733B"/>
    <w:rsid w:val="00EB744F"/>
    <w:rsid w:val="00EB7A2D"/>
    <w:rsid w:val="00EB7BEA"/>
    <w:rsid w:val="00EB7C22"/>
    <w:rsid w:val="00EB7F0D"/>
    <w:rsid w:val="00EC0143"/>
    <w:rsid w:val="00EC0C1D"/>
    <w:rsid w:val="00EC0C36"/>
    <w:rsid w:val="00EC0DAE"/>
    <w:rsid w:val="00EC0FD0"/>
    <w:rsid w:val="00EC1009"/>
    <w:rsid w:val="00EC114C"/>
    <w:rsid w:val="00EC126F"/>
    <w:rsid w:val="00EC13B7"/>
    <w:rsid w:val="00EC1569"/>
    <w:rsid w:val="00EC18DE"/>
    <w:rsid w:val="00EC1D7A"/>
    <w:rsid w:val="00EC219B"/>
    <w:rsid w:val="00EC282D"/>
    <w:rsid w:val="00EC2C69"/>
    <w:rsid w:val="00EC2FC9"/>
    <w:rsid w:val="00EC3598"/>
    <w:rsid w:val="00EC3CD6"/>
    <w:rsid w:val="00EC3E06"/>
    <w:rsid w:val="00EC45B1"/>
    <w:rsid w:val="00EC4643"/>
    <w:rsid w:val="00EC4685"/>
    <w:rsid w:val="00EC4B12"/>
    <w:rsid w:val="00EC4BE2"/>
    <w:rsid w:val="00EC508F"/>
    <w:rsid w:val="00EC5AC9"/>
    <w:rsid w:val="00EC5F2E"/>
    <w:rsid w:val="00EC60E4"/>
    <w:rsid w:val="00EC64C4"/>
    <w:rsid w:val="00EC6974"/>
    <w:rsid w:val="00EC69A9"/>
    <w:rsid w:val="00EC6C98"/>
    <w:rsid w:val="00EC7014"/>
    <w:rsid w:val="00EC7025"/>
    <w:rsid w:val="00EC73C6"/>
    <w:rsid w:val="00EC7569"/>
    <w:rsid w:val="00EC7871"/>
    <w:rsid w:val="00EC7977"/>
    <w:rsid w:val="00EC7DCD"/>
    <w:rsid w:val="00EC7EBD"/>
    <w:rsid w:val="00ED008A"/>
    <w:rsid w:val="00ED037D"/>
    <w:rsid w:val="00ED0412"/>
    <w:rsid w:val="00ED0BD2"/>
    <w:rsid w:val="00ED0D5C"/>
    <w:rsid w:val="00ED0EB2"/>
    <w:rsid w:val="00ED0FD8"/>
    <w:rsid w:val="00ED1333"/>
    <w:rsid w:val="00ED1948"/>
    <w:rsid w:val="00ED1EB5"/>
    <w:rsid w:val="00ED2858"/>
    <w:rsid w:val="00ED3060"/>
    <w:rsid w:val="00ED30F2"/>
    <w:rsid w:val="00ED32D1"/>
    <w:rsid w:val="00ED3A24"/>
    <w:rsid w:val="00ED3C23"/>
    <w:rsid w:val="00ED3D01"/>
    <w:rsid w:val="00ED3E3D"/>
    <w:rsid w:val="00ED3E5E"/>
    <w:rsid w:val="00ED3F12"/>
    <w:rsid w:val="00ED3F30"/>
    <w:rsid w:val="00ED491F"/>
    <w:rsid w:val="00ED4A12"/>
    <w:rsid w:val="00ED4A48"/>
    <w:rsid w:val="00ED4FD7"/>
    <w:rsid w:val="00ED50EB"/>
    <w:rsid w:val="00ED54DF"/>
    <w:rsid w:val="00ED561E"/>
    <w:rsid w:val="00ED5685"/>
    <w:rsid w:val="00ED5828"/>
    <w:rsid w:val="00ED5FD2"/>
    <w:rsid w:val="00ED62C6"/>
    <w:rsid w:val="00ED63F5"/>
    <w:rsid w:val="00ED6A70"/>
    <w:rsid w:val="00ED6F73"/>
    <w:rsid w:val="00ED71AF"/>
    <w:rsid w:val="00ED7351"/>
    <w:rsid w:val="00ED7812"/>
    <w:rsid w:val="00ED783F"/>
    <w:rsid w:val="00EE016B"/>
    <w:rsid w:val="00EE0594"/>
    <w:rsid w:val="00EE070D"/>
    <w:rsid w:val="00EE09E8"/>
    <w:rsid w:val="00EE16DF"/>
    <w:rsid w:val="00EE1AFD"/>
    <w:rsid w:val="00EE1B79"/>
    <w:rsid w:val="00EE1CBA"/>
    <w:rsid w:val="00EE1D00"/>
    <w:rsid w:val="00EE1D8D"/>
    <w:rsid w:val="00EE23CE"/>
    <w:rsid w:val="00EE23DA"/>
    <w:rsid w:val="00EE297A"/>
    <w:rsid w:val="00EE2E0F"/>
    <w:rsid w:val="00EE3246"/>
    <w:rsid w:val="00EE3353"/>
    <w:rsid w:val="00EE34A5"/>
    <w:rsid w:val="00EE36A7"/>
    <w:rsid w:val="00EE3FD3"/>
    <w:rsid w:val="00EE4147"/>
    <w:rsid w:val="00EE48AA"/>
    <w:rsid w:val="00EE4990"/>
    <w:rsid w:val="00EE4A61"/>
    <w:rsid w:val="00EE5162"/>
    <w:rsid w:val="00EE532B"/>
    <w:rsid w:val="00EE5726"/>
    <w:rsid w:val="00EE5867"/>
    <w:rsid w:val="00EE664B"/>
    <w:rsid w:val="00EE679F"/>
    <w:rsid w:val="00EE6A58"/>
    <w:rsid w:val="00EE6B54"/>
    <w:rsid w:val="00EE6B81"/>
    <w:rsid w:val="00EE6BA1"/>
    <w:rsid w:val="00EE6F8A"/>
    <w:rsid w:val="00EE7159"/>
    <w:rsid w:val="00EE7190"/>
    <w:rsid w:val="00EE7C7C"/>
    <w:rsid w:val="00EE7D16"/>
    <w:rsid w:val="00EF0219"/>
    <w:rsid w:val="00EF02BA"/>
    <w:rsid w:val="00EF0665"/>
    <w:rsid w:val="00EF0954"/>
    <w:rsid w:val="00EF104F"/>
    <w:rsid w:val="00EF1DC1"/>
    <w:rsid w:val="00EF2378"/>
    <w:rsid w:val="00EF28C1"/>
    <w:rsid w:val="00EF2AF5"/>
    <w:rsid w:val="00EF2B8B"/>
    <w:rsid w:val="00EF2BF6"/>
    <w:rsid w:val="00EF3279"/>
    <w:rsid w:val="00EF3399"/>
    <w:rsid w:val="00EF3441"/>
    <w:rsid w:val="00EF3A65"/>
    <w:rsid w:val="00EF3AEA"/>
    <w:rsid w:val="00EF446E"/>
    <w:rsid w:val="00EF46E4"/>
    <w:rsid w:val="00EF493D"/>
    <w:rsid w:val="00EF4CE1"/>
    <w:rsid w:val="00EF5396"/>
    <w:rsid w:val="00EF5443"/>
    <w:rsid w:val="00EF58F0"/>
    <w:rsid w:val="00EF596F"/>
    <w:rsid w:val="00EF5FB7"/>
    <w:rsid w:val="00EF60BE"/>
    <w:rsid w:val="00EF6277"/>
    <w:rsid w:val="00EF638A"/>
    <w:rsid w:val="00EF6985"/>
    <w:rsid w:val="00EF6B9A"/>
    <w:rsid w:val="00EF6D02"/>
    <w:rsid w:val="00EF6D9D"/>
    <w:rsid w:val="00EF7DAB"/>
    <w:rsid w:val="00EF7E14"/>
    <w:rsid w:val="00EF7F23"/>
    <w:rsid w:val="00F00492"/>
    <w:rsid w:val="00F009E9"/>
    <w:rsid w:val="00F00E15"/>
    <w:rsid w:val="00F01702"/>
    <w:rsid w:val="00F01C66"/>
    <w:rsid w:val="00F01E48"/>
    <w:rsid w:val="00F021F3"/>
    <w:rsid w:val="00F02867"/>
    <w:rsid w:val="00F02D92"/>
    <w:rsid w:val="00F02E01"/>
    <w:rsid w:val="00F032E9"/>
    <w:rsid w:val="00F037EF"/>
    <w:rsid w:val="00F03A62"/>
    <w:rsid w:val="00F03FAF"/>
    <w:rsid w:val="00F045EB"/>
    <w:rsid w:val="00F04753"/>
    <w:rsid w:val="00F04918"/>
    <w:rsid w:val="00F049AC"/>
    <w:rsid w:val="00F04E6F"/>
    <w:rsid w:val="00F056A0"/>
    <w:rsid w:val="00F05B26"/>
    <w:rsid w:val="00F05D50"/>
    <w:rsid w:val="00F060DA"/>
    <w:rsid w:val="00F061DA"/>
    <w:rsid w:val="00F06595"/>
    <w:rsid w:val="00F06977"/>
    <w:rsid w:val="00F06AE3"/>
    <w:rsid w:val="00F07243"/>
    <w:rsid w:val="00F07764"/>
    <w:rsid w:val="00F07CA0"/>
    <w:rsid w:val="00F07E48"/>
    <w:rsid w:val="00F07F16"/>
    <w:rsid w:val="00F1015E"/>
    <w:rsid w:val="00F1035E"/>
    <w:rsid w:val="00F104BE"/>
    <w:rsid w:val="00F1052A"/>
    <w:rsid w:val="00F11AF4"/>
    <w:rsid w:val="00F11B5C"/>
    <w:rsid w:val="00F11D5C"/>
    <w:rsid w:val="00F11D87"/>
    <w:rsid w:val="00F13542"/>
    <w:rsid w:val="00F13CBA"/>
    <w:rsid w:val="00F13D7B"/>
    <w:rsid w:val="00F13E85"/>
    <w:rsid w:val="00F14445"/>
    <w:rsid w:val="00F1451E"/>
    <w:rsid w:val="00F14622"/>
    <w:rsid w:val="00F1462D"/>
    <w:rsid w:val="00F1493E"/>
    <w:rsid w:val="00F14ACC"/>
    <w:rsid w:val="00F14D34"/>
    <w:rsid w:val="00F1543C"/>
    <w:rsid w:val="00F154D5"/>
    <w:rsid w:val="00F15644"/>
    <w:rsid w:val="00F1564A"/>
    <w:rsid w:val="00F15841"/>
    <w:rsid w:val="00F16BA2"/>
    <w:rsid w:val="00F16BF1"/>
    <w:rsid w:val="00F17321"/>
    <w:rsid w:val="00F17924"/>
    <w:rsid w:val="00F17F1B"/>
    <w:rsid w:val="00F200AB"/>
    <w:rsid w:val="00F20632"/>
    <w:rsid w:val="00F20A8B"/>
    <w:rsid w:val="00F20BC3"/>
    <w:rsid w:val="00F20C77"/>
    <w:rsid w:val="00F2121E"/>
    <w:rsid w:val="00F21798"/>
    <w:rsid w:val="00F219E7"/>
    <w:rsid w:val="00F21A98"/>
    <w:rsid w:val="00F21B60"/>
    <w:rsid w:val="00F2221C"/>
    <w:rsid w:val="00F224DA"/>
    <w:rsid w:val="00F227AA"/>
    <w:rsid w:val="00F2293C"/>
    <w:rsid w:val="00F22B7A"/>
    <w:rsid w:val="00F22E50"/>
    <w:rsid w:val="00F2320E"/>
    <w:rsid w:val="00F2334B"/>
    <w:rsid w:val="00F23392"/>
    <w:rsid w:val="00F23AE3"/>
    <w:rsid w:val="00F23B8E"/>
    <w:rsid w:val="00F242F9"/>
    <w:rsid w:val="00F24355"/>
    <w:rsid w:val="00F244A1"/>
    <w:rsid w:val="00F24716"/>
    <w:rsid w:val="00F24789"/>
    <w:rsid w:val="00F248BD"/>
    <w:rsid w:val="00F24BE0"/>
    <w:rsid w:val="00F24C75"/>
    <w:rsid w:val="00F25833"/>
    <w:rsid w:val="00F25F57"/>
    <w:rsid w:val="00F2632C"/>
    <w:rsid w:val="00F264B7"/>
    <w:rsid w:val="00F2656C"/>
    <w:rsid w:val="00F26A14"/>
    <w:rsid w:val="00F26AEA"/>
    <w:rsid w:val="00F26B22"/>
    <w:rsid w:val="00F26E1A"/>
    <w:rsid w:val="00F2749C"/>
    <w:rsid w:val="00F274E2"/>
    <w:rsid w:val="00F2759F"/>
    <w:rsid w:val="00F275F8"/>
    <w:rsid w:val="00F2762C"/>
    <w:rsid w:val="00F279C0"/>
    <w:rsid w:val="00F30239"/>
    <w:rsid w:val="00F3034D"/>
    <w:rsid w:val="00F30AD9"/>
    <w:rsid w:val="00F30B13"/>
    <w:rsid w:val="00F30CAA"/>
    <w:rsid w:val="00F30D9D"/>
    <w:rsid w:val="00F30EE1"/>
    <w:rsid w:val="00F313F8"/>
    <w:rsid w:val="00F3141C"/>
    <w:rsid w:val="00F315CB"/>
    <w:rsid w:val="00F31867"/>
    <w:rsid w:val="00F31A9E"/>
    <w:rsid w:val="00F31C84"/>
    <w:rsid w:val="00F324BC"/>
    <w:rsid w:val="00F32501"/>
    <w:rsid w:val="00F325B4"/>
    <w:rsid w:val="00F32609"/>
    <w:rsid w:val="00F32699"/>
    <w:rsid w:val="00F32ADC"/>
    <w:rsid w:val="00F32FAC"/>
    <w:rsid w:val="00F337B1"/>
    <w:rsid w:val="00F33C06"/>
    <w:rsid w:val="00F33DBC"/>
    <w:rsid w:val="00F341D0"/>
    <w:rsid w:val="00F34553"/>
    <w:rsid w:val="00F349DD"/>
    <w:rsid w:val="00F34CCE"/>
    <w:rsid w:val="00F350FF"/>
    <w:rsid w:val="00F356EE"/>
    <w:rsid w:val="00F35DC7"/>
    <w:rsid w:val="00F35E98"/>
    <w:rsid w:val="00F35FE1"/>
    <w:rsid w:val="00F362CC"/>
    <w:rsid w:val="00F36427"/>
    <w:rsid w:val="00F36829"/>
    <w:rsid w:val="00F36873"/>
    <w:rsid w:val="00F369CF"/>
    <w:rsid w:val="00F36BCF"/>
    <w:rsid w:val="00F36DEC"/>
    <w:rsid w:val="00F36E9A"/>
    <w:rsid w:val="00F3704C"/>
    <w:rsid w:val="00F37191"/>
    <w:rsid w:val="00F3728A"/>
    <w:rsid w:val="00F377A4"/>
    <w:rsid w:val="00F3785E"/>
    <w:rsid w:val="00F37935"/>
    <w:rsid w:val="00F404B6"/>
    <w:rsid w:val="00F40682"/>
    <w:rsid w:val="00F40991"/>
    <w:rsid w:val="00F40F87"/>
    <w:rsid w:val="00F41031"/>
    <w:rsid w:val="00F41379"/>
    <w:rsid w:val="00F41977"/>
    <w:rsid w:val="00F41F8C"/>
    <w:rsid w:val="00F42784"/>
    <w:rsid w:val="00F42C8C"/>
    <w:rsid w:val="00F43263"/>
    <w:rsid w:val="00F438FB"/>
    <w:rsid w:val="00F441CC"/>
    <w:rsid w:val="00F445A6"/>
    <w:rsid w:val="00F45323"/>
    <w:rsid w:val="00F4536F"/>
    <w:rsid w:val="00F453B9"/>
    <w:rsid w:val="00F45560"/>
    <w:rsid w:val="00F45602"/>
    <w:rsid w:val="00F45623"/>
    <w:rsid w:val="00F460ED"/>
    <w:rsid w:val="00F46373"/>
    <w:rsid w:val="00F46C2D"/>
    <w:rsid w:val="00F46CA0"/>
    <w:rsid w:val="00F46EB7"/>
    <w:rsid w:val="00F47205"/>
    <w:rsid w:val="00F472E1"/>
    <w:rsid w:val="00F474B3"/>
    <w:rsid w:val="00F479C9"/>
    <w:rsid w:val="00F47D30"/>
    <w:rsid w:val="00F508C5"/>
    <w:rsid w:val="00F509A0"/>
    <w:rsid w:val="00F51081"/>
    <w:rsid w:val="00F513D5"/>
    <w:rsid w:val="00F524D3"/>
    <w:rsid w:val="00F52A1F"/>
    <w:rsid w:val="00F52C97"/>
    <w:rsid w:val="00F532B3"/>
    <w:rsid w:val="00F533BD"/>
    <w:rsid w:val="00F53571"/>
    <w:rsid w:val="00F5362E"/>
    <w:rsid w:val="00F53850"/>
    <w:rsid w:val="00F53A0E"/>
    <w:rsid w:val="00F53BC3"/>
    <w:rsid w:val="00F5498A"/>
    <w:rsid w:val="00F54B21"/>
    <w:rsid w:val="00F54FA5"/>
    <w:rsid w:val="00F55549"/>
    <w:rsid w:val="00F5560F"/>
    <w:rsid w:val="00F558E5"/>
    <w:rsid w:val="00F55935"/>
    <w:rsid w:val="00F55A94"/>
    <w:rsid w:val="00F55CB5"/>
    <w:rsid w:val="00F56226"/>
    <w:rsid w:val="00F563FD"/>
    <w:rsid w:val="00F56ED8"/>
    <w:rsid w:val="00F56EF1"/>
    <w:rsid w:val="00F5780E"/>
    <w:rsid w:val="00F5781B"/>
    <w:rsid w:val="00F57B37"/>
    <w:rsid w:val="00F57C5C"/>
    <w:rsid w:val="00F57E3E"/>
    <w:rsid w:val="00F600DD"/>
    <w:rsid w:val="00F606E2"/>
    <w:rsid w:val="00F608D5"/>
    <w:rsid w:val="00F60B26"/>
    <w:rsid w:val="00F61111"/>
    <w:rsid w:val="00F6144E"/>
    <w:rsid w:val="00F617CA"/>
    <w:rsid w:val="00F61836"/>
    <w:rsid w:val="00F62267"/>
    <w:rsid w:val="00F6246D"/>
    <w:rsid w:val="00F624B3"/>
    <w:rsid w:val="00F62660"/>
    <w:rsid w:val="00F62867"/>
    <w:rsid w:val="00F63388"/>
    <w:rsid w:val="00F63686"/>
    <w:rsid w:val="00F63761"/>
    <w:rsid w:val="00F63AC5"/>
    <w:rsid w:val="00F63F7B"/>
    <w:rsid w:val="00F64127"/>
    <w:rsid w:val="00F6428F"/>
    <w:rsid w:val="00F642AA"/>
    <w:rsid w:val="00F64818"/>
    <w:rsid w:val="00F64EC1"/>
    <w:rsid w:val="00F64F0B"/>
    <w:rsid w:val="00F65502"/>
    <w:rsid w:val="00F6564C"/>
    <w:rsid w:val="00F65AB2"/>
    <w:rsid w:val="00F65D33"/>
    <w:rsid w:val="00F662D8"/>
    <w:rsid w:val="00F667BA"/>
    <w:rsid w:val="00F668B2"/>
    <w:rsid w:val="00F66CEB"/>
    <w:rsid w:val="00F66E59"/>
    <w:rsid w:val="00F6709D"/>
    <w:rsid w:val="00F67459"/>
    <w:rsid w:val="00F67623"/>
    <w:rsid w:val="00F6782B"/>
    <w:rsid w:val="00F6796F"/>
    <w:rsid w:val="00F67A05"/>
    <w:rsid w:val="00F700B9"/>
    <w:rsid w:val="00F7021A"/>
    <w:rsid w:val="00F7050C"/>
    <w:rsid w:val="00F70745"/>
    <w:rsid w:val="00F7077C"/>
    <w:rsid w:val="00F70892"/>
    <w:rsid w:val="00F70A7E"/>
    <w:rsid w:val="00F70B90"/>
    <w:rsid w:val="00F70E9E"/>
    <w:rsid w:val="00F71146"/>
    <w:rsid w:val="00F711AC"/>
    <w:rsid w:val="00F71605"/>
    <w:rsid w:val="00F716CA"/>
    <w:rsid w:val="00F717BA"/>
    <w:rsid w:val="00F718F2"/>
    <w:rsid w:val="00F71A03"/>
    <w:rsid w:val="00F723F8"/>
    <w:rsid w:val="00F72584"/>
    <w:rsid w:val="00F72651"/>
    <w:rsid w:val="00F72741"/>
    <w:rsid w:val="00F72A02"/>
    <w:rsid w:val="00F72B81"/>
    <w:rsid w:val="00F73003"/>
    <w:rsid w:val="00F73487"/>
    <w:rsid w:val="00F7369E"/>
    <w:rsid w:val="00F73769"/>
    <w:rsid w:val="00F73AD0"/>
    <w:rsid w:val="00F73CBF"/>
    <w:rsid w:val="00F74880"/>
    <w:rsid w:val="00F74B06"/>
    <w:rsid w:val="00F75844"/>
    <w:rsid w:val="00F75EDD"/>
    <w:rsid w:val="00F766C5"/>
    <w:rsid w:val="00F7741E"/>
    <w:rsid w:val="00F77668"/>
    <w:rsid w:val="00F77B3C"/>
    <w:rsid w:val="00F77C0B"/>
    <w:rsid w:val="00F77DDB"/>
    <w:rsid w:val="00F806A7"/>
    <w:rsid w:val="00F8094D"/>
    <w:rsid w:val="00F81307"/>
    <w:rsid w:val="00F8130A"/>
    <w:rsid w:val="00F8133C"/>
    <w:rsid w:val="00F81377"/>
    <w:rsid w:val="00F81413"/>
    <w:rsid w:val="00F814D0"/>
    <w:rsid w:val="00F816C0"/>
    <w:rsid w:val="00F817EA"/>
    <w:rsid w:val="00F818A7"/>
    <w:rsid w:val="00F825F0"/>
    <w:rsid w:val="00F82C3A"/>
    <w:rsid w:val="00F82CE1"/>
    <w:rsid w:val="00F82DDD"/>
    <w:rsid w:val="00F82F96"/>
    <w:rsid w:val="00F830EF"/>
    <w:rsid w:val="00F8314B"/>
    <w:rsid w:val="00F83250"/>
    <w:rsid w:val="00F832D9"/>
    <w:rsid w:val="00F8340D"/>
    <w:rsid w:val="00F835D9"/>
    <w:rsid w:val="00F83A89"/>
    <w:rsid w:val="00F842A8"/>
    <w:rsid w:val="00F843C0"/>
    <w:rsid w:val="00F84892"/>
    <w:rsid w:val="00F84DF4"/>
    <w:rsid w:val="00F85447"/>
    <w:rsid w:val="00F85AD8"/>
    <w:rsid w:val="00F85BA1"/>
    <w:rsid w:val="00F8640D"/>
    <w:rsid w:val="00F865EC"/>
    <w:rsid w:val="00F86676"/>
    <w:rsid w:val="00F86BC7"/>
    <w:rsid w:val="00F86EAC"/>
    <w:rsid w:val="00F86F95"/>
    <w:rsid w:val="00F87010"/>
    <w:rsid w:val="00F871F3"/>
    <w:rsid w:val="00F879C3"/>
    <w:rsid w:val="00F87DCF"/>
    <w:rsid w:val="00F900B6"/>
    <w:rsid w:val="00F9010F"/>
    <w:rsid w:val="00F902CE"/>
    <w:rsid w:val="00F90641"/>
    <w:rsid w:val="00F906AA"/>
    <w:rsid w:val="00F90D92"/>
    <w:rsid w:val="00F910CC"/>
    <w:rsid w:val="00F91562"/>
    <w:rsid w:val="00F91742"/>
    <w:rsid w:val="00F91C77"/>
    <w:rsid w:val="00F91E28"/>
    <w:rsid w:val="00F91E29"/>
    <w:rsid w:val="00F9269C"/>
    <w:rsid w:val="00F92780"/>
    <w:rsid w:val="00F92B87"/>
    <w:rsid w:val="00F9309E"/>
    <w:rsid w:val="00F93403"/>
    <w:rsid w:val="00F93599"/>
    <w:rsid w:val="00F93B8A"/>
    <w:rsid w:val="00F93DE4"/>
    <w:rsid w:val="00F94038"/>
    <w:rsid w:val="00F94268"/>
    <w:rsid w:val="00F9488D"/>
    <w:rsid w:val="00F948B8"/>
    <w:rsid w:val="00F949AB"/>
    <w:rsid w:val="00F94EBE"/>
    <w:rsid w:val="00F95452"/>
    <w:rsid w:val="00F95FA6"/>
    <w:rsid w:val="00F9617B"/>
    <w:rsid w:val="00F9637E"/>
    <w:rsid w:val="00F96555"/>
    <w:rsid w:val="00F967F4"/>
    <w:rsid w:val="00F96A67"/>
    <w:rsid w:val="00F96BEE"/>
    <w:rsid w:val="00F96BF9"/>
    <w:rsid w:val="00F96E36"/>
    <w:rsid w:val="00F96E43"/>
    <w:rsid w:val="00F9766F"/>
    <w:rsid w:val="00F976E4"/>
    <w:rsid w:val="00F97703"/>
    <w:rsid w:val="00F978CF"/>
    <w:rsid w:val="00F97A3B"/>
    <w:rsid w:val="00F97A70"/>
    <w:rsid w:val="00F97E08"/>
    <w:rsid w:val="00FA0592"/>
    <w:rsid w:val="00FA1675"/>
    <w:rsid w:val="00FA180B"/>
    <w:rsid w:val="00FA1BD2"/>
    <w:rsid w:val="00FA1BDE"/>
    <w:rsid w:val="00FA1ECB"/>
    <w:rsid w:val="00FA2241"/>
    <w:rsid w:val="00FA2675"/>
    <w:rsid w:val="00FA2933"/>
    <w:rsid w:val="00FA2A06"/>
    <w:rsid w:val="00FA338E"/>
    <w:rsid w:val="00FA403B"/>
    <w:rsid w:val="00FA4351"/>
    <w:rsid w:val="00FA45F6"/>
    <w:rsid w:val="00FA48F1"/>
    <w:rsid w:val="00FA4978"/>
    <w:rsid w:val="00FA502B"/>
    <w:rsid w:val="00FA519A"/>
    <w:rsid w:val="00FA5510"/>
    <w:rsid w:val="00FA5F20"/>
    <w:rsid w:val="00FA5FC0"/>
    <w:rsid w:val="00FA6690"/>
    <w:rsid w:val="00FA6725"/>
    <w:rsid w:val="00FA7067"/>
    <w:rsid w:val="00FA72D4"/>
    <w:rsid w:val="00FA7B23"/>
    <w:rsid w:val="00FA7DFC"/>
    <w:rsid w:val="00FB015E"/>
    <w:rsid w:val="00FB030A"/>
    <w:rsid w:val="00FB07B8"/>
    <w:rsid w:val="00FB0A3F"/>
    <w:rsid w:val="00FB0B8D"/>
    <w:rsid w:val="00FB0C81"/>
    <w:rsid w:val="00FB0DBF"/>
    <w:rsid w:val="00FB1011"/>
    <w:rsid w:val="00FB1434"/>
    <w:rsid w:val="00FB1CFD"/>
    <w:rsid w:val="00FB1F5B"/>
    <w:rsid w:val="00FB23F2"/>
    <w:rsid w:val="00FB26B1"/>
    <w:rsid w:val="00FB2901"/>
    <w:rsid w:val="00FB2CFD"/>
    <w:rsid w:val="00FB2E92"/>
    <w:rsid w:val="00FB2F91"/>
    <w:rsid w:val="00FB3347"/>
    <w:rsid w:val="00FB390D"/>
    <w:rsid w:val="00FB3A99"/>
    <w:rsid w:val="00FB3C4C"/>
    <w:rsid w:val="00FB3CE8"/>
    <w:rsid w:val="00FB47BE"/>
    <w:rsid w:val="00FB4A74"/>
    <w:rsid w:val="00FB4B62"/>
    <w:rsid w:val="00FB4BAF"/>
    <w:rsid w:val="00FB5248"/>
    <w:rsid w:val="00FB536A"/>
    <w:rsid w:val="00FB544D"/>
    <w:rsid w:val="00FB667D"/>
    <w:rsid w:val="00FB6AA5"/>
    <w:rsid w:val="00FB7D11"/>
    <w:rsid w:val="00FB7FE2"/>
    <w:rsid w:val="00FC0184"/>
    <w:rsid w:val="00FC01F7"/>
    <w:rsid w:val="00FC0276"/>
    <w:rsid w:val="00FC0430"/>
    <w:rsid w:val="00FC06E1"/>
    <w:rsid w:val="00FC09E5"/>
    <w:rsid w:val="00FC0A6A"/>
    <w:rsid w:val="00FC0B09"/>
    <w:rsid w:val="00FC10E1"/>
    <w:rsid w:val="00FC1386"/>
    <w:rsid w:val="00FC1DBA"/>
    <w:rsid w:val="00FC1E8C"/>
    <w:rsid w:val="00FC1EDA"/>
    <w:rsid w:val="00FC1EFA"/>
    <w:rsid w:val="00FC204B"/>
    <w:rsid w:val="00FC24EF"/>
    <w:rsid w:val="00FC2AEB"/>
    <w:rsid w:val="00FC2DCB"/>
    <w:rsid w:val="00FC2ED5"/>
    <w:rsid w:val="00FC2F07"/>
    <w:rsid w:val="00FC31B0"/>
    <w:rsid w:val="00FC3305"/>
    <w:rsid w:val="00FC341C"/>
    <w:rsid w:val="00FC3472"/>
    <w:rsid w:val="00FC34EF"/>
    <w:rsid w:val="00FC3501"/>
    <w:rsid w:val="00FC3B22"/>
    <w:rsid w:val="00FC3C8D"/>
    <w:rsid w:val="00FC3CF3"/>
    <w:rsid w:val="00FC3E06"/>
    <w:rsid w:val="00FC4326"/>
    <w:rsid w:val="00FC4370"/>
    <w:rsid w:val="00FC4467"/>
    <w:rsid w:val="00FC4725"/>
    <w:rsid w:val="00FC498C"/>
    <w:rsid w:val="00FC4A1F"/>
    <w:rsid w:val="00FC4A76"/>
    <w:rsid w:val="00FC4EEA"/>
    <w:rsid w:val="00FC530A"/>
    <w:rsid w:val="00FC55B5"/>
    <w:rsid w:val="00FC5CE4"/>
    <w:rsid w:val="00FC6BD9"/>
    <w:rsid w:val="00FC714B"/>
    <w:rsid w:val="00FC7431"/>
    <w:rsid w:val="00FC744D"/>
    <w:rsid w:val="00FC7931"/>
    <w:rsid w:val="00FC7B62"/>
    <w:rsid w:val="00FD033B"/>
    <w:rsid w:val="00FD04E5"/>
    <w:rsid w:val="00FD082C"/>
    <w:rsid w:val="00FD0E6A"/>
    <w:rsid w:val="00FD0EBB"/>
    <w:rsid w:val="00FD0ECA"/>
    <w:rsid w:val="00FD114A"/>
    <w:rsid w:val="00FD1427"/>
    <w:rsid w:val="00FD14D5"/>
    <w:rsid w:val="00FD1B4C"/>
    <w:rsid w:val="00FD1B99"/>
    <w:rsid w:val="00FD1E6B"/>
    <w:rsid w:val="00FD1F41"/>
    <w:rsid w:val="00FD229F"/>
    <w:rsid w:val="00FD2598"/>
    <w:rsid w:val="00FD25D8"/>
    <w:rsid w:val="00FD27D5"/>
    <w:rsid w:val="00FD2D65"/>
    <w:rsid w:val="00FD3342"/>
    <w:rsid w:val="00FD39F0"/>
    <w:rsid w:val="00FD3C72"/>
    <w:rsid w:val="00FD431B"/>
    <w:rsid w:val="00FD448C"/>
    <w:rsid w:val="00FD4530"/>
    <w:rsid w:val="00FD49C2"/>
    <w:rsid w:val="00FD49F4"/>
    <w:rsid w:val="00FD4B5F"/>
    <w:rsid w:val="00FD4CB7"/>
    <w:rsid w:val="00FD4F00"/>
    <w:rsid w:val="00FD50C5"/>
    <w:rsid w:val="00FD50E6"/>
    <w:rsid w:val="00FD5ABA"/>
    <w:rsid w:val="00FD6067"/>
    <w:rsid w:val="00FD609B"/>
    <w:rsid w:val="00FD62D6"/>
    <w:rsid w:val="00FD65E2"/>
    <w:rsid w:val="00FD6A56"/>
    <w:rsid w:val="00FD6A7C"/>
    <w:rsid w:val="00FD6C81"/>
    <w:rsid w:val="00FD6FD5"/>
    <w:rsid w:val="00FD73C6"/>
    <w:rsid w:val="00FD75B7"/>
    <w:rsid w:val="00FD7AC4"/>
    <w:rsid w:val="00FE00B5"/>
    <w:rsid w:val="00FE0705"/>
    <w:rsid w:val="00FE0A32"/>
    <w:rsid w:val="00FE0DC9"/>
    <w:rsid w:val="00FE1478"/>
    <w:rsid w:val="00FE153F"/>
    <w:rsid w:val="00FE197A"/>
    <w:rsid w:val="00FE19D1"/>
    <w:rsid w:val="00FE1FAF"/>
    <w:rsid w:val="00FE2653"/>
    <w:rsid w:val="00FE302F"/>
    <w:rsid w:val="00FE3AEE"/>
    <w:rsid w:val="00FE3D44"/>
    <w:rsid w:val="00FE4026"/>
    <w:rsid w:val="00FE4665"/>
    <w:rsid w:val="00FE4F65"/>
    <w:rsid w:val="00FE5459"/>
    <w:rsid w:val="00FE56B6"/>
    <w:rsid w:val="00FE59FB"/>
    <w:rsid w:val="00FE6055"/>
    <w:rsid w:val="00FE60C0"/>
    <w:rsid w:val="00FE625F"/>
    <w:rsid w:val="00FE7109"/>
    <w:rsid w:val="00FE74C1"/>
    <w:rsid w:val="00FE776C"/>
    <w:rsid w:val="00FF002D"/>
    <w:rsid w:val="00FF005B"/>
    <w:rsid w:val="00FF0659"/>
    <w:rsid w:val="00FF0D2D"/>
    <w:rsid w:val="00FF0E40"/>
    <w:rsid w:val="00FF138D"/>
    <w:rsid w:val="00FF1DFA"/>
    <w:rsid w:val="00FF1E7C"/>
    <w:rsid w:val="00FF202C"/>
    <w:rsid w:val="00FF2B21"/>
    <w:rsid w:val="00FF2BC6"/>
    <w:rsid w:val="00FF2C4D"/>
    <w:rsid w:val="00FF2D16"/>
    <w:rsid w:val="00FF2ECF"/>
    <w:rsid w:val="00FF30EC"/>
    <w:rsid w:val="00FF3AAB"/>
    <w:rsid w:val="00FF3CD3"/>
    <w:rsid w:val="00FF4061"/>
    <w:rsid w:val="00FF47D9"/>
    <w:rsid w:val="00FF5124"/>
    <w:rsid w:val="00FF53F7"/>
    <w:rsid w:val="00FF6765"/>
    <w:rsid w:val="00FF69AF"/>
    <w:rsid w:val="00FF69E0"/>
    <w:rsid w:val="00FF6A64"/>
    <w:rsid w:val="00FF6C48"/>
    <w:rsid w:val="00FF70DF"/>
    <w:rsid w:val="00FF79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6EF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Outline List 2"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790E5D"/>
    <w:pPr>
      <w:widowControl w:val="0"/>
    </w:pPr>
    <w:rPr>
      <w:kern w:val="2"/>
      <w:sz w:val="24"/>
      <w:szCs w:val="24"/>
    </w:rPr>
  </w:style>
  <w:style w:type="paragraph" w:styleId="1">
    <w:name w:val="heading 1"/>
    <w:aliases w:val=" 字元9"/>
    <w:basedOn w:val="a2"/>
    <w:next w:val="a2"/>
    <w:link w:val="10"/>
    <w:uiPriority w:val="9"/>
    <w:qFormat/>
    <w:rsid w:val="008D1A66"/>
    <w:pPr>
      <w:keepNext/>
      <w:spacing w:line="500" w:lineRule="exact"/>
      <w:jc w:val="both"/>
      <w:outlineLvl w:val="0"/>
    </w:pPr>
    <w:rPr>
      <w:rFonts w:ascii="Arial" w:eastAsia="標楷體" w:hAnsi="Arial"/>
      <w:b/>
      <w:bCs/>
      <w:kern w:val="52"/>
      <w:sz w:val="28"/>
      <w:szCs w:val="52"/>
    </w:rPr>
  </w:style>
  <w:style w:type="paragraph" w:styleId="2">
    <w:name w:val="heading 2"/>
    <w:aliases w:val=" 字元8,標題 2-16字,（二）標題 2"/>
    <w:basedOn w:val="a2"/>
    <w:next w:val="a2"/>
    <w:link w:val="20"/>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
    <w:name w:val="heading 3"/>
    <w:aliases w:val=" 字元"/>
    <w:basedOn w:val="a2"/>
    <w:next w:val="a2"/>
    <w:link w:val="30"/>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paragraph" w:styleId="9">
    <w:name w:val="heading 9"/>
    <w:basedOn w:val="a2"/>
    <w:next w:val="a2"/>
    <w:link w:val="90"/>
    <w:uiPriority w:val="9"/>
    <w:semiHidden/>
    <w:unhideWhenUsed/>
    <w:qFormat/>
    <w:rsid w:val="000765BE"/>
    <w:pPr>
      <w:keepNext/>
      <w:spacing w:line="720" w:lineRule="auto"/>
      <w:ind w:leftChars="400" w:left="400"/>
      <w:outlineLvl w:val="8"/>
    </w:pPr>
    <w:rPr>
      <w:rFonts w:asciiTheme="majorHAnsi" w:eastAsiaTheme="majorEastAsia" w:hAnsiTheme="majorHAnsi" w:cstheme="majorBidi"/>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3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rsid w:val="00926BC2"/>
    <w:pPr>
      <w:spacing w:line="500" w:lineRule="exact"/>
      <w:ind w:left="1400" w:hangingChars="500" w:hanging="1400"/>
    </w:pPr>
    <w:rPr>
      <w:rFonts w:eastAsia="標楷體"/>
      <w:sz w:val="28"/>
      <w:szCs w:val="20"/>
    </w:rPr>
  </w:style>
  <w:style w:type="paragraph" w:styleId="ab">
    <w:name w:val="Body Text"/>
    <w:basedOn w:val="a2"/>
    <w:link w:val="ac"/>
    <w:rsid w:val="00926BC2"/>
    <w:pPr>
      <w:spacing w:line="440" w:lineRule="exact"/>
    </w:pPr>
    <w:rPr>
      <w:rFonts w:ascii="華康楷書體W5" w:eastAsia="標楷體"/>
      <w:bCs/>
      <w:spacing w:val="20"/>
      <w:sz w:val="28"/>
      <w:szCs w:val="20"/>
    </w:rPr>
  </w:style>
  <w:style w:type="paragraph" w:styleId="21">
    <w:name w:val="Body Text Indent 2"/>
    <w:basedOn w:val="a2"/>
    <w:link w:val="22"/>
    <w:uiPriority w:val="99"/>
    <w:rsid w:val="00926BC2"/>
    <w:pPr>
      <w:spacing w:line="440" w:lineRule="exact"/>
      <w:ind w:left="1440"/>
    </w:pPr>
    <w:rPr>
      <w:rFonts w:ascii="華康楷書體W5" w:eastAsia="標楷體"/>
      <w:bCs/>
      <w:spacing w:val="20"/>
      <w:sz w:val="32"/>
      <w:szCs w:val="20"/>
    </w:rPr>
  </w:style>
  <w:style w:type="paragraph" w:styleId="24">
    <w:name w:val="Body Text 2"/>
    <w:basedOn w:val="a2"/>
    <w:link w:val="25"/>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1"/>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1">
    <w:name w:val="Body Text Indent 3"/>
    <w:basedOn w:val="a2"/>
    <w:link w:val="32"/>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uiPriority w:val="99"/>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4">
    <w:name w:val="Body Text 3"/>
    <w:basedOn w:val="a2"/>
    <w:link w:val="35"/>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2">
    <w:name w:val="標題1"/>
    <w:basedOn w:val="a2"/>
    <w:rsid w:val="00EC0143"/>
    <w:pPr>
      <w:spacing w:line="440" w:lineRule="exact"/>
    </w:pPr>
    <w:rPr>
      <w:rFonts w:ascii="標楷體" w:eastAsia="標楷體" w:hAnsi="標楷體" w:cs="新細明體"/>
      <w:b/>
      <w:sz w:val="28"/>
      <w:szCs w:val="20"/>
    </w:rPr>
  </w:style>
  <w:style w:type="paragraph" w:customStyle="1" w:styleId="26">
    <w:name w:val="標題2"/>
    <w:basedOn w:val="a2"/>
    <w:rsid w:val="00A77B6F"/>
    <w:pPr>
      <w:spacing w:line="500" w:lineRule="exact"/>
      <w:ind w:leftChars="250" w:left="600"/>
    </w:pPr>
    <w:rPr>
      <w:rFonts w:ascii="標楷體" w:eastAsia="標楷體" w:hAnsi="標楷體"/>
      <w:sz w:val="28"/>
      <w:szCs w:val="28"/>
    </w:rPr>
  </w:style>
  <w:style w:type="paragraph" w:customStyle="1" w:styleId="36">
    <w:name w:val="標題3"/>
    <w:basedOn w:val="a2"/>
    <w:link w:val="37"/>
    <w:rsid w:val="00A77B6F"/>
    <w:pPr>
      <w:spacing w:line="500" w:lineRule="exact"/>
      <w:ind w:leftChars="400" w:left="960"/>
    </w:pPr>
    <w:rPr>
      <w:rFonts w:ascii="標楷體" w:eastAsia="標楷體" w:hAnsi="標楷體" w:cs="細明體"/>
      <w:sz w:val="28"/>
      <w:szCs w:val="28"/>
    </w:rPr>
  </w:style>
  <w:style w:type="character" w:customStyle="1" w:styleId="37">
    <w:name w:val="標題3 字元"/>
    <w:link w:val="36"/>
    <w:rsid w:val="00A77B6F"/>
    <w:rPr>
      <w:rFonts w:ascii="標楷體" w:eastAsia="標楷體" w:hAnsi="標楷體" w:cs="細明體"/>
      <w:kern w:val="2"/>
      <w:sz w:val="28"/>
      <w:szCs w:val="28"/>
      <w:lang w:val="en-US" w:eastAsia="zh-TW" w:bidi="ar-SA"/>
    </w:rPr>
  </w:style>
  <w:style w:type="paragraph" w:styleId="14">
    <w:name w:val="toc 1"/>
    <w:basedOn w:val="a2"/>
    <w:next w:val="a2"/>
    <w:link w:val="15"/>
    <w:autoRedefine/>
    <w:uiPriority w:val="39"/>
    <w:qFormat/>
    <w:rsid w:val="004F1153"/>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color w:val="000000" w:themeColor="text1"/>
      <w:sz w:val="28"/>
      <w:szCs w:val="28"/>
    </w:rPr>
  </w:style>
  <w:style w:type="paragraph" w:styleId="27">
    <w:name w:val="toc 2"/>
    <w:basedOn w:val="a2"/>
    <w:next w:val="a2"/>
    <w:autoRedefine/>
    <w:uiPriority w:val="39"/>
    <w:qFormat/>
    <w:rsid w:val="0075245C"/>
    <w:pPr>
      <w:tabs>
        <w:tab w:val="right" w:leader="middleDot" w:pos="8789"/>
      </w:tabs>
      <w:adjustRightInd w:val="0"/>
      <w:snapToGrid w:val="0"/>
      <w:spacing w:beforeLines="20" w:before="72" w:afterLines="20" w:after="72" w:line="500" w:lineRule="exact"/>
      <w:ind w:leftChars="18" w:left="323" w:rightChars="-139" w:right="-334" w:hangingChars="100" w:hanging="280"/>
      <w:jc w:val="both"/>
    </w:pPr>
    <w:rPr>
      <w:rFonts w:ascii="標楷體" w:eastAsia="標楷體" w:hAnsi="標楷體"/>
      <w:bCs/>
      <w:iCs/>
      <w:noProof/>
      <w:sz w:val="28"/>
      <w:szCs w:val="28"/>
    </w:rPr>
  </w:style>
  <w:style w:type="paragraph" w:styleId="38">
    <w:name w:val="toc 3"/>
    <w:basedOn w:val="a2"/>
    <w:next w:val="a2"/>
    <w:autoRedefine/>
    <w:uiPriority w:val="39"/>
    <w:qFormat/>
    <w:rsid w:val="0075245C"/>
    <w:pPr>
      <w:tabs>
        <w:tab w:val="right" w:leader="middleDot" w:pos="8789"/>
      </w:tabs>
      <w:adjustRightInd w:val="0"/>
      <w:snapToGrid w:val="0"/>
      <w:spacing w:beforeLines="20" w:before="72" w:afterLines="20" w:after="72" w:line="500" w:lineRule="exact"/>
      <w:ind w:leftChars="164" w:left="853" w:rightChars="-150" w:right="-360" w:hangingChars="164" w:hanging="459"/>
      <w:jc w:val="distribute"/>
    </w:pPr>
    <w:rPr>
      <w:rFonts w:ascii="標楷體" w:eastAsia="標楷體" w:hAnsi="標楷體"/>
      <w:bCs/>
      <w:noProof/>
      <w:color w:val="000000" w:themeColor="text1"/>
      <w:spacing w:val="-10"/>
      <w:sz w:val="28"/>
      <w:szCs w:val="28"/>
    </w:rPr>
  </w:style>
  <w:style w:type="numbering" w:customStyle="1" w:styleId="28">
    <w:name w:val="樣式2"/>
    <w:rsid w:val="00B76C17"/>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6">
    <w:name w:val="樣式1"/>
    <w:rsid w:val="00E65FA0"/>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0">
    <w:name w:val="標題 3 字元"/>
    <w:aliases w:val=" 字元 字元"/>
    <w:link w:val="3"/>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9">
    <w:name w:val="標題3 字元 字元"/>
    <w:basedOn w:val="a2"/>
    <w:link w:val="3a"/>
    <w:rsid w:val="0002038F"/>
    <w:pPr>
      <w:spacing w:line="500" w:lineRule="exact"/>
      <w:ind w:leftChars="400" w:left="960"/>
    </w:pPr>
    <w:rPr>
      <w:rFonts w:ascii="標楷體" w:eastAsia="標楷體" w:hAnsi="標楷體" w:cs="細明體"/>
      <w:sz w:val="28"/>
      <w:szCs w:val="28"/>
    </w:rPr>
  </w:style>
  <w:style w:type="character" w:customStyle="1" w:styleId="3a">
    <w:name w:val="標題3 字元 字元 字元"/>
    <w:link w:val="39"/>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b">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c">
    <w:name w:val="樣式3"/>
    <w:basedOn w:val="a5"/>
    <w:rsid w:val="00885908"/>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0">
    <w:name w:val="標題 1 字元"/>
    <w:aliases w:val=" 字元9 字元"/>
    <w:link w:val="1"/>
    <w:uiPriority w:val="9"/>
    <w:rsid w:val="00E41AEC"/>
    <w:rPr>
      <w:rFonts w:ascii="Arial" w:eastAsia="標楷體" w:hAnsi="Arial"/>
      <w:b/>
      <w:bCs/>
      <w:kern w:val="52"/>
      <w:sz w:val="28"/>
      <w:szCs w:val="52"/>
      <w:lang w:val="en-US" w:eastAsia="zh-TW" w:bidi="ar-SA"/>
    </w:rPr>
  </w:style>
  <w:style w:type="character" w:customStyle="1" w:styleId="20">
    <w:name w:val="標題 2 字元"/>
    <w:aliases w:val=" 字元8 字元,標題 2-16字 字元,（二）標題 2 字元"/>
    <w:link w:val="2"/>
    <w:uiPriority w:val="9"/>
    <w:rsid w:val="00E41AEC"/>
    <w:rPr>
      <w:rFonts w:ascii="Arial" w:eastAsia="標楷體" w:hAnsi="Arial"/>
      <w:bCs/>
      <w:kern w:val="2"/>
      <w:sz w:val="28"/>
      <w:szCs w:val="48"/>
      <w:lang w:val="en-US" w:eastAsia="zh-TW" w:bidi="ar-SA"/>
    </w:rPr>
  </w:style>
  <w:style w:type="character" w:customStyle="1" w:styleId="ac">
    <w:name w:val="本文 字元"/>
    <w:link w:val="ab"/>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1">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1">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0">
    <w:name w:val="樣式11"/>
    <w:rsid w:val="00E41AEC"/>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1">
    <w:name w:val="無清單11"/>
    <w:next w:val="a5"/>
    <w:uiPriority w:val="99"/>
    <w:semiHidden/>
    <w:unhideWhenUsed/>
    <w:rsid w:val="00D95314"/>
  </w:style>
  <w:style w:type="paragraph" w:customStyle="1" w:styleId="-4">
    <w:name w:val="審議概況-標題二 字元 字元 字元"/>
    <w:basedOn w:val="2"/>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3">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uiPriority w:val="99"/>
    <w:semiHidden/>
    <w:unhideWhenUsed/>
    <w:rsid w:val="00D95314"/>
  </w:style>
  <w:style w:type="numbering" w:customStyle="1" w:styleId="1111">
    <w:name w:val="無清單1111"/>
    <w:next w:val="a5"/>
    <w:semiHidden/>
    <w:unhideWhenUsed/>
    <w:rsid w:val="00D95314"/>
  </w:style>
  <w:style w:type="table" w:customStyle="1" w:styleId="114">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2">
    <w:name w:val="本文縮排 2 字元"/>
    <w:link w:val="21"/>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1">
    <w:name w:val="樣式21"/>
    <w:rsid w:val="00D95314"/>
  </w:style>
  <w:style w:type="numbering" w:customStyle="1" w:styleId="310">
    <w:name w:val="樣式31"/>
    <w:basedOn w:val="a5"/>
    <w:rsid w:val="00D95314"/>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4"/>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5">
    <w:name w:val="目錄 1 字元"/>
    <w:link w:val="14"/>
    <w:uiPriority w:val="39"/>
    <w:rsid w:val="004F1153"/>
    <w:rPr>
      <w:rFonts w:ascii="標楷體" w:eastAsia="標楷體" w:hAnsi="標楷體"/>
      <w:b/>
      <w:noProof/>
      <w:color w:val="000000" w:themeColor="text1"/>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3">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5">
    <w:name w:val="本文 3 字元"/>
    <w:link w:val="34"/>
    <w:rsid w:val="00CA0DDD"/>
    <w:rPr>
      <w:rFonts w:ascii="標楷體" w:eastAsia="標楷體" w:hAnsi="標楷體"/>
      <w:bCs/>
      <w:spacing w:val="-2"/>
      <w:kern w:val="2"/>
      <w:sz w:val="32"/>
      <w:szCs w:val="32"/>
    </w:rPr>
  </w:style>
  <w:style w:type="paragraph" w:customStyle="1" w:styleId="220">
    <w:name w:val="字元 字元2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21">
    <w:name w:val="字元 字元2 字元 字元 字元 字元 字元2"/>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3f4">
    <w:name w:val="字元 字元3"/>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b">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2f4">
    <w:name w:val="字元 字元 字元2"/>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22">
    <w:name w:val="字元 字元2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5">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6">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7">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24">
    <w:name w:val="字元 字元2 字元 字元 字元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5">
    <w:name w:val="字元 字元2 字元 字元 字元 字元 字元 字元2"/>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rsid w:val="003B5F10"/>
    <w:rPr>
      <w:rFonts w:ascii="Cambria" w:hAnsi="Cambria"/>
      <w:b/>
      <w:bCs/>
      <w:kern w:val="2"/>
      <w:sz w:val="36"/>
      <w:szCs w:val="36"/>
    </w:rPr>
  </w:style>
  <w:style w:type="paragraph" w:customStyle="1" w:styleId="1-161">
    <w:name w:val="一、標題1-16字"/>
    <w:basedOn w:val="1"/>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c">
    <w:name w:val="一、審議概況–標題三"/>
    <w:basedOn w:val="3"/>
    <w:next w:val="a2"/>
    <w:link w:val="afffffd"/>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d">
    <w:name w:val="一、審議概況–標題三 字元"/>
    <w:link w:val="afffffc"/>
    <w:rsid w:val="00AC135C"/>
    <w:rPr>
      <w:rFonts w:ascii="標楷體" w:eastAsia="標楷體" w:hAnsi="標楷體"/>
      <w:b/>
      <w:bCs/>
      <w:kern w:val="2"/>
      <w:sz w:val="28"/>
      <w:szCs w:val="36"/>
    </w:rPr>
  </w:style>
  <w:style w:type="paragraph" w:customStyle="1" w:styleId="afffffe">
    <w:name w:val="剪報標題一"/>
    <w:basedOn w:val="1"/>
    <w:next w:val="a2"/>
    <w:link w:val="affffff"/>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
    <w:name w:val="剪報標題一 字元"/>
    <w:link w:val="afffffe"/>
    <w:rsid w:val="00F716CA"/>
    <w:rPr>
      <w:rFonts w:ascii="Papyrus" w:eastAsia="標楷體" w:hAnsi="Papyrus"/>
      <w:b/>
      <w:bCs/>
      <w:color w:val="548DD4"/>
      <w:kern w:val="52"/>
      <w:sz w:val="32"/>
      <w:szCs w:val="32"/>
      <w:lang w:eastAsia="ko-KR"/>
    </w:rPr>
  </w:style>
  <w:style w:type="paragraph" w:customStyle="1" w:styleId="pop">
    <w:name w:val="標題二pop"/>
    <w:basedOn w:val="2"/>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0">
    <w:name w:val="Note Heading"/>
    <w:basedOn w:val="a2"/>
    <w:next w:val="a2"/>
    <w:link w:val="affffff1"/>
    <w:uiPriority w:val="99"/>
    <w:unhideWhenUsed/>
    <w:rsid w:val="00A27FA8"/>
    <w:pPr>
      <w:jc w:val="center"/>
    </w:pPr>
    <w:rPr>
      <w:rFonts w:eastAsia="標楷體"/>
      <w:b/>
      <w:sz w:val="32"/>
      <w:szCs w:val="32"/>
    </w:rPr>
  </w:style>
  <w:style w:type="character" w:customStyle="1" w:styleId="affffff1">
    <w:name w:val="註釋標題 字元"/>
    <w:link w:val="affffff0"/>
    <w:uiPriority w:val="99"/>
    <w:rsid w:val="00A27FA8"/>
    <w:rPr>
      <w:rFonts w:eastAsia="標楷體"/>
      <w:b/>
      <w:kern w:val="2"/>
      <w:sz w:val="32"/>
      <w:szCs w:val="32"/>
    </w:rPr>
  </w:style>
  <w:style w:type="paragraph" w:styleId="affffff2">
    <w:name w:val="Closing"/>
    <w:basedOn w:val="a2"/>
    <w:link w:val="affffff3"/>
    <w:uiPriority w:val="99"/>
    <w:unhideWhenUsed/>
    <w:rsid w:val="00A27FA8"/>
    <w:pPr>
      <w:ind w:leftChars="1800" w:left="100"/>
    </w:pPr>
    <w:rPr>
      <w:rFonts w:eastAsia="標楷體"/>
      <w:b/>
      <w:sz w:val="32"/>
      <w:szCs w:val="32"/>
    </w:rPr>
  </w:style>
  <w:style w:type="character" w:customStyle="1" w:styleId="affffff3">
    <w:name w:val="結語 字元"/>
    <w:link w:val="affffff2"/>
    <w:uiPriority w:val="99"/>
    <w:rsid w:val="00A27FA8"/>
    <w:rPr>
      <w:rFonts w:eastAsia="標楷體"/>
      <w:b/>
      <w:kern w:val="2"/>
      <w:sz w:val="32"/>
      <w:szCs w:val="32"/>
    </w:rPr>
  </w:style>
  <w:style w:type="character" w:customStyle="1" w:styleId="affffff4">
    <w:name w:val="內文文字_"/>
    <w:link w:val="affffff5"/>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5">
    <w:name w:val="內文文字"/>
    <w:basedOn w:val="a2"/>
    <w:link w:val="affffff4"/>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6">
    <w:name w:val="決定 字元 字元"/>
    <w:locked/>
    <w:rsid w:val="00FD4F00"/>
    <w:rPr>
      <w:rFonts w:eastAsia="標楷體"/>
      <w:sz w:val="32"/>
      <w:szCs w:val="24"/>
    </w:rPr>
  </w:style>
  <w:style w:type="character" w:customStyle="1" w:styleId="affffff7">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8">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5">
    <w:name w:val="本文 2 字元"/>
    <w:link w:val="24"/>
    <w:rsid w:val="00232313"/>
    <w:rPr>
      <w:rFonts w:ascii="華康楷書體W5" w:eastAsia="標楷體"/>
      <w:b/>
      <w:spacing w:val="20"/>
      <w:sz w:val="32"/>
    </w:rPr>
  </w:style>
  <w:style w:type="character" w:customStyle="1" w:styleId="32">
    <w:name w:val="本文縮排 3 字元"/>
    <w:link w:val="31"/>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3">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9">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a">
    <w:name w:val="Salutation"/>
    <w:basedOn w:val="a2"/>
    <w:next w:val="a2"/>
    <w:link w:val="affffffb"/>
    <w:uiPriority w:val="99"/>
    <w:unhideWhenUsed/>
    <w:rsid w:val="005C5456"/>
    <w:rPr>
      <w:rFonts w:ascii="Calibri" w:hAnsi="Calibri"/>
      <w:szCs w:val="22"/>
    </w:rPr>
  </w:style>
  <w:style w:type="character" w:customStyle="1" w:styleId="affffffb">
    <w:name w:val="問候 字元"/>
    <w:link w:val="affffffa"/>
    <w:uiPriority w:val="99"/>
    <w:rsid w:val="005C5456"/>
    <w:rPr>
      <w:rFonts w:ascii="Calibri" w:hAnsi="Calibri"/>
      <w:kern w:val="2"/>
      <w:sz w:val="24"/>
      <w:szCs w:val="22"/>
    </w:rPr>
  </w:style>
  <w:style w:type="character" w:styleId="affffffc">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4">
    <w:name w:val="字元 字元12"/>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21">
    <w:name w:val="字元6 字元2"/>
    <w:semiHidden/>
    <w:rsid w:val="009370AC"/>
    <w:rPr>
      <w:rFonts w:ascii="Cambria" w:eastAsia="新細明體" w:hAnsi="Cambria" w:cs="Times New Roman"/>
      <w:b/>
      <w:bCs/>
      <w:sz w:val="48"/>
      <w:szCs w:val="48"/>
    </w:rPr>
  </w:style>
  <w:style w:type="character" w:customStyle="1" w:styleId="421">
    <w:name w:val="字元4 字元2"/>
    <w:rsid w:val="009370AC"/>
    <w:rPr>
      <w:kern w:val="2"/>
    </w:rPr>
  </w:style>
  <w:style w:type="character" w:customStyle="1" w:styleId="721">
    <w:name w:val="字元7 字元2"/>
    <w:rsid w:val="009370AC"/>
    <w:rPr>
      <w:rFonts w:ascii="Cambria" w:eastAsia="新細明體" w:hAnsi="Cambria" w:cs="Times New Roman"/>
      <w:b/>
      <w:bCs/>
      <w:kern w:val="52"/>
      <w:sz w:val="52"/>
      <w:szCs w:val="52"/>
    </w:rPr>
  </w:style>
  <w:style w:type="character" w:customStyle="1" w:styleId="521">
    <w:name w:val="字元5 字元2"/>
    <w:semiHidden/>
    <w:rsid w:val="009370AC"/>
    <w:rPr>
      <w:rFonts w:ascii="Cambria" w:eastAsia="新細明體" w:hAnsi="Cambria" w:cs="Times New Roman"/>
      <w:b/>
      <w:bCs/>
      <w:kern w:val="2"/>
      <w:sz w:val="36"/>
      <w:szCs w:val="36"/>
    </w:rPr>
  </w:style>
  <w:style w:type="character" w:customStyle="1" w:styleId="1420">
    <w:name w:val="字元142"/>
    <w:rsid w:val="009370AC"/>
    <w:rPr>
      <w:rFonts w:ascii="Times New Roman" w:eastAsia="標楷體" w:hAnsi="Times New Roman" w:cs="Times New Roman"/>
      <w:sz w:val="20"/>
      <w:szCs w:val="20"/>
    </w:rPr>
  </w:style>
  <w:style w:type="character" w:customStyle="1" w:styleId="1320">
    <w:name w:val="字元132"/>
    <w:rsid w:val="009370AC"/>
    <w:rPr>
      <w:rFonts w:ascii="Times New Roman" w:eastAsia="標楷體" w:hAnsi="Times New Roman" w:cs="Times New Roman"/>
      <w:sz w:val="20"/>
      <w:szCs w:val="20"/>
    </w:rPr>
  </w:style>
  <w:style w:type="character" w:customStyle="1" w:styleId="1220">
    <w:name w:val="字元122"/>
    <w:rsid w:val="009370AC"/>
    <w:rPr>
      <w:rFonts w:ascii="Times New Roman" w:eastAsia="標楷體" w:hAnsi="Times New Roman" w:cs="Times New Roman"/>
      <w:sz w:val="28"/>
    </w:rPr>
  </w:style>
  <w:style w:type="character" w:customStyle="1" w:styleId="1121">
    <w:name w:val="字元112"/>
    <w:semiHidden/>
    <w:rsid w:val="009370AC"/>
    <w:rPr>
      <w:rFonts w:ascii="Times New Roman" w:eastAsia="標楷體" w:hAnsi="Times New Roman" w:cs="Times New Roman"/>
      <w:b/>
      <w:bCs/>
      <w:sz w:val="28"/>
    </w:rPr>
  </w:style>
  <w:style w:type="character" w:customStyle="1" w:styleId="1020">
    <w:name w:val="字元102"/>
    <w:rsid w:val="009370AC"/>
    <w:rPr>
      <w:rFonts w:ascii="Cambria" w:eastAsia="新細明體" w:hAnsi="Cambria" w:cs="Times New Roman"/>
      <w:sz w:val="18"/>
      <w:szCs w:val="18"/>
    </w:rPr>
  </w:style>
  <w:style w:type="character" w:customStyle="1" w:styleId="2120">
    <w:name w:val="字元212"/>
    <w:rsid w:val="009370AC"/>
    <w:rPr>
      <w:rFonts w:ascii="新細明體" w:hAnsi="Times New Roman"/>
      <w:kern w:val="2"/>
      <w:sz w:val="18"/>
      <w:szCs w:val="18"/>
    </w:rPr>
  </w:style>
  <w:style w:type="character" w:customStyle="1" w:styleId="172">
    <w:name w:val="字元172"/>
    <w:rsid w:val="009370AC"/>
    <w:rPr>
      <w:rFonts w:ascii="Cambria" w:eastAsia="新細明體" w:hAnsi="Cambria" w:cs="Times New Roman"/>
      <w:b/>
      <w:bCs/>
      <w:kern w:val="52"/>
      <w:sz w:val="52"/>
      <w:szCs w:val="52"/>
    </w:rPr>
  </w:style>
  <w:style w:type="character" w:customStyle="1" w:styleId="162">
    <w:name w:val="字元162"/>
    <w:rsid w:val="009370AC"/>
    <w:rPr>
      <w:rFonts w:ascii="Cambria" w:eastAsia="新細明體" w:hAnsi="Cambria" w:cs="Times New Roman"/>
      <w:b/>
      <w:bCs/>
      <w:kern w:val="2"/>
      <w:sz w:val="48"/>
      <w:szCs w:val="48"/>
    </w:rPr>
  </w:style>
  <w:style w:type="character" w:customStyle="1" w:styleId="152">
    <w:name w:val="字元152"/>
    <w:rsid w:val="009370AC"/>
    <w:rPr>
      <w:rFonts w:ascii="Cambria" w:eastAsia="新細明體" w:hAnsi="Cambria" w:cs="Times New Roman"/>
      <w:b/>
      <w:bCs/>
      <w:kern w:val="2"/>
      <w:sz w:val="36"/>
      <w:szCs w:val="36"/>
    </w:rPr>
  </w:style>
  <w:style w:type="character" w:customStyle="1" w:styleId="192">
    <w:name w:val="字元192"/>
    <w:rsid w:val="009370AC"/>
    <w:rPr>
      <w:rFonts w:ascii="華康楷書體W5" w:eastAsia="標楷體" w:hAnsi="Times New Roman"/>
      <w:bCs/>
      <w:spacing w:val="20"/>
      <w:kern w:val="2"/>
      <w:sz w:val="28"/>
    </w:rPr>
  </w:style>
  <w:style w:type="paragraph" w:customStyle="1" w:styleId="227">
    <w:name w:val="字元 字元2 字元 字元 字元 字元 字元 字元 字元 字元 字元2"/>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d">
    <w:name w:val="預算提案用"/>
    <w:basedOn w:val="a2"/>
    <w:link w:val="affffffe"/>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e">
    <w:name w:val="預算提案用 字元"/>
    <w:link w:val="affffffd"/>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2">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0">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8">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1">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uiPriority w:val="59"/>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uiPriority w:val="59"/>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a">
    <w:name w:val="1樣式4"/>
    <w:basedOn w:val="a2"/>
    <w:link w:val="14b"/>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b">
    <w:name w:val="1樣式4 字元"/>
    <w:link w:val="14a"/>
    <w:rsid w:val="00D8168D"/>
    <w:rPr>
      <w:rFonts w:ascii="標楷體" w:eastAsia="標楷體" w:hAnsi="標楷體"/>
      <w:kern w:val="2"/>
      <w:sz w:val="24"/>
      <w:szCs w:val="24"/>
    </w:rPr>
  </w:style>
  <w:style w:type="paragraph" w:customStyle="1" w:styleId="afffffff0">
    <w:name w:val="時　　間：凸五"/>
    <w:autoRedefine/>
    <w:qFormat/>
    <w:rsid w:val="00F9010F"/>
    <w:pPr>
      <w:snapToGrid w:val="0"/>
      <w:spacing w:line="240" w:lineRule="atLeast"/>
      <w:ind w:left="2520" w:hangingChars="900" w:hanging="2520"/>
      <w:jc w:val="both"/>
    </w:pPr>
    <w:rPr>
      <w:rFonts w:eastAsia="標楷體"/>
      <w:kern w:val="2"/>
      <w:sz w:val="28"/>
      <w:szCs w:val="24"/>
    </w:rPr>
  </w:style>
  <w:style w:type="character" w:customStyle="1" w:styleId="040">
    <w:name w:val="0樣式4 字元"/>
    <w:link w:val="04"/>
    <w:rsid w:val="00A730A8"/>
    <w:rPr>
      <w:rFonts w:ascii="標楷體" w:eastAsia="標楷體" w:hAnsi="標楷體"/>
      <w:color w:val="000000"/>
      <w:kern w:val="2"/>
      <w:sz w:val="24"/>
      <w:szCs w:val="24"/>
    </w:rPr>
  </w:style>
  <w:style w:type="numbering" w:customStyle="1" w:styleId="381">
    <w:name w:val="無清單38"/>
    <w:next w:val="a5"/>
    <w:uiPriority w:val="99"/>
    <w:semiHidden/>
    <w:unhideWhenUsed/>
    <w:rsid w:val="00F86BC7"/>
  </w:style>
  <w:style w:type="paragraph" w:customStyle="1" w:styleId="afffffff1">
    <w:name w:val="欄位"/>
    <w:basedOn w:val="a2"/>
    <w:rsid w:val="00F86BC7"/>
    <w:pPr>
      <w:adjustRightInd w:val="0"/>
      <w:spacing w:line="360" w:lineRule="atLeast"/>
      <w:ind w:right="284" w:firstLine="284"/>
      <w:jc w:val="distribute"/>
      <w:textAlignment w:val="baseline"/>
    </w:pPr>
    <w:rPr>
      <w:rFonts w:eastAsia="標楷體"/>
      <w:color w:val="FF0000"/>
      <w:kern w:val="0"/>
      <w:sz w:val="32"/>
      <w:szCs w:val="20"/>
    </w:rPr>
  </w:style>
  <w:style w:type="table" w:customStyle="1" w:styleId="1900">
    <w:name w:val="表格格線19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9">
    <w:name w:val="樣式22"/>
    <w:rsid w:val="007932B9"/>
  </w:style>
  <w:style w:type="numbering" w:customStyle="1" w:styleId="12a">
    <w:name w:val="樣式12"/>
    <w:rsid w:val="007932B9"/>
  </w:style>
  <w:style w:type="numbering" w:customStyle="1" w:styleId="322">
    <w:name w:val="樣式32"/>
    <w:basedOn w:val="a5"/>
    <w:rsid w:val="007932B9"/>
  </w:style>
  <w:style w:type="numbering" w:customStyle="1" w:styleId="1114">
    <w:name w:val="樣式111"/>
    <w:rsid w:val="007932B9"/>
  </w:style>
  <w:style w:type="numbering" w:customStyle="1" w:styleId="1101">
    <w:name w:val="無清單110"/>
    <w:next w:val="a5"/>
    <w:uiPriority w:val="99"/>
    <w:semiHidden/>
    <w:unhideWhenUsed/>
    <w:rsid w:val="007932B9"/>
  </w:style>
  <w:style w:type="table" w:customStyle="1" w:styleId="1910">
    <w:name w:val="表格格線1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無清單113"/>
    <w:next w:val="a5"/>
    <w:uiPriority w:val="99"/>
    <w:semiHidden/>
    <w:unhideWhenUsed/>
    <w:rsid w:val="007932B9"/>
  </w:style>
  <w:style w:type="numbering" w:customStyle="1" w:styleId="11130">
    <w:name w:val="無清單1113"/>
    <w:next w:val="a5"/>
    <w:semiHidden/>
    <w:unhideWhenUsed/>
    <w:rsid w:val="007932B9"/>
  </w:style>
  <w:style w:type="numbering" w:customStyle="1" w:styleId="11113">
    <w:name w:val="無清單11113"/>
    <w:next w:val="a5"/>
    <w:semiHidden/>
    <w:unhideWhenUsed/>
    <w:rsid w:val="007932B9"/>
  </w:style>
  <w:style w:type="table" w:customStyle="1" w:styleId="11100">
    <w:name w:val="表格格線111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5"/>
    <w:uiPriority w:val="99"/>
    <w:semiHidden/>
    <w:unhideWhenUsed/>
    <w:rsid w:val="007932B9"/>
  </w:style>
  <w:style w:type="numbering" w:customStyle="1" w:styleId="1211">
    <w:name w:val="無清單121"/>
    <w:next w:val="a5"/>
    <w:uiPriority w:val="99"/>
    <w:semiHidden/>
    <w:unhideWhenUsed/>
    <w:rsid w:val="007932B9"/>
  </w:style>
  <w:style w:type="numbering" w:customStyle="1" w:styleId="111112">
    <w:name w:val="無清單111112"/>
    <w:next w:val="a5"/>
    <w:semiHidden/>
    <w:unhideWhenUsed/>
    <w:rsid w:val="007932B9"/>
  </w:style>
  <w:style w:type="numbering" w:customStyle="1" w:styleId="2110">
    <w:name w:val="樣式211"/>
    <w:rsid w:val="007932B9"/>
  </w:style>
  <w:style w:type="numbering" w:customStyle="1" w:styleId="3110">
    <w:name w:val="樣式311"/>
    <w:basedOn w:val="a5"/>
    <w:rsid w:val="007932B9"/>
  </w:style>
  <w:style w:type="table" w:customStyle="1" w:styleId="2101">
    <w:name w:val="表格格線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5"/>
    <w:next w:val="111111"/>
    <w:rsid w:val="007932B9"/>
  </w:style>
  <w:style w:type="numbering" w:customStyle="1" w:styleId="391">
    <w:name w:val="無清單39"/>
    <w:next w:val="a5"/>
    <w:uiPriority w:val="99"/>
    <w:semiHidden/>
    <w:unhideWhenUsed/>
    <w:rsid w:val="007932B9"/>
  </w:style>
  <w:style w:type="table" w:customStyle="1" w:styleId="3100">
    <w:name w:val="表格格線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5"/>
    <w:uiPriority w:val="99"/>
    <w:semiHidden/>
    <w:unhideWhenUsed/>
    <w:rsid w:val="007932B9"/>
  </w:style>
  <w:style w:type="numbering" w:customStyle="1" w:styleId="11210">
    <w:name w:val="無清單1121"/>
    <w:next w:val="a5"/>
    <w:uiPriority w:val="99"/>
    <w:semiHidden/>
    <w:unhideWhenUsed/>
    <w:rsid w:val="007932B9"/>
  </w:style>
  <w:style w:type="numbering" w:customStyle="1" w:styleId="11121">
    <w:name w:val="無清單11121"/>
    <w:next w:val="a5"/>
    <w:uiPriority w:val="99"/>
    <w:semiHidden/>
    <w:unhideWhenUsed/>
    <w:rsid w:val="007932B9"/>
  </w:style>
  <w:style w:type="numbering" w:customStyle="1" w:styleId="111121">
    <w:name w:val="無清單111121"/>
    <w:next w:val="a5"/>
    <w:uiPriority w:val="99"/>
    <w:semiHidden/>
    <w:unhideWhenUsed/>
    <w:rsid w:val="007932B9"/>
  </w:style>
  <w:style w:type="numbering" w:customStyle="1" w:styleId="11111120">
    <w:name w:val="無清單1111112"/>
    <w:next w:val="a5"/>
    <w:uiPriority w:val="99"/>
    <w:semiHidden/>
    <w:unhideWhenUsed/>
    <w:rsid w:val="007932B9"/>
  </w:style>
  <w:style w:type="numbering" w:customStyle="1" w:styleId="11111112">
    <w:name w:val="無清單11111112"/>
    <w:next w:val="a5"/>
    <w:uiPriority w:val="99"/>
    <w:semiHidden/>
    <w:unhideWhenUsed/>
    <w:rsid w:val="007932B9"/>
  </w:style>
  <w:style w:type="numbering" w:customStyle="1" w:styleId="111111111">
    <w:name w:val="無清單111111111"/>
    <w:next w:val="a5"/>
    <w:uiPriority w:val="99"/>
    <w:semiHidden/>
    <w:unhideWhenUsed/>
    <w:rsid w:val="007932B9"/>
  </w:style>
  <w:style w:type="numbering" w:customStyle="1" w:styleId="422">
    <w:name w:val="無清單42"/>
    <w:next w:val="a5"/>
    <w:uiPriority w:val="99"/>
    <w:semiHidden/>
    <w:unhideWhenUsed/>
    <w:rsid w:val="007932B9"/>
  </w:style>
  <w:style w:type="table" w:customStyle="1" w:styleId="4100">
    <w:name w:val="表格格線4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5"/>
    <w:uiPriority w:val="99"/>
    <w:semiHidden/>
    <w:unhideWhenUsed/>
    <w:rsid w:val="007932B9"/>
  </w:style>
  <w:style w:type="table" w:customStyle="1" w:styleId="5100">
    <w:name w:val="表格格線5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5"/>
    <w:uiPriority w:val="99"/>
    <w:semiHidden/>
    <w:unhideWhenUsed/>
    <w:rsid w:val="007932B9"/>
  </w:style>
  <w:style w:type="table" w:customStyle="1" w:styleId="6100">
    <w:name w:val="表格格線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5"/>
    <w:uiPriority w:val="99"/>
    <w:semiHidden/>
    <w:unhideWhenUsed/>
    <w:rsid w:val="007932B9"/>
  </w:style>
  <w:style w:type="table" w:customStyle="1" w:styleId="4110">
    <w:name w:val="表格格線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5"/>
    <w:uiPriority w:val="99"/>
    <w:semiHidden/>
    <w:unhideWhenUsed/>
    <w:rsid w:val="007932B9"/>
  </w:style>
  <w:style w:type="table" w:customStyle="1" w:styleId="17100">
    <w:name w:val="表格格線1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5"/>
    <w:uiPriority w:val="99"/>
    <w:semiHidden/>
    <w:unhideWhenUsed/>
    <w:rsid w:val="007932B9"/>
  </w:style>
  <w:style w:type="table" w:customStyle="1" w:styleId="2710">
    <w:name w:val="表格格線2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5"/>
    <w:uiPriority w:val="99"/>
    <w:semiHidden/>
    <w:unhideWhenUsed/>
    <w:rsid w:val="007932B9"/>
  </w:style>
  <w:style w:type="table" w:customStyle="1" w:styleId="2810">
    <w:name w:val="表格格線2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5"/>
    <w:uiPriority w:val="99"/>
    <w:semiHidden/>
    <w:unhideWhenUsed/>
    <w:rsid w:val="007932B9"/>
  </w:style>
  <w:style w:type="table" w:customStyle="1" w:styleId="3112">
    <w:name w:val="表格格線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5"/>
    <w:uiPriority w:val="99"/>
    <w:semiHidden/>
    <w:unhideWhenUsed/>
    <w:rsid w:val="007932B9"/>
  </w:style>
  <w:style w:type="table" w:customStyle="1" w:styleId="3210">
    <w:name w:val="表格格線3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5"/>
    <w:uiPriority w:val="99"/>
    <w:semiHidden/>
    <w:unhideWhenUsed/>
    <w:rsid w:val="007932B9"/>
  </w:style>
  <w:style w:type="table" w:customStyle="1" w:styleId="3410">
    <w:name w:val="表格格線3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5"/>
    <w:uiPriority w:val="99"/>
    <w:semiHidden/>
    <w:unhideWhenUsed/>
    <w:rsid w:val="007932B9"/>
  </w:style>
  <w:style w:type="table" w:customStyle="1" w:styleId="3910">
    <w:name w:val="表格格線3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5"/>
    <w:uiPriority w:val="99"/>
    <w:semiHidden/>
    <w:unhideWhenUsed/>
    <w:rsid w:val="007932B9"/>
  </w:style>
  <w:style w:type="table" w:customStyle="1" w:styleId="4210">
    <w:name w:val="表格格線4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5"/>
    <w:uiPriority w:val="99"/>
    <w:semiHidden/>
    <w:unhideWhenUsed/>
    <w:rsid w:val="007932B9"/>
  </w:style>
  <w:style w:type="table" w:customStyle="1" w:styleId="441">
    <w:name w:val="表格格線4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5"/>
    <w:uiPriority w:val="99"/>
    <w:semiHidden/>
    <w:unhideWhenUsed/>
    <w:rsid w:val="007932B9"/>
  </w:style>
  <w:style w:type="table" w:customStyle="1" w:styleId="851">
    <w:name w:val="表格格線8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5"/>
    <w:uiPriority w:val="99"/>
    <w:semiHidden/>
    <w:unhideWhenUsed/>
    <w:rsid w:val="007932B9"/>
  </w:style>
  <w:style w:type="table" w:customStyle="1" w:styleId="1930">
    <w:name w:val="表格格線193"/>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樣式23"/>
    <w:rsid w:val="007932B9"/>
    <w:pPr>
      <w:numPr>
        <w:numId w:val="2"/>
      </w:numPr>
    </w:pPr>
  </w:style>
  <w:style w:type="numbering" w:customStyle="1" w:styleId="13">
    <w:name w:val="樣式13"/>
    <w:rsid w:val="007932B9"/>
    <w:pPr>
      <w:numPr>
        <w:numId w:val="3"/>
      </w:numPr>
    </w:pPr>
  </w:style>
  <w:style w:type="numbering" w:customStyle="1" w:styleId="33">
    <w:name w:val="樣式33"/>
    <w:basedOn w:val="a5"/>
    <w:rsid w:val="007932B9"/>
    <w:pPr>
      <w:numPr>
        <w:numId w:val="4"/>
      </w:numPr>
    </w:pPr>
  </w:style>
  <w:style w:type="numbering" w:customStyle="1" w:styleId="112">
    <w:name w:val="樣式112"/>
    <w:rsid w:val="007932B9"/>
    <w:pPr>
      <w:numPr>
        <w:numId w:val="7"/>
      </w:numPr>
    </w:pPr>
  </w:style>
  <w:style w:type="numbering" w:customStyle="1" w:styleId="1141">
    <w:name w:val="無清單114"/>
    <w:next w:val="a5"/>
    <w:uiPriority w:val="99"/>
    <w:semiHidden/>
    <w:unhideWhenUsed/>
    <w:rsid w:val="007932B9"/>
  </w:style>
  <w:style w:type="table" w:customStyle="1" w:styleId="194">
    <w:name w:val="表格格線194"/>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5"/>
    <w:uiPriority w:val="99"/>
    <w:semiHidden/>
    <w:unhideWhenUsed/>
    <w:rsid w:val="007932B9"/>
  </w:style>
  <w:style w:type="numbering" w:customStyle="1" w:styleId="11140">
    <w:name w:val="無清單1114"/>
    <w:next w:val="a5"/>
    <w:semiHidden/>
    <w:unhideWhenUsed/>
    <w:rsid w:val="007932B9"/>
  </w:style>
  <w:style w:type="numbering" w:customStyle="1" w:styleId="11114">
    <w:name w:val="無清單11114"/>
    <w:next w:val="a5"/>
    <w:semiHidden/>
    <w:unhideWhenUsed/>
    <w:rsid w:val="007932B9"/>
  </w:style>
  <w:style w:type="table" w:customStyle="1" w:styleId="11120">
    <w:name w:val="表格格線1112"/>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5"/>
    <w:uiPriority w:val="99"/>
    <w:semiHidden/>
    <w:unhideWhenUsed/>
    <w:rsid w:val="007932B9"/>
  </w:style>
  <w:style w:type="numbering" w:customStyle="1" w:styleId="1222">
    <w:name w:val="無清單122"/>
    <w:next w:val="a5"/>
    <w:uiPriority w:val="99"/>
    <w:semiHidden/>
    <w:unhideWhenUsed/>
    <w:rsid w:val="007932B9"/>
  </w:style>
  <w:style w:type="numbering" w:customStyle="1" w:styleId="111113">
    <w:name w:val="無清單111113"/>
    <w:next w:val="a5"/>
    <w:semiHidden/>
    <w:unhideWhenUsed/>
    <w:rsid w:val="007932B9"/>
  </w:style>
  <w:style w:type="numbering" w:customStyle="1" w:styleId="212">
    <w:name w:val="樣式212"/>
    <w:rsid w:val="007932B9"/>
    <w:pPr>
      <w:numPr>
        <w:numId w:val="5"/>
      </w:numPr>
    </w:pPr>
  </w:style>
  <w:style w:type="numbering" w:customStyle="1" w:styleId="312">
    <w:name w:val="樣式312"/>
    <w:basedOn w:val="a5"/>
    <w:rsid w:val="007932B9"/>
    <w:pPr>
      <w:numPr>
        <w:numId w:val="6"/>
      </w:numPr>
    </w:pPr>
  </w:style>
  <w:style w:type="table" w:customStyle="1" w:styleId="2122">
    <w:name w:val="表格格線2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a5"/>
    <w:next w:val="111111"/>
    <w:rsid w:val="007932B9"/>
    <w:pPr>
      <w:numPr>
        <w:numId w:val="9"/>
      </w:numPr>
    </w:pPr>
  </w:style>
  <w:style w:type="numbering" w:customStyle="1" w:styleId="3101">
    <w:name w:val="無清單310"/>
    <w:next w:val="a5"/>
    <w:uiPriority w:val="99"/>
    <w:semiHidden/>
    <w:unhideWhenUsed/>
    <w:rsid w:val="007932B9"/>
  </w:style>
  <w:style w:type="table" w:customStyle="1" w:styleId="3120">
    <w:name w:val="表格格線3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5"/>
    <w:uiPriority w:val="99"/>
    <w:semiHidden/>
    <w:unhideWhenUsed/>
    <w:rsid w:val="007932B9"/>
  </w:style>
  <w:style w:type="numbering" w:customStyle="1" w:styleId="11220">
    <w:name w:val="無清單1122"/>
    <w:next w:val="a5"/>
    <w:uiPriority w:val="99"/>
    <w:semiHidden/>
    <w:unhideWhenUsed/>
    <w:rsid w:val="007932B9"/>
  </w:style>
  <w:style w:type="numbering" w:customStyle="1" w:styleId="11122">
    <w:name w:val="無清單11122"/>
    <w:next w:val="a5"/>
    <w:uiPriority w:val="99"/>
    <w:semiHidden/>
    <w:unhideWhenUsed/>
    <w:rsid w:val="007932B9"/>
  </w:style>
  <w:style w:type="numbering" w:customStyle="1" w:styleId="111122">
    <w:name w:val="無清單111122"/>
    <w:next w:val="a5"/>
    <w:uiPriority w:val="99"/>
    <w:semiHidden/>
    <w:unhideWhenUsed/>
    <w:rsid w:val="007932B9"/>
  </w:style>
  <w:style w:type="numbering" w:customStyle="1" w:styleId="1111113">
    <w:name w:val="無清單1111113"/>
    <w:next w:val="a5"/>
    <w:uiPriority w:val="99"/>
    <w:semiHidden/>
    <w:unhideWhenUsed/>
    <w:rsid w:val="007932B9"/>
  </w:style>
  <w:style w:type="numbering" w:customStyle="1" w:styleId="11111113">
    <w:name w:val="無清單11111113"/>
    <w:next w:val="a5"/>
    <w:uiPriority w:val="99"/>
    <w:semiHidden/>
    <w:unhideWhenUsed/>
    <w:rsid w:val="007932B9"/>
  </w:style>
  <w:style w:type="numbering" w:customStyle="1" w:styleId="111111112">
    <w:name w:val="無清單111111112"/>
    <w:next w:val="a5"/>
    <w:uiPriority w:val="99"/>
    <w:semiHidden/>
    <w:unhideWhenUsed/>
    <w:rsid w:val="007932B9"/>
  </w:style>
  <w:style w:type="numbering" w:customStyle="1" w:styleId="432">
    <w:name w:val="無清單43"/>
    <w:next w:val="a5"/>
    <w:uiPriority w:val="99"/>
    <w:semiHidden/>
    <w:unhideWhenUsed/>
    <w:rsid w:val="007932B9"/>
  </w:style>
  <w:style w:type="table" w:customStyle="1" w:styleId="4121">
    <w:name w:val="表格格線4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5"/>
    <w:uiPriority w:val="99"/>
    <w:semiHidden/>
    <w:unhideWhenUsed/>
    <w:rsid w:val="007932B9"/>
  </w:style>
  <w:style w:type="table" w:customStyle="1" w:styleId="512">
    <w:name w:val="表格格線5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0">
    <w:name w:val="無清單63"/>
    <w:next w:val="a5"/>
    <w:uiPriority w:val="99"/>
    <w:semiHidden/>
    <w:unhideWhenUsed/>
    <w:rsid w:val="007932B9"/>
  </w:style>
  <w:style w:type="table" w:customStyle="1" w:styleId="612">
    <w:name w:val="表格格線6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5"/>
    <w:uiPriority w:val="99"/>
    <w:semiHidden/>
    <w:unhideWhenUsed/>
    <w:rsid w:val="007932B9"/>
  </w:style>
  <w:style w:type="table" w:customStyle="1" w:styleId="413">
    <w:name w:val="表格格線4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0">
    <w:name w:val="無清單213"/>
    <w:next w:val="a5"/>
    <w:uiPriority w:val="99"/>
    <w:semiHidden/>
    <w:unhideWhenUsed/>
    <w:rsid w:val="007932B9"/>
  </w:style>
  <w:style w:type="table" w:customStyle="1" w:styleId="1711">
    <w:name w:val="表格格線1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表格格線2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格線2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5"/>
    <w:uiPriority w:val="99"/>
    <w:semiHidden/>
    <w:unhideWhenUsed/>
    <w:rsid w:val="007932B9"/>
  </w:style>
  <w:style w:type="table" w:customStyle="1" w:styleId="272">
    <w:name w:val="表格格線2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5"/>
    <w:uiPriority w:val="99"/>
    <w:semiHidden/>
    <w:unhideWhenUsed/>
    <w:rsid w:val="007932B9"/>
  </w:style>
  <w:style w:type="table" w:customStyle="1" w:styleId="282">
    <w:name w:val="表格格線2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5"/>
    <w:uiPriority w:val="99"/>
    <w:semiHidden/>
    <w:unhideWhenUsed/>
    <w:rsid w:val="007932B9"/>
  </w:style>
  <w:style w:type="table" w:customStyle="1" w:styleId="3130">
    <w:name w:val="表格格線3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5"/>
    <w:uiPriority w:val="99"/>
    <w:semiHidden/>
    <w:unhideWhenUsed/>
    <w:rsid w:val="007932B9"/>
  </w:style>
  <w:style w:type="table" w:customStyle="1" w:styleId="3220">
    <w:name w:val="表格格線3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5"/>
    <w:uiPriority w:val="99"/>
    <w:semiHidden/>
    <w:unhideWhenUsed/>
    <w:rsid w:val="007932B9"/>
  </w:style>
  <w:style w:type="table" w:customStyle="1" w:styleId="342">
    <w:name w:val="表格格線3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5"/>
    <w:uiPriority w:val="99"/>
    <w:semiHidden/>
    <w:unhideWhenUsed/>
    <w:rsid w:val="007932B9"/>
  </w:style>
  <w:style w:type="table" w:customStyle="1" w:styleId="392">
    <w:name w:val="表格格線3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5"/>
    <w:uiPriority w:val="99"/>
    <w:semiHidden/>
    <w:unhideWhenUsed/>
    <w:rsid w:val="007932B9"/>
  </w:style>
  <w:style w:type="table" w:customStyle="1" w:styleId="4220">
    <w:name w:val="表格格線4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5"/>
    <w:uiPriority w:val="99"/>
    <w:semiHidden/>
    <w:unhideWhenUsed/>
    <w:rsid w:val="007932B9"/>
  </w:style>
  <w:style w:type="table" w:customStyle="1" w:styleId="442">
    <w:name w:val="表格格線4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
    <w:name w:val="無清單152"/>
    <w:next w:val="a5"/>
    <w:uiPriority w:val="99"/>
    <w:semiHidden/>
    <w:unhideWhenUsed/>
    <w:rsid w:val="007932B9"/>
  </w:style>
  <w:style w:type="table" w:customStyle="1" w:styleId="852">
    <w:name w:val="表格格線8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5"/>
    <w:uiPriority w:val="99"/>
    <w:semiHidden/>
    <w:unhideWhenUsed/>
    <w:rsid w:val="007932B9"/>
  </w:style>
  <w:style w:type="table" w:customStyle="1" w:styleId="196">
    <w:name w:val="表格格線196"/>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0">
    <w:name w:val="無清單45"/>
    <w:next w:val="a5"/>
    <w:uiPriority w:val="99"/>
    <w:semiHidden/>
    <w:unhideWhenUsed/>
    <w:rsid w:val="007932B9"/>
  </w:style>
  <w:style w:type="table" w:customStyle="1" w:styleId="1961">
    <w:name w:val="表格格線196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2"/>
    <w:semiHidden/>
    <w:rsid w:val="007932B9"/>
    <w:pPr>
      <w:widowControl/>
      <w:spacing w:after="160" w:line="240" w:lineRule="exact"/>
    </w:pPr>
    <w:rPr>
      <w:rFonts w:ascii="Tahoma" w:hAnsi="Tahoma" w:cs="Tahoma"/>
      <w:kern w:val="0"/>
      <w:sz w:val="20"/>
      <w:szCs w:val="20"/>
      <w:lang w:eastAsia="en-US"/>
    </w:rPr>
  </w:style>
  <w:style w:type="table" w:customStyle="1" w:styleId="198">
    <w:name w:val="表格格線198"/>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3"/>
    <w:uiPriority w:val="99"/>
    <w:rsid w:val="007932B9"/>
    <w:rPr>
      <w:rFonts w:ascii="Times New Roman" w:eastAsia="新細明體" w:hAnsi="Times New Roman" w:cs="Times New Roman"/>
      <w:sz w:val="20"/>
      <w:szCs w:val="20"/>
    </w:rPr>
  </w:style>
  <w:style w:type="paragraph" w:customStyle="1" w:styleId="afffffff2">
    <w:name w:val="一、"/>
    <w:link w:val="afffffff3"/>
    <w:autoRedefine/>
    <w:qFormat/>
    <w:rsid w:val="008A0208"/>
    <w:pPr>
      <w:spacing w:line="360" w:lineRule="exact"/>
      <w:ind w:leftChars="-1" w:left="534" w:hangingChars="200" w:hanging="536"/>
      <w:jc w:val="both"/>
    </w:pPr>
    <w:rPr>
      <w:rFonts w:ascii="標楷體" w:eastAsia="標楷體" w:hAnsi="標楷體"/>
      <w:sz w:val="28"/>
      <w:szCs w:val="28"/>
    </w:rPr>
  </w:style>
  <w:style w:type="character" w:customStyle="1" w:styleId="afffffff3">
    <w:name w:val="一、 字元"/>
    <w:link w:val="afffffff2"/>
    <w:rsid w:val="008A0208"/>
    <w:rPr>
      <w:rFonts w:ascii="標楷體" w:eastAsia="標楷體" w:hAnsi="標楷體"/>
      <w:sz w:val="28"/>
      <w:szCs w:val="28"/>
    </w:rPr>
  </w:style>
  <w:style w:type="paragraph" w:customStyle="1" w:styleId="0-4">
    <w:name w:val="0-點"/>
    <w:basedOn w:val="a2"/>
    <w:link w:val="0-5"/>
    <w:qFormat/>
    <w:rsid w:val="008A0208"/>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8A0208"/>
    <w:rPr>
      <w:rFonts w:ascii="標楷體" w:eastAsia="標楷體" w:hAnsi="標楷體"/>
      <w:kern w:val="2"/>
      <w:sz w:val="28"/>
      <w:szCs w:val="28"/>
    </w:rPr>
  </w:style>
  <w:style w:type="paragraph" w:customStyle="1" w:styleId="5-1">
    <w:name w:val="5-提案1"/>
    <w:basedOn w:val="a2"/>
    <w:link w:val="5-10"/>
    <w:qFormat/>
    <w:rsid w:val="008A0208"/>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8A0208"/>
    <w:rPr>
      <w:rFonts w:eastAsia="標楷體"/>
      <w:kern w:val="2"/>
      <w:sz w:val="28"/>
      <w:szCs w:val="24"/>
    </w:rPr>
  </w:style>
  <w:style w:type="paragraph" w:customStyle="1" w:styleId="afffffff4">
    <w:name w:val="報討提"/>
    <w:link w:val="afffffff5"/>
    <w:autoRedefine/>
    <w:qFormat/>
    <w:rsid w:val="008A0208"/>
    <w:pPr>
      <w:snapToGrid w:val="0"/>
      <w:spacing w:beforeLines="50" w:before="180" w:line="240" w:lineRule="atLeast"/>
      <w:ind w:leftChars="472" w:left="1133"/>
      <w:jc w:val="both"/>
    </w:pPr>
    <w:rPr>
      <w:rFonts w:ascii="標楷體" w:eastAsia="標楷體" w:hAnsi="標楷體"/>
      <w:b/>
      <w:sz w:val="28"/>
      <w:szCs w:val="28"/>
    </w:rPr>
  </w:style>
  <w:style w:type="character" w:customStyle="1" w:styleId="afffffff5">
    <w:name w:val="報討提 字元"/>
    <w:link w:val="afffffff4"/>
    <w:rsid w:val="008A0208"/>
    <w:rPr>
      <w:rFonts w:ascii="標楷體" w:eastAsia="標楷體" w:hAnsi="標楷體"/>
      <w:b/>
      <w:sz w:val="28"/>
      <w:szCs w:val="28"/>
    </w:rPr>
  </w:style>
  <w:style w:type="paragraph" w:customStyle="1" w:styleId="afffffff6">
    <w:name w:val="提案人："/>
    <w:basedOn w:val="a2"/>
    <w:link w:val="afffffff7"/>
    <w:autoRedefine/>
    <w:qFormat/>
    <w:rsid w:val="008A0208"/>
    <w:pPr>
      <w:snapToGrid w:val="0"/>
      <w:spacing w:line="240" w:lineRule="atLeast"/>
      <w:ind w:leftChars="1859" w:left="4462" w:firstLineChars="6" w:firstLine="17"/>
      <w:jc w:val="both"/>
    </w:pPr>
    <w:rPr>
      <w:rFonts w:eastAsia="標楷體"/>
      <w:sz w:val="28"/>
    </w:rPr>
  </w:style>
  <w:style w:type="character" w:customStyle="1" w:styleId="afffffff7">
    <w:name w:val="提案人： 字元"/>
    <w:link w:val="afffffff6"/>
    <w:rsid w:val="008A0208"/>
    <w:rPr>
      <w:rFonts w:eastAsia="標楷體"/>
      <w:kern w:val="2"/>
      <w:sz w:val="28"/>
      <w:szCs w:val="24"/>
    </w:rPr>
  </w:style>
  <w:style w:type="paragraph" w:customStyle="1" w:styleId="afffffff8">
    <w:name w:val="提案人：內文齊"/>
    <w:link w:val="afffffff9"/>
    <w:autoRedefine/>
    <w:qFormat/>
    <w:rsid w:val="008A0208"/>
    <w:pPr>
      <w:snapToGrid w:val="0"/>
      <w:spacing w:line="240" w:lineRule="atLeast"/>
      <w:ind w:leftChars="1889" w:left="4534" w:firstLine="2"/>
    </w:pPr>
    <w:rPr>
      <w:rFonts w:eastAsia="標楷體"/>
      <w:kern w:val="2"/>
      <w:sz w:val="28"/>
      <w:szCs w:val="24"/>
    </w:rPr>
  </w:style>
  <w:style w:type="character" w:customStyle="1" w:styleId="afffffff9">
    <w:name w:val="提案人：內文齊 字元"/>
    <w:link w:val="afffffff8"/>
    <w:rsid w:val="008A0208"/>
    <w:rPr>
      <w:rFonts w:eastAsia="標楷體"/>
      <w:kern w:val="2"/>
      <w:sz w:val="28"/>
      <w:szCs w:val="24"/>
    </w:rPr>
  </w:style>
  <w:style w:type="paragraph" w:customStyle="1" w:styleId="afffffffa">
    <w:name w:val="(一)"/>
    <w:link w:val="afffffffb"/>
    <w:autoRedefine/>
    <w:qFormat/>
    <w:rsid w:val="008A0208"/>
    <w:pPr>
      <w:tabs>
        <w:tab w:val="left" w:pos="7655"/>
      </w:tabs>
      <w:snapToGrid w:val="0"/>
      <w:spacing w:line="240" w:lineRule="atLeast"/>
      <w:ind w:firstLineChars="202" w:firstLine="566"/>
      <w:contextualSpacing/>
      <w:jc w:val="both"/>
    </w:pPr>
    <w:rPr>
      <w:rFonts w:ascii="標楷體" w:eastAsia="標楷體" w:hAnsi="標楷體"/>
      <w:kern w:val="2"/>
      <w:sz w:val="28"/>
      <w:szCs w:val="28"/>
    </w:rPr>
  </w:style>
  <w:style w:type="character" w:customStyle="1" w:styleId="afffffffb">
    <w:name w:val="(一) 字元"/>
    <w:link w:val="afffffffa"/>
    <w:rsid w:val="008A0208"/>
    <w:rPr>
      <w:rFonts w:ascii="標楷體" w:eastAsia="標楷體" w:hAnsi="標楷體"/>
      <w:kern w:val="2"/>
      <w:sz w:val="28"/>
      <w:szCs w:val="28"/>
    </w:rPr>
  </w:style>
  <w:style w:type="character" w:styleId="afffffffc">
    <w:name w:val="Subtle Emphasis"/>
    <w:uiPriority w:val="19"/>
    <w:qFormat/>
    <w:rsid w:val="008A0208"/>
    <w:rPr>
      <w:i/>
      <w:iCs/>
      <w:color w:val="808080"/>
    </w:rPr>
  </w:style>
  <w:style w:type="paragraph" w:customStyle="1" w:styleId="1c">
    <w:name w:val="分列提案理由1"/>
    <w:basedOn w:val="a2"/>
    <w:qFormat/>
    <w:rsid w:val="008A0208"/>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d">
    <w:name w:val="分列提案理由（總）"/>
    <w:basedOn w:val="a2"/>
    <w:qFormat/>
    <w:rsid w:val="008A0208"/>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6">
    <w:name w:val="字元 字元2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11a">
    <w:name w:val="字元 字元11"/>
    <w:basedOn w:val="a2"/>
    <w:semiHidden/>
    <w:rsid w:val="00E955F2"/>
    <w:pPr>
      <w:widowControl/>
      <w:spacing w:after="160" w:line="240" w:lineRule="exact"/>
    </w:pPr>
    <w:rPr>
      <w:rFonts w:ascii="Verdana" w:eastAsia="Times New Roman" w:hAnsi="Verdana" w:cs="Mangal"/>
      <w:sz w:val="20"/>
      <w:lang w:eastAsia="en-US" w:bidi="hi-IN"/>
    </w:rPr>
  </w:style>
  <w:style w:type="paragraph" w:customStyle="1" w:styleId="1d">
    <w:name w:val="字元 字元 字元1"/>
    <w:basedOn w:val="a2"/>
    <w:semiHidden/>
    <w:rsid w:val="00E955F2"/>
    <w:pPr>
      <w:widowControl/>
      <w:spacing w:after="160" w:line="240" w:lineRule="exact"/>
    </w:pPr>
    <w:rPr>
      <w:rFonts w:ascii="Tahoma" w:hAnsi="Tahoma" w:cs="Tahoma"/>
      <w:kern w:val="0"/>
      <w:sz w:val="20"/>
      <w:szCs w:val="20"/>
      <w:lang w:eastAsia="en-US"/>
    </w:rPr>
  </w:style>
  <w:style w:type="character" w:customStyle="1" w:styleId="614">
    <w:name w:val="字元6 字元1"/>
    <w:semiHidden/>
    <w:rsid w:val="00E955F2"/>
    <w:rPr>
      <w:rFonts w:ascii="Cambria" w:eastAsia="新細明體" w:hAnsi="Cambria" w:cs="Times New Roman"/>
      <w:b/>
      <w:bCs/>
      <w:sz w:val="48"/>
      <w:szCs w:val="48"/>
    </w:rPr>
  </w:style>
  <w:style w:type="character" w:customStyle="1" w:styleId="414">
    <w:name w:val="字元4 字元1"/>
    <w:rsid w:val="00E955F2"/>
    <w:rPr>
      <w:kern w:val="2"/>
    </w:rPr>
  </w:style>
  <w:style w:type="character" w:customStyle="1" w:styleId="714">
    <w:name w:val="字元7 字元1"/>
    <w:rsid w:val="00E955F2"/>
    <w:rPr>
      <w:rFonts w:ascii="Cambria" w:eastAsia="新細明體" w:hAnsi="Cambria" w:cs="Times New Roman"/>
      <w:b/>
      <w:bCs/>
      <w:kern w:val="52"/>
      <w:sz w:val="52"/>
      <w:szCs w:val="52"/>
    </w:rPr>
  </w:style>
  <w:style w:type="character" w:customStyle="1" w:styleId="514">
    <w:name w:val="字元5 字元1"/>
    <w:semiHidden/>
    <w:rsid w:val="00E955F2"/>
    <w:rPr>
      <w:rFonts w:ascii="Cambria" w:eastAsia="新細明體" w:hAnsi="Cambria" w:cs="Times New Roman"/>
      <w:b/>
      <w:bCs/>
      <w:kern w:val="2"/>
      <w:sz w:val="36"/>
      <w:szCs w:val="36"/>
    </w:rPr>
  </w:style>
  <w:style w:type="character" w:customStyle="1" w:styleId="1414">
    <w:name w:val="字元141"/>
    <w:rsid w:val="00E955F2"/>
    <w:rPr>
      <w:rFonts w:ascii="Times New Roman" w:eastAsia="標楷體" w:hAnsi="Times New Roman" w:cs="Times New Roman"/>
      <w:sz w:val="20"/>
      <w:szCs w:val="20"/>
    </w:rPr>
  </w:style>
  <w:style w:type="character" w:customStyle="1" w:styleId="1312">
    <w:name w:val="字元131"/>
    <w:rsid w:val="00E955F2"/>
    <w:rPr>
      <w:rFonts w:ascii="Times New Roman" w:eastAsia="標楷體" w:hAnsi="Times New Roman" w:cs="Times New Roman"/>
      <w:sz w:val="20"/>
      <w:szCs w:val="20"/>
    </w:rPr>
  </w:style>
  <w:style w:type="character" w:customStyle="1" w:styleId="1212">
    <w:name w:val="字元121"/>
    <w:rsid w:val="00E955F2"/>
    <w:rPr>
      <w:rFonts w:ascii="Times New Roman" w:eastAsia="標楷體" w:hAnsi="Times New Roman" w:cs="Times New Roman"/>
      <w:sz w:val="28"/>
    </w:rPr>
  </w:style>
  <w:style w:type="character" w:customStyle="1" w:styleId="1115">
    <w:name w:val="字元111"/>
    <w:semiHidden/>
    <w:rsid w:val="00E955F2"/>
    <w:rPr>
      <w:rFonts w:ascii="Times New Roman" w:eastAsia="標楷體" w:hAnsi="Times New Roman" w:cs="Times New Roman"/>
      <w:b/>
      <w:bCs/>
      <w:sz w:val="28"/>
    </w:rPr>
  </w:style>
  <w:style w:type="character" w:customStyle="1" w:styleId="1012">
    <w:name w:val="字元101"/>
    <w:rsid w:val="00E955F2"/>
    <w:rPr>
      <w:rFonts w:ascii="Cambria" w:eastAsia="新細明體" w:hAnsi="Cambria" w:cs="Times New Roman"/>
      <w:sz w:val="18"/>
      <w:szCs w:val="18"/>
    </w:rPr>
  </w:style>
  <w:style w:type="character" w:customStyle="1" w:styleId="2113">
    <w:name w:val="字元211"/>
    <w:rsid w:val="00E955F2"/>
    <w:rPr>
      <w:rFonts w:ascii="新細明體" w:hAnsi="Times New Roman"/>
      <w:kern w:val="2"/>
      <w:sz w:val="18"/>
      <w:szCs w:val="18"/>
    </w:rPr>
  </w:style>
  <w:style w:type="character" w:customStyle="1" w:styleId="1712">
    <w:name w:val="字元171"/>
    <w:rsid w:val="00E955F2"/>
    <w:rPr>
      <w:rFonts w:ascii="Cambria" w:eastAsia="新細明體" w:hAnsi="Cambria" w:cs="Times New Roman"/>
      <w:b/>
      <w:bCs/>
      <w:kern w:val="52"/>
      <w:sz w:val="52"/>
      <w:szCs w:val="52"/>
    </w:rPr>
  </w:style>
  <w:style w:type="character" w:customStyle="1" w:styleId="1612">
    <w:name w:val="字元161"/>
    <w:rsid w:val="00E955F2"/>
    <w:rPr>
      <w:rFonts w:ascii="Cambria" w:eastAsia="新細明體" w:hAnsi="Cambria" w:cs="Times New Roman"/>
      <w:b/>
      <w:bCs/>
      <w:kern w:val="2"/>
      <w:sz w:val="48"/>
      <w:szCs w:val="48"/>
    </w:rPr>
  </w:style>
  <w:style w:type="character" w:customStyle="1" w:styleId="1512">
    <w:name w:val="字元151"/>
    <w:rsid w:val="00E955F2"/>
    <w:rPr>
      <w:rFonts w:ascii="Cambria" w:eastAsia="新細明體" w:hAnsi="Cambria" w:cs="Times New Roman"/>
      <w:b/>
      <w:bCs/>
      <w:kern w:val="2"/>
      <w:sz w:val="36"/>
      <w:szCs w:val="36"/>
    </w:rPr>
  </w:style>
  <w:style w:type="character" w:customStyle="1" w:styleId="1911">
    <w:name w:val="字元191"/>
    <w:rsid w:val="00E955F2"/>
    <w:rPr>
      <w:rFonts w:ascii="華康楷書體W5" w:eastAsia="標楷體" w:hAnsi="Times New Roman"/>
      <w:bCs/>
      <w:spacing w:val="20"/>
      <w:kern w:val="2"/>
      <w:sz w:val="28"/>
    </w:rPr>
  </w:style>
  <w:style w:type="paragraph" w:customStyle="1" w:styleId="217">
    <w:name w:val="字元 字元2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8">
    <w:name w:val="字元 字元2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b">
    <w:name w:val="字元 字元2 字元 字元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c">
    <w:name w:val="字元 字元2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character" w:customStyle="1" w:styleId="90">
    <w:name w:val="標題 9 字元"/>
    <w:basedOn w:val="a3"/>
    <w:link w:val="9"/>
    <w:uiPriority w:val="9"/>
    <w:semiHidden/>
    <w:rsid w:val="000765BE"/>
    <w:rPr>
      <w:rFonts w:asciiTheme="majorHAnsi" w:eastAsiaTheme="majorEastAsia" w:hAnsiTheme="majorHAnsi" w:cstheme="majorBidi"/>
      <w:kern w:val="2"/>
      <w:sz w:val="36"/>
      <w:szCs w:val="36"/>
    </w:rPr>
  </w:style>
  <w:style w:type="paragraph" w:customStyle="1" w:styleId="01">
    <w:name w:val="01待審"/>
    <w:basedOn w:val="a2"/>
    <w:link w:val="010"/>
    <w:qFormat/>
    <w:rsid w:val="00B3339E"/>
    <w:pPr>
      <w:spacing w:line="360" w:lineRule="exact"/>
      <w:jc w:val="both"/>
    </w:pPr>
    <w:rPr>
      <w:rFonts w:ascii="標楷體" w:eastAsia="標楷體" w:hAnsiTheme="minorHAnsi" w:cstheme="minorBidi"/>
      <w:sz w:val="28"/>
      <w:szCs w:val="22"/>
    </w:rPr>
  </w:style>
  <w:style w:type="character" w:customStyle="1" w:styleId="010">
    <w:name w:val="01待審 字元"/>
    <w:basedOn w:val="a3"/>
    <w:link w:val="01"/>
    <w:rsid w:val="00B3339E"/>
    <w:rPr>
      <w:rFonts w:ascii="標楷體" w:eastAsia="標楷體" w:hAnsiTheme="minorHAnsi" w:cstheme="minorBidi"/>
      <w:kern w:val="2"/>
      <w:sz w:val="28"/>
      <w:szCs w:val="22"/>
    </w:rPr>
  </w:style>
  <w:style w:type="table" w:customStyle="1" w:styleId="2030">
    <w:name w:val="表格格線203"/>
    <w:basedOn w:val="a4"/>
    <w:next w:val="a8"/>
    <w:uiPriority w:val="59"/>
    <w:rsid w:val="00484DD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0">
    <w:name w:val="表格格線204"/>
    <w:basedOn w:val="a4"/>
    <w:next w:val="a8"/>
    <w:uiPriority w:val="59"/>
    <w:rsid w:val="00484DD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
    <w:name w:val="樣式231"/>
    <w:rsid w:val="00E7497A"/>
  </w:style>
  <w:style w:type="numbering" w:customStyle="1" w:styleId="1313">
    <w:name w:val="樣式131"/>
    <w:rsid w:val="00E7497A"/>
  </w:style>
  <w:style w:type="numbering" w:customStyle="1" w:styleId="3311">
    <w:name w:val="樣式331"/>
    <w:basedOn w:val="a5"/>
    <w:rsid w:val="00E7497A"/>
  </w:style>
  <w:style w:type="numbering" w:customStyle="1" w:styleId="11211">
    <w:name w:val="樣式1121"/>
    <w:rsid w:val="00E7497A"/>
  </w:style>
  <w:style w:type="numbering" w:customStyle="1" w:styleId="21210">
    <w:name w:val="樣式2121"/>
    <w:rsid w:val="00E7497A"/>
  </w:style>
  <w:style w:type="numbering" w:customStyle="1" w:styleId="31210">
    <w:name w:val="樣式3121"/>
    <w:basedOn w:val="a5"/>
    <w:rsid w:val="00E7497A"/>
  </w:style>
  <w:style w:type="numbering" w:customStyle="1" w:styleId="11111121">
    <w:name w:val="1 / 1.1 / 1.1.121"/>
    <w:basedOn w:val="a5"/>
    <w:next w:val="111111"/>
    <w:rsid w:val="00E7497A"/>
  </w:style>
  <w:style w:type="paragraph" w:customStyle="1" w:styleId="4-2">
    <w:name w:val="4-附帶2"/>
    <w:basedOn w:val="a2"/>
    <w:link w:val="4-20"/>
    <w:qFormat/>
    <w:rsid w:val="005A728D"/>
    <w:pPr>
      <w:widowControl/>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5A728D"/>
    <w:rPr>
      <w:rFonts w:ascii="標楷體" w:eastAsia="標楷體" w:hAnsi="標楷體"/>
      <w:kern w:val="2"/>
      <w:sz w:val="28"/>
      <w:szCs w:val="28"/>
    </w:rPr>
  </w:style>
  <w:style w:type="paragraph" w:customStyle="1" w:styleId="afffffffe">
    <w:name w:val="一、內文齊"/>
    <w:link w:val="affffffff"/>
    <w:autoRedefine/>
    <w:qFormat/>
    <w:rsid w:val="005A728D"/>
    <w:pPr>
      <w:snapToGrid w:val="0"/>
      <w:spacing w:line="360" w:lineRule="atLeast"/>
      <w:ind w:firstLineChars="200" w:firstLine="560"/>
      <w:jc w:val="both"/>
    </w:pPr>
    <w:rPr>
      <w:rFonts w:ascii="Calibri" w:eastAsia="標楷體" w:hAnsi="Calibri"/>
      <w:sz w:val="28"/>
      <w:szCs w:val="24"/>
    </w:rPr>
  </w:style>
  <w:style w:type="character" w:customStyle="1" w:styleId="affffffff">
    <w:name w:val="一、內文齊 字元"/>
    <w:link w:val="afffffffe"/>
    <w:rsid w:val="005A728D"/>
    <w:rPr>
      <w:rFonts w:ascii="Calibri" w:eastAsia="標楷體" w:hAnsi="Calibri"/>
      <w:sz w:val="28"/>
      <w:szCs w:val="24"/>
    </w:rPr>
  </w:style>
  <w:style w:type="table" w:customStyle="1" w:styleId="2050">
    <w:name w:val="表格格線205"/>
    <w:basedOn w:val="a4"/>
    <w:next w:val="a8"/>
    <w:uiPriority w:val="39"/>
    <w:rsid w:val="00A10D8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0">
    <w:name w:val="無清單46"/>
    <w:next w:val="a5"/>
    <w:uiPriority w:val="99"/>
    <w:semiHidden/>
    <w:unhideWhenUsed/>
    <w:rsid w:val="00EB3514"/>
  </w:style>
  <w:style w:type="paragraph" w:styleId="affffffff0">
    <w:name w:val="No Spacing"/>
    <w:uiPriority w:val="1"/>
    <w:qFormat/>
    <w:rsid w:val="00EB3514"/>
    <w:pPr>
      <w:widowControl w:val="0"/>
    </w:pPr>
    <w:rPr>
      <w:rFonts w:ascii="Calibri" w:hAnsi="Calibri"/>
      <w:kern w:val="2"/>
      <w:sz w:val="24"/>
      <w:szCs w:val="22"/>
    </w:rPr>
  </w:style>
  <w:style w:type="numbering" w:customStyle="1" w:styleId="470">
    <w:name w:val="無清單47"/>
    <w:next w:val="a5"/>
    <w:uiPriority w:val="99"/>
    <w:semiHidden/>
    <w:unhideWhenUsed/>
    <w:rsid w:val="00EB3514"/>
  </w:style>
  <w:style w:type="paragraph" w:customStyle="1" w:styleId="msonormal0">
    <w:name w:val="msonormal"/>
    <w:basedOn w:val="a2"/>
    <w:rsid w:val="00EC13B7"/>
    <w:pPr>
      <w:widowControl/>
      <w:spacing w:before="100" w:beforeAutospacing="1" w:after="100" w:afterAutospacing="1"/>
    </w:pPr>
    <w:rPr>
      <w:rFonts w:ascii="新細明體" w:hAnsi="新細明體" w:cs="新細明體"/>
      <w:kern w:val="0"/>
    </w:rPr>
  </w:style>
  <w:style w:type="paragraph" w:customStyle="1" w:styleId="233">
    <w:name w:val="字元 字元2 字元 字元 字元 字元 字元3"/>
    <w:basedOn w:val="a2"/>
    <w:semiHidden/>
    <w:rsid w:val="00421BB5"/>
    <w:pPr>
      <w:widowControl/>
      <w:spacing w:after="160" w:line="240" w:lineRule="exact"/>
    </w:pPr>
    <w:rPr>
      <w:rFonts w:ascii="Verdana" w:eastAsia="Times New Roman" w:hAnsi="Verdana"/>
      <w:kern w:val="0"/>
      <w:sz w:val="20"/>
      <w:szCs w:val="20"/>
      <w:lang w:eastAsia="en-US"/>
    </w:rPr>
  </w:style>
  <w:style w:type="paragraph" w:customStyle="1" w:styleId="234">
    <w:name w:val="字元 字元2 字元 字元 字元 字元 字元 字元 字元 字元3"/>
    <w:basedOn w:val="a2"/>
    <w:semiHidden/>
    <w:rsid w:val="00421BB5"/>
    <w:pPr>
      <w:widowControl/>
      <w:spacing w:after="160" w:line="240" w:lineRule="exact"/>
    </w:pPr>
    <w:rPr>
      <w:rFonts w:ascii="Verdana" w:eastAsia="Times New Roman" w:hAnsi="Verdana"/>
      <w:kern w:val="0"/>
      <w:sz w:val="20"/>
      <w:szCs w:val="20"/>
      <w:lang w:eastAsia="en-US"/>
    </w:rPr>
  </w:style>
  <w:style w:type="paragraph" w:customStyle="1" w:styleId="3f5">
    <w:name w:val="字元 字元 字元3"/>
    <w:basedOn w:val="a2"/>
    <w:semiHidden/>
    <w:rsid w:val="00421BB5"/>
    <w:pPr>
      <w:widowControl/>
      <w:spacing w:after="160" w:line="240" w:lineRule="exact"/>
    </w:pPr>
    <w:rPr>
      <w:rFonts w:ascii="Verdana" w:eastAsia="Times New Roman" w:hAnsi="Verdana" w:cs="Mangal"/>
      <w:sz w:val="20"/>
      <w:lang w:eastAsia="en-US" w:bidi="hi-IN"/>
    </w:rPr>
  </w:style>
  <w:style w:type="paragraph" w:customStyle="1" w:styleId="affffffff1">
    <w:name w:val="時　　間：凸五齊"/>
    <w:autoRedefine/>
    <w:qFormat/>
    <w:rsid w:val="00421BB5"/>
    <w:pPr>
      <w:snapToGrid w:val="0"/>
      <w:spacing w:line="240" w:lineRule="atLeast"/>
      <w:jc w:val="both"/>
    </w:pPr>
    <w:rPr>
      <w:rFonts w:ascii="標楷體" w:eastAsia="標楷體"/>
      <w:color w:val="000000"/>
      <w:kern w:val="2"/>
      <w:sz w:val="28"/>
      <w:szCs w:val="28"/>
    </w:rPr>
  </w:style>
  <w:style w:type="numbering" w:customStyle="1" w:styleId="1111111111">
    <w:name w:val="無清單1111111111"/>
    <w:next w:val="a5"/>
    <w:uiPriority w:val="99"/>
    <w:semiHidden/>
    <w:unhideWhenUsed/>
    <w:rsid w:val="00421BB5"/>
  </w:style>
  <w:style w:type="paragraph" w:customStyle="1" w:styleId="Textbody">
    <w:name w:val="Text body"/>
    <w:basedOn w:val="a2"/>
    <w:rsid w:val="00421BB5"/>
    <w:pPr>
      <w:suppressAutoHyphens/>
      <w:autoSpaceDN w:val="0"/>
      <w:spacing w:after="140" w:line="288" w:lineRule="auto"/>
      <w:textAlignment w:val="baseline"/>
    </w:pPr>
    <w:rPr>
      <w:rFonts w:eastAsia="新細明體, PMingLiU"/>
      <w:kern w:val="3"/>
      <w:szCs w:val="20"/>
    </w:rPr>
  </w:style>
  <w:style w:type="paragraph" w:customStyle="1" w:styleId="affffffff2">
    <w:name w:val="開會時間"/>
    <w:rsid w:val="00421BB5"/>
    <w:pPr>
      <w:widowControl w:val="0"/>
      <w:suppressAutoHyphens/>
      <w:overflowPunct w:val="0"/>
      <w:autoSpaceDN w:val="0"/>
      <w:spacing w:line="600" w:lineRule="exact"/>
      <w:textAlignment w:val="baseline"/>
    </w:pPr>
    <w:rPr>
      <w:rFonts w:ascii="標楷體" w:eastAsia="標楷體" w:hAnsi="標楷體" w:cs="標楷體"/>
      <w:kern w:val="3"/>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Outline List 2"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790E5D"/>
    <w:pPr>
      <w:widowControl w:val="0"/>
    </w:pPr>
    <w:rPr>
      <w:kern w:val="2"/>
      <w:sz w:val="24"/>
      <w:szCs w:val="24"/>
    </w:rPr>
  </w:style>
  <w:style w:type="paragraph" w:styleId="1">
    <w:name w:val="heading 1"/>
    <w:aliases w:val=" 字元9"/>
    <w:basedOn w:val="a2"/>
    <w:next w:val="a2"/>
    <w:link w:val="10"/>
    <w:uiPriority w:val="9"/>
    <w:qFormat/>
    <w:rsid w:val="008D1A66"/>
    <w:pPr>
      <w:keepNext/>
      <w:spacing w:line="500" w:lineRule="exact"/>
      <w:jc w:val="both"/>
      <w:outlineLvl w:val="0"/>
    </w:pPr>
    <w:rPr>
      <w:rFonts w:ascii="Arial" w:eastAsia="標楷體" w:hAnsi="Arial"/>
      <w:b/>
      <w:bCs/>
      <w:kern w:val="52"/>
      <w:sz w:val="28"/>
      <w:szCs w:val="52"/>
    </w:rPr>
  </w:style>
  <w:style w:type="paragraph" w:styleId="2">
    <w:name w:val="heading 2"/>
    <w:aliases w:val=" 字元8,標題 2-16字,（二）標題 2"/>
    <w:basedOn w:val="a2"/>
    <w:next w:val="a2"/>
    <w:link w:val="20"/>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
    <w:name w:val="heading 3"/>
    <w:aliases w:val=" 字元"/>
    <w:basedOn w:val="a2"/>
    <w:next w:val="a2"/>
    <w:link w:val="30"/>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paragraph" w:styleId="9">
    <w:name w:val="heading 9"/>
    <w:basedOn w:val="a2"/>
    <w:next w:val="a2"/>
    <w:link w:val="90"/>
    <w:uiPriority w:val="9"/>
    <w:semiHidden/>
    <w:unhideWhenUsed/>
    <w:qFormat/>
    <w:rsid w:val="000765BE"/>
    <w:pPr>
      <w:keepNext/>
      <w:spacing w:line="720" w:lineRule="auto"/>
      <w:ind w:leftChars="400" w:left="400"/>
      <w:outlineLvl w:val="8"/>
    </w:pPr>
    <w:rPr>
      <w:rFonts w:asciiTheme="majorHAnsi" w:eastAsiaTheme="majorEastAsia" w:hAnsiTheme="majorHAnsi" w:cstheme="majorBidi"/>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3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rsid w:val="00926BC2"/>
    <w:pPr>
      <w:spacing w:line="500" w:lineRule="exact"/>
      <w:ind w:left="1400" w:hangingChars="500" w:hanging="1400"/>
    </w:pPr>
    <w:rPr>
      <w:rFonts w:eastAsia="標楷體"/>
      <w:sz w:val="28"/>
      <w:szCs w:val="20"/>
    </w:rPr>
  </w:style>
  <w:style w:type="paragraph" w:styleId="ab">
    <w:name w:val="Body Text"/>
    <w:basedOn w:val="a2"/>
    <w:link w:val="ac"/>
    <w:rsid w:val="00926BC2"/>
    <w:pPr>
      <w:spacing w:line="440" w:lineRule="exact"/>
    </w:pPr>
    <w:rPr>
      <w:rFonts w:ascii="華康楷書體W5" w:eastAsia="標楷體"/>
      <w:bCs/>
      <w:spacing w:val="20"/>
      <w:sz w:val="28"/>
      <w:szCs w:val="20"/>
    </w:rPr>
  </w:style>
  <w:style w:type="paragraph" w:styleId="21">
    <w:name w:val="Body Text Indent 2"/>
    <w:basedOn w:val="a2"/>
    <w:link w:val="22"/>
    <w:uiPriority w:val="99"/>
    <w:rsid w:val="00926BC2"/>
    <w:pPr>
      <w:spacing w:line="440" w:lineRule="exact"/>
      <w:ind w:left="1440"/>
    </w:pPr>
    <w:rPr>
      <w:rFonts w:ascii="華康楷書體W5" w:eastAsia="標楷體"/>
      <w:bCs/>
      <w:spacing w:val="20"/>
      <w:sz w:val="32"/>
      <w:szCs w:val="20"/>
    </w:rPr>
  </w:style>
  <w:style w:type="paragraph" w:styleId="24">
    <w:name w:val="Body Text 2"/>
    <w:basedOn w:val="a2"/>
    <w:link w:val="25"/>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1"/>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1">
    <w:name w:val="Body Text Indent 3"/>
    <w:basedOn w:val="a2"/>
    <w:link w:val="32"/>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uiPriority w:val="99"/>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4">
    <w:name w:val="Body Text 3"/>
    <w:basedOn w:val="a2"/>
    <w:link w:val="35"/>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2">
    <w:name w:val="標題1"/>
    <w:basedOn w:val="a2"/>
    <w:rsid w:val="00EC0143"/>
    <w:pPr>
      <w:spacing w:line="440" w:lineRule="exact"/>
    </w:pPr>
    <w:rPr>
      <w:rFonts w:ascii="標楷體" w:eastAsia="標楷體" w:hAnsi="標楷體" w:cs="新細明體"/>
      <w:b/>
      <w:sz w:val="28"/>
      <w:szCs w:val="20"/>
    </w:rPr>
  </w:style>
  <w:style w:type="paragraph" w:customStyle="1" w:styleId="26">
    <w:name w:val="標題2"/>
    <w:basedOn w:val="a2"/>
    <w:rsid w:val="00A77B6F"/>
    <w:pPr>
      <w:spacing w:line="500" w:lineRule="exact"/>
      <w:ind w:leftChars="250" w:left="600"/>
    </w:pPr>
    <w:rPr>
      <w:rFonts w:ascii="標楷體" w:eastAsia="標楷體" w:hAnsi="標楷體"/>
      <w:sz w:val="28"/>
      <w:szCs w:val="28"/>
    </w:rPr>
  </w:style>
  <w:style w:type="paragraph" w:customStyle="1" w:styleId="36">
    <w:name w:val="標題3"/>
    <w:basedOn w:val="a2"/>
    <w:link w:val="37"/>
    <w:rsid w:val="00A77B6F"/>
    <w:pPr>
      <w:spacing w:line="500" w:lineRule="exact"/>
      <w:ind w:leftChars="400" w:left="960"/>
    </w:pPr>
    <w:rPr>
      <w:rFonts w:ascii="標楷體" w:eastAsia="標楷體" w:hAnsi="標楷體" w:cs="細明體"/>
      <w:sz w:val="28"/>
      <w:szCs w:val="28"/>
    </w:rPr>
  </w:style>
  <w:style w:type="character" w:customStyle="1" w:styleId="37">
    <w:name w:val="標題3 字元"/>
    <w:link w:val="36"/>
    <w:rsid w:val="00A77B6F"/>
    <w:rPr>
      <w:rFonts w:ascii="標楷體" w:eastAsia="標楷體" w:hAnsi="標楷體" w:cs="細明體"/>
      <w:kern w:val="2"/>
      <w:sz w:val="28"/>
      <w:szCs w:val="28"/>
      <w:lang w:val="en-US" w:eastAsia="zh-TW" w:bidi="ar-SA"/>
    </w:rPr>
  </w:style>
  <w:style w:type="paragraph" w:styleId="14">
    <w:name w:val="toc 1"/>
    <w:basedOn w:val="a2"/>
    <w:next w:val="a2"/>
    <w:link w:val="15"/>
    <w:autoRedefine/>
    <w:uiPriority w:val="39"/>
    <w:qFormat/>
    <w:rsid w:val="004F1153"/>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color w:val="000000" w:themeColor="text1"/>
      <w:sz w:val="28"/>
      <w:szCs w:val="28"/>
    </w:rPr>
  </w:style>
  <w:style w:type="paragraph" w:styleId="27">
    <w:name w:val="toc 2"/>
    <w:basedOn w:val="a2"/>
    <w:next w:val="a2"/>
    <w:autoRedefine/>
    <w:uiPriority w:val="39"/>
    <w:qFormat/>
    <w:rsid w:val="0075245C"/>
    <w:pPr>
      <w:tabs>
        <w:tab w:val="right" w:leader="middleDot" w:pos="8789"/>
      </w:tabs>
      <w:adjustRightInd w:val="0"/>
      <w:snapToGrid w:val="0"/>
      <w:spacing w:beforeLines="20" w:before="72" w:afterLines="20" w:after="72" w:line="500" w:lineRule="exact"/>
      <w:ind w:leftChars="18" w:left="323" w:rightChars="-139" w:right="-334" w:hangingChars="100" w:hanging="280"/>
      <w:jc w:val="both"/>
    </w:pPr>
    <w:rPr>
      <w:rFonts w:ascii="標楷體" w:eastAsia="標楷體" w:hAnsi="標楷體"/>
      <w:bCs/>
      <w:iCs/>
      <w:noProof/>
      <w:sz w:val="28"/>
      <w:szCs w:val="28"/>
    </w:rPr>
  </w:style>
  <w:style w:type="paragraph" w:styleId="38">
    <w:name w:val="toc 3"/>
    <w:basedOn w:val="a2"/>
    <w:next w:val="a2"/>
    <w:autoRedefine/>
    <w:uiPriority w:val="39"/>
    <w:qFormat/>
    <w:rsid w:val="0075245C"/>
    <w:pPr>
      <w:tabs>
        <w:tab w:val="right" w:leader="middleDot" w:pos="8789"/>
      </w:tabs>
      <w:adjustRightInd w:val="0"/>
      <w:snapToGrid w:val="0"/>
      <w:spacing w:beforeLines="20" w:before="72" w:afterLines="20" w:after="72" w:line="500" w:lineRule="exact"/>
      <w:ind w:leftChars="164" w:left="853" w:rightChars="-150" w:right="-360" w:hangingChars="164" w:hanging="459"/>
      <w:jc w:val="distribute"/>
    </w:pPr>
    <w:rPr>
      <w:rFonts w:ascii="標楷體" w:eastAsia="標楷體" w:hAnsi="標楷體"/>
      <w:bCs/>
      <w:noProof/>
      <w:color w:val="000000" w:themeColor="text1"/>
      <w:spacing w:val="-10"/>
      <w:sz w:val="28"/>
      <w:szCs w:val="28"/>
    </w:rPr>
  </w:style>
  <w:style w:type="numbering" w:customStyle="1" w:styleId="28">
    <w:name w:val="樣式2"/>
    <w:rsid w:val="00B76C17"/>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6">
    <w:name w:val="樣式1"/>
    <w:rsid w:val="00E65FA0"/>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0">
    <w:name w:val="標題 3 字元"/>
    <w:aliases w:val=" 字元 字元"/>
    <w:link w:val="3"/>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9">
    <w:name w:val="標題3 字元 字元"/>
    <w:basedOn w:val="a2"/>
    <w:link w:val="3a"/>
    <w:rsid w:val="0002038F"/>
    <w:pPr>
      <w:spacing w:line="500" w:lineRule="exact"/>
      <w:ind w:leftChars="400" w:left="960"/>
    </w:pPr>
    <w:rPr>
      <w:rFonts w:ascii="標楷體" w:eastAsia="標楷體" w:hAnsi="標楷體" w:cs="細明體"/>
      <w:sz w:val="28"/>
      <w:szCs w:val="28"/>
    </w:rPr>
  </w:style>
  <w:style w:type="character" w:customStyle="1" w:styleId="3a">
    <w:name w:val="標題3 字元 字元 字元"/>
    <w:link w:val="39"/>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b">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c">
    <w:name w:val="樣式3"/>
    <w:basedOn w:val="a5"/>
    <w:rsid w:val="00885908"/>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0">
    <w:name w:val="標題 1 字元"/>
    <w:aliases w:val=" 字元9 字元"/>
    <w:link w:val="1"/>
    <w:uiPriority w:val="9"/>
    <w:rsid w:val="00E41AEC"/>
    <w:rPr>
      <w:rFonts w:ascii="Arial" w:eastAsia="標楷體" w:hAnsi="Arial"/>
      <w:b/>
      <w:bCs/>
      <w:kern w:val="52"/>
      <w:sz w:val="28"/>
      <w:szCs w:val="52"/>
      <w:lang w:val="en-US" w:eastAsia="zh-TW" w:bidi="ar-SA"/>
    </w:rPr>
  </w:style>
  <w:style w:type="character" w:customStyle="1" w:styleId="20">
    <w:name w:val="標題 2 字元"/>
    <w:aliases w:val=" 字元8 字元,標題 2-16字 字元,（二）標題 2 字元"/>
    <w:link w:val="2"/>
    <w:uiPriority w:val="9"/>
    <w:rsid w:val="00E41AEC"/>
    <w:rPr>
      <w:rFonts w:ascii="Arial" w:eastAsia="標楷體" w:hAnsi="Arial"/>
      <w:bCs/>
      <w:kern w:val="2"/>
      <w:sz w:val="28"/>
      <w:szCs w:val="48"/>
      <w:lang w:val="en-US" w:eastAsia="zh-TW" w:bidi="ar-SA"/>
    </w:rPr>
  </w:style>
  <w:style w:type="character" w:customStyle="1" w:styleId="ac">
    <w:name w:val="本文 字元"/>
    <w:link w:val="ab"/>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1">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1">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0">
    <w:name w:val="樣式11"/>
    <w:rsid w:val="00E41AEC"/>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1">
    <w:name w:val="無清單11"/>
    <w:next w:val="a5"/>
    <w:uiPriority w:val="99"/>
    <w:semiHidden/>
    <w:unhideWhenUsed/>
    <w:rsid w:val="00D95314"/>
  </w:style>
  <w:style w:type="paragraph" w:customStyle="1" w:styleId="-4">
    <w:name w:val="審議概況-標題二 字元 字元 字元"/>
    <w:basedOn w:val="2"/>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3">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uiPriority w:val="99"/>
    <w:semiHidden/>
    <w:unhideWhenUsed/>
    <w:rsid w:val="00D95314"/>
  </w:style>
  <w:style w:type="numbering" w:customStyle="1" w:styleId="1111">
    <w:name w:val="無清單1111"/>
    <w:next w:val="a5"/>
    <w:semiHidden/>
    <w:unhideWhenUsed/>
    <w:rsid w:val="00D95314"/>
  </w:style>
  <w:style w:type="table" w:customStyle="1" w:styleId="114">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2">
    <w:name w:val="本文縮排 2 字元"/>
    <w:link w:val="21"/>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1">
    <w:name w:val="樣式21"/>
    <w:rsid w:val="00D95314"/>
  </w:style>
  <w:style w:type="numbering" w:customStyle="1" w:styleId="310">
    <w:name w:val="樣式31"/>
    <w:basedOn w:val="a5"/>
    <w:rsid w:val="00D95314"/>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4"/>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5">
    <w:name w:val="目錄 1 字元"/>
    <w:link w:val="14"/>
    <w:uiPriority w:val="39"/>
    <w:rsid w:val="004F1153"/>
    <w:rPr>
      <w:rFonts w:ascii="標楷體" w:eastAsia="標楷體" w:hAnsi="標楷體"/>
      <w:b/>
      <w:noProof/>
      <w:color w:val="000000" w:themeColor="text1"/>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3">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5">
    <w:name w:val="本文 3 字元"/>
    <w:link w:val="34"/>
    <w:rsid w:val="00CA0DDD"/>
    <w:rPr>
      <w:rFonts w:ascii="標楷體" w:eastAsia="標楷體" w:hAnsi="標楷體"/>
      <w:bCs/>
      <w:spacing w:val="-2"/>
      <w:kern w:val="2"/>
      <w:sz w:val="32"/>
      <w:szCs w:val="32"/>
    </w:rPr>
  </w:style>
  <w:style w:type="paragraph" w:customStyle="1" w:styleId="220">
    <w:name w:val="字元 字元2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21">
    <w:name w:val="字元 字元2 字元 字元 字元 字元 字元2"/>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3f4">
    <w:name w:val="字元 字元3"/>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b">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2f4">
    <w:name w:val="字元 字元 字元2"/>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22">
    <w:name w:val="字元 字元2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5">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6">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7">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24">
    <w:name w:val="字元 字元2 字元 字元 字元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5">
    <w:name w:val="字元 字元2 字元 字元 字元 字元 字元 字元2"/>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rsid w:val="003B5F10"/>
    <w:rPr>
      <w:rFonts w:ascii="Cambria" w:hAnsi="Cambria"/>
      <w:b/>
      <w:bCs/>
      <w:kern w:val="2"/>
      <w:sz w:val="36"/>
      <w:szCs w:val="36"/>
    </w:rPr>
  </w:style>
  <w:style w:type="paragraph" w:customStyle="1" w:styleId="1-161">
    <w:name w:val="一、標題1-16字"/>
    <w:basedOn w:val="1"/>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c">
    <w:name w:val="一、審議概況–標題三"/>
    <w:basedOn w:val="3"/>
    <w:next w:val="a2"/>
    <w:link w:val="afffffd"/>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d">
    <w:name w:val="一、審議概況–標題三 字元"/>
    <w:link w:val="afffffc"/>
    <w:rsid w:val="00AC135C"/>
    <w:rPr>
      <w:rFonts w:ascii="標楷體" w:eastAsia="標楷體" w:hAnsi="標楷體"/>
      <w:b/>
      <w:bCs/>
      <w:kern w:val="2"/>
      <w:sz w:val="28"/>
      <w:szCs w:val="36"/>
    </w:rPr>
  </w:style>
  <w:style w:type="paragraph" w:customStyle="1" w:styleId="afffffe">
    <w:name w:val="剪報標題一"/>
    <w:basedOn w:val="1"/>
    <w:next w:val="a2"/>
    <w:link w:val="affffff"/>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
    <w:name w:val="剪報標題一 字元"/>
    <w:link w:val="afffffe"/>
    <w:rsid w:val="00F716CA"/>
    <w:rPr>
      <w:rFonts w:ascii="Papyrus" w:eastAsia="標楷體" w:hAnsi="Papyrus"/>
      <w:b/>
      <w:bCs/>
      <w:color w:val="548DD4"/>
      <w:kern w:val="52"/>
      <w:sz w:val="32"/>
      <w:szCs w:val="32"/>
      <w:lang w:eastAsia="ko-KR"/>
    </w:rPr>
  </w:style>
  <w:style w:type="paragraph" w:customStyle="1" w:styleId="pop">
    <w:name w:val="標題二pop"/>
    <w:basedOn w:val="2"/>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0">
    <w:name w:val="Note Heading"/>
    <w:basedOn w:val="a2"/>
    <w:next w:val="a2"/>
    <w:link w:val="affffff1"/>
    <w:uiPriority w:val="99"/>
    <w:unhideWhenUsed/>
    <w:rsid w:val="00A27FA8"/>
    <w:pPr>
      <w:jc w:val="center"/>
    </w:pPr>
    <w:rPr>
      <w:rFonts w:eastAsia="標楷體"/>
      <w:b/>
      <w:sz w:val="32"/>
      <w:szCs w:val="32"/>
    </w:rPr>
  </w:style>
  <w:style w:type="character" w:customStyle="1" w:styleId="affffff1">
    <w:name w:val="註釋標題 字元"/>
    <w:link w:val="affffff0"/>
    <w:uiPriority w:val="99"/>
    <w:rsid w:val="00A27FA8"/>
    <w:rPr>
      <w:rFonts w:eastAsia="標楷體"/>
      <w:b/>
      <w:kern w:val="2"/>
      <w:sz w:val="32"/>
      <w:szCs w:val="32"/>
    </w:rPr>
  </w:style>
  <w:style w:type="paragraph" w:styleId="affffff2">
    <w:name w:val="Closing"/>
    <w:basedOn w:val="a2"/>
    <w:link w:val="affffff3"/>
    <w:uiPriority w:val="99"/>
    <w:unhideWhenUsed/>
    <w:rsid w:val="00A27FA8"/>
    <w:pPr>
      <w:ind w:leftChars="1800" w:left="100"/>
    </w:pPr>
    <w:rPr>
      <w:rFonts w:eastAsia="標楷體"/>
      <w:b/>
      <w:sz w:val="32"/>
      <w:szCs w:val="32"/>
    </w:rPr>
  </w:style>
  <w:style w:type="character" w:customStyle="1" w:styleId="affffff3">
    <w:name w:val="結語 字元"/>
    <w:link w:val="affffff2"/>
    <w:uiPriority w:val="99"/>
    <w:rsid w:val="00A27FA8"/>
    <w:rPr>
      <w:rFonts w:eastAsia="標楷體"/>
      <w:b/>
      <w:kern w:val="2"/>
      <w:sz w:val="32"/>
      <w:szCs w:val="32"/>
    </w:rPr>
  </w:style>
  <w:style w:type="character" w:customStyle="1" w:styleId="affffff4">
    <w:name w:val="內文文字_"/>
    <w:link w:val="affffff5"/>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5">
    <w:name w:val="內文文字"/>
    <w:basedOn w:val="a2"/>
    <w:link w:val="affffff4"/>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6">
    <w:name w:val="決定 字元 字元"/>
    <w:locked/>
    <w:rsid w:val="00FD4F00"/>
    <w:rPr>
      <w:rFonts w:eastAsia="標楷體"/>
      <w:sz w:val="32"/>
      <w:szCs w:val="24"/>
    </w:rPr>
  </w:style>
  <w:style w:type="character" w:customStyle="1" w:styleId="affffff7">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8">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5">
    <w:name w:val="本文 2 字元"/>
    <w:link w:val="24"/>
    <w:rsid w:val="00232313"/>
    <w:rPr>
      <w:rFonts w:ascii="華康楷書體W5" w:eastAsia="標楷體"/>
      <w:b/>
      <w:spacing w:val="20"/>
      <w:sz w:val="32"/>
    </w:rPr>
  </w:style>
  <w:style w:type="character" w:customStyle="1" w:styleId="32">
    <w:name w:val="本文縮排 3 字元"/>
    <w:link w:val="31"/>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3">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9">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a">
    <w:name w:val="Salutation"/>
    <w:basedOn w:val="a2"/>
    <w:next w:val="a2"/>
    <w:link w:val="affffffb"/>
    <w:uiPriority w:val="99"/>
    <w:unhideWhenUsed/>
    <w:rsid w:val="005C5456"/>
    <w:rPr>
      <w:rFonts w:ascii="Calibri" w:hAnsi="Calibri"/>
      <w:szCs w:val="22"/>
    </w:rPr>
  </w:style>
  <w:style w:type="character" w:customStyle="1" w:styleId="affffffb">
    <w:name w:val="問候 字元"/>
    <w:link w:val="affffffa"/>
    <w:uiPriority w:val="99"/>
    <w:rsid w:val="005C5456"/>
    <w:rPr>
      <w:rFonts w:ascii="Calibri" w:hAnsi="Calibri"/>
      <w:kern w:val="2"/>
      <w:sz w:val="24"/>
      <w:szCs w:val="22"/>
    </w:rPr>
  </w:style>
  <w:style w:type="character" w:styleId="affffffc">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4">
    <w:name w:val="字元 字元12"/>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21">
    <w:name w:val="字元6 字元2"/>
    <w:semiHidden/>
    <w:rsid w:val="009370AC"/>
    <w:rPr>
      <w:rFonts w:ascii="Cambria" w:eastAsia="新細明體" w:hAnsi="Cambria" w:cs="Times New Roman"/>
      <w:b/>
      <w:bCs/>
      <w:sz w:val="48"/>
      <w:szCs w:val="48"/>
    </w:rPr>
  </w:style>
  <w:style w:type="character" w:customStyle="1" w:styleId="421">
    <w:name w:val="字元4 字元2"/>
    <w:rsid w:val="009370AC"/>
    <w:rPr>
      <w:kern w:val="2"/>
    </w:rPr>
  </w:style>
  <w:style w:type="character" w:customStyle="1" w:styleId="721">
    <w:name w:val="字元7 字元2"/>
    <w:rsid w:val="009370AC"/>
    <w:rPr>
      <w:rFonts w:ascii="Cambria" w:eastAsia="新細明體" w:hAnsi="Cambria" w:cs="Times New Roman"/>
      <w:b/>
      <w:bCs/>
      <w:kern w:val="52"/>
      <w:sz w:val="52"/>
      <w:szCs w:val="52"/>
    </w:rPr>
  </w:style>
  <w:style w:type="character" w:customStyle="1" w:styleId="521">
    <w:name w:val="字元5 字元2"/>
    <w:semiHidden/>
    <w:rsid w:val="009370AC"/>
    <w:rPr>
      <w:rFonts w:ascii="Cambria" w:eastAsia="新細明體" w:hAnsi="Cambria" w:cs="Times New Roman"/>
      <w:b/>
      <w:bCs/>
      <w:kern w:val="2"/>
      <w:sz w:val="36"/>
      <w:szCs w:val="36"/>
    </w:rPr>
  </w:style>
  <w:style w:type="character" w:customStyle="1" w:styleId="1420">
    <w:name w:val="字元142"/>
    <w:rsid w:val="009370AC"/>
    <w:rPr>
      <w:rFonts w:ascii="Times New Roman" w:eastAsia="標楷體" w:hAnsi="Times New Roman" w:cs="Times New Roman"/>
      <w:sz w:val="20"/>
      <w:szCs w:val="20"/>
    </w:rPr>
  </w:style>
  <w:style w:type="character" w:customStyle="1" w:styleId="1320">
    <w:name w:val="字元132"/>
    <w:rsid w:val="009370AC"/>
    <w:rPr>
      <w:rFonts w:ascii="Times New Roman" w:eastAsia="標楷體" w:hAnsi="Times New Roman" w:cs="Times New Roman"/>
      <w:sz w:val="20"/>
      <w:szCs w:val="20"/>
    </w:rPr>
  </w:style>
  <w:style w:type="character" w:customStyle="1" w:styleId="1220">
    <w:name w:val="字元122"/>
    <w:rsid w:val="009370AC"/>
    <w:rPr>
      <w:rFonts w:ascii="Times New Roman" w:eastAsia="標楷體" w:hAnsi="Times New Roman" w:cs="Times New Roman"/>
      <w:sz w:val="28"/>
    </w:rPr>
  </w:style>
  <w:style w:type="character" w:customStyle="1" w:styleId="1121">
    <w:name w:val="字元112"/>
    <w:semiHidden/>
    <w:rsid w:val="009370AC"/>
    <w:rPr>
      <w:rFonts w:ascii="Times New Roman" w:eastAsia="標楷體" w:hAnsi="Times New Roman" w:cs="Times New Roman"/>
      <w:b/>
      <w:bCs/>
      <w:sz w:val="28"/>
    </w:rPr>
  </w:style>
  <w:style w:type="character" w:customStyle="1" w:styleId="1020">
    <w:name w:val="字元102"/>
    <w:rsid w:val="009370AC"/>
    <w:rPr>
      <w:rFonts w:ascii="Cambria" w:eastAsia="新細明體" w:hAnsi="Cambria" w:cs="Times New Roman"/>
      <w:sz w:val="18"/>
      <w:szCs w:val="18"/>
    </w:rPr>
  </w:style>
  <w:style w:type="character" w:customStyle="1" w:styleId="2120">
    <w:name w:val="字元212"/>
    <w:rsid w:val="009370AC"/>
    <w:rPr>
      <w:rFonts w:ascii="新細明體" w:hAnsi="Times New Roman"/>
      <w:kern w:val="2"/>
      <w:sz w:val="18"/>
      <w:szCs w:val="18"/>
    </w:rPr>
  </w:style>
  <w:style w:type="character" w:customStyle="1" w:styleId="172">
    <w:name w:val="字元172"/>
    <w:rsid w:val="009370AC"/>
    <w:rPr>
      <w:rFonts w:ascii="Cambria" w:eastAsia="新細明體" w:hAnsi="Cambria" w:cs="Times New Roman"/>
      <w:b/>
      <w:bCs/>
      <w:kern w:val="52"/>
      <w:sz w:val="52"/>
      <w:szCs w:val="52"/>
    </w:rPr>
  </w:style>
  <w:style w:type="character" w:customStyle="1" w:styleId="162">
    <w:name w:val="字元162"/>
    <w:rsid w:val="009370AC"/>
    <w:rPr>
      <w:rFonts w:ascii="Cambria" w:eastAsia="新細明體" w:hAnsi="Cambria" w:cs="Times New Roman"/>
      <w:b/>
      <w:bCs/>
      <w:kern w:val="2"/>
      <w:sz w:val="48"/>
      <w:szCs w:val="48"/>
    </w:rPr>
  </w:style>
  <w:style w:type="character" w:customStyle="1" w:styleId="152">
    <w:name w:val="字元152"/>
    <w:rsid w:val="009370AC"/>
    <w:rPr>
      <w:rFonts w:ascii="Cambria" w:eastAsia="新細明體" w:hAnsi="Cambria" w:cs="Times New Roman"/>
      <w:b/>
      <w:bCs/>
      <w:kern w:val="2"/>
      <w:sz w:val="36"/>
      <w:szCs w:val="36"/>
    </w:rPr>
  </w:style>
  <w:style w:type="character" w:customStyle="1" w:styleId="192">
    <w:name w:val="字元192"/>
    <w:rsid w:val="009370AC"/>
    <w:rPr>
      <w:rFonts w:ascii="華康楷書體W5" w:eastAsia="標楷體" w:hAnsi="Times New Roman"/>
      <w:bCs/>
      <w:spacing w:val="20"/>
      <w:kern w:val="2"/>
      <w:sz w:val="28"/>
    </w:rPr>
  </w:style>
  <w:style w:type="paragraph" w:customStyle="1" w:styleId="227">
    <w:name w:val="字元 字元2 字元 字元 字元 字元 字元 字元 字元 字元 字元2"/>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d">
    <w:name w:val="預算提案用"/>
    <w:basedOn w:val="a2"/>
    <w:link w:val="affffffe"/>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e">
    <w:name w:val="預算提案用 字元"/>
    <w:link w:val="affffffd"/>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2">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0">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8">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1">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uiPriority w:val="59"/>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uiPriority w:val="59"/>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a">
    <w:name w:val="1樣式4"/>
    <w:basedOn w:val="a2"/>
    <w:link w:val="14b"/>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b">
    <w:name w:val="1樣式4 字元"/>
    <w:link w:val="14a"/>
    <w:rsid w:val="00D8168D"/>
    <w:rPr>
      <w:rFonts w:ascii="標楷體" w:eastAsia="標楷體" w:hAnsi="標楷體"/>
      <w:kern w:val="2"/>
      <w:sz w:val="24"/>
      <w:szCs w:val="24"/>
    </w:rPr>
  </w:style>
  <w:style w:type="paragraph" w:customStyle="1" w:styleId="afffffff0">
    <w:name w:val="時　　間：凸五"/>
    <w:autoRedefine/>
    <w:qFormat/>
    <w:rsid w:val="00F9010F"/>
    <w:pPr>
      <w:snapToGrid w:val="0"/>
      <w:spacing w:line="240" w:lineRule="atLeast"/>
      <w:ind w:left="2520" w:hangingChars="900" w:hanging="2520"/>
      <w:jc w:val="both"/>
    </w:pPr>
    <w:rPr>
      <w:rFonts w:eastAsia="標楷體"/>
      <w:kern w:val="2"/>
      <w:sz w:val="28"/>
      <w:szCs w:val="24"/>
    </w:rPr>
  </w:style>
  <w:style w:type="character" w:customStyle="1" w:styleId="040">
    <w:name w:val="0樣式4 字元"/>
    <w:link w:val="04"/>
    <w:rsid w:val="00A730A8"/>
    <w:rPr>
      <w:rFonts w:ascii="標楷體" w:eastAsia="標楷體" w:hAnsi="標楷體"/>
      <w:color w:val="000000"/>
      <w:kern w:val="2"/>
      <w:sz w:val="24"/>
      <w:szCs w:val="24"/>
    </w:rPr>
  </w:style>
  <w:style w:type="numbering" w:customStyle="1" w:styleId="381">
    <w:name w:val="無清單38"/>
    <w:next w:val="a5"/>
    <w:uiPriority w:val="99"/>
    <w:semiHidden/>
    <w:unhideWhenUsed/>
    <w:rsid w:val="00F86BC7"/>
  </w:style>
  <w:style w:type="paragraph" w:customStyle="1" w:styleId="afffffff1">
    <w:name w:val="欄位"/>
    <w:basedOn w:val="a2"/>
    <w:rsid w:val="00F86BC7"/>
    <w:pPr>
      <w:adjustRightInd w:val="0"/>
      <w:spacing w:line="360" w:lineRule="atLeast"/>
      <w:ind w:right="284" w:firstLine="284"/>
      <w:jc w:val="distribute"/>
      <w:textAlignment w:val="baseline"/>
    </w:pPr>
    <w:rPr>
      <w:rFonts w:eastAsia="標楷體"/>
      <w:color w:val="FF0000"/>
      <w:kern w:val="0"/>
      <w:sz w:val="32"/>
      <w:szCs w:val="20"/>
    </w:rPr>
  </w:style>
  <w:style w:type="table" w:customStyle="1" w:styleId="1900">
    <w:name w:val="表格格線19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9">
    <w:name w:val="樣式22"/>
    <w:rsid w:val="007932B9"/>
  </w:style>
  <w:style w:type="numbering" w:customStyle="1" w:styleId="12a">
    <w:name w:val="樣式12"/>
    <w:rsid w:val="007932B9"/>
  </w:style>
  <w:style w:type="numbering" w:customStyle="1" w:styleId="322">
    <w:name w:val="樣式32"/>
    <w:basedOn w:val="a5"/>
    <w:rsid w:val="007932B9"/>
  </w:style>
  <w:style w:type="numbering" w:customStyle="1" w:styleId="1114">
    <w:name w:val="樣式111"/>
    <w:rsid w:val="007932B9"/>
  </w:style>
  <w:style w:type="numbering" w:customStyle="1" w:styleId="1101">
    <w:name w:val="無清單110"/>
    <w:next w:val="a5"/>
    <w:uiPriority w:val="99"/>
    <w:semiHidden/>
    <w:unhideWhenUsed/>
    <w:rsid w:val="007932B9"/>
  </w:style>
  <w:style w:type="table" w:customStyle="1" w:styleId="1910">
    <w:name w:val="表格格線1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無清單113"/>
    <w:next w:val="a5"/>
    <w:uiPriority w:val="99"/>
    <w:semiHidden/>
    <w:unhideWhenUsed/>
    <w:rsid w:val="007932B9"/>
  </w:style>
  <w:style w:type="numbering" w:customStyle="1" w:styleId="11130">
    <w:name w:val="無清單1113"/>
    <w:next w:val="a5"/>
    <w:semiHidden/>
    <w:unhideWhenUsed/>
    <w:rsid w:val="007932B9"/>
  </w:style>
  <w:style w:type="numbering" w:customStyle="1" w:styleId="11113">
    <w:name w:val="無清單11113"/>
    <w:next w:val="a5"/>
    <w:semiHidden/>
    <w:unhideWhenUsed/>
    <w:rsid w:val="007932B9"/>
  </w:style>
  <w:style w:type="table" w:customStyle="1" w:styleId="11100">
    <w:name w:val="表格格線111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5"/>
    <w:uiPriority w:val="99"/>
    <w:semiHidden/>
    <w:unhideWhenUsed/>
    <w:rsid w:val="007932B9"/>
  </w:style>
  <w:style w:type="numbering" w:customStyle="1" w:styleId="1211">
    <w:name w:val="無清單121"/>
    <w:next w:val="a5"/>
    <w:uiPriority w:val="99"/>
    <w:semiHidden/>
    <w:unhideWhenUsed/>
    <w:rsid w:val="007932B9"/>
  </w:style>
  <w:style w:type="numbering" w:customStyle="1" w:styleId="111112">
    <w:name w:val="無清單111112"/>
    <w:next w:val="a5"/>
    <w:semiHidden/>
    <w:unhideWhenUsed/>
    <w:rsid w:val="007932B9"/>
  </w:style>
  <w:style w:type="numbering" w:customStyle="1" w:styleId="2110">
    <w:name w:val="樣式211"/>
    <w:rsid w:val="007932B9"/>
  </w:style>
  <w:style w:type="numbering" w:customStyle="1" w:styleId="3110">
    <w:name w:val="樣式311"/>
    <w:basedOn w:val="a5"/>
    <w:rsid w:val="007932B9"/>
  </w:style>
  <w:style w:type="table" w:customStyle="1" w:styleId="2101">
    <w:name w:val="表格格線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5"/>
    <w:next w:val="111111"/>
    <w:rsid w:val="007932B9"/>
  </w:style>
  <w:style w:type="numbering" w:customStyle="1" w:styleId="391">
    <w:name w:val="無清單39"/>
    <w:next w:val="a5"/>
    <w:uiPriority w:val="99"/>
    <w:semiHidden/>
    <w:unhideWhenUsed/>
    <w:rsid w:val="007932B9"/>
  </w:style>
  <w:style w:type="table" w:customStyle="1" w:styleId="3100">
    <w:name w:val="表格格線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5"/>
    <w:uiPriority w:val="99"/>
    <w:semiHidden/>
    <w:unhideWhenUsed/>
    <w:rsid w:val="007932B9"/>
  </w:style>
  <w:style w:type="numbering" w:customStyle="1" w:styleId="11210">
    <w:name w:val="無清單1121"/>
    <w:next w:val="a5"/>
    <w:uiPriority w:val="99"/>
    <w:semiHidden/>
    <w:unhideWhenUsed/>
    <w:rsid w:val="007932B9"/>
  </w:style>
  <w:style w:type="numbering" w:customStyle="1" w:styleId="11121">
    <w:name w:val="無清單11121"/>
    <w:next w:val="a5"/>
    <w:uiPriority w:val="99"/>
    <w:semiHidden/>
    <w:unhideWhenUsed/>
    <w:rsid w:val="007932B9"/>
  </w:style>
  <w:style w:type="numbering" w:customStyle="1" w:styleId="111121">
    <w:name w:val="無清單111121"/>
    <w:next w:val="a5"/>
    <w:uiPriority w:val="99"/>
    <w:semiHidden/>
    <w:unhideWhenUsed/>
    <w:rsid w:val="007932B9"/>
  </w:style>
  <w:style w:type="numbering" w:customStyle="1" w:styleId="11111120">
    <w:name w:val="無清單1111112"/>
    <w:next w:val="a5"/>
    <w:uiPriority w:val="99"/>
    <w:semiHidden/>
    <w:unhideWhenUsed/>
    <w:rsid w:val="007932B9"/>
  </w:style>
  <w:style w:type="numbering" w:customStyle="1" w:styleId="11111112">
    <w:name w:val="無清單11111112"/>
    <w:next w:val="a5"/>
    <w:uiPriority w:val="99"/>
    <w:semiHidden/>
    <w:unhideWhenUsed/>
    <w:rsid w:val="007932B9"/>
  </w:style>
  <w:style w:type="numbering" w:customStyle="1" w:styleId="111111111">
    <w:name w:val="無清單111111111"/>
    <w:next w:val="a5"/>
    <w:uiPriority w:val="99"/>
    <w:semiHidden/>
    <w:unhideWhenUsed/>
    <w:rsid w:val="007932B9"/>
  </w:style>
  <w:style w:type="numbering" w:customStyle="1" w:styleId="422">
    <w:name w:val="無清單42"/>
    <w:next w:val="a5"/>
    <w:uiPriority w:val="99"/>
    <w:semiHidden/>
    <w:unhideWhenUsed/>
    <w:rsid w:val="007932B9"/>
  </w:style>
  <w:style w:type="table" w:customStyle="1" w:styleId="4100">
    <w:name w:val="表格格線4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5"/>
    <w:uiPriority w:val="99"/>
    <w:semiHidden/>
    <w:unhideWhenUsed/>
    <w:rsid w:val="007932B9"/>
  </w:style>
  <w:style w:type="table" w:customStyle="1" w:styleId="5100">
    <w:name w:val="表格格線5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5"/>
    <w:uiPriority w:val="99"/>
    <w:semiHidden/>
    <w:unhideWhenUsed/>
    <w:rsid w:val="007932B9"/>
  </w:style>
  <w:style w:type="table" w:customStyle="1" w:styleId="6100">
    <w:name w:val="表格格線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5"/>
    <w:uiPriority w:val="99"/>
    <w:semiHidden/>
    <w:unhideWhenUsed/>
    <w:rsid w:val="007932B9"/>
  </w:style>
  <w:style w:type="table" w:customStyle="1" w:styleId="4110">
    <w:name w:val="表格格線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5"/>
    <w:uiPriority w:val="99"/>
    <w:semiHidden/>
    <w:unhideWhenUsed/>
    <w:rsid w:val="007932B9"/>
  </w:style>
  <w:style w:type="table" w:customStyle="1" w:styleId="17100">
    <w:name w:val="表格格線1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5"/>
    <w:uiPriority w:val="99"/>
    <w:semiHidden/>
    <w:unhideWhenUsed/>
    <w:rsid w:val="007932B9"/>
  </w:style>
  <w:style w:type="table" w:customStyle="1" w:styleId="2710">
    <w:name w:val="表格格線2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5"/>
    <w:uiPriority w:val="99"/>
    <w:semiHidden/>
    <w:unhideWhenUsed/>
    <w:rsid w:val="007932B9"/>
  </w:style>
  <w:style w:type="table" w:customStyle="1" w:styleId="2810">
    <w:name w:val="表格格線2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5"/>
    <w:uiPriority w:val="99"/>
    <w:semiHidden/>
    <w:unhideWhenUsed/>
    <w:rsid w:val="007932B9"/>
  </w:style>
  <w:style w:type="table" w:customStyle="1" w:styleId="3112">
    <w:name w:val="表格格線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5"/>
    <w:uiPriority w:val="99"/>
    <w:semiHidden/>
    <w:unhideWhenUsed/>
    <w:rsid w:val="007932B9"/>
  </w:style>
  <w:style w:type="table" w:customStyle="1" w:styleId="3210">
    <w:name w:val="表格格線3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5"/>
    <w:uiPriority w:val="99"/>
    <w:semiHidden/>
    <w:unhideWhenUsed/>
    <w:rsid w:val="007932B9"/>
  </w:style>
  <w:style w:type="table" w:customStyle="1" w:styleId="3410">
    <w:name w:val="表格格線3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5"/>
    <w:uiPriority w:val="99"/>
    <w:semiHidden/>
    <w:unhideWhenUsed/>
    <w:rsid w:val="007932B9"/>
  </w:style>
  <w:style w:type="table" w:customStyle="1" w:styleId="3910">
    <w:name w:val="表格格線3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5"/>
    <w:uiPriority w:val="99"/>
    <w:semiHidden/>
    <w:unhideWhenUsed/>
    <w:rsid w:val="007932B9"/>
  </w:style>
  <w:style w:type="table" w:customStyle="1" w:styleId="4210">
    <w:name w:val="表格格線4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5"/>
    <w:uiPriority w:val="99"/>
    <w:semiHidden/>
    <w:unhideWhenUsed/>
    <w:rsid w:val="007932B9"/>
  </w:style>
  <w:style w:type="table" w:customStyle="1" w:styleId="441">
    <w:name w:val="表格格線4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5"/>
    <w:uiPriority w:val="99"/>
    <w:semiHidden/>
    <w:unhideWhenUsed/>
    <w:rsid w:val="007932B9"/>
  </w:style>
  <w:style w:type="table" w:customStyle="1" w:styleId="851">
    <w:name w:val="表格格線8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5"/>
    <w:uiPriority w:val="99"/>
    <w:semiHidden/>
    <w:unhideWhenUsed/>
    <w:rsid w:val="007932B9"/>
  </w:style>
  <w:style w:type="table" w:customStyle="1" w:styleId="1930">
    <w:name w:val="表格格線193"/>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樣式23"/>
    <w:rsid w:val="007932B9"/>
    <w:pPr>
      <w:numPr>
        <w:numId w:val="2"/>
      </w:numPr>
    </w:pPr>
  </w:style>
  <w:style w:type="numbering" w:customStyle="1" w:styleId="13">
    <w:name w:val="樣式13"/>
    <w:rsid w:val="007932B9"/>
    <w:pPr>
      <w:numPr>
        <w:numId w:val="3"/>
      </w:numPr>
    </w:pPr>
  </w:style>
  <w:style w:type="numbering" w:customStyle="1" w:styleId="33">
    <w:name w:val="樣式33"/>
    <w:basedOn w:val="a5"/>
    <w:rsid w:val="007932B9"/>
    <w:pPr>
      <w:numPr>
        <w:numId w:val="4"/>
      </w:numPr>
    </w:pPr>
  </w:style>
  <w:style w:type="numbering" w:customStyle="1" w:styleId="112">
    <w:name w:val="樣式112"/>
    <w:rsid w:val="007932B9"/>
    <w:pPr>
      <w:numPr>
        <w:numId w:val="7"/>
      </w:numPr>
    </w:pPr>
  </w:style>
  <w:style w:type="numbering" w:customStyle="1" w:styleId="1141">
    <w:name w:val="無清單114"/>
    <w:next w:val="a5"/>
    <w:uiPriority w:val="99"/>
    <w:semiHidden/>
    <w:unhideWhenUsed/>
    <w:rsid w:val="007932B9"/>
  </w:style>
  <w:style w:type="table" w:customStyle="1" w:styleId="194">
    <w:name w:val="表格格線194"/>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5"/>
    <w:uiPriority w:val="99"/>
    <w:semiHidden/>
    <w:unhideWhenUsed/>
    <w:rsid w:val="007932B9"/>
  </w:style>
  <w:style w:type="numbering" w:customStyle="1" w:styleId="11140">
    <w:name w:val="無清單1114"/>
    <w:next w:val="a5"/>
    <w:semiHidden/>
    <w:unhideWhenUsed/>
    <w:rsid w:val="007932B9"/>
  </w:style>
  <w:style w:type="numbering" w:customStyle="1" w:styleId="11114">
    <w:name w:val="無清單11114"/>
    <w:next w:val="a5"/>
    <w:semiHidden/>
    <w:unhideWhenUsed/>
    <w:rsid w:val="007932B9"/>
  </w:style>
  <w:style w:type="table" w:customStyle="1" w:styleId="11120">
    <w:name w:val="表格格線1112"/>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5"/>
    <w:uiPriority w:val="99"/>
    <w:semiHidden/>
    <w:unhideWhenUsed/>
    <w:rsid w:val="007932B9"/>
  </w:style>
  <w:style w:type="numbering" w:customStyle="1" w:styleId="1222">
    <w:name w:val="無清單122"/>
    <w:next w:val="a5"/>
    <w:uiPriority w:val="99"/>
    <w:semiHidden/>
    <w:unhideWhenUsed/>
    <w:rsid w:val="007932B9"/>
  </w:style>
  <w:style w:type="numbering" w:customStyle="1" w:styleId="111113">
    <w:name w:val="無清單111113"/>
    <w:next w:val="a5"/>
    <w:semiHidden/>
    <w:unhideWhenUsed/>
    <w:rsid w:val="007932B9"/>
  </w:style>
  <w:style w:type="numbering" w:customStyle="1" w:styleId="212">
    <w:name w:val="樣式212"/>
    <w:rsid w:val="007932B9"/>
    <w:pPr>
      <w:numPr>
        <w:numId w:val="5"/>
      </w:numPr>
    </w:pPr>
  </w:style>
  <w:style w:type="numbering" w:customStyle="1" w:styleId="312">
    <w:name w:val="樣式312"/>
    <w:basedOn w:val="a5"/>
    <w:rsid w:val="007932B9"/>
    <w:pPr>
      <w:numPr>
        <w:numId w:val="6"/>
      </w:numPr>
    </w:pPr>
  </w:style>
  <w:style w:type="table" w:customStyle="1" w:styleId="2122">
    <w:name w:val="表格格線2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a5"/>
    <w:next w:val="111111"/>
    <w:rsid w:val="007932B9"/>
    <w:pPr>
      <w:numPr>
        <w:numId w:val="9"/>
      </w:numPr>
    </w:pPr>
  </w:style>
  <w:style w:type="numbering" w:customStyle="1" w:styleId="3101">
    <w:name w:val="無清單310"/>
    <w:next w:val="a5"/>
    <w:uiPriority w:val="99"/>
    <w:semiHidden/>
    <w:unhideWhenUsed/>
    <w:rsid w:val="007932B9"/>
  </w:style>
  <w:style w:type="table" w:customStyle="1" w:styleId="3120">
    <w:name w:val="表格格線3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5"/>
    <w:uiPriority w:val="99"/>
    <w:semiHidden/>
    <w:unhideWhenUsed/>
    <w:rsid w:val="007932B9"/>
  </w:style>
  <w:style w:type="numbering" w:customStyle="1" w:styleId="11220">
    <w:name w:val="無清單1122"/>
    <w:next w:val="a5"/>
    <w:uiPriority w:val="99"/>
    <w:semiHidden/>
    <w:unhideWhenUsed/>
    <w:rsid w:val="007932B9"/>
  </w:style>
  <w:style w:type="numbering" w:customStyle="1" w:styleId="11122">
    <w:name w:val="無清單11122"/>
    <w:next w:val="a5"/>
    <w:uiPriority w:val="99"/>
    <w:semiHidden/>
    <w:unhideWhenUsed/>
    <w:rsid w:val="007932B9"/>
  </w:style>
  <w:style w:type="numbering" w:customStyle="1" w:styleId="111122">
    <w:name w:val="無清單111122"/>
    <w:next w:val="a5"/>
    <w:uiPriority w:val="99"/>
    <w:semiHidden/>
    <w:unhideWhenUsed/>
    <w:rsid w:val="007932B9"/>
  </w:style>
  <w:style w:type="numbering" w:customStyle="1" w:styleId="1111113">
    <w:name w:val="無清單1111113"/>
    <w:next w:val="a5"/>
    <w:uiPriority w:val="99"/>
    <w:semiHidden/>
    <w:unhideWhenUsed/>
    <w:rsid w:val="007932B9"/>
  </w:style>
  <w:style w:type="numbering" w:customStyle="1" w:styleId="11111113">
    <w:name w:val="無清單11111113"/>
    <w:next w:val="a5"/>
    <w:uiPriority w:val="99"/>
    <w:semiHidden/>
    <w:unhideWhenUsed/>
    <w:rsid w:val="007932B9"/>
  </w:style>
  <w:style w:type="numbering" w:customStyle="1" w:styleId="111111112">
    <w:name w:val="無清單111111112"/>
    <w:next w:val="a5"/>
    <w:uiPriority w:val="99"/>
    <w:semiHidden/>
    <w:unhideWhenUsed/>
    <w:rsid w:val="007932B9"/>
  </w:style>
  <w:style w:type="numbering" w:customStyle="1" w:styleId="432">
    <w:name w:val="無清單43"/>
    <w:next w:val="a5"/>
    <w:uiPriority w:val="99"/>
    <w:semiHidden/>
    <w:unhideWhenUsed/>
    <w:rsid w:val="007932B9"/>
  </w:style>
  <w:style w:type="table" w:customStyle="1" w:styleId="4121">
    <w:name w:val="表格格線4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5"/>
    <w:uiPriority w:val="99"/>
    <w:semiHidden/>
    <w:unhideWhenUsed/>
    <w:rsid w:val="007932B9"/>
  </w:style>
  <w:style w:type="table" w:customStyle="1" w:styleId="512">
    <w:name w:val="表格格線5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0">
    <w:name w:val="無清單63"/>
    <w:next w:val="a5"/>
    <w:uiPriority w:val="99"/>
    <w:semiHidden/>
    <w:unhideWhenUsed/>
    <w:rsid w:val="007932B9"/>
  </w:style>
  <w:style w:type="table" w:customStyle="1" w:styleId="612">
    <w:name w:val="表格格線6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5"/>
    <w:uiPriority w:val="99"/>
    <w:semiHidden/>
    <w:unhideWhenUsed/>
    <w:rsid w:val="007932B9"/>
  </w:style>
  <w:style w:type="table" w:customStyle="1" w:styleId="413">
    <w:name w:val="表格格線4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0">
    <w:name w:val="無清單213"/>
    <w:next w:val="a5"/>
    <w:uiPriority w:val="99"/>
    <w:semiHidden/>
    <w:unhideWhenUsed/>
    <w:rsid w:val="007932B9"/>
  </w:style>
  <w:style w:type="table" w:customStyle="1" w:styleId="1711">
    <w:name w:val="表格格線1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表格格線2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格線2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5"/>
    <w:uiPriority w:val="99"/>
    <w:semiHidden/>
    <w:unhideWhenUsed/>
    <w:rsid w:val="007932B9"/>
  </w:style>
  <w:style w:type="table" w:customStyle="1" w:styleId="272">
    <w:name w:val="表格格線2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5"/>
    <w:uiPriority w:val="99"/>
    <w:semiHidden/>
    <w:unhideWhenUsed/>
    <w:rsid w:val="007932B9"/>
  </w:style>
  <w:style w:type="table" w:customStyle="1" w:styleId="282">
    <w:name w:val="表格格線2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5"/>
    <w:uiPriority w:val="99"/>
    <w:semiHidden/>
    <w:unhideWhenUsed/>
    <w:rsid w:val="007932B9"/>
  </w:style>
  <w:style w:type="table" w:customStyle="1" w:styleId="3130">
    <w:name w:val="表格格線3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5"/>
    <w:uiPriority w:val="99"/>
    <w:semiHidden/>
    <w:unhideWhenUsed/>
    <w:rsid w:val="007932B9"/>
  </w:style>
  <w:style w:type="table" w:customStyle="1" w:styleId="3220">
    <w:name w:val="表格格線3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5"/>
    <w:uiPriority w:val="99"/>
    <w:semiHidden/>
    <w:unhideWhenUsed/>
    <w:rsid w:val="007932B9"/>
  </w:style>
  <w:style w:type="table" w:customStyle="1" w:styleId="342">
    <w:name w:val="表格格線3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5"/>
    <w:uiPriority w:val="99"/>
    <w:semiHidden/>
    <w:unhideWhenUsed/>
    <w:rsid w:val="007932B9"/>
  </w:style>
  <w:style w:type="table" w:customStyle="1" w:styleId="392">
    <w:name w:val="表格格線3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5"/>
    <w:uiPriority w:val="99"/>
    <w:semiHidden/>
    <w:unhideWhenUsed/>
    <w:rsid w:val="007932B9"/>
  </w:style>
  <w:style w:type="table" w:customStyle="1" w:styleId="4220">
    <w:name w:val="表格格線4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5"/>
    <w:uiPriority w:val="99"/>
    <w:semiHidden/>
    <w:unhideWhenUsed/>
    <w:rsid w:val="007932B9"/>
  </w:style>
  <w:style w:type="table" w:customStyle="1" w:styleId="442">
    <w:name w:val="表格格線4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
    <w:name w:val="無清單152"/>
    <w:next w:val="a5"/>
    <w:uiPriority w:val="99"/>
    <w:semiHidden/>
    <w:unhideWhenUsed/>
    <w:rsid w:val="007932B9"/>
  </w:style>
  <w:style w:type="table" w:customStyle="1" w:styleId="852">
    <w:name w:val="表格格線8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5"/>
    <w:uiPriority w:val="99"/>
    <w:semiHidden/>
    <w:unhideWhenUsed/>
    <w:rsid w:val="007932B9"/>
  </w:style>
  <w:style w:type="table" w:customStyle="1" w:styleId="196">
    <w:name w:val="表格格線196"/>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0">
    <w:name w:val="無清單45"/>
    <w:next w:val="a5"/>
    <w:uiPriority w:val="99"/>
    <w:semiHidden/>
    <w:unhideWhenUsed/>
    <w:rsid w:val="007932B9"/>
  </w:style>
  <w:style w:type="table" w:customStyle="1" w:styleId="1961">
    <w:name w:val="表格格線196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2"/>
    <w:semiHidden/>
    <w:rsid w:val="007932B9"/>
    <w:pPr>
      <w:widowControl/>
      <w:spacing w:after="160" w:line="240" w:lineRule="exact"/>
    </w:pPr>
    <w:rPr>
      <w:rFonts w:ascii="Tahoma" w:hAnsi="Tahoma" w:cs="Tahoma"/>
      <w:kern w:val="0"/>
      <w:sz w:val="20"/>
      <w:szCs w:val="20"/>
      <w:lang w:eastAsia="en-US"/>
    </w:rPr>
  </w:style>
  <w:style w:type="table" w:customStyle="1" w:styleId="198">
    <w:name w:val="表格格線198"/>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3"/>
    <w:uiPriority w:val="99"/>
    <w:rsid w:val="007932B9"/>
    <w:rPr>
      <w:rFonts w:ascii="Times New Roman" w:eastAsia="新細明體" w:hAnsi="Times New Roman" w:cs="Times New Roman"/>
      <w:sz w:val="20"/>
      <w:szCs w:val="20"/>
    </w:rPr>
  </w:style>
  <w:style w:type="paragraph" w:customStyle="1" w:styleId="afffffff2">
    <w:name w:val="一、"/>
    <w:link w:val="afffffff3"/>
    <w:autoRedefine/>
    <w:qFormat/>
    <w:rsid w:val="008A0208"/>
    <w:pPr>
      <w:spacing w:line="360" w:lineRule="exact"/>
      <w:ind w:leftChars="-1" w:left="534" w:hangingChars="200" w:hanging="536"/>
      <w:jc w:val="both"/>
    </w:pPr>
    <w:rPr>
      <w:rFonts w:ascii="標楷體" w:eastAsia="標楷體" w:hAnsi="標楷體"/>
      <w:sz w:val="28"/>
      <w:szCs w:val="28"/>
    </w:rPr>
  </w:style>
  <w:style w:type="character" w:customStyle="1" w:styleId="afffffff3">
    <w:name w:val="一、 字元"/>
    <w:link w:val="afffffff2"/>
    <w:rsid w:val="008A0208"/>
    <w:rPr>
      <w:rFonts w:ascii="標楷體" w:eastAsia="標楷體" w:hAnsi="標楷體"/>
      <w:sz w:val="28"/>
      <w:szCs w:val="28"/>
    </w:rPr>
  </w:style>
  <w:style w:type="paragraph" w:customStyle="1" w:styleId="0-4">
    <w:name w:val="0-點"/>
    <w:basedOn w:val="a2"/>
    <w:link w:val="0-5"/>
    <w:qFormat/>
    <w:rsid w:val="008A0208"/>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8A0208"/>
    <w:rPr>
      <w:rFonts w:ascii="標楷體" w:eastAsia="標楷體" w:hAnsi="標楷體"/>
      <w:kern w:val="2"/>
      <w:sz w:val="28"/>
      <w:szCs w:val="28"/>
    </w:rPr>
  </w:style>
  <w:style w:type="paragraph" w:customStyle="1" w:styleId="5-1">
    <w:name w:val="5-提案1"/>
    <w:basedOn w:val="a2"/>
    <w:link w:val="5-10"/>
    <w:qFormat/>
    <w:rsid w:val="008A0208"/>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8A0208"/>
    <w:rPr>
      <w:rFonts w:eastAsia="標楷體"/>
      <w:kern w:val="2"/>
      <w:sz w:val="28"/>
      <w:szCs w:val="24"/>
    </w:rPr>
  </w:style>
  <w:style w:type="paragraph" w:customStyle="1" w:styleId="afffffff4">
    <w:name w:val="報討提"/>
    <w:link w:val="afffffff5"/>
    <w:autoRedefine/>
    <w:qFormat/>
    <w:rsid w:val="008A0208"/>
    <w:pPr>
      <w:snapToGrid w:val="0"/>
      <w:spacing w:beforeLines="50" w:before="180" w:line="240" w:lineRule="atLeast"/>
      <w:ind w:leftChars="472" w:left="1133"/>
      <w:jc w:val="both"/>
    </w:pPr>
    <w:rPr>
      <w:rFonts w:ascii="標楷體" w:eastAsia="標楷體" w:hAnsi="標楷體"/>
      <w:b/>
      <w:sz w:val="28"/>
      <w:szCs w:val="28"/>
    </w:rPr>
  </w:style>
  <w:style w:type="character" w:customStyle="1" w:styleId="afffffff5">
    <w:name w:val="報討提 字元"/>
    <w:link w:val="afffffff4"/>
    <w:rsid w:val="008A0208"/>
    <w:rPr>
      <w:rFonts w:ascii="標楷體" w:eastAsia="標楷體" w:hAnsi="標楷體"/>
      <w:b/>
      <w:sz w:val="28"/>
      <w:szCs w:val="28"/>
    </w:rPr>
  </w:style>
  <w:style w:type="paragraph" w:customStyle="1" w:styleId="afffffff6">
    <w:name w:val="提案人："/>
    <w:basedOn w:val="a2"/>
    <w:link w:val="afffffff7"/>
    <w:autoRedefine/>
    <w:qFormat/>
    <w:rsid w:val="008A0208"/>
    <w:pPr>
      <w:snapToGrid w:val="0"/>
      <w:spacing w:line="240" w:lineRule="atLeast"/>
      <w:ind w:leftChars="1859" w:left="4462" w:firstLineChars="6" w:firstLine="17"/>
      <w:jc w:val="both"/>
    </w:pPr>
    <w:rPr>
      <w:rFonts w:eastAsia="標楷體"/>
      <w:sz w:val="28"/>
    </w:rPr>
  </w:style>
  <w:style w:type="character" w:customStyle="1" w:styleId="afffffff7">
    <w:name w:val="提案人： 字元"/>
    <w:link w:val="afffffff6"/>
    <w:rsid w:val="008A0208"/>
    <w:rPr>
      <w:rFonts w:eastAsia="標楷體"/>
      <w:kern w:val="2"/>
      <w:sz w:val="28"/>
      <w:szCs w:val="24"/>
    </w:rPr>
  </w:style>
  <w:style w:type="paragraph" w:customStyle="1" w:styleId="afffffff8">
    <w:name w:val="提案人：內文齊"/>
    <w:link w:val="afffffff9"/>
    <w:autoRedefine/>
    <w:qFormat/>
    <w:rsid w:val="008A0208"/>
    <w:pPr>
      <w:snapToGrid w:val="0"/>
      <w:spacing w:line="240" w:lineRule="atLeast"/>
      <w:ind w:leftChars="1889" w:left="4534" w:firstLine="2"/>
    </w:pPr>
    <w:rPr>
      <w:rFonts w:eastAsia="標楷體"/>
      <w:kern w:val="2"/>
      <w:sz w:val="28"/>
      <w:szCs w:val="24"/>
    </w:rPr>
  </w:style>
  <w:style w:type="character" w:customStyle="1" w:styleId="afffffff9">
    <w:name w:val="提案人：內文齊 字元"/>
    <w:link w:val="afffffff8"/>
    <w:rsid w:val="008A0208"/>
    <w:rPr>
      <w:rFonts w:eastAsia="標楷體"/>
      <w:kern w:val="2"/>
      <w:sz w:val="28"/>
      <w:szCs w:val="24"/>
    </w:rPr>
  </w:style>
  <w:style w:type="paragraph" w:customStyle="1" w:styleId="afffffffa">
    <w:name w:val="(一)"/>
    <w:link w:val="afffffffb"/>
    <w:autoRedefine/>
    <w:qFormat/>
    <w:rsid w:val="008A0208"/>
    <w:pPr>
      <w:tabs>
        <w:tab w:val="left" w:pos="7655"/>
      </w:tabs>
      <w:snapToGrid w:val="0"/>
      <w:spacing w:line="240" w:lineRule="atLeast"/>
      <w:ind w:firstLineChars="202" w:firstLine="566"/>
      <w:contextualSpacing/>
      <w:jc w:val="both"/>
    </w:pPr>
    <w:rPr>
      <w:rFonts w:ascii="標楷體" w:eastAsia="標楷體" w:hAnsi="標楷體"/>
      <w:kern w:val="2"/>
      <w:sz w:val="28"/>
      <w:szCs w:val="28"/>
    </w:rPr>
  </w:style>
  <w:style w:type="character" w:customStyle="1" w:styleId="afffffffb">
    <w:name w:val="(一) 字元"/>
    <w:link w:val="afffffffa"/>
    <w:rsid w:val="008A0208"/>
    <w:rPr>
      <w:rFonts w:ascii="標楷體" w:eastAsia="標楷體" w:hAnsi="標楷體"/>
      <w:kern w:val="2"/>
      <w:sz w:val="28"/>
      <w:szCs w:val="28"/>
    </w:rPr>
  </w:style>
  <w:style w:type="character" w:styleId="afffffffc">
    <w:name w:val="Subtle Emphasis"/>
    <w:uiPriority w:val="19"/>
    <w:qFormat/>
    <w:rsid w:val="008A0208"/>
    <w:rPr>
      <w:i/>
      <w:iCs/>
      <w:color w:val="808080"/>
    </w:rPr>
  </w:style>
  <w:style w:type="paragraph" w:customStyle="1" w:styleId="1c">
    <w:name w:val="分列提案理由1"/>
    <w:basedOn w:val="a2"/>
    <w:qFormat/>
    <w:rsid w:val="008A0208"/>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d">
    <w:name w:val="分列提案理由（總）"/>
    <w:basedOn w:val="a2"/>
    <w:qFormat/>
    <w:rsid w:val="008A0208"/>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6">
    <w:name w:val="字元 字元2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11a">
    <w:name w:val="字元 字元11"/>
    <w:basedOn w:val="a2"/>
    <w:semiHidden/>
    <w:rsid w:val="00E955F2"/>
    <w:pPr>
      <w:widowControl/>
      <w:spacing w:after="160" w:line="240" w:lineRule="exact"/>
    </w:pPr>
    <w:rPr>
      <w:rFonts w:ascii="Verdana" w:eastAsia="Times New Roman" w:hAnsi="Verdana" w:cs="Mangal"/>
      <w:sz w:val="20"/>
      <w:lang w:eastAsia="en-US" w:bidi="hi-IN"/>
    </w:rPr>
  </w:style>
  <w:style w:type="paragraph" w:customStyle="1" w:styleId="1d">
    <w:name w:val="字元 字元 字元1"/>
    <w:basedOn w:val="a2"/>
    <w:semiHidden/>
    <w:rsid w:val="00E955F2"/>
    <w:pPr>
      <w:widowControl/>
      <w:spacing w:after="160" w:line="240" w:lineRule="exact"/>
    </w:pPr>
    <w:rPr>
      <w:rFonts w:ascii="Tahoma" w:hAnsi="Tahoma" w:cs="Tahoma"/>
      <w:kern w:val="0"/>
      <w:sz w:val="20"/>
      <w:szCs w:val="20"/>
      <w:lang w:eastAsia="en-US"/>
    </w:rPr>
  </w:style>
  <w:style w:type="character" w:customStyle="1" w:styleId="614">
    <w:name w:val="字元6 字元1"/>
    <w:semiHidden/>
    <w:rsid w:val="00E955F2"/>
    <w:rPr>
      <w:rFonts w:ascii="Cambria" w:eastAsia="新細明體" w:hAnsi="Cambria" w:cs="Times New Roman"/>
      <w:b/>
      <w:bCs/>
      <w:sz w:val="48"/>
      <w:szCs w:val="48"/>
    </w:rPr>
  </w:style>
  <w:style w:type="character" w:customStyle="1" w:styleId="414">
    <w:name w:val="字元4 字元1"/>
    <w:rsid w:val="00E955F2"/>
    <w:rPr>
      <w:kern w:val="2"/>
    </w:rPr>
  </w:style>
  <w:style w:type="character" w:customStyle="1" w:styleId="714">
    <w:name w:val="字元7 字元1"/>
    <w:rsid w:val="00E955F2"/>
    <w:rPr>
      <w:rFonts w:ascii="Cambria" w:eastAsia="新細明體" w:hAnsi="Cambria" w:cs="Times New Roman"/>
      <w:b/>
      <w:bCs/>
      <w:kern w:val="52"/>
      <w:sz w:val="52"/>
      <w:szCs w:val="52"/>
    </w:rPr>
  </w:style>
  <w:style w:type="character" w:customStyle="1" w:styleId="514">
    <w:name w:val="字元5 字元1"/>
    <w:semiHidden/>
    <w:rsid w:val="00E955F2"/>
    <w:rPr>
      <w:rFonts w:ascii="Cambria" w:eastAsia="新細明體" w:hAnsi="Cambria" w:cs="Times New Roman"/>
      <w:b/>
      <w:bCs/>
      <w:kern w:val="2"/>
      <w:sz w:val="36"/>
      <w:szCs w:val="36"/>
    </w:rPr>
  </w:style>
  <w:style w:type="character" w:customStyle="1" w:styleId="1414">
    <w:name w:val="字元141"/>
    <w:rsid w:val="00E955F2"/>
    <w:rPr>
      <w:rFonts w:ascii="Times New Roman" w:eastAsia="標楷體" w:hAnsi="Times New Roman" w:cs="Times New Roman"/>
      <w:sz w:val="20"/>
      <w:szCs w:val="20"/>
    </w:rPr>
  </w:style>
  <w:style w:type="character" w:customStyle="1" w:styleId="1312">
    <w:name w:val="字元131"/>
    <w:rsid w:val="00E955F2"/>
    <w:rPr>
      <w:rFonts w:ascii="Times New Roman" w:eastAsia="標楷體" w:hAnsi="Times New Roman" w:cs="Times New Roman"/>
      <w:sz w:val="20"/>
      <w:szCs w:val="20"/>
    </w:rPr>
  </w:style>
  <w:style w:type="character" w:customStyle="1" w:styleId="1212">
    <w:name w:val="字元121"/>
    <w:rsid w:val="00E955F2"/>
    <w:rPr>
      <w:rFonts w:ascii="Times New Roman" w:eastAsia="標楷體" w:hAnsi="Times New Roman" w:cs="Times New Roman"/>
      <w:sz w:val="28"/>
    </w:rPr>
  </w:style>
  <w:style w:type="character" w:customStyle="1" w:styleId="1115">
    <w:name w:val="字元111"/>
    <w:semiHidden/>
    <w:rsid w:val="00E955F2"/>
    <w:rPr>
      <w:rFonts w:ascii="Times New Roman" w:eastAsia="標楷體" w:hAnsi="Times New Roman" w:cs="Times New Roman"/>
      <w:b/>
      <w:bCs/>
      <w:sz w:val="28"/>
    </w:rPr>
  </w:style>
  <w:style w:type="character" w:customStyle="1" w:styleId="1012">
    <w:name w:val="字元101"/>
    <w:rsid w:val="00E955F2"/>
    <w:rPr>
      <w:rFonts w:ascii="Cambria" w:eastAsia="新細明體" w:hAnsi="Cambria" w:cs="Times New Roman"/>
      <w:sz w:val="18"/>
      <w:szCs w:val="18"/>
    </w:rPr>
  </w:style>
  <w:style w:type="character" w:customStyle="1" w:styleId="2113">
    <w:name w:val="字元211"/>
    <w:rsid w:val="00E955F2"/>
    <w:rPr>
      <w:rFonts w:ascii="新細明體" w:hAnsi="Times New Roman"/>
      <w:kern w:val="2"/>
      <w:sz w:val="18"/>
      <w:szCs w:val="18"/>
    </w:rPr>
  </w:style>
  <w:style w:type="character" w:customStyle="1" w:styleId="1712">
    <w:name w:val="字元171"/>
    <w:rsid w:val="00E955F2"/>
    <w:rPr>
      <w:rFonts w:ascii="Cambria" w:eastAsia="新細明體" w:hAnsi="Cambria" w:cs="Times New Roman"/>
      <w:b/>
      <w:bCs/>
      <w:kern w:val="52"/>
      <w:sz w:val="52"/>
      <w:szCs w:val="52"/>
    </w:rPr>
  </w:style>
  <w:style w:type="character" w:customStyle="1" w:styleId="1612">
    <w:name w:val="字元161"/>
    <w:rsid w:val="00E955F2"/>
    <w:rPr>
      <w:rFonts w:ascii="Cambria" w:eastAsia="新細明體" w:hAnsi="Cambria" w:cs="Times New Roman"/>
      <w:b/>
      <w:bCs/>
      <w:kern w:val="2"/>
      <w:sz w:val="48"/>
      <w:szCs w:val="48"/>
    </w:rPr>
  </w:style>
  <w:style w:type="character" w:customStyle="1" w:styleId="1512">
    <w:name w:val="字元151"/>
    <w:rsid w:val="00E955F2"/>
    <w:rPr>
      <w:rFonts w:ascii="Cambria" w:eastAsia="新細明體" w:hAnsi="Cambria" w:cs="Times New Roman"/>
      <w:b/>
      <w:bCs/>
      <w:kern w:val="2"/>
      <w:sz w:val="36"/>
      <w:szCs w:val="36"/>
    </w:rPr>
  </w:style>
  <w:style w:type="character" w:customStyle="1" w:styleId="1911">
    <w:name w:val="字元191"/>
    <w:rsid w:val="00E955F2"/>
    <w:rPr>
      <w:rFonts w:ascii="華康楷書體W5" w:eastAsia="標楷體" w:hAnsi="Times New Roman"/>
      <w:bCs/>
      <w:spacing w:val="20"/>
      <w:kern w:val="2"/>
      <w:sz w:val="28"/>
    </w:rPr>
  </w:style>
  <w:style w:type="paragraph" w:customStyle="1" w:styleId="217">
    <w:name w:val="字元 字元2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8">
    <w:name w:val="字元 字元2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b">
    <w:name w:val="字元 字元2 字元 字元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c">
    <w:name w:val="字元 字元2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character" w:customStyle="1" w:styleId="90">
    <w:name w:val="標題 9 字元"/>
    <w:basedOn w:val="a3"/>
    <w:link w:val="9"/>
    <w:uiPriority w:val="9"/>
    <w:semiHidden/>
    <w:rsid w:val="000765BE"/>
    <w:rPr>
      <w:rFonts w:asciiTheme="majorHAnsi" w:eastAsiaTheme="majorEastAsia" w:hAnsiTheme="majorHAnsi" w:cstheme="majorBidi"/>
      <w:kern w:val="2"/>
      <w:sz w:val="36"/>
      <w:szCs w:val="36"/>
    </w:rPr>
  </w:style>
  <w:style w:type="paragraph" w:customStyle="1" w:styleId="01">
    <w:name w:val="01待審"/>
    <w:basedOn w:val="a2"/>
    <w:link w:val="010"/>
    <w:qFormat/>
    <w:rsid w:val="00B3339E"/>
    <w:pPr>
      <w:spacing w:line="360" w:lineRule="exact"/>
      <w:jc w:val="both"/>
    </w:pPr>
    <w:rPr>
      <w:rFonts w:ascii="標楷體" w:eastAsia="標楷體" w:hAnsiTheme="minorHAnsi" w:cstheme="minorBidi"/>
      <w:sz w:val="28"/>
      <w:szCs w:val="22"/>
    </w:rPr>
  </w:style>
  <w:style w:type="character" w:customStyle="1" w:styleId="010">
    <w:name w:val="01待審 字元"/>
    <w:basedOn w:val="a3"/>
    <w:link w:val="01"/>
    <w:rsid w:val="00B3339E"/>
    <w:rPr>
      <w:rFonts w:ascii="標楷體" w:eastAsia="標楷體" w:hAnsiTheme="minorHAnsi" w:cstheme="minorBidi"/>
      <w:kern w:val="2"/>
      <w:sz w:val="28"/>
      <w:szCs w:val="22"/>
    </w:rPr>
  </w:style>
  <w:style w:type="table" w:customStyle="1" w:styleId="2030">
    <w:name w:val="表格格線203"/>
    <w:basedOn w:val="a4"/>
    <w:next w:val="a8"/>
    <w:uiPriority w:val="59"/>
    <w:rsid w:val="00484DD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0">
    <w:name w:val="表格格線204"/>
    <w:basedOn w:val="a4"/>
    <w:next w:val="a8"/>
    <w:uiPriority w:val="59"/>
    <w:rsid w:val="00484DD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
    <w:name w:val="樣式231"/>
    <w:rsid w:val="00E7497A"/>
  </w:style>
  <w:style w:type="numbering" w:customStyle="1" w:styleId="1313">
    <w:name w:val="樣式131"/>
    <w:rsid w:val="00E7497A"/>
  </w:style>
  <w:style w:type="numbering" w:customStyle="1" w:styleId="3311">
    <w:name w:val="樣式331"/>
    <w:basedOn w:val="a5"/>
    <w:rsid w:val="00E7497A"/>
  </w:style>
  <w:style w:type="numbering" w:customStyle="1" w:styleId="11211">
    <w:name w:val="樣式1121"/>
    <w:rsid w:val="00E7497A"/>
  </w:style>
  <w:style w:type="numbering" w:customStyle="1" w:styleId="21210">
    <w:name w:val="樣式2121"/>
    <w:rsid w:val="00E7497A"/>
  </w:style>
  <w:style w:type="numbering" w:customStyle="1" w:styleId="31210">
    <w:name w:val="樣式3121"/>
    <w:basedOn w:val="a5"/>
    <w:rsid w:val="00E7497A"/>
  </w:style>
  <w:style w:type="numbering" w:customStyle="1" w:styleId="11111121">
    <w:name w:val="1 / 1.1 / 1.1.121"/>
    <w:basedOn w:val="a5"/>
    <w:next w:val="111111"/>
    <w:rsid w:val="00E7497A"/>
  </w:style>
  <w:style w:type="paragraph" w:customStyle="1" w:styleId="4-2">
    <w:name w:val="4-附帶2"/>
    <w:basedOn w:val="a2"/>
    <w:link w:val="4-20"/>
    <w:qFormat/>
    <w:rsid w:val="005A728D"/>
    <w:pPr>
      <w:widowControl/>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5A728D"/>
    <w:rPr>
      <w:rFonts w:ascii="標楷體" w:eastAsia="標楷體" w:hAnsi="標楷體"/>
      <w:kern w:val="2"/>
      <w:sz w:val="28"/>
      <w:szCs w:val="28"/>
    </w:rPr>
  </w:style>
  <w:style w:type="paragraph" w:customStyle="1" w:styleId="afffffffe">
    <w:name w:val="一、內文齊"/>
    <w:link w:val="affffffff"/>
    <w:autoRedefine/>
    <w:qFormat/>
    <w:rsid w:val="005A728D"/>
    <w:pPr>
      <w:snapToGrid w:val="0"/>
      <w:spacing w:line="360" w:lineRule="atLeast"/>
      <w:ind w:firstLineChars="200" w:firstLine="560"/>
      <w:jc w:val="both"/>
    </w:pPr>
    <w:rPr>
      <w:rFonts w:ascii="Calibri" w:eastAsia="標楷體" w:hAnsi="Calibri"/>
      <w:sz w:val="28"/>
      <w:szCs w:val="24"/>
    </w:rPr>
  </w:style>
  <w:style w:type="character" w:customStyle="1" w:styleId="affffffff">
    <w:name w:val="一、內文齊 字元"/>
    <w:link w:val="afffffffe"/>
    <w:rsid w:val="005A728D"/>
    <w:rPr>
      <w:rFonts w:ascii="Calibri" w:eastAsia="標楷體" w:hAnsi="Calibri"/>
      <w:sz w:val="28"/>
      <w:szCs w:val="24"/>
    </w:rPr>
  </w:style>
  <w:style w:type="table" w:customStyle="1" w:styleId="2050">
    <w:name w:val="表格格線205"/>
    <w:basedOn w:val="a4"/>
    <w:next w:val="a8"/>
    <w:uiPriority w:val="39"/>
    <w:rsid w:val="00A10D8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0">
    <w:name w:val="無清單46"/>
    <w:next w:val="a5"/>
    <w:uiPriority w:val="99"/>
    <w:semiHidden/>
    <w:unhideWhenUsed/>
    <w:rsid w:val="00EB3514"/>
  </w:style>
  <w:style w:type="paragraph" w:styleId="affffffff0">
    <w:name w:val="No Spacing"/>
    <w:uiPriority w:val="1"/>
    <w:qFormat/>
    <w:rsid w:val="00EB3514"/>
    <w:pPr>
      <w:widowControl w:val="0"/>
    </w:pPr>
    <w:rPr>
      <w:rFonts w:ascii="Calibri" w:hAnsi="Calibri"/>
      <w:kern w:val="2"/>
      <w:sz w:val="24"/>
      <w:szCs w:val="22"/>
    </w:rPr>
  </w:style>
  <w:style w:type="numbering" w:customStyle="1" w:styleId="470">
    <w:name w:val="無清單47"/>
    <w:next w:val="a5"/>
    <w:uiPriority w:val="99"/>
    <w:semiHidden/>
    <w:unhideWhenUsed/>
    <w:rsid w:val="00EB3514"/>
  </w:style>
  <w:style w:type="paragraph" w:customStyle="1" w:styleId="msonormal0">
    <w:name w:val="msonormal"/>
    <w:basedOn w:val="a2"/>
    <w:rsid w:val="00EC13B7"/>
    <w:pPr>
      <w:widowControl/>
      <w:spacing w:before="100" w:beforeAutospacing="1" w:after="100" w:afterAutospacing="1"/>
    </w:pPr>
    <w:rPr>
      <w:rFonts w:ascii="新細明體" w:hAnsi="新細明體" w:cs="新細明體"/>
      <w:kern w:val="0"/>
    </w:rPr>
  </w:style>
  <w:style w:type="paragraph" w:customStyle="1" w:styleId="233">
    <w:name w:val="字元 字元2 字元 字元 字元 字元 字元3"/>
    <w:basedOn w:val="a2"/>
    <w:semiHidden/>
    <w:rsid w:val="00421BB5"/>
    <w:pPr>
      <w:widowControl/>
      <w:spacing w:after="160" w:line="240" w:lineRule="exact"/>
    </w:pPr>
    <w:rPr>
      <w:rFonts w:ascii="Verdana" w:eastAsia="Times New Roman" w:hAnsi="Verdana"/>
      <w:kern w:val="0"/>
      <w:sz w:val="20"/>
      <w:szCs w:val="20"/>
      <w:lang w:eastAsia="en-US"/>
    </w:rPr>
  </w:style>
  <w:style w:type="paragraph" w:customStyle="1" w:styleId="234">
    <w:name w:val="字元 字元2 字元 字元 字元 字元 字元 字元 字元 字元3"/>
    <w:basedOn w:val="a2"/>
    <w:semiHidden/>
    <w:rsid w:val="00421BB5"/>
    <w:pPr>
      <w:widowControl/>
      <w:spacing w:after="160" w:line="240" w:lineRule="exact"/>
    </w:pPr>
    <w:rPr>
      <w:rFonts w:ascii="Verdana" w:eastAsia="Times New Roman" w:hAnsi="Verdana"/>
      <w:kern w:val="0"/>
      <w:sz w:val="20"/>
      <w:szCs w:val="20"/>
      <w:lang w:eastAsia="en-US"/>
    </w:rPr>
  </w:style>
  <w:style w:type="paragraph" w:customStyle="1" w:styleId="3f5">
    <w:name w:val="字元 字元 字元3"/>
    <w:basedOn w:val="a2"/>
    <w:semiHidden/>
    <w:rsid w:val="00421BB5"/>
    <w:pPr>
      <w:widowControl/>
      <w:spacing w:after="160" w:line="240" w:lineRule="exact"/>
    </w:pPr>
    <w:rPr>
      <w:rFonts w:ascii="Verdana" w:eastAsia="Times New Roman" w:hAnsi="Verdana" w:cs="Mangal"/>
      <w:sz w:val="20"/>
      <w:lang w:eastAsia="en-US" w:bidi="hi-IN"/>
    </w:rPr>
  </w:style>
  <w:style w:type="paragraph" w:customStyle="1" w:styleId="affffffff1">
    <w:name w:val="時　　間：凸五齊"/>
    <w:autoRedefine/>
    <w:qFormat/>
    <w:rsid w:val="00421BB5"/>
    <w:pPr>
      <w:snapToGrid w:val="0"/>
      <w:spacing w:line="240" w:lineRule="atLeast"/>
      <w:jc w:val="both"/>
    </w:pPr>
    <w:rPr>
      <w:rFonts w:ascii="標楷體" w:eastAsia="標楷體"/>
      <w:color w:val="000000"/>
      <w:kern w:val="2"/>
      <w:sz w:val="28"/>
      <w:szCs w:val="28"/>
    </w:rPr>
  </w:style>
  <w:style w:type="numbering" w:customStyle="1" w:styleId="1111111111">
    <w:name w:val="無清單1111111111"/>
    <w:next w:val="a5"/>
    <w:uiPriority w:val="99"/>
    <w:semiHidden/>
    <w:unhideWhenUsed/>
    <w:rsid w:val="00421BB5"/>
  </w:style>
  <w:style w:type="paragraph" w:customStyle="1" w:styleId="Textbody">
    <w:name w:val="Text body"/>
    <w:basedOn w:val="a2"/>
    <w:rsid w:val="00421BB5"/>
    <w:pPr>
      <w:suppressAutoHyphens/>
      <w:autoSpaceDN w:val="0"/>
      <w:spacing w:after="140" w:line="288" w:lineRule="auto"/>
      <w:textAlignment w:val="baseline"/>
    </w:pPr>
    <w:rPr>
      <w:rFonts w:eastAsia="新細明體, PMingLiU"/>
      <w:kern w:val="3"/>
      <w:szCs w:val="20"/>
    </w:rPr>
  </w:style>
  <w:style w:type="paragraph" w:customStyle="1" w:styleId="affffffff2">
    <w:name w:val="開會時間"/>
    <w:rsid w:val="00421BB5"/>
    <w:pPr>
      <w:widowControl w:val="0"/>
      <w:suppressAutoHyphens/>
      <w:overflowPunct w:val="0"/>
      <w:autoSpaceDN w:val="0"/>
      <w:spacing w:line="600" w:lineRule="exact"/>
      <w:textAlignment w:val="baseline"/>
    </w:pPr>
    <w:rPr>
      <w:rFonts w:ascii="標楷體" w:eastAsia="標楷體" w:hAnsi="標楷體" w:cs="標楷體"/>
      <w:kern w:val="3"/>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287665901">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45057220">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654377054">
      <w:bodyDiv w:val="1"/>
      <w:marLeft w:val="0"/>
      <w:marRight w:val="0"/>
      <w:marTop w:val="0"/>
      <w:marBottom w:val="0"/>
      <w:divBdr>
        <w:top w:val="none" w:sz="0" w:space="0" w:color="auto"/>
        <w:left w:val="none" w:sz="0" w:space="0" w:color="auto"/>
        <w:bottom w:val="none" w:sz="0" w:space="0" w:color="auto"/>
        <w:right w:val="none" w:sz="0" w:space="0" w:color="auto"/>
      </w:divBdr>
    </w:div>
    <w:div w:id="694768425">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809329030">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901216674">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95448092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14070461">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73519594">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51113631">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603150361">
      <w:bodyDiv w:val="1"/>
      <w:marLeft w:val="0"/>
      <w:marRight w:val="0"/>
      <w:marTop w:val="0"/>
      <w:marBottom w:val="0"/>
      <w:divBdr>
        <w:top w:val="none" w:sz="0" w:space="0" w:color="auto"/>
        <w:left w:val="none" w:sz="0" w:space="0" w:color="auto"/>
        <w:bottom w:val="none" w:sz="0" w:space="0" w:color="auto"/>
        <w:right w:val="none" w:sz="0" w:space="0" w:color="auto"/>
      </w:divBdr>
    </w:div>
    <w:div w:id="1604418067">
      <w:bodyDiv w:val="1"/>
      <w:marLeft w:val="0"/>
      <w:marRight w:val="0"/>
      <w:marTop w:val="0"/>
      <w:marBottom w:val="0"/>
      <w:divBdr>
        <w:top w:val="none" w:sz="0" w:space="0" w:color="auto"/>
        <w:left w:val="none" w:sz="0" w:space="0" w:color="auto"/>
        <w:bottom w:val="none" w:sz="0" w:space="0" w:color="auto"/>
        <w:right w:val="none" w:sz="0" w:space="0" w:color="auto"/>
      </w:divBdr>
    </w:div>
    <w:div w:id="160688119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421743">
      <w:bodyDiv w:val="1"/>
      <w:marLeft w:val="0"/>
      <w:marRight w:val="0"/>
      <w:marTop w:val="0"/>
      <w:marBottom w:val="0"/>
      <w:divBdr>
        <w:top w:val="none" w:sz="0" w:space="0" w:color="auto"/>
        <w:left w:val="none" w:sz="0" w:space="0" w:color="auto"/>
        <w:bottom w:val="none" w:sz="0" w:space="0" w:color="auto"/>
        <w:right w:val="none" w:sz="0" w:space="0" w:color="auto"/>
      </w:divBdr>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86929196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44918755">
      <w:bodyDiv w:val="1"/>
      <w:marLeft w:val="0"/>
      <w:marRight w:val="0"/>
      <w:marTop w:val="0"/>
      <w:marBottom w:val="0"/>
      <w:divBdr>
        <w:top w:val="none" w:sz="0" w:space="0" w:color="auto"/>
        <w:left w:val="none" w:sz="0" w:space="0" w:color="auto"/>
        <w:bottom w:val="none" w:sz="0" w:space="0" w:color="auto"/>
        <w:right w:val="none" w:sz="0" w:space="0" w:color="auto"/>
      </w:divBdr>
    </w:div>
    <w:div w:id="1947156565">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 w:id="2073656582">
      <w:bodyDiv w:val="1"/>
      <w:marLeft w:val="0"/>
      <w:marRight w:val="0"/>
      <w:marTop w:val="0"/>
      <w:marBottom w:val="0"/>
      <w:divBdr>
        <w:top w:val="none" w:sz="0" w:space="0" w:color="auto"/>
        <w:left w:val="none" w:sz="0" w:space="0" w:color="auto"/>
        <w:bottom w:val="none" w:sz="0" w:space="0" w:color="auto"/>
        <w:right w:val="none" w:sz="0" w:space="0" w:color="auto"/>
      </w:divBdr>
    </w:div>
    <w:div w:id="2117022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image" Target="media/image2.jpeg"/><Relationship Id="rId26" Type="http://schemas.openxmlformats.org/officeDocument/2006/relationships/image" Target="media/image10.jpeg"/><Relationship Id="rId39" Type="http://schemas.openxmlformats.org/officeDocument/2006/relationships/image" Target="media/image22.jpeg"/><Relationship Id="rId3" Type="http://schemas.openxmlformats.org/officeDocument/2006/relationships/styles" Target="styles.xml"/><Relationship Id="rId21" Type="http://schemas.openxmlformats.org/officeDocument/2006/relationships/image" Target="media/image5.jpeg"/><Relationship Id="rId34" Type="http://schemas.openxmlformats.org/officeDocument/2006/relationships/image" Target="media/image17.pn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image" Target="media/image1.jpeg"/><Relationship Id="rId25" Type="http://schemas.openxmlformats.org/officeDocument/2006/relationships/image" Target="media/image9.jpeg"/><Relationship Id="rId33" Type="http://schemas.openxmlformats.org/officeDocument/2006/relationships/footer" Target="footer6.xml"/><Relationship Id="rId38" Type="http://schemas.openxmlformats.org/officeDocument/2006/relationships/image" Target="media/image21.jpeg"/><Relationship Id="rId2" Type="http://schemas.openxmlformats.org/officeDocument/2006/relationships/numbering" Target="numbering.xml"/><Relationship Id="rId16" Type="http://schemas.openxmlformats.org/officeDocument/2006/relationships/hyperlink" Target="http://www.ly.gov.tw/ly/01_introduce/0105_comm/comm_ver02/comm_news/comm_news_01.jsp?ItemNO=01050101&amp;Unit=15" TargetMode="External"/><Relationship Id="rId20" Type="http://schemas.openxmlformats.org/officeDocument/2006/relationships/image" Target="media/image4.jpeg"/><Relationship Id="rId29" Type="http://schemas.openxmlformats.org/officeDocument/2006/relationships/image" Target="media/image13.jpeg"/><Relationship Id="rId41"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image" Target="media/image8.jpeg"/><Relationship Id="rId32" Type="http://schemas.openxmlformats.org/officeDocument/2006/relationships/image" Target="media/image16.jpeg"/><Relationship Id="rId37" Type="http://schemas.openxmlformats.org/officeDocument/2006/relationships/image" Target="media/image20.jpeg"/><Relationship Id="rId40" Type="http://schemas.openxmlformats.org/officeDocument/2006/relationships/image" Target="media/image23.jpeg"/><Relationship Id="rId5" Type="http://schemas.openxmlformats.org/officeDocument/2006/relationships/settings" Target="settings.xml"/><Relationship Id="rId15" Type="http://schemas.openxmlformats.org/officeDocument/2006/relationships/hyperlink" Target="https://udn.com/search/tagging/2/%E7%BF%92%E8%BF%91%E5%B9%B3" TargetMode="External"/><Relationship Id="rId23" Type="http://schemas.openxmlformats.org/officeDocument/2006/relationships/image" Target="media/image7.jpeg"/><Relationship Id="rId28" Type="http://schemas.openxmlformats.org/officeDocument/2006/relationships/image" Target="media/image12.jpeg"/><Relationship Id="rId36" Type="http://schemas.openxmlformats.org/officeDocument/2006/relationships/image" Target="media/image19.jpeg"/><Relationship Id="rId10" Type="http://schemas.openxmlformats.org/officeDocument/2006/relationships/footer" Target="footer2.xml"/><Relationship Id="rId19" Type="http://schemas.openxmlformats.org/officeDocument/2006/relationships/image" Target="media/image3.jpeg"/><Relationship Id="rId31" Type="http://schemas.openxmlformats.org/officeDocument/2006/relationships/image" Target="media/image15.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udn.com/search/tagging/2/%E4%B8%AD%E5%85%B1%E4%BA%8C%E5%8D%81%E5%A4%A7" TargetMode="External"/><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image" Target="media/image18.jpeg"/><Relationship Id="rId43"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B684EE-2946-42C5-9773-FA893AEDA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606</Pages>
  <Words>67310</Words>
  <Characters>383668</Characters>
  <Application>Microsoft Office Word</Application>
  <DocSecurity>0</DocSecurity>
  <Lines>3197</Lines>
  <Paragraphs>900</Paragraphs>
  <ScaleCrop>false</ScaleCrop>
  <Company/>
  <LinksUpToDate>false</LinksUpToDate>
  <CharactersWithSpaces>450078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creator>立法院鄧可容</dc:creator>
  <cp:lastModifiedBy>user</cp:lastModifiedBy>
  <cp:revision>7</cp:revision>
  <cp:lastPrinted>2023-02-17T09:58:00Z</cp:lastPrinted>
  <dcterms:created xsi:type="dcterms:W3CDTF">2023-02-20T23:46:00Z</dcterms:created>
  <dcterms:modified xsi:type="dcterms:W3CDTF">2023-02-20T23:58:00Z</dcterms:modified>
</cp:coreProperties>
</file>