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23A" w:rsidRPr="00E31337" w:rsidRDefault="00FE123A" w:rsidP="007C18A8">
      <w:pPr>
        <w:kinsoku w:val="0"/>
        <w:overflowPunct w:val="0"/>
        <w:adjustRightInd w:val="0"/>
        <w:snapToGrid w:val="0"/>
        <w:spacing w:line="600" w:lineRule="exact"/>
        <w:ind w:leftChars="-11" w:left="-10" w:hangingChars="3" w:hanging="16"/>
        <w:rPr>
          <w:rFonts w:ascii="標楷體" w:eastAsia="標楷體" w:hAnsi="標楷體" w:cs="新細明體"/>
          <w:kern w:val="0"/>
          <w:sz w:val="52"/>
          <w:szCs w:val="52"/>
        </w:rPr>
      </w:pPr>
      <w:r w:rsidRPr="00E31337">
        <w:rPr>
          <w:rFonts w:ascii="標楷體" w:eastAsia="標楷體" w:hAnsi="標楷體" w:cs="新細明體"/>
          <w:kern w:val="0"/>
          <w:sz w:val="52"/>
          <w:szCs w:val="52"/>
        </w:rPr>
        <w:t>「</w:t>
      </w:r>
      <w:r w:rsidRPr="00E31337">
        <w:rPr>
          <w:rFonts w:ascii="標楷體" w:eastAsia="標楷體" w:hAnsi="標楷體" w:hint="eastAsia"/>
          <w:sz w:val="52"/>
          <w:szCs w:val="52"/>
        </w:rPr>
        <w:t>中央銀行</w:t>
      </w:r>
      <w:r w:rsidR="00695C03" w:rsidRPr="00E31337">
        <w:rPr>
          <w:rFonts w:ascii="標楷體" w:eastAsia="標楷體" w:hAnsi="標楷體" w:hint="eastAsia"/>
          <w:sz w:val="52"/>
          <w:szCs w:val="52"/>
        </w:rPr>
        <w:t>法</w:t>
      </w:r>
      <w:r w:rsidRPr="00E31337">
        <w:rPr>
          <w:rFonts w:ascii="標楷體" w:eastAsia="標楷體" w:hAnsi="標楷體" w:hint="eastAsia"/>
          <w:sz w:val="52"/>
          <w:szCs w:val="52"/>
        </w:rPr>
        <w:t>第二十條及第</w:t>
      </w:r>
      <w:r w:rsidR="00690AA5" w:rsidRPr="00E31337">
        <w:rPr>
          <w:rFonts w:ascii="標楷體" w:eastAsia="標楷體" w:hAnsi="標楷體" w:hint="eastAsia"/>
          <w:sz w:val="52"/>
          <w:szCs w:val="52"/>
        </w:rPr>
        <w:t>三</w:t>
      </w:r>
      <w:r w:rsidRPr="00E31337">
        <w:rPr>
          <w:rFonts w:ascii="標楷體" w:eastAsia="標楷體" w:hAnsi="標楷體" w:hint="eastAsia"/>
          <w:sz w:val="52"/>
          <w:szCs w:val="52"/>
        </w:rPr>
        <w:t>十三條條文修正草案</w:t>
      </w:r>
      <w:r w:rsidRPr="00E31337">
        <w:rPr>
          <w:rFonts w:ascii="標楷體" w:eastAsia="標楷體" w:hAnsi="標楷體" w:cs="新細明體" w:hint="eastAsia"/>
          <w:kern w:val="0"/>
          <w:sz w:val="52"/>
          <w:szCs w:val="52"/>
        </w:rPr>
        <w:t>」</w:t>
      </w:r>
      <w:r w:rsidRPr="00E31337">
        <w:rPr>
          <w:rFonts w:ascii="標楷體" w:eastAsia="標楷體" w:hAnsi="標楷體" w:cs="新細明體"/>
          <w:kern w:val="0"/>
          <w:sz w:val="52"/>
          <w:szCs w:val="52"/>
        </w:rPr>
        <w:t>公聽會</w:t>
      </w:r>
    </w:p>
    <w:p w:rsidR="00FE123A" w:rsidRPr="00076AA7" w:rsidRDefault="00FE123A" w:rsidP="007C18A8"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jc w:val="both"/>
        <w:rPr>
          <w:rFonts w:ascii="標楷體" w:eastAsia="標楷體" w:hAnsi="標楷體" w:cs="新細明體"/>
          <w:kern w:val="0"/>
          <w:sz w:val="44"/>
          <w:szCs w:val="44"/>
        </w:rPr>
      </w:pPr>
    </w:p>
    <w:p w:rsidR="00FE123A" w:rsidRDefault="00FE123A" w:rsidP="007C18A8"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leftChars="33" w:left="79" w:firstLine="3"/>
        <w:jc w:val="both"/>
        <w:rPr>
          <w:rFonts w:ascii="標楷體" w:eastAsia="標楷體" w:hAnsi="標楷體" w:cs="新細明體"/>
          <w:kern w:val="0"/>
          <w:sz w:val="44"/>
          <w:szCs w:val="44"/>
        </w:rPr>
      </w:pPr>
      <w:r w:rsidRPr="00280A54">
        <w:rPr>
          <w:rFonts w:ascii="標楷體" w:eastAsia="標楷體" w:hAnsi="標楷體" w:cs="新細明體"/>
          <w:kern w:val="0"/>
          <w:sz w:val="44"/>
          <w:szCs w:val="44"/>
        </w:rPr>
        <w:t>討論</w:t>
      </w:r>
      <w:r>
        <w:rPr>
          <w:rFonts w:ascii="標楷體" w:eastAsia="標楷體" w:hAnsi="標楷體" w:cs="新細明體" w:hint="eastAsia"/>
          <w:kern w:val="0"/>
          <w:sz w:val="44"/>
          <w:szCs w:val="44"/>
        </w:rPr>
        <w:t>提</w:t>
      </w:r>
      <w:r w:rsidRPr="00280A54">
        <w:rPr>
          <w:rFonts w:ascii="標楷體" w:eastAsia="標楷體" w:hAnsi="標楷體" w:cs="新細明體"/>
          <w:kern w:val="0"/>
          <w:sz w:val="44"/>
          <w:szCs w:val="44"/>
        </w:rPr>
        <w:t>綱：</w:t>
      </w:r>
    </w:p>
    <w:p w:rsidR="00FE123A" w:rsidRPr="00FE123A" w:rsidRDefault="00FE123A" w:rsidP="00B577FD">
      <w:pPr>
        <w:kinsoku w:val="0"/>
        <w:overflowPunct w:val="0"/>
        <w:autoSpaceDE w:val="0"/>
        <w:autoSpaceDN w:val="0"/>
        <w:spacing w:line="640" w:lineRule="exact"/>
        <w:ind w:left="880" w:hangingChars="200" w:hanging="880"/>
        <w:jc w:val="both"/>
        <w:rPr>
          <w:rFonts w:ascii="標楷體" w:eastAsia="標楷體" w:hAnsi="標楷體"/>
          <w:sz w:val="44"/>
          <w:szCs w:val="44"/>
        </w:rPr>
      </w:pPr>
      <w:r w:rsidRPr="00FE123A">
        <w:rPr>
          <w:rFonts w:ascii="標楷體" w:eastAsia="標楷體" w:hAnsi="標楷體" w:hint="eastAsia"/>
          <w:sz w:val="44"/>
          <w:szCs w:val="44"/>
        </w:rPr>
        <w:t>一、</w:t>
      </w:r>
      <w:r>
        <w:rPr>
          <w:rFonts w:ascii="標楷體" w:eastAsia="標楷體" w:hAnsi="標楷體" w:hint="eastAsia"/>
          <w:sz w:val="44"/>
          <w:szCs w:val="44"/>
        </w:rPr>
        <w:t>一</w:t>
      </w:r>
      <w:r w:rsidRPr="00FE123A">
        <w:rPr>
          <w:rFonts w:ascii="標楷體" w:eastAsia="標楷體" w:hAnsi="標楷體" w:hint="eastAsia"/>
          <w:sz w:val="44"/>
          <w:szCs w:val="44"/>
        </w:rPr>
        <w:t>國維持外匯儲備流動性與安全性之最適數額</w:t>
      </w:r>
      <w:r>
        <w:rPr>
          <w:rFonts w:ascii="標楷體" w:eastAsia="標楷體" w:hAnsi="標楷體" w:hint="eastAsia"/>
          <w:sz w:val="44"/>
          <w:szCs w:val="44"/>
        </w:rPr>
        <w:t>？</w:t>
      </w:r>
      <w:r w:rsidRPr="00FE123A">
        <w:rPr>
          <w:rFonts w:ascii="標楷體" w:eastAsia="標楷體" w:hAnsi="標楷體" w:hint="eastAsia"/>
          <w:sz w:val="44"/>
          <w:szCs w:val="44"/>
        </w:rPr>
        <w:t>(包括占GDP、進口金額、M2、短期外債或其他指標之比例)</w:t>
      </w:r>
    </w:p>
    <w:p w:rsidR="00FE123A" w:rsidRPr="00FE123A" w:rsidRDefault="00FE123A" w:rsidP="00B577FD">
      <w:pPr>
        <w:kinsoku w:val="0"/>
        <w:overflowPunct w:val="0"/>
        <w:autoSpaceDE w:val="0"/>
        <w:autoSpaceDN w:val="0"/>
        <w:spacing w:line="640" w:lineRule="exact"/>
        <w:ind w:left="880" w:hangingChars="200" w:hanging="880"/>
        <w:jc w:val="both"/>
        <w:rPr>
          <w:rFonts w:ascii="標楷體" w:eastAsia="標楷體" w:hAnsi="標楷體"/>
          <w:sz w:val="44"/>
          <w:szCs w:val="44"/>
        </w:rPr>
      </w:pPr>
      <w:r w:rsidRPr="00FE123A">
        <w:rPr>
          <w:rFonts w:ascii="標楷體" w:eastAsia="標楷體" w:hAnsi="標楷體" w:hint="eastAsia"/>
          <w:sz w:val="44"/>
          <w:szCs w:val="44"/>
        </w:rPr>
        <w:t>二、台灣外匯儲備高達5</w:t>
      </w:r>
      <w:r>
        <w:rPr>
          <w:rFonts w:ascii="標楷體" w:eastAsia="標楷體" w:hAnsi="標楷體"/>
          <w:sz w:val="44"/>
          <w:szCs w:val="44"/>
        </w:rPr>
        <w:t>,</w:t>
      </w:r>
      <w:r>
        <w:rPr>
          <w:rFonts w:ascii="標楷體" w:eastAsia="標楷體" w:hAnsi="標楷體" w:hint="eastAsia"/>
          <w:sz w:val="44"/>
          <w:szCs w:val="44"/>
        </w:rPr>
        <w:t>6</w:t>
      </w:r>
      <w:r w:rsidRPr="00FE123A">
        <w:rPr>
          <w:rFonts w:ascii="標楷體" w:eastAsia="標楷體" w:hAnsi="標楷體" w:hint="eastAsia"/>
          <w:sz w:val="44"/>
          <w:szCs w:val="44"/>
        </w:rPr>
        <w:t>0</w:t>
      </w:r>
      <w:r>
        <w:rPr>
          <w:rFonts w:ascii="標楷體" w:eastAsia="標楷體" w:hAnsi="標楷體" w:hint="eastAsia"/>
          <w:sz w:val="44"/>
          <w:szCs w:val="44"/>
        </w:rPr>
        <w:t>2</w:t>
      </w:r>
      <w:r w:rsidRPr="00FE123A">
        <w:rPr>
          <w:rFonts w:ascii="標楷體" w:eastAsia="標楷體" w:hAnsi="標楷體" w:hint="eastAsia"/>
          <w:sz w:val="44"/>
          <w:szCs w:val="44"/>
        </w:rPr>
        <w:t>億美元、全球第四</w:t>
      </w:r>
      <w:r>
        <w:rPr>
          <w:rFonts w:ascii="標楷體" w:eastAsia="標楷體" w:hAnsi="標楷體" w:hint="eastAsia"/>
          <w:sz w:val="44"/>
          <w:szCs w:val="44"/>
        </w:rPr>
        <w:t>，</w:t>
      </w:r>
      <w:r w:rsidRPr="00FE123A">
        <w:rPr>
          <w:rFonts w:ascii="標楷體" w:eastAsia="標楷體" w:hAnsi="標楷體" w:hint="eastAsia"/>
          <w:sz w:val="44"/>
          <w:szCs w:val="44"/>
        </w:rPr>
        <w:t>其成因為何</w:t>
      </w:r>
      <w:r>
        <w:rPr>
          <w:rFonts w:ascii="標楷體" w:eastAsia="標楷體" w:hAnsi="標楷體" w:hint="eastAsia"/>
          <w:sz w:val="44"/>
          <w:szCs w:val="44"/>
        </w:rPr>
        <w:t>？</w:t>
      </w:r>
      <w:r w:rsidRPr="00FE123A">
        <w:rPr>
          <w:rFonts w:ascii="標楷體" w:eastAsia="標楷體" w:hAnsi="標楷體" w:hint="eastAsia"/>
          <w:sz w:val="44"/>
          <w:szCs w:val="44"/>
        </w:rPr>
        <w:t>是否有數額過高與貨幣政策失靈之問題</w:t>
      </w:r>
      <w:r>
        <w:rPr>
          <w:rFonts w:ascii="標楷體" w:eastAsia="標楷體" w:hAnsi="標楷體" w:hint="eastAsia"/>
          <w:sz w:val="44"/>
          <w:szCs w:val="44"/>
        </w:rPr>
        <w:t>？</w:t>
      </w:r>
    </w:p>
    <w:p w:rsidR="00FE123A" w:rsidRPr="00FE123A" w:rsidRDefault="00FE123A" w:rsidP="00B577FD">
      <w:pPr>
        <w:kinsoku w:val="0"/>
        <w:overflowPunct w:val="0"/>
        <w:autoSpaceDE w:val="0"/>
        <w:autoSpaceDN w:val="0"/>
        <w:spacing w:line="640" w:lineRule="exact"/>
        <w:ind w:left="880" w:hangingChars="200" w:hanging="880"/>
        <w:jc w:val="both"/>
        <w:rPr>
          <w:rFonts w:ascii="標楷體" w:eastAsia="標楷體" w:hAnsi="標楷體"/>
          <w:sz w:val="44"/>
          <w:szCs w:val="44"/>
        </w:rPr>
      </w:pPr>
      <w:r w:rsidRPr="00FE123A">
        <w:rPr>
          <w:rFonts w:ascii="標楷體" w:eastAsia="標楷體" w:hAnsi="標楷體" w:hint="eastAsia"/>
          <w:sz w:val="44"/>
          <w:szCs w:val="44"/>
        </w:rPr>
        <w:t>三、台灣外匯儲備歷年持有美債之數額及比例為何</w:t>
      </w:r>
      <w:r>
        <w:rPr>
          <w:rFonts w:ascii="標楷體" w:eastAsia="標楷體" w:hAnsi="標楷體" w:hint="eastAsia"/>
          <w:sz w:val="44"/>
          <w:szCs w:val="44"/>
        </w:rPr>
        <w:t>？</w:t>
      </w:r>
      <w:r w:rsidRPr="00FE123A">
        <w:rPr>
          <w:rFonts w:ascii="標楷體" w:eastAsia="標楷體" w:hAnsi="標楷體" w:hint="eastAsia"/>
          <w:sz w:val="44"/>
          <w:szCs w:val="44"/>
        </w:rPr>
        <w:t>在近期利率上升</w:t>
      </w:r>
      <w:bookmarkStart w:id="0" w:name="_GoBack"/>
      <w:bookmarkEnd w:id="0"/>
      <w:r w:rsidR="00327B10">
        <w:rPr>
          <w:rFonts w:ascii="標楷體" w:eastAsia="標楷體" w:hAnsi="標楷體" w:hint="eastAsia"/>
          <w:sz w:val="44"/>
          <w:szCs w:val="44"/>
        </w:rPr>
        <w:t>及美元全球通貨地位弱化下</w:t>
      </w:r>
      <w:r>
        <w:rPr>
          <w:rFonts w:ascii="標楷體" w:eastAsia="標楷體" w:hAnsi="標楷體" w:hint="eastAsia"/>
          <w:sz w:val="44"/>
          <w:szCs w:val="44"/>
        </w:rPr>
        <w:t>，</w:t>
      </w:r>
      <w:r w:rsidRPr="00FE123A">
        <w:rPr>
          <w:rFonts w:ascii="標楷體" w:eastAsia="標楷體" w:hAnsi="標楷體" w:hint="eastAsia"/>
          <w:sz w:val="44"/>
          <w:szCs w:val="44"/>
        </w:rPr>
        <w:t>央行可能面對之問題</w:t>
      </w:r>
      <w:r>
        <w:rPr>
          <w:rFonts w:ascii="標楷體" w:eastAsia="標楷體" w:hAnsi="標楷體" w:hint="eastAsia"/>
          <w:sz w:val="44"/>
          <w:szCs w:val="44"/>
        </w:rPr>
        <w:t>？</w:t>
      </w:r>
    </w:p>
    <w:p w:rsidR="00FE123A" w:rsidRPr="00FE123A" w:rsidRDefault="00FE123A" w:rsidP="00B577FD">
      <w:pPr>
        <w:kinsoku w:val="0"/>
        <w:overflowPunct w:val="0"/>
        <w:autoSpaceDE w:val="0"/>
        <w:autoSpaceDN w:val="0"/>
        <w:spacing w:line="640" w:lineRule="exact"/>
        <w:ind w:left="880" w:hangingChars="200" w:hanging="880"/>
        <w:jc w:val="both"/>
        <w:rPr>
          <w:rFonts w:ascii="標楷體" w:eastAsia="標楷體" w:hAnsi="標楷體"/>
          <w:sz w:val="44"/>
          <w:szCs w:val="44"/>
        </w:rPr>
      </w:pPr>
      <w:r w:rsidRPr="00FE123A">
        <w:rPr>
          <w:rFonts w:ascii="標楷體" w:eastAsia="標楷體" w:hAnsi="標楷體" w:hint="eastAsia"/>
          <w:sz w:val="44"/>
          <w:szCs w:val="44"/>
        </w:rPr>
        <w:t>四、台灣是否應仿效他國</w:t>
      </w:r>
      <w:r>
        <w:rPr>
          <w:rFonts w:ascii="標楷體" w:eastAsia="標楷體" w:hAnsi="標楷體" w:hint="eastAsia"/>
          <w:sz w:val="44"/>
          <w:szCs w:val="44"/>
        </w:rPr>
        <w:t>，</w:t>
      </w:r>
      <w:r w:rsidRPr="00FE123A">
        <w:rPr>
          <w:rFonts w:ascii="標楷體" w:eastAsia="標楷體" w:hAnsi="標楷體" w:hint="eastAsia"/>
          <w:sz w:val="44"/>
          <w:szCs w:val="44"/>
        </w:rPr>
        <w:t>設立國家主權基金</w:t>
      </w:r>
      <w:r>
        <w:rPr>
          <w:rFonts w:ascii="標楷體" w:eastAsia="標楷體" w:hAnsi="標楷體" w:hint="eastAsia"/>
          <w:sz w:val="44"/>
          <w:szCs w:val="44"/>
        </w:rPr>
        <w:t>，</w:t>
      </w:r>
      <w:r w:rsidRPr="00FE123A">
        <w:rPr>
          <w:rFonts w:ascii="標楷體" w:eastAsia="標楷體" w:hAnsi="標楷體" w:hint="eastAsia"/>
          <w:sz w:val="44"/>
          <w:szCs w:val="44"/>
        </w:rPr>
        <w:t>透過靈活投資提高外匯盈餘</w:t>
      </w:r>
      <w:r>
        <w:rPr>
          <w:rFonts w:ascii="標楷體" w:eastAsia="標楷體" w:hAnsi="標楷體" w:hint="eastAsia"/>
          <w:sz w:val="44"/>
          <w:szCs w:val="44"/>
        </w:rPr>
        <w:t>，</w:t>
      </w:r>
      <w:r w:rsidRPr="00FE123A">
        <w:rPr>
          <w:rFonts w:ascii="標楷體" w:eastAsia="標楷體" w:hAnsi="標楷體" w:hint="eastAsia"/>
          <w:sz w:val="44"/>
          <w:szCs w:val="44"/>
        </w:rPr>
        <w:t>以增加國庫收入及支應預算支出</w:t>
      </w:r>
      <w:r>
        <w:rPr>
          <w:rFonts w:ascii="標楷體" w:eastAsia="標楷體" w:hAnsi="標楷體" w:hint="eastAsia"/>
          <w:sz w:val="44"/>
          <w:szCs w:val="44"/>
        </w:rPr>
        <w:t>？</w:t>
      </w:r>
    </w:p>
    <w:p w:rsidR="00FE123A" w:rsidRPr="00FE123A" w:rsidRDefault="00FE123A" w:rsidP="00B577FD">
      <w:pPr>
        <w:kinsoku w:val="0"/>
        <w:overflowPunct w:val="0"/>
        <w:autoSpaceDE w:val="0"/>
        <w:autoSpaceDN w:val="0"/>
        <w:spacing w:line="640" w:lineRule="exact"/>
        <w:ind w:left="880" w:hangingChars="200" w:hanging="880"/>
        <w:jc w:val="both"/>
        <w:rPr>
          <w:rFonts w:ascii="標楷體" w:eastAsia="標楷體" w:hAnsi="標楷體"/>
          <w:sz w:val="44"/>
          <w:szCs w:val="44"/>
        </w:rPr>
      </w:pPr>
      <w:r w:rsidRPr="00FE123A">
        <w:rPr>
          <w:rFonts w:ascii="標楷體" w:eastAsia="標楷體" w:hAnsi="標楷體" w:hint="eastAsia"/>
          <w:sz w:val="44"/>
          <w:szCs w:val="44"/>
        </w:rPr>
        <w:t>五、台灣</w:t>
      </w:r>
      <w:r>
        <w:rPr>
          <w:rFonts w:ascii="標楷體" w:eastAsia="標楷體" w:hAnsi="標楷體" w:hint="eastAsia"/>
          <w:sz w:val="44"/>
          <w:szCs w:val="44"/>
        </w:rPr>
        <w:t>成</w:t>
      </w:r>
      <w:r w:rsidRPr="00FE123A">
        <w:rPr>
          <w:rFonts w:ascii="標楷體" w:eastAsia="標楷體" w:hAnsi="標楷體" w:hint="eastAsia"/>
          <w:sz w:val="44"/>
          <w:szCs w:val="44"/>
        </w:rPr>
        <w:t>立主權基金之最適監</w:t>
      </w:r>
      <w:r>
        <w:rPr>
          <w:rFonts w:ascii="標楷體" w:eastAsia="標楷體" w:hAnsi="標楷體" w:hint="eastAsia"/>
          <w:sz w:val="44"/>
          <w:szCs w:val="44"/>
        </w:rPr>
        <w:t>管</w:t>
      </w:r>
      <w:r w:rsidRPr="00FE123A">
        <w:rPr>
          <w:rFonts w:ascii="標楷體" w:eastAsia="標楷體" w:hAnsi="標楷體" w:hint="eastAsia"/>
          <w:sz w:val="44"/>
          <w:szCs w:val="44"/>
        </w:rPr>
        <w:t>機關與監管方式</w:t>
      </w:r>
      <w:r>
        <w:rPr>
          <w:rFonts w:ascii="標楷體" w:eastAsia="標楷體" w:hAnsi="標楷體" w:hint="eastAsia"/>
          <w:sz w:val="44"/>
          <w:szCs w:val="44"/>
        </w:rPr>
        <w:t>？</w:t>
      </w:r>
    </w:p>
    <w:p w:rsidR="006B3AFB" w:rsidRPr="00FE123A" w:rsidRDefault="00FE123A" w:rsidP="00B577FD">
      <w:pPr>
        <w:kinsoku w:val="0"/>
        <w:overflowPunct w:val="0"/>
        <w:autoSpaceDE w:val="0"/>
        <w:autoSpaceDN w:val="0"/>
        <w:spacing w:line="640" w:lineRule="exact"/>
        <w:ind w:left="880" w:hangingChars="200" w:hanging="880"/>
        <w:jc w:val="both"/>
        <w:rPr>
          <w:rFonts w:ascii="標楷體" w:eastAsia="標楷體" w:hAnsi="標楷體"/>
          <w:sz w:val="44"/>
          <w:szCs w:val="44"/>
        </w:rPr>
      </w:pPr>
      <w:r w:rsidRPr="00FE123A">
        <w:rPr>
          <w:rFonts w:ascii="標楷體" w:eastAsia="標楷體" w:hAnsi="標楷體" w:hint="eastAsia"/>
          <w:sz w:val="44"/>
          <w:szCs w:val="44"/>
        </w:rPr>
        <w:t>六、基於聖地牙</w:t>
      </w:r>
      <w:r w:rsidR="00327B10">
        <w:rPr>
          <w:rFonts w:ascii="標楷體" w:eastAsia="標楷體" w:hAnsi="標楷體" w:hint="eastAsia"/>
          <w:sz w:val="44"/>
          <w:szCs w:val="44"/>
        </w:rPr>
        <w:t>哥</w:t>
      </w:r>
      <w:r w:rsidRPr="00FE123A">
        <w:rPr>
          <w:rFonts w:ascii="標楷體" w:eastAsia="標楷體" w:hAnsi="標楷體" w:hint="eastAsia"/>
          <w:sz w:val="44"/>
          <w:szCs w:val="44"/>
        </w:rPr>
        <w:t>原則</w:t>
      </w:r>
      <w:r>
        <w:rPr>
          <w:rFonts w:ascii="標楷體" w:eastAsia="標楷體" w:hAnsi="標楷體" w:hint="eastAsia"/>
          <w:sz w:val="44"/>
          <w:szCs w:val="44"/>
        </w:rPr>
        <w:t>，來</w:t>
      </w:r>
      <w:r w:rsidRPr="00FE123A">
        <w:rPr>
          <w:rFonts w:ascii="標楷體" w:eastAsia="標楷體" w:hAnsi="標楷體" w:hint="eastAsia"/>
          <w:sz w:val="44"/>
          <w:szCs w:val="44"/>
        </w:rPr>
        <w:t>進行主權基金的對外投資</w:t>
      </w:r>
      <w:r>
        <w:rPr>
          <w:rFonts w:ascii="標楷體" w:eastAsia="標楷體" w:hAnsi="標楷體" w:hint="eastAsia"/>
          <w:sz w:val="44"/>
          <w:szCs w:val="44"/>
        </w:rPr>
        <w:t>，</w:t>
      </w:r>
      <w:r w:rsidRPr="00FE123A">
        <w:rPr>
          <w:rFonts w:ascii="標楷體" w:eastAsia="標楷體" w:hAnsi="標楷體" w:hint="eastAsia"/>
          <w:sz w:val="44"/>
          <w:szCs w:val="44"/>
        </w:rPr>
        <w:t>其利、弊為何</w:t>
      </w:r>
      <w:r>
        <w:rPr>
          <w:rFonts w:ascii="標楷體" w:eastAsia="標楷體" w:hAnsi="標楷體" w:hint="eastAsia"/>
          <w:sz w:val="44"/>
          <w:szCs w:val="44"/>
        </w:rPr>
        <w:t>？</w:t>
      </w:r>
    </w:p>
    <w:sectPr w:rsidR="006B3AFB" w:rsidRPr="00FE123A" w:rsidSect="007C18A8">
      <w:pgSz w:w="11906" w:h="16838"/>
      <w:pgMar w:top="1440" w:right="1080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836" w:rsidRDefault="00B24836" w:rsidP="00F8567C">
      <w:r>
        <w:separator/>
      </w:r>
    </w:p>
  </w:endnote>
  <w:endnote w:type="continuationSeparator" w:id="0">
    <w:p w:rsidR="00B24836" w:rsidRDefault="00B24836" w:rsidP="00F85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836" w:rsidRDefault="00B24836" w:rsidP="00F8567C">
      <w:r>
        <w:separator/>
      </w:r>
    </w:p>
  </w:footnote>
  <w:footnote w:type="continuationSeparator" w:id="0">
    <w:p w:rsidR="00B24836" w:rsidRDefault="00B24836" w:rsidP="00F85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23A"/>
    <w:rsid w:val="00327B10"/>
    <w:rsid w:val="00690AA5"/>
    <w:rsid w:val="00695C03"/>
    <w:rsid w:val="006B3AFB"/>
    <w:rsid w:val="007C18A8"/>
    <w:rsid w:val="00B24836"/>
    <w:rsid w:val="00B577FD"/>
    <w:rsid w:val="00E31337"/>
    <w:rsid w:val="00F8567C"/>
    <w:rsid w:val="00F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FC79DB-E2FC-4E0A-854F-94F7D30FD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23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90A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90AA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856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8567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856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856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ko-pin</dc:creator>
  <cp:keywords/>
  <dc:description/>
  <cp:lastModifiedBy>ko-pin</cp:lastModifiedBy>
  <cp:revision>8</cp:revision>
  <cp:lastPrinted>2023-05-02T08:11:00Z</cp:lastPrinted>
  <dcterms:created xsi:type="dcterms:W3CDTF">2023-05-02T03:37:00Z</dcterms:created>
  <dcterms:modified xsi:type="dcterms:W3CDTF">2023-05-04T03:37:00Z</dcterms:modified>
</cp:coreProperties>
</file>