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23A" w:rsidRPr="00E31337" w:rsidRDefault="00FE123A" w:rsidP="007C18A8">
      <w:pPr>
        <w:kinsoku w:val="0"/>
        <w:overflowPunct w:val="0"/>
        <w:adjustRightInd w:val="0"/>
        <w:snapToGrid w:val="0"/>
        <w:spacing w:line="600" w:lineRule="exact"/>
        <w:ind w:leftChars="-11" w:left="-10" w:hangingChars="3" w:hanging="16"/>
        <w:rPr>
          <w:rFonts w:ascii="標楷體" w:eastAsia="標楷體" w:hAnsi="標楷體" w:cs="新細明體"/>
          <w:kern w:val="0"/>
          <w:sz w:val="52"/>
          <w:szCs w:val="52"/>
        </w:rPr>
      </w:pPr>
      <w:r w:rsidRPr="00E31337">
        <w:rPr>
          <w:rFonts w:ascii="標楷體" w:eastAsia="標楷體" w:hAnsi="標楷體" w:cs="新細明體"/>
          <w:kern w:val="0"/>
          <w:sz w:val="52"/>
          <w:szCs w:val="52"/>
        </w:rPr>
        <w:t>「</w:t>
      </w:r>
      <w:r w:rsidR="00CC35A4" w:rsidRPr="00CC35A4">
        <w:rPr>
          <w:rFonts w:ascii="標楷體" w:eastAsia="標楷體" w:hAnsi="標楷體" w:cs="新細明體" w:hint="eastAsia"/>
          <w:kern w:val="0"/>
          <w:sz w:val="52"/>
          <w:szCs w:val="52"/>
        </w:rPr>
        <w:t>證券交易法第四條及第一百六十五條之二條文修正草案</w:t>
      </w:r>
      <w:r w:rsidRPr="00E31337">
        <w:rPr>
          <w:rFonts w:ascii="標楷體" w:eastAsia="標楷體" w:hAnsi="標楷體" w:cs="新細明體" w:hint="eastAsia"/>
          <w:kern w:val="0"/>
          <w:sz w:val="52"/>
          <w:szCs w:val="52"/>
        </w:rPr>
        <w:t>」</w:t>
      </w:r>
      <w:r w:rsidRPr="00E31337">
        <w:rPr>
          <w:rFonts w:ascii="標楷體" w:eastAsia="標楷體" w:hAnsi="標楷體" w:cs="新細明體"/>
          <w:kern w:val="0"/>
          <w:sz w:val="52"/>
          <w:szCs w:val="52"/>
        </w:rPr>
        <w:t>公聽會</w:t>
      </w:r>
    </w:p>
    <w:p w:rsidR="00FE123A" w:rsidRPr="00076AA7" w:rsidRDefault="00FE123A" w:rsidP="007C18A8"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jc w:val="both"/>
        <w:rPr>
          <w:rFonts w:ascii="標楷體" w:eastAsia="標楷體" w:hAnsi="標楷體" w:cs="新細明體"/>
          <w:kern w:val="0"/>
          <w:sz w:val="44"/>
          <w:szCs w:val="44"/>
        </w:rPr>
      </w:pPr>
    </w:p>
    <w:p w:rsidR="00FE123A" w:rsidRPr="00CC35A4" w:rsidRDefault="00FE123A" w:rsidP="007C18A8"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leftChars="33" w:left="79" w:firstLine="3"/>
        <w:jc w:val="both"/>
        <w:rPr>
          <w:rFonts w:ascii="標楷體" w:eastAsia="標楷體" w:hAnsi="標楷體" w:cs="新細明體"/>
          <w:kern w:val="0"/>
          <w:sz w:val="48"/>
          <w:szCs w:val="48"/>
        </w:rPr>
      </w:pPr>
      <w:r w:rsidRPr="00CC35A4">
        <w:rPr>
          <w:rFonts w:ascii="標楷體" w:eastAsia="標楷體" w:hAnsi="標楷體" w:cs="新細明體"/>
          <w:kern w:val="0"/>
          <w:sz w:val="48"/>
          <w:szCs w:val="48"/>
        </w:rPr>
        <w:t>討論</w:t>
      </w:r>
      <w:r w:rsidRPr="00CC35A4">
        <w:rPr>
          <w:rFonts w:ascii="標楷體" w:eastAsia="標楷體" w:hAnsi="標楷體" w:cs="新細明體" w:hint="eastAsia"/>
          <w:kern w:val="0"/>
          <w:sz w:val="48"/>
          <w:szCs w:val="48"/>
        </w:rPr>
        <w:t>提</w:t>
      </w:r>
      <w:r w:rsidRPr="00CC35A4">
        <w:rPr>
          <w:rFonts w:ascii="標楷體" w:eastAsia="標楷體" w:hAnsi="標楷體" w:cs="新細明體"/>
          <w:kern w:val="0"/>
          <w:sz w:val="48"/>
          <w:szCs w:val="48"/>
        </w:rPr>
        <w:t>綱：</w:t>
      </w:r>
    </w:p>
    <w:p w:rsidR="00CC35A4" w:rsidRPr="00CC35A4" w:rsidRDefault="00CC35A4" w:rsidP="00CC35A4">
      <w:pPr>
        <w:kinsoku w:val="0"/>
        <w:overflowPunct w:val="0"/>
        <w:autoSpaceDE w:val="0"/>
        <w:autoSpaceDN w:val="0"/>
        <w:ind w:left="880" w:hangingChars="200" w:hanging="880"/>
        <w:jc w:val="both"/>
        <w:rPr>
          <w:rFonts w:ascii="標楷體" w:eastAsia="標楷體" w:hAnsi="標楷體" w:hint="eastAsia"/>
          <w:sz w:val="44"/>
          <w:szCs w:val="44"/>
        </w:rPr>
      </w:pPr>
      <w:r w:rsidRPr="00CC35A4">
        <w:rPr>
          <w:rFonts w:ascii="標楷體" w:eastAsia="標楷體" w:hAnsi="標楷體" w:hint="eastAsia"/>
          <w:sz w:val="44"/>
          <w:szCs w:val="44"/>
        </w:rPr>
        <w:t>一、台灣存託憑證TDR的核定－76年900號函之內涵併參考金管會歷次核定有價證券之內容。</w:t>
      </w:r>
    </w:p>
    <w:p w:rsidR="00CC35A4" w:rsidRPr="00CC35A4" w:rsidRDefault="00CC35A4" w:rsidP="00CC35A4">
      <w:pPr>
        <w:kinsoku w:val="0"/>
        <w:overflowPunct w:val="0"/>
        <w:autoSpaceDE w:val="0"/>
        <w:autoSpaceDN w:val="0"/>
        <w:ind w:left="880" w:hangingChars="200" w:hanging="880"/>
        <w:jc w:val="both"/>
        <w:rPr>
          <w:rFonts w:ascii="標楷體" w:eastAsia="標楷體" w:hAnsi="標楷體" w:hint="eastAsia"/>
          <w:sz w:val="44"/>
          <w:szCs w:val="44"/>
        </w:rPr>
      </w:pPr>
      <w:r w:rsidRPr="00CC35A4">
        <w:rPr>
          <w:rFonts w:ascii="標楷體" w:eastAsia="標楷體" w:hAnsi="標楷體" w:hint="eastAsia"/>
          <w:sz w:val="44"/>
          <w:szCs w:val="44"/>
        </w:rPr>
        <w:t>二、是否違反罪刑法定主義？</w:t>
      </w:r>
    </w:p>
    <w:p w:rsidR="00CC35A4" w:rsidRPr="00CC35A4" w:rsidRDefault="00CC35A4" w:rsidP="00CC35A4">
      <w:pPr>
        <w:kinsoku w:val="0"/>
        <w:overflowPunct w:val="0"/>
        <w:autoSpaceDE w:val="0"/>
        <w:autoSpaceDN w:val="0"/>
        <w:ind w:left="880" w:hangingChars="200" w:hanging="880"/>
        <w:jc w:val="both"/>
        <w:rPr>
          <w:rFonts w:ascii="標楷體" w:eastAsia="標楷體" w:hAnsi="標楷體" w:hint="eastAsia"/>
          <w:sz w:val="44"/>
          <w:szCs w:val="44"/>
        </w:rPr>
      </w:pPr>
      <w:r w:rsidRPr="00CC35A4">
        <w:rPr>
          <w:rFonts w:ascii="標楷體" w:eastAsia="標楷體" w:hAnsi="標楷體" w:hint="eastAsia"/>
          <w:sz w:val="44"/>
          <w:szCs w:val="44"/>
        </w:rPr>
        <w:t>三、是否違反法律授權明確性？</w:t>
      </w:r>
    </w:p>
    <w:p w:rsidR="00FE123A" w:rsidRPr="00FE123A" w:rsidRDefault="00CC35A4" w:rsidP="00CC35A4">
      <w:pPr>
        <w:kinsoku w:val="0"/>
        <w:overflowPunct w:val="0"/>
        <w:autoSpaceDE w:val="0"/>
        <w:autoSpaceDN w:val="0"/>
        <w:ind w:left="880" w:hangingChars="200" w:hanging="880"/>
        <w:jc w:val="both"/>
        <w:rPr>
          <w:rFonts w:ascii="標楷體" w:eastAsia="標楷體" w:hAnsi="標楷體" w:hint="eastAsia"/>
          <w:sz w:val="44"/>
          <w:szCs w:val="44"/>
        </w:rPr>
      </w:pPr>
      <w:r w:rsidRPr="00CC35A4">
        <w:rPr>
          <w:rFonts w:ascii="標楷體" w:eastAsia="標楷體" w:hAnsi="標楷體" w:hint="eastAsia"/>
          <w:sz w:val="44"/>
          <w:szCs w:val="44"/>
        </w:rPr>
        <w:t>四、推動修法與維護人權公益之探討。</w:t>
      </w:r>
      <w:bookmarkStart w:id="0" w:name="_GoBack"/>
      <w:bookmarkEnd w:id="0"/>
    </w:p>
    <w:sectPr w:rsidR="00FE123A" w:rsidRPr="00FE123A" w:rsidSect="007C18A8">
      <w:pgSz w:w="11906" w:h="16838"/>
      <w:pgMar w:top="1440" w:right="1080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752" w:rsidRDefault="00AB1752" w:rsidP="008C1251">
      <w:r>
        <w:separator/>
      </w:r>
    </w:p>
  </w:endnote>
  <w:endnote w:type="continuationSeparator" w:id="0">
    <w:p w:rsidR="00AB1752" w:rsidRDefault="00AB1752" w:rsidP="008C1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752" w:rsidRDefault="00AB1752" w:rsidP="008C1251">
      <w:r>
        <w:separator/>
      </w:r>
    </w:p>
  </w:footnote>
  <w:footnote w:type="continuationSeparator" w:id="0">
    <w:p w:rsidR="00AB1752" w:rsidRDefault="00AB1752" w:rsidP="008C12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23A"/>
    <w:rsid w:val="00327B10"/>
    <w:rsid w:val="00690AA5"/>
    <w:rsid w:val="00695C03"/>
    <w:rsid w:val="006B3AFB"/>
    <w:rsid w:val="007C18A8"/>
    <w:rsid w:val="008C1251"/>
    <w:rsid w:val="00AB1752"/>
    <w:rsid w:val="00B577FD"/>
    <w:rsid w:val="00CC35A4"/>
    <w:rsid w:val="00E31337"/>
    <w:rsid w:val="00F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0069FD"/>
  <w15:chartTrackingRefBased/>
  <w15:docId w15:val="{27FC79DB-E2FC-4E0A-854F-94F7D30FD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23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90A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90AA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C12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C125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C12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C125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ko-pin</dc:creator>
  <cp:keywords/>
  <dc:description/>
  <cp:lastModifiedBy>ko-pin</cp:lastModifiedBy>
  <cp:revision>3</cp:revision>
  <cp:lastPrinted>2023-05-03T07:20:00Z</cp:lastPrinted>
  <dcterms:created xsi:type="dcterms:W3CDTF">2023-05-03T07:18:00Z</dcterms:created>
  <dcterms:modified xsi:type="dcterms:W3CDTF">2023-05-03T07:23:00Z</dcterms:modified>
</cp:coreProperties>
</file>