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6C6A19" w:rsidRPr="0065526C" w:rsidRDefault="006C6A19" w:rsidP="005F0989">
      <w:pPr>
        <w:pStyle w:val="14"/>
        <w:ind w:left="567" w:hanging="567"/>
      </w:pPr>
      <w:bookmarkStart w:id="2" w:name="_Toc159590478"/>
      <w:bookmarkEnd w:id="0"/>
      <w:r w:rsidRPr="0065526C">
        <w:rPr>
          <w:rFonts w:hint="eastAsia"/>
        </w:rPr>
        <w:t>第2項、客家委員會及所屬</w:t>
      </w:r>
      <w:bookmarkEnd w:id="2"/>
    </w:p>
    <w:p w:rsidR="006C6A19" w:rsidRPr="0065526C" w:rsidRDefault="006C6A19" w:rsidP="005F0989">
      <w:pPr>
        <w:pStyle w:val="a7"/>
        <w:ind w:left="567" w:hanging="567"/>
      </w:pPr>
      <w:r w:rsidRPr="0065526C">
        <w:rPr>
          <w:rFonts w:hint="eastAsia"/>
        </w:rPr>
        <w:t>一、允宜通盤檢討客庄旅遊</w:t>
      </w:r>
      <w:r>
        <w:rPr>
          <w:rFonts w:hint="eastAsia"/>
        </w:rPr>
        <w:t>券</w:t>
      </w:r>
      <w:r w:rsidRPr="0065526C">
        <w:rPr>
          <w:rFonts w:hint="eastAsia"/>
        </w:rPr>
        <w:t>領用</w:t>
      </w:r>
      <w:r>
        <w:rPr>
          <w:rFonts w:hint="eastAsia"/>
        </w:rPr>
        <w:t>率及使用</w:t>
      </w:r>
      <w:r w:rsidRPr="0065526C">
        <w:rPr>
          <w:rFonts w:hint="eastAsia"/>
        </w:rPr>
        <w:t>率</w:t>
      </w:r>
      <w:r>
        <w:rPr>
          <w:rFonts w:hint="eastAsia"/>
        </w:rPr>
        <w:t>未如預期情形</w:t>
      </w:r>
      <w:r>
        <w:rPr>
          <w:rFonts w:hAnsi="標楷體" w:hint="eastAsia"/>
        </w:rPr>
        <w:t>，</w:t>
      </w:r>
      <w:r w:rsidRPr="0065526C">
        <w:rPr>
          <w:rFonts w:hAnsi="標楷體" w:hint="eastAsia"/>
        </w:rPr>
        <w:t>另</w:t>
      </w:r>
      <w:r>
        <w:rPr>
          <w:rFonts w:hAnsi="標楷體" w:hint="eastAsia"/>
        </w:rPr>
        <w:t>宜</w:t>
      </w:r>
      <w:r w:rsidRPr="0065526C">
        <w:rPr>
          <w:rFonts w:hAnsi="標楷體" w:hint="eastAsia"/>
        </w:rPr>
        <w:t>研議改善</w:t>
      </w:r>
      <w:r w:rsidRPr="0065526C">
        <w:rPr>
          <w:rFonts w:hint="eastAsia"/>
        </w:rPr>
        <w:t>部分客庄社區連線品質不佳等</w:t>
      </w:r>
      <w:r>
        <w:rPr>
          <w:rFonts w:hAnsi="標楷體" w:hint="eastAsia"/>
        </w:rPr>
        <w:t>，</w:t>
      </w:r>
      <w:r>
        <w:rPr>
          <w:rFonts w:hint="eastAsia"/>
        </w:rPr>
        <w:t>以利振興客庄觀光及產業發展之成效</w:t>
      </w:r>
    </w:p>
    <w:p w:rsidR="006C6A19" w:rsidRPr="008862DF" w:rsidRDefault="006C6A19" w:rsidP="005F0989">
      <w:pPr>
        <w:ind w:left="566" w:firstLine="566"/>
      </w:pPr>
      <w:r w:rsidRPr="008862DF">
        <w:rPr>
          <w:rFonts w:hint="eastAsia"/>
        </w:rPr>
        <w:t>客家委員會(以下簡稱客委會)</w:t>
      </w:r>
      <w:r w:rsidRPr="0019125C">
        <w:rPr>
          <w:rFonts w:hint="eastAsia"/>
        </w:rPr>
        <w:t>嚴重特殊傳染性肺炎特別預算</w:t>
      </w:r>
      <w:r w:rsidRPr="008862DF">
        <w:rPr>
          <w:rFonts w:hint="eastAsia"/>
        </w:rPr>
        <w:t>「嚴重特殊傳染性肺炎紓困振興」預算數3億5,000萬元(含追加預算2億元)，係辦理客庄產業整體行銷及補助民眾至客庄旅遊等事項，預算執行結果，決算數3億1,812萬4千元及賸餘數</w:t>
      </w:r>
      <w:r w:rsidRPr="008862DF">
        <w:t>3</w:t>
      </w:r>
      <w:r w:rsidRPr="008862DF">
        <w:rPr>
          <w:rFonts w:hint="eastAsia"/>
        </w:rPr>
        <w:t>,</w:t>
      </w:r>
      <w:r w:rsidRPr="008862DF">
        <w:t>187</w:t>
      </w:r>
      <w:r w:rsidRPr="008862DF">
        <w:rPr>
          <w:rFonts w:hint="eastAsia"/>
        </w:rPr>
        <w:t>萬</w:t>
      </w:r>
      <w:r w:rsidRPr="008862DF">
        <w:t>6</w:t>
      </w:r>
      <w:r w:rsidRPr="008862DF">
        <w:rPr>
          <w:rFonts w:hint="eastAsia"/>
        </w:rPr>
        <w:t>千元，執行率為90.89%</w:t>
      </w:r>
      <w:r w:rsidRPr="008862DF">
        <w:t>(</w:t>
      </w:r>
      <w:r w:rsidRPr="008862DF">
        <w:rPr>
          <w:rFonts w:hint="eastAsia"/>
        </w:rPr>
        <w:t>詳表</w:t>
      </w:r>
      <w:r w:rsidRPr="008862DF">
        <w:t>1)</w:t>
      </w:r>
      <w:r w:rsidRPr="008862DF">
        <w:rPr>
          <w:rFonts w:hint="eastAsia"/>
        </w:rPr>
        <w:t>。經查：</w:t>
      </w:r>
    </w:p>
    <w:p w:rsidR="006C6A19" w:rsidRPr="0065526C" w:rsidRDefault="006C6A19" w:rsidP="005F0989">
      <w:pPr>
        <w:snapToGrid w:val="0"/>
        <w:spacing w:line="500" w:lineRule="atLeast"/>
        <w:ind w:leftChars="4" w:left="470" w:rightChars="-66" w:right="-187" w:hangingChars="162" w:hanging="459"/>
        <w:rPr>
          <w:b/>
        </w:rPr>
      </w:pPr>
      <w:r w:rsidRPr="0065526C">
        <w:rPr>
          <w:rFonts w:hint="eastAsia"/>
          <w:b/>
        </w:rPr>
        <w:t>表1 客委會</w:t>
      </w:r>
      <w:r w:rsidRPr="0065526C">
        <w:rPr>
          <w:rFonts w:hAnsi="標楷體" w:hint="eastAsia"/>
          <w:b/>
        </w:rPr>
        <w:t>「</w:t>
      </w:r>
      <w:r w:rsidRPr="0065526C">
        <w:rPr>
          <w:rFonts w:hint="eastAsia"/>
          <w:b/>
        </w:rPr>
        <w:t>嚴重特殊傳染性肺炎紓困振興</w:t>
      </w:r>
      <w:r>
        <w:rPr>
          <w:rFonts w:hAnsi="標楷體" w:hint="eastAsia"/>
          <w:b/>
        </w:rPr>
        <w:t>」</w:t>
      </w:r>
      <w:r w:rsidRPr="0065526C">
        <w:rPr>
          <w:rFonts w:hint="eastAsia"/>
          <w:b/>
        </w:rPr>
        <w:t>特別預算執行情形表</w:t>
      </w:r>
    </w:p>
    <w:p w:rsidR="006C6A19" w:rsidRPr="0065526C" w:rsidRDefault="006C6A19" w:rsidP="005F0989">
      <w:pPr>
        <w:snapToGrid w:val="0"/>
        <w:spacing w:line="400" w:lineRule="atLeast"/>
        <w:ind w:leftChars="-81" w:left="474" w:rightChars="-12" w:right="-34" w:hangingChars="248" w:hanging="703"/>
        <w:jc w:val="right"/>
        <w:rPr>
          <w:sz w:val="24"/>
          <w:szCs w:val="24"/>
        </w:rPr>
      </w:pPr>
      <w:r w:rsidRPr="0065526C">
        <w:rPr>
          <w:rFonts w:hint="eastAsia"/>
          <w:b/>
        </w:rPr>
        <w:t xml:space="preserve">                     </w:t>
      </w:r>
      <w:r w:rsidRPr="0065526C">
        <w:rPr>
          <w:rFonts w:hint="eastAsia"/>
          <w:sz w:val="24"/>
          <w:szCs w:val="24"/>
        </w:rPr>
        <w:t>單位：新臺幣千元</w:t>
      </w:r>
    </w:p>
    <w:tbl>
      <w:tblPr>
        <w:tblW w:w="85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52"/>
        <w:gridCol w:w="1199"/>
        <w:gridCol w:w="1276"/>
        <w:gridCol w:w="1134"/>
        <w:gridCol w:w="1134"/>
        <w:gridCol w:w="1134"/>
        <w:gridCol w:w="1007"/>
      </w:tblGrid>
      <w:tr w:rsidR="006C6A19" w:rsidRPr="0065526C" w:rsidTr="005F0989">
        <w:trPr>
          <w:tblHeader/>
          <w:jc w:val="center"/>
        </w:trPr>
        <w:tc>
          <w:tcPr>
            <w:tcW w:w="1652" w:type="dxa"/>
            <w:vMerge w:val="restart"/>
            <w:shd w:val="clear" w:color="auto" w:fill="auto"/>
            <w:vAlign w:val="center"/>
          </w:tcPr>
          <w:p w:rsidR="006C6A19" w:rsidRPr="0065526C" w:rsidRDefault="006C6A19" w:rsidP="005F0989">
            <w:pPr>
              <w:pStyle w:val="142"/>
              <w:jc w:val="center"/>
            </w:pPr>
            <w:r w:rsidRPr="0065526C">
              <w:t>工作項目</w:t>
            </w:r>
          </w:p>
        </w:tc>
        <w:tc>
          <w:tcPr>
            <w:tcW w:w="5877" w:type="dxa"/>
            <w:gridSpan w:val="5"/>
          </w:tcPr>
          <w:p w:rsidR="006C6A19" w:rsidRPr="0065526C" w:rsidRDefault="006C6A19" w:rsidP="005F0989">
            <w:pPr>
              <w:pStyle w:val="142"/>
              <w:jc w:val="center"/>
            </w:pPr>
            <w:r>
              <w:rPr>
                <w:rFonts w:hAnsi="標楷體" w:hint="eastAsia"/>
              </w:rPr>
              <w:t>「</w:t>
            </w:r>
            <w:r w:rsidRPr="0065526C">
              <w:rPr>
                <w:rFonts w:hint="eastAsia"/>
              </w:rPr>
              <w:t>嚴重特殊傳染性肺炎紓困振興</w:t>
            </w:r>
            <w:r>
              <w:rPr>
                <w:rFonts w:hAnsi="標楷體" w:hint="eastAsia"/>
              </w:rPr>
              <w:t>」</w:t>
            </w:r>
            <w:r w:rsidRPr="0065526C">
              <w:rPr>
                <w:rFonts w:hint="eastAsia"/>
              </w:rPr>
              <w:t>特別預算執行情形</w:t>
            </w:r>
          </w:p>
          <w:p w:rsidR="006C6A19" w:rsidRPr="0065526C" w:rsidRDefault="006C6A19" w:rsidP="005F0989">
            <w:pPr>
              <w:pStyle w:val="142"/>
              <w:jc w:val="center"/>
            </w:pPr>
            <w:r w:rsidRPr="0065526C">
              <w:rPr>
                <w:rFonts w:hint="eastAsia"/>
              </w:rPr>
              <w:t>109.1.15至112.6.30</w:t>
            </w:r>
          </w:p>
        </w:tc>
        <w:tc>
          <w:tcPr>
            <w:tcW w:w="1007" w:type="dxa"/>
            <w:vMerge w:val="restart"/>
            <w:vAlign w:val="center"/>
          </w:tcPr>
          <w:p w:rsidR="006C6A19" w:rsidRPr="0065526C" w:rsidRDefault="006C6A19" w:rsidP="005F0989">
            <w:pPr>
              <w:pStyle w:val="142"/>
              <w:jc w:val="center"/>
            </w:pPr>
            <w:r w:rsidRPr="0065526C">
              <w:rPr>
                <w:rFonts w:hint="eastAsia"/>
              </w:rPr>
              <w:t>執行率(B/A)</w:t>
            </w:r>
          </w:p>
        </w:tc>
      </w:tr>
      <w:tr w:rsidR="006C6A19" w:rsidRPr="0065526C" w:rsidTr="005F0989">
        <w:trPr>
          <w:tblHeader/>
          <w:jc w:val="center"/>
        </w:trPr>
        <w:tc>
          <w:tcPr>
            <w:tcW w:w="1652" w:type="dxa"/>
            <w:vMerge/>
            <w:shd w:val="clear" w:color="auto" w:fill="auto"/>
            <w:vAlign w:val="center"/>
          </w:tcPr>
          <w:p w:rsidR="006C6A19" w:rsidRPr="0065526C" w:rsidRDefault="006C6A19" w:rsidP="005F0989">
            <w:pPr>
              <w:pStyle w:val="142"/>
              <w:jc w:val="both"/>
            </w:pPr>
          </w:p>
        </w:tc>
        <w:tc>
          <w:tcPr>
            <w:tcW w:w="2475" w:type="dxa"/>
            <w:gridSpan w:val="2"/>
            <w:vAlign w:val="center"/>
          </w:tcPr>
          <w:p w:rsidR="006C6A19" w:rsidRPr="0065526C" w:rsidRDefault="006C6A19" w:rsidP="005F0989">
            <w:pPr>
              <w:pStyle w:val="142"/>
              <w:jc w:val="center"/>
            </w:pPr>
            <w:r w:rsidRPr="0065526C">
              <w:rPr>
                <w:rFonts w:hint="eastAsia"/>
              </w:rPr>
              <w:t>預算數(A)</w:t>
            </w:r>
          </w:p>
        </w:tc>
        <w:tc>
          <w:tcPr>
            <w:tcW w:w="2268" w:type="dxa"/>
            <w:gridSpan w:val="2"/>
            <w:shd w:val="clear" w:color="auto" w:fill="auto"/>
            <w:vAlign w:val="center"/>
          </w:tcPr>
          <w:p w:rsidR="006C6A19" w:rsidRPr="0065526C" w:rsidRDefault="006C6A19" w:rsidP="005F0989">
            <w:pPr>
              <w:pStyle w:val="142"/>
              <w:jc w:val="center"/>
            </w:pPr>
            <w:r w:rsidRPr="0065526C">
              <w:t>審定決算數</w:t>
            </w:r>
            <w:r w:rsidRPr="0065526C">
              <w:rPr>
                <w:rFonts w:hint="eastAsia"/>
              </w:rPr>
              <w:t>(B)</w:t>
            </w:r>
          </w:p>
        </w:tc>
        <w:tc>
          <w:tcPr>
            <w:tcW w:w="1134" w:type="dxa"/>
            <w:vMerge w:val="restart"/>
            <w:vAlign w:val="center"/>
          </w:tcPr>
          <w:p w:rsidR="006C6A19" w:rsidRPr="0065526C" w:rsidRDefault="006C6A19" w:rsidP="005F0989">
            <w:pPr>
              <w:pStyle w:val="142"/>
              <w:jc w:val="center"/>
            </w:pPr>
            <w:r w:rsidRPr="0065526C">
              <w:rPr>
                <w:rFonts w:hint="eastAsia"/>
              </w:rPr>
              <w:t>賸餘數</w:t>
            </w:r>
          </w:p>
        </w:tc>
        <w:tc>
          <w:tcPr>
            <w:tcW w:w="1007" w:type="dxa"/>
            <w:vMerge/>
          </w:tcPr>
          <w:p w:rsidR="006C6A19" w:rsidRPr="0065526C" w:rsidRDefault="006C6A19" w:rsidP="005F0989">
            <w:pPr>
              <w:pStyle w:val="142"/>
            </w:pPr>
          </w:p>
        </w:tc>
      </w:tr>
      <w:tr w:rsidR="006C6A19" w:rsidRPr="0065526C" w:rsidTr="005F0989">
        <w:trPr>
          <w:trHeight w:val="590"/>
          <w:tblHeader/>
          <w:jc w:val="center"/>
        </w:trPr>
        <w:tc>
          <w:tcPr>
            <w:tcW w:w="1652" w:type="dxa"/>
            <w:vMerge/>
            <w:shd w:val="clear" w:color="auto" w:fill="auto"/>
            <w:vAlign w:val="center"/>
          </w:tcPr>
          <w:p w:rsidR="006C6A19" w:rsidRPr="0065526C" w:rsidRDefault="006C6A19" w:rsidP="005F0989">
            <w:pPr>
              <w:pStyle w:val="142"/>
              <w:jc w:val="both"/>
            </w:pPr>
          </w:p>
        </w:tc>
        <w:tc>
          <w:tcPr>
            <w:tcW w:w="1199" w:type="dxa"/>
            <w:shd w:val="clear" w:color="auto" w:fill="auto"/>
            <w:vAlign w:val="center"/>
          </w:tcPr>
          <w:p w:rsidR="006C6A19" w:rsidRPr="0065526C" w:rsidRDefault="006C6A19" w:rsidP="005F0989">
            <w:pPr>
              <w:pStyle w:val="142"/>
              <w:jc w:val="center"/>
            </w:pPr>
            <w:r w:rsidRPr="0065526C">
              <w:rPr>
                <w:rFonts w:hint="eastAsia"/>
              </w:rPr>
              <w:t>原預算數</w:t>
            </w:r>
          </w:p>
        </w:tc>
        <w:tc>
          <w:tcPr>
            <w:tcW w:w="1276" w:type="dxa"/>
            <w:vAlign w:val="center"/>
          </w:tcPr>
          <w:p w:rsidR="006C6A19" w:rsidRPr="0065526C" w:rsidRDefault="006C6A19" w:rsidP="005F0989">
            <w:pPr>
              <w:pStyle w:val="142"/>
              <w:jc w:val="center"/>
            </w:pPr>
            <w:r>
              <w:rPr>
                <w:rFonts w:hint="eastAsia"/>
              </w:rPr>
              <w:t>追加</w:t>
            </w:r>
            <w:r w:rsidRPr="0065526C">
              <w:rPr>
                <w:rFonts w:hint="eastAsia"/>
              </w:rPr>
              <w:t>預算</w:t>
            </w:r>
          </w:p>
        </w:tc>
        <w:tc>
          <w:tcPr>
            <w:tcW w:w="1134" w:type="dxa"/>
            <w:shd w:val="clear" w:color="auto" w:fill="auto"/>
            <w:vAlign w:val="center"/>
          </w:tcPr>
          <w:p w:rsidR="006C6A19" w:rsidRPr="0065526C" w:rsidRDefault="006C6A19" w:rsidP="005F0989">
            <w:pPr>
              <w:pStyle w:val="142"/>
              <w:jc w:val="center"/>
            </w:pPr>
            <w:r w:rsidRPr="0065526C">
              <w:rPr>
                <w:rFonts w:hint="eastAsia"/>
              </w:rPr>
              <w:t>實現數</w:t>
            </w:r>
          </w:p>
        </w:tc>
        <w:tc>
          <w:tcPr>
            <w:tcW w:w="1134" w:type="dxa"/>
            <w:shd w:val="clear" w:color="auto" w:fill="auto"/>
            <w:vAlign w:val="center"/>
          </w:tcPr>
          <w:p w:rsidR="006C6A19" w:rsidRPr="0065526C" w:rsidRDefault="006C6A19" w:rsidP="005F0989">
            <w:pPr>
              <w:pStyle w:val="142"/>
              <w:jc w:val="center"/>
            </w:pPr>
            <w:r w:rsidRPr="0065526C">
              <w:t>應付</w:t>
            </w:r>
          </w:p>
          <w:p w:rsidR="006C6A19" w:rsidRPr="0065526C" w:rsidRDefault="006C6A19" w:rsidP="005F0989">
            <w:pPr>
              <w:pStyle w:val="142"/>
              <w:jc w:val="center"/>
            </w:pPr>
            <w:r w:rsidRPr="0065526C">
              <w:t>保留</w:t>
            </w:r>
            <w:r w:rsidRPr="0065526C">
              <w:rPr>
                <w:rFonts w:hint="eastAsia"/>
              </w:rPr>
              <w:t>數</w:t>
            </w:r>
          </w:p>
        </w:tc>
        <w:tc>
          <w:tcPr>
            <w:tcW w:w="1134" w:type="dxa"/>
            <w:vMerge/>
          </w:tcPr>
          <w:p w:rsidR="006C6A19" w:rsidRPr="0065526C" w:rsidRDefault="006C6A19" w:rsidP="005F0989">
            <w:pPr>
              <w:pStyle w:val="142"/>
              <w:rPr>
                <w:b/>
              </w:rPr>
            </w:pPr>
          </w:p>
        </w:tc>
        <w:tc>
          <w:tcPr>
            <w:tcW w:w="1007" w:type="dxa"/>
            <w:vMerge/>
          </w:tcPr>
          <w:p w:rsidR="006C6A19" w:rsidRPr="0065526C" w:rsidRDefault="006C6A19" w:rsidP="005F0989">
            <w:pPr>
              <w:pStyle w:val="142"/>
              <w:rPr>
                <w:b/>
              </w:rPr>
            </w:pP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vertAlign w:val="superscript"/>
              </w:rPr>
            </w:pPr>
            <w:r w:rsidRPr="0065526C">
              <w:rPr>
                <w:rFonts w:hAnsi="標楷體" w:hint="eastAsia"/>
                <w:spacing w:val="-12"/>
                <w:szCs w:val="22"/>
              </w:rPr>
              <w:t>辦理客家產業展售會及相關行銷活動等</w:t>
            </w:r>
          </w:p>
        </w:tc>
        <w:tc>
          <w:tcPr>
            <w:tcW w:w="1199" w:type="dxa"/>
            <w:shd w:val="clear" w:color="auto" w:fill="auto"/>
            <w:vAlign w:val="center"/>
          </w:tcPr>
          <w:p w:rsidR="006C6A19" w:rsidRPr="0065526C" w:rsidRDefault="006C6A19" w:rsidP="005F0989">
            <w:pPr>
              <w:pStyle w:val="142"/>
              <w:jc w:val="right"/>
            </w:pPr>
            <w:r w:rsidRPr="0065526C">
              <w:rPr>
                <w:rFonts w:hAnsi="標楷體"/>
                <w:szCs w:val="22"/>
              </w:rPr>
              <w:t>18,000</w:t>
            </w:r>
          </w:p>
        </w:tc>
        <w:tc>
          <w:tcPr>
            <w:tcW w:w="1276" w:type="dxa"/>
            <w:vAlign w:val="center"/>
          </w:tcPr>
          <w:p w:rsidR="006C6A19" w:rsidRPr="0065526C" w:rsidRDefault="006C6A19" w:rsidP="005F0989">
            <w:pPr>
              <w:pStyle w:val="142"/>
              <w:jc w:val="right"/>
            </w:pPr>
            <w:r w:rsidRPr="0065526C">
              <w:t>-</w:t>
            </w:r>
          </w:p>
        </w:tc>
        <w:tc>
          <w:tcPr>
            <w:tcW w:w="1134" w:type="dxa"/>
            <w:shd w:val="clear" w:color="auto" w:fill="auto"/>
            <w:vAlign w:val="center"/>
          </w:tcPr>
          <w:p w:rsidR="006C6A19" w:rsidRPr="0065526C" w:rsidRDefault="006C6A19" w:rsidP="005F0989">
            <w:pPr>
              <w:pStyle w:val="142"/>
              <w:jc w:val="right"/>
            </w:pPr>
            <w:r w:rsidRPr="0065526C">
              <w:rPr>
                <w:rFonts w:hint="eastAsia"/>
              </w:rPr>
              <w:t>1</w:t>
            </w:r>
            <w:r w:rsidRPr="0065526C">
              <w:t>0,708</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7</w:t>
            </w:r>
            <w:r w:rsidRPr="0065526C">
              <w:t>,292</w:t>
            </w:r>
          </w:p>
        </w:tc>
        <w:tc>
          <w:tcPr>
            <w:tcW w:w="1007" w:type="dxa"/>
            <w:vAlign w:val="center"/>
          </w:tcPr>
          <w:p w:rsidR="006C6A19" w:rsidRPr="0065526C" w:rsidRDefault="006C6A19" w:rsidP="005F0989">
            <w:pPr>
              <w:pStyle w:val="142"/>
              <w:jc w:val="right"/>
            </w:pPr>
            <w:r w:rsidRPr="0065526C">
              <w:rPr>
                <w:rFonts w:hint="eastAsia"/>
              </w:rPr>
              <w:t>59.49%</w:t>
            </w: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rPr>
            </w:pPr>
            <w:r w:rsidRPr="0065526C">
              <w:rPr>
                <w:rFonts w:hAnsi="標楷體" w:hint="eastAsia"/>
                <w:spacing w:val="-12"/>
                <w:szCs w:val="22"/>
              </w:rPr>
              <w:t>發放電子旅遊</w:t>
            </w:r>
            <w:r>
              <w:rPr>
                <w:rFonts w:hAnsi="標楷體" w:hint="eastAsia"/>
                <w:spacing w:val="-12"/>
                <w:szCs w:val="22"/>
              </w:rPr>
              <w:t>券</w:t>
            </w:r>
            <w:r w:rsidRPr="0065526C">
              <w:rPr>
                <w:rFonts w:hAnsi="標楷體" w:hint="eastAsia"/>
                <w:spacing w:val="-12"/>
                <w:szCs w:val="22"/>
              </w:rPr>
              <w:t>補助國內外人士至客庄旅遊等</w:t>
            </w:r>
          </w:p>
        </w:tc>
        <w:tc>
          <w:tcPr>
            <w:tcW w:w="1199" w:type="dxa"/>
            <w:shd w:val="clear" w:color="auto" w:fill="auto"/>
            <w:vAlign w:val="center"/>
          </w:tcPr>
          <w:p w:rsidR="006C6A19" w:rsidRPr="0065526C" w:rsidRDefault="006C6A19" w:rsidP="005F0989">
            <w:pPr>
              <w:pStyle w:val="142"/>
              <w:jc w:val="right"/>
            </w:pPr>
            <w:r w:rsidRPr="0065526C">
              <w:rPr>
                <w:rFonts w:hAnsi="標楷體"/>
                <w:szCs w:val="22"/>
              </w:rPr>
              <w:t>132,000</w:t>
            </w:r>
          </w:p>
        </w:tc>
        <w:tc>
          <w:tcPr>
            <w:tcW w:w="1276" w:type="dxa"/>
            <w:vAlign w:val="center"/>
          </w:tcPr>
          <w:p w:rsidR="006C6A19" w:rsidRPr="0065526C" w:rsidRDefault="006C6A19" w:rsidP="005F0989">
            <w:pPr>
              <w:pStyle w:val="142"/>
              <w:jc w:val="right"/>
              <w:rPr>
                <w:snapToGrid/>
              </w:rPr>
            </w:pPr>
            <w:r w:rsidRPr="0065526C">
              <w:rPr>
                <w:rFonts w:hAnsi="標楷體"/>
                <w:szCs w:val="22"/>
              </w:rPr>
              <w:t>183,00</w:t>
            </w:r>
            <w:r w:rsidRPr="0065526C">
              <w:rPr>
                <w:rFonts w:hAnsi="標楷體" w:hint="eastAsia"/>
                <w:szCs w:val="22"/>
              </w:rPr>
              <w:t>0</w:t>
            </w:r>
          </w:p>
        </w:tc>
        <w:tc>
          <w:tcPr>
            <w:tcW w:w="1134" w:type="dxa"/>
            <w:shd w:val="clear" w:color="auto" w:fill="auto"/>
            <w:vAlign w:val="center"/>
          </w:tcPr>
          <w:p w:rsidR="006C6A19" w:rsidRPr="0065526C" w:rsidRDefault="006C6A19" w:rsidP="005F0989">
            <w:pPr>
              <w:pStyle w:val="142"/>
              <w:jc w:val="right"/>
            </w:pPr>
            <w:r w:rsidRPr="0065526C">
              <w:rPr>
                <w:rFonts w:hint="eastAsia"/>
              </w:rPr>
              <w:t>2</w:t>
            </w:r>
            <w:r w:rsidRPr="0065526C">
              <w:t>90,416</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2</w:t>
            </w:r>
            <w:r w:rsidRPr="0065526C">
              <w:t>4,584</w:t>
            </w:r>
          </w:p>
        </w:tc>
        <w:tc>
          <w:tcPr>
            <w:tcW w:w="1007" w:type="dxa"/>
            <w:vAlign w:val="center"/>
          </w:tcPr>
          <w:p w:rsidR="006C6A19" w:rsidRPr="0065526C" w:rsidRDefault="006C6A19" w:rsidP="005F0989">
            <w:pPr>
              <w:pStyle w:val="142"/>
              <w:jc w:val="right"/>
            </w:pPr>
            <w:r w:rsidRPr="0065526C">
              <w:rPr>
                <w:rFonts w:hint="eastAsia"/>
              </w:rPr>
              <w:t>92.20%</w:t>
            </w:r>
          </w:p>
        </w:tc>
      </w:tr>
      <w:tr w:rsidR="006C6A19" w:rsidRPr="0065526C" w:rsidTr="005F0989">
        <w:trPr>
          <w:jc w:val="center"/>
        </w:trPr>
        <w:tc>
          <w:tcPr>
            <w:tcW w:w="1652" w:type="dxa"/>
            <w:shd w:val="clear" w:color="auto" w:fill="auto"/>
          </w:tcPr>
          <w:p w:rsidR="006C6A19" w:rsidRPr="0065526C" w:rsidRDefault="006C6A19" w:rsidP="005F0989">
            <w:pPr>
              <w:pStyle w:val="142"/>
              <w:jc w:val="both"/>
              <w:rPr>
                <w:spacing w:val="-12"/>
                <w:vertAlign w:val="superscript"/>
              </w:rPr>
            </w:pPr>
            <w:r w:rsidRPr="0065526C">
              <w:rPr>
                <w:rFonts w:hAnsi="標楷體" w:hint="eastAsia"/>
                <w:spacing w:val="-12"/>
                <w:szCs w:val="22"/>
              </w:rPr>
              <w:t>辦理行銷推廣與發</w:t>
            </w:r>
            <w:r>
              <w:rPr>
                <w:rFonts w:hAnsi="標楷體" w:hint="eastAsia"/>
                <w:spacing w:val="-12"/>
                <w:szCs w:val="22"/>
              </w:rPr>
              <w:t>券</w:t>
            </w:r>
            <w:r w:rsidRPr="0065526C">
              <w:rPr>
                <w:rFonts w:hAnsi="標楷體" w:hint="eastAsia"/>
                <w:spacing w:val="-12"/>
                <w:szCs w:val="22"/>
              </w:rPr>
              <w:t>核銷系統勞務案等</w:t>
            </w:r>
          </w:p>
        </w:tc>
        <w:tc>
          <w:tcPr>
            <w:tcW w:w="1199" w:type="dxa"/>
            <w:shd w:val="clear" w:color="auto" w:fill="auto"/>
            <w:vAlign w:val="center"/>
          </w:tcPr>
          <w:p w:rsidR="006C6A19" w:rsidRPr="0065526C" w:rsidRDefault="006C6A19" w:rsidP="005F0989">
            <w:pPr>
              <w:pStyle w:val="142"/>
              <w:jc w:val="right"/>
            </w:pPr>
            <w:r w:rsidRPr="0065526C">
              <w:t>-</w:t>
            </w:r>
          </w:p>
        </w:tc>
        <w:tc>
          <w:tcPr>
            <w:tcW w:w="1276" w:type="dxa"/>
            <w:vAlign w:val="center"/>
          </w:tcPr>
          <w:p w:rsidR="006C6A19" w:rsidRPr="0065526C" w:rsidRDefault="006C6A19" w:rsidP="005F0989">
            <w:pPr>
              <w:pStyle w:val="142"/>
              <w:jc w:val="right"/>
            </w:pPr>
            <w:r w:rsidRPr="0065526C">
              <w:rPr>
                <w:rFonts w:hAnsi="標楷體" w:hint="eastAsia"/>
                <w:szCs w:val="22"/>
              </w:rPr>
              <w:t>17,000</w:t>
            </w:r>
          </w:p>
        </w:tc>
        <w:tc>
          <w:tcPr>
            <w:tcW w:w="1134" w:type="dxa"/>
            <w:shd w:val="clear" w:color="auto" w:fill="auto"/>
            <w:vAlign w:val="center"/>
          </w:tcPr>
          <w:p w:rsidR="006C6A19" w:rsidRPr="0065526C" w:rsidRDefault="006C6A19" w:rsidP="005F0989">
            <w:pPr>
              <w:pStyle w:val="142"/>
              <w:jc w:val="right"/>
            </w:pPr>
            <w:r w:rsidRPr="0065526C">
              <w:rPr>
                <w:rFonts w:hint="eastAsia"/>
              </w:rPr>
              <w:t>1</w:t>
            </w:r>
            <w:r w:rsidRPr="0065526C">
              <w:t>7,000</w:t>
            </w:r>
          </w:p>
        </w:tc>
        <w:tc>
          <w:tcPr>
            <w:tcW w:w="1134" w:type="dxa"/>
            <w:shd w:val="clear" w:color="auto" w:fill="auto"/>
            <w:vAlign w:val="center"/>
          </w:tcPr>
          <w:p w:rsidR="006C6A19" w:rsidRPr="0065526C" w:rsidRDefault="006C6A19" w:rsidP="005F0989">
            <w:pPr>
              <w:pStyle w:val="142"/>
              <w:jc w:val="right"/>
            </w:pPr>
            <w:r w:rsidRPr="0065526C">
              <w:rPr>
                <w:rFonts w:hint="eastAsia"/>
              </w:rPr>
              <w:t>0</w:t>
            </w:r>
          </w:p>
        </w:tc>
        <w:tc>
          <w:tcPr>
            <w:tcW w:w="1134" w:type="dxa"/>
            <w:vAlign w:val="center"/>
          </w:tcPr>
          <w:p w:rsidR="006C6A19" w:rsidRPr="0065526C" w:rsidRDefault="006C6A19" w:rsidP="005F0989">
            <w:pPr>
              <w:pStyle w:val="142"/>
              <w:jc w:val="right"/>
            </w:pPr>
            <w:r w:rsidRPr="0065526C">
              <w:rPr>
                <w:rFonts w:hint="eastAsia"/>
              </w:rPr>
              <w:t>0</w:t>
            </w:r>
          </w:p>
        </w:tc>
        <w:tc>
          <w:tcPr>
            <w:tcW w:w="1007" w:type="dxa"/>
            <w:vAlign w:val="center"/>
          </w:tcPr>
          <w:p w:rsidR="006C6A19" w:rsidRPr="0065526C" w:rsidRDefault="006C6A19" w:rsidP="005F0989">
            <w:pPr>
              <w:pStyle w:val="142"/>
              <w:jc w:val="right"/>
            </w:pPr>
            <w:r w:rsidRPr="0065526C">
              <w:rPr>
                <w:rFonts w:hint="eastAsia"/>
              </w:rPr>
              <w:t>100.0%</w:t>
            </w:r>
          </w:p>
        </w:tc>
      </w:tr>
      <w:tr w:rsidR="006C6A19" w:rsidRPr="0065526C" w:rsidTr="005F0989">
        <w:trPr>
          <w:trHeight w:val="180"/>
          <w:jc w:val="center"/>
        </w:trPr>
        <w:tc>
          <w:tcPr>
            <w:tcW w:w="1652" w:type="dxa"/>
            <w:shd w:val="clear" w:color="auto" w:fill="auto"/>
            <w:vAlign w:val="center"/>
          </w:tcPr>
          <w:p w:rsidR="006C6A19" w:rsidRPr="0065526C" w:rsidRDefault="006C6A19" w:rsidP="005F0989">
            <w:pPr>
              <w:pStyle w:val="142"/>
            </w:pPr>
            <w:r w:rsidRPr="0065526C">
              <w:rPr>
                <w:rFonts w:hint="eastAsia"/>
              </w:rPr>
              <w:t>小計</w:t>
            </w:r>
          </w:p>
        </w:tc>
        <w:tc>
          <w:tcPr>
            <w:tcW w:w="1199"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szCs w:val="24"/>
              </w:rPr>
              <w:t>150,000</w:t>
            </w:r>
          </w:p>
        </w:tc>
        <w:tc>
          <w:tcPr>
            <w:tcW w:w="1276"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szCs w:val="24"/>
              </w:rPr>
              <w:t>200,000</w:t>
            </w:r>
          </w:p>
        </w:tc>
        <w:tc>
          <w:tcPr>
            <w:tcW w:w="1134"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hint="eastAsia"/>
                <w:szCs w:val="24"/>
              </w:rPr>
              <w:t>3</w:t>
            </w:r>
            <w:r w:rsidRPr="0065526C">
              <w:rPr>
                <w:rFonts w:hAnsi="標楷體"/>
                <w:szCs w:val="24"/>
              </w:rPr>
              <w:t>18,124</w:t>
            </w:r>
          </w:p>
        </w:tc>
        <w:tc>
          <w:tcPr>
            <w:tcW w:w="1134" w:type="dxa"/>
            <w:shd w:val="clear" w:color="auto" w:fill="auto"/>
            <w:vAlign w:val="center"/>
          </w:tcPr>
          <w:p w:rsidR="006C6A19" w:rsidRPr="0065526C" w:rsidRDefault="006C6A19" w:rsidP="005F0989">
            <w:pPr>
              <w:pStyle w:val="142"/>
              <w:jc w:val="right"/>
              <w:rPr>
                <w:rFonts w:hAnsi="標楷體"/>
                <w:szCs w:val="24"/>
              </w:rPr>
            </w:pPr>
            <w:r w:rsidRPr="0065526C">
              <w:rPr>
                <w:rFonts w:hAnsi="標楷體" w:hint="eastAsia"/>
                <w:szCs w:val="24"/>
              </w:rPr>
              <w:t>0</w:t>
            </w:r>
          </w:p>
        </w:tc>
        <w:tc>
          <w:tcPr>
            <w:tcW w:w="1134" w:type="dxa"/>
            <w:vAlign w:val="center"/>
          </w:tcPr>
          <w:p w:rsidR="006C6A19" w:rsidRPr="0065526C" w:rsidRDefault="006C6A19" w:rsidP="005F0989">
            <w:pPr>
              <w:pStyle w:val="142"/>
              <w:jc w:val="right"/>
            </w:pPr>
            <w:r w:rsidRPr="0065526C">
              <w:rPr>
                <w:rFonts w:hint="eastAsia"/>
              </w:rPr>
              <w:t>3</w:t>
            </w:r>
            <w:r w:rsidRPr="0065526C">
              <w:t>1,876</w:t>
            </w:r>
          </w:p>
        </w:tc>
        <w:tc>
          <w:tcPr>
            <w:tcW w:w="1007" w:type="dxa"/>
            <w:vAlign w:val="center"/>
          </w:tcPr>
          <w:p w:rsidR="006C6A19" w:rsidRPr="0065526C" w:rsidRDefault="006C6A19" w:rsidP="005F0989">
            <w:pPr>
              <w:pStyle w:val="142"/>
              <w:jc w:val="right"/>
            </w:pPr>
            <w:r w:rsidRPr="0065526C">
              <w:rPr>
                <w:rFonts w:hint="eastAsia"/>
              </w:rPr>
              <w:t>90.89%</w:t>
            </w:r>
          </w:p>
        </w:tc>
      </w:tr>
      <w:tr w:rsidR="006C6A19" w:rsidRPr="0065526C" w:rsidTr="005F0989">
        <w:trPr>
          <w:trHeight w:val="180"/>
          <w:jc w:val="center"/>
        </w:trPr>
        <w:tc>
          <w:tcPr>
            <w:tcW w:w="1652" w:type="dxa"/>
            <w:shd w:val="clear" w:color="auto" w:fill="auto"/>
            <w:vAlign w:val="center"/>
          </w:tcPr>
          <w:p w:rsidR="006C6A19" w:rsidRPr="0065526C" w:rsidRDefault="006C6A19" w:rsidP="005F0989">
            <w:pPr>
              <w:pStyle w:val="142"/>
              <w:rPr>
                <w:b/>
              </w:rPr>
            </w:pPr>
            <w:r w:rsidRPr="0065526C">
              <w:rPr>
                <w:rFonts w:hint="eastAsia"/>
                <w:b/>
              </w:rPr>
              <w:t>合計</w:t>
            </w:r>
          </w:p>
        </w:tc>
        <w:tc>
          <w:tcPr>
            <w:tcW w:w="2475" w:type="dxa"/>
            <w:gridSpan w:val="2"/>
            <w:shd w:val="clear" w:color="auto" w:fill="auto"/>
            <w:vAlign w:val="center"/>
          </w:tcPr>
          <w:p w:rsidR="006C6A19" w:rsidRPr="0065526C" w:rsidRDefault="006C6A19" w:rsidP="005F0989">
            <w:pPr>
              <w:pStyle w:val="142"/>
              <w:jc w:val="right"/>
              <w:rPr>
                <w:rFonts w:hAnsi="標楷體"/>
                <w:b/>
                <w:szCs w:val="24"/>
              </w:rPr>
            </w:pPr>
            <w:r w:rsidRPr="0065526C">
              <w:rPr>
                <w:rFonts w:hAnsi="標楷體"/>
                <w:b/>
                <w:szCs w:val="24"/>
              </w:rPr>
              <w:t>350,000</w:t>
            </w:r>
          </w:p>
        </w:tc>
        <w:tc>
          <w:tcPr>
            <w:tcW w:w="2268" w:type="dxa"/>
            <w:gridSpan w:val="2"/>
            <w:shd w:val="clear" w:color="auto" w:fill="auto"/>
            <w:vAlign w:val="center"/>
          </w:tcPr>
          <w:p w:rsidR="006C6A19" w:rsidRPr="0065526C" w:rsidRDefault="006C6A19" w:rsidP="005F0989">
            <w:pPr>
              <w:pStyle w:val="142"/>
              <w:jc w:val="right"/>
              <w:rPr>
                <w:rFonts w:hAnsi="標楷體"/>
                <w:b/>
                <w:szCs w:val="24"/>
              </w:rPr>
            </w:pPr>
            <w:r w:rsidRPr="0065526C">
              <w:rPr>
                <w:rFonts w:hAnsi="標楷體" w:hint="eastAsia"/>
                <w:b/>
                <w:szCs w:val="24"/>
              </w:rPr>
              <w:t>3</w:t>
            </w:r>
            <w:r w:rsidRPr="0065526C">
              <w:rPr>
                <w:rFonts w:hAnsi="標楷體"/>
                <w:b/>
                <w:szCs w:val="24"/>
              </w:rPr>
              <w:t>18,124</w:t>
            </w:r>
          </w:p>
        </w:tc>
        <w:tc>
          <w:tcPr>
            <w:tcW w:w="1134" w:type="dxa"/>
            <w:vAlign w:val="center"/>
          </w:tcPr>
          <w:p w:rsidR="006C6A19" w:rsidRPr="0065526C" w:rsidRDefault="006C6A19" w:rsidP="005F0989">
            <w:pPr>
              <w:pStyle w:val="142"/>
              <w:jc w:val="right"/>
              <w:rPr>
                <w:b/>
              </w:rPr>
            </w:pPr>
            <w:r w:rsidRPr="0065526C">
              <w:rPr>
                <w:rFonts w:hint="eastAsia"/>
                <w:b/>
              </w:rPr>
              <w:t>3</w:t>
            </w:r>
            <w:r w:rsidRPr="0065526C">
              <w:rPr>
                <w:b/>
              </w:rPr>
              <w:t>1,876</w:t>
            </w:r>
          </w:p>
        </w:tc>
        <w:tc>
          <w:tcPr>
            <w:tcW w:w="1007" w:type="dxa"/>
            <w:vAlign w:val="center"/>
          </w:tcPr>
          <w:p w:rsidR="006C6A19" w:rsidRPr="0065526C" w:rsidRDefault="006C6A19" w:rsidP="005F0989">
            <w:pPr>
              <w:pStyle w:val="142"/>
              <w:jc w:val="right"/>
            </w:pPr>
            <w:r w:rsidRPr="0065526C">
              <w:rPr>
                <w:rFonts w:hint="eastAsia"/>
              </w:rPr>
              <w:t>9</w:t>
            </w:r>
            <w:r w:rsidRPr="0065526C">
              <w:t>0.</w:t>
            </w:r>
            <w:r w:rsidRPr="0065526C">
              <w:rPr>
                <w:rFonts w:hint="eastAsia"/>
              </w:rPr>
              <w:t>8</w:t>
            </w:r>
            <w:r w:rsidRPr="0065526C">
              <w:t>9%</w:t>
            </w:r>
          </w:p>
        </w:tc>
      </w:tr>
    </w:tbl>
    <w:p w:rsidR="006C6A19" w:rsidRPr="0065526C" w:rsidRDefault="006C6A19" w:rsidP="005F0989">
      <w:pPr>
        <w:spacing w:line="280" w:lineRule="exact"/>
        <w:ind w:leftChars="0" w:left="1162" w:rightChars="-17" w:right="-48" w:firstLineChars="0" w:hanging="1218"/>
        <w:rPr>
          <w:sz w:val="24"/>
        </w:rPr>
      </w:pPr>
      <w:r w:rsidRPr="0065526C">
        <w:rPr>
          <w:rFonts w:hint="eastAsia"/>
          <w:sz w:val="24"/>
        </w:rPr>
        <w:t>資料來源：客委會，本中心整理。</w:t>
      </w:r>
    </w:p>
    <w:p w:rsidR="006C6A19" w:rsidRPr="00425E2C" w:rsidRDefault="006C6A19" w:rsidP="005F0989">
      <w:pPr>
        <w:pStyle w:val="a9"/>
        <w:ind w:left="849" w:hanging="283"/>
        <w:rPr>
          <w:b/>
          <w:lang w:eastAsia="zh-HK"/>
        </w:rPr>
      </w:pPr>
      <w:r w:rsidRPr="00425E2C">
        <w:rPr>
          <w:rFonts w:hint="eastAsia"/>
          <w:b/>
        </w:rPr>
        <w:t>(一)發放</w:t>
      </w:r>
      <w:r w:rsidRPr="00425E2C">
        <w:rPr>
          <w:rFonts w:hAnsi="標楷體" w:hint="eastAsia"/>
          <w:b/>
        </w:rPr>
        <w:t>「浪漫客庄電子旅遊券」</w:t>
      </w:r>
      <w:r w:rsidRPr="00425E2C">
        <w:rPr>
          <w:rFonts w:ascii="新細明體" w:eastAsia="新細明體" w:hAnsi="新細明體" w:hint="eastAsia"/>
          <w:b/>
        </w:rPr>
        <w:t>、</w:t>
      </w:r>
      <w:r w:rsidRPr="00425E2C">
        <w:rPr>
          <w:rFonts w:hAnsi="標楷體" w:hint="eastAsia"/>
          <w:b/>
        </w:rPr>
        <w:t>「客庄券2.0」之執行成效</w:t>
      </w:r>
    </w:p>
    <w:p w:rsidR="006C6A19" w:rsidRPr="0065526C" w:rsidRDefault="006C6A19" w:rsidP="005F0989">
      <w:pPr>
        <w:pStyle w:val="21"/>
        <w:ind w:left="850" w:firstLine="566"/>
      </w:pPr>
      <w:r w:rsidRPr="0065526C">
        <w:rPr>
          <w:rFonts w:hint="eastAsia"/>
        </w:rPr>
        <w:t>客委會因應疫後客庄產業振興，</w:t>
      </w:r>
      <w:r w:rsidRPr="0019125C">
        <w:rPr>
          <w:rFonts w:hint="eastAsia"/>
        </w:rPr>
        <w:t>嚴重特殊傳染性肺炎特別預算</w:t>
      </w:r>
      <w:r w:rsidRPr="0065526C">
        <w:rPr>
          <w:rFonts w:hint="eastAsia"/>
        </w:rPr>
        <w:t>分別辦理「369浪漫客庄產業振興」及「369浪漫客庄產業振興2.0」等專案，建置票券管理平台</w:t>
      </w:r>
      <w:r w:rsidRPr="0065526C">
        <w:rPr>
          <w:rFonts w:ascii="新細明體" w:eastAsia="新細明體" w:hAnsi="新細明體" w:hint="eastAsia"/>
        </w:rPr>
        <w:t>、</w:t>
      </w:r>
      <w:r w:rsidRPr="0065526C">
        <w:rPr>
          <w:rFonts w:hint="eastAsia"/>
        </w:rPr>
        <w:t>舉辦「2020客家小炒</w:t>
      </w:r>
      <w:r w:rsidRPr="0065526C">
        <w:rPr>
          <w:rFonts w:hint="eastAsia"/>
        </w:rPr>
        <w:lastRenderedPageBreak/>
        <w:t>全國爭霸賽」並發放</w:t>
      </w:r>
      <w:r w:rsidRPr="00EE5A8A">
        <w:rPr>
          <w:rFonts w:hint="eastAsia"/>
          <w:spacing w:val="8"/>
        </w:rPr>
        <w:t>「浪漫客庄電子旅遊券」</w:t>
      </w:r>
      <w:r w:rsidRPr="00EE5A8A">
        <w:rPr>
          <w:rFonts w:ascii="新細明體" w:eastAsia="新細明體" w:hAnsi="新細明體" w:hint="eastAsia"/>
          <w:spacing w:val="8"/>
        </w:rPr>
        <w:t>、</w:t>
      </w:r>
      <w:r w:rsidRPr="00EE5A8A">
        <w:rPr>
          <w:rFonts w:hAnsi="標楷體" w:hint="eastAsia"/>
          <w:spacing w:val="8"/>
        </w:rPr>
        <w:t>「客庄券2.0」</w:t>
      </w:r>
      <w:r w:rsidRPr="0065526C">
        <w:rPr>
          <w:rFonts w:hint="eastAsia"/>
        </w:rPr>
        <w:t>電子旅遊券</w:t>
      </w:r>
      <w:r w:rsidRPr="0065526C">
        <w:rPr>
          <w:rFonts w:hAnsi="標楷體" w:hint="eastAsia"/>
        </w:rPr>
        <w:t>，藉以推廣客家美食，</w:t>
      </w:r>
      <w:r w:rsidRPr="0065526C">
        <w:rPr>
          <w:rFonts w:hint="eastAsia"/>
        </w:rPr>
        <w:t>鼓勵民眾至全國11個縣市之70個客家文化重點發展區內合法登記、具稅籍之餐廳、民宿及社區之零售商店等在地店家使用，以帶動客庄消費動能，振興疫後經濟。</w:t>
      </w:r>
    </w:p>
    <w:p w:rsidR="006C6A19" w:rsidRPr="0065526C" w:rsidRDefault="006C6A19" w:rsidP="005F0989">
      <w:pPr>
        <w:pStyle w:val="21"/>
        <w:ind w:left="850" w:firstLine="566"/>
      </w:pPr>
      <w:r w:rsidRPr="0065526C">
        <w:rPr>
          <w:rFonts w:hint="eastAsia"/>
        </w:rPr>
        <w:t>參據該會近年發放「浪漫客庄電子旅遊券」、「客庄券2.0」之執行成效分述如下(詳表2)</w:t>
      </w:r>
      <w:r w:rsidRPr="0065526C">
        <w:rPr>
          <w:rFonts w:hAnsi="標楷體" w:hint="eastAsia"/>
        </w:rPr>
        <w:t>：</w:t>
      </w:r>
    </w:p>
    <w:p w:rsidR="006C6A19" w:rsidRPr="0065526C" w:rsidRDefault="006C6A19" w:rsidP="005F0989">
      <w:pPr>
        <w:adjustRightInd w:val="0"/>
        <w:ind w:leftChars="306" w:left="1133" w:hangingChars="94" w:hanging="266"/>
      </w:pPr>
      <w:r w:rsidRPr="0065526C">
        <w:rPr>
          <w:b/>
        </w:rPr>
        <w:t>1.369</w:t>
      </w:r>
      <w:r w:rsidRPr="0065526C">
        <w:rPr>
          <w:rFonts w:hint="eastAsia"/>
          <w:b/>
        </w:rPr>
        <w:t>浪漫客庄產業振興專案</w:t>
      </w:r>
      <w:r w:rsidRPr="0065526C">
        <w:rPr>
          <w:rFonts w:hint="eastAsia"/>
        </w:rPr>
        <w:t>：「浪漫客庄電子旅遊券」</w:t>
      </w:r>
      <w:r>
        <w:rPr>
          <w:rFonts w:hint="eastAsia"/>
        </w:rPr>
        <w:t>自</w:t>
      </w:r>
      <w:r w:rsidRPr="004F6C69">
        <w:rPr>
          <w:rFonts w:hint="eastAsia"/>
        </w:rPr>
        <w:t>109</w:t>
      </w:r>
      <w:r>
        <w:rPr>
          <w:rFonts w:hint="eastAsia"/>
        </w:rPr>
        <w:t>年</w:t>
      </w:r>
      <w:r w:rsidRPr="004F6C69">
        <w:rPr>
          <w:rFonts w:hint="eastAsia"/>
        </w:rPr>
        <w:t>8</w:t>
      </w:r>
      <w:r>
        <w:rPr>
          <w:rFonts w:hint="eastAsia"/>
        </w:rPr>
        <w:t>月</w:t>
      </w:r>
      <w:r w:rsidRPr="004F6C69">
        <w:rPr>
          <w:rFonts w:hint="eastAsia"/>
        </w:rPr>
        <w:t>1</w:t>
      </w:r>
      <w:r>
        <w:rPr>
          <w:rFonts w:hint="eastAsia"/>
        </w:rPr>
        <w:t>日</w:t>
      </w:r>
      <w:r w:rsidRPr="004F6C69">
        <w:rPr>
          <w:rFonts w:hint="eastAsia"/>
        </w:rPr>
        <w:t>至</w:t>
      </w:r>
      <w:r>
        <w:rPr>
          <w:rFonts w:hint="eastAsia"/>
        </w:rPr>
        <w:t>同年</w:t>
      </w:r>
      <w:r w:rsidRPr="004F6C69">
        <w:rPr>
          <w:rFonts w:hint="eastAsia"/>
        </w:rPr>
        <w:t>12月31日</w:t>
      </w:r>
      <w:r>
        <w:rPr>
          <w:rFonts w:hint="eastAsia"/>
        </w:rPr>
        <w:t>止</w:t>
      </w:r>
      <w:r w:rsidRPr="004F6C69">
        <w:rPr>
          <w:rFonts w:hint="eastAsia"/>
        </w:rPr>
        <w:t>共</w:t>
      </w:r>
      <w:r w:rsidRPr="0065526C">
        <w:rPr>
          <w:rFonts w:hint="eastAsia"/>
        </w:rPr>
        <w:t>發放28萬4,585 份</w:t>
      </w:r>
      <w:r w:rsidRPr="0065526C">
        <w:rPr>
          <w:rStyle w:val="afa"/>
        </w:rPr>
        <w:footnoteReference w:id="2"/>
      </w:r>
      <w:r w:rsidRPr="0065526C">
        <w:rPr>
          <w:rFonts w:hAnsi="標楷體" w:hint="eastAsia"/>
        </w:rPr>
        <w:t>，票券</w:t>
      </w:r>
      <w:r w:rsidRPr="0065526C">
        <w:rPr>
          <w:rFonts w:hint="eastAsia"/>
        </w:rPr>
        <w:t>領用數及使用數分別為28萬4,585份</w:t>
      </w:r>
      <w:r w:rsidRPr="0065526C">
        <w:rPr>
          <w:rFonts w:ascii="新細明體" w:eastAsia="新細明體" w:hAnsi="新細明體" w:hint="eastAsia"/>
        </w:rPr>
        <w:t>、</w:t>
      </w:r>
      <w:r w:rsidRPr="0065526C">
        <w:rPr>
          <w:rFonts w:hint="eastAsia"/>
        </w:rPr>
        <w:t>22萬9,572份，領券率及使用率各為</w:t>
      </w:r>
      <w:r w:rsidRPr="0065526C">
        <w:t>100%</w:t>
      </w:r>
      <w:r w:rsidRPr="0065526C">
        <w:rPr>
          <w:rFonts w:ascii="新細明體" w:eastAsia="新細明體" w:hAnsi="新細明體" w:hint="eastAsia"/>
        </w:rPr>
        <w:t>、</w:t>
      </w:r>
      <w:r w:rsidRPr="0065526C">
        <w:rPr>
          <w:rFonts w:hint="eastAsia"/>
        </w:rPr>
        <w:t>80.67%</w:t>
      </w:r>
      <w:r w:rsidRPr="0065526C">
        <w:rPr>
          <w:rFonts w:hAnsi="標楷體" w:hint="eastAsia"/>
        </w:rPr>
        <w:t>，活動期間</w:t>
      </w:r>
      <w:r w:rsidRPr="0065526C">
        <w:rPr>
          <w:rFonts w:hint="eastAsia"/>
        </w:rPr>
        <w:t>消費店家共2,706家，兌付金額計</w:t>
      </w:r>
      <w:r w:rsidRPr="000E7AB2">
        <w:t>1</w:t>
      </w:r>
      <w:r w:rsidRPr="000E7AB2">
        <w:rPr>
          <w:rFonts w:hint="eastAsia"/>
        </w:rPr>
        <w:t>億</w:t>
      </w:r>
      <w:r w:rsidRPr="000E7AB2">
        <w:t>3</w:t>
      </w:r>
      <w:r w:rsidRPr="000E7AB2">
        <w:rPr>
          <w:rFonts w:hint="eastAsia"/>
        </w:rPr>
        <w:t>,</w:t>
      </w:r>
      <w:r w:rsidRPr="000E7AB2">
        <w:t>985</w:t>
      </w:r>
      <w:r w:rsidRPr="000E7AB2">
        <w:rPr>
          <w:rFonts w:hint="eastAsia"/>
        </w:rPr>
        <w:t>萬</w:t>
      </w:r>
      <w:r w:rsidRPr="000E7AB2">
        <w:t>6千</w:t>
      </w:r>
      <w:r w:rsidRPr="000E7AB2">
        <w:rPr>
          <w:rFonts w:hint="eastAsia"/>
        </w:rPr>
        <w:t>元</w:t>
      </w:r>
      <w:r w:rsidRPr="0065526C">
        <w:rPr>
          <w:rFonts w:hint="eastAsia"/>
        </w:rPr>
        <w:t>，間接帶動消費金額計</w:t>
      </w:r>
      <w:r w:rsidRPr="0065526C">
        <w:t>10</w:t>
      </w:r>
      <w:r w:rsidRPr="0065526C">
        <w:rPr>
          <w:rFonts w:hint="eastAsia"/>
        </w:rPr>
        <w:t>億元。</w:t>
      </w:r>
    </w:p>
    <w:p w:rsidR="006C6A19" w:rsidRPr="0065526C" w:rsidRDefault="006C6A19" w:rsidP="005F0989">
      <w:pPr>
        <w:adjustRightInd w:val="0"/>
        <w:ind w:leftChars="306" w:left="1133" w:hangingChars="94" w:hanging="266"/>
      </w:pPr>
      <w:r w:rsidRPr="0065526C">
        <w:rPr>
          <w:b/>
        </w:rPr>
        <w:t>2.369</w:t>
      </w:r>
      <w:r w:rsidRPr="0065526C">
        <w:rPr>
          <w:rFonts w:hint="eastAsia"/>
          <w:b/>
        </w:rPr>
        <w:t>浪漫客庄產業振興</w:t>
      </w:r>
      <w:r w:rsidRPr="0065526C">
        <w:rPr>
          <w:b/>
        </w:rPr>
        <w:t>2.0</w:t>
      </w:r>
      <w:r w:rsidRPr="0065526C">
        <w:rPr>
          <w:rFonts w:hint="eastAsia"/>
          <w:b/>
        </w:rPr>
        <w:t>專案</w:t>
      </w:r>
      <w:r w:rsidRPr="0065526C">
        <w:rPr>
          <w:rFonts w:hint="eastAsia"/>
        </w:rPr>
        <w:t>：「客庄券2.0」</w:t>
      </w:r>
      <w:r w:rsidRPr="004F6C69">
        <w:rPr>
          <w:rFonts w:hint="eastAsia"/>
        </w:rPr>
        <w:t>自</w:t>
      </w:r>
      <w:r>
        <w:rPr>
          <w:rFonts w:hint="eastAsia"/>
        </w:rPr>
        <w:t>110</w:t>
      </w:r>
      <w:r w:rsidRPr="004F6C69">
        <w:rPr>
          <w:rFonts w:hint="eastAsia"/>
        </w:rPr>
        <w:t>年</w:t>
      </w:r>
      <w:r>
        <w:rPr>
          <w:rFonts w:hint="eastAsia"/>
        </w:rPr>
        <w:t>11</w:t>
      </w:r>
      <w:r w:rsidRPr="004F6C69">
        <w:rPr>
          <w:rFonts w:hint="eastAsia"/>
        </w:rPr>
        <w:t>月1</w:t>
      </w:r>
      <w:r>
        <w:rPr>
          <w:rFonts w:hint="eastAsia"/>
        </w:rPr>
        <w:t>5</w:t>
      </w:r>
      <w:r w:rsidRPr="004F6C69">
        <w:rPr>
          <w:rFonts w:hint="eastAsia"/>
        </w:rPr>
        <w:t>日至</w:t>
      </w:r>
      <w:r>
        <w:rPr>
          <w:rFonts w:hint="eastAsia"/>
        </w:rPr>
        <w:t>111</w:t>
      </w:r>
      <w:r w:rsidRPr="004F6C69">
        <w:rPr>
          <w:rFonts w:hint="eastAsia"/>
        </w:rPr>
        <w:t>年</w:t>
      </w:r>
      <w:r>
        <w:rPr>
          <w:rFonts w:hint="eastAsia"/>
        </w:rPr>
        <w:t>5</w:t>
      </w:r>
      <w:r w:rsidRPr="004F6C69">
        <w:rPr>
          <w:rFonts w:hint="eastAsia"/>
        </w:rPr>
        <w:t>月31日止</w:t>
      </w:r>
      <w:r>
        <w:rPr>
          <w:rFonts w:hint="eastAsia"/>
        </w:rPr>
        <w:t>(順延1個月)</w:t>
      </w:r>
      <w:r w:rsidRPr="004F6C69">
        <w:rPr>
          <w:rFonts w:hint="eastAsia"/>
        </w:rPr>
        <w:t>共</w:t>
      </w:r>
      <w:r w:rsidRPr="0065526C">
        <w:rPr>
          <w:rFonts w:hint="eastAsia"/>
        </w:rPr>
        <w:t>發放40萬601份</w:t>
      </w:r>
      <w:r w:rsidRPr="0065526C">
        <w:rPr>
          <w:rStyle w:val="afa"/>
        </w:rPr>
        <w:footnoteReference w:id="3"/>
      </w:r>
      <w:r>
        <w:rPr>
          <w:rFonts w:hAnsi="標楷體" w:hint="eastAsia"/>
        </w:rPr>
        <w:t>，</w:t>
      </w:r>
      <w:r w:rsidRPr="0065526C">
        <w:rPr>
          <w:rFonts w:hint="eastAsia"/>
        </w:rPr>
        <w:t>票券領用數及使用數分別為</w:t>
      </w:r>
      <w:r w:rsidRPr="0065526C">
        <w:t>37</w:t>
      </w:r>
      <w:r w:rsidRPr="0065526C">
        <w:rPr>
          <w:rFonts w:hint="eastAsia"/>
        </w:rPr>
        <w:t>萬</w:t>
      </w:r>
      <w:r w:rsidRPr="0065526C">
        <w:t>4,08</w:t>
      </w:r>
      <w:r w:rsidRPr="0065526C">
        <w:rPr>
          <w:rFonts w:hint="eastAsia"/>
        </w:rPr>
        <w:t>4份、30萬3,444份，領券率及使用率各為</w:t>
      </w:r>
      <w:r w:rsidRPr="0065526C">
        <w:t>93.38%</w:t>
      </w:r>
      <w:r w:rsidRPr="0065526C">
        <w:rPr>
          <w:rFonts w:hint="eastAsia"/>
        </w:rPr>
        <w:t>、</w:t>
      </w:r>
      <w:r w:rsidRPr="0065526C">
        <w:t>81.12%</w:t>
      </w:r>
      <w:r w:rsidRPr="0065526C">
        <w:rPr>
          <w:rFonts w:hint="eastAsia"/>
        </w:rPr>
        <w:t>，活動期間消費店家共</w:t>
      </w:r>
      <w:r w:rsidRPr="0065526C">
        <w:t>2,508</w:t>
      </w:r>
      <w:r w:rsidRPr="0065526C">
        <w:rPr>
          <w:rFonts w:hint="eastAsia"/>
        </w:rPr>
        <w:t>家，兌付金額計</w:t>
      </w:r>
      <w:r w:rsidRPr="0065526C">
        <w:t>1</w:t>
      </w:r>
      <w:r w:rsidRPr="0065526C">
        <w:rPr>
          <w:rFonts w:hint="eastAsia"/>
        </w:rPr>
        <w:t>億</w:t>
      </w:r>
      <w:r w:rsidRPr="0065526C">
        <w:t>5</w:t>
      </w:r>
      <w:r w:rsidRPr="0065526C">
        <w:rPr>
          <w:rFonts w:hint="eastAsia"/>
        </w:rPr>
        <w:t>,</w:t>
      </w:r>
      <w:r w:rsidRPr="0065526C">
        <w:t>055</w:t>
      </w:r>
      <w:r w:rsidRPr="0065526C">
        <w:rPr>
          <w:rFonts w:hint="eastAsia"/>
        </w:rPr>
        <w:t>萬</w:t>
      </w:r>
      <w:r w:rsidRPr="0065526C">
        <w:t>9</w:t>
      </w:r>
      <w:r>
        <w:t>千</w:t>
      </w:r>
      <w:r w:rsidRPr="0065526C">
        <w:rPr>
          <w:rFonts w:hint="eastAsia"/>
        </w:rPr>
        <w:t>元</w:t>
      </w:r>
      <w:r w:rsidRPr="0065526C">
        <w:rPr>
          <w:rFonts w:hAnsi="標楷體" w:hint="eastAsia"/>
        </w:rPr>
        <w:t>，</w:t>
      </w:r>
      <w:r w:rsidRPr="0065526C">
        <w:rPr>
          <w:rFonts w:hint="eastAsia"/>
        </w:rPr>
        <w:t>間接帶動消費金額計</w:t>
      </w:r>
      <w:r w:rsidRPr="0065526C">
        <w:rPr>
          <w:rFonts w:hAnsi="標楷體"/>
        </w:rPr>
        <w:t>13</w:t>
      </w:r>
      <w:r w:rsidRPr="0065526C">
        <w:rPr>
          <w:rFonts w:hAnsi="標楷體" w:hint="eastAsia"/>
        </w:rPr>
        <w:t>億元</w:t>
      </w:r>
      <w:r w:rsidRPr="0065526C">
        <w:rPr>
          <w:rFonts w:hint="eastAsia"/>
        </w:rPr>
        <w:t>。</w:t>
      </w:r>
    </w:p>
    <w:p w:rsidR="006C6A19" w:rsidRPr="0065526C" w:rsidRDefault="006C6A19" w:rsidP="005F0989">
      <w:pPr>
        <w:ind w:leftChars="-6" w:left="658" w:right="-147" w:hangingChars="238" w:hanging="675"/>
        <w:rPr>
          <w:rFonts w:hAnsi="標楷體"/>
          <w:snapToGrid/>
          <w:kern w:val="0"/>
          <w:sz w:val="24"/>
          <w:szCs w:val="24"/>
        </w:rPr>
      </w:pPr>
      <w:r w:rsidRPr="0065526C">
        <w:rPr>
          <w:rFonts w:hAnsi="標楷體" w:hint="eastAsia"/>
          <w:b/>
          <w:snapToGrid/>
          <w:kern w:val="0"/>
        </w:rPr>
        <w:t>表2</w:t>
      </w:r>
      <w:r>
        <w:rPr>
          <w:rFonts w:hAnsi="標楷體" w:hint="eastAsia"/>
          <w:b/>
          <w:snapToGrid/>
          <w:kern w:val="0"/>
        </w:rPr>
        <w:t xml:space="preserve"> </w:t>
      </w:r>
      <w:r w:rsidRPr="0065526C">
        <w:rPr>
          <w:rFonts w:hAnsi="標楷體" w:hint="eastAsia"/>
          <w:b/>
          <w:snapToGrid/>
          <w:kern w:val="0"/>
        </w:rPr>
        <w:t xml:space="preserve">客委會近年發放「浪漫客庄電子旅遊券」及「客庄券2.0」電子旅遊券執行成效表                        </w:t>
      </w:r>
      <w:r>
        <w:rPr>
          <w:rFonts w:hAnsi="標楷體" w:hint="eastAsia"/>
          <w:b/>
          <w:snapToGrid/>
          <w:kern w:val="0"/>
        </w:rPr>
        <w:t xml:space="preserve">  </w:t>
      </w:r>
      <w:r w:rsidRPr="0065526C">
        <w:rPr>
          <w:rFonts w:hAnsi="標楷體" w:hint="eastAsia"/>
          <w:b/>
          <w:snapToGrid/>
          <w:kern w:val="0"/>
        </w:rPr>
        <w:t xml:space="preserve">  </w:t>
      </w:r>
      <w:r w:rsidRPr="0065526C">
        <w:rPr>
          <w:rFonts w:hAnsi="標楷體" w:hint="eastAsia"/>
          <w:snapToGrid/>
          <w:kern w:val="0"/>
          <w:sz w:val="24"/>
          <w:szCs w:val="24"/>
        </w:rPr>
        <w:t>單位：新臺幣千元</w:t>
      </w:r>
    </w:p>
    <w:tbl>
      <w:tblPr>
        <w:tblW w:w="866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42"/>
        <w:gridCol w:w="3118"/>
        <w:gridCol w:w="3402"/>
      </w:tblGrid>
      <w:tr w:rsidR="006C6A19" w:rsidRPr="0065526C" w:rsidTr="005F0989">
        <w:trPr>
          <w:trHeight w:val="20"/>
          <w:tblHeader/>
        </w:trPr>
        <w:tc>
          <w:tcPr>
            <w:tcW w:w="2142" w:type="dxa"/>
            <w:shd w:val="clear" w:color="auto" w:fill="auto"/>
            <w:vAlign w:val="center"/>
            <w:hideMark/>
          </w:tcPr>
          <w:p w:rsidR="006C6A19" w:rsidRPr="0065526C" w:rsidRDefault="006C6A19" w:rsidP="005F0989">
            <w:pPr>
              <w:pStyle w:val="142"/>
              <w:jc w:val="center"/>
              <w:rPr>
                <w:snapToGrid/>
              </w:rPr>
            </w:pPr>
            <w:r w:rsidRPr="0065526C">
              <w:rPr>
                <w:rFonts w:hint="eastAsia"/>
                <w:snapToGrid/>
              </w:rPr>
              <w:t>專案名稱</w:t>
            </w:r>
          </w:p>
        </w:tc>
        <w:tc>
          <w:tcPr>
            <w:tcW w:w="3118" w:type="dxa"/>
            <w:shd w:val="clear" w:color="auto" w:fill="auto"/>
            <w:vAlign w:val="center"/>
            <w:hideMark/>
          </w:tcPr>
          <w:p w:rsidR="006C6A19" w:rsidRDefault="006C6A19" w:rsidP="005F0989">
            <w:pPr>
              <w:pStyle w:val="142"/>
              <w:jc w:val="center"/>
              <w:rPr>
                <w:snapToGrid/>
                <w:sz w:val="22"/>
                <w:szCs w:val="22"/>
              </w:rPr>
            </w:pPr>
            <w:r w:rsidRPr="0065526C">
              <w:rPr>
                <w:rFonts w:hint="eastAsia"/>
                <w:snapToGrid/>
                <w:sz w:val="22"/>
                <w:szCs w:val="22"/>
              </w:rPr>
              <w:t>「369浪漫客庄產業振興專案」</w:t>
            </w:r>
          </w:p>
          <w:p w:rsidR="006C6A19" w:rsidRPr="0065526C" w:rsidRDefault="006C6A19" w:rsidP="005F0989">
            <w:pPr>
              <w:pStyle w:val="142"/>
              <w:jc w:val="center"/>
              <w:rPr>
                <w:snapToGrid/>
                <w:sz w:val="22"/>
                <w:szCs w:val="22"/>
              </w:rPr>
            </w:pPr>
            <w:r w:rsidRPr="0065526C">
              <w:rPr>
                <w:rFonts w:hint="eastAsia"/>
                <w:snapToGrid/>
                <w:sz w:val="22"/>
                <w:szCs w:val="22"/>
              </w:rPr>
              <w:t>(浪漫客庄電子旅遊券)</w:t>
            </w:r>
          </w:p>
        </w:tc>
        <w:tc>
          <w:tcPr>
            <w:tcW w:w="3402" w:type="dxa"/>
            <w:vAlign w:val="center"/>
          </w:tcPr>
          <w:p w:rsidR="006C6A19" w:rsidRDefault="006C6A19" w:rsidP="005F0989">
            <w:pPr>
              <w:pStyle w:val="142"/>
              <w:jc w:val="both"/>
              <w:rPr>
                <w:snapToGrid/>
                <w:sz w:val="22"/>
                <w:szCs w:val="22"/>
              </w:rPr>
            </w:pPr>
            <w:r w:rsidRPr="0065526C">
              <w:rPr>
                <w:rFonts w:hint="eastAsia"/>
                <w:snapToGrid/>
                <w:sz w:val="22"/>
                <w:szCs w:val="22"/>
              </w:rPr>
              <w:t>「369浪漫客庄產業振興2.0專案」</w:t>
            </w:r>
          </w:p>
          <w:p w:rsidR="006C6A19" w:rsidRPr="0065526C" w:rsidRDefault="006C6A19" w:rsidP="005F0989">
            <w:pPr>
              <w:pStyle w:val="142"/>
              <w:jc w:val="center"/>
              <w:rPr>
                <w:snapToGrid/>
                <w:sz w:val="22"/>
                <w:szCs w:val="22"/>
              </w:rPr>
            </w:pPr>
            <w:r w:rsidRPr="0065526C">
              <w:rPr>
                <w:rFonts w:hint="eastAsia"/>
                <w:snapToGrid/>
                <w:sz w:val="22"/>
                <w:szCs w:val="22"/>
              </w:rPr>
              <w:t>(客庄券2.0)</w:t>
            </w:r>
          </w:p>
        </w:tc>
      </w:tr>
      <w:tr w:rsidR="006C6A19" w:rsidRPr="0065526C" w:rsidTr="005F0989">
        <w:trPr>
          <w:trHeight w:val="20"/>
          <w:tblHeader/>
        </w:trPr>
        <w:tc>
          <w:tcPr>
            <w:tcW w:w="2142" w:type="dxa"/>
            <w:shd w:val="clear" w:color="auto" w:fill="auto"/>
            <w:vAlign w:val="center"/>
          </w:tcPr>
          <w:p w:rsidR="006C6A19" w:rsidRPr="0065526C" w:rsidRDefault="006C6A19" w:rsidP="005F0989">
            <w:pPr>
              <w:pStyle w:val="142"/>
              <w:jc w:val="both"/>
              <w:rPr>
                <w:snapToGrid/>
              </w:rPr>
            </w:pPr>
            <w:r w:rsidRPr="0065526C">
              <w:rPr>
                <w:snapToGrid/>
              </w:rPr>
              <w:t>執行期間</w:t>
            </w:r>
          </w:p>
        </w:tc>
        <w:tc>
          <w:tcPr>
            <w:tcW w:w="3118" w:type="dxa"/>
            <w:shd w:val="clear" w:color="auto" w:fill="FFFFFF"/>
            <w:vAlign w:val="center"/>
          </w:tcPr>
          <w:p w:rsidR="006C6A19" w:rsidRPr="0065526C" w:rsidRDefault="006C6A19" w:rsidP="005F0989">
            <w:pPr>
              <w:pStyle w:val="142"/>
              <w:jc w:val="center"/>
              <w:rPr>
                <w:snapToGrid/>
                <w:sz w:val="22"/>
                <w:szCs w:val="22"/>
              </w:rPr>
            </w:pPr>
            <w:r w:rsidRPr="0065526C">
              <w:rPr>
                <w:rFonts w:hint="eastAsia"/>
                <w:snapToGrid/>
                <w:sz w:val="22"/>
                <w:szCs w:val="22"/>
              </w:rPr>
              <w:t>109.</w:t>
            </w:r>
            <w:r w:rsidRPr="0065526C">
              <w:rPr>
                <w:snapToGrid/>
                <w:sz w:val="22"/>
                <w:szCs w:val="22"/>
              </w:rPr>
              <w:t>8</w:t>
            </w:r>
            <w:r w:rsidRPr="0065526C">
              <w:rPr>
                <w:rFonts w:hint="eastAsia"/>
                <w:snapToGrid/>
                <w:sz w:val="22"/>
                <w:szCs w:val="22"/>
              </w:rPr>
              <w:t>.</w:t>
            </w:r>
            <w:r w:rsidRPr="0065526C">
              <w:rPr>
                <w:snapToGrid/>
                <w:sz w:val="22"/>
                <w:szCs w:val="22"/>
              </w:rPr>
              <w:t>1</w:t>
            </w:r>
            <w:r w:rsidRPr="0065526C">
              <w:rPr>
                <w:rFonts w:hint="eastAsia"/>
                <w:snapToGrid/>
                <w:sz w:val="22"/>
                <w:szCs w:val="22"/>
              </w:rPr>
              <w:t>至1</w:t>
            </w:r>
            <w:r w:rsidRPr="0065526C">
              <w:rPr>
                <w:snapToGrid/>
                <w:sz w:val="22"/>
                <w:szCs w:val="22"/>
              </w:rPr>
              <w:t>09</w:t>
            </w:r>
            <w:r w:rsidRPr="0065526C">
              <w:rPr>
                <w:rFonts w:hint="eastAsia"/>
                <w:snapToGrid/>
                <w:sz w:val="22"/>
                <w:szCs w:val="22"/>
              </w:rPr>
              <w:t>.</w:t>
            </w:r>
            <w:r w:rsidRPr="0065526C">
              <w:rPr>
                <w:snapToGrid/>
                <w:sz w:val="22"/>
                <w:szCs w:val="22"/>
              </w:rPr>
              <w:t>12</w:t>
            </w:r>
            <w:r w:rsidRPr="0065526C">
              <w:rPr>
                <w:rFonts w:hint="eastAsia"/>
                <w:snapToGrid/>
                <w:sz w:val="22"/>
                <w:szCs w:val="22"/>
              </w:rPr>
              <w:t>.</w:t>
            </w:r>
            <w:r w:rsidRPr="0065526C">
              <w:rPr>
                <w:snapToGrid/>
                <w:sz w:val="22"/>
                <w:szCs w:val="22"/>
              </w:rPr>
              <w:t>31</w:t>
            </w:r>
          </w:p>
        </w:tc>
        <w:tc>
          <w:tcPr>
            <w:tcW w:w="3402" w:type="dxa"/>
            <w:shd w:val="clear" w:color="auto" w:fill="FFFFFF"/>
          </w:tcPr>
          <w:p w:rsidR="006C6A19" w:rsidRPr="0065526C" w:rsidRDefault="006C6A19" w:rsidP="005F0989">
            <w:pPr>
              <w:pStyle w:val="142"/>
              <w:jc w:val="center"/>
              <w:rPr>
                <w:snapToGrid/>
                <w:sz w:val="22"/>
                <w:szCs w:val="22"/>
              </w:rPr>
            </w:pPr>
            <w:r w:rsidRPr="0065526C">
              <w:rPr>
                <w:rFonts w:hint="eastAsia"/>
                <w:snapToGrid/>
                <w:sz w:val="22"/>
                <w:szCs w:val="22"/>
              </w:rPr>
              <w:t>1</w:t>
            </w:r>
            <w:r w:rsidRPr="0065526C">
              <w:rPr>
                <w:snapToGrid/>
                <w:sz w:val="22"/>
                <w:szCs w:val="22"/>
              </w:rPr>
              <w:t>10.11</w:t>
            </w:r>
            <w:r w:rsidRPr="0065526C">
              <w:rPr>
                <w:rFonts w:hint="eastAsia"/>
                <w:snapToGrid/>
                <w:sz w:val="22"/>
                <w:szCs w:val="22"/>
              </w:rPr>
              <w:t>.</w:t>
            </w:r>
            <w:r w:rsidRPr="0065526C">
              <w:rPr>
                <w:snapToGrid/>
                <w:sz w:val="22"/>
                <w:szCs w:val="22"/>
              </w:rPr>
              <w:t xml:space="preserve">15 </w:t>
            </w:r>
            <w:r w:rsidRPr="0065526C">
              <w:rPr>
                <w:rFonts w:hint="eastAsia"/>
                <w:snapToGrid/>
                <w:sz w:val="22"/>
                <w:szCs w:val="22"/>
              </w:rPr>
              <w:t>至1</w:t>
            </w:r>
            <w:r w:rsidRPr="0065526C">
              <w:rPr>
                <w:snapToGrid/>
                <w:sz w:val="22"/>
                <w:szCs w:val="22"/>
              </w:rPr>
              <w:t>11</w:t>
            </w:r>
            <w:r w:rsidRPr="0065526C">
              <w:rPr>
                <w:rFonts w:hint="eastAsia"/>
                <w:snapToGrid/>
                <w:sz w:val="22"/>
                <w:szCs w:val="22"/>
              </w:rPr>
              <w:t>.</w:t>
            </w:r>
            <w:r w:rsidRPr="0065526C">
              <w:rPr>
                <w:snapToGrid/>
                <w:sz w:val="22"/>
                <w:szCs w:val="22"/>
              </w:rPr>
              <w:t>5</w:t>
            </w:r>
            <w:r w:rsidRPr="0065526C">
              <w:rPr>
                <w:rFonts w:hint="eastAsia"/>
                <w:snapToGrid/>
                <w:sz w:val="22"/>
                <w:szCs w:val="22"/>
              </w:rPr>
              <w:t>.</w:t>
            </w:r>
            <w:r w:rsidRPr="0065526C">
              <w:rPr>
                <w:snapToGrid/>
                <w:sz w:val="22"/>
                <w:szCs w:val="22"/>
              </w:rPr>
              <w:t>31</w:t>
            </w:r>
          </w:p>
        </w:tc>
      </w:tr>
      <w:tr w:rsidR="006C6A19" w:rsidRPr="0065526C" w:rsidTr="005F0989">
        <w:trPr>
          <w:trHeight w:val="20"/>
        </w:trPr>
        <w:tc>
          <w:tcPr>
            <w:tcW w:w="2142" w:type="dxa"/>
            <w:vAlign w:val="center"/>
          </w:tcPr>
          <w:p w:rsidR="006C6A19" w:rsidRPr="0065526C" w:rsidRDefault="006C6A19" w:rsidP="005F0989">
            <w:pPr>
              <w:pStyle w:val="142"/>
              <w:jc w:val="both"/>
              <w:rPr>
                <w:b/>
                <w:snapToGrid/>
              </w:rPr>
            </w:pPr>
            <w:r w:rsidRPr="0065526C">
              <w:rPr>
                <w:rFonts w:hint="eastAsia"/>
                <w:snapToGrid/>
              </w:rPr>
              <w:t>預算數</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182,205</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b/>
                <w:snapToGrid/>
              </w:rPr>
            </w:pPr>
            <w:r w:rsidRPr="0065526C">
              <w:rPr>
                <w:rFonts w:hint="eastAsia"/>
                <w:snapToGrid/>
              </w:rPr>
              <w:lastRenderedPageBreak/>
              <w:t>決算數</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150,559</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票券發放數(份)a</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284,585</w:t>
            </w:r>
          </w:p>
        </w:tc>
        <w:tc>
          <w:tcPr>
            <w:tcW w:w="3402" w:type="dxa"/>
            <w:vAlign w:val="center"/>
          </w:tcPr>
          <w:p w:rsidR="006C6A19" w:rsidRPr="0065526C" w:rsidRDefault="006C6A19" w:rsidP="005F0989">
            <w:pPr>
              <w:pStyle w:val="142"/>
              <w:jc w:val="right"/>
              <w:rPr>
                <w:snapToGrid/>
                <w:szCs w:val="24"/>
              </w:rPr>
            </w:pPr>
            <w:r w:rsidRPr="0065526C">
              <w:rPr>
                <w:snapToGrid/>
                <w:szCs w:val="24"/>
              </w:rPr>
              <w:t>400,601</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rFonts w:hint="eastAsia"/>
                <w:snapToGrid/>
              </w:rPr>
              <w:t>票券領用數(份)b</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284,585</w:t>
            </w:r>
          </w:p>
        </w:tc>
        <w:tc>
          <w:tcPr>
            <w:tcW w:w="3402" w:type="dxa"/>
            <w:vAlign w:val="center"/>
          </w:tcPr>
          <w:p w:rsidR="006C6A19" w:rsidRPr="0065526C" w:rsidRDefault="006C6A19" w:rsidP="005F0989">
            <w:pPr>
              <w:pStyle w:val="142"/>
              <w:jc w:val="right"/>
              <w:rPr>
                <w:snapToGrid/>
                <w:szCs w:val="24"/>
              </w:rPr>
            </w:pPr>
            <w:r w:rsidRPr="0065526C">
              <w:rPr>
                <w:snapToGrid/>
                <w:szCs w:val="24"/>
              </w:rPr>
              <w:t>374,084</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票券使用數(份)c</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229,572</w:t>
            </w:r>
          </w:p>
        </w:tc>
        <w:tc>
          <w:tcPr>
            <w:tcW w:w="3402" w:type="dxa"/>
            <w:vAlign w:val="center"/>
          </w:tcPr>
          <w:p w:rsidR="006C6A19" w:rsidRPr="0065526C" w:rsidRDefault="006C6A19" w:rsidP="005F0989">
            <w:pPr>
              <w:pStyle w:val="142"/>
              <w:jc w:val="right"/>
              <w:rPr>
                <w:snapToGrid/>
                <w:szCs w:val="24"/>
              </w:rPr>
            </w:pPr>
            <w:r w:rsidRPr="0065526C">
              <w:rPr>
                <w:snapToGrid/>
                <w:szCs w:val="24"/>
              </w:rPr>
              <w:t>303,444</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snapToGrid/>
              </w:rPr>
              <w:t>領券</w:t>
            </w:r>
            <w:r w:rsidRPr="0065526C">
              <w:rPr>
                <w:rFonts w:hint="eastAsia"/>
                <w:snapToGrid/>
              </w:rPr>
              <w:t>率(b/a)</w:t>
            </w:r>
          </w:p>
        </w:tc>
        <w:tc>
          <w:tcPr>
            <w:tcW w:w="3118" w:type="dxa"/>
            <w:shd w:val="clear" w:color="auto" w:fill="auto"/>
            <w:vAlign w:val="center"/>
          </w:tcPr>
          <w:p w:rsidR="006C6A19" w:rsidRPr="0065526C" w:rsidRDefault="006C6A19" w:rsidP="005F0989">
            <w:pPr>
              <w:pStyle w:val="142"/>
              <w:jc w:val="right"/>
              <w:rPr>
                <w:snapToGrid/>
                <w:szCs w:val="24"/>
              </w:rPr>
            </w:pPr>
            <w:r w:rsidRPr="0065526C">
              <w:rPr>
                <w:rFonts w:hint="eastAsia"/>
                <w:snapToGrid/>
                <w:szCs w:val="24"/>
              </w:rPr>
              <w:t>100.</w:t>
            </w:r>
            <w:r>
              <w:rPr>
                <w:rFonts w:hint="eastAsia"/>
                <w:snapToGrid/>
                <w:szCs w:val="24"/>
              </w:rPr>
              <w:t>0</w:t>
            </w:r>
            <w:r w:rsidRPr="0065526C">
              <w:rPr>
                <w:rFonts w:hint="eastAsia"/>
                <w:snapToGrid/>
                <w:szCs w:val="24"/>
              </w:rPr>
              <w:t>0%</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93.38%</w:t>
            </w:r>
          </w:p>
        </w:tc>
      </w:tr>
      <w:tr w:rsidR="006C6A19" w:rsidRPr="0065526C" w:rsidTr="005F0989">
        <w:trPr>
          <w:trHeight w:val="20"/>
        </w:trPr>
        <w:tc>
          <w:tcPr>
            <w:tcW w:w="2142" w:type="dxa"/>
            <w:shd w:val="clear" w:color="auto" w:fill="auto"/>
            <w:vAlign w:val="center"/>
          </w:tcPr>
          <w:p w:rsidR="006C6A19" w:rsidRPr="0065526C" w:rsidRDefault="006C6A19" w:rsidP="005F0989">
            <w:pPr>
              <w:pStyle w:val="142"/>
              <w:jc w:val="both"/>
              <w:rPr>
                <w:snapToGrid/>
              </w:rPr>
            </w:pPr>
            <w:r w:rsidRPr="0065526C">
              <w:rPr>
                <w:rFonts w:hint="eastAsia"/>
                <w:snapToGrid/>
              </w:rPr>
              <w:t>使用</w:t>
            </w:r>
            <w:r w:rsidRPr="0065526C">
              <w:rPr>
                <w:snapToGrid/>
              </w:rPr>
              <w:t>率</w:t>
            </w:r>
            <w:r w:rsidRPr="0065526C">
              <w:rPr>
                <w:rFonts w:hint="eastAsia"/>
                <w:snapToGrid/>
              </w:rPr>
              <w:t>(c/b)</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80.67%</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81.12%</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消費店家數(家)</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2</w:t>
            </w:r>
            <w:r w:rsidRPr="0065526C">
              <w:rPr>
                <w:rFonts w:hint="eastAsia"/>
                <w:snapToGrid/>
                <w:szCs w:val="24"/>
              </w:rPr>
              <w:t>,</w:t>
            </w:r>
            <w:r w:rsidRPr="0065526C">
              <w:rPr>
                <w:snapToGrid/>
                <w:szCs w:val="24"/>
              </w:rPr>
              <w:t>706</w:t>
            </w:r>
          </w:p>
        </w:tc>
        <w:tc>
          <w:tcPr>
            <w:tcW w:w="3402" w:type="dxa"/>
            <w:vAlign w:val="center"/>
          </w:tcPr>
          <w:p w:rsidR="006C6A19" w:rsidRPr="0065526C" w:rsidRDefault="006C6A19" w:rsidP="005F0989">
            <w:pPr>
              <w:pStyle w:val="142"/>
              <w:jc w:val="right"/>
              <w:rPr>
                <w:snapToGrid/>
                <w:szCs w:val="24"/>
              </w:rPr>
            </w:pPr>
            <w:r w:rsidRPr="0065526C">
              <w:rPr>
                <w:rFonts w:hint="eastAsia"/>
                <w:snapToGrid/>
                <w:szCs w:val="24"/>
              </w:rPr>
              <w:t>2</w:t>
            </w:r>
            <w:r w:rsidRPr="0065526C">
              <w:rPr>
                <w:snapToGrid/>
                <w:szCs w:val="24"/>
              </w:rPr>
              <w:t>,508</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兌付金額</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139,856</w:t>
            </w:r>
          </w:p>
        </w:tc>
        <w:tc>
          <w:tcPr>
            <w:tcW w:w="3402" w:type="dxa"/>
            <w:vAlign w:val="center"/>
          </w:tcPr>
          <w:p w:rsidR="006C6A19" w:rsidRPr="0065526C" w:rsidRDefault="006C6A19" w:rsidP="005F0989">
            <w:pPr>
              <w:pStyle w:val="142"/>
              <w:jc w:val="right"/>
              <w:rPr>
                <w:snapToGrid/>
                <w:szCs w:val="24"/>
              </w:rPr>
            </w:pPr>
            <w:r w:rsidRPr="0065526C">
              <w:rPr>
                <w:snapToGrid/>
                <w:szCs w:val="24"/>
              </w:rPr>
              <w:t>150,559</w:t>
            </w:r>
          </w:p>
        </w:tc>
      </w:tr>
      <w:tr w:rsidR="006C6A19" w:rsidRPr="0065526C" w:rsidTr="005F0989">
        <w:trPr>
          <w:trHeight w:val="20"/>
        </w:trPr>
        <w:tc>
          <w:tcPr>
            <w:tcW w:w="2142" w:type="dxa"/>
            <w:shd w:val="clear" w:color="auto" w:fill="auto"/>
            <w:vAlign w:val="center"/>
            <w:hideMark/>
          </w:tcPr>
          <w:p w:rsidR="006C6A19" w:rsidRPr="0065526C" w:rsidRDefault="006C6A19" w:rsidP="005F0989">
            <w:pPr>
              <w:pStyle w:val="142"/>
              <w:jc w:val="both"/>
              <w:rPr>
                <w:snapToGrid/>
              </w:rPr>
            </w:pPr>
            <w:r w:rsidRPr="0065526C">
              <w:rPr>
                <w:rFonts w:hint="eastAsia"/>
                <w:snapToGrid/>
              </w:rPr>
              <w:t>間接帶動消費金額</w:t>
            </w:r>
          </w:p>
        </w:tc>
        <w:tc>
          <w:tcPr>
            <w:tcW w:w="3118" w:type="dxa"/>
            <w:shd w:val="clear" w:color="auto" w:fill="auto"/>
            <w:vAlign w:val="center"/>
          </w:tcPr>
          <w:p w:rsidR="006C6A19" w:rsidRPr="0065526C" w:rsidRDefault="006C6A19" w:rsidP="005F0989">
            <w:pPr>
              <w:pStyle w:val="142"/>
              <w:jc w:val="right"/>
              <w:rPr>
                <w:snapToGrid/>
                <w:szCs w:val="24"/>
              </w:rPr>
            </w:pPr>
            <w:r w:rsidRPr="0065526C">
              <w:rPr>
                <w:snapToGrid/>
                <w:szCs w:val="24"/>
              </w:rPr>
              <w:t>1</w:t>
            </w:r>
            <w:r w:rsidRPr="0065526C">
              <w:rPr>
                <w:rFonts w:hint="eastAsia"/>
                <w:snapToGrid/>
                <w:szCs w:val="24"/>
              </w:rPr>
              <w:t>,</w:t>
            </w:r>
            <w:r w:rsidRPr="0065526C">
              <w:rPr>
                <w:snapToGrid/>
                <w:szCs w:val="24"/>
              </w:rPr>
              <w:t>000,000</w:t>
            </w:r>
          </w:p>
        </w:tc>
        <w:tc>
          <w:tcPr>
            <w:tcW w:w="3402" w:type="dxa"/>
            <w:vAlign w:val="center"/>
          </w:tcPr>
          <w:p w:rsidR="006C6A19" w:rsidRPr="0065526C" w:rsidRDefault="006C6A19" w:rsidP="005F0989">
            <w:pPr>
              <w:pStyle w:val="142"/>
              <w:jc w:val="right"/>
              <w:rPr>
                <w:snapToGrid/>
                <w:szCs w:val="24"/>
              </w:rPr>
            </w:pPr>
            <w:r w:rsidRPr="0065526C">
              <w:rPr>
                <w:snapToGrid/>
                <w:szCs w:val="24"/>
              </w:rPr>
              <w:t>1</w:t>
            </w:r>
            <w:r w:rsidRPr="0065526C">
              <w:rPr>
                <w:rFonts w:hint="eastAsia"/>
                <w:snapToGrid/>
                <w:szCs w:val="24"/>
              </w:rPr>
              <w:t>,</w:t>
            </w:r>
            <w:r w:rsidRPr="0065526C">
              <w:rPr>
                <w:snapToGrid/>
                <w:szCs w:val="24"/>
              </w:rPr>
              <w:t>300,000</w:t>
            </w:r>
          </w:p>
        </w:tc>
      </w:tr>
    </w:tbl>
    <w:p w:rsidR="006C6A19" w:rsidRPr="0065526C" w:rsidRDefault="006C6A19" w:rsidP="005F0989">
      <w:pPr>
        <w:spacing w:line="280" w:lineRule="exact"/>
        <w:ind w:leftChars="0" w:left="1120" w:rightChars="-61" w:right="-173" w:firstLineChars="0" w:hanging="1176"/>
        <w:rPr>
          <w:sz w:val="24"/>
        </w:rPr>
      </w:pPr>
      <w:r w:rsidRPr="0065526C">
        <w:rPr>
          <w:rFonts w:hint="eastAsia"/>
          <w:sz w:val="24"/>
        </w:rPr>
        <w:t>說    明：據客委會說明</w:t>
      </w:r>
      <w:r w:rsidRPr="0065526C">
        <w:rPr>
          <w:rFonts w:hAnsi="標楷體" w:hint="eastAsia"/>
          <w:sz w:val="24"/>
        </w:rPr>
        <w:t>，</w:t>
      </w:r>
      <w:r w:rsidRPr="0065526C">
        <w:rPr>
          <w:rFonts w:hint="eastAsia"/>
          <w:sz w:val="24"/>
        </w:rPr>
        <w:t>「浪漫客庄電子旅遊券」經費來源包含「嚴重特殊傳染性肺炎紓困振興特別預算」1億3,985萬6</w:t>
      </w:r>
      <w:r>
        <w:rPr>
          <w:rFonts w:hint="eastAsia"/>
          <w:sz w:val="24"/>
        </w:rPr>
        <w:t>千</w:t>
      </w:r>
      <w:r w:rsidRPr="0065526C">
        <w:rPr>
          <w:rFonts w:hint="eastAsia"/>
          <w:sz w:val="24"/>
        </w:rPr>
        <w:t>元及109年度單位預算4,388萬2</w:t>
      </w:r>
      <w:r>
        <w:rPr>
          <w:rFonts w:hint="eastAsia"/>
          <w:sz w:val="24"/>
        </w:rPr>
        <w:t>千</w:t>
      </w:r>
      <w:r w:rsidRPr="0065526C">
        <w:rPr>
          <w:rFonts w:hint="eastAsia"/>
          <w:sz w:val="24"/>
        </w:rPr>
        <w:t>元，爰有關「票券領用數」、「票券使用數」、「消費店家數」及「間接帶動消費金額」係2種預算來源合併執行之數值。</w:t>
      </w:r>
    </w:p>
    <w:p w:rsidR="006C6A19" w:rsidRPr="0065526C" w:rsidRDefault="006C6A19" w:rsidP="005F0989">
      <w:pPr>
        <w:spacing w:line="280" w:lineRule="exact"/>
        <w:ind w:leftChars="0" w:left="1386" w:rightChars="-111" w:right="-314" w:firstLineChars="0" w:hanging="1442"/>
        <w:rPr>
          <w:sz w:val="24"/>
        </w:rPr>
      </w:pPr>
      <w:r w:rsidRPr="0065526C">
        <w:rPr>
          <w:rFonts w:hint="eastAsia"/>
          <w:sz w:val="24"/>
        </w:rPr>
        <w:t>資料來源：客委會，本中心整理。</w:t>
      </w:r>
    </w:p>
    <w:p w:rsidR="006C6A19" w:rsidRPr="002A7614" w:rsidRDefault="006C6A19" w:rsidP="005F0989">
      <w:pPr>
        <w:pStyle w:val="a9"/>
        <w:ind w:left="849" w:hanging="283"/>
        <w:rPr>
          <w:b/>
        </w:rPr>
      </w:pPr>
      <w:r w:rsidRPr="002A7614">
        <w:rPr>
          <w:rFonts w:hint="eastAsia"/>
          <w:b/>
        </w:rPr>
        <w:t>(二)推動初期部分客庄社區連線品質不佳等影響消費便利性，且客庄券2.0活動期間因疫情及適用區域等因素</w:t>
      </w:r>
      <w:r w:rsidRPr="002A7614">
        <w:rPr>
          <w:rFonts w:hAnsi="標楷體" w:hint="eastAsia"/>
          <w:b/>
        </w:rPr>
        <w:t>，</w:t>
      </w:r>
      <w:r w:rsidRPr="002A7614">
        <w:rPr>
          <w:rFonts w:hint="eastAsia"/>
          <w:b/>
        </w:rPr>
        <w:t>致票券使用未如預期</w:t>
      </w:r>
    </w:p>
    <w:p w:rsidR="006C6A19" w:rsidRPr="0065526C" w:rsidRDefault="006C6A19" w:rsidP="005F0989">
      <w:pPr>
        <w:pStyle w:val="21"/>
        <w:ind w:left="850" w:firstLine="566"/>
      </w:pPr>
      <w:r w:rsidRPr="0065526C">
        <w:rPr>
          <w:rFonts w:hint="eastAsia"/>
        </w:rPr>
        <w:t>客委會辦理「369浪漫客庄產業振興專案」推動初期因參與抽籤人數過多，致票</w:t>
      </w:r>
      <w:r>
        <w:rPr>
          <w:rFonts w:hint="eastAsia"/>
        </w:rPr>
        <w:t>券</w:t>
      </w:r>
      <w:r w:rsidRPr="0065526C">
        <w:rPr>
          <w:rFonts w:hint="eastAsia"/>
        </w:rPr>
        <w:t>系統超載造成當機現象，加上民眾前往消費店家使用客庄</w:t>
      </w:r>
      <w:r>
        <w:rPr>
          <w:rFonts w:hint="eastAsia"/>
        </w:rPr>
        <w:t>券</w:t>
      </w:r>
      <w:r w:rsidRPr="0065526C">
        <w:rPr>
          <w:rFonts w:hint="eastAsia"/>
        </w:rPr>
        <w:t>電子票</w:t>
      </w:r>
      <w:r>
        <w:rPr>
          <w:rFonts w:hint="eastAsia"/>
        </w:rPr>
        <w:t>券</w:t>
      </w:r>
      <w:r w:rsidRPr="0065526C">
        <w:rPr>
          <w:rFonts w:hint="eastAsia"/>
        </w:rPr>
        <w:t>時，部分客庄社區因位處通訊不良山區或偏遠地區，屢發生兌付連線品質不佳或票</w:t>
      </w:r>
      <w:r>
        <w:rPr>
          <w:rFonts w:hint="eastAsia"/>
        </w:rPr>
        <w:t>券</w:t>
      </w:r>
      <w:r w:rsidRPr="0065526C">
        <w:rPr>
          <w:rFonts w:hint="eastAsia"/>
        </w:rPr>
        <w:t>掃碼消費不找零之現象，造成店家及民眾使用不便</w:t>
      </w:r>
      <w:r w:rsidRPr="0065526C">
        <w:rPr>
          <w:rFonts w:hAnsi="標楷體"/>
          <w:vertAlign w:val="superscript"/>
        </w:rPr>
        <w:footnoteReference w:id="4"/>
      </w:r>
      <w:r w:rsidRPr="0065526C">
        <w:rPr>
          <w:rFonts w:hint="eastAsia"/>
        </w:rPr>
        <w:t>。</w:t>
      </w:r>
    </w:p>
    <w:p w:rsidR="006C6A19" w:rsidRPr="0065526C" w:rsidRDefault="006C6A19" w:rsidP="005F0989">
      <w:pPr>
        <w:pStyle w:val="21"/>
        <w:ind w:left="850" w:firstLine="566"/>
      </w:pPr>
      <w:r w:rsidRPr="0065526C">
        <w:rPr>
          <w:rFonts w:hint="eastAsia"/>
        </w:rPr>
        <w:t>另疫情期間該會發放</w:t>
      </w:r>
      <w:r w:rsidRPr="000A5E93">
        <w:rPr>
          <w:rFonts w:hAnsi="標楷體" w:hint="eastAsia"/>
          <w:spacing w:val="8"/>
        </w:rPr>
        <w:t>「</w:t>
      </w:r>
      <w:r w:rsidRPr="000A5E93">
        <w:rPr>
          <w:rFonts w:hint="eastAsia"/>
          <w:spacing w:val="8"/>
        </w:rPr>
        <w:t>浪漫客庄電子旅遊券</w:t>
      </w:r>
      <w:r w:rsidRPr="000A5E93">
        <w:rPr>
          <w:rFonts w:hAnsi="標楷體" w:hint="eastAsia"/>
          <w:spacing w:val="8"/>
        </w:rPr>
        <w:t>」</w:t>
      </w:r>
      <w:r w:rsidRPr="000A5E93">
        <w:rPr>
          <w:rFonts w:ascii="新細明體" w:eastAsia="新細明體" w:hAnsi="新細明體" w:hint="eastAsia"/>
          <w:spacing w:val="8"/>
        </w:rPr>
        <w:t>、</w:t>
      </w:r>
      <w:r w:rsidRPr="000A5E93">
        <w:rPr>
          <w:rFonts w:hAnsi="標楷體" w:hint="eastAsia"/>
          <w:spacing w:val="8"/>
        </w:rPr>
        <w:t>「客庄券2.0」</w:t>
      </w:r>
      <w:r w:rsidRPr="0065526C">
        <w:rPr>
          <w:rFonts w:hAnsi="標楷體" w:hint="eastAsia"/>
        </w:rPr>
        <w:t>等電子旅遊</w:t>
      </w:r>
      <w:r>
        <w:rPr>
          <w:rFonts w:hAnsi="標楷體" w:hint="eastAsia"/>
        </w:rPr>
        <w:t>券</w:t>
      </w:r>
      <w:r w:rsidRPr="0065526C">
        <w:rPr>
          <w:rFonts w:hAnsi="標楷體" w:hint="eastAsia"/>
        </w:rPr>
        <w:t>期帶動民眾至客庄消費，惟其中「客庄</w:t>
      </w:r>
      <w:r>
        <w:rPr>
          <w:rFonts w:hAnsi="標楷體" w:hint="eastAsia"/>
        </w:rPr>
        <w:t>券</w:t>
      </w:r>
      <w:r w:rsidRPr="0065526C">
        <w:rPr>
          <w:rFonts w:hAnsi="標楷體" w:hint="eastAsia"/>
        </w:rPr>
        <w:t>2.0」</w:t>
      </w:r>
      <w:r>
        <w:rPr>
          <w:rFonts w:hAnsi="標楷體" w:hint="eastAsia"/>
        </w:rPr>
        <w:t>票</w:t>
      </w:r>
      <w:r w:rsidRPr="00F408BD">
        <w:rPr>
          <w:rFonts w:hAnsi="標楷體" w:hint="eastAsia"/>
        </w:rPr>
        <w:t>券</w:t>
      </w:r>
      <w:r>
        <w:rPr>
          <w:rFonts w:hAnsi="標楷體" w:hint="eastAsia"/>
        </w:rPr>
        <w:t>發放數40萬601份，領用數</w:t>
      </w:r>
      <w:r w:rsidRPr="005F540E">
        <w:rPr>
          <w:rFonts w:hAnsi="標楷體"/>
        </w:rPr>
        <w:t>37</w:t>
      </w:r>
      <w:r w:rsidRPr="005F540E">
        <w:rPr>
          <w:rFonts w:hAnsi="標楷體" w:hint="eastAsia"/>
        </w:rPr>
        <w:t>萬</w:t>
      </w:r>
      <w:r w:rsidRPr="005F540E">
        <w:rPr>
          <w:rFonts w:hAnsi="標楷體"/>
        </w:rPr>
        <w:t>4,084</w:t>
      </w:r>
      <w:r w:rsidRPr="005F540E">
        <w:rPr>
          <w:rFonts w:hAnsi="標楷體" w:hint="eastAsia"/>
        </w:rPr>
        <w:t>份</w:t>
      </w:r>
      <w:r>
        <w:rPr>
          <w:rFonts w:hAnsi="標楷體" w:hint="eastAsia"/>
        </w:rPr>
        <w:t>，使用數僅</w:t>
      </w:r>
      <w:r w:rsidRPr="005F540E">
        <w:rPr>
          <w:rFonts w:hAnsi="標楷體"/>
        </w:rPr>
        <w:t>30</w:t>
      </w:r>
      <w:r w:rsidRPr="005F540E">
        <w:rPr>
          <w:rFonts w:hAnsi="標楷體" w:hint="eastAsia"/>
        </w:rPr>
        <w:t>萬</w:t>
      </w:r>
      <w:r w:rsidRPr="005F540E">
        <w:rPr>
          <w:rFonts w:hAnsi="標楷體"/>
        </w:rPr>
        <w:t>3,444</w:t>
      </w:r>
      <w:r w:rsidRPr="005F540E">
        <w:rPr>
          <w:rFonts w:hAnsi="標楷體" w:hint="eastAsia"/>
        </w:rPr>
        <w:t>份</w:t>
      </w:r>
      <w:r>
        <w:rPr>
          <w:rFonts w:hAnsi="標楷體" w:hint="eastAsia"/>
        </w:rPr>
        <w:t>，占發放數75.75%，以致</w:t>
      </w:r>
      <w:r w:rsidRPr="0065526C">
        <w:rPr>
          <w:rFonts w:hAnsi="標楷體"/>
        </w:rPr>
        <w:t>尚有賸餘款3</w:t>
      </w:r>
      <w:r w:rsidRPr="0065526C">
        <w:rPr>
          <w:rFonts w:hAnsi="標楷體" w:hint="eastAsia"/>
        </w:rPr>
        <w:t>,</w:t>
      </w:r>
      <w:r w:rsidRPr="0065526C">
        <w:rPr>
          <w:rFonts w:hAnsi="標楷體"/>
        </w:rPr>
        <w:t>164</w:t>
      </w:r>
      <w:r w:rsidRPr="0065526C">
        <w:rPr>
          <w:rFonts w:hAnsi="標楷體" w:hint="eastAsia"/>
        </w:rPr>
        <w:t>萬</w:t>
      </w:r>
      <w:r w:rsidRPr="0065526C">
        <w:rPr>
          <w:rFonts w:hAnsi="標楷體"/>
        </w:rPr>
        <w:t>6</w:t>
      </w:r>
      <w:r w:rsidRPr="0065526C">
        <w:rPr>
          <w:rFonts w:hAnsi="標楷體" w:hint="eastAsia"/>
        </w:rPr>
        <w:t>千元未能使用，顯示客庄</w:t>
      </w:r>
      <w:r>
        <w:rPr>
          <w:rFonts w:hAnsi="標楷體" w:hint="eastAsia"/>
        </w:rPr>
        <w:t>券</w:t>
      </w:r>
      <w:r w:rsidRPr="0065526C">
        <w:rPr>
          <w:rFonts w:hAnsi="標楷體" w:hint="eastAsia"/>
        </w:rPr>
        <w:t>2.0活動期間票</w:t>
      </w:r>
      <w:r>
        <w:rPr>
          <w:rFonts w:hAnsi="標楷體" w:hint="eastAsia"/>
        </w:rPr>
        <w:t>券</w:t>
      </w:r>
      <w:r w:rsidRPr="0065526C">
        <w:rPr>
          <w:rFonts w:hAnsi="標楷體" w:hint="eastAsia"/>
        </w:rPr>
        <w:t>使用未如預期。</w:t>
      </w:r>
      <w:r w:rsidRPr="0065526C">
        <w:rPr>
          <w:rFonts w:hint="eastAsia"/>
        </w:rPr>
        <w:t>據該會說明，主要係活動期間疫情反覆升溫，影響民眾外出消費意願，以及合作店家限70個客家文化重點發展區及其他</w:t>
      </w:r>
      <w:r w:rsidRPr="0065526C">
        <w:rPr>
          <w:rFonts w:hint="eastAsia"/>
        </w:rPr>
        <w:lastRenderedPageBreak/>
        <w:t>客家聚落內店家，未遍及全國所致。</w:t>
      </w:r>
    </w:p>
    <w:p w:rsidR="006C6A19" w:rsidRPr="0065526C" w:rsidRDefault="006C6A19" w:rsidP="005F0989">
      <w:pPr>
        <w:ind w:left="566" w:firstLine="566"/>
      </w:pPr>
      <w:r w:rsidRPr="0065526C">
        <w:rPr>
          <w:rFonts w:hint="eastAsia"/>
        </w:rPr>
        <w:t>綜上，客委會為</w:t>
      </w:r>
      <w:r w:rsidRPr="0065526C">
        <w:rPr>
          <w:rFonts w:hint="eastAsia"/>
          <w:lang w:eastAsia="zh-HK"/>
        </w:rPr>
        <w:t>振</w:t>
      </w:r>
      <w:r w:rsidRPr="0065526C">
        <w:rPr>
          <w:rFonts w:hint="eastAsia"/>
        </w:rPr>
        <w:t>興受嚴重特殊傳染性肺炎疫情期間影響之客庄經濟</w:t>
      </w:r>
      <w:r w:rsidRPr="0065526C">
        <w:rPr>
          <w:rFonts w:hAnsi="標楷體" w:hint="eastAsia"/>
        </w:rPr>
        <w:t>，</w:t>
      </w:r>
      <w:r w:rsidRPr="0065526C">
        <w:rPr>
          <w:rFonts w:hint="eastAsia"/>
          <w:lang w:eastAsia="zh-HK"/>
        </w:rPr>
        <w:t>發放客庄</w:t>
      </w:r>
      <w:r w:rsidRPr="0065526C">
        <w:rPr>
          <w:rFonts w:hAnsi="標楷體" w:hint="eastAsia"/>
        </w:rPr>
        <w:t>電子旅遊</w:t>
      </w:r>
      <w:r>
        <w:rPr>
          <w:rFonts w:hAnsi="標楷體" w:hint="eastAsia"/>
        </w:rPr>
        <w:t>券</w:t>
      </w:r>
      <w:r w:rsidRPr="0065526C">
        <w:rPr>
          <w:rFonts w:hAnsi="標楷體" w:hint="eastAsia"/>
        </w:rPr>
        <w:t>補助民眾至客庄旅遊，</w:t>
      </w:r>
      <w:r w:rsidRPr="002C4F27">
        <w:rPr>
          <w:rFonts w:hAnsi="標楷體" w:hint="eastAsia"/>
        </w:rPr>
        <w:t>惟適用區域</w:t>
      </w:r>
      <w:r>
        <w:rPr>
          <w:rFonts w:hAnsi="標楷體" w:hint="eastAsia"/>
        </w:rPr>
        <w:t>係</w:t>
      </w:r>
      <w:r w:rsidRPr="002C4F27">
        <w:rPr>
          <w:rFonts w:hAnsi="標楷體" w:hint="eastAsia"/>
        </w:rPr>
        <w:t>以全國11個市</w:t>
      </w:r>
      <w:r w:rsidRPr="005F540E">
        <w:rPr>
          <w:rFonts w:hAnsi="標楷體" w:hint="eastAsia"/>
        </w:rPr>
        <w:t>縣</w:t>
      </w:r>
      <w:r w:rsidRPr="002C4F27">
        <w:rPr>
          <w:rFonts w:hAnsi="標楷體" w:hint="eastAsia"/>
        </w:rPr>
        <w:t>之70個客家文化重點發展區所在之客庄社區為主</w:t>
      </w:r>
      <w:r w:rsidRPr="0065526C">
        <w:rPr>
          <w:rFonts w:hAnsi="標楷體" w:hint="eastAsia"/>
        </w:rPr>
        <w:t>，由於部分客庄社區因位處通訊不良之偏遠地區或山區，連線品質易受地理條件等因素影響，為利客家店家及消費者結帳之便利性，該會嗣後辦理發放客庄</w:t>
      </w:r>
      <w:r>
        <w:rPr>
          <w:rFonts w:hAnsi="標楷體" w:hint="eastAsia"/>
        </w:rPr>
        <w:t>券</w:t>
      </w:r>
      <w:r w:rsidRPr="0065526C">
        <w:rPr>
          <w:rFonts w:hAnsi="標楷體" w:hint="eastAsia"/>
        </w:rPr>
        <w:t>類案，允宜妥慎規劃並改善部分客庄社區連線品質及票</w:t>
      </w:r>
      <w:r>
        <w:rPr>
          <w:rFonts w:hAnsi="標楷體" w:hint="eastAsia"/>
        </w:rPr>
        <w:t>券</w:t>
      </w:r>
      <w:r w:rsidRPr="0065526C">
        <w:rPr>
          <w:rFonts w:hAnsi="標楷體" w:hint="eastAsia"/>
        </w:rPr>
        <w:t>系統設計等相關問題；另宜通盤檢討客庄旅遊</w:t>
      </w:r>
      <w:r>
        <w:rPr>
          <w:rFonts w:hAnsi="標楷體" w:hint="eastAsia"/>
        </w:rPr>
        <w:t>券</w:t>
      </w:r>
      <w:r w:rsidRPr="005F540E">
        <w:rPr>
          <w:rFonts w:hAnsi="標楷體" w:hint="eastAsia"/>
        </w:rPr>
        <w:t>領用</w:t>
      </w:r>
      <w:r>
        <w:rPr>
          <w:rFonts w:hAnsi="標楷體" w:hint="eastAsia"/>
        </w:rPr>
        <w:t>率</w:t>
      </w:r>
      <w:r w:rsidRPr="005F540E">
        <w:rPr>
          <w:rFonts w:hAnsi="標楷體" w:hint="eastAsia"/>
        </w:rPr>
        <w:t>及使用率未如預期情形</w:t>
      </w:r>
      <w:r>
        <w:rPr>
          <w:rFonts w:hAnsi="標楷體" w:hint="eastAsia"/>
        </w:rPr>
        <w:t>，並宜</w:t>
      </w:r>
      <w:r w:rsidRPr="0065526C">
        <w:rPr>
          <w:rFonts w:hAnsi="標楷體" w:hint="eastAsia"/>
        </w:rPr>
        <w:t>加強行銷宣傳等相關措施，以發揮振興客庄觀光及產業發展之成效。</w:t>
      </w:r>
    </w:p>
    <w:p w:rsidR="006C6A19" w:rsidRPr="0065526C" w:rsidRDefault="006C6A19" w:rsidP="005F0989">
      <w:pPr>
        <w:pStyle w:val="af1"/>
      </w:pPr>
      <w:r w:rsidRPr="0065526C">
        <w:rPr>
          <w:rFonts w:hint="eastAsia"/>
        </w:rPr>
        <w:t>（分機：8664 高振源）</w:t>
      </w:r>
    </w:p>
    <w:sectPr w:rsidR="006C6A19" w:rsidRPr="0065526C"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59186C">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C61041" w:rsidRDefault="0055343C" w:rsidP="002A7614">
      <w:pPr>
        <w:pStyle w:val="142"/>
        <w:ind w:left="73" w:hangingChars="30" w:hanging="73"/>
        <w:jc w:val="both"/>
      </w:pPr>
      <w:r w:rsidRPr="00C61041">
        <w:rPr>
          <w:rStyle w:val="afa"/>
          <w:szCs w:val="24"/>
        </w:rPr>
        <w:footnoteRef/>
      </w:r>
      <w:r w:rsidRPr="00C61041">
        <w:rPr>
          <w:rFonts w:hint="eastAsia"/>
        </w:rPr>
        <w:t>109年下半年起配合行政院「振興三倍券」方案，該會發放「浪漫客庄電子旅遊券」28萬餘份，數位券面額每份800元。</w:t>
      </w:r>
    </w:p>
  </w:footnote>
  <w:footnote w:id="3">
    <w:p w:rsidR="0055343C" w:rsidRPr="008457FA" w:rsidRDefault="0055343C" w:rsidP="002A7614">
      <w:pPr>
        <w:pStyle w:val="142"/>
        <w:ind w:left="73" w:hangingChars="30" w:hanging="73"/>
        <w:jc w:val="both"/>
      </w:pPr>
      <w:r w:rsidRPr="00C61041">
        <w:rPr>
          <w:rStyle w:val="afa"/>
          <w:szCs w:val="24"/>
        </w:rPr>
        <w:footnoteRef/>
      </w:r>
      <w:r w:rsidRPr="008457FA">
        <w:rPr>
          <w:rFonts w:hint="eastAsia"/>
        </w:rPr>
        <w:t>110年下半年起配合行政院「振興五倍券」方案，該會發放「客庄券2.0」40萬餘份，數位券面額每份500元。</w:t>
      </w:r>
    </w:p>
  </w:footnote>
  <w:footnote w:id="4">
    <w:p w:rsidR="0055343C" w:rsidRPr="008457FA" w:rsidRDefault="0055343C" w:rsidP="002A7614">
      <w:pPr>
        <w:pStyle w:val="142"/>
        <w:ind w:left="73" w:hangingChars="30" w:hanging="73"/>
        <w:jc w:val="both"/>
      </w:pPr>
      <w:r w:rsidRPr="00C61041">
        <w:rPr>
          <w:rStyle w:val="afa"/>
          <w:szCs w:val="24"/>
        </w:rPr>
        <w:footnoteRef/>
      </w:r>
      <w:r w:rsidRPr="008457FA">
        <w:rPr>
          <w:rFonts w:hint="eastAsia"/>
        </w:rPr>
        <w:t>參見立法院預算中心「中央政府嚴重特殊傳染性肺炎防治及紓困振興特別預算第4次追加預算案評估報告」頁13至頁15。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9186C"/>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F4045F-DA19-4FF0-A5C9-964660A75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685FD-A5A0-46A9-A91D-24C1ADBB2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504</Words>
  <Characters>2875</Characters>
  <Application>Microsoft Office Word</Application>
  <DocSecurity>0</DocSecurity>
  <Lines>23</Lines>
  <Paragraphs>6</Paragraphs>
  <ScaleCrop>false</ScaleCrop>
  <Company>HOME</Company>
  <LinksUpToDate>false</LinksUpToDate>
  <CharactersWithSpaces>3373</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