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779B" w:rsidRDefault="0046779B" w:rsidP="0046779B">
      <w:pPr>
        <w:pStyle w:val="a9"/>
      </w:pPr>
      <w:bookmarkStart w:id="0" w:name="_GoBack"/>
      <w:bookmarkEnd w:id="0"/>
      <w:r>
        <w:rPr>
          <w:rFonts w:hint="eastAsia"/>
        </w:rPr>
        <w:t>台灣電力股份有限公司1</w:t>
      </w:r>
      <w:r>
        <w:t>1</w:t>
      </w:r>
      <w:r w:rsidR="00040C4E">
        <w:rPr>
          <w:rFonts w:hint="eastAsia"/>
        </w:rPr>
        <w:t>1</w:t>
      </w:r>
      <w:r>
        <w:rPr>
          <w:rFonts w:hint="eastAsia"/>
        </w:rPr>
        <w:t>年度營業決算評估報告</w:t>
      </w:r>
    </w:p>
    <w:p w:rsidR="007015A1" w:rsidRPr="003D51F7" w:rsidRDefault="0046779B" w:rsidP="009948CF">
      <w:pPr>
        <w:pStyle w:val="a7"/>
        <w:ind w:firstLine="566"/>
        <w:rPr>
          <w:color w:val="FF0000"/>
        </w:rPr>
      </w:pPr>
      <w:r w:rsidRPr="00040C4E">
        <w:rPr>
          <w:rFonts w:hint="eastAsia"/>
        </w:rPr>
        <w:t>台灣電力股份有限公司(以下簡稱台電公司)</w:t>
      </w:r>
      <w:r w:rsidRPr="00040C4E">
        <w:t>1</w:t>
      </w:r>
      <w:r w:rsidRPr="00040C4E">
        <w:rPr>
          <w:rFonts w:hint="eastAsia"/>
        </w:rPr>
        <w:t>1</w:t>
      </w:r>
      <w:r w:rsidR="00040C4E" w:rsidRPr="00040C4E">
        <w:rPr>
          <w:rFonts w:hint="eastAsia"/>
        </w:rPr>
        <w:t>1</w:t>
      </w:r>
      <w:r w:rsidRPr="00040C4E">
        <w:rPr>
          <w:rFonts w:hint="eastAsia"/>
        </w:rPr>
        <w:t>年度淨發購電量2,</w:t>
      </w:r>
      <w:r w:rsidR="00040C4E" w:rsidRPr="00040C4E">
        <w:rPr>
          <w:rFonts w:hint="eastAsia"/>
        </w:rPr>
        <w:t>507</w:t>
      </w:r>
      <w:r w:rsidRPr="00040C4E">
        <w:rPr>
          <w:rFonts w:hint="eastAsia"/>
        </w:rPr>
        <w:t>.</w:t>
      </w:r>
      <w:r w:rsidR="00040C4E" w:rsidRPr="00040C4E">
        <w:rPr>
          <w:rFonts w:hint="eastAsia"/>
        </w:rPr>
        <w:t>49</w:t>
      </w:r>
      <w:r w:rsidRPr="00040C4E">
        <w:rPr>
          <w:rFonts w:hint="eastAsia"/>
        </w:rPr>
        <w:t>億度(含自發電量1,8</w:t>
      </w:r>
      <w:r w:rsidR="00040C4E" w:rsidRPr="00040C4E">
        <w:rPr>
          <w:rFonts w:hint="eastAsia"/>
        </w:rPr>
        <w:t>82</w:t>
      </w:r>
      <w:r w:rsidRPr="00040C4E">
        <w:rPr>
          <w:rFonts w:hint="eastAsia"/>
        </w:rPr>
        <w:t>.</w:t>
      </w:r>
      <w:r w:rsidR="00040C4E" w:rsidRPr="00040C4E">
        <w:rPr>
          <w:rFonts w:hint="eastAsia"/>
        </w:rPr>
        <w:t>55</w:t>
      </w:r>
      <w:r w:rsidRPr="00040C4E">
        <w:rPr>
          <w:rFonts w:hint="eastAsia"/>
        </w:rPr>
        <w:t>億度、購電量</w:t>
      </w:r>
      <w:r w:rsidR="00040C4E" w:rsidRPr="00040C4E">
        <w:rPr>
          <w:rFonts w:hint="eastAsia"/>
        </w:rPr>
        <w:t>624.94</w:t>
      </w:r>
      <w:r w:rsidRPr="00040C4E">
        <w:rPr>
          <w:rFonts w:hint="eastAsia"/>
        </w:rPr>
        <w:t>億度)扣減抽蓄用電</w:t>
      </w:r>
      <w:r w:rsidR="00040C4E" w:rsidRPr="00040C4E">
        <w:rPr>
          <w:rFonts w:hint="eastAsia"/>
        </w:rPr>
        <w:t>36.72</w:t>
      </w:r>
      <w:r w:rsidRPr="00040C4E">
        <w:rPr>
          <w:rFonts w:hint="eastAsia"/>
        </w:rPr>
        <w:t>億度後，全年供電量為2,</w:t>
      </w:r>
      <w:r w:rsidRPr="00040C4E">
        <w:t>4</w:t>
      </w:r>
      <w:r w:rsidR="00040C4E" w:rsidRPr="00040C4E">
        <w:rPr>
          <w:rFonts w:hint="eastAsia"/>
        </w:rPr>
        <w:t>70</w:t>
      </w:r>
      <w:r w:rsidRPr="00040C4E">
        <w:rPr>
          <w:rFonts w:hint="eastAsia"/>
        </w:rPr>
        <w:t>.</w:t>
      </w:r>
      <w:r w:rsidR="00040C4E" w:rsidRPr="00040C4E">
        <w:rPr>
          <w:rFonts w:hint="eastAsia"/>
        </w:rPr>
        <w:t>77</w:t>
      </w:r>
      <w:r w:rsidRPr="00040C4E">
        <w:rPr>
          <w:rFonts w:hint="eastAsia"/>
        </w:rPr>
        <w:t>億度。</w:t>
      </w:r>
      <w:r w:rsidRPr="009948CF">
        <w:rPr>
          <w:rFonts w:hint="eastAsia"/>
        </w:rPr>
        <w:t>1</w:t>
      </w:r>
      <w:r w:rsidRPr="009948CF">
        <w:t>1</w:t>
      </w:r>
      <w:r w:rsidR="00040C4E" w:rsidRPr="009948CF">
        <w:rPr>
          <w:rFonts w:hint="eastAsia"/>
        </w:rPr>
        <w:t>1</w:t>
      </w:r>
      <w:r w:rsidRPr="009948CF">
        <w:rPr>
          <w:rFonts w:hint="eastAsia"/>
        </w:rPr>
        <w:t>年度決算營業收入6,</w:t>
      </w:r>
      <w:r w:rsidR="00040C4E" w:rsidRPr="009948CF">
        <w:rPr>
          <w:rFonts w:hint="eastAsia"/>
        </w:rPr>
        <w:t>618</w:t>
      </w:r>
      <w:r w:rsidRPr="009948CF">
        <w:rPr>
          <w:rFonts w:hint="eastAsia"/>
        </w:rPr>
        <w:t>.</w:t>
      </w:r>
      <w:r w:rsidR="00040C4E" w:rsidRPr="009948CF">
        <w:rPr>
          <w:rFonts w:hint="eastAsia"/>
        </w:rPr>
        <w:t>78</w:t>
      </w:r>
      <w:r w:rsidRPr="009948CF">
        <w:rPr>
          <w:rFonts w:hint="eastAsia"/>
        </w:rPr>
        <w:t>億元，減除營業成本</w:t>
      </w:r>
      <w:r w:rsidR="00040C4E" w:rsidRPr="009948CF">
        <w:rPr>
          <w:rFonts w:hint="eastAsia"/>
        </w:rPr>
        <w:t>9</w:t>
      </w:r>
      <w:r w:rsidRPr="009948CF">
        <w:rPr>
          <w:rFonts w:hint="eastAsia"/>
        </w:rPr>
        <w:t>,</w:t>
      </w:r>
      <w:r w:rsidR="00040C4E" w:rsidRPr="009948CF">
        <w:rPr>
          <w:rFonts w:hint="eastAsia"/>
        </w:rPr>
        <w:t>062</w:t>
      </w:r>
      <w:r w:rsidRPr="009948CF">
        <w:rPr>
          <w:rFonts w:hint="eastAsia"/>
        </w:rPr>
        <w:t>.</w:t>
      </w:r>
      <w:r w:rsidR="009948CF" w:rsidRPr="009948CF">
        <w:rPr>
          <w:rFonts w:hint="eastAsia"/>
        </w:rPr>
        <w:t>19</w:t>
      </w:r>
      <w:r w:rsidRPr="009948CF">
        <w:rPr>
          <w:rFonts w:hint="eastAsia"/>
        </w:rPr>
        <w:t>億元、營業費用</w:t>
      </w:r>
      <w:r w:rsidR="00040C4E" w:rsidRPr="009948CF">
        <w:rPr>
          <w:rFonts w:hint="eastAsia"/>
        </w:rPr>
        <w:t>141.52</w:t>
      </w:r>
      <w:r w:rsidRPr="009948CF">
        <w:rPr>
          <w:rFonts w:hint="eastAsia"/>
        </w:rPr>
        <w:t>億元後，營業</w:t>
      </w:r>
      <w:r w:rsidR="00040C4E" w:rsidRPr="009948CF">
        <w:rPr>
          <w:rFonts w:hint="eastAsia"/>
        </w:rPr>
        <w:t>損失</w:t>
      </w:r>
      <w:r w:rsidRPr="009948CF">
        <w:rPr>
          <w:rFonts w:hint="eastAsia"/>
        </w:rPr>
        <w:t>為</w:t>
      </w:r>
      <w:r w:rsidR="00040C4E" w:rsidRPr="009948CF">
        <w:rPr>
          <w:rFonts w:hint="eastAsia"/>
        </w:rPr>
        <w:t>2</w:t>
      </w:r>
      <w:r w:rsidR="00040C4E" w:rsidRPr="009948CF">
        <w:t>,584.93</w:t>
      </w:r>
      <w:r w:rsidRPr="009948CF">
        <w:rPr>
          <w:rFonts w:hint="eastAsia"/>
        </w:rPr>
        <w:t>億元，</w:t>
      </w:r>
      <w:r w:rsidR="00040C4E" w:rsidRPr="009948CF">
        <w:rPr>
          <w:rFonts w:hint="eastAsia"/>
        </w:rPr>
        <w:t>加計</w:t>
      </w:r>
      <w:r w:rsidRPr="009948CF">
        <w:rPr>
          <w:rFonts w:hint="eastAsia"/>
        </w:rPr>
        <w:t>營業外</w:t>
      </w:r>
      <w:r w:rsidR="00040C4E" w:rsidRPr="009948CF">
        <w:rPr>
          <w:rFonts w:hint="eastAsia"/>
        </w:rPr>
        <w:t>利益312.76</w:t>
      </w:r>
      <w:r w:rsidRPr="009948CF">
        <w:rPr>
          <w:rFonts w:hint="eastAsia"/>
        </w:rPr>
        <w:t>億元及所得稅</w:t>
      </w:r>
      <w:r w:rsidR="00040C4E" w:rsidRPr="009948CF">
        <w:rPr>
          <w:rFonts w:hint="eastAsia"/>
        </w:rPr>
        <w:t>利益6.89</w:t>
      </w:r>
      <w:r w:rsidRPr="009948CF">
        <w:rPr>
          <w:rFonts w:hint="eastAsia"/>
        </w:rPr>
        <w:t>億元後，</w:t>
      </w:r>
      <w:r w:rsidR="009F3C69">
        <w:rPr>
          <w:rFonts w:hint="eastAsia"/>
        </w:rPr>
        <w:t>為</w:t>
      </w:r>
      <w:r w:rsidRPr="009948CF">
        <w:rPr>
          <w:rFonts w:hint="eastAsia"/>
        </w:rPr>
        <w:t>本期淨</w:t>
      </w:r>
      <w:r w:rsidR="00040C4E" w:rsidRPr="009948CF">
        <w:rPr>
          <w:rFonts w:hint="eastAsia"/>
        </w:rPr>
        <w:t>損2</w:t>
      </w:r>
      <w:r w:rsidR="00040C4E" w:rsidRPr="009948CF">
        <w:t>,265.28</w:t>
      </w:r>
      <w:r w:rsidRPr="009948CF">
        <w:rPr>
          <w:rFonts w:hint="eastAsia"/>
        </w:rPr>
        <w:t>億元。相關問題謹評估如下：</w:t>
      </w:r>
    </w:p>
    <w:p w:rsidR="00467B3D" w:rsidRDefault="00322B02" w:rsidP="00467B3D">
      <w:pPr>
        <w:pStyle w:val="14"/>
        <w:ind w:left="567" w:hanging="567"/>
      </w:pPr>
      <w:bookmarkStart w:id="1" w:name="_Toc161841463"/>
      <w:r>
        <w:rPr>
          <w:rFonts w:hint="eastAsia"/>
        </w:rPr>
        <w:t>四、</w:t>
      </w:r>
      <w:r w:rsidR="00467B3D">
        <w:rPr>
          <w:rFonts w:hint="eastAsia"/>
        </w:rPr>
        <w:t>台中電廠新建燃氣機組計畫</w:t>
      </w:r>
      <w:r w:rsidR="001F6928">
        <w:rPr>
          <w:rFonts w:hint="eastAsia"/>
        </w:rPr>
        <w:t>受</w:t>
      </w:r>
      <w:r w:rsidR="00467B3D">
        <w:rPr>
          <w:rFonts w:hint="eastAsia"/>
        </w:rPr>
        <w:t>海域環評作業影響，</w:t>
      </w:r>
      <w:r w:rsidR="009F3C69">
        <w:rPr>
          <w:rFonts w:hint="eastAsia"/>
        </w:rPr>
        <w:t>進度</w:t>
      </w:r>
      <w:r w:rsidR="00467B3D">
        <w:rPr>
          <w:rFonts w:hint="eastAsia"/>
        </w:rPr>
        <w:t>未如預期，</w:t>
      </w:r>
      <w:r w:rsidR="00647380">
        <w:rPr>
          <w:rFonts w:hint="eastAsia"/>
        </w:rPr>
        <w:t>將</w:t>
      </w:r>
      <w:r w:rsidR="00467B3D">
        <w:rPr>
          <w:rFonts w:hint="eastAsia"/>
        </w:rPr>
        <w:t>延後機組發電時程，允宜預為綢繆替補電力方案，並</w:t>
      </w:r>
      <w:r w:rsidR="009F3C69">
        <w:rPr>
          <w:rFonts w:hint="eastAsia"/>
        </w:rPr>
        <w:t>加強</w:t>
      </w:r>
      <w:r w:rsidR="00467B3D">
        <w:rPr>
          <w:rFonts w:hint="eastAsia"/>
        </w:rPr>
        <w:t>控管，俾確保供電穩定</w:t>
      </w:r>
      <w:bookmarkEnd w:id="1"/>
    </w:p>
    <w:p w:rsidR="00467B3D" w:rsidRDefault="00467B3D" w:rsidP="003711C0">
      <w:pPr>
        <w:spacing w:line="470" w:lineRule="exact"/>
        <w:ind w:left="566" w:firstLine="566"/>
      </w:pPr>
      <w:r>
        <w:rPr>
          <w:rFonts w:hint="eastAsia"/>
        </w:rPr>
        <w:t>台電公司</w:t>
      </w:r>
      <w:r w:rsidR="00647380">
        <w:rPr>
          <w:rFonts w:hint="eastAsia"/>
        </w:rPr>
        <w:t>111</w:t>
      </w:r>
      <w:r>
        <w:rPr>
          <w:rFonts w:hint="eastAsia"/>
        </w:rPr>
        <w:t>年度固定資產建設改良擴充計畫「台中電廠新建燃氣機組計畫」</w:t>
      </w:r>
      <w:r w:rsidR="003D52FC">
        <w:rPr>
          <w:rFonts w:hint="eastAsia"/>
        </w:rPr>
        <w:t>編列128億5</w:t>
      </w:r>
      <w:r>
        <w:t>,</w:t>
      </w:r>
      <w:r w:rsidR="003D52FC">
        <w:rPr>
          <w:rFonts w:hint="eastAsia"/>
        </w:rPr>
        <w:t>334</w:t>
      </w:r>
      <w:r>
        <w:rPr>
          <w:rFonts w:hint="eastAsia"/>
        </w:rPr>
        <w:t>萬</w:t>
      </w:r>
      <w:r w:rsidR="003D52FC">
        <w:rPr>
          <w:rFonts w:hint="eastAsia"/>
        </w:rPr>
        <w:t>6</w:t>
      </w:r>
      <w:r>
        <w:rPr>
          <w:rFonts w:hint="eastAsia"/>
        </w:rPr>
        <w:t>千元</w:t>
      </w:r>
      <w:r w:rsidR="003D52FC">
        <w:rPr>
          <w:rFonts w:hint="eastAsia"/>
        </w:rPr>
        <w:t>，執行結果，</w:t>
      </w:r>
      <w:r w:rsidR="001F6928">
        <w:rPr>
          <w:rFonts w:hint="eastAsia"/>
        </w:rPr>
        <w:t>決算</w:t>
      </w:r>
      <w:r w:rsidR="003D52FC">
        <w:rPr>
          <w:rFonts w:hint="eastAsia"/>
        </w:rPr>
        <w:t>實現數51億391萬4千元，預算執行率39.7</w:t>
      </w:r>
      <w:r w:rsidR="009B77AC">
        <w:rPr>
          <w:rFonts w:hint="eastAsia"/>
        </w:rPr>
        <w:t>1</w:t>
      </w:r>
      <w:r w:rsidR="003D52FC">
        <w:rPr>
          <w:rFonts w:hint="eastAsia"/>
        </w:rPr>
        <w:t>%</w:t>
      </w:r>
      <w:r>
        <w:rPr>
          <w:rFonts w:hint="eastAsia"/>
        </w:rPr>
        <w:t>。經查</w:t>
      </w:r>
      <w:r w:rsidR="00C1727B">
        <w:rPr>
          <w:rFonts w:hint="eastAsia"/>
        </w:rPr>
        <w:t>主要係</w:t>
      </w:r>
      <w:r w:rsidR="00AD77AD">
        <w:rPr>
          <w:rFonts w:hint="eastAsia"/>
        </w:rPr>
        <w:t>受環評及都市設計審議期程延後</w:t>
      </w:r>
      <w:r w:rsidR="00C1727B">
        <w:rPr>
          <w:rFonts w:hint="eastAsia"/>
        </w:rPr>
        <w:t>，</w:t>
      </w:r>
      <w:r w:rsidR="00AD77AD">
        <w:rPr>
          <w:rFonts w:hint="eastAsia"/>
        </w:rPr>
        <w:t>影響</w:t>
      </w:r>
      <w:r w:rsidR="00C1727B">
        <w:rPr>
          <w:rFonts w:hint="eastAsia"/>
        </w:rPr>
        <w:t>執行進度</w:t>
      </w:r>
      <w:r w:rsidR="00AD77AD">
        <w:rPr>
          <w:rFonts w:hint="eastAsia"/>
        </w:rPr>
        <w:t>，</w:t>
      </w:r>
      <w:r w:rsidR="00C1727B">
        <w:rPr>
          <w:rFonts w:hint="eastAsia"/>
        </w:rPr>
        <w:t>將</w:t>
      </w:r>
      <w:r w:rsidR="003050B7">
        <w:rPr>
          <w:rFonts w:hint="eastAsia"/>
        </w:rPr>
        <w:t>延後</w:t>
      </w:r>
      <w:r w:rsidR="00AD77AD">
        <w:rPr>
          <w:rFonts w:hint="eastAsia"/>
        </w:rPr>
        <w:t>機組發電時程，允宜加強辦理並預為籌謀替補電力，以確保供電穩定。謹說明如下</w:t>
      </w:r>
      <w:r>
        <w:rPr>
          <w:rFonts w:hint="eastAsia"/>
        </w:rPr>
        <w:t>：</w:t>
      </w:r>
    </w:p>
    <w:p w:rsidR="00467B3D" w:rsidRPr="00C9014C" w:rsidRDefault="00467B3D" w:rsidP="003711C0">
      <w:pPr>
        <w:pStyle w:val="a4"/>
        <w:spacing w:line="470" w:lineRule="exact"/>
        <w:ind w:left="849" w:hanging="283"/>
        <w:rPr>
          <w:rFonts w:hint="eastAsia"/>
          <w:b/>
        </w:rPr>
      </w:pPr>
      <w:r w:rsidRPr="00C9014C">
        <w:rPr>
          <w:rFonts w:hint="eastAsia"/>
          <w:b/>
        </w:rPr>
        <w:t>(一)計畫概述</w:t>
      </w:r>
    </w:p>
    <w:p w:rsidR="00467B3D" w:rsidRDefault="00467B3D" w:rsidP="003711C0">
      <w:pPr>
        <w:pStyle w:val="21"/>
        <w:spacing w:line="470" w:lineRule="exact"/>
        <w:ind w:left="850" w:firstLine="566"/>
      </w:pPr>
      <w:r>
        <w:rPr>
          <w:rFonts w:hint="eastAsia"/>
        </w:rPr>
        <w:t>為因應國內長期電力負載成長需求及配合政府能源政策，規劃於台中發電廠9~10號機之南側空地新建兩部2配1之燃氣複循環機組，總裝置容量約200~260萬</w:t>
      </w:r>
      <w:r w:rsidRPr="00A406A9">
        <w:rPr>
          <w:rFonts w:hint="eastAsia"/>
        </w:rPr>
        <w:t>瓩</w:t>
      </w:r>
      <w:r>
        <w:rPr>
          <w:rFonts w:hint="eastAsia"/>
        </w:rPr>
        <w:t>，所需燃料之天然氣將透過台電公司自建接收站進行卸收供應</w:t>
      </w:r>
      <w:r w:rsidR="009B77AC">
        <w:rPr>
          <w:rFonts w:hint="eastAsia"/>
        </w:rPr>
        <w:t>，經修正後計畫期程自107年至121年</w:t>
      </w:r>
      <w:r>
        <w:rPr>
          <w:rFonts w:hint="eastAsia"/>
        </w:rPr>
        <w:t>，預計121年6月完工，投資總額1</w:t>
      </w:r>
      <w:r>
        <w:t>,180</w:t>
      </w:r>
      <w:r>
        <w:rPr>
          <w:rFonts w:hint="eastAsia"/>
        </w:rPr>
        <w:t>億6,169萬1千元。</w:t>
      </w:r>
    </w:p>
    <w:p w:rsidR="00467B3D" w:rsidRPr="00C9014C" w:rsidRDefault="00467B3D" w:rsidP="003711C0">
      <w:pPr>
        <w:pStyle w:val="a4"/>
        <w:spacing w:line="470" w:lineRule="exact"/>
        <w:ind w:left="849" w:hanging="283"/>
        <w:rPr>
          <w:rFonts w:hint="eastAsia"/>
          <w:b/>
        </w:rPr>
      </w:pPr>
      <w:r w:rsidRPr="00C9014C">
        <w:rPr>
          <w:rFonts w:hint="eastAsia"/>
          <w:b/>
        </w:rPr>
        <w:t>(二)因</w:t>
      </w:r>
      <w:r w:rsidR="009B77AC">
        <w:rPr>
          <w:rFonts w:hint="eastAsia"/>
          <w:b/>
        </w:rPr>
        <w:t>受</w:t>
      </w:r>
      <w:r w:rsidRPr="00C9014C">
        <w:rPr>
          <w:rFonts w:hint="eastAsia"/>
          <w:b/>
        </w:rPr>
        <w:t>環評審查及都市設計審議期程影響，</w:t>
      </w:r>
      <w:r>
        <w:rPr>
          <w:rFonts w:hint="eastAsia"/>
          <w:b/>
        </w:rPr>
        <w:t>滯延計畫進度，延後機組發電時程及</w:t>
      </w:r>
      <w:r w:rsidRPr="00C9014C">
        <w:rPr>
          <w:rFonts w:hint="eastAsia"/>
          <w:b/>
        </w:rPr>
        <w:t>完工</w:t>
      </w:r>
      <w:r>
        <w:rPr>
          <w:rFonts w:hint="eastAsia"/>
          <w:b/>
        </w:rPr>
        <w:t>日</w:t>
      </w:r>
      <w:r w:rsidRPr="00C9014C">
        <w:rPr>
          <w:rFonts w:hint="eastAsia"/>
          <w:b/>
        </w:rPr>
        <w:t>期，允宜妥謀替補電力方案，並積極趲趕</w:t>
      </w:r>
      <w:r>
        <w:rPr>
          <w:rFonts w:hint="eastAsia"/>
          <w:b/>
        </w:rPr>
        <w:t>後續工程</w:t>
      </w:r>
      <w:r w:rsidRPr="00C9014C">
        <w:rPr>
          <w:rFonts w:hint="eastAsia"/>
          <w:b/>
        </w:rPr>
        <w:t>進度，俾確保供電穩定</w:t>
      </w:r>
    </w:p>
    <w:p w:rsidR="00467B3D" w:rsidRDefault="00467B3D" w:rsidP="003711C0">
      <w:pPr>
        <w:pStyle w:val="21"/>
        <w:spacing w:line="470" w:lineRule="exact"/>
        <w:ind w:left="850" w:firstLine="566"/>
      </w:pPr>
      <w:r>
        <w:rPr>
          <w:rFonts w:hint="eastAsia"/>
        </w:rPr>
        <w:lastRenderedPageBreak/>
        <w:t>據台電公司</w:t>
      </w:r>
      <w:r w:rsidR="003D52FC">
        <w:rPr>
          <w:rFonts w:hint="eastAsia"/>
        </w:rPr>
        <w:t>111年度統計</w:t>
      </w:r>
      <w:r>
        <w:rPr>
          <w:rFonts w:hint="eastAsia"/>
        </w:rPr>
        <w:t>，本計畫截至11</w:t>
      </w:r>
      <w:r w:rsidR="003D52FC">
        <w:rPr>
          <w:rFonts w:hint="eastAsia"/>
        </w:rPr>
        <w:t>1</w:t>
      </w:r>
      <w:r>
        <w:rPr>
          <w:rFonts w:hint="eastAsia"/>
        </w:rPr>
        <w:t>年度</w:t>
      </w:r>
      <w:r w:rsidR="009B77AC">
        <w:rPr>
          <w:rFonts w:hint="eastAsia"/>
        </w:rPr>
        <w:t>止</w:t>
      </w:r>
      <w:r>
        <w:rPr>
          <w:rFonts w:hint="eastAsia"/>
        </w:rPr>
        <w:t>累計編列預算</w:t>
      </w:r>
      <w:r w:rsidR="009B77AC">
        <w:rPr>
          <w:rFonts w:hint="eastAsia"/>
        </w:rPr>
        <w:t>數</w:t>
      </w:r>
      <w:r w:rsidR="003D52FC">
        <w:rPr>
          <w:rFonts w:hint="eastAsia"/>
        </w:rPr>
        <w:t>299</w:t>
      </w:r>
      <w:r>
        <w:rPr>
          <w:rFonts w:hint="eastAsia"/>
        </w:rPr>
        <w:t>億</w:t>
      </w:r>
      <w:r w:rsidR="003D52FC">
        <w:rPr>
          <w:rFonts w:hint="eastAsia"/>
        </w:rPr>
        <w:t>667</w:t>
      </w:r>
      <w:r>
        <w:rPr>
          <w:rFonts w:hint="eastAsia"/>
        </w:rPr>
        <w:t>萬2千元，截至11</w:t>
      </w:r>
      <w:r w:rsidR="003D52FC">
        <w:rPr>
          <w:rFonts w:hint="eastAsia"/>
        </w:rPr>
        <w:t>1</w:t>
      </w:r>
      <w:r>
        <w:rPr>
          <w:rFonts w:hint="eastAsia"/>
        </w:rPr>
        <w:t>年底</w:t>
      </w:r>
      <w:r w:rsidR="009B77AC">
        <w:rPr>
          <w:rFonts w:hint="eastAsia"/>
        </w:rPr>
        <w:t>止</w:t>
      </w:r>
      <w:r>
        <w:rPr>
          <w:rFonts w:hint="eastAsia"/>
        </w:rPr>
        <w:t>累計實現數2</w:t>
      </w:r>
      <w:r w:rsidR="003D52FC">
        <w:rPr>
          <w:rFonts w:hint="eastAsia"/>
        </w:rPr>
        <w:t>06</w:t>
      </w:r>
      <w:r>
        <w:rPr>
          <w:rFonts w:hint="eastAsia"/>
        </w:rPr>
        <w:t>億</w:t>
      </w:r>
      <w:r w:rsidR="003D52FC">
        <w:rPr>
          <w:rFonts w:hint="eastAsia"/>
        </w:rPr>
        <w:t>1</w:t>
      </w:r>
      <w:r>
        <w:t>,</w:t>
      </w:r>
      <w:r w:rsidR="003D52FC">
        <w:rPr>
          <w:rFonts w:hint="eastAsia"/>
        </w:rPr>
        <w:t>283</w:t>
      </w:r>
      <w:r>
        <w:rPr>
          <w:rFonts w:hint="eastAsia"/>
        </w:rPr>
        <w:t>萬</w:t>
      </w:r>
      <w:r w:rsidR="003D52FC">
        <w:rPr>
          <w:rFonts w:hint="eastAsia"/>
        </w:rPr>
        <w:t>2</w:t>
      </w:r>
      <w:r>
        <w:rPr>
          <w:rFonts w:hint="eastAsia"/>
        </w:rPr>
        <w:t>千元，累計預算執行率</w:t>
      </w:r>
      <w:r w:rsidR="00C03B0E">
        <w:rPr>
          <w:rFonts w:hint="eastAsia"/>
        </w:rPr>
        <w:t>68.92</w:t>
      </w:r>
      <w:r>
        <w:rPr>
          <w:rFonts w:hint="eastAsia"/>
        </w:rPr>
        <w:t>%。據該公司</w:t>
      </w:r>
      <w:r w:rsidR="00C03B0E">
        <w:rPr>
          <w:rFonts w:hint="eastAsia"/>
        </w:rPr>
        <w:t>說明</w:t>
      </w:r>
      <w:r>
        <w:rPr>
          <w:rFonts w:hint="eastAsia"/>
        </w:rPr>
        <w:t>，</w:t>
      </w:r>
      <w:r w:rsidR="00183B85">
        <w:rPr>
          <w:rFonts w:hint="eastAsia"/>
        </w:rPr>
        <w:t>主要係因</w:t>
      </w:r>
      <w:r>
        <w:rPr>
          <w:rFonts w:hint="eastAsia"/>
        </w:rPr>
        <w:t>電廠及LNG站區之環境影響評估(簡稱陸域環評)通過時程，較原規劃延後8.5個月；臺中港外港區擴建計畫(第一期)環境影響評估(簡稱海域環評)因部分議題尚待解決，預估將較規劃期程延後46個月；特種建築物及都市設計審議費時15個月，以及現場延後開工等因素影響，滯延計畫執行進度，</w:t>
      </w:r>
      <w:r w:rsidR="00183B85">
        <w:rPr>
          <w:rFonts w:hint="eastAsia"/>
        </w:rPr>
        <w:t>業</w:t>
      </w:r>
      <w:r>
        <w:rPr>
          <w:rFonts w:hint="eastAsia"/>
        </w:rPr>
        <w:t>經主管機關</w:t>
      </w:r>
      <w:r w:rsidR="00183B85">
        <w:rPr>
          <w:rFonts w:hint="eastAsia"/>
        </w:rPr>
        <w:t>於</w:t>
      </w:r>
      <w:r>
        <w:rPr>
          <w:rFonts w:hint="eastAsia"/>
        </w:rPr>
        <w:t>111年10月同意修正計畫，展延完工日期4.5年(自原定116年12月完工延後至121年6月)，投資總額不變。</w:t>
      </w:r>
    </w:p>
    <w:p w:rsidR="00467B3D" w:rsidRDefault="00467B3D" w:rsidP="003711C0">
      <w:pPr>
        <w:pStyle w:val="21"/>
        <w:spacing w:line="470" w:lineRule="exact"/>
        <w:ind w:left="850" w:firstLine="566"/>
      </w:pPr>
      <w:r>
        <w:rPr>
          <w:rFonts w:hint="eastAsia"/>
        </w:rPr>
        <w:t>揆諸本計畫修正內容，其中第1號機取得電業執照及商轉時程較原規劃延後8個月、第2號機延後14個月，皆影響本計畫機組發電時程，合共裝置容量200~260萬</w:t>
      </w:r>
      <w:r w:rsidRPr="00D34785">
        <w:rPr>
          <w:rFonts w:hint="eastAsia"/>
        </w:rPr>
        <w:t>瓩</w:t>
      </w:r>
      <w:r>
        <w:rPr>
          <w:rFonts w:hint="eastAsia"/>
        </w:rPr>
        <w:t>，允宜預為綢繆替補電力，並積極趲趕後續進度，俾確保供電穩定。</w:t>
      </w:r>
    </w:p>
    <w:p w:rsidR="00467B3D" w:rsidRDefault="00467B3D" w:rsidP="003711C0">
      <w:pPr>
        <w:spacing w:line="470" w:lineRule="exact"/>
        <w:ind w:left="566" w:firstLine="566"/>
      </w:pPr>
      <w:r>
        <w:rPr>
          <w:rFonts w:hint="eastAsia"/>
        </w:rPr>
        <w:t>綜上，台電公司辦理「台中電廠新建燃氣機組計畫」</w:t>
      </w:r>
      <w:r w:rsidRPr="00D34785">
        <w:rPr>
          <w:rFonts w:hint="eastAsia"/>
        </w:rPr>
        <w:t>因</w:t>
      </w:r>
      <w:r w:rsidR="009B77AC">
        <w:rPr>
          <w:rFonts w:hint="eastAsia"/>
        </w:rPr>
        <w:t>受</w:t>
      </w:r>
      <w:r>
        <w:rPr>
          <w:rFonts w:hint="eastAsia"/>
        </w:rPr>
        <w:t>海域</w:t>
      </w:r>
      <w:r w:rsidRPr="00D34785">
        <w:rPr>
          <w:rFonts w:hint="eastAsia"/>
        </w:rPr>
        <w:t>環評審</w:t>
      </w:r>
      <w:r>
        <w:rPr>
          <w:rFonts w:hint="eastAsia"/>
        </w:rPr>
        <w:t>核時程延後</w:t>
      </w:r>
      <w:r w:rsidRPr="00D34785">
        <w:rPr>
          <w:rFonts w:hint="eastAsia"/>
        </w:rPr>
        <w:t>及都市設計審議</w:t>
      </w:r>
      <w:r>
        <w:rPr>
          <w:rFonts w:hint="eastAsia"/>
        </w:rPr>
        <w:t>費時等因素影響</w:t>
      </w:r>
      <w:r w:rsidRPr="00D34785">
        <w:rPr>
          <w:rFonts w:hint="eastAsia"/>
        </w:rPr>
        <w:t>，</w:t>
      </w:r>
      <w:r>
        <w:rPr>
          <w:rFonts w:hint="eastAsia"/>
        </w:rPr>
        <w:t>修正</w:t>
      </w:r>
      <w:r w:rsidR="009B77AC">
        <w:rPr>
          <w:rFonts w:hint="eastAsia"/>
        </w:rPr>
        <w:t>延後</w:t>
      </w:r>
      <w:r>
        <w:rPr>
          <w:rFonts w:hint="eastAsia"/>
        </w:rPr>
        <w:t>計畫</w:t>
      </w:r>
      <w:r w:rsidR="009B77AC">
        <w:rPr>
          <w:rFonts w:hint="eastAsia"/>
        </w:rPr>
        <w:t>完工</w:t>
      </w:r>
      <w:r>
        <w:rPr>
          <w:rFonts w:hint="eastAsia"/>
        </w:rPr>
        <w:t>期程，致2部機組發電時程分別延後8個月及14個月，整體計畫</w:t>
      </w:r>
      <w:r w:rsidRPr="00D34785">
        <w:rPr>
          <w:rFonts w:hint="eastAsia"/>
        </w:rPr>
        <w:t>完工</w:t>
      </w:r>
      <w:r>
        <w:rPr>
          <w:rFonts w:hint="eastAsia"/>
        </w:rPr>
        <w:t>日期延後</w:t>
      </w:r>
      <w:r w:rsidRPr="00D34785">
        <w:rPr>
          <w:rFonts w:hint="eastAsia"/>
        </w:rPr>
        <w:t>4.5年，允宜</w:t>
      </w:r>
      <w:r>
        <w:rPr>
          <w:rFonts w:hint="eastAsia"/>
        </w:rPr>
        <w:t>預為綢繆</w:t>
      </w:r>
      <w:r w:rsidRPr="00D34785">
        <w:rPr>
          <w:rFonts w:hint="eastAsia"/>
        </w:rPr>
        <w:t>替補電力方案，並積極趲趕</w:t>
      </w:r>
      <w:r>
        <w:rPr>
          <w:rFonts w:hint="eastAsia"/>
        </w:rPr>
        <w:t>後續工程進度，俾確保穩定供電。</w:t>
      </w:r>
    </w:p>
    <w:sectPr w:rsidR="00467B3D" w:rsidSect="0048110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7223" w:rsidRDefault="00ED7223" w:rsidP="00D760F2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ED7223" w:rsidRDefault="00ED7223" w:rsidP="00D760F2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1B67" w:rsidRDefault="00D71B67" w:rsidP="00D71B67">
    <w:pPr>
      <w:pStyle w:val="ae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1B67" w:rsidRDefault="00481106" w:rsidP="00481106">
    <w:pPr>
      <w:pStyle w:val="ae"/>
      <w:ind w:left="56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912C36" w:rsidRPr="00912C36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1B67" w:rsidRDefault="00D71B67" w:rsidP="00D71B67">
    <w:pPr>
      <w:pStyle w:val="ae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7223" w:rsidRDefault="00ED7223" w:rsidP="00D760F2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ED7223" w:rsidRDefault="00ED7223" w:rsidP="00D760F2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1B67" w:rsidRDefault="00D71B67" w:rsidP="00D71B67">
    <w:pPr>
      <w:pStyle w:val="ac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1B67" w:rsidRDefault="00D71B67" w:rsidP="00D71B67">
    <w:pPr>
      <w:pStyle w:val="ac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1B67" w:rsidRDefault="00D71B67" w:rsidP="00D71B67">
    <w:pPr>
      <w:pStyle w:val="ac"/>
      <w:ind w:left="560" w:firstLine="40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6779B"/>
    <w:rsid w:val="0000378D"/>
    <w:rsid w:val="00017499"/>
    <w:rsid w:val="000273B4"/>
    <w:rsid w:val="00040C4E"/>
    <w:rsid w:val="000B7733"/>
    <w:rsid w:val="000C40EC"/>
    <w:rsid w:val="000C76C4"/>
    <w:rsid w:val="00113252"/>
    <w:rsid w:val="00121A0A"/>
    <w:rsid w:val="00145857"/>
    <w:rsid w:val="00174909"/>
    <w:rsid w:val="00183B85"/>
    <w:rsid w:val="001A0C43"/>
    <w:rsid w:val="001A64F3"/>
    <w:rsid w:val="001B151B"/>
    <w:rsid w:val="001C3F58"/>
    <w:rsid w:val="001C55BB"/>
    <w:rsid w:val="001D4B16"/>
    <w:rsid w:val="001F6928"/>
    <w:rsid w:val="00201A02"/>
    <w:rsid w:val="00207F44"/>
    <w:rsid w:val="00216704"/>
    <w:rsid w:val="00221FE3"/>
    <w:rsid w:val="002403FF"/>
    <w:rsid w:val="00240532"/>
    <w:rsid w:val="00241247"/>
    <w:rsid w:val="00246186"/>
    <w:rsid w:val="00265FBB"/>
    <w:rsid w:val="002737DE"/>
    <w:rsid w:val="002A0381"/>
    <w:rsid w:val="002C6EF7"/>
    <w:rsid w:val="002E2566"/>
    <w:rsid w:val="002E4557"/>
    <w:rsid w:val="002E6AE7"/>
    <w:rsid w:val="002F588D"/>
    <w:rsid w:val="003022EE"/>
    <w:rsid w:val="003050B7"/>
    <w:rsid w:val="00322B02"/>
    <w:rsid w:val="0033006E"/>
    <w:rsid w:val="003353CC"/>
    <w:rsid w:val="00345F0D"/>
    <w:rsid w:val="003711C0"/>
    <w:rsid w:val="00372728"/>
    <w:rsid w:val="00374945"/>
    <w:rsid w:val="003750F8"/>
    <w:rsid w:val="003854AB"/>
    <w:rsid w:val="00386AAD"/>
    <w:rsid w:val="00387357"/>
    <w:rsid w:val="003B6E9B"/>
    <w:rsid w:val="003C1BC1"/>
    <w:rsid w:val="003C3E4B"/>
    <w:rsid w:val="003C5FC5"/>
    <w:rsid w:val="003D51F7"/>
    <w:rsid w:val="003D52FC"/>
    <w:rsid w:val="003F7C10"/>
    <w:rsid w:val="00415483"/>
    <w:rsid w:val="00426898"/>
    <w:rsid w:val="00430997"/>
    <w:rsid w:val="00440D2D"/>
    <w:rsid w:val="00446BC8"/>
    <w:rsid w:val="0046779B"/>
    <w:rsid w:val="00467B3D"/>
    <w:rsid w:val="00481106"/>
    <w:rsid w:val="004923AA"/>
    <w:rsid w:val="004927B3"/>
    <w:rsid w:val="0049642D"/>
    <w:rsid w:val="004D0D39"/>
    <w:rsid w:val="004E48DB"/>
    <w:rsid w:val="0051074F"/>
    <w:rsid w:val="00511590"/>
    <w:rsid w:val="00535C59"/>
    <w:rsid w:val="00597873"/>
    <w:rsid w:val="005A59AE"/>
    <w:rsid w:val="005D177B"/>
    <w:rsid w:val="005E0EC2"/>
    <w:rsid w:val="005F32B9"/>
    <w:rsid w:val="005F5170"/>
    <w:rsid w:val="00600305"/>
    <w:rsid w:val="006039AD"/>
    <w:rsid w:val="00611A45"/>
    <w:rsid w:val="0061526A"/>
    <w:rsid w:val="006368DE"/>
    <w:rsid w:val="00647380"/>
    <w:rsid w:val="0065406A"/>
    <w:rsid w:val="0065439B"/>
    <w:rsid w:val="006552FB"/>
    <w:rsid w:val="006554A6"/>
    <w:rsid w:val="00674203"/>
    <w:rsid w:val="00677067"/>
    <w:rsid w:val="007015A1"/>
    <w:rsid w:val="007048C3"/>
    <w:rsid w:val="00711930"/>
    <w:rsid w:val="007173EF"/>
    <w:rsid w:val="00736C2F"/>
    <w:rsid w:val="00744408"/>
    <w:rsid w:val="00745F1A"/>
    <w:rsid w:val="00750B14"/>
    <w:rsid w:val="007518B0"/>
    <w:rsid w:val="00761659"/>
    <w:rsid w:val="00785E00"/>
    <w:rsid w:val="007A1E6E"/>
    <w:rsid w:val="007A3213"/>
    <w:rsid w:val="007A4E3D"/>
    <w:rsid w:val="007C0179"/>
    <w:rsid w:val="007E3D1E"/>
    <w:rsid w:val="00813D03"/>
    <w:rsid w:val="0082258B"/>
    <w:rsid w:val="00874136"/>
    <w:rsid w:val="00886F27"/>
    <w:rsid w:val="008A4560"/>
    <w:rsid w:val="008B542D"/>
    <w:rsid w:val="008F29AE"/>
    <w:rsid w:val="009074DC"/>
    <w:rsid w:val="00912C36"/>
    <w:rsid w:val="00953A30"/>
    <w:rsid w:val="00961E57"/>
    <w:rsid w:val="00965DB7"/>
    <w:rsid w:val="009948CF"/>
    <w:rsid w:val="009B77AC"/>
    <w:rsid w:val="009F3C69"/>
    <w:rsid w:val="00A042E0"/>
    <w:rsid w:val="00A131E1"/>
    <w:rsid w:val="00A51235"/>
    <w:rsid w:val="00A90908"/>
    <w:rsid w:val="00A9564F"/>
    <w:rsid w:val="00A97741"/>
    <w:rsid w:val="00AD291A"/>
    <w:rsid w:val="00AD77AD"/>
    <w:rsid w:val="00AE051F"/>
    <w:rsid w:val="00AF607F"/>
    <w:rsid w:val="00B205E2"/>
    <w:rsid w:val="00B37C8A"/>
    <w:rsid w:val="00B47856"/>
    <w:rsid w:val="00B814F5"/>
    <w:rsid w:val="00BA57F7"/>
    <w:rsid w:val="00BB66BC"/>
    <w:rsid w:val="00BC2C7D"/>
    <w:rsid w:val="00BE34DE"/>
    <w:rsid w:val="00BE6C23"/>
    <w:rsid w:val="00BE6F42"/>
    <w:rsid w:val="00BF648B"/>
    <w:rsid w:val="00C029AE"/>
    <w:rsid w:val="00C03B0E"/>
    <w:rsid w:val="00C045B8"/>
    <w:rsid w:val="00C11577"/>
    <w:rsid w:val="00C13387"/>
    <w:rsid w:val="00C1727B"/>
    <w:rsid w:val="00C222C7"/>
    <w:rsid w:val="00C27834"/>
    <w:rsid w:val="00C65EB4"/>
    <w:rsid w:val="00CC5F51"/>
    <w:rsid w:val="00CC7952"/>
    <w:rsid w:val="00CD76BB"/>
    <w:rsid w:val="00CF6893"/>
    <w:rsid w:val="00D256FE"/>
    <w:rsid w:val="00D4196A"/>
    <w:rsid w:val="00D61DC8"/>
    <w:rsid w:val="00D663EE"/>
    <w:rsid w:val="00D71B67"/>
    <w:rsid w:val="00D71FBA"/>
    <w:rsid w:val="00D760F2"/>
    <w:rsid w:val="00DB1BE3"/>
    <w:rsid w:val="00E06616"/>
    <w:rsid w:val="00E07D96"/>
    <w:rsid w:val="00E36DEC"/>
    <w:rsid w:val="00E5169F"/>
    <w:rsid w:val="00E6204F"/>
    <w:rsid w:val="00E90563"/>
    <w:rsid w:val="00EC25CC"/>
    <w:rsid w:val="00ED7223"/>
    <w:rsid w:val="00EE1289"/>
    <w:rsid w:val="00F101C4"/>
    <w:rsid w:val="00F256EB"/>
    <w:rsid w:val="00F6161B"/>
    <w:rsid w:val="00F703F5"/>
    <w:rsid w:val="00F9432C"/>
    <w:rsid w:val="00FC5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  <o:rules v:ext="edit">
        <o:r id="V:Rule1" type="connector" idref="#_x0000_s1026"/>
      </o:rules>
    </o:shapelayout>
  </w:shapeDefaults>
  <w:decimalSymbol w:val="."/>
  <w:listSeparator w:val=","/>
  <w15:chartTrackingRefBased/>
  <w15:docId w15:val="{451AC7D6-B559-4930-ABEA-3EBF8E05A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46779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3C1BC1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C1BC1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C1BC1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styleId="ac">
    <w:name w:val="header"/>
    <w:basedOn w:val="a"/>
    <w:link w:val="ad"/>
    <w:uiPriority w:val="99"/>
    <w:unhideWhenUsed/>
    <w:rsid w:val="00D71B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481106"/>
    <w:pPr>
      <w:tabs>
        <w:tab w:val="right" w:leader="hyphen" w:pos="8490"/>
      </w:tabs>
      <w:ind w:leftChars="0" w:left="487" w:rightChars="100" w:right="283" w:hangingChars="200" w:hanging="487"/>
    </w:pPr>
    <w:rPr>
      <w:noProof/>
      <w:sz w:val="24"/>
    </w:rPr>
  </w:style>
  <w:style w:type="paragraph" w:styleId="23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character" w:customStyle="1" w:styleId="ad">
    <w:name w:val="頁首 字元"/>
    <w:link w:val="ac"/>
    <w:uiPriority w:val="99"/>
    <w:rsid w:val="00D71B67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D71B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D71B67"/>
    <w:rPr>
      <w:rFonts w:ascii="標楷體" w:eastAsia="標楷體"/>
      <w:snapToGrid w:val="0"/>
      <w:kern w:val="2"/>
    </w:rPr>
  </w:style>
  <w:style w:type="character" w:styleId="af0">
    <w:name w:val="footnote reference"/>
    <w:unhideWhenUsed/>
    <w:rsid w:val="0046779B"/>
    <w:rPr>
      <w:vertAlign w:val="superscript"/>
    </w:rPr>
  </w:style>
  <w:style w:type="character" w:customStyle="1" w:styleId="143">
    <w:name w:val="表格內文(14行高) 字元"/>
    <w:link w:val="142"/>
    <w:rsid w:val="0046779B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rsid w:val="0046779B"/>
    <w:rPr>
      <w:rFonts w:ascii="標楷體" w:eastAsia="標楷體"/>
      <w:snapToGrid w:val="0"/>
      <w:kern w:val="2"/>
      <w:sz w:val="28"/>
      <w:szCs w:val="28"/>
    </w:rPr>
  </w:style>
  <w:style w:type="character" w:customStyle="1" w:styleId="140">
    <w:name w:val="第二層(14號字) 字元"/>
    <w:link w:val="14"/>
    <w:rsid w:val="00467B3D"/>
    <w:rPr>
      <w:rFonts w:ascii="標楷體" w:eastAsia="標楷體"/>
      <w:b/>
      <w:snapToGrid w:val="0"/>
      <w:kern w:val="2"/>
      <w:sz w:val="28"/>
    </w:rPr>
  </w:style>
  <w:style w:type="character" w:customStyle="1" w:styleId="11">
    <w:name w:val="(一)(二)(三) 字元1"/>
    <w:link w:val="a4"/>
    <w:rsid w:val="00467B3D"/>
    <w:rPr>
      <w:rFonts w:ascii="標楷體" w:eastAsia="標楷體"/>
      <w:snapToGrid w:val="0"/>
      <w:kern w:val="2"/>
      <w:sz w:val="28"/>
      <w:szCs w:val="28"/>
    </w:rPr>
  </w:style>
  <w:style w:type="paragraph" w:styleId="af1">
    <w:name w:val="footnote text"/>
    <w:basedOn w:val="a"/>
    <w:link w:val="af2"/>
    <w:unhideWhenUsed/>
    <w:rsid w:val="00F9432C"/>
    <w:pPr>
      <w:snapToGrid w:val="0"/>
      <w:jc w:val="left"/>
    </w:pPr>
    <w:rPr>
      <w:sz w:val="20"/>
      <w:szCs w:val="20"/>
    </w:rPr>
  </w:style>
  <w:style w:type="character" w:customStyle="1" w:styleId="af2">
    <w:name w:val="註腳文字 字元"/>
    <w:link w:val="af1"/>
    <w:rsid w:val="00F9432C"/>
    <w:rPr>
      <w:rFonts w:ascii="標楷體" w:eastAsia="標楷體"/>
      <w:snapToGrid w:val="0"/>
      <w:kern w:val="2"/>
    </w:rPr>
  </w:style>
  <w:style w:type="table" w:styleId="af3">
    <w:name w:val="Table Grid"/>
    <w:basedOn w:val="a1"/>
    <w:uiPriority w:val="39"/>
    <w:rsid w:val="007616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3C1BC1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3C1BC1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3C1BC1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character" w:styleId="af4">
    <w:name w:val="Hyperlink"/>
    <w:uiPriority w:val="99"/>
    <w:unhideWhenUsed/>
    <w:rsid w:val="003C1BC1"/>
    <w:rPr>
      <w:color w:val="0563C1"/>
      <w:u w:val="single"/>
    </w:rPr>
  </w:style>
  <w:style w:type="paragraph" w:styleId="af5">
    <w:name w:val="Balloon Text"/>
    <w:basedOn w:val="a"/>
    <w:link w:val="af6"/>
    <w:uiPriority w:val="99"/>
    <w:semiHidden/>
    <w:unhideWhenUsed/>
    <w:rsid w:val="00A51235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6">
    <w:name w:val="註解方塊文字 字元"/>
    <w:link w:val="af5"/>
    <w:uiPriority w:val="99"/>
    <w:semiHidden/>
    <w:rsid w:val="00A51235"/>
    <w:rPr>
      <w:rFonts w:ascii="Calibri Light" w:eastAsia="新細明體" w:hAnsi="Calibri Light" w:cs="Times New Roman"/>
      <w:snapToGrid w:val="0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4CE04420L5\Desktop\2012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441927-B134-4B03-8D67-CAD88DEBAF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2012範本檔</Template>
  <TotalTime>0</TotalTime>
  <Pages>2</Pages>
  <Words>184</Words>
  <Characters>1054</Characters>
  <Application>Microsoft Office Word</Application>
  <DocSecurity>0</DocSecurity>
  <Lines>8</Lines>
  <Paragraphs>2</Paragraphs>
  <ScaleCrop>false</ScaleCrop>
  <Company>HOME</Company>
  <LinksUpToDate>false</LinksUpToDate>
  <CharactersWithSpaces>1236</CharactersWithSpaces>
  <SharedDoc>false</SharedDoc>
  <HLinks>
    <vt:vector size="30" baseType="variant">
      <vt:variant>
        <vt:i4>1966128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_Toc161841464</vt:lpwstr>
      </vt:variant>
      <vt:variant>
        <vt:i4>1966128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_Toc161841463</vt:lpwstr>
      </vt:variant>
      <vt:variant>
        <vt:i4>1966128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_Toc161841462</vt:lpwstr>
      </vt:variant>
      <vt:variant>
        <vt:i4>1966128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_Toc161841461</vt:lpwstr>
      </vt:variant>
      <vt:variant>
        <vt:i4>1966128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_Toc161841460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Administrator</cp:lastModifiedBy>
  <cp:revision>2</cp:revision>
  <cp:lastPrinted>2024-03-20T07:37:00Z</cp:lastPrinted>
  <dcterms:created xsi:type="dcterms:W3CDTF">2024-03-27T00:42:00Z</dcterms:created>
  <dcterms:modified xsi:type="dcterms:W3CDTF">2024-03-27T00:42:00Z</dcterms:modified>
</cp:coreProperties>
</file>