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bookmarkStart w:id="0" w:name="_GoBack"/>
      <w:bookmarkEnd w:id="0"/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CC5737" w:rsidRPr="001D455E" w:rsidRDefault="005D4556" w:rsidP="00CC5737">
      <w:pPr>
        <w:pStyle w:val="14"/>
      </w:pPr>
      <w:bookmarkStart w:id="1" w:name="_Toc430878185"/>
      <w:bookmarkStart w:id="2" w:name="_Toc496258298"/>
      <w:bookmarkStart w:id="3" w:name="_Toc161323757"/>
      <w:r>
        <w:rPr>
          <w:rFonts w:hint="eastAsia"/>
        </w:rPr>
        <w:t>二</w:t>
      </w:r>
      <w:r w:rsidR="00BC4BF4">
        <w:rPr>
          <w:rFonts w:hint="eastAsia"/>
        </w:rPr>
        <w:t>、</w:t>
      </w:r>
      <w:bookmarkEnd w:id="2"/>
      <w:r w:rsidR="00FA0B1D" w:rsidRPr="00FA0B1D">
        <w:rPr>
          <w:rFonts w:hint="eastAsia"/>
        </w:rPr>
        <w:t>私立大專校院</w:t>
      </w:r>
      <w:r w:rsidR="001A45F5">
        <w:rPr>
          <w:rFonts w:hint="eastAsia"/>
        </w:rPr>
        <w:t>退場後所安置</w:t>
      </w:r>
      <w:r w:rsidR="00FA0B1D" w:rsidRPr="00FA0B1D">
        <w:rPr>
          <w:rFonts w:hint="eastAsia"/>
        </w:rPr>
        <w:t>學生</w:t>
      </w:r>
      <w:r w:rsidR="002505D0">
        <w:rPr>
          <w:rFonts w:hint="eastAsia"/>
        </w:rPr>
        <w:t>平均</w:t>
      </w:r>
      <w:r w:rsidR="00FA0B1D" w:rsidRPr="00FA0B1D">
        <w:rPr>
          <w:rFonts w:hint="eastAsia"/>
        </w:rPr>
        <w:t>休退學比率</w:t>
      </w:r>
      <w:r w:rsidR="001A45F5">
        <w:rPr>
          <w:rFonts w:hint="eastAsia"/>
        </w:rPr>
        <w:t>較</w:t>
      </w:r>
      <w:r w:rsidR="00FA0B1D" w:rsidRPr="00FA0B1D">
        <w:rPr>
          <w:rFonts w:hint="eastAsia"/>
        </w:rPr>
        <w:t>大專校院</w:t>
      </w:r>
      <w:r w:rsidR="001A45F5">
        <w:rPr>
          <w:rFonts w:hint="eastAsia"/>
        </w:rPr>
        <w:t>高，人力培訓媒合平台媒合人數與退場學校教職員人數落差亦大，</w:t>
      </w:r>
      <w:r w:rsidR="00A7448F" w:rsidRPr="001D455E">
        <w:rPr>
          <w:rFonts w:hint="eastAsia"/>
        </w:rPr>
        <w:t>允宜</w:t>
      </w:r>
      <w:r w:rsidR="001A45F5">
        <w:rPr>
          <w:rFonts w:hint="eastAsia"/>
        </w:rPr>
        <w:t>檢討</w:t>
      </w:r>
      <w:r w:rsidR="00AF30CA">
        <w:rPr>
          <w:rFonts w:hint="eastAsia"/>
        </w:rPr>
        <w:t>精進</w:t>
      </w:r>
      <w:r w:rsidR="001A45F5">
        <w:rPr>
          <w:rFonts w:hint="eastAsia"/>
        </w:rPr>
        <w:t>相關措施</w:t>
      </w:r>
      <w:bookmarkEnd w:id="3"/>
    </w:p>
    <w:p w:rsidR="00AF09C4" w:rsidRPr="00AF09C4" w:rsidRDefault="00D74504" w:rsidP="003B323C">
      <w:pPr>
        <w:ind w:left="566" w:firstLine="566"/>
      </w:pPr>
      <w:r w:rsidRPr="00D74504">
        <w:rPr>
          <w:rFonts w:hint="eastAsia"/>
        </w:rPr>
        <w:t>大專校院轉型及退場基金</w:t>
      </w:r>
      <w:r w:rsidRPr="00D74504">
        <w:t>(以下稱轉型退場基金)</w:t>
      </w:r>
      <w:r w:rsidR="001A45F5" w:rsidRPr="00D74504">
        <w:t xml:space="preserve"> </w:t>
      </w:r>
      <w:r w:rsidRPr="00D74504">
        <w:t>1</w:t>
      </w:r>
      <w:r w:rsidR="00472672">
        <w:t>1</w:t>
      </w:r>
      <w:r w:rsidR="001A45F5">
        <w:t>1</w:t>
      </w:r>
      <w:r w:rsidRPr="00D74504">
        <w:t>年度基金來源</w:t>
      </w:r>
      <w:r w:rsidRPr="00D74504">
        <w:rPr>
          <w:rFonts w:hint="eastAsia"/>
        </w:rPr>
        <w:t>決算數</w:t>
      </w:r>
      <w:r w:rsidR="001A45F5">
        <w:rPr>
          <w:rFonts w:hint="eastAsia"/>
        </w:rPr>
        <w:t>5</w:t>
      </w:r>
      <w:r w:rsidR="001A45F5">
        <w:t>11</w:t>
      </w:r>
      <w:r w:rsidRPr="00D74504">
        <w:rPr>
          <w:rFonts w:hint="eastAsia"/>
        </w:rPr>
        <w:t>萬</w:t>
      </w:r>
      <w:r w:rsidR="00472672">
        <w:rPr>
          <w:rFonts w:hint="eastAsia"/>
        </w:rPr>
        <w:t>7</w:t>
      </w:r>
      <w:r w:rsidRPr="00D74504">
        <w:rPr>
          <w:rFonts w:hint="eastAsia"/>
        </w:rPr>
        <w:t>千元，</w:t>
      </w:r>
      <w:r w:rsidRPr="00D74504">
        <w:t>基金用途</w:t>
      </w:r>
      <w:r w:rsidRPr="00D74504">
        <w:rPr>
          <w:rFonts w:hint="eastAsia"/>
        </w:rPr>
        <w:t>決算數</w:t>
      </w:r>
      <w:r w:rsidR="001A45F5">
        <w:rPr>
          <w:rFonts w:hint="eastAsia"/>
        </w:rPr>
        <w:t>1</w:t>
      </w:r>
      <w:r w:rsidR="001A45F5">
        <w:t>,461</w:t>
      </w:r>
      <w:r w:rsidRPr="00D74504">
        <w:rPr>
          <w:rFonts w:hint="eastAsia"/>
        </w:rPr>
        <w:t>萬元，</w:t>
      </w:r>
      <w:r w:rsidRPr="00D74504">
        <w:t>基金來源及用途相抵後</w:t>
      </w:r>
      <w:r w:rsidRPr="00D74504">
        <w:rPr>
          <w:rFonts w:hint="eastAsia"/>
        </w:rPr>
        <w:t>短絀</w:t>
      </w:r>
      <w:r w:rsidR="001A45F5">
        <w:rPr>
          <w:rFonts w:hint="eastAsia"/>
        </w:rPr>
        <w:t>9</w:t>
      </w:r>
      <w:r w:rsidR="001A45F5">
        <w:t>49</w:t>
      </w:r>
      <w:r w:rsidRPr="00D74504">
        <w:rPr>
          <w:rFonts w:hint="eastAsia"/>
        </w:rPr>
        <w:t>萬</w:t>
      </w:r>
      <w:r w:rsidR="001A45F5">
        <w:rPr>
          <w:rFonts w:hint="eastAsia"/>
        </w:rPr>
        <w:t>3</w:t>
      </w:r>
      <w:r w:rsidRPr="00D74504">
        <w:rPr>
          <w:rFonts w:hint="eastAsia"/>
        </w:rPr>
        <w:t>千元</w:t>
      </w:r>
      <w:r w:rsidRPr="00D74504">
        <w:t>，較預算</w:t>
      </w:r>
      <w:r w:rsidR="00B7293D">
        <w:rPr>
          <w:rFonts w:hint="eastAsia"/>
          <w:lang w:eastAsia="zh-HK"/>
        </w:rPr>
        <w:t>短絀</w:t>
      </w:r>
      <w:r w:rsidR="001A45F5">
        <w:rPr>
          <w:rFonts w:hint="eastAsia"/>
        </w:rPr>
        <w:t>5</w:t>
      </w:r>
      <w:r w:rsidR="001A45F5">
        <w:t>,798</w:t>
      </w:r>
      <w:r w:rsidRPr="00D74504">
        <w:rPr>
          <w:rFonts w:hint="eastAsia"/>
        </w:rPr>
        <w:t>萬元，</w:t>
      </w:r>
      <w:r w:rsidR="00B7293D">
        <w:rPr>
          <w:rFonts w:hint="eastAsia"/>
          <w:lang w:eastAsia="zh-HK"/>
        </w:rPr>
        <w:t>減少</w:t>
      </w:r>
      <w:r w:rsidR="00472672">
        <w:rPr>
          <w:rFonts w:hint="eastAsia"/>
        </w:rPr>
        <w:t>4</w:t>
      </w:r>
      <w:r w:rsidR="00472672">
        <w:t>,</w:t>
      </w:r>
      <w:r w:rsidR="001A45F5">
        <w:t>848</w:t>
      </w:r>
      <w:r w:rsidR="00B7293D">
        <w:rPr>
          <w:rFonts w:hint="eastAsia"/>
          <w:lang w:eastAsia="zh-HK"/>
        </w:rPr>
        <w:t>萬</w:t>
      </w:r>
      <w:r w:rsidR="001A45F5">
        <w:rPr>
          <w:rFonts w:hint="eastAsia"/>
        </w:rPr>
        <w:t>7</w:t>
      </w:r>
      <w:r w:rsidR="00B7293D">
        <w:rPr>
          <w:rFonts w:hint="eastAsia"/>
          <w:lang w:eastAsia="zh-HK"/>
        </w:rPr>
        <w:t>千元</w:t>
      </w:r>
      <w:r w:rsidRPr="00D74504">
        <w:rPr>
          <w:rFonts w:hint="eastAsia"/>
        </w:rPr>
        <w:t>，主要係</w:t>
      </w:r>
      <w:r w:rsidR="00B7293D">
        <w:rPr>
          <w:rFonts w:hint="eastAsia"/>
          <w:lang w:eastAsia="zh-HK"/>
        </w:rPr>
        <w:t>補助私立大專校院</w:t>
      </w:r>
      <w:r w:rsidR="00604526">
        <w:rPr>
          <w:rFonts w:hint="eastAsia"/>
          <w:lang w:eastAsia="zh-HK"/>
        </w:rPr>
        <w:t>辦理轉型計畫未執行及</w:t>
      </w:r>
      <w:r w:rsidR="000947A9" w:rsidRPr="000947A9">
        <w:rPr>
          <w:rFonts w:hint="eastAsia"/>
          <w:lang w:eastAsia="zh-HK"/>
        </w:rPr>
        <w:t>申請</w:t>
      </w:r>
      <w:r w:rsidR="00604526">
        <w:rPr>
          <w:rFonts w:hint="eastAsia"/>
          <w:lang w:eastAsia="zh-HK"/>
        </w:rPr>
        <w:t>補助停辦計畫</w:t>
      </w:r>
      <w:r w:rsidR="000947A9">
        <w:rPr>
          <w:rFonts w:hint="eastAsia"/>
        </w:rPr>
        <w:t>之</w:t>
      </w:r>
      <w:r w:rsidR="00604526">
        <w:rPr>
          <w:rFonts w:hint="eastAsia"/>
          <w:lang w:eastAsia="zh-HK"/>
        </w:rPr>
        <w:t>校數較預算數減少</w:t>
      </w:r>
      <w:r w:rsidRPr="00D74504">
        <w:rPr>
          <w:rFonts w:hint="eastAsia"/>
        </w:rPr>
        <w:t>所致。</w:t>
      </w:r>
      <w:r w:rsidR="001A45F5">
        <w:rPr>
          <w:rFonts w:hint="eastAsia"/>
        </w:rPr>
        <w:t>茲說明如下</w:t>
      </w:r>
      <w:r w:rsidR="00AF09C4" w:rsidRPr="00AF09C4">
        <w:rPr>
          <w:rFonts w:hint="eastAsia"/>
        </w:rPr>
        <w:t>：</w:t>
      </w:r>
    </w:p>
    <w:p w:rsidR="00472672" w:rsidRPr="00472672" w:rsidRDefault="004B19D8" w:rsidP="00472672">
      <w:pPr>
        <w:pStyle w:val="a5"/>
        <w:rPr>
          <w:b/>
        </w:rPr>
      </w:pPr>
      <w:r w:rsidRPr="004B19D8">
        <w:rPr>
          <w:rFonts w:hint="eastAsia"/>
          <w:b/>
        </w:rPr>
        <w:t>(</w:t>
      </w:r>
      <w:r w:rsidR="008915F2">
        <w:rPr>
          <w:rFonts w:hint="eastAsia"/>
          <w:b/>
        </w:rPr>
        <w:t>一</w:t>
      </w:r>
      <w:r w:rsidRPr="004B19D8">
        <w:rPr>
          <w:rFonts w:hint="eastAsia"/>
          <w:b/>
        </w:rPr>
        <w:t>)</w:t>
      </w:r>
      <w:r w:rsidR="00224DB1">
        <w:rPr>
          <w:b/>
        </w:rPr>
        <w:t>103</w:t>
      </w:r>
      <w:r w:rsidR="00224DB1">
        <w:rPr>
          <w:rFonts w:hint="eastAsia"/>
          <w:b/>
        </w:rPr>
        <w:t>至1</w:t>
      </w:r>
      <w:r w:rsidR="00224DB1">
        <w:rPr>
          <w:b/>
        </w:rPr>
        <w:t>11</w:t>
      </w:r>
      <w:r w:rsidR="00224DB1">
        <w:rPr>
          <w:rFonts w:hint="eastAsia"/>
          <w:b/>
        </w:rPr>
        <w:t>年度私立大專校院退場8校，惟安置學生</w:t>
      </w:r>
      <w:r w:rsidR="006E32A8">
        <w:rPr>
          <w:rFonts w:hint="eastAsia"/>
          <w:b/>
        </w:rPr>
        <w:t>平均</w:t>
      </w:r>
      <w:r w:rsidR="00224DB1" w:rsidRPr="00224DB1">
        <w:rPr>
          <w:rFonts w:hint="eastAsia"/>
          <w:b/>
        </w:rPr>
        <w:t>休退學比率遠高於大專校院，允宜賡續檢討安置</w:t>
      </w:r>
      <w:r w:rsidR="00FF7301">
        <w:rPr>
          <w:rFonts w:hint="eastAsia"/>
          <w:b/>
        </w:rPr>
        <w:t>措施之妥適性</w:t>
      </w:r>
    </w:p>
    <w:p w:rsidR="00224DB1" w:rsidRPr="00224DB1" w:rsidRDefault="00224DB1" w:rsidP="00224DB1">
      <w:pPr>
        <w:pStyle w:val="123"/>
        <w:ind w:left="1133" w:hanging="283"/>
        <w:rPr>
          <w:rFonts w:hAnsi="Times New Roman" w:cs="Times New Roman"/>
          <w:color w:val="auto"/>
        </w:rPr>
      </w:pPr>
      <w:r>
        <w:rPr>
          <w:rFonts w:hint="eastAsia"/>
        </w:rPr>
        <w:t>1</w:t>
      </w:r>
      <w:r>
        <w:t>.</w:t>
      </w:r>
      <w:r w:rsidRPr="00224DB1">
        <w:rPr>
          <w:rFonts w:hint="eastAsia"/>
        </w:rPr>
        <w:t>我國少子女化趨勢明顯，隨著學生生源減少，</w:t>
      </w:r>
      <w:r>
        <w:rPr>
          <w:rFonts w:hint="eastAsia"/>
        </w:rPr>
        <w:t>高等</w:t>
      </w:r>
      <w:r w:rsidRPr="00224DB1">
        <w:rPr>
          <w:rFonts w:hint="eastAsia"/>
        </w:rPr>
        <w:t>教育供過於求狀況益趨嚴峻，</w:t>
      </w:r>
      <w:r w:rsidR="003A3ECE">
        <w:rPr>
          <w:rFonts w:hint="eastAsia"/>
        </w:rPr>
        <w:t>而</w:t>
      </w:r>
      <w:r>
        <w:rPr>
          <w:rFonts w:hint="eastAsia"/>
        </w:rPr>
        <w:t>1</w:t>
      </w:r>
      <w:r>
        <w:t>03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年度</w:t>
      </w:r>
      <w:r w:rsidR="002B4B5C" w:rsidRPr="002B4B5C">
        <w:rPr>
          <w:rFonts w:hint="eastAsia"/>
        </w:rPr>
        <w:t>計有</w:t>
      </w:r>
      <w:r w:rsidR="002B4B5C">
        <w:rPr>
          <w:rFonts w:hint="eastAsia"/>
        </w:rPr>
        <w:t>高鳳數位內容學院、永達技術學院、</w:t>
      </w:r>
      <w:r w:rsidR="002B4B5C" w:rsidRPr="002B4B5C">
        <w:rPr>
          <w:rFonts w:hint="eastAsia"/>
        </w:rPr>
        <w:t>高美醫護管理專科學校、亞太創意技術學院、南榮科技大學、稻江科技暨管理學院、台灣觀光學院及蘭陽技術學院等</w:t>
      </w:r>
      <w:r w:rsidR="002B4B5C">
        <w:rPr>
          <w:rFonts w:hint="eastAsia"/>
        </w:rPr>
        <w:t>8所</w:t>
      </w:r>
      <w:r w:rsidR="002B4B5C" w:rsidRPr="002B4B5C">
        <w:rPr>
          <w:rFonts w:hint="eastAsia"/>
        </w:rPr>
        <w:t>私立大專校院退場</w:t>
      </w:r>
      <w:r w:rsidR="002B4B5C">
        <w:rPr>
          <w:rFonts w:hint="eastAsia"/>
        </w:rPr>
        <w:t>；</w:t>
      </w:r>
      <w:r w:rsidRPr="00224DB1">
        <w:rPr>
          <w:rFonts w:hAnsi="Times New Roman" w:cs="Times New Roman" w:hint="eastAsia"/>
          <w:color w:val="auto"/>
        </w:rPr>
        <w:t>據教育部</w:t>
      </w:r>
      <w:r w:rsidR="003A3ECE">
        <w:rPr>
          <w:rFonts w:hAnsi="Times New Roman" w:cs="Times New Roman" w:hint="eastAsia"/>
          <w:color w:val="auto"/>
        </w:rPr>
        <w:t>提供</w:t>
      </w:r>
      <w:r w:rsidRPr="00224DB1">
        <w:rPr>
          <w:rFonts w:hAnsi="Times New Roman" w:cs="Times New Roman" w:hint="eastAsia"/>
          <w:color w:val="auto"/>
        </w:rPr>
        <w:t>學生安置狀況，</w:t>
      </w:r>
      <w:r w:rsidR="0031626E">
        <w:rPr>
          <w:rFonts w:hAnsi="Times New Roman" w:cs="Times New Roman" w:hint="eastAsia"/>
          <w:color w:val="auto"/>
        </w:rPr>
        <w:t>計</w:t>
      </w:r>
      <w:r w:rsidRPr="00224DB1">
        <w:rPr>
          <w:rFonts w:hAnsi="Times New Roman" w:cs="Times New Roman" w:hint="eastAsia"/>
          <w:color w:val="auto"/>
        </w:rPr>
        <w:t>安置學生2</w:t>
      </w:r>
      <w:r w:rsidRPr="00224DB1">
        <w:rPr>
          <w:rFonts w:hAnsi="Times New Roman" w:cs="Times New Roman"/>
          <w:color w:val="auto"/>
        </w:rPr>
        <w:t>,</w:t>
      </w:r>
      <w:r w:rsidR="0031626E">
        <w:rPr>
          <w:rFonts w:hAnsi="Times New Roman" w:cs="Times New Roman"/>
          <w:color w:val="auto"/>
        </w:rPr>
        <w:t>486</w:t>
      </w:r>
      <w:r w:rsidRPr="00224DB1">
        <w:rPr>
          <w:rFonts w:hAnsi="Times New Roman" w:cs="Times New Roman" w:hint="eastAsia"/>
          <w:color w:val="auto"/>
        </w:rPr>
        <w:t>位，雖曾發生已退場學校學生安置至其他即將或之後已退場學校，惟尚無安置後再面臨二次安置情形；而已安置學生之流向，多屬尚在學或已畢業者，比率介於6</w:t>
      </w:r>
      <w:r w:rsidRPr="00224DB1">
        <w:rPr>
          <w:rFonts w:hAnsi="Times New Roman" w:cs="Times New Roman"/>
          <w:color w:val="auto"/>
        </w:rPr>
        <w:t>1.74%</w:t>
      </w:r>
      <w:r w:rsidRPr="00224DB1">
        <w:rPr>
          <w:rFonts w:hAnsi="Times New Roman" w:cs="Times New Roman" w:hint="eastAsia"/>
          <w:color w:val="auto"/>
        </w:rPr>
        <w:t>至9</w:t>
      </w:r>
      <w:r w:rsidR="0031626E">
        <w:rPr>
          <w:rFonts w:hAnsi="Times New Roman" w:cs="Times New Roman"/>
          <w:color w:val="auto"/>
        </w:rPr>
        <w:t>1.20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間，惟部分學校休學或退學之學生比率亦甚高，比率介於</w:t>
      </w:r>
      <w:r w:rsidR="0031626E">
        <w:rPr>
          <w:rFonts w:hAnsi="Times New Roman" w:cs="Times New Roman" w:hint="eastAsia"/>
          <w:color w:val="auto"/>
        </w:rPr>
        <w:t>8</w:t>
      </w:r>
      <w:r w:rsidR="0031626E">
        <w:rPr>
          <w:rFonts w:hAnsi="Times New Roman" w:cs="Times New Roman"/>
          <w:color w:val="auto"/>
        </w:rPr>
        <w:t>.45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至3</w:t>
      </w:r>
      <w:r w:rsidRPr="00224DB1">
        <w:rPr>
          <w:rFonts w:hAnsi="Times New Roman" w:cs="Times New Roman"/>
          <w:color w:val="auto"/>
        </w:rPr>
        <w:t>7.40%</w:t>
      </w:r>
      <w:r w:rsidRPr="00224DB1">
        <w:rPr>
          <w:rFonts w:hAnsi="Times New Roman" w:cs="Times New Roman" w:hint="eastAsia"/>
          <w:color w:val="auto"/>
        </w:rPr>
        <w:t>間</w:t>
      </w:r>
      <w:r w:rsidRPr="00224DB1">
        <w:rPr>
          <w:rFonts w:hAnsi="Times New Roman" w:cs="Times New Roman"/>
          <w:color w:val="auto"/>
        </w:rPr>
        <w:t>(</w:t>
      </w:r>
      <w:r w:rsidRPr="00224DB1">
        <w:rPr>
          <w:rFonts w:hAnsi="Times New Roman" w:cs="Times New Roman" w:hint="eastAsia"/>
          <w:color w:val="auto"/>
        </w:rPr>
        <w:t>詳表</w:t>
      </w:r>
      <w:r>
        <w:rPr>
          <w:rFonts w:hAnsi="Times New Roman" w:cs="Times New Roman" w:hint="eastAsia"/>
          <w:color w:val="auto"/>
        </w:rPr>
        <w:t>1</w:t>
      </w:r>
      <w:r w:rsidRPr="00224DB1">
        <w:rPr>
          <w:rFonts w:hAnsi="Times New Roman" w:cs="Times New Roman"/>
          <w:color w:val="auto"/>
        </w:rPr>
        <w:t>)</w:t>
      </w:r>
      <w:r w:rsidRPr="00224DB1">
        <w:rPr>
          <w:rFonts w:hAnsi="Times New Roman" w:cs="Times New Roman" w:hint="eastAsia"/>
          <w:color w:val="auto"/>
        </w:rPr>
        <w:t>，且其平均比率23.</w:t>
      </w:r>
      <w:r w:rsidR="0031626E">
        <w:rPr>
          <w:rFonts w:hAnsi="Times New Roman" w:cs="Times New Roman"/>
          <w:color w:val="auto"/>
        </w:rPr>
        <w:t>65</w:t>
      </w:r>
      <w:r w:rsidRPr="00224DB1">
        <w:rPr>
          <w:rFonts w:hAnsi="Times New Roman" w:cs="Times New Roman" w:hint="eastAsia"/>
          <w:color w:val="auto"/>
        </w:rPr>
        <w:t>%</w:t>
      </w:r>
      <w:r w:rsidRPr="00224DB1">
        <w:rPr>
          <w:rFonts w:hAnsi="Times New Roman" w:cs="Times New Roman"/>
          <w:color w:val="auto"/>
          <w:vertAlign w:val="superscript"/>
        </w:rPr>
        <w:footnoteReference w:id="1"/>
      </w:r>
      <w:r w:rsidRPr="00224DB1">
        <w:rPr>
          <w:rFonts w:hAnsi="Times New Roman" w:cs="Times New Roman" w:hint="eastAsia"/>
          <w:color w:val="auto"/>
        </w:rPr>
        <w:t>亦較</w:t>
      </w:r>
      <w:r w:rsidR="0060393A">
        <w:rPr>
          <w:rFonts w:hAnsi="Times New Roman" w:cs="Times New Roman" w:hint="eastAsia"/>
          <w:color w:val="auto"/>
        </w:rPr>
        <w:t>同期間(1</w:t>
      </w:r>
      <w:r w:rsidR="0060393A">
        <w:rPr>
          <w:rFonts w:hAnsi="Times New Roman" w:cs="Times New Roman"/>
          <w:color w:val="auto"/>
        </w:rPr>
        <w:t>03</w:t>
      </w:r>
      <w:r w:rsidR="0060393A">
        <w:rPr>
          <w:rFonts w:hAnsi="Times New Roman" w:cs="Times New Roman" w:hint="eastAsia"/>
          <w:color w:val="auto"/>
        </w:rPr>
        <w:t>至1</w:t>
      </w:r>
      <w:r w:rsidR="0060393A">
        <w:rPr>
          <w:rFonts w:hAnsi="Times New Roman" w:cs="Times New Roman"/>
          <w:color w:val="auto"/>
        </w:rPr>
        <w:t>11</w:t>
      </w:r>
      <w:r w:rsidR="0060393A">
        <w:rPr>
          <w:rFonts w:hAnsi="Times New Roman" w:cs="Times New Roman" w:hint="eastAsia"/>
          <w:color w:val="auto"/>
        </w:rPr>
        <w:t>學</w:t>
      </w:r>
      <w:r w:rsidRPr="00224DB1">
        <w:rPr>
          <w:rFonts w:hAnsi="Times New Roman" w:cs="Times New Roman" w:hint="eastAsia"/>
          <w:color w:val="auto"/>
        </w:rPr>
        <w:t>年</w:t>
      </w:r>
      <w:r w:rsidR="0060393A">
        <w:rPr>
          <w:rFonts w:hAnsi="Times New Roman" w:cs="Times New Roman" w:hint="eastAsia"/>
          <w:color w:val="auto"/>
        </w:rPr>
        <w:t>度)</w:t>
      </w:r>
      <w:r w:rsidRPr="00224DB1">
        <w:rPr>
          <w:rFonts w:hAnsi="Times New Roman" w:cs="Times New Roman" w:hint="eastAsia"/>
          <w:color w:val="auto"/>
        </w:rPr>
        <w:t>大專校院休退學學生人數</w:t>
      </w:r>
      <w:r w:rsidR="0060393A">
        <w:rPr>
          <w:rFonts w:hAnsi="Times New Roman" w:cs="Times New Roman" w:hint="eastAsia"/>
          <w:color w:val="auto"/>
        </w:rPr>
        <w:t>占全體學生人數</w:t>
      </w:r>
      <w:r w:rsidRPr="00224DB1">
        <w:rPr>
          <w:rFonts w:hAnsi="Times New Roman" w:cs="Times New Roman" w:hint="eastAsia"/>
          <w:color w:val="auto"/>
        </w:rPr>
        <w:t>比率1</w:t>
      </w:r>
      <w:r w:rsidRPr="00224DB1">
        <w:rPr>
          <w:rFonts w:hAnsi="Times New Roman" w:cs="Times New Roman"/>
          <w:color w:val="auto"/>
        </w:rPr>
        <w:t>3.</w:t>
      </w:r>
      <w:r w:rsidR="0060393A">
        <w:rPr>
          <w:rFonts w:hAnsi="Times New Roman" w:cs="Times New Roman"/>
          <w:color w:val="auto"/>
        </w:rPr>
        <w:t>84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至1</w:t>
      </w:r>
      <w:r w:rsidRPr="00224DB1">
        <w:rPr>
          <w:rFonts w:hAnsi="Times New Roman" w:cs="Times New Roman"/>
          <w:color w:val="auto"/>
        </w:rPr>
        <w:t>5.6</w:t>
      </w:r>
      <w:r w:rsidR="0060393A">
        <w:rPr>
          <w:rFonts w:hAnsi="Times New Roman" w:cs="Times New Roman"/>
          <w:color w:val="auto"/>
        </w:rPr>
        <w:t>8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為高</w:t>
      </w:r>
      <w:r w:rsidR="0060393A">
        <w:rPr>
          <w:rStyle w:val="af7"/>
          <w:rFonts w:hAnsi="Times New Roman" w:cs="Times New Roman"/>
          <w:color w:val="auto"/>
        </w:rPr>
        <w:footnoteReference w:id="2"/>
      </w:r>
      <w:r w:rsidRPr="00224DB1">
        <w:rPr>
          <w:rFonts w:hAnsi="Times New Roman" w:cs="Times New Roman" w:hint="eastAsia"/>
          <w:color w:val="auto"/>
        </w:rPr>
        <w:t>。顯示學校退場對學生受教權益確有負面影響。</w:t>
      </w:r>
    </w:p>
    <w:p w:rsidR="00224DB1" w:rsidRDefault="00224DB1" w:rsidP="00224DB1">
      <w:pPr>
        <w:pStyle w:val="123"/>
        <w:ind w:left="1133" w:hanging="283"/>
        <w:rPr>
          <w:rFonts w:hAnsi="Times New Roman" w:cs="Times New Roman"/>
          <w:color w:val="auto"/>
        </w:rPr>
      </w:pPr>
      <w:r w:rsidRPr="00224DB1">
        <w:rPr>
          <w:rFonts w:hAnsi="Times New Roman" w:cs="Times New Roman" w:hint="eastAsia"/>
          <w:color w:val="auto"/>
        </w:rPr>
        <w:lastRenderedPageBreak/>
        <w:t>2</w:t>
      </w:r>
      <w:r w:rsidRPr="00224DB1">
        <w:rPr>
          <w:rFonts w:hAnsi="Times New Roman" w:cs="Times New Roman"/>
          <w:color w:val="auto"/>
        </w:rPr>
        <w:t>.</w:t>
      </w:r>
      <w:r w:rsidR="00FF7301" w:rsidRPr="00FF7301">
        <w:rPr>
          <w:rFonts w:hAnsi="Times New Roman" w:cs="Times New Roman"/>
          <w:color w:val="auto"/>
        </w:rPr>
        <w:t>111年度</w:t>
      </w:r>
      <w:r w:rsidR="0031626E">
        <w:rPr>
          <w:rFonts w:hAnsi="Times New Roman" w:cs="Times New Roman" w:hint="eastAsia"/>
          <w:color w:val="auto"/>
        </w:rPr>
        <w:t>轉型</w:t>
      </w:r>
      <w:r w:rsidRPr="00224DB1">
        <w:rPr>
          <w:rFonts w:hAnsi="Times New Roman" w:cs="Times New Roman" w:hint="eastAsia"/>
          <w:color w:val="auto"/>
        </w:rPr>
        <w:t>退場基金</w:t>
      </w:r>
      <w:r w:rsidR="00FF7301">
        <w:rPr>
          <w:rFonts w:hAnsi="Times New Roman" w:cs="Times New Roman" w:hint="eastAsia"/>
          <w:color w:val="auto"/>
        </w:rPr>
        <w:t>辦理</w:t>
      </w:r>
      <w:r w:rsidR="00FF7301">
        <w:rPr>
          <w:rFonts w:cs="Times New Roman" w:hint="eastAsia"/>
          <w:color w:val="auto"/>
        </w:rPr>
        <w:t>「</w:t>
      </w:r>
      <w:r w:rsidRPr="00224DB1">
        <w:rPr>
          <w:rFonts w:hAnsi="Times New Roman" w:cs="Times New Roman" w:hint="eastAsia"/>
          <w:color w:val="auto"/>
        </w:rPr>
        <w:t>協助學校停招或停辦計畫</w:t>
      </w:r>
      <w:r w:rsidR="00FF7301">
        <w:rPr>
          <w:rFonts w:cs="Times New Roman" w:hint="eastAsia"/>
          <w:color w:val="auto"/>
        </w:rPr>
        <w:t>」</w:t>
      </w:r>
      <w:r w:rsidR="00FF7301">
        <w:rPr>
          <w:rFonts w:hAnsi="Times New Roman" w:cs="Times New Roman" w:hint="eastAsia"/>
          <w:color w:val="auto"/>
        </w:rPr>
        <w:t>決算數8</w:t>
      </w:r>
      <w:r w:rsidR="00FF7301">
        <w:rPr>
          <w:rFonts w:hAnsi="Times New Roman" w:cs="Times New Roman"/>
          <w:color w:val="auto"/>
        </w:rPr>
        <w:t>32</w:t>
      </w:r>
      <w:r w:rsidR="00FF7301">
        <w:rPr>
          <w:rFonts w:hAnsi="Times New Roman" w:cs="Times New Roman" w:hint="eastAsia"/>
          <w:color w:val="auto"/>
        </w:rPr>
        <w:t>萬3千元，較預算數4</w:t>
      </w:r>
      <w:r w:rsidR="00FF7301">
        <w:rPr>
          <w:rFonts w:hAnsi="Times New Roman" w:cs="Times New Roman"/>
          <w:color w:val="auto"/>
        </w:rPr>
        <w:t>,297</w:t>
      </w:r>
      <w:r w:rsidR="00FF7301">
        <w:rPr>
          <w:rFonts w:hAnsi="Times New Roman" w:cs="Times New Roman" w:hint="eastAsia"/>
          <w:color w:val="auto"/>
        </w:rPr>
        <w:t>萬5千元減少3</w:t>
      </w:r>
      <w:r w:rsidR="00FF7301">
        <w:rPr>
          <w:rFonts w:hAnsi="Times New Roman" w:cs="Times New Roman"/>
          <w:color w:val="auto"/>
        </w:rPr>
        <w:t>,465</w:t>
      </w:r>
      <w:r w:rsidR="00FF7301">
        <w:rPr>
          <w:rFonts w:hAnsi="Times New Roman" w:cs="Times New Roman" w:hint="eastAsia"/>
          <w:color w:val="auto"/>
        </w:rPr>
        <w:t>萬2千元</w:t>
      </w:r>
      <w:r w:rsidRPr="00224DB1">
        <w:rPr>
          <w:rFonts w:hAnsi="Times New Roman" w:cs="Times New Roman" w:hint="eastAsia"/>
          <w:color w:val="auto"/>
        </w:rPr>
        <w:t>，</w:t>
      </w:r>
      <w:r w:rsidR="00FF7301">
        <w:rPr>
          <w:rFonts w:hAnsi="Times New Roman" w:cs="Times New Roman" w:hint="eastAsia"/>
          <w:color w:val="auto"/>
        </w:rPr>
        <w:t>主要係補助停辦計畫之申請校數較預估數減少所致</w:t>
      </w:r>
      <w:r w:rsidRPr="00224DB1">
        <w:rPr>
          <w:rFonts w:hAnsi="Times New Roman" w:cs="Times New Roman" w:hint="eastAsia"/>
          <w:color w:val="auto"/>
        </w:rPr>
        <w:t>。鑒於</w:t>
      </w:r>
      <w:r w:rsidR="00FF7301">
        <w:rPr>
          <w:rFonts w:hAnsi="Times New Roman" w:cs="Times New Roman" w:hint="eastAsia"/>
          <w:color w:val="auto"/>
        </w:rPr>
        <w:t>1</w:t>
      </w:r>
      <w:r w:rsidR="00FF7301">
        <w:rPr>
          <w:rFonts w:hAnsi="Times New Roman" w:cs="Times New Roman"/>
          <w:color w:val="auto"/>
        </w:rPr>
        <w:t>03</w:t>
      </w:r>
      <w:r w:rsidR="00FF7301">
        <w:rPr>
          <w:rFonts w:hAnsi="Times New Roman" w:cs="Times New Roman" w:hint="eastAsia"/>
          <w:color w:val="auto"/>
        </w:rPr>
        <w:t>至1</w:t>
      </w:r>
      <w:r w:rsidR="00FF7301">
        <w:rPr>
          <w:rFonts w:hAnsi="Times New Roman" w:cs="Times New Roman"/>
          <w:color w:val="auto"/>
        </w:rPr>
        <w:t>11</w:t>
      </w:r>
      <w:r w:rsidRPr="00224DB1">
        <w:rPr>
          <w:rFonts w:hAnsi="Times New Roman" w:cs="Times New Roman" w:hint="eastAsia"/>
          <w:color w:val="auto"/>
        </w:rPr>
        <w:t>年</w:t>
      </w:r>
      <w:r w:rsidR="00FF7301">
        <w:rPr>
          <w:rFonts w:hAnsi="Times New Roman" w:cs="Times New Roman" w:hint="eastAsia"/>
          <w:color w:val="auto"/>
        </w:rPr>
        <w:t>度</w:t>
      </w:r>
      <w:r w:rsidRPr="00224DB1">
        <w:rPr>
          <w:rFonts w:hAnsi="Times New Roman" w:cs="Times New Roman" w:hint="eastAsia"/>
          <w:color w:val="auto"/>
        </w:rPr>
        <w:t>已退場私立大專校院學生安置後</w:t>
      </w:r>
      <w:r w:rsidR="006E32A8">
        <w:rPr>
          <w:rFonts w:hAnsi="Times New Roman" w:cs="Times New Roman" w:hint="eastAsia"/>
          <w:color w:val="auto"/>
        </w:rPr>
        <w:t>平均</w:t>
      </w:r>
      <w:r w:rsidRPr="00224DB1">
        <w:rPr>
          <w:rFonts w:hAnsi="Times New Roman" w:cs="Times New Roman" w:hint="eastAsia"/>
          <w:color w:val="auto"/>
        </w:rPr>
        <w:t>休退學比率遠高於大專校院，允宜賡續檢討相關安置策略妥適性，俾協助學生順利轉銜學習</w:t>
      </w:r>
      <w:r>
        <w:rPr>
          <w:rFonts w:hAnsi="Times New Roman" w:cs="Times New Roman" w:hint="eastAsia"/>
          <w:color w:val="auto"/>
        </w:rPr>
        <w:t>。</w:t>
      </w:r>
    </w:p>
    <w:p w:rsidR="001B3645" w:rsidRDefault="003A3ECE" w:rsidP="003A3ECE">
      <w:pPr>
        <w:pStyle w:val="142"/>
        <w:spacing w:beforeLines="50" w:before="250"/>
        <w:ind w:left="714" w:hangingChars="252" w:hanging="714"/>
        <w:rPr>
          <w:b/>
          <w:sz w:val="28"/>
        </w:rPr>
      </w:pPr>
      <w:r w:rsidRPr="003A3ECE">
        <w:rPr>
          <w:rFonts w:hint="eastAsia"/>
          <w:b/>
          <w:sz w:val="28"/>
        </w:rPr>
        <w:t xml:space="preserve">表1  </w:t>
      </w:r>
      <w:r w:rsidRPr="003A3ECE">
        <w:rPr>
          <w:b/>
          <w:sz w:val="28"/>
        </w:rPr>
        <w:t>103</w:t>
      </w:r>
      <w:r w:rsidRPr="003A3ECE">
        <w:rPr>
          <w:rFonts w:hint="eastAsia"/>
          <w:b/>
          <w:sz w:val="28"/>
        </w:rPr>
        <w:t>至1</w:t>
      </w:r>
      <w:r w:rsidRPr="003A3ECE">
        <w:rPr>
          <w:b/>
          <w:sz w:val="28"/>
        </w:rPr>
        <w:t>11</w:t>
      </w:r>
      <w:r w:rsidRPr="003A3ECE">
        <w:rPr>
          <w:rFonts w:hint="eastAsia"/>
          <w:b/>
          <w:sz w:val="28"/>
        </w:rPr>
        <w:t>年度私立大專校院</w:t>
      </w:r>
      <w:r>
        <w:rPr>
          <w:rFonts w:hint="eastAsia"/>
          <w:b/>
          <w:sz w:val="28"/>
        </w:rPr>
        <w:t>退場時教職員</w:t>
      </w:r>
      <w:r w:rsidR="001B3645">
        <w:rPr>
          <w:rFonts w:hint="eastAsia"/>
          <w:b/>
          <w:sz w:val="28"/>
        </w:rPr>
        <w:t>及學生</w:t>
      </w:r>
      <w:r>
        <w:rPr>
          <w:rFonts w:hint="eastAsia"/>
          <w:b/>
          <w:sz w:val="28"/>
        </w:rPr>
        <w:t>人數</w:t>
      </w:r>
      <w:r w:rsidRPr="003A3ECE">
        <w:rPr>
          <w:rFonts w:hint="eastAsia"/>
          <w:b/>
          <w:sz w:val="28"/>
        </w:rPr>
        <w:t>概況表</w:t>
      </w:r>
    </w:p>
    <w:p w:rsidR="003A3ECE" w:rsidRPr="003A3ECE" w:rsidRDefault="003A3ECE" w:rsidP="001B3645">
      <w:pPr>
        <w:pStyle w:val="142"/>
        <w:ind w:left="714" w:hangingChars="252" w:hanging="714"/>
        <w:jc w:val="right"/>
      </w:pPr>
      <w:r w:rsidRPr="003A3ECE"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                          </w:t>
      </w:r>
      <w:r w:rsidRPr="003A3ECE">
        <w:rPr>
          <w:b/>
        </w:rPr>
        <w:t xml:space="preserve"> </w:t>
      </w:r>
      <w:r>
        <w:rPr>
          <w:b/>
        </w:rPr>
        <w:t xml:space="preserve">       </w:t>
      </w:r>
      <w:r w:rsidRPr="003A3ECE">
        <w:rPr>
          <w:b/>
        </w:rPr>
        <w:t xml:space="preserve">  </w:t>
      </w:r>
      <w:r w:rsidRPr="003A3ECE">
        <w:rPr>
          <w:rFonts w:hint="eastAsia"/>
        </w:rPr>
        <w:t>單位：人；%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5"/>
        <w:gridCol w:w="972"/>
        <w:gridCol w:w="980"/>
        <w:gridCol w:w="1048"/>
        <w:gridCol w:w="1718"/>
        <w:gridCol w:w="1428"/>
        <w:gridCol w:w="759"/>
      </w:tblGrid>
      <w:tr w:rsidR="001B3645" w:rsidRPr="003A3ECE" w:rsidTr="001B3645">
        <w:trPr>
          <w:tblHeader/>
        </w:trPr>
        <w:tc>
          <w:tcPr>
            <w:tcW w:w="1815" w:type="dxa"/>
            <w:vMerge w:val="restart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學校名稱</w:t>
            </w:r>
          </w:p>
        </w:tc>
        <w:tc>
          <w:tcPr>
            <w:tcW w:w="972" w:type="dxa"/>
            <w:vMerge w:val="restart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</w:pPr>
            <w:r w:rsidRPr="003A3ECE">
              <w:rPr>
                <w:rFonts w:hint="eastAsia"/>
              </w:rPr>
              <w:t>退場</w:t>
            </w:r>
          </w:p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年月</w:t>
            </w:r>
          </w:p>
        </w:tc>
        <w:tc>
          <w:tcPr>
            <w:tcW w:w="980" w:type="dxa"/>
            <w:vMerge w:val="restart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教職員人數</w:t>
            </w:r>
          </w:p>
        </w:tc>
        <w:tc>
          <w:tcPr>
            <w:tcW w:w="1048" w:type="dxa"/>
            <w:vMerge w:val="restart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學生安置人數</w:t>
            </w:r>
          </w:p>
        </w:tc>
        <w:tc>
          <w:tcPr>
            <w:tcW w:w="3905" w:type="dxa"/>
            <w:gridSpan w:val="3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安置學生流向及比率</w:t>
            </w:r>
          </w:p>
        </w:tc>
      </w:tr>
      <w:tr w:rsidR="001B3645" w:rsidRPr="003A3ECE" w:rsidTr="001B3645">
        <w:trPr>
          <w:tblHeader/>
        </w:trPr>
        <w:tc>
          <w:tcPr>
            <w:tcW w:w="1815" w:type="dxa"/>
            <w:vMerge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72" w:type="dxa"/>
            <w:vMerge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80" w:type="dxa"/>
            <w:vMerge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48" w:type="dxa"/>
            <w:vMerge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718" w:type="dxa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在學或已畢業</w:t>
            </w:r>
          </w:p>
        </w:tc>
        <w:tc>
          <w:tcPr>
            <w:tcW w:w="1428" w:type="dxa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休學或退學</w:t>
            </w:r>
          </w:p>
        </w:tc>
        <w:tc>
          <w:tcPr>
            <w:tcW w:w="759" w:type="dxa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轉學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高鳳數位內容學院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03.02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4</w:t>
            </w:r>
            <w:r w:rsidRPr="003A3ECE">
              <w:t>72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7</w:t>
            </w:r>
            <w:r w:rsidRPr="003A3ECE">
              <w:t>0.76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7.97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.27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永達技術學院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03.08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24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4</w:t>
            </w:r>
            <w:r w:rsidRPr="003A3ECE">
              <w:t>98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7</w:t>
            </w:r>
            <w:r w:rsidRPr="003A3ECE">
              <w:t>1.69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7.51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0</w:t>
            </w:r>
            <w:r w:rsidRPr="003A3ECE">
              <w:t>.80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高美醫護管理專科學校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t>107.08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8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3</w:t>
            </w:r>
            <w:r w:rsidRPr="003A3ECE">
              <w:t>45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1.74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3</w:t>
            </w:r>
            <w:r w:rsidRPr="003A3ECE">
              <w:t>6.23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.03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亞太創意技術學院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08.08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84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9</w:t>
            </w:r>
            <w:r w:rsidRPr="003A3ECE">
              <w:t>1.20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.45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0</w:t>
            </w:r>
            <w:r w:rsidRPr="003A3ECE">
              <w:t>.35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南榮科技大學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09.02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32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01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3.19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6.47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0</w:t>
            </w:r>
            <w:r w:rsidRPr="003A3ECE">
              <w:t>.34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稻江科技暨管理學院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10.08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9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4.06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4.49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.45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台灣觀光學院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10.09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31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2.60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3</w:t>
            </w:r>
            <w:r w:rsidRPr="003A3ECE">
              <w:t>7.40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-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蘭陽技術學院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11.08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6.05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3.95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-</w:t>
            </w:r>
          </w:p>
        </w:tc>
      </w:tr>
      <w:tr w:rsidR="0031626E" w:rsidRPr="003A3ECE" w:rsidTr="00135A89">
        <w:tc>
          <w:tcPr>
            <w:tcW w:w="2787" w:type="dxa"/>
            <w:gridSpan w:val="2"/>
            <w:shd w:val="clear" w:color="auto" w:fill="auto"/>
            <w:vAlign w:val="center"/>
          </w:tcPr>
          <w:p w:rsidR="0031626E" w:rsidRPr="0031626E" w:rsidRDefault="0031626E" w:rsidP="001B3645">
            <w:pPr>
              <w:pStyle w:val="142"/>
              <w:jc w:val="center"/>
              <w:rPr>
                <w:rFonts w:hint="eastAsia"/>
                <w:b/>
              </w:rPr>
            </w:pPr>
            <w:r w:rsidRPr="0031626E">
              <w:rPr>
                <w:rFonts w:hint="eastAsia"/>
                <w:b/>
              </w:rPr>
              <w:t>合計</w:t>
            </w:r>
          </w:p>
        </w:tc>
        <w:tc>
          <w:tcPr>
            <w:tcW w:w="980" w:type="dxa"/>
            <w:vAlign w:val="center"/>
          </w:tcPr>
          <w:p w:rsidR="0031626E" w:rsidRPr="0031626E" w:rsidRDefault="0031626E" w:rsidP="001B3645">
            <w:pPr>
              <w:pStyle w:val="142"/>
              <w:jc w:val="right"/>
              <w:rPr>
                <w:rFonts w:hint="eastAsia"/>
                <w:b/>
              </w:rPr>
            </w:pPr>
            <w:r w:rsidRPr="0031626E">
              <w:rPr>
                <w:rFonts w:hint="eastAsia"/>
                <w:b/>
              </w:rPr>
              <w:t>5</w:t>
            </w:r>
            <w:r w:rsidRPr="0031626E">
              <w:rPr>
                <w:b/>
              </w:rPr>
              <w:t>46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31626E" w:rsidRPr="0031626E" w:rsidRDefault="0031626E" w:rsidP="001B3645">
            <w:pPr>
              <w:pStyle w:val="142"/>
              <w:jc w:val="right"/>
              <w:rPr>
                <w:rFonts w:hint="eastAsia"/>
                <w:b/>
              </w:rPr>
            </w:pPr>
            <w:r w:rsidRPr="0031626E">
              <w:rPr>
                <w:rFonts w:hint="eastAsia"/>
                <w:b/>
              </w:rPr>
              <w:t>2</w:t>
            </w:r>
            <w:r w:rsidRPr="0031626E">
              <w:rPr>
                <w:b/>
              </w:rPr>
              <w:t>,486</w:t>
            </w:r>
          </w:p>
        </w:tc>
        <w:tc>
          <w:tcPr>
            <w:tcW w:w="3905" w:type="dxa"/>
            <w:gridSpan w:val="3"/>
            <w:shd w:val="clear" w:color="auto" w:fill="auto"/>
            <w:vAlign w:val="center"/>
          </w:tcPr>
          <w:p w:rsidR="0031626E" w:rsidRPr="003A3ECE" w:rsidRDefault="0031626E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3A3ECE" w:rsidRPr="003A3ECE" w:rsidRDefault="003A3ECE" w:rsidP="003A3ECE">
      <w:pPr>
        <w:pStyle w:val="142"/>
      </w:pPr>
      <w:r w:rsidRPr="003A3ECE">
        <w:t>說</w:t>
      </w:r>
      <w:r w:rsidRPr="003A3ECE">
        <w:rPr>
          <w:rFonts w:hint="eastAsia"/>
        </w:rPr>
        <w:t xml:space="preserve"> </w:t>
      </w:r>
      <w:r w:rsidRPr="003A3ECE">
        <w:t xml:space="preserve">   明</w:t>
      </w:r>
      <w:r w:rsidRPr="003A3ECE">
        <w:rPr>
          <w:rFonts w:hint="eastAsia"/>
        </w:rPr>
        <w:t>：1</w:t>
      </w:r>
      <w:r w:rsidRPr="003A3ECE">
        <w:t>.</w:t>
      </w:r>
      <w:r w:rsidRPr="003A3ECE">
        <w:rPr>
          <w:rFonts w:hint="eastAsia"/>
        </w:rPr>
        <w:t>本表係列示1</w:t>
      </w:r>
      <w:r w:rsidRPr="003A3ECE">
        <w:t>03</w:t>
      </w:r>
      <w:r w:rsidR="001B3645">
        <w:rPr>
          <w:rFonts w:hint="eastAsia"/>
        </w:rPr>
        <w:t>至1</w:t>
      </w:r>
      <w:r w:rsidR="001B3645">
        <w:t>11</w:t>
      </w:r>
      <w:r w:rsidR="001B3645">
        <w:rPr>
          <w:rFonts w:hint="eastAsia"/>
        </w:rPr>
        <w:t>年度</w:t>
      </w:r>
      <w:r w:rsidRPr="003A3ECE">
        <w:rPr>
          <w:rFonts w:hint="eastAsia"/>
        </w:rPr>
        <w:t>已退場之大專校院。</w:t>
      </w:r>
    </w:p>
    <w:p w:rsidR="003A3ECE" w:rsidRPr="003A3ECE" w:rsidRDefault="003A3ECE" w:rsidP="003A3ECE">
      <w:pPr>
        <w:pStyle w:val="142"/>
      </w:pPr>
      <w:r w:rsidRPr="003A3ECE">
        <w:rPr>
          <w:rFonts w:hint="eastAsia"/>
        </w:rPr>
        <w:t xml:space="preserve"> </w:t>
      </w:r>
      <w:r w:rsidRPr="003A3ECE">
        <w:t xml:space="preserve">         </w:t>
      </w:r>
      <w:r w:rsidR="001B3645">
        <w:t>2</w:t>
      </w:r>
      <w:r w:rsidRPr="003A3ECE">
        <w:t>.</w:t>
      </w:r>
      <w:r w:rsidRPr="003A3ECE">
        <w:rPr>
          <w:rFonts w:hint="eastAsia"/>
        </w:rPr>
        <w:t>安置學生比率係各安置流向人數/安置學生總人數。</w:t>
      </w:r>
      <w:r w:rsidRPr="003A3ECE">
        <w:t xml:space="preserve">      </w:t>
      </w:r>
    </w:p>
    <w:p w:rsidR="003A3ECE" w:rsidRPr="003A3ECE" w:rsidRDefault="003A3ECE" w:rsidP="003A3ECE">
      <w:pPr>
        <w:pStyle w:val="142"/>
        <w:rPr>
          <w:rFonts w:hint="eastAsia"/>
        </w:rPr>
      </w:pPr>
      <w:r w:rsidRPr="003A3ECE">
        <w:rPr>
          <w:rFonts w:hint="eastAsia"/>
        </w:rPr>
        <w:t>資料來源：教育部提供。</w:t>
      </w:r>
    </w:p>
    <w:p w:rsidR="0090328C" w:rsidRPr="0090328C" w:rsidRDefault="0090328C" w:rsidP="0090328C">
      <w:pPr>
        <w:pStyle w:val="a5"/>
        <w:rPr>
          <w:rFonts w:hint="eastAsia"/>
          <w:b/>
          <w:color w:val="FF0000"/>
        </w:rPr>
      </w:pPr>
      <w:r w:rsidRPr="004B19D8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4B19D8">
        <w:rPr>
          <w:rFonts w:hint="eastAsia"/>
          <w:b/>
        </w:rPr>
        <w:t>)</w:t>
      </w:r>
      <w:r w:rsidR="00395F96" w:rsidRPr="00395F96">
        <w:rPr>
          <w:rFonts w:hint="eastAsia"/>
          <w:b/>
        </w:rPr>
        <w:t>「大專校院高等教育人力躍升培訓及媒合平臺」雖成功媒合</w:t>
      </w:r>
      <w:r w:rsidR="00395F96" w:rsidRPr="00395F96">
        <w:rPr>
          <w:b/>
        </w:rPr>
        <w:t>80人，惟與退場學校教職員工人數相較落差甚大</w:t>
      </w:r>
      <w:r w:rsidR="00395F96">
        <w:rPr>
          <w:rFonts w:hint="eastAsia"/>
          <w:b/>
        </w:rPr>
        <w:t>，允宜檢討</w:t>
      </w:r>
      <w:r w:rsidR="000F25D4">
        <w:rPr>
          <w:rFonts w:hint="eastAsia"/>
          <w:b/>
        </w:rPr>
        <w:t>精進</w:t>
      </w:r>
      <w:r w:rsidR="009B5782">
        <w:rPr>
          <w:rFonts w:hint="eastAsia"/>
          <w:b/>
        </w:rPr>
        <w:t>相關</w:t>
      </w:r>
      <w:r w:rsidR="00395F96">
        <w:rPr>
          <w:rFonts w:hint="eastAsia"/>
          <w:b/>
        </w:rPr>
        <w:t>媒合措施</w:t>
      </w:r>
      <w:r w:rsidR="00FF7301" w:rsidRPr="0090328C">
        <w:rPr>
          <w:rFonts w:hint="eastAsia"/>
          <w:b/>
          <w:color w:val="FF0000"/>
        </w:rPr>
        <w:t xml:space="preserve"> </w:t>
      </w:r>
    </w:p>
    <w:p w:rsidR="00395F96" w:rsidRPr="00395F96" w:rsidRDefault="00395F96" w:rsidP="00395F96">
      <w:pPr>
        <w:widowControl w:val="0"/>
        <w:ind w:leftChars="300" w:left="1133" w:hangingChars="100" w:hanging="283"/>
        <w:rPr>
          <w:rFonts w:hAnsi="Times New Roman"/>
        </w:rPr>
      </w:pPr>
      <w:r w:rsidRPr="00395F96">
        <w:rPr>
          <w:rFonts w:hAnsi="Times New Roman" w:hint="eastAsia"/>
        </w:rPr>
        <w:t>1.為協助教師轉職投入社會多元領域，教育部自1</w:t>
      </w:r>
      <w:r w:rsidRPr="00395F96">
        <w:rPr>
          <w:rFonts w:hAnsi="Times New Roman"/>
        </w:rPr>
        <w:t>05</w:t>
      </w:r>
      <w:r w:rsidRPr="00395F96">
        <w:rPr>
          <w:rFonts w:hAnsi="Times New Roman" w:hint="eastAsia"/>
        </w:rPr>
        <w:t>年度起建置「大專校院高等教育人力躍升培訓及媒合平臺」</w:t>
      </w:r>
      <w:r w:rsidRPr="00395F96">
        <w:rPr>
          <w:rFonts w:hAnsi="Times New Roman"/>
          <w:vertAlign w:val="superscript"/>
        </w:rPr>
        <w:footnoteReference w:id="3"/>
      </w:r>
      <w:r w:rsidRPr="00395F96">
        <w:rPr>
          <w:rFonts w:hAnsi="Times New Roman" w:hint="eastAsia"/>
        </w:rPr>
        <w:t>(以下稱媒</w:t>
      </w:r>
      <w:r w:rsidRPr="00395F96">
        <w:rPr>
          <w:rFonts w:hAnsi="Times New Roman" w:hint="eastAsia"/>
        </w:rPr>
        <w:lastRenderedPageBreak/>
        <w:t>合平台</w:t>
      </w:r>
      <w:r w:rsidRPr="00395F96">
        <w:rPr>
          <w:rFonts w:hAnsi="Times New Roman"/>
        </w:rPr>
        <w:t>)</w:t>
      </w:r>
      <w:r w:rsidRPr="00395F96">
        <w:rPr>
          <w:rFonts w:hAnsi="Times New Roman" w:hint="eastAsia"/>
        </w:rPr>
        <w:t>，迄1</w:t>
      </w:r>
      <w:r w:rsidRPr="00395F96">
        <w:rPr>
          <w:rFonts w:hAnsi="Times New Roman"/>
        </w:rPr>
        <w:t>1</w:t>
      </w:r>
      <w:r>
        <w:rPr>
          <w:rFonts w:hAnsi="Times New Roman"/>
        </w:rPr>
        <w:t>1</w:t>
      </w:r>
      <w:r w:rsidRPr="00395F96">
        <w:rPr>
          <w:rFonts w:hAnsi="Times New Roman" w:hint="eastAsia"/>
        </w:rPr>
        <w:t>年度投入建置費</w:t>
      </w:r>
      <w:r>
        <w:rPr>
          <w:rFonts w:hAnsi="Times New Roman" w:hint="eastAsia"/>
        </w:rPr>
        <w:t>3</w:t>
      </w:r>
      <w:r>
        <w:rPr>
          <w:rFonts w:hAnsi="Times New Roman"/>
        </w:rPr>
        <w:t>,781</w:t>
      </w:r>
      <w:r w:rsidRPr="00395F96">
        <w:rPr>
          <w:rFonts w:hAnsi="Times New Roman" w:hint="eastAsia"/>
        </w:rPr>
        <w:t>萬元</w:t>
      </w:r>
      <w:r w:rsidRPr="00395F96">
        <w:rPr>
          <w:rFonts w:hAnsi="Times New Roman"/>
          <w:vertAlign w:val="superscript"/>
        </w:rPr>
        <w:footnoteReference w:id="4"/>
      </w:r>
      <w:r w:rsidRPr="00395F96">
        <w:rPr>
          <w:rFonts w:hAnsi="Times New Roman" w:hint="eastAsia"/>
        </w:rPr>
        <w:t>；據教育部提供迄1</w:t>
      </w:r>
      <w:r w:rsidRPr="00395F96">
        <w:rPr>
          <w:rFonts w:hAnsi="Times New Roman"/>
        </w:rPr>
        <w:t>11</w:t>
      </w:r>
      <w:r w:rsidRPr="00395F96">
        <w:rPr>
          <w:rFonts w:hAnsi="Times New Roman" w:hint="eastAsia"/>
        </w:rPr>
        <w:t>年度辦理成效，7年共培訓1</w:t>
      </w:r>
      <w:r w:rsidRPr="00395F96">
        <w:rPr>
          <w:rFonts w:hAnsi="Times New Roman"/>
        </w:rPr>
        <w:t>,735</w:t>
      </w:r>
      <w:r w:rsidRPr="00395F96">
        <w:rPr>
          <w:rFonts w:hAnsi="Times New Roman" w:hint="eastAsia"/>
        </w:rPr>
        <w:t>人，而諮詢及成功媒合人數分別為1</w:t>
      </w:r>
      <w:r w:rsidRPr="00395F96">
        <w:rPr>
          <w:rFonts w:hAnsi="Times New Roman"/>
        </w:rPr>
        <w:t>,003</w:t>
      </w:r>
      <w:r w:rsidRPr="00395F96">
        <w:rPr>
          <w:rFonts w:hAnsi="Times New Roman" w:hint="eastAsia"/>
        </w:rPr>
        <w:t>人及8</w:t>
      </w:r>
      <w:r w:rsidRPr="00395F96">
        <w:rPr>
          <w:rFonts w:hAnsi="Times New Roman"/>
        </w:rPr>
        <w:t>0</w:t>
      </w:r>
      <w:r w:rsidRPr="00395F96">
        <w:rPr>
          <w:rFonts w:hAnsi="Times New Roman" w:hint="eastAsia"/>
        </w:rPr>
        <w:t>人。</w:t>
      </w:r>
    </w:p>
    <w:p w:rsidR="00395F96" w:rsidRPr="00395F96" w:rsidRDefault="00395F96" w:rsidP="00395F96">
      <w:pPr>
        <w:widowControl w:val="0"/>
        <w:ind w:leftChars="300" w:left="1133" w:hangingChars="100" w:hanging="283"/>
        <w:rPr>
          <w:rFonts w:hAnsi="Times New Roman" w:hint="eastAsia"/>
        </w:rPr>
      </w:pPr>
      <w:r w:rsidRPr="00395F96">
        <w:rPr>
          <w:rFonts w:hAnsi="Times New Roman" w:hint="eastAsia"/>
        </w:rPr>
        <w:t>2</w:t>
      </w:r>
      <w:r w:rsidRPr="00395F96">
        <w:rPr>
          <w:rFonts w:hAnsi="Times New Roman"/>
        </w:rPr>
        <w:t>.</w:t>
      </w:r>
      <w:r w:rsidR="002B4B5C">
        <w:rPr>
          <w:rFonts w:hAnsi="Times New Roman" w:hint="eastAsia"/>
        </w:rPr>
        <w:t>復</w:t>
      </w:r>
      <w:r w:rsidRPr="00395F96">
        <w:rPr>
          <w:rFonts w:hAnsi="Times New Roman" w:hint="eastAsia"/>
        </w:rPr>
        <w:t>據教育部統計，1</w:t>
      </w:r>
      <w:r w:rsidRPr="00395F96">
        <w:rPr>
          <w:rFonts w:hAnsi="Times New Roman"/>
        </w:rPr>
        <w:t>05</w:t>
      </w:r>
      <w:r w:rsidRPr="00395F96">
        <w:rPr>
          <w:rFonts w:hAnsi="Times New Roman" w:hint="eastAsia"/>
        </w:rPr>
        <w:t>至1</w:t>
      </w:r>
      <w:r w:rsidRPr="00395F96">
        <w:rPr>
          <w:rFonts w:hAnsi="Times New Roman"/>
        </w:rPr>
        <w:t>11</w:t>
      </w:r>
      <w:r w:rsidRPr="00395F96">
        <w:rPr>
          <w:rFonts w:hAnsi="Times New Roman" w:hint="eastAsia"/>
        </w:rPr>
        <w:t>年度</w:t>
      </w:r>
      <w:r w:rsidR="002B4B5C">
        <w:rPr>
          <w:rFonts w:hAnsi="Times New Roman" w:hint="eastAsia"/>
        </w:rPr>
        <w:t>退場之</w:t>
      </w:r>
      <w:r w:rsidR="002B4B5C" w:rsidRPr="002B4B5C">
        <w:rPr>
          <w:rFonts w:hAnsi="Times New Roman" w:hint="eastAsia"/>
        </w:rPr>
        <w:t>私立大專校院</w:t>
      </w:r>
      <w:r w:rsidRPr="00395F96">
        <w:rPr>
          <w:rFonts w:hAnsi="Times New Roman" w:hint="eastAsia"/>
        </w:rPr>
        <w:t>計</w:t>
      </w:r>
      <w:r w:rsidR="002B4B5C">
        <w:rPr>
          <w:rFonts w:hAnsi="Times New Roman" w:hint="eastAsia"/>
        </w:rPr>
        <w:t>6校</w:t>
      </w:r>
      <w:r w:rsidRPr="00395F96">
        <w:rPr>
          <w:rFonts w:hAnsi="Times New Roman" w:hint="eastAsia"/>
        </w:rPr>
        <w:t>，退場時教職員人數共3</w:t>
      </w:r>
      <w:r w:rsidRPr="00395F96">
        <w:rPr>
          <w:rFonts w:hAnsi="Times New Roman"/>
        </w:rPr>
        <w:t>47</w:t>
      </w:r>
      <w:r w:rsidRPr="00395F96">
        <w:rPr>
          <w:rFonts w:hAnsi="Times New Roman" w:hint="eastAsia"/>
        </w:rPr>
        <w:t>人，</w:t>
      </w:r>
      <w:r w:rsidR="002B4B5C">
        <w:rPr>
          <w:rFonts w:hAnsi="Times New Roman" w:hint="eastAsia"/>
        </w:rPr>
        <w:t>惟</w:t>
      </w:r>
      <w:r w:rsidRPr="00395F96">
        <w:rPr>
          <w:rFonts w:hAnsi="Times New Roman" w:hint="eastAsia"/>
        </w:rPr>
        <w:t>與該期間成功媒合人數8</w:t>
      </w:r>
      <w:r w:rsidRPr="00395F96">
        <w:rPr>
          <w:rFonts w:hAnsi="Times New Roman"/>
        </w:rPr>
        <w:t>0</w:t>
      </w:r>
      <w:r w:rsidRPr="00395F96">
        <w:rPr>
          <w:rFonts w:hAnsi="Times New Roman" w:hint="eastAsia"/>
        </w:rPr>
        <w:t>人相較，二者落差甚大；鑒於</w:t>
      </w:r>
      <w:r w:rsidRPr="00395F96">
        <w:rPr>
          <w:rStyle w:val="143"/>
          <w:sz w:val="28"/>
        </w:rPr>
        <w:t>退場條例</w:t>
      </w:r>
      <w:r>
        <w:rPr>
          <w:rStyle w:val="143"/>
          <w:rFonts w:hint="eastAsia"/>
          <w:sz w:val="28"/>
        </w:rPr>
        <w:t>實施後</w:t>
      </w:r>
      <w:r w:rsidRPr="00395F96">
        <w:rPr>
          <w:rFonts w:hAnsi="Times New Roman" w:hint="eastAsia"/>
        </w:rPr>
        <w:t>尚有多所</w:t>
      </w:r>
      <w:r w:rsidR="00550CDD">
        <w:rPr>
          <w:rFonts w:hAnsi="Times New Roman" w:hint="eastAsia"/>
        </w:rPr>
        <w:t>即將</w:t>
      </w:r>
      <w:r w:rsidRPr="00395F96">
        <w:rPr>
          <w:rFonts w:hAnsi="Times New Roman" w:hint="eastAsia"/>
        </w:rPr>
        <w:t>退場學校之教職員工</w:t>
      </w:r>
      <w:r w:rsidR="000F25D4">
        <w:rPr>
          <w:rStyle w:val="af7"/>
          <w:rFonts w:hAnsi="Times New Roman"/>
        </w:rPr>
        <w:footnoteReference w:id="5"/>
      </w:r>
      <w:r w:rsidRPr="00395F96">
        <w:rPr>
          <w:rFonts w:hAnsi="Times New Roman" w:hint="eastAsia"/>
        </w:rPr>
        <w:t>恐亦有媒合需求，允宜檢討相關</w:t>
      </w:r>
      <w:r w:rsidR="009B5782" w:rsidRPr="009B5782">
        <w:rPr>
          <w:rFonts w:hAnsi="Times New Roman" w:hint="eastAsia"/>
        </w:rPr>
        <w:t>媒合</w:t>
      </w:r>
      <w:r w:rsidRPr="00395F96">
        <w:rPr>
          <w:rFonts w:hAnsi="Times New Roman" w:hint="eastAsia"/>
        </w:rPr>
        <w:t>措施之有效性。</w:t>
      </w:r>
    </w:p>
    <w:p w:rsidR="00483120" w:rsidRPr="00A42DEE" w:rsidRDefault="00483120" w:rsidP="00483120">
      <w:pPr>
        <w:ind w:left="566" w:firstLine="566"/>
        <w:rPr>
          <w:rFonts w:hint="eastAsia"/>
        </w:rPr>
      </w:pPr>
      <w:r w:rsidRPr="00A42DEE">
        <w:rPr>
          <w:rFonts w:hint="eastAsia"/>
        </w:rPr>
        <w:t>綜上，</w:t>
      </w:r>
      <w:r w:rsidR="0031626E" w:rsidRPr="0031626E">
        <w:rPr>
          <w:rFonts w:hint="eastAsia"/>
        </w:rPr>
        <w:t>轉型退場基金成立旨在協助</w:t>
      </w:r>
      <w:r w:rsidR="002B4B5C">
        <w:rPr>
          <w:rFonts w:hint="eastAsia"/>
        </w:rPr>
        <w:t>私校</w:t>
      </w:r>
      <w:r w:rsidR="0031626E" w:rsidRPr="0031626E">
        <w:rPr>
          <w:rFonts w:hint="eastAsia"/>
        </w:rPr>
        <w:t>停招與停辦時妥善安置學生</w:t>
      </w:r>
      <w:r w:rsidR="002B4B5C">
        <w:rPr>
          <w:rFonts w:hint="eastAsia"/>
        </w:rPr>
        <w:t>及保障員工權益</w:t>
      </w:r>
      <w:r w:rsidR="0031626E" w:rsidRPr="0031626E">
        <w:rPr>
          <w:rFonts w:hint="eastAsia"/>
        </w:rPr>
        <w:t>，</w:t>
      </w:r>
      <w:r w:rsidR="002B4B5C">
        <w:rPr>
          <w:rFonts w:hint="eastAsia"/>
        </w:rPr>
        <w:t>惟</w:t>
      </w:r>
      <w:r w:rsidR="00CA7A57">
        <w:rPr>
          <w:rFonts w:hint="eastAsia"/>
        </w:rPr>
        <w:t>近年</w:t>
      </w:r>
      <w:r w:rsidR="002B4B5C" w:rsidRPr="002B4B5C">
        <w:t>已退場私立大專校院學生安置後</w:t>
      </w:r>
      <w:r w:rsidR="0060393A">
        <w:rPr>
          <w:rFonts w:hint="eastAsia"/>
        </w:rPr>
        <w:t>平均</w:t>
      </w:r>
      <w:r w:rsidR="002B4B5C" w:rsidRPr="002B4B5C">
        <w:t>休退學比率遠高於大專校院，</w:t>
      </w:r>
      <w:r w:rsidR="002B4B5C">
        <w:rPr>
          <w:rFonts w:hint="eastAsia"/>
        </w:rPr>
        <w:t>而</w:t>
      </w:r>
      <w:r w:rsidR="002B4B5C" w:rsidRPr="002B4B5C">
        <w:rPr>
          <w:rFonts w:hint="eastAsia"/>
        </w:rPr>
        <w:t>媒合平台</w:t>
      </w:r>
      <w:r w:rsidR="002B4B5C" w:rsidRPr="002B4B5C">
        <w:t>媒合人</w:t>
      </w:r>
      <w:r w:rsidR="00CA7A57">
        <w:rPr>
          <w:rFonts w:hint="eastAsia"/>
        </w:rPr>
        <w:t>數</w:t>
      </w:r>
      <w:r w:rsidR="002B4B5C" w:rsidRPr="002B4B5C">
        <w:t>與退場學校教職員工</w:t>
      </w:r>
      <w:r w:rsidR="00CA7A57">
        <w:rPr>
          <w:rFonts w:hint="eastAsia"/>
        </w:rPr>
        <w:t>人數</w:t>
      </w:r>
      <w:r w:rsidR="002B4B5C" w:rsidRPr="002B4B5C">
        <w:t>落差</w:t>
      </w:r>
      <w:r w:rsidR="002B4B5C">
        <w:rPr>
          <w:rFonts w:hint="eastAsia"/>
        </w:rPr>
        <w:t>亦</w:t>
      </w:r>
      <w:r w:rsidR="002B4B5C" w:rsidRPr="002B4B5C">
        <w:t>甚大，允宜檢討</w:t>
      </w:r>
      <w:r w:rsidR="002B4B5C">
        <w:rPr>
          <w:rFonts w:hint="eastAsia"/>
        </w:rPr>
        <w:t>安置及媒合</w:t>
      </w:r>
      <w:r w:rsidR="002B4B5C" w:rsidRPr="002B4B5C">
        <w:t>措施之</w:t>
      </w:r>
      <w:r w:rsidR="002B4B5C">
        <w:rPr>
          <w:rFonts w:hint="eastAsia"/>
        </w:rPr>
        <w:t>妥適性及</w:t>
      </w:r>
      <w:r w:rsidR="002B4B5C" w:rsidRPr="002B4B5C">
        <w:t>有效性，俾協助學生順利轉銜學習</w:t>
      </w:r>
      <w:r w:rsidR="002B4B5C">
        <w:rPr>
          <w:rFonts w:hint="eastAsia"/>
        </w:rPr>
        <w:t>及保障</w:t>
      </w:r>
      <w:r w:rsidR="00CA7A57" w:rsidRPr="00CA7A57">
        <w:rPr>
          <w:rFonts w:hint="eastAsia"/>
        </w:rPr>
        <w:t>教職員權益</w:t>
      </w:r>
      <w:r w:rsidR="00F83386">
        <w:rPr>
          <w:rFonts w:hint="eastAsia"/>
        </w:rPr>
        <w:t>。</w:t>
      </w:r>
    </w:p>
    <w:bookmarkEnd w:id="1"/>
    <w:sectPr w:rsidR="00483120" w:rsidRPr="00A42DEE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FF29A5" w:rsidRPr="00FF29A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  <w:footnote w:id="1">
    <w:p w:rsidR="00224DB1" w:rsidRPr="00CF67A3" w:rsidRDefault="00224DB1" w:rsidP="00224DB1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係按休、退學總人數5</w:t>
      </w:r>
      <w:r>
        <w:t>8</w:t>
      </w:r>
      <w:r w:rsidR="0031626E">
        <w:t>8</w:t>
      </w:r>
      <w:r>
        <w:rPr>
          <w:rFonts w:hint="eastAsia"/>
        </w:rPr>
        <w:t>人/學生安置總人數2</w:t>
      </w:r>
      <w:r>
        <w:t>,4</w:t>
      </w:r>
      <w:r w:rsidR="0031626E">
        <w:t>86</w:t>
      </w:r>
      <w:r>
        <w:rPr>
          <w:rFonts w:hint="eastAsia"/>
        </w:rPr>
        <w:t>人計算。</w:t>
      </w:r>
    </w:p>
  </w:footnote>
  <w:footnote w:id="2">
    <w:p w:rsidR="0060393A" w:rsidRPr="0060393A" w:rsidRDefault="0060393A" w:rsidP="0060393A">
      <w:pPr>
        <w:pStyle w:val="142"/>
        <w:ind w:leftChars="-5" w:left="69" w:hangingChars="34" w:hanging="83"/>
        <w:jc w:val="both"/>
        <w:rPr>
          <w:rFonts w:hint="eastAsia"/>
        </w:rPr>
      </w:pPr>
      <w:r>
        <w:rPr>
          <w:rStyle w:val="af7"/>
        </w:rPr>
        <w:footnoteRef/>
      </w:r>
      <w:r>
        <w:t>103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學年度</w:t>
      </w:r>
      <w:r w:rsidRPr="0060393A">
        <w:rPr>
          <w:rFonts w:hint="eastAsia"/>
        </w:rPr>
        <w:t>大專校院休退學學生人數占全體學生人數比率</w:t>
      </w:r>
      <w:r>
        <w:rPr>
          <w:rFonts w:hint="eastAsia"/>
        </w:rPr>
        <w:t>分別</w:t>
      </w:r>
      <w:r w:rsidR="006E32A8">
        <w:rPr>
          <w:rFonts w:hint="eastAsia"/>
        </w:rPr>
        <w:t>為</w:t>
      </w:r>
      <w:r>
        <w:rPr>
          <w:rFonts w:hint="eastAsia"/>
        </w:rPr>
        <w:t>1</w:t>
      </w:r>
      <w:r>
        <w:t>3.84%</w:t>
      </w:r>
      <w:r>
        <w:rPr>
          <w:rFonts w:hint="eastAsia"/>
        </w:rPr>
        <w:t>、1</w:t>
      </w:r>
      <w:r>
        <w:t>4.33%</w:t>
      </w:r>
      <w:r>
        <w:rPr>
          <w:rFonts w:hint="eastAsia"/>
        </w:rPr>
        <w:t>、1</w:t>
      </w:r>
      <w:r>
        <w:t>4.91%</w:t>
      </w:r>
      <w:r>
        <w:rPr>
          <w:rFonts w:hint="eastAsia"/>
        </w:rPr>
        <w:t>、1</w:t>
      </w:r>
      <w:r>
        <w:t>5.23%</w:t>
      </w:r>
      <w:r>
        <w:rPr>
          <w:rFonts w:hint="eastAsia"/>
        </w:rPr>
        <w:t>、1</w:t>
      </w:r>
      <w:r>
        <w:t>5.05%</w:t>
      </w:r>
      <w:r>
        <w:rPr>
          <w:rFonts w:hint="eastAsia"/>
        </w:rPr>
        <w:t>、1</w:t>
      </w:r>
      <w:r>
        <w:t>5.36%</w:t>
      </w:r>
      <w:r>
        <w:rPr>
          <w:rFonts w:hint="eastAsia"/>
        </w:rPr>
        <w:t>、1</w:t>
      </w:r>
      <w:r>
        <w:t>4.99%</w:t>
      </w:r>
      <w:r>
        <w:rPr>
          <w:rFonts w:hint="eastAsia"/>
        </w:rPr>
        <w:t>、1</w:t>
      </w:r>
      <w:r>
        <w:t>4.67%</w:t>
      </w:r>
      <w:r>
        <w:rPr>
          <w:rFonts w:hint="eastAsia"/>
        </w:rPr>
        <w:t>及1</w:t>
      </w:r>
      <w:r>
        <w:t>5.68%</w:t>
      </w:r>
      <w:r>
        <w:rPr>
          <w:rFonts w:hint="eastAsia"/>
        </w:rPr>
        <w:t>。</w:t>
      </w:r>
    </w:p>
  </w:footnote>
  <w:footnote w:id="3">
    <w:p w:rsidR="00395F96" w:rsidRPr="00140A46" w:rsidRDefault="00395F96" w:rsidP="00395F96">
      <w:pPr>
        <w:pStyle w:val="af4"/>
        <w:spacing w:line="300" w:lineRule="exact"/>
        <w:ind w:leftChars="0" w:left="83" w:hangingChars="41" w:hanging="83"/>
        <w:jc w:val="both"/>
        <w:rPr>
          <w:rStyle w:val="143"/>
        </w:rPr>
      </w:pPr>
      <w:r>
        <w:rPr>
          <w:rStyle w:val="af7"/>
        </w:rPr>
        <w:footnoteRef/>
      </w:r>
      <w:r>
        <w:rPr>
          <w:rStyle w:val="143"/>
          <w:rFonts w:hint="eastAsia"/>
        </w:rPr>
        <w:t>因應</w:t>
      </w:r>
      <w:r w:rsidRPr="00395F96">
        <w:rPr>
          <w:rStyle w:val="143"/>
          <w:rFonts w:hint="eastAsia"/>
        </w:rPr>
        <w:t>私立高級中等以上學校退場條例</w:t>
      </w:r>
      <w:r w:rsidRPr="00395F96">
        <w:rPr>
          <w:rStyle w:val="143"/>
        </w:rPr>
        <w:t>(以下稱退場條例)實施</w:t>
      </w:r>
      <w:r w:rsidRPr="00140A46">
        <w:rPr>
          <w:rStyle w:val="143"/>
          <w:rFonts w:hint="eastAsia"/>
        </w:rPr>
        <w:t>，1</w:t>
      </w:r>
      <w:r w:rsidRPr="00140A46">
        <w:rPr>
          <w:rStyle w:val="143"/>
        </w:rPr>
        <w:t>12年度</w:t>
      </w:r>
      <w:r w:rsidRPr="00140A46">
        <w:rPr>
          <w:rStyle w:val="143"/>
          <w:rFonts w:hint="eastAsia"/>
        </w:rPr>
        <w:t>起更名為「私立高級中等以上學校人力躍升培訓及媒合平臺」。</w:t>
      </w:r>
    </w:p>
  </w:footnote>
  <w:footnote w:id="4">
    <w:p w:rsidR="00395F96" w:rsidRPr="00947E61" w:rsidRDefault="00395F96" w:rsidP="00395F96">
      <w:pPr>
        <w:pStyle w:val="142"/>
        <w:ind w:left="41" w:hangingChars="17" w:hanging="41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除1</w:t>
      </w:r>
      <w:r>
        <w:t>07</w:t>
      </w:r>
      <w:r>
        <w:rPr>
          <w:rFonts w:hint="eastAsia"/>
        </w:rPr>
        <w:t>及1</w:t>
      </w:r>
      <w:r>
        <w:t>08</w:t>
      </w:r>
      <w:r>
        <w:rPr>
          <w:rFonts w:hint="eastAsia"/>
        </w:rPr>
        <w:t>年度共4</w:t>
      </w:r>
      <w:r>
        <w:t>80</w:t>
      </w:r>
      <w:r>
        <w:rPr>
          <w:rFonts w:hint="eastAsia"/>
        </w:rPr>
        <w:t>萬元由</w:t>
      </w:r>
      <w:r w:rsidRPr="00947E61">
        <w:rPr>
          <w:rFonts w:hint="eastAsia"/>
        </w:rPr>
        <w:t>轉型退場基金</w:t>
      </w:r>
      <w:r>
        <w:rPr>
          <w:rFonts w:hint="eastAsia"/>
        </w:rPr>
        <w:t>支應外，其餘由教育部公務預算支應。</w:t>
      </w:r>
    </w:p>
  </w:footnote>
  <w:footnote w:id="5">
    <w:p w:rsidR="000F25D4" w:rsidRPr="000F25D4" w:rsidRDefault="000F25D4" w:rsidP="006E32A8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7"/>
        </w:rPr>
        <w:footnoteRef/>
      </w:r>
      <w:r w:rsidR="006E32A8">
        <w:rPr>
          <w:rFonts w:hint="eastAsia"/>
        </w:rPr>
        <w:t>台灣首府大學及中州科技大學已於1</w:t>
      </w:r>
      <w:r w:rsidR="006E32A8">
        <w:t>11</w:t>
      </w:r>
      <w:r w:rsidR="006E32A8">
        <w:rPr>
          <w:rFonts w:hint="eastAsia"/>
        </w:rPr>
        <w:t>學年度結束時停辦，另明道大學、環球科技大學、大同技術學院及東方設計大學將於1</w:t>
      </w:r>
      <w:r w:rsidR="006E32A8">
        <w:t>12</w:t>
      </w:r>
      <w:r w:rsidR="006E32A8">
        <w:rPr>
          <w:rFonts w:hint="eastAsia"/>
        </w:rPr>
        <w:t>學年度結束時停辦。</w:t>
      </w:r>
      <w:r w:rsidR="006E32A8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29A5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3B2B0FF-9C5E-448C-8B5C-0272F862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D4495-7B78-454E-9A5E-F4218591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3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