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15A1" w:rsidRPr="004E1FD6" w:rsidRDefault="00036BA6" w:rsidP="00036BA6">
      <w:pPr>
        <w:pStyle w:val="aa"/>
        <w:rPr>
          <w:rFonts w:hAnsi="標楷體"/>
          <w:spacing w:val="-4"/>
        </w:rPr>
      </w:pPr>
      <w:bookmarkStart w:id="0" w:name="_Hlk154579179"/>
      <w:bookmarkStart w:id="1" w:name="_GoBack"/>
      <w:bookmarkEnd w:id="1"/>
      <w:r w:rsidRPr="004E1FD6">
        <w:rPr>
          <w:rFonts w:hAnsi="標楷體" w:hint="eastAsia"/>
          <w:spacing w:val="-4"/>
        </w:rPr>
        <w:t>臺銀人壽保險股份有限公司</w:t>
      </w:r>
      <w:r w:rsidR="005218EF" w:rsidRPr="004E1FD6">
        <w:rPr>
          <w:rFonts w:hAnsi="標楷體" w:hint="eastAsia"/>
          <w:spacing w:val="-4"/>
        </w:rPr>
        <w:t>11</w:t>
      </w:r>
      <w:r w:rsidR="00501412" w:rsidRPr="004E1FD6">
        <w:rPr>
          <w:rFonts w:hAnsi="標楷體" w:hint="eastAsia"/>
          <w:spacing w:val="-4"/>
        </w:rPr>
        <w:t>1</w:t>
      </w:r>
      <w:r w:rsidR="005218EF" w:rsidRPr="004E1FD6">
        <w:rPr>
          <w:rFonts w:hAnsi="標楷體" w:hint="eastAsia"/>
          <w:spacing w:val="-4"/>
        </w:rPr>
        <w:t>年度</w:t>
      </w:r>
      <w:r w:rsidRPr="004E1FD6">
        <w:rPr>
          <w:rFonts w:hAnsi="標楷體" w:hint="eastAsia"/>
          <w:spacing w:val="-4"/>
        </w:rPr>
        <w:t>營業</w:t>
      </w:r>
      <w:r w:rsidR="00501412" w:rsidRPr="004E1FD6">
        <w:rPr>
          <w:rFonts w:hAnsi="標楷體" w:hint="eastAsia"/>
          <w:spacing w:val="-4"/>
        </w:rPr>
        <w:t>決</w:t>
      </w:r>
      <w:r w:rsidRPr="004E1FD6">
        <w:rPr>
          <w:rFonts w:hAnsi="標楷體" w:hint="eastAsia"/>
          <w:spacing w:val="-4"/>
        </w:rPr>
        <w:t>算評估報告</w:t>
      </w:r>
    </w:p>
    <w:bookmarkEnd w:id="0"/>
    <w:p w:rsidR="00036BA6" w:rsidRPr="004E1FD6" w:rsidRDefault="0015667E" w:rsidP="00036BA6">
      <w:pPr>
        <w:pStyle w:val="a8"/>
        <w:ind w:firstLine="566"/>
        <w:rPr>
          <w:rFonts w:hAnsi="標楷體"/>
        </w:rPr>
      </w:pPr>
      <w:r w:rsidRPr="004E1FD6">
        <w:rPr>
          <w:rFonts w:hAnsi="標楷體" w:hint="eastAsia"/>
        </w:rPr>
        <w:t>臺銀人壽保險股份有限公司(以下簡稱臺銀人壽)主要任務係依保險法規定辦理人身保險業務，並受政府委託辦理軍人保險及替代役保險業務等。臺銀人壽</w:t>
      </w:r>
      <w:r w:rsidR="002658D9" w:rsidRPr="004E1FD6">
        <w:rPr>
          <w:rFonts w:hAnsi="標楷體" w:hint="eastAsia"/>
        </w:rPr>
        <w:t>111</w:t>
      </w:r>
      <w:r w:rsidRPr="004E1FD6">
        <w:rPr>
          <w:rFonts w:hAnsi="標楷體" w:hint="eastAsia"/>
        </w:rPr>
        <w:t>年度營業決算之營業收入</w:t>
      </w:r>
      <w:r w:rsidR="002658D9" w:rsidRPr="004E1FD6">
        <w:rPr>
          <w:rFonts w:hAnsi="標楷體" w:hint="eastAsia"/>
        </w:rPr>
        <w:t>598</w:t>
      </w:r>
      <w:r w:rsidRPr="004E1FD6">
        <w:rPr>
          <w:rFonts w:hAnsi="標楷體" w:hint="eastAsia"/>
        </w:rPr>
        <w:t>億</w:t>
      </w:r>
      <w:r w:rsidR="002658D9" w:rsidRPr="004E1FD6">
        <w:rPr>
          <w:rFonts w:hAnsi="標楷體" w:hint="eastAsia"/>
        </w:rPr>
        <w:t>1‚104</w:t>
      </w:r>
      <w:r w:rsidRPr="004E1FD6">
        <w:rPr>
          <w:rFonts w:hAnsi="標楷體" w:hint="eastAsia"/>
        </w:rPr>
        <w:t>萬</w:t>
      </w:r>
      <w:r w:rsidR="002658D9" w:rsidRPr="004E1FD6">
        <w:rPr>
          <w:rFonts w:hAnsi="標楷體" w:hint="eastAsia"/>
        </w:rPr>
        <w:t>7</w:t>
      </w:r>
      <w:r w:rsidRPr="004E1FD6">
        <w:rPr>
          <w:rFonts w:hAnsi="標楷體" w:hint="eastAsia"/>
        </w:rPr>
        <w:t>千元，營業成本</w:t>
      </w:r>
      <w:r w:rsidR="002658D9" w:rsidRPr="004E1FD6">
        <w:rPr>
          <w:rFonts w:hAnsi="標楷體" w:hint="eastAsia"/>
        </w:rPr>
        <w:t>583</w:t>
      </w:r>
      <w:r w:rsidRPr="004E1FD6">
        <w:rPr>
          <w:rFonts w:hAnsi="標楷體" w:hint="eastAsia"/>
        </w:rPr>
        <w:t>億</w:t>
      </w:r>
      <w:r w:rsidR="002658D9" w:rsidRPr="004E1FD6">
        <w:rPr>
          <w:rFonts w:hAnsi="標楷體" w:hint="eastAsia"/>
        </w:rPr>
        <w:t>439</w:t>
      </w:r>
      <w:r w:rsidRPr="004E1FD6">
        <w:rPr>
          <w:rFonts w:hAnsi="標楷體" w:hint="eastAsia"/>
        </w:rPr>
        <w:t>萬</w:t>
      </w:r>
      <w:r w:rsidR="002658D9" w:rsidRPr="004E1FD6">
        <w:rPr>
          <w:rFonts w:hAnsi="標楷體" w:hint="eastAsia"/>
        </w:rPr>
        <w:t>4</w:t>
      </w:r>
      <w:r w:rsidRPr="004E1FD6">
        <w:rPr>
          <w:rFonts w:hAnsi="標楷體" w:hint="eastAsia"/>
        </w:rPr>
        <w:t>千元，營業費用</w:t>
      </w:r>
      <w:r w:rsidR="002658D9" w:rsidRPr="004E1FD6">
        <w:rPr>
          <w:rFonts w:hAnsi="標楷體" w:hint="eastAsia"/>
        </w:rPr>
        <w:t>7</w:t>
      </w:r>
      <w:r w:rsidRPr="004E1FD6">
        <w:rPr>
          <w:rFonts w:hAnsi="標楷體" w:hint="eastAsia"/>
        </w:rPr>
        <w:t>億</w:t>
      </w:r>
      <w:r w:rsidR="002658D9" w:rsidRPr="004E1FD6">
        <w:rPr>
          <w:rFonts w:hAnsi="標楷體" w:hint="eastAsia"/>
        </w:rPr>
        <w:t>8</w:t>
      </w:r>
      <w:r w:rsidRPr="004E1FD6">
        <w:rPr>
          <w:rFonts w:hAnsi="標楷體" w:hint="eastAsia"/>
        </w:rPr>
        <w:t>,</w:t>
      </w:r>
      <w:r w:rsidR="002658D9" w:rsidRPr="004E1FD6">
        <w:rPr>
          <w:rFonts w:hAnsi="標楷體" w:hint="eastAsia"/>
        </w:rPr>
        <w:t>323</w:t>
      </w:r>
      <w:r w:rsidRPr="004E1FD6">
        <w:rPr>
          <w:rFonts w:hAnsi="標楷體" w:hint="eastAsia"/>
        </w:rPr>
        <w:t>萬</w:t>
      </w:r>
      <w:r w:rsidR="009B5F97" w:rsidRPr="004E1FD6">
        <w:rPr>
          <w:rFonts w:hAnsi="標楷體" w:hint="eastAsia"/>
        </w:rPr>
        <w:t>7</w:t>
      </w:r>
      <w:r w:rsidRPr="004E1FD6">
        <w:rPr>
          <w:rFonts w:hAnsi="標楷體" w:hint="eastAsia"/>
        </w:rPr>
        <w:t>千元，收支相抵後營業</w:t>
      </w:r>
      <w:r w:rsidR="002658D9" w:rsidRPr="004E1FD6">
        <w:rPr>
          <w:rFonts w:hAnsi="標楷體" w:hint="eastAsia"/>
        </w:rPr>
        <w:t>利益7</w:t>
      </w:r>
      <w:r w:rsidRPr="004E1FD6">
        <w:rPr>
          <w:rFonts w:hAnsi="標楷體" w:hint="eastAsia"/>
        </w:rPr>
        <w:t>億</w:t>
      </w:r>
      <w:r w:rsidR="002658D9" w:rsidRPr="004E1FD6">
        <w:rPr>
          <w:rFonts w:hAnsi="標楷體" w:hint="eastAsia"/>
        </w:rPr>
        <w:t>2</w:t>
      </w:r>
      <w:r w:rsidRPr="004E1FD6">
        <w:rPr>
          <w:rFonts w:hAnsi="標楷體" w:hint="eastAsia"/>
        </w:rPr>
        <w:t>,</w:t>
      </w:r>
      <w:r w:rsidR="002658D9" w:rsidRPr="004E1FD6">
        <w:rPr>
          <w:rFonts w:hAnsi="標楷體" w:hint="eastAsia"/>
        </w:rPr>
        <w:t>341</w:t>
      </w:r>
      <w:r w:rsidRPr="004E1FD6">
        <w:rPr>
          <w:rFonts w:hAnsi="標楷體" w:hint="eastAsia"/>
        </w:rPr>
        <w:t>萬</w:t>
      </w:r>
      <w:r w:rsidR="002658D9" w:rsidRPr="004E1FD6">
        <w:rPr>
          <w:rFonts w:hAnsi="標楷體" w:hint="eastAsia"/>
        </w:rPr>
        <w:t>6</w:t>
      </w:r>
      <w:r w:rsidRPr="004E1FD6">
        <w:rPr>
          <w:rFonts w:hAnsi="標楷體" w:hint="eastAsia"/>
        </w:rPr>
        <w:t>千元；另營業外收入</w:t>
      </w:r>
      <w:r w:rsidR="002658D9" w:rsidRPr="004E1FD6">
        <w:rPr>
          <w:rFonts w:hAnsi="標楷體" w:hint="eastAsia"/>
        </w:rPr>
        <w:t>4</w:t>
      </w:r>
      <w:r w:rsidRPr="004E1FD6">
        <w:rPr>
          <w:rFonts w:hAnsi="標楷體" w:hint="eastAsia"/>
        </w:rPr>
        <w:t>,</w:t>
      </w:r>
      <w:r w:rsidR="002658D9" w:rsidRPr="004E1FD6">
        <w:rPr>
          <w:rFonts w:hAnsi="標楷體" w:hint="eastAsia"/>
        </w:rPr>
        <w:t>674</w:t>
      </w:r>
      <w:r w:rsidRPr="004E1FD6">
        <w:rPr>
          <w:rFonts w:hAnsi="標楷體" w:hint="eastAsia"/>
        </w:rPr>
        <w:t>萬</w:t>
      </w:r>
      <w:r w:rsidR="002658D9" w:rsidRPr="004E1FD6">
        <w:rPr>
          <w:rFonts w:hAnsi="標楷體" w:hint="eastAsia"/>
        </w:rPr>
        <w:t>2</w:t>
      </w:r>
      <w:r w:rsidRPr="004E1FD6">
        <w:rPr>
          <w:rFonts w:hAnsi="標楷體" w:hint="eastAsia"/>
        </w:rPr>
        <w:t>千元，營業外費用</w:t>
      </w:r>
      <w:r w:rsidR="002658D9" w:rsidRPr="004E1FD6">
        <w:rPr>
          <w:rFonts w:hAnsi="標楷體" w:hint="eastAsia"/>
        </w:rPr>
        <w:t>3</w:t>
      </w:r>
      <w:r w:rsidRPr="004E1FD6">
        <w:rPr>
          <w:rFonts w:hAnsi="標楷體" w:hint="eastAsia"/>
        </w:rPr>
        <w:t>,</w:t>
      </w:r>
      <w:r w:rsidR="002658D9" w:rsidRPr="004E1FD6">
        <w:rPr>
          <w:rFonts w:hAnsi="標楷體" w:hint="eastAsia"/>
        </w:rPr>
        <w:t>454</w:t>
      </w:r>
      <w:r w:rsidRPr="004E1FD6">
        <w:rPr>
          <w:rFonts w:hAnsi="標楷體" w:hint="eastAsia"/>
        </w:rPr>
        <w:t>萬9千元，收支相抵後營業外</w:t>
      </w:r>
      <w:r w:rsidR="002658D9" w:rsidRPr="004E1FD6">
        <w:rPr>
          <w:rFonts w:hAnsi="標楷體" w:hint="eastAsia"/>
        </w:rPr>
        <w:t>利益</w:t>
      </w:r>
      <w:r w:rsidRPr="004E1FD6">
        <w:rPr>
          <w:rFonts w:hAnsi="標楷體" w:hint="eastAsia"/>
        </w:rPr>
        <w:t>1,</w:t>
      </w:r>
      <w:r w:rsidR="00E3714F" w:rsidRPr="004E1FD6">
        <w:rPr>
          <w:rFonts w:hAnsi="標楷體" w:hint="eastAsia"/>
        </w:rPr>
        <w:t>219</w:t>
      </w:r>
      <w:r w:rsidRPr="004E1FD6">
        <w:rPr>
          <w:rFonts w:hAnsi="標楷體" w:hint="eastAsia"/>
        </w:rPr>
        <w:t>萬</w:t>
      </w:r>
      <w:r w:rsidR="00E3714F" w:rsidRPr="004E1FD6">
        <w:rPr>
          <w:rFonts w:hAnsi="標楷體" w:hint="eastAsia"/>
        </w:rPr>
        <w:t>3</w:t>
      </w:r>
      <w:r w:rsidRPr="004E1FD6">
        <w:rPr>
          <w:rFonts w:hAnsi="標楷體" w:hint="eastAsia"/>
        </w:rPr>
        <w:t>千元；併計前揭營業</w:t>
      </w:r>
      <w:r w:rsidR="00E3714F" w:rsidRPr="004E1FD6">
        <w:rPr>
          <w:rFonts w:hAnsi="標楷體" w:hint="eastAsia"/>
        </w:rPr>
        <w:t>利益</w:t>
      </w:r>
      <w:r w:rsidRPr="004E1FD6">
        <w:rPr>
          <w:rFonts w:hAnsi="標楷體" w:hint="eastAsia"/>
        </w:rPr>
        <w:t>及營業外利益之稅前淨</w:t>
      </w:r>
      <w:r w:rsidR="00E3714F" w:rsidRPr="004E1FD6">
        <w:rPr>
          <w:rFonts w:hAnsi="標楷體" w:hint="eastAsia"/>
        </w:rPr>
        <w:t>利7</w:t>
      </w:r>
      <w:r w:rsidRPr="004E1FD6">
        <w:rPr>
          <w:rFonts w:hAnsi="標楷體" w:hint="eastAsia"/>
        </w:rPr>
        <w:t>億3,5</w:t>
      </w:r>
      <w:r w:rsidR="00E3714F" w:rsidRPr="004E1FD6">
        <w:rPr>
          <w:rFonts w:hAnsi="標楷體" w:hint="eastAsia"/>
        </w:rPr>
        <w:t>6</w:t>
      </w:r>
      <w:r w:rsidR="009B5F97" w:rsidRPr="004E1FD6">
        <w:rPr>
          <w:rFonts w:hAnsi="標楷體" w:hint="eastAsia"/>
        </w:rPr>
        <w:t>1</w:t>
      </w:r>
      <w:r w:rsidRPr="004E1FD6">
        <w:rPr>
          <w:rFonts w:hAnsi="標楷體" w:hint="eastAsia"/>
        </w:rPr>
        <w:t>萬元，加計所得稅</w:t>
      </w:r>
      <w:r w:rsidR="00E3714F" w:rsidRPr="004E1FD6">
        <w:rPr>
          <w:rFonts w:hAnsi="標楷體" w:hint="eastAsia"/>
        </w:rPr>
        <w:t>費用19</w:t>
      </w:r>
      <w:r w:rsidRPr="004E1FD6">
        <w:rPr>
          <w:rFonts w:hAnsi="標楷體" w:hint="eastAsia"/>
        </w:rPr>
        <w:t>億</w:t>
      </w:r>
      <w:r w:rsidR="00E3714F" w:rsidRPr="004E1FD6">
        <w:rPr>
          <w:rFonts w:hAnsi="標楷體" w:hint="eastAsia"/>
        </w:rPr>
        <w:t>470</w:t>
      </w:r>
      <w:r w:rsidRPr="004E1FD6">
        <w:rPr>
          <w:rFonts w:hAnsi="標楷體" w:hint="eastAsia"/>
        </w:rPr>
        <w:t>萬</w:t>
      </w:r>
      <w:r w:rsidR="00087A3B" w:rsidRPr="004E1FD6">
        <w:rPr>
          <w:rFonts w:hAnsi="標楷體" w:hint="eastAsia"/>
        </w:rPr>
        <w:t>6</w:t>
      </w:r>
      <w:r w:rsidRPr="004E1FD6">
        <w:rPr>
          <w:rFonts w:hAnsi="標楷體" w:hint="eastAsia"/>
        </w:rPr>
        <w:t>千元，本期淨損</w:t>
      </w:r>
      <w:r w:rsidR="004352B9" w:rsidRPr="004E1FD6">
        <w:rPr>
          <w:rFonts w:hAnsi="標楷體" w:hint="eastAsia"/>
        </w:rPr>
        <w:t>11</w:t>
      </w:r>
      <w:r w:rsidRPr="004E1FD6">
        <w:rPr>
          <w:rFonts w:hAnsi="標楷體" w:hint="eastAsia"/>
        </w:rPr>
        <w:t>億</w:t>
      </w:r>
      <w:r w:rsidR="004352B9" w:rsidRPr="004E1FD6">
        <w:rPr>
          <w:rFonts w:hAnsi="標楷體" w:hint="eastAsia"/>
        </w:rPr>
        <w:t>6</w:t>
      </w:r>
      <w:r w:rsidRPr="004E1FD6">
        <w:rPr>
          <w:rFonts w:hAnsi="標楷體" w:hint="eastAsia"/>
        </w:rPr>
        <w:t>,</w:t>
      </w:r>
      <w:r w:rsidR="004352B9" w:rsidRPr="004E1FD6">
        <w:rPr>
          <w:rFonts w:hAnsi="標楷體" w:hint="eastAsia"/>
        </w:rPr>
        <w:t>909</w:t>
      </w:r>
      <w:r w:rsidRPr="004E1FD6">
        <w:rPr>
          <w:rFonts w:hAnsi="標楷體" w:hint="eastAsia"/>
        </w:rPr>
        <w:t>萬</w:t>
      </w:r>
      <w:r w:rsidR="00087A3B" w:rsidRPr="004E1FD6">
        <w:rPr>
          <w:rFonts w:hAnsi="標楷體" w:hint="eastAsia"/>
        </w:rPr>
        <w:t>6</w:t>
      </w:r>
      <w:r w:rsidRPr="004E1FD6">
        <w:rPr>
          <w:rFonts w:hAnsi="標楷體" w:hint="eastAsia"/>
        </w:rPr>
        <w:t>千元，較1</w:t>
      </w:r>
      <w:r w:rsidR="004352B9" w:rsidRPr="004E1FD6">
        <w:rPr>
          <w:rFonts w:hAnsi="標楷體" w:hint="eastAsia"/>
        </w:rPr>
        <w:t>11</w:t>
      </w:r>
      <w:r w:rsidRPr="004E1FD6">
        <w:rPr>
          <w:rFonts w:hAnsi="標楷體" w:hint="eastAsia"/>
        </w:rPr>
        <w:t>年度本期淨損</w:t>
      </w:r>
      <w:r w:rsidR="004352B9" w:rsidRPr="004E1FD6">
        <w:rPr>
          <w:rFonts w:hAnsi="標楷體" w:hint="eastAsia"/>
        </w:rPr>
        <w:t>預算數5</w:t>
      </w:r>
      <w:r w:rsidRPr="004E1FD6">
        <w:rPr>
          <w:rFonts w:hAnsi="標楷體" w:hint="eastAsia"/>
        </w:rPr>
        <w:t>億</w:t>
      </w:r>
      <w:r w:rsidR="004352B9" w:rsidRPr="004E1FD6">
        <w:rPr>
          <w:rFonts w:hAnsi="標楷體" w:hint="eastAsia"/>
        </w:rPr>
        <w:t>1</w:t>
      </w:r>
      <w:r w:rsidRPr="004E1FD6">
        <w:rPr>
          <w:rFonts w:hAnsi="標楷體" w:hint="eastAsia"/>
        </w:rPr>
        <w:t>,</w:t>
      </w:r>
      <w:r w:rsidR="004352B9" w:rsidRPr="004E1FD6">
        <w:rPr>
          <w:rFonts w:hAnsi="標楷體" w:hint="eastAsia"/>
        </w:rPr>
        <w:t>915</w:t>
      </w:r>
      <w:r w:rsidRPr="004E1FD6">
        <w:rPr>
          <w:rFonts w:hAnsi="標楷體" w:hint="eastAsia"/>
        </w:rPr>
        <w:t>萬</w:t>
      </w:r>
      <w:r w:rsidR="004352B9" w:rsidRPr="004E1FD6">
        <w:rPr>
          <w:rFonts w:hAnsi="標楷體" w:hint="eastAsia"/>
        </w:rPr>
        <w:t>8</w:t>
      </w:r>
      <w:r w:rsidRPr="004E1FD6">
        <w:rPr>
          <w:rFonts w:hAnsi="標楷體" w:hint="eastAsia"/>
        </w:rPr>
        <w:t>千元</w:t>
      </w:r>
      <w:r w:rsidR="004352B9" w:rsidRPr="004E1FD6">
        <w:rPr>
          <w:rFonts w:hAnsi="標楷體" w:hint="eastAsia"/>
        </w:rPr>
        <w:t>增加</w:t>
      </w:r>
      <w:r w:rsidRPr="004E1FD6">
        <w:rPr>
          <w:rFonts w:hAnsi="標楷體" w:hint="eastAsia"/>
        </w:rPr>
        <w:t>損失</w:t>
      </w:r>
      <w:r w:rsidR="004352B9" w:rsidRPr="004E1FD6">
        <w:rPr>
          <w:rFonts w:hAnsi="標楷體" w:hint="eastAsia"/>
        </w:rPr>
        <w:t>6</w:t>
      </w:r>
      <w:r w:rsidRPr="004E1FD6">
        <w:rPr>
          <w:rFonts w:hAnsi="標楷體" w:hint="eastAsia"/>
        </w:rPr>
        <w:t>億</w:t>
      </w:r>
      <w:r w:rsidR="004352B9" w:rsidRPr="004E1FD6">
        <w:rPr>
          <w:rFonts w:hAnsi="標楷體" w:hint="eastAsia"/>
        </w:rPr>
        <w:t>4</w:t>
      </w:r>
      <w:r w:rsidRPr="004E1FD6">
        <w:rPr>
          <w:rFonts w:hAnsi="標楷體" w:hint="eastAsia"/>
        </w:rPr>
        <w:t>,</w:t>
      </w:r>
      <w:r w:rsidR="004352B9" w:rsidRPr="004E1FD6">
        <w:rPr>
          <w:rFonts w:hAnsi="標楷體" w:hint="eastAsia"/>
        </w:rPr>
        <w:t>993</w:t>
      </w:r>
      <w:r w:rsidRPr="004E1FD6">
        <w:rPr>
          <w:rFonts w:hAnsi="標楷體" w:hint="eastAsia"/>
        </w:rPr>
        <w:t>萬</w:t>
      </w:r>
      <w:r w:rsidR="00087A3B" w:rsidRPr="004E1FD6">
        <w:rPr>
          <w:rFonts w:hAnsi="標楷體" w:hint="eastAsia"/>
        </w:rPr>
        <w:t>8</w:t>
      </w:r>
      <w:r w:rsidRPr="004E1FD6">
        <w:rPr>
          <w:rFonts w:hAnsi="標楷體" w:hint="eastAsia"/>
        </w:rPr>
        <w:t>千元(</w:t>
      </w:r>
      <w:r w:rsidR="009B5F97" w:rsidRPr="004E1FD6">
        <w:rPr>
          <w:rFonts w:hAnsi="標楷體" w:hint="eastAsia"/>
        </w:rPr>
        <w:t>增</w:t>
      </w:r>
      <w:r w:rsidRPr="004E1FD6">
        <w:rPr>
          <w:rFonts w:hAnsi="標楷體" w:hint="eastAsia"/>
        </w:rPr>
        <w:t>幅</w:t>
      </w:r>
      <w:r w:rsidR="009B5F97" w:rsidRPr="004E1FD6">
        <w:rPr>
          <w:rFonts w:hAnsi="標楷體" w:hint="eastAsia"/>
        </w:rPr>
        <w:t>125</w:t>
      </w:r>
      <w:r w:rsidRPr="004E1FD6">
        <w:rPr>
          <w:rFonts w:hAnsi="標楷體" w:hint="eastAsia"/>
        </w:rPr>
        <w:t>.</w:t>
      </w:r>
      <w:r w:rsidR="009B5F97" w:rsidRPr="004E1FD6">
        <w:rPr>
          <w:rFonts w:hAnsi="標楷體" w:hint="eastAsia"/>
        </w:rPr>
        <w:t>2</w:t>
      </w:r>
      <w:r w:rsidRPr="004E1FD6">
        <w:rPr>
          <w:rFonts w:hAnsi="標楷體" w:hint="eastAsia"/>
        </w:rPr>
        <w:t>%)</w:t>
      </w:r>
      <w:r w:rsidR="00036BA6" w:rsidRPr="004E1FD6">
        <w:rPr>
          <w:rFonts w:hAnsi="標楷體" w:hint="eastAsia"/>
        </w:rPr>
        <w:t>。茲就臺銀人壽</w:t>
      </w:r>
      <w:r w:rsidR="005218EF" w:rsidRPr="004E1FD6">
        <w:rPr>
          <w:rFonts w:hAnsi="標楷體" w:hint="eastAsia"/>
        </w:rPr>
        <w:t>11</w:t>
      </w:r>
      <w:r w:rsidR="00D32079" w:rsidRPr="004E1FD6">
        <w:rPr>
          <w:rFonts w:hAnsi="標楷體" w:hint="eastAsia"/>
        </w:rPr>
        <w:t>1</w:t>
      </w:r>
      <w:r w:rsidR="005218EF" w:rsidRPr="004E1FD6">
        <w:rPr>
          <w:rFonts w:hAnsi="標楷體" w:hint="eastAsia"/>
        </w:rPr>
        <w:t>年度</w:t>
      </w:r>
      <w:r w:rsidR="00D32079" w:rsidRPr="004E1FD6">
        <w:rPr>
          <w:rFonts w:hAnsi="標楷體" w:hint="eastAsia"/>
        </w:rPr>
        <w:t>決</w:t>
      </w:r>
      <w:r w:rsidR="00036BA6" w:rsidRPr="004E1FD6">
        <w:rPr>
          <w:rFonts w:hAnsi="標楷體" w:hint="eastAsia"/>
        </w:rPr>
        <w:t>算案評估如下：</w:t>
      </w:r>
    </w:p>
    <w:p w:rsidR="002A15BD" w:rsidRPr="005000EF" w:rsidRDefault="002A15BD" w:rsidP="002A15BD">
      <w:pPr>
        <w:pStyle w:val="1"/>
        <w:spacing w:beforeLines="50" w:before="250" w:beforeAutospacing="0"/>
        <w:rPr>
          <w:snapToGrid/>
        </w:rPr>
      </w:pPr>
      <w:bookmarkStart w:id="2" w:name="_Toc153876388"/>
      <w:bookmarkStart w:id="3" w:name="_Toc161990865"/>
      <w:r>
        <w:rPr>
          <w:rFonts w:hint="eastAsia"/>
          <w:snapToGrid/>
        </w:rPr>
        <w:t>一</w:t>
      </w:r>
      <w:r w:rsidRPr="005000EF">
        <w:rPr>
          <w:rFonts w:hint="eastAsia"/>
          <w:snapToGrid/>
        </w:rPr>
        <w:t>、</w:t>
      </w:r>
      <w:r w:rsidR="00012F35">
        <w:rPr>
          <w:rFonts w:hint="eastAsia"/>
          <w:snapToGrid/>
        </w:rPr>
        <w:t>保單</w:t>
      </w:r>
      <w:r w:rsidRPr="005000EF">
        <w:rPr>
          <w:rFonts w:hint="eastAsia"/>
          <w:snapToGrid/>
        </w:rPr>
        <w:t>繼續率</w:t>
      </w:r>
      <w:r w:rsidR="00012F35">
        <w:rPr>
          <w:rFonts w:hint="eastAsia"/>
          <w:snapToGrid/>
        </w:rPr>
        <w:t>呈下滑趨勢</w:t>
      </w:r>
      <w:r w:rsidRPr="005000EF">
        <w:rPr>
          <w:rFonts w:hint="eastAsia"/>
          <w:snapToGrid/>
        </w:rPr>
        <w:t>，舊客戶流失嚴重，允宜研謀對策適時採取因應作為改善</w:t>
      </w:r>
      <w:bookmarkEnd w:id="3"/>
    </w:p>
    <w:p w:rsidR="002A15BD" w:rsidRPr="005000EF" w:rsidRDefault="002A15BD" w:rsidP="002A15BD">
      <w:pPr>
        <w:snapToGrid w:val="0"/>
        <w:ind w:left="566" w:firstLine="566"/>
        <w:rPr>
          <w:rFonts w:hAnsi="標楷體"/>
          <w:snapToGrid/>
        </w:rPr>
      </w:pPr>
      <w:r w:rsidRPr="0054207B">
        <w:rPr>
          <w:rFonts w:hAnsi="標楷體" w:hint="eastAsia"/>
          <w:snapToGrid/>
        </w:rPr>
        <w:t>臺銀人壽依保險法規定辦理人身保險業務，並受政府委託辦理軍人保險及替代役保險業務，以及其他主管機關核准辦理之業務，111年度13個月及25個月</w:t>
      </w:r>
      <w:r w:rsidR="00012F35">
        <w:rPr>
          <w:rFonts w:hAnsi="標楷體" w:hint="eastAsia"/>
          <w:snapToGrid/>
        </w:rPr>
        <w:t>保單</w:t>
      </w:r>
      <w:r w:rsidRPr="0054207B">
        <w:rPr>
          <w:rFonts w:hAnsi="標楷體" w:hint="eastAsia"/>
          <w:snapToGrid/>
        </w:rPr>
        <w:t>繼續率分別為91.71%及97.16%。經查：</w:t>
      </w:r>
    </w:p>
    <w:p w:rsidR="002A15BD" w:rsidRPr="005000EF" w:rsidRDefault="002A15BD" w:rsidP="002A15BD">
      <w:pPr>
        <w:snapToGrid w:val="0"/>
        <w:ind w:left="849" w:hangingChars="100" w:hanging="283"/>
        <w:rPr>
          <w:rFonts w:hAnsi="標楷體"/>
          <w:b/>
          <w:snapToGrid/>
        </w:rPr>
      </w:pPr>
      <w:r w:rsidRPr="005000EF">
        <w:rPr>
          <w:rFonts w:hAnsi="標楷體" w:hint="eastAsia"/>
          <w:b/>
          <w:snapToGrid/>
        </w:rPr>
        <w:t>(</w:t>
      </w:r>
      <w:r w:rsidRPr="005000EF">
        <w:rPr>
          <w:rFonts w:hAnsi="標楷體" w:hint="eastAsia"/>
          <w:b/>
          <w:snapToGrid/>
          <w:lang w:eastAsia="zh-HK"/>
        </w:rPr>
        <w:t>一</w:t>
      </w:r>
      <w:r w:rsidRPr="005000EF">
        <w:rPr>
          <w:rFonts w:hAnsi="標楷體" w:hint="eastAsia"/>
          <w:b/>
          <w:snapToGrid/>
        </w:rPr>
        <w:t>)</w:t>
      </w:r>
      <w:r w:rsidR="00012F35">
        <w:rPr>
          <w:rFonts w:hAnsi="標楷體" w:hint="eastAsia"/>
          <w:b/>
          <w:snapToGrid/>
        </w:rPr>
        <w:t>保單</w:t>
      </w:r>
      <w:r w:rsidRPr="005000EF">
        <w:rPr>
          <w:rFonts w:hAnsi="標楷體" w:hint="eastAsia"/>
          <w:b/>
          <w:snapToGrid/>
        </w:rPr>
        <w:t>繼續率為法律規定應揭露之事項，凸顯舊客戶關係維護之重要性</w:t>
      </w:r>
    </w:p>
    <w:p w:rsidR="002A15BD" w:rsidRPr="005000EF" w:rsidRDefault="002A15BD" w:rsidP="002A15BD">
      <w:pPr>
        <w:snapToGrid w:val="0"/>
        <w:ind w:left="849" w:hangingChars="100" w:hanging="283"/>
        <w:rPr>
          <w:rFonts w:hAnsi="標楷體" w:hint="eastAsia"/>
          <w:b/>
          <w:snapToGrid/>
        </w:rPr>
      </w:pPr>
      <w:bookmarkStart w:id="4" w:name="_Hlk156902017"/>
      <w:r w:rsidRPr="005000EF">
        <w:rPr>
          <w:rFonts w:hAnsi="標楷體" w:hint="eastAsia"/>
          <w:bCs/>
          <w:snapToGrid/>
        </w:rPr>
        <w:t xml:space="preserve">      為使各保險業者編製之財務業務報告有一致之格式及內容，俾利分析比較，保險法第148</w:t>
      </w:r>
      <w:r w:rsidR="00012F35">
        <w:rPr>
          <w:rFonts w:hAnsi="標楷體" w:hint="eastAsia"/>
          <w:bCs/>
          <w:snapToGrid/>
        </w:rPr>
        <w:t>條</w:t>
      </w:r>
      <w:r w:rsidRPr="005000EF">
        <w:rPr>
          <w:rFonts w:hAnsi="標楷體" w:hint="eastAsia"/>
          <w:bCs/>
          <w:snapToGrid/>
        </w:rPr>
        <w:t>之1第3項明定保險業者財</w:t>
      </w:r>
      <w:bookmarkEnd w:id="4"/>
      <w:r w:rsidRPr="005000EF">
        <w:rPr>
          <w:rFonts w:hAnsi="標楷體" w:hint="eastAsia"/>
          <w:bCs/>
          <w:snapToGrid/>
        </w:rPr>
        <w:t>務報告之編製準則，由主管機關定之。金融監督管理委員會於98年12月30日訂定發布保險業財務報告編製準則</w:t>
      </w:r>
      <w:r w:rsidRPr="005000EF">
        <w:rPr>
          <w:rStyle w:val="af5"/>
          <w:rFonts w:hAnsi="標楷體"/>
          <w:bCs/>
          <w:snapToGrid/>
        </w:rPr>
        <w:footnoteReference w:id="1"/>
      </w:r>
      <w:r w:rsidRPr="005000EF">
        <w:rPr>
          <w:rFonts w:hAnsi="標楷體" w:hint="eastAsia"/>
          <w:bCs/>
          <w:snapToGrid/>
        </w:rPr>
        <w:t>，</w:t>
      </w:r>
      <w:r w:rsidRPr="005000EF">
        <w:rPr>
          <w:rFonts w:hint="eastAsia"/>
        </w:rPr>
        <w:t>最近一次修正係1</w:t>
      </w:r>
      <w:r w:rsidRPr="005000EF">
        <w:rPr>
          <w:rFonts w:hAnsi="標楷體" w:hint="eastAsia"/>
          <w:bCs/>
          <w:snapToGrid/>
        </w:rPr>
        <w:t>1</w:t>
      </w:r>
      <w:r w:rsidR="00012F35">
        <w:rPr>
          <w:rFonts w:hAnsi="標楷體" w:hint="eastAsia"/>
          <w:bCs/>
          <w:snapToGrid/>
        </w:rPr>
        <w:t>3</w:t>
      </w:r>
      <w:r w:rsidRPr="005000EF">
        <w:rPr>
          <w:rFonts w:hAnsi="標楷體" w:hint="eastAsia"/>
          <w:bCs/>
          <w:snapToGrid/>
        </w:rPr>
        <w:t>年1月</w:t>
      </w:r>
      <w:r w:rsidR="00012F35">
        <w:rPr>
          <w:rFonts w:hAnsi="標楷體" w:hint="eastAsia"/>
          <w:bCs/>
          <w:snapToGrid/>
        </w:rPr>
        <w:t>23</w:t>
      </w:r>
      <w:r w:rsidRPr="005000EF">
        <w:rPr>
          <w:rFonts w:hAnsi="標楷體" w:hint="eastAsia"/>
          <w:bCs/>
          <w:snapToGrid/>
        </w:rPr>
        <w:t>日</w:t>
      </w:r>
      <w:r w:rsidRPr="005000EF">
        <w:rPr>
          <w:rStyle w:val="af5"/>
          <w:rFonts w:hAnsi="標楷體"/>
          <w:bCs/>
          <w:snapToGrid/>
        </w:rPr>
        <w:footnoteReference w:id="2"/>
      </w:r>
      <w:r w:rsidRPr="005000EF">
        <w:rPr>
          <w:rFonts w:hAnsi="標楷體" w:hint="eastAsia"/>
          <w:bCs/>
          <w:snapToGrid/>
        </w:rPr>
        <w:t>。該準則第22條規範</w:t>
      </w:r>
      <w:r w:rsidRPr="00DF62E9">
        <w:rPr>
          <w:rFonts w:hAnsi="標楷體" w:hint="eastAsia"/>
          <w:bCs/>
          <w:snapToGrid/>
        </w:rPr>
        <w:t>保險業者應</w:t>
      </w:r>
      <w:r w:rsidRPr="00DF62E9">
        <w:rPr>
          <w:rFonts w:hAnsi="標楷體" w:hint="eastAsia"/>
          <w:bCs/>
          <w:snapToGrid/>
        </w:rPr>
        <w:lastRenderedPageBreak/>
        <w:t>揭露最近五年度財務資訊之重要財務比率分析，分析項目有財務結構、經營能力及獲利能力等三項指標，其中</w:t>
      </w:r>
      <w:r w:rsidR="00012F35">
        <w:rPr>
          <w:rFonts w:hAnsi="標楷體" w:hint="eastAsia"/>
          <w:bCs/>
          <w:snapToGrid/>
        </w:rPr>
        <w:t>保單保費</w:t>
      </w:r>
      <w:r w:rsidRPr="00DF62E9">
        <w:rPr>
          <w:rFonts w:hAnsi="標楷體" w:hint="eastAsia"/>
          <w:bCs/>
          <w:snapToGrid/>
        </w:rPr>
        <w:t>繼續率</w:t>
      </w:r>
      <w:r w:rsidR="00012F35">
        <w:rPr>
          <w:rFonts w:hAnsi="標楷體" w:hint="eastAsia"/>
          <w:bCs/>
          <w:snapToGrid/>
        </w:rPr>
        <w:t>(下簡稱繼續率)</w:t>
      </w:r>
      <w:r w:rsidRPr="00DF62E9">
        <w:rPr>
          <w:rFonts w:hAnsi="標楷體" w:hint="eastAsia"/>
          <w:bCs/>
          <w:snapToGrid/>
        </w:rPr>
        <w:t>為經營能力指標之一，有13個月繼續率(投保滿1年)及25個月繼續率(投保滿2年)2種</w:t>
      </w:r>
      <w:r w:rsidRPr="005000EF">
        <w:rPr>
          <w:rFonts w:hAnsi="標楷體" w:hint="eastAsia"/>
          <w:b/>
          <w:snapToGrid/>
        </w:rPr>
        <w:t>。</w:t>
      </w:r>
    </w:p>
    <w:p w:rsidR="002A15BD" w:rsidRPr="005000EF" w:rsidRDefault="002A15BD" w:rsidP="002A15BD">
      <w:pPr>
        <w:snapToGrid w:val="0"/>
        <w:ind w:left="849" w:hangingChars="100" w:hanging="283"/>
        <w:rPr>
          <w:rFonts w:hAnsi="標楷體"/>
          <w:b/>
          <w:snapToGrid/>
        </w:rPr>
      </w:pPr>
      <w:r w:rsidRPr="005000EF">
        <w:rPr>
          <w:rFonts w:hAnsi="標楷體" w:hint="eastAsia"/>
          <w:b/>
          <w:snapToGrid/>
        </w:rPr>
        <w:t>(</w:t>
      </w:r>
      <w:r w:rsidRPr="005000EF">
        <w:rPr>
          <w:rFonts w:hAnsi="標楷體" w:hint="eastAsia"/>
          <w:b/>
          <w:snapToGrid/>
          <w:lang w:eastAsia="zh-HK"/>
        </w:rPr>
        <w:t>二</w:t>
      </w:r>
      <w:r w:rsidRPr="005000EF">
        <w:rPr>
          <w:rFonts w:hAnsi="標楷體" w:hint="eastAsia"/>
          <w:b/>
          <w:snapToGrid/>
        </w:rPr>
        <w:t>)</w:t>
      </w:r>
      <w:r>
        <w:rPr>
          <w:rFonts w:hAnsi="標楷體" w:hint="eastAsia"/>
          <w:b/>
          <w:snapToGrid/>
        </w:rPr>
        <w:t>兩項繼續率均呈下滑</w:t>
      </w:r>
      <w:r w:rsidR="00012F35">
        <w:rPr>
          <w:rFonts w:hAnsi="標楷體" w:hint="eastAsia"/>
          <w:b/>
          <w:snapToGrid/>
        </w:rPr>
        <w:t>趨</w:t>
      </w:r>
      <w:r>
        <w:rPr>
          <w:rFonts w:hAnsi="標楷體" w:hint="eastAsia"/>
          <w:b/>
          <w:snapToGrid/>
        </w:rPr>
        <w:t>勢，允宜強化因應措施並積極辦理</w:t>
      </w:r>
    </w:p>
    <w:p w:rsidR="002A15BD" w:rsidRDefault="002A15BD" w:rsidP="002A15BD">
      <w:pPr>
        <w:pStyle w:val="21"/>
        <w:ind w:left="850" w:firstLine="566"/>
        <w:rPr>
          <w:rFonts w:hAnsi="標楷體"/>
          <w:lang w:eastAsia="zh-HK"/>
        </w:rPr>
      </w:pPr>
      <w:r w:rsidRPr="005000EF">
        <w:rPr>
          <w:rFonts w:hAnsi="標楷體" w:hint="eastAsia"/>
          <w:lang w:eastAsia="zh-HK"/>
        </w:rPr>
        <w:t>依</w:t>
      </w:r>
      <w:r w:rsidR="00012F35">
        <w:rPr>
          <w:rFonts w:hAnsi="標楷體" w:hint="eastAsia"/>
          <w:lang w:eastAsia="zh-HK"/>
        </w:rPr>
        <w:t>財團法人</w:t>
      </w:r>
      <w:r w:rsidRPr="005000EF">
        <w:rPr>
          <w:rFonts w:hAnsi="標楷體" w:hint="eastAsia"/>
          <w:lang w:eastAsia="zh-HK"/>
        </w:rPr>
        <w:t>保</w:t>
      </w:r>
      <w:r w:rsidR="00012F35">
        <w:rPr>
          <w:rFonts w:hAnsi="標楷體" w:hint="eastAsia"/>
          <w:lang w:eastAsia="zh-HK"/>
        </w:rPr>
        <w:t>險事業</w:t>
      </w:r>
      <w:r w:rsidRPr="005000EF">
        <w:rPr>
          <w:rFonts w:hAnsi="標楷體" w:hint="eastAsia"/>
          <w:lang w:eastAsia="zh-HK"/>
        </w:rPr>
        <w:t>發</w:t>
      </w:r>
      <w:r w:rsidR="00012F35">
        <w:rPr>
          <w:rFonts w:hAnsi="標楷體" w:hint="eastAsia"/>
          <w:lang w:eastAsia="zh-HK"/>
        </w:rPr>
        <w:t>展</w:t>
      </w:r>
      <w:r w:rsidRPr="005000EF">
        <w:rPr>
          <w:rFonts w:hAnsi="標楷體" w:hint="eastAsia"/>
          <w:lang w:eastAsia="zh-HK"/>
        </w:rPr>
        <w:t>中心</w:t>
      </w:r>
      <w:r w:rsidR="00012F35">
        <w:rPr>
          <w:rFonts w:hAnsi="標楷體" w:hint="eastAsia"/>
        </w:rPr>
        <w:t>(下簡稱保發中心)</w:t>
      </w:r>
      <w:r w:rsidRPr="005000EF">
        <w:rPr>
          <w:rFonts w:hAnsi="標楷體" w:hint="eastAsia"/>
          <w:lang w:eastAsia="zh-HK"/>
        </w:rPr>
        <w:t>統計及臺銀人壽提供資料</w:t>
      </w:r>
      <w:r w:rsidRPr="005000EF">
        <w:rPr>
          <w:rFonts w:hAnsi="標楷體" w:hint="eastAsia"/>
        </w:rPr>
        <w:t xml:space="preserve"> (詳表1)，</w:t>
      </w:r>
      <w:r w:rsidRPr="005000EF">
        <w:rPr>
          <w:rFonts w:hAnsi="標楷體" w:hint="eastAsia"/>
          <w:lang w:eastAsia="zh-HK"/>
        </w:rPr>
        <w:t>臺銀人壽</w:t>
      </w:r>
      <w:r w:rsidRPr="005000EF">
        <w:rPr>
          <w:rFonts w:hAnsi="標楷體" w:hint="eastAsia"/>
        </w:rPr>
        <w:t>109</w:t>
      </w:r>
      <w:r w:rsidRPr="005000EF">
        <w:rPr>
          <w:rFonts w:hAnsi="標楷體" w:hint="eastAsia"/>
          <w:lang w:eastAsia="zh-HK"/>
        </w:rPr>
        <w:t>年度至</w:t>
      </w:r>
      <w:r w:rsidRPr="005000EF">
        <w:rPr>
          <w:rFonts w:hAnsi="標楷體" w:hint="eastAsia"/>
        </w:rPr>
        <w:t>11</w:t>
      </w:r>
      <w:r w:rsidR="00012F35">
        <w:rPr>
          <w:rFonts w:hAnsi="標楷體" w:hint="eastAsia"/>
        </w:rPr>
        <w:t>1</w:t>
      </w:r>
      <w:r w:rsidRPr="005000EF">
        <w:rPr>
          <w:rFonts w:hAnsi="標楷體" w:hint="eastAsia"/>
          <w:lang w:eastAsia="zh-HK"/>
        </w:rPr>
        <w:t>年度</w:t>
      </w:r>
      <w:r w:rsidRPr="005000EF">
        <w:rPr>
          <w:rFonts w:hAnsi="標楷體" w:hint="eastAsia"/>
        </w:rPr>
        <w:t>13</w:t>
      </w:r>
      <w:r w:rsidRPr="005000EF">
        <w:rPr>
          <w:rFonts w:hAnsi="標楷體" w:hint="eastAsia"/>
          <w:lang w:eastAsia="zh-HK"/>
        </w:rPr>
        <w:t>個月繼續率分別為</w:t>
      </w:r>
      <w:r w:rsidRPr="005000EF">
        <w:rPr>
          <w:rFonts w:hAnsi="標楷體" w:hint="eastAsia"/>
        </w:rPr>
        <w:t>98.87%</w:t>
      </w:r>
      <w:r w:rsidRPr="005000EF">
        <w:rPr>
          <w:rFonts w:hAnsi="標楷體" w:hint="eastAsia"/>
          <w:lang w:eastAsia="zh-HK"/>
        </w:rPr>
        <w:t>、</w:t>
      </w:r>
      <w:r w:rsidRPr="005000EF">
        <w:rPr>
          <w:rFonts w:hAnsi="標楷體" w:hint="eastAsia"/>
        </w:rPr>
        <w:t>98.11%</w:t>
      </w:r>
      <w:r w:rsidR="00012F35">
        <w:rPr>
          <w:rFonts w:hAnsi="標楷體" w:hint="eastAsia"/>
        </w:rPr>
        <w:t>及</w:t>
      </w:r>
      <w:r w:rsidRPr="005000EF">
        <w:rPr>
          <w:rFonts w:hAnsi="標楷體" w:hint="eastAsia"/>
        </w:rPr>
        <w:t>91.74%，</w:t>
      </w:r>
      <w:r w:rsidRPr="005000EF">
        <w:rPr>
          <w:rFonts w:hAnsi="標楷體" w:hint="eastAsia"/>
          <w:lang w:eastAsia="zh-HK"/>
        </w:rPr>
        <w:t>於我國22家壽險公司中排名分別為第</w:t>
      </w:r>
      <w:r w:rsidRPr="005000EF">
        <w:rPr>
          <w:rFonts w:hAnsi="標楷體" w:hint="eastAsia"/>
        </w:rPr>
        <w:t>1</w:t>
      </w:r>
      <w:r w:rsidRPr="005000EF">
        <w:rPr>
          <w:rFonts w:hAnsi="標楷體" w:hint="eastAsia"/>
          <w:lang w:eastAsia="zh-HK"/>
        </w:rPr>
        <w:t>名</w:t>
      </w:r>
      <w:r w:rsidRPr="005000EF">
        <w:rPr>
          <w:rFonts w:hAnsi="標楷體" w:hint="eastAsia"/>
        </w:rPr>
        <w:t>、</w:t>
      </w:r>
      <w:r w:rsidRPr="005000EF">
        <w:rPr>
          <w:rFonts w:hAnsi="標楷體" w:hint="eastAsia"/>
          <w:lang w:eastAsia="zh-HK"/>
        </w:rPr>
        <w:t>第</w:t>
      </w:r>
      <w:r w:rsidRPr="005000EF">
        <w:rPr>
          <w:rFonts w:hAnsi="標楷體" w:hint="eastAsia"/>
        </w:rPr>
        <w:t>8</w:t>
      </w:r>
      <w:r w:rsidRPr="005000EF">
        <w:rPr>
          <w:rFonts w:hAnsi="標楷體" w:hint="eastAsia"/>
          <w:lang w:eastAsia="zh-HK"/>
        </w:rPr>
        <w:t>名</w:t>
      </w:r>
      <w:r w:rsidR="00012F35">
        <w:rPr>
          <w:rFonts w:hAnsi="標楷體" w:hint="eastAsia"/>
          <w:lang w:eastAsia="zh-HK"/>
        </w:rPr>
        <w:t>及</w:t>
      </w:r>
      <w:r w:rsidRPr="005000EF">
        <w:rPr>
          <w:rFonts w:hAnsi="標楷體" w:hint="eastAsia"/>
          <w:lang w:eastAsia="zh-HK"/>
        </w:rPr>
        <w:t>第</w:t>
      </w:r>
      <w:r w:rsidRPr="005000EF">
        <w:rPr>
          <w:rFonts w:hAnsi="標楷體" w:hint="eastAsia"/>
        </w:rPr>
        <w:t>19</w:t>
      </w:r>
      <w:r w:rsidRPr="005000EF">
        <w:rPr>
          <w:rFonts w:hAnsi="標楷體" w:hint="eastAsia"/>
          <w:lang w:eastAsia="zh-HK"/>
        </w:rPr>
        <w:t>名，</w:t>
      </w:r>
      <w:r w:rsidR="00012F35">
        <w:rPr>
          <w:rFonts w:hAnsi="標楷體" w:hint="eastAsia"/>
        </w:rPr>
        <w:t>111</w:t>
      </w:r>
      <w:r w:rsidR="00012F35">
        <w:rPr>
          <w:rFonts w:hAnsi="標楷體" w:hint="eastAsia"/>
          <w:lang w:eastAsia="zh-HK"/>
        </w:rPr>
        <w:t>年度</w:t>
      </w:r>
      <w:r w:rsidRPr="005000EF">
        <w:rPr>
          <w:rFonts w:hAnsi="標楷體" w:hint="eastAsia"/>
          <w:lang w:eastAsia="zh-HK"/>
        </w:rPr>
        <w:t>繼續率</w:t>
      </w:r>
      <w:r w:rsidR="0037431C">
        <w:rPr>
          <w:rFonts w:hAnsi="標楷體" w:hint="eastAsia"/>
          <w:lang w:eastAsia="zh-HK"/>
        </w:rPr>
        <w:t>及</w:t>
      </w:r>
      <w:r w:rsidRPr="005000EF">
        <w:rPr>
          <w:rFonts w:hAnsi="標楷體" w:hint="eastAsia"/>
          <w:lang w:eastAsia="zh-HK"/>
        </w:rPr>
        <w:t>排名</w:t>
      </w:r>
      <w:r w:rsidR="00012F35">
        <w:rPr>
          <w:rFonts w:hAnsi="標楷體" w:hint="eastAsia"/>
          <w:lang w:eastAsia="zh-HK"/>
        </w:rPr>
        <w:t>較其以往</w:t>
      </w:r>
      <w:r w:rsidR="0037431C">
        <w:rPr>
          <w:rFonts w:hAnsi="標楷體" w:hint="eastAsia"/>
          <w:lang w:eastAsia="zh-HK"/>
        </w:rPr>
        <w:t>均大幅</w:t>
      </w:r>
      <w:r w:rsidRPr="005000EF">
        <w:rPr>
          <w:rFonts w:hAnsi="標楷體" w:hint="eastAsia"/>
          <w:lang w:eastAsia="zh-HK"/>
        </w:rPr>
        <w:t>滑落。</w:t>
      </w:r>
      <w:r>
        <w:rPr>
          <w:rFonts w:hAnsi="標楷體" w:hint="eastAsia"/>
          <w:lang w:eastAsia="zh-HK"/>
        </w:rPr>
        <w:t>又</w:t>
      </w:r>
      <w:r w:rsidRPr="00312C7D">
        <w:rPr>
          <w:rFonts w:hAnsi="標楷體" w:hint="eastAsia"/>
          <w:lang w:eastAsia="zh-HK"/>
        </w:rPr>
        <w:t>臺銀人壽109年度至11</w:t>
      </w:r>
      <w:r w:rsidR="00012F35">
        <w:rPr>
          <w:rFonts w:hAnsi="標楷體" w:hint="eastAsia"/>
        </w:rPr>
        <w:t>1</w:t>
      </w:r>
      <w:r w:rsidRPr="00312C7D">
        <w:rPr>
          <w:rFonts w:hAnsi="標楷體" w:hint="eastAsia"/>
          <w:lang w:eastAsia="zh-HK"/>
        </w:rPr>
        <w:t>年度</w:t>
      </w:r>
      <w:r w:rsidRPr="00312C7D">
        <w:rPr>
          <w:rFonts w:hAnsi="標楷體"/>
          <w:lang w:eastAsia="zh-HK"/>
        </w:rPr>
        <w:t>25</w:t>
      </w:r>
      <w:r w:rsidRPr="00312C7D">
        <w:rPr>
          <w:rFonts w:hAnsi="標楷體" w:hint="eastAsia"/>
          <w:lang w:eastAsia="zh-HK"/>
        </w:rPr>
        <w:t>個月繼續率</w:t>
      </w:r>
      <w:r w:rsidRPr="00312C7D">
        <w:rPr>
          <w:rFonts w:hAnsi="標楷體" w:hint="eastAsia"/>
        </w:rPr>
        <w:t>(詳表2)</w:t>
      </w:r>
      <w:r w:rsidRPr="00312C7D">
        <w:rPr>
          <w:rFonts w:hAnsi="標楷體" w:hint="eastAsia"/>
          <w:lang w:eastAsia="zh-HK"/>
        </w:rPr>
        <w:t>分別為9</w:t>
      </w:r>
      <w:r w:rsidRPr="00312C7D">
        <w:rPr>
          <w:rFonts w:hAnsi="標楷體"/>
          <w:lang w:eastAsia="zh-HK"/>
        </w:rPr>
        <w:t>8.01</w:t>
      </w:r>
      <w:r w:rsidRPr="00312C7D">
        <w:rPr>
          <w:rFonts w:hAnsi="標楷體" w:hint="eastAsia"/>
          <w:lang w:eastAsia="zh-HK"/>
        </w:rPr>
        <w:t>%、</w:t>
      </w:r>
      <w:r w:rsidRPr="005000EF">
        <w:rPr>
          <w:rFonts w:hAnsi="標楷體" w:hint="eastAsia"/>
          <w:lang w:eastAsia="zh-HK"/>
        </w:rPr>
        <w:t>98.</w:t>
      </w:r>
      <w:r w:rsidRPr="005000EF">
        <w:rPr>
          <w:rFonts w:hAnsi="標楷體"/>
          <w:lang w:eastAsia="zh-HK"/>
        </w:rPr>
        <w:t>20</w:t>
      </w:r>
      <w:r w:rsidRPr="005000EF">
        <w:rPr>
          <w:rFonts w:hAnsi="標楷體" w:hint="eastAsia"/>
          <w:lang w:eastAsia="zh-HK"/>
        </w:rPr>
        <w:t>%</w:t>
      </w:r>
      <w:r w:rsidR="00012F35">
        <w:rPr>
          <w:rFonts w:hAnsi="標楷體" w:hint="eastAsia"/>
          <w:lang w:eastAsia="zh-HK"/>
        </w:rPr>
        <w:t>及</w:t>
      </w:r>
      <w:r w:rsidRPr="005000EF">
        <w:rPr>
          <w:rFonts w:hAnsi="標楷體" w:hint="eastAsia"/>
          <w:lang w:eastAsia="zh-HK"/>
        </w:rPr>
        <w:t>9</w:t>
      </w:r>
      <w:r w:rsidRPr="005000EF">
        <w:rPr>
          <w:rFonts w:hAnsi="標楷體"/>
          <w:lang w:eastAsia="zh-HK"/>
        </w:rPr>
        <w:t>7</w:t>
      </w:r>
      <w:r w:rsidRPr="005000EF">
        <w:rPr>
          <w:rFonts w:hAnsi="標楷體" w:hint="eastAsia"/>
          <w:lang w:eastAsia="zh-HK"/>
        </w:rPr>
        <w:t>.</w:t>
      </w:r>
      <w:r w:rsidRPr="005000EF">
        <w:rPr>
          <w:rFonts w:hAnsi="標楷體"/>
          <w:lang w:eastAsia="zh-HK"/>
        </w:rPr>
        <w:t>16</w:t>
      </w:r>
      <w:r w:rsidRPr="005000EF">
        <w:rPr>
          <w:rFonts w:hAnsi="標楷體" w:hint="eastAsia"/>
          <w:lang w:eastAsia="zh-HK"/>
        </w:rPr>
        <w:t>%，排名分別為第1名、第</w:t>
      </w:r>
      <w:r w:rsidRPr="005000EF">
        <w:rPr>
          <w:rFonts w:hAnsi="標楷體" w:hint="eastAsia"/>
        </w:rPr>
        <w:t>1</w:t>
      </w:r>
      <w:r w:rsidRPr="005000EF">
        <w:rPr>
          <w:rFonts w:hAnsi="標楷體" w:hint="eastAsia"/>
          <w:lang w:eastAsia="zh-HK"/>
        </w:rPr>
        <w:t>名</w:t>
      </w:r>
      <w:r w:rsidR="00012F35">
        <w:rPr>
          <w:rFonts w:hAnsi="標楷體" w:hint="eastAsia"/>
          <w:lang w:eastAsia="zh-HK"/>
        </w:rPr>
        <w:t>及</w:t>
      </w:r>
      <w:r w:rsidRPr="005000EF">
        <w:rPr>
          <w:rFonts w:hAnsi="標楷體" w:hint="eastAsia"/>
          <w:lang w:eastAsia="zh-HK"/>
        </w:rPr>
        <w:t>第</w:t>
      </w:r>
      <w:r w:rsidRPr="005000EF">
        <w:rPr>
          <w:rFonts w:hAnsi="標楷體" w:hint="eastAsia"/>
        </w:rPr>
        <w:t>3</w:t>
      </w:r>
      <w:r w:rsidRPr="005000EF">
        <w:rPr>
          <w:rFonts w:hAnsi="標楷體" w:hint="eastAsia"/>
          <w:lang w:eastAsia="zh-HK"/>
        </w:rPr>
        <w:t>名，</w:t>
      </w:r>
      <w:r w:rsidRPr="005000EF">
        <w:rPr>
          <w:rFonts w:hAnsi="標楷體" w:hint="eastAsia"/>
        </w:rPr>
        <w:t>無論是</w:t>
      </w:r>
      <w:r w:rsidR="00012F35">
        <w:rPr>
          <w:rFonts w:hAnsi="標楷體" w:hint="eastAsia"/>
        </w:rPr>
        <w:t>繼續率</w:t>
      </w:r>
      <w:r w:rsidRPr="005000EF">
        <w:rPr>
          <w:rFonts w:hAnsi="標楷體" w:hint="eastAsia"/>
        </w:rPr>
        <w:t>或排名與13個月繼續率</w:t>
      </w:r>
      <w:r>
        <w:rPr>
          <w:rFonts w:hAnsi="標楷體" w:hint="eastAsia"/>
        </w:rPr>
        <w:t>下</w:t>
      </w:r>
      <w:r w:rsidRPr="005000EF">
        <w:rPr>
          <w:rFonts w:hAnsi="標楷體" w:hint="eastAsia"/>
        </w:rPr>
        <w:t>滑情形概呈類似趨勢</w:t>
      </w:r>
      <w:r w:rsidR="000A7009">
        <w:rPr>
          <w:rStyle w:val="af5"/>
          <w:rFonts w:hAnsi="標楷體"/>
        </w:rPr>
        <w:footnoteReference w:id="3"/>
      </w:r>
      <w:r w:rsidRPr="005000EF">
        <w:rPr>
          <w:rFonts w:hAnsi="標楷體" w:hint="eastAsia"/>
          <w:lang w:eastAsia="zh-HK"/>
        </w:rPr>
        <w:t>。</w:t>
      </w:r>
    </w:p>
    <w:p w:rsidR="002A15BD" w:rsidRPr="004E18B0" w:rsidRDefault="002A15BD" w:rsidP="002A15BD">
      <w:pPr>
        <w:pStyle w:val="21"/>
        <w:ind w:left="850" w:firstLine="566"/>
        <w:rPr>
          <w:rFonts w:hAnsi="標楷體" w:hint="eastAsia"/>
        </w:rPr>
      </w:pPr>
      <w:r w:rsidRPr="004E18B0">
        <w:rPr>
          <w:rFonts w:hAnsi="標楷體" w:hint="eastAsia"/>
        </w:rPr>
        <w:t>據</w:t>
      </w:r>
      <w:r w:rsidR="000A7009">
        <w:rPr>
          <w:rFonts w:hAnsi="標楷體" w:hint="eastAsia"/>
        </w:rPr>
        <w:t>臺</w:t>
      </w:r>
      <w:r w:rsidRPr="004E18B0">
        <w:rPr>
          <w:rFonts w:hAnsi="標楷體" w:hint="eastAsia"/>
        </w:rPr>
        <w:t>銀人壽說明繼續率下滑原因主要係持續受美元升</w:t>
      </w:r>
      <w:r w:rsidR="0037431C">
        <w:rPr>
          <w:rFonts w:hAnsi="標楷體" w:hint="eastAsia"/>
        </w:rPr>
        <w:t>值</w:t>
      </w:r>
      <w:r w:rsidRPr="004E18B0">
        <w:rPr>
          <w:rFonts w:hAnsi="標楷體" w:hint="eastAsia"/>
        </w:rPr>
        <w:t>與利率</w:t>
      </w:r>
      <w:r w:rsidR="0037431C">
        <w:rPr>
          <w:rFonts w:hAnsi="標楷體" w:hint="eastAsia"/>
        </w:rPr>
        <w:t>調升</w:t>
      </w:r>
      <w:r w:rsidRPr="004E18B0">
        <w:rPr>
          <w:rFonts w:hAnsi="標楷體" w:hint="eastAsia"/>
        </w:rPr>
        <w:t>之雙重影響，銀行業者推出短年期美元優利存款專案，客戶解約轉存美元，及配合金管會實施相關監理政策，臺銀人壽調整商品結構因應，推廣之險種由繼續率較高之儲蓄型轉向保障型，</w:t>
      </w:r>
      <w:r w:rsidR="000A7009">
        <w:rPr>
          <w:rFonts w:hAnsi="標楷體" w:hint="eastAsia"/>
        </w:rPr>
        <w:t>爰</w:t>
      </w:r>
      <w:r w:rsidRPr="004E18B0">
        <w:rPr>
          <w:rFonts w:hAnsi="標楷體" w:hint="eastAsia"/>
        </w:rPr>
        <w:t>繼續率受商品型態影響，為此臺銀人壽將持續辦理強化措施，例如積極聯繫通路，強化保單保全服務；提升其他通路保費占率，朝均衡化發展；辦理定期及不定期獎勵方案，以提升整體銷售量；持續蒐集市場及通路商品資訊，加強設計符合需求商品及優化輔銷工具。</w:t>
      </w:r>
    </w:p>
    <w:p w:rsidR="0006010E" w:rsidRDefault="0006010E" w:rsidP="002A15BD">
      <w:pPr>
        <w:snapToGrid w:val="0"/>
        <w:ind w:leftChars="0" w:left="850" w:hangingChars="300" w:hanging="850"/>
        <w:rPr>
          <w:rFonts w:hAnsi="標楷體"/>
          <w:b/>
          <w:snapToGrid/>
        </w:rPr>
      </w:pPr>
      <w:bookmarkStart w:id="5" w:name="_Hlk156900977"/>
    </w:p>
    <w:p w:rsidR="002A15BD" w:rsidRPr="005000EF" w:rsidRDefault="002A15BD" w:rsidP="002A15BD">
      <w:pPr>
        <w:snapToGrid w:val="0"/>
        <w:ind w:leftChars="0" w:left="850" w:hangingChars="300" w:hanging="850"/>
        <w:rPr>
          <w:rFonts w:hAnsi="標楷體" w:hint="eastAsia"/>
          <w:b/>
          <w:snapToGrid/>
        </w:rPr>
      </w:pPr>
      <w:r w:rsidRPr="005000EF">
        <w:rPr>
          <w:rFonts w:hAnsi="標楷體" w:hint="eastAsia"/>
          <w:b/>
          <w:snapToGrid/>
        </w:rPr>
        <w:lastRenderedPageBreak/>
        <w:t xml:space="preserve">表1 </w:t>
      </w:r>
      <w:r>
        <w:rPr>
          <w:rFonts w:hAnsi="標楷體" w:hint="eastAsia"/>
          <w:b/>
          <w:snapToGrid/>
        </w:rPr>
        <w:t xml:space="preserve"> </w:t>
      </w:r>
      <w:r w:rsidRPr="005000EF">
        <w:rPr>
          <w:rFonts w:hAnsi="標楷體" w:hint="eastAsia"/>
          <w:b/>
          <w:snapToGrid/>
        </w:rPr>
        <w:t>109至11</w:t>
      </w:r>
      <w:r w:rsidR="000A7009">
        <w:rPr>
          <w:rFonts w:hAnsi="標楷體" w:hint="eastAsia"/>
          <w:b/>
          <w:snapToGrid/>
        </w:rPr>
        <w:t>1</w:t>
      </w:r>
      <w:r w:rsidRPr="005000EF">
        <w:rPr>
          <w:rFonts w:hAnsi="標楷體" w:hint="eastAsia"/>
          <w:b/>
          <w:snapToGrid/>
        </w:rPr>
        <w:t>年度</w:t>
      </w:r>
      <w:r w:rsidR="000A7009">
        <w:rPr>
          <w:rFonts w:hAnsi="標楷體" w:hint="eastAsia"/>
          <w:b/>
          <w:snapToGrid/>
        </w:rPr>
        <w:t>各家</w:t>
      </w:r>
      <w:r w:rsidRPr="005000EF">
        <w:rPr>
          <w:rFonts w:hAnsi="標楷體" w:hint="eastAsia"/>
          <w:b/>
          <w:snapToGrid/>
        </w:rPr>
        <w:t xml:space="preserve">人壽保險公司13個月繼續率表    </w:t>
      </w:r>
      <w:r w:rsidRPr="005000EF">
        <w:rPr>
          <w:rFonts w:hAnsi="標楷體" w:hint="eastAsia"/>
          <w:bCs/>
          <w:snapToGrid/>
          <w:sz w:val="24"/>
          <w:szCs w:val="24"/>
        </w:rPr>
        <w:t>單位：%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5"/>
        <w:gridCol w:w="4678"/>
        <w:gridCol w:w="1086"/>
        <w:gridCol w:w="1087"/>
        <w:gridCol w:w="1087"/>
      </w:tblGrid>
      <w:tr w:rsidR="000A7009" w:rsidRPr="00D81AC5" w:rsidTr="00D81AC5">
        <w:trPr>
          <w:tblHeader/>
        </w:trPr>
        <w:tc>
          <w:tcPr>
            <w:tcW w:w="595" w:type="dxa"/>
            <w:vAlign w:val="center"/>
          </w:tcPr>
          <w:bookmarkEnd w:id="5"/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</w:rPr>
              <w:t>排名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</w:rPr>
              <w:br w:type="page"/>
            </w: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 xml:space="preserve">　人壽保險公司名稱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109</w:t>
            </w: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年度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110</w:t>
            </w: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年度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111</w:t>
            </w: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年度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D81AC5">
              <w:rPr>
                <w:rFonts w:ascii="Times New Roman" w:hAnsi="Times New Roman"/>
                <w:spacing w:val="0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台新人壽保險股份有限公司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96.20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95.33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99.00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</w:rPr>
              <w:t>2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保誠人壽保險股份有限公司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98.12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98.96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98.69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D81AC5">
              <w:rPr>
                <w:rFonts w:ascii="Times New Roman" w:hAnsi="Times New Roman"/>
                <w:spacing w:val="0"/>
              </w:rPr>
              <w:t>3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全球人壽保險股份有限公司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98.72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98.22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98.39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</w:rPr>
              <w:t>4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安聯人壽保險股份有限公司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95.31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93.95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98.23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</w:rPr>
              <w:t>5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第一金人壽保險股份有限公司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97.33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95.93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98.19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D81AC5">
              <w:rPr>
                <w:rFonts w:ascii="Times New Roman" w:hAnsi="Times New Roman"/>
                <w:spacing w:val="0"/>
              </w:rPr>
              <w:t>6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37431C" w:rsidRDefault="000A7009" w:rsidP="00D81AC5">
            <w:pPr>
              <w:pStyle w:val="14-12"/>
              <w:rPr>
                <w:rFonts w:ascii="Times New Roman" w:hAnsi="Times New Roman"/>
                <w:snapToGrid/>
                <w:spacing w:val="-12"/>
                <w:kern w:val="0"/>
              </w:rPr>
            </w:pPr>
            <w:r w:rsidRPr="0037431C">
              <w:rPr>
                <w:rFonts w:ascii="Times New Roman" w:hAnsi="Times New Roman"/>
                <w:snapToGrid/>
                <w:spacing w:val="-12"/>
                <w:kern w:val="0"/>
              </w:rPr>
              <w:t>法商法國巴黎人壽保險股份有限公司台灣分公司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98.29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98.50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98.15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  <w:lang w:eastAsia="x-none"/>
              </w:rPr>
              <w:t>7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南山人壽保險股份有限公司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98.03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97.51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98.07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  <w:lang w:eastAsia="x-none"/>
              </w:rPr>
              <w:t>8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合作金庫人壽保險股份有限公司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98.66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98.55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97.70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</w:rPr>
              <w:t>9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國泰人壽保險股份有限公司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98.15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98.37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97.65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</w:rPr>
              <w:t>10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中國人壽保險股份有限公司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98.83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98.42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97.38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  <w:lang w:eastAsia="x-none"/>
              </w:rPr>
              <w:t>11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新光人壽保險股份有限公司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98.47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98.43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97.31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</w:rPr>
              <w:t>12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台灣人壽保險股份有限公司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97.77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97.36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96.03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</w:rPr>
              <w:t>13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富邦人壽保險股份有限公司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97.55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97.65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95.85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  <w:lang w:eastAsia="x-none"/>
              </w:rPr>
              <w:t>14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元大人壽保險股份有限公司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97.71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97.14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95.74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D81AC5">
              <w:rPr>
                <w:rFonts w:ascii="Times New Roman" w:hAnsi="Times New Roman"/>
                <w:spacing w:val="0"/>
                <w:lang w:eastAsia="x-none"/>
              </w:rPr>
              <w:t>1</w:t>
            </w:r>
            <w:r w:rsidRPr="00D81AC5">
              <w:rPr>
                <w:rFonts w:ascii="Times New Roman" w:hAnsi="Times New Roman"/>
                <w:spacing w:val="0"/>
              </w:rPr>
              <w:t>5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三商美邦人壽保險股份有限公司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95.12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97.03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95.43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D81AC5">
              <w:rPr>
                <w:rFonts w:ascii="Times New Roman" w:hAnsi="Times New Roman"/>
                <w:spacing w:val="0"/>
                <w:lang w:eastAsia="x-none"/>
              </w:rPr>
              <w:t>1</w:t>
            </w:r>
            <w:r w:rsidRPr="00D81AC5">
              <w:rPr>
                <w:rFonts w:ascii="Times New Roman" w:hAnsi="Times New Roman"/>
                <w:spacing w:val="0"/>
              </w:rPr>
              <w:t>6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遠雄人壽保險事業股份有限公司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97.91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96.96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95.34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</w:rPr>
              <w:t>17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宏泰人壽保險股份有限公司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94.64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94.31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93.25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</w:rPr>
              <w:t>18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中華郵政股份有限公司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95.49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96.35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92.38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</w:rPr>
              <w:t>19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臺銀人壽保險股份有限公司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98.87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98.11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91.74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D81AC5">
              <w:rPr>
                <w:rFonts w:ascii="Times New Roman" w:hAnsi="Times New Roman"/>
                <w:spacing w:val="0"/>
              </w:rPr>
              <w:t>20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-22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-22"/>
                <w:kern w:val="0"/>
              </w:rPr>
              <w:t>英屬百慕達商友邦人壽保險股份有限公司台灣分公司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91.20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93.17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91.04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</w:rPr>
            </w:pPr>
            <w:r w:rsidRPr="00D81AC5">
              <w:rPr>
                <w:rFonts w:ascii="Times New Roman" w:hAnsi="Times New Roman"/>
                <w:spacing w:val="0"/>
                <w:lang w:eastAsia="x-none"/>
              </w:rPr>
              <w:t>21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安達國際人壽保險股份有限公司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94.95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97.03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89.90</w:t>
            </w:r>
          </w:p>
        </w:tc>
      </w:tr>
      <w:tr w:rsidR="000A7009" w:rsidRPr="00D81AC5" w:rsidTr="00D81AC5">
        <w:tc>
          <w:tcPr>
            <w:tcW w:w="595" w:type="dxa"/>
            <w:vAlign w:val="center"/>
          </w:tcPr>
          <w:p w:rsidR="000A7009" w:rsidRPr="00D81AC5" w:rsidRDefault="000A7009" w:rsidP="00D81AC5">
            <w:pPr>
              <w:pStyle w:val="14-12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D81AC5">
              <w:rPr>
                <w:rFonts w:ascii="Times New Roman" w:hAnsi="Times New Roman"/>
                <w:spacing w:val="0"/>
              </w:rPr>
              <w:t>22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rPr>
                <w:rFonts w:ascii="Times New Roman" w:hAnsi="Times New Roman"/>
                <w:snapToGrid/>
                <w:spacing w:val="-22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-22"/>
                <w:kern w:val="0"/>
              </w:rPr>
              <w:t>英屬百慕達商安達人壽保險股份有限公司台灣分公司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93.25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93.88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D81AC5">
            <w:pPr>
              <w:pStyle w:val="14-12"/>
              <w:jc w:val="right"/>
              <w:rPr>
                <w:rFonts w:ascii="Times New Roman" w:hAnsi="Times New Roman"/>
                <w:snapToGrid/>
                <w:spacing w:val="0"/>
                <w:kern w:val="0"/>
              </w:rPr>
            </w:pP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(</w:t>
            </w:r>
            <w:r w:rsidR="00DB57FA" w:rsidRPr="00D81AC5">
              <w:rPr>
                <w:rFonts w:ascii="Times New Roman" w:hAnsi="Times New Roman"/>
                <w:snapToGrid/>
                <w:spacing w:val="0"/>
                <w:kern w:val="0"/>
              </w:rPr>
              <w:t>說明</w:t>
            </w:r>
            <w:r w:rsidR="00DB57FA" w:rsidRPr="00D81AC5">
              <w:rPr>
                <w:rFonts w:ascii="Times New Roman" w:hAnsi="Times New Roman"/>
                <w:snapToGrid/>
                <w:spacing w:val="0"/>
                <w:kern w:val="0"/>
              </w:rPr>
              <w:t>2</w:t>
            </w:r>
            <w:r w:rsidRPr="00D81AC5">
              <w:rPr>
                <w:rFonts w:ascii="Times New Roman" w:hAnsi="Times New Roman"/>
                <w:snapToGrid/>
                <w:spacing w:val="0"/>
                <w:kern w:val="0"/>
              </w:rPr>
              <w:t>)</w:t>
            </w:r>
          </w:p>
        </w:tc>
      </w:tr>
    </w:tbl>
    <w:p w:rsidR="002A15BD" w:rsidRDefault="002A15BD" w:rsidP="002A15BD">
      <w:pPr>
        <w:pStyle w:val="14-12"/>
        <w:ind w:left="647" w:hanging="647"/>
        <w:rPr>
          <w:spacing w:val="0"/>
        </w:rPr>
      </w:pPr>
      <w:bookmarkStart w:id="6" w:name="_Hlk156901877"/>
      <w:r w:rsidRPr="005000EF">
        <w:rPr>
          <w:rFonts w:hint="eastAsia"/>
          <w:spacing w:val="0"/>
        </w:rPr>
        <w:t>說    明：</w:t>
      </w:r>
      <w:r w:rsidR="00DB57FA">
        <w:rPr>
          <w:rFonts w:hint="eastAsia"/>
          <w:spacing w:val="0"/>
        </w:rPr>
        <w:t>1.</w:t>
      </w:r>
      <w:r w:rsidRPr="005000EF">
        <w:rPr>
          <w:rFonts w:hint="eastAsia"/>
          <w:spacing w:val="0"/>
        </w:rPr>
        <w:t>上表係按111年度13個月繼續率依序排名。</w:t>
      </w:r>
    </w:p>
    <w:p w:rsidR="00DB57FA" w:rsidRPr="005000EF" w:rsidRDefault="00DB57FA" w:rsidP="00DB57FA">
      <w:pPr>
        <w:pStyle w:val="14-12"/>
        <w:ind w:left="1446" w:hanging="1446"/>
        <w:rPr>
          <w:rFonts w:hint="eastAsia"/>
          <w:spacing w:val="0"/>
        </w:rPr>
      </w:pPr>
      <w:r>
        <w:rPr>
          <w:rFonts w:hint="eastAsia"/>
          <w:spacing w:val="0"/>
        </w:rPr>
        <w:t xml:space="preserve">          </w:t>
      </w:r>
      <w:r w:rsidRPr="00DB57FA">
        <w:rPr>
          <w:rFonts w:hint="eastAsia"/>
          <w:spacing w:val="0"/>
        </w:rPr>
        <w:t>2.111年12月1日英屬百慕達商安達人壽保險股份有限公司台灣分公司所有營業，部分資產，與負債已移轉予安達國際人壽保險股份有限公司。</w:t>
      </w:r>
    </w:p>
    <w:p w:rsidR="002A15BD" w:rsidRPr="005000EF" w:rsidRDefault="002A15BD" w:rsidP="000A7009">
      <w:pPr>
        <w:pStyle w:val="14-12"/>
        <w:ind w:left="647" w:hanging="647"/>
        <w:rPr>
          <w:rFonts w:hint="eastAsia"/>
          <w:spacing w:val="0"/>
        </w:rPr>
      </w:pPr>
      <w:r w:rsidRPr="005000EF">
        <w:rPr>
          <w:spacing w:val="0"/>
        </w:rPr>
        <w:t>資料來源</w:t>
      </w:r>
      <w:r w:rsidRPr="005000EF">
        <w:rPr>
          <w:rFonts w:hint="eastAsia"/>
          <w:spacing w:val="0"/>
        </w:rPr>
        <w:t>：財團法人保險事業發展中心統計資料及臺銀人壽提供。</w:t>
      </w:r>
      <w:r>
        <w:rPr>
          <w:rFonts w:hint="eastAsia"/>
          <w:spacing w:val="0"/>
        </w:rPr>
        <w:t xml:space="preserve">      </w:t>
      </w:r>
    </w:p>
    <w:bookmarkEnd w:id="6"/>
    <w:p w:rsidR="002A15BD" w:rsidRPr="005000EF" w:rsidRDefault="002A15BD" w:rsidP="002A15BD">
      <w:pPr>
        <w:snapToGrid w:val="0"/>
        <w:spacing w:beforeLines="20" w:before="100"/>
        <w:ind w:leftChars="0" w:left="850" w:hangingChars="300" w:hanging="850"/>
        <w:rPr>
          <w:rFonts w:hAnsi="標楷體" w:hint="eastAsia"/>
          <w:b/>
          <w:snapToGrid/>
        </w:rPr>
      </w:pPr>
      <w:r w:rsidRPr="005000EF">
        <w:rPr>
          <w:rFonts w:hAnsi="標楷體" w:hint="eastAsia"/>
          <w:b/>
          <w:snapToGrid/>
        </w:rPr>
        <w:t>表</w:t>
      </w:r>
      <w:r>
        <w:rPr>
          <w:rFonts w:hAnsi="標楷體" w:hint="eastAsia"/>
          <w:b/>
          <w:snapToGrid/>
        </w:rPr>
        <w:t>2</w:t>
      </w:r>
      <w:r w:rsidRPr="005000EF">
        <w:rPr>
          <w:rFonts w:hAnsi="標楷體" w:hint="eastAsia"/>
          <w:b/>
          <w:snapToGrid/>
        </w:rPr>
        <w:t xml:space="preserve"> </w:t>
      </w:r>
      <w:r>
        <w:rPr>
          <w:rFonts w:hAnsi="標楷體" w:hint="eastAsia"/>
          <w:b/>
          <w:snapToGrid/>
        </w:rPr>
        <w:t xml:space="preserve"> </w:t>
      </w:r>
      <w:r w:rsidRPr="005000EF">
        <w:rPr>
          <w:rFonts w:hAnsi="標楷體" w:hint="eastAsia"/>
          <w:b/>
          <w:snapToGrid/>
        </w:rPr>
        <w:t>109至11</w:t>
      </w:r>
      <w:r w:rsidR="000A7009">
        <w:rPr>
          <w:rFonts w:hAnsi="標楷體" w:hint="eastAsia"/>
          <w:b/>
          <w:snapToGrid/>
        </w:rPr>
        <w:t>1</w:t>
      </w:r>
      <w:r w:rsidRPr="005000EF">
        <w:rPr>
          <w:rFonts w:hAnsi="標楷體" w:hint="eastAsia"/>
          <w:b/>
          <w:snapToGrid/>
        </w:rPr>
        <w:t>年度</w:t>
      </w:r>
      <w:r w:rsidR="000A7009">
        <w:rPr>
          <w:rFonts w:hAnsi="標楷體" w:hint="eastAsia"/>
          <w:b/>
          <w:snapToGrid/>
        </w:rPr>
        <w:t>各家</w:t>
      </w:r>
      <w:r w:rsidRPr="005000EF">
        <w:rPr>
          <w:rFonts w:hAnsi="標楷體" w:hint="eastAsia"/>
          <w:b/>
          <w:snapToGrid/>
        </w:rPr>
        <w:t xml:space="preserve">人壽保險公司25個月繼續率表    </w:t>
      </w:r>
      <w:r w:rsidRPr="005000EF">
        <w:rPr>
          <w:rFonts w:hAnsi="標楷體" w:hint="eastAsia"/>
          <w:bCs/>
          <w:snapToGrid/>
          <w:sz w:val="24"/>
          <w:szCs w:val="24"/>
        </w:rPr>
        <w:t>單位：%</w:t>
      </w:r>
    </w:p>
    <w:tbl>
      <w:tblPr>
        <w:tblW w:w="8538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0"/>
        <w:gridCol w:w="4678"/>
        <w:gridCol w:w="1086"/>
        <w:gridCol w:w="1087"/>
        <w:gridCol w:w="1087"/>
      </w:tblGrid>
      <w:tr w:rsidR="000A7009" w:rsidRPr="000A7009" w:rsidTr="00D81AC5">
        <w:trPr>
          <w:trHeight w:val="20"/>
          <w:tblHeader/>
        </w:trPr>
        <w:tc>
          <w:tcPr>
            <w:tcW w:w="600" w:type="dxa"/>
            <w:tcBorders>
              <w:top w:val="single" w:sz="12" w:space="0" w:color="auto"/>
            </w:tcBorders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排名</w:t>
            </w:r>
          </w:p>
        </w:tc>
        <w:tc>
          <w:tcPr>
            <w:tcW w:w="4678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napToGrid/>
                <w:spacing w:val="0"/>
              </w:rPr>
              <w:br w:type="page"/>
            </w:r>
            <w:r w:rsidRPr="000A7009">
              <w:rPr>
                <w:rFonts w:ascii="Times New Roman" w:hAnsi="Times New Roman"/>
                <w:snapToGrid/>
                <w:spacing w:val="0"/>
                <w:kern w:val="0"/>
              </w:rPr>
              <w:t xml:space="preserve">　人壽保險公司名稱</w:t>
            </w:r>
          </w:p>
        </w:tc>
        <w:tc>
          <w:tcPr>
            <w:tcW w:w="1086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D81AC5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109</w:t>
            </w:r>
            <w:r w:rsidRPr="000A7009">
              <w:rPr>
                <w:rFonts w:ascii="Times New Roman" w:hAnsi="Times New Roman"/>
                <w:spacing w:val="0"/>
              </w:rPr>
              <w:t>年度</w:t>
            </w:r>
          </w:p>
        </w:tc>
        <w:tc>
          <w:tcPr>
            <w:tcW w:w="108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D81AC5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110</w:t>
            </w:r>
            <w:r w:rsidRPr="000A7009">
              <w:rPr>
                <w:rFonts w:ascii="Times New Roman" w:hAnsi="Times New Roman"/>
                <w:spacing w:val="0"/>
              </w:rPr>
              <w:t>年度</w:t>
            </w:r>
          </w:p>
        </w:tc>
        <w:tc>
          <w:tcPr>
            <w:tcW w:w="1087" w:type="dxa"/>
            <w:tcBorders>
              <w:top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D81AC5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111</w:t>
            </w:r>
            <w:r w:rsidRPr="000A7009">
              <w:rPr>
                <w:rFonts w:ascii="Times New Roman" w:hAnsi="Times New Roman"/>
                <w:spacing w:val="0"/>
              </w:rPr>
              <w:t>年度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1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保誠人壽保險股份有限公司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92.85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96.32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98.41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2</w:t>
            </w:r>
          </w:p>
        </w:tc>
        <w:tc>
          <w:tcPr>
            <w:tcW w:w="4678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新光人壽保險股份有限公司</w:t>
            </w:r>
          </w:p>
        </w:tc>
        <w:tc>
          <w:tcPr>
            <w:tcW w:w="1086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95.89</w:t>
            </w:r>
          </w:p>
        </w:tc>
        <w:tc>
          <w:tcPr>
            <w:tcW w:w="108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97.60</w:t>
            </w:r>
          </w:p>
        </w:tc>
        <w:tc>
          <w:tcPr>
            <w:tcW w:w="1087" w:type="dxa"/>
            <w:tcBorders>
              <w:bottom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97.36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tcBorders>
              <w:right w:val="single" w:sz="6" w:space="0" w:color="auto"/>
            </w:tcBorders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3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臺銀人壽保險股份有限公司</w:t>
            </w:r>
          </w:p>
        </w:tc>
        <w:tc>
          <w:tcPr>
            <w:tcW w:w="10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98.01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98.20</w:t>
            </w:r>
          </w:p>
        </w:tc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97.16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4</w:t>
            </w:r>
          </w:p>
        </w:tc>
        <w:tc>
          <w:tcPr>
            <w:tcW w:w="4678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中國人壽保險股份有限公司</w:t>
            </w:r>
          </w:p>
        </w:tc>
        <w:tc>
          <w:tcPr>
            <w:tcW w:w="1086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97.77</w:t>
            </w:r>
          </w:p>
        </w:tc>
        <w:tc>
          <w:tcPr>
            <w:tcW w:w="1087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97.71</w:t>
            </w:r>
          </w:p>
        </w:tc>
        <w:tc>
          <w:tcPr>
            <w:tcW w:w="1087" w:type="dxa"/>
            <w:tcBorders>
              <w:top w:val="single" w:sz="6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96.78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5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國泰人壽保險股份有限公司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95.54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96.28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96.64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6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合作金庫人壽保險股份有限公司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96.16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96.57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96.55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  <w:lang w:eastAsia="x-none"/>
              </w:rPr>
              <w:t>7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南山人壽保險股份有限公司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96.63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96.64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96.53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0A7009">
              <w:rPr>
                <w:rFonts w:ascii="Times New Roman" w:hAnsi="Times New Roman"/>
                <w:spacing w:val="0"/>
                <w:lang w:eastAsia="x-none"/>
              </w:rPr>
              <w:t>8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37431C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-10"/>
              </w:rPr>
            </w:pPr>
            <w:r w:rsidRPr="0037431C">
              <w:rPr>
                <w:rFonts w:ascii="Times New Roman" w:hAnsi="Times New Roman"/>
                <w:spacing w:val="-10"/>
              </w:rPr>
              <w:t>法商法國巴黎人壽保險股份有限公司台灣分公司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95.48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95.52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96.24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台灣人壽保險股份有限公司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97.71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97.36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96.02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10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富邦人壽保險股份有限公司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94.57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96.10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95.97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  <w:lang w:eastAsia="x-none"/>
              </w:rPr>
              <w:t>11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元大人壽保險股份有限公司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94.61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96.77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95.85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0A7009">
              <w:rPr>
                <w:rFonts w:ascii="Times New Roman" w:hAnsi="Times New Roman"/>
                <w:spacing w:val="0"/>
              </w:rPr>
              <w:t>12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全球人壽保險股份有限公司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94.84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95.34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94.96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0A7009">
              <w:rPr>
                <w:rFonts w:ascii="Times New Roman" w:hAnsi="Times New Roman"/>
                <w:spacing w:val="0"/>
              </w:rPr>
              <w:lastRenderedPageBreak/>
              <w:t>13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三商美邦人壽保險股份有限公司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91.57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92.44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94.49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  <w:lang w:eastAsia="x-none"/>
              </w:rPr>
              <w:t>14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中華郵政股份有限公司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92.31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93.29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94.13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  <w:lang w:eastAsia="x-none"/>
              </w:rPr>
              <w:t>1</w:t>
            </w:r>
            <w:r w:rsidRPr="000A7009">
              <w:rPr>
                <w:rFonts w:ascii="Times New Roman" w:hAnsi="Times New Roman"/>
                <w:spacing w:val="0"/>
              </w:rPr>
              <w:t>5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第一金人壽保險股份有限公司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94.59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95.15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93.95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0A7009">
              <w:rPr>
                <w:rFonts w:ascii="Times New Roman" w:hAnsi="Times New Roman"/>
                <w:spacing w:val="0"/>
                <w:lang w:eastAsia="x-none"/>
              </w:rPr>
              <w:t>1</w:t>
            </w:r>
            <w:r w:rsidRPr="000A7009">
              <w:rPr>
                <w:rFonts w:ascii="Times New Roman" w:hAnsi="Times New Roman"/>
                <w:spacing w:val="0"/>
              </w:rPr>
              <w:t>6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遠雄人壽保險事業股份有限公司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90.76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91.06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92.57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17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宏泰人壽保險股份有限公司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84.71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91.98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91.48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18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安達國際人壽保險股份有限公司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60.31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89.46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90.82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0A7009">
              <w:rPr>
                <w:rFonts w:ascii="Times New Roman" w:hAnsi="Times New Roman"/>
                <w:spacing w:val="0"/>
              </w:rPr>
              <w:t>19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台新人壽保險股份有限公司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86.73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91.58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90.02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0A7009">
              <w:rPr>
                <w:rFonts w:ascii="Times New Roman" w:hAnsi="Times New Roman"/>
                <w:spacing w:val="0"/>
                <w:lang w:eastAsia="x-none"/>
              </w:rPr>
              <w:t>2</w:t>
            </w:r>
            <w:r w:rsidRPr="000A7009">
              <w:rPr>
                <w:rFonts w:ascii="Times New Roman" w:hAnsi="Times New Roman"/>
                <w:spacing w:val="0"/>
              </w:rPr>
              <w:t>0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D81AC5" w:rsidRDefault="000A7009" w:rsidP="000A7009">
            <w:pPr>
              <w:pStyle w:val="14-12"/>
              <w:ind w:left="647" w:hanging="647"/>
              <w:rPr>
                <w:rFonts w:ascii="Times New Roman" w:hAnsi="Times New Roman"/>
              </w:rPr>
            </w:pPr>
            <w:r w:rsidRPr="00D81AC5">
              <w:rPr>
                <w:rFonts w:ascii="Times New Roman" w:hAnsi="Times New Roman"/>
              </w:rPr>
              <w:t>英屬百慕達商友邦人壽保險股份有限公司台灣分公司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85.52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86.84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89.04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21</w:t>
            </w:r>
          </w:p>
        </w:tc>
        <w:tc>
          <w:tcPr>
            <w:tcW w:w="4678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安聯人壽保險股份有限公司</w:t>
            </w:r>
          </w:p>
        </w:tc>
        <w:tc>
          <w:tcPr>
            <w:tcW w:w="1086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90.60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88.56</w:t>
            </w:r>
          </w:p>
        </w:tc>
        <w:tc>
          <w:tcPr>
            <w:tcW w:w="1087" w:type="dxa"/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87.46</w:t>
            </w:r>
          </w:p>
        </w:tc>
      </w:tr>
      <w:tr w:rsidR="000A7009" w:rsidRPr="000A7009" w:rsidTr="00D81AC5">
        <w:trPr>
          <w:trHeight w:val="20"/>
        </w:trPr>
        <w:tc>
          <w:tcPr>
            <w:tcW w:w="600" w:type="dxa"/>
            <w:tcBorders>
              <w:bottom w:val="single" w:sz="12" w:space="0" w:color="auto"/>
            </w:tcBorders>
            <w:vAlign w:val="center"/>
          </w:tcPr>
          <w:p w:rsidR="000A7009" w:rsidRPr="000A7009" w:rsidRDefault="000A7009" w:rsidP="000A7009">
            <w:pPr>
              <w:pStyle w:val="14-12"/>
              <w:ind w:left="647" w:hanging="647"/>
              <w:jc w:val="center"/>
              <w:rPr>
                <w:rFonts w:ascii="Times New Roman" w:hAnsi="Times New Roman"/>
                <w:spacing w:val="0"/>
                <w:lang w:eastAsia="x-none"/>
              </w:rPr>
            </w:pPr>
            <w:r w:rsidRPr="000A7009">
              <w:rPr>
                <w:rFonts w:ascii="Times New Roman" w:hAnsi="Times New Roman"/>
                <w:spacing w:val="0"/>
              </w:rPr>
              <w:t>22</w:t>
            </w:r>
          </w:p>
        </w:tc>
        <w:tc>
          <w:tcPr>
            <w:tcW w:w="4678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A7009" w:rsidRPr="00D81AC5" w:rsidRDefault="000A7009" w:rsidP="000A7009">
            <w:pPr>
              <w:pStyle w:val="14-12"/>
              <w:ind w:left="647" w:hanging="647"/>
              <w:rPr>
                <w:rFonts w:ascii="Times New Roman" w:hAnsi="Times New Roman"/>
              </w:rPr>
            </w:pPr>
            <w:r w:rsidRPr="00D81AC5">
              <w:rPr>
                <w:rFonts w:ascii="Times New Roman" w:hAnsi="Times New Roman"/>
              </w:rPr>
              <w:t>英屬百慕達商安達人壽保險股份有限公司台灣分公司</w:t>
            </w:r>
          </w:p>
        </w:tc>
        <w:tc>
          <w:tcPr>
            <w:tcW w:w="1086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87.87</w:t>
            </w:r>
          </w:p>
        </w:tc>
        <w:tc>
          <w:tcPr>
            <w:tcW w:w="1087" w:type="dxa"/>
            <w:tcBorders>
              <w:bottom w:val="single" w:sz="12" w:space="0" w:color="auto"/>
            </w:tcBorders>
            <w:shd w:val="clear" w:color="auto" w:fill="auto"/>
            <w:noWrap/>
            <w:vAlign w:val="center"/>
            <w:hideMark/>
          </w:tcPr>
          <w:p w:rsidR="000A7009" w:rsidRPr="000A7009" w:rsidRDefault="000A7009" w:rsidP="000A7009">
            <w:pPr>
              <w:pStyle w:val="14-12"/>
              <w:ind w:left="647" w:hanging="647"/>
              <w:jc w:val="right"/>
              <w:rPr>
                <w:rFonts w:ascii="Times New Roman" w:hAnsi="Times New Roman"/>
                <w:spacing w:val="0"/>
              </w:rPr>
            </w:pPr>
            <w:r w:rsidRPr="000A7009">
              <w:rPr>
                <w:rFonts w:ascii="Times New Roman" w:hAnsi="Times New Roman"/>
                <w:spacing w:val="0"/>
              </w:rPr>
              <w:t>85.11</w:t>
            </w:r>
          </w:p>
        </w:tc>
        <w:tc>
          <w:tcPr>
            <w:tcW w:w="1087" w:type="dxa"/>
            <w:vAlign w:val="center"/>
          </w:tcPr>
          <w:p w:rsidR="000A7009" w:rsidRPr="000A7009" w:rsidRDefault="00DB57FA" w:rsidP="00DB57FA">
            <w:pPr>
              <w:widowControl/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sz w:val="24"/>
                <w:szCs w:val="24"/>
              </w:rPr>
            </w:pPr>
            <w:r>
              <w:rPr>
                <w:rFonts w:ascii="Times New Roman" w:hint="eastAsia"/>
                <w:snapToGrid/>
                <w:kern w:val="0"/>
                <w:sz w:val="24"/>
                <w:szCs w:val="24"/>
              </w:rPr>
              <w:t xml:space="preserve"> -</w:t>
            </w:r>
          </w:p>
        </w:tc>
      </w:tr>
    </w:tbl>
    <w:p w:rsidR="002A15BD" w:rsidRPr="005000EF" w:rsidRDefault="002A15BD" w:rsidP="002A15BD">
      <w:pPr>
        <w:pStyle w:val="14-12"/>
        <w:ind w:left="646" w:hanging="646"/>
        <w:rPr>
          <w:rFonts w:hint="eastAsia"/>
          <w:spacing w:val="0"/>
        </w:rPr>
      </w:pPr>
      <w:r w:rsidRPr="005000EF">
        <w:rPr>
          <w:rFonts w:hint="eastAsia"/>
          <w:spacing w:val="0"/>
        </w:rPr>
        <w:t>說    明：上表係按111年度25個月繼續率依序排名。</w:t>
      </w:r>
    </w:p>
    <w:p w:rsidR="002A15BD" w:rsidRDefault="002A15BD" w:rsidP="002A15BD">
      <w:pPr>
        <w:pStyle w:val="14-12"/>
        <w:ind w:left="646" w:hanging="646"/>
        <w:rPr>
          <w:rFonts w:hint="eastAsia"/>
          <w:spacing w:val="0"/>
        </w:rPr>
      </w:pPr>
      <w:r w:rsidRPr="005000EF">
        <w:rPr>
          <w:spacing w:val="0"/>
        </w:rPr>
        <w:t>資料來源</w:t>
      </w:r>
      <w:r w:rsidRPr="005000EF">
        <w:rPr>
          <w:rFonts w:hint="eastAsia"/>
          <w:spacing w:val="0"/>
        </w:rPr>
        <w:t>：財團法人保險事業發展中心統計資料及臺銀人壽提供。</w:t>
      </w:r>
    </w:p>
    <w:p w:rsidR="002A15BD" w:rsidRDefault="002A15BD" w:rsidP="002A15BD">
      <w:pPr>
        <w:snapToGrid w:val="0"/>
        <w:ind w:left="566" w:firstLine="566"/>
        <w:rPr>
          <w:snapToGrid/>
        </w:rPr>
      </w:pPr>
      <w:r w:rsidRPr="005000EF">
        <w:rPr>
          <w:rFonts w:hint="eastAsia"/>
          <w:snapToGrid/>
        </w:rPr>
        <w:t>綜上，</w:t>
      </w:r>
      <w:r w:rsidR="000A7009">
        <w:rPr>
          <w:rFonts w:hint="eastAsia"/>
          <w:snapToGrid/>
        </w:rPr>
        <w:t>保單</w:t>
      </w:r>
      <w:r w:rsidRPr="005000EF">
        <w:rPr>
          <w:rFonts w:hint="eastAsia"/>
          <w:snapToGrid/>
        </w:rPr>
        <w:t>繼續率是壽險公司的重要經營指標之一</w:t>
      </w:r>
      <w:r w:rsidRPr="005000EF">
        <w:rPr>
          <w:rFonts w:hAnsi="標楷體" w:hint="eastAsia"/>
          <w:snapToGrid/>
        </w:rPr>
        <w:t>，新客戶開發</w:t>
      </w:r>
      <w:r w:rsidR="000A7009">
        <w:rPr>
          <w:rFonts w:hAnsi="標楷體" w:hint="eastAsia"/>
          <w:snapToGrid/>
        </w:rPr>
        <w:t>之</w:t>
      </w:r>
      <w:r w:rsidRPr="005000EF">
        <w:rPr>
          <w:rFonts w:hAnsi="標楷體" w:hint="eastAsia"/>
          <w:snapToGrid/>
        </w:rPr>
        <w:t>同時，</w:t>
      </w:r>
      <w:r w:rsidRPr="005000EF">
        <w:rPr>
          <w:rFonts w:hint="eastAsia"/>
          <w:snapToGrid/>
        </w:rPr>
        <w:t>也應盡力維持</w:t>
      </w:r>
      <w:r w:rsidR="0037431C">
        <w:rPr>
          <w:rFonts w:hint="eastAsia"/>
          <w:snapToGrid/>
        </w:rPr>
        <w:t>與</w:t>
      </w:r>
      <w:r w:rsidR="000A7009" w:rsidRPr="005000EF">
        <w:rPr>
          <w:rFonts w:hAnsi="標楷體" w:hint="eastAsia"/>
          <w:snapToGrid/>
        </w:rPr>
        <w:t>舊</w:t>
      </w:r>
      <w:r w:rsidR="000A7009" w:rsidRPr="005000EF">
        <w:rPr>
          <w:rFonts w:hint="eastAsia"/>
          <w:snapToGrid/>
        </w:rPr>
        <w:t>客戶</w:t>
      </w:r>
      <w:r w:rsidR="000A7009">
        <w:rPr>
          <w:rFonts w:hint="eastAsia"/>
          <w:snapToGrid/>
        </w:rPr>
        <w:t>之契約</w:t>
      </w:r>
      <w:r w:rsidRPr="005000EF">
        <w:rPr>
          <w:rFonts w:hint="eastAsia"/>
          <w:snapToGrid/>
        </w:rPr>
        <w:t>關係</w:t>
      </w:r>
      <w:r w:rsidRPr="005000EF">
        <w:rPr>
          <w:rFonts w:hAnsi="標楷體" w:hint="eastAsia"/>
          <w:snapToGrid/>
        </w:rPr>
        <w:t>，</w:t>
      </w:r>
      <w:r w:rsidR="000A7009">
        <w:rPr>
          <w:rFonts w:hAnsi="標楷體" w:hint="eastAsia"/>
          <w:snapToGrid/>
        </w:rPr>
        <w:t>惟111年度</w:t>
      </w:r>
      <w:r w:rsidRPr="005000EF">
        <w:rPr>
          <w:rFonts w:hint="eastAsia"/>
          <w:snapToGrid/>
        </w:rPr>
        <w:t>臺銀人壽繼續率自109年度</w:t>
      </w:r>
      <w:r>
        <w:rPr>
          <w:rFonts w:hint="eastAsia"/>
          <w:snapToGrid/>
        </w:rPr>
        <w:t>排名首位</w:t>
      </w:r>
      <w:r w:rsidR="000A7009">
        <w:rPr>
          <w:rFonts w:hint="eastAsia"/>
          <w:snapToGrid/>
        </w:rPr>
        <w:t>之</w:t>
      </w:r>
      <w:r w:rsidRPr="005000EF">
        <w:rPr>
          <w:rFonts w:hint="eastAsia"/>
          <w:snapToGrid/>
        </w:rPr>
        <w:t>績優生</w:t>
      </w:r>
      <w:r w:rsidRPr="005000EF">
        <w:rPr>
          <w:rFonts w:hAnsi="標楷體" w:hint="eastAsia"/>
          <w:snapToGrid/>
        </w:rPr>
        <w:t>，</w:t>
      </w:r>
      <w:r w:rsidRPr="005000EF">
        <w:rPr>
          <w:rFonts w:hint="eastAsia"/>
          <w:snapToGrid/>
        </w:rPr>
        <w:t>滑落至</w:t>
      </w:r>
      <w:r w:rsidR="000A7009">
        <w:rPr>
          <w:rFonts w:hint="eastAsia"/>
          <w:snapToGrid/>
        </w:rPr>
        <w:t>111年度為</w:t>
      </w:r>
      <w:r w:rsidRPr="005000EF">
        <w:rPr>
          <w:rFonts w:hint="eastAsia"/>
          <w:snapToGrid/>
        </w:rPr>
        <w:t>倒數名次</w:t>
      </w:r>
      <w:r w:rsidR="000A7009">
        <w:rPr>
          <w:rFonts w:hint="eastAsia"/>
          <w:snapToGrid/>
        </w:rPr>
        <w:t>之</w:t>
      </w:r>
      <w:r w:rsidRPr="005000EF">
        <w:rPr>
          <w:rFonts w:hint="eastAsia"/>
          <w:snapToGrid/>
        </w:rPr>
        <w:t>後段班</w:t>
      </w:r>
      <w:r w:rsidRPr="005000EF">
        <w:rPr>
          <w:rFonts w:hAnsi="標楷體" w:hint="eastAsia"/>
          <w:snapToGrid/>
        </w:rPr>
        <w:t>，亟需</w:t>
      </w:r>
      <w:r>
        <w:rPr>
          <w:rFonts w:hAnsi="標楷體" w:hint="eastAsia"/>
          <w:snapToGrid/>
        </w:rPr>
        <w:t>強化因應措施並積極辦理</w:t>
      </w:r>
      <w:r w:rsidRPr="005000EF">
        <w:rPr>
          <w:rFonts w:hint="eastAsia"/>
          <w:snapToGrid/>
          <w:lang w:eastAsia="zh-HK"/>
        </w:rPr>
        <w:t>，加強舊客戶</w:t>
      </w:r>
      <w:r w:rsidR="000A7009">
        <w:rPr>
          <w:rFonts w:hint="eastAsia"/>
          <w:snapToGrid/>
          <w:lang w:eastAsia="zh-HK"/>
        </w:rPr>
        <w:t>之</w:t>
      </w:r>
      <w:r w:rsidRPr="005000EF">
        <w:rPr>
          <w:rFonts w:hint="eastAsia"/>
          <w:snapToGrid/>
          <w:lang w:eastAsia="zh-HK"/>
        </w:rPr>
        <w:t>黏著度與品牌忠誠度</w:t>
      </w:r>
      <w:r w:rsidRPr="005000EF">
        <w:rPr>
          <w:rFonts w:hint="eastAsia"/>
          <w:snapToGrid/>
        </w:rPr>
        <w:t>。</w:t>
      </w:r>
    </w:p>
    <w:bookmarkEnd w:id="2"/>
    <w:sectPr w:rsidR="002A15BD" w:rsidSect="003743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567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5059" w:rsidRDefault="00DF5059" w:rsidP="00320B0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DF5059" w:rsidRDefault="00DF5059" w:rsidP="00320B0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FA4" w:rsidRDefault="00F44FA4" w:rsidP="002F70EC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FA4" w:rsidRDefault="00F44FA4" w:rsidP="006B1D36">
    <w:pPr>
      <w:pStyle w:val="af1"/>
      <w:ind w:leftChars="3" w:left="558" w:hangingChars="275" w:hanging="550"/>
      <w:jc w:val="center"/>
    </w:pPr>
    <w:r>
      <w:fldChar w:fldCharType="begin"/>
    </w:r>
    <w:r>
      <w:instrText>PAGE   \* MERGEFORMAT</w:instrText>
    </w:r>
    <w:r>
      <w:fldChar w:fldCharType="separate"/>
    </w:r>
    <w:r w:rsidR="00367438" w:rsidRPr="00367438">
      <w:rPr>
        <w:noProof/>
        <w:lang w:val="zh-TW"/>
      </w:rPr>
      <w:t>3</w:t>
    </w:r>
    <w:r>
      <w:fldChar w:fldCharType="end"/>
    </w:r>
  </w:p>
  <w:p w:rsidR="00F44FA4" w:rsidRDefault="00F44FA4" w:rsidP="000421DE">
    <w:pPr>
      <w:pStyle w:val="af1"/>
      <w:ind w:leftChars="0" w:left="0" w:firstLineChars="0" w:firstLine="0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FA4" w:rsidRDefault="00F44FA4" w:rsidP="002F70EC">
    <w:pPr>
      <w:pStyle w:val="af1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5059" w:rsidRDefault="00DF5059" w:rsidP="00320B0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DF5059" w:rsidRDefault="00DF5059" w:rsidP="00320B05">
      <w:pPr>
        <w:spacing w:line="240" w:lineRule="auto"/>
        <w:ind w:left="560" w:firstLine="560"/>
      </w:pPr>
      <w:r>
        <w:continuationSeparator/>
      </w:r>
    </w:p>
  </w:footnote>
  <w:footnote w:id="1">
    <w:p w:rsidR="002A15BD" w:rsidRPr="006E46F2" w:rsidRDefault="002A15BD" w:rsidP="002A15BD">
      <w:pPr>
        <w:pStyle w:val="af3"/>
        <w:ind w:left="73" w:hanging="73"/>
        <w:rPr>
          <w:rFonts w:hint="eastAsia"/>
        </w:rPr>
      </w:pPr>
      <w:r>
        <w:rPr>
          <w:rStyle w:val="af5"/>
        </w:rPr>
        <w:footnoteRef/>
      </w:r>
      <w:r w:rsidR="0037431C" w:rsidRPr="006E46F2">
        <w:rPr>
          <w:rFonts w:hint="eastAsia"/>
        </w:rPr>
        <w:t>金融監督管理委員會</w:t>
      </w:r>
      <w:r>
        <w:rPr>
          <w:rFonts w:hint="eastAsia"/>
        </w:rPr>
        <w:t>98</w:t>
      </w:r>
      <w:r w:rsidRPr="006E46F2">
        <w:rPr>
          <w:rFonts w:hint="eastAsia"/>
        </w:rPr>
        <w:t>年</w:t>
      </w:r>
      <w:r>
        <w:rPr>
          <w:rFonts w:hint="eastAsia"/>
        </w:rPr>
        <w:t>12</w:t>
      </w:r>
      <w:r w:rsidRPr="006E46F2">
        <w:rPr>
          <w:rFonts w:hint="eastAsia"/>
        </w:rPr>
        <w:t>月</w:t>
      </w:r>
      <w:r>
        <w:rPr>
          <w:rFonts w:hint="eastAsia"/>
        </w:rPr>
        <w:t>30</w:t>
      </w:r>
      <w:r w:rsidRPr="006E46F2">
        <w:rPr>
          <w:rFonts w:hint="eastAsia"/>
        </w:rPr>
        <w:t>日發布全文 32 條；並自</w:t>
      </w:r>
      <w:r>
        <w:rPr>
          <w:rFonts w:hint="eastAsia"/>
        </w:rPr>
        <w:t>100</w:t>
      </w:r>
      <w:r w:rsidRPr="006E46F2">
        <w:rPr>
          <w:rFonts w:hint="eastAsia"/>
        </w:rPr>
        <w:t>年</w:t>
      </w:r>
      <w:r>
        <w:rPr>
          <w:rFonts w:hint="eastAsia"/>
        </w:rPr>
        <w:t>1</w:t>
      </w:r>
      <w:r w:rsidRPr="006E46F2">
        <w:rPr>
          <w:rFonts w:hint="eastAsia"/>
        </w:rPr>
        <w:t>月</w:t>
      </w:r>
      <w:r>
        <w:rPr>
          <w:rFonts w:hint="eastAsia"/>
        </w:rPr>
        <w:t>1</w:t>
      </w:r>
      <w:r w:rsidRPr="006E46F2">
        <w:rPr>
          <w:rFonts w:hint="eastAsia"/>
        </w:rPr>
        <w:t>日施行</w:t>
      </w:r>
      <w:r>
        <w:rPr>
          <w:rFonts w:hAnsi="標楷體" w:hint="eastAsia"/>
        </w:rPr>
        <w:t>。</w:t>
      </w:r>
    </w:p>
  </w:footnote>
  <w:footnote w:id="2">
    <w:p w:rsidR="002A15BD" w:rsidRDefault="002A15BD" w:rsidP="002A15BD">
      <w:pPr>
        <w:pStyle w:val="af3"/>
        <w:ind w:left="73" w:hanging="73"/>
        <w:rPr>
          <w:rFonts w:hint="eastAsia"/>
        </w:rPr>
      </w:pPr>
      <w:r>
        <w:rPr>
          <w:rStyle w:val="af5"/>
        </w:rPr>
        <w:footnoteRef/>
      </w:r>
      <w:r w:rsidR="000A7009">
        <w:rPr>
          <w:rFonts w:hint="eastAsia"/>
        </w:rPr>
        <w:t>金融監督管理委員會分別於</w:t>
      </w:r>
      <w:r>
        <w:rPr>
          <w:rFonts w:hint="eastAsia"/>
        </w:rPr>
        <w:t>112年11月8日</w:t>
      </w:r>
      <w:r w:rsidR="000A7009">
        <w:rPr>
          <w:rFonts w:hint="eastAsia"/>
        </w:rPr>
        <w:t>及113年1月23日</w:t>
      </w:r>
      <w:r>
        <w:rPr>
          <w:rFonts w:hint="eastAsia"/>
        </w:rPr>
        <w:t>修正發布；並自115會計年度施行</w:t>
      </w:r>
      <w:r>
        <w:rPr>
          <w:rFonts w:hAnsi="標楷體" w:hint="eastAsia"/>
        </w:rPr>
        <w:t>。</w:t>
      </w:r>
    </w:p>
  </w:footnote>
  <w:footnote w:id="3">
    <w:p w:rsidR="000A7009" w:rsidRDefault="000A7009">
      <w:pPr>
        <w:pStyle w:val="af3"/>
        <w:ind w:left="73" w:hanging="73"/>
        <w:rPr>
          <w:rFonts w:hint="eastAsia"/>
        </w:rPr>
      </w:pPr>
      <w:r>
        <w:rPr>
          <w:rStyle w:val="af5"/>
        </w:rPr>
        <w:footnoteRef/>
      </w:r>
      <w:r w:rsidRPr="000A7009">
        <w:rPr>
          <w:rFonts w:hint="eastAsia"/>
        </w:rPr>
        <w:t>同批或同年度保單投保滿13個月及25個月時，係分別於前後兩不同年度，因此檢視同批保單繼續率需跨年度比較，例如110年度13個月繼續率由98.11%下滑至111年度25個月繼續率97.16%。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FA4" w:rsidRDefault="00F44FA4" w:rsidP="002F70EC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FA4" w:rsidRDefault="00F44FA4" w:rsidP="002F70EC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4FA4" w:rsidRDefault="00F44FA4" w:rsidP="002F70EC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19984856"/>
    <w:lvl w:ilvl="0">
      <w:start w:val="1"/>
      <w:numFmt w:val="decimal"/>
      <w:lvlText w:val="%1."/>
      <w:lvlJc w:val="left"/>
      <w:pPr>
        <w:tabs>
          <w:tab w:val="num" w:pos="2281"/>
        </w:tabs>
        <w:ind w:leftChars="1000" w:left="2281" w:hangingChars="200" w:hanging="360"/>
      </w:pPr>
    </w:lvl>
  </w:abstractNum>
  <w:abstractNum w:abstractNumId="1" w15:restartNumberingAfterBreak="0">
    <w:nsid w:val="FFFFFF7D"/>
    <w:multiLevelType w:val="singleLevel"/>
    <w:tmpl w:val="0FDE283E"/>
    <w:lvl w:ilvl="0">
      <w:start w:val="1"/>
      <w:numFmt w:val="decimal"/>
      <w:lvlText w:val="%1."/>
      <w:lvlJc w:val="left"/>
      <w:pPr>
        <w:tabs>
          <w:tab w:val="num" w:pos="1801"/>
        </w:tabs>
        <w:ind w:leftChars="800" w:left="1801" w:hangingChars="200" w:hanging="360"/>
      </w:pPr>
    </w:lvl>
  </w:abstractNum>
  <w:abstractNum w:abstractNumId="2" w15:restartNumberingAfterBreak="0">
    <w:nsid w:val="FFFFFF7E"/>
    <w:multiLevelType w:val="singleLevel"/>
    <w:tmpl w:val="19D21188"/>
    <w:lvl w:ilvl="0">
      <w:start w:val="1"/>
      <w:numFmt w:val="decimal"/>
      <w:lvlText w:val="%1."/>
      <w:lvlJc w:val="left"/>
      <w:pPr>
        <w:tabs>
          <w:tab w:val="num" w:pos="1321"/>
        </w:tabs>
        <w:ind w:leftChars="600" w:left="1321" w:hangingChars="200" w:hanging="360"/>
      </w:pPr>
    </w:lvl>
  </w:abstractNum>
  <w:abstractNum w:abstractNumId="3" w15:restartNumberingAfterBreak="0">
    <w:nsid w:val="FFFFFF7F"/>
    <w:multiLevelType w:val="singleLevel"/>
    <w:tmpl w:val="6EECCD2E"/>
    <w:lvl w:ilvl="0">
      <w:start w:val="1"/>
      <w:numFmt w:val="decimal"/>
      <w:lvlText w:val="%1."/>
      <w:lvlJc w:val="left"/>
      <w:pPr>
        <w:tabs>
          <w:tab w:val="num" w:pos="841"/>
        </w:tabs>
        <w:ind w:leftChars="400" w:left="841" w:hangingChars="200" w:hanging="360"/>
      </w:pPr>
    </w:lvl>
  </w:abstractNum>
  <w:abstractNum w:abstractNumId="4" w15:restartNumberingAfterBreak="0">
    <w:nsid w:val="FFFFFF80"/>
    <w:multiLevelType w:val="singleLevel"/>
    <w:tmpl w:val="4C7CB802"/>
    <w:lvl w:ilvl="0">
      <w:start w:val="1"/>
      <w:numFmt w:val="bullet"/>
      <w:lvlText w:val=""/>
      <w:lvlJc w:val="left"/>
      <w:pPr>
        <w:tabs>
          <w:tab w:val="num" w:pos="2281"/>
        </w:tabs>
        <w:ind w:leftChars="1000" w:left="2281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F788A3B2"/>
    <w:lvl w:ilvl="0">
      <w:start w:val="1"/>
      <w:numFmt w:val="bullet"/>
      <w:lvlText w:val=""/>
      <w:lvlJc w:val="left"/>
      <w:pPr>
        <w:tabs>
          <w:tab w:val="num" w:pos="1801"/>
        </w:tabs>
        <w:ind w:leftChars="800" w:left="1801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0E809648"/>
    <w:lvl w:ilvl="0">
      <w:start w:val="1"/>
      <w:numFmt w:val="bullet"/>
      <w:lvlText w:val=""/>
      <w:lvlJc w:val="left"/>
      <w:pPr>
        <w:tabs>
          <w:tab w:val="num" w:pos="1321"/>
        </w:tabs>
        <w:ind w:leftChars="600" w:left="1321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E7DA5C52"/>
    <w:lvl w:ilvl="0">
      <w:start w:val="1"/>
      <w:numFmt w:val="bullet"/>
      <w:lvlText w:val=""/>
      <w:lvlJc w:val="left"/>
      <w:pPr>
        <w:tabs>
          <w:tab w:val="num" w:pos="841"/>
        </w:tabs>
        <w:ind w:leftChars="400" w:left="841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8B465E5C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9A66B0AA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0FE1660A"/>
    <w:multiLevelType w:val="hybridMultilevel"/>
    <w:tmpl w:val="8222F406"/>
    <w:lvl w:ilvl="0" w:tplc="036215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18E950BD"/>
    <w:multiLevelType w:val="hybridMultilevel"/>
    <w:tmpl w:val="4BFEB158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2" w15:restartNumberingAfterBreak="0">
    <w:nsid w:val="3A8827F1"/>
    <w:multiLevelType w:val="hybridMultilevel"/>
    <w:tmpl w:val="3DC64580"/>
    <w:lvl w:ilvl="0" w:tplc="F73EAB9E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3" w15:restartNumberingAfterBreak="0">
    <w:nsid w:val="548A7C65"/>
    <w:multiLevelType w:val="hybridMultilevel"/>
    <w:tmpl w:val="1F8470D4"/>
    <w:lvl w:ilvl="0" w:tplc="A2926A6C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4" w15:restartNumberingAfterBreak="0">
    <w:nsid w:val="56B0725B"/>
    <w:multiLevelType w:val="hybridMultilevel"/>
    <w:tmpl w:val="EAA69806"/>
    <w:lvl w:ilvl="0" w:tplc="156064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586B55C6"/>
    <w:multiLevelType w:val="hybridMultilevel"/>
    <w:tmpl w:val="D12C3266"/>
    <w:lvl w:ilvl="0" w:tplc="EA24004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6" w15:restartNumberingAfterBreak="0">
    <w:nsid w:val="6EB60CAB"/>
    <w:multiLevelType w:val="hybridMultilevel"/>
    <w:tmpl w:val="E5BA9998"/>
    <w:lvl w:ilvl="0" w:tplc="A33CD8C0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2"/>
  </w:num>
  <w:num w:numId="12">
    <w:abstractNumId w:val="13"/>
  </w:num>
  <w:num w:numId="13">
    <w:abstractNumId w:val="16"/>
  </w:num>
  <w:num w:numId="14">
    <w:abstractNumId w:val="10"/>
  </w:num>
  <w:num w:numId="15">
    <w:abstractNumId w:val="15"/>
  </w:num>
  <w:num w:numId="16">
    <w:abstractNumId w:val="14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B04" w:allStyles="0" w:customStyles="0" w:latentStyles="1" w:stylesInUse="0" w:headingStyles="0" w:numberingStyles="0" w:tableStyles="0" w:directFormattingOnRuns="1" w:directFormattingOnParagraphs="1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36BA6"/>
    <w:rsid w:val="00000C3C"/>
    <w:rsid w:val="00007502"/>
    <w:rsid w:val="00007AAC"/>
    <w:rsid w:val="0001095F"/>
    <w:rsid w:val="000126DD"/>
    <w:rsid w:val="00012F35"/>
    <w:rsid w:val="000162F0"/>
    <w:rsid w:val="00021D53"/>
    <w:rsid w:val="000255C2"/>
    <w:rsid w:val="00025CBF"/>
    <w:rsid w:val="00036BA6"/>
    <w:rsid w:val="000421DE"/>
    <w:rsid w:val="00042B40"/>
    <w:rsid w:val="00044E7B"/>
    <w:rsid w:val="00046A6A"/>
    <w:rsid w:val="0004728A"/>
    <w:rsid w:val="00050697"/>
    <w:rsid w:val="0005261C"/>
    <w:rsid w:val="0006010E"/>
    <w:rsid w:val="00061FE0"/>
    <w:rsid w:val="000625D8"/>
    <w:rsid w:val="00062D98"/>
    <w:rsid w:val="0007086F"/>
    <w:rsid w:val="00072CF4"/>
    <w:rsid w:val="00073AC6"/>
    <w:rsid w:val="00076841"/>
    <w:rsid w:val="0008340B"/>
    <w:rsid w:val="00087A3B"/>
    <w:rsid w:val="00087B4D"/>
    <w:rsid w:val="000975FF"/>
    <w:rsid w:val="000A21BE"/>
    <w:rsid w:val="000A477D"/>
    <w:rsid w:val="000A5795"/>
    <w:rsid w:val="000A7009"/>
    <w:rsid w:val="000B1F17"/>
    <w:rsid w:val="000C506B"/>
    <w:rsid w:val="000C53AA"/>
    <w:rsid w:val="000D38F5"/>
    <w:rsid w:val="000D50A5"/>
    <w:rsid w:val="000D7D13"/>
    <w:rsid w:val="000E0AAF"/>
    <w:rsid w:val="000E416D"/>
    <w:rsid w:val="000E5B35"/>
    <w:rsid w:val="000E6971"/>
    <w:rsid w:val="000E785F"/>
    <w:rsid w:val="000F3802"/>
    <w:rsid w:val="000F4241"/>
    <w:rsid w:val="000F57E2"/>
    <w:rsid w:val="00101B28"/>
    <w:rsid w:val="001033AC"/>
    <w:rsid w:val="00103AB0"/>
    <w:rsid w:val="00111F37"/>
    <w:rsid w:val="00112876"/>
    <w:rsid w:val="0011481A"/>
    <w:rsid w:val="0011784C"/>
    <w:rsid w:val="00120485"/>
    <w:rsid w:val="0012267C"/>
    <w:rsid w:val="00133DC3"/>
    <w:rsid w:val="00135E66"/>
    <w:rsid w:val="00135ECE"/>
    <w:rsid w:val="0014012C"/>
    <w:rsid w:val="0015667E"/>
    <w:rsid w:val="00156845"/>
    <w:rsid w:val="00167F98"/>
    <w:rsid w:val="00172773"/>
    <w:rsid w:val="001736CE"/>
    <w:rsid w:val="00183930"/>
    <w:rsid w:val="00184B7A"/>
    <w:rsid w:val="00185C3F"/>
    <w:rsid w:val="001860D4"/>
    <w:rsid w:val="00187A03"/>
    <w:rsid w:val="0019025D"/>
    <w:rsid w:val="0019212F"/>
    <w:rsid w:val="0019549F"/>
    <w:rsid w:val="00197E62"/>
    <w:rsid w:val="001A15FA"/>
    <w:rsid w:val="001A1C43"/>
    <w:rsid w:val="001A52E8"/>
    <w:rsid w:val="001A5D2D"/>
    <w:rsid w:val="001B25E5"/>
    <w:rsid w:val="001B4787"/>
    <w:rsid w:val="001D09B2"/>
    <w:rsid w:val="001D1D92"/>
    <w:rsid w:val="001D5878"/>
    <w:rsid w:val="001D58D0"/>
    <w:rsid w:val="001D615A"/>
    <w:rsid w:val="001D78C0"/>
    <w:rsid w:val="001E1173"/>
    <w:rsid w:val="001E278C"/>
    <w:rsid w:val="001E319F"/>
    <w:rsid w:val="001F458E"/>
    <w:rsid w:val="00204D18"/>
    <w:rsid w:val="002074F1"/>
    <w:rsid w:val="002120DA"/>
    <w:rsid w:val="0021649A"/>
    <w:rsid w:val="00221279"/>
    <w:rsid w:val="002213CD"/>
    <w:rsid w:val="00221FF7"/>
    <w:rsid w:val="00223F9E"/>
    <w:rsid w:val="002338DA"/>
    <w:rsid w:val="002348DC"/>
    <w:rsid w:val="00235632"/>
    <w:rsid w:val="00235914"/>
    <w:rsid w:val="00245F58"/>
    <w:rsid w:val="002557EC"/>
    <w:rsid w:val="0026011B"/>
    <w:rsid w:val="00262375"/>
    <w:rsid w:val="00262798"/>
    <w:rsid w:val="002658D9"/>
    <w:rsid w:val="002767DA"/>
    <w:rsid w:val="0028643E"/>
    <w:rsid w:val="0028685F"/>
    <w:rsid w:val="002933D9"/>
    <w:rsid w:val="0029532B"/>
    <w:rsid w:val="00295606"/>
    <w:rsid w:val="0029767D"/>
    <w:rsid w:val="00297CCA"/>
    <w:rsid w:val="002A051A"/>
    <w:rsid w:val="002A0714"/>
    <w:rsid w:val="002A15BD"/>
    <w:rsid w:val="002A5FBC"/>
    <w:rsid w:val="002A6288"/>
    <w:rsid w:val="002B13B5"/>
    <w:rsid w:val="002B3C80"/>
    <w:rsid w:val="002B792B"/>
    <w:rsid w:val="002B79D5"/>
    <w:rsid w:val="002C06D8"/>
    <w:rsid w:val="002C0E6C"/>
    <w:rsid w:val="002C3324"/>
    <w:rsid w:val="002C4362"/>
    <w:rsid w:val="002D0D32"/>
    <w:rsid w:val="002D1521"/>
    <w:rsid w:val="002D31DC"/>
    <w:rsid w:val="002D412A"/>
    <w:rsid w:val="002D69D1"/>
    <w:rsid w:val="002E04CA"/>
    <w:rsid w:val="002E3718"/>
    <w:rsid w:val="002E4926"/>
    <w:rsid w:val="002E5854"/>
    <w:rsid w:val="002F53C7"/>
    <w:rsid w:val="002F5FFA"/>
    <w:rsid w:val="002F70EC"/>
    <w:rsid w:val="003104CA"/>
    <w:rsid w:val="00311251"/>
    <w:rsid w:val="00312C7D"/>
    <w:rsid w:val="00315338"/>
    <w:rsid w:val="0031767E"/>
    <w:rsid w:val="003201BF"/>
    <w:rsid w:val="00320B05"/>
    <w:rsid w:val="0032285A"/>
    <w:rsid w:val="0032454E"/>
    <w:rsid w:val="00334F32"/>
    <w:rsid w:val="00340441"/>
    <w:rsid w:val="003407F3"/>
    <w:rsid w:val="00341EF5"/>
    <w:rsid w:val="0034204D"/>
    <w:rsid w:val="00350876"/>
    <w:rsid w:val="00353001"/>
    <w:rsid w:val="00354EA6"/>
    <w:rsid w:val="003663C1"/>
    <w:rsid w:val="00367438"/>
    <w:rsid w:val="00373785"/>
    <w:rsid w:val="0037431C"/>
    <w:rsid w:val="003769E5"/>
    <w:rsid w:val="00376E09"/>
    <w:rsid w:val="003826D1"/>
    <w:rsid w:val="00382AD5"/>
    <w:rsid w:val="00382E99"/>
    <w:rsid w:val="00387A95"/>
    <w:rsid w:val="003904A3"/>
    <w:rsid w:val="00394277"/>
    <w:rsid w:val="00397EC3"/>
    <w:rsid w:val="003A0F77"/>
    <w:rsid w:val="003A195C"/>
    <w:rsid w:val="003A2AD7"/>
    <w:rsid w:val="003A61D1"/>
    <w:rsid w:val="003A630B"/>
    <w:rsid w:val="003A6FFC"/>
    <w:rsid w:val="003B24FA"/>
    <w:rsid w:val="003B589A"/>
    <w:rsid w:val="003B6040"/>
    <w:rsid w:val="003B7C9B"/>
    <w:rsid w:val="003C0B4D"/>
    <w:rsid w:val="003C1A5E"/>
    <w:rsid w:val="003C1CCB"/>
    <w:rsid w:val="003C7961"/>
    <w:rsid w:val="003D19B2"/>
    <w:rsid w:val="003D3F63"/>
    <w:rsid w:val="0040226F"/>
    <w:rsid w:val="00410448"/>
    <w:rsid w:val="004125CE"/>
    <w:rsid w:val="00414A24"/>
    <w:rsid w:val="00414F81"/>
    <w:rsid w:val="004178FC"/>
    <w:rsid w:val="004216B0"/>
    <w:rsid w:val="00425999"/>
    <w:rsid w:val="004259D9"/>
    <w:rsid w:val="00426C80"/>
    <w:rsid w:val="00426E8A"/>
    <w:rsid w:val="00432A4E"/>
    <w:rsid w:val="00433688"/>
    <w:rsid w:val="0043430B"/>
    <w:rsid w:val="00434360"/>
    <w:rsid w:val="004352B9"/>
    <w:rsid w:val="00435EC0"/>
    <w:rsid w:val="00440CFD"/>
    <w:rsid w:val="00442316"/>
    <w:rsid w:val="00445AA8"/>
    <w:rsid w:val="0044609F"/>
    <w:rsid w:val="004544D2"/>
    <w:rsid w:val="00456A80"/>
    <w:rsid w:val="004579FA"/>
    <w:rsid w:val="00465EBE"/>
    <w:rsid w:val="0046612C"/>
    <w:rsid w:val="00471471"/>
    <w:rsid w:val="00474C99"/>
    <w:rsid w:val="00486644"/>
    <w:rsid w:val="00486F4F"/>
    <w:rsid w:val="0049366A"/>
    <w:rsid w:val="0049532E"/>
    <w:rsid w:val="004955AD"/>
    <w:rsid w:val="004967FE"/>
    <w:rsid w:val="004A3310"/>
    <w:rsid w:val="004A4C17"/>
    <w:rsid w:val="004B06D2"/>
    <w:rsid w:val="004B5254"/>
    <w:rsid w:val="004B5684"/>
    <w:rsid w:val="004C0839"/>
    <w:rsid w:val="004C0D23"/>
    <w:rsid w:val="004C3C97"/>
    <w:rsid w:val="004C40FE"/>
    <w:rsid w:val="004D09E5"/>
    <w:rsid w:val="004D118B"/>
    <w:rsid w:val="004D4990"/>
    <w:rsid w:val="004D6697"/>
    <w:rsid w:val="004E1168"/>
    <w:rsid w:val="004E18B0"/>
    <w:rsid w:val="004E19DD"/>
    <w:rsid w:val="004E1FD6"/>
    <w:rsid w:val="004E70EC"/>
    <w:rsid w:val="004F6672"/>
    <w:rsid w:val="005000EF"/>
    <w:rsid w:val="00500DB4"/>
    <w:rsid w:val="00501412"/>
    <w:rsid w:val="0051188C"/>
    <w:rsid w:val="00512BBB"/>
    <w:rsid w:val="00514A59"/>
    <w:rsid w:val="00516552"/>
    <w:rsid w:val="00520613"/>
    <w:rsid w:val="005218EF"/>
    <w:rsid w:val="00524D0A"/>
    <w:rsid w:val="00524F8B"/>
    <w:rsid w:val="0053345A"/>
    <w:rsid w:val="00534E30"/>
    <w:rsid w:val="0053544E"/>
    <w:rsid w:val="005362D5"/>
    <w:rsid w:val="00537579"/>
    <w:rsid w:val="0054207B"/>
    <w:rsid w:val="005540D1"/>
    <w:rsid w:val="00554892"/>
    <w:rsid w:val="00555942"/>
    <w:rsid w:val="0056456B"/>
    <w:rsid w:val="005673BD"/>
    <w:rsid w:val="005767BA"/>
    <w:rsid w:val="00576B47"/>
    <w:rsid w:val="00581633"/>
    <w:rsid w:val="00582130"/>
    <w:rsid w:val="00583DCF"/>
    <w:rsid w:val="005846A8"/>
    <w:rsid w:val="00592C81"/>
    <w:rsid w:val="00593458"/>
    <w:rsid w:val="005A23EE"/>
    <w:rsid w:val="005A3712"/>
    <w:rsid w:val="005A3E2D"/>
    <w:rsid w:val="005A60B5"/>
    <w:rsid w:val="005B2273"/>
    <w:rsid w:val="005B7C46"/>
    <w:rsid w:val="005C1207"/>
    <w:rsid w:val="005C68A0"/>
    <w:rsid w:val="005D672C"/>
    <w:rsid w:val="005D7A2D"/>
    <w:rsid w:val="005E07AB"/>
    <w:rsid w:val="005E6399"/>
    <w:rsid w:val="005E7EA7"/>
    <w:rsid w:val="005F29D3"/>
    <w:rsid w:val="005F5107"/>
    <w:rsid w:val="005F6950"/>
    <w:rsid w:val="00602123"/>
    <w:rsid w:val="00602793"/>
    <w:rsid w:val="00603E82"/>
    <w:rsid w:val="0060646C"/>
    <w:rsid w:val="006131A3"/>
    <w:rsid w:val="0061590A"/>
    <w:rsid w:val="00624FC6"/>
    <w:rsid w:val="00625E4E"/>
    <w:rsid w:val="006403FC"/>
    <w:rsid w:val="006415F9"/>
    <w:rsid w:val="00650739"/>
    <w:rsid w:val="00652960"/>
    <w:rsid w:val="00655702"/>
    <w:rsid w:val="00661D8D"/>
    <w:rsid w:val="00670A07"/>
    <w:rsid w:val="00671756"/>
    <w:rsid w:val="006743C6"/>
    <w:rsid w:val="00674DA9"/>
    <w:rsid w:val="006768DB"/>
    <w:rsid w:val="00677BD9"/>
    <w:rsid w:val="00681C98"/>
    <w:rsid w:val="0068248C"/>
    <w:rsid w:val="00683271"/>
    <w:rsid w:val="0068365E"/>
    <w:rsid w:val="0068467B"/>
    <w:rsid w:val="00684B48"/>
    <w:rsid w:val="006900BD"/>
    <w:rsid w:val="006A0A0D"/>
    <w:rsid w:val="006B0E20"/>
    <w:rsid w:val="006B1D36"/>
    <w:rsid w:val="006B4E6E"/>
    <w:rsid w:val="006B640F"/>
    <w:rsid w:val="006C04E3"/>
    <w:rsid w:val="006D2071"/>
    <w:rsid w:val="006D2613"/>
    <w:rsid w:val="006D70DE"/>
    <w:rsid w:val="006E2D13"/>
    <w:rsid w:val="006E446C"/>
    <w:rsid w:val="006E46F2"/>
    <w:rsid w:val="006E4BBB"/>
    <w:rsid w:val="006E68C6"/>
    <w:rsid w:val="006F21BE"/>
    <w:rsid w:val="006F3648"/>
    <w:rsid w:val="006F3892"/>
    <w:rsid w:val="00700A1D"/>
    <w:rsid w:val="00701367"/>
    <w:rsid w:val="007015A1"/>
    <w:rsid w:val="007016BD"/>
    <w:rsid w:val="0070192C"/>
    <w:rsid w:val="0070196F"/>
    <w:rsid w:val="007227A8"/>
    <w:rsid w:val="00723DCD"/>
    <w:rsid w:val="00725A19"/>
    <w:rsid w:val="00726105"/>
    <w:rsid w:val="00735345"/>
    <w:rsid w:val="00736651"/>
    <w:rsid w:val="007420EF"/>
    <w:rsid w:val="00744408"/>
    <w:rsid w:val="00745056"/>
    <w:rsid w:val="00752AC3"/>
    <w:rsid w:val="00755183"/>
    <w:rsid w:val="00756507"/>
    <w:rsid w:val="007600F1"/>
    <w:rsid w:val="00763B4B"/>
    <w:rsid w:val="00765FFC"/>
    <w:rsid w:val="00767E5C"/>
    <w:rsid w:val="0077636D"/>
    <w:rsid w:val="00776855"/>
    <w:rsid w:val="00776AFA"/>
    <w:rsid w:val="007830A5"/>
    <w:rsid w:val="00786CAD"/>
    <w:rsid w:val="00795E46"/>
    <w:rsid w:val="007A2DB9"/>
    <w:rsid w:val="007A3EF5"/>
    <w:rsid w:val="007A6293"/>
    <w:rsid w:val="007A6B49"/>
    <w:rsid w:val="007B2893"/>
    <w:rsid w:val="007C56F7"/>
    <w:rsid w:val="007C6185"/>
    <w:rsid w:val="007C6FDB"/>
    <w:rsid w:val="007D1100"/>
    <w:rsid w:val="007D20D1"/>
    <w:rsid w:val="007D2628"/>
    <w:rsid w:val="007D3D14"/>
    <w:rsid w:val="007F255F"/>
    <w:rsid w:val="00803E17"/>
    <w:rsid w:val="00805D79"/>
    <w:rsid w:val="00812388"/>
    <w:rsid w:val="008131F7"/>
    <w:rsid w:val="0081733F"/>
    <w:rsid w:val="008177DE"/>
    <w:rsid w:val="00822CD8"/>
    <w:rsid w:val="008260BB"/>
    <w:rsid w:val="008263D8"/>
    <w:rsid w:val="0083710E"/>
    <w:rsid w:val="008423DD"/>
    <w:rsid w:val="008454F9"/>
    <w:rsid w:val="008526F3"/>
    <w:rsid w:val="008549DD"/>
    <w:rsid w:val="00855987"/>
    <w:rsid w:val="00863E26"/>
    <w:rsid w:val="008769D9"/>
    <w:rsid w:val="00876FE9"/>
    <w:rsid w:val="00882046"/>
    <w:rsid w:val="008834BB"/>
    <w:rsid w:val="0088431A"/>
    <w:rsid w:val="00886E6E"/>
    <w:rsid w:val="00891796"/>
    <w:rsid w:val="00893842"/>
    <w:rsid w:val="00895776"/>
    <w:rsid w:val="008A00DD"/>
    <w:rsid w:val="008A3CD1"/>
    <w:rsid w:val="008A6D3F"/>
    <w:rsid w:val="008A74CE"/>
    <w:rsid w:val="008B680D"/>
    <w:rsid w:val="008C060A"/>
    <w:rsid w:val="008C4E8C"/>
    <w:rsid w:val="008C566C"/>
    <w:rsid w:val="008D0C21"/>
    <w:rsid w:val="008D4C07"/>
    <w:rsid w:val="008D65FD"/>
    <w:rsid w:val="008E0051"/>
    <w:rsid w:val="008E1EEB"/>
    <w:rsid w:val="008E2FA3"/>
    <w:rsid w:val="008F5F03"/>
    <w:rsid w:val="00905AA0"/>
    <w:rsid w:val="00916178"/>
    <w:rsid w:val="00917687"/>
    <w:rsid w:val="00925EAD"/>
    <w:rsid w:val="00926679"/>
    <w:rsid w:val="0093273F"/>
    <w:rsid w:val="00932AA4"/>
    <w:rsid w:val="00937626"/>
    <w:rsid w:val="00941307"/>
    <w:rsid w:val="00950BFC"/>
    <w:rsid w:val="0095123A"/>
    <w:rsid w:val="00951A32"/>
    <w:rsid w:val="009529F4"/>
    <w:rsid w:val="00954A43"/>
    <w:rsid w:val="0095593F"/>
    <w:rsid w:val="00955DCC"/>
    <w:rsid w:val="00956F1F"/>
    <w:rsid w:val="00957773"/>
    <w:rsid w:val="009634FD"/>
    <w:rsid w:val="009667EE"/>
    <w:rsid w:val="00970314"/>
    <w:rsid w:val="00972569"/>
    <w:rsid w:val="0097297B"/>
    <w:rsid w:val="00974F0F"/>
    <w:rsid w:val="009778B1"/>
    <w:rsid w:val="0098052E"/>
    <w:rsid w:val="0098080E"/>
    <w:rsid w:val="00982FC3"/>
    <w:rsid w:val="00985202"/>
    <w:rsid w:val="009860C9"/>
    <w:rsid w:val="00990A5D"/>
    <w:rsid w:val="00992EBF"/>
    <w:rsid w:val="0099411D"/>
    <w:rsid w:val="009A0C1C"/>
    <w:rsid w:val="009A5C2E"/>
    <w:rsid w:val="009A5DE7"/>
    <w:rsid w:val="009A60F2"/>
    <w:rsid w:val="009B5EB7"/>
    <w:rsid w:val="009B5F97"/>
    <w:rsid w:val="009B60CD"/>
    <w:rsid w:val="009B6597"/>
    <w:rsid w:val="009B7C55"/>
    <w:rsid w:val="009C37D6"/>
    <w:rsid w:val="009C39E4"/>
    <w:rsid w:val="009D2516"/>
    <w:rsid w:val="009D5AC3"/>
    <w:rsid w:val="009D6A09"/>
    <w:rsid w:val="009E4B3F"/>
    <w:rsid w:val="00A046A0"/>
    <w:rsid w:val="00A057FF"/>
    <w:rsid w:val="00A068DB"/>
    <w:rsid w:val="00A20F0F"/>
    <w:rsid w:val="00A24E39"/>
    <w:rsid w:val="00A4027E"/>
    <w:rsid w:val="00A45900"/>
    <w:rsid w:val="00A47113"/>
    <w:rsid w:val="00A505AD"/>
    <w:rsid w:val="00A536BF"/>
    <w:rsid w:val="00A57D5B"/>
    <w:rsid w:val="00A65CE1"/>
    <w:rsid w:val="00A748B3"/>
    <w:rsid w:val="00A808D2"/>
    <w:rsid w:val="00A8557A"/>
    <w:rsid w:val="00A85BB3"/>
    <w:rsid w:val="00A85F1A"/>
    <w:rsid w:val="00A87BC3"/>
    <w:rsid w:val="00A908DE"/>
    <w:rsid w:val="00AA5829"/>
    <w:rsid w:val="00AA5F50"/>
    <w:rsid w:val="00AA6914"/>
    <w:rsid w:val="00AA7732"/>
    <w:rsid w:val="00AB1B3E"/>
    <w:rsid w:val="00AB5D5F"/>
    <w:rsid w:val="00AC18E4"/>
    <w:rsid w:val="00AC4E53"/>
    <w:rsid w:val="00AC5FBC"/>
    <w:rsid w:val="00AC6D06"/>
    <w:rsid w:val="00AC7B4F"/>
    <w:rsid w:val="00AD1087"/>
    <w:rsid w:val="00AD1AC7"/>
    <w:rsid w:val="00AD59A3"/>
    <w:rsid w:val="00AD5FA2"/>
    <w:rsid w:val="00AE1871"/>
    <w:rsid w:val="00AE2F17"/>
    <w:rsid w:val="00AE4FF1"/>
    <w:rsid w:val="00AE5215"/>
    <w:rsid w:val="00AE68EC"/>
    <w:rsid w:val="00AF0ED7"/>
    <w:rsid w:val="00AF2C14"/>
    <w:rsid w:val="00AF62FD"/>
    <w:rsid w:val="00AF6C57"/>
    <w:rsid w:val="00B00573"/>
    <w:rsid w:val="00B00AF8"/>
    <w:rsid w:val="00B022CC"/>
    <w:rsid w:val="00B12DA2"/>
    <w:rsid w:val="00B16D87"/>
    <w:rsid w:val="00B17C29"/>
    <w:rsid w:val="00B20C0E"/>
    <w:rsid w:val="00B250AB"/>
    <w:rsid w:val="00B3167D"/>
    <w:rsid w:val="00B345D9"/>
    <w:rsid w:val="00B372DF"/>
    <w:rsid w:val="00B46C26"/>
    <w:rsid w:val="00B47348"/>
    <w:rsid w:val="00B52E05"/>
    <w:rsid w:val="00B535B5"/>
    <w:rsid w:val="00B53D6D"/>
    <w:rsid w:val="00B54C7E"/>
    <w:rsid w:val="00B560B2"/>
    <w:rsid w:val="00B569EA"/>
    <w:rsid w:val="00B613C2"/>
    <w:rsid w:val="00B71250"/>
    <w:rsid w:val="00B7127E"/>
    <w:rsid w:val="00BA6877"/>
    <w:rsid w:val="00BA6A1F"/>
    <w:rsid w:val="00BB4EBB"/>
    <w:rsid w:val="00BB5632"/>
    <w:rsid w:val="00BB69EB"/>
    <w:rsid w:val="00BB7972"/>
    <w:rsid w:val="00BC1AD5"/>
    <w:rsid w:val="00BC28C1"/>
    <w:rsid w:val="00BC4BE4"/>
    <w:rsid w:val="00BD1C39"/>
    <w:rsid w:val="00BD27EF"/>
    <w:rsid w:val="00BD2E68"/>
    <w:rsid w:val="00BE0E65"/>
    <w:rsid w:val="00BE358E"/>
    <w:rsid w:val="00BE3E6C"/>
    <w:rsid w:val="00BE563C"/>
    <w:rsid w:val="00BE77FD"/>
    <w:rsid w:val="00BF17CC"/>
    <w:rsid w:val="00BF28D3"/>
    <w:rsid w:val="00BF2F7E"/>
    <w:rsid w:val="00BF79F4"/>
    <w:rsid w:val="00BF7D0B"/>
    <w:rsid w:val="00C07B23"/>
    <w:rsid w:val="00C17666"/>
    <w:rsid w:val="00C178C4"/>
    <w:rsid w:val="00C222C4"/>
    <w:rsid w:val="00C23E15"/>
    <w:rsid w:val="00C24946"/>
    <w:rsid w:val="00C30E65"/>
    <w:rsid w:val="00C369F4"/>
    <w:rsid w:val="00C458FF"/>
    <w:rsid w:val="00C46CE6"/>
    <w:rsid w:val="00C60338"/>
    <w:rsid w:val="00C60806"/>
    <w:rsid w:val="00C608AE"/>
    <w:rsid w:val="00C62045"/>
    <w:rsid w:val="00C75EB6"/>
    <w:rsid w:val="00C8099E"/>
    <w:rsid w:val="00C81304"/>
    <w:rsid w:val="00C846E1"/>
    <w:rsid w:val="00C91A7D"/>
    <w:rsid w:val="00C92347"/>
    <w:rsid w:val="00C95CAF"/>
    <w:rsid w:val="00CA040C"/>
    <w:rsid w:val="00CA7F04"/>
    <w:rsid w:val="00CB2C8C"/>
    <w:rsid w:val="00CB3ED8"/>
    <w:rsid w:val="00CB468C"/>
    <w:rsid w:val="00CC01AA"/>
    <w:rsid w:val="00CC2BB9"/>
    <w:rsid w:val="00CC38C9"/>
    <w:rsid w:val="00CC404D"/>
    <w:rsid w:val="00CC4E33"/>
    <w:rsid w:val="00CC50C6"/>
    <w:rsid w:val="00CC5A82"/>
    <w:rsid w:val="00CD14F5"/>
    <w:rsid w:val="00CD1FC3"/>
    <w:rsid w:val="00CE24F7"/>
    <w:rsid w:val="00CF1E5B"/>
    <w:rsid w:val="00CF44EE"/>
    <w:rsid w:val="00CF60AE"/>
    <w:rsid w:val="00CF6159"/>
    <w:rsid w:val="00CF73A4"/>
    <w:rsid w:val="00D05098"/>
    <w:rsid w:val="00D05D6F"/>
    <w:rsid w:val="00D147EA"/>
    <w:rsid w:val="00D20F0B"/>
    <w:rsid w:val="00D219F2"/>
    <w:rsid w:val="00D2460D"/>
    <w:rsid w:val="00D32079"/>
    <w:rsid w:val="00D40F09"/>
    <w:rsid w:val="00D46279"/>
    <w:rsid w:val="00D52DDF"/>
    <w:rsid w:val="00D5659C"/>
    <w:rsid w:val="00D61E96"/>
    <w:rsid w:val="00D63681"/>
    <w:rsid w:val="00D71573"/>
    <w:rsid w:val="00D71B2D"/>
    <w:rsid w:val="00D76EE4"/>
    <w:rsid w:val="00D81AC5"/>
    <w:rsid w:val="00D83B9C"/>
    <w:rsid w:val="00D8668A"/>
    <w:rsid w:val="00D93A83"/>
    <w:rsid w:val="00D93DBB"/>
    <w:rsid w:val="00D957CA"/>
    <w:rsid w:val="00D9774E"/>
    <w:rsid w:val="00DA13BA"/>
    <w:rsid w:val="00DA2ACD"/>
    <w:rsid w:val="00DA5962"/>
    <w:rsid w:val="00DA5B2A"/>
    <w:rsid w:val="00DA5DFA"/>
    <w:rsid w:val="00DB44A5"/>
    <w:rsid w:val="00DB57FA"/>
    <w:rsid w:val="00DB5C10"/>
    <w:rsid w:val="00DB66FF"/>
    <w:rsid w:val="00DC22F3"/>
    <w:rsid w:val="00DC2981"/>
    <w:rsid w:val="00DC6DFC"/>
    <w:rsid w:val="00DD07DC"/>
    <w:rsid w:val="00DD12EE"/>
    <w:rsid w:val="00DD63B9"/>
    <w:rsid w:val="00DD6A26"/>
    <w:rsid w:val="00DE3DBC"/>
    <w:rsid w:val="00DE53D2"/>
    <w:rsid w:val="00DF0348"/>
    <w:rsid w:val="00DF0FEF"/>
    <w:rsid w:val="00DF1C3E"/>
    <w:rsid w:val="00DF38E4"/>
    <w:rsid w:val="00DF5059"/>
    <w:rsid w:val="00DF62E9"/>
    <w:rsid w:val="00DF71B9"/>
    <w:rsid w:val="00DF73BA"/>
    <w:rsid w:val="00E00BF2"/>
    <w:rsid w:val="00E134AC"/>
    <w:rsid w:val="00E21F77"/>
    <w:rsid w:val="00E2568B"/>
    <w:rsid w:val="00E31BAC"/>
    <w:rsid w:val="00E325C5"/>
    <w:rsid w:val="00E354B1"/>
    <w:rsid w:val="00E3714F"/>
    <w:rsid w:val="00E37493"/>
    <w:rsid w:val="00E37E2B"/>
    <w:rsid w:val="00E40252"/>
    <w:rsid w:val="00E45044"/>
    <w:rsid w:val="00E47724"/>
    <w:rsid w:val="00E50CB8"/>
    <w:rsid w:val="00E51FA6"/>
    <w:rsid w:val="00E558C9"/>
    <w:rsid w:val="00E55AC9"/>
    <w:rsid w:val="00E55E0B"/>
    <w:rsid w:val="00E56663"/>
    <w:rsid w:val="00E567B4"/>
    <w:rsid w:val="00E63A72"/>
    <w:rsid w:val="00E67C83"/>
    <w:rsid w:val="00E70587"/>
    <w:rsid w:val="00E70764"/>
    <w:rsid w:val="00E8032E"/>
    <w:rsid w:val="00E85A06"/>
    <w:rsid w:val="00E908C8"/>
    <w:rsid w:val="00E92446"/>
    <w:rsid w:val="00E95E7D"/>
    <w:rsid w:val="00EA27B1"/>
    <w:rsid w:val="00EA3557"/>
    <w:rsid w:val="00EA52C4"/>
    <w:rsid w:val="00EB036B"/>
    <w:rsid w:val="00EB1B22"/>
    <w:rsid w:val="00EB3870"/>
    <w:rsid w:val="00EB6068"/>
    <w:rsid w:val="00EC17C2"/>
    <w:rsid w:val="00EC5C8E"/>
    <w:rsid w:val="00ED0586"/>
    <w:rsid w:val="00ED44A1"/>
    <w:rsid w:val="00ED5AAC"/>
    <w:rsid w:val="00EE66BD"/>
    <w:rsid w:val="00EF3980"/>
    <w:rsid w:val="00F003D5"/>
    <w:rsid w:val="00F01DED"/>
    <w:rsid w:val="00F10B78"/>
    <w:rsid w:val="00F17048"/>
    <w:rsid w:val="00F2202C"/>
    <w:rsid w:val="00F2259D"/>
    <w:rsid w:val="00F22DD8"/>
    <w:rsid w:val="00F24D67"/>
    <w:rsid w:val="00F30397"/>
    <w:rsid w:val="00F322D3"/>
    <w:rsid w:val="00F35326"/>
    <w:rsid w:val="00F42FF1"/>
    <w:rsid w:val="00F44E3A"/>
    <w:rsid w:val="00F44FA4"/>
    <w:rsid w:val="00F45757"/>
    <w:rsid w:val="00F47847"/>
    <w:rsid w:val="00F51B42"/>
    <w:rsid w:val="00F5758A"/>
    <w:rsid w:val="00F60B6D"/>
    <w:rsid w:val="00F612F3"/>
    <w:rsid w:val="00F6217F"/>
    <w:rsid w:val="00F62DCC"/>
    <w:rsid w:val="00F63174"/>
    <w:rsid w:val="00F64BE3"/>
    <w:rsid w:val="00F674D3"/>
    <w:rsid w:val="00F67D73"/>
    <w:rsid w:val="00F70594"/>
    <w:rsid w:val="00F74ADD"/>
    <w:rsid w:val="00F93EE9"/>
    <w:rsid w:val="00F945F6"/>
    <w:rsid w:val="00F94EB4"/>
    <w:rsid w:val="00F95631"/>
    <w:rsid w:val="00F96CD3"/>
    <w:rsid w:val="00FA005B"/>
    <w:rsid w:val="00FA09C7"/>
    <w:rsid w:val="00FA0EB7"/>
    <w:rsid w:val="00FA304D"/>
    <w:rsid w:val="00FA3125"/>
    <w:rsid w:val="00FA3366"/>
    <w:rsid w:val="00FB0CAE"/>
    <w:rsid w:val="00FB6737"/>
    <w:rsid w:val="00FB79D9"/>
    <w:rsid w:val="00FC1F2B"/>
    <w:rsid w:val="00FC2E58"/>
    <w:rsid w:val="00FC476F"/>
    <w:rsid w:val="00FC7093"/>
    <w:rsid w:val="00FD17C5"/>
    <w:rsid w:val="00FD2BA2"/>
    <w:rsid w:val="00FD53B5"/>
    <w:rsid w:val="00FE1D88"/>
    <w:rsid w:val="00FE38E8"/>
    <w:rsid w:val="00FE6626"/>
    <w:rsid w:val="00FF06B9"/>
    <w:rsid w:val="00FF3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6B7383B-20CF-4DE5-8FAB-8562756579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5A371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16178"/>
    <w:pPr>
      <w:keepNext/>
      <w:spacing w:before="100" w:beforeAutospacing="1"/>
      <w:ind w:leftChars="0" w:left="567" w:hangingChars="200" w:hanging="567"/>
      <w:outlineLvl w:val="0"/>
    </w:pPr>
    <w:rPr>
      <w:rFonts w:hAnsi="標楷體"/>
      <w:b/>
      <w:bCs/>
      <w:kern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057FF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36651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rsid w:val="009529F4"/>
    <w:pPr>
      <w:ind w:left="300" w:hangingChars="100" w:hanging="100"/>
    </w:pPr>
    <w:rPr>
      <w:b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link w:val="ab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f">
    <w:name w:val="header"/>
    <w:basedOn w:val="a"/>
    <w:link w:val="af0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23"/>
    <w:next w:val="a"/>
    <w:autoRedefine/>
    <w:uiPriority w:val="39"/>
    <w:rsid w:val="00120485"/>
    <w:pPr>
      <w:ind w:left="646" w:hanging="646"/>
    </w:pPr>
    <w:rPr>
      <w:sz w:val="24"/>
    </w:rPr>
  </w:style>
  <w:style w:type="paragraph" w:styleId="23">
    <w:name w:val="toc 2"/>
    <w:basedOn w:val="a"/>
    <w:next w:val="a"/>
    <w:autoRedefine/>
    <w:uiPriority w:val="39"/>
    <w:pPr>
      <w:tabs>
        <w:tab w:val="right" w:leader="hyphen" w:pos="8490"/>
      </w:tabs>
      <w:ind w:leftChars="0" w:left="566" w:hangingChars="200" w:hanging="566"/>
    </w:pPr>
  </w:style>
  <w:style w:type="character" w:customStyle="1" w:styleId="af0">
    <w:name w:val="頁首 字元"/>
    <w:link w:val="af"/>
    <w:uiPriority w:val="99"/>
    <w:rsid w:val="002F70EC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unhideWhenUsed/>
    <w:rsid w:val="002F70E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link w:val="af1"/>
    <w:uiPriority w:val="99"/>
    <w:rsid w:val="002F70EC"/>
    <w:rPr>
      <w:rFonts w:ascii="標楷體" w:eastAsia="標楷體"/>
      <w:snapToGrid w:val="0"/>
      <w:kern w:val="2"/>
    </w:rPr>
  </w:style>
  <w:style w:type="paragraph" w:styleId="af3">
    <w:name w:val="footnote text"/>
    <w:basedOn w:val="a"/>
    <w:link w:val="af4"/>
    <w:unhideWhenUsed/>
    <w:rsid w:val="00036BA6"/>
    <w:pPr>
      <w:snapToGrid w:val="0"/>
      <w:spacing w:line="280" w:lineRule="exact"/>
      <w:ind w:leftChars="0" w:left="30" w:hangingChars="30" w:hanging="30"/>
    </w:pPr>
    <w:rPr>
      <w:sz w:val="24"/>
      <w:szCs w:val="20"/>
    </w:rPr>
  </w:style>
  <w:style w:type="character" w:customStyle="1" w:styleId="af4">
    <w:name w:val="註腳文字 字元"/>
    <w:link w:val="af3"/>
    <w:rsid w:val="00036BA6"/>
    <w:rPr>
      <w:rFonts w:ascii="標楷體" w:eastAsia="標楷體"/>
      <w:snapToGrid w:val="0"/>
      <w:kern w:val="2"/>
      <w:sz w:val="24"/>
    </w:rPr>
  </w:style>
  <w:style w:type="character" w:styleId="af5">
    <w:name w:val="footnote reference"/>
    <w:unhideWhenUsed/>
    <w:rsid w:val="00036BA6"/>
    <w:rPr>
      <w:vertAlign w:val="superscript"/>
    </w:rPr>
  </w:style>
  <w:style w:type="character" w:customStyle="1" w:styleId="143">
    <w:name w:val="表格內文(14行高) 字元"/>
    <w:link w:val="142"/>
    <w:rsid w:val="009529F4"/>
    <w:rPr>
      <w:rFonts w:ascii="標楷體" w:eastAsia="標楷體"/>
      <w:snapToGrid w:val="0"/>
      <w:kern w:val="2"/>
      <w:sz w:val="24"/>
      <w:szCs w:val="28"/>
    </w:rPr>
  </w:style>
  <w:style w:type="paragraph" w:customStyle="1" w:styleId="12">
    <w:name w:val="樣式1"/>
    <w:basedOn w:val="af3"/>
    <w:link w:val="13"/>
    <w:qFormat/>
    <w:rsid w:val="00036BA6"/>
    <w:pPr>
      <w:ind w:left="73" w:hanging="73"/>
    </w:pPr>
  </w:style>
  <w:style w:type="character" w:customStyle="1" w:styleId="13">
    <w:name w:val="樣式1 字元"/>
    <w:link w:val="12"/>
    <w:rsid w:val="00036BA6"/>
    <w:rPr>
      <w:rFonts w:ascii="標楷體" w:eastAsia="標楷體"/>
      <w:snapToGrid w:val="0"/>
      <w:kern w:val="2"/>
      <w:sz w:val="24"/>
    </w:rPr>
  </w:style>
  <w:style w:type="character" w:customStyle="1" w:styleId="145">
    <w:name w:val="表格內文(14行高) 字元 字元"/>
    <w:rsid w:val="009529F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01">
    <w:name w:val="表格內文(20行高) 字元1"/>
    <w:link w:val="200"/>
    <w:rsid w:val="00FE38E8"/>
    <w:rPr>
      <w:rFonts w:ascii="標楷體" w:eastAsia="標楷體"/>
      <w:snapToGrid w:val="0"/>
      <w:kern w:val="2"/>
      <w:sz w:val="24"/>
      <w:szCs w:val="28"/>
    </w:rPr>
  </w:style>
  <w:style w:type="character" w:customStyle="1" w:styleId="22">
    <w:name w:val="(一)下內文縮2 字元"/>
    <w:link w:val="21"/>
    <w:rsid w:val="00A65CE1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姓名及分機 字元"/>
    <w:link w:val="ac"/>
    <w:rsid w:val="006B1D36"/>
    <w:rPr>
      <w:rFonts w:ascii="標楷體" w:eastAsia="標楷體"/>
      <w:snapToGrid w:val="0"/>
      <w:kern w:val="2"/>
      <w:sz w:val="24"/>
      <w:szCs w:val="28"/>
    </w:rPr>
  </w:style>
  <w:style w:type="character" w:styleId="af6">
    <w:name w:val="page number"/>
    <w:rsid w:val="006B1D36"/>
  </w:style>
  <w:style w:type="character" w:customStyle="1" w:styleId="ab">
    <w:name w:val="報告名稱 字元"/>
    <w:link w:val="aa"/>
    <w:rsid w:val="006B1D36"/>
    <w:rPr>
      <w:rFonts w:ascii="標楷體" w:eastAsia="標楷體"/>
      <w:b/>
      <w:snapToGrid w:val="0"/>
      <w:kern w:val="2"/>
      <w:sz w:val="36"/>
      <w:szCs w:val="28"/>
    </w:rPr>
  </w:style>
  <w:style w:type="character" w:styleId="af7">
    <w:name w:val="Hyperlink"/>
    <w:uiPriority w:val="99"/>
    <w:unhideWhenUsed/>
    <w:rsid w:val="006B1D36"/>
    <w:rPr>
      <w:color w:val="0563C1"/>
      <w:u w:val="single"/>
    </w:rPr>
  </w:style>
  <w:style w:type="character" w:customStyle="1" w:styleId="10">
    <w:name w:val="標題 1 字元"/>
    <w:link w:val="1"/>
    <w:uiPriority w:val="9"/>
    <w:rsid w:val="00916178"/>
    <w:rPr>
      <w:rFonts w:ascii="標楷體" w:eastAsia="標楷體" w:hAnsi="標楷體"/>
      <w:b/>
      <w:bCs/>
      <w:snapToGrid w:val="0"/>
      <w:kern w:val="52"/>
      <w:sz w:val="28"/>
      <w:szCs w:val="28"/>
    </w:rPr>
  </w:style>
  <w:style w:type="character" w:customStyle="1" w:styleId="140">
    <w:name w:val="第二層(14號字) 字元"/>
    <w:link w:val="14"/>
    <w:rsid w:val="00516552"/>
    <w:rPr>
      <w:rFonts w:ascii="標楷體" w:eastAsia="標楷體"/>
      <w:b/>
      <w:snapToGrid w:val="0"/>
      <w:kern w:val="2"/>
      <w:sz w:val="28"/>
    </w:rPr>
  </w:style>
  <w:style w:type="paragraph" w:customStyle="1" w:styleId="14-12">
    <w:name w:val="表格內文（14行高-12)"/>
    <w:basedOn w:val="142"/>
    <w:qFormat/>
    <w:rsid w:val="00516552"/>
    <w:rPr>
      <w:rFonts w:hAnsi="標楷體"/>
      <w:spacing w:val="-20"/>
      <w:szCs w:val="24"/>
    </w:rPr>
  </w:style>
  <w:style w:type="paragraph" w:customStyle="1" w:styleId="1420">
    <w:name w:val="表格內文(14行高註2)"/>
    <w:basedOn w:val="142"/>
    <w:qFormat/>
    <w:rsid w:val="00DC22F3"/>
    <w:pPr>
      <w:ind w:leftChars="220" w:left="317" w:hangingChars="97" w:hanging="97"/>
    </w:pPr>
  </w:style>
  <w:style w:type="paragraph" w:customStyle="1" w:styleId="14-2">
    <w:name w:val="表格內文(14行-2高)"/>
    <w:basedOn w:val="142"/>
    <w:qFormat/>
    <w:rsid w:val="00516552"/>
    <w:pPr>
      <w:ind w:leftChars="5" w:left="82" w:hangingChars="28" w:hanging="68"/>
      <w:jc w:val="both"/>
    </w:pPr>
  </w:style>
  <w:style w:type="paragraph" w:customStyle="1" w:styleId="122218">
    <w:name w:val="12 點 靠右 左:  2 字元 第一行:  2 字元 行距:  固定行高 18 點"/>
    <w:basedOn w:val="a"/>
    <w:rsid w:val="00DF71B9"/>
    <w:pPr>
      <w:spacing w:line="360" w:lineRule="exact"/>
      <w:ind w:leftChars="0" w:left="0" w:firstLineChars="0" w:firstLine="0"/>
      <w:jc w:val="right"/>
    </w:pPr>
    <w:rPr>
      <w:rFonts w:cs="新細明體"/>
      <w:sz w:val="24"/>
      <w:szCs w:val="20"/>
    </w:rPr>
  </w:style>
  <w:style w:type="character" w:customStyle="1" w:styleId="30">
    <w:name w:val="標題 3 字元"/>
    <w:link w:val="3"/>
    <w:uiPriority w:val="9"/>
    <w:semiHidden/>
    <w:rsid w:val="00736651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af8">
    <w:name w:val="Balloon Text"/>
    <w:basedOn w:val="a"/>
    <w:link w:val="af9"/>
    <w:uiPriority w:val="99"/>
    <w:semiHidden/>
    <w:unhideWhenUsed/>
    <w:rsid w:val="001F458E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1F458E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table" w:styleId="afa">
    <w:name w:val="Table Grid"/>
    <w:basedOn w:val="a1"/>
    <w:uiPriority w:val="59"/>
    <w:rsid w:val="005A60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annotation reference"/>
    <w:uiPriority w:val="99"/>
    <w:semiHidden/>
    <w:unhideWhenUsed/>
    <w:rsid w:val="00D63681"/>
    <w:rPr>
      <w:sz w:val="18"/>
      <w:szCs w:val="18"/>
    </w:rPr>
  </w:style>
  <w:style w:type="paragraph" w:styleId="afc">
    <w:name w:val="annotation text"/>
    <w:basedOn w:val="a"/>
    <w:link w:val="afd"/>
    <w:uiPriority w:val="99"/>
    <w:semiHidden/>
    <w:unhideWhenUsed/>
    <w:rsid w:val="00D63681"/>
    <w:pPr>
      <w:jc w:val="left"/>
    </w:pPr>
  </w:style>
  <w:style w:type="character" w:customStyle="1" w:styleId="afd">
    <w:name w:val="註解文字 字元"/>
    <w:link w:val="afc"/>
    <w:uiPriority w:val="99"/>
    <w:semiHidden/>
    <w:rsid w:val="00D63681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sid w:val="00D63681"/>
    <w:rPr>
      <w:b/>
      <w:bCs/>
    </w:rPr>
  </w:style>
  <w:style w:type="character" w:customStyle="1" w:styleId="aff">
    <w:name w:val="註解主旨 字元"/>
    <w:link w:val="afe"/>
    <w:uiPriority w:val="99"/>
    <w:semiHidden/>
    <w:rsid w:val="00D63681"/>
    <w:rPr>
      <w:rFonts w:ascii="標楷體" w:eastAsia="標楷體"/>
      <w:b/>
      <w:bCs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locked/>
    <w:rsid w:val="00E47724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0">
    <w:name w:val="標題 2 字元"/>
    <w:link w:val="2"/>
    <w:uiPriority w:val="9"/>
    <w:semiHidden/>
    <w:rsid w:val="00A057FF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第二層(14號字) 字元1"/>
    <w:rsid w:val="0015667E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5">
    <w:name w:val="備註1"/>
    <w:basedOn w:val="142"/>
    <w:link w:val="17"/>
    <w:qFormat/>
    <w:rsid w:val="0015667E"/>
    <w:pPr>
      <w:ind w:left="974" w:hangingChars="400" w:hanging="974"/>
    </w:pPr>
  </w:style>
  <w:style w:type="character" w:customStyle="1" w:styleId="17">
    <w:name w:val="備註1 字元"/>
    <w:link w:val="15"/>
    <w:rsid w:val="0015667E"/>
    <w:rPr>
      <w:rFonts w:ascii="標楷體" w:eastAsia="標楷體"/>
      <w:snapToGrid w:val="0"/>
      <w:kern w:val="2"/>
      <w:sz w:val="24"/>
      <w:szCs w:val="28"/>
    </w:rPr>
  </w:style>
  <w:style w:type="paragraph" w:styleId="aff0">
    <w:name w:val="TOC Heading"/>
    <w:basedOn w:val="1"/>
    <w:next w:val="a"/>
    <w:uiPriority w:val="39"/>
    <w:unhideWhenUsed/>
    <w:qFormat/>
    <w:rsid w:val="00916178"/>
    <w:pPr>
      <w:keepLines/>
      <w:widowControl/>
      <w:spacing w:before="240" w:beforeAutospacing="0" w:line="259" w:lineRule="auto"/>
      <w:ind w:left="0" w:firstLineChars="0" w:firstLine="0"/>
      <w:jc w:val="left"/>
      <w:outlineLvl w:val="9"/>
    </w:pPr>
    <w:rPr>
      <w:rFonts w:ascii="Calibri Light" w:eastAsia="新細明體" w:hAnsi="Calibri Light"/>
      <w:b w:val="0"/>
      <w:bCs w:val="0"/>
      <w:snapToGrid/>
      <w:color w:val="2F5496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916178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6E46F2"/>
    <w:rPr>
      <w:rFonts w:ascii="Courier New" w:hAnsi="Courier New" w:cs="Courier New"/>
      <w:sz w:val="20"/>
      <w:szCs w:val="20"/>
    </w:rPr>
  </w:style>
  <w:style w:type="character" w:customStyle="1" w:styleId="HTML0">
    <w:name w:val="HTML 預設格式 字元"/>
    <w:link w:val="HTML"/>
    <w:uiPriority w:val="99"/>
    <w:semiHidden/>
    <w:rsid w:val="006E46F2"/>
    <w:rPr>
      <w:rFonts w:ascii="Courier New" w:eastAsia="標楷體" w:hAnsi="Courier New" w:cs="Courier New"/>
      <w:snapToGrid w:val="0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322762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117215">
              <w:marLeft w:val="0"/>
              <w:marRight w:val="0"/>
              <w:marTop w:val="0"/>
              <w:marBottom w:val="450"/>
              <w:divBdr>
                <w:top w:val="single" w:sz="6" w:space="0" w:color="EAEAEA"/>
                <w:left w:val="single" w:sz="6" w:space="0" w:color="EAEAEA"/>
                <w:bottom w:val="single" w:sz="6" w:space="0" w:color="EAEAEA"/>
                <w:right w:val="single" w:sz="6" w:space="0" w:color="EAEAEA"/>
              </w:divBdr>
              <w:divsChild>
                <w:div w:id="1614098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40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1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ly40649\Desktop\word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19DDE-0667-492C-BEC9-3D7F74EBD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word範本</Template>
  <TotalTime>0</TotalTime>
  <Pages>4</Pages>
  <Words>498</Words>
  <Characters>2841</Characters>
  <Application>Microsoft Office Word</Application>
  <DocSecurity>0</DocSecurity>
  <Lines>23</Lines>
  <Paragraphs>6</Paragraphs>
  <ScaleCrop>false</ScaleCrop>
  <Company>HOME</Company>
  <LinksUpToDate>false</LinksUpToDate>
  <CharactersWithSpaces>3333</CharactersWithSpaces>
  <SharedDoc>false</SharedDoc>
  <HLinks>
    <vt:vector size="18" baseType="variant">
      <vt:variant>
        <vt:i4>1966129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_Toc161990867</vt:lpwstr>
      </vt:variant>
      <vt:variant>
        <vt:i4>1966129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_Toc161990866</vt:lpwstr>
      </vt:variant>
      <vt:variant>
        <vt:i4>1966129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_Toc161990865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2024-03-22T01:07:00Z</cp:lastPrinted>
  <dcterms:created xsi:type="dcterms:W3CDTF">2024-03-27T08:43:00Z</dcterms:created>
  <dcterms:modified xsi:type="dcterms:W3CDTF">2024-03-27T08:43:00Z</dcterms:modified>
</cp:coreProperties>
</file>