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15" w:rsidRPr="005263F8" w:rsidRDefault="00490515" w:rsidP="005263F8">
      <w:pPr>
        <w:pStyle w:val="aa"/>
        <w:rPr>
          <w:rFonts w:hint="eastAsia"/>
        </w:rPr>
      </w:pPr>
      <w:bookmarkStart w:id="0" w:name="_GoBack"/>
      <w:bookmarkEnd w:id="0"/>
      <w:r w:rsidRPr="005263F8">
        <w:rPr>
          <w:rFonts w:hint="eastAsia"/>
        </w:rPr>
        <w:t>中國輸出入銀行1</w:t>
      </w:r>
      <w:r w:rsidR="00BC4455">
        <w:rPr>
          <w:rFonts w:hint="eastAsia"/>
        </w:rPr>
        <w:t>1</w:t>
      </w:r>
      <w:r w:rsidR="00F2060C">
        <w:t>1</w:t>
      </w:r>
      <w:r w:rsidRPr="005263F8">
        <w:rPr>
          <w:rFonts w:hint="eastAsia"/>
        </w:rPr>
        <w:t>年度營業決算評估報告</w:t>
      </w:r>
    </w:p>
    <w:p w:rsidR="003A101A" w:rsidRDefault="00CC44B0" w:rsidP="00172726">
      <w:pPr>
        <w:pStyle w:val="a8"/>
        <w:ind w:firstLine="566"/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530662196"/>
      <w:bookmarkStart w:id="6" w:name="_Toc65059454"/>
      <w:bookmarkStart w:id="7" w:name="_Toc414628378"/>
      <w:bookmarkStart w:id="8" w:name="_Toc499546346"/>
      <w:r>
        <w:rPr>
          <w:rFonts w:hint="eastAsia"/>
        </w:rPr>
        <w:t>中國輸出入銀行（下稱輸出入銀行）係依據「中國輸出入銀行條例」</w:t>
      </w:r>
      <w:r w:rsidR="003A101A" w:rsidRPr="00172726">
        <w:rPr>
          <w:rFonts w:hint="eastAsia"/>
        </w:rPr>
        <w:t>設立之輸出入信用專業銀行，主要營運項目為放款、輸出保險及保證等業務。該行</w:t>
      </w:r>
      <w:r w:rsidR="00920233">
        <w:t>11</w:t>
      </w:r>
      <w:r w:rsidR="00311A33">
        <w:t>1</w:t>
      </w:r>
      <w:r w:rsidR="003A101A" w:rsidRPr="00172726">
        <w:rPr>
          <w:rFonts w:hint="eastAsia"/>
        </w:rPr>
        <w:t>年度決算營業收入</w:t>
      </w:r>
      <w:r w:rsidR="001B6790">
        <w:t>35</w:t>
      </w:r>
      <w:r w:rsidR="001B6790">
        <w:rPr>
          <w:rFonts w:hint="eastAsia"/>
        </w:rPr>
        <w:t>億</w:t>
      </w:r>
      <w:r w:rsidR="001B6790">
        <w:t>9,162</w:t>
      </w:r>
      <w:r w:rsidR="001B6790">
        <w:rPr>
          <w:rFonts w:hint="eastAsia"/>
        </w:rPr>
        <w:t>萬</w:t>
      </w:r>
      <w:r w:rsidR="001B6790">
        <w:t>2</w:t>
      </w:r>
      <w:r w:rsidR="003A101A" w:rsidRPr="00172726">
        <w:rPr>
          <w:rFonts w:hint="eastAsia"/>
        </w:rPr>
        <w:t>千元，營業成本</w:t>
      </w:r>
      <w:r w:rsidR="001B6790">
        <w:t>19</w:t>
      </w:r>
      <w:r w:rsidR="001B6790">
        <w:rPr>
          <w:rFonts w:hint="eastAsia"/>
        </w:rPr>
        <w:t>億</w:t>
      </w:r>
      <w:r w:rsidR="001B6790">
        <w:t>8,700</w:t>
      </w:r>
      <w:r w:rsidR="001B6790">
        <w:rPr>
          <w:rFonts w:hint="eastAsia"/>
        </w:rPr>
        <w:t>萬</w:t>
      </w:r>
      <w:r w:rsidR="001B6790">
        <w:t>5</w:t>
      </w:r>
      <w:r w:rsidR="003A101A" w:rsidRPr="00172726">
        <w:rPr>
          <w:rFonts w:hint="eastAsia"/>
        </w:rPr>
        <w:t>千元，營業費用</w:t>
      </w:r>
      <w:r w:rsidR="001B6790">
        <w:rPr>
          <w:rFonts w:hint="eastAsia"/>
        </w:rPr>
        <w:t>6億6</w:t>
      </w:r>
      <w:r w:rsidR="001B6790">
        <w:t>,</w:t>
      </w:r>
      <w:r w:rsidR="001B6790">
        <w:rPr>
          <w:rFonts w:hint="eastAsia"/>
        </w:rPr>
        <w:t>598萬7</w:t>
      </w:r>
      <w:r w:rsidR="003A101A" w:rsidRPr="00172726">
        <w:rPr>
          <w:rFonts w:hint="eastAsia"/>
        </w:rPr>
        <w:t>千元，營業外收入</w:t>
      </w:r>
      <w:r w:rsidR="00CC766F">
        <w:t>373</w:t>
      </w:r>
      <w:r w:rsidR="00CC766F">
        <w:rPr>
          <w:rFonts w:hint="eastAsia"/>
        </w:rPr>
        <w:t>萬</w:t>
      </w:r>
      <w:r w:rsidR="00CC766F">
        <w:t>3</w:t>
      </w:r>
      <w:r w:rsidR="003A101A" w:rsidRPr="00172726">
        <w:rPr>
          <w:rFonts w:hint="eastAsia"/>
        </w:rPr>
        <w:t>千元，營業外費用</w:t>
      </w:r>
      <w:r w:rsidR="00CC766F">
        <w:t>8,489</w:t>
      </w:r>
      <w:r w:rsidR="00CC766F">
        <w:rPr>
          <w:rFonts w:hint="eastAsia"/>
        </w:rPr>
        <w:t>萬</w:t>
      </w:r>
      <w:r w:rsidR="00CC766F">
        <w:t>5</w:t>
      </w:r>
      <w:r w:rsidR="003A101A" w:rsidRPr="00172726">
        <w:rPr>
          <w:rFonts w:hint="eastAsia"/>
        </w:rPr>
        <w:t>千元，所得稅費用</w:t>
      </w:r>
      <w:r w:rsidR="00F96223">
        <w:t>6,771</w:t>
      </w:r>
      <w:r w:rsidR="00F96223">
        <w:rPr>
          <w:rFonts w:hint="eastAsia"/>
        </w:rPr>
        <w:t>萬</w:t>
      </w:r>
      <w:r w:rsidR="00F96223">
        <w:t>6</w:t>
      </w:r>
      <w:r w:rsidR="00F96223">
        <w:rPr>
          <w:rFonts w:hint="eastAsia"/>
        </w:rPr>
        <w:t>千</w:t>
      </w:r>
      <w:r w:rsidR="003A101A" w:rsidRPr="00172726">
        <w:rPr>
          <w:rFonts w:hint="eastAsia"/>
        </w:rPr>
        <w:t>元，</w:t>
      </w:r>
      <w:r w:rsidR="008234C1">
        <w:rPr>
          <w:rFonts w:hint="eastAsia"/>
        </w:rPr>
        <w:t>收支相抵後</w:t>
      </w:r>
      <w:r w:rsidR="003A101A" w:rsidRPr="00172726">
        <w:rPr>
          <w:rFonts w:hint="eastAsia"/>
        </w:rPr>
        <w:t>本期淨利</w:t>
      </w:r>
      <w:r w:rsidR="00F96223">
        <w:t>7</w:t>
      </w:r>
      <w:r w:rsidR="00F96223">
        <w:rPr>
          <w:rFonts w:hint="eastAsia"/>
        </w:rPr>
        <w:t>億</w:t>
      </w:r>
      <w:r w:rsidR="00F96223">
        <w:t>8,975</w:t>
      </w:r>
      <w:r w:rsidR="00F96223">
        <w:rPr>
          <w:rFonts w:hint="eastAsia"/>
        </w:rPr>
        <w:t>萬</w:t>
      </w:r>
      <w:r w:rsidR="00F96223">
        <w:t>1</w:t>
      </w:r>
      <w:r w:rsidR="003A101A" w:rsidRPr="00172726">
        <w:rPr>
          <w:rFonts w:hint="eastAsia"/>
        </w:rPr>
        <w:t>千元，較預算淨利</w:t>
      </w:r>
      <w:r w:rsidR="00F96223">
        <w:t>6</w:t>
      </w:r>
      <w:r w:rsidR="00F96223">
        <w:rPr>
          <w:rFonts w:hint="eastAsia"/>
        </w:rPr>
        <w:t>億</w:t>
      </w:r>
      <w:r w:rsidR="00F96223">
        <w:t>9,674</w:t>
      </w:r>
      <w:r w:rsidR="00F96223">
        <w:rPr>
          <w:rFonts w:hint="eastAsia"/>
        </w:rPr>
        <w:t>萬</w:t>
      </w:r>
      <w:r w:rsidR="00F96223">
        <w:t>4</w:t>
      </w:r>
      <w:r w:rsidR="003A101A" w:rsidRPr="00172726">
        <w:rPr>
          <w:rFonts w:hint="eastAsia"/>
        </w:rPr>
        <w:t>千元增加</w:t>
      </w:r>
      <w:r w:rsidR="00F96223">
        <w:rPr>
          <w:rFonts w:hint="eastAsia"/>
        </w:rPr>
        <w:t>9</w:t>
      </w:r>
      <w:r w:rsidR="00F96223">
        <w:t>,</w:t>
      </w:r>
      <w:r w:rsidR="00F96223">
        <w:rPr>
          <w:rFonts w:hint="eastAsia"/>
        </w:rPr>
        <w:t>300萬7</w:t>
      </w:r>
      <w:r w:rsidR="00027CBF">
        <w:rPr>
          <w:rFonts w:hint="eastAsia"/>
        </w:rPr>
        <w:t>千</w:t>
      </w:r>
      <w:r w:rsidR="003A101A" w:rsidRPr="00172726">
        <w:rPr>
          <w:rFonts w:hint="eastAsia"/>
        </w:rPr>
        <w:t>元</w:t>
      </w:r>
      <w:r w:rsidR="00AC6EB7">
        <w:rPr>
          <w:rStyle w:val="af0"/>
        </w:rPr>
        <w:footnoteReference w:id="1"/>
      </w:r>
      <w:r w:rsidR="003A101A" w:rsidRPr="00172726">
        <w:rPr>
          <w:rFonts w:hint="eastAsia"/>
        </w:rPr>
        <w:t>。茲就該行</w:t>
      </w:r>
      <w:r w:rsidR="00920233">
        <w:t>11</w:t>
      </w:r>
      <w:r w:rsidR="00311A33">
        <w:t>1</w:t>
      </w:r>
      <w:r w:rsidR="003A101A" w:rsidRPr="00172726">
        <w:rPr>
          <w:rFonts w:hint="eastAsia"/>
        </w:rPr>
        <w:t>年度決算評析如下：</w:t>
      </w:r>
    </w:p>
    <w:p w:rsidR="005A211E" w:rsidRDefault="00721134" w:rsidP="003227B3">
      <w:pPr>
        <w:pStyle w:val="14"/>
        <w:ind w:left="567" w:hanging="567"/>
        <w:rPr>
          <w:rFonts w:hint="eastAsia"/>
        </w:rPr>
      </w:pPr>
      <w:bookmarkStart w:id="9" w:name="_Toc59507476"/>
      <w:bookmarkStart w:id="10" w:name="_Toc59537551"/>
      <w:bookmarkStart w:id="11" w:name="_Toc94707423"/>
      <w:bookmarkStart w:id="12" w:name="_Toc246413261"/>
      <w:bookmarkStart w:id="13" w:name="_Toc24537624"/>
      <w:bookmarkStart w:id="14" w:name="_Toc65059455"/>
      <w:bookmarkStart w:id="15" w:name="_Toc65059453"/>
      <w:bookmarkStart w:id="16" w:name="_Toc95749850"/>
      <w:bookmarkStart w:id="17" w:name="_Toc162863732"/>
      <w:r>
        <w:rPr>
          <w:rFonts w:hint="eastAsia"/>
        </w:rPr>
        <w:t>二</w:t>
      </w:r>
      <w:r w:rsidR="007A1A9F">
        <w:rPr>
          <w:rFonts w:hint="eastAsia"/>
        </w:rPr>
        <w:t>、</w:t>
      </w:r>
      <w:r w:rsidR="00764AA2">
        <w:rPr>
          <w:rFonts w:hint="eastAsia"/>
        </w:rPr>
        <w:t>111年度</w:t>
      </w:r>
      <w:r w:rsidR="000A3E9B">
        <w:rPr>
          <w:rFonts w:hint="eastAsia"/>
        </w:rPr>
        <w:t>營運量</w:t>
      </w:r>
      <w:r w:rsidR="00764AA2">
        <w:rPr>
          <w:rFonts w:hint="eastAsia"/>
        </w:rPr>
        <w:t>預決算差異數為</w:t>
      </w:r>
      <w:r w:rsidR="00AE0D92">
        <w:rPr>
          <w:rFonts w:hint="eastAsia"/>
        </w:rPr>
        <w:t>1</w:t>
      </w:r>
      <w:r w:rsidR="00AE0D92">
        <w:t>07</w:t>
      </w:r>
      <w:r w:rsidR="00AE0D92">
        <w:rPr>
          <w:rFonts w:hint="eastAsia"/>
        </w:rPr>
        <w:t>至111</w:t>
      </w:r>
      <w:r w:rsidR="00764AA2">
        <w:rPr>
          <w:rFonts w:hint="eastAsia"/>
        </w:rPr>
        <w:t>年</w:t>
      </w:r>
      <w:r w:rsidR="00AE0D92">
        <w:rPr>
          <w:rFonts w:hint="eastAsia"/>
        </w:rPr>
        <w:t>間</w:t>
      </w:r>
      <w:r w:rsidR="00764AA2">
        <w:rPr>
          <w:rFonts w:hint="eastAsia"/>
        </w:rPr>
        <w:t>最高</w:t>
      </w:r>
      <w:r w:rsidR="00AC5A83">
        <w:rPr>
          <w:rFonts w:hint="eastAsia"/>
        </w:rPr>
        <w:t>數</w:t>
      </w:r>
      <w:r w:rsidR="000A3E9B">
        <w:rPr>
          <w:rFonts w:hint="eastAsia"/>
        </w:rPr>
        <w:t>，</w:t>
      </w:r>
      <w:r w:rsidR="004C677F">
        <w:rPr>
          <w:rFonts w:hint="eastAsia"/>
        </w:rPr>
        <w:t>允宜</w:t>
      </w:r>
      <w:r w:rsidR="001C5617">
        <w:rPr>
          <w:rFonts w:hint="eastAsia"/>
        </w:rPr>
        <w:t>檢討改進，俾提高營業收支估測準確度</w:t>
      </w:r>
      <w:bookmarkEnd w:id="17"/>
    </w:p>
    <w:p w:rsidR="005A211E" w:rsidRDefault="005A211E" w:rsidP="005A211E">
      <w:pPr>
        <w:ind w:left="566" w:firstLine="566"/>
      </w:pPr>
      <w:r w:rsidRPr="00CF2D5E">
        <w:rPr>
          <w:rFonts w:hint="eastAsia"/>
        </w:rPr>
        <w:t>輸出入銀行</w:t>
      </w:r>
      <w:r w:rsidRPr="00CF2D5E">
        <w:t>11</w:t>
      </w:r>
      <w:r w:rsidR="000C13AA">
        <w:t>1</w:t>
      </w:r>
      <w:r w:rsidRPr="00CF2D5E">
        <w:rPr>
          <w:rFonts w:hint="eastAsia"/>
        </w:rPr>
        <w:t>年度預算編列</w:t>
      </w:r>
      <w:r>
        <w:rPr>
          <w:rFonts w:hint="eastAsia"/>
        </w:rPr>
        <w:t>營業收入</w:t>
      </w:r>
      <w:r w:rsidR="00BD4484">
        <w:t>31</w:t>
      </w:r>
      <w:r w:rsidR="00BD4484">
        <w:rPr>
          <w:rFonts w:hint="eastAsia"/>
        </w:rPr>
        <w:t>億</w:t>
      </w:r>
      <w:r w:rsidR="00BD4484">
        <w:t>4,200</w:t>
      </w:r>
      <w:r w:rsidR="00BD4484">
        <w:rPr>
          <w:rFonts w:hint="eastAsia"/>
        </w:rPr>
        <w:t>萬元</w:t>
      </w:r>
      <w:r w:rsidR="00167202">
        <w:rPr>
          <w:rFonts w:hint="eastAsia"/>
        </w:rPr>
        <w:t>及營業成本15億8</w:t>
      </w:r>
      <w:r w:rsidR="00167202">
        <w:t>,</w:t>
      </w:r>
      <w:r w:rsidR="00167202">
        <w:rPr>
          <w:rFonts w:hint="eastAsia"/>
        </w:rPr>
        <w:t>620萬4千元</w:t>
      </w:r>
      <w:r w:rsidRPr="00CF2D5E">
        <w:rPr>
          <w:rFonts w:hint="eastAsia"/>
          <w:lang w:eastAsia="zh-HK"/>
        </w:rPr>
        <w:t>，</w:t>
      </w:r>
      <w:r w:rsidRPr="00CF2D5E">
        <w:rPr>
          <w:rFonts w:hint="eastAsia"/>
        </w:rPr>
        <w:t>決算數</w:t>
      </w:r>
      <w:r w:rsidR="00AE0D92">
        <w:rPr>
          <w:rFonts w:hint="eastAsia"/>
        </w:rPr>
        <w:t>分別為</w:t>
      </w:r>
      <w:r w:rsidR="008826B5">
        <w:t>35</w:t>
      </w:r>
      <w:r w:rsidR="008826B5">
        <w:rPr>
          <w:rFonts w:hint="eastAsia"/>
        </w:rPr>
        <w:t>億</w:t>
      </w:r>
      <w:r w:rsidR="008826B5">
        <w:t>9,162</w:t>
      </w:r>
      <w:r w:rsidR="008826B5">
        <w:rPr>
          <w:rFonts w:hint="eastAsia"/>
        </w:rPr>
        <w:t>萬</w:t>
      </w:r>
      <w:r w:rsidR="008826B5">
        <w:t>2</w:t>
      </w:r>
      <w:r w:rsidR="00472676">
        <w:rPr>
          <w:rFonts w:hint="eastAsia"/>
        </w:rPr>
        <w:t>千元</w:t>
      </w:r>
      <w:r w:rsidR="00167202">
        <w:rPr>
          <w:rFonts w:hint="eastAsia"/>
        </w:rPr>
        <w:t>及19億8</w:t>
      </w:r>
      <w:r w:rsidR="00167202">
        <w:t>,</w:t>
      </w:r>
      <w:r w:rsidR="00167202">
        <w:rPr>
          <w:rFonts w:hint="eastAsia"/>
        </w:rPr>
        <w:t>700萬5千元</w:t>
      </w:r>
      <w:r>
        <w:rPr>
          <w:rFonts w:hint="eastAsia"/>
        </w:rPr>
        <w:t>，達成率</w:t>
      </w:r>
      <w:r w:rsidR="00AE0D92">
        <w:rPr>
          <w:rFonts w:hint="eastAsia"/>
        </w:rPr>
        <w:t>各</w:t>
      </w:r>
      <w:r w:rsidR="00602A34">
        <w:rPr>
          <w:rFonts w:hint="eastAsia"/>
        </w:rPr>
        <w:t>為</w:t>
      </w:r>
      <w:r w:rsidR="00980E29">
        <w:t>114.31</w:t>
      </w:r>
      <w:r w:rsidR="00472676">
        <w:t>%</w:t>
      </w:r>
      <w:r w:rsidR="00167202">
        <w:rPr>
          <w:rFonts w:hint="eastAsia"/>
        </w:rPr>
        <w:t>及125.27%，</w:t>
      </w:r>
      <w:r w:rsidR="00AC6EB7">
        <w:rPr>
          <w:rFonts w:hint="eastAsia"/>
        </w:rPr>
        <w:t>差異數</w:t>
      </w:r>
      <w:r w:rsidR="00167202">
        <w:rPr>
          <w:rFonts w:hint="eastAsia"/>
        </w:rPr>
        <w:t>則為</w:t>
      </w:r>
      <w:r w:rsidR="00AC6EB7">
        <w:rPr>
          <w:rFonts w:hint="eastAsia"/>
        </w:rPr>
        <w:t>4億4</w:t>
      </w:r>
      <w:r w:rsidR="00AC6EB7">
        <w:t>,</w:t>
      </w:r>
      <w:r w:rsidR="00AC6EB7">
        <w:rPr>
          <w:rFonts w:hint="eastAsia"/>
        </w:rPr>
        <w:t>962萬2千元</w:t>
      </w:r>
      <w:r w:rsidR="00167202">
        <w:rPr>
          <w:rFonts w:hint="eastAsia"/>
        </w:rPr>
        <w:t>及4億80萬1千元</w:t>
      </w:r>
      <w:r w:rsidR="00BE6F3D">
        <w:rPr>
          <w:rFonts w:hint="eastAsia"/>
        </w:rPr>
        <w:t>。</w:t>
      </w:r>
      <w:r w:rsidR="00AC6EB7">
        <w:rPr>
          <w:rFonts w:hint="eastAsia"/>
        </w:rPr>
        <w:t>差異</w:t>
      </w:r>
      <w:r w:rsidR="00BE6F3D">
        <w:rPr>
          <w:rFonts w:hint="eastAsia"/>
        </w:rPr>
        <w:t>原因</w:t>
      </w:r>
      <w:r w:rsidR="00AC6EB7">
        <w:rPr>
          <w:rFonts w:hint="eastAsia"/>
        </w:rPr>
        <w:t>主要</w:t>
      </w:r>
      <w:r w:rsidR="00BE6F3D">
        <w:rPr>
          <w:rFonts w:hint="eastAsia"/>
        </w:rPr>
        <w:t>係放款及輸出保險營運量較預算增加</w:t>
      </w:r>
      <w:r w:rsidR="005C2044">
        <w:rPr>
          <w:rFonts w:hint="eastAsia"/>
        </w:rPr>
        <w:t>，放款利息及保費收入</w:t>
      </w:r>
      <w:r w:rsidR="00BD4484">
        <w:rPr>
          <w:rFonts w:hint="eastAsia"/>
        </w:rPr>
        <w:t>(成本</w:t>
      </w:r>
      <w:r w:rsidR="00BD4484">
        <w:t>)</w:t>
      </w:r>
      <w:r w:rsidR="005C2044">
        <w:rPr>
          <w:rFonts w:hint="eastAsia"/>
        </w:rPr>
        <w:t>增加，暨為儲備風險損失承擔能力，增提備抵呆帳所致</w:t>
      </w:r>
      <w:r w:rsidR="008D38C9">
        <w:rPr>
          <w:rFonts w:hint="eastAsia"/>
        </w:rPr>
        <w:t>。</w:t>
      </w:r>
    </w:p>
    <w:p w:rsidR="005A211E" w:rsidRPr="00A63148" w:rsidRDefault="00F27E1C" w:rsidP="0014464A">
      <w:pPr>
        <w:ind w:left="566" w:firstLine="566"/>
        <w:rPr>
          <w:lang w:eastAsia="zh-HK"/>
        </w:rPr>
      </w:pPr>
      <w:r>
        <w:rPr>
          <w:rFonts w:hint="eastAsia"/>
        </w:rPr>
        <w:t>該行依其營業政策、參酌近年來實際營運量及預算目標成長情形，盱衡</w:t>
      </w:r>
      <w:r w:rsidR="00C57311">
        <w:rPr>
          <w:rFonts w:hint="eastAsia"/>
        </w:rPr>
        <w:t>國內外經濟景氣，預測各項業務發展，擬訂營運目標。</w:t>
      </w:r>
      <w:r w:rsidR="002020DE">
        <w:rPr>
          <w:rFonts w:hint="eastAsia"/>
        </w:rPr>
        <w:t>惟</w:t>
      </w:r>
      <w:r w:rsidR="001E0746">
        <w:rPr>
          <w:rFonts w:hint="eastAsia"/>
        </w:rPr>
        <w:t>揆諸該行107至111年度營運實績(詳表1)，決算營運量皆高於預算，差異數介於237億元至669億元，</w:t>
      </w:r>
      <w:r w:rsidR="00286931">
        <w:rPr>
          <w:rFonts w:hint="eastAsia"/>
        </w:rPr>
        <w:t>差異比率介於</w:t>
      </w:r>
      <w:r w:rsidR="00286931" w:rsidRPr="00286931">
        <w:t>9.85%</w:t>
      </w:r>
      <w:r w:rsidR="00286931">
        <w:rPr>
          <w:rFonts w:hint="eastAsia"/>
        </w:rPr>
        <w:t>至</w:t>
      </w:r>
      <w:r w:rsidR="00286931" w:rsidRPr="00286931">
        <w:t>20.85%</w:t>
      </w:r>
      <w:r w:rsidR="00286931">
        <w:rPr>
          <w:rFonts w:hint="eastAsia"/>
        </w:rPr>
        <w:t>間；</w:t>
      </w:r>
      <w:r w:rsidR="00BE6F3D">
        <w:rPr>
          <w:rFonts w:hint="eastAsia"/>
        </w:rPr>
        <w:t>111年度</w:t>
      </w:r>
      <w:r w:rsidR="002020DE">
        <w:rPr>
          <w:rFonts w:hint="eastAsia"/>
        </w:rPr>
        <w:t>差異數</w:t>
      </w:r>
      <w:r w:rsidR="00BE6F3D">
        <w:rPr>
          <w:rFonts w:hint="eastAsia"/>
        </w:rPr>
        <w:t>669億元為近年度最高</w:t>
      </w:r>
      <w:r w:rsidR="0014464A">
        <w:rPr>
          <w:rFonts w:hint="eastAsia"/>
        </w:rPr>
        <w:t>，致預決算營業</w:t>
      </w:r>
      <w:r w:rsidR="002020DE">
        <w:rPr>
          <w:rFonts w:hint="eastAsia"/>
        </w:rPr>
        <w:t>收入及成本</w:t>
      </w:r>
      <w:r w:rsidR="0014464A">
        <w:rPr>
          <w:rFonts w:hint="eastAsia"/>
        </w:rPr>
        <w:t>差異比率達14.31%</w:t>
      </w:r>
      <w:r w:rsidR="005C2044">
        <w:rPr>
          <w:rFonts w:hint="eastAsia"/>
        </w:rPr>
        <w:t>及25.27%</w:t>
      </w:r>
      <w:r w:rsidR="0014464A">
        <w:rPr>
          <w:rFonts w:hint="eastAsia"/>
        </w:rPr>
        <w:t>，</w:t>
      </w:r>
      <w:r w:rsidR="00C71F76">
        <w:rPr>
          <w:rFonts w:hint="eastAsia"/>
        </w:rPr>
        <w:t>原編預算偏於保守</w:t>
      </w:r>
      <w:r w:rsidR="0014464A">
        <w:rPr>
          <w:rFonts w:hint="eastAsia"/>
        </w:rPr>
        <w:t>。</w:t>
      </w:r>
      <w:r w:rsidR="00C71F76">
        <w:rPr>
          <w:rFonts w:hint="eastAsia"/>
        </w:rPr>
        <w:t>允宜依</w:t>
      </w:r>
      <w:r w:rsidR="00C71F76" w:rsidRPr="00C71F76">
        <w:rPr>
          <w:rFonts w:hint="eastAsia"/>
        </w:rPr>
        <w:t>附屬單位預算執行要點</w:t>
      </w:r>
      <w:r w:rsidR="00C71F76">
        <w:rPr>
          <w:rFonts w:hint="eastAsia"/>
        </w:rPr>
        <w:t>第</w:t>
      </w:r>
      <w:r w:rsidR="00C71F76">
        <w:t>35</w:t>
      </w:r>
      <w:r w:rsidR="00C71F76">
        <w:rPr>
          <w:rFonts w:hint="eastAsia"/>
        </w:rPr>
        <w:t>及</w:t>
      </w:r>
      <w:r w:rsidR="00C71F76">
        <w:t>36</w:t>
      </w:r>
      <w:r w:rsidR="00C71F76">
        <w:rPr>
          <w:rFonts w:hint="eastAsia"/>
        </w:rPr>
        <w:t>條規定，</w:t>
      </w:r>
      <w:r w:rsidR="0014464A">
        <w:rPr>
          <w:rFonts w:hint="eastAsia"/>
        </w:rPr>
        <w:t>隨時蒐集國內、外同業（或類似機構）之經營及財務狀況資料，</w:t>
      </w:r>
      <w:r w:rsidR="00AC6EB7">
        <w:rPr>
          <w:rFonts w:hint="eastAsia"/>
        </w:rPr>
        <w:t>並分析比較，同時</w:t>
      </w:r>
      <w:r w:rsidR="0014464A">
        <w:rPr>
          <w:rFonts w:hint="eastAsia"/>
        </w:rPr>
        <w:t>就</w:t>
      </w:r>
      <w:r w:rsidR="009C469B">
        <w:rPr>
          <w:rFonts w:hint="eastAsia"/>
        </w:rPr>
        <w:t>業務計畫預算</w:t>
      </w:r>
      <w:r w:rsidR="0014464A">
        <w:rPr>
          <w:rFonts w:hint="eastAsia"/>
        </w:rPr>
        <w:t>差異超過1</w:t>
      </w:r>
      <w:r w:rsidR="0014464A">
        <w:t>0%</w:t>
      </w:r>
      <w:r w:rsidR="0014464A">
        <w:rPr>
          <w:rFonts w:hint="eastAsia"/>
        </w:rPr>
        <w:t>者，詳予分析差異原因及提出改進</w:t>
      </w:r>
      <w:r w:rsidR="0014464A">
        <w:rPr>
          <w:rFonts w:hint="eastAsia"/>
        </w:rPr>
        <w:lastRenderedPageBreak/>
        <w:t>意見，以提高預算</w:t>
      </w:r>
      <w:r w:rsidR="00BB7A47">
        <w:rPr>
          <w:rFonts w:hint="eastAsia"/>
        </w:rPr>
        <w:t>估測</w:t>
      </w:r>
      <w:r w:rsidR="0014464A">
        <w:rPr>
          <w:rFonts w:hint="eastAsia"/>
        </w:rPr>
        <w:t>品質</w:t>
      </w:r>
      <w:r w:rsidR="0014464A">
        <w:rPr>
          <w:rStyle w:val="af0"/>
        </w:rPr>
        <w:footnoteReference w:id="2"/>
      </w:r>
      <w:r w:rsidR="0014464A">
        <w:rPr>
          <w:rFonts w:hint="eastAsia"/>
        </w:rPr>
        <w:t>。</w:t>
      </w:r>
    </w:p>
    <w:p w:rsidR="00754ABB" w:rsidRPr="00545248" w:rsidRDefault="00754ABB" w:rsidP="001E0746">
      <w:pPr>
        <w:spacing w:beforeLines="25" w:before="125"/>
        <w:ind w:leftChars="0" w:left="0" w:firstLineChars="0" w:firstLine="0"/>
        <w:rPr>
          <w:rFonts w:hint="eastAsia"/>
          <w:spacing w:val="-20"/>
          <w:sz w:val="40"/>
        </w:rPr>
      </w:pPr>
      <w:r w:rsidRPr="001610E2">
        <w:rPr>
          <w:rFonts w:hint="eastAsia"/>
          <w:b/>
        </w:rPr>
        <w:t>表</w:t>
      </w:r>
      <w:r w:rsidR="001E0746">
        <w:rPr>
          <w:rFonts w:hint="eastAsia"/>
          <w:b/>
        </w:rPr>
        <w:t xml:space="preserve">1　</w:t>
      </w:r>
      <w:r w:rsidRPr="001E0746">
        <w:rPr>
          <w:rFonts w:hint="eastAsia"/>
          <w:b/>
          <w:spacing w:val="-5"/>
        </w:rPr>
        <w:t>輸出入銀行</w:t>
      </w:r>
      <w:r w:rsidR="001E0746" w:rsidRPr="001E0746">
        <w:rPr>
          <w:rFonts w:hint="eastAsia"/>
          <w:b/>
          <w:spacing w:val="-5"/>
        </w:rPr>
        <w:t>107至111年度營運量預決算對照表</w:t>
      </w:r>
      <w:r w:rsidR="001E0746">
        <w:rPr>
          <w:rFonts w:hint="eastAsia"/>
          <w:b/>
        </w:rPr>
        <w:t xml:space="preserve"> </w:t>
      </w:r>
      <w:r w:rsidRPr="00545248">
        <w:rPr>
          <w:rStyle w:val="143"/>
          <w:rFonts w:hint="eastAsia"/>
          <w:spacing w:val="-20"/>
        </w:rPr>
        <w:t>單位：</w:t>
      </w:r>
      <w:r w:rsidR="001E0746" w:rsidRPr="00545248">
        <w:rPr>
          <w:rStyle w:val="143"/>
          <w:rFonts w:hint="eastAsia"/>
          <w:spacing w:val="-20"/>
        </w:rPr>
        <w:t>新臺幣億元</w:t>
      </w:r>
      <w:r w:rsidR="00545248" w:rsidRPr="00545248">
        <w:rPr>
          <w:rStyle w:val="143"/>
          <w:rFonts w:hint="eastAsia"/>
          <w:spacing w:val="-20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709"/>
        <w:gridCol w:w="1360"/>
        <w:gridCol w:w="1467"/>
        <w:gridCol w:w="1417"/>
        <w:gridCol w:w="1701"/>
      </w:tblGrid>
      <w:tr w:rsidR="00286931" w:rsidRPr="00286931" w:rsidTr="00545248">
        <w:trPr>
          <w:trHeight w:val="340"/>
          <w:tblHeader/>
        </w:trPr>
        <w:tc>
          <w:tcPr>
            <w:tcW w:w="2560" w:type="dxa"/>
            <w:gridSpan w:val="2"/>
            <w:shd w:val="clear" w:color="auto" w:fill="auto"/>
            <w:noWrap/>
            <w:vAlign w:val="center"/>
            <w:hideMark/>
          </w:tcPr>
          <w:p w:rsidR="00286931" w:rsidRPr="00545248" w:rsidRDefault="00286931" w:rsidP="00545248">
            <w:pPr>
              <w:pStyle w:val="142"/>
              <w:jc w:val="center"/>
              <w:rPr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年度\項目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286931" w:rsidRPr="00545248" w:rsidRDefault="00286931" w:rsidP="0054524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放款業務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286931" w:rsidRPr="00545248" w:rsidRDefault="00286931" w:rsidP="0054524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保證業務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86931" w:rsidRPr="00545248" w:rsidRDefault="00286931" w:rsidP="0054524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輸出保險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86931" w:rsidRPr="00545248" w:rsidRDefault="00286931" w:rsidP="0054524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合計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107</w:t>
            </w: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預算數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1,035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190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1,180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2,405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決算數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1,098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230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1,314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2,642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 63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40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134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11314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 xml:space="preserve">      237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差異比率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6.09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21.05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11.36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54524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9.85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108</w:t>
            </w: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預算數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1,080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220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1,220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2,520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決算數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1,175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244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1,468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2,887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 95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24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248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11314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 xml:space="preserve">      367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差異比率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8.80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10.91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20.33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54524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14.56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109</w:t>
            </w: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預算數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1,150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230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1,315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2,695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決算數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1,387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265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1,605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3,257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237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35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290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11314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 xml:space="preserve">      562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差異比率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20.61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15.22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22.05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54524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20.85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110</w:t>
            </w: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預算數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1,350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247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1,480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3,077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決算數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1,416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281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1,751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3,448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 66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34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271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11314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 xml:space="preserve">      371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差異比率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4.89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13.77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18.31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54524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12.06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111</w:t>
            </w: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預算數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1,450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270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1,610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3,330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決算數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1,573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324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2,102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3,999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差異數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123 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54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 xml:space="preserve">      492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113140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 xml:space="preserve">      669 </w:t>
            </w:r>
          </w:p>
        </w:tc>
      </w:tr>
      <w:tr w:rsidR="00545248" w:rsidRPr="00286931" w:rsidTr="00113140">
        <w:trPr>
          <w:trHeight w:val="340"/>
        </w:trPr>
        <w:tc>
          <w:tcPr>
            <w:tcW w:w="851" w:type="dxa"/>
            <w:vMerge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1709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113140">
            <w:pPr>
              <w:pStyle w:val="142"/>
              <w:rPr>
                <w:snapToGrid/>
              </w:rPr>
            </w:pPr>
            <w:r w:rsidRPr="00113140">
              <w:rPr>
                <w:rFonts w:hint="eastAsia"/>
                <w:snapToGrid/>
              </w:rPr>
              <w:t>差異比率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8.48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20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45248" w:rsidRPr="00113140" w:rsidRDefault="00545248" w:rsidP="00545248">
            <w:pPr>
              <w:pStyle w:val="142"/>
              <w:jc w:val="right"/>
              <w:rPr>
                <w:rFonts w:hint="eastAsia"/>
                <w:snapToGrid/>
              </w:rPr>
            </w:pPr>
            <w:r w:rsidRPr="00113140">
              <w:rPr>
                <w:rFonts w:hint="eastAsia"/>
                <w:snapToGrid/>
              </w:rPr>
              <w:t>30.56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45248" w:rsidRPr="00545248" w:rsidRDefault="00545248" w:rsidP="0054524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545248">
              <w:rPr>
                <w:rFonts w:hint="eastAsia"/>
                <w:b/>
                <w:snapToGrid/>
              </w:rPr>
              <w:t>20.09</w:t>
            </w:r>
          </w:p>
        </w:tc>
      </w:tr>
    </w:tbl>
    <w:p w:rsidR="003F27E3" w:rsidRDefault="003F27E3" w:rsidP="00754ABB">
      <w:pPr>
        <w:pStyle w:val="a8"/>
        <w:adjustRightInd/>
        <w:spacing w:line="240" w:lineRule="exact"/>
        <w:ind w:firstLineChars="0" w:firstLine="0"/>
        <w:contextualSpacing/>
        <w:mirrorIndents/>
        <w:rPr>
          <w:rFonts w:hAnsi="標楷體"/>
          <w:sz w:val="24"/>
          <w:szCs w:val="24"/>
          <w:lang w:eastAsia="zh-HK"/>
        </w:rPr>
      </w:pPr>
      <w:r>
        <w:rPr>
          <w:rFonts w:hAnsi="標楷體" w:hint="eastAsia"/>
          <w:sz w:val="24"/>
          <w:szCs w:val="24"/>
        </w:rPr>
        <w:t>說    明：差異</w:t>
      </w:r>
      <w:r w:rsidR="00F95C4D">
        <w:rPr>
          <w:rFonts w:hAnsi="標楷體" w:hint="eastAsia"/>
          <w:sz w:val="24"/>
          <w:szCs w:val="24"/>
        </w:rPr>
        <w:t>數及</w:t>
      </w:r>
      <w:r>
        <w:rPr>
          <w:rFonts w:hAnsi="標楷體" w:hint="eastAsia"/>
          <w:sz w:val="24"/>
          <w:szCs w:val="24"/>
        </w:rPr>
        <w:t>比率配合本表進位方式與決算書</w:t>
      </w:r>
      <w:r w:rsidR="006C30EF">
        <w:rPr>
          <w:rFonts w:hAnsi="標楷體" w:hint="eastAsia"/>
          <w:sz w:val="24"/>
          <w:szCs w:val="24"/>
        </w:rPr>
        <w:t>或有</w:t>
      </w:r>
      <w:r>
        <w:rPr>
          <w:rFonts w:hAnsi="標楷體" w:hint="eastAsia"/>
          <w:sz w:val="24"/>
          <w:szCs w:val="24"/>
        </w:rPr>
        <w:t>出入。</w:t>
      </w:r>
    </w:p>
    <w:p w:rsidR="00754ABB" w:rsidRPr="004E731F" w:rsidRDefault="00754ABB" w:rsidP="00754ABB">
      <w:pPr>
        <w:pStyle w:val="a8"/>
        <w:adjustRightInd/>
        <w:spacing w:line="240" w:lineRule="exact"/>
        <w:ind w:firstLineChars="0" w:firstLine="0"/>
        <w:contextualSpacing/>
        <w:mirrorIndents/>
        <w:rPr>
          <w:rFonts w:hint="eastAsia"/>
          <w:sz w:val="24"/>
          <w:szCs w:val="24"/>
        </w:rPr>
      </w:pPr>
      <w:r w:rsidRPr="004E731F">
        <w:rPr>
          <w:rFonts w:hAnsi="標楷體" w:hint="eastAsia"/>
          <w:sz w:val="24"/>
          <w:szCs w:val="24"/>
          <w:lang w:eastAsia="zh-HK"/>
        </w:rPr>
        <w:t>資料來源</w:t>
      </w:r>
      <w:r w:rsidRPr="004E731F">
        <w:rPr>
          <w:rFonts w:hint="eastAsia"/>
          <w:sz w:val="24"/>
          <w:szCs w:val="24"/>
          <w:lang w:eastAsia="zh-HK"/>
        </w:rPr>
        <w:t>：</w:t>
      </w:r>
      <w:r w:rsidRPr="004E731F">
        <w:rPr>
          <w:rFonts w:hint="eastAsia"/>
          <w:sz w:val="24"/>
          <w:szCs w:val="24"/>
        </w:rPr>
        <w:t>輸出入銀行</w:t>
      </w:r>
      <w:r w:rsidR="00BD4484">
        <w:rPr>
          <w:rFonts w:hint="eastAsia"/>
          <w:sz w:val="24"/>
          <w:szCs w:val="24"/>
        </w:rPr>
        <w:t>各年度決算書，本中心彙製</w:t>
      </w:r>
      <w:r w:rsidRPr="004E731F">
        <w:rPr>
          <w:rFonts w:hint="eastAsia"/>
          <w:sz w:val="24"/>
          <w:szCs w:val="24"/>
        </w:rPr>
        <w:t>。</w:t>
      </w:r>
    </w:p>
    <w:p w:rsidR="005A211E" w:rsidRDefault="005A211E" w:rsidP="00286931">
      <w:pPr>
        <w:ind w:left="566" w:firstLine="566"/>
        <w:rPr>
          <w:rFonts w:hint="eastAsia"/>
        </w:rPr>
      </w:pPr>
      <w:r w:rsidRPr="00265EFF">
        <w:rPr>
          <w:rFonts w:hint="eastAsia"/>
        </w:rPr>
        <w:t>綜上，輸出入銀行</w:t>
      </w:r>
      <w:r w:rsidR="009C469B">
        <w:t>111</w:t>
      </w:r>
      <w:r w:rsidR="009C469B">
        <w:rPr>
          <w:rFonts w:hint="eastAsia"/>
        </w:rPr>
        <w:t>年度預算營運量估列保守，</w:t>
      </w:r>
      <w:r w:rsidR="002020DE">
        <w:rPr>
          <w:rFonts w:hint="eastAsia"/>
        </w:rPr>
        <w:t>與決算</w:t>
      </w:r>
      <w:r w:rsidR="001E1D9E">
        <w:rPr>
          <w:rFonts w:hint="eastAsia"/>
        </w:rPr>
        <w:t>數</w:t>
      </w:r>
      <w:r w:rsidR="002020DE">
        <w:rPr>
          <w:rFonts w:hint="eastAsia"/>
        </w:rPr>
        <w:t>差異</w:t>
      </w:r>
      <w:r w:rsidR="009C469B" w:rsidRPr="009C469B">
        <w:rPr>
          <w:rFonts w:hint="eastAsia"/>
        </w:rPr>
        <w:t>669億元為</w:t>
      </w:r>
      <w:r w:rsidR="004F2A2A">
        <w:rPr>
          <w:rFonts w:hint="eastAsia"/>
        </w:rPr>
        <w:t>1</w:t>
      </w:r>
      <w:r w:rsidR="004F2A2A">
        <w:t>07</w:t>
      </w:r>
      <w:r w:rsidR="004F2A2A">
        <w:rPr>
          <w:rFonts w:hint="eastAsia"/>
        </w:rPr>
        <w:t>至111年間</w:t>
      </w:r>
      <w:r w:rsidR="009C469B" w:rsidRPr="009C469B">
        <w:rPr>
          <w:rFonts w:hint="eastAsia"/>
        </w:rPr>
        <w:t>最高</w:t>
      </w:r>
      <w:r w:rsidR="004F2A2A">
        <w:rPr>
          <w:rFonts w:hint="eastAsia"/>
        </w:rPr>
        <w:t>者</w:t>
      </w:r>
      <w:r w:rsidR="002020DE">
        <w:rPr>
          <w:rFonts w:hint="eastAsia"/>
        </w:rPr>
        <w:t>，</w:t>
      </w:r>
      <w:r w:rsidR="00167202">
        <w:rPr>
          <w:rFonts w:hint="eastAsia"/>
        </w:rPr>
        <w:t>致預決算營業收入及</w:t>
      </w:r>
      <w:r w:rsidR="00BB7A47">
        <w:rPr>
          <w:rFonts w:hint="eastAsia"/>
        </w:rPr>
        <w:t>營業</w:t>
      </w:r>
      <w:r w:rsidR="00234298">
        <w:rPr>
          <w:rFonts w:hint="eastAsia"/>
        </w:rPr>
        <w:t>成本</w:t>
      </w:r>
      <w:r w:rsidR="00BB7A47">
        <w:rPr>
          <w:rFonts w:hint="eastAsia"/>
        </w:rPr>
        <w:t>差異數達4億4</w:t>
      </w:r>
      <w:r w:rsidR="00BB7A47">
        <w:t>,</w:t>
      </w:r>
      <w:r w:rsidR="00BB7A47">
        <w:rPr>
          <w:rFonts w:hint="eastAsia"/>
        </w:rPr>
        <w:t>962萬2千元及</w:t>
      </w:r>
      <w:r w:rsidR="00BB7A47" w:rsidRPr="00167202">
        <w:rPr>
          <w:rFonts w:hint="eastAsia"/>
        </w:rPr>
        <w:t>4億80萬1千元</w:t>
      </w:r>
      <w:r w:rsidR="00BB7A47">
        <w:rPr>
          <w:rFonts w:hint="eastAsia"/>
        </w:rPr>
        <w:t>，</w:t>
      </w:r>
      <w:r w:rsidR="009C469B" w:rsidRPr="009C469B">
        <w:rPr>
          <w:rFonts w:hint="eastAsia"/>
        </w:rPr>
        <w:t>差異比率</w:t>
      </w:r>
      <w:r w:rsidR="00BB7A47">
        <w:rPr>
          <w:rFonts w:hint="eastAsia"/>
        </w:rPr>
        <w:t>為</w:t>
      </w:r>
      <w:r w:rsidR="009C469B" w:rsidRPr="009C469B">
        <w:rPr>
          <w:rFonts w:hint="eastAsia"/>
        </w:rPr>
        <w:t>14.31%</w:t>
      </w:r>
      <w:r w:rsidR="00167202">
        <w:rPr>
          <w:rFonts w:hint="eastAsia"/>
        </w:rPr>
        <w:t>及</w:t>
      </w:r>
      <w:r w:rsidR="00167202" w:rsidRPr="00167202">
        <w:t>25.27%</w:t>
      </w:r>
      <w:r w:rsidR="002020DE">
        <w:rPr>
          <w:rFonts w:hint="eastAsia"/>
        </w:rPr>
        <w:t>。</w:t>
      </w:r>
      <w:r w:rsidR="009C469B">
        <w:rPr>
          <w:rFonts w:hint="eastAsia"/>
        </w:rPr>
        <w:t>允宜依</w:t>
      </w:r>
      <w:r w:rsidR="009C469B" w:rsidRPr="009C469B">
        <w:rPr>
          <w:rFonts w:hint="eastAsia"/>
        </w:rPr>
        <w:t>附屬單位預算執行要點第35及36</w:t>
      </w:r>
      <w:r w:rsidR="009C469B" w:rsidRPr="009C469B">
        <w:rPr>
          <w:rFonts w:hint="eastAsia"/>
        </w:rPr>
        <w:lastRenderedPageBreak/>
        <w:t>條規定</w:t>
      </w:r>
      <w:r w:rsidR="00BC1C06">
        <w:rPr>
          <w:rFonts w:hint="eastAsia"/>
        </w:rPr>
        <w:t>檢討分析</w:t>
      </w:r>
      <w:r w:rsidR="009C469B" w:rsidRPr="009C469B">
        <w:rPr>
          <w:rFonts w:hint="eastAsia"/>
        </w:rPr>
        <w:t>，</w:t>
      </w:r>
      <w:r w:rsidR="00BC1C06">
        <w:rPr>
          <w:rFonts w:hint="eastAsia"/>
        </w:rPr>
        <w:t>精進估測作業，俾</w:t>
      </w:r>
      <w:r w:rsidR="00167202">
        <w:rPr>
          <w:rFonts w:hint="eastAsia"/>
        </w:rPr>
        <w:t>提高</w:t>
      </w:r>
      <w:r w:rsidR="00167202" w:rsidRPr="00167202">
        <w:rPr>
          <w:rFonts w:hint="eastAsia"/>
        </w:rPr>
        <w:t>營業收支估測準確度</w:t>
      </w:r>
      <w:r w:rsidRPr="00265EFF">
        <w:rPr>
          <w:rFonts w:hint="eastAsia"/>
        </w:rPr>
        <w:t>。</w:t>
      </w:r>
    </w:p>
    <w:bookmarkEnd w:id="9"/>
    <w:bookmarkEnd w:id="10"/>
    <w:bookmarkEnd w:id="11"/>
    <w:bookmarkEnd w:id="12"/>
    <w:bookmarkEnd w:id="13"/>
    <w:bookmarkEnd w:id="14"/>
    <w:bookmarkEnd w:id="15"/>
    <w:bookmarkEnd w:id="16"/>
    <w:bookmarkEnd w:id="1"/>
    <w:bookmarkEnd w:id="2"/>
    <w:bookmarkEnd w:id="3"/>
    <w:bookmarkEnd w:id="4"/>
    <w:bookmarkEnd w:id="5"/>
    <w:bookmarkEnd w:id="6"/>
    <w:bookmarkEnd w:id="7"/>
    <w:bookmarkEnd w:id="8"/>
    <w:sectPr w:rsidR="005A211E" w:rsidSect="00A54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641" w:rsidRDefault="00416641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16641" w:rsidRDefault="00416641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Pr="00B00A85" w:rsidRDefault="00490515" w:rsidP="005A6EB3">
    <w:pPr>
      <w:framePr w:wrap="around" w:vAnchor="text" w:hAnchor="margin" w:xAlign="center" w:y="1"/>
      <w:ind w:leftChars="0" w:left="0" w:right="363" w:firstLineChars="0" w:firstLine="0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853481">
      <w:rPr>
        <w:noProof/>
        <w:sz w:val="20"/>
        <w:szCs w:val="20"/>
      </w:rPr>
      <w:t>2</w:t>
    </w:r>
    <w:r w:rsidRPr="00B00A85">
      <w:rPr>
        <w:sz w:val="20"/>
        <w:szCs w:val="20"/>
      </w:rPr>
      <w:fldChar w:fldCharType="end"/>
    </w:r>
  </w:p>
  <w:p w:rsidR="00490515" w:rsidRPr="00657357" w:rsidRDefault="00490515" w:rsidP="0032703A">
    <w:pPr>
      <w:ind w:leftChars="0" w:left="560" w:rightChars="129" w:right="361" w:hangingChars="200" w:hanging="5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641" w:rsidRDefault="00416641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16641" w:rsidRDefault="00416641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AC6EB7" w:rsidRPr="00F96223" w:rsidRDefault="00AC6EB7" w:rsidP="00AC6EB7">
      <w:pPr>
        <w:pStyle w:val="142"/>
        <w:rPr>
          <w:rFonts w:hint="eastAsia"/>
        </w:rPr>
      </w:pPr>
      <w:r>
        <w:rPr>
          <w:rStyle w:val="af0"/>
        </w:rPr>
        <w:footnoteRef/>
      </w:r>
      <w:r>
        <w:rPr>
          <w:rFonts w:hint="eastAsia"/>
        </w:rPr>
        <w:t>細數之和因四捨五入或略有出入。</w:t>
      </w:r>
    </w:p>
  </w:footnote>
  <w:footnote w:id="2">
    <w:p w:rsidR="0014464A" w:rsidRPr="0014464A" w:rsidRDefault="0014464A" w:rsidP="00286931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0"/>
        </w:rPr>
        <w:footnoteRef/>
      </w:r>
      <w:r w:rsidRPr="0014464A">
        <w:rPr>
          <w:rFonts w:hint="eastAsia"/>
        </w:rPr>
        <w:t>附屬單位預算執行要點第35及36條規定</w:t>
      </w:r>
      <w:r>
        <w:rPr>
          <w:rFonts w:hint="eastAsia"/>
        </w:rPr>
        <w:t>：「各基金應隨時蒐集國內、外同業</w:t>
      </w:r>
      <w:r w:rsidR="00C55D03">
        <w:rPr>
          <w:rFonts w:hint="eastAsia"/>
        </w:rPr>
        <w:t>(</w:t>
      </w:r>
      <w:r>
        <w:rPr>
          <w:rFonts w:hint="eastAsia"/>
        </w:rPr>
        <w:t>或類似機構</w:t>
      </w:r>
      <w:r w:rsidR="00C55D03">
        <w:rPr>
          <w:rFonts w:hint="eastAsia"/>
        </w:rPr>
        <w:t>)</w:t>
      </w:r>
      <w:r>
        <w:rPr>
          <w:rFonts w:hint="eastAsia"/>
        </w:rPr>
        <w:t>之經營及財務狀況資料，分析比較，作為改進業務經營之依據；所蒐集及分析之資料，並應送主管機關、主計機關（單位）、該管審計機關及財政機關</w:t>
      </w:r>
      <w:r w:rsidR="00C55D03">
        <w:rPr>
          <w:rFonts w:hint="eastAsia"/>
        </w:rPr>
        <w:t>(</w:t>
      </w:r>
      <w:r>
        <w:rPr>
          <w:rFonts w:hint="eastAsia"/>
        </w:rPr>
        <w:t>單位</w:t>
      </w:r>
      <w:r w:rsidR="00C55D03">
        <w:rPr>
          <w:rFonts w:hint="eastAsia"/>
        </w:rPr>
        <w:t>)</w:t>
      </w:r>
      <w:r>
        <w:rPr>
          <w:rFonts w:hint="eastAsia"/>
        </w:rPr>
        <w:t>參考。」、「各基金業務計畫預算執行部門，應就各該部門計畫預算執行情形</w:t>
      </w:r>
      <w:r w:rsidR="00286931">
        <w:rPr>
          <w:rFonts w:hint="eastAsia"/>
        </w:rPr>
        <w:t>，</w:t>
      </w:r>
      <w:r>
        <w:rPr>
          <w:rFonts w:hint="eastAsia"/>
        </w:rPr>
        <w:t>按期編製報告，其差異超過</w:t>
      </w:r>
      <w:r w:rsidR="00286931">
        <w:rPr>
          <w:rFonts w:hint="eastAsia"/>
        </w:rPr>
        <w:t>1</w:t>
      </w:r>
      <w:r w:rsidR="00286931">
        <w:t>0%</w:t>
      </w:r>
      <w:r>
        <w:rPr>
          <w:rFonts w:hint="eastAsia"/>
        </w:rPr>
        <w:t>者，應詳予分析差異原因及提出改進意見，送由會計部門彙總分析，擬具綜合之建議，視差異程度，適時提報業務會報或董</w:t>
      </w:r>
      <w:r w:rsidR="00C55D03">
        <w:rPr>
          <w:rFonts w:hint="eastAsia"/>
        </w:rPr>
        <w:t>(理)</w:t>
      </w:r>
      <w:r>
        <w:rPr>
          <w:rFonts w:hint="eastAsia"/>
        </w:rPr>
        <w:t>事</w:t>
      </w:r>
      <w:r w:rsidR="00C55D03">
        <w:rPr>
          <w:rFonts w:hint="eastAsia"/>
        </w:rPr>
        <w:t>會(管理委員會、管理會)</w:t>
      </w:r>
      <w:r>
        <w:rPr>
          <w:rFonts w:hint="eastAsia"/>
        </w:rPr>
        <w:t>檢討採取對策。」。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515" w:rsidRDefault="00490515" w:rsidP="0032703A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E6846"/>
    <w:multiLevelType w:val="hybridMultilevel"/>
    <w:tmpl w:val="91503088"/>
    <w:lvl w:ilvl="0" w:tplc="194270F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2BCA"/>
    <w:rsid w:val="00003E98"/>
    <w:rsid w:val="00004074"/>
    <w:rsid w:val="00005618"/>
    <w:rsid w:val="000063E0"/>
    <w:rsid w:val="00006626"/>
    <w:rsid w:val="000100BF"/>
    <w:rsid w:val="00010BE0"/>
    <w:rsid w:val="00015E89"/>
    <w:rsid w:val="00025C58"/>
    <w:rsid w:val="00026C13"/>
    <w:rsid w:val="00027CBF"/>
    <w:rsid w:val="00027D22"/>
    <w:rsid w:val="000315DF"/>
    <w:rsid w:val="0003391F"/>
    <w:rsid w:val="00034914"/>
    <w:rsid w:val="00035EA5"/>
    <w:rsid w:val="000373E4"/>
    <w:rsid w:val="00040B19"/>
    <w:rsid w:val="00040DA9"/>
    <w:rsid w:val="00041C2F"/>
    <w:rsid w:val="0004369E"/>
    <w:rsid w:val="00043817"/>
    <w:rsid w:val="00045F6C"/>
    <w:rsid w:val="00046530"/>
    <w:rsid w:val="00046770"/>
    <w:rsid w:val="00052B64"/>
    <w:rsid w:val="00053672"/>
    <w:rsid w:val="00057085"/>
    <w:rsid w:val="00057C0E"/>
    <w:rsid w:val="000602F3"/>
    <w:rsid w:val="00060FC1"/>
    <w:rsid w:val="00061349"/>
    <w:rsid w:val="00062613"/>
    <w:rsid w:val="000633DC"/>
    <w:rsid w:val="00081DD6"/>
    <w:rsid w:val="0008285A"/>
    <w:rsid w:val="00083D1C"/>
    <w:rsid w:val="00084472"/>
    <w:rsid w:val="00085954"/>
    <w:rsid w:val="00086187"/>
    <w:rsid w:val="00086BC8"/>
    <w:rsid w:val="00086FD1"/>
    <w:rsid w:val="0009215A"/>
    <w:rsid w:val="000A2511"/>
    <w:rsid w:val="000A3E9B"/>
    <w:rsid w:val="000A47A3"/>
    <w:rsid w:val="000A4B58"/>
    <w:rsid w:val="000A5777"/>
    <w:rsid w:val="000A6482"/>
    <w:rsid w:val="000B10BC"/>
    <w:rsid w:val="000B4F24"/>
    <w:rsid w:val="000B5C52"/>
    <w:rsid w:val="000B7035"/>
    <w:rsid w:val="000C0F78"/>
    <w:rsid w:val="000C13AA"/>
    <w:rsid w:val="000C1AC1"/>
    <w:rsid w:val="000C205A"/>
    <w:rsid w:val="000C2AA3"/>
    <w:rsid w:val="000C42EC"/>
    <w:rsid w:val="000C4B97"/>
    <w:rsid w:val="000C575B"/>
    <w:rsid w:val="000C71FF"/>
    <w:rsid w:val="000D08D4"/>
    <w:rsid w:val="000D21B1"/>
    <w:rsid w:val="000D51D9"/>
    <w:rsid w:val="000D59F7"/>
    <w:rsid w:val="000E1A79"/>
    <w:rsid w:val="000E23A8"/>
    <w:rsid w:val="000E5FDD"/>
    <w:rsid w:val="000E6679"/>
    <w:rsid w:val="000E6D91"/>
    <w:rsid w:val="000E702C"/>
    <w:rsid w:val="000E7B34"/>
    <w:rsid w:val="000E7FA3"/>
    <w:rsid w:val="000F0D0E"/>
    <w:rsid w:val="000F3348"/>
    <w:rsid w:val="000F36BC"/>
    <w:rsid w:val="000F4356"/>
    <w:rsid w:val="000F4D24"/>
    <w:rsid w:val="000F5480"/>
    <w:rsid w:val="000F565F"/>
    <w:rsid w:val="000F5698"/>
    <w:rsid w:val="00101EF8"/>
    <w:rsid w:val="001027A7"/>
    <w:rsid w:val="0010399B"/>
    <w:rsid w:val="001054B0"/>
    <w:rsid w:val="00107F5C"/>
    <w:rsid w:val="00110668"/>
    <w:rsid w:val="0011174A"/>
    <w:rsid w:val="00113140"/>
    <w:rsid w:val="00113412"/>
    <w:rsid w:val="0011343C"/>
    <w:rsid w:val="0011406D"/>
    <w:rsid w:val="00114BFA"/>
    <w:rsid w:val="001150BE"/>
    <w:rsid w:val="00115348"/>
    <w:rsid w:val="001158CC"/>
    <w:rsid w:val="00120A02"/>
    <w:rsid w:val="001226E3"/>
    <w:rsid w:val="00122ED8"/>
    <w:rsid w:val="00123D98"/>
    <w:rsid w:val="001246B0"/>
    <w:rsid w:val="00126A7B"/>
    <w:rsid w:val="00127130"/>
    <w:rsid w:val="00130695"/>
    <w:rsid w:val="00130CD1"/>
    <w:rsid w:val="00131781"/>
    <w:rsid w:val="00131A5F"/>
    <w:rsid w:val="00131DDA"/>
    <w:rsid w:val="001330DF"/>
    <w:rsid w:val="00133AC1"/>
    <w:rsid w:val="00135748"/>
    <w:rsid w:val="00140D79"/>
    <w:rsid w:val="001429B1"/>
    <w:rsid w:val="0014362F"/>
    <w:rsid w:val="00143B8B"/>
    <w:rsid w:val="0014464A"/>
    <w:rsid w:val="001455D9"/>
    <w:rsid w:val="00147586"/>
    <w:rsid w:val="001502AC"/>
    <w:rsid w:val="001509F5"/>
    <w:rsid w:val="00151AF1"/>
    <w:rsid w:val="00151C69"/>
    <w:rsid w:val="00151E2A"/>
    <w:rsid w:val="001541AC"/>
    <w:rsid w:val="00154C83"/>
    <w:rsid w:val="00155D07"/>
    <w:rsid w:val="00156CA8"/>
    <w:rsid w:val="001572D5"/>
    <w:rsid w:val="0016155D"/>
    <w:rsid w:val="00161FC9"/>
    <w:rsid w:val="00162E35"/>
    <w:rsid w:val="00163DE9"/>
    <w:rsid w:val="00165535"/>
    <w:rsid w:val="00167202"/>
    <w:rsid w:val="00172726"/>
    <w:rsid w:val="00182332"/>
    <w:rsid w:val="00182A6C"/>
    <w:rsid w:val="00183E83"/>
    <w:rsid w:val="00183F83"/>
    <w:rsid w:val="00186B31"/>
    <w:rsid w:val="00187621"/>
    <w:rsid w:val="0019072B"/>
    <w:rsid w:val="00194EEB"/>
    <w:rsid w:val="001972D6"/>
    <w:rsid w:val="0019765E"/>
    <w:rsid w:val="001A0238"/>
    <w:rsid w:val="001A0C95"/>
    <w:rsid w:val="001A0DD1"/>
    <w:rsid w:val="001A34AC"/>
    <w:rsid w:val="001A6450"/>
    <w:rsid w:val="001A64A8"/>
    <w:rsid w:val="001A6915"/>
    <w:rsid w:val="001B04E0"/>
    <w:rsid w:val="001B0855"/>
    <w:rsid w:val="001B2525"/>
    <w:rsid w:val="001B5679"/>
    <w:rsid w:val="001B5717"/>
    <w:rsid w:val="001B677B"/>
    <w:rsid w:val="001B6790"/>
    <w:rsid w:val="001B7942"/>
    <w:rsid w:val="001C04F9"/>
    <w:rsid w:val="001C3733"/>
    <w:rsid w:val="001C45A1"/>
    <w:rsid w:val="001C45B1"/>
    <w:rsid w:val="001C5617"/>
    <w:rsid w:val="001D0416"/>
    <w:rsid w:val="001D155F"/>
    <w:rsid w:val="001D1634"/>
    <w:rsid w:val="001D1AFE"/>
    <w:rsid w:val="001D243D"/>
    <w:rsid w:val="001D5C01"/>
    <w:rsid w:val="001D6FB8"/>
    <w:rsid w:val="001E01B4"/>
    <w:rsid w:val="001E0247"/>
    <w:rsid w:val="001E0746"/>
    <w:rsid w:val="001E1D9E"/>
    <w:rsid w:val="001E4965"/>
    <w:rsid w:val="001E62FD"/>
    <w:rsid w:val="001F09E6"/>
    <w:rsid w:val="001F3238"/>
    <w:rsid w:val="0020061E"/>
    <w:rsid w:val="00200690"/>
    <w:rsid w:val="002008C9"/>
    <w:rsid w:val="00200BEE"/>
    <w:rsid w:val="002020DE"/>
    <w:rsid w:val="002022FA"/>
    <w:rsid w:val="00202BAA"/>
    <w:rsid w:val="00205FB1"/>
    <w:rsid w:val="00206B7C"/>
    <w:rsid w:val="00210DA3"/>
    <w:rsid w:val="00211AE3"/>
    <w:rsid w:val="00212215"/>
    <w:rsid w:val="00212AFA"/>
    <w:rsid w:val="00213BBD"/>
    <w:rsid w:val="00214A87"/>
    <w:rsid w:val="002157BF"/>
    <w:rsid w:val="00216AA0"/>
    <w:rsid w:val="00217D5C"/>
    <w:rsid w:val="002200FA"/>
    <w:rsid w:val="0022014C"/>
    <w:rsid w:val="00220732"/>
    <w:rsid w:val="00222CFA"/>
    <w:rsid w:val="00222E5F"/>
    <w:rsid w:val="00223BF6"/>
    <w:rsid w:val="002257F1"/>
    <w:rsid w:val="00225DCE"/>
    <w:rsid w:val="00226AFB"/>
    <w:rsid w:val="00226B5E"/>
    <w:rsid w:val="0022741C"/>
    <w:rsid w:val="0023061D"/>
    <w:rsid w:val="00230E0C"/>
    <w:rsid w:val="002326B8"/>
    <w:rsid w:val="002330F6"/>
    <w:rsid w:val="00233B48"/>
    <w:rsid w:val="00234298"/>
    <w:rsid w:val="00234DB3"/>
    <w:rsid w:val="0024013A"/>
    <w:rsid w:val="0024140C"/>
    <w:rsid w:val="00242FB8"/>
    <w:rsid w:val="0024373E"/>
    <w:rsid w:val="00243953"/>
    <w:rsid w:val="00244785"/>
    <w:rsid w:val="00245456"/>
    <w:rsid w:val="00246156"/>
    <w:rsid w:val="00251478"/>
    <w:rsid w:val="00252795"/>
    <w:rsid w:val="00253B7E"/>
    <w:rsid w:val="00255905"/>
    <w:rsid w:val="00255988"/>
    <w:rsid w:val="002577F5"/>
    <w:rsid w:val="00265DBE"/>
    <w:rsid w:val="00265EFF"/>
    <w:rsid w:val="00276A67"/>
    <w:rsid w:val="0027798D"/>
    <w:rsid w:val="00280206"/>
    <w:rsid w:val="00281AB2"/>
    <w:rsid w:val="00283C4A"/>
    <w:rsid w:val="00284FE9"/>
    <w:rsid w:val="00286931"/>
    <w:rsid w:val="00290F9F"/>
    <w:rsid w:val="00295E33"/>
    <w:rsid w:val="002964CF"/>
    <w:rsid w:val="002A12F8"/>
    <w:rsid w:val="002A16D9"/>
    <w:rsid w:val="002A1735"/>
    <w:rsid w:val="002A353C"/>
    <w:rsid w:val="002A484F"/>
    <w:rsid w:val="002A730F"/>
    <w:rsid w:val="002A76A8"/>
    <w:rsid w:val="002B0D0A"/>
    <w:rsid w:val="002B2E2C"/>
    <w:rsid w:val="002B4421"/>
    <w:rsid w:val="002B6C4C"/>
    <w:rsid w:val="002B7B53"/>
    <w:rsid w:val="002C03FE"/>
    <w:rsid w:val="002C77B1"/>
    <w:rsid w:val="002C78D6"/>
    <w:rsid w:val="002D01E7"/>
    <w:rsid w:val="002D2D55"/>
    <w:rsid w:val="002D4978"/>
    <w:rsid w:val="002D7AAD"/>
    <w:rsid w:val="002E136F"/>
    <w:rsid w:val="002E153B"/>
    <w:rsid w:val="002E7307"/>
    <w:rsid w:val="002F03C4"/>
    <w:rsid w:val="002F059C"/>
    <w:rsid w:val="002F0766"/>
    <w:rsid w:val="002F1A2E"/>
    <w:rsid w:val="002F2A22"/>
    <w:rsid w:val="002F35D4"/>
    <w:rsid w:val="002F39B0"/>
    <w:rsid w:val="002F3ABA"/>
    <w:rsid w:val="002F4822"/>
    <w:rsid w:val="002F5234"/>
    <w:rsid w:val="002F569C"/>
    <w:rsid w:val="002F56AE"/>
    <w:rsid w:val="002F73C6"/>
    <w:rsid w:val="002F7B16"/>
    <w:rsid w:val="0030219A"/>
    <w:rsid w:val="003023D3"/>
    <w:rsid w:val="00303214"/>
    <w:rsid w:val="00305AD7"/>
    <w:rsid w:val="00310DF7"/>
    <w:rsid w:val="00311A33"/>
    <w:rsid w:val="0031497E"/>
    <w:rsid w:val="00315E2A"/>
    <w:rsid w:val="003207C9"/>
    <w:rsid w:val="00321F9F"/>
    <w:rsid w:val="003227B3"/>
    <w:rsid w:val="003233C1"/>
    <w:rsid w:val="003241A8"/>
    <w:rsid w:val="00324A54"/>
    <w:rsid w:val="00325DEA"/>
    <w:rsid w:val="0032703A"/>
    <w:rsid w:val="00327B59"/>
    <w:rsid w:val="003307CB"/>
    <w:rsid w:val="00330B8F"/>
    <w:rsid w:val="003321A9"/>
    <w:rsid w:val="003321DA"/>
    <w:rsid w:val="00332746"/>
    <w:rsid w:val="00333737"/>
    <w:rsid w:val="00335F04"/>
    <w:rsid w:val="0033652C"/>
    <w:rsid w:val="003370BD"/>
    <w:rsid w:val="003379D8"/>
    <w:rsid w:val="003412F4"/>
    <w:rsid w:val="0034192E"/>
    <w:rsid w:val="00341A14"/>
    <w:rsid w:val="00341F5B"/>
    <w:rsid w:val="003458CF"/>
    <w:rsid w:val="00345F40"/>
    <w:rsid w:val="00345FF4"/>
    <w:rsid w:val="003467FA"/>
    <w:rsid w:val="00347665"/>
    <w:rsid w:val="00350C46"/>
    <w:rsid w:val="0035166F"/>
    <w:rsid w:val="00351C7C"/>
    <w:rsid w:val="003522DE"/>
    <w:rsid w:val="00353615"/>
    <w:rsid w:val="00354EEA"/>
    <w:rsid w:val="003559B6"/>
    <w:rsid w:val="003605FA"/>
    <w:rsid w:val="00366108"/>
    <w:rsid w:val="003663BB"/>
    <w:rsid w:val="003671CF"/>
    <w:rsid w:val="00370B88"/>
    <w:rsid w:val="003730BB"/>
    <w:rsid w:val="00376797"/>
    <w:rsid w:val="0038131E"/>
    <w:rsid w:val="0038394E"/>
    <w:rsid w:val="003855A8"/>
    <w:rsid w:val="00387D47"/>
    <w:rsid w:val="00390215"/>
    <w:rsid w:val="003905A9"/>
    <w:rsid w:val="0039220B"/>
    <w:rsid w:val="00393FB3"/>
    <w:rsid w:val="003942DC"/>
    <w:rsid w:val="00396321"/>
    <w:rsid w:val="003A101A"/>
    <w:rsid w:val="003A1AED"/>
    <w:rsid w:val="003A34B5"/>
    <w:rsid w:val="003A416D"/>
    <w:rsid w:val="003A4294"/>
    <w:rsid w:val="003A51E6"/>
    <w:rsid w:val="003A63C7"/>
    <w:rsid w:val="003A6548"/>
    <w:rsid w:val="003A679D"/>
    <w:rsid w:val="003A6E4D"/>
    <w:rsid w:val="003B2423"/>
    <w:rsid w:val="003B410D"/>
    <w:rsid w:val="003B7BCF"/>
    <w:rsid w:val="003C07D9"/>
    <w:rsid w:val="003C4510"/>
    <w:rsid w:val="003C4B34"/>
    <w:rsid w:val="003C61A7"/>
    <w:rsid w:val="003C6393"/>
    <w:rsid w:val="003D104A"/>
    <w:rsid w:val="003D55A5"/>
    <w:rsid w:val="003D567B"/>
    <w:rsid w:val="003D7F56"/>
    <w:rsid w:val="003E08A2"/>
    <w:rsid w:val="003E316B"/>
    <w:rsid w:val="003E5216"/>
    <w:rsid w:val="003E6312"/>
    <w:rsid w:val="003E69D5"/>
    <w:rsid w:val="003E7E26"/>
    <w:rsid w:val="003F023A"/>
    <w:rsid w:val="003F20D5"/>
    <w:rsid w:val="003F27E3"/>
    <w:rsid w:val="003F28EB"/>
    <w:rsid w:val="003F6748"/>
    <w:rsid w:val="00400D14"/>
    <w:rsid w:val="00400ED3"/>
    <w:rsid w:val="00402411"/>
    <w:rsid w:val="00404BED"/>
    <w:rsid w:val="004053EE"/>
    <w:rsid w:val="00405B99"/>
    <w:rsid w:val="00407976"/>
    <w:rsid w:val="00412877"/>
    <w:rsid w:val="00415F08"/>
    <w:rsid w:val="00416641"/>
    <w:rsid w:val="004179C7"/>
    <w:rsid w:val="00420192"/>
    <w:rsid w:val="00420443"/>
    <w:rsid w:val="0042071D"/>
    <w:rsid w:val="0042269C"/>
    <w:rsid w:val="00423593"/>
    <w:rsid w:val="0042382F"/>
    <w:rsid w:val="00423AAD"/>
    <w:rsid w:val="004249F1"/>
    <w:rsid w:val="00425B20"/>
    <w:rsid w:val="00425F8F"/>
    <w:rsid w:val="00427AE2"/>
    <w:rsid w:val="004302A3"/>
    <w:rsid w:val="00431341"/>
    <w:rsid w:val="004319FA"/>
    <w:rsid w:val="00431C05"/>
    <w:rsid w:val="004327B1"/>
    <w:rsid w:val="0043585B"/>
    <w:rsid w:val="00437F3E"/>
    <w:rsid w:val="00440B8E"/>
    <w:rsid w:val="0044156C"/>
    <w:rsid w:val="00441DF3"/>
    <w:rsid w:val="0044277F"/>
    <w:rsid w:val="00442D08"/>
    <w:rsid w:val="004445FF"/>
    <w:rsid w:val="004451B8"/>
    <w:rsid w:val="00445898"/>
    <w:rsid w:val="00445BCF"/>
    <w:rsid w:val="004527D9"/>
    <w:rsid w:val="00454B31"/>
    <w:rsid w:val="004619A7"/>
    <w:rsid w:val="00461D7A"/>
    <w:rsid w:val="004635F8"/>
    <w:rsid w:val="00463E30"/>
    <w:rsid w:val="00463F08"/>
    <w:rsid w:val="004640AA"/>
    <w:rsid w:val="00465F73"/>
    <w:rsid w:val="0046720E"/>
    <w:rsid w:val="00467444"/>
    <w:rsid w:val="00472676"/>
    <w:rsid w:val="00475BE6"/>
    <w:rsid w:val="00475DD5"/>
    <w:rsid w:val="00476CF0"/>
    <w:rsid w:val="0047775C"/>
    <w:rsid w:val="00477ECB"/>
    <w:rsid w:val="00481A69"/>
    <w:rsid w:val="004822B3"/>
    <w:rsid w:val="004837A7"/>
    <w:rsid w:val="004848F4"/>
    <w:rsid w:val="00490515"/>
    <w:rsid w:val="00494166"/>
    <w:rsid w:val="0049658F"/>
    <w:rsid w:val="00496920"/>
    <w:rsid w:val="004A2A92"/>
    <w:rsid w:val="004A32DC"/>
    <w:rsid w:val="004A42B2"/>
    <w:rsid w:val="004A4CF6"/>
    <w:rsid w:val="004A5A0F"/>
    <w:rsid w:val="004B04B2"/>
    <w:rsid w:val="004B1988"/>
    <w:rsid w:val="004B2844"/>
    <w:rsid w:val="004B347A"/>
    <w:rsid w:val="004B3D71"/>
    <w:rsid w:val="004B4478"/>
    <w:rsid w:val="004B7016"/>
    <w:rsid w:val="004C145C"/>
    <w:rsid w:val="004C1A21"/>
    <w:rsid w:val="004C2D82"/>
    <w:rsid w:val="004C677F"/>
    <w:rsid w:val="004C6C77"/>
    <w:rsid w:val="004C7438"/>
    <w:rsid w:val="004C7C1D"/>
    <w:rsid w:val="004D413A"/>
    <w:rsid w:val="004D5777"/>
    <w:rsid w:val="004D735C"/>
    <w:rsid w:val="004D78C4"/>
    <w:rsid w:val="004D7F8E"/>
    <w:rsid w:val="004E4A79"/>
    <w:rsid w:val="004E5607"/>
    <w:rsid w:val="004E6208"/>
    <w:rsid w:val="004E6AAE"/>
    <w:rsid w:val="004E731F"/>
    <w:rsid w:val="004F2A2A"/>
    <w:rsid w:val="004F4AFB"/>
    <w:rsid w:val="004F7482"/>
    <w:rsid w:val="004F76C9"/>
    <w:rsid w:val="00500100"/>
    <w:rsid w:val="00504C1B"/>
    <w:rsid w:val="005056F5"/>
    <w:rsid w:val="00505DEC"/>
    <w:rsid w:val="00507812"/>
    <w:rsid w:val="00510EFE"/>
    <w:rsid w:val="005129AF"/>
    <w:rsid w:val="00512A8A"/>
    <w:rsid w:val="005135D0"/>
    <w:rsid w:val="00513F27"/>
    <w:rsid w:val="005145B1"/>
    <w:rsid w:val="005213E5"/>
    <w:rsid w:val="00521D39"/>
    <w:rsid w:val="00523467"/>
    <w:rsid w:val="00523C94"/>
    <w:rsid w:val="0052448F"/>
    <w:rsid w:val="005258B3"/>
    <w:rsid w:val="005263F8"/>
    <w:rsid w:val="005272C4"/>
    <w:rsid w:val="005273E2"/>
    <w:rsid w:val="005278B5"/>
    <w:rsid w:val="0052791B"/>
    <w:rsid w:val="005324A4"/>
    <w:rsid w:val="00532D71"/>
    <w:rsid w:val="005332CD"/>
    <w:rsid w:val="00535105"/>
    <w:rsid w:val="00535986"/>
    <w:rsid w:val="00535B7C"/>
    <w:rsid w:val="00540420"/>
    <w:rsid w:val="00540A0D"/>
    <w:rsid w:val="0054211A"/>
    <w:rsid w:val="00544A82"/>
    <w:rsid w:val="00545248"/>
    <w:rsid w:val="0054546E"/>
    <w:rsid w:val="0054684C"/>
    <w:rsid w:val="005501BE"/>
    <w:rsid w:val="0055193C"/>
    <w:rsid w:val="005539AE"/>
    <w:rsid w:val="00554B27"/>
    <w:rsid w:val="005566D8"/>
    <w:rsid w:val="0056214F"/>
    <w:rsid w:val="005630AC"/>
    <w:rsid w:val="005667B3"/>
    <w:rsid w:val="00574B70"/>
    <w:rsid w:val="00574F24"/>
    <w:rsid w:val="0057638F"/>
    <w:rsid w:val="005801BB"/>
    <w:rsid w:val="00583A57"/>
    <w:rsid w:val="005852B4"/>
    <w:rsid w:val="00586257"/>
    <w:rsid w:val="005868EF"/>
    <w:rsid w:val="0059443E"/>
    <w:rsid w:val="00594542"/>
    <w:rsid w:val="0059682F"/>
    <w:rsid w:val="005A211E"/>
    <w:rsid w:val="005A2F00"/>
    <w:rsid w:val="005A3115"/>
    <w:rsid w:val="005A5B32"/>
    <w:rsid w:val="005A6EB3"/>
    <w:rsid w:val="005B1305"/>
    <w:rsid w:val="005B6E66"/>
    <w:rsid w:val="005B7375"/>
    <w:rsid w:val="005C0415"/>
    <w:rsid w:val="005C0C6A"/>
    <w:rsid w:val="005C1F60"/>
    <w:rsid w:val="005C2044"/>
    <w:rsid w:val="005C353D"/>
    <w:rsid w:val="005C4DF7"/>
    <w:rsid w:val="005C67EE"/>
    <w:rsid w:val="005C6D20"/>
    <w:rsid w:val="005C7DC2"/>
    <w:rsid w:val="005D04BC"/>
    <w:rsid w:val="005D0733"/>
    <w:rsid w:val="005D1734"/>
    <w:rsid w:val="005D3A52"/>
    <w:rsid w:val="005D45DD"/>
    <w:rsid w:val="005D4A0D"/>
    <w:rsid w:val="005D4D48"/>
    <w:rsid w:val="005D7475"/>
    <w:rsid w:val="005D7EDF"/>
    <w:rsid w:val="005E2A12"/>
    <w:rsid w:val="005E2F60"/>
    <w:rsid w:val="005E48F8"/>
    <w:rsid w:val="005E6EB5"/>
    <w:rsid w:val="005F3967"/>
    <w:rsid w:val="005F5A28"/>
    <w:rsid w:val="005F7986"/>
    <w:rsid w:val="006013EF"/>
    <w:rsid w:val="00601C34"/>
    <w:rsid w:val="0060236B"/>
    <w:rsid w:val="00602A34"/>
    <w:rsid w:val="00603846"/>
    <w:rsid w:val="0060520F"/>
    <w:rsid w:val="0061532A"/>
    <w:rsid w:val="00615EF4"/>
    <w:rsid w:val="00621101"/>
    <w:rsid w:val="00621C10"/>
    <w:rsid w:val="00622C16"/>
    <w:rsid w:val="006230C9"/>
    <w:rsid w:val="00623718"/>
    <w:rsid w:val="00625CBE"/>
    <w:rsid w:val="00627E54"/>
    <w:rsid w:val="006307FB"/>
    <w:rsid w:val="00630D49"/>
    <w:rsid w:val="006368E5"/>
    <w:rsid w:val="00636E21"/>
    <w:rsid w:val="0063759B"/>
    <w:rsid w:val="00637655"/>
    <w:rsid w:val="00637955"/>
    <w:rsid w:val="00637BC7"/>
    <w:rsid w:val="00640B04"/>
    <w:rsid w:val="00642504"/>
    <w:rsid w:val="00645D5D"/>
    <w:rsid w:val="00650287"/>
    <w:rsid w:val="00650329"/>
    <w:rsid w:val="00650DB3"/>
    <w:rsid w:val="006520EC"/>
    <w:rsid w:val="00652386"/>
    <w:rsid w:val="00652D8C"/>
    <w:rsid w:val="00653CED"/>
    <w:rsid w:val="00654FDF"/>
    <w:rsid w:val="00655305"/>
    <w:rsid w:val="0065653B"/>
    <w:rsid w:val="00657A56"/>
    <w:rsid w:val="0066033C"/>
    <w:rsid w:val="00661118"/>
    <w:rsid w:val="00661478"/>
    <w:rsid w:val="0066394B"/>
    <w:rsid w:val="00664406"/>
    <w:rsid w:val="006651EF"/>
    <w:rsid w:val="006671BE"/>
    <w:rsid w:val="006709F7"/>
    <w:rsid w:val="006718D4"/>
    <w:rsid w:val="00671B21"/>
    <w:rsid w:val="00672A38"/>
    <w:rsid w:val="00673663"/>
    <w:rsid w:val="00673750"/>
    <w:rsid w:val="006746CA"/>
    <w:rsid w:val="00682B2D"/>
    <w:rsid w:val="0068339C"/>
    <w:rsid w:val="00684F68"/>
    <w:rsid w:val="00685987"/>
    <w:rsid w:val="00692B4B"/>
    <w:rsid w:val="00693832"/>
    <w:rsid w:val="00693A18"/>
    <w:rsid w:val="00693DAC"/>
    <w:rsid w:val="00693DBA"/>
    <w:rsid w:val="00694FA3"/>
    <w:rsid w:val="00696293"/>
    <w:rsid w:val="00697D77"/>
    <w:rsid w:val="006A02D0"/>
    <w:rsid w:val="006A085A"/>
    <w:rsid w:val="006A170D"/>
    <w:rsid w:val="006A217A"/>
    <w:rsid w:val="006A2369"/>
    <w:rsid w:val="006A2FD6"/>
    <w:rsid w:val="006A51E5"/>
    <w:rsid w:val="006A53EF"/>
    <w:rsid w:val="006A558B"/>
    <w:rsid w:val="006A5EE9"/>
    <w:rsid w:val="006A6910"/>
    <w:rsid w:val="006A7CFE"/>
    <w:rsid w:val="006B0219"/>
    <w:rsid w:val="006B0E61"/>
    <w:rsid w:val="006B1122"/>
    <w:rsid w:val="006B185E"/>
    <w:rsid w:val="006B1B2C"/>
    <w:rsid w:val="006B3908"/>
    <w:rsid w:val="006B49E5"/>
    <w:rsid w:val="006C07EF"/>
    <w:rsid w:val="006C0B69"/>
    <w:rsid w:val="006C298A"/>
    <w:rsid w:val="006C30EF"/>
    <w:rsid w:val="006C3D98"/>
    <w:rsid w:val="006C4A03"/>
    <w:rsid w:val="006C5E13"/>
    <w:rsid w:val="006C61F9"/>
    <w:rsid w:val="006D0A36"/>
    <w:rsid w:val="006D116F"/>
    <w:rsid w:val="006D31E2"/>
    <w:rsid w:val="006D39B1"/>
    <w:rsid w:val="006D3BDD"/>
    <w:rsid w:val="006D4AE8"/>
    <w:rsid w:val="006D68A8"/>
    <w:rsid w:val="006E355C"/>
    <w:rsid w:val="006E4403"/>
    <w:rsid w:val="006E7331"/>
    <w:rsid w:val="006E7CEF"/>
    <w:rsid w:val="006E7E51"/>
    <w:rsid w:val="006F1587"/>
    <w:rsid w:val="006F16B0"/>
    <w:rsid w:val="006F1753"/>
    <w:rsid w:val="006F3495"/>
    <w:rsid w:val="006F40C6"/>
    <w:rsid w:val="006F54C0"/>
    <w:rsid w:val="006F71CB"/>
    <w:rsid w:val="006F7AE0"/>
    <w:rsid w:val="007015A1"/>
    <w:rsid w:val="00703A2A"/>
    <w:rsid w:val="00703CB2"/>
    <w:rsid w:val="00705292"/>
    <w:rsid w:val="00707D77"/>
    <w:rsid w:val="00707EFA"/>
    <w:rsid w:val="00710380"/>
    <w:rsid w:val="007120E1"/>
    <w:rsid w:val="00714C34"/>
    <w:rsid w:val="00715F73"/>
    <w:rsid w:val="00721134"/>
    <w:rsid w:val="00722B80"/>
    <w:rsid w:val="0072307B"/>
    <w:rsid w:val="007234B7"/>
    <w:rsid w:val="00724A64"/>
    <w:rsid w:val="0072527F"/>
    <w:rsid w:val="00725C4B"/>
    <w:rsid w:val="00725CA1"/>
    <w:rsid w:val="00726803"/>
    <w:rsid w:val="00727210"/>
    <w:rsid w:val="00730660"/>
    <w:rsid w:val="007307DD"/>
    <w:rsid w:val="00732368"/>
    <w:rsid w:val="00732705"/>
    <w:rsid w:val="00734AE1"/>
    <w:rsid w:val="00734E04"/>
    <w:rsid w:val="00735512"/>
    <w:rsid w:val="007365B2"/>
    <w:rsid w:val="00736A28"/>
    <w:rsid w:val="007372F4"/>
    <w:rsid w:val="00740496"/>
    <w:rsid w:val="007412B2"/>
    <w:rsid w:val="0074259E"/>
    <w:rsid w:val="00742C9B"/>
    <w:rsid w:val="00744408"/>
    <w:rsid w:val="00745A69"/>
    <w:rsid w:val="00745AFC"/>
    <w:rsid w:val="00745CC6"/>
    <w:rsid w:val="00746201"/>
    <w:rsid w:val="0074656E"/>
    <w:rsid w:val="00750275"/>
    <w:rsid w:val="00753308"/>
    <w:rsid w:val="00754ABB"/>
    <w:rsid w:val="00756911"/>
    <w:rsid w:val="0075746F"/>
    <w:rsid w:val="0076221B"/>
    <w:rsid w:val="00762C0F"/>
    <w:rsid w:val="00764AA2"/>
    <w:rsid w:val="00764AB6"/>
    <w:rsid w:val="00771259"/>
    <w:rsid w:val="00771DAC"/>
    <w:rsid w:val="007738F5"/>
    <w:rsid w:val="00773DE1"/>
    <w:rsid w:val="007755F6"/>
    <w:rsid w:val="00780139"/>
    <w:rsid w:val="0078115D"/>
    <w:rsid w:val="00783415"/>
    <w:rsid w:val="00784EAD"/>
    <w:rsid w:val="0078518E"/>
    <w:rsid w:val="007856F4"/>
    <w:rsid w:val="007858A5"/>
    <w:rsid w:val="007860C6"/>
    <w:rsid w:val="00787880"/>
    <w:rsid w:val="0079470E"/>
    <w:rsid w:val="00794B01"/>
    <w:rsid w:val="00794F05"/>
    <w:rsid w:val="007A0BEC"/>
    <w:rsid w:val="007A105E"/>
    <w:rsid w:val="007A16FE"/>
    <w:rsid w:val="007A1A9F"/>
    <w:rsid w:val="007A2ACD"/>
    <w:rsid w:val="007A4CEF"/>
    <w:rsid w:val="007A69E7"/>
    <w:rsid w:val="007A6A89"/>
    <w:rsid w:val="007A79A7"/>
    <w:rsid w:val="007A7AEC"/>
    <w:rsid w:val="007A7E96"/>
    <w:rsid w:val="007B057B"/>
    <w:rsid w:val="007B1085"/>
    <w:rsid w:val="007B1484"/>
    <w:rsid w:val="007B526B"/>
    <w:rsid w:val="007B63B8"/>
    <w:rsid w:val="007B7B49"/>
    <w:rsid w:val="007C005E"/>
    <w:rsid w:val="007C11B6"/>
    <w:rsid w:val="007C3B68"/>
    <w:rsid w:val="007C3DEB"/>
    <w:rsid w:val="007C63A5"/>
    <w:rsid w:val="007C7F1B"/>
    <w:rsid w:val="007D2034"/>
    <w:rsid w:val="007D2F8F"/>
    <w:rsid w:val="007D3164"/>
    <w:rsid w:val="007D34D7"/>
    <w:rsid w:val="007D455E"/>
    <w:rsid w:val="007D58A3"/>
    <w:rsid w:val="007D6206"/>
    <w:rsid w:val="007D6DD3"/>
    <w:rsid w:val="007E1F78"/>
    <w:rsid w:val="007E569D"/>
    <w:rsid w:val="007E5DE8"/>
    <w:rsid w:val="007E6AAB"/>
    <w:rsid w:val="007E6B57"/>
    <w:rsid w:val="007F0221"/>
    <w:rsid w:val="007F2B04"/>
    <w:rsid w:val="007F3210"/>
    <w:rsid w:val="007F51FA"/>
    <w:rsid w:val="008015A9"/>
    <w:rsid w:val="00801D92"/>
    <w:rsid w:val="008055DD"/>
    <w:rsid w:val="0081017B"/>
    <w:rsid w:val="008101B1"/>
    <w:rsid w:val="0081021D"/>
    <w:rsid w:val="0081058C"/>
    <w:rsid w:val="00810D63"/>
    <w:rsid w:val="00810DC4"/>
    <w:rsid w:val="00813127"/>
    <w:rsid w:val="00813D2A"/>
    <w:rsid w:val="00816B4A"/>
    <w:rsid w:val="00816D65"/>
    <w:rsid w:val="008206D7"/>
    <w:rsid w:val="00820B67"/>
    <w:rsid w:val="00822A67"/>
    <w:rsid w:val="0082302E"/>
    <w:rsid w:val="00823070"/>
    <w:rsid w:val="008234C1"/>
    <w:rsid w:val="008242D2"/>
    <w:rsid w:val="008307B7"/>
    <w:rsid w:val="00830F58"/>
    <w:rsid w:val="00831EF5"/>
    <w:rsid w:val="00834E72"/>
    <w:rsid w:val="00835692"/>
    <w:rsid w:val="00840985"/>
    <w:rsid w:val="00843DC1"/>
    <w:rsid w:val="00847661"/>
    <w:rsid w:val="0085008A"/>
    <w:rsid w:val="00850E13"/>
    <w:rsid w:val="008517FE"/>
    <w:rsid w:val="008528D1"/>
    <w:rsid w:val="00853481"/>
    <w:rsid w:val="008535C6"/>
    <w:rsid w:val="00855D59"/>
    <w:rsid w:val="00860F6C"/>
    <w:rsid w:val="008611AF"/>
    <w:rsid w:val="0086131B"/>
    <w:rsid w:val="00861EED"/>
    <w:rsid w:val="00863EC0"/>
    <w:rsid w:val="00864314"/>
    <w:rsid w:val="00867B3A"/>
    <w:rsid w:val="008718C0"/>
    <w:rsid w:val="0087234F"/>
    <w:rsid w:val="00873FF0"/>
    <w:rsid w:val="0087519D"/>
    <w:rsid w:val="00875F23"/>
    <w:rsid w:val="008762C3"/>
    <w:rsid w:val="0088214B"/>
    <w:rsid w:val="008826B5"/>
    <w:rsid w:val="00883361"/>
    <w:rsid w:val="00893C6D"/>
    <w:rsid w:val="00894278"/>
    <w:rsid w:val="00895E4E"/>
    <w:rsid w:val="00896E41"/>
    <w:rsid w:val="00897B3A"/>
    <w:rsid w:val="008A0AE6"/>
    <w:rsid w:val="008A185B"/>
    <w:rsid w:val="008A35DC"/>
    <w:rsid w:val="008A53EF"/>
    <w:rsid w:val="008B1ED6"/>
    <w:rsid w:val="008B32E4"/>
    <w:rsid w:val="008B3829"/>
    <w:rsid w:val="008B66C1"/>
    <w:rsid w:val="008B6FF2"/>
    <w:rsid w:val="008B786A"/>
    <w:rsid w:val="008C0E00"/>
    <w:rsid w:val="008C514D"/>
    <w:rsid w:val="008C5FE6"/>
    <w:rsid w:val="008D0AB1"/>
    <w:rsid w:val="008D137B"/>
    <w:rsid w:val="008D15C5"/>
    <w:rsid w:val="008D1DF3"/>
    <w:rsid w:val="008D257A"/>
    <w:rsid w:val="008D38C9"/>
    <w:rsid w:val="008D41E4"/>
    <w:rsid w:val="008D65C5"/>
    <w:rsid w:val="008D766C"/>
    <w:rsid w:val="008D7951"/>
    <w:rsid w:val="008E00AE"/>
    <w:rsid w:val="008E2BA1"/>
    <w:rsid w:val="008E7508"/>
    <w:rsid w:val="008F0953"/>
    <w:rsid w:val="008F2AF0"/>
    <w:rsid w:val="008F35D6"/>
    <w:rsid w:val="008F3FB7"/>
    <w:rsid w:val="008F60C2"/>
    <w:rsid w:val="008F6335"/>
    <w:rsid w:val="008F6862"/>
    <w:rsid w:val="00904DE7"/>
    <w:rsid w:val="00910C53"/>
    <w:rsid w:val="009116B1"/>
    <w:rsid w:val="00911936"/>
    <w:rsid w:val="009135FC"/>
    <w:rsid w:val="00914CC8"/>
    <w:rsid w:val="00914EB7"/>
    <w:rsid w:val="00915D43"/>
    <w:rsid w:val="0091789F"/>
    <w:rsid w:val="00920233"/>
    <w:rsid w:val="00920D75"/>
    <w:rsid w:val="00927E56"/>
    <w:rsid w:val="00931489"/>
    <w:rsid w:val="0093190B"/>
    <w:rsid w:val="00934C35"/>
    <w:rsid w:val="009358CA"/>
    <w:rsid w:val="0093606C"/>
    <w:rsid w:val="009372DE"/>
    <w:rsid w:val="009376AF"/>
    <w:rsid w:val="009430C4"/>
    <w:rsid w:val="009435B0"/>
    <w:rsid w:val="00945414"/>
    <w:rsid w:val="00953A87"/>
    <w:rsid w:val="00956616"/>
    <w:rsid w:val="009627EB"/>
    <w:rsid w:val="00962B58"/>
    <w:rsid w:val="00964478"/>
    <w:rsid w:val="00964C34"/>
    <w:rsid w:val="009665E5"/>
    <w:rsid w:val="00966764"/>
    <w:rsid w:val="00967D61"/>
    <w:rsid w:val="0097017C"/>
    <w:rsid w:val="009712B1"/>
    <w:rsid w:val="00972712"/>
    <w:rsid w:val="009729A9"/>
    <w:rsid w:val="00975050"/>
    <w:rsid w:val="00976076"/>
    <w:rsid w:val="00977E8F"/>
    <w:rsid w:val="00980E29"/>
    <w:rsid w:val="00984EB0"/>
    <w:rsid w:val="00987228"/>
    <w:rsid w:val="009876C2"/>
    <w:rsid w:val="00987B7B"/>
    <w:rsid w:val="00992428"/>
    <w:rsid w:val="00992525"/>
    <w:rsid w:val="00993A0D"/>
    <w:rsid w:val="00993FC0"/>
    <w:rsid w:val="00995F48"/>
    <w:rsid w:val="009A0A60"/>
    <w:rsid w:val="009A0A81"/>
    <w:rsid w:val="009A1E23"/>
    <w:rsid w:val="009A3CA3"/>
    <w:rsid w:val="009B1B98"/>
    <w:rsid w:val="009B3B0C"/>
    <w:rsid w:val="009B4B9B"/>
    <w:rsid w:val="009B4ED6"/>
    <w:rsid w:val="009B67B6"/>
    <w:rsid w:val="009B690E"/>
    <w:rsid w:val="009C084A"/>
    <w:rsid w:val="009C290F"/>
    <w:rsid w:val="009C469B"/>
    <w:rsid w:val="009C60D5"/>
    <w:rsid w:val="009C6E49"/>
    <w:rsid w:val="009C7B9D"/>
    <w:rsid w:val="009C7CDD"/>
    <w:rsid w:val="009D0FF7"/>
    <w:rsid w:val="009D4A95"/>
    <w:rsid w:val="009D4D42"/>
    <w:rsid w:val="009D6810"/>
    <w:rsid w:val="009D7914"/>
    <w:rsid w:val="009E0821"/>
    <w:rsid w:val="009E0A2A"/>
    <w:rsid w:val="009E16D6"/>
    <w:rsid w:val="009E18D2"/>
    <w:rsid w:val="009E1DB5"/>
    <w:rsid w:val="009E39E9"/>
    <w:rsid w:val="009E3A8F"/>
    <w:rsid w:val="009E3B1C"/>
    <w:rsid w:val="009E43B3"/>
    <w:rsid w:val="009E5115"/>
    <w:rsid w:val="009E6AA8"/>
    <w:rsid w:val="009F0657"/>
    <w:rsid w:val="009F1606"/>
    <w:rsid w:val="009F33F3"/>
    <w:rsid w:val="009F6211"/>
    <w:rsid w:val="00A012B5"/>
    <w:rsid w:val="00A014D0"/>
    <w:rsid w:val="00A04A99"/>
    <w:rsid w:val="00A07F47"/>
    <w:rsid w:val="00A10BEC"/>
    <w:rsid w:val="00A1285D"/>
    <w:rsid w:val="00A1385F"/>
    <w:rsid w:val="00A175FA"/>
    <w:rsid w:val="00A22C5F"/>
    <w:rsid w:val="00A22D2E"/>
    <w:rsid w:val="00A23ECF"/>
    <w:rsid w:val="00A23F59"/>
    <w:rsid w:val="00A24B4C"/>
    <w:rsid w:val="00A3263C"/>
    <w:rsid w:val="00A35F85"/>
    <w:rsid w:val="00A36B14"/>
    <w:rsid w:val="00A36CC0"/>
    <w:rsid w:val="00A379E4"/>
    <w:rsid w:val="00A37C87"/>
    <w:rsid w:val="00A40AC7"/>
    <w:rsid w:val="00A411E9"/>
    <w:rsid w:val="00A4125F"/>
    <w:rsid w:val="00A418BB"/>
    <w:rsid w:val="00A41D89"/>
    <w:rsid w:val="00A43127"/>
    <w:rsid w:val="00A43604"/>
    <w:rsid w:val="00A4378B"/>
    <w:rsid w:val="00A45133"/>
    <w:rsid w:val="00A45F00"/>
    <w:rsid w:val="00A46AA9"/>
    <w:rsid w:val="00A47598"/>
    <w:rsid w:val="00A50F68"/>
    <w:rsid w:val="00A516A4"/>
    <w:rsid w:val="00A548D3"/>
    <w:rsid w:val="00A54F04"/>
    <w:rsid w:val="00A63148"/>
    <w:rsid w:val="00A63192"/>
    <w:rsid w:val="00A63CBE"/>
    <w:rsid w:val="00A665C6"/>
    <w:rsid w:val="00A677CF"/>
    <w:rsid w:val="00A70458"/>
    <w:rsid w:val="00A710B5"/>
    <w:rsid w:val="00A71DAE"/>
    <w:rsid w:val="00A7317F"/>
    <w:rsid w:val="00A742EE"/>
    <w:rsid w:val="00A74770"/>
    <w:rsid w:val="00A750F9"/>
    <w:rsid w:val="00A75369"/>
    <w:rsid w:val="00A76DA4"/>
    <w:rsid w:val="00A80505"/>
    <w:rsid w:val="00A82794"/>
    <w:rsid w:val="00A83985"/>
    <w:rsid w:val="00A85C5B"/>
    <w:rsid w:val="00A8646E"/>
    <w:rsid w:val="00A90011"/>
    <w:rsid w:val="00AA0223"/>
    <w:rsid w:val="00AA068D"/>
    <w:rsid w:val="00AA0FAD"/>
    <w:rsid w:val="00AA14A7"/>
    <w:rsid w:val="00AA1C35"/>
    <w:rsid w:val="00AA2091"/>
    <w:rsid w:val="00AA2437"/>
    <w:rsid w:val="00AA3B36"/>
    <w:rsid w:val="00AA42ED"/>
    <w:rsid w:val="00AA437A"/>
    <w:rsid w:val="00AA4E05"/>
    <w:rsid w:val="00AA4F73"/>
    <w:rsid w:val="00AA648C"/>
    <w:rsid w:val="00AA6C12"/>
    <w:rsid w:val="00AA7A09"/>
    <w:rsid w:val="00AB0FD6"/>
    <w:rsid w:val="00AB4395"/>
    <w:rsid w:val="00AB633A"/>
    <w:rsid w:val="00AB683C"/>
    <w:rsid w:val="00AC3B53"/>
    <w:rsid w:val="00AC3E9A"/>
    <w:rsid w:val="00AC5A83"/>
    <w:rsid w:val="00AC6949"/>
    <w:rsid w:val="00AC6EB7"/>
    <w:rsid w:val="00AD1F90"/>
    <w:rsid w:val="00AD34F5"/>
    <w:rsid w:val="00AD3854"/>
    <w:rsid w:val="00AD5720"/>
    <w:rsid w:val="00AD5E96"/>
    <w:rsid w:val="00AD7398"/>
    <w:rsid w:val="00AD7AAE"/>
    <w:rsid w:val="00AE0D46"/>
    <w:rsid w:val="00AE0D92"/>
    <w:rsid w:val="00AE6A7E"/>
    <w:rsid w:val="00AF070A"/>
    <w:rsid w:val="00AF12D8"/>
    <w:rsid w:val="00AF1C5E"/>
    <w:rsid w:val="00AF237A"/>
    <w:rsid w:val="00AF4CB3"/>
    <w:rsid w:val="00AF5C85"/>
    <w:rsid w:val="00B021BD"/>
    <w:rsid w:val="00B04E08"/>
    <w:rsid w:val="00B05B27"/>
    <w:rsid w:val="00B0630A"/>
    <w:rsid w:val="00B0671F"/>
    <w:rsid w:val="00B07175"/>
    <w:rsid w:val="00B10B46"/>
    <w:rsid w:val="00B124B4"/>
    <w:rsid w:val="00B1310C"/>
    <w:rsid w:val="00B16A88"/>
    <w:rsid w:val="00B17CD4"/>
    <w:rsid w:val="00B26C96"/>
    <w:rsid w:val="00B32646"/>
    <w:rsid w:val="00B35D63"/>
    <w:rsid w:val="00B36F52"/>
    <w:rsid w:val="00B412E9"/>
    <w:rsid w:val="00B42160"/>
    <w:rsid w:val="00B47BEA"/>
    <w:rsid w:val="00B47D0A"/>
    <w:rsid w:val="00B47FCE"/>
    <w:rsid w:val="00B5087D"/>
    <w:rsid w:val="00B511E6"/>
    <w:rsid w:val="00B51E5F"/>
    <w:rsid w:val="00B52B36"/>
    <w:rsid w:val="00B53AF3"/>
    <w:rsid w:val="00B54CCE"/>
    <w:rsid w:val="00B55EA0"/>
    <w:rsid w:val="00B56D58"/>
    <w:rsid w:val="00B623E5"/>
    <w:rsid w:val="00B65214"/>
    <w:rsid w:val="00B652C7"/>
    <w:rsid w:val="00B70620"/>
    <w:rsid w:val="00B71716"/>
    <w:rsid w:val="00B717AD"/>
    <w:rsid w:val="00B72ECC"/>
    <w:rsid w:val="00B74714"/>
    <w:rsid w:val="00B75947"/>
    <w:rsid w:val="00B76BC8"/>
    <w:rsid w:val="00B77C7B"/>
    <w:rsid w:val="00B82DFD"/>
    <w:rsid w:val="00B851BF"/>
    <w:rsid w:val="00B86B90"/>
    <w:rsid w:val="00B90177"/>
    <w:rsid w:val="00B91757"/>
    <w:rsid w:val="00B92727"/>
    <w:rsid w:val="00B93E93"/>
    <w:rsid w:val="00B9467B"/>
    <w:rsid w:val="00B9569E"/>
    <w:rsid w:val="00B9583C"/>
    <w:rsid w:val="00BA0B55"/>
    <w:rsid w:val="00BA4CAB"/>
    <w:rsid w:val="00BA5905"/>
    <w:rsid w:val="00BA5D59"/>
    <w:rsid w:val="00BA653D"/>
    <w:rsid w:val="00BA6A87"/>
    <w:rsid w:val="00BA6BEA"/>
    <w:rsid w:val="00BB024C"/>
    <w:rsid w:val="00BB1150"/>
    <w:rsid w:val="00BB13B2"/>
    <w:rsid w:val="00BB3496"/>
    <w:rsid w:val="00BB352D"/>
    <w:rsid w:val="00BB3611"/>
    <w:rsid w:val="00BB3FB3"/>
    <w:rsid w:val="00BB5FCB"/>
    <w:rsid w:val="00BB7A47"/>
    <w:rsid w:val="00BC03EA"/>
    <w:rsid w:val="00BC1C06"/>
    <w:rsid w:val="00BC4455"/>
    <w:rsid w:val="00BC7A1A"/>
    <w:rsid w:val="00BD015A"/>
    <w:rsid w:val="00BD0F90"/>
    <w:rsid w:val="00BD2554"/>
    <w:rsid w:val="00BD2CEF"/>
    <w:rsid w:val="00BD2E52"/>
    <w:rsid w:val="00BD4484"/>
    <w:rsid w:val="00BD4CA4"/>
    <w:rsid w:val="00BD51E9"/>
    <w:rsid w:val="00BD7B6C"/>
    <w:rsid w:val="00BE0ED0"/>
    <w:rsid w:val="00BE145C"/>
    <w:rsid w:val="00BE1A56"/>
    <w:rsid w:val="00BE23D2"/>
    <w:rsid w:val="00BE331B"/>
    <w:rsid w:val="00BE4300"/>
    <w:rsid w:val="00BE6F3D"/>
    <w:rsid w:val="00BF02CD"/>
    <w:rsid w:val="00BF07E3"/>
    <w:rsid w:val="00BF2023"/>
    <w:rsid w:val="00C0278F"/>
    <w:rsid w:val="00C03A29"/>
    <w:rsid w:val="00C07EBC"/>
    <w:rsid w:val="00C1011C"/>
    <w:rsid w:val="00C120C3"/>
    <w:rsid w:val="00C13F75"/>
    <w:rsid w:val="00C144B1"/>
    <w:rsid w:val="00C22318"/>
    <w:rsid w:val="00C23573"/>
    <w:rsid w:val="00C24384"/>
    <w:rsid w:val="00C2459B"/>
    <w:rsid w:val="00C32BE1"/>
    <w:rsid w:val="00C33CF8"/>
    <w:rsid w:val="00C40058"/>
    <w:rsid w:val="00C40499"/>
    <w:rsid w:val="00C40FF4"/>
    <w:rsid w:val="00C417A2"/>
    <w:rsid w:val="00C438D5"/>
    <w:rsid w:val="00C4431C"/>
    <w:rsid w:val="00C4446A"/>
    <w:rsid w:val="00C4533F"/>
    <w:rsid w:val="00C46CBC"/>
    <w:rsid w:val="00C535D3"/>
    <w:rsid w:val="00C55D03"/>
    <w:rsid w:val="00C56FD8"/>
    <w:rsid w:val="00C57311"/>
    <w:rsid w:val="00C633CF"/>
    <w:rsid w:val="00C63D58"/>
    <w:rsid w:val="00C66E10"/>
    <w:rsid w:val="00C70521"/>
    <w:rsid w:val="00C716CC"/>
    <w:rsid w:val="00C71F76"/>
    <w:rsid w:val="00C767C9"/>
    <w:rsid w:val="00C83BC6"/>
    <w:rsid w:val="00C84835"/>
    <w:rsid w:val="00C87152"/>
    <w:rsid w:val="00C905ED"/>
    <w:rsid w:val="00C908CA"/>
    <w:rsid w:val="00C923CB"/>
    <w:rsid w:val="00C940F3"/>
    <w:rsid w:val="00C97F47"/>
    <w:rsid w:val="00CA224B"/>
    <w:rsid w:val="00CA26FB"/>
    <w:rsid w:val="00CA37F6"/>
    <w:rsid w:val="00CA4712"/>
    <w:rsid w:val="00CA4A68"/>
    <w:rsid w:val="00CA4D96"/>
    <w:rsid w:val="00CA5C32"/>
    <w:rsid w:val="00CA7A0B"/>
    <w:rsid w:val="00CB118C"/>
    <w:rsid w:val="00CB13B7"/>
    <w:rsid w:val="00CB26D2"/>
    <w:rsid w:val="00CB334A"/>
    <w:rsid w:val="00CB4D67"/>
    <w:rsid w:val="00CB5FFF"/>
    <w:rsid w:val="00CB7A91"/>
    <w:rsid w:val="00CC0E9B"/>
    <w:rsid w:val="00CC16F6"/>
    <w:rsid w:val="00CC3445"/>
    <w:rsid w:val="00CC4316"/>
    <w:rsid w:val="00CC44B0"/>
    <w:rsid w:val="00CC45C3"/>
    <w:rsid w:val="00CC4EB2"/>
    <w:rsid w:val="00CC60D3"/>
    <w:rsid w:val="00CC667D"/>
    <w:rsid w:val="00CC69AE"/>
    <w:rsid w:val="00CC766F"/>
    <w:rsid w:val="00CD3402"/>
    <w:rsid w:val="00CD3571"/>
    <w:rsid w:val="00CD3785"/>
    <w:rsid w:val="00CD49CA"/>
    <w:rsid w:val="00CD5D2C"/>
    <w:rsid w:val="00CD68C3"/>
    <w:rsid w:val="00CE0E85"/>
    <w:rsid w:val="00CE1AB2"/>
    <w:rsid w:val="00CF2A55"/>
    <w:rsid w:val="00CF2D5E"/>
    <w:rsid w:val="00CF3950"/>
    <w:rsid w:val="00D0047F"/>
    <w:rsid w:val="00D0049B"/>
    <w:rsid w:val="00D012BB"/>
    <w:rsid w:val="00D01B07"/>
    <w:rsid w:val="00D032B6"/>
    <w:rsid w:val="00D0379D"/>
    <w:rsid w:val="00D03B2B"/>
    <w:rsid w:val="00D0635E"/>
    <w:rsid w:val="00D0696F"/>
    <w:rsid w:val="00D06D6F"/>
    <w:rsid w:val="00D06FC9"/>
    <w:rsid w:val="00D10DC9"/>
    <w:rsid w:val="00D16D74"/>
    <w:rsid w:val="00D208FE"/>
    <w:rsid w:val="00D232E9"/>
    <w:rsid w:val="00D252FC"/>
    <w:rsid w:val="00D26774"/>
    <w:rsid w:val="00D314FC"/>
    <w:rsid w:val="00D32633"/>
    <w:rsid w:val="00D34A52"/>
    <w:rsid w:val="00D35B49"/>
    <w:rsid w:val="00D40ACE"/>
    <w:rsid w:val="00D42B1B"/>
    <w:rsid w:val="00D43EA2"/>
    <w:rsid w:val="00D44CC5"/>
    <w:rsid w:val="00D5177B"/>
    <w:rsid w:val="00D53336"/>
    <w:rsid w:val="00D54FFB"/>
    <w:rsid w:val="00D55501"/>
    <w:rsid w:val="00D55773"/>
    <w:rsid w:val="00D61673"/>
    <w:rsid w:val="00D61751"/>
    <w:rsid w:val="00D624D7"/>
    <w:rsid w:val="00D62C93"/>
    <w:rsid w:val="00D716DB"/>
    <w:rsid w:val="00D74467"/>
    <w:rsid w:val="00D74544"/>
    <w:rsid w:val="00D757B9"/>
    <w:rsid w:val="00D77827"/>
    <w:rsid w:val="00D80974"/>
    <w:rsid w:val="00D80F49"/>
    <w:rsid w:val="00D81486"/>
    <w:rsid w:val="00D81F17"/>
    <w:rsid w:val="00D81FA8"/>
    <w:rsid w:val="00D820AD"/>
    <w:rsid w:val="00D84117"/>
    <w:rsid w:val="00D85101"/>
    <w:rsid w:val="00D86076"/>
    <w:rsid w:val="00D93032"/>
    <w:rsid w:val="00D93929"/>
    <w:rsid w:val="00D94D08"/>
    <w:rsid w:val="00D95310"/>
    <w:rsid w:val="00D9599F"/>
    <w:rsid w:val="00D95A01"/>
    <w:rsid w:val="00D95A3D"/>
    <w:rsid w:val="00DA0B6B"/>
    <w:rsid w:val="00DA4591"/>
    <w:rsid w:val="00DA5191"/>
    <w:rsid w:val="00DA5F2A"/>
    <w:rsid w:val="00DA72CB"/>
    <w:rsid w:val="00DA755B"/>
    <w:rsid w:val="00DB35AE"/>
    <w:rsid w:val="00DB3B54"/>
    <w:rsid w:val="00DB5AB8"/>
    <w:rsid w:val="00DB75E3"/>
    <w:rsid w:val="00DC000C"/>
    <w:rsid w:val="00DC1B88"/>
    <w:rsid w:val="00DC1F1F"/>
    <w:rsid w:val="00DC2118"/>
    <w:rsid w:val="00DC4324"/>
    <w:rsid w:val="00DC5528"/>
    <w:rsid w:val="00DC5FF3"/>
    <w:rsid w:val="00DC6253"/>
    <w:rsid w:val="00DC7F85"/>
    <w:rsid w:val="00DD5185"/>
    <w:rsid w:val="00DD551D"/>
    <w:rsid w:val="00DD6197"/>
    <w:rsid w:val="00DD68EB"/>
    <w:rsid w:val="00DE21F1"/>
    <w:rsid w:val="00DE2D4E"/>
    <w:rsid w:val="00DE45B1"/>
    <w:rsid w:val="00DE5987"/>
    <w:rsid w:val="00DE7585"/>
    <w:rsid w:val="00DE7A08"/>
    <w:rsid w:val="00DE7CA1"/>
    <w:rsid w:val="00DE7F10"/>
    <w:rsid w:val="00DF147F"/>
    <w:rsid w:val="00DF1E1D"/>
    <w:rsid w:val="00DF5C05"/>
    <w:rsid w:val="00DF5C64"/>
    <w:rsid w:val="00DF5EBC"/>
    <w:rsid w:val="00DF6B01"/>
    <w:rsid w:val="00E02AB8"/>
    <w:rsid w:val="00E03DA0"/>
    <w:rsid w:val="00E03E75"/>
    <w:rsid w:val="00E07AC0"/>
    <w:rsid w:val="00E101DC"/>
    <w:rsid w:val="00E12BCA"/>
    <w:rsid w:val="00E13146"/>
    <w:rsid w:val="00E148C7"/>
    <w:rsid w:val="00E17760"/>
    <w:rsid w:val="00E17836"/>
    <w:rsid w:val="00E214DB"/>
    <w:rsid w:val="00E2155C"/>
    <w:rsid w:val="00E217B4"/>
    <w:rsid w:val="00E21CAD"/>
    <w:rsid w:val="00E240BA"/>
    <w:rsid w:val="00E30328"/>
    <w:rsid w:val="00E31149"/>
    <w:rsid w:val="00E31A04"/>
    <w:rsid w:val="00E3206C"/>
    <w:rsid w:val="00E3331E"/>
    <w:rsid w:val="00E36E2A"/>
    <w:rsid w:val="00E3786D"/>
    <w:rsid w:val="00E414B0"/>
    <w:rsid w:val="00E4155A"/>
    <w:rsid w:val="00E43457"/>
    <w:rsid w:val="00E4418A"/>
    <w:rsid w:val="00E45CCB"/>
    <w:rsid w:val="00E4793B"/>
    <w:rsid w:val="00E51246"/>
    <w:rsid w:val="00E51CF6"/>
    <w:rsid w:val="00E52C0D"/>
    <w:rsid w:val="00E52E1B"/>
    <w:rsid w:val="00E53F99"/>
    <w:rsid w:val="00E546AA"/>
    <w:rsid w:val="00E552FC"/>
    <w:rsid w:val="00E55382"/>
    <w:rsid w:val="00E60063"/>
    <w:rsid w:val="00E62636"/>
    <w:rsid w:val="00E6404F"/>
    <w:rsid w:val="00E6565E"/>
    <w:rsid w:val="00E708F4"/>
    <w:rsid w:val="00E709E7"/>
    <w:rsid w:val="00E72ABD"/>
    <w:rsid w:val="00E7450F"/>
    <w:rsid w:val="00E75FEB"/>
    <w:rsid w:val="00E877E7"/>
    <w:rsid w:val="00E912BD"/>
    <w:rsid w:val="00E96D57"/>
    <w:rsid w:val="00EA047A"/>
    <w:rsid w:val="00EA2494"/>
    <w:rsid w:val="00EA2A4A"/>
    <w:rsid w:val="00EA3280"/>
    <w:rsid w:val="00EA4078"/>
    <w:rsid w:val="00EA68CD"/>
    <w:rsid w:val="00EB017C"/>
    <w:rsid w:val="00EB020A"/>
    <w:rsid w:val="00EB1856"/>
    <w:rsid w:val="00EB1F59"/>
    <w:rsid w:val="00EB2C64"/>
    <w:rsid w:val="00EB371B"/>
    <w:rsid w:val="00EB4648"/>
    <w:rsid w:val="00EB71E7"/>
    <w:rsid w:val="00EB7C9B"/>
    <w:rsid w:val="00EC029A"/>
    <w:rsid w:val="00EC4228"/>
    <w:rsid w:val="00EC42D4"/>
    <w:rsid w:val="00EC5B98"/>
    <w:rsid w:val="00EC676E"/>
    <w:rsid w:val="00EC7934"/>
    <w:rsid w:val="00ED42B7"/>
    <w:rsid w:val="00ED4B69"/>
    <w:rsid w:val="00ED5324"/>
    <w:rsid w:val="00ED56DD"/>
    <w:rsid w:val="00ED632A"/>
    <w:rsid w:val="00ED6557"/>
    <w:rsid w:val="00ED7D68"/>
    <w:rsid w:val="00EE4EF3"/>
    <w:rsid w:val="00EF044A"/>
    <w:rsid w:val="00EF1BE4"/>
    <w:rsid w:val="00EF2D33"/>
    <w:rsid w:val="00EF38C1"/>
    <w:rsid w:val="00EF565C"/>
    <w:rsid w:val="00EF65CC"/>
    <w:rsid w:val="00EF71F0"/>
    <w:rsid w:val="00EF7F1D"/>
    <w:rsid w:val="00F00F07"/>
    <w:rsid w:val="00F05DBA"/>
    <w:rsid w:val="00F05EF9"/>
    <w:rsid w:val="00F10491"/>
    <w:rsid w:val="00F10592"/>
    <w:rsid w:val="00F10D75"/>
    <w:rsid w:val="00F16164"/>
    <w:rsid w:val="00F17612"/>
    <w:rsid w:val="00F17DD7"/>
    <w:rsid w:val="00F2060C"/>
    <w:rsid w:val="00F21AA9"/>
    <w:rsid w:val="00F23887"/>
    <w:rsid w:val="00F253B0"/>
    <w:rsid w:val="00F2775F"/>
    <w:rsid w:val="00F27E1C"/>
    <w:rsid w:val="00F30064"/>
    <w:rsid w:val="00F321EB"/>
    <w:rsid w:val="00F32B99"/>
    <w:rsid w:val="00F336BD"/>
    <w:rsid w:val="00F336FF"/>
    <w:rsid w:val="00F3398A"/>
    <w:rsid w:val="00F34BB9"/>
    <w:rsid w:val="00F36164"/>
    <w:rsid w:val="00F3647C"/>
    <w:rsid w:val="00F36C66"/>
    <w:rsid w:val="00F408B7"/>
    <w:rsid w:val="00F40BD4"/>
    <w:rsid w:val="00F40EB7"/>
    <w:rsid w:val="00F4783A"/>
    <w:rsid w:val="00F51795"/>
    <w:rsid w:val="00F52182"/>
    <w:rsid w:val="00F54FFE"/>
    <w:rsid w:val="00F609B5"/>
    <w:rsid w:val="00F61914"/>
    <w:rsid w:val="00F6291D"/>
    <w:rsid w:val="00F62F82"/>
    <w:rsid w:val="00F65ED2"/>
    <w:rsid w:val="00F668A8"/>
    <w:rsid w:val="00F71750"/>
    <w:rsid w:val="00F7259F"/>
    <w:rsid w:val="00F727F5"/>
    <w:rsid w:val="00F747CC"/>
    <w:rsid w:val="00F75CD5"/>
    <w:rsid w:val="00F76E3A"/>
    <w:rsid w:val="00F77763"/>
    <w:rsid w:val="00F77B2B"/>
    <w:rsid w:val="00F818AE"/>
    <w:rsid w:val="00F81CE6"/>
    <w:rsid w:val="00F82022"/>
    <w:rsid w:val="00F82FCA"/>
    <w:rsid w:val="00F8485D"/>
    <w:rsid w:val="00F84A09"/>
    <w:rsid w:val="00F86714"/>
    <w:rsid w:val="00F86DE7"/>
    <w:rsid w:val="00F90719"/>
    <w:rsid w:val="00F90D01"/>
    <w:rsid w:val="00F91249"/>
    <w:rsid w:val="00F91F4B"/>
    <w:rsid w:val="00F92138"/>
    <w:rsid w:val="00F938B5"/>
    <w:rsid w:val="00F95C4D"/>
    <w:rsid w:val="00F96223"/>
    <w:rsid w:val="00F967C6"/>
    <w:rsid w:val="00F9725D"/>
    <w:rsid w:val="00FA1AEB"/>
    <w:rsid w:val="00FA2868"/>
    <w:rsid w:val="00FA3601"/>
    <w:rsid w:val="00FA4BA3"/>
    <w:rsid w:val="00FA566F"/>
    <w:rsid w:val="00FA72DF"/>
    <w:rsid w:val="00FB14DC"/>
    <w:rsid w:val="00FB1700"/>
    <w:rsid w:val="00FB228F"/>
    <w:rsid w:val="00FB2AA5"/>
    <w:rsid w:val="00FB3DB3"/>
    <w:rsid w:val="00FB4B54"/>
    <w:rsid w:val="00FB52C9"/>
    <w:rsid w:val="00FB685E"/>
    <w:rsid w:val="00FC12CA"/>
    <w:rsid w:val="00FC2E43"/>
    <w:rsid w:val="00FC2EFD"/>
    <w:rsid w:val="00FC5036"/>
    <w:rsid w:val="00FD04A4"/>
    <w:rsid w:val="00FD564A"/>
    <w:rsid w:val="00FE1A5C"/>
    <w:rsid w:val="00FE1C96"/>
    <w:rsid w:val="00FE4796"/>
    <w:rsid w:val="00FE5473"/>
    <w:rsid w:val="00FE5540"/>
    <w:rsid w:val="00FE6714"/>
    <w:rsid w:val="00FF14EA"/>
    <w:rsid w:val="00FF1757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0F9013-AADC-4B13-97F5-2FACA94B0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0241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3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header"/>
    <w:basedOn w:val="a"/>
    <w:link w:val="af5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490515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490515"/>
    <w:rPr>
      <w:rFonts w:ascii="標楷體" w:eastAsia="標楷體"/>
      <w:snapToGrid w:val="0"/>
      <w:kern w:val="2"/>
    </w:rPr>
  </w:style>
  <w:style w:type="paragraph" w:styleId="af8">
    <w:name w:val="Plain Text"/>
    <w:basedOn w:val="a"/>
    <w:link w:val="af9"/>
    <w:uiPriority w:val="99"/>
    <w:rsid w:val="00490515"/>
    <w:pPr>
      <w:widowControl/>
      <w:spacing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8"/>
      <w:szCs w:val="18"/>
    </w:rPr>
  </w:style>
  <w:style w:type="character" w:customStyle="1" w:styleId="af9">
    <w:name w:val="純文字 字元"/>
    <w:link w:val="af8"/>
    <w:uiPriority w:val="99"/>
    <w:rsid w:val="00490515"/>
    <w:rPr>
      <w:rFonts w:ascii="Arial" w:hAnsi="Arial" w:cs="Arial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D9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6C3D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D9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semiHidden/>
    <w:rsid w:val="006C3D9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0EF5F-44DC-4939-B33D-4A157648B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</Template>
  <TotalTime>0</TotalTime>
  <Pages>3</Pages>
  <Words>288</Words>
  <Characters>1645</Characters>
  <Application>Microsoft Office Word</Application>
  <DocSecurity>0</DocSecurity>
  <Lines>13</Lines>
  <Paragraphs>3</Paragraphs>
  <ScaleCrop>false</ScaleCrop>
  <Company>HOME</Company>
  <LinksUpToDate>false</LinksUpToDate>
  <CharactersWithSpaces>1930</CharactersWithSpaces>
  <SharedDoc>false</SharedDoc>
  <HLinks>
    <vt:vector size="18" baseType="variant"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_Toc162863733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_Toc162863732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_Toc162863731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2024-03-21T07:54:00Z</cp:lastPrinted>
  <dcterms:created xsi:type="dcterms:W3CDTF">2024-04-02T07:20:00Z</dcterms:created>
  <dcterms:modified xsi:type="dcterms:W3CDTF">2024-04-02T07:20:00Z</dcterms:modified>
</cp:coreProperties>
</file>