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6B" w:rsidRPr="008579ED" w:rsidRDefault="0045376B" w:rsidP="0045376B">
      <w:pPr>
        <w:pStyle w:val="ab"/>
        <w:rPr>
          <w:rFonts w:hAnsi="標楷體"/>
        </w:rPr>
      </w:pPr>
      <w:bookmarkStart w:id="0" w:name="_GoBack"/>
      <w:bookmarkEnd w:id="0"/>
      <w:r w:rsidRPr="008579ED">
        <w:rPr>
          <w:rFonts w:hAnsi="標楷體" w:hint="eastAsia"/>
        </w:rPr>
        <w:t>臺灣菸酒</w:t>
      </w:r>
      <w:r w:rsidRPr="008579ED">
        <w:rPr>
          <w:rFonts w:hAnsi="標楷體" w:hint="eastAsia"/>
          <w:szCs w:val="44"/>
        </w:rPr>
        <w:t>股份有限</w:t>
      </w:r>
      <w:r w:rsidRPr="008579ED">
        <w:rPr>
          <w:rFonts w:hAnsi="標楷體" w:hint="eastAsia"/>
        </w:rPr>
        <w:t>公司</w:t>
      </w:r>
      <w:r w:rsidR="001D5C63" w:rsidRPr="008579ED">
        <w:rPr>
          <w:rFonts w:hAnsi="標楷體" w:hint="eastAsia"/>
        </w:rPr>
        <w:t>1</w:t>
      </w:r>
      <w:r w:rsidR="00790FA2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年度營業</w:t>
      </w:r>
      <w:r w:rsidR="009352B2" w:rsidRPr="008579ED">
        <w:rPr>
          <w:rFonts w:hAnsi="標楷體" w:hint="eastAsia"/>
        </w:rPr>
        <w:t>決</w:t>
      </w:r>
      <w:r w:rsidRPr="008579ED">
        <w:rPr>
          <w:rFonts w:hAnsi="標楷體" w:hint="eastAsia"/>
        </w:rPr>
        <w:t>算評估報告</w:t>
      </w:r>
    </w:p>
    <w:p w:rsidR="0016574B" w:rsidRPr="008579ED" w:rsidRDefault="0016574B" w:rsidP="0016574B">
      <w:pPr>
        <w:pStyle w:val="a9"/>
        <w:ind w:firstLine="567"/>
        <w:rPr>
          <w:rFonts w:hAnsi="標楷體"/>
        </w:rPr>
      </w:pPr>
      <w:r w:rsidRPr="008579ED">
        <w:rPr>
          <w:rFonts w:hAnsi="標楷體" w:hint="eastAsia"/>
        </w:rPr>
        <w:t>臺灣菸酒股份有限公司（以下簡稱臺灣菸酒公司）主要任務係產銷各類菸酒，</w:t>
      </w:r>
      <w:r w:rsidRPr="008579ED">
        <w:rPr>
          <w:rFonts w:hAnsi="標楷體"/>
        </w:rPr>
        <w:t>提供優良產品</w:t>
      </w:r>
      <w:r w:rsidRPr="008579ED">
        <w:rPr>
          <w:rFonts w:hAnsi="標楷體" w:hint="eastAsia"/>
        </w:rPr>
        <w:t>，滿足消費者需求，並</w:t>
      </w:r>
      <w:r w:rsidRPr="008579ED">
        <w:rPr>
          <w:rFonts w:hAnsi="標楷體"/>
        </w:rPr>
        <w:t>追求卓越發展</w:t>
      </w:r>
      <w:r w:rsidRPr="008579ED">
        <w:rPr>
          <w:rFonts w:hAnsi="標楷體" w:hint="eastAsia"/>
        </w:rPr>
        <w:t>及</w:t>
      </w:r>
      <w:r w:rsidRPr="008579ED">
        <w:rPr>
          <w:rFonts w:hAnsi="標楷體"/>
        </w:rPr>
        <w:t>善盡社會責任</w:t>
      </w:r>
      <w:r w:rsidRPr="008579ED">
        <w:rPr>
          <w:rFonts w:hAnsi="標楷體" w:hint="eastAsia"/>
        </w:rPr>
        <w:t>。該公司1</w:t>
      </w:r>
      <w:r w:rsidR="002806DF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年度決算</w:t>
      </w:r>
      <w:r w:rsidR="009E0A22" w:rsidRPr="008579ED">
        <w:rPr>
          <w:rFonts w:hAnsi="標楷體" w:hint="eastAsia"/>
        </w:rPr>
        <w:t>營業收入</w:t>
      </w:r>
      <w:r w:rsidR="0075714A" w:rsidRPr="008579ED">
        <w:rPr>
          <w:rFonts w:hAnsi="標楷體" w:hint="eastAsia"/>
        </w:rPr>
        <w:t>567億4,090萬7千元</w:t>
      </w:r>
      <w:r w:rsidR="009E0A22" w:rsidRPr="008579ED">
        <w:rPr>
          <w:rFonts w:hAnsi="標楷體" w:hint="eastAsia"/>
        </w:rPr>
        <w:t>，扣除營業成</w:t>
      </w:r>
      <w:r w:rsidR="00B96C5E">
        <w:rPr>
          <w:rFonts w:hAnsi="標楷體" w:hint="eastAsia"/>
        </w:rPr>
        <w:t>本</w:t>
      </w:r>
      <w:r w:rsidR="0075714A" w:rsidRPr="008579ED">
        <w:rPr>
          <w:rFonts w:hAnsi="標楷體" w:hint="eastAsia"/>
          <w:color w:val="000000"/>
        </w:rPr>
        <w:t>458億3,079萬6千元</w:t>
      </w:r>
      <w:r w:rsidR="009E0A22" w:rsidRPr="008579ED">
        <w:rPr>
          <w:rFonts w:hAnsi="標楷體" w:hint="eastAsia"/>
          <w:color w:val="000000"/>
        </w:rPr>
        <w:t>及</w:t>
      </w:r>
      <w:r w:rsidR="009E0A22" w:rsidRPr="008579ED">
        <w:rPr>
          <w:rFonts w:hAnsi="標楷體" w:hint="eastAsia"/>
        </w:rPr>
        <w:t>營業費用</w:t>
      </w:r>
      <w:r w:rsidR="0075714A" w:rsidRPr="008579ED">
        <w:rPr>
          <w:rFonts w:hAnsi="標楷體" w:hint="eastAsia"/>
        </w:rPr>
        <w:t>50億9,896萬2千元</w:t>
      </w:r>
      <w:r w:rsidR="009E0A22" w:rsidRPr="008579ED">
        <w:rPr>
          <w:rFonts w:hAnsi="標楷體" w:hint="eastAsia"/>
        </w:rPr>
        <w:t>，營業利</w:t>
      </w:r>
      <w:r w:rsidR="00EB04B7" w:rsidRPr="008579ED">
        <w:rPr>
          <w:rFonts w:hAnsi="標楷體" w:hint="eastAsia"/>
        </w:rPr>
        <w:t>益</w:t>
      </w:r>
      <w:r w:rsidR="009E0A22" w:rsidRPr="008579ED">
        <w:rPr>
          <w:rFonts w:hAnsi="標楷體" w:hint="eastAsia"/>
        </w:rPr>
        <w:t>為</w:t>
      </w:r>
      <w:r w:rsidR="0075714A" w:rsidRPr="008579ED">
        <w:rPr>
          <w:rFonts w:hAnsi="標楷體" w:hint="eastAsia"/>
        </w:rPr>
        <w:t>58億1,114萬9千元</w:t>
      </w:r>
      <w:r w:rsidR="009E0A22" w:rsidRPr="008579ED">
        <w:rPr>
          <w:rFonts w:hAnsi="標楷體" w:hint="eastAsia"/>
        </w:rPr>
        <w:t>，加計營業外收入</w:t>
      </w:r>
      <w:r w:rsidR="0075714A" w:rsidRPr="008579ED">
        <w:rPr>
          <w:rFonts w:hAnsi="標楷體" w:hint="eastAsia"/>
        </w:rPr>
        <w:t>15億1,266萬7千元</w:t>
      </w:r>
      <w:r w:rsidR="009E0A22" w:rsidRPr="008579ED">
        <w:rPr>
          <w:rFonts w:hAnsi="標楷體" w:hint="eastAsia"/>
        </w:rPr>
        <w:t>、扣除營業外費用</w:t>
      </w:r>
      <w:r w:rsidR="0075714A" w:rsidRPr="008579ED">
        <w:rPr>
          <w:rFonts w:hAnsi="標楷體" w:hint="eastAsia"/>
        </w:rPr>
        <w:t>1億9,307萬3千元</w:t>
      </w:r>
      <w:r w:rsidR="009E0A22" w:rsidRPr="008579ED">
        <w:rPr>
          <w:rFonts w:hAnsi="標楷體" w:hint="eastAsia"/>
        </w:rPr>
        <w:t>及所得稅費</w:t>
      </w:r>
      <w:r w:rsidR="0075714A" w:rsidRPr="008579ED">
        <w:rPr>
          <w:rFonts w:hAnsi="標楷體" w:hint="eastAsia"/>
        </w:rPr>
        <w:t>用12億3,871萬1千元</w:t>
      </w:r>
      <w:r w:rsidR="009E0A22" w:rsidRPr="008579ED">
        <w:rPr>
          <w:rFonts w:hAnsi="標楷體" w:hint="eastAsia"/>
        </w:rPr>
        <w:t>後，</w:t>
      </w:r>
      <w:r w:rsidR="009E0A22" w:rsidRPr="008579ED">
        <w:rPr>
          <w:rFonts w:hAnsi="標楷體" w:hint="eastAsia"/>
          <w:color w:val="000000"/>
        </w:rPr>
        <w:t>本期淨利</w:t>
      </w:r>
      <w:r w:rsidR="009E0A22" w:rsidRPr="008579ED">
        <w:rPr>
          <w:rFonts w:hAnsi="標楷體" w:hint="eastAsia"/>
        </w:rPr>
        <w:t>為</w:t>
      </w:r>
      <w:r w:rsidR="00721D2D" w:rsidRPr="008579ED">
        <w:rPr>
          <w:rFonts w:hAnsi="標楷體" w:hint="eastAsia"/>
        </w:rPr>
        <w:t>58億9,203萬2千元</w:t>
      </w:r>
      <w:r w:rsidRPr="008579ED">
        <w:rPr>
          <w:rFonts w:hAnsi="標楷體" w:hint="eastAsia"/>
          <w:color w:val="000000"/>
        </w:rPr>
        <w:t>，較</w:t>
      </w:r>
      <w:r w:rsidR="00721D2D" w:rsidRPr="008579ED">
        <w:rPr>
          <w:rFonts w:hAnsi="標楷體"/>
          <w:color w:val="000000"/>
        </w:rPr>
        <w:t>110</w:t>
      </w:r>
      <w:r w:rsidRPr="008579ED">
        <w:rPr>
          <w:rFonts w:hAnsi="標楷體" w:hint="eastAsia"/>
          <w:color w:val="000000"/>
        </w:rPr>
        <w:t>年度淨利減少</w:t>
      </w:r>
      <w:r w:rsidR="00721D2D" w:rsidRPr="008579ED">
        <w:rPr>
          <w:rFonts w:hAnsi="標楷體" w:hint="eastAsia"/>
          <w:color w:val="000000"/>
        </w:rPr>
        <w:t>4億3,202萬8千元</w:t>
      </w:r>
      <w:r w:rsidRPr="008579ED">
        <w:rPr>
          <w:rFonts w:hAnsi="標楷體" w:hint="eastAsia"/>
        </w:rPr>
        <w:t>。</w:t>
      </w:r>
      <w:r w:rsidRPr="008579ED">
        <w:rPr>
          <w:rFonts w:hAnsi="標楷體" w:hint="eastAsia"/>
          <w:w w:val="98"/>
        </w:rPr>
        <w:t>謹就</w:t>
      </w:r>
      <w:r w:rsidRPr="008579ED">
        <w:rPr>
          <w:rFonts w:hAnsi="標楷體" w:hint="eastAsia"/>
        </w:rPr>
        <w:t>臺灣菸酒公司</w:t>
      </w:r>
      <w:r w:rsidRPr="008579ED">
        <w:rPr>
          <w:rFonts w:hAnsi="標楷體" w:hint="eastAsia"/>
          <w:w w:val="98"/>
        </w:rPr>
        <w:t>1</w:t>
      </w:r>
      <w:r w:rsidR="001063CB" w:rsidRPr="008579ED">
        <w:rPr>
          <w:rFonts w:hAnsi="標楷體"/>
          <w:w w:val="98"/>
        </w:rPr>
        <w:t>1</w:t>
      </w:r>
      <w:r w:rsidR="00721D2D" w:rsidRPr="008579ED">
        <w:rPr>
          <w:rFonts w:hAnsi="標楷體"/>
          <w:w w:val="98"/>
        </w:rPr>
        <w:t>1</w:t>
      </w:r>
      <w:r w:rsidRPr="008579ED">
        <w:rPr>
          <w:rFonts w:hAnsi="標楷體" w:hint="eastAsia"/>
          <w:w w:val="98"/>
        </w:rPr>
        <w:t>年</w:t>
      </w:r>
      <w:r w:rsidRPr="008579ED">
        <w:rPr>
          <w:rFonts w:hAnsi="標楷體" w:hint="eastAsia"/>
        </w:rPr>
        <w:t>度營業決算評估如下：</w:t>
      </w:r>
    </w:p>
    <w:p w:rsidR="002E5D42" w:rsidRPr="008579ED" w:rsidRDefault="002E5D42" w:rsidP="002E5D42">
      <w:pPr>
        <w:pStyle w:val="14"/>
        <w:ind w:left="567" w:hanging="567"/>
        <w:rPr>
          <w:rFonts w:hAnsi="標楷體"/>
        </w:rPr>
      </w:pPr>
      <w:bookmarkStart w:id="1" w:name="_Toc27824680"/>
      <w:bookmarkStart w:id="2" w:name="_Toc59874623"/>
      <w:bookmarkStart w:id="3" w:name="_Toc60113741"/>
      <w:bookmarkStart w:id="4" w:name="_Toc214354529"/>
      <w:bookmarkStart w:id="5" w:name="_Toc214354537"/>
      <w:bookmarkStart w:id="6" w:name="_Toc162422603"/>
      <w:bookmarkStart w:id="7" w:name="_Toc27824701"/>
      <w:bookmarkStart w:id="8" w:name="_Toc59874641"/>
      <w:bookmarkStart w:id="9" w:name="_Toc60113759"/>
      <w:bookmarkStart w:id="10" w:name="_Toc214354547"/>
      <w:bookmarkStart w:id="11" w:name="_Toc432603107"/>
      <w:r w:rsidRPr="008579ED">
        <w:rPr>
          <w:rFonts w:hAnsi="標楷體" w:hint="eastAsia"/>
        </w:rPr>
        <w:t>二、自製</w:t>
      </w:r>
      <w:r w:rsidRPr="008579ED">
        <w:rPr>
          <w:rFonts w:hAnsi="標楷體" w:hint="eastAsia"/>
          <w:bCs/>
          <w:spacing w:val="-2"/>
        </w:rPr>
        <w:t>產品</w:t>
      </w:r>
      <w:r w:rsidRPr="008579ED">
        <w:rPr>
          <w:rFonts w:hAnsi="標楷體" w:hint="eastAsia"/>
        </w:rPr>
        <w:t>銷售收入呈現</w:t>
      </w:r>
      <w:r w:rsidR="00591570">
        <w:rPr>
          <w:rFonts w:hAnsi="標楷體" w:hint="eastAsia"/>
        </w:rPr>
        <w:t>下降</w:t>
      </w:r>
      <w:r w:rsidRPr="008579ED">
        <w:rPr>
          <w:rFonts w:hAnsi="標楷體" w:hint="eastAsia"/>
        </w:rPr>
        <w:t>趨勢</w:t>
      </w:r>
      <w:r w:rsidR="005C4A6A" w:rsidRPr="008579ED">
        <w:rPr>
          <w:rFonts w:hAnsi="標楷體" w:hint="eastAsia"/>
        </w:rPr>
        <w:t>，且111年度台灣啤酒市占率已低於5成</w:t>
      </w:r>
      <w:r w:rsidRPr="008579ED">
        <w:rPr>
          <w:rFonts w:hAnsi="標楷體" w:hint="eastAsia"/>
        </w:rPr>
        <w:t>，</w:t>
      </w:r>
      <w:r w:rsidR="005C4A6A" w:rsidRPr="008579ED">
        <w:rPr>
          <w:rFonts w:hAnsi="標楷體" w:hint="eastAsia"/>
        </w:rPr>
        <w:t>允宜研謀因應</w:t>
      </w:r>
      <w:r w:rsidRPr="008579ED">
        <w:rPr>
          <w:rFonts w:hAnsi="標楷體" w:hint="eastAsia"/>
        </w:rPr>
        <w:t>，以提升經營績效</w:t>
      </w:r>
      <w:bookmarkEnd w:id="6"/>
    </w:p>
    <w:p w:rsidR="002E5D42" w:rsidRPr="008579ED" w:rsidRDefault="002E5D42" w:rsidP="002E5D42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9B7687" w:rsidRPr="008579ED">
        <w:rPr>
          <w:rFonts w:hAnsi="標楷體" w:hint="eastAsia"/>
        </w:rPr>
        <w:t>主要係</w:t>
      </w:r>
      <w:r w:rsidR="00B2662B" w:rsidRPr="008579ED">
        <w:rPr>
          <w:rFonts w:hAnsi="標楷體" w:hint="eastAsia"/>
        </w:rPr>
        <w:t>製造並</w:t>
      </w:r>
      <w:r w:rsidR="009B7687" w:rsidRPr="008579ED">
        <w:rPr>
          <w:rFonts w:hAnsi="標楷體" w:hint="eastAsia"/>
        </w:rPr>
        <w:t>銷售</w:t>
      </w:r>
      <w:r w:rsidRPr="008579ED">
        <w:rPr>
          <w:rFonts w:hAnsi="標楷體" w:hint="eastAsia"/>
        </w:rPr>
        <w:t>菸類及酒類</w:t>
      </w:r>
      <w:r w:rsidR="009B7687" w:rsidRPr="008579ED">
        <w:rPr>
          <w:rFonts w:hAnsi="標楷體" w:hint="eastAsia"/>
        </w:rPr>
        <w:t>產品</w:t>
      </w:r>
      <w:r w:rsidRPr="008579ED">
        <w:rPr>
          <w:rFonts w:hAnsi="標楷體" w:hint="eastAsia"/>
        </w:rPr>
        <w:t>，</w:t>
      </w:r>
      <w:r w:rsidR="00F70515" w:rsidRPr="008579ED">
        <w:rPr>
          <w:rFonts w:hAnsi="標楷體"/>
        </w:rPr>
        <w:t>111</w:t>
      </w:r>
      <w:r w:rsidRPr="008579ED">
        <w:rPr>
          <w:rFonts w:hAnsi="標楷體" w:hint="eastAsia"/>
        </w:rPr>
        <w:t>年度決算自製商品銷售</w:t>
      </w:r>
      <w:r w:rsidR="003C0C80" w:rsidRPr="008579ED">
        <w:rPr>
          <w:rFonts w:hAnsi="標楷體" w:hint="eastAsia"/>
        </w:rPr>
        <w:t>收入</w:t>
      </w:r>
      <w:r w:rsidR="00311A3E" w:rsidRPr="008579ED">
        <w:rPr>
          <w:rFonts w:hAnsi="標楷體" w:hint="eastAsia"/>
        </w:rPr>
        <w:t>483億395萬2千元</w:t>
      </w:r>
      <w:r w:rsidRPr="008579ED">
        <w:rPr>
          <w:rFonts w:hAnsi="標楷體" w:hint="eastAsia"/>
        </w:rPr>
        <w:t>，</w:t>
      </w:r>
      <w:r w:rsidR="001E0D54" w:rsidRPr="008579ED">
        <w:rPr>
          <w:rFonts w:hAnsi="標楷體" w:hint="eastAsia"/>
        </w:rPr>
        <w:t>其中</w:t>
      </w:r>
      <w:r w:rsidR="009B7687" w:rsidRPr="008579ED">
        <w:rPr>
          <w:rFonts w:hAnsi="標楷體" w:hint="eastAsia"/>
        </w:rPr>
        <w:t>自製</w:t>
      </w:r>
      <w:r w:rsidRPr="008579ED">
        <w:rPr>
          <w:rFonts w:hAnsi="標楷體" w:hint="eastAsia"/>
        </w:rPr>
        <w:t>菸類</w:t>
      </w:r>
      <w:r w:rsidR="00311A3E" w:rsidRPr="008579ED">
        <w:rPr>
          <w:rFonts w:hAnsi="標楷體" w:hint="eastAsia"/>
        </w:rPr>
        <w:t>237億1,819萬3千元</w:t>
      </w:r>
      <w:r w:rsidRPr="008579ED">
        <w:rPr>
          <w:rFonts w:hAnsi="標楷體" w:hint="eastAsia"/>
        </w:rPr>
        <w:t>、啤酒類</w:t>
      </w:r>
      <w:r w:rsidR="00311A3E" w:rsidRPr="008579ED">
        <w:rPr>
          <w:rFonts w:hAnsi="標楷體" w:hint="eastAsia"/>
        </w:rPr>
        <w:t>176億4,581萬5千元</w:t>
      </w:r>
      <w:r w:rsidRPr="008579ED">
        <w:rPr>
          <w:rFonts w:hAnsi="標楷體" w:hint="eastAsia"/>
        </w:rPr>
        <w:t>及酒類</w:t>
      </w:r>
      <w:r w:rsidR="00311A3E" w:rsidRPr="008579ED">
        <w:rPr>
          <w:rFonts w:hAnsi="標楷體" w:hint="eastAsia"/>
        </w:rPr>
        <w:t>69億3,994萬4千元</w:t>
      </w:r>
      <w:r w:rsidRPr="008579ED">
        <w:rPr>
          <w:rFonts w:hAnsi="標楷體" w:hint="eastAsia"/>
        </w:rPr>
        <w:t>。經查：</w:t>
      </w:r>
    </w:p>
    <w:p w:rsidR="002E5D42" w:rsidRPr="008579ED" w:rsidRDefault="002E5D42" w:rsidP="002E5D42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</w:t>
      </w:r>
      <w:r w:rsidRPr="008579ED">
        <w:rPr>
          <w:rFonts w:hAnsi="標楷體" w:cs="細明體" w:hint="eastAsia"/>
          <w:b/>
        </w:rPr>
        <w:t>一</w:t>
      </w:r>
      <w:r w:rsidRPr="008579ED">
        <w:rPr>
          <w:rFonts w:hAnsi="標楷體" w:hint="eastAsia"/>
          <w:b/>
        </w:rPr>
        <w:t>)</w:t>
      </w:r>
      <w:r w:rsidRPr="008579ED">
        <w:rPr>
          <w:rFonts w:hAnsi="標楷體" w:hint="eastAsia"/>
          <w:b/>
          <w:spacing w:val="-2"/>
        </w:rPr>
        <w:t>近</w:t>
      </w:r>
      <w:r w:rsidR="00311A3E" w:rsidRPr="008579ED">
        <w:rPr>
          <w:rFonts w:hAnsi="標楷體"/>
          <w:b/>
          <w:spacing w:val="-2"/>
        </w:rPr>
        <w:t>3</w:t>
      </w:r>
      <w:r w:rsidRPr="008579ED">
        <w:rPr>
          <w:rFonts w:hAnsi="標楷體" w:hint="eastAsia"/>
          <w:b/>
          <w:spacing w:val="-2"/>
        </w:rPr>
        <w:t>年度</w:t>
      </w:r>
      <w:r w:rsidRPr="008579ED">
        <w:rPr>
          <w:rFonts w:hAnsi="標楷體" w:hint="eastAsia"/>
          <w:b/>
        </w:rPr>
        <w:t>自製產品銷售</w:t>
      </w:r>
      <w:r w:rsidR="00D268D9" w:rsidRPr="008579ED">
        <w:rPr>
          <w:rFonts w:hAnsi="標楷體" w:hint="eastAsia"/>
          <w:b/>
        </w:rPr>
        <w:t>收入</w:t>
      </w:r>
      <w:r w:rsidR="00F36290">
        <w:rPr>
          <w:rFonts w:hAnsi="標楷體" w:hint="eastAsia"/>
          <w:b/>
        </w:rPr>
        <w:t>皆未達</w:t>
      </w:r>
      <w:r w:rsidRPr="008579ED">
        <w:rPr>
          <w:rFonts w:hAnsi="標楷體" w:hint="eastAsia"/>
          <w:b/>
        </w:rPr>
        <w:t>預算目標</w:t>
      </w:r>
    </w:p>
    <w:p w:rsidR="002E5D42" w:rsidRPr="008579ED" w:rsidRDefault="002E5D42" w:rsidP="002E5D4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該公司近</w:t>
      </w:r>
      <w:r w:rsidR="00311A3E" w:rsidRPr="008579ED">
        <w:rPr>
          <w:rFonts w:hAnsi="標楷體"/>
        </w:rPr>
        <w:t>3</w:t>
      </w:r>
      <w:r w:rsidRPr="008579ED">
        <w:rPr>
          <w:rFonts w:hAnsi="標楷體" w:hint="eastAsia"/>
        </w:rPr>
        <w:t>年度</w:t>
      </w:r>
      <w:r w:rsidR="00D268D9" w:rsidRPr="008579ED">
        <w:rPr>
          <w:rFonts w:hAnsi="標楷體" w:hint="eastAsia"/>
        </w:rPr>
        <w:t>(1</w:t>
      </w:r>
      <w:r w:rsidR="00D268D9" w:rsidRPr="008579ED">
        <w:rPr>
          <w:rFonts w:hAnsi="標楷體"/>
        </w:rPr>
        <w:t>09</w:t>
      </w:r>
      <w:r w:rsidR="00D268D9" w:rsidRPr="008579ED">
        <w:rPr>
          <w:rFonts w:hAnsi="標楷體" w:hint="eastAsia"/>
        </w:rPr>
        <w:t>至111年度</w:t>
      </w:r>
      <w:r w:rsidR="00330ECC" w:rsidRPr="008579ED">
        <w:rPr>
          <w:rFonts w:hAnsi="標楷體" w:hint="eastAsia"/>
        </w:rPr>
        <w:t>，以下同</w:t>
      </w:r>
      <w:r w:rsidR="00D268D9" w:rsidRPr="008579ED">
        <w:rPr>
          <w:rFonts w:hAnsi="標楷體" w:hint="eastAsia"/>
        </w:rPr>
        <w:t>)</w:t>
      </w:r>
      <w:r w:rsidRPr="008579ED">
        <w:rPr>
          <w:rFonts w:hAnsi="標楷體" w:hint="eastAsia"/>
        </w:rPr>
        <w:t>自製產品銷售收入</w:t>
      </w:r>
      <w:r w:rsidR="00311A3E" w:rsidRPr="008579ED">
        <w:rPr>
          <w:rFonts w:hAnsi="標楷體" w:hint="eastAsia"/>
        </w:rPr>
        <w:t>均</w:t>
      </w:r>
      <w:r w:rsidRPr="008579ED">
        <w:rPr>
          <w:rFonts w:hAnsi="標楷體" w:hint="eastAsia"/>
        </w:rPr>
        <w:t>未達預計目標</w:t>
      </w:r>
      <w:r w:rsidR="00D268D9" w:rsidRPr="008579ED">
        <w:rPr>
          <w:rFonts w:hAnsi="標楷體" w:hint="eastAsia"/>
        </w:rPr>
        <w:t>(詳表1)</w:t>
      </w:r>
      <w:r w:rsidRPr="008579ED">
        <w:rPr>
          <w:rFonts w:hAnsi="標楷體" w:hint="eastAsia"/>
        </w:rPr>
        <w:t>，</w:t>
      </w:r>
      <w:r w:rsidR="008109E7">
        <w:rPr>
          <w:rFonts w:hAnsi="標楷體" w:hint="eastAsia"/>
        </w:rPr>
        <w:t>其中</w:t>
      </w:r>
      <w:r w:rsidRPr="008579ED">
        <w:rPr>
          <w:rFonts w:hAnsi="標楷體" w:hint="eastAsia"/>
        </w:rPr>
        <w:t>1</w:t>
      </w:r>
      <w:r w:rsidR="00D268D9" w:rsidRPr="008579ED">
        <w:rPr>
          <w:rFonts w:hAnsi="標楷體"/>
        </w:rPr>
        <w:t>11</w:t>
      </w:r>
      <w:r w:rsidRPr="008579ED">
        <w:rPr>
          <w:rFonts w:hAnsi="標楷體" w:hint="eastAsia"/>
        </w:rPr>
        <w:t>年度決算</w:t>
      </w:r>
      <w:r w:rsidR="00BB7F5E" w:rsidRPr="00BB7F5E">
        <w:rPr>
          <w:rFonts w:hAnsi="標楷體" w:hint="eastAsia"/>
        </w:rPr>
        <w:t>自製產品銷售收入</w:t>
      </w:r>
      <w:r w:rsidR="00D268D9" w:rsidRPr="008579ED">
        <w:rPr>
          <w:rFonts w:hAnsi="標楷體" w:hint="eastAsia"/>
        </w:rPr>
        <w:t>483億395萬2千元</w:t>
      </w:r>
      <w:r w:rsidRPr="008579ED">
        <w:rPr>
          <w:rFonts w:hAnsi="標楷體" w:hint="eastAsia"/>
        </w:rPr>
        <w:t>，收入達成率</w:t>
      </w:r>
      <w:r w:rsidR="00D268D9" w:rsidRPr="008579ED">
        <w:rPr>
          <w:rFonts w:hAnsi="標楷體" w:hint="eastAsia"/>
        </w:rPr>
        <w:t>僅</w:t>
      </w:r>
      <w:r w:rsidR="00D268D9" w:rsidRPr="008579ED">
        <w:rPr>
          <w:rFonts w:hAnsi="標楷體"/>
        </w:rPr>
        <w:t>87.52%</w:t>
      </w:r>
      <w:r w:rsidRPr="008579ED">
        <w:rPr>
          <w:rFonts w:hAnsi="標楷體" w:hint="eastAsia"/>
        </w:rPr>
        <w:t>，除自製菸類外，啤酒類與酒類產品之達成率未達9成；</w:t>
      </w:r>
      <w:r w:rsidR="00D268D9" w:rsidRPr="008579ED">
        <w:rPr>
          <w:rFonts w:hAnsi="標楷體" w:hint="eastAsia"/>
        </w:rPr>
        <w:t>另自製啤酒類</w:t>
      </w:r>
      <w:r w:rsidR="00D268D9" w:rsidRPr="008579ED">
        <w:rPr>
          <w:rFonts w:hAnsi="標楷體"/>
        </w:rPr>
        <w:t>111</w:t>
      </w:r>
      <w:r w:rsidR="00D268D9" w:rsidRPr="008579ED">
        <w:rPr>
          <w:rFonts w:hAnsi="標楷體" w:hint="eastAsia"/>
        </w:rPr>
        <w:t>年度決算銷</w:t>
      </w:r>
      <w:r w:rsidR="0078599F">
        <w:rPr>
          <w:rFonts w:hAnsi="標楷體" w:hint="eastAsia"/>
        </w:rPr>
        <w:t>售</w:t>
      </w:r>
      <w:r w:rsidR="00D268D9" w:rsidRPr="008579ED">
        <w:rPr>
          <w:rFonts w:hAnsi="標楷體" w:hint="eastAsia"/>
        </w:rPr>
        <w:t>收入176億4,581萬5千元，較109年度200億1,833萬元減少23億7,251萬5千元(減幅11.85%)；酒類</w:t>
      </w:r>
      <w:r w:rsidR="00D268D9" w:rsidRPr="008579ED">
        <w:rPr>
          <w:rFonts w:hAnsi="標楷體"/>
        </w:rPr>
        <w:t>111</w:t>
      </w:r>
      <w:r w:rsidR="00D268D9" w:rsidRPr="008579ED">
        <w:rPr>
          <w:rFonts w:hAnsi="標楷體" w:hint="eastAsia"/>
        </w:rPr>
        <w:t>年度決算銷</w:t>
      </w:r>
      <w:r w:rsidR="0078599F">
        <w:rPr>
          <w:rFonts w:hAnsi="標楷體" w:hint="eastAsia"/>
        </w:rPr>
        <w:t>售</w:t>
      </w:r>
      <w:r w:rsidR="00D268D9" w:rsidRPr="008579ED">
        <w:rPr>
          <w:rFonts w:hAnsi="標楷體" w:hint="eastAsia"/>
        </w:rPr>
        <w:t>收入69億3,994萬4千元，較109年度76億4,614萬2千元減少7億619萬8千元(減幅</w:t>
      </w:r>
      <w:r w:rsidR="00D268D9" w:rsidRPr="008579ED">
        <w:rPr>
          <w:rFonts w:hAnsi="標楷體"/>
        </w:rPr>
        <w:t>9.24</w:t>
      </w:r>
      <w:r w:rsidR="00D268D9" w:rsidRPr="008579ED">
        <w:rPr>
          <w:rFonts w:hAnsi="標楷體" w:hint="eastAsia"/>
        </w:rPr>
        <w:t>%)，顯示</w:t>
      </w:r>
      <w:r w:rsidR="00B1024C">
        <w:rPr>
          <w:rFonts w:hAnsi="標楷體" w:hint="eastAsia"/>
        </w:rPr>
        <w:t>1</w:t>
      </w:r>
      <w:r w:rsidR="00B1024C">
        <w:rPr>
          <w:rFonts w:hAnsi="標楷體"/>
        </w:rPr>
        <w:t>11</w:t>
      </w:r>
      <w:r w:rsidR="00B1024C">
        <w:rPr>
          <w:rFonts w:hAnsi="標楷體" w:hint="eastAsia"/>
        </w:rPr>
        <w:t>年度</w:t>
      </w:r>
      <w:r w:rsidRPr="008579ED">
        <w:rPr>
          <w:rFonts w:hAnsi="標楷體" w:hint="eastAsia"/>
        </w:rPr>
        <w:t>自製產品銷售</w:t>
      </w:r>
      <w:r w:rsidR="00B1024C">
        <w:rPr>
          <w:rFonts w:hAnsi="標楷體" w:hint="eastAsia"/>
        </w:rPr>
        <w:t>均為近3年度最低者，銷售績效容有提升空間</w:t>
      </w:r>
      <w:r w:rsidRPr="008579ED">
        <w:rPr>
          <w:rFonts w:hAnsi="標楷體" w:hint="eastAsia"/>
        </w:rPr>
        <w:t>。</w:t>
      </w:r>
    </w:p>
    <w:p w:rsidR="002E5D42" w:rsidRPr="008579ED" w:rsidRDefault="002E5D42" w:rsidP="002E5D42">
      <w:pPr>
        <w:ind w:leftChars="0" w:left="567" w:hangingChars="200" w:hanging="567"/>
        <w:rPr>
          <w:rFonts w:hAnsi="標楷體"/>
        </w:rPr>
      </w:pPr>
      <w:r w:rsidRPr="008579ED">
        <w:rPr>
          <w:rFonts w:hAnsi="標楷體" w:hint="eastAsia"/>
          <w:b/>
        </w:rPr>
        <w:t>表1  臺灣菸酒公司10</w:t>
      </w:r>
      <w:r w:rsidRPr="008579ED">
        <w:rPr>
          <w:rFonts w:hAnsi="標楷體"/>
          <w:b/>
        </w:rPr>
        <w:t>9</w:t>
      </w:r>
      <w:r w:rsidRPr="008579ED">
        <w:rPr>
          <w:rFonts w:hAnsi="標楷體" w:hint="eastAsia"/>
          <w:b/>
        </w:rPr>
        <w:t>至111年度自製產品銷</w:t>
      </w:r>
      <w:r w:rsidR="008109E7">
        <w:rPr>
          <w:rFonts w:hAnsi="標楷體" w:hint="eastAsia"/>
          <w:b/>
        </w:rPr>
        <w:t>售</w:t>
      </w:r>
      <w:r w:rsidRPr="008579ED">
        <w:rPr>
          <w:rFonts w:hAnsi="標楷體" w:hint="eastAsia"/>
          <w:b/>
        </w:rPr>
        <w:t>收入預、決算統計表</w:t>
      </w:r>
    </w:p>
    <w:p w:rsidR="002E5D42" w:rsidRPr="008579ED" w:rsidRDefault="002E5D42" w:rsidP="002E5D42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>單位：新臺幣千元</w:t>
      </w:r>
      <w:r w:rsidR="00445F20">
        <w:rPr>
          <w:rFonts w:hAnsi="標楷體" w:hint="eastAsia"/>
        </w:rPr>
        <w:t>；%</w:t>
      </w:r>
    </w:p>
    <w:tbl>
      <w:tblPr>
        <w:tblW w:w="8647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063"/>
        <w:gridCol w:w="1063"/>
        <w:gridCol w:w="567"/>
        <w:gridCol w:w="993"/>
        <w:gridCol w:w="993"/>
        <w:gridCol w:w="564"/>
        <w:gridCol w:w="8"/>
        <w:gridCol w:w="1056"/>
        <w:gridCol w:w="1065"/>
        <w:gridCol w:w="566"/>
      </w:tblGrid>
      <w:tr w:rsidR="002E5D42" w:rsidRPr="008579ED" w:rsidTr="00F0751E">
        <w:trPr>
          <w:trHeight w:val="330"/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lastRenderedPageBreak/>
              <w:t>自製產品品項</w:t>
            </w:r>
          </w:p>
        </w:tc>
        <w:tc>
          <w:tcPr>
            <w:tcW w:w="269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109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558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110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68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111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</w:tr>
      <w:tr w:rsidR="002E5D42" w:rsidRPr="008579ED" w:rsidTr="00F0751E">
        <w:trPr>
          <w:trHeight w:val="330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菸類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28,050,000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24,052,076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85.75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26,525,500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24,197,084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91.22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24,450,500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23,718,193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97.00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啤酒類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24,160,000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20,018,330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23,120,000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17,856,906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77.24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22,350,000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17,645,815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78.95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酒類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9,160,000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7,646,142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83.47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8,902,000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7,301,102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82.02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8,390,700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6,939,944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82.71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合計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61,370,000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51,716,548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58,547,500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49,355,092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84.30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55,191,200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48</w:t>
            </w:r>
            <w:r w:rsidR="00F70515" w:rsidRPr="008579ED">
              <w:rPr>
                <w:rFonts w:hAnsi="標楷體"/>
                <w:snapToGrid/>
                <w:spacing w:val="-24"/>
              </w:rPr>
              <w:t>,</w:t>
            </w:r>
            <w:r w:rsidRPr="008579ED">
              <w:rPr>
                <w:rFonts w:hAnsi="標楷體"/>
                <w:snapToGrid/>
                <w:spacing w:val="-24"/>
              </w:rPr>
              <w:t>303</w:t>
            </w:r>
            <w:r w:rsidR="00F70515" w:rsidRPr="008579ED">
              <w:rPr>
                <w:rFonts w:hAnsi="標楷體"/>
                <w:snapToGrid/>
                <w:spacing w:val="-24"/>
              </w:rPr>
              <w:t>,</w:t>
            </w:r>
            <w:r w:rsidRPr="008579ED">
              <w:rPr>
                <w:rFonts w:hAnsi="標楷體"/>
                <w:snapToGrid/>
                <w:spacing w:val="-24"/>
              </w:rPr>
              <w:t>952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87.52</w:t>
            </w:r>
          </w:p>
        </w:tc>
      </w:tr>
    </w:tbl>
    <w:p w:rsidR="00F70515" w:rsidRPr="008579ED" w:rsidRDefault="00F70515" w:rsidP="00F70515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311A3E" w:rsidP="003B35CB">
      <w:pPr>
        <w:pStyle w:val="a5"/>
        <w:ind w:left="851" w:hanging="284"/>
        <w:rPr>
          <w:rFonts w:hAnsi="標楷體"/>
        </w:rPr>
      </w:pPr>
      <w:r w:rsidRPr="008579ED">
        <w:rPr>
          <w:rFonts w:hAnsi="標楷體" w:hint="eastAsia"/>
          <w:b/>
        </w:rPr>
        <w:t>(二)</w:t>
      </w:r>
      <w:r w:rsidR="00572099">
        <w:rPr>
          <w:rFonts w:hAnsi="標楷體"/>
          <w:b/>
        </w:rPr>
        <w:t>107</w:t>
      </w:r>
      <w:r w:rsidR="00572099">
        <w:rPr>
          <w:rFonts w:hAnsi="標楷體" w:hint="eastAsia"/>
          <w:b/>
        </w:rPr>
        <w:t>至1</w:t>
      </w:r>
      <w:r w:rsidR="00572099">
        <w:rPr>
          <w:rFonts w:hAnsi="標楷體"/>
          <w:b/>
        </w:rPr>
        <w:t>11</w:t>
      </w:r>
      <w:r w:rsidR="00572099">
        <w:rPr>
          <w:rFonts w:hAnsi="標楷體" w:hint="eastAsia"/>
          <w:b/>
        </w:rPr>
        <w:t>年度間</w:t>
      </w:r>
      <w:r w:rsidRPr="008579ED">
        <w:rPr>
          <w:rFonts w:hAnsi="標楷體"/>
          <w:b/>
        </w:rPr>
        <w:t>台灣</w:t>
      </w:r>
      <w:r w:rsidRPr="008579ED">
        <w:rPr>
          <w:rFonts w:hAnsi="標楷體" w:hint="eastAsia"/>
          <w:b/>
        </w:rPr>
        <w:t>啤酒市占率逐年下降</w:t>
      </w:r>
      <w:r w:rsidR="003B35CB" w:rsidRPr="008579ED">
        <w:rPr>
          <w:rFonts w:hAnsi="標楷體" w:hint="eastAsia"/>
          <w:b/>
        </w:rPr>
        <w:t>，</w:t>
      </w:r>
      <w:r w:rsidR="005C4A6A" w:rsidRPr="008579ED">
        <w:rPr>
          <w:rFonts w:hAnsi="標楷體" w:hint="eastAsia"/>
          <w:b/>
        </w:rPr>
        <w:t>111年度台灣啤酒市占率已低於5成，</w:t>
      </w:r>
      <w:r w:rsidR="003B35CB" w:rsidRPr="008579ED">
        <w:rPr>
          <w:rFonts w:hAnsi="標楷體" w:hint="eastAsia"/>
          <w:b/>
        </w:rPr>
        <w:t>允宜妥為研謀因應</w:t>
      </w:r>
    </w:p>
    <w:p w:rsidR="00F70515" w:rsidRPr="008579ED" w:rsidRDefault="001F0634" w:rsidP="001E0D54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>
        <w:rPr>
          <w:rFonts w:hAnsi="標楷體" w:hint="eastAsia"/>
        </w:rPr>
        <w:t>之啤酒品牌為</w:t>
      </w:r>
      <w:r w:rsidRPr="001F0634">
        <w:rPr>
          <w:rFonts w:hAnsi="標楷體" w:hint="eastAsia"/>
        </w:rPr>
        <w:t>台灣啤酒</w:t>
      </w:r>
      <w:r>
        <w:rPr>
          <w:rFonts w:hAnsi="標楷體" w:hint="eastAsia"/>
        </w:rPr>
        <w:t>，</w:t>
      </w:r>
      <w:r w:rsidR="005F0574" w:rsidRPr="008579ED">
        <w:rPr>
          <w:rFonts w:hAnsi="標楷體" w:hint="eastAsia"/>
        </w:rPr>
        <w:t>就</w:t>
      </w:r>
      <w:r w:rsidR="00311A3E" w:rsidRPr="008579ED">
        <w:rPr>
          <w:rFonts w:hAnsi="標楷體" w:hint="eastAsia"/>
        </w:rPr>
        <w:t>國內</w:t>
      </w:r>
      <w:r w:rsidR="005F0574" w:rsidRPr="008579ED">
        <w:rPr>
          <w:rFonts w:hAnsi="標楷體" w:hint="eastAsia"/>
        </w:rPr>
        <w:t>主要啤酒品牌市場占有率</w:t>
      </w:r>
      <w:r w:rsidR="00311A3E" w:rsidRPr="008579ED">
        <w:rPr>
          <w:rFonts w:hAnsi="標楷體" w:hint="eastAsia"/>
        </w:rPr>
        <w:t>觀之(詳表</w:t>
      </w:r>
      <w:r w:rsidR="00D35787" w:rsidRPr="008579ED">
        <w:rPr>
          <w:rFonts w:hAnsi="標楷體"/>
        </w:rPr>
        <w:t>2</w:t>
      </w:r>
      <w:r w:rsidR="00311A3E" w:rsidRPr="008579ED">
        <w:rPr>
          <w:rFonts w:hAnsi="標楷體"/>
        </w:rPr>
        <w:t>)</w:t>
      </w:r>
      <w:r w:rsidR="00311A3E" w:rsidRPr="008579ED">
        <w:rPr>
          <w:rFonts w:hAnsi="標楷體" w:hint="eastAsia"/>
        </w:rPr>
        <w:t>，</w:t>
      </w:r>
      <w:r w:rsidRPr="001F0634">
        <w:rPr>
          <w:rFonts w:hAnsi="標楷體" w:hint="eastAsia"/>
        </w:rPr>
        <w:t>台灣啤酒</w:t>
      </w:r>
      <w:r w:rsidR="00311A3E" w:rsidRPr="008579ED">
        <w:rPr>
          <w:rFonts w:hAnsi="標楷體" w:hint="eastAsia"/>
        </w:rPr>
        <w:t>1</w:t>
      </w:r>
      <w:r w:rsidR="00311A3E" w:rsidRPr="008579ED">
        <w:rPr>
          <w:rFonts w:hAnsi="標楷體"/>
        </w:rPr>
        <w:t>0</w:t>
      </w:r>
      <w:r w:rsidR="005F0574" w:rsidRPr="008579ED">
        <w:rPr>
          <w:rFonts w:hAnsi="標楷體"/>
        </w:rPr>
        <w:t>7</w:t>
      </w:r>
      <w:r w:rsidR="00311A3E" w:rsidRPr="008579ED">
        <w:rPr>
          <w:rFonts w:hAnsi="標楷體" w:hint="eastAsia"/>
        </w:rPr>
        <w:t>年度市場占有率為</w:t>
      </w:r>
      <w:r w:rsidR="005F0574" w:rsidRPr="008579ED">
        <w:rPr>
          <w:rFonts w:hAnsi="標楷體"/>
        </w:rPr>
        <w:t>59.8</w:t>
      </w:r>
      <w:r w:rsidR="00311A3E" w:rsidRPr="008579ED">
        <w:rPr>
          <w:rFonts w:hAnsi="標楷體" w:hint="eastAsia"/>
        </w:rPr>
        <w:t>%，逐年減少至1</w:t>
      </w:r>
      <w:r w:rsidR="00311A3E" w:rsidRPr="008579ED">
        <w:rPr>
          <w:rFonts w:hAnsi="標楷體"/>
        </w:rPr>
        <w:t>11</w:t>
      </w:r>
      <w:r w:rsidR="00311A3E" w:rsidRPr="008579ED">
        <w:rPr>
          <w:rFonts w:hAnsi="標楷體" w:hint="eastAsia"/>
        </w:rPr>
        <w:t>年度之</w:t>
      </w:r>
      <w:r w:rsidR="005F0574" w:rsidRPr="008579ED">
        <w:rPr>
          <w:rFonts w:hAnsi="標楷體"/>
        </w:rPr>
        <w:t>48.8</w:t>
      </w:r>
      <w:r w:rsidR="00311A3E" w:rsidRPr="008579ED">
        <w:rPr>
          <w:rFonts w:hAnsi="標楷體" w:hint="eastAsia"/>
        </w:rPr>
        <w:t>%，市占率連年下降，顯示</w:t>
      </w:r>
      <w:r w:rsidR="00572099">
        <w:rPr>
          <w:rFonts w:hAnsi="標楷體" w:hint="eastAsia"/>
        </w:rPr>
        <w:t>台灣</w:t>
      </w:r>
      <w:r w:rsidR="005F0574" w:rsidRPr="008579ED">
        <w:rPr>
          <w:rFonts w:hAnsi="標楷體" w:hint="eastAsia"/>
        </w:rPr>
        <w:t>啤酒</w:t>
      </w:r>
      <w:r w:rsidR="00572099">
        <w:rPr>
          <w:rFonts w:hAnsi="標楷體" w:hint="eastAsia"/>
        </w:rPr>
        <w:t>之</w:t>
      </w:r>
      <w:r w:rsidR="00311A3E" w:rsidRPr="008579ED">
        <w:rPr>
          <w:rFonts w:hAnsi="標楷體" w:hint="eastAsia"/>
        </w:rPr>
        <w:t>市場競爭力</w:t>
      </w:r>
      <w:r w:rsidR="00572099">
        <w:rPr>
          <w:rFonts w:hAnsi="標楷體" w:hint="eastAsia"/>
        </w:rPr>
        <w:t>容須研謀提升</w:t>
      </w:r>
      <w:r w:rsidR="005B5BB4" w:rsidRPr="008579ED">
        <w:rPr>
          <w:rFonts w:hAnsi="標楷體" w:hint="eastAsia"/>
        </w:rPr>
        <w:t>。據該公司表示係消費者單一品牌忠誠度降低、健康意識抬頭及國內外啤酒市場競爭嚴峻等因素所致，</w:t>
      </w:r>
      <w:r w:rsidR="00C578B5" w:rsidRPr="008579ED">
        <w:rPr>
          <w:rFonts w:hAnsi="標楷體" w:hint="eastAsia"/>
        </w:rPr>
        <w:t>惟111年度台灣啤酒市占率已低於5成，</w:t>
      </w:r>
      <w:r w:rsidR="005F0574" w:rsidRPr="008579ED">
        <w:rPr>
          <w:rFonts w:hAnsi="標楷體" w:hint="eastAsia"/>
        </w:rPr>
        <w:t>允宜妥為研謀因應</w:t>
      </w:r>
      <w:r w:rsidR="005B5BB4" w:rsidRPr="008579ED">
        <w:rPr>
          <w:rFonts w:hAnsi="標楷體" w:hint="eastAsia"/>
        </w:rPr>
        <w:t>，避免</w:t>
      </w:r>
      <w:r w:rsidR="00D47362" w:rsidRPr="008579ED">
        <w:rPr>
          <w:rFonts w:hAnsi="標楷體" w:hint="eastAsia"/>
        </w:rPr>
        <w:t>啤酒</w:t>
      </w:r>
      <w:r w:rsidR="005B5BB4" w:rsidRPr="008579ED">
        <w:rPr>
          <w:rFonts w:hAnsi="標楷體" w:hint="eastAsia"/>
        </w:rPr>
        <w:t>市場占有率</w:t>
      </w:r>
      <w:r w:rsidR="00C578B5" w:rsidRPr="008579ED">
        <w:rPr>
          <w:rFonts w:hAnsi="標楷體" w:hint="eastAsia"/>
        </w:rPr>
        <w:t>持續</w:t>
      </w:r>
      <w:r w:rsidR="005B5BB4" w:rsidRPr="008579ED">
        <w:rPr>
          <w:rFonts w:hAnsi="標楷體" w:hint="eastAsia"/>
        </w:rPr>
        <w:t>衰退</w:t>
      </w:r>
      <w:r w:rsidR="003524F9" w:rsidRPr="008579ED">
        <w:rPr>
          <w:rFonts w:hAnsi="標楷體" w:hint="eastAsia"/>
        </w:rPr>
        <w:t>，影響公司經營績效</w:t>
      </w:r>
      <w:r w:rsidR="00311A3E" w:rsidRPr="008579ED">
        <w:rPr>
          <w:rFonts w:hAnsi="標楷體" w:hint="eastAsia"/>
        </w:rPr>
        <w:t>。</w:t>
      </w:r>
    </w:p>
    <w:p w:rsidR="00F70515" w:rsidRPr="008579ED" w:rsidRDefault="00F70515" w:rsidP="00F70515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D35787"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</w:t>
      </w:r>
      <w:r w:rsidR="00C578B5" w:rsidRPr="008579ED">
        <w:rPr>
          <w:rFonts w:hAnsi="標楷體"/>
          <w:b/>
        </w:rPr>
        <w:t>107</w:t>
      </w:r>
      <w:r w:rsidR="00C578B5" w:rsidRPr="008579ED">
        <w:rPr>
          <w:rFonts w:hAnsi="標楷體" w:hint="eastAsia"/>
          <w:b/>
        </w:rPr>
        <w:t>至111年度</w:t>
      </w:r>
      <w:r w:rsidRPr="008579ED">
        <w:rPr>
          <w:rFonts w:hAnsi="標楷體" w:hint="eastAsia"/>
          <w:b/>
        </w:rPr>
        <w:t>國內主要啤酒品牌市場占有率一覽表</w:t>
      </w:r>
      <w:r w:rsidR="00C578B5" w:rsidRPr="008579ED">
        <w:rPr>
          <w:rFonts w:hAnsi="標楷體" w:hint="eastAsia"/>
          <w:b/>
        </w:rPr>
        <w:t xml:space="preserve">    </w:t>
      </w:r>
      <w:r w:rsidRPr="008579ED">
        <w:rPr>
          <w:rFonts w:hAnsi="標楷體"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420"/>
        <w:gridCol w:w="1420"/>
        <w:gridCol w:w="1420"/>
      </w:tblGrid>
      <w:tr w:rsidR="00F70515" w:rsidRPr="008579ED" w:rsidTr="00F7051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品牌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107年度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111年度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台灣啤酒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59.8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57.9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54.8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51.4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48.8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60"/>
                <w:kern w:val="0"/>
                <w:fitText w:val="960" w:id="-1043687680"/>
              </w:rPr>
              <w:t>海尼</w:t>
            </w:r>
            <w:r w:rsidRPr="008579ED">
              <w:rPr>
                <w:rFonts w:hAnsi="標楷體"/>
                <w:kern w:val="0"/>
                <w:fitText w:val="960" w:id="-1043687680"/>
              </w:rPr>
              <w:t>根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14.8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13.9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13.7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台灣麒麟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10.8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18.3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240"/>
                <w:kern w:val="0"/>
                <w:fitText w:val="960" w:id="-1043687679"/>
              </w:rPr>
              <w:t>青</w:t>
            </w:r>
            <w:r w:rsidRPr="008579ED">
              <w:rPr>
                <w:rFonts w:hAnsi="標楷體"/>
                <w:kern w:val="0"/>
                <w:fitText w:val="960" w:id="-1043687679"/>
              </w:rPr>
              <w:t>島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2.5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0.7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240"/>
                <w:kern w:val="0"/>
                <w:fitText w:val="960" w:id="-1043687678"/>
              </w:rPr>
              <w:t>其</w:t>
            </w:r>
            <w:r w:rsidRPr="008579ED">
              <w:rPr>
                <w:rFonts w:hAnsi="標楷體"/>
                <w:kern w:val="0"/>
                <w:fitText w:val="960" w:id="-1043687678"/>
              </w:rPr>
              <w:t>他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12.0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15.3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16.5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18.5</w:t>
            </w:r>
          </w:p>
        </w:tc>
      </w:tr>
    </w:tbl>
    <w:p w:rsidR="00F70515" w:rsidRPr="008579ED" w:rsidRDefault="00F70515" w:rsidP="00F70515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6C6BA6" w:rsidRPr="008579ED" w:rsidRDefault="001E0D54" w:rsidP="007214E1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綜上，</w:t>
      </w:r>
      <w:r w:rsidR="00330ECC" w:rsidRPr="008579ED">
        <w:rPr>
          <w:rFonts w:hAnsi="標楷體" w:hint="eastAsia"/>
        </w:rPr>
        <w:t>臺灣菸酒公司近3年度自製產品銷售收入皆未達到預算目標，且自製啤酒及自製酒類之銷售額持續下</w:t>
      </w:r>
      <w:r w:rsidR="00937FCD">
        <w:rPr>
          <w:rFonts w:hAnsi="標楷體" w:hint="eastAsia"/>
        </w:rPr>
        <w:t>滑</w:t>
      </w:r>
      <w:r w:rsidR="00330ECC" w:rsidRPr="008579ED">
        <w:rPr>
          <w:rFonts w:hAnsi="標楷體" w:hint="eastAsia"/>
        </w:rPr>
        <w:t>，又</w:t>
      </w:r>
      <w:r w:rsidR="00801FE3" w:rsidRPr="008579ED">
        <w:rPr>
          <w:rFonts w:hAnsi="標楷體" w:hint="eastAsia"/>
        </w:rPr>
        <w:t>台灣啤酒</w:t>
      </w:r>
      <w:r w:rsidR="00801FE3" w:rsidRPr="00801FE3">
        <w:rPr>
          <w:rFonts w:hAnsi="標楷體" w:hint="eastAsia"/>
        </w:rPr>
        <w:t>市占率</w:t>
      </w:r>
      <w:r w:rsidR="00801FE3">
        <w:rPr>
          <w:rFonts w:hAnsi="標楷體" w:hint="eastAsia"/>
        </w:rPr>
        <w:t>連</w:t>
      </w:r>
      <w:r w:rsidR="00801FE3" w:rsidRPr="00801FE3">
        <w:rPr>
          <w:rFonts w:hAnsi="標楷體" w:hint="eastAsia"/>
        </w:rPr>
        <w:t>年</w:t>
      </w:r>
      <w:r w:rsidR="00937FCD">
        <w:rPr>
          <w:rFonts w:hAnsi="標楷體" w:hint="eastAsia"/>
        </w:rPr>
        <w:t>降低</w:t>
      </w:r>
      <w:r w:rsidR="00801FE3">
        <w:rPr>
          <w:rFonts w:hAnsi="標楷體" w:hint="eastAsia"/>
        </w:rPr>
        <w:t>，</w:t>
      </w:r>
      <w:r w:rsidR="00330ECC" w:rsidRPr="008579ED">
        <w:rPr>
          <w:rFonts w:hAnsi="標楷體" w:hint="eastAsia"/>
        </w:rPr>
        <w:t>111年度市占率已低於5成，允宜研謀因應，俾提升經營績效</w:t>
      </w:r>
      <w:bookmarkEnd w:id="1"/>
      <w:bookmarkEnd w:id="2"/>
      <w:bookmarkEnd w:id="3"/>
      <w:bookmarkEnd w:id="4"/>
      <w:bookmarkEnd w:id="5"/>
      <w:bookmarkEnd w:id="7"/>
      <w:bookmarkEnd w:id="8"/>
      <w:bookmarkEnd w:id="9"/>
      <w:bookmarkEnd w:id="10"/>
      <w:bookmarkEnd w:id="11"/>
    </w:p>
    <w:sectPr w:rsidR="006C6BA6" w:rsidRPr="008579ED" w:rsidSect="00B24B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A5" w:rsidRDefault="00B57BA5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974A6A" w:rsidRDefault="00974A6A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Pr="00B66FE5" w:rsidRDefault="00974A6A">
    <w:pPr>
      <w:pStyle w:val="af2"/>
      <w:framePr w:wrap="around" w:vAnchor="text" w:hAnchor="margin" w:xAlign="center" w:y="1"/>
      <w:rPr>
        <w:rStyle w:val="af0"/>
        <w:rFonts w:ascii="標楷體" w:eastAsia="標楷體" w:hAnsi="標楷體"/>
        <w:szCs w:val="24"/>
      </w:rPr>
    </w:pPr>
    <w:r w:rsidRPr="00B66FE5">
      <w:rPr>
        <w:rStyle w:val="af0"/>
        <w:rFonts w:ascii="標楷體" w:eastAsia="標楷體" w:hAnsi="標楷體"/>
        <w:szCs w:val="24"/>
      </w:rPr>
      <w:fldChar w:fldCharType="begin"/>
    </w:r>
    <w:r w:rsidRPr="00B66FE5">
      <w:rPr>
        <w:rStyle w:val="af0"/>
        <w:rFonts w:ascii="標楷體" w:eastAsia="標楷體" w:hAnsi="標楷體"/>
        <w:szCs w:val="24"/>
      </w:rPr>
      <w:instrText xml:space="preserve">PAGE  </w:instrText>
    </w:r>
    <w:r w:rsidRPr="00B66FE5">
      <w:rPr>
        <w:rStyle w:val="af0"/>
        <w:rFonts w:ascii="標楷體" w:eastAsia="標楷體" w:hAnsi="標楷體"/>
        <w:szCs w:val="24"/>
      </w:rPr>
      <w:fldChar w:fldCharType="separate"/>
    </w:r>
    <w:r w:rsidR="007214E1">
      <w:rPr>
        <w:rStyle w:val="af0"/>
        <w:rFonts w:ascii="標楷體" w:eastAsia="標楷體" w:hAnsi="標楷體"/>
        <w:noProof/>
        <w:szCs w:val="24"/>
      </w:rPr>
      <w:t>2</w:t>
    </w:r>
    <w:r w:rsidRPr="00B66FE5">
      <w:rPr>
        <w:rStyle w:val="af0"/>
        <w:rFonts w:ascii="標楷體" w:eastAsia="標楷體" w:hAnsi="標楷體"/>
        <w:szCs w:val="24"/>
      </w:rPr>
      <w:fldChar w:fldCharType="end"/>
    </w:r>
  </w:p>
  <w:p w:rsidR="00974A6A" w:rsidRDefault="00974A6A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A5" w:rsidRDefault="00B57BA5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3A6"/>
    <w:rsid w:val="00001782"/>
    <w:rsid w:val="00002089"/>
    <w:rsid w:val="000026AF"/>
    <w:rsid w:val="000028EB"/>
    <w:rsid w:val="00002D0C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3799"/>
    <w:rsid w:val="00014F4C"/>
    <w:rsid w:val="0001561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29D4"/>
    <w:rsid w:val="00023034"/>
    <w:rsid w:val="00023E66"/>
    <w:rsid w:val="0002406A"/>
    <w:rsid w:val="00024BF1"/>
    <w:rsid w:val="00024D8A"/>
    <w:rsid w:val="00024D8E"/>
    <w:rsid w:val="00025EAE"/>
    <w:rsid w:val="0003004D"/>
    <w:rsid w:val="00030778"/>
    <w:rsid w:val="00030FA1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254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CF8"/>
    <w:rsid w:val="00047225"/>
    <w:rsid w:val="000475F1"/>
    <w:rsid w:val="00047C83"/>
    <w:rsid w:val="00047D35"/>
    <w:rsid w:val="00047EC1"/>
    <w:rsid w:val="00047F64"/>
    <w:rsid w:val="0005042B"/>
    <w:rsid w:val="0005124B"/>
    <w:rsid w:val="0005193D"/>
    <w:rsid w:val="000522A8"/>
    <w:rsid w:val="000525F6"/>
    <w:rsid w:val="00052774"/>
    <w:rsid w:val="00052B02"/>
    <w:rsid w:val="00052F5E"/>
    <w:rsid w:val="00054876"/>
    <w:rsid w:val="00054D1C"/>
    <w:rsid w:val="00054D72"/>
    <w:rsid w:val="00055F4A"/>
    <w:rsid w:val="00056B73"/>
    <w:rsid w:val="00056F3D"/>
    <w:rsid w:val="000578DA"/>
    <w:rsid w:val="00057994"/>
    <w:rsid w:val="00057BA9"/>
    <w:rsid w:val="00060759"/>
    <w:rsid w:val="0006101D"/>
    <w:rsid w:val="0006118C"/>
    <w:rsid w:val="000616A9"/>
    <w:rsid w:val="0006261D"/>
    <w:rsid w:val="000627A8"/>
    <w:rsid w:val="00062959"/>
    <w:rsid w:val="00062A41"/>
    <w:rsid w:val="00062EF8"/>
    <w:rsid w:val="000633C5"/>
    <w:rsid w:val="00063CEB"/>
    <w:rsid w:val="00064093"/>
    <w:rsid w:val="000647C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4DA0"/>
    <w:rsid w:val="000751D2"/>
    <w:rsid w:val="000760BA"/>
    <w:rsid w:val="0007620B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97B"/>
    <w:rsid w:val="00085C93"/>
    <w:rsid w:val="00085F0B"/>
    <w:rsid w:val="0008640E"/>
    <w:rsid w:val="0008681B"/>
    <w:rsid w:val="00086AFA"/>
    <w:rsid w:val="00087C34"/>
    <w:rsid w:val="00087FCC"/>
    <w:rsid w:val="00090478"/>
    <w:rsid w:val="00091695"/>
    <w:rsid w:val="000918BC"/>
    <w:rsid w:val="00091ECB"/>
    <w:rsid w:val="00091F4A"/>
    <w:rsid w:val="00092800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B056B"/>
    <w:rsid w:val="000B075A"/>
    <w:rsid w:val="000B10B6"/>
    <w:rsid w:val="000B110D"/>
    <w:rsid w:val="000B1130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4997"/>
    <w:rsid w:val="000B4B9A"/>
    <w:rsid w:val="000B5F4F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6090"/>
    <w:rsid w:val="000C657E"/>
    <w:rsid w:val="000C6E03"/>
    <w:rsid w:val="000C7456"/>
    <w:rsid w:val="000C750D"/>
    <w:rsid w:val="000D082D"/>
    <w:rsid w:val="000D11AD"/>
    <w:rsid w:val="000D1274"/>
    <w:rsid w:val="000D1B82"/>
    <w:rsid w:val="000D1B8E"/>
    <w:rsid w:val="000D20EE"/>
    <w:rsid w:val="000D211E"/>
    <w:rsid w:val="000D2551"/>
    <w:rsid w:val="000D3E93"/>
    <w:rsid w:val="000D412C"/>
    <w:rsid w:val="000D4D34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478"/>
    <w:rsid w:val="000E25F7"/>
    <w:rsid w:val="000E26D0"/>
    <w:rsid w:val="000E2F6B"/>
    <w:rsid w:val="000E385F"/>
    <w:rsid w:val="000E3878"/>
    <w:rsid w:val="000E39D4"/>
    <w:rsid w:val="000E3FF5"/>
    <w:rsid w:val="000E45D8"/>
    <w:rsid w:val="000E560A"/>
    <w:rsid w:val="000E5670"/>
    <w:rsid w:val="000E5F69"/>
    <w:rsid w:val="000E687F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5511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839"/>
    <w:rsid w:val="00104A98"/>
    <w:rsid w:val="00104D67"/>
    <w:rsid w:val="00104E04"/>
    <w:rsid w:val="0010536E"/>
    <w:rsid w:val="0010545F"/>
    <w:rsid w:val="00105649"/>
    <w:rsid w:val="001059AD"/>
    <w:rsid w:val="001060AC"/>
    <w:rsid w:val="001063CB"/>
    <w:rsid w:val="00106F56"/>
    <w:rsid w:val="00107C02"/>
    <w:rsid w:val="00112428"/>
    <w:rsid w:val="00112D29"/>
    <w:rsid w:val="00112D7E"/>
    <w:rsid w:val="0011329B"/>
    <w:rsid w:val="0011350A"/>
    <w:rsid w:val="001137AE"/>
    <w:rsid w:val="00114B7B"/>
    <w:rsid w:val="001170BA"/>
    <w:rsid w:val="00117F95"/>
    <w:rsid w:val="00117F99"/>
    <w:rsid w:val="001204A4"/>
    <w:rsid w:val="00120E23"/>
    <w:rsid w:val="00121209"/>
    <w:rsid w:val="001213D7"/>
    <w:rsid w:val="00121427"/>
    <w:rsid w:val="00121496"/>
    <w:rsid w:val="00121B0E"/>
    <w:rsid w:val="0012233E"/>
    <w:rsid w:val="001224E1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9FD"/>
    <w:rsid w:val="00126A7B"/>
    <w:rsid w:val="00126F16"/>
    <w:rsid w:val="001278E7"/>
    <w:rsid w:val="001304A7"/>
    <w:rsid w:val="00131035"/>
    <w:rsid w:val="001310C7"/>
    <w:rsid w:val="001323CF"/>
    <w:rsid w:val="00132410"/>
    <w:rsid w:val="001336F5"/>
    <w:rsid w:val="001337A1"/>
    <w:rsid w:val="001347E5"/>
    <w:rsid w:val="00134C0B"/>
    <w:rsid w:val="001370A7"/>
    <w:rsid w:val="0013769D"/>
    <w:rsid w:val="0013774C"/>
    <w:rsid w:val="001406CC"/>
    <w:rsid w:val="0014072B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5FA"/>
    <w:rsid w:val="00151A84"/>
    <w:rsid w:val="00151B36"/>
    <w:rsid w:val="0015243B"/>
    <w:rsid w:val="00153BF2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F6C"/>
    <w:rsid w:val="00164067"/>
    <w:rsid w:val="00164553"/>
    <w:rsid w:val="00164787"/>
    <w:rsid w:val="00164BF8"/>
    <w:rsid w:val="00164CEE"/>
    <w:rsid w:val="001650BB"/>
    <w:rsid w:val="001653ED"/>
    <w:rsid w:val="0016574B"/>
    <w:rsid w:val="00165F93"/>
    <w:rsid w:val="00166B69"/>
    <w:rsid w:val="00167576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4A08"/>
    <w:rsid w:val="001754C1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791"/>
    <w:rsid w:val="00185A66"/>
    <w:rsid w:val="00185EA6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15D6"/>
    <w:rsid w:val="001926F3"/>
    <w:rsid w:val="001927A8"/>
    <w:rsid w:val="00192810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BEA"/>
    <w:rsid w:val="00196F6F"/>
    <w:rsid w:val="00197184"/>
    <w:rsid w:val="00197366"/>
    <w:rsid w:val="00197532"/>
    <w:rsid w:val="001979D3"/>
    <w:rsid w:val="00197E6C"/>
    <w:rsid w:val="00197EB2"/>
    <w:rsid w:val="001A0D39"/>
    <w:rsid w:val="001A1135"/>
    <w:rsid w:val="001A1360"/>
    <w:rsid w:val="001A160C"/>
    <w:rsid w:val="001A1637"/>
    <w:rsid w:val="001A21B7"/>
    <w:rsid w:val="001A23CA"/>
    <w:rsid w:val="001A24EA"/>
    <w:rsid w:val="001A2EF9"/>
    <w:rsid w:val="001A3551"/>
    <w:rsid w:val="001A3713"/>
    <w:rsid w:val="001A3F4C"/>
    <w:rsid w:val="001A4AED"/>
    <w:rsid w:val="001A4DF5"/>
    <w:rsid w:val="001A5DA6"/>
    <w:rsid w:val="001A6C95"/>
    <w:rsid w:val="001A7875"/>
    <w:rsid w:val="001A79E2"/>
    <w:rsid w:val="001A7CF5"/>
    <w:rsid w:val="001B0163"/>
    <w:rsid w:val="001B0255"/>
    <w:rsid w:val="001B0376"/>
    <w:rsid w:val="001B0C2C"/>
    <w:rsid w:val="001B11CC"/>
    <w:rsid w:val="001B1C5B"/>
    <w:rsid w:val="001B27EC"/>
    <w:rsid w:val="001B2A8B"/>
    <w:rsid w:val="001B2B14"/>
    <w:rsid w:val="001B3CAE"/>
    <w:rsid w:val="001B4157"/>
    <w:rsid w:val="001B4DA6"/>
    <w:rsid w:val="001B623A"/>
    <w:rsid w:val="001B6F71"/>
    <w:rsid w:val="001B7209"/>
    <w:rsid w:val="001C0018"/>
    <w:rsid w:val="001C01E7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02B"/>
    <w:rsid w:val="001C78FA"/>
    <w:rsid w:val="001C7B04"/>
    <w:rsid w:val="001C7BBE"/>
    <w:rsid w:val="001C7CF9"/>
    <w:rsid w:val="001D09FE"/>
    <w:rsid w:val="001D0B80"/>
    <w:rsid w:val="001D0CE1"/>
    <w:rsid w:val="001D192A"/>
    <w:rsid w:val="001D336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0D54"/>
    <w:rsid w:val="001E1291"/>
    <w:rsid w:val="001E2B0D"/>
    <w:rsid w:val="001E2D96"/>
    <w:rsid w:val="001E35D7"/>
    <w:rsid w:val="001E373D"/>
    <w:rsid w:val="001E40FA"/>
    <w:rsid w:val="001E44A2"/>
    <w:rsid w:val="001E4F64"/>
    <w:rsid w:val="001E55CE"/>
    <w:rsid w:val="001E56FB"/>
    <w:rsid w:val="001E6164"/>
    <w:rsid w:val="001E6FBC"/>
    <w:rsid w:val="001E7DCF"/>
    <w:rsid w:val="001F0422"/>
    <w:rsid w:val="001F0634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53C"/>
    <w:rsid w:val="00200E74"/>
    <w:rsid w:val="0020120D"/>
    <w:rsid w:val="00201737"/>
    <w:rsid w:val="00201BF6"/>
    <w:rsid w:val="00202130"/>
    <w:rsid w:val="002032F6"/>
    <w:rsid w:val="002033EF"/>
    <w:rsid w:val="0020362D"/>
    <w:rsid w:val="002043B2"/>
    <w:rsid w:val="0020501C"/>
    <w:rsid w:val="00206CA7"/>
    <w:rsid w:val="00206E7A"/>
    <w:rsid w:val="00207099"/>
    <w:rsid w:val="002077A4"/>
    <w:rsid w:val="00210EE8"/>
    <w:rsid w:val="00211A21"/>
    <w:rsid w:val="00211FAD"/>
    <w:rsid w:val="00212B6F"/>
    <w:rsid w:val="00212C24"/>
    <w:rsid w:val="00212EA0"/>
    <w:rsid w:val="0021350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1681"/>
    <w:rsid w:val="002222D5"/>
    <w:rsid w:val="00222A13"/>
    <w:rsid w:val="0022337C"/>
    <w:rsid w:val="00223736"/>
    <w:rsid w:val="00223CA5"/>
    <w:rsid w:val="00223DE3"/>
    <w:rsid w:val="00223DFE"/>
    <w:rsid w:val="002247FE"/>
    <w:rsid w:val="0022515D"/>
    <w:rsid w:val="0022535E"/>
    <w:rsid w:val="0022561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69C"/>
    <w:rsid w:val="00234CD0"/>
    <w:rsid w:val="00234FDF"/>
    <w:rsid w:val="00235F16"/>
    <w:rsid w:val="002370E5"/>
    <w:rsid w:val="002376C4"/>
    <w:rsid w:val="00237BD8"/>
    <w:rsid w:val="00237FF5"/>
    <w:rsid w:val="002407B3"/>
    <w:rsid w:val="00240929"/>
    <w:rsid w:val="00240DC0"/>
    <w:rsid w:val="002411F8"/>
    <w:rsid w:val="00241E3E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396B"/>
    <w:rsid w:val="00264270"/>
    <w:rsid w:val="0026451B"/>
    <w:rsid w:val="00265BAA"/>
    <w:rsid w:val="00266F11"/>
    <w:rsid w:val="00267B49"/>
    <w:rsid w:val="00267FAA"/>
    <w:rsid w:val="0027057F"/>
    <w:rsid w:val="0027177A"/>
    <w:rsid w:val="00271890"/>
    <w:rsid w:val="00271D5B"/>
    <w:rsid w:val="00272AEF"/>
    <w:rsid w:val="00272D2A"/>
    <w:rsid w:val="002737DE"/>
    <w:rsid w:val="00273F13"/>
    <w:rsid w:val="00273FD9"/>
    <w:rsid w:val="0027472A"/>
    <w:rsid w:val="00274D90"/>
    <w:rsid w:val="00274EC8"/>
    <w:rsid w:val="00275601"/>
    <w:rsid w:val="0027576F"/>
    <w:rsid w:val="00275DA0"/>
    <w:rsid w:val="002766D6"/>
    <w:rsid w:val="00276A13"/>
    <w:rsid w:val="00276A14"/>
    <w:rsid w:val="00276CC4"/>
    <w:rsid w:val="00277555"/>
    <w:rsid w:val="00277C0E"/>
    <w:rsid w:val="002806DF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1EC"/>
    <w:rsid w:val="0029259C"/>
    <w:rsid w:val="00292605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0FFD"/>
    <w:rsid w:val="002A1F9F"/>
    <w:rsid w:val="002A2668"/>
    <w:rsid w:val="002A2AE0"/>
    <w:rsid w:val="002A3082"/>
    <w:rsid w:val="002A3C53"/>
    <w:rsid w:val="002A3FCB"/>
    <w:rsid w:val="002A49C2"/>
    <w:rsid w:val="002A4E6F"/>
    <w:rsid w:val="002A5217"/>
    <w:rsid w:val="002A5407"/>
    <w:rsid w:val="002A593F"/>
    <w:rsid w:val="002A5F8C"/>
    <w:rsid w:val="002A64F7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2F50"/>
    <w:rsid w:val="002B31D6"/>
    <w:rsid w:val="002B358A"/>
    <w:rsid w:val="002B392B"/>
    <w:rsid w:val="002B5340"/>
    <w:rsid w:val="002B56CC"/>
    <w:rsid w:val="002B5A42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938"/>
    <w:rsid w:val="002C2A19"/>
    <w:rsid w:val="002C31DF"/>
    <w:rsid w:val="002C33CA"/>
    <w:rsid w:val="002C3C5E"/>
    <w:rsid w:val="002C41D2"/>
    <w:rsid w:val="002C4262"/>
    <w:rsid w:val="002C42C1"/>
    <w:rsid w:val="002C4313"/>
    <w:rsid w:val="002C45DB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392E"/>
    <w:rsid w:val="002D3FAB"/>
    <w:rsid w:val="002D41AE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5D42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717"/>
    <w:rsid w:val="002F39F6"/>
    <w:rsid w:val="002F401E"/>
    <w:rsid w:val="002F4165"/>
    <w:rsid w:val="002F4329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1A3E"/>
    <w:rsid w:val="00311DD1"/>
    <w:rsid w:val="00312644"/>
    <w:rsid w:val="00312ECD"/>
    <w:rsid w:val="00312F7E"/>
    <w:rsid w:val="00313467"/>
    <w:rsid w:val="00313F04"/>
    <w:rsid w:val="00314D53"/>
    <w:rsid w:val="00315093"/>
    <w:rsid w:val="00315104"/>
    <w:rsid w:val="0031558C"/>
    <w:rsid w:val="003159D7"/>
    <w:rsid w:val="00315C1E"/>
    <w:rsid w:val="00316059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06A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0ECC"/>
    <w:rsid w:val="00331DAF"/>
    <w:rsid w:val="0033237D"/>
    <w:rsid w:val="0033244C"/>
    <w:rsid w:val="003327AE"/>
    <w:rsid w:val="00332862"/>
    <w:rsid w:val="00332DEA"/>
    <w:rsid w:val="0033410E"/>
    <w:rsid w:val="003355AC"/>
    <w:rsid w:val="0033610A"/>
    <w:rsid w:val="00336B3A"/>
    <w:rsid w:val="00336B9D"/>
    <w:rsid w:val="00337207"/>
    <w:rsid w:val="00337DE6"/>
    <w:rsid w:val="00337EFE"/>
    <w:rsid w:val="00340224"/>
    <w:rsid w:val="003414F7"/>
    <w:rsid w:val="00341A6F"/>
    <w:rsid w:val="00341B1A"/>
    <w:rsid w:val="00341D81"/>
    <w:rsid w:val="00342179"/>
    <w:rsid w:val="0034224C"/>
    <w:rsid w:val="00342CFB"/>
    <w:rsid w:val="00343C71"/>
    <w:rsid w:val="00343E1C"/>
    <w:rsid w:val="00344DBE"/>
    <w:rsid w:val="0034520A"/>
    <w:rsid w:val="00345638"/>
    <w:rsid w:val="003458D0"/>
    <w:rsid w:val="003467F3"/>
    <w:rsid w:val="00346D1E"/>
    <w:rsid w:val="00346D83"/>
    <w:rsid w:val="00347514"/>
    <w:rsid w:val="00347533"/>
    <w:rsid w:val="00350058"/>
    <w:rsid w:val="003505B6"/>
    <w:rsid w:val="00351644"/>
    <w:rsid w:val="003518BD"/>
    <w:rsid w:val="00352341"/>
    <w:rsid w:val="003524F9"/>
    <w:rsid w:val="0035383C"/>
    <w:rsid w:val="00353D51"/>
    <w:rsid w:val="00354853"/>
    <w:rsid w:val="003557FE"/>
    <w:rsid w:val="003605D0"/>
    <w:rsid w:val="00361265"/>
    <w:rsid w:val="0036172F"/>
    <w:rsid w:val="00361C57"/>
    <w:rsid w:val="00361FAE"/>
    <w:rsid w:val="00362626"/>
    <w:rsid w:val="00362AF5"/>
    <w:rsid w:val="00362E15"/>
    <w:rsid w:val="00362E76"/>
    <w:rsid w:val="003633EA"/>
    <w:rsid w:val="00363A90"/>
    <w:rsid w:val="00363E51"/>
    <w:rsid w:val="0036475D"/>
    <w:rsid w:val="0036559E"/>
    <w:rsid w:val="00367495"/>
    <w:rsid w:val="00370510"/>
    <w:rsid w:val="0037069E"/>
    <w:rsid w:val="003706BB"/>
    <w:rsid w:val="00370BCF"/>
    <w:rsid w:val="0037118D"/>
    <w:rsid w:val="00371501"/>
    <w:rsid w:val="0037153B"/>
    <w:rsid w:val="00371549"/>
    <w:rsid w:val="00371968"/>
    <w:rsid w:val="00371999"/>
    <w:rsid w:val="003719FE"/>
    <w:rsid w:val="00371AF3"/>
    <w:rsid w:val="00372BB6"/>
    <w:rsid w:val="00372BF1"/>
    <w:rsid w:val="003730BD"/>
    <w:rsid w:val="00373154"/>
    <w:rsid w:val="00373771"/>
    <w:rsid w:val="00373A08"/>
    <w:rsid w:val="00373E9B"/>
    <w:rsid w:val="003741F2"/>
    <w:rsid w:val="003749B1"/>
    <w:rsid w:val="00374F6B"/>
    <w:rsid w:val="00376362"/>
    <w:rsid w:val="00376576"/>
    <w:rsid w:val="00376AA5"/>
    <w:rsid w:val="0037759F"/>
    <w:rsid w:val="00377B59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33C"/>
    <w:rsid w:val="00385B61"/>
    <w:rsid w:val="0038606A"/>
    <w:rsid w:val="003863AB"/>
    <w:rsid w:val="00386C73"/>
    <w:rsid w:val="00386D08"/>
    <w:rsid w:val="0038729A"/>
    <w:rsid w:val="00390783"/>
    <w:rsid w:val="00390DEF"/>
    <w:rsid w:val="00391CD4"/>
    <w:rsid w:val="00391DE9"/>
    <w:rsid w:val="00392762"/>
    <w:rsid w:val="003931BE"/>
    <w:rsid w:val="0039337C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35F"/>
    <w:rsid w:val="00397873"/>
    <w:rsid w:val="00397A25"/>
    <w:rsid w:val="003A037B"/>
    <w:rsid w:val="003A04ED"/>
    <w:rsid w:val="003A0541"/>
    <w:rsid w:val="003A15BB"/>
    <w:rsid w:val="003A1648"/>
    <w:rsid w:val="003A1DE3"/>
    <w:rsid w:val="003A2067"/>
    <w:rsid w:val="003A2130"/>
    <w:rsid w:val="003A2217"/>
    <w:rsid w:val="003A2499"/>
    <w:rsid w:val="003A2E2B"/>
    <w:rsid w:val="003A3F7E"/>
    <w:rsid w:val="003A5EE1"/>
    <w:rsid w:val="003A62C1"/>
    <w:rsid w:val="003A6BC6"/>
    <w:rsid w:val="003A6E18"/>
    <w:rsid w:val="003A7CEA"/>
    <w:rsid w:val="003B014B"/>
    <w:rsid w:val="003B1FB5"/>
    <w:rsid w:val="003B279A"/>
    <w:rsid w:val="003B3329"/>
    <w:rsid w:val="003B35CB"/>
    <w:rsid w:val="003B3D96"/>
    <w:rsid w:val="003B4760"/>
    <w:rsid w:val="003B4BE5"/>
    <w:rsid w:val="003B56E2"/>
    <w:rsid w:val="003B638C"/>
    <w:rsid w:val="003B6636"/>
    <w:rsid w:val="003B66D6"/>
    <w:rsid w:val="003B6C4B"/>
    <w:rsid w:val="003B7B9A"/>
    <w:rsid w:val="003B7BB5"/>
    <w:rsid w:val="003C0C80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E27"/>
    <w:rsid w:val="003C5F8A"/>
    <w:rsid w:val="003C6042"/>
    <w:rsid w:val="003C6669"/>
    <w:rsid w:val="003C6DA7"/>
    <w:rsid w:val="003C6EA4"/>
    <w:rsid w:val="003C7387"/>
    <w:rsid w:val="003C7A09"/>
    <w:rsid w:val="003D162C"/>
    <w:rsid w:val="003D167F"/>
    <w:rsid w:val="003D2055"/>
    <w:rsid w:val="003D2754"/>
    <w:rsid w:val="003D2869"/>
    <w:rsid w:val="003D2950"/>
    <w:rsid w:val="003D2F05"/>
    <w:rsid w:val="003D3CAE"/>
    <w:rsid w:val="003D4290"/>
    <w:rsid w:val="003D4CCB"/>
    <w:rsid w:val="003D4E75"/>
    <w:rsid w:val="003D5B94"/>
    <w:rsid w:val="003D5D28"/>
    <w:rsid w:val="003D6149"/>
    <w:rsid w:val="003D6F01"/>
    <w:rsid w:val="003D7613"/>
    <w:rsid w:val="003D7E05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2D13"/>
    <w:rsid w:val="003F3432"/>
    <w:rsid w:val="003F37C8"/>
    <w:rsid w:val="003F38FA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32DB"/>
    <w:rsid w:val="004042A7"/>
    <w:rsid w:val="0040507E"/>
    <w:rsid w:val="00406D53"/>
    <w:rsid w:val="00407485"/>
    <w:rsid w:val="004075B6"/>
    <w:rsid w:val="004113FA"/>
    <w:rsid w:val="004119DE"/>
    <w:rsid w:val="00412D82"/>
    <w:rsid w:val="004132A4"/>
    <w:rsid w:val="004138A4"/>
    <w:rsid w:val="004139DE"/>
    <w:rsid w:val="0041446B"/>
    <w:rsid w:val="00414A6B"/>
    <w:rsid w:val="00414C24"/>
    <w:rsid w:val="00414FE8"/>
    <w:rsid w:val="00415C76"/>
    <w:rsid w:val="004161AE"/>
    <w:rsid w:val="00417022"/>
    <w:rsid w:val="004172D3"/>
    <w:rsid w:val="00417DF8"/>
    <w:rsid w:val="00420266"/>
    <w:rsid w:val="0042039C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B41"/>
    <w:rsid w:val="00425324"/>
    <w:rsid w:val="00425461"/>
    <w:rsid w:val="0042579C"/>
    <w:rsid w:val="00425A39"/>
    <w:rsid w:val="00425AF3"/>
    <w:rsid w:val="00425C87"/>
    <w:rsid w:val="0042685D"/>
    <w:rsid w:val="0042696C"/>
    <w:rsid w:val="00427043"/>
    <w:rsid w:val="00427BFF"/>
    <w:rsid w:val="00430AB0"/>
    <w:rsid w:val="00430AB5"/>
    <w:rsid w:val="004313BF"/>
    <w:rsid w:val="004318A1"/>
    <w:rsid w:val="00432687"/>
    <w:rsid w:val="004330AC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2F"/>
    <w:rsid w:val="0044163A"/>
    <w:rsid w:val="00441F9F"/>
    <w:rsid w:val="00444344"/>
    <w:rsid w:val="00445F20"/>
    <w:rsid w:val="00451C48"/>
    <w:rsid w:val="0045204C"/>
    <w:rsid w:val="004529F4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73F"/>
    <w:rsid w:val="00457872"/>
    <w:rsid w:val="004579F7"/>
    <w:rsid w:val="00457B34"/>
    <w:rsid w:val="00457BAF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B78"/>
    <w:rsid w:val="00474E82"/>
    <w:rsid w:val="00475D4F"/>
    <w:rsid w:val="00476406"/>
    <w:rsid w:val="00476C13"/>
    <w:rsid w:val="00477E33"/>
    <w:rsid w:val="004801F7"/>
    <w:rsid w:val="004802AD"/>
    <w:rsid w:val="00480452"/>
    <w:rsid w:val="00480A0C"/>
    <w:rsid w:val="00480AC9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E7"/>
    <w:rsid w:val="0048699D"/>
    <w:rsid w:val="004869AB"/>
    <w:rsid w:val="00487A8D"/>
    <w:rsid w:val="004920FE"/>
    <w:rsid w:val="004923E9"/>
    <w:rsid w:val="004924D7"/>
    <w:rsid w:val="00492E45"/>
    <w:rsid w:val="00493BF6"/>
    <w:rsid w:val="00494584"/>
    <w:rsid w:val="004954C1"/>
    <w:rsid w:val="00495DE8"/>
    <w:rsid w:val="00497616"/>
    <w:rsid w:val="004A0162"/>
    <w:rsid w:val="004A0174"/>
    <w:rsid w:val="004A0740"/>
    <w:rsid w:val="004A0DF7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517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571"/>
    <w:rsid w:val="004C097E"/>
    <w:rsid w:val="004C184D"/>
    <w:rsid w:val="004C3349"/>
    <w:rsid w:val="004C43AE"/>
    <w:rsid w:val="004C48D3"/>
    <w:rsid w:val="004C59F7"/>
    <w:rsid w:val="004C5FA7"/>
    <w:rsid w:val="004C6127"/>
    <w:rsid w:val="004C630D"/>
    <w:rsid w:val="004C6928"/>
    <w:rsid w:val="004C6BD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4BF0"/>
    <w:rsid w:val="004D5256"/>
    <w:rsid w:val="004D65FE"/>
    <w:rsid w:val="004D6651"/>
    <w:rsid w:val="004D6E51"/>
    <w:rsid w:val="004D6E9C"/>
    <w:rsid w:val="004D73AA"/>
    <w:rsid w:val="004D7A81"/>
    <w:rsid w:val="004D7A9A"/>
    <w:rsid w:val="004D7E23"/>
    <w:rsid w:val="004E0727"/>
    <w:rsid w:val="004E0875"/>
    <w:rsid w:val="004E0E55"/>
    <w:rsid w:val="004E3857"/>
    <w:rsid w:val="004E3B5F"/>
    <w:rsid w:val="004E3EA9"/>
    <w:rsid w:val="004E4927"/>
    <w:rsid w:val="004E50FC"/>
    <w:rsid w:val="004E525B"/>
    <w:rsid w:val="004E539E"/>
    <w:rsid w:val="004E6AEF"/>
    <w:rsid w:val="004E6E0C"/>
    <w:rsid w:val="004E7ACD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4224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371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1092B"/>
    <w:rsid w:val="00510B73"/>
    <w:rsid w:val="005114C7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1FA3"/>
    <w:rsid w:val="0052203B"/>
    <w:rsid w:val="005222AD"/>
    <w:rsid w:val="00522419"/>
    <w:rsid w:val="00522E51"/>
    <w:rsid w:val="00523CB3"/>
    <w:rsid w:val="00525584"/>
    <w:rsid w:val="005259FD"/>
    <w:rsid w:val="005263CB"/>
    <w:rsid w:val="005267F9"/>
    <w:rsid w:val="005274E0"/>
    <w:rsid w:val="00527604"/>
    <w:rsid w:val="0052792C"/>
    <w:rsid w:val="00527A0E"/>
    <w:rsid w:val="00527E13"/>
    <w:rsid w:val="00527E4C"/>
    <w:rsid w:val="00530B54"/>
    <w:rsid w:val="00530D6A"/>
    <w:rsid w:val="005317D2"/>
    <w:rsid w:val="005343FC"/>
    <w:rsid w:val="00534FD7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30E7"/>
    <w:rsid w:val="005433C9"/>
    <w:rsid w:val="00543694"/>
    <w:rsid w:val="005444E7"/>
    <w:rsid w:val="00544C42"/>
    <w:rsid w:val="00544CCF"/>
    <w:rsid w:val="00544F9D"/>
    <w:rsid w:val="005450A9"/>
    <w:rsid w:val="00545FEE"/>
    <w:rsid w:val="00546337"/>
    <w:rsid w:val="00546BEF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4EA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1DA7"/>
    <w:rsid w:val="0057206E"/>
    <w:rsid w:val="0057208F"/>
    <w:rsid w:val="00572099"/>
    <w:rsid w:val="00572A72"/>
    <w:rsid w:val="00572E68"/>
    <w:rsid w:val="005730A5"/>
    <w:rsid w:val="00574088"/>
    <w:rsid w:val="00574115"/>
    <w:rsid w:val="0057476D"/>
    <w:rsid w:val="00574AB7"/>
    <w:rsid w:val="00574D6D"/>
    <w:rsid w:val="00575508"/>
    <w:rsid w:val="00575CBE"/>
    <w:rsid w:val="005760D5"/>
    <w:rsid w:val="005769FE"/>
    <w:rsid w:val="00576EDB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DBD"/>
    <w:rsid w:val="00584F9E"/>
    <w:rsid w:val="00585B31"/>
    <w:rsid w:val="00585E8C"/>
    <w:rsid w:val="005860F2"/>
    <w:rsid w:val="005864F4"/>
    <w:rsid w:val="00586B77"/>
    <w:rsid w:val="00586BA5"/>
    <w:rsid w:val="00586D46"/>
    <w:rsid w:val="005870CF"/>
    <w:rsid w:val="0058767E"/>
    <w:rsid w:val="0058791C"/>
    <w:rsid w:val="00587DFC"/>
    <w:rsid w:val="005902C3"/>
    <w:rsid w:val="005908AC"/>
    <w:rsid w:val="00590BB7"/>
    <w:rsid w:val="00590C24"/>
    <w:rsid w:val="00591513"/>
    <w:rsid w:val="00591570"/>
    <w:rsid w:val="00591A38"/>
    <w:rsid w:val="005924FF"/>
    <w:rsid w:val="005936C9"/>
    <w:rsid w:val="00593B5F"/>
    <w:rsid w:val="00593D13"/>
    <w:rsid w:val="00594646"/>
    <w:rsid w:val="005954FF"/>
    <w:rsid w:val="00595B1E"/>
    <w:rsid w:val="00595BA0"/>
    <w:rsid w:val="0059696B"/>
    <w:rsid w:val="00596E7B"/>
    <w:rsid w:val="0059711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E79"/>
    <w:rsid w:val="005B1245"/>
    <w:rsid w:val="005B1275"/>
    <w:rsid w:val="005B1D34"/>
    <w:rsid w:val="005B20B8"/>
    <w:rsid w:val="005B2834"/>
    <w:rsid w:val="005B2FB6"/>
    <w:rsid w:val="005B319A"/>
    <w:rsid w:val="005B3B07"/>
    <w:rsid w:val="005B4BC9"/>
    <w:rsid w:val="005B4EC7"/>
    <w:rsid w:val="005B5BB4"/>
    <w:rsid w:val="005B5D74"/>
    <w:rsid w:val="005B62F6"/>
    <w:rsid w:val="005B63FA"/>
    <w:rsid w:val="005B64FA"/>
    <w:rsid w:val="005B702D"/>
    <w:rsid w:val="005B7F4C"/>
    <w:rsid w:val="005C09BE"/>
    <w:rsid w:val="005C106B"/>
    <w:rsid w:val="005C1EB0"/>
    <w:rsid w:val="005C291D"/>
    <w:rsid w:val="005C2CB9"/>
    <w:rsid w:val="005C3772"/>
    <w:rsid w:val="005C3821"/>
    <w:rsid w:val="005C436C"/>
    <w:rsid w:val="005C459B"/>
    <w:rsid w:val="005C475F"/>
    <w:rsid w:val="005C4A6A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FF"/>
    <w:rsid w:val="005D2277"/>
    <w:rsid w:val="005D2435"/>
    <w:rsid w:val="005D2A6E"/>
    <w:rsid w:val="005D2C8C"/>
    <w:rsid w:val="005D3723"/>
    <w:rsid w:val="005D438C"/>
    <w:rsid w:val="005D445F"/>
    <w:rsid w:val="005D5680"/>
    <w:rsid w:val="005D57D3"/>
    <w:rsid w:val="005D5DDF"/>
    <w:rsid w:val="005D674B"/>
    <w:rsid w:val="005D76B2"/>
    <w:rsid w:val="005E031F"/>
    <w:rsid w:val="005E0798"/>
    <w:rsid w:val="005E0896"/>
    <w:rsid w:val="005E1075"/>
    <w:rsid w:val="005E1FC7"/>
    <w:rsid w:val="005E2385"/>
    <w:rsid w:val="005E3D74"/>
    <w:rsid w:val="005E40BE"/>
    <w:rsid w:val="005E48B6"/>
    <w:rsid w:val="005E4DE6"/>
    <w:rsid w:val="005E4EB5"/>
    <w:rsid w:val="005E4F9B"/>
    <w:rsid w:val="005E5133"/>
    <w:rsid w:val="005E591E"/>
    <w:rsid w:val="005E6512"/>
    <w:rsid w:val="005E66FC"/>
    <w:rsid w:val="005E6770"/>
    <w:rsid w:val="005E6DDC"/>
    <w:rsid w:val="005F0264"/>
    <w:rsid w:val="005F0574"/>
    <w:rsid w:val="005F06DB"/>
    <w:rsid w:val="005F0C3B"/>
    <w:rsid w:val="005F149D"/>
    <w:rsid w:val="005F14B1"/>
    <w:rsid w:val="005F1ABB"/>
    <w:rsid w:val="005F1D67"/>
    <w:rsid w:val="005F2317"/>
    <w:rsid w:val="005F2AE6"/>
    <w:rsid w:val="005F2EF4"/>
    <w:rsid w:val="005F3BC5"/>
    <w:rsid w:val="005F3D1A"/>
    <w:rsid w:val="005F4158"/>
    <w:rsid w:val="005F4AC6"/>
    <w:rsid w:val="005F51F2"/>
    <w:rsid w:val="005F5DA3"/>
    <w:rsid w:val="005F62A8"/>
    <w:rsid w:val="005F65EB"/>
    <w:rsid w:val="005F767A"/>
    <w:rsid w:val="005F7767"/>
    <w:rsid w:val="005F78F8"/>
    <w:rsid w:val="0060028C"/>
    <w:rsid w:val="00600AE4"/>
    <w:rsid w:val="00600C6B"/>
    <w:rsid w:val="00600ED0"/>
    <w:rsid w:val="0060144F"/>
    <w:rsid w:val="0060214A"/>
    <w:rsid w:val="00602398"/>
    <w:rsid w:val="00602A9E"/>
    <w:rsid w:val="00602AD1"/>
    <w:rsid w:val="00603649"/>
    <w:rsid w:val="00603952"/>
    <w:rsid w:val="00604303"/>
    <w:rsid w:val="006047AD"/>
    <w:rsid w:val="00605B32"/>
    <w:rsid w:val="0060615F"/>
    <w:rsid w:val="0060633C"/>
    <w:rsid w:val="00606F9F"/>
    <w:rsid w:val="006078DB"/>
    <w:rsid w:val="0060790A"/>
    <w:rsid w:val="00607A55"/>
    <w:rsid w:val="00611085"/>
    <w:rsid w:val="006120F6"/>
    <w:rsid w:val="006127E7"/>
    <w:rsid w:val="00612C13"/>
    <w:rsid w:val="006143A2"/>
    <w:rsid w:val="006144CD"/>
    <w:rsid w:val="006145D1"/>
    <w:rsid w:val="006146DC"/>
    <w:rsid w:val="00614BC0"/>
    <w:rsid w:val="00614CC1"/>
    <w:rsid w:val="0061511F"/>
    <w:rsid w:val="00616C3F"/>
    <w:rsid w:val="00617EC3"/>
    <w:rsid w:val="00620FE7"/>
    <w:rsid w:val="006218A1"/>
    <w:rsid w:val="00621C82"/>
    <w:rsid w:val="00621CEF"/>
    <w:rsid w:val="00622EBD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282"/>
    <w:rsid w:val="0063695F"/>
    <w:rsid w:val="00636B1D"/>
    <w:rsid w:val="00636DA0"/>
    <w:rsid w:val="006373E0"/>
    <w:rsid w:val="00637DDD"/>
    <w:rsid w:val="00640011"/>
    <w:rsid w:val="006402CD"/>
    <w:rsid w:val="0064094D"/>
    <w:rsid w:val="00640969"/>
    <w:rsid w:val="0064114E"/>
    <w:rsid w:val="006412DC"/>
    <w:rsid w:val="00641754"/>
    <w:rsid w:val="00641DBE"/>
    <w:rsid w:val="0064231B"/>
    <w:rsid w:val="0064292C"/>
    <w:rsid w:val="00642DC3"/>
    <w:rsid w:val="006431AC"/>
    <w:rsid w:val="006437E0"/>
    <w:rsid w:val="00644692"/>
    <w:rsid w:val="0064511F"/>
    <w:rsid w:val="0064656B"/>
    <w:rsid w:val="00646B67"/>
    <w:rsid w:val="006479DB"/>
    <w:rsid w:val="00647B97"/>
    <w:rsid w:val="00650032"/>
    <w:rsid w:val="00650269"/>
    <w:rsid w:val="00650890"/>
    <w:rsid w:val="00650DA5"/>
    <w:rsid w:val="00651804"/>
    <w:rsid w:val="00652171"/>
    <w:rsid w:val="00652BA3"/>
    <w:rsid w:val="00652E77"/>
    <w:rsid w:val="00653532"/>
    <w:rsid w:val="00654C6B"/>
    <w:rsid w:val="00655643"/>
    <w:rsid w:val="00655E0E"/>
    <w:rsid w:val="006568A4"/>
    <w:rsid w:val="00656C26"/>
    <w:rsid w:val="00656E13"/>
    <w:rsid w:val="00660B29"/>
    <w:rsid w:val="00660BB1"/>
    <w:rsid w:val="00661F7D"/>
    <w:rsid w:val="00662613"/>
    <w:rsid w:val="0066284F"/>
    <w:rsid w:val="00663022"/>
    <w:rsid w:val="00663280"/>
    <w:rsid w:val="006634CF"/>
    <w:rsid w:val="006643A7"/>
    <w:rsid w:val="00664A00"/>
    <w:rsid w:val="00664A4F"/>
    <w:rsid w:val="00664ABE"/>
    <w:rsid w:val="00664BBF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4536"/>
    <w:rsid w:val="0067528C"/>
    <w:rsid w:val="006754E5"/>
    <w:rsid w:val="00676FAD"/>
    <w:rsid w:val="0067702F"/>
    <w:rsid w:val="00677756"/>
    <w:rsid w:val="006801FF"/>
    <w:rsid w:val="0068154B"/>
    <w:rsid w:val="00681D3D"/>
    <w:rsid w:val="00681DD6"/>
    <w:rsid w:val="0068250F"/>
    <w:rsid w:val="00682B7E"/>
    <w:rsid w:val="006838D8"/>
    <w:rsid w:val="00683A09"/>
    <w:rsid w:val="00683BC9"/>
    <w:rsid w:val="00683D3A"/>
    <w:rsid w:val="00684019"/>
    <w:rsid w:val="00684596"/>
    <w:rsid w:val="00684E62"/>
    <w:rsid w:val="006854E4"/>
    <w:rsid w:val="0068566F"/>
    <w:rsid w:val="006859A9"/>
    <w:rsid w:val="00685C79"/>
    <w:rsid w:val="00685E8F"/>
    <w:rsid w:val="0068656B"/>
    <w:rsid w:val="00686584"/>
    <w:rsid w:val="00687E4A"/>
    <w:rsid w:val="00690624"/>
    <w:rsid w:val="00690C29"/>
    <w:rsid w:val="00691407"/>
    <w:rsid w:val="00692582"/>
    <w:rsid w:val="00692CDE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18F"/>
    <w:rsid w:val="006A12A3"/>
    <w:rsid w:val="006A213C"/>
    <w:rsid w:val="006A2E07"/>
    <w:rsid w:val="006A3745"/>
    <w:rsid w:val="006A3975"/>
    <w:rsid w:val="006A3BCB"/>
    <w:rsid w:val="006A585E"/>
    <w:rsid w:val="006A5A93"/>
    <w:rsid w:val="006A60EB"/>
    <w:rsid w:val="006A6738"/>
    <w:rsid w:val="006A762E"/>
    <w:rsid w:val="006A7BAD"/>
    <w:rsid w:val="006A7D01"/>
    <w:rsid w:val="006A7E39"/>
    <w:rsid w:val="006B010C"/>
    <w:rsid w:val="006B0669"/>
    <w:rsid w:val="006B0A30"/>
    <w:rsid w:val="006B0DFB"/>
    <w:rsid w:val="006B2AA2"/>
    <w:rsid w:val="006B39AA"/>
    <w:rsid w:val="006B3C83"/>
    <w:rsid w:val="006B3D3D"/>
    <w:rsid w:val="006B50B0"/>
    <w:rsid w:val="006B5471"/>
    <w:rsid w:val="006B618D"/>
    <w:rsid w:val="006B71CA"/>
    <w:rsid w:val="006B77F8"/>
    <w:rsid w:val="006B7897"/>
    <w:rsid w:val="006C0BD5"/>
    <w:rsid w:val="006C0DDB"/>
    <w:rsid w:val="006C0F1F"/>
    <w:rsid w:val="006C1552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3FD"/>
    <w:rsid w:val="006D2508"/>
    <w:rsid w:val="006D27A9"/>
    <w:rsid w:val="006D2BED"/>
    <w:rsid w:val="006D318D"/>
    <w:rsid w:val="006D3B6F"/>
    <w:rsid w:val="006D3C8D"/>
    <w:rsid w:val="006D46F5"/>
    <w:rsid w:val="006D4995"/>
    <w:rsid w:val="006D500E"/>
    <w:rsid w:val="006D5702"/>
    <w:rsid w:val="006D57AD"/>
    <w:rsid w:val="006D5FD5"/>
    <w:rsid w:val="006D7490"/>
    <w:rsid w:val="006D7E82"/>
    <w:rsid w:val="006D7E87"/>
    <w:rsid w:val="006E08AC"/>
    <w:rsid w:val="006E1B53"/>
    <w:rsid w:val="006E1D35"/>
    <w:rsid w:val="006E2247"/>
    <w:rsid w:val="006E22D8"/>
    <w:rsid w:val="006E230E"/>
    <w:rsid w:val="006E25A8"/>
    <w:rsid w:val="006E29D1"/>
    <w:rsid w:val="006E30A2"/>
    <w:rsid w:val="006E3246"/>
    <w:rsid w:val="006E3A8F"/>
    <w:rsid w:val="006E4678"/>
    <w:rsid w:val="006E5031"/>
    <w:rsid w:val="006E57D0"/>
    <w:rsid w:val="006E595F"/>
    <w:rsid w:val="006E6C13"/>
    <w:rsid w:val="006E741D"/>
    <w:rsid w:val="006E7A2A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4007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0E6"/>
    <w:rsid w:val="00704C38"/>
    <w:rsid w:val="00704DE2"/>
    <w:rsid w:val="0070543B"/>
    <w:rsid w:val="00705C2C"/>
    <w:rsid w:val="00705C8E"/>
    <w:rsid w:val="00705E0D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99"/>
    <w:rsid w:val="0071510B"/>
    <w:rsid w:val="0071577F"/>
    <w:rsid w:val="0071582B"/>
    <w:rsid w:val="00715B6C"/>
    <w:rsid w:val="00716060"/>
    <w:rsid w:val="00716511"/>
    <w:rsid w:val="007165FF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C0"/>
    <w:rsid w:val="007214DE"/>
    <w:rsid w:val="007214E1"/>
    <w:rsid w:val="00721809"/>
    <w:rsid w:val="00721840"/>
    <w:rsid w:val="00721A23"/>
    <w:rsid w:val="00721D2D"/>
    <w:rsid w:val="007224E8"/>
    <w:rsid w:val="00722A44"/>
    <w:rsid w:val="0072360D"/>
    <w:rsid w:val="007238F2"/>
    <w:rsid w:val="00723DFF"/>
    <w:rsid w:val="00724584"/>
    <w:rsid w:val="00724A9F"/>
    <w:rsid w:val="00724EDB"/>
    <w:rsid w:val="00725268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57A"/>
    <w:rsid w:val="00731CB6"/>
    <w:rsid w:val="00731CE8"/>
    <w:rsid w:val="007322A0"/>
    <w:rsid w:val="00732479"/>
    <w:rsid w:val="00732A1B"/>
    <w:rsid w:val="00732C6D"/>
    <w:rsid w:val="00733637"/>
    <w:rsid w:val="00733D81"/>
    <w:rsid w:val="007341FF"/>
    <w:rsid w:val="00734DA4"/>
    <w:rsid w:val="00735BFD"/>
    <w:rsid w:val="00736707"/>
    <w:rsid w:val="0073685B"/>
    <w:rsid w:val="007369AA"/>
    <w:rsid w:val="00736A2D"/>
    <w:rsid w:val="00736AEE"/>
    <w:rsid w:val="00736B43"/>
    <w:rsid w:val="00737AB9"/>
    <w:rsid w:val="00737ED3"/>
    <w:rsid w:val="007400D6"/>
    <w:rsid w:val="00740969"/>
    <w:rsid w:val="00741084"/>
    <w:rsid w:val="0074113D"/>
    <w:rsid w:val="007422B1"/>
    <w:rsid w:val="007429B2"/>
    <w:rsid w:val="00742AFC"/>
    <w:rsid w:val="00743CFF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2795"/>
    <w:rsid w:val="00754388"/>
    <w:rsid w:val="0075459E"/>
    <w:rsid w:val="007545FD"/>
    <w:rsid w:val="007548A2"/>
    <w:rsid w:val="00754CDB"/>
    <w:rsid w:val="00754EBE"/>
    <w:rsid w:val="00755633"/>
    <w:rsid w:val="007556F4"/>
    <w:rsid w:val="00755BF3"/>
    <w:rsid w:val="00755C48"/>
    <w:rsid w:val="007561FD"/>
    <w:rsid w:val="007568F2"/>
    <w:rsid w:val="007569C3"/>
    <w:rsid w:val="00756EB7"/>
    <w:rsid w:val="0075714A"/>
    <w:rsid w:val="007578AA"/>
    <w:rsid w:val="00757C68"/>
    <w:rsid w:val="00757C7D"/>
    <w:rsid w:val="00757C82"/>
    <w:rsid w:val="00757F69"/>
    <w:rsid w:val="0076095E"/>
    <w:rsid w:val="00760DDC"/>
    <w:rsid w:val="00760EB5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340"/>
    <w:rsid w:val="0076694A"/>
    <w:rsid w:val="007670D4"/>
    <w:rsid w:val="00767360"/>
    <w:rsid w:val="00767E81"/>
    <w:rsid w:val="007700C1"/>
    <w:rsid w:val="00770616"/>
    <w:rsid w:val="0077086A"/>
    <w:rsid w:val="00770A36"/>
    <w:rsid w:val="00770BFF"/>
    <w:rsid w:val="007717CB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599F"/>
    <w:rsid w:val="00786886"/>
    <w:rsid w:val="00786A48"/>
    <w:rsid w:val="0078731B"/>
    <w:rsid w:val="007878FA"/>
    <w:rsid w:val="00787E10"/>
    <w:rsid w:val="00790323"/>
    <w:rsid w:val="00790571"/>
    <w:rsid w:val="00790AB2"/>
    <w:rsid w:val="00790FA2"/>
    <w:rsid w:val="00791339"/>
    <w:rsid w:val="0079165B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0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C5D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3DD"/>
    <w:rsid w:val="007D1162"/>
    <w:rsid w:val="007D139B"/>
    <w:rsid w:val="007D1D21"/>
    <w:rsid w:val="007D1D5D"/>
    <w:rsid w:val="007D2A98"/>
    <w:rsid w:val="007D2AC7"/>
    <w:rsid w:val="007D2AFA"/>
    <w:rsid w:val="007D2E1B"/>
    <w:rsid w:val="007D307F"/>
    <w:rsid w:val="007D3086"/>
    <w:rsid w:val="007D3A92"/>
    <w:rsid w:val="007D4251"/>
    <w:rsid w:val="007D4CF2"/>
    <w:rsid w:val="007D50F9"/>
    <w:rsid w:val="007D61AC"/>
    <w:rsid w:val="007D68B1"/>
    <w:rsid w:val="007D7257"/>
    <w:rsid w:val="007D72CE"/>
    <w:rsid w:val="007D7666"/>
    <w:rsid w:val="007D7CC3"/>
    <w:rsid w:val="007E039B"/>
    <w:rsid w:val="007E0C63"/>
    <w:rsid w:val="007E1D4A"/>
    <w:rsid w:val="007E2084"/>
    <w:rsid w:val="007E21C2"/>
    <w:rsid w:val="007E265A"/>
    <w:rsid w:val="007E3ADA"/>
    <w:rsid w:val="007E5172"/>
    <w:rsid w:val="007E523C"/>
    <w:rsid w:val="007E574E"/>
    <w:rsid w:val="007E6198"/>
    <w:rsid w:val="007E6456"/>
    <w:rsid w:val="007E6598"/>
    <w:rsid w:val="007E6E90"/>
    <w:rsid w:val="007E7974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263"/>
    <w:rsid w:val="008006FA"/>
    <w:rsid w:val="00801647"/>
    <w:rsid w:val="0080172F"/>
    <w:rsid w:val="00801FE3"/>
    <w:rsid w:val="00802C4E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09E7"/>
    <w:rsid w:val="00811D6E"/>
    <w:rsid w:val="008123BD"/>
    <w:rsid w:val="00812777"/>
    <w:rsid w:val="00812B4A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6119"/>
    <w:rsid w:val="0083692C"/>
    <w:rsid w:val="00836E3A"/>
    <w:rsid w:val="00837260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2C67"/>
    <w:rsid w:val="00842D54"/>
    <w:rsid w:val="0084367D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D1"/>
    <w:rsid w:val="008531A7"/>
    <w:rsid w:val="00853756"/>
    <w:rsid w:val="00854F17"/>
    <w:rsid w:val="0085622B"/>
    <w:rsid w:val="0085640D"/>
    <w:rsid w:val="008569E0"/>
    <w:rsid w:val="00857478"/>
    <w:rsid w:val="00857716"/>
    <w:rsid w:val="008579ED"/>
    <w:rsid w:val="00857DBA"/>
    <w:rsid w:val="00860476"/>
    <w:rsid w:val="008604D9"/>
    <w:rsid w:val="00861B14"/>
    <w:rsid w:val="00861D8F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572"/>
    <w:rsid w:val="00865CAC"/>
    <w:rsid w:val="00865FDD"/>
    <w:rsid w:val="0086678C"/>
    <w:rsid w:val="00866A19"/>
    <w:rsid w:val="0086783F"/>
    <w:rsid w:val="00867B45"/>
    <w:rsid w:val="00867DE4"/>
    <w:rsid w:val="008703B1"/>
    <w:rsid w:val="008704EA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AC2"/>
    <w:rsid w:val="00884DD1"/>
    <w:rsid w:val="00884F7D"/>
    <w:rsid w:val="00885BC9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70BC"/>
    <w:rsid w:val="0089787C"/>
    <w:rsid w:val="00897B5A"/>
    <w:rsid w:val="008A02EE"/>
    <w:rsid w:val="008A0848"/>
    <w:rsid w:val="008A0E65"/>
    <w:rsid w:val="008A1621"/>
    <w:rsid w:val="008A1A77"/>
    <w:rsid w:val="008A203B"/>
    <w:rsid w:val="008A2095"/>
    <w:rsid w:val="008A2FE4"/>
    <w:rsid w:val="008A3058"/>
    <w:rsid w:val="008A361E"/>
    <w:rsid w:val="008A450E"/>
    <w:rsid w:val="008A4586"/>
    <w:rsid w:val="008A4918"/>
    <w:rsid w:val="008A4B79"/>
    <w:rsid w:val="008A5469"/>
    <w:rsid w:val="008A5E8B"/>
    <w:rsid w:val="008A6020"/>
    <w:rsid w:val="008A7DE6"/>
    <w:rsid w:val="008B00B9"/>
    <w:rsid w:val="008B0802"/>
    <w:rsid w:val="008B0B40"/>
    <w:rsid w:val="008B0D0A"/>
    <w:rsid w:val="008B0ED7"/>
    <w:rsid w:val="008B1118"/>
    <w:rsid w:val="008B288D"/>
    <w:rsid w:val="008B28B2"/>
    <w:rsid w:val="008B2B46"/>
    <w:rsid w:val="008B2E39"/>
    <w:rsid w:val="008B31F0"/>
    <w:rsid w:val="008B338B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B9B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8F5"/>
    <w:rsid w:val="008D3AE1"/>
    <w:rsid w:val="008D3BFA"/>
    <w:rsid w:val="008D3E9B"/>
    <w:rsid w:val="008D40D0"/>
    <w:rsid w:val="008D4F48"/>
    <w:rsid w:val="008D5DF8"/>
    <w:rsid w:val="008D6915"/>
    <w:rsid w:val="008D6B56"/>
    <w:rsid w:val="008D6CF8"/>
    <w:rsid w:val="008D6E1C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BEA"/>
    <w:rsid w:val="008E1DAE"/>
    <w:rsid w:val="008E202B"/>
    <w:rsid w:val="008E42D6"/>
    <w:rsid w:val="008E432F"/>
    <w:rsid w:val="008E477C"/>
    <w:rsid w:val="008E5248"/>
    <w:rsid w:val="008E57E9"/>
    <w:rsid w:val="008E5DFE"/>
    <w:rsid w:val="008E6877"/>
    <w:rsid w:val="008E704C"/>
    <w:rsid w:val="008E71B5"/>
    <w:rsid w:val="008E738C"/>
    <w:rsid w:val="008E788A"/>
    <w:rsid w:val="008E7D6D"/>
    <w:rsid w:val="008F0E06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5A76"/>
    <w:rsid w:val="008F6182"/>
    <w:rsid w:val="008F6304"/>
    <w:rsid w:val="008F638B"/>
    <w:rsid w:val="008F64B2"/>
    <w:rsid w:val="008F713F"/>
    <w:rsid w:val="00900D10"/>
    <w:rsid w:val="009014C0"/>
    <w:rsid w:val="009014D0"/>
    <w:rsid w:val="0090172E"/>
    <w:rsid w:val="00901FF8"/>
    <w:rsid w:val="009028D4"/>
    <w:rsid w:val="00903612"/>
    <w:rsid w:val="00903773"/>
    <w:rsid w:val="0090389E"/>
    <w:rsid w:val="009049B4"/>
    <w:rsid w:val="00904B98"/>
    <w:rsid w:val="0090501F"/>
    <w:rsid w:val="0090514F"/>
    <w:rsid w:val="00906121"/>
    <w:rsid w:val="00906C33"/>
    <w:rsid w:val="009076E2"/>
    <w:rsid w:val="00907C9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434"/>
    <w:rsid w:val="0092472D"/>
    <w:rsid w:val="009253B4"/>
    <w:rsid w:val="0092571E"/>
    <w:rsid w:val="00925F51"/>
    <w:rsid w:val="00925F82"/>
    <w:rsid w:val="00926083"/>
    <w:rsid w:val="009265C9"/>
    <w:rsid w:val="00926673"/>
    <w:rsid w:val="00926ADF"/>
    <w:rsid w:val="00926EC6"/>
    <w:rsid w:val="009270B5"/>
    <w:rsid w:val="009279B0"/>
    <w:rsid w:val="0093012E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59B9"/>
    <w:rsid w:val="009360F7"/>
    <w:rsid w:val="009364D0"/>
    <w:rsid w:val="0093655A"/>
    <w:rsid w:val="009373F0"/>
    <w:rsid w:val="0093781A"/>
    <w:rsid w:val="00937B0A"/>
    <w:rsid w:val="00937CC2"/>
    <w:rsid w:val="00937F26"/>
    <w:rsid w:val="00937FCD"/>
    <w:rsid w:val="009403FC"/>
    <w:rsid w:val="00940C98"/>
    <w:rsid w:val="00940F0A"/>
    <w:rsid w:val="009420E5"/>
    <w:rsid w:val="00942BC9"/>
    <w:rsid w:val="00942F14"/>
    <w:rsid w:val="00942F20"/>
    <w:rsid w:val="00943A7B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07B"/>
    <w:rsid w:val="009521F4"/>
    <w:rsid w:val="00952582"/>
    <w:rsid w:val="00952F67"/>
    <w:rsid w:val="009533C9"/>
    <w:rsid w:val="0095353F"/>
    <w:rsid w:val="0095378F"/>
    <w:rsid w:val="0095392C"/>
    <w:rsid w:val="00953951"/>
    <w:rsid w:val="00953CF2"/>
    <w:rsid w:val="00953D42"/>
    <w:rsid w:val="0095403B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2F6"/>
    <w:rsid w:val="00956912"/>
    <w:rsid w:val="00956C36"/>
    <w:rsid w:val="00957A2D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6A"/>
    <w:rsid w:val="00974AB9"/>
    <w:rsid w:val="00974B23"/>
    <w:rsid w:val="00974DD1"/>
    <w:rsid w:val="009762B0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D05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0CE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7FF"/>
    <w:rsid w:val="0099697C"/>
    <w:rsid w:val="0099728A"/>
    <w:rsid w:val="00997E55"/>
    <w:rsid w:val="009A08E9"/>
    <w:rsid w:val="009A1624"/>
    <w:rsid w:val="009A1E0A"/>
    <w:rsid w:val="009A2969"/>
    <w:rsid w:val="009A2FA8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C85"/>
    <w:rsid w:val="009A7EDB"/>
    <w:rsid w:val="009B0FAF"/>
    <w:rsid w:val="009B118C"/>
    <w:rsid w:val="009B11E4"/>
    <w:rsid w:val="009B1325"/>
    <w:rsid w:val="009B14EC"/>
    <w:rsid w:val="009B1B96"/>
    <w:rsid w:val="009B1DEA"/>
    <w:rsid w:val="009B1ED5"/>
    <w:rsid w:val="009B1FBE"/>
    <w:rsid w:val="009B2944"/>
    <w:rsid w:val="009B2F45"/>
    <w:rsid w:val="009B438A"/>
    <w:rsid w:val="009B4BA8"/>
    <w:rsid w:val="009B55E4"/>
    <w:rsid w:val="009B5607"/>
    <w:rsid w:val="009B7687"/>
    <w:rsid w:val="009C06CB"/>
    <w:rsid w:val="009C111D"/>
    <w:rsid w:val="009C22AD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0D3F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716C"/>
    <w:rsid w:val="009D727E"/>
    <w:rsid w:val="009D76F0"/>
    <w:rsid w:val="009D7F23"/>
    <w:rsid w:val="009E000D"/>
    <w:rsid w:val="009E025E"/>
    <w:rsid w:val="009E0A22"/>
    <w:rsid w:val="009E0D0D"/>
    <w:rsid w:val="009E0E19"/>
    <w:rsid w:val="009E1F10"/>
    <w:rsid w:val="009E24DA"/>
    <w:rsid w:val="009E31B6"/>
    <w:rsid w:val="009E38D8"/>
    <w:rsid w:val="009E38DA"/>
    <w:rsid w:val="009E4229"/>
    <w:rsid w:val="009E537D"/>
    <w:rsid w:val="009E5839"/>
    <w:rsid w:val="009E5B2F"/>
    <w:rsid w:val="009E5BDD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E7D81"/>
    <w:rsid w:val="009F00E8"/>
    <w:rsid w:val="009F0A4F"/>
    <w:rsid w:val="009F116B"/>
    <w:rsid w:val="009F1382"/>
    <w:rsid w:val="009F13EC"/>
    <w:rsid w:val="009F1813"/>
    <w:rsid w:val="009F1CBC"/>
    <w:rsid w:val="009F26BD"/>
    <w:rsid w:val="009F2A1F"/>
    <w:rsid w:val="009F4482"/>
    <w:rsid w:val="009F4D19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9F7FEE"/>
    <w:rsid w:val="00A00155"/>
    <w:rsid w:val="00A00316"/>
    <w:rsid w:val="00A01196"/>
    <w:rsid w:val="00A02805"/>
    <w:rsid w:val="00A030A2"/>
    <w:rsid w:val="00A03131"/>
    <w:rsid w:val="00A03171"/>
    <w:rsid w:val="00A03257"/>
    <w:rsid w:val="00A03D1F"/>
    <w:rsid w:val="00A0598D"/>
    <w:rsid w:val="00A059DD"/>
    <w:rsid w:val="00A05B60"/>
    <w:rsid w:val="00A05C6E"/>
    <w:rsid w:val="00A0604D"/>
    <w:rsid w:val="00A06787"/>
    <w:rsid w:val="00A073F6"/>
    <w:rsid w:val="00A0747C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60"/>
    <w:rsid w:val="00A22AE2"/>
    <w:rsid w:val="00A24380"/>
    <w:rsid w:val="00A24A02"/>
    <w:rsid w:val="00A24B1C"/>
    <w:rsid w:val="00A259FC"/>
    <w:rsid w:val="00A26A4C"/>
    <w:rsid w:val="00A278AF"/>
    <w:rsid w:val="00A2795F"/>
    <w:rsid w:val="00A30084"/>
    <w:rsid w:val="00A305EB"/>
    <w:rsid w:val="00A30AB1"/>
    <w:rsid w:val="00A30B8A"/>
    <w:rsid w:val="00A310EA"/>
    <w:rsid w:val="00A31280"/>
    <w:rsid w:val="00A313A0"/>
    <w:rsid w:val="00A31640"/>
    <w:rsid w:val="00A317FD"/>
    <w:rsid w:val="00A319AF"/>
    <w:rsid w:val="00A31BEA"/>
    <w:rsid w:val="00A32C2F"/>
    <w:rsid w:val="00A33004"/>
    <w:rsid w:val="00A33F53"/>
    <w:rsid w:val="00A3427A"/>
    <w:rsid w:val="00A35E15"/>
    <w:rsid w:val="00A36310"/>
    <w:rsid w:val="00A3724D"/>
    <w:rsid w:val="00A37D0D"/>
    <w:rsid w:val="00A40789"/>
    <w:rsid w:val="00A40E51"/>
    <w:rsid w:val="00A41236"/>
    <w:rsid w:val="00A4144F"/>
    <w:rsid w:val="00A41A1B"/>
    <w:rsid w:val="00A41C44"/>
    <w:rsid w:val="00A41E2B"/>
    <w:rsid w:val="00A41F53"/>
    <w:rsid w:val="00A4211D"/>
    <w:rsid w:val="00A43D5B"/>
    <w:rsid w:val="00A43E25"/>
    <w:rsid w:val="00A44587"/>
    <w:rsid w:val="00A448D6"/>
    <w:rsid w:val="00A4506D"/>
    <w:rsid w:val="00A4649D"/>
    <w:rsid w:val="00A46EA9"/>
    <w:rsid w:val="00A47B32"/>
    <w:rsid w:val="00A50004"/>
    <w:rsid w:val="00A50B22"/>
    <w:rsid w:val="00A50CF7"/>
    <w:rsid w:val="00A52EDD"/>
    <w:rsid w:val="00A5328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9EC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B05"/>
    <w:rsid w:val="00A60D5A"/>
    <w:rsid w:val="00A60E01"/>
    <w:rsid w:val="00A61F4E"/>
    <w:rsid w:val="00A627A9"/>
    <w:rsid w:val="00A62E73"/>
    <w:rsid w:val="00A6304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CE6"/>
    <w:rsid w:val="00A65DDC"/>
    <w:rsid w:val="00A6637B"/>
    <w:rsid w:val="00A673DA"/>
    <w:rsid w:val="00A675EF"/>
    <w:rsid w:val="00A67852"/>
    <w:rsid w:val="00A678E0"/>
    <w:rsid w:val="00A70068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05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D9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67A"/>
    <w:rsid w:val="00A969FB"/>
    <w:rsid w:val="00A96A75"/>
    <w:rsid w:val="00A9761B"/>
    <w:rsid w:val="00AA02C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5DC8"/>
    <w:rsid w:val="00AA63BA"/>
    <w:rsid w:val="00AA6640"/>
    <w:rsid w:val="00AA6E5B"/>
    <w:rsid w:val="00AA6E6C"/>
    <w:rsid w:val="00AA7515"/>
    <w:rsid w:val="00AA7CED"/>
    <w:rsid w:val="00AB03F7"/>
    <w:rsid w:val="00AB0561"/>
    <w:rsid w:val="00AB1405"/>
    <w:rsid w:val="00AB199F"/>
    <w:rsid w:val="00AB25AD"/>
    <w:rsid w:val="00AB30DA"/>
    <w:rsid w:val="00AB375C"/>
    <w:rsid w:val="00AB3A8C"/>
    <w:rsid w:val="00AB40F3"/>
    <w:rsid w:val="00AB449A"/>
    <w:rsid w:val="00AB4B36"/>
    <w:rsid w:val="00AB51F2"/>
    <w:rsid w:val="00AB561D"/>
    <w:rsid w:val="00AB6169"/>
    <w:rsid w:val="00AB666A"/>
    <w:rsid w:val="00AB686F"/>
    <w:rsid w:val="00AB6C9A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1F98"/>
    <w:rsid w:val="00AD25A4"/>
    <w:rsid w:val="00AD2998"/>
    <w:rsid w:val="00AD2D6C"/>
    <w:rsid w:val="00AD3093"/>
    <w:rsid w:val="00AD32C7"/>
    <w:rsid w:val="00AD34AF"/>
    <w:rsid w:val="00AD542B"/>
    <w:rsid w:val="00AD6490"/>
    <w:rsid w:val="00AD7459"/>
    <w:rsid w:val="00AD7BEA"/>
    <w:rsid w:val="00AE0239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6F0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F39"/>
    <w:rsid w:val="00B030C8"/>
    <w:rsid w:val="00B033B9"/>
    <w:rsid w:val="00B034FD"/>
    <w:rsid w:val="00B05060"/>
    <w:rsid w:val="00B05793"/>
    <w:rsid w:val="00B06448"/>
    <w:rsid w:val="00B0682C"/>
    <w:rsid w:val="00B06C77"/>
    <w:rsid w:val="00B072C6"/>
    <w:rsid w:val="00B100C6"/>
    <w:rsid w:val="00B100CC"/>
    <w:rsid w:val="00B1024C"/>
    <w:rsid w:val="00B10850"/>
    <w:rsid w:val="00B12670"/>
    <w:rsid w:val="00B1281D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3F52"/>
    <w:rsid w:val="00B24441"/>
    <w:rsid w:val="00B2454D"/>
    <w:rsid w:val="00B24976"/>
    <w:rsid w:val="00B24BF0"/>
    <w:rsid w:val="00B24F4F"/>
    <w:rsid w:val="00B25786"/>
    <w:rsid w:val="00B25A4B"/>
    <w:rsid w:val="00B25D09"/>
    <w:rsid w:val="00B25E65"/>
    <w:rsid w:val="00B2662B"/>
    <w:rsid w:val="00B268B8"/>
    <w:rsid w:val="00B26C27"/>
    <w:rsid w:val="00B26F5D"/>
    <w:rsid w:val="00B2739B"/>
    <w:rsid w:val="00B27C26"/>
    <w:rsid w:val="00B27E92"/>
    <w:rsid w:val="00B30056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631F"/>
    <w:rsid w:val="00B3654E"/>
    <w:rsid w:val="00B368EA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C1F"/>
    <w:rsid w:val="00B42EC5"/>
    <w:rsid w:val="00B43A2F"/>
    <w:rsid w:val="00B43A58"/>
    <w:rsid w:val="00B4460A"/>
    <w:rsid w:val="00B44621"/>
    <w:rsid w:val="00B44EAE"/>
    <w:rsid w:val="00B451CC"/>
    <w:rsid w:val="00B45638"/>
    <w:rsid w:val="00B45707"/>
    <w:rsid w:val="00B45823"/>
    <w:rsid w:val="00B45D50"/>
    <w:rsid w:val="00B4613F"/>
    <w:rsid w:val="00B462EA"/>
    <w:rsid w:val="00B468EC"/>
    <w:rsid w:val="00B47ED0"/>
    <w:rsid w:val="00B50032"/>
    <w:rsid w:val="00B508A9"/>
    <w:rsid w:val="00B50914"/>
    <w:rsid w:val="00B5146E"/>
    <w:rsid w:val="00B5319B"/>
    <w:rsid w:val="00B5349D"/>
    <w:rsid w:val="00B53811"/>
    <w:rsid w:val="00B54971"/>
    <w:rsid w:val="00B54ADA"/>
    <w:rsid w:val="00B550D8"/>
    <w:rsid w:val="00B551C0"/>
    <w:rsid w:val="00B55298"/>
    <w:rsid w:val="00B55307"/>
    <w:rsid w:val="00B55A49"/>
    <w:rsid w:val="00B55DF9"/>
    <w:rsid w:val="00B55E51"/>
    <w:rsid w:val="00B56312"/>
    <w:rsid w:val="00B56901"/>
    <w:rsid w:val="00B56992"/>
    <w:rsid w:val="00B56BAB"/>
    <w:rsid w:val="00B57BA5"/>
    <w:rsid w:val="00B60F6B"/>
    <w:rsid w:val="00B61544"/>
    <w:rsid w:val="00B61709"/>
    <w:rsid w:val="00B6291C"/>
    <w:rsid w:val="00B62A5C"/>
    <w:rsid w:val="00B6303E"/>
    <w:rsid w:val="00B63226"/>
    <w:rsid w:val="00B63AA4"/>
    <w:rsid w:val="00B653DC"/>
    <w:rsid w:val="00B656E4"/>
    <w:rsid w:val="00B65809"/>
    <w:rsid w:val="00B6600F"/>
    <w:rsid w:val="00B66479"/>
    <w:rsid w:val="00B66FE5"/>
    <w:rsid w:val="00B672BE"/>
    <w:rsid w:val="00B67ACD"/>
    <w:rsid w:val="00B67E2F"/>
    <w:rsid w:val="00B67F4C"/>
    <w:rsid w:val="00B70644"/>
    <w:rsid w:val="00B70A2D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876"/>
    <w:rsid w:val="00B75B74"/>
    <w:rsid w:val="00B768C6"/>
    <w:rsid w:val="00B76C2E"/>
    <w:rsid w:val="00B773E3"/>
    <w:rsid w:val="00B77AE5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8D"/>
    <w:rsid w:val="00B86A03"/>
    <w:rsid w:val="00B86F9A"/>
    <w:rsid w:val="00B8739A"/>
    <w:rsid w:val="00B87BC1"/>
    <w:rsid w:val="00B87F3A"/>
    <w:rsid w:val="00B90737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6C5E"/>
    <w:rsid w:val="00B9765B"/>
    <w:rsid w:val="00B978F9"/>
    <w:rsid w:val="00BA02F7"/>
    <w:rsid w:val="00BA0831"/>
    <w:rsid w:val="00BA1BD9"/>
    <w:rsid w:val="00BA23BB"/>
    <w:rsid w:val="00BA25DD"/>
    <w:rsid w:val="00BA2699"/>
    <w:rsid w:val="00BA3A15"/>
    <w:rsid w:val="00BA3CD1"/>
    <w:rsid w:val="00BA4DA4"/>
    <w:rsid w:val="00BA51D2"/>
    <w:rsid w:val="00BA55CB"/>
    <w:rsid w:val="00BA5FA5"/>
    <w:rsid w:val="00BA608C"/>
    <w:rsid w:val="00BA611F"/>
    <w:rsid w:val="00BA6910"/>
    <w:rsid w:val="00BA6E69"/>
    <w:rsid w:val="00BA71E0"/>
    <w:rsid w:val="00BA74D3"/>
    <w:rsid w:val="00BB0A57"/>
    <w:rsid w:val="00BB0BF3"/>
    <w:rsid w:val="00BB1D87"/>
    <w:rsid w:val="00BB1F43"/>
    <w:rsid w:val="00BB2157"/>
    <w:rsid w:val="00BB2811"/>
    <w:rsid w:val="00BB303D"/>
    <w:rsid w:val="00BB34FF"/>
    <w:rsid w:val="00BB55C7"/>
    <w:rsid w:val="00BB57BB"/>
    <w:rsid w:val="00BB629D"/>
    <w:rsid w:val="00BB6A43"/>
    <w:rsid w:val="00BB6B9C"/>
    <w:rsid w:val="00BB7320"/>
    <w:rsid w:val="00BB7375"/>
    <w:rsid w:val="00BB79EC"/>
    <w:rsid w:val="00BB7F5E"/>
    <w:rsid w:val="00BC1CA4"/>
    <w:rsid w:val="00BC21B7"/>
    <w:rsid w:val="00BC2852"/>
    <w:rsid w:val="00BC32C2"/>
    <w:rsid w:val="00BC3B44"/>
    <w:rsid w:val="00BC3ED1"/>
    <w:rsid w:val="00BC4C2D"/>
    <w:rsid w:val="00BC4DA1"/>
    <w:rsid w:val="00BC54BA"/>
    <w:rsid w:val="00BC6C34"/>
    <w:rsid w:val="00BC6ED5"/>
    <w:rsid w:val="00BC7340"/>
    <w:rsid w:val="00BC7560"/>
    <w:rsid w:val="00BC7CF9"/>
    <w:rsid w:val="00BD07A5"/>
    <w:rsid w:val="00BD1F32"/>
    <w:rsid w:val="00BD2601"/>
    <w:rsid w:val="00BD2FF8"/>
    <w:rsid w:val="00BD3585"/>
    <w:rsid w:val="00BD3C78"/>
    <w:rsid w:val="00BD4000"/>
    <w:rsid w:val="00BD484B"/>
    <w:rsid w:val="00BD4887"/>
    <w:rsid w:val="00BD48CF"/>
    <w:rsid w:val="00BD539C"/>
    <w:rsid w:val="00BD58E1"/>
    <w:rsid w:val="00BD6FB2"/>
    <w:rsid w:val="00BE021F"/>
    <w:rsid w:val="00BE04BE"/>
    <w:rsid w:val="00BE05D7"/>
    <w:rsid w:val="00BE0A81"/>
    <w:rsid w:val="00BE13E8"/>
    <w:rsid w:val="00BE1CE4"/>
    <w:rsid w:val="00BE222E"/>
    <w:rsid w:val="00BE2432"/>
    <w:rsid w:val="00BE26A7"/>
    <w:rsid w:val="00BE2EE3"/>
    <w:rsid w:val="00BE33BC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22C6"/>
    <w:rsid w:val="00BF2494"/>
    <w:rsid w:val="00BF368A"/>
    <w:rsid w:val="00BF3702"/>
    <w:rsid w:val="00BF37D4"/>
    <w:rsid w:val="00BF4122"/>
    <w:rsid w:val="00BF46E5"/>
    <w:rsid w:val="00BF4D49"/>
    <w:rsid w:val="00BF5B22"/>
    <w:rsid w:val="00BF5BA3"/>
    <w:rsid w:val="00BF5DCB"/>
    <w:rsid w:val="00BF5F5A"/>
    <w:rsid w:val="00BF60FE"/>
    <w:rsid w:val="00BF6BFF"/>
    <w:rsid w:val="00BF70C5"/>
    <w:rsid w:val="00BF7318"/>
    <w:rsid w:val="00C0034B"/>
    <w:rsid w:val="00C01CB9"/>
    <w:rsid w:val="00C025BF"/>
    <w:rsid w:val="00C03078"/>
    <w:rsid w:val="00C030C6"/>
    <w:rsid w:val="00C03B6F"/>
    <w:rsid w:val="00C03D61"/>
    <w:rsid w:val="00C040B6"/>
    <w:rsid w:val="00C0433B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5C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5365"/>
    <w:rsid w:val="00C26317"/>
    <w:rsid w:val="00C263B0"/>
    <w:rsid w:val="00C26703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2FC"/>
    <w:rsid w:val="00C41FA2"/>
    <w:rsid w:val="00C4236F"/>
    <w:rsid w:val="00C4238A"/>
    <w:rsid w:val="00C424AD"/>
    <w:rsid w:val="00C42AAE"/>
    <w:rsid w:val="00C42E82"/>
    <w:rsid w:val="00C432F4"/>
    <w:rsid w:val="00C43BB2"/>
    <w:rsid w:val="00C4491F"/>
    <w:rsid w:val="00C44A5D"/>
    <w:rsid w:val="00C44C4B"/>
    <w:rsid w:val="00C45AB1"/>
    <w:rsid w:val="00C4610B"/>
    <w:rsid w:val="00C46509"/>
    <w:rsid w:val="00C46E74"/>
    <w:rsid w:val="00C4735F"/>
    <w:rsid w:val="00C4756F"/>
    <w:rsid w:val="00C4758F"/>
    <w:rsid w:val="00C478C7"/>
    <w:rsid w:val="00C50C55"/>
    <w:rsid w:val="00C512DA"/>
    <w:rsid w:val="00C52616"/>
    <w:rsid w:val="00C52B56"/>
    <w:rsid w:val="00C52CDE"/>
    <w:rsid w:val="00C52FDD"/>
    <w:rsid w:val="00C5332F"/>
    <w:rsid w:val="00C54276"/>
    <w:rsid w:val="00C54EDA"/>
    <w:rsid w:val="00C55F15"/>
    <w:rsid w:val="00C564BA"/>
    <w:rsid w:val="00C573C5"/>
    <w:rsid w:val="00C578B5"/>
    <w:rsid w:val="00C578ED"/>
    <w:rsid w:val="00C57CB1"/>
    <w:rsid w:val="00C57DDA"/>
    <w:rsid w:val="00C57FA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39B"/>
    <w:rsid w:val="00C676A4"/>
    <w:rsid w:val="00C67A6A"/>
    <w:rsid w:val="00C67BE9"/>
    <w:rsid w:val="00C67D01"/>
    <w:rsid w:val="00C70114"/>
    <w:rsid w:val="00C71193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5A9D"/>
    <w:rsid w:val="00C77A73"/>
    <w:rsid w:val="00C77C75"/>
    <w:rsid w:val="00C80CF1"/>
    <w:rsid w:val="00C80E32"/>
    <w:rsid w:val="00C81169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435D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311"/>
    <w:rsid w:val="00CA054E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67D2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6CBA"/>
    <w:rsid w:val="00CB7051"/>
    <w:rsid w:val="00CB751E"/>
    <w:rsid w:val="00CB7676"/>
    <w:rsid w:val="00CB791A"/>
    <w:rsid w:val="00CB7A08"/>
    <w:rsid w:val="00CB7A67"/>
    <w:rsid w:val="00CC060F"/>
    <w:rsid w:val="00CC2460"/>
    <w:rsid w:val="00CC3440"/>
    <w:rsid w:val="00CC4BAE"/>
    <w:rsid w:val="00CC5555"/>
    <w:rsid w:val="00CC5C36"/>
    <w:rsid w:val="00CC5EF7"/>
    <w:rsid w:val="00CC61F1"/>
    <w:rsid w:val="00CC6CC2"/>
    <w:rsid w:val="00CC7828"/>
    <w:rsid w:val="00CD0406"/>
    <w:rsid w:val="00CD0443"/>
    <w:rsid w:val="00CD0912"/>
    <w:rsid w:val="00CD0D4F"/>
    <w:rsid w:val="00CD2504"/>
    <w:rsid w:val="00CD2854"/>
    <w:rsid w:val="00CD2954"/>
    <w:rsid w:val="00CD2FF6"/>
    <w:rsid w:val="00CD312C"/>
    <w:rsid w:val="00CD34DB"/>
    <w:rsid w:val="00CD4243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362"/>
    <w:rsid w:val="00CE259F"/>
    <w:rsid w:val="00CE2A22"/>
    <w:rsid w:val="00CE2AB8"/>
    <w:rsid w:val="00CE412E"/>
    <w:rsid w:val="00CE54A3"/>
    <w:rsid w:val="00CE660A"/>
    <w:rsid w:val="00CE6BF2"/>
    <w:rsid w:val="00CE7D3D"/>
    <w:rsid w:val="00CF05A0"/>
    <w:rsid w:val="00CF0C87"/>
    <w:rsid w:val="00CF1C5D"/>
    <w:rsid w:val="00CF1CA4"/>
    <w:rsid w:val="00CF2249"/>
    <w:rsid w:val="00CF2305"/>
    <w:rsid w:val="00CF269A"/>
    <w:rsid w:val="00CF2AD1"/>
    <w:rsid w:val="00CF2CE5"/>
    <w:rsid w:val="00CF2EC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5FC3"/>
    <w:rsid w:val="00CF6555"/>
    <w:rsid w:val="00CF6F27"/>
    <w:rsid w:val="00CF7EF9"/>
    <w:rsid w:val="00D0078C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8BE"/>
    <w:rsid w:val="00D12EC1"/>
    <w:rsid w:val="00D13815"/>
    <w:rsid w:val="00D13908"/>
    <w:rsid w:val="00D152F9"/>
    <w:rsid w:val="00D169C2"/>
    <w:rsid w:val="00D1732D"/>
    <w:rsid w:val="00D177EA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1FBB"/>
    <w:rsid w:val="00D223A8"/>
    <w:rsid w:val="00D2287F"/>
    <w:rsid w:val="00D22C05"/>
    <w:rsid w:val="00D24344"/>
    <w:rsid w:val="00D24367"/>
    <w:rsid w:val="00D24396"/>
    <w:rsid w:val="00D24768"/>
    <w:rsid w:val="00D254A1"/>
    <w:rsid w:val="00D26217"/>
    <w:rsid w:val="00D268D9"/>
    <w:rsid w:val="00D27A12"/>
    <w:rsid w:val="00D30ED6"/>
    <w:rsid w:val="00D315E5"/>
    <w:rsid w:val="00D31B7B"/>
    <w:rsid w:val="00D326B4"/>
    <w:rsid w:val="00D32DC5"/>
    <w:rsid w:val="00D32F78"/>
    <w:rsid w:val="00D33438"/>
    <w:rsid w:val="00D33492"/>
    <w:rsid w:val="00D33DAA"/>
    <w:rsid w:val="00D33EF1"/>
    <w:rsid w:val="00D341A0"/>
    <w:rsid w:val="00D346C6"/>
    <w:rsid w:val="00D34F6F"/>
    <w:rsid w:val="00D35688"/>
    <w:rsid w:val="00D35787"/>
    <w:rsid w:val="00D3675D"/>
    <w:rsid w:val="00D40032"/>
    <w:rsid w:val="00D402FA"/>
    <w:rsid w:val="00D40E36"/>
    <w:rsid w:val="00D41685"/>
    <w:rsid w:val="00D41FF0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362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0A9"/>
    <w:rsid w:val="00D64306"/>
    <w:rsid w:val="00D652B0"/>
    <w:rsid w:val="00D6649C"/>
    <w:rsid w:val="00D666A4"/>
    <w:rsid w:val="00D66D31"/>
    <w:rsid w:val="00D67068"/>
    <w:rsid w:val="00D67465"/>
    <w:rsid w:val="00D6752E"/>
    <w:rsid w:val="00D67765"/>
    <w:rsid w:val="00D705A1"/>
    <w:rsid w:val="00D70AA8"/>
    <w:rsid w:val="00D726E3"/>
    <w:rsid w:val="00D73596"/>
    <w:rsid w:val="00D73E97"/>
    <w:rsid w:val="00D74CB2"/>
    <w:rsid w:val="00D74CF6"/>
    <w:rsid w:val="00D75470"/>
    <w:rsid w:val="00D75965"/>
    <w:rsid w:val="00D768C2"/>
    <w:rsid w:val="00D76D41"/>
    <w:rsid w:val="00D77E7B"/>
    <w:rsid w:val="00D8069E"/>
    <w:rsid w:val="00D80792"/>
    <w:rsid w:val="00D80F10"/>
    <w:rsid w:val="00D8127E"/>
    <w:rsid w:val="00D813F7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604C"/>
    <w:rsid w:val="00D864A6"/>
    <w:rsid w:val="00D87853"/>
    <w:rsid w:val="00D9053A"/>
    <w:rsid w:val="00D9061B"/>
    <w:rsid w:val="00D91019"/>
    <w:rsid w:val="00D9117B"/>
    <w:rsid w:val="00D9170E"/>
    <w:rsid w:val="00D9243A"/>
    <w:rsid w:val="00D924BF"/>
    <w:rsid w:val="00D92EE0"/>
    <w:rsid w:val="00D93BE1"/>
    <w:rsid w:val="00D94A50"/>
    <w:rsid w:val="00D9589A"/>
    <w:rsid w:val="00D95B6F"/>
    <w:rsid w:val="00D95E2E"/>
    <w:rsid w:val="00D95E68"/>
    <w:rsid w:val="00D95ED4"/>
    <w:rsid w:val="00D95F37"/>
    <w:rsid w:val="00D961C5"/>
    <w:rsid w:val="00D96B8A"/>
    <w:rsid w:val="00DA00C3"/>
    <w:rsid w:val="00DA0D72"/>
    <w:rsid w:val="00DA1653"/>
    <w:rsid w:val="00DA2187"/>
    <w:rsid w:val="00DA25F4"/>
    <w:rsid w:val="00DA30A0"/>
    <w:rsid w:val="00DA3DCE"/>
    <w:rsid w:val="00DA4213"/>
    <w:rsid w:val="00DA45BB"/>
    <w:rsid w:val="00DA4720"/>
    <w:rsid w:val="00DA52DF"/>
    <w:rsid w:val="00DA5927"/>
    <w:rsid w:val="00DA6BD8"/>
    <w:rsid w:val="00DA6E02"/>
    <w:rsid w:val="00DA7005"/>
    <w:rsid w:val="00DA7A5B"/>
    <w:rsid w:val="00DB1085"/>
    <w:rsid w:val="00DB1295"/>
    <w:rsid w:val="00DB18C0"/>
    <w:rsid w:val="00DB1F3A"/>
    <w:rsid w:val="00DB1F5B"/>
    <w:rsid w:val="00DB30C0"/>
    <w:rsid w:val="00DB31C6"/>
    <w:rsid w:val="00DB37E9"/>
    <w:rsid w:val="00DB4444"/>
    <w:rsid w:val="00DB44AF"/>
    <w:rsid w:val="00DB5DF3"/>
    <w:rsid w:val="00DB6CEA"/>
    <w:rsid w:val="00DB755D"/>
    <w:rsid w:val="00DC02A3"/>
    <w:rsid w:val="00DC051B"/>
    <w:rsid w:val="00DC0BAA"/>
    <w:rsid w:val="00DC10CC"/>
    <w:rsid w:val="00DC18EA"/>
    <w:rsid w:val="00DC1C5B"/>
    <w:rsid w:val="00DC1FAF"/>
    <w:rsid w:val="00DC2154"/>
    <w:rsid w:val="00DC282D"/>
    <w:rsid w:val="00DC2A0B"/>
    <w:rsid w:val="00DC3068"/>
    <w:rsid w:val="00DC53C1"/>
    <w:rsid w:val="00DC7A32"/>
    <w:rsid w:val="00DD0116"/>
    <w:rsid w:val="00DD0EEE"/>
    <w:rsid w:val="00DD1245"/>
    <w:rsid w:val="00DD141E"/>
    <w:rsid w:val="00DD197B"/>
    <w:rsid w:val="00DD1EE3"/>
    <w:rsid w:val="00DD29C7"/>
    <w:rsid w:val="00DD333C"/>
    <w:rsid w:val="00DD35A0"/>
    <w:rsid w:val="00DD40A2"/>
    <w:rsid w:val="00DD4AFD"/>
    <w:rsid w:val="00DD597C"/>
    <w:rsid w:val="00DD76D0"/>
    <w:rsid w:val="00DE02AB"/>
    <w:rsid w:val="00DE02CD"/>
    <w:rsid w:val="00DE03F2"/>
    <w:rsid w:val="00DE112E"/>
    <w:rsid w:val="00DE1641"/>
    <w:rsid w:val="00DE1C5B"/>
    <w:rsid w:val="00DE262A"/>
    <w:rsid w:val="00DE31BF"/>
    <w:rsid w:val="00DE34D5"/>
    <w:rsid w:val="00DE3CA9"/>
    <w:rsid w:val="00DE4341"/>
    <w:rsid w:val="00DE5A5B"/>
    <w:rsid w:val="00DE5F29"/>
    <w:rsid w:val="00DE65F9"/>
    <w:rsid w:val="00DE773F"/>
    <w:rsid w:val="00DF0E54"/>
    <w:rsid w:val="00DF10F0"/>
    <w:rsid w:val="00DF117A"/>
    <w:rsid w:val="00DF19B6"/>
    <w:rsid w:val="00DF1CB5"/>
    <w:rsid w:val="00DF2167"/>
    <w:rsid w:val="00DF2B8F"/>
    <w:rsid w:val="00DF2D5A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02C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25C4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72D"/>
    <w:rsid w:val="00E17C88"/>
    <w:rsid w:val="00E20236"/>
    <w:rsid w:val="00E207D2"/>
    <w:rsid w:val="00E20D30"/>
    <w:rsid w:val="00E219C4"/>
    <w:rsid w:val="00E22137"/>
    <w:rsid w:val="00E221A8"/>
    <w:rsid w:val="00E22A9A"/>
    <w:rsid w:val="00E23727"/>
    <w:rsid w:val="00E249F6"/>
    <w:rsid w:val="00E24CF3"/>
    <w:rsid w:val="00E25714"/>
    <w:rsid w:val="00E269BA"/>
    <w:rsid w:val="00E26D2E"/>
    <w:rsid w:val="00E271E8"/>
    <w:rsid w:val="00E27476"/>
    <w:rsid w:val="00E27761"/>
    <w:rsid w:val="00E27A77"/>
    <w:rsid w:val="00E27BB3"/>
    <w:rsid w:val="00E30234"/>
    <w:rsid w:val="00E30B1B"/>
    <w:rsid w:val="00E30B52"/>
    <w:rsid w:val="00E30E9E"/>
    <w:rsid w:val="00E329C4"/>
    <w:rsid w:val="00E32B38"/>
    <w:rsid w:val="00E32B98"/>
    <w:rsid w:val="00E33DA0"/>
    <w:rsid w:val="00E34C4A"/>
    <w:rsid w:val="00E352E1"/>
    <w:rsid w:val="00E35B66"/>
    <w:rsid w:val="00E36B3A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466"/>
    <w:rsid w:val="00E52A65"/>
    <w:rsid w:val="00E534C5"/>
    <w:rsid w:val="00E54104"/>
    <w:rsid w:val="00E543A9"/>
    <w:rsid w:val="00E5454D"/>
    <w:rsid w:val="00E548DB"/>
    <w:rsid w:val="00E54F36"/>
    <w:rsid w:val="00E5527B"/>
    <w:rsid w:val="00E553DF"/>
    <w:rsid w:val="00E5576B"/>
    <w:rsid w:val="00E559F4"/>
    <w:rsid w:val="00E55C6B"/>
    <w:rsid w:val="00E56724"/>
    <w:rsid w:val="00E575F7"/>
    <w:rsid w:val="00E57E83"/>
    <w:rsid w:val="00E60717"/>
    <w:rsid w:val="00E60D54"/>
    <w:rsid w:val="00E60F49"/>
    <w:rsid w:val="00E61097"/>
    <w:rsid w:val="00E62C65"/>
    <w:rsid w:val="00E62CF1"/>
    <w:rsid w:val="00E633E8"/>
    <w:rsid w:val="00E63EC5"/>
    <w:rsid w:val="00E64590"/>
    <w:rsid w:val="00E64E64"/>
    <w:rsid w:val="00E658DB"/>
    <w:rsid w:val="00E6769F"/>
    <w:rsid w:val="00E67B17"/>
    <w:rsid w:val="00E702D8"/>
    <w:rsid w:val="00E70A9D"/>
    <w:rsid w:val="00E70F11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0BA"/>
    <w:rsid w:val="00E80389"/>
    <w:rsid w:val="00E80F78"/>
    <w:rsid w:val="00E8169F"/>
    <w:rsid w:val="00E847CA"/>
    <w:rsid w:val="00E84D34"/>
    <w:rsid w:val="00E8538B"/>
    <w:rsid w:val="00E856F7"/>
    <w:rsid w:val="00E85BB7"/>
    <w:rsid w:val="00E86137"/>
    <w:rsid w:val="00E868B2"/>
    <w:rsid w:val="00E86D81"/>
    <w:rsid w:val="00E87632"/>
    <w:rsid w:val="00E879BF"/>
    <w:rsid w:val="00E87AB7"/>
    <w:rsid w:val="00E9014B"/>
    <w:rsid w:val="00E90680"/>
    <w:rsid w:val="00E90B1C"/>
    <w:rsid w:val="00E90B2E"/>
    <w:rsid w:val="00E91189"/>
    <w:rsid w:val="00E91394"/>
    <w:rsid w:val="00E9168A"/>
    <w:rsid w:val="00E920D4"/>
    <w:rsid w:val="00E92177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8E9"/>
    <w:rsid w:val="00E97FB9"/>
    <w:rsid w:val="00EA0466"/>
    <w:rsid w:val="00EA06E8"/>
    <w:rsid w:val="00EA1647"/>
    <w:rsid w:val="00EA24A9"/>
    <w:rsid w:val="00EA2C9F"/>
    <w:rsid w:val="00EA2D18"/>
    <w:rsid w:val="00EA3660"/>
    <w:rsid w:val="00EA374F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2A2"/>
    <w:rsid w:val="00EA7364"/>
    <w:rsid w:val="00EA7BF3"/>
    <w:rsid w:val="00EA7D01"/>
    <w:rsid w:val="00EA7DCB"/>
    <w:rsid w:val="00EA7FC3"/>
    <w:rsid w:val="00EB01B8"/>
    <w:rsid w:val="00EB04B7"/>
    <w:rsid w:val="00EB06EC"/>
    <w:rsid w:val="00EB136D"/>
    <w:rsid w:val="00EB194D"/>
    <w:rsid w:val="00EB19A6"/>
    <w:rsid w:val="00EB2510"/>
    <w:rsid w:val="00EB273F"/>
    <w:rsid w:val="00EB438C"/>
    <w:rsid w:val="00EB51BD"/>
    <w:rsid w:val="00EB5304"/>
    <w:rsid w:val="00EB58F7"/>
    <w:rsid w:val="00EB59EF"/>
    <w:rsid w:val="00EB6E76"/>
    <w:rsid w:val="00EB6F60"/>
    <w:rsid w:val="00EB70A8"/>
    <w:rsid w:val="00EC019A"/>
    <w:rsid w:val="00EC04CE"/>
    <w:rsid w:val="00EC0B6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74C3"/>
    <w:rsid w:val="00EC78A4"/>
    <w:rsid w:val="00ED059F"/>
    <w:rsid w:val="00ED1293"/>
    <w:rsid w:val="00ED1BD8"/>
    <w:rsid w:val="00ED22C6"/>
    <w:rsid w:val="00ED2F31"/>
    <w:rsid w:val="00ED35AF"/>
    <w:rsid w:val="00ED3F3C"/>
    <w:rsid w:val="00ED4EC2"/>
    <w:rsid w:val="00ED51B2"/>
    <w:rsid w:val="00ED54DA"/>
    <w:rsid w:val="00ED5BF3"/>
    <w:rsid w:val="00ED5D90"/>
    <w:rsid w:val="00ED5F13"/>
    <w:rsid w:val="00ED6051"/>
    <w:rsid w:val="00ED6983"/>
    <w:rsid w:val="00ED6F14"/>
    <w:rsid w:val="00ED718D"/>
    <w:rsid w:val="00ED7609"/>
    <w:rsid w:val="00EE0027"/>
    <w:rsid w:val="00EE1329"/>
    <w:rsid w:val="00EE1350"/>
    <w:rsid w:val="00EE1B0B"/>
    <w:rsid w:val="00EE2DDE"/>
    <w:rsid w:val="00EE2E57"/>
    <w:rsid w:val="00EE3E34"/>
    <w:rsid w:val="00EE3FF7"/>
    <w:rsid w:val="00EE4713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B2F"/>
    <w:rsid w:val="00EE7D0C"/>
    <w:rsid w:val="00EF004E"/>
    <w:rsid w:val="00EF00AF"/>
    <w:rsid w:val="00EF0941"/>
    <w:rsid w:val="00EF09FC"/>
    <w:rsid w:val="00EF165C"/>
    <w:rsid w:val="00EF1B32"/>
    <w:rsid w:val="00EF23F9"/>
    <w:rsid w:val="00EF291A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0A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455"/>
    <w:rsid w:val="00F0669E"/>
    <w:rsid w:val="00F06D7F"/>
    <w:rsid w:val="00F074EF"/>
    <w:rsid w:val="00F0751E"/>
    <w:rsid w:val="00F118A6"/>
    <w:rsid w:val="00F13143"/>
    <w:rsid w:val="00F14306"/>
    <w:rsid w:val="00F151F7"/>
    <w:rsid w:val="00F156BA"/>
    <w:rsid w:val="00F15A78"/>
    <w:rsid w:val="00F15B6D"/>
    <w:rsid w:val="00F16294"/>
    <w:rsid w:val="00F1641D"/>
    <w:rsid w:val="00F1697F"/>
    <w:rsid w:val="00F16C34"/>
    <w:rsid w:val="00F170E4"/>
    <w:rsid w:val="00F17400"/>
    <w:rsid w:val="00F17DFF"/>
    <w:rsid w:val="00F17F69"/>
    <w:rsid w:val="00F20A7B"/>
    <w:rsid w:val="00F20D36"/>
    <w:rsid w:val="00F2140C"/>
    <w:rsid w:val="00F21576"/>
    <w:rsid w:val="00F21714"/>
    <w:rsid w:val="00F21DBA"/>
    <w:rsid w:val="00F21F14"/>
    <w:rsid w:val="00F221C6"/>
    <w:rsid w:val="00F225E5"/>
    <w:rsid w:val="00F22744"/>
    <w:rsid w:val="00F228C1"/>
    <w:rsid w:val="00F2318E"/>
    <w:rsid w:val="00F2488F"/>
    <w:rsid w:val="00F24C8A"/>
    <w:rsid w:val="00F25BAA"/>
    <w:rsid w:val="00F26640"/>
    <w:rsid w:val="00F27F86"/>
    <w:rsid w:val="00F3016F"/>
    <w:rsid w:val="00F31167"/>
    <w:rsid w:val="00F3137B"/>
    <w:rsid w:val="00F317F1"/>
    <w:rsid w:val="00F31A8C"/>
    <w:rsid w:val="00F32234"/>
    <w:rsid w:val="00F3313A"/>
    <w:rsid w:val="00F331ED"/>
    <w:rsid w:val="00F33625"/>
    <w:rsid w:val="00F33F16"/>
    <w:rsid w:val="00F3518C"/>
    <w:rsid w:val="00F357CE"/>
    <w:rsid w:val="00F3592D"/>
    <w:rsid w:val="00F35C33"/>
    <w:rsid w:val="00F36290"/>
    <w:rsid w:val="00F366CA"/>
    <w:rsid w:val="00F36713"/>
    <w:rsid w:val="00F36DFA"/>
    <w:rsid w:val="00F371EA"/>
    <w:rsid w:val="00F405DC"/>
    <w:rsid w:val="00F41CD7"/>
    <w:rsid w:val="00F43C89"/>
    <w:rsid w:val="00F44173"/>
    <w:rsid w:val="00F446F8"/>
    <w:rsid w:val="00F44EF7"/>
    <w:rsid w:val="00F45684"/>
    <w:rsid w:val="00F45F42"/>
    <w:rsid w:val="00F46085"/>
    <w:rsid w:val="00F46A77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BD6"/>
    <w:rsid w:val="00F51EAD"/>
    <w:rsid w:val="00F5252E"/>
    <w:rsid w:val="00F5277F"/>
    <w:rsid w:val="00F52FFA"/>
    <w:rsid w:val="00F53D08"/>
    <w:rsid w:val="00F53F20"/>
    <w:rsid w:val="00F5498F"/>
    <w:rsid w:val="00F54D72"/>
    <w:rsid w:val="00F54E20"/>
    <w:rsid w:val="00F5626D"/>
    <w:rsid w:val="00F56439"/>
    <w:rsid w:val="00F57BC9"/>
    <w:rsid w:val="00F57D5B"/>
    <w:rsid w:val="00F60372"/>
    <w:rsid w:val="00F603BC"/>
    <w:rsid w:val="00F60BD5"/>
    <w:rsid w:val="00F6147C"/>
    <w:rsid w:val="00F6184B"/>
    <w:rsid w:val="00F61887"/>
    <w:rsid w:val="00F623BB"/>
    <w:rsid w:val="00F624FC"/>
    <w:rsid w:val="00F641CC"/>
    <w:rsid w:val="00F64E19"/>
    <w:rsid w:val="00F65361"/>
    <w:rsid w:val="00F653B9"/>
    <w:rsid w:val="00F655AB"/>
    <w:rsid w:val="00F6654A"/>
    <w:rsid w:val="00F66A7A"/>
    <w:rsid w:val="00F66C4C"/>
    <w:rsid w:val="00F672C7"/>
    <w:rsid w:val="00F701DF"/>
    <w:rsid w:val="00F70515"/>
    <w:rsid w:val="00F70EC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89"/>
    <w:rsid w:val="00F761E1"/>
    <w:rsid w:val="00F764BB"/>
    <w:rsid w:val="00F76A7A"/>
    <w:rsid w:val="00F7777E"/>
    <w:rsid w:val="00F77B15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63AF"/>
    <w:rsid w:val="00F96E19"/>
    <w:rsid w:val="00F96E9A"/>
    <w:rsid w:val="00F97267"/>
    <w:rsid w:val="00F979BC"/>
    <w:rsid w:val="00F97CD6"/>
    <w:rsid w:val="00FA01B9"/>
    <w:rsid w:val="00FA0B97"/>
    <w:rsid w:val="00FA0BD7"/>
    <w:rsid w:val="00FA0DF9"/>
    <w:rsid w:val="00FA269C"/>
    <w:rsid w:val="00FA26ED"/>
    <w:rsid w:val="00FA2F36"/>
    <w:rsid w:val="00FA32CE"/>
    <w:rsid w:val="00FA3487"/>
    <w:rsid w:val="00FA4BAC"/>
    <w:rsid w:val="00FA5141"/>
    <w:rsid w:val="00FA6929"/>
    <w:rsid w:val="00FA6A48"/>
    <w:rsid w:val="00FA6BEB"/>
    <w:rsid w:val="00FA71B8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0E9"/>
    <w:rsid w:val="00FC2108"/>
    <w:rsid w:val="00FC28E7"/>
    <w:rsid w:val="00FC2A99"/>
    <w:rsid w:val="00FC2F0C"/>
    <w:rsid w:val="00FC3109"/>
    <w:rsid w:val="00FC6119"/>
    <w:rsid w:val="00FC670D"/>
    <w:rsid w:val="00FC6EBD"/>
    <w:rsid w:val="00FC6F72"/>
    <w:rsid w:val="00FC7474"/>
    <w:rsid w:val="00FD0501"/>
    <w:rsid w:val="00FD0F16"/>
    <w:rsid w:val="00FD1757"/>
    <w:rsid w:val="00FD321A"/>
    <w:rsid w:val="00FD37D7"/>
    <w:rsid w:val="00FD3D44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E0161"/>
    <w:rsid w:val="00FE1479"/>
    <w:rsid w:val="00FE15A5"/>
    <w:rsid w:val="00FE24E1"/>
    <w:rsid w:val="00FE2A3C"/>
    <w:rsid w:val="00FE30B0"/>
    <w:rsid w:val="00FE3740"/>
    <w:rsid w:val="00FE3E6C"/>
    <w:rsid w:val="00FE42A5"/>
    <w:rsid w:val="00FE4356"/>
    <w:rsid w:val="00FE44A8"/>
    <w:rsid w:val="00FE4628"/>
    <w:rsid w:val="00FE4C00"/>
    <w:rsid w:val="00FE5A5F"/>
    <w:rsid w:val="00FE5B23"/>
    <w:rsid w:val="00FE6010"/>
    <w:rsid w:val="00FE6CD9"/>
    <w:rsid w:val="00FE74D3"/>
    <w:rsid w:val="00FE77B3"/>
    <w:rsid w:val="00FF06F8"/>
    <w:rsid w:val="00FF0C92"/>
    <w:rsid w:val="00FF19FF"/>
    <w:rsid w:val="00FF1A84"/>
    <w:rsid w:val="00FF1E33"/>
    <w:rsid w:val="00FF2261"/>
    <w:rsid w:val="00FF27A6"/>
    <w:rsid w:val="00FF2CE5"/>
    <w:rsid w:val="00FF3347"/>
    <w:rsid w:val="00FF36A8"/>
    <w:rsid w:val="00FF6CAD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0A14E57-F49D-4F88-BB1E-784AB518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DD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left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字元 字元 字元"/>
    <w:basedOn w:val="a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customStyle="1" w:styleId="aff2">
    <w:name w:val="字元 字元 字元"/>
    <w:basedOn w:val="a"/>
    <w:semiHidden/>
    <w:rsid w:val="002E5D4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unhideWhenUsed/>
    <w:rsid w:val="00F70515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4">
    <w:name w:val="註解文字 字元"/>
    <w:link w:val="aff3"/>
    <w:uiPriority w:val="99"/>
    <w:rsid w:val="00F70515"/>
    <w:rPr>
      <w:spacing w:val="-5"/>
      <w:sz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23D20-222F-437F-B887-61BF1338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_Toc162422604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_Toc162422603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_Toc162422602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2024-03-26T02:56:00Z</cp:lastPrinted>
  <dcterms:created xsi:type="dcterms:W3CDTF">2024-04-02T07:25:00Z</dcterms:created>
  <dcterms:modified xsi:type="dcterms:W3CDTF">2024-04-02T07:25:00Z</dcterms:modified>
</cp:coreProperties>
</file>